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7724">
      <w:pPr>
        <w:spacing w:line="360" w:lineRule="auto"/>
        <w:jc w:val="left"/>
        <w:outlineLvl w:val="0"/>
        <w:rPr>
          <w:rFonts w:hint="default" w:ascii="宋体" w:hAnsi="宋体" w:eastAsia="宋体" w:cs="Times New Roman"/>
          <w:b/>
          <w:color w:val="auto"/>
          <w:w w:val="90"/>
          <w:sz w:val="36"/>
          <w:szCs w:val="36"/>
          <w:highlight w:val="yellow"/>
          <w:lang w:val="en-US" w:eastAsia="zh-CN"/>
        </w:rPr>
      </w:pPr>
      <w:bookmarkStart w:id="0" w:name="_Toc25787"/>
      <w:r>
        <w:rPr>
          <w:rFonts w:hint="eastAsia" w:ascii="宋体" w:hAnsi="宋体" w:eastAsia="宋体" w:cs="Times New Roman"/>
          <w:b/>
          <w:color w:val="000000" w:themeColor="text1"/>
          <w:w w:val="90"/>
          <w:sz w:val="36"/>
          <w:szCs w:val="36"/>
          <w:highlight w:val="none"/>
          <w:lang w:val="en-US" w:eastAsia="zh-CN"/>
          <w14:textFill>
            <w14:solidFill>
              <w14:schemeClr w14:val="tx1"/>
            </w14:solidFill>
          </w14:textFill>
        </w:rPr>
        <w:t>项目编号</w:t>
      </w:r>
      <w:r>
        <w:rPr>
          <w:rFonts w:hint="eastAsia" w:ascii="宋体" w:hAnsi="宋体" w:eastAsia="宋体" w:cs="Times New Roman"/>
          <w:b/>
          <w:color w:val="auto"/>
          <w:w w:val="90"/>
          <w:sz w:val="36"/>
          <w:szCs w:val="36"/>
          <w:highlight w:val="none"/>
          <w:lang w:val="en-US" w:eastAsia="zh-CN"/>
        </w:rPr>
        <w:t>：</w:t>
      </w:r>
      <w:bookmarkEnd w:id="0"/>
      <w:r>
        <w:rPr>
          <w:rFonts w:hint="eastAsia" w:ascii="宋体" w:hAnsi="宋体" w:cs="Times New Roman"/>
          <w:b/>
          <w:color w:val="auto"/>
          <w:w w:val="90"/>
          <w:sz w:val="36"/>
          <w:szCs w:val="36"/>
          <w:highlight w:val="none"/>
          <w:lang w:val="en-US" w:eastAsia="zh-CN"/>
        </w:rPr>
        <w:t>GTZB(ZC)2026-224</w:t>
      </w:r>
    </w:p>
    <w:p w14:paraId="27347FBB">
      <w:pPr>
        <w:pStyle w:val="31"/>
        <w:ind w:firstLine="640"/>
        <w:rPr>
          <w:rFonts w:hint="eastAsia" w:ascii="黑体" w:hAnsi="黑体" w:eastAsia="黑体" w:cs="黑体"/>
          <w:color w:val="000000" w:themeColor="text1"/>
          <w:kern w:val="0"/>
          <w:sz w:val="32"/>
          <w:szCs w:val="32"/>
          <w:highlight w:val="none"/>
          <w14:textFill>
            <w14:solidFill>
              <w14:schemeClr w14:val="tx1"/>
            </w14:solidFill>
          </w14:textFill>
        </w:rPr>
      </w:pPr>
    </w:p>
    <w:p w14:paraId="2DA5545E">
      <w:pPr>
        <w:pStyle w:val="31"/>
        <w:ind w:firstLine="640"/>
        <w:rPr>
          <w:rFonts w:hint="eastAsia" w:ascii="黑体" w:hAnsi="黑体" w:eastAsia="黑体" w:cs="黑体"/>
          <w:color w:val="000000" w:themeColor="text1"/>
          <w:kern w:val="0"/>
          <w:sz w:val="32"/>
          <w:szCs w:val="32"/>
          <w:highlight w:val="none"/>
          <w14:textFill>
            <w14:solidFill>
              <w14:schemeClr w14:val="tx1"/>
            </w14:solidFill>
          </w14:textFill>
        </w:rPr>
      </w:pPr>
    </w:p>
    <w:p w14:paraId="60EFFD40">
      <w:pPr>
        <w:pStyle w:val="31"/>
        <w:ind w:firstLine="640"/>
        <w:rPr>
          <w:rFonts w:hint="eastAsia" w:ascii="黑体" w:hAnsi="黑体" w:eastAsia="黑体" w:cs="黑体"/>
          <w:color w:val="000000" w:themeColor="text1"/>
          <w:kern w:val="0"/>
          <w:sz w:val="32"/>
          <w:szCs w:val="32"/>
          <w:highlight w:val="none"/>
          <w14:textFill>
            <w14:solidFill>
              <w14:schemeClr w14:val="tx1"/>
            </w14:solidFill>
          </w14:textFill>
        </w:rPr>
      </w:pPr>
    </w:p>
    <w:p w14:paraId="1765E687">
      <w:pPr>
        <w:pStyle w:val="31"/>
        <w:ind w:firstLine="640"/>
        <w:rPr>
          <w:rFonts w:hint="eastAsia" w:ascii="黑体" w:hAnsi="黑体" w:eastAsia="黑体" w:cs="黑体"/>
          <w:color w:val="000000" w:themeColor="text1"/>
          <w:kern w:val="0"/>
          <w:sz w:val="32"/>
          <w:szCs w:val="32"/>
          <w:highlight w:val="none"/>
          <w14:textFill>
            <w14:solidFill>
              <w14:schemeClr w14:val="tx1"/>
            </w14:solidFill>
          </w14:textFill>
        </w:rPr>
      </w:pPr>
    </w:p>
    <w:p w14:paraId="619B8482">
      <w:pPr>
        <w:pStyle w:val="31"/>
        <w:spacing w:line="360" w:lineRule="auto"/>
        <w:ind w:firstLine="640"/>
        <w:jc w:val="center"/>
        <w:rPr>
          <w:rFonts w:hint="eastAsia" w:ascii="黑体" w:hAnsi="黑体" w:eastAsia="黑体" w:cs="黑体"/>
          <w:color w:val="000000" w:themeColor="text1"/>
          <w:kern w:val="0"/>
          <w:sz w:val="32"/>
          <w:szCs w:val="32"/>
          <w:highlight w:val="none"/>
          <w14:textFill>
            <w14:solidFill>
              <w14:schemeClr w14:val="tx1"/>
            </w14:solidFill>
          </w14:textFill>
        </w:rPr>
      </w:pPr>
    </w:p>
    <w:p w14:paraId="6B0D36E0">
      <w:pPr>
        <w:spacing w:line="360" w:lineRule="auto"/>
        <w:jc w:val="center"/>
        <w:outlineLvl w:val="0"/>
        <w:rPr>
          <w:rFonts w:hint="default" w:ascii="宋体" w:hAnsi="宋体" w:eastAsia="宋体" w:cs="Times New Roman"/>
          <w:b/>
          <w:color w:val="000000" w:themeColor="text1"/>
          <w:sz w:val="56"/>
          <w:szCs w:val="56"/>
          <w:highlight w:val="none"/>
          <w:lang w:val="en-US"/>
          <w14:textFill>
            <w14:solidFill>
              <w14:schemeClr w14:val="tx1"/>
            </w14:solidFill>
          </w14:textFill>
        </w:rPr>
      </w:pPr>
      <w:r>
        <w:rPr>
          <w:rFonts w:hint="eastAsia" w:ascii="宋体" w:hAnsi="宋体" w:cs="Times New Roman"/>
          <w:b/>
          <w:color w:val="000000" w:themeColor="text1"/>
          <w:sz w:val="56"/>
          <w:szCs w:val="56"/>
          <w:highlight w:val="none"/>
          <w:lang w:eastAsia="zh-CN"/>
          <w14:textFill>
            <w14:solidFill>
              <w14:schemeClr w14:val="tx1"/>
            </w14:solidFill>
          </w14:textFill>
        </w:rPr>
        <w:t>库尔勒市国土空间详细规划（城镇单元）（2025-2035年）项目</w:t>
      </w:r>
    </w:p>
    <w:p w14:paraId="78BFBC09">
      <w:pPr>
        <w:pStyle w:val="31"/>
        <w:ind w:firstLine="0" w:firstLineChars="0"/>
        <w:jc w:val="center"/>
        <w:rPr>
          <w:rFonts w:hint="eastAsia" w:ascii="黑体" w:hAnsi="黑体" w:eastAsia="黑体" w:cs="黑体"/>
          <w:color w:val="000000" w:themeColor="text1"/>
          <w:kern w:val="0"/>
          <w:sz w:val="56"/>
          <w:szCs w:val="56"/>
          <w:highlight w:val="none"/>
          <w14:textFill>
            <w14:solidFill>
              <w14:schemeClr w14:val="tx1"/>
            </w14:solidFill>
          </w14:textFill>
        </w:rPr>
      </w:pPr>
    </w:p>
    <w:p w14:paraId="63B66F6F">
      <w:pPr>
        <w:pStyle w:val="31"/>
        <w:ind w:firstLine="0" w:firstLineChars="0"/>
        <w:jc w:val="center"/>
        <w:rPr>
          <w:rFonts w:hint="eastAsia" w:ascii="黑体" w:hAnsi="黑体" w:eastAsia="黑体" w:cs="黑体"/>
          <w:b/>
          <w:color w:val="000000" w:themeColor="text1"/>
          <w:sz w:val="48"/>
          <w:szCs w:val="48"/>
          <w:highlight w:val="none"/>
          <w14:textFill>
            <w14:solidFill>
              <w14:schemeClr w14:val="tx1"/>
            </w14:solidFill>
          </w14:textFill>
        </w:rPr>
      </w:pPr>
      <w:r>
        <w:rPr>
          <w:rFonts w:hint="eastAsia" w:ascii="黑体" w:hAnsi="黑体" w:eastAsia="黑体" w:cs="黑体"/>
          <w:color w:val="000000" w:themeColor="text1"/>
          <w:kern w:val="0"/>
          <w:sz w:val="72"/>
          <w:szCs w:val="72"/>
          <w:highlight w:val="none"/>
          <w:lang w:val="en-US" w:eastAsia="zh-CN"/>
          <w14:textFill>
            <w14:solidFill>
              <w14:schemeClr w14:val="tx1"/>
            </w14:solidFill>
          </w14:textFill>
        </w:rPr>
        <w:t xml:space="preserve">招 标 </w:t>
      </w:r>
      <w:r>
        <w:rPr>
          <w:rFonts w:hint="eastAsia" w:ascii="黑体" w:hAnsi="黑体" w:eastAsia="黑体" w:cs="黑体"/>
          <w:color w:val="000000" w:themeColor="text1"/>
          <w:kern w:val="0"/>
          <w:sz w:val="72"/>
          <w:szCs w:val="72"/>
          <w:highlight w:val="none"/>
          <w14:textFill>
            <w14:solidFill>
              <w14:schemeClr w14:val="tx1"/>
            </w14:solidFill>
          </w14:textFill>
        </w:rPr>
        <w:t>文</w:t>
      </w:r>
      <w:r>
        <w:rPr>
          <w:rFonts w:hint="eastAsia" w:ascii="黑体" w:hAnsi="黑体" w:eastAsia="黑体" w:cs="黑体"/>
          <w:color w:val="000000" w:themeColor="text1"/>
          <w:kern w:val="0"/>
          <w:sz w:val="72"/>
          <w:szCs w:val="7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72"/>
          <w:szCs w:val="72"/>
          <w:highlight w:val="none"/>
          <w14:textFill>
            <w14:solidFill>
              <w14:schemeClr w14:val="tx1"/>
            </w14:solidFill>
          </w14:textFill>
        </w:rPr>
        <w:t>件</w:t>
      </w:r>
    </w:p>
    <w:p w14:paraId="569A91AC">
      <w:pPr>
        <w:spacing w:line="360" w:lineRule="auto"/>
        <w:ind w:left="2525" w:leftChars="299" w:right="-535" w:rightChars="-255" w:hanging="1897" w:hangingChars="525"/>
        <w:rPr>
          <w:rFonts w:hint="eastAsia" w:ascii="黑体" w:hAnsi="黑体" w:eastAsia="黑体" w:cs="黑体"/>
          <w:b/>
          <w:color w:val="000000" w:themeColor="text1"/>
          <w:sz w:val="36"/>
          <w:szCs w:val="36"/>
          <w:highlight w:val="none"/>
          <w14:textFill>
            <w14:solidFill>
              <w14:schemeClr w14:val="tx1"/>
            </w14:solidFill>
          </w14:textFill>
        </w:rPr>
      </w:pPr>
    </w:p>
    <w:p w14:paraId="11B0468D">
      <w:pPr>
        <w:spacing w:line="360" w:lineRule="auto"/>
        <w:ind w:left="2525" w:leftChars="299" w:right="-535" w:rightChars="-255" w:hanging="1897" w:hangingChars="525"/>
        <w:rPr>
          <w:rFonts w:hint="eastAsia" w:ascii="黑体" w:hAnsi="黑体" w:eastAsia="黑体" w:cs="黑体"/>
          <w:b/>
          <w:color w:val="000000" w:themeColor="text1"/>
          <w:sz w:val="36"/>
          <w:szCs w:val="36"/>
          <w:highlight w:val="none"/>
          <w14:textFill>
            <w14:solidFill>
              <w14:schemeClr w14:val="tx1"/>
            </w14:solidFill>
          </w14:textFill>
        </w:rPr>
      </w:pPr>
    </w:p>
    <w:p w14:paraId="2A4A085D">
      <w:pPr>
        <w:spacing w:line="360" w:lineRule="auto"/>
        <w:ind w:left="2525" w:leftChars="299" w:right="-535" w:rightChars="-255" w:hanging="1897" w:hangingChars="525"/>
        <w:rPr>
          <w:rFonts w:hint="eastAsia" w:ascii="黑体" w:hAnsi="黑体" w:eastAsia="黑体" w:cs="黑体"/>
          <w:b/>
          <w:color w:val="000000" w:themeColor="text1"/>
          <w:sz w:val="36"/>
          <w:szCs w:val="36"/>
          <w:highlight w:val="none"/>
          <w14:textFill>
            <w14:solidFill>
              <w14:schemeClr w14:val="tx1"/>
            </w14:solidFill>
          </w14:textFill>
        </w:rPr>
      </w:pPr>
    </w:p>
    <w:p w14:paraId="43495C93">
      <w:pPr>
        <w:spacing w:line="360" w:lineRule="auto"/>
        <w:ind w:right="-535" w:rightChars="-255"/>
        <w:rPr>
          <w:rFonts w:hint="eastAsia" w:ascii="黑体" w:hAnsi="黑体" w:eastAsia="黑体" w:cs="黑体"/>
          <w:b/>
          <w:color w:val="000000" w:themeColor="text1"/>
          <w:sz w:val="36"/>
          <w:szCs w:val="36"/>
          <w:highlight w:val="none"/>
          <w14:textFill>
            <w14:solidFill>
              <w14:schemeClr w14:val="tx1"/>
            </w14:solidFill>
          </w14:textFill>
        </w:rPr>
      </w:pPr>
    </w:p>
    <w:p w14:paraId="5EEF52F8">
      <w:pPr>
        <w:pStyle w:val="13"/>
        <w:rPr>
          <w:rFonts w:hint="eastAsia"/>
          <w:color w:val="000000" w:themeColor="text1"/>
          <w:highlight w:val="none"/>
          <w14:textFill>
            <w14:solidFill>
              <w14:schemeClr w14:val="tx1"/>
            </w14:solidFill>
          </w14:textFill>
        </w:rPr>
      </w:pPr>
    </w:p>
    <w:p w14:paraId="0A9FB326">
      <w:pPr>
        <w:pStyle w:val="8"/>
        <w:rPr>
          <w:rFonts w:hint="eastAsia" w:ascii="黑体" w:hAnsi="黑体" w:eastAsia="黑体" w:cs="黑体"/>
          <w:color w:val="000000" w:themeColor="text1"/>
          <w:sz w:val="15"/>
          <w:szCs w:val="15"/>
          <w:highlight w:val="none"/>
          <w14:textFill>
            <w14:solidFill>
              <w14:schemeClr w14:val="tx1"/>
            </w14:solidFill>
          </w14:textFill>
        </w:rPr>
      </w:pPr>
    </w:p>
    <w:p w14:paraId="0EFB2519">
      <w:pPr>
        <w:spacing w:line="360" w:lineRule="auto"/>
        <w:jc w:val="center"/>
        <w:rPr>
          <w:rFonts w:hint="eastAsia" w:ascii="宋体" w:hAnsi="宋体" w:eastAsia="宋体"/>
          <w:b/>
          <w:color w:val="000000" w:themeColor="text1"/>
          <w:w w:val="90"/>
          <w:sz w:val="36"/>
          <w:szCs w:val="36"/>
          <w:highlight w:val="none"/>
          <w:lang w:eastAsia="zh-CN"/>
          <w14:textFill>
            <w14:solidFill>
              <w14:schemeClr w14:val="tx1"/>
            </w14:solidFill>
          </w14:textFill>
        </w:rPr>
      </w:pPr>
      <w:r>
        <w:rPr>
          <w:rFonts w:hint="eastAsia" w:ascii="宋体" w:hAnsi="宋体"/>
          <w:b/>
          <w:color w:val="000000" w:themeColor="text1"/>
          <w:w w:val="90"/>
          <w:sz w:val="36"/>
          <w:szCs w:val="36"/>
          <w:highlight w:val="none"/>
          <w:lang w:eastAsia="zh-CN"/>
          <w14:textFill>
            <w14:solidFill>
              <w14:schemeClr w14:val="tx1"/>
            </w14:solidFill>
          </w14:textFill>
        </w:rPr>
        <w:t>招标人</w:t>
      </w:r>
      <w:r>
        <w:rPr>
          <w:rFonts w:hint="eastAsia" w:ascii="宋体" w:hAnsi="宋体"/>
          <w:b/>
          <w:color w:val="000000" w:themeColor="text1"/>
          <w:w w:val="90"/>
          <w:sz w:val="36"/>
          <w:szCs w:val="36"/>
          <w:highlight w:val="none"/>
          <w14:textFill>
            <w14:solidFill>
              <w14:schemeClr w14:val="tx1"/>
            </w14:solidFill>
          </w14:textFill>
        </w:rPr>
        <w:t>：</w:t>
      </w:r>
      <w:r>
        <w:rPr>
          <w:rFonts w:hint="eastAsia" w:ascii="宋体" w:hAnsi="宋体"/>
          <w:b/>
          <w:color w:val="000000" w:themeColor="text1"/>
          <w:w w:val="90"/>
          <w:sz w:val="36"/>
          <w:szCs w:val="36"/>
          <w:highlight w:val="none"/>
          <w:lang w:eastAsia="zh-CN"/>
          <w14:textFill>
            <w14:solidFill>
              <w14:schemeClr w14:val="tx1"/>
            </w14:solidFill>
          </w14:textFill>
        </w:rPr>
        <w:t>库尔勒市自然资源局</w:t>
      </w:r>
    </w:p>
    <w:p w14:paraId="7E112E5D">
      <w:pPr>
        <w:spacing w:line="360" w:lineRule="auto"/>
        <w:jc w:val="center"/>
        <w:outlineLvl w:val="0"/>
        <w:rPr>
          <w:rFonts w:hint="eastAsia" w:ascii="宋体" w:hAnsi="宋体" w:eastAsia="宋体"/>
          <w:b/>
          <w:color w:val="000000" w:themeColor="text1"/>
          <w:w w:val="90"/>
          <w:sz w:val="36"/>
          <w:szCs w:val="36"/>
          <w:highlight w:val="none"/>
          <w:lang w:eastAsia="zh-CN"/>
          <w14:textFill>
            <w14:solidFill>
              <w14:schemeClr w14:val="tx1"/>
            </w14:solidFill>
          </w14:textFill>
        </w:rPr>
      </w:pPr>
      <w:bookmarkStart w:id="1" w:name="_Toc24700"/>
      <w:r>
        <w:rPr>
          <w:rFonts w:hint="eastAsia" w:ascii="宋体" w:hAnsi="宋体"/>
          <w:b/>
          <w:color w:val="000000" w:themeColor="text1"/>
          <w:w w:val="90"/>
          <w:sz w:val="36"/>
          <w:szCs w:val="36"/>
          <w:highlight w:val="none"/>
          <w14:textFill>
            <w14:solidFill>
              <w14:schemeClr w14:val="tx1"/>
            </w14:solidFill>
          </w14:textFill>
        </w:rPr>
        <w:t>代理机构：</w:t>
      </w:r>
      <w:bookmarkEnd w:id="1"/>
      <w:r>
        <w:rPr>
          <w:rFonts w:hint="eastAsia" w:ascii="宋体" w:hAnsi="宋体"/>
          <w:b/>
          <w:color w:val="000000" w:themeColor="text1"/>
          <w:w w:val="90"/>
          <w:sz w:val="36"/>
          <w:szCs w:val="36"/>
          <w:highlight w:val="none"/>
          <w:lang w:eastAsia="zh-CN"/>
          <w14:textFill>
            <w14:solidFill>
              <w14:schemeClr w14:val="tx1"/>
            </w14:solidFill>
          </w14:textFill>
        </w:rPr>
        <w:t>新疆国腾工程项目管理咨询有限公司</w:t>
      </w:r>
    </w:p>
    <w:p w14:paraId="0351E576">
      <w:pPr>
        <w:pStyle w:val="13"/>
        <w:rPr>
          <w:color w:val="000000" w:themeColor="text1"/>
          <w:highlight w:val="none"/>
          <w14:textFill>
            <w14:solidFill>
              <w14:schemeClr w14:val="tx1"/>
            </w14:solidFill>
          </w14:textFill>
        </w:rPr>
      </w:pPr>
    </w:p>
    <w:p w14:paraId="3E40D750">
      <w:pPr>
        <w:rPr>
          <w:color w:val="000000" w:themeColor="text1"/>
          <w:highlight w:val="none"/>
          <w14:textFill>
            <w14:solidFill>
              <w14:schemeClr w14:val="tx1"/>
            </w14:solidFill>
          </w14:textFill>
        </w:rPr>
      </w:pPr>
    </w:p>
    <w:p w14:paraId="32725A4C">
      <w:pPr>
        <w:spacing w:line="720" w:lineRule="exact"/>
        <w:jc w:val="center"/>
        <w:rPr>
          <w:rFonts w:hint="eastAsia" w:ascii="宋体" w:hAnsi="宋体"/>
          <w:b/>
          <w:color w:val="000000" w:themeColor="text1"/>
          <w:w w:val="90"/>
          <w:sz w:val="36"/>
          <w:szCs w:val="36"/>
          <w:highlight w:val="none"/>
          <w14:textFill>
            <w14:solidFill>
              <w14:schemeClr w14:val="tx1"/>
            </w14:solidFill>
          </w14:textFill>
        </w:rPr>
      </w:pPr>
      <w:r>
        <w:rPr>
          <w:rFonts w:hint="eastAsia" w:ascii="宋体" w:hAnsi="宋体"/>
          <w:b/>
          <w:color w:val="000000" w:themeColor="text1"/>
          <w:w w:val="90"/>
          <w:sz w:val="36"/>
          <w:szCs w:val="36"/>
          <w:highlight w:val="none"/>
          <w14:textFill>
            <w14:solidFill>
              <w14:schemeClr w14:val="tx1"/>
            </w14:solidFill>
          </w14:textFill>
        </w:rPr>
        <w:t>二○二</w:t>
      </w:r>
      <w:r>
        <w:rPr>
          <w:rFonts w:hint="eastAsia" w:ascii="宋体" w:hAnsi="宋体"/>
          <w:b/>
          <w:color w:val="000000" w:themeColor="text1"/>
          <w:w w:val="90"/>
          <w:sz w:val="36"/>
          <w:szCs w:val="36"/>
          <w:highlight w:val="none"/>
          <w:lang w:val="en-US" w:eastAsia="zh-CN"/>
          <w14:textFill>
            <w14:solidFill>
              <w14:schemeClr w14:val="tx1"/>
            </w14:solidFill>
          </w14:textFill>
        </w:rPr>
        <w:t>六</w:t>
      </w:r>
      <w:r>
        <w:rPr>
          <w:rFonts w:hint="eastAsia" w:ascii="宋体" w:hAnsi="宋体"/>
          <w:b/>
          <w:color w:val="000000" w:themeColor="text1"/>
          <w:w w:val="90"/>
          <w:sz w:val="36"/>
          <w:szCs w:val="36"/>
          <w:highlight w:val="none"/>
          <w14:textFill>
            <w14:solidFill>
              <w14:schemeClr w14:val="tx1"/>
            </w14:solidFill>
          </w14:textFill>
        </w:rPr>
        <w:t>年</w:t>
      </w:r>
      <w:r>
        <w:rPr>
          <w:rFonts w:hint="eastAsia" w:ascii="宋体" w:hAnsi="宋体"/>
          <w:b/>
          <w:color w:val="000000" w:themeColor="text1"/>
          <w:w w:val="90"/>
          <w:sz w:val="36"/>
          <w:szCs w:val="36"/>
          <w:highlight w:val="none"/>
          <w:lang w:val="en-US" w:eastAsia="zh-CN"/>
          <w14:textFill>
            <w14:solidFill>
              <w14:schemeClr w14:val="tx1"/>
            </w14:solidFill>
          </w14:textFill>
        </w:rPr>
        <w:t>五</w:t>
      </w:r>
      <w:r>
        <w:rPr>
          <w:rFonts w:hint="eastAsia" w:ascii="宋体" w:hAnsi="宋体"/>
          <w:b/>
          <w:color w:val="000000" w:themeColor="text1"/>
          <w:w w:val="90"/>
          <w:sz w:val="36"/>
          <w:szCs w:val="36"/>
          <w:highlight w:val="none"/>
          <w14:textFill>
            <w14:solidFill>
              <w14:schemeClr w14:val="tx1"/>
            </w14:solidFill>
          </w14:textFill>
        </w:rPr>
        <w:t>月</w:t>
      </w:r>
    </w:p>
    <w:p w14:paraId="46A07001">
      <w:pPr>
        <w:spacing w:line="360" w:lineRule="auto"/>
        <w:jc w:val="center"/>
        <w:rPr>
          <w:rFonts w:hint="eastAsia" w:ascii="Calibri" w:hAnsi="Calibri" w:eastAsia="宋体" w:cs="Times New Roman"/>
          <w:b/>
          <w:bCs/>
          <w:color w:val="000000" w:themeColor="text1"/>
          <w:sz w:val="40"/>
          <w:szCs w:val="48"/>
          <w:highlight w:val="none"/>
          <w14:textFill>
            <w14:solidFill>
              <w14:schemeClr w14:val="tx1"/>
            </w14:solidFill>
          </w14:textFill>
        </w:rPr>
        <w:sectPr>
          <w:headerReference r:id="rId3" w:type="default"/>
          <w:footerReference r:id="rId4" w:type="default"/>
          <w:pgSz w:w="11906" w:h="16838"/>
          <w:pgMar w:top="1528" w:right="1080" w:bottom="1440" w:left="1080" w:header="907" w:footer="623" w:gutter="0"/>
          <w:pgBorders>
            <w:top w:val="none" w:sz="0" w:space="0"/>
            <w:left w:val="none" w:sz="0" w:space="0"/>
            <w:bottom w:val="none" w:sz="0" w:space="0"/>
            <w:right w:val="none" w:sz="0" w:space="0"/>
          </w:pgBorders>
          <w:pgNumType w:fmt="decimal"/>
          <w:cols w:space="720" w:num="1"/>
          <w:docGrid w:linePitch="312" w:charSpace="0"/>
        </w:sectPr>
      </w:pPr>
    </w:p>
    <w:p w14:paraId="6CBAED26">
      <w:pPr>
        <w:spacing w:line="720" w:lineRule="exact"/>
        <w:ind w:left="1679" w:leftChars="266" w:hanging="1120" w:hangingChars="400"/>
        <w:rPr>
          <w:rFonts w:hint="eastAsia" w:ascii="宋体" w:hAnsi="宋体" w:cs="仿宋_GB2312"/>
          <w:color w:val="000000" w:themeColor="text1"/>
          <w:sz w:val="28"/>
          <w:szCs w:val="28"/>
          <w:highlight w:val="none"/>
          <w14:textFill>
            <w14:solidFill>
              <w14:schemeClr w14:val="tx1"/>
            </w14:solidFill>
          </w14:textFill>
        </w:rPr>
      </w:pPr>
    </w:p>
    <w:p w14:paraId="0FD822E3">
      <w:pPr>
        <w:spacing w:line="720" w:lineRule="exact"/>
        <w:ind w:left="1679" w:leftChars="266" w:hanging="1120" w:hangingChars="400"/>
        <w:rPr>
          <w:rFonts w:hint="eastAsia" w:ascii="宋体" w:hAnsi="宋体" w:cs="仿宋_GB2312"/>
          <w:color w:val="000000" w:themeColor="text1"/>
          <w:sz w:val="28"/>
          <w:szCs w:val="28"/>
          <w:highlight w:val="none"/>
          <w14:textFill>
            <w14:solidFill>
              <w14:schemeClr w14:val="tx1"/>
            </w14:solidFill>
          </w14:textFill>
        </w:rPr>
      </w:pPr>
    </w:p>
    <w:p w14:paraId="61A9E8B9">
      <w:pPr>
        <w:spacing w:line="720" w:lineRule="exact"/>
        <w:ind w:firstLine="480" w:firstLineChars="200"/>
        <w:rPr>
          <w:rFonts w:hint="eastAsia" w:ascii="宋体" w:hAns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采购项目名称：</w:t>
      </w:r>
      <w:r>
        <w:rPr>
          <w:rFonts w:hint="eastAsia" w:ascii="宋体" w:hAnsi="宋体" w:cs="仿宋_GB2312"/>
          <w:color w:val="000000" w:themeColor="text1"/>
          <w:sz w:val="24"/>
          <w:szCs w:val="24"/>
          <w:highlight w:val="none"/>
          <w:lang w:eastAsia="zh-CN"/>
          <w14:textFill>
            <w14:solidFill>
              <w14:schemeClr w14:val="tx1"/>
            </w14:solidFill>
          </w14:textFill>
        </w:rPr>
        <w:t>库尔勒市国土空间详细规划（城镇单元）（2025-2035年）项目</w:t>
      </w:r>
    </w:p>
    <w:p w14:paraId="1B5E5603">
      <w:pPr>
        <w:spacing w:line="720" w:lineRule="exact"/>
        <w:ind w:firstLine="484" w:firstLineChars="202"/>
        <w:rPr>
          <w:rFonts w:hint="eastAsia" w:ascii="宋体" w:hAnsi="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采  购  人（公章）：</w:t>
      </w:r>
      <w:r>
        <w:rPr>
          <w:rFonts w:hint="eastAsia" w:ascii="宋体" w:hAnsi="宋体" w:cs="仿宋_GB2312"/>
          <w:color w:val="000000" w:themeColor="text1"/>
          <w:sz w:val="24"/>
          <w:szCs w:val="24"/>
          <w:highlight w:val="none"/>
          <w:lang w:eastAsia="zh-CN"/>
          <w14:textFill>
            <w14:solidFill>
              <w14:schemeClr w14:val="tx1"/>
            </w14:solidFill>
          </w14:textFill>
        </w:rPr>
        <w:t>库尔勒市自然资源局</w:t>
      </w:r>
    </w:p>
    <w:p w14:paraId="44C40D29">
      <w:pPr>
        <w:pStyle w:val="8"/>
        <w:rPr>
          <w:rFonts w:hint="eastAsia" w:ascii="宋体" w:hAnsi="宋体" w:cs="仿宋_GB2312"/>
          <w:color w:val="000000" w:themeColor="text1"/>
          <w:sz w:val="24"/>
          <w:szCs w:val="24"/>
          <w:highlight w:val="none"/>
          <w14:textFill>
            <w14:solidFill>
              <w14:schemeClr w14:val="tx1"/>
            </w14:solidFill>
          </w14:textFill>
        </w:rPr>
      </w:pPr>
    </w:p>
    <w:p w14:paraId="6019F08B">
      <w:pPr>
        <w:pStyle w:val="8"/>
        <w:rPr>
          <w:rFonts w:hint="default"/>
          <w:b/>
          <w:bCs/>
          <w:color w:val="000000" w:themeColor="text1"/>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委托代理人：</w:t>
      </w:r>
      <w:r>
        <w:rPr>
          <w:rFonts w:hint="eastAsia" w:ascii="宋体" w:hAnsi="宋体" w:cs="仿宋_GB2312"/>
          <w:color w:val="000000" w:themeColor="text1"/>
          <w:sz w:val="24"/>
          <w:szCs w:val="24"/>
          <w:highlight w:val="none"/>
          <w:lang w:val="en-US" w:eastAsia="zh-CN"/>
          <w14:textFill>
            <w14:solidFill>
              <w14:schemeClr w14:val="tx1"/>
            </w14:solidFill>
          </w14:textFill>
        </w:rPr>
        <w:t>龙飞</w:t>
      </w:r>
    </w:p>
    <w:p w14:paraId="6544DF3B">
      <w:pPr>
        <w:spacing w:line="720" w:lineRule="exact"/>
        <w:ind w:firstLine="484" w:firstLineChars="202"/>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13999620517</w:t>
      </w:r>
    </w:p>
    <w:p w14:paraId="530BE757">
      <w:pPr>
        <w:spacing w:line="720" w:lineRule="exact"/>
        <w:ind w:firstLine="484" w:firstLineChars="202"/>
        <w:rPr>
          <w:rFonts w:hint="eastAsia" w:ascii="宋体" w:hAns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邮政编码：</w:t>
      </w:r>
      <w:r>
        <w:rPr>
          <w:rFonts w:hint="eastAsia" w:ascii="宋体" w:hAnsi="宋体" w:cs="仿宋_GB2312"/>
          <w:color w:val="000000" w:themeColor="text1"/>
          <w:sz w:val="24"/>
          <w:szCs w:val="24"/>
          <w:highlight w:val="none"/>
          <w:lang w:eastAsia="zh-CN"/>
          <w14:textFill>
            <w14:solidFill>
              <w14:schemeClr w14:val="tx1"/>
            </w14:solidFill>
          </w14:textFill>
        </w:rPr>
        <w:t>841000</w:t>
      </w:r>
    </w:p>
    <w:p w14:paraId="448E1F18">
      <w:pPr>
        <w:spacing w:line="520" w:lineRule="exact"/>
        <w:ind w:firstLine="484" w:firstLineChars="202"/>
        <w:rPr>
          <w:rFonts w:ascii="宋体" w:hAnsi="宋体" w:cs="仿宋_GB2312"/>
          <w:color w:val="000000" w:themeColor="text1"/>
          <w:sz w:val="24"/>
          <w:szCs w:val="24"/>
          <w:highlight w:val="none"/>
          <w14:textFill>
            <w14:solidFill>
              <w14:schemeClr w14:val="tx1"/>
            </w14:solidFill>
          </w14:textFill>
        </w:rPr>
      </w:pPr>
    </w:p>
    <w:p w14:paraId="57057F48">
      <w:pPr>
        <w:spacing w:line="520" w:lineRule="exact"/>
        <w:ind w:firstLine="484" w:firstLineChars="202"/>
        <w:rPr>
          <w:rFonts w:ascii="宋体" w:hAnsi="宋体" w:cs="仿宋_GB2312"/>
          <w:color w:val="000000" w:themeColor="text1"/>
          <w:sz w:val="24"/>
          <w:szCs w:val="24"/>
          <w:highlight w:val="none"/>
          <w14:textFill>
            <w14:solidFill>
              <w14:schemeClr w14:val="tx1"/>
            </w14:solidFill>
          </w14:textFill>
        </w:rPr>
      </w:pPr>
    </w:p>
    <w:p w14:paraId="142E6955">
      <w:pPr>
        <w:spacing w:line="520" w:lineRule="exact"/>
        <w:ind w:firstLine="484" w:firstLineChars="202"/>
        <w:rPr>
          <w:rFonts w:ascii="宋体" w:hAnsi="宋体" w:cs="仿宋_GB2312"/>
          <w:color w:val="000000" w:themeColor="text1"/>
          <w:sz w:val="24"/>
          <w:szCs w:val="24"/>
          <w:highlight w:val="none"/>
          <w14:textFill>
            <w14:solidFill>
              <w14:schemeClr w14:val="tx1"/>
            </w14:solidFill>
          </w14:textFill>
        </w:rPr>
      </w:pPr>
    </w:p>
    <w:p w14:paraId="1EFDA4A1">
      <w:pPr>
        <w:spacing w:line="720" w:lineRule="exact"/>
        <w:ind w:firstLine="484" w:firstLineChars="202"/>
        <w:rPr>
          <w:rFonts w:hint="eastAsia" w:ascii="宋体" w:hAns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采购代理机构（公章）：</w:t>
      </w:r>
      <w:r>
        <w:rPr>
          <w:rFonts w:hint="eastAsia" w:ascii="宋体" w:hAnsi="宋体" w:cs="宋体"/>
          <w:color w:val="000000" w:themeColor="text1"/>
          <w:sz w:val="24"/>
          <w:szCs w:val="21"/>
          <w:highlight w:val="none"/>
          <w:lang w:eastAsia="zh-CN"/>
          <w14:textFill>
            <w14:solidFill>
              <w14:schemeClr w14:val="tx1"/>
            </w14:solidFill>
          </w14:textFill>
        </w:rPr>
        <w:t>新疆国腾工程项目管理咨询有限公司</w:t>
      </w:r>
    </w:p>
    <w:p w14:paraId="640B1033">
      <w:pPr>
        <w:spacing w:line="720" w:lineRule="exact"/>
        <w:ind w:firstLine="484" w:firstLineChars="202"/>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委托代理人：</w:t>
      </w:r>
      <w:r>
        <w:rPr>
          <w:rFonts w:hint="eastAsia" w:ascii="宋体" w:hAnsi="宋体" w:cs="仿宋_GB2312"/>
          <w:color w:val="000000" w:themeColor="text1"/>
          <w:sz w:val="24"/>
          <w:szCs w:val="24"/>
          <w:highlight w:val="none"/>
          <w:lang w:val="en-US" w:eastAsia="zh-CN"/>
          <w14:textFill>
            <w14:solidFill>
              <w14:schemeClr w14:val="tx1"/>
            </w14:solidFill>
          </w14:textFill>
        </w:rPr>
        <w:t>周纪坤</w:t>
      </w:r>
    </w:p>
    <w:p w14:paraId="0A48A33D">
      <w:pPr>
        <w:spacing w:line="720" w:lineRule="exact"/>
        <w:ind w:firstLine="484" w:firstLineChars="202"/>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联系电话：</w:t>
      </w:r>
      <w:r>
        <w:rPr>
          <w:rFonts w:hint="eastAsia" w:ascii="宋体" w:hAnsi="宋体" w:cs="仿宋_GB2312"/>
          <w:color w:val="000000" w:themeColor="text1"/>
          <w:sz w:val="24"/>
          <w:szCs w:val="24"/>
          <w:highlight w:val="none"/>
          <w:lang w:val="en-US" w:eastAsia="zh-CN"/>
          <w14:textFill>
            <w14:solidFill>
              <w14:schemeClr w14:val="tx1"/>
            </w14:solidFill>
          </w14:textFill>
        </w:rPr>
        <w:t>17397568003</w:t>
      </w:r>
    </w:p>
    <w:p w14:paraId="5128F007">
      <w:pPr>
        <w:spacing w:line="720" w:lineRule="exact"/>
        <w:ind w:right="105" w:firstLine="484" w:firstLineChars="202"/>
        <w:rPr>
          <w:rFonts w:hint="default" w:ascii="宋体" w:eastAsia="宋体"/>
          <w:b/>
          <w:color w:val="000000" w:themeColor="text1"/>
          <w:sz w:val="32"/>
          <w:highlight w:val="none"/>
          <w:lang w:val="en-US" w:eastAsia="zh-CN"/>
          <w14:textFill>
            <w14:solidFill>
              <w14:schemeClr w14:val="tx1"/>
            </w14:solidFill>
          </w14:textFill>
        </w:rPr>
        <w:sectPr>
          <w:footerReference r:id="rId5" w:type="default"/>
          <w:pgSz w:w="11906" w:h="16838"/>
          <w:pgMar w:top="1531" w:right="1083" w:bottom="1440" w:left="1083" w:header="907" w:footer="624"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cs="仿宋_GB2312"/>
          <w:color w:val="000000" w:themeColor="text1"/>
          <w:sz w:val="24"/>
          <w:szCs w:val="24"/>
          <w:highlight w:val="none"/>
          <w14:textFill>
            <w14:solidFill>
              <w14:schemeClr w14:val="tx1"/>
            </w14:solidFill>
          </w14:textFill>
        </w:rPr>
        <w:t>邮政编码：</w:t>
      </w:r>
      <w:r>
        <w:rPr>
          <w:rFonts w:hint="eastAsia" w:ascii="宋体" w:hAnsi="宋体" w:cs="仿宋_GB2312"/>
          <w:color w:val="000000" w:themeColor="text1"/>
          <w:sz w:val="24"/>
          <w:szCs w:val="24"/>
          <w:highlight w:val="none"/>
          <w:lang w:val="en-US" w:eastAsia="zh-CN"/>
          <w14:textFill>
            <w14:solidFill>
              <w14:schemeClr w14:val="tx1"/>
            </w14:solidFill>
          </w14:textFill>
        </w:rPr>
        <w:t>841000</w:t>
      </w:r>
    </w:p>
    <w:p w14:paraId="2796BC1C">
      <w:pPr>
        <w:spacing w:line="360" w:lineRule="auto"/>
        <w:jc w:val="center"/>
        <w:rPr>
          <w:rFonts w:ascii="宋体"/>
          <w:color w:val="000000" w:themeColor="text1"/>
          <w:sz w:val="32"/>
          <w:highlight w:val="none"/>
          <w14:textFill>
            <w14:solidFill>
              <w14:schemeClr w14:val="tx1"/>
            </w14:solidFill>
          </w14:textFill>
        </w:rPr>
      </w:pPr>
      <w:r>
        <w:rPr>
          <w:rFonts w:hint="eastAsia" w:ascii="宋体"/>
          <w:b/>
          <w:color w:val="000000" w:themeColor="text1"/>
          <w:sz w:val="32"/>
          <w:highlight w:val="none"/>
          <w14:textFill>
            <w14:solidFill>
              <w14:schemeClr w14:val="tx1"/>
            </w14:solidFill>
          </w14:textFill>
        </w:rPr>
        <w:t>目  录</w:t>
      </w:r>
    </w:p>
    <w:p w14:paraId="71DF5B5B">
      <w:pPr>
        <w:pStyle w:val="76"/>
        <w:tabs>
          <w:tab w:val="right" w:leader="dot" w:pos="9746"/>
        </w:tabs>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_Toc25025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第一章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招标公告</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1D1BEEB8">
      <w:pPr>
        <w:pStyle w:val="76"/>
        <w:tabs>
          <w:tab w:val="right" w:leader="dot" w:pos="9746"/>
        </w:tabs>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_Toc2296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须知</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1914CD90">
      <w:pPr>
        <w:pStyle w:val="76"/>
        <w:tabs>
          <w:tab w:val="right" w:leader="dot" w:pos="9746"/>
        </w:tabs>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_Toc525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第三章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招标人需求</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26</w:t>
      </w:r>
    </w:p>
    <w:p w14:paraId="791A225C">
      <w:pPr>
        <w:pStyle w:val="76"/>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_Toc14667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第四章 评标文件</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1D0B9469">
      <w:pPr>
        <w:pStyle w:val="76"/>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_Toc2571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第五章 合同（样本）</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3</w:t>
      </w:r>
    </w:p>
    <w:p w14:paraId="789174D1">
      <w:pPr>
        <w:pStyle w:val="76"/>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_Toc29417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第六章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格式</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680EA6D3">
      <w:pPr>
        <w:pStyle w:val="76"/>
        <w:tabs>
          <w:tab w:val="right" w:leader="dot" w:pos="9746"/>
        </w:tabs>
        <w:rPr>
          <w:rFonts w:hint="eastAsia" w:ascii="time of new roman" w:hAnsi="time of new roman" w:eastAsia="宋体" w:cs="Times New Roman"/>
          <w:color w:val="000000" w:themeColor="text1"/>
          <w:kern w:val="0"/>
          <w:sz w:val="24"/>
          <w:szCs w:val="24"/>
          <w:highlight w:val="none"/>
          <w14:textFill>
            <w14:solidFill>
              <w14:schemeClr w14:val="tx1"/>
            </w14:solidFill>
          </w14:textFill>
        </w:rPr>
      </w:pPr>
    </w:p>
    <w:p w14:paraId="419C548F">
      <w:pPr>
        <w:spacing w:line="360" w:lineRule="auto"/>
        <w:rPr>
          <w:rFonts w:hint="eastAsia"/>
          <w:color w:val="000000" w:themeColor="text1"/>
          <w:highlight w:val="none"/>
          <w14:textFill>
            <w14:solidFill>
              <w14:schemeClr w14:val="tx1"/>
            </w14:solidFill>
          </w14:textFill>
        </w:rPr>
      </w:pPr>
    </w:p>
    <w:p w14:paraId="7270FE52">
      <w:pPr>
        <w:spacing w:line="360" w:lineRule="auto"/>
        <w:rPr>
          <w:rFonts w:hint="eastAsia"/>
          <w:color w:val="000000" w:themeColor="text1"/>
          <w:highlight w:val="none"/>
          <w14:textFill>
            <w14:solidFill>
              <w14:schemeClr w14:val="tx1"/>
            </w14:solidFill>
          </w14:textFill>
        </w:rPr>
      </w:pPr>
    </w:p>
    <w:p w14:paraId="5AA3175C">
      <w:pPr>
        <w:spacing w:line="360" w:lineRule="auto"/>
        <w:rPr>
          <w:rFonts w:hint="eastAsia"/>
          <w:color w:val="000000" w:themeColor="text1"/>
          <w:highlight w:val="none"/>
          <w14:textFill>
            <w14:solidFill>
              <w14:schemeClr w14:val="tx1"/>
            </w14:solidFill>
          </w14:textFill>
        </w:rPr>
      </w:pPr>
    </w:p>
    <w:p w14:paraId="57467E76">
      <w:pPr>
        <w:spacing w:line="360" w:lineRule="auto"/>
        <w:rPr>
          <w:rFonts w:hint="eastAsia"/>
          <w:color w:val="000000" w:themeColor="text1"/>
          <w:highlight w:val="none"/>
          <w14:textFill>
            <w14:solidFill>
              <w14:schemeClr w14:val="tx1"/>
            </w14:solidFill>
          </w14:textFill>
        </w:rPr>
      </w:pPr>
    </w:p>
    <w:p w14:paraId="600EF30C">
      <w:pPr>
        <w:spacing w:line="360" w:lineRule="auto"/>
        <w:rPr>
          <w:rFonts w:hint="eastAsia"/>
          <w:color w:val="000000" w:themeColor="text1"/>
          <w:highlight w:val="none"/>
          <w14:textFill>
            <w14:solidFill>
              <w14:schemeClr w14:val="tx1"/>
            </w14:solidFill>
          </w14:textFill>
        </w:rPr>
      </w:pPr>
    </w:p>
    <w:p w14:paraId="65DBAA7D">
      <w:pPr>
        <w:spacing w:line="360" w:lineRule="auto"/>
        <w:rPr>
          <w:rFonts w:hint="eastAsia"/>
          <w:color w:val="000000" w:themeColor="text1"/>
          <w:highlight w:val="none"/>
          <w14:textFill>
            <w14:solidFill>
              <w14:schemeClr w14:val="tx1"/>
            </w14:solidFill>
          </w14:textFill>
        </w:rPr>
      </w:pPr>
    </w:p>
    <w:p w14:paraId="382233E4">
      <w:pPr>
        <w:spacing w:line="360" w:lineRule="auto"/>
        <w:rPr>
          <w:rFonts w:hint="eastAsia"/>
          <w:color w:val="000000" w:themeColor="text1"/>
          <w:highlight w:val="none"/>
          <w14:textFill>
            <w14:solidFill>
              <w14:schemeClr w14:val="tx1"/>
            </w14:solidFill>
          </w14:textFill>
        </w:rPr>
      </w:pPr>
    </w:p>
    <w:p w14:paraId="60512852">
      <w:pPr>
        <w:spacing w:line="360" w:lineRule="auto"/>
        <w:rPr>
          <w:rFonts w:hint="eastAsia"/>
          <w:color w:val="000000" w:themeColor="text1"/>
          <w:highlight w:val="none"/>
          <w14:textFill>
            <w14:solidFill>
              <w14:schemeClr w14:val="tx1"/>
            </w14:solidFill>
          </w14:textFill>
        </w:rPr>
      </w:pPr>
    </w:p>
    <w:p w14:paraId="6632790B">
      <w:pPr>
        <w:spacing w:line="360" w:lineRule="auto"/>
        <w:rPr>
          <w:rFonts w:hint="eastAsia"/>
          <w:color w:val="000000" w:themeColor="text1"/>
          <w:highlight w:val="none"/>
          <w14:textFill>
            <w14:solidFill>
              <w14:schemeClr w14:val="tx1"/>
            </w14:solidFill>
          </w14:textFill>
        </w:rPr>
      </w:pPr>
    </w:p>
    <w:p w14:paraId="6ECC7F74">
      <w:pPr>
        <w:spacing w:line="360" w:lineRule="auto"/>
        <w:rPr>
          <w:rFonts w:hint="eastAsia"/>
          <w:color w:val="000000" w:themeColor="text1"/>
          <w:highlight w:val="none"/>
          <w14:textFill>
            <w14:solidFill>
              <w14:schemeClr w14:val="tx1"/>
            </w14:solidFill>
          </w14:textFill>
        </w:rPr>
      </w:pPr>
    </w:p>
    <w:p w14:paraId="1ECBF487">
      <w:pPr>
        <w:spacing w:line="360" w:lineRule="auto"/>
        <w:rPr>
          <w:rFonts w:hint="eastAsia"/>
          <w:color w:val="000000" w:themeColor="text1"/>
          <w:highlight w:val="none"/>
          <w14:textFill>
            <w14:solidFill>
              <w14:schemeClr w14:val="tx1"/>
            </w14:solidFill>
          </w14:textFill>
        </w:rPr>
      </w:pPr>
    </w:p>
    <w:p w14:paraId="546B070D">
      <w:pPr>
        <w:spacing w:line="360" w:lineRule="auto"/>
        <w:rPr>
          <w:rFonts w:hint="default" w:eastAsia="宋体"/>
          <w:color w:val="000000" w:themeColor="text1"/>
          <w:highlight w:val="none"/>
          <w:lang w:val="en-US" w:eastAsia="zh-CN"/>
          <w14:textFill>
            <w14:solidFill>
              <w14:schemeClr w14:val="tx1"/>
            </w14:solidFill>
          </w14:textFill>
        </w:rPr>
      </w:pPr>
    </w:p>
    <w:p w14:paraId="3B59FA09">
      <w:pPr>
        <w:pStyle w:val="2"/>
        <w:spacing w:line="360" w:lineRule="auto"/>
        <w:jc w:val="center"/>
        <w:rPr>
          <w:rFonts w:hint="eastAsia" w:ascii="宋体" w:hAnsi="宋体" w:eastAsia="宋体"/>
          <w:color w:val="000000" w:themeColor="text1"/>
          <w:sz w:val="48"/>
          <w:szCs w:val="48"/>
          <w:highlight w:val="none"/>
          <w14:textFill>
            <w14:solidFill>
              <w14:schemeClr w14:val="tx1"/>
            </w14:solidFill>
          </w14:textFill>
        </w:rPr>
        <w:sectPr>
          <w:headerReference r:id="rId6" w:type="default"/>
          <w:footerReference r:id="rId7" w:type="default"/>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bookmarkStart w:id="2" w:name="_Toc11582"/>
      <w:bookmarkStart w:id="3" w:name="_Toc297209392"/>
    </w:p>
    <w:p w14:paraId="35C08F02">
      <w:pPr>
        <w:rPr>
          <w:rFonts w:hint="eastAsia"/>
          <w:highlight w:val="none"/>
        </w:rPr>
      </w:pPr>
    </w:p>
    <w:p w14:paraId="6E8F1C94">
      <w:pPr>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35CEADA6">
      <w:pPr>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7F647E5D">
      <w:pPr>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3DD2C4CE">
      <w:pPr>
        <w:pStyle w:val="2"/>
        <w:spacing w:line="360" w:lineRule="auto"/>
        <w:jc w:val="center"/>
        <w:rPr>
          <w:rFonts w:hint="eastAsia" w:ascii="宋体" w:hAnsi="宋体" w:eastAsia="宋体"/>
          <w:color w:val="000000" w:themeColor="text1"/>
          <w:sz w:val="48"/>
          <w:szCs w:val="48"/>
          <w:highlight w:val="none"/>
          <w:lang w:eastAsia="zh-CN"/>
          <w14:textFill>
            <w14:solidFill>
              <w14:schemeClr w14:val="tx1"/>
            </w14:solidFill>
          </w14:textFill>
        </w:rPr>
      </w:pPr>
      <w:r>
        <w:rPr>
          <w:rFonts w:hint="eastAsia" w:ascii="宋体" w:hAnsi="宋体" w:eastAsia="宋体"/>
          <w:color w:val="000000" w:themeColor="text1"/>
          <w:sz w:val="48"/>
          <w:szCs w:val="48"/>
          <w:highlight w:val="none"/>
          <w14:textFill>
            <w14:solidFill>
              <w14:schemeClr w14:val="tx1"/>
            </w14:solidFill>
          </w14:textFill>
        </w:rPr>
        <w:t xml:space="preserve">第一章 </w:t>
      </w:r>
      <w:bookmarkEnd w:id="2"/>
      <w:bookmarkEnd w:id="3"/>
      <w:r>
        <w:rPr>
          <w:rFonts w:hint="eastAsia" w:ascii="宋体" w:hAnsi="宋体" w:eastAsia="宋体"/>
          <w:color w:val="000000" w:themeColor="text1"/>
          <w:sz w:val="48"/>
          <w:szCs w:val="48"/>
          <w:highlight w:val="none"/>
          <w:lang w:eastAsia="zh-CN"/>
          <w14:textFill>
            <w14:solidFill>
              <w14:schemeClr w14:val="tx1"/>
            </w14:solidFill>
          </w14:textFill>
        </w:rPr>
        <w:t>招标公告</w:t>
      </w:r>
    </w:p>
    <w:p w14:paraId="1A350A71">
      <w:pPr>
        <w:pStyle w:val="31"/>
        <w:tabs>
          <w:tab w:val="left" w:pos="640"/>
          <w:tab w:val="clear" w:pos="993"/>
        </w:tabs>
        <w:spacing w:line="360" w:lineRule="auto"/>
        <w:ind w:left="0" w:leftChars="0" w:firstLine="0" w:firstLineChars="0"/>
        <w:jc w:val="center"/>
        <w:rPr>
          <w:rFonts w:hint="eastAsia" w:ascii="宋体" w:eastAsia="宋体" w:cs="宋体"/>
          <w:b/>
          <w:bCs/>
          <w:color w:val="000000" w:themeColor="text1"/>
          <w:sz w:val="32"/>
          <w:szCs w:val="32"/>
          <w:highlight w:val="none"/>
          <w:lang w:eastAsia="zh-CN"/>
          <w14:textFill>
            <w14:solidFill>
              <w14:schemeClr w14:val="tx1"/>
            </w14:solidFill>
          </w14:textFill>
        </w:rPr>
        <w:sectPr>
          <w:footerReference r:id="rId8" w:type="default"/>
          <w:pgSz w:w="11906" w:h="16838"/>
          <w:pgMar w:top="1531" w:right="1083" w:bottom="1440" w:left="1083" w:header="907" w:footer="624" w:gutter="0"/>
          <w:pgBorders>
            <w:top w:val="none" w:sz="0" w:space="0"/>
            <w:left w:val="none" w:sz="0" w:space="0"/>
            <w:bottom w:val="none" w:sz="0" w:space="0"/>
            <w:right w:val="none" w:sz="0" w:space="0"/>
          </w:pgBorders>
          <w:pgNumType w:fmt="decimal" w:start="1"/>
          <w:cols w:space="0" w:num="1"/>
          <w:rtlGutter w:val="0"/>
          <w:docGrid w:linePitch="312" w:charSpace="0"/>
        </w:sectPr>
      </w:pPr>
    </w:p>
    <w:p w14:paraId="1755DD50">
      <w:pPr>
        <w:pStyle w:val="31"/>
        <w:tabs>
          <w:tab w:val="left" w:pos="640"/>
          <w:tab w:val="clear" w:pos="993"/>
        </w:tabs>
        <w:spacing w:line="360" w:lineRule="auto"/>
        <w:ind w:left="0" w:leftChars="0" w:firstLine="0" w:firstLineChars="0"/>
        <w:jc w:val="center"/>
        <w:rPr>
          <w:b/>
          <w:bCs/>
          <w:color w:val="000000" w:themeColor="text1"/>
          <w:sz w:val="36"/>
          <w:szCs w:val="36"/>
          <w:highlight w:val="none"/>
          <w14:textFill>
            <w14:solidFill>
              <w14:schemeClr w14:val="tx1"/>
            </w14:solidFill>
          </w14:textFill>
        </w:rPr>
      </w:pPr>
      <w:r>
        <w:rPr>
          <w:rFonts w:hint="eastAsia" w:ascii="宋体" w:eastAsia="宋体" w:cs="宋体"/>
          <w:b/>
          <w:bCs/>
          <w:color w:val="000000" w:themeColor="text1"/>
          <w:sz w:val="32"/>
          <w:szCs w:val="32"/>
          <w:highlight w:val="none"/>
          <w:lang w:eastAsia="zh-CN"/>
          <w14:textFill>
            <w14:solidFill>
              <w14:schemeClr w14:val="tx1"/>
            </w14:solidFill>
          </w14:textFill>
        </w:rPr>
        <w:t>新疆国腾工程项目管理咨询有限公司</w:t>
      </w:r>
      <w:r>
        <w:rPr>
          <w:rFonts w:hint="eastAsia" w:ascii="宋体" w:hAnsi="宋体" w:eastAsia="宋体" w:cs="宋体"/>
          <w:b/>
          <w:bCs/>
          <w:color w:val="000000" w:themeColor="text1"/>
          <w:sz w:val="32"/>
          <w:szCs w:val="32"/>
          <w:highlight w:val="none"/>
          <w14:textFill>
            <w14:solidFill>
              <w14:schemeClr w14:val="tx1"/>
            </w14:solidFill>
          </w14:textFill>
        </w:rPr>
        <w:t>关于</w:t>
      </w:r>
      <w:r>
        <w:rPr>
          <w:rFonts w:hint="eastAsia" w:ascii="宋体" w:eastAsia="宋体" w:cs="宋体"/>
          <w:b/>
          <w:bCs/>
          <w:color w:val="000000" w:themeColor="text1"/>
          <w:sz w:val="32"/>
          <w:szCs w:val="32"/>
          <w:highlight w:val="none"/>
          <w:lang w:eastAsia="zh-CN"/>
          <w14:textFill>
            <w14:solidFill>
              <w14:schemeClr w14:val="tx1"/>
            </w14:solidFill>
          </w14:textFill>
        </w:rPr>
        <w:t>库尔勒市国土空间详细规划（城镇单元）（2025-2035年）项目</w:t>
      </w:r>
      <w:r>
        <w:rPr>
          <w:rFonts w:hint="eastAsia" w:ascii="宋体" w:hAnsi="宋体" w:eastAsia="宋体" w:cs="宋体"/>
          <w:b/>
          <w:bCs/>
          <w:color w:val="000000" w:themeColor="text1"/>
          <w:sz w:val="32"/>
          <w:szCs w:val="32"/>
          <w:highlight w:val="none"/>
          <w14:textFill>
            <w14:solidFill>
              <w14:schemeClr w14:val="tx1"/>
            </w14:solidFill>
          </w14:textFill>
        </w:rPr>
        <w:t>的公开招标公告</w:t>
      </w:r>
    </w:p>
    <w:p w14:paraId="297B4F09">
      <w:pPr>
        <w:pStyle w:val="31"/>
        <w:tabs>
          <w:tab w:val="left" w:pos="640"/>
          <w:tab w:val="clear" w:pos="993"/>
        </w:tabs>
        <w:ind w:left="-840" w:leftChars="-400" w:firstLine="1565" w:firstLineChars="433"/>
        <w:jc w:val="center"/>
        <w:rPr>
          <w:b/>
          <w:bCs/>
          <w:color w:val="000000" w:themeColor="text1"/>
          <w:sz w:val="36"/>
          <w:szCs w:val="36"/>
          <w:highlight w:val="none"/>
          <w14:textFill>
            <w14:solidFill>
              <w14:schemeClr w14:val="tx1"/>
            </w14:solidFill>
          </w14:textFill>
        </w:rPr>
      </w:pPr>
    </w:p>
    <w:p w14:paraId="7FF27D10">
      <w:pPr>
        <w:pStyle w:val="10"/>
        <w:keepNext w:val="0"/>
        <w:keepLines w:val="0"/>
        <w:widowControl/>
        <w:suppressLineNumbers w:val="0"/>
        <w:spacing w:before="60" w:beforeAutospacing="0" w:after="60" w:afterAutospacing="0" w:line="360" w:lineRule="auto"/>
        <w:ind w:left="0" w:right="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项目概况</w:t>
      </w:r>
    </w:p>
    <w:p w14:paraId="4E94C16E">
      <w:pPr>
        <w:pStyle w:val="10"/>
        <w:keepNext w:val="0"/>
        <w:keepLines w:val="0"/>
        <w:widowControl/>
        <w:suppressLineNumbers w:val="0"/>
        <w:spacing w:before="60" w:beforeAutospacing="0" w:after="60" w:afterAutospacing="0" w:line="360" w:lineRule="auto"/>
        <w:ind w:left="0" w:right="0"/>
        <w:rPr>
          <w:rStyle w:val="35"/>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库尔勒市国土空间详细规划（城镇单元）（2025-2035年）项目</w:t>
      </w:r>
      <w:r>
        <w:rPr>
          <w:rFonts w:hint="eastAsia" w:ascii="宋体" w:hAnsi="宋体" w:eastAsia="宋体" w:cs="宋体"/>
          <w:color w:val="000000" w:themeColor="text1"/>
          <w:sz w:val="24"/>
          <w:szCs w:val="24"/>
          <w:highlight w:val="none"/>
          <w14:textFill>
            <w14:solidFill>
              <w14:schemeClr w14:val="tx1"/>
            </w14:solidFill>
          </w14:textFill>
        </w:rPr>
        <w:t>的潜在</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应在政采云平</w:t>
      </w:r>
      <w:r>
        <w:rPr>
          <w:rFonts w:hint="eastAsia" w:eastAsia="宋体" w:cs="宋体"/>
          <w:color w:val="000000" w:themeColor="text1"/>
          <w:sz w:val="24"/>
          <w:szCs w:val="24"/>
          <w:highlight w:val="none"/>
          <w:lang w:eastAsia="zh-CN"/>
          <w14:textFill>
            <w14:solidFill>
              <w14:schemeClr w14:val="tx1"/>
            </w14:solidFill>
          </w14:textFill>
        </w:rPr>
        <w:t>台</w:t>
      </w:r>
      <w:r>
        <w:rPr>
          <w:rFonts w:hint="eastAsia" w:ascii="宋体" w:hAnsi="宋体" w:eastAsia="宋体" w:cs="宋体"/>
          <w:color w:val="000000" w:themeColor="text1"/>
          <w:sz w:val="24"/>
          <w:szCs w:val="24"/>
          <w:highlight w:val="none"/>
          <w14:textFill>
            <w14:solidFill>
              <w14:schemeClr w14:val="tx1"/>
            </w14:solidFill>
          </w14:textFill>
        </w:rPr>
        <w:t>（https://www.zcygov.cn）获取招标文件，并于</w:t>
      </w:r>
      <w:r>
        <w:rPr>
          <w:rFonts w:hint="eastAsia"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cs="宋体"/>
          <w:color w:val="auto"/>
          <w:sz w:val="24"/>
          <w:szCs w:val="24"/>
          <w:highlight w:val="none"/>
          <w:lang w:eastAsia="zh-CN"/>
        </w:rPr>
        <w:t>年</w:t>
      </w:r>
      <w:r>
        <w:rPr>
          <w:rFonts w:hint="eastAsia" w:cs="宋体"/>
          <w:color w:val="auto"/>
          <w:sz w:val="24"/>
          <w:szCs w:val="24"/>
          <w:highlight w:val="none"/>
          <w:lang w:val="en-US" w:eastAsia="zh-CN"/>
        </w:rPr>
        <w:t>6</w:t>
      </w:r>
      <w:r>
        <w:rPr>
          <w:rFonts w:hint="eastAsia" w:cs="宋体"/>
          <w:color w:val="auto"/>
          <w:sz w:val="24"/>
          <w:szCs w:val="24"/>
          <w:highlight w:val="none"/>
          <w:lang w:eastAsia="zh-CN"/>
        </w:rPr>
        <w:t>月</w:t>
      </w:r>
      <w:r>
        <w:rPr>
          <w:rFonts w:hint="eastAsia" w:cs="宋体"/>
          <w:color w:val="auto"/>
          <w:sz w:val="24"/>
          <w:szCs w:val="24"/>
          <w:highlight w:val="none"/>
          <w:lang w:val="en-US" w:eastAsia="zh-CN"/>
        </w:rPr>
        <w:t>15</w:t>
      </w:r>
      <w:r>
        <w:rPr>
          <w:rFonts w:hint="eastAsia" w:cs="宋体"/>
          <w:color w:val="auto"/>
          <w:sz w:val="24"/>
          <w:szCs w:val="24"/>
          <w:highlight w:val="none"/>
          <w:lang w:eastAsia="zh-CN"/>
        </w:rPr>
        <w:t xml:space="preserve">日 </w:t>
      </w:r>
      <w:r>
        <w:rPr>
          <w:rFonts w:hint="eastAsia" w:cs="宋体"/>
          <w:color w:val="auto"/>
          <w:sz w:val="24"/>
          <w:szCs w:val="24"/>
          <w:highlight w:val="none"/>
          <w:lang w:val="en-US" w:eastAsia="zh-CN"/>
        </w:rPr>
        <w:t>10</w:t>
      </w:r>
      <w:r>
        <w:rPr>
          <w:rFonts w:hint="eastAsia" w:cs="宋体"/>
          <w:color w:val="auto"/>
          <w:sz w:val="24"/>
          <w:szCs w:val="24"/>
          <w:highlight w:val="none"/>
          <w:lang w:eastAsia="zh-CN"/>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0</w:t>
      </w:r>
      <w:r>
        <w:rPr>
          <w:rFonts w:hint="eastAsia" w:eastAsia="宋体" w:cs="宋体"/>
          <w:color w:val="000000" w:themeColor="text1"/>
          <w:sz w:val="24"/>
          <w:szCs w:val="24"/>
          <w:highlight w:val="none"/>
          <w:lang w:eastAsia="zh-CN"/>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前递交</w:t>
      </w:r>
      <w:r>
        <w:rPr>
          <w:rFonts w:hint="eastAsia"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p>
    <w:p w14:paraId="2E34DB3D">
      <w:pPr>
        <w:pStyle w:val="10"/>
        <w:keepNext w:val="0"/>
        <w:keepLines w:val="0"/>
        <w:widowControl/>
        <w:suppressLineNumbers w:val="0"/>
        <w:spacing w:before="204" w:beforeAutospacing="0" w:after="0" w:afterLines="0" w:afterAutospacing="0" w:line="36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一、项目基本情况</w:t>
      </w:r>
    </w:p>
    <w:p w14:paraId="40AE955D">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GTZB(ZC)2026-224</w:t>
      </w:r>
    </w:p>
    <w:p w14:paraId="50E6B1C0">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库尔勒市国土空间详细规划（城镇单元）（2025-2035年）项目</w:t>
      </w:r>
    </w:p>
    <w:p w14:paraId="7A956936">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w:t>
      </w:r>
      <w:r>
        <w:rPr>
          <w:rFonts w:hint="eastAsia" w:cs="宋体"/>
          <w:color w:val="000000" w:themeColor="text1"/>
          <w:sz w:val="24"/>
          <w:szCs w:val="24"/>
          <w:highlight w:val="none"/>
          <w:lang w:val="en-US" w:eastAsia="zh-CN"/>
          <w14:textFill>
            <w14:solidFill>
              <w14:schemeClr w14:val="tx1"/>
            </w14:solidFill>
          </w14:textFill>
        </w:rPr>
        <w:t>公开招标</w:t>
      </w:r>
    </w:p>
    <w:p w14:paraId="781149CF">
      <w:pPr>
        <w:pStyle w:val="10"/>
        <w:keepNext w:val="0"/>
        <w:keepLines w:val="0"/>
        <w:widowControl/>
        <w:suppressLineNumbers w:val="0"/>
        <w:spacing w:before="60" w:beforeAutospacing="0" w:after="60" w:afterAutospacing="0" w:line="360" w:lineRule="auto"/>
        <w:ind w:left="0" w:right="0" w:firstLine="42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预算金额（元）：</w:t>
      </w:r>
      <w:r>
        <w:rPr>
          <w:rFonts w:hint="eastAsia" w:cs="宋体"/>
          <w:color w:val="000000" w:themeColor="text1"/>
          <w:sz w:val="24"/>
          <w:szCs w:val="24"/>
          <w:highlight w:val="none"/>
          <w:lang w:val="en-US" w:eastAsia="zh-CN"/>
          <w14:textFill>
            <w14:solidFill>
              <w14:schemeClr w14:val="tx1"/>
            </w14:solidFill>
          </w14:textFill>
        </w:rPr>
        <w:t>7700000.00元</w:t>
      </w:r>
    </w:p>
    <w:p w14:paraId="7D5163D3">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7700000.00元</w:t>
      </w:r>
    </w:p>
    <w:p w14:paraId="096CAA80">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w:t>
      </w:r>
    </w:p>
    <w:p w14:paraId="4B32AF23">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标项一</w:t>
      </w:r>
    </w:p>
    <w:p w14:paraId="1ACC1CA3">
      <w:pPr>
        <w:pStyle w:val="10"/>
        <w:keepNext w:val="0"/>
        <w:keepLines w:val="0"/>
        <w:widowControl/>
        <w:suppressLineNumbers w:val="0"/>
        <w:spacing w:before="60" w:beforeAutospacing="0" w:after="60" w:afterAutospacing="0" w:line="360" w:lineRule="auto"/>
        <w:ind w:left="0" w:right="0" w:firstLine="42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标项名称：</w:t>
      </w:r>
      <w:r>
        <w:rPr>
          <w:rFonts w:hint="eastAsia" w:cs="宋体"/>
          <w:color w:val="000000" w:themeColor="text1"/>
          <w:sz w:val="24"/>
          <w:szCs w:val="24"/>
          <w:highlight w:val="none"/>
          <w:lang w:eastAsia="zh-CN"/>
          <w14:textFill>
            <w14:solidFill>
              <w14:schemeClr w14:val="tx1"/>
            </w14:solidFill>
          </w14:textFill>
        </w:rPr>
        <w:t>库尔勒市国土空间详细规划（城镇单元）（2025-2035年）项目</w:t>
      </w:r>
    </w:p>
    <w:p w14:paraId="3181572C">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数量：1</w:t>
      </w:r>
    </w:p>
    <w:p w14:paraId="7481E99D">
      <w:pPr>
        <w:keepNext w:val="0"/>
        <w:keepLines w:val="0"/>
        <w:pageBreakBefore w:val="0"/>
        <w:widowControl w:val="0"/>
        <w:kinsoku/>
        <w:wordWrap/>
        <w:overflowPunct/>
        <w:topLinePunct w:val="0"/>
        <w:bidi w:val="0"/>
        <w:spacing w:beforeAutospacing="0" w:afterAutospacing="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预算金额（元）：</w:t>
      </w:r>
      <w:r>
        <w:rPr>
          <w:rFonts w:hint="eastAsia" w:ascii="宋体" w:hAnsi="宋体" w:cs="宋体"/>
          <w:color w:val="000000" w:themeColor="text1"/>
          <w:sz w:val="24"/>
          <w:szCs w:val="24"/>
          <w:highlight w:val="none"/>
          <w:lang w:val="en-US" w:eastAsia="zh-CN"/>
          <w14:textFill>
            <w14:solidFill>
              <w14:schemeClr w14:val="tx1"/>
            </w14:solidFill>
          </w14:textFill>
        </w:rPr>
        <w:t>7700000.00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14:paraId="1EEDCBFF">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单位：项</w:t>
      </w:r>
    </w:p>
    <w:p w14:paraId="42E50FB0">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简要规格描述或项目基本概况介绍、用途：</w:t>
      </w:r>
      <w:r>
        <w:rPr>
          <w:rFonts w:hint="eastAsia" w:cs="宋体"/>
          <w:color w:val="000000" w:themeColor="text1"/>
          <w:sz w:val="24"/>
          <w:szCs w:val="24"/>
          <w:highlight w:val="none"/>
          <w:lang w:val="en-US" w:eastAsia="zh-CN"/>
          <w14:textFill>
            <w14:solidFill>
              <w14:schemeClr w14:val="tx1"/>
            </w14:solidFill>
          </w14:textFill>
        </w:rPr>
        <w:t>1.规划范围库尔勒市城镇单元约102平方公里2.成果符合上位规划及新疆维吾尔自治区国土空间详细规划（城镇单元）编制技术规程要求。（详见招标文件）</w:t>
      </w:r>
    </w:p>
    <w:p w14:paraId="3E5CFBB5">
      <w:pPr>
        <w:pStyle w:val="10"/>
        <w:keepNext w:val="0"/>
        <w:keepLines w:val="0"/>
        <w:widowControl/>
        <w:suppressLineNumbers w:val="0"/>
        <w:spacing w:before="60" w:beforeAutospacing="0" w:after="60" w:afterAutospacing="0" w:line="360" w:lineRule="auto"/>
        <w:ind w:left="0" w:right="0" w:firstLine="420"/>
        <w:rPr>
          <w:rFonts w:hint="default"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r>
        <w:rPr>
          <w:rFonts w:hint="eastAsia" w:cs="宋体"/>
          <w:color w:val="000000" w:themeColor="text1"/>
          <w:sz w:val="24"/>
          <w:szCs w:val="24"/>
          <w:highlight w:val="none"/>
          <w:lang w:val="en-US" w:eastAsia="zh-CN"/>
          <w14:textFill>
            <w14:solidFill>
              <w14:schemeClr w14:val="tx1"/>
            </w14:solidFill>
          </w14:textFill>
        </w:rPr>
        <w:t xml:space="preserve"> ：2026年12月前完成。</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（具体以双方签订合同为准）</w:t>
      </w:r>
    </w:p>
    <w:p w14:paraId="6194B2FC">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本项目（否）接受联合体投标。</w:t>
      </w:r>
    </w:p>
    <w:p w14:paraId="59C3DE40">
      <w:pPr>
        <w:pStyle w:val="10"/>
        <w:keepNext w:val="0"/>
        <w:keepLines w:val="0"/>
        <w:widowControl/>
        <w:suppressLineNumbers w:val="0"/>
        <w:spacing w:before="60" w:beforeAutospacing="0" w:after="6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二、申请人的资格要求：</w:t>
      </w:r>
    </w:p>
    <w:p w14:paraId="71B1A955">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r>
        <w:rPr>
          <w:rFonts w:hint="eastAsia" w:eastAsia="宋体" w:cs="宋体"/>
          <w:color w:val="000000" w:themeColor="text1"/>
          <w:sz w:val="24"/>
          <w:szCs w:val="24"/>
          <w:highlight w:val="none"/>
          <w:lang w:eastAsia="zh-CN"/>
          <w14:textFill>
            <w14:solidFill>
              <w14:schemeClr w14:val="tx1"/>
            </w14:solidFill>
          </w14:textFill>
        </w:rPr>
        <w:t>：</w:t>
      </w:r>
    </w:p>
    <w:p w14:paraId="47C4C931">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5BABA5C4">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795DF22A">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）具有依法缴纳税收和社会保障资金的良好记录；</w:t>
      </w:r>
    </w:p>
    <w:p w14:paraId="0D3D08F2">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）具有履行合同所必需的</w:t>
      </w:r>
      <w:r>
        <w:rPr>
          <w:rFonts w:hint="eastAsia" w:eastAsia="宋体" w:cs="宋体"/>
          <w:color w:val="000000" w:themeColor="text1"/>
          <w:sz w:val="24"/>
          <w:szCs w:val="24"/>
          <w:highlight w:val="none"/>
          <w:lang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和专业技术能力；</w:t>
      </w:r>
    </w:p>
    <w:p w14:paraId="561DC173">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）参加政府采购活动前三年内，在经营活动中没有重大违法记录；</w:t>
      </w:r>
    </w:p>
    <w:p w14:paraId="00B78898">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）法律、行政法规规定的其他条件。</w:t>
      </w:r>
    </w:p>
    <w:p w14:paraId="47B1D967">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cs="宋体"/>
          <w:color w:val="000000" w:themeColor="text1"/>
          <w:sz w:val="24"/>
          <w:szCs w:val="24"/>
          <w:highlight w:val="none"/>
          <w:lang w:eastAsia="zh-CN"/>
          <w14:textFill>
            <w14:solidFill>
              <w14:schemeClr w14:val="tx1"/>
            </w14:solidFill>
          </w14:textFill>
        </w:rPr>
        <w:t>本项目专门面向小</w:t>
      </w:r>
      <w:r>
        <w:rPr>
          <w:rFonts w:hint="eastAsia" w:cs="宋体"/>
          <w:color w:val="000000" w:themeColor="text1"/>
          <w:sz w:val="24"/>
          <w:szCs w:val="24"/>
          <w:highlight w:val="none"/>
          <w:lang w:val="en-US" w:eastAsia="zh-CN"/>
          <w14:textFill>
            <w14:solidFill>
              <w14:schemeClr w14:val="tx1"/>
            </w14:solidFill>
          </w14:textFill>
        </w:rPr>
        <w:t>微</w:t>
      </w:r>
      <w:r>
        <w:rPr>
          <w:rFonts w:hint="eastAsia" w:cs="宋体"/>
          <w:color w:val="000000" w:themeColor="text1"/>
          <w:sz w:val="24"/>
          <w:szCs w:val="24"/>
          <w:highlight w:val="none"/>
          <w:lang w:eastAsia="zh-CN"/>
          <w14:textFill>
            <w14:solidFill>
              <w14:schemeClr w14:val="tx1"/>
            </w14:solidFill>
          </w14:textFill>
        </w:rPr>
        <w:t>企业（</w:t>
      </w:r>
      <w:r>
        <w:rPr>
          <w:rFonts w:hint="eastAsia" w:cs="宋体"/>
          <w:color w:val="000000" w:themeColor="text1"/>
          <w:sz w:val="24"/>
          <w:szCs w:val="24"/>
          <w:highlight w:val="none"/>
          <w:lang w:val="en-US" w:eastAsia="zh-CN"/>
          <w14:textFill>
            <w14:solidFill>
              <w14:schemeClr w14:val="tx1"/>
            </w14:solidFill>
          </w14:textFill>
        </w:rPr>
        <w:t>含小型、微型</w:t>
      </w:r>
      <w:r>
        <w:rPr>
          <w:rFonts w:hint="eastAsia" w:cs="宋体"/>
          <w:color w:val="000000" w:themeColor="text1"/>
          <w:sz w:val="24"/>
          <w:szCs w:val="24"/>
          <w:highlight w:val="none"/>
          <w:lang w:eastAsia="zh-CN"/>
          <w14:textFill>
            <w14:solidFill>
              <w14:schemeClr w14:val="tx1"/>
            </w14:solidFill>
          </w14:textFill>
        </w:rPr>
        <w:t>）。</w:t>
      </w:r>
    </w:p>
    <w:p w14:paraId="71C47E19">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（1）财政部、工业和信息化部《关于印发〈政府采购促进中小企业发展管理办法〉的通知》（财库[2020]46号文）；</w:t>
      </w:r>
    </w:p>
    <w:p w14:paraId="069F2C07">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（2）财政部、司法部《关于政府采购支持监狱企业发展有关问题的通知》（财库[2014]68号文）；</w:t>
      </w:r>
    </w:p>
    <w:p w14:paraId="0A570C53">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（3）财政部、民政部、中国残疾人联合会《关于促进残疾人就业政府采购政策的通知》（财库[2017]141号）；</w:t>
      </w:r>
    </w:p>
    <w:p w14:paraId="38451B99">
      <w:pPr>
        <w:pStyle w:val="10"/>
        <w:keepNext w:val="0"/>
        <w:keepLines w:val="0"/>
        <w:widowControl/>
        <w:suppressLineNumbers w:val="0"/>
        <w:spacing w:before="60" w:beforeAutospacing="0" w:after="60" w:afterAutospacing="0" w:line="360" w:lineRule="auto"/>
        <w:ind w:left="0" w:right="0" w:firstLine="420"/>
        <w:rPr>
          <w:rFonts w:hint="default"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3.在中华人民共和国境内依法注册的、具有独立承担民事责任的能力，提供有效的营业执照；</w:t>
      </w:r>
    </w:p>
    <w:p w14:paraId="053E42E2">
      <w:pPr>
        <w:pStyle w:val="47"/>
        <w:keepNext w:val="0"/>
        <w:keepLines w:val="0"/>
        <w:pageBreakBefore w:val="0"/>
        <w:kinsoku/>
        <w:wordWrap/>
        <w:overflowPunct/>
        <w:topLinePunct w:val="0"/>
        <w:autoSpaceDE/>
        <w:autoSpaceDN/>
        <w:bidi w:val="0"/>
        <w:adjustRightInd/>
        <w:snapToGrid/>
        <w:spacing w:before="74" w:line="240" w:lineRule="auto"/>
        <w:ind w:left="42" w:leftChars="20" w:right="42" w:rightChars="20" w:firstLine="420" w:firstLineChars="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法定代表人身份证原件或法定代表人授权委托书和委托代理人身份证原件（授权委托书应附上法人和代理人身份证复印件）；</w:t>
      </w:r>
    </w:p>
    <w:p w14:paraId="5EC5A464">
      <w:pPr>
        <w:pStyle w:val="10"/>
        <w:spacing w:after="0" w:afterLines="0" w:afterAutospacing="0" w:line="360" w:lineRule="auto"/>
        <w:ind w:firstLine="420" w:firstLineChars="0"/>
        <w:contextualSpacing/>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5.符合国家有关法律法规的规定；</w:t>
      </w:r>
    </w:p>
    <w:p w14:paraId="2AA7DE9C">
      <w:pPr>
        <w:pStyle w:val="10"/>
        <w:spacing w:after="0" w:afterLines="0" w:afterAutospacing="0" w:line="360" w:lineRule="auto"/>
        <w:ind w:firstLine="420" w:firstLineChars="0"/>
        <w:contextualSpacing/>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6.本项目不接受联合体投标；</w:t>
      </w:r>
    </w:p>
    <w:p w14:paraId="2045548A">
      <w:pPr>
        <w:pStyle w:val="1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default" w:eastAsia="宋体"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.本项目的特定资格要求：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投标人须具备城乡规划（国土空间规划）编制资质乙级及以上</w:t>
      </w:r>
      <w:r>
        <w:rPr>
          <w:rFonts w:hint="eastAsia" w:cs="宋体"/>
          <w:b/>
          <w:bCs/>
          <w:color w:val="000000" w:themeColor="text1"/>
          <w:sz w:val="24"/>
          <w:szCs w:val="24"/>
          <w:highlight w:val="none"/>
          <w:lang w:eastAsia="zh-CN"/>
          <w14:textFill>
            <w14:solidFill>
              <w14:schemeClr w14:val="tx1"/>
            </w14:solidFill>
          </w14:textFill>
        </w:rPr>
        <w:t>。</w:t>
      </w:r>
    </w:p>
    <w:p w14:paraId="13DE5B06">
      <w:pPr>
        <w:pStyle w:val="10"/>
        <w:keepNext w:val="0"/>
        <w:keepLines w:val="0"/>
        <w:pageBreakBefore w:val="0"/>
        <w:widowControl/>
        <w:suppressLineNumbers w:val="0"/>
        <w:kinsoku/>
        <w:wordWrap/>
        <w:overflowPunct/>
        <w:topLinePunct w:val="0"/>
        <w:autoSpaceDE/>
        <w:autoSpaceDN/>
        <w:bidi w:val="0"/>
        <w:adjustRightInd/>
        <w:snapToGrid/>
        <w:spacing w:before="204" w:beforeAutospacing="0" w:after="104" w:afterLines="0" w:afterAutospacing="0" w:line="240" w:lineRule="auto"/>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三、获取招标文件</w:t>
      </w:r>
    </w:p>
    <w:p w14:paraId="142D0B12">
      <w:pPr>
        <w:pStyle w:val="10"/>
        <w:keepNext w:val="0"/>
        <w:keepLines w:val="0"/>
        <w:widowControl/>
        <w:suppressLineNumbers w:val="0"/>
        <w:spacing w:before="60" w:beforeAutospacing="0" w:after="0" w:afterLines="0" w:afterAutospacing="0" w:line="360" w:lineRule="auto"/>
        <w:ind w:right="0" w:firstLine="42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时间：202</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日；每天上午</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0</w:t>
      </w:r>
      <w:r>
        <w:rPr>
          <w:rFonts w:hint="eastAsia" w:ascii="宋体" w:hAnsi="宋体" w:eastAsia="宋体" w:cs="宋体"/>
          <w:color w:val="000000" w:themeColor="text1"/>
          <w:sz w:val="24"/>
          <w:szCs w:val="24"/>
          <w:highlight w:val="none"/>
          <w14:textFill>
            <w14:solidFill>
              <w14:schemeClr w14:val="tx1"/>
            </w14:solidFill>
          </w14:textFill>
        </w:rPr>
        <w:t>0分至1</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分，下</w:t>
      </w:r>
      <w:r>
        <w:rPr>
          <w:rFonts w:hint="eastAsia" w:ascii="宋体" w:hAnsi="宋体" w:eastAsia="宋体" w:cs="宋体"/>
          <w:color w:val="000000" w:themeColor="text1"/>
          <w:sz w:val="24"/>
          <w:szCs w:val="24"/>
          <w:highlight w:val="none"/>
          <w:lang w:val="en-US" w:eastAsia="zh-CN"/>
          <w14:textFill>
            <w14:solidFill>
              <w14:schemeClr w14:val="tx1"/>
            </w14:solidFill>
          </w14:textFill>
        </w:rPr>
        <w:t>午</w:t>
      </w:r>
      <w:r>
        <w:rPr>
          <w:rFonts w:hint="eastAsia"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cs="宋体"/>
          <w:color w:val="000000" w:themeColor="text1"/>
          <w:sz w:val="24"/>
          <w:szCs w:val="24"/>
          <w:highlight w:val="none"/>
          <w:lang w:val="en-US" w:eastAsia="zh-CN"/>
          <w14:textFill>
            <w14:solidFill>
              <w14:schemeClr w14:val="tx1"/>
            </w14:solidFill>
          </w14:textFill>
        </w:rPr>
        <w:t>0</w:t>
      </w:r>
      <w:bookmarkStart w:id="682" w:name="_GoBack"/>
      <w:bookmarkEnd w:id="682"/>
      <w:r>
        <w:rPr>
          <w:rFonts w:hint="eastAsia" w:ascii="宋体" w:hAnsi="宋体" w:eastAsia="宋体" w:cs="宋体"/>
          <w:color w:val="000000" w:themeColor="text1"/>
          <w:sz w:val="24"/>
          <w:szCs w:val="24"/>
          <w:highlight w:val="none"/>
          <w14:textFill>
            <w14:solidFill>
              <w14:schemeClr w14:val="tx1"/>
            </w14:solidFill>
          </w14:textFill>
        </w:rPr>
        <w:t>0分至</w:t>
      </w:r>
      <w:r>
        <w:rPr>
          <w:rFonts w:hint="eastAsia"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分（北京时间，法定节假日除外）</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31183ED">
      <w:pPr>
        <w:pStyle w:val="10"/>
        <w:keepNext w:val="0"/>
        <w:keepLines w:val="0"/>
        <w:widowControl/>
        <w:suppressLineNumbers w:val="0"/>
        <w:spacing w:before="60" w:beforeAutospacing="0" w:after="0" w:afterLines="0" w:afterAutospacing="0" w:line="360" w:lineRule="auto"/>
        <w:ind w:right="0" w:firstLine="42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地点：登陆政采云平台http://www.</w:t>
      </w:r>
      <w:r>
        <w:rPr>
          <w:rFonts w:hint="eastAsia" w:ascii="宋体" w:hAnsi="宋体" w:eastAsia="宋体" w:cs="宋体"/>
          <w:color w:val="000000" w:themeColor="text1"/>
          <w:sz w:val="24"/>
          <w:szCs w:val="24"/>
          <w:highlight w:val="none"/>
          <w:lang w:eastAsia="zh-CN"/>
          <w14:textFill>
            <w14:solidFill>
              <w14:schemeClr w14:val="tx1"/>
            </w14:solidFill>
          </w14:textFill>
        </w:rPr>
        <w:t>ZC</w:t>
      </w:r>
      <w:r>
        <w:rPr>
          <w:rFonts w:hint="eastAsia" w:ascii="宋体" w:hAnsi="宋体" w:eastAsia="宋体" w:cs="宋体"/>
          <w:color w:val="000000" w:themeColor="text1"/>
          <w:sz w:val="24"/>
          <w:szCs w:val="24"/>
          <w:highlight w:val="none"/>
          <w14:textFill>
            <w14:solidFill>
              <w14:schemeClr w14:val="tx1"/>
            </w14:solidFill>
          </w14:textFill>
        </w:rPr>
        <w:t>ygov.cn/在线申请获取。</w:t>
      </w:r>
    </w:p>
    <w:p w14:paraId="2E97A9BC">
      <w:pPr>
        <w:pStyle w:val="10"/>
        <w:keepNext w:val="0"/>
        <w:keepLines w:val="0"/>
        <w:widowControl/>
        <w:suppressLineNumbers w:val="0"/>
        <w:spacing w:before="60" w:beforeAutospacing="0" w:after="0" w:afterLines="0" w:afterAutospacing="0" w:line="360" w:lineRule="auto"/>
        <w:ind w:right="0" w:firstLine="42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方式：（1）线上获取（登录政府采购云平台→项目采购→获取</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→申请，审核通过后可下载</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w:t>
      </w:r>
    </w:p>
    <w:p w14:paraId="3FB50450">
      <w:pPr>
        <w:pStyle w:val="10"/>
        <w:keepNext w:val="0"/>
        <w:keepLines w:val="0"/>
        <w:widowControl/>
        <w:suppressLineNumbers w:val="0"/>
        <w:spacing w:before="60" w:beforeAutospacing="0" w:after="0" w:afterLines="0" w:afterAutospacing="0" w:line="360" w:lineRule="auto"/>
        <w:ind w:left="0" w:right="0"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w:t>
      </w:r>
      <w:r>
        <w:rPr>
          <w:rFonts w:hint="eastAsia" w:cs="宋体"/>
          <w:color w:val="000000" w:themeColor="text1"/>
          <w:sz w:val="24"/>
          <w:szCs w:val="24"/>
          <w:highlight w:val="none"/>
          <w:lang w:val="en-US" w:eastAsia="zh-CN"/>
          <w14:textFill>
            <w14:solidFill>
              <w14:schemeClr w14:val="tx1"/>
            </w14:solidFill>
          </w14:textFill>
        </w:rPr>
        <w:t>元</w:t>
      </w:r>
    </w:p>
    <w:p w14:paraId="62A49FF2">
      <w:pPr>
        <w:pStyle w:val="10"/>
        <w:keepNext w:val="0"/>
        <w:keepLines w:val="0"/>
        <w:widowControl/>
        <w:suppressLineNumbers w:val="0"/>
        <w:spacing w:before="74" w:beforeLines="0" w:beforeAutospacing="0" w:after="74" w:afterLines="0" w:afterAutospacing="0" w:line="36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四、提交</w:t>
      </w:r>
      <w:r>
        <w:rPr>
          <w:rStyle w:val="35"/>
          <w:rFonts w:hint="eastAsia" w:cs="宋体"/>
          <w:color w:val="000000" w:themeColor="text1"/>
          <w:sz w:val="24"/>
          <w:szCs w:val="24"/>
          <w:highlight w:val="none"/>
          <w:lang w:eastAsia="zh-CN"/>
          <w14:textFill>
            <w14:solidFill>
              <w14:schemeClr w14:val="tx1"/>
            </w14:solidFill>
          </w14:textFill>
        </w:rPr>
        <w:t>响应文件</w:t>
      </w:r>
      <w:r>
        <w:rPr>
          <w:rStyle w:val="35"/>
          <w:rFonts w:hint="eastAsia" w:ascii="宋体" w:hAnsi="宋体" w:eastAsia="宋体" w:cs="宋体"/>
          <w:color w:val="000000" w:themeColor="text1"/>
          <w:sz w:val="24"/>
          <w:szCs w:val="24"/>
          <w:highlight w:val="none"/>
          <w14:textFill>
            <w14:solidFill>
              <w14:schemeClr w14:val="tx1"/>
            </w14:solidFill>
          </w14:textFill>
        </w:rPr>
        <w:t>截止时间、开标时间和地点</w:t>
      </w:r>
    </w:p>
    <w:p w14:paraId="1709797A">
      <w:pPr>
        <w:pStyle w:val="10"/>
        <w:keepNext w:val="0"/>
        <w:keepLines w:val="0"/>
        <w:widowControl/>
        <w:suppressLineNumbers w:val="0"/>
        <w:spacing w:before="0" w:beforeLines="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w:t>
      </w:r>
      <w:r>
        <w:rPr>
          <w:rFonts w:hint="eastAsia"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15</w:t>
      </w:r>
      <w:r>
        <w:rPr>
          <w:rFonts w:hint="eastAsia"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10</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lang w:eastAsia="zh-CN"/>
          <w14:textFill>
            <w14:solidFill>
              <w14:schemeClr w14:val="tx1"/>
            </w14:solidFill>
          </w14:textFill>
        </w:rPr>
        <w:t>0</w:t>
      </w:r>
      <w:r>
        <w:rPr>
          <w:rFonts w:hint="eastAsia" w:eastAsia="宋体" w:cs="宋体"/>
          <w:color w:val="000000" w:themeColor="text1"/>
          <w:sz w:val="24"/>
          <w:szCs w:val="24"/>
          <w:highlight w:val="none"/>
          <w:lang w:eastAsia="zh-CN"/>
          <w14:textFill>
            <w14:solidFill>
              <w14:schemeClr w14:val="tx1"/>
            </w14:solidFill>
          </w14:textFill>
        </w:rPr>
        <w:t>（北京时间）</w:t>
      </w:r>
    </w:p>
    <w:p w14:paraId="79733588">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投标地点：政采云平台（https://www.zcygov.cn）</w:t>
      </w:r>
    </w:p>
    <w:p w14:paraId="4722B3FC">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15</w:t>
      </w:r>
      <w:r>
        <w:rPr>
          <w:rFonts w:hint="eastAsia" w:cs="宋体"/>
          <w:color w:val="000000" w:themeColor="text1"/>
          <w:sz w:val="24"/>
          <w:szCs w:val="24"/>
          <w:highlight w:val="none"/>
          <w:lang w:eastAsia="zh-CN"/>
          <w14:textFill>
            <w14:solidFill>
              <w14:schemeClr w14:val="tx1"/>
            </w14:solidFill>
          </w14:textFill>
        </w:rPr>
        <w:t>日</w:t>
      </w:r>
      <w:r>
        <w:rPr>
          <w:rFonts w:hint="eastAsia" w:cs="宋体"/>
          <w:color w:val="000000" w:themeColor="text1"/>
          <w:sz w:val="24"/>
          <w:szCs w:val="24"/>
          <w:highlight w:val="none"/>
          <w:lang w:val="en-US" w:eastAsia="zh-CN"/>
          <w14:textFill>
            <w14:solidFill>
              <w14:schemeClr w14:val="tx1"/>
            </w14:solidFill>
          </w14:textFill>
        </w:rPr>
        <w:t>10</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lang w:eastAsia="zh-CN"/>
          <w14:textFill>
            <w14:solidFill>
              <w14:schemeClr w14:val="tx1"/>
            </w14:solidFill>
          </w14:textFill>
        </w:rPr>
        <w:t>0</w:t>
      </w:r>
      <w:r>
        <w:rPr>
          <w:rFonts w:hint="eastAsia" w:eastAsia="宋体" w:cs="宋体"/>
          <w:color w:val="000000" w:themeColor="text1"/>
          <w:sz w:val="24"/>
          <w:szCs w:val="24"/>
          <w:highlight w:val="none"/>
          <w:lang w:eastAsia="zh-CN"/>
          <w14:textFill>
            <w14:solidFill>
              <w14:schemeClr w14:val="tx1"/>
            </w14:solidFill>
          </w14:textFill>
        </w:rPr>
        <w:t>（北京时间）</w:t>
      </w:r>
    </w:p>
    <w:p w14:paraId="2EDFDDA8">
      <w:pPr>
        <w:pStyle w:val="10"/>
        <w:keepNext w:val="0"/>
        <w:keepLines w:val="0"/>
        <w:pageBreakBefore w:val="0"/>
        <w:widowControl/>
        <w:suppressLineNumbers w:val="0"/>
        <w:kinsoku/>
        <w:wordWrap/>
        <w:overflowPunct/>
        <w:topLinePunct w:val="0"/>
        <w:autoSpaceDE/>
        <w:autoSpaceDN/>
        <w:bidi w:val="0"/>
        <w:adjustRightInd/>
        <w:snapToGrid/>
        <w:spacing w:before="60" w:beforeAutospacing="0" w:after="0" w:afterLines="0" w:afterAutospacing="0" w:line="240" w:lineRule="auto"/>
        <w:ind w:left="0" w:right="0"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开标地点：政采云平台（https://www.zcygov.cn）</w:t>
      </w:r>
    </w:p>
    <w:p w14:paraId="703BC8E2">
      <w:pPr>
        <w:pStyle w:val="10"/>
        <w:keepNext w:val="0"/>
        <w:keepLines w:val="0"/>
        <w:pageBreakBefore w:val="0"/>
        <w:widowControl/>
        <w:suppressLineNumbers w:val="0"/>
        <w:kinsoku/>
        <w:wordWrap/>
        <w:overflowPunct/>
        <w:topLinePunct w:val="0"/>
        <w:autoSpaceDE/>
        <w:autoSpaceDN/>
        <w:bidi w:val="0"/>
        <w:adjustRightInd/>
        <w:snapToGrid/>
        <w:spacing w:before="64" w:beforeLines="0" w:beforeAutospacing="0" w:after="64" w:afterLines="0" w:afterAutospacing="0" w:line="240" w:lineRule="auto"/>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五、公告期限</w:t>
      </w:r>
    </w:p>
    <w:p w14:paraId="25113C2C">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个工作日。</w:t>
      </w:r>
    </w:p>
    <w:p w14:paraId="6D361B7B">
      <w:pPr>
        <w:pStyle w:val="10"/>
        <w:keepNext w:val="0"/>
        <w:keepLines w:val="0"/>
        <w:pageBreakBefore w:val="0"/>
        <w:widowControl/>
        <w:suppressLineNumbers w:val="0"/>
        <w:kinsoku/>
        <w:wordWrap/>
        <w:overflowPunct/>
        <w:topLinePunct w:val="0"/>
        <w:autoSpaceDE/>
        <w:autoSpaceDN/>
        <w:bidi w:val="0"/>
        <w:adjustRightInd/>
        <w:snapToGrid/>
        <w:spacing w:before="74" w:beforeLines="0" w:beforeAutospacing="0" w:after="74" w:afterLines="0" w:afterAutospacing="0" w:line="240" w:lineRule="auto"/>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六、其他补充事宜</w:t>
      </w:r>
    </w:p>
    <w:p w14:paraId="178950EC">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14:paraId="7B236C9E">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2.本项目实行网上投标，采用电子</w:t>
      </w:r>
      <w:r>
        <w:rPr>
          <w:rStyle w:val="35"/>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文件(供应商须使用CA加密设备通过政采云电子投标客户端制作</w:t>
      </w:r>
      <w:r>
        <w:rPr>
          <w:rStyle w:val="35"/>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 xml:space="preserve">文件)。若供应商参与投标，自行承担投标一切费用。 </w:t>
      </w:r>
    </w:p>
    <w:p w14:paraId="6714F70F">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14:paraId="426B2BD7">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4.供应商将政采云电子交易客户端下载、安装完成后，可通过账号密码或CA登录客户端进行</w:t>
      </w:r>
      <w:r>
        <w:rPr>
          <w:rStyle w:val="35"/>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文件制作。在使用政采云投标客户端时，建议使用WIN7及以上操作系统。客户端请至新疆政府采购网（http://www.ccgp-xinjiang.gov.cn/）下载专区查看，如有问题可拨打政采云客户服务热线</w:t>
      </w:r>
      <w:r>
        <w:rPr>
          <w:rStyle w:val="35"/>
          <w:rFonts w:hint="eastAsia" w:ascii="宋体" w:hAnsi="宋体" w:eastAsia="宋体" w:cs="宋体"/>
          <w:b w:val="0"/>
          <w:bCs w:val="0"/>
          <w:color w:val="000000" w:themeColor="text1"/>
          <w:sz w:val="24"/>
          <w:szCs w:val="24"/>
          <w:highlight w:val="none"/>
          <w:lang w:eastAsia="zh-CN"/>
          <w14:textFill>
            <w14:solidFill>
              <w14:schemeClr w14:val="tx1"/>
            </w14:solidFill>
          </w14:textFill>
        </w:rPr>
        <w:t>95763</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 xml:space="preserve">进行咨询。 </w:t>
      </w:r>
    </w:p>
    <w:p w14:paraId="5DA3133B">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5.供应商在开标时须使用制作加密电子</w:t>
      </w:r>
      <w:r>
        <w:rPr>
          <w:rStyle w:val="35"/>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 xml:space="preserve">文件所使用的CA锁及电脑，电脑须提前配置好浏览器，以便开标时解锁。  </w:t>
      </w:r>
    </w:p>
    <w:p w14:paraId="4A9D366A">
      <w:pPr>
        <w:pStyle w:val="10"/>
        <w:keepNext w:val="0"/>
        <w:keepLines w:val="0"/>
        <w:widowControl/>
        <w:suppressLineNumbers w:val="0"/>
        <w:spacing w:before="64" w:beforeLines="0" w:beforeAutospacing="0" w:after="64" w:afterLines="0" w:afterAutospacing="0" w:line="360" w:lineRule="auto"/>
        <w:ind w:left="0" w:right="0" w:firstLine="420" w:firstLineChars="0"/>
        <w:jc w:val="both"/>
        <w:rPr>
          <w:rStyle w:val="35"/>
          <w:rFonts w:hint="eastAsia" w:ascii="宋体" w:hAnsi="宋体" w:eastAsia="宋体" w:cs="宋体"/>
          <w:b w:val="0"/>
          <w:bCs w:val="0"/>
          <w:color w:val="000000" w:themeColor="text1"/>
          <w:sz w:val="24"/>
          <w:szCs w:val="24"/>
          <w:highlight w:val="none"/>
          <w14:textFill>
            <w14:solidFill>
              <w14:schemeClr w14:val="tx1"/>
            </w14:solidFill>
          </w14:textFill>
        </w:rPr>
      </w:pPr>
      <w:r>
        <w:rPr>
          <w:rStyle w:val="35"/>
          <w:rFonts w:hint="eastAsia" w:ascii="宋体" w:hAnsi="宋体" w:eastAsia="宋体" w:cs="宋体"/>
          <w:b w:val="0"/>
          <w:bCs w:val="0"/>
          <w:color w:val="000000" w:themeColor="text1"/>
          <w:sz w:val="24"/>
          <w:szCs w:val="24"/>
          <w:highlight w:val="none"/>
          <w14:textFill>
            <w14:solidFill>
              <w14:schemeClr w14:val="tx1"/>
            </w14:solidFill>
          </w14:textFill>
        </w:rPr>
        <w:t>6.供应商对不见面开评标系统的技术操作咨询，可通过https://edu.</w:t>
      </w:r>
      <w:r>
        <w:rPr>
          <w:rStyle w:val="35"/>
          <w:rFonts w:hint="eastAsia" w:ascii="宋体" w:hAnsi="宋体" w:eastAsia="宋体" w:cs="宋体"/>
          <w:b w:val="0"/>
          <w:bCs w:val="0"/>
          <w:color w:val="000000" w:themeColor="text1"/>
          <w:sz w:val="24"/>
          <w:szCs w:val="24"/>
          <w:highlight w:val="none"/>
          <w:lang w:eastAsia="zh-CN"/>
          <w14:textFill>
            <w14:solidFill>
              <w14:schemeClr w14:val="tx1"/>
            </w14:solidFill>
          </w14:textFill>
        </w:rPr>
        <w:t>ZC</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ygov.cn/luban/xinjiang-e-biding自助查询，也可在政采云帮助中心常见问题解答和操作流程讲解视频中自助查询，网址为：https://service.</w:t>
      </w:r>
      <w:r>
        <w:rPr>
          <w:rStyle w:val="35"/>
          <w:rFonts w:hint="eastAsia" w:ascii="宋体" w:hAnsi="宋体" w:eastAsia="宋体" w:cs="宋体"/>
          <w:b w:val="0"/>
          <w:bCs w:val="0"/>
          <w:color w:val="000000" w:themeColor="text1"/>
          <w:sz w:val="24"/>
          <w:szCs w:val="24"/>
          <w:highlight w:val="none"/>
          <w:lang w:eastAsia="zh-CN"/>
          <w14:textFill>
            <w14:solidFill>
              <w14:schemeClr w14:val="tx1"/>
            </w14:solidFill>
          </w14:textFill>
        </w:rPr>
        <w:t>ZC</w:t>
      </w:r>
      <w:r>
        <w:rPr>
          <w:rStyle w:val="35"/>
          <w:rFonts w:hint="eastAsia" w:ascii="宋体" w:hAnsi="宋体" w:eastAsia="宋体" w:cs="宋体"/>
          <w:b w:val="0"/>
          <w:bCs w:val="0"/>
          <w:color w:val="000000" w:themeColor="text1"/>
          <w:sz w:val="24"/>
          <w:szCs w:val="24"/>
          <w:highlight w:val="none"/>
          <w14:textFill>
            <w14:solidFill>
              <w14:schemeClr w14:val="tx1"/>
            </w14:solidFill>
          </w14:textFill>
        </w:rPr>
        <w:t>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A2E3A69">
      <w:pPr>
        <w:pStyle w:val="10"/>
        <w:keepNext w:val="0"/>
        <w:keepLines w:val="0"/>
        <w:widowControl/>
        <w:suppressLineNumbers w:val="0"/>
        <w:spacing w:before="64" w:beforeLines="0" w:beforeAutospacing="0" w:after="64" w:afterLines="0" w:afterAutospacing="0" w:line="36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Style w:val="35"/>
          <w:rFonts w:hint="eastAsia" w:ascii="宋体" w:hAnsi="宋体" w:eastAsia="宋体" w:cs="宋体"/>
          <w:color w:val="000000" w:themeColor="text1"/>
          <w:sz w:val="24"/>
          <w:szCs w:val="24"/>
          <w:highlight w:val="none"/>
          <w14:textFill>
            <w14:solidFill>
              <w14:schemeClr w14:val="tx1"/>
            </w14:solidFill>
          </w14:textFill>
        </w:rPr>
        <w:t>七、对本次采购提出询问，请按以下方式联系</w:t>
      </w:r>
    </w:p>
    <w:p w14:paraId="2E876ECB">
      <w:pPr>
        <w:pStyle w:val="10"/>
        <w:keepNext w:val="0"/>
        <w:keepLines w:val="0"/>
        <w:widowControl/>
        <w:suppressLineNumbers w:val="0"/>
        <w:spacing w:before="0" w:beforeLines="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信息</w:t>
      </w:r>
    </w:p>
    <w:p w14:paraId="6756E39B">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Style w:val="37"/>
          <w:rFonts w:hint="eastAsia" w:cs="宋体"/>
          <w:color w:val="000000" w:themeColor="text1"/>
          <w:sz w:val="24"/>
          <w:szCs w:val="24"/>
          <w:highlight w:val="none"/>
          <w:lang w:eastAsia="zh-CN"/>
          <w14:textFill>
            <w14:solidFill>
              <w14:schemeClr w14:val="tx1"/>
            </w14:solidFill>
          </w14:textFill>
        </w:rPr>
        <w:t>库尔勒市自然资源局</w:t>
      </w:r>
    </w:p>
    <w:p w14:paraId="594E908F">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lang w:eastAsia="zh-CN"/>
          <w14:textFill>
            <w14:solidFill>
              <w14:schemeClr w14:val="tx1"/>
            </w14:solidFill>
          </w14:textFill>
        </w:rPr>
        <w:t>库尔勒市</w:t>
      </w:r>
    </w:p>
    <w:p w14:paraId="0FD3FA67">
      <w:pPr>
        <w:pStyle w:val="10"/>
        <w:keepNext w:val="0"/>
        <w:keepLines w:val="0"/>
        <w:widowControl/>
        <w:suppressLineNumbers w:val="0"/>
        <w:spacing w:before="60" w:beforeAutospacing="0" w:after="60" w:afterAutospacing="0" w:line="360" w:lineRule="auto"/>
        <w:ind w:left="0" w:right="0" w:firstLine="420"/>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联系人：龙飞</w:t>
      </w:r>
    </w:p>
    <w:p w14:paraId="352F7D6C">
      <w:pPr>
        <w:pStyle w:val="10"/>
        <w:keepNext w:val="0"/>
        <w:keepLines w:val="0"/>
        <w:widowControl/>
        <w:suppressLineNumbers w:val="0"/>
        <w:spacing w:before="60" w:beforeAutospacing="0" w:after="60" w:afterAutospacing="0" w:line="360" w:lineRule="auto"/>
        <w:ind w:left="0" w:right="0" w:firstLine="42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cs="宋体"/>
          <w:color w:val="000000" w:themeColor="text1"/>
          <w:sz w:val="24"/>
          <w:szCs w:val="24"/>
          <w:highlight w:val="none"/>
          <w:lang w:val="en-US" w:eastAsia="zh-CN"/>
          <w14:textFill>
            <w14:solidFill>
              <w14:schemeClr w14:val="tx1"/>
            </w14:solidFill>
          </w14:textFill>
        </w:rPr>
        <w:t>13999620517</w:t>
      </w:r>
    </w:p>
    <w:p w14:paraId="41AAD1AE">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A6DE627">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cs="宋体"/>
          <w:color w:val="000000" w:themeColor="text1"/>
          <w:sz w:val="24"/>
          <w:szCs w:val="24"/>
          <w:highlight w:val="none"/>
          <w:lang w:eastAsia="zh-CN"/>
          <w14:textFill>
            <w14:solidFill>
              <w14:schemeClr w14:val="tx1"/>
            </w14:solidFill>
          </w14:textFill>
        </w:rPr>
        <w:t>新疆国腾工程项目管理咨询有限公司</w:t>
      </w:r>
    </w:p>
    <w:p w14:paraId="7BC62EE4">
      <w:pPr>
        <w:pStyle w:val="10"/>
        <w:keepNext w:val="0"/>
        <w:keepLines w:val="0"/>
        <w:widowControl/>
        <w:suppressLineNumbers w:val="0"/>
        <w:spacing w:before="60" w:beforeAutospacing="0" w:after="60" w:afterAutospacing="0" w:line="360" w:lineRule="auto"/>
        <w:ind w:left="0" w:right="0" w:firstLine="420"/>
        <w:rPr>
          <w:rFonts w:hint="eastAsia"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lang w:eastAsia="zh-CN"/>
          <w14:textFill>
            <w14:solidFill>
              <w14:schemeClr w14:val="tx1"/>
            </w14:solidFill>
          </w14:textFill>
        </w:rPr>
        <w:t>库尔勒市永安大道观棠云邸18号楼一层</w:t>
      </w:r>
    </w:p>
    <w:p w14:paraId="35D2A1B5">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Style w:val="37"/>
          <w:rFonts w:hint="eastAsia" w:cs="宋体"/>
          <w:color w:val="000000" w:themeColor="text1"/>
          <w:sz w:val="24"/>
          <w:szCs w:val="24"/>
          <w:highlight w:val="none"/>
          <w:lang w:val="en-US" w:eastAsia="zh-CN"/>
          <w14:textFill>
            <w14:solidFill>
              <w14:schemeClr w14:val="tx1"/>
            </w14:solidFill>
          </w14:textFill>
        </w:rPr>
        <w:t>周纪坤</w:t>
      </w:r>
    </w:p>
    <w:p w14:paraId="00EBD3D6">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cs="宋体"/>
          <w:color w:val="000000" w:themeColor="text1"/>
          <w:sz w:val="24"/>
          <w:szCs w:val="24"/>
          <w:highlight w:val="none"/>
          <w:lang w:val="en-US" w:eastAsia="zh-CN"/>
          <w14:textFill>
            <w14:solidFill>
              <w14:schemeClr w14:val="tx1"/>
            </w14:solidFill>
          </w14:textFill>
        </w:rPr>
        <w:t>17397568003</w:t>
      </w:r>
    </w:p>
    <w:p w14:paraId="5EF617ED">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p>
    <w:p w14:paraId="0BDCBF3B">
      <w:pPr>
        <w:pStyle w:val="10"/>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p>
    <w:p w14:paraId="7E4E489B">
      <w:pPr>
        <w:rPr>
          <w:rFonts w:hint="eastAsia" w:ascii="宋体" w:hAnsi="宋体" w:eastAsia="宋体"/>
          <w:color w:val="000000" w:themeColor="text1"/>
          <w:sz w:val="48"/>
          <w:szCs w:val="48"/>
          <w:highlight w:val="none"/>
          <w14:textFill>
            <w14:solidFill>
              <w14:schemeClr w14:val="tx1"/>
            </w14:solidFill>
          </w14:textFill>
        </w:rPr>
      </w:pPr>
      <w:bookmarkStart w:id="4" w:name="_Toc297209393"/>
      <w:bookmarkStart w:id="5" w:name="_Toc12430"/>
      <w:r>
        <w:rPr>
          <w:rFonts w:hint="eastAsia" w:ascii="宋体" w:hAnsi="宋体" w:eastAsia="宋体"/>
          <w:color w:val="000000" w:themeColor="text1"/>
          <w:sz w:val="48"/>
          <w:szCs w:val="48"/>
          <w:highlight w:val="none"/>
          <w:lang w:eastAsia="zh-CN"/>
          <w14:textFill>
            <w14:solidFill>
              <w14:schemeClr w14:val="tx1"/>
            </w14:solidFill>
          </w14:textFill>
        </w:rPr>
        <w:br w:type="page"/>
      </w:r>
    </w:p>
    <w:p w14:paraId="55304F1E">
      <w:pPr>
        <w:pStyle w:val="2"/>
        <w:keepNext/>
        <w:keepLines/>
        <w:pageBreakBefore w:val="0"/>
        <w:widowControl w:val="0"/>
        <w:numPr>
          <w:ilvl w:val="0"/>
          <w:numId w:val="2"/>
        </w:numPr>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sz w:val="48"/>
          <w:szCs w:val="48"/>
          <w:highlight w:val="none"/>
          <w14:textFill>
            <w14:solidFill>
              <w14:schemeClr w14:val="tx1"/>
            </w14:solidFill>
          </w14:textFill>
        </w:rPr>
      </w:pPr>
      <w:r>
        <w:rPr>
          <w:rFonts w:hint="eastAsia" w:ascii="宋体" w:hAnsi="宋体" w:eastAsia="宋体"/>
          <w:color w:val="000000" w:themeColor="text1"/>
          <w:sz w:val="48"/>
          <w:szCs w:val="48"/>
          <w:highlight w:val="none"/>
          <w:lang w:eastAsia="zh-CN"/>
          <w14:textFill>
            <w14:solidFill>
              <w14:schemeClr w14:val="tx1"/>
            </w14:solidFill>
          </w14:textFill>
        </w:rPr>
        <w:t>供应商</w:t>
      </w:r>
      <w:r>
        <w:rPr>
          <w:rFonts w:hint="eastAsia" w:ascii="宋体" w:hAnsi="宋体" w:eastAsia="宋体"/>
          <w:color w:val="000000" w:themeColor="text1"/>
          <w:sz w:val="48"/>
          <w:szCs w:val="48"/>
          <w:highlight w:val="none"/>
          <w14:textFill>
            <w14:solidFill>
              <w14:schemeClr w14:val="tx1"/>
            </w14:solidFill>
          </w14:textFill>
        </w:rPr>
        <w:t>须知</w:t>
      </w:r>
      <w:bookmarkEnd w:id="4"/>
      <w:bookmarkEnd w:id="5"/>
      <w:bookmarkStart w:id="6" w:name="_Toc11750"/>
    </w:p>
    <w:p w14:paraId="462F7D82">
      <w:pPr>
        <w:pStyle w:val="2"/>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36"/>
          <w:szCs w:val="22"/>
          <w:highlight w:val="none"/>
          <w14:textFill>
            <w14:solidFill>
              <w14:schemeClr w14:val="tx1"/>
            </w14:solidFill>
          </w14:textFill>
        </w:rPr>
      </w:pPr>
      <w:r>
        <w:rPr>
          <w:rFonts w:hint="eastAsia"/>
          <w:color w:val="000000" w:themeColor="text1"/>
          <w:sz w:val="36"/>
          <w:szCs w:val="22"/>
          <w:highlight w:val="none"/>
          <w:lang w:val="en-US" w:eastAsia="zh-CN"/>
          <w14:textFill>
            <w14:solidFill>
              <w14:schemeClr w14:val="tx1"/>
            </w14:solidFill>
          </w14:textFill>
        </w:rPr>
        <w:t>一、</w:t>
      </w:r>
      <w:r>
        <w:rPr>
          <w:rFonts w:hint="eastAsia"/>
          <w:color w:val="000000" w:themeColor="text1"/>
          <w:sz w:val="36"/>
          <w:szCs w:val="22"/>
          <w:highlight w:val="none"/>
          <w:lang w:eastAsia="zh-CN"/>
          <w14:textFill>
            <w14:solidFill>
              <w14:schemeClr w14:val="tx1"/>
            </w14:solidFill>
          </w14:textFill>
        </w:rPr>
        <w:t>供应商</w:t>
      </w:r>
      <w:r>
        <w:rPr>
          <w:rFonts w:hint="eastAsia"/>
          <w:color w:val="000000" w:themeColor="text1"/>
          <w:sz w:val="36"/>
          <w:szCs w:val="22"/>
          <w:highlight w:val="none"/>
          <w14:textFill>
            <w14:solidFill>
              <w14:schemeClr w14:val="tx1"/>
            </w14:solidFill>
          </w14:textFill>
        </w:rPr>
        <w:t>须知附表</w:t>
      </w:r>
      <w:bookmarkEnd w:id="6"/>
    </w:p>
    <w:tbl>
      <w:tblPr>
        <w:tblStyle w:val="32"/>
        <w:tblW w:w="9750" w:type="dxa"/>
        <w:tblInd w:w="1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2160"/>
        <w:gridCol w:w="6470"/>
      </w:tblGrid>
      <w:tr w14:paraId="5CD48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120" w:type="dxa"/>
            <w:tcBorders>
              <w:tl2br w:val="nil"/>
              <w:tr2bl w:val="nil"/>
            </w:tcBorders>
            <w:shd w:val="clear" w:color="auto" w:fill="D7D7D7"/>
            <w:noWrap w:val="0"/>
            <w:vAlign w:val="center"/>
          </w:tcPr>
          <w:p w14:paraId="265789FC">
            <w:pPr>
              <w:pStyle w:val="47"/>
              <w:keepNext w:val="0"/>
              <w:keepLines w:val="0"/>
              <w:pageBreakBefore w:val="0"/>
              <w:widowControl/>
              <w:kinsoku/>
              <w:wordWrap/>
              <w:overflowPunct/>
              <w:topLinePunct w:val="0"/>
              <w:bidi w:val="0"/>
              <w:spacing w:beforeAutospacing="0" w:line="400" w:lineRule="exact"/>
              <w:ind w:left="42" w:leftChars="20" w:right="42" w:rightChars="2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序号</w:t>
            </w:r>
          </w:p>
        </w:tc>
        <w:tc>
          <w:tcPr>
            <w:tcW w:w="2160" w:type="dxa"/>
            <w:tcBorders>
              <w:tl2br w:val="nil"/>
              <w:tr2bl w:val="nil"/>
            </w:tcBorders>
            <w:shd w:val="clear" w:color="auto" w:fill="D7D7D7"/>
            <w:noWrap w:val="0"/>
            <w:vAlign w:val="center"/>
          </w:tcPr>
          <w:p w14:paraId="51B80F11">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70" w:type="dxa"/>
            <w:tcBorders>
              <w:tl2br w:val="nil"/>
              <w:tr2bl w:val="nil"/>
            </w:tcBorders>
            <w:shd w:val="clear" w:color="auto" w:fill="D7D7D7"/>
            <w:noWrap w:val="0"/>
            <w:vAlign w:val="center"/>
          </w:tcPr>
          <w:p w14:paraId="7F2B909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b/>
                <w:color w:val="auto"/>
                <w:kern w:val="2"/>
                <w:sz w:val="24"/>
                <w:szCs w:val="24"/>
                <w:highlight w:val="none"/>
                <w:lang w:val="en-US" w:bidi="ar-SA"/>
              </w:rPr>
            </w:pPr>
            <w:r>
              <w:rPr>
                <w:rFonts w:hint="eastAsia" w:ascii="宋体" w:hAnsi="宋体" w:eastAsia="宋体" w:cs="宋体"/>
                <w:b/>
                <w:color w:val="auto"/>
                <w:kern w:val="2"/>
                <w:sz w:val="24"/>
                <w:szCs w:val="24"/>
                <w:highlight w:val="none"/>
                <w:lang w:val="en-US" w:bidi="ar-SA"/>
              </w:rPr>
              <w:t>编列内容</w:t>
            </w:r>
          </w:p>
        </w:tc>
      </w:tr>
      <w:tr w14:paraId="3A5C5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120" w:type="dxa"/>
            <w:tcBorders>
              <w:tl2br w:val="nil"/>
              <w:tr2bl w:val="nil"/>
            </w:tcBorders>
            <w:noWrap w:val="0"/>
            <w:vAlign w:val="center"/>
          </w:tcPr>
          <w:p w14:paraId="2FF5FF2F">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60" w:type="dxa"/>
            <w:tcBorders>
              <w:tl2br w:val="nil"/>
              <w:tr2bl w:val="nil"/>
            </w:tcBorders>
            <w:noWrap w:val="0"/>
            <w:vAlign w:val="center"/>
          </w:tcPr>
          <w:p w14:paraId="3B26551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招标人</w:t>
            </w:r>
          </w:p>
        </w:tc>
        <w:tc>
          <w:tcPr>
            <w:tcW w:w="6470" w:type="dxa"/>
            <w:tcBorders>
              <w:tl2br w:val="nil"/>
              <w:tr2bl w:val="nil"/>
            </w:tcBorders>
            <w:noWrap w:val="0"/>
            <w:vAlign w:val="center"/>
          </w:tcPr>
          <w:p w14:paraId="35587E09">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单位名称</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库尔勒市自然资源局</w:t>
            </w:r>
          </w:p>
          <w:p w14:paraId="12E5E725">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单位地址</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库尔勒市</w:t>
            </w:r>
          </w:p>
          <w:p w14:paraId="7CB6F40A">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龙飞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13999620517</w:t>
            </w:r>
          </w:p>
        </w:tc>
      </w:tr>
      <w:tr w14:paraId="336A8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120" w:type="dxa"/>
            <w:tcBorders>
              <w:tl2br w:val="nil"/>
              <w:tr2bl w:val="nil"/>
            </w:tcBorders>
            <w:noWrap w:val="0"/>
            <w:vAlign w:val="center"/>
          </w:tcPr>
          <w:p w14:paraId="3AA45A5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60" w:type="dxa"/>
            <w:tcBorders>
              <w:tl2br w:val="nil"/>
              <w:tr2bl w:val="nil"/>
            </w:tcBorders>
            <w:noWrap w:val="0"/>
            <w:vAlign w:val="center"/>
          </w:tcPr>
          <w:p w14:paraId="043B2A2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6470" w:type="dxa"/>
            <w:tcBorders>
              <w:tl2br w:val="nil"/>
              <w:tr2bl w:val="nil"/>
            </w:tcBorders>
            <w:noWrap w:val="0"/>
            <w:vAlign w:val="center"/>
          </w:tcPr>
          <w:p w14:paraId="321BCF14">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代理机构</w:t>
            </w:r>
            <w:r>
              <w:rPr>
                <w:rFonts w:hint="eastAsia" w:ascii="宋体" w:hAnsi="宋体" w:eastAsia="宋体" w:cs="宋体"/>
                <w:color w:val="auto"/>
                <w:kern w:val="2"/>
                <w:sz w:val="24"/>
                <w:szCs w:val="24"/>
                <w:highlight w:val="none"/>
                <w:lang w:val="en-US" w:bidi="ar-SA"/>
              </w:rPr>
              <w:t>名称</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新疆国腾工程项目管理咨询有限公司</w:t>
            </w:r>
          </w:p>
          <w:p w14:paraId="68F8B198">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地址</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库尔勒市永安大道观棠云邸18号楼一层</w:t>
            </w:r>
          </w:p>
          <w:p w14:paraId="20D178D9">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联系人：</w:t>
            </w:r>
            <w:r>
              <w:rPr>
                <w:rFonts w:hint="eastAsia" w:ascii="宋体" w:hAnsi="宋体" w:cs="宋体"/>
                <w:color w:val="auto"/>
                <w:kern w:val="2"/>
                <w:sz w:val="24"/>
                <w:szCs w:val="24"/>
                <w:highlight w:val="none"/>
                <w:lang w:val="en-US" w:eastAsia="zh-CN" w:bidi="ar-SA"/>
              </w:rPr>
              <w:t>周纪坤</w:t>
            </w:r>
            <w:r>
              <w:rPr>
                <w:rFonts w:hint="eastAsia" w:ascii="宋体" w:hAnsi="宋体" w:eastAsia="宋体" w:cs="宋体"/>
                <w:color w:val="auto"/>
                <w:kern w:val="2"/>
                <w:sz w:val="24"/>
                <w:szCs w:val="24"/>
                <w:highlight w:val="none"/>
                <w:lang w:val="en-US" w:bidi="ar-SA"/>
              </w:rPr>
              <w:t xml:space="preserve">       联系电话：</w:t>
            </w:r>
            <w:r>
              <w:rPr>
                <w:rFonts w:hint="eastAsia" w:ascii="宋体" w:hAnsi="宋体" w:cs="宋体"/>
                <w:color w:val="auto"/>
                <w:kern w:val="2"/>
                <w:sz w:val="24"/>
                <w:szCs w:val="24"/>
                <w:highlight w:val="none"/>
                <w:lang w:val="en-US" w:eastAsia="zh-CN" w:bidi="ar-SA"/>
              </w:rPr>
              <w:t>17397568003</w:t>
            </w:r>
          </w:p>
        </w:tc>
      </w:tr>
      <w:tr w14:paraId="6EB31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120" w:type="dxa"/>
            <w:tcBorders>
              <w:tl2br w:val="nil"/>
              <w:tr2bl w:val="nil"/>
            </w:tcBorders>
            <w:noWrap w:val="0"/>
            <w:vAlign w:val="center"/>
          </w:tcPr>
          <w:p w14:paraId="3E6358A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60" w:type="dxa"/>
            <w:tcBorders>
              <w:tl2br w:val="nil"/>
              <w:tr2bl w:val="nil"/>
            </w:tcBorders>
            <w:noWrap w:val="0"/>
            <w:vAlign w:val="center"/>
          </w:tcPr>
          <w:p w14:paraId="77919FB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项目名称</w:t>
            </w:r>
          </w:p>
        </w:tc>
        <w:tc>
          <w:tcPr>
            <w:tcW w:w="6470" w:type="dxa"/>
            <w:tcBorders>
              <w:tl2br w:val="nil"/>
              <w:tr2bl w:val="nil"/>
            </w:tcBorders>
            <w:noWrap w:val="0"/>
            <w:vAlign w:val="center"/>
          </w:tcPr>
          <w:p w14:paraId="08074FCA">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库尔勒市国土空间详细规划（城镇单元）（2025-2035年）项目</w:t>
            </w:r>
          </w:p>
        </w:tc>
      </w:tr>
      <w:tr w14:paraId="213F0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20" w:type="dxa"/>
            <w:tcBorders>
              <w:tl2br w:val="nil"/>
              <w:tr2bl w:val="nil"/>
            </w:tcBorders>
            <w:noWrap w:val="0"/>
            <w:vAlign w:val="center"/>
          </w:tcPr>
          <w:p w14:paraId="3FB12D3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60" w:type="dxa"/>
            <w:tcBorders>
              <w:tl2br w:val="nil"/>
              <w:tr2bl w:val="nil"/>
            </w:tcBorders>
            <w:noWrap w:val="0"/>
            <w:vAlign w:val="center"/>
          </w:tcPr>
          <w:p w14:paraId="260A6CDD">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金额</w:t>
            </w:r>
          </w:p>
        </w:tc>
        <w:tc>
          <w:tcPr>
            <w:tcW w:w="6470" w:type="dxa"/>
            <w:tcBorders>
              <w:tl2br w:val="nil"/>
              <w:tr2bl w:val="nil"/>
            </w:tcBorders>
            <w:shd w:val="clear" w:color="auto" w:fill="FFFFFF" w:themeFill="background1"/>
            <w:noWrap w:val="0"/>
            <w:vAlign w:val="center"/>
          </w:tcPr>
          <w:p w14:paraId="41EE1211">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kern w:val="2"/>
                <w:sz w:val="24"/>
                <w:szCs w:val="24"/>
                <w:highlight w:val="none"/>
                <w:lang w:val="en-US" w:bidi="ar-SA"/>
              </w:rPr>
            </w:pPr>
            <w:r>
              <w:rPr>
                <w:rFonts w:hint="eastAsia" w:ascii="宋体" w:hAnsi="宋体" w:cs="宋体"/>
                <w:color w:val="auto"/>
                <w:kern w:val="2"/>
                <w:sz w:val="24"/>
                <w:szCs w:val="24"/>
                <w:highlight w:val="none"/>
                <w:lang w:val="en-US" w:eastAsia="zh-CN" w:bidi="ar-SA"/>
              </w:rPr>
              <w:t>7700000.00元</w:t>
            </w:r>
          </w:p>
        </w:tc>
      </w:tr>
      <w:tr w14:paraId="14868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1120" w:type="dxa"/>
            <w:tcBorders>
              <w:tl2br w:val="nil"/>
              <w:tr2bl w:val="nil"/>
            </w:tcBorders>
            <w:noWrap w:val="0"/>
            <w:vAlign w:val="center"/>
          </w:tcPr>
          <w:p w14:paraId="00177D3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160" w:type="dxa"/>
            <w:tcBorders>
              <w:tl2br w:val="nil"/>
              <w:tr2bl w:val="nil"/>
            </w:tcBorders>
            <w:noWrap w:val="0"/>
            <w:vAlign w:val="center"/>
          </w:tcPr>
          <w:p w14:paraId="6AAA08D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最高</w:t>
            </w:r>
            <w:r>
              <w:rPr>
                <w:rFonts w:hint="eastAsia" w:ascii="宋体" w:hAnsi="宋体" w:eastAsia="宋体" w:cs="宋体"/>
                <w:color w:val="auto"/>
                <w:sz w:val="24"/>
                <w:szCs w:val="24"/>
                <w:highlight w:val="none"/>
              </w:rPr>
              <w:t>限价</w:t>
            </w:r>
          </w:p>
        </w:tc>
        <w:tc>
          <w:tcPr>
            <w:tcW w:w="6470" w:type="dxa"/>
            <w:tcBorders>
              <w:tl2br w:val="nil"/>
              <w:tr2bl w:val="nil"/>
            </w:tcBorders>
            <w:shd w:val="clear" w:color="auto" w:fill="FFFFFF" w:themeFill="background1"/>
            <w:noWrap w:val="0"/>
            <w:vAlign w:val="center"/>
          </w:tcPr>
          <w:p w14:paraId="1E635F3C">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7700000.00元</w:t>
            </w:r>
          </w:p>
          <w:p w14:paraId="7D86D620">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注：供应商报价不得超过最高限价，否则视为无效响应。</w:t>
            </w:r>
          </w:p>
        </w:tc>
      </w:tr>
      <w:tr w14:paraId="1A0FE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rPr>
        <w:tc>
          <w:tcPr>
            <w:tcW w:w="1120" w:type="dxa"/>
            <w:tcBorders>
              <w:tl2br w:val="nil"/>
              <w:tr2bl w:val="nil"/>
            </w:tcBorders>
            <w:noWrap w:val="0"/>
            <w:vAlign w:val="center"/>
          </w:tcPr>
          <w:p w14:paraId="6431078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160" w:type="dxa"/>
            <w:tcBorders>
              <w:tl2br w:val="nil"/>
              <w:tr2bl w:val="nil"/>
            </w:tcBorders>
            <w:noWrap w:val="0"/>
            <w:vAlign w:val="center"/>
          </w:tcPr>
          <w:p w14:paraId="26F877E3">
            <w:pPr>
              <w:keepNext w:val="0"/>
              <w:keepLines w:val="0"/>
              <w:pageBreakBefore w:val="0"/>
              <w:widowControl/>
              <w:kinsoku/>
              <w:wordWrap/>
              <w:overflowPunct/>
              <w:topLinePunct w:val="0"/>
              <w:bidi w:val="0"/>
              <w:jc w:val="center"/>
              <w:rPr>
                <w:rFonts w:hint="eastAsia" w:ascii="宋体" w:hAnsi="宋体" w:eastAsia="宋体" w:cs="宋体"/>
                <w:color w:val="auto"/>
                <w:sz w:val="24"/>
                <w:szCs w:val="24"/>
                <w:highlight w:val="none"/>
              </w:rPr>
            </w:pPr>
            <w:r>
              <w:rPr>
                <w:rFonts w:hint="eastAsia" w:ascii="宋体" w:hAnsi="宋体" w:cs="宋体"/>
                <w:color w:val="auto"/>
                <w:spacing w:val="-6"/>
                <w:sz w:val="24"/>
                <w:szCs w:val="24"/>
                <w:highlight w:val="none"/>
                <w:lang w:val="en-US" w:eastAsia="zh-CN"/>
              </w:rPr>
              <w:t>采购内容</w:t>
            </w:r>
          </w:p>
        </w:tc>
        <w:tc>
          <w:tcPr>
            <w:tcW w:w="6470" w:type="dxa"/>
            <w:tcBorders>
              <w:tl2br w:val="nil"/>
              <w:tr2bl w:val="nil"/>
            </w:tcBorders>
            <w:noWrap w:val="0"/>
            <w:vAlign w:val="center"/>
          </w:tcPr>
          <w:p w14:paraId="28B7854C">
            <w:pPr>
              <w:pStyle w:val="10"/>
              <w:keepNext w:val="0"/>
              <w:keepLines w:val="0"/>
              <w:widowControl/>
              <w:suppressLineNumbers w:val="0"/>
              <w:spacing w:before="60" w:beforeAutospacing="0" w:after="60" w:afterAutospacing="0" w:line="360" w:lineRule="auto"/>
              <w:ind w:left="0" w:right="0" w:firstLine="42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1.规划范围库尔勒市城镇单元约102平方公里2.成果符合上位规划及新疆维吾尔自治区国土空间详细规划（城镇单元）编制技术规程要求。（详见招标文件）</w:t>
            </w:r>
          </w:p>
        </w:tc>
      </w:tr>
      <w:tr w14:paraId="5DE0E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20" w:type="dxa"/>
            <w:tcBorders>
              <w:tl2br w:val="nil"/>
              <w:tr2bl w:val="nil"/>
            </w:tcBorders>
            <w:noWrap w:val="0"/>
            <w:vAlign w:val="center"/>
          </w:tcPr>
          <w:p w14:paraId="2500612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160" w:type="dxa"/>
            <w:tcBorders>
              <w:tl2br w:val="nil"/>
              <w:tr2bl w:val="nil"/>
            </w:tcBorders>
            <w:noWrap w:val="0"/>
            <w:vAlign w:val="center"/>
          </w:tcPr>
          <w:p w14:paraId="0EA044C1">
            <w:pPr>
              <w:keepNext w:val="0"/>
              <w:keepLines w:val="0"/>
              <w:pageBreakBefore w:val="0"/>
              <w:widowControl/>
              <w:kinsoku/>
              <w:wordWrap/>
              <w:overflowPunct/>
              <w:topLinePunct w:val="0"/>
              <w:bidi w:val="0"/>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合同履约期限</w:t>
            </w:r>
          </w:p>
          <w:p w14:paraId="00682B7F">
            <w:pPr>
              <w:keepNext w:val="0"/>
              <w:keepLines w:val="0"/>
              <w:pageBreakBefore w:val="0"/>
              <w:widowControl/>
              <w:kinsoku/>
              <w:wordWrap/>
              <w:overflowPunct/>
              <w:topLinePunct w:val="0"/>
              <w:bidi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val="en-US" w:eastAsia="zh-CN"/>
              </w:rPr>
              <w:t>（实质性要求）</w:t>
            </w:r>
          </w:p>
        </w:tc>
        <w:tc>
          <w:tcPr>
            <w:tcW w:w="6470" w:type="dxa"/>
            <w:tcBorders>
              <w:tl2br w:val="nil"/>
              <w:tr2bl w:val="nil"/>
            </w:tcBorders>
            <w:noWrap w:val="0"/>
            <w:vAlign w:val="center"/>
          </w:tcPr>
          <w:p w14:paraId="777C34C9">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2026年12月前完成。</w:t>
            </w:r>
            <w:r>
              <w:rPr>
                <w:rFonts w:hint="default" w:ascii="宋体" w:hAnsi="宋体" w:eastAsia="宋体" w:cs="宋体"/>
                <w:color w:val="auto"/>
                <w:kern w:val="2"/>
                <w:sz w:val="24"/>
                <w:szCs w:val="24"/>
                <w:highlight w:val="none"/>
                <w:lang w:val="en-US" w:eastAsia="zh-CN" w:bidi="ar-SA"/>
              </w:rPr>
              <w:t>（具体以双方签订合同为准）</w:t>
            </w:r>
          </w:p>
        </w:tc>
      </w:tr>
      <w:tr w14:paraId="4F1E5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20" w:type="dxa"/>
            <w:tcBorders>
              <w:tl2br w:val="nil"/>
              <w:tr2bl w:val="nil"/>
            </w:tcBorders>
            <w:noWrap w:val="0"/>
            <w:vAlign w:val="center"/>
          </w:tcPr>
          <w:p w14:paraId="51208BE0">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160" w:type="dxa"/>
            <w:tcBorders>
              <w:tl2br w:val="nil"/>
              <w:tr2bl w:val="nil"/>
            </w:tcBorders>
            <w:noWrap w:val="0"/>
            <w:vAlign w:val="center"/>
          </w:tcPr>
          <w:p w14:paraId="6F46B3C0">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cs="宋体"/>
                <w:b/>
                <w:bCs/>
                <w:color w:val="auto"/>
                <w:kern w:val="0"/>
                <w:sz w:val="24"/>
                <w:szCs w:val="24"/>
                <w:highlight w:val="none"/>
                <w:lang w:val="en-US" w:eastAsia="zh-CN"/>
              </w:rPr>
            </w:pPr>
            <w:r>
              <w:rPr>
                <w:rFonts w:hint="eastAsia" w:ascii="宋体" w:cs="宋体"/>
                <w:b/>
                <w:bCs/>
                <w:color w:val="auto"/>
                <w:kern w:val="0"/>
                <w:sz w:val="24"/>
                <w:szCs w:val="24"/>
                <w:highlight w:val="none"/>
                <w:lang w:val="en-US" w:eastAsia="zh-CN"/>
              </w:rPr>
              <w:t>服务要求</w:t>
            </w:r>
          </w:p>
        </w:tc>
        <w:tc>
          <w:tcPr>
            <w:tcW w:w="6470" w:type="dxa"/>
            <w:tcBorders>
              <w:tl2br w:val="nil"/>
              <w:tr2bl w:val="nil"/>
            </w:tcBorders>
            <w:noWrap w:val="0"/>
            <w:vAlign w:val="center"/>
          </w:tcPr>
          <w:p w14:paraId="27B0904F">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详见招标文件</w:t>
            </w:r>
          </w:p>
        </w:tc>
      </w:tr>
      <w:tr w14:paraId="7AD49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0" w:type="dxa"/>
            <w:tcBorders>
              <w:tl2br w:val="nil"/>
              <w:tr2bl w:val="nil"/>
            </w:tcBorders>
            <w:noWrap w:val="0"/>
            <w:vAlign w:val="center"/>
          </w:tcPr>
          <w:p w14:paraId="586CEB5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60" w:type="dxa"/>
            <w:tcBorders>
              <w:tl2br w:val="nil"/>
              <w:tr2bl w:val="nil"/>
            </w:tcBorders>
            <w:noWrap w:val="0"/>
            <w:vAlign w:val="center"/>
          </w:tcPr>
          <w:p w14:paraId="4D08C3E8">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470" w:type="dxa"/>
            <w:tcBorders>
              <w:tl2br w:val="nil"/>
              <w:tr2bl w:val="nil"/>
            </w:tcBorders>
            <w:noWrap w:val="0"/>
            <w:vAlign w:val="center"/>
          </w:tcPr>
          <w:p w14:paraId="3CF82C92">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库尔勒市</w:t>
            </w:r>
          </w:p>
        </w:tc>
      </w:tr>
      <w:tr w14:paraId="20FEB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0" w:type="dxa"/>
            <w:tcBorders>
              <w:tl2br w:val="nil"/>
              <w:tr2bl w:val="nil"/>
            </w:tcBorders>
            <w:noWrap w:val="0"/>
            <w:vAlign w:val="center"/>
          </w:tcPr>
          <w:p w14:paraId="4D970F3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60" w:type="dxa"/>
            <w:tcBorders>
              <w:tl2br w:val="nil"/>
              <w:tr2bl w:val="nil"/>
            </w:tcBorders>
            <w:noWrap w:val="0"/>
            <w:vAlign w:val="center"/>
          </w:tcPr>
          <w:p w14:paraId="20F47CA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付款方式</w:t>
            </w:r>
          </w:p>
        </w:tc>
        <w:tc>
          <w:tcPr>
            <w:tcW w:w="6470" w:type="dxa"/>
            <w:tcBorders>
              <w:tl2br w:val="nil"/>
              <w:tr2bl w:val="nil"/>
            </w:tcBorders>
            <w:noWrap w:val="0"/>
            <w:vAlign w:val="center"/>
          </w:tcPr>
          <w:p w14:paraId="55C1EF64">
            <w:pPr>
              <w:pStyle w:val="12"/>
              <w:keepNext w:val="0"/>
              <w:keepLines w:val="0"/>
              <w:pageBreakBefore w:val="0"/>
              <w:widowControl/>
              <w:kinsoku/>
              <w:wordWrap/>
              <w:overflowPunct/>
              <w:topLinePunct w:val="0"/>
              <w:bidi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分期付款（具体以双方签订合同为准）                         </w:t>
            </w:r>
          </w:p>
        </w:tc>
      </w:tr>
      <w:tr w14:paraId="0608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20" w:type="dxa"/>
            <w:tcBorders>
              <w:tl2br w:val="nil"/>
              <w:tr2bl w:val="nil"/>
            </w:tcBorders>
            <w:noWrap w:val="0"/>
            <w:vAlign w:val="center"/>
          </w:tcPr>
          <w:p w14:paraId="4C1310A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160" w:type="dxa"/>
            <w:tcBorders>
              <w:tl2br w:val="nil"/>
              <w:tr2bl w:val="nil"/>
            </w:tcBorders>
            <w:noWrap w:val="0"/>
            <w:vAlign w:val="center"/>
          </w:tcPr>
          <w:p w14:paraId="58A99C15">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tc>
        <w:tc>
          <w:tcPr>
            <w:tcW w:w="6470" w:type="dxa"/>
            <w:tcBorders>
              <w:tl2br w:val="nil"/>
              <w:tr2bl w:val="nil"/>
            </w:tcBorders>
            <w:noWrap w:val="0"/>
            <w:vAlign w:val="center"/>
          </w:tcPr>
          <w:p w14:paraId="7059D14B">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1.满足《中华人民共和国政府采购法》第二十二条规定：</w:t>
            </w:r>
          </w:p>
          <w:p w14:paraId="4C0D08BA">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（1）具有独立承担民事责任的能力；</w:t>
            </w:r>
          </w:p>
          <w:p w14:paraId="42AF9EA7">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（2）具有良好的商业信誉和健全的财务会计制度；</w:t>
            </w:r>
          </w:p>
          <w:p w14:paraId="5B8BF8C1">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（3）具有依法缴纳税收和社会保障资金的良好记录；</w:t>
            </w:r>
          </w:p>
          <w:p w14:paraId="3C2B21D0">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（4）具有履行合同所必需的货物和专业技术能力；</w:t>
            </w:r>
          </w:p>
          <w:p w14:paraId="52357F5A">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（5）参加政府采购活动前三年内，在经营活动中没有重大违法记录；</w:t>
            </w:r>
          </w:p>
          <w:p w14:paraId="57BD8055">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（6）法律、行政法规规定的其他条件。</w:t>
            </w:r>
          </w:p>
          <w:p w14:paraId="70BC779E">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2.落实政府采购政策需满足的资格要求：本项目专门面向小微企业（含小型、微型）。</w:t>
            </w:r>
            <w:r>
              <w:rPr>
                <w:rFonts w:hint="eastAsia" w:cs="宋体"/>
                <w:b/>
                <w:bCs/>
                <w:color w:val="auto"/>
                <w:sz w:val="24"/>
                <w:szCs w:val="24"/>
                <w:highlight w:val="none"/>
                <w:lang w:val="en-US" w:eastAsia="zh-CN"/>
              </w:rPr>
              <w:t>本项目采购标的对应的中小企业划分标准所属行业为“其他未列明行业”。</w:t>
            </w:r>
          </w:p>
          <w:p w14:paraId="2CCD7305">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（1）财政部、工业和信息化部《关于印发〈政府采购促进中小企业发展管理办法〉的通知》（财库[2020]46号文）；</w:t>
            </w:r>
          </w:p>
          <w:p w14:paraId="6F4CC97A">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（2）财政部、司法部《关于政府采购支持监狱企业发展有关问题的通知》（财库[2014]68号文）；</w:t>
            </w:r>
          </w:p>
          <w:p w14:paraId="7BA364D3">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（3）财政部、民政部、中国残疾人联合会《关于促进残疾人就业政府采购政策的通知》（财库[2017]141号）；</w:t>
            </w:r>
          </w:p>
          <w:p w14:paraId="07E72C3D">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3.在中华人民共和国境内依法注册的、具有独立承担民事责任的能力，提供有效的营业执照；</w:t>
            </w:r>
          </w:p>
          <w:p w14:paraId="554643E2">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4.法定代表人身份证原件或法定代表人授权委托书和委托代理人身份证原件（授权委托书应附上法人和代理人身份证复印件）；</w:t>
            </w:r>
          </w:p>
          <w:p w14:paraId="4AF3FFB0">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5.符合国家有关法律法规的规定；</w:t>
            </w:r>
          </w:p>
          <w:p w14:paraId="7984D96F">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6.本项目不接受联合体投标；</w:t>
            </w:r>
          </w:p>
          <w:p w14:paraId="68BBBB3B">
            <w:pPr>
              <w:pStyle w:val="10"/>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7.本项目的特定资格要求：投标人须具备</w:t>
            </w:r>
            <w:r>
              <w:rPr>
                <w:rFonts w:hint="eastAsia" w:ascii="宋体" w:hAnsi="宋体" w:eastAsia="宋体" w:cs="宋体"/>
                <w:b/>
                <w:bCs/>
                <w:color w:val="auto"/>
                <w:sz w:val="24"/>
                <w:szCs w:val="24"/>
                <w:highlight w:val="none"/>
                <w:lang w:eastAsia="zh-CN"/>
              </w:rPr>
              <w:t>城乡规划（国土空间规划）</w:t>
            </w:r>
            <w:r>
              <w:rPr>
                <w:rFonts w:hint="eastAsia" w:cs="宋体"/>
                <w:b w:val="0"/>
                <w:bCs w:val="0"/>
                <w:color w:val="auto"/>
                <w:sz w:val="24"/>
                <w:szCs w:val="24"/>
                <w:highlight w:val="none"/>
                <w:lang w:val="en-US" w:eastAsia="zh-CN"/>
              </w:rPr>
              <w:t>编制资质乙级及以上。</w:t>
            </w:r>
          </w:p>
        </w:tc>
      </w:tr>
      <w:tr w14:paraId="2B669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trPr>
        <w:tc>
          <w:tcPr>
            <w:tcW w:w="1120" w:type="dxa"/>
            <w:tcBorders>
              <w:tl2br w:val="nil"/>
              <w:tr2bl w:val="nil"/>
            </w:tcBorders>
            <w:shd w:val="clear" w:color="auto" w:fill="auto"/>
            <w:noWrap w:val="0"/>
            <w:vAlign w:val="center"/>
          </w:tcPr>
          <w:p w14:paraId="7DA0C4D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60" w:type="dxa"/>
            <w:tcBorders>
              <w:tl2br w:val="nil"/>
              <w:tr2bl w:val="nil"/>
            </w:tcBorders>
            <w:noWrap w:val="0"/>
            <w:vAlign w:val="center"/>
          </w:tcPr>
          <w:p w14:paraId="4A94297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是否接受联合体</w:t>
            </w:r>
          </w:p>
        </w:tc>
        <w:tc>
          <w:tcPr>
            <w:tcW w:w="6470" w:type="dxa"/>
            <w:tcBorders>
              <w:tl2br w:val="nil"/>
              <w:tr2bl w:val="nil"/>
            </w:tcBorders>
            <w:noWrap w:val="0"/>
            <w:vAlign w:val="center"/>
          </w:tcPr>
          <w:p w14:paraId="0A46CCC7">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不接受</w:t>
            </w:r>
          </w:p>
        </w:tc>
      </w:tr>
      <w:tr w14:paraId="70D1B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120" w:type="dxa"/>
            <w:tcBorders>
              <w:tl2br w:val="nil"/>
              <w:tr2bl w:val="nil"/>
            </w:tcBorders>
            <w:shd w:val="clear" w:color="auto" w:fill="auto"/>
            <w:noWrap w:val="0"/>
            <w:vAlign w:val="center"/>
          </w:tcPr>
          <w:p w14:paraId="3BD07CE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60" w:type="dxa"/>
            <w:tcBorders>
              <w:tl2br w:val="nil"/>
              <w:tr2bl w:val="nil"/>
            </w:tcBorders>
            <w:noWrap w:val="0"/>
            <w:vAlign w:val="center"/>
          </w:tcPr>
          <w:p w14:paraId="1CE0CEE3">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6470" w:type="dxa"/>
            <w:tcBorders>
              <w:tl2br w:val="nil"/>
              <w:tr2bl w:val="nil"/>
            </w:tcBorders>
            <w:noWrap w:val="0"/>
            <w:vAlign w:val="center"/>
          </w:tcPr>
          <w:p w14:paraId="2C84EC4F">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不组织</w:t>
            </w:r>
            <w:r>
              <w:rPr>
                <w:rFonts w:hint="eastAsia" w:ascii="宋体" w:hAnsi="宋体" w:eastAsia="宋体" w:cs="宋体"/>
                <w:color w:val="auto"/>
                <w:kern w:val="2"/>
                <w:sz w:val="24"/>
                <w:szCs w:val="24"/>
                <w:highlight w:val="none"/>
                <w:lang w:val="en-US" w:bidi="ar-SA"/>
              </w:rPr>
              <w:t>考察</w:t>
            </w:r>
          </w:p>
        </w:tc>
      </w:tr>
      <w:tr w14:paraId="53092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120" w:type="dxa"/>
            <w:tcBorders>
              <w:tl2br w:val="nil"/>
              <w:tr2bl w:val="nil"/>
            </w:tcBorders>
            <w:shd w:val="clear" w:color="auto" w:fill="auto"/>
            <w:noWrap w:val="0"/>
            <w:vAlign w:val="center"/>
          </w:tcPr>
          <w:p w14:paraId="58F4636D">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60" w:type="dxa"/>
            <w:tcBorders>
              <w:tl2br w:val="nil"/>
              <w:tr2bl w:val="nil"/>
            </w:tcBorders>
            <w:noWrap w:val="0"/>
            <w:vAlign w:val="center"/>
          </w:tcPr>
          <w:p w14:paraId="6A25E5F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6470" w:type="dxa"/>
            <w:tcBorders>
              <w:tl2br w:val="nil"/>
              <w:tr2bl w:val="nil"/>
            </w:tcBorders>
            <w:noWrap w:val="0"/>
            <w:vAlign w:val="center"/>
          </w:tcPr>
          <w:p w14:paraId="552BA6FE">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不召开</w:t>
            </w:r>
          </w:p>
        </w:tc>
      </w:tr>
      <w:tr w14:paraId="44044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120" w:type="dxa"/>
            <w:tcBorders>
              <w:tl2br w:val="nil"/>
              <w:tr2bl w:val="nil"/>
            </w:tcBorders>
            <w:noWrap w:val="0"/>
            <w:vAlign w:val="center"/>
          </w:tcPr>
          <w:p w14:paraId="67ECDED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2160" w:type="dxa"/>
            <w:tcBorders>
              <w:tl2br w:val="nil"/>
              <w:tr2bl w:val="nil"/>
            </w:tcBorders>
            <w:noWrap w:val="0"/>
            <w:vAlign w:val="center"/>
          </w:tcPr>
          <w:p w14:paraId="56E264A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分包转包</w:t>
            </w:r>
          </w:p>
        </w:tc>
        <w:tc>
          <w:tcPr>
            <w:tcW w:w="6470" w:type="dxa"/>
            <w:tcBorders>
              <w:tl2br w:val="nil"/>
              <w:tr2bl w:val="nil"/>
            </w:tcBorders>
            <w:noWrap w:val="0"/>
            <w:vAlign w:val="center"/>
          </w:tcPr>
          <w:p w14:paraId="33C32914">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不允许</w:t>
            </w:r>
          </w:p>
        </w:tc>
      </w:tr>
      <w:tr w14:paraId="7B92A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120" w:type="dxa"/>
            <w:tcBorders>
              <w:tl2br w:val="nil"/>
              <w:tr2bl w:val="nil"/>
            </w:tcBorders>
            <w:shd w:val="clear" w:color="auto" w:fill="auto"/>
            <w:noWrap w:val="0"/>
            <w:vAlign w:val="center"/>
          </w:tcPr>
          <w:p w14:paraId="0E81A87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60" w:type="dxa"/>
            <w:tcBorders>
              <w:tl2br w:val="nil"/>
              <w:tr2bl w:val="nil"/>
            </w:tcBorders>
            <w:noWrap w:val="0"/>
            <w:vAlign w:val="center"/>
          </w:tcPr>
          <w:p w14:paraId="2908712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实质性要求和条件</w:t>
            </w:r>
          </w:p>
        </w:tc>
        <w:tc>
          <w:tcPr>
            <w:tcW w:w="6470" w:type="dxa"/>
            <w:tcBorders>
              <w:tl2br w:val="nil"/>
              <w:tr2bl w:val="nil"/>
            </w:tcBorders>
            <w:noWrap w:val="0"/>
            <w:vAlign w:val="center"/>
          </w:tcPr>
          <w:p w14:paraId="658EB796">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详见全文“</w:t>
            </w:r>
            <w:r>
              <w:rPr>
                <w:rFonts w:hint="eastAsia" w:ascii="宋体" w:cs="宋体"/>
                <w:b/>
                <w:bCs/>
                <w:color w:val="auto"/>
                <w:kern w:val="0"/>
                <w:sz w:val="24"/>
                <w:szCs w:val="24"/>
                <w:highlight w:val="none"/>
                <w:lang w:val="en-US" w:eastAsia="zh-CN"/>
              </w:rPr>
              <w:t>（实质性要求）</w:t>
            </w:r>
            <w:r>
              <w:rPr>
                <w:rFonts w:hint="eastAsia" w:ascii="宋体" w:hAnsi="宋体" w:eastAsia="宋体" w:cs="宋体"/>
                <w:color w:val="auto"/>
                <w:kern w:val="2"/>
                <w:sz w:val="24"/>
                <w:szCs w:val="24"/>
                <w:highlight w:val="none"/>
                <w:lang w:val="en-US" w:eastAsia="zh-CN" w:bidi="ar-SA"/>
              </w:rPr>
              <w:t>”</w:t>
            </w:r>
          </w:p>
        </w:tc>
      </w:tr>
      <w:tr w14:paraId="05119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20" w:type="dxa"/>
            <w:tcBorders>
              <w:tl2br w:val="nil"/>
              <w:tr2bl w:val="nil"/>
            </w:tcBorders>
            <w:shd w:val="clear" w:color="auto" w:fill="auto"/>
            <w:noWrap w:val="0"/>
            <w:vAlign w:val="center"/>
          </w:tcPr>
          <w:p w14:paraId="6619DB6F">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60" w:type="dxa"/>
            <w:tcBorders>
              <w:tl2br w:val="nil"/>
              <w:tr2bl w:val="nil"/>
            </w:tcBorders>
            <w:noWrap w:val="0"/>
            <w:vAlign w:val="center"/>
          </w:tcPr>
          <w:p w14:paraId="578D16F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6470" w:type="dxa"/>
            <w:tcBorders>
              <w:tl2br w:val="nil"/>
              <w:tr2bl w:val="nil"/>
            </w:tcBorders>
            <w:noWrap w:val="0"/>
            <w:vAlign w:val="center"/>
          </w:tcPr>
          <w:p w14:paraId="1862842E">
            <w:pPr>
              <w:pStyle w:val="47"/>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不允许</w:t>
            </w:r>
          </w:p>
        </w:tc>
      </w:tr>
      <w:tr w14:paraId="7ADF7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20" w:type="dxa"/>
            <w:tcBorders>
              <w:tl2br w:val="nil"/>
              <w:tr2bl w:val="nil"/>
            </w:tcBorders>
            <w:shd w:val="clear" w:color="auto" w:fill="auto"/>
            <w:noWrap w:val="0"/>
            <w:vAlign w:val="center"/>
          </w:tcPr>
          <w:p w14:paraId="5A1DEB7F">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19</w:t>
            </w:r>
          </w:p>
        </w:tc>
        <w:tc>
          <w:tcPr>
            <w:tcW w:w="2160" w:type="dxa"/>
            <w:tcBorders>
              <w:tl2br w:val="nil"/>
              <w:tr2bl w:val="nil"/>
            </w:tcBorders>
            <w:noWrap w:val="0"/>
            <w:vAlign w:val="center"/>
          </w:tcPr>
          <w:p w14:paraId="0F1ADF7D">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的其他资料</w:t>
            </w:r>
          </w:p>
        </w:tc>
        <w:tc>
          <w:tcPr>
            <w:tcW w:w="6470" w:type="dxa"/>
            <w:tcBorders>
              <w:tl2br w:val="nil"/>
              <w:tr2bl w:val="nil"/>
            </w:tcBorders>
            <w:noWrap w:val="0"/>
            <w:vAlign w:val="center"/>
          </w:tcPr>
          <w:p w14:paraId="15CD1AEC">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招标答疑补充文件等</w:t>
            </w:r>
          </w:p>
        </w:tc>
      </w:tr>
      <w:tr w14:paraId="6E073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1120" w:type="dxa"/>
            <w:tcBorders>
              <w:tl2br w:val="nil"/>
              <w:tr2bl w:val="nil"/>
            </w:tcBorders>
            <w:shd w:val="clear" w:color="auto" w:fill="auto"/>
            <w:noWrap w:val="0"/>
            <w:vAlign w:val="center"/>
          </w:tcPr>
          <w:p w14:paraId="50E8063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2160" w:type="dxa"/>
            <w:tcBorders>
              <w:tl2br w:val="nil"/>
              <w:tr2bl w:val="nil"/>
            </w:tcBorders>
            <w:noWrap w:val="0"/>
            <w:vAlign w:val="center"/>
          </w:tcPr>
          <w:p w14:paraId="5DD52133">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的其他资料</w:t>
            </w:r>
          </w:p>
        </w:tc>
        <w:tc>
          <w:tcPr>
            <w:tcW w:w="6470" w:type="dxa"/>
            <w:tcBorders>
              <w:tl2br w:val="nil"/>
              <w:tr2bl w:val="nil"/>
            </w:tcBorders>
            <w:noWrap w:val="0"/>
            <w:vAlign w:val="center"/>
          </w:tcPr>
          <w:p w14:paraId="41585B10">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评审现场根据评标委员会的要求进行的澄清答疑说明文件，澄清答疑说明文件将补充、</w:t>
            </w:r>
            <w:r>
              <w:rPr>
                <w:rFonts w:hint="eastAsia" w:ascii="宋体" w:hAnsi="宋体" w:eastAsia="宋体" w:cs="宋体"/>
                <w:color w:val="auto"/>
                <w:kern w:val="2"/>
                <w:sz w:val="24"/>
                <w:szCs w:val="24"/>
                <w:highlight w:val="none"/>
                <w:lang w:val="en-US" w:eastAsia="zh-CN" w:bidi="ar-SA"/>
              </w:rPr>
              <w:t>取代</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bidi="ar-SA"/>
              </w:rPr>
              <w:t>中相应内容</w:t>
            </w:r>
          </w:p>
        </w:tc>
      </w:tr>
      <w:tr w14:paraId="775F4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120" w:type="dxa"/>
            <w:tcBorders>
              <w:tl2br w:val="nil"/>
              <w:tr2bl w:val="nil"/>
            </w:tcBorders>
            <w:shd w:val="clear" w:color="auto" w:fill="auto"/>
            <w:noWrap w:val="0"/>
            <w:vAlign w:val="center"/>
          </w:tcPr>
          <w:p w14:paraId="1E0E6AD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60" w:type="dxa"/>
            <w:tcBorders>
              <w:tl2br w:val="nil"/>
              <w:tr2bl w:val="nil"/>
            </w:tcBorders>
            <w:noWrap w:val="0"/>
            <w:vAlign w:val="center"/>
          </w:tcPr>
          <w:p w14:paraId="10C8B23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470" w:type="dxa"/>
            <w:tcBorders>
              <w:tl2br w:val="nil"/>
              <w:tr2bl w:val="nil"/>
            </w:tcBorders>
            <w:noWrap w:val="0"/>
            <w:vAlign w:val="center"/>
          </w:tcPr>
          <w:p w14:paraId="313E3F70">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按国家、地区、行业最新规定执行</w:t>
            </w:r>
          </w:p>
        </w:tc>
      </w:tr>
      <w:tr w14:paraId="6A16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5" w:hRule="atLeast"/>
        </w:trPr>
        <w:tc>
          <w:tcPr>
            <w:tcW w:w="1120" w:type="dxa"/>
            <w:tcBorders>
              <w:tl2br w:val="nil"/>
              <w:tr2bl w:val="nil"/>
            </w:tcBorders>
            <w:shd w:val="clear" w:color="auto" w:fill="auto"/>
            <w:noWrap w:val="0"/>
            <w:vAlign w:val="center"/>
          </w:tcPr>
          <w:p w14:paraId="06A038D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60" w:type="dxa"/>
            <w:tcBorders>
              <w:tl2br w:val="nil"/>
              <w:tr2bl w:val="nil"/>
            </w:tcBorders>
            <w:noWrap w:val="0"/>
            <w:vAlign w:val="center"/>
          </w:tcPr>
          <w:p w14:paraId="300AC4C6">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p w14:paraId="058CBEE1">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cs="宋体"/>
                <w:b/>
                <w:bCs/>
                <w:color w:val="auto"/>
                <w:kern w:val="0"/>
                <w:sz w:val="24"/>
                <w:szCs w:val="24"/>
                <w:highlight w:val="none"/>
                <w:lang w:val="en-US" w:eastAsia="zh-CN"/>
              </w:rPr>
              <w:t>（实质性要求）</w:t>
            </w:r>
          </w:p>
        </w:tc>
        <w:tc>
          <w:tcPr>
            <w:tcW w:w="6470" w:type="dxa"/>
            <w:tcBorders>
              <w:tl2br w:val="nil"/>
              <w:tr2bl w:val="nil"/>
            </w:tcBorders>
            <w:noWrap w:val="0"/>
            <w:vAlign w:val="center"/>
          </w:tcPr>
          <w:p w14:paraId="72476BE2">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投标报价应包括：有关本项目所需服务费、人工费、保险费、社保、税金等全部相关费用。</w:t>
            </w:r>
          </w:p>
          <w:p w14:paraId="4B753391">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（本项目为一次报价，即一次报价为最终报价）</w:t>
            </w:r>
          </w:p>
        </w:tc>
      </w:tr>
      <w:tr w14:paraId="6A756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1120" w:type="dxa"/>
            <w:tcBorders>
              <w:tl2br w:val="nil"/>
              <w:tr2bl w:val="nil"/>
            </w:tcBorders>
            <w:shd w:val="clear" w:color="auto" w:fill="auto"/>
            <w:noWrap w:val="0"/>
            <w:vAlign w:val="center"/>
          </w:tcPr>
          <w:p w14:paraId="6FA3BDE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23</w:t>
            </w:r>
          </w:p>
        </w:tc>
        <w:tc>
          <w:tcPr>
            <w:tcW w:w="2160" w:type="dxa"/>
            <w:tcBorders>
              <w:tl2br w:val="nil"/>
              <w:tr2bl w:val="nil"/>
            </w:tcBorders>
            <w:noWrap w:val="0"/>
            <w:vAlign w:val="center"/>
          </w:tcPr>
          <w:p w14:paraId="7FF9FF13">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p w14:paraId="4F880F3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cs="宋体"/>
                <w:b/>
                <w:bCs/>
                <w:color w:val="auto"/>
                <w:kern w:val="0"/>
                <w:sz w:val="24"/>
                <w:szCs w:val="24"/>
                <w:highlight w:val="none"/>
                <w:lang w:val="en-US" w:eastAsia="zh-CN"/>
              </w:rPr>
              <w:t>（实质性要求）</w:t>
            </w:r>
          </w:p>
        </w:tc>
        <w:tc>
          <w:tcPr>
            <w:tcW w:w="6470" w:type="dxa"/>
            <w:tcBorders>
              <w:tl2br w:val="nil"/>
              <w:tr2bl w:val="nil"/>
            </w:tcBorders>
            <w:noWrap w:val="0"/>
            <w:vAlign w:val="center"/>
          </w:tcPr>
          <w:p w14:paraId="67C57BB3">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自</w:t>
            </w:r>
            <w:r>
              <w:rPr>
                <w:rFonts w:hint="eastAsia" w:ascii="宋体" w:hAnsi="宋体" w:cs="宋体"/>
                <w:color w:val="auto"/>
                <w:kern w:val="2"/>
                <w:sz w:val="24"/>
                <w:szCs w:val="24"/>
                <w:highlight w:val="none"/>
                <w:lang w:val="en-US" w:eastAsia="zh-CN" w:bidi="ar-SA"/>
              </w:rPr>
              <w:t>投标截止</w:t>
            </w:r>
            <w:r>
              <w:rPr>
                <w:rFonts w:hint="eastAsia" w:ascii="宋体" w:hAnsi="宋体" w:eastAsia="宋体" w:cs="宋体"/>
                <w:color w:val="auto"/>
                <w:kern w:val="2"/>
                <w:sz w:val="24"/>
                <w:szCs w:val="24"/>
                <w:highlight w:val="none"/>
                <w:lang w:val="en-US" w:eastAsia="zh-CN" w:bidi="ar-SA"/>
              </w:rPr>
              <w:t>之日起90</w:t>
            </w:r>
            <w:r>
              <w:rPr>
                <w:rFonts w:hint="eastAsia" w:ascii="宋体" w:hAnsi="宋体" w:eastAsia="宋体" w:cs="宋体"/>
                <w:color w:val="auto"/>
                <w:kern w:val="2"/>
                <w:sz w:val="24"/>
                <w:szCs w:val="24"/>
                <w:highlight w:val="none"/>
                <w:lang w:val="en-US" w:bidi="ar-SA"/>
              </w:rPr>
              <w:t>日历天</w:t>
            </w:r>
          </w:p>
        </w:tc>
      </w:tr>
      <w:tr w14:paraId="43B3D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0" w:hRule="atLeast"/>
        </w:trPr>
        <w:tc>
          <w:tcPr>
            <w:tcW w:w="1120" w:type="dxa"/>
            <w:vMerge w:val="restart"/>
            <w:tcBorders>
              <w:tl2br w:val="nil"/>
              <w:tr2bl w:val="nil"/>
            </w:tcBorders>
            <w:noWrap w:val="0"/>
            <w:vAlign w:val="center"/>
          </w:tcPr>
          <w:p w14:paraId="7B0A153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p>
        </w:tc>
        <w:tc>
          <w:tcPr>
            <w:tcW w:w="2160" w:type="dxa"/>
            <w:tcBorders>
              <w:tl2br w:val="nil"/>
              <w:tr2bl w:val="nil"/>
            </w:tcBorders>
            <w:noWrap w:val="0"/>
            <w:vAlign w:val="center"/>
          </w:tcPr>
          <w:p w14:paraId="761BB808">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p w14:paraId="5DA8576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cs="宋体"/>
                <w:b/>
                <w:bCs/>
                <w:color w:val="auto"/>
                <w:kern w:val="0"/>
                <w:sz w:val="24"/>
                <w:szCs w:val="24"/>
                <w:highlight w:val="none"/>
                <w:lang w:val="en-US" w:eastAsia="zh-CN"/>
              </w:rPr>
              <w:t>（实质性要求）</w:t>
            </w:r>
          </w:p>
        </w:tc>
        <w:tc>
          <w:tcPr>
            <w:tcW w:w="6470" w:type="dxa"/>
            <w:tcBorders>
              <w:tl2br w:val="nil"/>
              <w:tr2bl w:val="nil"/>
            </w:tcBorders>
            <w:noWrap w:val="0"/>
            <w:vAlign w:val="center"/>
          </w:tcPr>
          <w:p w14:paraId="04B1EC3A">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val="0"/>
                <w:color w:val="auto"/>
                <w:kern w:val="2"/>
                <w:sz w:val="24"/>
                <w:szCs w:val="22"/>
                <w:highlight w:val="none"/>
                <w:lang w:val="en-US" w:eastAsia="zh-CN" w:bidi="ar-SA"/>
              </w:rPr>
            </w:pPr>
            <w:r>
              <w:rPr>
                <w:rFonts w:hint="default" w:ascii="宋体" w:hAnsi="宋体" w:eastAsia="宋体" w:cs="宋体"/>
                <w:b/>
                <w:bCs/>
                <w:color w:val="auto"/>
                <w:kern w:val="2"/>
                <w:sz w:val="24"/>
                <w:szCs w:val="22"/>
                <w:highlight w:val="none"/>
                <w:lang w:val="en-US" w:eastAsia="zh-CN" w:bidi="ar-SA"/>
              </w:rPr>
              <w:t>（1）</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金额：</w:t>
            </w:r>
            <w:r>
              <w:rPr>
                <w:rFonts w:hint="eastAsia" w:ascii="宋体" w:hAnsi="宋体" w:cs="宋体"/>
                <w:b/>
                <w:bCs/>
                <w:color w:val="auto"/>
                <w:sz w:val="24"/>
                <w:szCs w:val="24"/>
                <w:highlight w:val="none"/>
                <w:lang w:val="en-US" w:eastAsia="zh-CN"/>
              </w:rPr>
              <w:t>100000.00</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壹拾万元整</w:t>
            </w:r>
            <w:r>
              <w:rPr>
                <w:rFonts w:hint="eastAsia" w:ascii="宋体" w:hAnsi="宋体" w:eastAsia="宋体" w:cs="宋体"/>
                <w:b/>
                <w:bCs/>
                <w:color w:val="auto"/>
                <w:sz w:val="24"/>
                <w:szCs w:val="24"/>
                <w:highlight w:val="none"/>
                <w:lang w:val="en-US" w:eastAsia="zh-CN"/>
              </w:rPr>
              <w:t>）</w:t>
            </w:r>
          </w:p>
          <w:p w14:paraId="56E462F1">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（2）</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的形式：</w:t>
            </w:r>
            <w:r>
              <w:rPr>
                <w:rFonts w:hint="eastAsia" w:ascii="宋体" w:hAnsi="宋体" w:cs="宋体"/>
                <w:b/>
                <w:bCs/>
                <w:color w:val="auto"/>
                <w:sz w:val="24"/>
                <w:szCs w:val="24"/>
                <w:highlight w:val="none"/>
                <w:lang w:val="en-US" w:eastAsia="zh-CN"/>
              </w:rPr>
              <w:t>政府采购保证金应当以支票、汇票、本票或者金融机构</w:t>
            </w:r>
            <w:r>
              <w:rPr>
                <w:rFonts w:hint="eastAsia" w:ascii="宋体" w:hAnsi="宋体" w:eastAsia="宋体" w:cs="宋体"/>
                <w:b/>
                <w:bCs/>
                <w:color w:val="auto"/>
                <w:sz w:val="24"/>
                <w:szCs w:val="24"/>
                <w:highlight w:val="none"/>
                <w:lang w:val="en-US" w:eastAsia="zh-CN"/>
              </w:rPr>
              <w:t>、担保机构出具的保函等非现金的形式提交。</w:t>
            </w:r>
          </w:p>
          <w:p w14:paraId="09C926A3">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（3）</w:t>
            </w:r>
            <w:r>
              <w:rPr>
                <w:rFonts w:hint="eastAsia" w:ascii="宋体" w:hAnsi="宋体" w:cs="宋体"/>
                <w:b/>
                <w:bCs/>
                <w:color w:val="auto"/>
                <w:sz w:val="24"/>
                <w:szCs w:val="24"/>
                <w:highlight w:val="none"/>
                <w:lang w:val="en-US" w:eastAsia="zh-CN"/>
              </w:rPr>
              <w:t>保证金缴纳账户信息</w:t>
            </w:r>
            <w:r>
              <w:rPr>
                <w:rFonts w:hint="eastAsia" w:ascii="宋体" w:hAnsi="宋体" w:eastAsia="宋体" w:cs="宋体"/>
                <w:b/>
                <w:bCs/>
                <w:color w:val="auto"/>
                <w:sz w:val="24"/>
                <w:szCs w:val="24"/>
                <w:highlight w:val="none"/>
                <w:lang w:val="en-US" w:eastAsia="zh-CN"/>
              </w:rPr>
              <w:t>如下：</w:t>
            </w:r>
          </w:p>
          <w:p w14:paraId="0A5584EA">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账户信息</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r>
              <w:rPr>
                <w:rFonts w:hint="eastAsia" w:ascii="宋体" w:hAnsi="宋体" w:cs="宋体"/>
                <w:b/>
                <w:bCs/>
                <w:color w:val="auto"/>
                <w:sz w:val="24"/>
                <w:szCs w:val="24"/>
                <w:highlight w:val="none"/>
                <w:lang w:val="en-US" w:eastAsia="zh-CN"/>
              </w:rPr>
              <w:t>。</w:t>
            </w:r>
          </w:p>
          <w:p w14:paraId="06335F5B">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注    意：本项目无须换取保证金收据，开标时</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须持能够证明其</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从其基本账户转出且已交存的有效凭证</w:t>
            </w:r>
            <w:r>
              <w:rPr>
                <w:rFonts w:hint="eastAsia" w:ascii="宋体" w:hAnsi="宋体" w:cs="宋体"/>
                <w:b/>
                <w:bCs/>
                <w:color w:val="auto"/>
                <w:sz w:val="24"/>
                <w:szCs w:val="24"/>
                <w:highlight w:val="none"/>
                <w:lang w:val="en-US" w:eastAsia="zh-CN"/>
              </w:rPr>
              <w:t>。</w:t>
            </w:r>
          </w:p>
          <w:p w14:paraId="6B724FE7">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提交</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应充分考虑资金在途时间。各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缴纳</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时须在附加信息及用途栏内注明“</w:t>
            </w:r>
            <w:r>
              <w:rPr>
                <w:rFonts w:hint="eastAsia" w:ascii="宋体" w:hAnsi="宋体" w:cs="宋体"/>
                <w:b w:val="0"/>
                <w:bCs w:val="0"/>
                <w:color w:val="auto"/>
                <w:sz w:val="24"/>
                <w:szCs w:val="24"/>
                <w:highlight w:val="none"/>
                <w:lang w:val="en-US" w:eastAsia="zh-CN"/>
              </w:rPr>
              <w:t>保证金+库尔勒市国土空间详细规划（城镇单元）（2025-2035年）项目</w:t>
            </w:r>
            <w:r>
              <w:rPr>
                <w:rFonts w:hint="eastAsia" w:ascii="宋体" w:hAnsi="宋体" w:eastAsia="宋体" w:cs="宋体"/>
                <w:b/>
                <w:bCs/>
                <w:color w:val="auto"/>
                <w:sz w:val="24"/>
                <w:szCs w:val="24"/>
                <w:highlight w:val="none"/>
                <w:lang w:val="en-US" w:eastAsia="zh-CN"/>
              </w:rPr>
              <w:t>”（以</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接收方银行到账信息为准）。</w:t>
            </w:r>
          </w:p>
          <w:p w14:paraId="3D6A72E7">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color w:val="auto"/>
                <w:kern w:val="2"/>
                <w:sz w:val="24"/>
                <w:szCs w:val="24"/>
                <w:highlight w:val="none"/>
                <w:lang w:val="en-US" w:bidi="ar-SA"/>
              </w:rPr>
            </w:pP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6</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若</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未按照上述规定缴纳</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将被拒绝评审。</w:t>
            </w:r>
          </w:p>
        </w:tc>
      </w:tr>
      <w:tr w14:paraId="5E9E3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trPr>
        <w:tc>
          <w:tcPr>
            <w:tcW w:w="1120" w:type="dxa"/>
            <w:vMerge w:val="continue"/>
            <w:tcBorders>
              <w:tl2br w:val="nil"/>
              <w:tr2bl w:val="nil"/>
            </w:tcBorders>
            <w:shd w:val="clear" w:color="auto" w:fill="auto"/>
            <w:noWrap w:val="0"/>
            <w:vAlign w:val="center"/>
          </w:tcPr>
          <w:p w14:paraId="24A1D18A">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p>
        </w:tc>
        <w:tc>
          <w:tcPr>
            <w:tcW w:w="2160" w:type="dxa"/>
            <w:tcBorders>
              <w:tl2br w:val="nil"/>
              <w:tr2bl w:val="nil"/>
            </w:tcBorders>
            <w:noWrap w:val="0"/>
            <w:vAlign w:val="center"/>
          </w:tcPr>
          <w:p w14:paraId="6BF19D26">
            <w:pPr>
              <w:keepNext w:val="0"/>
              <w:keepLines w:val="0"/>
              <w:pageBreakBefore w:val="0"/>
              <w:widowControl/>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保证金的退还</w:t>
            </w:r>
          </w:p>
          <w:p w14:paraId="656A185C">
            <w:pPr>
              <w:keepNext w:val="0"/>
              <w:keepLines w:val="0"/>
              <w:pageBreakBefore w:val="0"/>
              <w:widowControl/>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auto"/>
                <w:kern w:val="2"/>
                <w:sz w:val="24"/>
                <w:szCs w:val="24"/>
                <w:highlight w:val="none"/>
                <w:lang w:val="en-US" w:eastAsia="zh-CN" w:bidi="ar-SA"/>
              </w:rPr>
            </w:pPr>
          </w:p>
        </w:tc>
        <w:tc>
          <w:tcPr>
            <w:tcW w:w="6470" w:type="dxa"/>
            <w:tcBorders>
              <w:tl2br w:val="nil"/>
              <w:tr2bl w:val="nil"/>
            </w:tcBorders>
            <w:noWrap w:val="0"/>
            <w:vAlign w:val="center"/>
          </w:tcPr>
          <w:p w14:paraId="3896B30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lang w:val="en-US" w:eastAsia="zh-CN"/>
              </w:rPr>
              <w:t>，自</w:t>
            </w:r>
            <w:r>
              <w:rPr>
                <w:rFonts w:hint="eastAsia" w:ascii="宋体" w:hAnsi="宋体" w:cs="宋体"/>
                <w:color w:val="auto"/>
                <w:sz w:val="24"/>
                <w:szCs w:val="24"/>
                <w:highlight w:val="none"/>
                <w:lang w:val="en-US" w:eastAsia="zh-CN"/>
              </w:rPr>
              <w:t>成交通知书</w:t>
            </w:r>
            <w:r>
              <w:rPr>
                <w:rFonts w:hint="eastAsia" w:ascii="宋体" w:hAnsi="宋体" w:eastAsia="宋体" w:cs="宋体"/>
                <w:color w:val="auto"/>
                <w:sz w:val="24"/>
                <w:szCs w:val="24"/>
                <w:highlight w:val="none"/>
                <w:lang w:val="en-US" w:eastAsia="zh-CN"/>
              </w:rPr>
              <w:t>发出之日起5个工作日内原账户退还；</w:t>
            </w:r>
          </w:p>
          <w:p w14:paraId="2C614DA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lang w:val="en-US" w:eastAsia="zh-CN"/>
              </w:rPr>
              <w:t>业主方确认</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lang w:val="en-US" w:eastAsia="zh-CN"/>
              </w:rPr>
              <w:t>后自合同签订之日起5个工作日内</w:t>
            </w:r>
            <w:r>
              <w:rPr>
                <w:rFonts w:hint="eastAsia" w:ascii="宋体" w:hAnsi="宋体" w:eastAsia="宋体" w:cs="宋体"/>
                <w:color w:val="auto"/>
                <w:sz w:val="24"/>
                <w:szCs w:val="24"/>
                <w:highlight w:val="none"/>
                <w:lang w:val="zh-CN"/>
              </w:rPr>
              <w:t>退还</w:t>
            </w:r>
            <w:r>
              <w:rPr>
                <w:rFonts w:hint="eastAsia" w:ascii="宋体"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保证金</w:t>
            </w:r>
          </w:p>
          <w:p w14:paraId="6E7D701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账户问题导致无法正常时间内退付的，采购人和采购代理机构不承担相应责任；</w:t>
            </w:r>
          </w:p>
        </w:tc>
      </w:tr>
      <w:tr w14:paraId="76B78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4" w:hRule="atLeast"/>
        </w:trPr>
        <w:tc>
          <w:tcPr>
            <w:tcW w:w="1120" w:type="dxa"/>
            <w:tcBorders>
              <w:tl2br w:val="nil"/>
              <w:tr2bl w:val="nil"/>
            </w:tcBorders>
            <w:shd w:val="clear" w:color="auto" w:fill="auto"/>
            <w:noWrap w:val="0"/>
            <w:vAlign w:val="center"/>
          </w:tcPr>
          <w:p w14:paraId="661F8963">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60" w:type="dxa"/>
            <w:tcBorders>
              <w:tl2br w:val="nil"/>
              <w:tr2bl w:val="nil"/>
            </w:tcBorders>
            <w:noWrap w:val="0"/>
            <w:vAlign w:val="center"/>
          </w:tcPr>
          <w:p w14:paraId="0F400F3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近年财务状况的年份要求</w:t>
            </w:r>
          </w:p>
        </w:tc>
        <w:tc>
          <w:tcPr>
            <w:tcW w:w="6470" w:type="dxa"/>
            <w:tcBorders>
              <w:tl2br w:val="nil"/>
              <w:tr2bl w:val="nil"/>
            </w:tcBorders>
            <w:noWrap w:val="0"/>
            <w:vAlign w:val="center"/>
          </w:tcPr>
          <w:p w14:paraId="321DBA44">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或</w:t>
            </w:r>
            <w:r>
              <w:rPr>
                <w:rFonts w:hint="eastAsia" w:ascii="宋体" w:hAnsi="宋体" w:eastAsia="宋体" w:cs="宋体"/>
                <w:color w:val="auto"/>
                <w:kern w:val="2"/>
                <w:sz w:val="24"/>
                <w:szCs w:val="24"/>
                <w:highlight w:val="none"/>
                <w:lang w:val="en-US" w:bidi="ar-SA"/>
              </w:rPr>
              <w:t>20</w:t>
            </w: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bidi="ar-SA"/>
              </w:rPr>
              <w:t>年</w:t>
            </w:r>
          </w:p>
        </w:tc>
      </w:tr>
      <w:tr w14:paraId="66B8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7" w:hRule="atLeast"/>
        </w:trPr>
        <w:tc>
          <w:tcPr>
            <w:tcW w:w="1120" w:type="dxa"/>
            <w:tcBorders>
              <w:tl2br w:val="nil"/>
              <w:tr2bl w:val="nil"/>
            </w:tcBorders>
            <w:shd w:val="clear" w:color="auto" w:fill="auto"/>
            <w:noWrap w:val="0"/>
            <w:vAlign w:val="center"/>
          </w:tcPr>
          <w:p w14:paraId="492E7647">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60" w:type="dxa"/>
            <w:tcBorders>
              <w:tl2br w:val="nil"/>
              <w:tr2bl w:val="nil"/>
            </w:tcBorders>
            <w:noWrap w:val="0"/>
            <w:vAlign w:val="center"/>
          </w:tcPr>
          <w:p w14:paraId="5AB8457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类似项目的时间要求</w:t>
            </w:r>
          </w:p>
        </w:tc>
        <w:tc>
          <w:tcPr>
            <w:tcW w:w="6470" w:type="dxa"/>
            <w:tcBorders>
              <w:tl2br w:val="nil"/>
              <w:tr2bl w:val="nil"/>
            </w:tcBorders>
            <w:noWrap w:val="0"/>
            <w:vAlign w:val="center"/>
          </w:tcPr>
          <w:p w14:paraId="538ACF3A">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指20</w:t>
            </w: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bidi="ar-SA"/>
              </w:rPr>
              <w:t>年</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bidi="ar-SA"/>
              </w:rPr>
              <w:t>月至</w:t>
            </w:r>
            <w:r>
              <w:rPr>
                <w:rFonts w:hint="eastAsia" w:ascii="宋体" w:hAnsi="宋体" w:eastAsia="宋体" w:cs="宋体"/>
                <w:color w:val="auto"/>
                <w:kern w:val="2"/>
                <w:sz w:val="24"/>
                <w:szCs w:val="24"/>
                <w:highlight w:val="none"/>
                <w:lang w:val="en-US" w:eastAsia="zh-CN" w:bidi="ar-SA"/>
              </w:rPr>
              <w:t>今</w:t>
            </w:r>
          </w:p>
        </w:tc>
      </w:tr>
      <w:tr w14:paraId="3C6A3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trPr>
        <w:tc>
          <w:tcPr>
            <w:tcW w:w="1120" w:type="dxa"/>
            <w:tcBorders>
              <w:tl2br w:val="nil"/>
              <w:tr2bl w:val="nil"/>
            </w:tcBorders>
            <w:shd w:val="clear" w:color="auto" w:fill="auto"/>
            <w:noWrap w:val="0"/>
            <w:vAlign w:val="center"/>
          </w:tcPr>
          <w:p w14:paraId="541A88B8">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2160" w:type="dxa"/>
            <w:tcBorders>
              <w:tl2br w:val="nil"/>
              <w:tr2bl w:val="nil"/>
            </w:tcBorders>
            <w:noWrap w:val="0"/>
            <w:vAlign w:val="center"/>
          </w:tcPr>
          <w:p w14:paraId="295CE57B">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470" w:type="dxa"/>
            <w:tcBorders>
              <w:tl2br w:val="nil"/>
              <w:tr2bl w:val="nil"/>
            </w:tcBorders>
            <w:noWrap w:val="0"/>
            <w:vAlign w:val="center"/>
          </w:tcPr>
          <w:p w14:paraId="6C1F951A">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不允许</w:t>
            </w:r>
          </w:p>
        </w:tc>
      </w:tr>
      <w:tr w14:paraId="09DAC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1" w:hRule="atLeast"/>
        </w:trPr>
        <w:tc>
          <w:tcPr>
            <w:tcW w:w="1120" w:type="dxa"/>
            <w:tcBorders>
              <w:tl2br w:val="nil"/>
              <w:tr2bl w:val="nil"/>
            </w:tcBorders>
            <w:shd w:val="clear" w:color="auto" w:fill="auto"/>
            <w:noWrap w:val="0"/>
            <w:vAlign w:val="center"/>
          </w:tcPr>
          <w:p w14:paraId="065E72E5">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w:t>
            </w:r>
          </w:p>
        </w:tc>
        <w:tc>
          <w:tcPr>
            <w:tcW w:w="2160" w:type="dxa"/>
            <w:tcBorders>
              <w:tl2br w:val="nil"/>
              <w:tr2bl w:val="nil"/>
            </w:tcBorders>
            <w:noWrap w:val="0"/>
            <w:vAlign w:val="center"/>
          </w:tcPr>
          <w:p w14:paraId="3175A96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val="en-US" w:eastAsia="zh-CN"/>
              </w:rPr>
              <w:t>说明</w:t>
            </w:r>
          </w:p>
        </w:tc>
        <w:tc>
          <w:tcPr>
            <w:tcW w:w="6470" w:type="dxa"/>
            <w:tcBorders>
              <w:tl2br w:val="nil"/>
              <w:tr2bl w:val="nil"/>
            </w:tcBorders>
            <w:noWrap w:val="0"/>
            <w:vAlign w:val="center"/>
          </w:tcPr>
          <w:p w14:paraId="7DC92865">
            <w:pPr>
              <w:keepNext w:val="0"/>
              <w:keepLines w:val="0"/>
              <w:pageBreakBefore w:val="0"/>
              <w:widowControl/>
              <w:kinsoku/>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提前自学线上开标流程；</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rPr>
              <w:t>当天，线上开标环节，</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解密时长30分钟，请各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请自带笔记本电脑及CA锁网上进行文件解密以及操作投标事项，请</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提前调试好在线参标电脑各项配置。</w:t>
            </w:r>
          </w:p>
          <w:p w14:paraId="2337E3D4">
            <w:pPr>
              <w:keepNext w:val="0"/>
              <w:keepLines w:val="0"/>
              <w:pageBreakBefore w:val="0"/>
              <w:widowControl/>
              <w:kinsoku/>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中采购清单、技术需求等如有偏差，如有疑义请澄清中及时提出；否则视为充分理解</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各项要求。</w:t>
            </w:r>
          </w:p>
          <w:p w14:paraId="570DD5FE">
            <w:pPr>
              <w:keepNext w:val="0"/>
              <w:keepLines w:val="0"/>
              <w:pageBreakBefore w:val="0"/>
              <w:widowControl/>
              <w:kinsoku/>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3.本次采用政府采购云平台线上招标、投标，请各潜在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及时办理CA锁和学习政府采购云平台线上投标相关知识。请在政府采购云平台登录后，进行下载</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。请各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商文件</w:t>
            </w:r>
            <w:r>
              <w:rPr>
                <w:rFonts w:hint="eastAsia" w:ascii="宋体" w:hAnsi="宋体" w:eastAsia="宋体" w:cs="宋体"/>
                <w:color w:val="auto"/>
                <w:sz w:val="24"/>
                <w:szCs w:val="24"/>
                <w:highlight w:val="none"/>
              </w:rPr>
              <w:t>后及时关注云平台答疑文件获取栏目。具体相关事宜见政府采购云平台。本项目采用资格后审，请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仔细阅读</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和各项要求，制作文件及相关资料过程中，若因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资格条件不符、提供资料不全等原因导致</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予以退还，责任自负。</w:t>
            </w:r>
          </w:p>
          <w:p w14:paraId="27DB3B58">
            <w:pPr>
              <w:pStyle w:val="47"/>
              <w:keepNext w:val="0"/>
              <w:keepLines w:val="0"/>
              <w:pageBreakBefore w:val="0"/>
              <w:widowControl/>
              <w:numPr>
                <w:ilvl w:val="0"/>
                <w:numId w:val="0"/>
              </w:numPr>
              <w:kinsoku/>
              <w:wordWrap/>
              <w:overflowPunct/>
              <w:topLinePunct w:val="0"/>
              <w:bidi w:val="0"/>
              <w:spacing w:before="74" w:line="400" w:lineRule="exact"/>
              <w:ind w:leftChars="0" w:right="42" w:rightChars="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中如有内容冲突的地方，以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须知要求为准。</w:t>
            </w:r>
          </w:p>
        </w:tc>
      </w:tr>
      <w:tr w14:paraId="56595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120" w:type="dxa"/>
            <w:tcBorders>
              <w:tl2br w:val="nil"/>
              <w:tr2bl w:val="nil"/>
            </w:tcBorders>
            <w:shd w:val="clear" w:color="auto" w:fill="auto"/>
            <w:noWrap w:val="0"/>
            <w:vAlign w:val="center"/>
          </w:tcPr>
          <w:p w14:paraId="34978D0A">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29</w:t>
            </w:r>
          </w:p>
        </w:tc>
        <w:tc>
          <w:tcPr>
            <w:tcW w:w="2160" w:type="dxa"/>
            <w:tcBorders>
              <w:tl2br w:val="nil"/>
              <w:tr2bl w:val="nil"/>
            </w:tcBorders>
            <w:noWrap w:val="0"/>
            <w:vAlign w:val="center"/>
          </w:tcPr>
          <w:p w14:paraId="0EBB9114">
            <w:pPr>
              <w:keepNext w:val="0"/>
              <w:keepLines w:val="0"/>
              <w:pageBreakBefore w:val="0"/>
              <w:widowControl/>
              <w:kinsoku/>
              <w:wordWrap/>
              <w:overflowPunct/>
              <w:topLinePunct w:val="0"/>
              <w:bidi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的份数</w:t>
            </w:r>
          </w:p>
        </w:tc>
        <w:tc>
          <w:tcPr>
            <w:tcW w:w="6470" w:type="dxa"/>
            <w:tcBorders>
              <w:tl2br w:val="nil"/>
              <w:tr2bl w:val="nil"/>
            </w:tcBorders>
            <w:noWrap w:val="0"/>
            <w:vAlign w:val="center"/>
          </w:tcPr>
          <w:p w14:paraId="085FB084">
            <w:pPr>
              <w:keepNext w:val="0"/>
              <w:keepLines w:val="0"/>
              <w:pageBreakBefore w:val="0"/>
              <w:widowControl/>
              <w:kinsoku/>
              <w:wordWrap/>
              <w:overflowPunct/>
              <w:topLinePunct w:val="0"/>
              <w:bidi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中标人提供纸质版文件一</w:t>
            </w:r>
            <w:r>
              <w:rPr>
                <w:rFonts w:hint="eastAsia" w:ascii="宋体" w:hAnsi="宋体" w:cs="宋体"/>
                <w:color w:val="auto"/>
                <w:sz w:val="24"/>
                <w:szCs w:val="24"/>
                <w:highlight w:val="none"/>
                <w:lang w:val="en-US" w:eastAsia="zh-CN"/>
              </w:rPr>
              <w:t>正三副</w:t>
            </w:r>
            <w:r>
              <w:rPr>
                <w:rFonts w:hint="eastAsia" w:ascii="宋体" w:hAnsi="宋体" w:eastAsia="宋体" w:cs="宋体"/>
                <w:color w:val="auto"/>
                <w:sz w:val="24"/>
                <w:szCs w:val="24"/>
                <w:highlight w:val="none"/>
                <w:lang w:val="en-US" w:eastAsia="zh-CN"/>
              </w:rPr>
              <w:t>及电子版U盘一份于中标公示期递交(寄送)至</w:t>
            </w:r>
            <w:r>
              <w:rPr>
                <w:rFonts w:hint="eastAsia" w:ascii="宋体" w:hAnsi="宋体" w:cs="宋体"/>
                <w:color w:val="auto"/>
                <w:sz w:val="24"/>
                <w:szCs w:val="24"/>
                <w:highlight w:val="none"/>
                <w:lang w:val="zh-CN" w:eastAsia="zh-CN"/>
              </w:rPr>
              <w:t>新疆国腾工程项目管理咨询有限公司</w:t>
            </w:r>
          </w:p>
        </w:tc>
      </w:tr>
      <w:tr w14:paraId="57942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1120" w:type="dxa"/>
            <w:tcBorders>
              <w:tl2br w:val="nil"/>
              <w:tr2bl w:val="nil"/>
            </w:tcBorders>
            <w:shd w:val="clear" w:color="auto" w:fill="auto"/>
            <w:noWrap w:val="0"/>
            <w:vAlign w:val="center"/>
          </w:tcPr>
          <w:p w14:paraId="3F25A840">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60" w:type="dxa"/>
            <w:tcBorders>
              <w:tl2br w:val="nil"/>
              <w:tr2bl w:val="nil"/>
            </w:tcBorders>
            <w:noWrap w:val="0"/>
            <w:vAlign w:val="center"/>
          </w:tcPr>
          <w:p w14:paraId="022DA874">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投标截止时间</w:t>
            </w:r>
          </w:p>
        </w:tc>
        <w:tc>
          <w:tcPr>
            <w:tcW w:w="6470" w:type="dxa"/>
            <w:tcBorders>
              <w:tl2br w:val="nil"/>
              <w:tr2bl w:val="nil"/>
            </w:tcBorders>
            <w:noWrap w:val="0"/>
            <w:vAlign w:val="center"/>
          </w:tcPr>
          <w:p w14:paraId="7A25C60E">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日 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（北京时间）</w:t>
            </w:r>
          </w:p>
        </w:tc>
      </w:tr>
      <w:tr w14:paraId="312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5" w:hRule="atLeast"/>
        </w:trPr>
        <w:tc>
          <w:tcPr>
            <w:tcW w:w="1120" w:type="dxa"/>
            <w:tcBorders>
              <w:tl2br w:val="nil"/>
              <w:tr2bl w:val="nil"/>
            </w:tcBorders>
            <w:shd w:val="clear" w:color="auto" w:fill="auto"/>
            <w:noWrap w:val="0"/>
            <w:vAlign w:val="center"/>
          </w:tcPr>
          <w:p w14:paraId="7F296483">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31</w:t>
            </w:r>
          </w:p>
        </w:tc>
        <w:tc>
          <w:tcPr>
            <w:tcW w:w="2160" w:type="dxa"/>
            <w:tcBorders>
              <w:tl2br w:val="nil"/>
              <w:tr2bl w:val="nil"/>
            </w:tcBorders>
            <w:noWrap w:val="0"/>
            <w:vAlign w:val="center"/>
          </w:tcPr>
          <w:p w14:paraId="2AC2CFDC">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递交</w:t>
            </w:r>
            <w:r>
              <w:rPr>
                <w:rFonts w:hint="eastAsia" w:ascii="宋体" w:hAnsi="宋体" w:cs="宋体"/>
                <w:color w:val="auto"/>
                <w:sz w:val="24"/>
                <w:szCs w:val="24"/>
                <w:highlight w:val="none"/>
                <w:lang w:eastAsia="zh-CN"/>
              </w:rPr>
              <w:t>响应文件</w:t>
            </w:r>
          </w:p>
        </w:tc>
        <w:tc>
          <w:tcPr>
            <w:tcW w:w="6470" w:type="dxa"/>
            <w:tcBorders>
              <w:tl2br w:val="nil"/>
              <w:tr2bl w:val="nil"/>
            </w:tcBorders>
            <w:noWrap w:val="0"/>
            <w:vAlign w:val="center"/>
          </w:tcPr>
          <w:p w14:paraId="43C6F48C">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政采云线上开标大厅（https://www.zcygov.cn在线投标）</w:t>
            </w:r>
          </w:p>
          <w:p w14:paraId="18A021D8">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需将加密的</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上传至政采云平台，到达开标时间后，解密</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w:t>
            </w:r>
          </w:p>
        </w:tc>
      </w:tr>
      <w:tr w14:paraId="4BB5E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trPr>
        <w:tc>
          <w:tcPr>
            <w:tcW w:w="1120" w:type="dxa"/>
            <w:tcBorders>
              <w:tl2br w:val="nil"/>
              <w:tr2bl w:val="nil"/>
            </w:tcBorders>
            <w:shd w:val="clear" w:color="auto" w:fill="auto"/>
            <w:noWrap w:val="0"/>
            <w:vAlign w:val="center"/>
          </w:tcPr>
          <w:p w14:paraId="539A6CD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w:t>
            </w:r>
          </w:p>
        </w:tc>
        <w:tc>
          <w:tcPr>
            <w:tcW w:w="2160" w:type="dxa"/>
            <w:tcBorders>
              <w:tl2br w:val="nil"/>
              <w:tr2bl w:val="nil"/>
            </w:tcBorders>
            <w:noWrap w:val="0"/>
            <w:vAlign w:val="center"/>
          </w:tcPr>
          <w:p w14:paraId="08B41CA1">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470" w:type="dxa"/>
            <w:tcBorders>
              <w:tl2br w:val="nil"/>
              <w:tr2bl w:val="nil"/>
            </w:tcBorders>
            <w:noWrap w:val="0"/>
            <w:vAlign w:val="center"/>
          </w:tcPr>
          <w:p w14:paraId="70D6A94B">
            <w:pPr>
              <w:pStyle w:val="47"/>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202</w:t>
            </w: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年</w:t>
            </w: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月</w:t>
            </w:r>
            <w:r>
              <w:rPr>
                <w:rFonts w:hint="eastAsia" w:ascii="宋体" w:hAnsi="宋体" w:cs="宋体"/>
                <w:b w:val="0"/>
                <w:bCs/>
                <w:color w:val="auto"/>
                <w:kern w:val="2"/>
                <w:sz w:val="24"/>
                <w:szCs w:val="24"/>
                <w:highlight w:val="none"/>
                <w:lang w:val="en-US" w:eastAsia="zh-CN" w:bidi="ar-SA"/>
              </w:rPr>
              <w:t>15</w:t>
            </w:r>
            <w:r>
              <w:rPr>
                <w:rFonts w:hint="eastAsia" w:ascii="宋体" w:hAnsi="宋体" w:eastAsia="宋体" w:cs="宋体"/>
                <w:b w:val="0"/>
                <w:bCs/>
                <w:color w:val="auto"/>
                <w:kern w:val="2"/>
                <w:sz w:val="24"/>
                <w:szCs w:val="24"/>
                <w:highlight w:val="none"/>
                <w:lang w:val="en-US" w:eastAsia="zh-CN" w:bidi="ar-SA"/>
              </w:rPr>
              <w:t xml:space="preserve">日 </w:t>
            </w:r>
            <w:r>
              <w:rPr>
                <w:rFonts w:hint="eastAsia" w:ascii="宋体" w:hAnsi="宋体" w:cs="宋体"/>
                <w:b w:val="0"/>
                <w:bCs/>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0（北京时间），开标后30分钟内</w:t>
            </w:r>
            <w:r>
              <w:rPr>
                <w:rFonts w:hint="eastAsia" w:ascii="宋体" w:hAnsi="宋体" w:cs="宋体"/>
                <w:b w:val="0"/>
                <w:bCs/>
                <w:color w:val="auto"/>
                <w:kern w:val="2"/>
                <w:sz w:val="24"/>
                <w:szCs w:val="24"/>
                <w:highlight w:val="none"/>
                <w:lang w:val="en-US" w:eastAsia="zh-CN" w:bidi="ar-SA"/>
              </w:rPr>
              <w:t>供应商</w:t>
            </w:r>
            <w:r>
              <w:rPr>
                <w:rFonts w:hint="eastAsia" w:ascii="宋体" w:hAnsi="宋体" w:eastAsia="宋体" w:cs="宋体"/>
                <w:b w:val="0"/>
                <w:bCs/>
                <w:color w:val="auto"/>
                <w:kern w:val="2"/>
                <w:sz w:val="24"/>
                <w:szCs w:val="24"/>
                <w:highlight w:val="none"/>
                <w:lang w:val="en-US" w:eastAsia="zh-CN" w:bidi="ar-SA"/>
              </w:rPr>
              <w:t>需在线解密</w:t>
            </w:r>
            <w:r>
              <w:rPr>
                <w:rFonts w:hint="eastAsia" w:ascii="宋体" w:hAnsi="宋体" w:cs="宋体"/>
                <w:b w:val="0"/>
                <w:bCs/>
                <w:color w:val="auto"/>
                <w:kern w:val="2"/>
                <w:sz w:val="24"/>
                <w:szCs w:val="24"/>
                <w:highlight w:val="none"/>
                <w:lang w:val="en-US" w:eastAsia="zh-CN" w:bidi="ar-SA"/>
              </w:rPr>
              <w:t>响应文件</w:t>
            </w:r>
            <w:r>
              <w:rPr>
                <w:rFonts w:hint="eastAsia" w:ascii="宋体" w:hAnsi="宋体" w:eastAsia="宋体" w:cs="宋体"/>
                <w:b w:val="0"/>
                <w:bCs/>
                <w:color w:val="auto"/>
                <w:kern w:val="2"/>
                <w:sz w:val="24"/>
                <w:szCs w:val="24"/>
                <w:highlight w:val="none"/>
                <w:lang w:val="en-US" w:eastAsia="zh-CN" w:bidi="ar-SA"/>
              </w:rPr>
              <w:t>。</w:t>
            </w:r>
          </w:p>
        </w:tc>
      </w:tr>
      <w:tr w14:paraId="7B4CC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6" w:hRule="atLeast"/>
        </w:trPr>
        <w:tc>
          <w:tcPr>
            <w:tcW w:w="1120" w:type="dxa"/>
            <w:tcBorders>
              <w:tl2br w:val="nil"/>
              <w:tr2bl w:val="nil"/>
            </w:tcBorders>
            <w:shd w:val="clear" w:color="auto" w:fill="auto"/>
            <w:noWrap w:val="0"/>
            <w:vAlign w:val="center"/>
          </w:tcPr>
          <w:p w14:paraId="5133801E">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33</w:t>
            </w:r>
          </w:p>
        </w:tc>
        <w:tc>
          <w:tcPr>
            <w:tcW w:w="2160" w:type="dxa"/>
            <w:tcBorders>
              <w:tl2br w:val="nil"/>
              <w:tr2bl w:val="nil"/>
            </w:tcBorders>
            <w:noWrap w:val="0"/>
            <w:vAlign w:val="center"/>
          </w:tcPr>
          <w:p w14:paraId="49366EA5">
            <w:pPr>
              <w:keepNext w:val="0"/>
              <w:keepLines w:val="0"/>
              <w:pageBreakBefore w:val="0"/>
              <w:widowControl/>
              <w:kinsoku/>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通讯联系</w:t>
            </w:r>
          </w:p>
        </w:tc>
        <w:tc>
          <w:tcPr>
            <w:tcW w:w="6470" w:type="dxa"/>
            <w:tcBorders>
              <w:tl2br w:val="nil"/>
              <w:tr2bl w:val="nil"/>
            </w:tcBorders>
            <w:noWrap w:val="0"/>
            <w:vAlign w:val="center"/>
          </w:tcPr>
          <w:p w14:paraId="30F1DCF4">
            <w:pPr>
              <w:keepNext w:val="0"/>
              <w:keepLines w:val="0"/>
              <w:pageBreakBefore w:val="0"/>
              <w:widowControl/>
              <w:kinsoku/>
              <w:wordWrap/>
              <w:overflowPunct/>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自递交</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之时起至</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结束止，应确保其提供的联系方式一直保持有效和畅通，以保证在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期间需进行往来函件（</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的澄清等）或与</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有关事宜能及时通知或发送给</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，并能及时反馈信息。否则，招标人（或采购代理机构）不承担由此（提供的联系方式无效或通讯不畅、无法联系等）引起的一切后果。</w:t>
            </w:r>
          </w:p>
        </w:tc>
      </w:tr>
      <w:tr w14:paraId="2651B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2" w:hRule="atLeast"/>
        </w:trPr>
        <w:tc>
          <w:tcPr>
            <w:tcW w:w="1120" w:type="dxa"/>
            <w:tcBorders>
              <w:tl2br w:val="nil"/>
              <w:tr2bl w:val="nil"/>
            </w:tcBorders>
            <w:shd w:val="clear" w:color="auto" w:fill="auto"/>
            <w:noWrap w:val="0"/>
            <w:vAlign w:val="center"/>
          </w:tcPr>
          <w:p w14:paraId="6FB99E62">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34</w:t>
            </w:r>
          </w:p>
        </w:tc>
        <w:tc>
          <w:tcPr>
            <w:tcW w:w="2160" w:type="dxa"/>
            <w:vAlign w:val="center"/>
          </w:tcPr>
          <w:p w14:paraId="36F6183D">
            <w:pPr>
              <w:keepNext w:val="0"/>
              <w:keepLines w:val="0"/>
              <w:pageBreakBefore w:val="0"/>
              <w:widowControl/>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代理服务费</w:t>
            </w:r>
          </w:p>
        </w:tc>
        <w:tc>
          <w:tcPr>
            <w:tcW w:w="6470" w:type="dxa"/>
            <w:vAlign w:val="center"/>
          </w:tcPr>
          <w:p w14:paraId="261844FC">
            <w:pPr>
              <w:keepNext w:val="0"/>
              <w:keepLines w:val="0"/>
              <w:pageBreakBefore w:val="0"/>
              <w:widowControl/>
              <w:kinsoku/>
              <w:wordWrap/>
              <w:overflowPunct/>
              <w:topLinePunct w:val="0"/>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代理报酬的计算方法：</w:t>
            </w:r>
          </w:p>
          <w:p w14:paraId="36D7097D">
            <w:pPr>
              <w:keepNext w:val="0"/>
              <w:keepLines w:val="0"/>
              <w:pageBreakBefore w:val="0"/>
              <w:widowControl/>
              <w:kinsoku/>
              <w:wordWrap/>
              <w:overflowPunct/>
              <w:topLinePunct w:val="0"/>
              <w:bidi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eastAsia="zh-CN"/>
              </w:rPr>
              <w:t>）1、发改价格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2015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299号文执行</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预算金额在100万以下的，招标服务费按1.5%计算；100万到500万的，按1.1%计算；500万到1000万的，按0.45%计算；1000万到5000万的，按0.25%计算；5000万到10000万的，按0.1%计算；</w:t>
            </w:r>
          </w:p>
          <w:p w14:paraId="70F81F8B">
            <w:pPr>
              <w:keepNext w:val="0"/>
              <w:keepLines w:val="0"/>
              <w:pageBreakBefore w:val="0"/>
              <w:widowControl/>
              <w:kinsoku/>
              <w:wordWrap/>
              <w:overflowPunct/>
              <w:topLinePunct w:val="0"/>
              <w:bidi w:val="0"/>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eastAsia="zh-CN"/>
              </w:rPr>
              <w:t>2、代理报酬支付：由</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val="zh-CN" w:eastAsia="zh-CN"/>
              </w:rPr>
              <w:t>人</w:t>
            </w:r>
            <w:r>
              <w:rPr>
                <w:rFonts w:hint="eastAsia" w:ascii="宋体" w:hAnsi="宋体" w:eastAsia="宋体" w:cs="宋体"/>
                <w:color w:val="auto"/>
                <w:sz w:val="24"/>
                <w:szCs w:val="24"/>
                <w:highlight w:val="none"/>
                <w:lang w:val="zh-CN" w:eastAsia="zh-CN"/>
              </w:rPr>
              <w:t>支付</w:t>
            </w:r>
          </w:p>
          <w:p w14:paraId="4F2DC2C5">
            <w:pPr>
              <w:keepNext w:val="0"/>
              <w:keepLines w:val="0"/>
              <w:pageBreakBefore w:val="0"/>
              <w:widowControl/>
              <w:suppressLineNumbers w:val="0"/>
              <w:kinsoku/>
              <w:wordWrap/>
              <w:overflowPunct/>
              <w:topLinePunct w:val="0"/>
              <w:bidi w:val="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3、代理报酬的支付时间：由</w:t>
            </w:r>
            <w:r>
              <w:rPr>
                <w:rFonts w:hint="eastAsia" w:ascii="宋体" w:hAnsi="宋体" w:cs="宋体"/>
                <w:color w:val="auto"/>
                <w:sz w:val="24"/>
                <w:szCs w:val="24"/>
                <w:highlight w:val="none"/>
                <w:lang w:val="zh-CN" w:eastAsia="zh-CN"/>
              </w:rPr>
              <w:t>中标人</w:t>
            </w:r>
            <w:r>
              <w:rPr>
                <w:rFonts w:hint="eastAsia" w:ascii="宋体" w:hAnsi="宋体" w:eastAsia="宋体" w:cs="宋体"/>
                <w:color w:val="auto"/>
                <w:sz w:val="24"/>
                <w:szCs w:val="24"/>
                <w:highlight w:val="none"/>
                <w:lang w:val="zh-CN" w:eastAsia="zh-CN"/>
              </w:rPr>
              <w:t>领取中标（成交）通知书前支付。</w:t>
            </w:r>
          </w:p>
          <w:p w14:paraId="67E1C351">
            <w:pPr>
              <w:keepNext w:val="0"/>
              <w:keepLines w:val="0"/>
              <w:pageBreakBefore w:val="0"/>
              <w:widowControl/>
              <w:suppressLineNumbers w:val="0"/>
              <w:kinsoku/>
              <w:wordWrap/>
              <w:overflowPunct/>
              <w:topLinePunct w:val="0"/>
              <w:bidi w:val="0"/>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kern w:val="0"/>
                <w:sz w:val="24"/>
                <w:szCs w:val="24"/>
                <w:highlight w:val="none"/>
                <w:lang w:val="en-US" w:eastAsia="zh-CN" w:bidi="ar"/>
              </w:rPr>
              <w:t>不论投标的结果如何，</w:t>
            </w:r>
            <w:r>
              <w:rPr>
                <w:rFonts w:hint="eastAsia" w:ascii="宋体" w:hAnsi="宋体" w:cs="宋体"/>
                <w:b/>
                <w:bCs/>
                <w:color w:val="auto"/>
                <w:kern w:val="0"/>
                <w:sz w:val="24"/>
                <w:szCs w:val="24"/>
                <w:highlight w:val="none"/>
                <w:lang w:val="en-US" w:eastAsia="zh-CN" w:bidi="ar"/>
              </w:rPr>
              <w:t>供应商</w:t>
            </w:r>
            <w:r>
              <w:rPr>
                <w:rFonts w:hint="eastAsia" w:ascii="宋体" w:hAnsi="宋体" w:eastAsia="宋体" w:cs="宋体"/>
                <w:b/>
                <w:bCs/>
                <w:color w:val="auto"/>
                <w:kern w:val="0"/>
                <w:sz w:val="24"/>
                <w:szCs w:val="24"/>
                <w:highlight w:val="none"/>
                <w:lang w:val="en-US" w:eastAsia="zh-CN" w:bidi="ar"/>
              </w:rPr>
              <w:t>均应自行承担所有与参加投标有关的全部费用。</w:t>
            </w:r>
          </w:p>
        </w:tc>
      </w:tr>
      <w:tr w14:paraId="3CE94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5" w:hRule="atLeast"/>
        </w:trPr>
        <w:tc>
          <w:tcPr>
            <w:tcW w:w="1120" w:type="dxa"/>
            <w:vAlign w:val="center"/>
          </w:tcPr>
          <w:p w14:paraId="0CADF8CA">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160" w:type="dxa"/>
            <w:vAlign w:val="center"/>
          </w:tcPr>
          <w:p w14:paraId="0DC1F151">
            <w:pPr>
              <w:keepNext w:val="0"/>
              <w:keepLines w:val="0"/>
              <w:pageBreakBefore w:val="0"/>
              <w:widowControl/>
              <w:kinsoku/>
              <w:wordWrap/>
              <w:overflowPunct/>
              <w:topLinePunct w:val="0"/>
              <w:bidi w:val="0"/>
              <w:jc w:val="center"/>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政府采购政策支持</w:t>
            </w:r>
          </w:p>
        </w:tc>
        <w:tc>
          <w:tcPr>
            <w:tcW w:w="6470" w:type="dxa"/>
            <w:vAlign w:val="center"/>
          </w:tcPr>
          <w:p w14:paraId="41554B13">
            <w:pPr>
              <w:pStyle w:val="42"/>
              <w:keepNext w:val="0"/>
              <w:keepLines w:val="0"/>
              <w:pageBreakBefore w:val="0"/>
              <w:widowControl/>
              <w:kinsoku/>
              <w:wordWrap/>
              <w:overflowPunct/>
              <w:topLinePunct w:val="0"/>
              <w:bidi w:val="0"/>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1.促进中小企业发展政策：根据《政府采购促进中小企业发展管理办法》规定，小型或微型企业且报价产品为小型或微型企业生产的，将对该报价产品的评标报价给予10%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14:paraId="23746D6B">
            <w:pPr>
              <w:pStyle w:val="43"/>
              <w:keepNext w:val="0"/>
              <w:keepLines w:val="0"/>
              <w:pageBreakBefore w:val="0"/>
              <w:widowControl/>
              <w:kinsoku/>
              <w:wordWrap/>
              <w:overflowPunct/>
              <w:topLinePunct w:val="0"/>
              <w:bidi w:val="0"/>
              <w:rPr>
                <w:rFonts w:hint="eastAsia" w:ascii="宋体" w:hAnsi="Times New Roman" w:eastAsia="宋体" w:cs="Times New Roman"/>
                <w:b/>
                <w:bCs/>
                <w:color w:val="auto"/>
                <w:kern w:val="0"/>
                <w:sz w:val="24"/>
                <w:szCs w:val="20"/>
                <w:highlight w:val="none"/>
                <w:lang w:val="en-US" w:eastAsia="zh-CN" w:bidi="ar-SA"/>
              </w:rPr>
            </w:pPr>
            <w:r>
              <w:rPr>
                <w:rFonts w:hint="eastAsia" w:ascii="宋体" w:hAnsi="Times New Roman" w:eastAsia="宋体" w:cs="Times New Roman"/>
                <w:b/>
                <w:bCs/>
                <w:color w:val="auto"/>
                <w:kern w:val="0"/>
                <w:sz w:val="24"/>
                <w:szCs w:val="20"/>
                <w:highlight w:val="none"/>
                <w:lang w:val="en-US" w:eastAsia="zh-CN" w:bidi="ar-SA"/>
              </w:rPr>
              <w:t>注：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C4F7037">
            <w:pPr>
              <w:pStyle w:val="42"/>
              <w:keepNext w:val="0"/>
              <w:keepLines w:val="0"/>
              <w:pageBreakBefore w:val="0"/>
              <w:widowControl/>
              <w:kinsoku/>
              <w:wordWrap/>
              <w:overflowPunct/>
              <w:topLinePunct w:val="0"/>
              <w:bidi w:val="0"/>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2.监狱企业扶持政策：供应商如为监狱企业将视同小型或微型企业，且报价产品为小型或微型企业生产的，将对该产品的评标报价给予10%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14:paraId="2494DDE9">
            <w:pPr>
              <w:pStyle w:val="42"/>
              <w:keepNext w:val="0"/>
              <w:keepLines w:val="0"/>
              <w:pageBreakBefore w:val="0"/>
              <w:widowControl/>
              <w:kinsoku/>
              <w:wordWrap/>
              <w:overflowPunct/>
              <w:topLinePunct w:val="0"/>
              <w:bidi w:val="0"/>
              <w:ind w:left="0" w:leftChars="0" w:firstLine="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3.残疾人福利性单位视同小型、微型企业。不重复享受政策。</w:t>
            </w:r>
          </w:p>
          <w:p w14:paraId="59B815A3">
            <w:pPr>
              <w:pStyle w:val="42"/>
              <w:keepNext w:val="0"/>
              <w:keepLines w:val="0"/>
              <w:pageBreakBefore w:val="0"/>
              <w:widowControl/>
              <w:kinsoku/>
              <w:wordWrap/>
              <w:overflowPunct/>
              <w:topLinePunct w:val="0"/>
              <w:bidi w:val="0"/>
              <w:ind w:left="0" w:leftChars="0" w:firstLine="0" w:firstLineChars="0"/>
              <w:rPr>
                <w:rFonts w:hint="eastAsia"/>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列入财政部会同国务院有关部门发布的节能产品、环境标志产品品目清单，供应商应当提供国家确定的认证机构出具的、处于有效期之内的节能产品、环境标志产品认证证书。</w:t>
            </w:r>
          </w:p>
        </w:tc>
      </w:tr>
      <w:tr w14:paraId="49005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1120" w:type="dxa"/>
            <w:vAlign w:val="center"/>
          </w:tcPr>
          <w:p w14:paraId="1788D508">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p>
        </w:tc>
        <w:tc>
          <w:tcPr>
            <w:tcW w:w="2160" w:type="dxa"/>
            <w:vAlign w:val="center"/>
          </w:tcPr>
          <w:p w14:paraId="793A18DE">
            <w:pPr>
              <w:keepNext w:val="0"/>
              <w:keepLines w:val="0"/>
              <w:pageBreakBefore w:val="0"/>
              <w:widowControl/>
              <w:kinsoku/>
              <w:wordWrap/>
              <w:overflowPunct/>
              <w:topLinePunct w:val="0"/>
              <w:bidi w:val="0"/>
              <w:jc w:val="center"/>
              <w:rPr>
                <w:rFonts w:hint="default" w:ascii="宋体" w:hAnsi="宋体" w:cs="宋体"/>
                <w:b w:val="0"/>
                <w:bCs w:val="0"/>
                <w:color w:val="auto"/>
                <w:sz w:val="24"/>
                <w:szCs w:val="24"/>
                <w:highlight w:val="none"/>
                <w:lang w:val="en-US" w:eastAsia="zh-CN"/>
              </w:rPr>
            </w:pPr>
            <w:r>
              <w:rPr>
                <w:rFonts w:hint="eastAsia" w:ascii="宋体" w:hAnsi="宋体" w:eastAsia="宋体" w:cs="宋体"/>
                <w:b/>
                <w:color w:val="auto"/>
                <w:kern w:val="0"/>
                <w:sz w:val="24"/>
                <w:highlight w:val="none"/>
                <w:lang w:val="en-US" w:eastAsia="zh-CN"/>
              </w:rPr>
              <w:t>踏勘</w:t>
            </w:r>
          </w:p>
        </w:tc>
        <w:tc>
          <w:tcPr>
            <w:tcW w:w="6470" w:type="dxa"/>
            <w:vAlign w:val="center"/>
          </w:tcPr>
          <w:p w14:paraId="4AC9BAED">
            <w:pPr>
              <w:pStyle w:val="42"/>
              <w:keepNext w:val="0"/>
              <w:keepLines w:val="0"/>
              <w:pageBreakBefore w:val="0"/>
              <w:widowControl/>
              <w:kinsoku/>
              <w:wordWrap/>
              <w:overflowPunct/>
              <w:topLinePunct w:val="0"/>
              <w:bidi w:val="0"/>
              <w:ind w:left="0" w:leftChars="0" w:firstLine="0" w:firstLineChars="0"/>
              <w:rPr>
                <w:rFonts w:hint="eastAsia"/>
                <w:b w:val="0"/>
                <w:bCs w:val="0"/>
                <w:color w:val="auto"/>
                <w:highlight w:val="none"/>
                <w:lang w:val="en-US" w:eastAsia="zh-CN"/>
              </w:rPr>
            </w:pPr>
            <w:r>
              <w:rPr>
                <w:rFonts w:hint="eastAsia" w:hAnsi="宋体" w:cs="宋体"/>
                <w:color w:val="auto"/>
                <w:sz w:val="24"/>
                <w:highlight w:val="none"/>
                <w:lang w:val="en-US" w:eastAsia="zh-CN"/>
              </w:rPr>
              <w:t>本项目</w:t>
            </w:r>
            <w:r>
              <w:rPr>
                <w:rFonts w:hint="eastAsia" w:ascii="宋体" w:hAnsi="宋体" w:eastAsia="宋体" w:cs="宋体"/>
                <w:color w:val="auto"/>
                <w:sz w:val="24"/>
                <w:highlight w:val="none"/>
                <w:lang w:val="en-US" w:eastAsia="zh-CN"/>
              </w:rPr>
              <w:t>不组织踏勘</w:t>
            </w:r>
            <w:r>
              <w:rPr>
                <w:rFonts w:hint="eastAsia" w:hAnsi="宋体" w:cs="宋体"/>
                <w:color w:val="auto"/>
                <w:sz w:val="24"/>
                <w:highlight w:val="none"/>
                <w:lang w:val="en-US" w:eastAsia="zh-CN"/>
              </w:rPr>
              <w:t>。</w:t>
            </w:r>
          </w:p>
        </w:tc>
      </w:tr>
      <w:tr w14:paraId="5B2E3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1120" w:type="dxa"/>
            <w:vAlign w:val="center"/>
          </w:tcPr>
          <w:p w14:paraId="37BD5099">
            <w:pPr>
              <w:pStyle w:val="47"/>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c>
          <w:tcPr>
            <w:tcW w:w="2160" w:type="dxa"/>
            <w:vAlign w:val="center"/>
          </w:tcPr>
          <w:p w14:paraId="75382FA5">
            <w:pPr>
              <w:keepNext w:val="0"/>
              <w:keepLines w:val="0"/>
              <w:pageBreakBefore w:val="0"/>
              <w:widowControl/>
              <w:kinsoku/>
              <w:wordWrap/>
              <w:overflowPunct/>
              <w:topLinePunct w:val="0"/>
              <w:bidi w:val="0"/>
              <w:jc w:val="center"/>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其他</w:t>
            </w:r>
          </w:p>
        </w:tc>
        <w:tc>
          <w:tcPr>
            <w:tcW w:w="6470" w:type="dxa"/>
            <w:vAlign w:val="center"/>
          </w:tcPr>
          <w:p w14:paraId="1D3FF9FB">
            <w:pPr>
              <w:pStyle w:val="84"/>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根据“财政部 87 号令《政府采购货物服务招标投标管理办法》 ”第 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5170BAC">
            <w:pPr>
              <w:pStyle w:val="84"/>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200582C">
            <w:pPr>
              <w:pStyle w:val="84"/>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供应商书面说明应当签字确认或者加盖公章，否则无效。书面说明的签字确认，供应商为法人的， 由其法定代表人或者代理人签字确认；供应商为其他组织的， 由其主要负责人或者代理人签字确认；供应商为自然人的， 由其本人或者代理人签字确认。</w:t>
            </w:r>
          </w:p>
          <w:p w14:paraId="66F0207B">
            <w:pPr>
              <w:pStyle w:val="84"/>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45425C3C">
            <w:pPr>
              <w:pStyle w:val="42"/>
              <w:keepNext w:val="0"/>
              <w:keepLines w:val="0"/>
              <w:pageBreakBefore w:val="0"/>
              <w:widowControl/>
              <w:kinsoku/>
              <w:wordWrap/>
              <w:overflowPunct/>
              <w:topLinePunct w:val="0"/>
              <w:bidi w:val="0"/>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lang w:val="zh-CN"/>
              </w:rPr>
              <w:t>供应商应当在投标截止前提前准好上述审查资料以备评标委员会审查，提供书面说明的有效时间为 30 分钟，逾期提供或者未提供的，评标委员会将其响应文件作为无效处理。</w:t>
            </w:r>
          </w:p>
        </w:tc>
      </w:tr>
    </w:tbl>
    <w:p w14:paraId="2EB74ADF">
      <w:pPr>
        <w:pStyle w:val="48"/>
        <w:widowControl w:val="0"/>
        <w:spacing w:before="0" w:beforeAutospacing="0" w:after="0" w:afterAutospacing="0" w:line="360" w:lineRule="auto"/>
        <w:jc w:val="both"/>
        <w:rPr>
          <w:rFonts w:hint="eastAsia"/>
          <w:b/>
          <w:bCs/>
          <w:color w:val="000000" w:themeColor="text1"/>
          <w:sz w:val="24"/>
          <w:szCs w:val="24"/>
          <w:highlight w:val="none"/>
          <w14:textFill>
            <w14:solidFill>
              <w14:schemeClr w14:val="tx1"/>
            </w14:solidFill>
          </w14:textFill>
        </w:rPr>
      </w:pPr>
    </w:p>
    <w:p w14:paraId="2F7BEC33">
      <w:pPr>
        <w:pStyle w:val="48"/>
        <w:widowControl w:val="0"/>
        <w:spacing w:before="0" w:beforeAutospacing="0" w:after="0" w:afterAutospacing="0" w:line="360" w:lineRule="auto"/>
        <w:ind w:firstLine="482" w:firstLineChars="2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注：</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必须认真阅读</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中所有的事项、格式、条款和</w:t>
      </w:r>
      <w:r>
        <w:rPr>
          <w:rFonts w:hint="eastAsia"/>
          <w:b/>
          <w:bCs/>
          <w:color w:val="000000" w:themeColor="text1"/>
          <w:sz w:val="24"/>
          <w:szCs w:val="24"/>
          <w:highlight w:val="none"/>
          <w:lang w:eastAsia="zh-CN"/>
          <w14:textFill>
            <w14:solidFill>
              <w14:schemeClr w14:val="tx1"/>
            </w14:solidFill>
          </w14:textFill>
        </w:rPr>
        <w:t>招标人需求</w:t>
      </w:r>
      <w:r>
        <w:rPr>
          <w:rFonts w:hint="eastAsia"/>
          <w:b/>
          <w:bCs/>
          <w:color w:val="000000" w:themeColor="text1"/>
          <w:sz w:val="24"/>
          <w:szCs w:val="24"/>
          <w:highlight w:val="none"/>
          <w14:textFill>
            <w14:solidFill>
              <w14:schemeClr w14:val="tx1"/>
            </w14:solidFill>
          </w14:textFill>
        </w:rPr>
        <w:t>等。</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没有按照</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要求提交全部资料，或者</w:t>
      </w:r>
      <w:r>
        <w:rPr>
          <w:rFonts w:hint="eastAsia"/>
          <w:b/>
          <w:bCs/>
          <w:color w:val="000000" w:themeColor="text1"/>
          <w:sz w:val="24"/>
          <w:szCs w:val="24"/>
          <w:highlight w:val="none"/>
          <w:lang w:eastAsia="zh-CN"/>
          <w14:textFill>
            <w14:solidFill>
              <w14:schemeClr w14:val="tx1"/>
            </w14:solidFill>
          </w14:textFill>
        </w:rPr>
        <w:t>响应文件</w:t>
      </w:r>
      <w:r>
        <w:rPr>
          <w:rFonts w:hint="eastAsia"/>
          <w:b/>
          <w:bCs/>
          <w:color w:val="000000" w:themeColor="text1"/>
          <w:sz w:val="24"/>
          <w:szCs w:val="24"/>
          <w:highlight w:val="none"/>
          <w14:textFill>
            <w14:solidFill>
              <w14:schemeClr w14:val="tx1"/>
            </w14:solidFill>
          </w14:textFill>
        </w:rPr>
        <w:t>没有对</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在各方面都做出实质性响应是</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的风险，并可能导致其投标无效或被拒绝。</w:t>
      </w:r>
      <w:bookmarkStart w:id="7" w:name="_Toc487044248"/>
      <w:bookmarkStart w:id="8" w:name="_Toc438722126"/>
      <w:bookmarkStart w:id="9" w:name="_Toc380533806"/>
      <w:bookmarkStart w:id="10" w:name="_Toc25778"/>
      <w:bookmarkStart w:id="11" w:name="_Toc439513441"/>
      <w:bookmarkStart w:id="12" w:name="_Toc438641461"/>
      <w:bookmarkStart w:id="13" w:name="_Toc479325588"/>
      <w:bookmarkStart w:id="14" w:name="_Toc470184437"/>
      <w:bookmarkStart w:id="15" w:name="_Toc298829957"/>
      <w:bookmarkStart w:id="16" w:name="_Toc435623750"/>
      <w:bookmarkStart w:id="17" w:name="_Toc435687345"/>
      <w:bookmarkStart w:id="18" w:name="_Toc418023329"/>
      <w:bookmarkStart w:id="19" w:name="_Toc435687271"/>
      <w:bookmarkStart w:id="20" w:name="_Toc49082409"/>
      <w:bookmarkStart w:id="21" w:name="_Toc518912731"/>
      <w:bookmarkStart w:id="22" w:name="_Toc438513730"/>
      <w:bookmarkStart w:id="23" w:name="_Toc479340785"/>
      <w:bookmarkStart w:id="24" w:name="_Toc49135195"/>
      <w:bookmarkStart w:id="25" w:name="_Toc498871240"/>
      <w:bookmarkStart w:id="26" w:name="_Toc494832083"/>
      <w:bookmarkStart w:id="27" w:name="_Toc297209415"/>
      <w:bookmarkStart w:id="28" w:name="_Toc298920088"/>
      <w:bookmarkStart w:id="29" w:name="_Toc422865417"/>
      <w:bookmarkStart w:id="30" w:name="_Toc439679264"/>
      <w:bookmarkStart w:id="31" w:name="_Toc435686976"/>
      <w:bookmarkStart w:id="32" w:name="_Toc425347658"/>
      <w:bookmarkStart w:id="33" w:name="_Toc350417820"/>
      <w:bookmarkStart w:id="34" w:name="_Toc298190380"/>
      <w:bookmarkStart w:id="35" w:name="_Toc438508593"/>
      <w:bookmarkStart w:id="36" w:name="_Toc356489049"/>
      <w:bookmarkStart w:id="37" w:name="_Toc498899367"/>
      <w:bookmarkStart w:id="38" w:name="_Toc416208482"/>
      <w:bookmarkStart w:id="39" w:name="_Toc298829716"/>
      <w:bookmarkStart w:id="40" w:name="_Toc343857022"/>
      <w:bookmarkStart w:id="41" w:name="_Toc477879836"/>
      <w:bookmarkStart w:id="42" w:name="_Toc20291"/>
      <w:bookmarkStart w:id="43" w:name="_Toc414510776"/>
      <w:bookmarkStart w:id="44" w:name="_Toc422161988"/>
      <w:bookmarkStart w:id="45" w:name="_Toc439513157"/>
      <w:bookmarkStart w:id="46" w:name="_Toc383124044"/>
      <w:bookmarkStart w:id="47" w:name="_Toc435629788"/>
      <w:bookmarkStart w:id="48" w:name="_Toc365033702"/>
      <w:bookmarkStart w:id="49" w:name="_Toc458980389"/>
      <w:bookmarkStart w:id="50" w:name="_Toc364846096"/>
      <w:bookmarkStart w:id="51" w:name="_Toc458635592"/>
      <w:bookmarkStart w:id="52" w:name="_Toc299108386"/>
      <w:bookmarkStart w:id="53" w:name="_Toc486969375"/>
      <w:bookmarkStart w:id="54" w:name="_Toc435629834"/>
    </w:p>
    <w:p w14:paraId="2FD7991D">
      <w:pP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br w:type="page"/>
      </w:r>
    </w:p>
    <w:p w14:paraId="6EB81993">
      <w:pPr>
        <w:pStyle w:val="4"/>
        <w:numPr>
          <w:ilvl w:val="0"/>
          <w:numId w:val="3"/>
        </w:numPr>
        <w:tabs>
          <w:tab w:val="left" w:pos="425"/>
          <w:tab w:val="clear" w:pos="147"/>
        </w:tabs>
        <w:ind w:left="425"/>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总体说明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42D9F20">
      <w:pPr>
        <w:numPr>
          <w:ilvl w:val="1"/>
          <w:numId w:val="3"/>
        </w:numPr>
        <w:tabs>
          <w:tab w:val="left" w:pos="525"/>
          <w:tab w:val="left" w:pos="567"/>
          <w:tab w:val="left" w:pos="630"/>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资金来源</w:t>
      </w:r>
    </w:p>
    <w:p w14:paraId="540077C7">
      <w:pPr>
        <w:spacing w:line="360" w:lineRule="auto"/>
        <w:ind w:firstLine="482" w:firstLineChars="200"/>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财政资金</w:t>
      </w:r>
    </w:p>
    <w:p w14:paraId="5DD8ED2D">
      <w:pPr>
        <w:numPr>
          <w:ilvl w:val="1"/>
          <w:numId w:val="3"/>
        </w:numPr>
        <w:tabs>
          <w:tab w:val="left" w:pos="525"/>
          <w:tab w:val="left" w:pos="567"/>
          <w:tab w:val="left" w:pos="630"/>
          <w:tab w:val="clear" w:pos="289"/>
        </w:tabs>
        <w:spacing w:line="360" w:lineRule="auto"/>
        <w:ind w:left="567"/>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适用范围</w:t>
      </w:r>
    </w:p>
    <w:p w14:paraId="241FF36B">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依据《中华人民共和国政府采购法》等有关政府采购的法律法规制定本须知。</w:t>
      </w:r>
    </w:p>
    <w:p w14:paraId="64D0BA63">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、采购代理机构、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及各方当事人适用本须知。</w:t>
      </w:r>
    </w:p>
    <w:p w14:paraId="3CE404D8">
      <w:pPr>
        <w:numPr>
          <w:ilvl w:val="1"/>
          <w:numId w:val="3"/>
        </w:numPr>
        <w:tabs>
          <w:tab w:val="left" w:pos="525"/>
          <w:tab w:val="left" w:pos="567"/>
          <w:tab w:val="left" w:pos="630"/>
          <w:tab w:val="clear" w:pos="289"/>
        </w:tabs>
        <w:spacing w:line="360" w:lineRule="auto"/>
        <w:ind w:left="567"/>
        <w:outlineLvl w:val="3"/>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关于定标方式</w:t>
      </w:r>
    </w:p>
    <w:p w14:paraId="7E5764A2">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本次招标采用一次报价一次评标定标的方式；</w:t>
      </w:r>
      <w:r>
        <w:rPr>
          <w:rFonts w:hint="eastAsia" w:ascii="宋体" w:hAnsi="宋体"/>
          <w:bCs/>
          <w:color w:val="000000" w:themeColor="text1"/>
          <w:sz w:val="24"/>
          <w:highlight w:val="none"/>
          <w:lang w:eastAsia="zh-CN"/>
          <w14:textFill>
            <w14:solidFill>
              <w14:schemeClr w14:val="tx1"/>
            </w14:solidFill>
          </w14:textFill>
        </w:rPr>
        <w:t>招标人</w:t>
      </w:r>
      <w:r>
        <w:rPr>
          <w:rFonts w:hint="eastAsia" w:ascii="宋体" w:hAnsi="宋体"/>
          <w:bCs/>
          <w:color w:val="000000" w:themeColor="text1"/>
          <w:sz w:val="24"/>
          <w:highlight w:val="none"/>
          <w14:textFill>
            <w14:solidFill>
              <w14:schemeClr w14:val="tx1"/>
            </w14:solidFill>
          </w14:textFill>
        </w:rPr>
        <w:t>拒绝接受有选择性报价的投标。</w:t>
      </w:r>
    </w:p>
    <w:p w14:paraId="140BD53D">
      <w:pPr>
        <w:numPr>
          <w:ilvl w:val="1"/>
          <w:numId w:val="3"/>
        </w:numPr>
        <w:tabs>
          <w:tab w:val="left" w:pos="525"/>
          <w:tab w:val="left" w:pos="567"/>
          <w:tab w:val="left" w:pos="630"/>
          <w:tab w:val="clear" w:pos="289"/>
        </w:tabs>
        <w:spacing w:line="360" w:lineRule="auto"/>
        <w:ind w:left="567"/>
        <w:outlineLvl w:val="3"/>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定义</w:t>
      </w:r>
    </w:p>
    <w:p w14:paraId="046EFD7B">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：是指</w:t>
      </w:r>
      <w:r>
        <w:rPr>
          <w:rFonts w:hint="eastAsia" w:ascii="宋体" w:hAnsi="宋体"/>
          <w:color w:val="000000" w:themeColor="text1"/>
          <w:sz w:val="24"/>
          <w:highlight w:val="none"/>
          <w:lang w:eastAsia="zh-CN"/>
          <w14:textFill>
            <w14:solidFill>
              <w14:schemeClr w14:val="tx1"/>
            </w14:solidFill>
          </w14:textFill>
        </w:rPr>
        <w:t>库尔勒市自然资源局</w:t>
      </w:r>
      <w:r>
        <w:rPr>
          <w:rFonts w:hint="eastAsia" w:ascii="宋体" w:hAnsi="宋体"/>
          <w:color w:val="000000" w:themeColor="text1"/>
          <w:sz w:val="24"/>
          <w:highlight w:val="none"/>
          <w14:textFill>
            <w14:solidFill>
              <w14:schemeClr w14:val="tx1"/>
            </w14:solidFill>
          </w14:textFill>
        </w:rPr>
        <w:t>。</w:t>
      </w:r>
    </w:p>
    <w:p w14:paraId="791555AD">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采购代理机构：是指</w:t>
      </w:r>
      <w:r>
        <w:rPr>
          <w:rFonts w:hint="eastAsia" w:ascii="宋体" w:hAnsi="宋体"/>
          <w:color w:val="000000" w:themeColor="text1"/>
          <w:sz w:val="24"/>
          <w:highlight w:val="none"/>
          <w:lang w:eastAsia="zh-CN"/>
          <w14:textFill>
            <w14:solidFill>
              <w14:schemeClr w14:val="tx1"/>
            </w14:solidFill>
          </w14:textFill>
        </w:rPr>
        <w:t>新疆国腾工程项目管理咨询有限公司</w:t>
      </w:r>
      <w:r>
        <w:rPr>
          <w:rFonts w:hint="eastAsia" w:ascii="宋体" w:hAnsi="宋体"/>
          <w:color w:val="000000" w:themeColor="text1"/>
          <w:sz w:val="24"/>
          <w:highlight w:val="none"/>
          <w14:textFill>
            <w14:solidFill>
              <w14:schemeClr w14:val="tx1"/>
            </w14:solidFill>
          </w14:textFill>
        </w:rPr>
        <w:t>。</w:t>
      </w:r>
    </w:p>
    <w:p w14:paraId="520BFC75">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：是指向采购代理机构提交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p>
    <w:p w14:paraId="216F68AB">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中标人：是指经合法招、投标程序评选出来的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p>
    <w:p w14:paraId="12186AFB">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：是指</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规定，须向</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提供的</w:t>
      </w: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、备件、工具、手册及其它技术资料和材料。</w:t>
      </w:r>
    </w:p>
    <w:p w14:paraId="00C1D317">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服务：是指</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须承担的有关服务。</w:t>
      </w:r>
    </w:p>
    <w:p w14:paraId="2532D54A">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实质性响应：是指符合</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的要求、条款、条件和规定，且没有重大偏离或保留。</w:t>
      </w:r>
    </w:p>
    <w:p w14:paraId="7127C140">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重大偏离或保留：是指</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中影响到</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规定的货物和服务质量或限制了</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的权利/</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的义务的规定，而认可该等规定偏离将影响到其他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的公平竞争地位。</w:t>
      </w:r>
    </w:p>
    <w:p w14:paraId="14D68C84">
      <w:pPr>
        <w:numPr>
          <w:ilvl w:val="2"/>
          <w:numId w:val="3"/>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投标保证金：指</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按照本</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规定向采购代理机构或</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提交的款项。采购代理机构或者</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因</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的行为而蒙受损失之时，采购代理机构和</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可根据规定予以没收的款项。</w:t>
      </w:r>
    </w:p>
    <w:p w14:paraId="2859C3AA">
      <w:pPr>
        <w:numPr>
          <w:ilvl w:val="2"/>
          <w:numId w:val="3"/>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合同期、</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lang w:eastAsia="zh-CN"/>
          <w14:textFill>
            <w14:solidFill>
              <w14:schemeClr w14:val="tx1"/>
            </w14:solidFill>
          </w14:textFill>
        </w:rPr>
        <w:t>期限</w:t>
      </w:r>
      <w:r>
        <w:rPr>
          <w:rFonts w:hint="eastAsia" w:ascii="宋体" w:hAnsi="宋体"/>
          <w:color w:val="000000" w:themeColor="text1"/>
          <w:sz w:val="24"/>
          <w:highlight w:val="none"/>
          <w14:textFill>
            <w14:solidFill>
              <w14:schemeClr w14:val="tx1"/>
            </w14:solidFill>
          </w14:textFill>
        </w:rPr>
        <w:t>：是指签订采购合同之日起至按要求</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并通过验收的期限。</w:t>
      </w:r>
    </w:p>
    <w:p w14:paraId="2CA45227">
      <w:pPr>
        <w:numPr>
          <w:ilvl w:val="2"/>
          <w:numId w:val="3"/>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日期、天数、时间：无特别说明时是指公历日及北京时间。</w:t>
      </w:r>
    </w:p>
    <w:p w14:paraId="61FD9669">
      <w:pPr>
        <w:numPr>
          <w:ilvl w:val="2"/>
          <w:numId w:val="3"/>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中的标题或题名仅起引导作用，而不应该作为对</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内容的理解或解释。</w:t>
      </w:r>
    </w:p>
    <w:p w14:paraId="439A1831">
      <w:pPr>
        <w:numPr>
          <w:ilvl w:val="1"/>
          <w:numId w:val="3"/>
        </w:numPr>
        <w:tabs>
          <w:tab w:val="left" w:pos="525"/>
          <w:tab w:val="left" w:pos="567"/>
          <w:tab w:val="left" w:pos="630"/>
          <w:tab w:val="clear" w:pos="289"/>
        </w:tabs>
        <w:spacing w:line="360" w:lineRule="auto"/>
        <w:ind w:left="567"/>
        <w:outlineLvl w:val="3"/>
        <w:rPr>
          <w:rFonts w:ascii="宋体" w:hAnsi="宋体"/>
          <w:b/>
          <w:color w:val="000000" w:themeColor="text1"/>
          <w:sz w:val="24"/>
          <w:highlight w:val="none"/>
          <w14:textFill>
            <w14:solidFill>
              <w14:schemeClr w14:val="tx1"/>
            </w14:solidFill>
          </w14:textFill>
        </w:rPr>
      </w:pPr>
      <w:bookmarkStart w:id="55" w:name="_Toc264616629"/>
      <w:r>
        <w:rPr>
          <w:rFonts w:hint="eastAsia" w:ascii="宋体" w:hAnsi="宋体"/>
          <w:b/>
          <w:color w:val="000000" w:themeColor="text1"/>
          <w:sz w:val="24"/>
          <w:highlight w:val="none"/>
          <w14:textFill>
            <w14:solidFill>
              <w14:schemeClr w14:val="tx1"/>
            </w14:solidFill>
          </w14:textFill>
        </w:rPr>
        <w:t>应遵循的原则</w:t>
      </w:r>
      <w:bookmarkEnd w:id="55"/>
    </w:p>
    <w:p w14:paraId="50D05962">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遵循公开、公平、公正和诚实信用原则。</w:t>
      </w:r>
    </w:p>
    <w:p w14:paraId="1A05A0B5">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坚持价格合理、质量优先、服务优质。</w:t>
      </w:r>
    </w:p>
    <w:p w14:paraId="1CDDF26D">
      <w:pPr>
        <w:numPr>
          <w:ilvl w:val="2"/>
          <w:numId w:val="3"/>
        </w:numPr>
        <w:tabs>
          <w:tab w:val="left" w:pos="624"/>
          <w:tab w:val="left" w:pos="735"/>
          <w:tab w:val="clear" w:pos="1050"/>
        </w:tabs>
        <w:spacing w:line="360" w:lineRule="auto"/>
        <w:ind w:left="735" w:hanging="735"/>
        <w:rPr>
          <w:rFonts w:ascii="Verdana" w:hAnsi="Verdan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利用</w:t>
      </w:r>
      <w:r>
        <w:rPr>
          <w:rFonts w:hint="eastAsia" w:ascii="Verdana" w:hAnsi="Verdana"/>
          <w:color w:val="000000" w:themeColor="text1"/>
          <w:sz w:val="24"/>
          <w:highlight w:val="none"/>
          <w14:textFill>
            <w14:solidFill>
              <w14:schemeClr w14:val="tx1"/>
            </w14:solidFill>
          </w14:textFill>
        </w:rPr>
        <w:t>法律手段强化竞争机制，贯彻统一、规范、简化、高效的要求。</w:t>
      </w:r>
    </w:p>
    <w:p w14:paraId="7FD11E06">
      <w:pPr>
        <w:numPr>
          <w:ilvl w:val="1"/>
          <w:numId w:val="3"/>
        </w:numPr>
        <w:tabs>
          <w:tab w:val="left" w:pos="525"/>
          <w:tab w:val="left" w:pos="567"/>
          <w:tab w:val="left" w:pos="630"/>
          <w:tab w:val="clear" w:pos="289"/>
        </w:tabs>
        <w:snapToGrid w:val="0"/>
        <w:spacing w:line="360" w:lineRule="auto"/>
        <w:ind w:left="567"/>
        <w:outlineLvl w:val="3"/>
        <w:rPr>
          <w:rFonts w:ascii="宋体" w:hAnsi="宋体"/>
          <w:b/>
          <w:color w:val="000000" w:themeColor="text1"/>
          <w:sz w:val="24"/>
          <w:highlight w:val="none"/>
          <w14:textFill>
            <w14:solidFill>
              <w14:schemeClr w14:val="tx1"/>
            </w14:solidFill>
          </w14:textFill>
        </w:rPr>
      </w:pPr>
      <w:bookmarkStart w:id="56" w:name="_Toc264616632"/>
      <w:r>
        <w:rPr>
          <w:rFonts w:hint="eastAsia" w:ascii="宋体" w:hAnsi="宋体"/>
          <w:b/>
          <w:color w:val="000000" w:themeColor="text1"/>
          <w:sz w:val="24"/>
          <w:highlight w:val="none"/>
          <w14:textFill>
            <w14:solidFill>
              <w14:schemeClr w14:val="tx1"/>
            </w14:solidFill>
          </w14:textFill>
        </w:rPr>
        <w:t>合格的货物和服务</w:t>
      </w:r>
      <w:bookmarkEnd w:id="56"/>
    </w:p>
    <w:p w14:paraId="39541454">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提供的所有货物及服务，其来源地均应为中华人民共和国或与中华人民共和国有官方贸易关系的国家或地区。</w:t>
      </w:r>
    </w:p>
    <w:p w14:paraId="41DCB6B5">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提供的所有货物和服务，其质量、技术等特征必须符合国家、行业现行的标准及</w:t>
      </w:r>
      <w:r>
        <w:rPr>
          <w:rFonts w:hint="eastAsia" w:ascii="宋体" w:hAnsi="宋体"/>
          <w:color w:val="000000" w:themeColor="text1"/>
          <w:sz w:val="24"/>
          <w:highlight w:val="none"/>
          <w:lang w:eastAsia="zh-CN"/>
          <w14:textFill>
            <w14:solidFill>
              <w14:schemeClr w14:val="tx1"/>
            </w14:solidFill>
          </w14:textFill>
        </w:rPr>
        <w:t>招标人需求</w:t>
      </w:r>
      <w:r>
        <w:rPr>
          <w:rFonts w:ascii="宋体" w:hAnsi="宋体"/>
          <w:color w:val="000000" w:themeColor="text1"/>
          <w:sz w:val="24"/>
          <w:highlight w:val="none"/>
          <w14:textFill>
            <w14:solidFill>
              <w14:schemeClr w14:val="tx1"/>
            </w14:solidFill>
          </w14:textFill>
        </w:rPr>
        <w:t>。</w:t>
      </w:r>
    </w:p>
    <w:p w14:paraId="691215EF">
      <w:pPr>
        <w:numPr>
          <w:ilvl w:val="2"/>
          <w:numId w:val="3"/>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ascii="宋体" w:hAnsi="宋体"/>
          <w:color w:val="000000" w:themeColor="text1"/>
          <w:sz w:val="24"/>
          <w:highlight w:val="none"/>
          <w14:textFill>
            <w14:solidFill>
              <w14:schemeClr w14:val="tx1"/>
            </w14:solidFill>
          </w14:textFill>
        </w:rPr>
        <w:t>将拒绝接受不合格的货物和服务，由此产生的费用及相关后果均由</w:t>
      </w: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自行承担。</w:t>
      </w:r>
    </w:p>
    <w:p w14:paraId="203161D5">
      <w:pPr>
        <w:numPr>
          <w:ilvl w:val="2"/>
          <w:numId w:val="3"/>
        </w:numPr>
        <w:tabs>
          <w:tab w:val="left" w:pos="624"/>
          <w:tab w:val="left" w:pos="735"/>
          <w:tab w:val="clear" w:pos="1050"/>
        </w:tabs>
        <w:spacing w:line="360" w:lineRule="auto"/>
        <w:ind w:left="735" w:hanging="735"/>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应保证本项目下提供的服务或其任何一部分不会产生因第三方依法享有的专利权、商标权或其他知识产权；如果</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不拥有相应的知识产权，则须在报价中包括合法获取该知识产权的相关费用，并在</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中附有相关证明文件，如因第三方提出其专利权、商标权或其他知识产权的侵权之诉，则一切法律责任由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承担。</w:t>
      </w:r>
    </w:p>
    <w:p w14:paraId="2968824C">
      <w:pPr>
        <w:numPr>
          <w:ilvl w:val="1"/>
          <w:numId w:val="3"/>
        </w:numPr>
        <w:tabs>
          <w:tab w:val="left" w:pos="525"/>
          <w:tab w:val="left" w:pos="567"/>
          <w:tab w:val="left" w:pos="630"/>
          <w:tab w:val="clear" w:pos="289"/>
        </w:tabs>
        <w:snapToGrid w:val="0"/>
        <w:spacing w:line="240" w:lineRule="auto"/>
        <w:ind w:left="567"/>
        <w:outlineLvl w:val="3"/>
        <w:rPr>
          <w:b/>
          <w:color w:val="000000" w:themeColor="text1"/>
          <w:sz w:val="24"/>
          <w:highlight w:val="none"/>
          <w14:textFill>
            <w14:solidFill>
              <w14:schemeClr w14:val="tx1"/>
            </w14:solidFill>
          </w14:textFill>
        </w:rPr>
      </w:pPr>
      <w:bookmarkStart w:id="57" w:name="_Toc264616633"/>
      <w:r>
        <w:rPr>
          <w:rFonts w:hint="eastAsia"/>
          <w:b/>
          <w:color w:val="000000" w:themeColor="text1"/>
          <w:sz w:val="24"/>
          <w:highlight w:val="none"/>
          <w14:textFill>
            <w14:solidFill>
              <w14:schemeClr w14:val="tx1"/>
            </w14:solidFill>
          </w14:textFill>
        </w:rPr>
        <w:t>保密</w:t>
      </w:r>
      <w:bookmarkEnd w:id="57"/>
    </w:p>
    <w:p w14:paraId="262C2A23">
      <w:pPr>
        <w:pStyle w:val="17"/>
        <w:keepNext w:val="0"/>
        <w:keepLines w:val="0"/>
        <w:pageBreakBefore w:val="0"/>
        <w:widowControl w:val="0"/>
        <w:tabs>
          <w:tab w:val="left" w:pos="978"/>
        </w:tabs>
        <w:kinsoku/>
        <w:wordWrap/>
        <w:overflowPunct/>
        <w:topLinePunct w:val="0"/>
        <w:autoSpaceDE/>
        <w:autoSpaceDN/>
        <w:bidi w:val="0"/>
        <w:adjustRightInd/>
        <w:snapToGrid/>
        <w:spacing w:after="60" w:afterLines="25" w:line="360" w:lineRule="auto"/>
        <w:ind w:firstLine="480" w:firstLineChars="200"/>
        <w:textAlignment w:val="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招投标双方应分别为对方在</w:t>
      </w:r>
      <w:r>
        <w:rPr>
          <w:rFonts w:hint="eastAsia" w:hAnsi="宋体"/>
          <w:color w:val="000000" w:themeColor="text1"/>
          <w:sz w:val="24"/>
          <w:highlight w:val="none"/>
          <w:lang w:eastAsia="zh-CN"/>
          <w14:textFill>
            <w14:solidFill>
              <w14:schemeClr w14:val="tx1"/>
            </w14:solidFill>
          </w14:textFill>
        </w:rPr>
        <w:t>响应文件</w:t>
      </w:r>
      <w:r>
        <w:rPr>
          <w:rFonts w:hint="eastAsia" w:hAnsi="宋体"/>
          <w:color w:val="000000" w:themeColor="text1"/>
          <w:sz w:val="24"/>
          <w:highlight w:val="none"/>
          <w14:textFill>
            <w14:solidFill>
              <w14:schemeClr w14:val="tx1"/>
            </w14:solidFill>
          </w14:textFill>
        </w:rPr>
        <w:t>和</w:t>
      </w:r>
      <w:r>
        <w:rPr>
          <w:rFonts w:hint="eastAsia" w:hAnsi="宋体"/>
          <w:color w:val="000000" w:themeColor="text1"/>
          <w:sz w:val="24"/>
          <w:highlight w:val="none"/>
          <w:lang w:eastAsia="zh-CN"/>
          <w14:textFill>
            <w14:solidFill>
              <w14:schemeClr w14:val="tx1"/>
            </w14:solidFill>
          </w14:textFill>
        </w:rPr>
        <w:t>招标文件</w:t>
      </w:r>
      <w:r>
        <w:rPr>
          <w:rFonts w:hint="eastAsia" w:hAnsi="宋体"/>
          <w:color w:val="000000" w:themeColor="text1"/>
          <w:sz w:val="24"/>
          <w:highlight w:val="none"/>
          <w14:textFill>
            <w14:solidFill>
              <w14:schemeClr w14:val="tx1"/>
            </w14:solidFill>
          </w14:textFill>
        </w:rPr>
        <w:t>中涉及的商业和技术等秘密保密，违者应对由此造成的后果承担责任。投标方不得将参加此次投标活动的事实进行商业性宣传。</w:t>
      </w:r>
    </w:p>
    <w:p w14:paraId="4772B4BD">
      <w:pPr>
        <w:numPr>
          <w:ilvl w:val="1"/>
          <w:numId w:val="3"/>
        </w:numPr>
        <w:tabs>
          <w:tab w:val="left" w:pos="567"/>
          <w:tab w:val="left" w:pos="630"/>
          <w:tab w:val="clear" w:pos="289"/>
        </w:tabs>
        <w:spacing w:line="360" w:lineRule="auto"/>
        <w:ind w:left="567"/>
        <w:outlineLvl w:val="3"/>
        <w:rPr>
          <w:rFonts w:ascii="宋体" w:hAnsi="宋体"/>
          <w:b/>
          <w:color w:val="000000" w:themeColor="text1"/>
          <w:sz w:val="24"/>
          <w:szCs w:val="24"/>
          <w:highlight w:val="none"/>
          <w14:textFill>
            <w14:solidFill>
              <w14:schemeClr w14:val="tx1"/>
            </w14:solidFill>
          </w14:textFill>
        </w:rPr>
      </w:pPr>
      <w:bookmarkStart w:id="58" w:name="_Toc278459939"/>
      <w:bookmarkStart w:id="59" w:name="_Toc278962736"/>
      <w:r>
        <w:rPr>
          <w:rFonts w:hint="eastAsia" w:ascii="宋体" w:hAnsi="宋体"/>
          <w:b/>
          <w:color w:val="000000" w:themeColor="text1"/>
          <w:sz w:val="24"/>
          <w:szCs w:val="24"/>
          <w:highlight w:val="none"/>
          <w14:textFill>
            <w14:solidFill>
              <w14:schemeClr w14:val="tx1"/>
            </w14:solidFill>
          </w14:textFill>
        </w:rPr>
        <w:t>质疑与</w:t>
      </w:r>
      <w:bookmarkEnd w:id="58"/>
      <w:bookmarkEnd w:id="59"/>
      <w:r>
        <w:rPr>
          <w:rFonts w:hint="eastAsia" w:ascii="宋体" w:hAnsi="宋体"/>
          <w:b/>
          <w:color w:val="000000" w:themeColor="text1"/>
          <w:sz w:val="24"/>
          <w:szCs w:val="24"/>
          <w:highlight w:val="none"/>
          <w14:textFill>
            <w14:solidFill>
              <w14:schemeClr w14:val="tx1"/>
            </w14:solidFill>
          </w14:textFill>
        </w:rPr>
        <w:t>投诉</w:t>
      </w:r>
    </w:p>
    <w:p w14:paraId="0043F7EA">
      <w:pPr>
        <w:numPr>
          <w:ilvl w:val="2"/>
          <w:numId w:val="3"/>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bookmarkStart w:id="60" w:name="_Toc264616637"/>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供应商</w:t>
      </w:r>
      <w:r>
        <w:rPr>
          <w:rFonts w:hint="eastAsia"/>
          <w:color w:val="000000" w:themeColor="text1"/>
          <w:sz w:val="24"/>
          <w:szCs w:val="24"/>
          <w:highlight w:val="none"/>
          <w14:textFill>
            <w14:solidFill>
              <w14:schemeClr w14:val="tx1"/>
            </w14:solidFill>
          </w14:textFill>
        </w:rPr>
        <w:t>认为</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的内容损害其权益的，可以在</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公示期间或者自期满之日起7个工作日内以书面形式向</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或采购代理机构提出质疑，逾期质疑无效。</w:t>
      </w:r>
    </w:p>
    <w:p w14:paraId="023F10D0">
      <w:pPr>
        <w:numPr>
          <w:ilvl w:val="2"/>
          <w:numId w:val="3"/>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认为采购过程和中标结果使自己的权益受到损害的，可以在知道或者应知其权益受到损害之日起7个工作日内，以书面形式向</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或采购代理机构提出质疑，逾期质疑无效。</w:t>
      </w:r>
    </w:p>
    <w:p w14:paraId="777396E9">
      <w:pPr>
        <w:numPr>
          <w:ilvl w:val="2"/>
          <w:numId w:val="3"/>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有质疑时，应当以书面形式在质疑有效期限内向采购代</w:t>
      </w:r>
      <w:r>
        <w:rPr>
          <w:rFonts w:hint="eastAsia" w:ascii="宋体" w:hAnsi="宋体"/>
          <w:color w:val="000000" w:themeColor="text1"/>
          <w:sz w:val="24"/>
          <w:szCs w:val="24"/>
          <w:highlight w:val="none"/>
          <w14:textFill>
            <w14:solidFill>
              <w14:schemeClr w14:val="tx1"/>
            </w14:solidFill>
          </w14:textFill>
        </w:rPr>
        <w:t>理机构提交质疑书原件，逾期质疑无效。质疑书应当署名</w:t>
      </w:r>
      <w:r>
        <w:rPr>
          <w:rFonts w:hint="eastAsia"/>
          <w:color w:val="000000" w:themeColor="text1"/>
          <w:sz w:val="24"/>
          <w:highlight w:val="none"/>
          <w14:textFill>
            <w14:solidFill>
              <w14:schemeClr w14:val="tx1"/>
            </w14:solidFill>
          </w14:textFill>
        </w:rPr>
        <w:t>。质疑</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为自然人的，应当由本人签字；质疑</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为法人或者其他组织的，应当由法定代表人或者主要负责人签字盖章并加盖公章，同时注明联系人、联系电话</w:t>
      </w:r>
      <w:r>
        <w:rPr>
          <w:rFonts w:hint="eastAsia"/>
          <w:color w:val="000000" w:themeColor="text1"/>
          <w:sz w:val="24"/>
          <w:szCs w:val="24"/>
          <w:highlight w:val="none"/>
          <w14:textFill>
            <w14:solidFill>
              <w14:schemeClr w14:val="tx1"/>
            </w14:solidFill>
          </w14:textFill>
        </w:rPr>
        <w:t>与质疑时间</w:t>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以</w:t>
      </w:r>
      <w:r>
        <w:rPr>
          <w:rFonts w:hint="eastAsia"/>
          <w:color w:val="000000" w:themeColor="text1"/>
          <w:sz w:val="24"/>
          <w:szCs w:val="24"/>
          <w:highlight w:val="none"/>
          <w14:textFill>
            <w14:solidFill>
              <w14:schemeClr w14:val="tx1"/>
            </w14:solidFill>
          </w14:textFill>
        </w:rPr>
        <w:t>电话、传真或电邮形式提交的质疑书属于无效质疑。</w:t>
      </w:r>
    </w:p>
    <w:p w14:paraId="625770A8">
      <w:pPr>
        <w:numPr>
          <w:ilvl w:val="2"/>
          <w:numId w:val="3"/>
        </w:numPr>
        <w:tabs>
          <w:tab w:val="left" w:pos="624"/>
          <w:tab w:val="left" w:pos="735"/>
          <w:tab w:val="left" w:pos="840"/>
          <w:tab w:val="left" w:pos="1455"/>
          <w:tab w:val="clear" w:pos="1050"/>
        </w:tabs>
        <w:spacing w:line="360" w:lineRule="auto"/>
        <w:ind w:left="840" w:hanging="840" w:hangingChars="3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质疑内容不得含有虚假、恶意成分。依据谁主张谁举证的原则，质疑者提供的</w:t>
      </w:r>
      <w:r>
        <w:rPr>
          <w:rFonts w:hint="eastAsia"/>
          <w:color w:val="000000" w:themeColor="text1"/>
          <w:sz w:val="24"/>
          <w:szCs w:val="24"/>
          <w:highlight w:val="none"/>
          <w14:textFill>
            <w14:solidFill>
              <w14:schemeClr w14:val="tx1"/>
            </w14:solidFill>
          </w14:textFill>
        </w:rPr>
        <w:t>质疑书应当明确具体的质疑事项、事实依据，同时提交相关确凿的证明材料和注明证据的确切来源、证据来源必须合法，采购代理机构有权将质疑函转发质疑事项各关联方，请其作出解释说明。</w:t>
      </w:r>
      <w:r>
        <w:rPr>
          <w:rFonts w:hint="eastAsia" w:ascii="宋体" w:hAnsi="宋体"/>
          <w:color w:val="000000" w:themeColor="text1"/>
          <w:sz w:val="24"/>
          <w:szCs w:val="24"/>
          <w:highlight w:val="none"/>
          <w14:textFill>
            <w14:solidFill>
              <w14:schemeClr w14:val="tx1"/>
            </w14:solidFill>
          </w14:textFill>
        </w:rPr>
        <w:t>对捏造事实、滥用维权扰乱采购秩序的恶意质疑者，将上报采购监督管理部门依法处理。</w:t>
      </w:r>
    </w:p>
    <w:p w14:paraId="22FEB46A">
      <w:pPr>
        <w:numPr>
          <w:ilvl w:val="2"/>
          <w:numId w:val="3"/>
        </w:numPr>
        <w:tabs>
          <w:tab w:val="left" w:pos="624"/>
          <w:tab w:val="left" w:pos="735"/>
          <w:tab w:val="left" w:pos="840"/>
          <w:tab w:val="left" w:pos="1455"/>
          <w:tab w:val="clear" w:pos="1050"/>
        </w:tabs>
        <w:spacing w:line="360" w:lineRule="auto"/>
        <w:ind w:left="840" w:hanging="840" w:hanging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采购代理机构在收到</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的有效书面质疑后七个工作日内作出答复，但答复的内容不涉及商业秘密，质疑</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、采购代理机构的质疑答复不满意，或</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、采购代理机构未在规定期限内作出答复的，可以在答复期满后15个工作日内向采购监督管理部门提起投诉。</w:t>
      </w:r>
    </w:p>
    <w:p w14:paraId="275A2FF5">
      <w:pPr>
        <w:numPr>
          <w:ilvl w:val="1"/>
          <w:numId w:val="3"/>
        </w:numPr>
        <w:tabs>
          <w:tab w:val="left" w:pos="525"/>
          <w:tab w:val="left" w:pos="567"/>
          <w:tab w:val="left" w:pos="630"/>
          <w:tab w:val="clear" w:pos="289"/>
        </w:tabs>
        <w:spacing w:line="360" w:lineRule="auto"/>
        <w:ind w:left="567"/>
        <w:outlineLvl w:val="3"/>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不得参与同一采购项目竞争的</w:t>
      </w:r>
      <w:bookmarkEnd w:id="60"/>
      <w:r>
        <w:rPr>
          <w:rFonts w:hint="eastAsia" w:ascii="宋体" w:hAnsi="宋体" w:cs="宋体"/>
          <w:b/>
          <w:color w:val="000000" w:themeColor="text1"/>
          <w:sz w:val="24"/>
          <w:highlight w:val="none"/>
          <w:lang w:eastAsia="zh-CN"/>
          <w14:textFill>
            <w14:solidFill>
              <w14:schemeClr w14:val="tx1"/>
            </w14:solidFill>
          </w14:textFill>
        </w:rPr>
        <w:t>供应商</w:t>
      </w:r>
    </w:p>
    <w:p w14:paraId="139E7AC2">
      <w:pPr>
        <w:spacing w:line="360" w:lineRule="auto"/>
        <w:ind w:firstLine="566" w:firstLineChars="236"/>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单位负责人为同一人或者存在直接控股、管理关系的不同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，不得参加同一合同项下的采购活动。</w:t>
      </w:r>
    </w:p>
    <w:p w14:paraId="12EA769D">
      <w:pPr>
        <w:numPr>
          <w:ilvl w:val="1"/>
          <w:numId w:val="3"/>
        </w:numPr>
        <w:tabs>
          <w:tab w:val="left" w:pos="567"/>
          <w:tab w:val="left" w:pos="630"/>
          <w:tab w:val="clear" w:pos="289"/>
        </w:tabs>
        <w:spacing w:line="360" w:lineRule="auto"/>
        <w:ind w:left="567"/>
        <w:outlineLvl w:val="3"/>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关于中小企业投标</w:t>
      </w:r>
    </w:p>
    <w:p w14:paraId="1696A73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中小企业投标是指符合</w:t>
      </w:r>
      <w:r>
        <w:rPr>
          <w:rFonts w:hint="eastAsia" w:ascii="宋体" w:hAnsi="宋体"/>
          <w:color w:val="000000" w:themeColor="text1"/>
          <w:sz w:val="24"/>
          <w:szCs w:val="24"/>
          <w:highlight w:val="none"/>
          <w14:textFill>
            <w14:solidFill>
              <w14:schemeClr w14:val="tx1"/>
            </w14:solidFill>
          </w14:textFill>
        </w:rPr>
        <w:t>《中小企业划型标准规定》</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，通过投标提供本企业制造的货物、承担的工程或者服务，或者提供其他中小企业制造的货物。本项所指货物不包括使用大型企业注册商标的货物。中小企业投标应提供《中小企业声明函》。</w:t>
      </w:r>
    </w:p>
    <w:p w14:paraId="2D85CFF3">
      <w:pPr>
        <w:numPr>
          <w:ilvl w:val="1"/>
          <w:numId w:val="3"/>
        </w:numPr>
        <w:tabs>
          <w:tab w:val="left" w:pos="567"/>
          <w:tab w:val="left" w:pos="630"/>
          <w:tab w:val="clear" w:pos="289"/>
        </w:tabs>
        <w:spacing w:line="360" w:lineRule="auto"/>
        <w:ind w:left="567"/>
        <w:outlineLvl w:val="3"/>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关于</w:t>
      </w:r>
      <w:r>
        <w:rPr>
          <w:rFonts w:hint="eastAsia" w:ascii="宋体" w:hAnsi="宋体"/>
          <w:b/>
          <w:color w:val="000000" w:themeColor="text1"/>
          <w:sz w:val="24"/>
          <w:szCs w:val="24"/>
          <w:highlight w:val="none"/>
          <w:lang w:val="en-US" w:eastAsia="zh-CN"/>
          <w14:textFill>
            <w14:solidFill>
              <w14:schemeClr w14:val="tx1"/>
            </w14:solidFill>
          </w14:textFill>
        </w:rPr>
        <w:t>投标保证金的缴纳形式</w:t>
      </w:r>
    </w:p>
    <w:p w14:paraId="557C9A47">
      <w:pPr>
        <w:pStyle w:val="8"/>
        <w:tabs>
          <w:tab w:val="left" w:pos="5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投标保证金的形式：政府采购保证金应当以支票、汇票、本票或者金融机构、担保机构出具的保函等非现金的形式提交。</w:t>
      </w:r>
    </w:p>
    <w:p w14:paraId="006A0086">
      <w:pPr>
        <w:numPr>
          <w:ilvl w:val="1"/>
          <w:numId w:val="3"/>
        </w:numPr>
        <w:tabs>
          <w:tab w:val="left" w:pos="525"/>
          <w:tab w:val="left" w:pos="567"/>
          <w:tab w:val="left" w:pos="630"/>
          <w:tab w:val="clear" w:pos="289"/>
        </w:tabs>
        <w:spacing w:line="360" w:lineRule="auto"/>
        <w:ind w:left="567"/>
        <w:outlineLvl w:val="3"/>
        <w:rPr>
          <w:rFonts w:hint="eastAsia" w:ascii="宋体" w:hAnsi="宋体"/>
          <w:b/>
          <w:color w:val="000000" w:themeColor="text1"/>
          <w:sz w:val="24"/>
          <w:szCs w:val="22"/>
          <w:highlight w:val="none"/>
          <w14:textFill>
            <w14:solidFill>
              <w14:schemeClr w14:val="tx1"/>
            </w14:solidFill>
          </w14:textFill>
        </w:rPr>
      </w:pPr>
      <w:bookmarkStart w:id="61" w:name="_Toc264616638"/>
      <w:r>
        <w:rPr>
          <w:rFonts w:hint="eastAsia" w:ascii="宋体" w:hAnsi="宋体"/>
          <w:b/>
          <w:color w:val="000000" w:themeColor="text1"/>
          <w:sz w:val="24"/>
          <w:szCs w:val="22"/>
          <w:highlight w:val="none"/>
          <w14:textFill>
            <w14:solidFill>
              <w14:schemeClr w14:val="tx1"/>
            </w14:solidFill>
          </w14:textFill>
        </w:rPr>
        <w:t>通知</w:t>
      </w:r>
      <w:bookmarkEnd w:id="61"/>
    </w:p>
    <w:p w14:paraId="6E2133D7">
      <w:pPr>
        <w:tabs>
          <w:tab w:val="left" w:pos="900"/>
        </w:tabs>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对与本项目有关的通知，</w:t>
      </w:r>
      <w:r>
        <w:rPr>
          <w:rFonts w:hint="eastAsia" w:ascii="宋体" w:hAnsi="宋体"/>
          <w:color w:val="000000" w:themeColor="text1"/>
          <w:sz w:val="24"/>
          <w:highlight w:val="none"/>
          <w14:textFill>
            <w14:solidFill>
              <w14:schemeClr w14:val="tx1"/>
            </w14:solidFill>
          </w14:textFill>
        </w:rPr>
        <w:t>采购代理机构</w:t>
      </w:r>
      <w:r>
        <w:rPr>
          <w:rFonts w:hint="eastAsia"/>
          <w:color w:val="000000" w:themeColor="text1"/>
          <w:sz w:val="24"/>
          <w:highlight w:val="none"/>
          <w14:textFill>
            <w14:solidFill>
              <w14:schemeClr w14:val="tx1"/>
            </w14:solidFill>
          </w14:textFill>
        </w:rPr>
        <w:t>将以书面（包括书面材料、信函、传真等，下同）或在本次</w:t>
      </w:r>
      <w:r>
        <w:rPr>
          <w:rFonts w:hint="eastAsia"/>
          <w:color w:val="000000" w:themeColor="text1"/>
          <w:sz w:val="24"/>
          <w:highlight w:val="none"/>
          <w:lang w:eastAsia="zh-CN"/>
          <w14:textFill>
            <w14:solidFill>
              <w14:schemeClr w14:val="tx1"/>
            </w14:solidFill>
          </w14:textFill>
        </w:rPr>
        <w:t>招标公告</w:t>
      </w:r>
      <w:r>
        <w:rPr>
          <w:rFonts w:hint="eastAsia"/>
          <w:color w:val="000000" w:themeColor="text1"/>
          <w:sz w:val="24"/>
          <w:highlight w:val="none"/>
          <w14:textFill>
            <w14:solidFill>
              <w14:schemeClr w14:val="tx1"/>
            </w14:solidFill>
          </w14:textFill>
        </w:rPr>
        <w:t>刊登的媒体上以发布公告的形式，送达所有与通知有关的已领取了</w:t>
      </w:r>
      <w:r>
        <w:rPr>
          <w:rFonts w:hint="eastAsia" w:ascii="宋体" w:hAnsi="宋体" w:cs="宋体"/>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，传真号码以</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的登记为准。</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应于收到通知的当日以书面方式予以回复确认。因</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登记的传真号码有误、传真线路故障或</w:t>
      </w:r>
      <w:r>
        <w:rPr>
          <w:rFonts w:hint="eastAsia" w:ascii="宋体" w:hAnsi="宋体"/>
          <w:color w:val="000000" w:themeColor="text1"/>
          <w:sz w:val="24"/>
          <w:highlight w:val="none"/>
          <w14:textFill>
            <w14:solidFill>
              <w14:schemeClr w14:val="tx1"/>
            </w14:solidFill>
          </w14:textFill>
        </w:rPr>
        <w:t>其它任何意外情形，</w:t>
      </w:r>
      <w:r>
        <w:rPr>
          <w:rFonts w:hint="eastAsia"/>
          <w:color w:val="000000" w:themeColor="text1"/>
          <w:sz w:val="24"/>
          <w:highlight w:val="none"/>
          <w14:textFill>
            <w14:solidFill>
              <w14:schemeClr w14:val="tx1"/>
            </w14:solidFill>
          </w14:textFill>
        </w:rPr>
        <w:t>导致</w:t>
      </w:r>
      <w:r>
        <w:rPr>
          <w:rFonts w:hint="eastAsia" w:ascii="宋体" w:hAnsi="宋体"/>
          <w:color w:val="000000" w:themeColor="text1"/>
          <w:sz w:val="24"/>
          <w:highlight w:val="none"/>
          <w14:textFill>
            <w14:solidFill>
              <w14:schemeClr w14:val="tx1"/>
            </w14:solidFill>
          </w14:textFill>
        </w:rPr>
        <w:t>所发出的</w:t>
      </w:r>
      <w:r>
        <w:rPr>
          <w:rFonts w:hint="eastAsia"/>
          <w:color w:val="000000" w:themeColor="text1"/>
          <w:sz w:val="24"/>
          <w:highlight w:val="none"/>
          <w14:textFill>
            <w14:solidFill>
              <w14:schemeClr w14:val="tx1"/>
            </w14:solidFill>
          </w14:textFill>
        </w:rPr>
        <w:t>通知延迟送达或无法送达</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采购代理机构</w:t>
      </w:r>
      <w:r>
        <w:rPr>
          <w:rFonts w:hint="eastAsia"/>
          <w:color w:val="000000" w:themeColor="text1"/>
          <w:sz w:val="24"/>
          <w:highlight w:val="none"/>
          <w14:textFill>
            <w14:solidFill>
              <w14:schemeClr w14:val="tx1"/>
            </w14:solidFill>
          </w14:textFill>
        </w:rPr>
        <w:t>不承担责任。</w:t>
      </w:r>
    </w:p>
    <w:p w14:paraId="1AD00B14">
      <w:pPr>
        <w:numPr>
          <w:ilvl w:val="0"/>
          <w:numId w:val="0"/>
        </w:numPr>
        <w:tabs>
          <w:tab w:val="left" w:pos="525"/>
          <w:tab w:val="left" w:pos="567"/>
          <w:tab w:val="left" w:pos="630"/>
        </w:tabs>
        <w:spacing w:line="360" w:lineRule="auto"/>
        <w:ind w:leftChars="0"/>
        <w:outlineLvl w:val="3"/>
        <w:rPr>
          <w:rFonts w:ascii="宋体" w:hAnsi="宋体"/>
          <w:b/>
          <w:color w:val="000000" w:themeColor="text1"/>
          <w:sz w:val="24"/>
          <w:highlight w:val="none"/>
          <w14:textFill>
            <w14:solidFill>
              <w14:schemeClr w14:val="tx1"/>
            </w14:solidFill>
          </w14:textFill>
        </w:rPr>
      </w:pPr>
      <w:bookmarkStart w:id="62" w:name="_Toc264616639"/>
      <w:r>
        <w:rPr>
          <w:rFonts w:hint="eastAsia" w:ascii="宋体" w:hAnsi="宋体" w:cs="宋体"/>
          <w:b/>
          <w:color w:val="000000" w:themeColor="text1"/>
          <w:sz w:val="24"/>
          <w:highlight w:val="none"/>
          <w:lang w:val="en-US" w:eastAsia="zh-CN"/>
          <w14:textFill>
            <w14:solidFill>
              <w14:schemeClr w14:val="tx1"/>
            </w14:solidFill>
          </w14:textFill>
        </w:rPr>
        <w:t>1.13.</w:t>
      </w:r>
      <w:r>
        <w:rPr>
          <w:rFonts w:hint="eastAsia" w:ascii="宋体" w:hAnsi="宋体" w:cs="宋体"/>
          <w:b/>
          <w:color w:val="000000" w:themeColor="text1"/>
          <w:sz w:val="24"/>
          <w:highlight w:val="none"/>
          <w:lang w:eastAsia="zh-CN"/>
          <w14:textFill>
            <w14:solidFill>
              <w14:schemeClr w14:val="tx1"/>
            </w14:solidFill>
          </w14:textFill>
        </w:rPr>
        <w:t>招标文件</w:t>
      </w:r>
      <w:r>
        <w:rPr>
          <w:rFonts w:hint="eastAsia" w:ascii="宋体" w:hAnsi="宋体"/>
          <w:b/>
          <w:color w:val="000000" w:themeColor="text1"/>
          <w:sz w:val="24"/>
          <w:highlight w:val="none"/>
          <w14:textFill>
            <w14:solidFill>
              <w14:schemeClr w14:val="tx1"/>
            </w14:solidFill>
          </w14:textFill>
        </w:rPr>
        <w:t>的解释权</w:t>
      </w:r>
      <w:bookmarkEnd w:id="62"/>
    </w:p>
    <w:p w14:paraId="39E87C04">
      <w:pPr>
        <w:pStyle w:val="8"/>
        <w:keepNext w:val="0"/>
        <w:keepLines w:val="0"/>
        <w:pageBreakBefore w:val="0"/>
        <w:kinsoku/>
        <w:overflowPunct/>
        <w:topLinePunct w:val="0"/>
        <w:autoSpaceDE/>
        <w:autoSpaceDN/>
        <w:bidi w:val="0"/>
        <w:adjustRightInd/>
        <w:snapToGrid/>
        <w:spacing w:afterAutospacing="0" w:line="360" w:lineRule="auto"/>
        <w:ind w:left="0" w:leftChars="0" w:firstLine="480" w:firstLineChars="200"/>
        <w:textAlignment w:val="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w:t>
      </w:r>
      <w:r>
        <w:rPr>
          <w:rFonts w:hint="eastAsia" w:ascii="宋体" w:hAnsi="宋体" w:cs="宋体"/>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的解释权归“</w:t>
      </w:r>
      <w:r>
        <w:rPr>
          <w:rFonts w:hint="eastAsia" w:ascii="宋体" w:hAnsi="宋体" w:cs="宋体"/>
          <w:color w:val="000000" w:themeColor="text1"/>
          <w:kern w:val="0"/>
          <w:sz w:val="24"/>
          <w:szCs w:val="24"/>
          <w:highlight w:val="none"/>
          <w:lang w:eastAsia="zh-CN"/>
          <w14:textFill>
            <w14:solidFill>
              <w14:schemeClr w14:val="tx1"/>
            </w14:solidFill>
          </w14:textFill>
        </w:rPr>
        <w:t>新疆国腾工程项目管理咨询有限公司</w:t>
      </w:r>
      <w:r>
        <w:rPr>
          <w:rFonts w:hint="eastAsia"/>
          <w:color w:val="000000" w:themeColor="text1"/>
          <w:sz w:val="24"/>
          <w:highlight w:val="none"/>
          <w14:textFill>
            <w14:solidFill>
              <w14:schemeClr w14:val="tx1"/>
            </w14:solidFill>
          </w14:textFill>
        </w:rPr>
        <w:t>”所有。</w:t>
      </w:r>
    </w:p>
    <w:p w14:paraId="01F531F3">
      <w:pPr>
        <w:pStyle w:val="4"/>
        <w:numPr>
          <w:ilvl w:val="0"/>
          <w:numId w:val="3"/>
        </w:numPr>
        <w:tabs>
          <w:tab w:val="left" w:pos="425"/>
          <w:tab w:val="clear" w:pos="147"/>
        </w:tabs>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3" w:name="_Toc9666"/>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lang w:eastAsia="zh-CN"/>
          <w14:textFill>
            <w14:solidFill>
              <w14:schemeClr w14:val="tx1"/>
            </w14:solidFill>
          </w14:textFill>
        </w:rPr>
        <w:t>文件</w:t>
      </w:r>
      <w:bookmarkEnd w:id="63"/>
    </w:p>
    <w:p w14:paraId="0D85D431">
      <w:pPr>
        <w:numPr>
          <w:ilvl w:val="1"/>
          <w:numId w:val="3"/>
        </w:numPr>
        <w:tabs>
          <w:tab w:val="left" w:pos="567"/>
          <w:tab w:val="clear" w:pos="289"/>
        </w:tabs>
        <w:spacing w:beforeAutospacing="0"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招标</w:t>
      </w:r>
      <w:r>
        <w:rPr>
          <w:rFonts w:hint="eastAsia" w:ascii="宋体" w:hAnsi="宋体"/>
          <w:b/>
          <w:bCs/>
          <w:color w:val="000000" w:themeColor="text1"/>
          <w:sz w:val="24"/>
          <w:highlight w:val="none"/>
          <w:lang w:eastAsia="zh-CN"/>
          <w14:textFill>
            <w14:solidFill>
              <w14:schemeClr w14:val="tx1"/>
            </w14:solidFill>
          </w14:textFill>
        </w:rPr>
        <w:t>文件</w:t>
      </w:r>
      <w:r>
        <w:rPr>
          <w:rFonts w:hint="eastAsia" w:ascii="宋体" w:hAnsi="宋体"/>
          <w:b/>
          <w:bCs/>
          <w:color w:val="000000" w:themeColor="text1"/>
          <w:sz w:val="24"/>
          <w:highlight w:val="none"/>
          <w14:textFill>
            <w14:solidFill>
              <w14:schemeClr w14:val="tx1"/>
            </w14:solidFill>
          </w14:textFill>
        </w:rPr>
        <w:t>的组成</w:t>
      </w:r>
    </w:p>
    <w:p w14:paraId="41912C2E">
      <w:pPr>
        <w:spacing w:line="360" w:lineRule="auto"/>
        <w:ind w:left="1108" w:hanging="583"/>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招标公告</w:t>
      </w:r>
    </w:p>
    <w:p w14:paraId="3D217887">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须知</w:t>
      </w:r>
    </w:p>
    <w:p w14:paraId="787ACCDC">
      <w:pPr>
        <w:spacing w:line="360" w:lineRule="auto"/>
        <w:ind w:left="1108" w:hanging="583"/>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招标人需求</w:t>
      </w:r>
    </w:p>
    <w:p w14:paraId="74A34488">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（4）评标文件</w:t>
      </w:r>
    </w:p>
    <w:p w14:paraId="4EDEEEED">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（5）合同（样本）</w:t>
      </w:r>
    </w:p>
    <w:p w14:paraId="59287A4D">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w:t>
      </w:r>
    </w:p>
    <w:p w14:paraId="0F30B700">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（7）根据</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规定发出的澄清、修改及补充文件（如有）；</w:t>
      </w:r>
    </w:p>
    <w:p w14:paraId="5181AB42">
      <w:pPr>
        <w:numPr>
          <w:ilvl w:val="1"/>
          <w:numId w:val="3"/>
        </w:numPr>
        <w:tabs>
          <w:tab w:val="left" w:pos="567"/>
          <w:tab w:val="clear" w:pos="289"/>
        </w:tabs>
        <w:spacing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招标</w:t>
      </w:r>
      <w:r>
        <w:rPr>
          <w:rFonts w:hint="eastAsia" w:ascii="宋体" w:hAnsi="宋体"/>
          <w:b/>
          <w:bCs/>
          <w:color w:val="000000" w:themeColor="text1"/>
          <w:sz w:val="24"/>
          <w:highlight w:val="none"/>
          <w:lang w:eastAsia="zh-CN"/>
          <w14:textFill>
            <w14:solidFill>
              <w14:schemeClr w14:val="tx1"/>
            </w14:solidFill>
          </w14:textFill>
        </w:rPr>
        <w:t>文件</w:t>
      </w:r>
      <w:r>
        <w:rPr>
          <w:rFonts w:hint="eastAsia" w:ascii="宋体" w:hAnsi="宋体"/>
          <w:b/>
          <w:bCs/>
          <w:color w:val="000000" w:themeColor="text1"/>
          <w:sz w:val="24"/>
          <w:highlight w:val="none"/>
          <w14:textFill>
            <w14:solidFill>
              <w14:schemeClr w14:val="tx1"/>
            </w14:solidFill>
          </w14:textFill>
        </w:rPr>
        <w:t>的澄清</w:t>
      </w:r>
      <w:r>
        <w:rPr>
          <w:rFonts w:hint="eastAsia" w:ascii="宋体" w:hAnsi="宋体"/>
          <w:b/>
          <w:bCs/>
          <w:color w:val="000000" w:themeColor="text1"/>
          <w:sz w:val="24"/>
          <w:highlight w:val="none"/>
          <w:lang w:val="en-US" w:eastAsia="zh-CN"/>
          <w14:textFill>
            <w14:solidFill>
              <w14:schemeClr w14:val="tx1"/>
            </w14:solidFill>
          </w14:textFill>
        </w:rPr>
        <w:t>和修改</w:t>
      </w:r>
    </w:p>
    <w:p w14:paraId="61C449B1">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招标</w:t>
      </w:r>
      <w:r>
        <w:rPr>
          <w:rFonts w:hint="eastAsia" w:ascii="宋体" w:hAnsi="宋体"/>
          <w:color w:val="000000" w:themeColor="text1"/>
          <w:sz w:val="24"/>
          <w:highlight w:val="none"/>
          <w:lang w:eastAsia="zh-CN"/>
          <w14:textFill>
            <w14:solidFill>
              <w14:schemeClr w14:val="tx1"/>
            </w14:solidFill>
          </w14:textFill>
        </w:rPr>
        <w:t>单位</w:t>
      </w:r>
      <w:r>
        <w:rPr>
          <w:rFonts w:hint="eastAsia" w:ascii="宋体" w:hAnsi="宋体"/>
          <w:color w:val="000000" w:themeColor="text1"/>
          <w:sz w:val="24"/>
          <w:highlight w:val="none"/>
          <w14:textFill>
            <w14:solidFill>
              <w14:schemeClr w14:val="tx1"/>
            </w14:solidFill>
          </w14:textFill>
        </w:rPr>
        <w:t>可以依法对招标文件进行澄清或者修改。</w:t>
      </w:r>
    </w:p>
    <w:p w14:paraId="27E33FD8">
      <w:pPr>
        <w:numPr>
          <w:ilvl w:val="2"/>
          <w:numId w:val="3"/>
        </w:numPr>
        <w:tabs>
          <w:tab w:val="left" w:pos="624"/>
          <w:tab w:val="left" w:pos="735"/>
          <w:tab w:val="left" w:pos="1254"/>
          <w:tab w:val="clear" w:pos="1050"/>
        </w:tabs>
        <w:spacing w:line="360" w:lineRule="auto"/>
        <w:ind w:left="735" w:hanging="735"/>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对已发出的招标文件进行澄清或者修改，应当以书面形式将澄清或者修改的内容通知所有购买了招标文件的</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eastAsia="zh-CN"/>
          <w14:textFill>
            <w14:solidFill>
              <w14:schemeClr w14:val="tx1"/>
            </w14:solidFill>
          </w14:textFill>
        </w:rPr>
        <w:t>或</w:t>
      </w:r>
      <w:r>
        <w:rPr>
          <w:rFonts w:hint="eastAsia" w:ascii="宋体" w:hAnsi="宋体" w:eastAsia="宋体" w:cs="Times New Roman"/>
          <w:color w:val="000000" w:themeColor="text1"/>
          <w:sz w:val="24"/>
          <w:highlight w:val="none"/>
          <w14:textFill>
            <w14:solidFill>
              <w14:schemeClr w14:val="tx1"/>
            </w14:solidFill>
          </w14:textFill>
        </w:rPr>
        <w:t>在</w:t>
      </w:r>
      <w:r>
        <w:rPr>
          <w:rFonts w:hint="eastAsia" w:ascii="宋体" w:hAnsi="宋体" w:eastAsia="宋体" w:cs="Times New Roman"/>
          <w:color w:val="000000" w:themeColor="text1"/>
          <w:sz w:val="24"/>
          <w:highlight w:val="none"/>
          <w:lang w:eastAsia="zh-CN"/>
          <w14:textFill>
            <w14:solidFill>
              <w14:schemeClr w14:val="tx1"/>
            </w14:solidFill>
          </w14:textFill>
        </w:rPr>
        <w:t>新疆政府采购网</w:t>
      </w:r>
      <w:r>
        <w:rPr>
          <w:rFonts w:hint="eastAsia" w:ascii="宋体" w:hAnsi="宋体" w:eastAsia="宋体" w:cs="Times New Roman"/>
          <w:color w:val="000000" w:themeColor="text1"/>
          <w:sz w:val="24"/>
          <w:highlight w:val="none"/>
          <w14:textFill>
            <w14:solidFill>
              <w14:schemeClr w14:val="tx1"/>
            </w14:solidFill>
          </w14:textFill>
        </w:rPr>
        <w:t>上发布更正公告。该澄清或者修改的内容为招标文件的组成部分，澄清或者修改的内容可能影响</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、资格预审申请文件编制的，</w:t>
      </w:r>
      <w:r>
        <w:rPr>
          <w:rFonts w:hint="eastAsia" w:ascii="宋体" w:hAnsi="宋体" w:cs="Times New Roman"/>
          <w:color w:val="000000" w:themeColor="text1"/>
          <w:sz w:val="24"/>
          <w:highlight w:val="none"/>
          <w:lang w:eastAsia="zh-CN"/>
          <w14:textFill>
            <w14:solidFill>
              <w14:schemeClr w14:val="tx1"/>
            </w14:solidFill>
          </w14:textFill>
        </w:rPr>
        <w:t>招标人</w:t>
      </w:r>
      <w:r>
        <w:rPr>
          <w:rFonts w:hint="eastAsia" w:ascii="宋体" w:hAnsi="宋体" w:eastAsia="宋体" w:cs="Times New Roman"/>
          <w:color w:val="000000" w:themeColor="text1"/>
          <w:sz w:val="24"/>
          <w:highlight w:val="none"/>
          <w14:textFill>
            <w14:solidFill>
              <w14:schemeClr w14:val="tx1"/>
            </w14:solidFill>
          </w14:textFill>
        </w:rPr>
        <w:t>或者采购代理机构发布公告</w:t>
      </w:r>
      <w:r>
        <w:rPr>
          <w:rFonts w:hint="eastAsia" w:ascii="宋体" w:hAnsi="宋体" w:cs="Times New Roman"/>
          <w:color w:val="000000" w:themeColor="text1"/>
          <w:sz w:val="24"/>
          <w:highlight w:val="none"/>
          <w:lang w:eastAsia="zh-CN"/>
          <w14:textFill>
            <w14:solidFill>
              <w14:schemeClr w14:val="tx1"/>
            </w14:solidFill>
          </w14:textFill>
        </w:rPr>
        <w:t>或</w:t>
      </w:r>
      <w:r>
        <w:rPr>
          <w:rFonts w:hint="eastAsia" w:ascii="宋体" w:hAnsi="宋体" w:eastAsia="宋体" w:cs="Times New Roman"/>
          <w:color w:val="000000" w:themeColor="text1"/>
          <w:sz w:val="24"/>
          <w:highlight w:val="none"/>
          <w14:textFill>
            <w14:solidFill>
              <w14:schemeClr w14:val="tx1"/>
            </w14:solidFill>
          </w14:textFill>
        </w:rPr>
        <w:t>书面通知</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的时间，应当在投标截止时间至少15日前、提交资格预审申请文件截止时间至少3日前；不足上述时间的，应当顺延提交</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、资格预审申请文件的截止时间。</w:t>
      </w:r>
    </w:p>
    <w:p w14:paraId="3D9C63D5">
      <w:pPr>
        <w:numPr>
          <w:ilvl w:val="2"/>
          <w:numId w:val="3"/>
        </w:numPr>
        <w:tabs>
          <w:tab w:val="left" w:pos="624"/>
          <w:tab w:val="left" w:pos="735"/>
          <w:tab w:val="left" w:pos="1254"/>
          <w:tab w:val="clear" w:pos="1050"/>
        </w:tabs>
        <w:spacing w:line="360" w:lineRule="auto"/>
        <w:ind w:left="735" w:hanging="735"/>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应于</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递交截止时间之前在</w:t>
      </w:r>
      <w:r>
        <w:rPr>
          <w:rFonts w:hint="eastAsia" w:ascii="宋体" w:hAnsi="宋体" w:eastAsia="宋体" w:cs="Times New Roman"/>
          <w:color w:val="000000" w:themeColor="text1"/>
          <w:sz w:val="24"/>
          <w:highlight w:val="none"/>
          <w:lang w:eastAsia="zh-CN"/>
          <w14:textFill>
            <w14:solidFill>
              <w14:schemeClr w14:val="tx1"/>
            </w14:solidFill>
          </w14:textFill>
        </w:rPr>
        <w:t>新疆政府采购网</w:t>
      </w:r>
      <w:r>
        <w:rPr>
          <w:rFonts w:hint="eastAsia" w:ascii="宋体" w:hAnsi="宋体" w:eastAsia="宋体" w:cs="Times New Roman"/>
          <w:color w:val="000000" w:themeColor="text1"/>
          <w:sz w:val="24"/>
          <w:highlight w:val="none"/>
          <w14:textFill>
            <w14:solidFill>
              <w14:schemeClr w14:val="tx1"/>
            </w14:solidFill>
          </w14:textFill>
        </w:rPr>
        <w:t>查询本项目的更正公告，以保证其对招标文件做出正确的响应。</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未按要求下载相关文件，或由于未及时关注更正公告的信息造成的后果，其责任由</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自行负责。</w:t>
      </w:r>
    </w:p>
    <w:p w14:paraId="1470BEAC">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认为需要对招标文件进行澄清或者修改的，可以书面形式向</w:t>
      </w: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提出申请，但</w:t>
      </w: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可以决定是否采纳</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的申请事项。</w:t>
      </w:r>
    </w:p>
    <w:p w14:paraId="1394D590">
      <w:pPr>
        <w:pStyle w:val="4"/>
        <w:numPr>
          <w:ilvl w:val="0"/>
          <w:numId w:val="3"/>
        </w:numPr>
        <w:tabs>
          <w:tab w:val="left" w:pos="425"/>
          <w:tab w:val="clear" w:pos="147"/>
        </w:tabs>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4" w:name="_Toc49082411"/>
      <w:bookmarkStart w:id="65" w:name="_Toc49135197"/>
      <w:r>
        <w:rPr>
          <w:rFonts w:hint="eastAsia"/>
          <w:color w:val="000000" w:themeColor="text1"/>
          <w:highlight w:val="none"/>
          <w:lang w:eastAsia="zh-CN"/>
          <w14:textFill>
            <w14:solidFill>
              <w14:schemeClr w14:val="tx1"/>
            </w14:solidFill>
          </w14:textFill>
        </w:rPr>
        <w:t>响应文件</w:t>
      </w:r>
    </w:p>
    <w:p w14:paraId="08B9E3B3">
      <w:pPr>
        <w:numPr>
          <w:ilvl w:val="1"/>
          <w:numId w:val="3"/>
        </w:numPr>
        <w:tabs>
          <w:tab w:val="left" w:pos="567"/>
          <w:tab w:val="clear" w:pos="289"/>
        </w:tabs>
        <w:spacing w:beforeAutospacing="0"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响应文件</w:t>
      </w:r>
      <w:r>
        <w:rPr>
          <w:rFonts w:hint="eastAsia" w:ascii="宋体" w:hAnsi="宋体"/>
          <w:b/>
          <w:bCs/>
          <w:color w:val="000000" w:themeColor="text1"/>
          <w:sz w:val="24"/>
          <w:highlight w:val="none"/>
          <w14:textFill>
            <w14:solidFill>
              <w14:schemeClr w14:val="tx1"/>
            </w14:solidFill>
          </w14:textFill>
        </w:rPr>
        <w:t>的编写</w:t>
      </w:r>
      <w:r>
        <w:rPr>
          <w:rFonts w:hint="eastAsia" w:ascii="宋体" w:hAnsi="宋体"/>
          <w:b/>
          <w:bCs/>
          <w:color w:val="000000" w:themeColor="text1"/>
          <w:sz w:val="24"/>
          <w:szCs w:val="24"/>
          <w:highlight w:val="none"/>
          <w14:textFill>
            <w14:solidFill>
              <w14:schemeClr w14:val="tx1"/>
            </w14:solidFill>
          </w14:textFill>
        </w:rPr>
        <w:t>（实质性要求）</w:t>
      </w:r>
    </w:p>
    <w:p w14:paraId="6972C57A">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应仔细阅读</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的所有内容，</w:t>
      </w:r>
      <w:r>
        <w:rPr>
          <w:rFonts w:hint="eastAsia" w:ascii="宋体" w:hAnsi="宋体"/>
          <w:bCs/>
          <w:color w:val="000000" w:themeColor="text1"/>
          <w:sz w:val="24"/>
          <w:highlight w:val="none"/>
          <w14:textFill>
            <w14:solidFill>
              <w14:schemeClr w14:val="tx1"/>
            </w14:solidFill>
          </w14:textFill>
        </w:rPr>
        <w:t>按</w:t>
      </w:r>
      <w:r>
        <w:rPr>
          <w:rFonts w:hint="eastAsia" w:ascii="宋体" w:hAnsi="宋体"/>
          <w:bCs/>
          <w:color w:val="000000" w:themeColor="text1"/>
          <w:sz w:val="24"/>
          <w:highlight w:val="none"/>
          <w:lang w:eastAsia="zh-CN"/>
          <w14:textFill>
            <w14:solidFill>
              <w14:schemeClr w14:val="tx1"/>
            </w14:solidFill>
          </w14:textFill>
        </w:rPr>
        <w:t>招标文件</w:t>
      </w:r>
      <w:r>
        <w:rPr>
          <w:rFonts w:hint="eastAsia" w:ascii="宋体" w:hAnsi="宋体"/>
          <w:bCs/>
          <w:color w:val="000000" w:themeColor="text1"/>
          <w:sz w:val="24"/>
          <w:highlight w:val="none"/>
          <w14:textFill>
            <w14:solidFill>
              <w14:schemeClr w14:val="tx1"/>
            </w14:solidFill>
          </w14:textFill>
        </w:rPr>
        <w:t>的要求制作并递交</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，并保证所提供的全部资料的真实性、准确性，以确保其投标对</w:t>
      </w:r>
      <w:r>
        <w:rPr>
          <w:rFonts w:hint="eastAsia" w:ascii="宋体" w:hAnsi="宋体"/>
          <w:bCs/>
          <w:color w:val="000000" w:themeColor="text1"/>
          <w:sz w:val="24"/>
          <w:highlight w:val="none"/>
          <w:lang w:eastAsia="zh-CN"/>
          <w14:textFill>
            <w14:solidFill>
              <w14:schemeClr w14:val="tx1"/>
            </w14:solidFill>
          </w14:textFill>
        </w:rPr>
        <w:t>招标文件</w:t>
      </w:r>
      <w:r>
        <w:rPr>
          <w:rFonts w:hint="eastAsia" w:ascii="宋体" w:hAnsi="宋体"/>
          <w:bCs/>
          <w:color w:val="000000" w:themeColor="text1"/>
          <w:sz w:val="24"/>
          <w:highlight w:val="none"/>
          <w14:textFill>
            <w14:solidFill>
              <w14:schemeClr w14:val="tx1"/>
            </w14:solidFill>
          </w14:textFill>
        </w:rPr>
        <w:t>做出实质性响应；否则，将拒绝其投标。</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在投标中提供不真实的材料，无论其材料是否重要，都将直接导致</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无效，并承担由此产生的法律责任。</w:t>
      </w:r>
    </w:p>
    <w:p w14:paraId="209AD990">
      <w:pPr>
        <w:numPr>
          <w:ilvl w:val="2"/>
          <w:numId w:val="3"/>
        </w:numPr>
        <w:tabs>
          <w:tab w:val="left" w:pos="624"/>
          <w:tab w:val="left" w:pos="735"/>
          <w:tab w:val="left" w:pos="1254"/>
          <w:tab w:val="clear" w:pos="1050"/>
        </w:tabs>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投标语言和计量单位</w:t>
      </w:r>
    </w:p>
    <w:p w14:paraId="3569C020">
      <w:pPr>
        <w:spacing w:line="360" w:lineRule="auto"/>
        <w:ind w:left="718" w:left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和来往函件应用中文书写，</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提供的支持文件、技术资料和印刷的文献可以用其它语言，但相应内容应附有中文翻译本（经公证处公证），以中文为准，计量单位应使用国际公制单位。</w:t>
      </w:r>
    </w:p>
    <w:p w14:paraId="0FC75891">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必须以</w:t>
      </w:r>
      <w:r>
        <w:rPr>
          <w:rFonts w:hint="eastAsia" w:ascii="宋体" w:hAnsi="宋体"/>
          <w:color w:val="000000" w:themeColor="text1"/>
          <w:sz w:val="24"/>
          <w:highlight w:val="none"/>
          <w:lang w:eastAsia="zh-CN"/>
          <w14:textFill>
            <w14:solidFill>
              <w14:schemeClr w14:val="tx1"/>
            </w14:solidFill>
          </w14:textFill>
        </w:rPr>
        <w:t>人民币</w:t>
      </w:r>
      <w:r>
        <w:rPr>
          <w:rFonts w:hint="eastAsia" w:ascii="宋体" w:hAnsi="宋体"/>
          <w:color w:val="000000" w:themeColor="text1"/>
          <w:sz w:val="24"/>
          <w:highlight w:val="none"/>
          <w14:textFill>
            <w14:solidFill>
              <w14:schemeClr w14:val="tx1"/>
            </w14:solidFill>
          </w14:textFill>
        </w:rPr>
        <w:t>报价，并保留小数点后两位。</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中开标一览表内容与</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中相应内容不一致的，以开标一览表为准；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的大写金额和小写金额不一致的，以大写金额为准；单价金额小数点或者百分比有明显错位的，以开标一览表为准，并修改单价；总价金额与单价金额和数量乘积不一致的，以单价金额计算结果为准；对不同文字文本</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的解释发生异议的，以中文文本为准。</w:t>
      </w:r>
    </w:p>
    <w:p w14:paraId="2EA0EDBD">
      <w:pPr>
        <w:numPr>
          <w:ilvl w:val="1"/>
          <w:numId w:val="3"/>
        </w:numPr>
        <w:tabs>
          <w:tab w:val="left" w:pos="567"/>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响应文件</w:t>
      </w:r>
      <w:r>
        <w:rPr>
          <w:rFonts w:hint="eastAsia" w:ascii="宋体" w:hAnsi="宋体"/>
          <w:b/>
          <w:bCs/>
          <w:color w:val="000000" w:themeColor="text1"/>
          <w:sz w:val="24"/>
          <w:highlight w:val="none"/>
          <w14:textFill>
            <w14:solidFill>
              <w14:schemeClr w14:val="tx1"/>
            </w14:solidFill>
          </w14:textFill>
        </w:rPr>
        <w:t>的组成</w:t>
      </w:r>
    </w:p>
    <w:p w14:paraId="3AFFFBF0">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准备的</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 xml:space="preserve">应包括《第六章 </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w:t>
      </w:r>
    </w:p>
    <w:p w14:paraId="380419C5">
      <w:pPr>
        <w:numPr>
          <w:ilvl w:val="2"/>
          <w:numId w:val="3"/>
        </w:numPr>
        <w:tabs>
          <w:tab w:val="left" w:pos="624"/>
          <w:tab w:val="left" w:pos="735"/>
          <w:tab w:val="left" w:pos="1254"/>
          <w:tab w:val="clear" w:pos="1050"/>
        </w:tabs>
        <w:spacing w:line="360" w:lineRule="auto"/>
        <w:ind w:left="735" w:hanging="735"/>
        <w:rPr>
          <w:rFonts w:hint="eastAsia" w:ascii="宋体" w:hAnsi="宋体"/>
          <w:color w:val="000000" w:themeColor="text1"/>
          <w:sz w:val="24"/>
          <w:highlight w:val="none"/>
          <w:u w:val="double"/>
          <w14:textFill>
            <w14:solidFill>
              <w14:schemeClr w14:val="tx1"/>
            </w14:solidFill>
          </w14:textFill>
        </w:rPr>
      </w:pPr>
      <w:r>
        <w:rPr>
          <w:rFonts w:hint="eastAsia" w:ascii="宋体" w:hAnsi="宋体"/>
          <w:b/>
          <w:color w:val="000000" w:themeColor="text1"/>
          <w:sz w:val="24"/>
          <w:highlight w:val="none"/>
          <w:u w:val="double"/>
          <w:lang w:eastAsia="zh-CN"/>
          <w14:textFill>
            <w14:solidFill>
              <w14:schemeClr w14:val="tx1"/>
            </w14:solidFill>
          </w14:textFill>
        </w:rPr>
        <w:t>供应商</w:t>
      </w:r>
      <w:r>
        <w:rPr>
          <w:rFonts w:hint="eastAsia" w:ascii="宋体" w:hAnsi="宋体"/>
          <w:b/>
          <w:color w:val="000000" w:themeColor="text1"/>
          <w:sz w:val="24"/>
          <w:highlight w:val="none"/>
          <w:u w:val="double"/>
          <w14:textFill>
            <w14:solidFill>
              <w14:schemeClr w14:val="tx1"/>
            </w14:solidFill>
          </w14:textFill>
        </w:rPr>
        <w:t>必须</w:t>
      </w:r>
      <w:r>
        <w:rPr>
          <w:rFonts w:hint="eastAsia" w:ascii="宋体" w:hAnsi="宋体"/>
          <w:b/>
          <w:color w:val="000000" w:themeColor="text1"/>
          <w:sz w:val="24"/>
          <w:highlight w:val="none"/>
          <w:u w:val="double"/>
          <w:lang w:eastAsia="zh-CN"/>
          <w14:textFill>
            <w14:solidFill>
              <w14:schemeClr w14:val="tx1"/>
            </w14:solidFill>
          </w14:textFill>
        </w:rPr>
        <w:t>响应招标文件的要求，在政采云供应商客户端</w:t>
      </w:r>
      <w:r>
        <w:rPr>
          <w:rFonts w:hint="eastAsia" w:ascii="宋体" w:hAnsi="宋体"/>
          <w:b/>
          <w:color w:val="000000" w:themeColor="text1"/>
          <w:sz w:val="24"/>
          <w:highlight w:val="none"/>
          <w:u w:val="double"/>
          <w14:textFill>
            <w14:solidFill>
              <w14:schemeClr w14:val="tx1"/>
            </w14:solidFill>
          </w14:textFill>
        </w:rPr>
        <w:t>编制完整的</w:t>
      </w:r>
      <w:r>
        <w:rPr>
          <w:rFonts w:hint="eastAsia" w:ascii="宋体" w:hAnsi="宋体"/>
          <w:b/>
          <w:color w:val="000000" w:themeColor="text1"/>
          <w:sz w:val="24"/>
          <w:highlight w:val="none"/>
          <w:u w:val="double"/>
          <w:lang w:eastAsia="zh-CN"/>
          <w14:textFill>
            <w14:solidFill>
              <w14:schemeClr w14:val="tx1"/>
            </w14:solidFill>
          </w14:textFill>
        </w:rPr>
        <w:t>响应文件并在规定的时间内投标，响应文件含有多个组成部分，供应商须对每个部分进行响应。</w:t>
      </w:r>
    </w:p>
    <w:p w14:paraId="557165D7">
      <w:pPr>
        <w:numPr>
          <w:ilvl w:val="2"/>
          <w:numId w:val="3"/>
        </w:numPr>
        <w:tabs>
          <w:tab w:val="left" w:pos="624"/>
          <w:tab w:val="left" w:pos="735"/>
          <w:tab w:val="left" w:pos="1254"/>
          <w:tab w:val="clear" w:pos="1050"/>
        </w:tabs>
        <w:spacing w:line="360" w:lineRule="auto"/>
        <w:ind w:left="735" w:hanging="735"/>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必须自行承担因其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的任何错漏而导致的一切后果</w:t>
      </w:r>
      <w:r>
        <w:rPr>
          <w:rFonts w:hint="eastAsia" w:ascii="宋体" w:hAnsi="宋体"/>
          <w:b/>
          <w:color w:val="000000" w:themeColor="text1"/>
          <w:sz w:val="24"/>
          <w:highlight w:val="none"/>
          <w:u w:val="none"/>
          <w14:textFill>
            <w14:solidFill>
              <w14:schemeClr w14:val="tx1"/>
            </w14:solidFill>
          </w14:textFill>
        </w:rPr>
        <w:t>。</w:t>
      </w:r>
    </w:p>
    <w:p w14:paraId="4B7AFB2F">
      <w:pPr>
        <w:numPr>
          <w:ilvl w:val="1"/>
          <w:numId w:val="3"/>
        </w:numPr>
        <w:tabs>
          <w:tab w:val="left" w:pos="567"/>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投标的修改和撤回</w:t>
      </w:r>
    </w:p>
    <w:p w14:paraId="579E47EE">
      <w:pPr>
        <w:pStyle w:val="8"/>
        <w:spacing w:afterAutospacing="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在投标截止时间前</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可以修改和</w:t>
      </w:r>
      <w:r>
        <w:rPr>
          <w:rFonts w:hint="eastAsia" w:ascii="宋体" w:hAnsi="宋体"/>
          <w:bCs/>
          <w:color w:val="000000" w:themeColor="text1"/>
          <w:sz w:val="24"/>
          <w:highlight w:val="none"/>
          <w14:textFill>
            <w14:solidFill>
              <w14:schemeClr w14:val="tx1"/>
            </w14:solidFill>
          </w14:textFill>
        </w:rPr>
        <w:t>撤回</w:t>
      </w:r>
      <w:r>
        <w:rPr>
          <w:rFonts w:hint="eastAsia" w:ascii="宋体" w:hAnsi="宋体"/>
          <w:color w:val="000000" w:themeColor="text1"/>
          <w:sz w:val="24"/>
          <w:highlight w:val="none"/>
          <w14:textFill>
            <w14:solidFill>
              <w14:schemeClr w14:val="tx1"/>
            </w14:solidFill>
          </w14:textFill>
        </w:rPr>
        <w:t>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，投标截止后不得修改和</w:t>
      </w:r>
      <w:r>
        <w:rPr>
          <w:rFonts w:hint="eastAsia" w:ascii="宋体" w:hAnsi="宋体"/>
          <w:bCs/>
          <w:color w:val="000000" w:themeColor="text1"/>
          <w:sz w:val="24"/>
          <w:highlight w:val="none"/>
          <w14:textFill>
            <w14:solidFill>
              <w14:schemeClr w14:val="tx1"/>
            </w14:solidFill>
          </w14:textFill>
        </w:rPr>
        <w:t>撤回</w:t>
      </w:r>
      <w:r>
        <w:rPr>
          <w:rFonts w:hint="eastAsia" w:ascii="宋体" w:hAnsi="宋体"/>
          <w:color w:val="000000" w:themeColor="text1"/>
          <w:sz w:val="24"/>
          <w:highlight w:val="none"/>
          <w14:textFill>
            <w14:solidFill>
              <w14:schemeClr w14:val="tx1"/>
            </w14:solidFill>
          </w14:textFill>
        </w:rPr>
        <w:t>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3A17D9DF">
      <w:pPr>
        <w:pStyle w:val="4"/>
        <w:numPr>
          <w:ilvl w:val="0"/>
          <w:numId w:val="3"/>
        </w:numPr>
        <w:tabs>
          <w:tab w:val="left" w:pos="425"/>
          <w:tab w:val="clear" w:pos="147"/>
        </w:tabs>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6" w:name="_Toc435623753"/>
      <w:bookmarkStart w:id="67" w:name="_Toc518912734"/>
      <w:bookmarkStart w:id="68" w:name="_Toc435686979"/>
      <w:bookmarkStart w:id="69" w:name="_Toc438513733"/>
      <w:bookmarkStart w:id="70" w:name="_Toc422161991"/>
      <w:bookmarkStart w:id="71" w:name="_Toc486969378"/>
      <w:bookmarkStart w:id="72" w:name="_Toc458980392"/>
      <w:bookmarkStart w:id="73" w:name="_Toc438722129"/>
      <w:bookmarkStart w:id="74" w:name="_Toc418023332"/>
      <w:bookmarkStart w:id="75" w:name="_Toc383124047"/>
      <w:bookmarkStart w:id="76" w:name="_Toc414510779"/>
      <w:bookmarkStart w:id="77" w:name="_Toc477879839"/>
      <w:bookmarkStart w:id="78" w:name="_Toc422865420"/>
      <w:bookmarkStart w:id="79" w:name="_Toc298829719"/>
      <w:bookmarkStart w:id="80" w:name="_Toc494832086"/>
      <w:bookmarkStart w:id="81" w:name="_Toc343857025"/>
      <w:bookmarkStart w:id="82" w:name="_Toc299108389"/>
      <w:bookmarkStart w:id="83" w:name="_Toc479325591"/>
      <w:bookmarkStart w:id="84" w:name="_Toc435629837"/>
      <w:bookmarkStart w:id="85" w:name="_Toc498899370"/>
      <w:bookmarkStart w:id="86" w:name="_Toc298829960"/>
      <w:bookmarkStart w:id="87" w:name="_Toc498871243"/>
      <w:bookmarkStart w:id="88" w:name="_Toc438508596"/>
      <w:bookmarkStart w:id="89" w:name="_Toc298920091"/>
      <w:bookmarkStart w:id="90" w:name="_Toc439513160"/>
      <w:bookmarkStart w:id="91" w:name="_Toc439679267"/>
      <w:bookmarkStart w:id="92" w:name="_Toc380533809"/>
      <w:bookmarkStart w:id="93" w:name="_Toc297209418"/>
      <w:bookmarkStart w:id="94" w:name="_Toc3192"/>
      <w:bookmarkStart w:id="95" w:name="_Toc458635595"/>
      <w:bookmarkStart w:id="96" w:name="_Toc298190383"/>
      <w:bookmarkStart w:id="97" w:name="_Toc439513444"/>
      <w:bookmarkStart w:id="98" w:name="_Toc435687348"/>
      <w:bookmarkStart w:id="99" w:name="_Toc356489052"/>
      <w:bookmarkStart w:id="100" w:name="_Toc470184440"/>
      <w:bookmarkStart w:id="101" w:name="_Toc435687274"/>
      <w:bookmarkStart w:id="102" w:name="_Toc22582"/>
      <w:bookmarkStart w:id="103" w:name="_Toc364846099"/>
      <w:bookmarkStart w:id="104" w:name="_Toc435629791"/>
      <w:bookmarkStart w:id="105" w:name="_Toc438641464"/>
      <w:bookmarkStart w:id="106" w:name="_Toc425347661"/>
      <w:bookmarkStart w:id="107" w:name="_Toc487044251"/>
      <w:bookmarkStart w:id="108" w:name="_Toc479340788"/>
      <w:bookmarkStart w:id="109" w:name="_Toc350417823"/>
      <w:bookmarkStart w:id="110" w:name="_Toc365033705"/>
      <w:bookmarkStart w:id="111" w:name="_Toc416208485"/>
      <w:r>
        <w:rPr>
          <w:rFonts w:hint="eastAsia"/>
          <w:color w:val="000000" w:themeColor="text1"/>
          <w:highlight w:val="none"/>
          <w14:textFill>
            <w14:solidFill>
              <w14:schemeClr w14:val="tx1"/>
            </w14:solidFill>
          </w14:textFill>
        </w:rPr>
        <w:t>投标总则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41A3116">
      <w:pPr>
        <w:numPr>
          <w:ilvl w:val="1"/>
          <w:numId w:val="3"/>
        </w:numPr>
        <w:tabs>
          <w:tab w:val="left" w:pos="567"/>
          <w:tab w:val="clear" w:pos="289"/>
        </w:tabs>
        <w:spacing w:beforeAutospacing="0"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w:t>
      </w:r>
    </w:p>
    <w:p w14:paraId="12E45C9D">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所</w:t>
      </w:r>
      <w:r>
        <w:rPr>
          <w:rFonts w:hint="eastAsia" w:ascii="宋体" w:hAnsi="宋体"/>
          <w:color w:val="000000" w:themeColor="text1"/>
          <w:sz w:val="24"/>
          <w:highlight w:val="none"/>
          <w14:textFill>
            <w14:solidFill>
              <w14:schemeClr w14:val="tx1"/>
            </w14:solidFill>
          </w14:textFill>
        </w:rPr>
        <w:t>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应在投标截止时间前</w:t>
      </w:r>
      <w:r>
        <w:rPr>
          <w:rFonts w:hint="eastAsia" w:ascii="宋体" w:hAnsi="宋体"/>
          <w:color w:val="000000" w:themeColor="text1"/>
          <w:sz w:val="24"/>
          <w:highlight w:val="none"/>
          <w:lang w:eastAsia="zh-CN"/>
          <w14:textFill>
            <w14:solidFill>
              <w14:schemeClr w14:val="tx1"/>
            </w14:solidFill>
          </w14:textFill>
        </w:rPr>
        <w:t>提交至政采云平台（https://www.zcygov.cn），</w:t>
      </w:r>
      <w:r>
        <w:rPr>
          <w:rFonts w:hint="eastAsia" w:ascii="宋体" w:hAnsi="宋体"/>
          <w:color w:val="000000" w:themeColor="text1"/>
          <w:sz w:val="24"/>
          <w:highlight w:val="none"/>
          <w14:textFill>
            <w14:solidFill>
              <w14:schemeClr w14:val="tx1"/>
            </w14:solidFill>
          </w14:textFill>
        </w:rPr>
        <w:t>任何迟于这个时间的投标将被拒绝。</w:t>
      </w:r>
    </w:p>
    <w:p w14:paraId="71DD415C">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所有响应文件的备份文件可自愿在采购代理机构规定时间内以U盘邮寄或电子邮件方式提供给代理机构，</w:t>
      </w:r>
      <w:r>
        <w:rPr>
          <w:rFonts w:hint="eastAsia" w:ascii="宋体" w:hAnsi="宋体"/>
          <w:color w:val="000000" w:themeColor="text1"/>
          <w:sz w:val="24"/>
          <w:highlight w:val="none"/>
          <w14:textFill>
            <w14:solidFill>
              <w14:schemeClr w14:val="tx1"/>
            </w14:solidFill>
          </w14:textFill>
        </w:rPr>
        <w:t>任何迟于这个时间的</w:t>
      </w:r>
      <w:r>
        <w:rPr>
          <w:rFonts w:hint="eastAsia" w:ascii="宋体" w:hAnsi="宋体"/>
          <w:color w:val="000000" w:themeColor="text1"/>
          <w:sz w:val="24"/>
          <w:highlight w:val="none"/>
          <w:lang w:eastAsia="zh-CN"/>
          <w14:textFill>
            <w14:solidFill>
              <w14:schemeClr w14:val="tx1"/>
            </w14:solidFill>
          </w14:textFill>
        </w:rPr>
        <w:t>备份响应文件</w:t>
      </w:r>
      <w:r>
        <w:rPr>
          <w:rFonts w:hint="eastAsia" w:ascii="宋体" w:hAnsi="宋体"/>
          <w:color w:val="000000" w:themeColor="text1"/>
          <w:sz w:val="24"/>
          <w:highlight w:val="none"/>
          <w14:textFill>
            <w14:solidFill>
              <w14:schemeClr w14:val="tx1"/>
            </w14:solidFill>
          </w14:textFill>
        </w:rPr>
        <w:t>将被拒绝。</w:t>
      </w:r>
    </w:p>
    <w:p w14:paraId="7C44525E">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采购代理机构不接受电话、传真投标。</w:t>
      </w:r>
    </w:p>
    <w:p w14:paraId="756D845D">
      <w:pPr>
        <w:numPr>
          <w:ilvl w:val="1"/>
          <w:numId w:val="3"/>
        </w:numPr>
        <w:tabs>
          <w:tab w:val="left" w:pos="567"/>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投标有效期</w:t>
      </w:r>
      <w:r>
        <w:rPr>
          <w:rFonts w:hint="eastAsia" w:ascii="宋体" w:hAnsi="宋体"/>
          <w:b/>
          <w:bCs/>
          <w:color w:val="000000" w:themeColor="text1"/>
          <w:sz w:val="24"/>
          <w:szCs w:val="24"/>
          <w:highlight w:val="none"/>
          <w14:textFill>
            <w14:solidFill>
              <w14:schemeClr w14:val="tx1"/>
            </w14:solidFill>
          </w14:textFill>
        </w:rPr>
        <w:t>（实质性要求）</w:t>
      </w:r>
    </w:p>
    <w:p w14:paraId="7013196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从投标截止日起，投标有效期为90天。在特殊情况下，</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可于投标有效期日满之前要求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同意延长有效日期，要求与答复均应以书面形式。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可以拒绝上述要求而其投标保证金不被没收，同意延期的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根据原截止日期应负之权利及责任相应也延至新的截止日期。</w:t>
      </w:r>
    </w:p>
    <w:p w14:paraId="06BCD21D">
      <w:pPr>
        <w:numPr>
          <w:ilvl w:val="1"/>
          <w:numId w:val="3"/>
        </w:numPr>
        <w:tabs>
          <w:tab w:val="left" w:pos="567"/>
          <w:tab w:val="clear" w:pos="289"/>
        </w:tabs>
        <w:spacing w:line="360" w:lineRule="auto"/>
        <w:ind w:left="567"/>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投标保证金</w:t>
      </w: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p>
    <w:p w14:paraId="63A9C9FA">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应向采购代理机构提交投标保证金人民币：</w:t>
      </w:r>
      <w:r>
        <w:rPr>
          <w:rFonts w:hint="eastAsia" w:ascii="宋体" w:hAnsi="宋体"/>
          <w:color w:val="000000" w:themeColor="text1"/>
          <w:sz w:val="24"/>
          <w:highlight w:val="none"/>
          <w:lang w:val="en-US" w:eastAsia="zh-CN"/>
          <w14:textFill>
            <w14:solidFill>
              <w14:schemeClr w14:val="tx1"/>
            </w14:solidFill>
          </w14:textFill>
        </w:rPr>
        <w:t>详见供应商须知附表</w:t>
      </w:r>
      <w:r>
        <w:rPr>
          <w:rFonts w:hint="eastAsia" w:ascii="宋体" w:hAnsi="宋体"/>
          <w:color w:val="000000" w:themeColor="text1"/>
          <w:sz w:val="24"/>
          <w:highlight w:val="none"/>
          <w14:textFill>
            <w14:solidFill>
              <w14:schemeClr w14:val="tx1"/>
            </w14:solidFill>
          </w14:textFill>
        </w:rPr>
        <w:t>。</w:t>
      </w:r>
    </w:p>
    <w:p w14:paraId="6334C7CA">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政府采购保证金应当以支票、汇票、本票或者金融机构、担保机构出具的保函等</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非现金形式提交</w:t>
      </w:r>
    </w:p>
    <w:p w14:paraId="1CE20E67">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投标保证金是投标的组成部分，递交投标保证金的证明文件与</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一同递交。</w:t>
      </w:r>
    </w:p>
    <w:p w14:paraId="4BCF32C2">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lang w:eastAsia="zh-CN"/>
          <w14:textFill>
            <w14:solidFill>
              <w14:schemeClr w14:val="tx1"/>
            </w14:solidFill>
          </w14:textFill>
        </w:rPr>
        <w:t>的账户</w:t>
      </w:r>
      <w:r>
        <w:rPr>
          <w:rFonts w:hint="eastAsia" w:ascii="宋体" w:hAnsi="宋体"/>
          <w:color w:val="000000" w:themeColor="text1"/>
          <w:sz w:val="24"/>
          <w:highlight w:val="none"/>
          <w14:textFill>
            <w14:solidFill>
              <w14:schemeClr w14:val="tx1"/>
            </w14:solidFill>
          </w14:textFill>
        </w:rPr>
        <w:t>：</w:t>
      </w:r>
    </w:p>
    <w:p w14:paraId="21FCF4F2">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4FCD2BDB">
      <w:pPr>
        <w:spacing w:line="360" w:lineRule="auto"/>
        <w:ind w:firstLine="723" w:firstLineChars="3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注：投标保证金必须由</w:t>
      </w:r>
      <w:r>
        <w:rPr>
          <w:rFonts w:hint="eastAsia" w:ascii="宋体" w:hAnsi="宋体"/>
          <w:b/>
          <w:color w:val="000000" w:themeColor="text1"/>
          <w:sz w:val="24"/>
          <w:szCs w:val="24"/>
          <w:highlight w:val="none"/>
          <w:lang w:eastAsia="zh-CN"/>
          <w14:textFill>
            <w14:solidFill>
              <w14:schemeClr w14:val="tx1"/>
            </w14:solidFill>
          </w14:textFill>
        </w:rPr>
        <w:t>供应商</w:t>
      </w:r>
      <w:r>
        <w:rPr>
          <w:rFonts w:hint="eastAsia" w:ascii="宋体" w:hAnsi="宋体"/>
          <w:b/>
          <w:color w:val="000000" w:themeColor="text1"/>
          <w:sz w:val="24"/>
          <w:szCs w:val="24"/>
          <w:highlight w:val="none"/>
          <w14:textFill>
            <w14:solidFill>
              <w14:schemeClr w14:val="tx1"/>
            </w14:solidFill>
          </w14:textFill>
        </w:rPr>
        <w:t>在汇单附言栏内注明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保证金+库尔勒市国土空间详细规划（城镇单元）（2025-2035年）项目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b/>
          <w:color w:val="000000" w:themeColor="text1"/>
          <w:sz w:val="24"/>
          <w:szCs w:val="24"/>
          <w:highlight w:val="none"/>
          <w14:textFill>
            <w14:solidFill>
              <w14:schemeClr w14:val="tx1"/>
            </w14:solidFill>
          </w14:textFill>
        </w:rPr>
        <w:t>，如未注明，造成保证金无法查明的，责任由</w:t>
      </w:r>
      <w:r>
        <w:rPr>
          <w:rFonts w:hint="eastAsia" w:ascii="宋体" w:hAnsi="宋体"/>
          <w:b/>
          <w:color w:val="000000" w:themeColor="text1"/>
          <w:sz w:val="24"/>
          <w:szCs w:val="24"/>
          <w:highlight w:val="none"/>
          <w:lang w:eastAsia="zh-CN"/>
          <w14:textFill>
            <w14:solidFill>
              <w14:schemeClr w14:val="tx1"/>
            </w14:solidFill>
          </w14:textFill>
        </w:rPr>
        <w:t>供应商</w:t>
      </w:r>
      <w:r>
        <w:rPr>
          <w:rFonts w:hint="eastAsia" w:ascii="宋体" w:hAnsi="宋体" w:eastAsia="宋体"/>
          <w:b/>
          <w:color w:val="000000" w:themeColor="text1"/>
          <w:sz w:val="24"/>
          <w:szCs w:val="24"/>
          <w:highlight w:val="none"/>
          <w14:textFill>
            <w14:solidFill>
              <w14:schemeClr w14:val="tx1"/>
            </w14:solidFill>
          </w14:textFill>
        </w:rPr>
        <w:t>承担）。</w:t>
      </w:r>
      <w:r>
        <w:rPr>
          <w:rFonts w:hint="eastAsia" w:ascii="宋体" w:hAnsi="宋体"/>
          <w:b/>
          <w:color w:val="000000" w:themeColor="text1"/>
          <w:sz w:val="24"/>
          <w:szCs w:val="24"/>
          <w:highlight w:val="none"/>
          <w14:textFill>
            <w14:solidFill>
              <w14:schemeClr w14:val="tx1"/>
            </w14:solidFill>
          </w14:textFill>
        </w:rPr>
        <w:t>不接受现金形式的投标保证金。</w:t>
      </w:r>
    </w:p>
    <w:p w14:paraId="65E776E8">
      <w:pPr>
        <w:pStyle w:val="42"/>
        <w:rPr>
          <w:rFonts w:hint="eastAsia" w:hAnsi="宋体"/>
          <w:b/>
          <w:color w:val="000000" w:themeColor="text1"/>
          <w:sz w:val="24"/>
          <w:szCs w:val="24"/>
          <w:highlight w:val="none"/>
          <w:lang w:val="en-US" w:eastAsia="zh-CN"/>
          <w14:textFill>
            <w14:solidFill>
              <w14:schemeClr w14:val="tx1"/>
            </w14:solidFill>
          </w14:textFill>
        </w:rPr>
      </w:pPr>
      <w:r>
        <w:rPr>
          <w:rFonts w:hint="eastAsia" w:hAnsi="宋体"/>
          <w:b/>
          <w:color w:val="000000" w:themeColor="text1"/>
          <w:sz w:val="24"/>
          <w:szCs w:val="24"/>
          <w:highlight w:val="none"/>
          <w:lang w:val="en-US" w:eastAsia="zh-CN"/>
          <w14:textFill>
            <w14:solidFill>
              <w14:schemeClr w14:val="tx1"/>
            </w14:solidFill>
          </w14:textFill>
        </w:rPr>
        <w:t>投标保证金的退还：</w:t>
      </w:r>
    </w:p>
    <w:p w14:paraId="1A0FF938">
      <w:pPr>
        <w:spacing w:line="360" w:lineRule="auto"/>
        <w:ind w:firstLine="720" w:firstLineChars="300"/>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(1)未</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，自</w:t>
      </w:r>
      <w:r>
        <w:rPr>
          <w:rFonts w:hint="eastAsia" w:ascii="宋体" w:hAnsi="宋体"/>
          <w:color w:val="000000" w:themeColor="text1"/>
          <w:sz w:val="24"/>
          <w:highlight w:val="none"/>
          <w:lang w:val="en-US" w:eastAsia="zh-CN"/>
          <w14:textFill>
            <w14:solidFill>
              <w14:schemeClr w14:val="tx1"/>
            </w14:solidFill>
          </w14:textFill>
        </w:rPr>
        <w:t>成交通知书</w:t>
      </w:r>
      <w:r>
        <w:rPr>
          <w:rFonts w:hint="default" w:ascii="宋体" w:hAnsi="宋体" w:eastAsia="宋体"/>
          <w:color w:val="000000" w:themeColor="text1"/>
          <w:sz w:val="24"/>
          <w:highlight w:val="none"/>
          <w:lang w:val="en-US" w:eastAsia="zh-CN"/>
          <w14:textFill>
            <w14:solidFill>
              <w14:schemeClr w14:val="tx1"/>
            </w14:solidFill>
          </w14:textFill>
        </w:rPr>
        <w:t>发出之日起5个工作日内原账户退还；</w:t>
      </w:r>
    </w:p>
    <w:p w14:paraId="4B88C742">
      <w:pPr>
        <w:spacing w:line="360" w:lineRule="auto"/>
        <w:ind w:firstLine="720" w:firstLineChars="300"/>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在业主方确认</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后自合同签订之日起5个工作日内退还</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的投标保证金</w:t>
      </w:r>
    </w:p>
    <w:p w14:paraId="20F98818">
      <w:pPr>
        <w:spacing w:line="360" w:lineRule="auto"/>
        <w:ind w:firstLine="720" w:firstLineChars="300"/>
        <w:jc w:val="left"/>
        <w:rPr>
          <w:rFonts w:hint="default" w:ascii="宋体" w:hAnsi="宋体" w:eastAsia="宋体"/>
          <w:b/>
          <w:bCs/>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(3)因</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eastAsia="宋体"/>
          <w:color w:val="000000" w:themeColor="text1"/>
          <w:sz w:val="24"/>
          <w:highlight w:val="none"/>
          <w:lang w:val="en-US" w:eastAsia="zh-CN"/>
          <w14:textFill>
            <w14:solidFill>
              <w14:schemeClr w14:val="tx1"/>
            </w14:solidFill>
          </w14:textFill>
        </w:rPr>
        <w:t>账户问题导致无法正常时间内退付的，采购人和采购代理机构不承担相应责任；</w:t>
      </w:r>
    </w:p>
    <w:p w14:paraId="68305FF1">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未按上述规定提交投标保证金，其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将被拒绝。</w:t>
      </w:r>
    </w:p>
    <w:p w14:paraId="5314FE97">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未中标的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的投标保证金将在</w:t>
      </w:r>
      <w:r>
        <w:rPr>
          <w:rFonts w:hint="eastAsia" w:ascii="宋体" w:hAnsi="宋体"/>
          <w:color w:val="000000" w:themeColor="text1"/>
          <w:sz w:val="24"/>
          <w:highlight w:val="none"/>
          <w:lang w:eastAsia="zh-CN"/>
          <w14:textFill>
            <w14:solidFill>
              <w14:schemeClr w14:val="tx1"/>
            </w14:solidFill>
          </w14:textFill>
        </w:rPr>
        <w:t>成交通知书</w:t>
      </w:r>
      <w:r>
        <w:rPr>
          <w:rFonts w:hint="eastAsia" w:ascii="宋体" w:hAnsi="宋体"/>
          <w:color w:val="000000" w:themeColor="text1"/>
          <w:sz w:val="24"/>
          <w:highlight w:val="none"/>
          <w14:textFill>
            <w14:solidFill>
              <w14:schemeClr w14:val="tx1"/>
            </w14:solidFill>
          </w14:textFill>
        </w:rPr>
        <w:t>发出后5个工作日内无息退还。</w:t>
      </w:r>
    </w:p>
    <w:p w14:paraId="29F16979">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下列任一情况发生时，投标保证金将不予退还：</w:t>
      </w:r>
    </w:p>
    <w:p w14:paraId="0361E0CB">
      <w:pPr>
        <w:spacing w:line="360" w:lineRule="auto"/>
        <w:ind w:left="1075" w:leftChars="215" w:hanging="624" w:hanging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中规定的投标有效期内撤销其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22C668CF">
      <w:pPr>
        <w:spacing w:line="360" w:lineRule="auto"/>
        <w:ind w:left="1075" w:leftChars="215" w:hanging="624" w:hanging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中标后无正当理由放弃中标或中标人拒绝与</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签订合同。</w:t>
      </w:r>
    </w:p>
    <w:p w14:paraId="36CBD7AB">
      <w:pPr>
        <w:numPr>
          <w:ilvl w:val="1"/>
          <w:numId w:val="3"/>
        </w:numPr>
        <w:tabs>
          <w:tab w:val="left" w:pos="567"/>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开标</w:t>
      </w:r>
    </w:p>
    <w:p w14:paraId="1AB77B09">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确定的提交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截止时间的同一时间公开进行，开标地点为</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预先确定的地点。</w:t>
      </w:r>
    </w:p>
    <w:p w14:paraId="591F041D">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的截止时间前收到的所有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供应商须</w:t>
      </w:r>
      <w:r>
        <w:rPr>
          <w:rFonts w:hint="eastAsia" w:ascii="宋体" w:hAnsi="宋体"/>
          <w:color w:val="000000" w:themeColor="text1"/>
          <w:sz w:val="24"/>
          <w:highlight w:val="none"/>
          <w:lang w:val="en-US" w:eastAsia="zh-CN"/>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开标时</w:t>
      </w:r>
      <w:r>
        <w:rPr>
          <w:rFonts w:hint="eastAsia" w:ascii="宋体" w:hAnsi="宋体"/>
          <w:color w:val="000000" w:themeColor="text1"/>
          <w:sz w:val="24"/>
          <w:highlight w:val="none"/>
          <w:lang w:val="en-US" w:eastAsia="zh-CN"/>
          <w14:textFill>
            <w14:solidFill>
              <w14:schemeClr w14:val="tx1"/>
            </w14:solidFill>
          </w14:textFill>
        </w:rPr>
        <w:t>按招标文件规定的时间内</w:t>
      </w:r>
      <w:r>
        <w:rPr>
          <w:rFonts w:hint="eastAsia" w:ascii="宋体" w:hAnsi="宋体"/>
          <w:color w:val="000000" w:themeColor="text1"/>
          <w:sz w:val="24"/>
          <w:highlight w:val="none"/>
          <w:lang w:eastAsia="zh-CN"/>
          <w14:textFill>
            <w14:solidFill>
              <w14:schemeClr w14:val="tx1"/>
            </w14:solidFill>
          </w14:textFill>
        </w:rPr>
        <w:t>解密响应文件</w:t>
      </w:r>
      <w:r>
        <w:rPr>
          <w:rFonts w:hint="eastAsia" w:ascii="宋体" w:hAnsi="宋体"/>
          <w:color w:val="000000" w:themeColor="text1"/>
          <w:sz w:val="24"/>
          <w:highlight w:val="none"/>
          <w14:textFill>
            <w14:solidFill>
              <w14:schemeClr w14:val="tx1"/>
            </w14:solidFill>
          </w14:textFill>
        </w:rPr>
        <w:t>。当</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少于三家时，则招标失败，采购代理机构将重新招标</w:t>
      </w:r>
      <w:r>
        <w:rPr>
          <w:rFonts w:hint="eastAsia" w:ascii="宋体" w:hAnsi="宋体"/>
          <w:color w:val="000000" w:themeColor="text1"/>
          <w:sz w:val="24"/>
          <w:highlight w:val="none"/>
          <w:lang w:eastAsia="zh-CN"/>
          <w14:textFill>
            <w14:solidFill>
              <w14:schemeClr w14:val="tx1"/>
            </w14:solidFill>
          </w14:textFill>
        </w:rPr>
        <w:t>。</w:t>
      </w:r>
    </w:p>
    <w:p w14:paraId="4B1C424C">
      <w:pPr>
        <w:numPr>
          <w:ilvl w:val="2"/>
          <w:numId w:val="3"/>
        </w:numPr>
        <w:tabs>
          <w:tab w:val="left" w:pos="624"/>
          <w:tab w:val="left" w:pos="735"/>
          <w:tab w:val="left" w:pos="1254"/>
          <w:tab w:val="clear" w:pos="1050"/>
        </w:tabs>
        <w:spacing w:line="360" w:lineRule="auto"/>
        <w:ind w:left="735" w:hanging="735"/>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参与本次</w:t>
      </w:r>
      <w:r>
        <w:rPr>
          <w:rFonts w:hint="eastAsia" w:ascii="宋体" w:hAnsi="宋体"/>
          <w:b w:val="0"/>
          <w:bCs w:val="0"/>
          <w:color w:val="000000" w:themeColor="text1"/>
          <w:sz w:val="24"/>
          <w:highlight w:val="none"/>
          <w:lang w:val="en-US" w:eastAsia="zh-CN"/>
          <w14:textFill>
            <w14:solidFill>
              <w14:schemeClr w14:val="tx1"/>
            </w14:solidFill>
          </w14:textFill>
        </w:rPr>
        <w:t>招标</w:t>
      </w:r>
      <w:r>
        <w:rPr>
          <w:rFonts w:hint="eastAsia" w:ascii="宋体" w:hAnsi="宋体"/>
          <w:b w:val="0"/>
          <w:bCs w:val="0"/>
          <w:color w:val="000000" w:themeColor="text1"/>
          <w:sz w:val="24"/>
          <w:highlight w:val="none"/>
          <w:lang w:eastAsia="zh-CN"/>
          <w14:textFill>
            <w14:solidFill>
              <w14:schemeClr w14:val="tx1"/>
            </w14:solidFill>
          </w14:textFill>
        </w:rPr>
        <w:t>活动的各个供应商</w:t>
      </w:r>
      <w:r>
        <w:rPr>
          <w:rFonts w:hint="eastAsia" w:ascii="宋体" w:hAnsi="宋体"/>
          <w:b w:val="0"/>
          <w:bCs w:val="0"/>
          <w:color w:val="000000" w:themeColor="text1"/>
          <w:sz w:val="24"/>
          <w:highlight w:val="none"/>
          <w:lang w:val="en-US" w:eastAsia="zh-CN"/>
          <w14:textFill>
            <w14:solidFill>
              <w14:schemeClr w14:val="tx1"/>
            </w14:solidFill>
          </w14:textFill>
        </w:rPr>
        <w:t>须</w:t>
      </w:r>
      <w:r>
        <w:rPr>
          <w:rFonts w:hint="eastAsia" w:ascii="宋体" w:hAnsi="宋体"/>
          <w:b w:val="0"/>
          <w:bCs w:val="0"/>
          <w:color w:val="000000" w:themeColor="text1"/>
          <w:sz w:val="24"/>
          <w:highlight w:val="none"/>
          <w:lang w:eastAsia="zh-CN"/>
          <w14:textFill>
            <w14:solidFill>
              <w14:schemeClr w14:val="tx1"/>
            </w14:solidFill>
          </w14:textFill>
        </w:rPr>
        <w:t>提前自行配置好硬件货物（电脑、摄像头、麦克风、谷歌浏览器（</w:t>
      </w:r>
      <w:r>
        <w:rPr>
          <w:rFonts w:hint="eastAsia" w:ascii="宋体" w:hAnsi="宋体"/>
          <w:b w:val="0"/>
          <w:bCs w:val="0"/>
          <w:color w:val="000000" w:themeColor="text1"/>
          <w:sz w:val="24"/>
          <w:highlight w:val="none"/>
          <w:lang w:val="en-US" w:eastAsia="zh-CN"/>
          <w14:textFill>
            <w14:solidFill>
              <w14:schemeClr w14:val="tx1"/>
            </w14:solidFill>
          </w14:textFill>
        </w:rPr>
        <w:t>建议</w:t>
      </w:r>
      <w:r>
        <w:rPr>
          <w:rFonts w:hint="eastAsia" w:ascii="宋体" w:hAnsi="宋体"/>
          <w:b w:val="0"/>
          <w:bCs w:val="0"/>
          <w:color w:val="000000" w:themeColor="text1"/>
          <w:sz w:val="24"/>
          <w:highlight w:val="none"/>
          <w:lang w:eastAsia="zh-CN"/>
          <w14:textFill>
            <w14:solidFill>
              <w14:schemeClr w14:val="tx1"/>
            </w14:solidFill>
          </w14:textFill>
        </w:rPr>
        <w:t>）、政采云招投标系统），登录政采云平台</w:t>
      </w:r>
      <w:r>
        <w:rPr>
          <w:rFonts w:hint="eastAsia" w:ascii="宋体" w:hAnsi="宋体"/>
          <w:b w:val="0"/>
          <w:bCs w:val="0"/>
          <w:color w:val="000000" w:themeColor="text1"/>
          <w:sz w:val="24"/>
          <w:highlight w:val="none"/>
          <w:lang w:val="en-US" w:eastAsia="zh-CN"/>
          <w14:textFill>
            <w14:solidFill>
              <w14:schemeClr w14:val="tx1"/>
            </w14:solidFill>
          </w14:textFill>
        </w:rPr>
        <w:t>开标大厅</w:t>
      </w:r>
      <w:r>
        <w:rPr>
          <w:rFonts w:hint="eastAsia" w:ascii="宋体" w:hAnsi="宋体"/>
          <w:b w:val="0"/>
          <w:bCs w:val="0"/>
          <w:color w:val="000000" w:themeColor="text1"/>
          <w:sz w:val="24"/>
          <w:highlight w:val="none"/>
          <w:lang w:eastAsia="zh-CN"/>
          <w14:textFill>
            <w14:solidFill>
              <w14:schemeClr w14:val="tx1"/>
            </w14:solidFill>
          </w14:textFill>
        </w:rPr>
        <w:t>，并确保</w:t>
      </w:r>
      <w:r>
        <w:rPr>
          <w:rFonts w:hint="eastAsia" w:ascii="宋体" w:hAnsi="宋体"/>
          <w:b w:val="0"/>
          <w:bCs w:val="0"/>
          <w:color w:val="000000" w:themeColor="text1"/>
          <w:sz w:val="24"/>
          <w:highlight w:val="none"/>
          <w:lang w:val="en-US" w:eastAsia="zh-CN"/>
          <w14:textFill>
            <w14:solidFill>
              <w14:schemeClr w14:val="tx1"/>
            </w14:solidFill>
          </w14:textFill>
        </w:rPr>
        <w:t>所有</w:t>
      </w:r>
      <w:r>
        <w:rPr>
          <w:rFonts w:hint="eastAsia" w:ascii="宋体" w:hAnsi="宋体"/>
          <w:b w:val="0"/>
          <w:bCs w:val="0"/>
          <w:color w:val="000000" w:themeColor="text1"/>
          <w:sz w:val="24"/>
          <w:highlight w:val="none"/>
          <w:lang w:eastAsia="zh-CN"/>
          <w14:textFill>
            <w14:solidFill>
              <w14:schemeClr w14:val="tx1"/>
            </w14:solidFill>
          </w14:textFill>
        </w:rPr>
        <w:t>货物</w:t>
      </w:r>
      <w:r>
        <w:rPr>
          <w:rFonts w:hint="eastAsia" w:ascii="宋体" w:hAnsi="宋体"/>
          <w:b w:val="0"/>
          <w:bCs w:val="0"/>
          <w:color w:val="000000" w:themeColor="text1"/>
          <w:sz w:val="24"/>
          <w:highlight w:val="none"/>
          <w:lang w:val="en-US" w:eastAsia="zh-CN"/>
          <w14:textFill>
            <w14:solidFill>
              <w14:schemeClr w14:val="tx1"/>
            </w14:solidFill>
          </w14:textFill>
        </w:rPr>
        <w:t>可</w:t>
      </w:r>
      <w:r>
        <w:rPr>
          <w:rFonts w:hint="eastAsia" w:ascii="宋体" w:hAnsi="宋体"/>
          <w:b w:val="0"/>
          <w:bCs w:val="0"/>
          <w:color w:val="000000" w:themeColor="text1"/>
          <w:sz w:val="24"/>
          <w:highlight w:val="none"/>
          <w:lang w:eastAsia="zh-CN"/>
          <w14:textFill>
            <w14:solidFill>
              <w14:schemeClr w14:val="tx1"/>
            </w14:solidFill>
          </w14:textFill>
        </w:rPr>
        <w:t>正常</w:t>
      </w:r>
      <w:r>
        <w:rPr>
          <w:rFonts w:hint="eastAsia" w:ascii="宋体" w:hAnsi="宋体"/>
          <w:b w:val="0"/>
          <w:bCs w:val="0"/>
          <w:color w:val="000000" w:themeColor="text1"/>
          <w:sz w:val="24"/>
          <w:highlight w:val="none"/>
          <w:lang w:val="en-US" w:eastAsia="zh-CN"/>
          <w14:textFill>
            <w14:solidFill>
              <w14:schemeClr w14:val="tx1"/>
            </w14:solidFill>
          </w14:textFill>
        </w:rPr>
        <w:t>使用</w:t>
      </w:r>
      <w:r>
        <w:rPr>
          <w:rFonts w:hint="eastAsia" w:ascii="宋体" w:hAnsi="宋体"/>
          <w:b w:val="0"/>
          <w:bCs w:val="0"/>
          <w:color w:val="000000" w:themeColor="text1"/>
          <w:sz w:val="24"/>
          <w:highlight w:val="none"/>
          <w:lang w:eastAsia="zh-CN"/>
          <w14:textFill>
            <w14:solidFill>
              <w14:schemeClr w14:val="tx1"/>
            </w14:solidFill>
          </w14:textFill>
        </w:rPr>
        <w:t>。到达开标时间，待</w:t>
      </w:r>
      <w:r>
        <w:rPr>
          <w:rFonts w:hint="eastAsia" w:ascii="宋体" w:hAnsi="宋体"/>
          <w:b w:val="0"/>
          <w:bCs w:val="0"/>
          <w:color w:val="000000" w:themeColor="text1"/>
          <w:sz w:val="24"/>
          <w:highlight w:val="none"/>
          <w:lang w:val="en-US" w:eastAsia="zh-CN"/>
          <w14:textFill>
            <w14:solidFill>
              <w14:schemeClr w14:val="tx1"/>
            </w14:solidFill>
          </w14:textFill>
        </w:rPr>
        <w:t>采购</w:t>
      </w:r>
      <w:r>
        <w:rPr>
          <w:rFonts w:hint="eastAsia" w:ascii="宋体" w:hAnsi="宋体"/>
          <w:b w:val="0"/>
          <w:bCs w:val="0"/>
          <w:color w:val="000000" w:themeColor="text1"/>
          <w:sz w:val="24"/>
          <w:highlight w:val="none"/>
          <w:lang w:eastAsia="zh-CN"/>
          <w14:textFill>
            <w14:solidFill>
              <w14:schemeClr w14:val="tx1"/>
            </w14:solidFill>
          </w14:textFill>
        </w:rPr>
        <w:t>代理机构开启解密标书后，供应商进行标书解密。</w:t>
      </w:r>
    </w:p>
    <w:p w14:paraId="3FC0221F">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w:t>
      </w:r>
      <w:r>
        <w:rPr>
          <w:rFonts w:hint="eastAsia" w:ascii="宋体" w:hAnsi="宋体"/>
          <w:color w:val="000000" w:themeColor="text1"/>
          <w:sz w:val="24"/>
          <w:highlight w:val="none"/>
          <w:lang w:eastAsia="zh-CN"/>
          <w14:textFill>
            <w14:solidFill>
              <w14:schemeClr w14:val="tx1"/>
            </w14:solidFill>
          </w14:textFill>
        </w:rPr>
        <w:t>会主持人介绍参加会议的人员</w:t>
      </w:r>
      <w:r>
        <w:rPr>
          <w:rFonts w:hint="eastAsia" w:ascii="宋体" w:hAnsi="宋体"/>
          <w:color w:val="000000" w:themeColor="text1"/>
          <w:sz w:val="24"/>
          <w:highlight w:val="none"/>
          <w14:textFill>
            <w14:solidFill>
              <w14:schemeClr w14:val="tx1"/>
            </w14:solidFill>
          </w14:textFill>
        </w:rPr>
        <w:t>。</w:t>
      </w:r>
    </w:p>
    <w:p w14:paraId="10577990">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供应商进入项目即自行签到。</w:t>
      </w:r>
    </w:p>
    <w:p w14:paraId="5DBE5BA8">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开标会主持人宣布响应文件上传时间和地点是否符合招标文件要求。</w:t>
      </w:r>
    </w:p>
    <w:p w14:paraId="673C8763">
      <w:pPr>
        <w:numPr>
          <w:ilvl w:val="2"/>
          <w:numId w:val="3"/>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w:t>
      </w:r>
      <w:r>
        <w:rPr>
          <w:rFonts w:hint="eastAsia" w:ascii="宋体" w:hAnsi="宋体"/>
          <w:color w:val="000000" w:themeColor="text1"/>
          <w:sz w:val="24"/>
          <w:highlight w:val="none"/>
          <w:lang w:eastAsia="zh-CN"/>
          <w14:textFill>
            <w14:solidFill>
              <w14:schemeClr w14:val="tx1"/>
            </w14:solidFill>
          </w14:textFill>
        </w:rPr>
        <w:t>会主持人开启报价文件，宣布响应文件中的投标报价、</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lang w:eastAsia="zh-CN"/>
          <w14:textFill>
            <w14:solidFill>
              <w14:schemeClr w14:val="tx1"/>
            </w14:solidFill>
          </w14:textFill>
        </w:rPr>
        <w:t>期、质量等级等内容</w:t>
      </w:r>
      <w:r>
        <w:rPr>
          <w:rFonts w:hint="eastAsia" w:ascii="宋体" w:hAnsi="宋体"/>
          <w:color w:val="000000" w:themeColor="text1"/>
          <w:sz w:val="24"/>
          <w:highlight w:val="none"/>
          <w14:textFill>
            <w14:solidFill>
              <w14:schemeClr w14:val="tx1"/>
            </w14:solidFill>
          </w14:textFill>
        </w:rPr>
        <w:t>。</w:t>
      </w:r>
    </w:p>
    <w:p w14:paraId="1EE36393">
      <w:pPr>
        <w:numPr>
          <w:ilvl w:val="2"/>
          <w:numId w:val="3"/>
        </w:numPr>
        <w:tabs>
          <w:tab w:val="left" w:pos="624"/>
          <w:tab w:val="left" w:pos="735"/>
          <w:tab w:val="left" w:pos="1254"/>
          <w:tab w:val="clear" w:pos="1050"/>
        </w:tabs>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投标</w:t>
      </w:r>
      <w:r>
        <w:rPr>
          <w:rFonts w:hint="eastAsia" w:ascii="宋体" w:hAnsi="宋体"/>
          <w:b/>
          <w:bCs/>
          <w:color w:val="000000" w:themeColor="text1"/>
          <w:sz w:val="24"/>
          <w:highlight w:val="none"/>
          <w:lang w:val="en-US" w:eastAsia="zh-CN"/>
          <w14:textFill>
            <w14:solidFill>
              <w14:schemeClr w14:val="tx1"/>
            </w14:solidFill>
          </w14:textFill>
        </w:rPr>
        <w:t>单位</w:t>
      </w:r>
      <w:r>
        <w:rPr>
          <w:rFonts w:hint="eastAsia" w:ascii="宋体" w:hAnsi="宋体"/>
          <w:b/>
          <w:bCs/>
          <w:color w:val="000000" w:themeColor="text1"/>
          <w:sz w:val="24"/>
          <w:highlight w:val="none"/>
          <w:lang w:eastAsia="zh-CN"/>
          <w14:textFill>
            <w14:solidFill>
              <w14:schemeClr w14:val="tx1"/>
            </w14:solidFill>
          </w14:textFill>
        </w:rPr>
        <w:t>对开标报价记录表确认无误后，代理机构开启报价签字时段</w:t>
      </w:r>
      <w:r>
        <w:rPr>
          <w:rFonts w:hint="eastAsia" w:ascii="宋体" w:hAnsi="宋体"/>
          <w:b/>
          <w:bCs/>
          <w:color w:val="000000" w:themeColor="text1"/>
          <w:sz w:val="24"/>
          <w:highlight w:val="none"/>
          <w:lang w:val="en-US" w:eastAsia="zh-CN"/>
          <w14:textFill>
            <w14:solidFill>
              <w14:schemeClr w14:val="tx1"/>
            </w14:solidFill>
          </w14:textFill>
        </w:rPr>
        <w:t>30分钟内进行CA签字确认，投标单位在此期间未进行CA签字确认的视为默认此报价</w:t>
      </w:r>
      <w:r>
        <w:rPr>
          <w:rFonts w:hint="eastAsia" w:ascii="宋体" w:hAnsi="宋体"/>
          <w:b/>
          <w:bCs/>
          <w:color w:val="000000" w:themeColor="text1"/>
          <w:sz w:val="24"/>
          <w:highlight w:val="none"/>
          <w14:textFill>
            <w14:solidFill>
              <w14:schemeClr w14:val="tx1"/>
            </w14:solidFill>
          </w14:textFill>
        </w:rPr>
        <w:t>。</w:t>
      </w:r>
    </w:p>
    <w:p w14:paraId="0B7372F9">
      <w:pPr>
        <w:numPr>
          <w:ilvl w:val="2"/>
          <w:numId w:val="3"/>
        </w:numPr>
        <w:tabs>
          <w:tab w:val="left" w:pos="624"/>
          <w:tab w:val="left" w:pos="735"/>
          <w:tab w:val="left" w:pos="1254"/>
          <w:tab w:val="clear" w:pos="1050"/>
        </w:tabs>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进入评标阶段。</w:t>
      </w:r>
    </w:p>
    <w:p w14:paraId="19E42659">
      <w:pPr>
        <w:numPr>
          <w:ilvl w:val="0"/>
          <w:numId w:val="0"/>
        </w:numPr>
        <w:tabs>
          <w:tab w:val="left" w:pos="624"/>
          <w:tab w:val="left" w:pos="735"/>
          <w:tab w:val="left" w:pos="1254"/>
        </w:tabs>
        <w:spacing w:line="360" w:lineRule="auto"/>
        <w:ind w:leftChars="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 评标准备会</w:t>
      </w:r>
    </w:p>
    <w:p w14:paraId="4AB2A1FA">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4.5.1 采购代理机构向评标专家提供评标时的重要信息和数据。其中包括：采购的目标、范围和性质；招标文件中规定的主要技术要求、标准和商务条款；招标文件规定的评标标准、评标方法和在评标过程中考虑的相关因素。</w:t>
      </w:r>
    </w:p>
    <w:p w14:paraId="3A3B387E">
      <w:pPr>
        <w:pStyle w:val="7"/>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w:t>
      </w:r>
      <w:r>
        <w:rPr>
          <w:rFonts w:hint="eastAsia"/>
          <w:b w:val="0"/>
          <w:bCs w:val="0"/>
          <w:color w:val="000000" w:themeColor="text1"/>
          <w:sz w:val="24"/>
          <w:highlight w:val="none"/>
          <w:lang w:val="en-US" w:eastAsia="zh-CN"/>
          <w14:textFill>
            <w14:solidFill>
              <w14:schemeClr w14:val="tx1"/>
            </w14:solidFill>
          </w14:textFill>
        </w:rPr>
        <w:t>2</w:t>
      </w:r>
      <w:r>
        <w:rPr>
          <w:rFonts w:hint="eastAsia" w:ascii="宋体" w:hAnsi="宋体"/>
          <w:b w:val="0"/>
          <w:bCs w:val="0"/>
          <w:color w:val="000000" w:themeColor="text1"/>
          <w:sz w:val="24"/>
          <w:highlight w:val="none"/>
          <w:lang w:val="en-US" w:eastAsia="zh-CN"/>
          <w14:textFill>
            <w14:solidFill>
              <w14:schemeClr w14:val="tx1"/>
            </w14:solidFill>
          </w14:textFill>
        </w:rPr>
        <w:t xml:space="preserve"> </w:t>
      </w:r>
      <w:r>
        <w:rPr>
          <w:rFonts w:hint="eastAsia"/>
          <w:b w:val="0"/>
          <w:bCs w:val="0"/>
          <w:color w:val="000000" w:themeColor="text1"/>
          <w:sz w:val="24"/>
          <w:highlight w:val="none"/>
          <w:lang w:val="en-US" w:eastAsia="zh-CN"/>
          <w14:textFill>
            <w14:solidFill>
              <w14:schemeClr w14:val="tx1"/>
            </w14:solidFill>
          </w14:textFill>
        </w:rPr>
        <w:t>评标委员会对响应文件依据《资格审查标准》《符合性审查标准》进行初评。</w:t>
      </w:r>
    </w:p>
    <w:p w14:paraId="33EB3AA1">
      <w:pPr>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4.5.3 评标委员会对通过初评的响应文件依据《响应文件评审标准》进行详评。</w:t>
      </w:r>
    </w:p>
    <w:p w14:paraId="5B386C27">
      <w:pPr>
        <w:spacing w:afterAutospacing="0" w:line="360" w:lineRule="auto"/>
        <w:rPr>
          <w:rFonts w:hint="default"/>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w:t>
      </w:r>
      <w:r>
        <w:rPr>
          <w:rFonts w:hint="eastAsia"/>
          <w:b w:val="0"/>
          <w:bCs w:val="0"/>
          <w:color w:val="000000" w:themeColor="text1"/>
          <w:sz w:val="24"/>
          <w:highlight w:val="none"/>
          <w:lang w:val="en-US" w:eastAsia="zh-CN"/>
          <w14:textFill>
            <w14:solidFill>
              <w14:schemeClr w14:val="tx1"/>
            </w14:solidFill>
          </w14:textFill>
        </w:rPr>
        <w:t>4 供应商应保持通讯货物的畅通，以方便在评标过程中评标委员会要求供应商对响应文件的必要澄清、说明和纠正</w:t>
      </w:r>
      <w:r>
        <w:rPr>
          <w:rFonts w:hint="eastAsia" w:ascii="宋体" w:hAnsi="宋体"/>
          <w:b w:val="0"/>
          <w:bCs w:val="0"/>
          <w:color w:val="000000" w:themeColor="text1"/>
          <w:sz w:val="24"/>
          <w:highlight w:val="none"/>
          <w:lang w:val="en-US" w:eastAsia="zh-CN"/>
          <w14:textFill>
            <w14:solidFill>
              <w14:schemeClr w14:val="tx1"/>
            </w14:solidFill>
          </w14:textFill>
        </w:rPr>
        <w:t>。</w:t>
      </w:r>
    </w:p>
    <w:p w14:paraId="5FEA45CD">
      <w:pPr>
        <w:pStyle w:val="4"/>
        <w:numPr>
          <w:ilvl w:val="0"/>
          <w:numId w:val="3"/>
        </w:numPr>
        <w:tabs>
          <w:tab w:val="left" w:pos="425"/>
          <w:tab w:val="clear" w:pos="147"/>
        </w:tabs>
        <w:snapToGrid/>
        <w:spacing w:before="0" w:beforeLines="0" w:beforeAutospacing="0" w:after="0" w:afterLines="0" w:afterAutospacing="0" w:line="360" w:lineRule="auto"/>
        <w:ind w:left="425"/>
        <w:rPr>
          <w:rFonts w:hint="eastAsia" w:hAnsi="宋体"/>
          <w:color w:val="000000" w:themeColor="text1"/>
          <w:sz w:val="24"/>
          <w:szCs w:val="24"/>
          <w:highlight w:val="none"/>
          <w14:textFill>
            <w14:solidFill>
              <w14:schemeClr w14:val="tx1"/>
            </w14:solidFill>
          </w14:textFill>
        </w:rPr>
      </w:pPr>
      <w:bookmarkStart w:id="112" w:name="_Toc391419532"/>
      <w:bookmarkStart w:id="113" w:name="_Toc399415363"/>
      <w:bookmarkStart w:id="114" w:name="_Toc422865421"/>
      <w:bookmarkStart w:id="115" w:name="_Toc435687275"/>
      <w:bookmarkStart w:id="116" w:name="_Toc401655774"/>
      <w:bookmarkStart w:id="117" w:name="_Toc435687349"/>
      <w:bookmarkStart w:id="118" w:name="_Toc414510780"/>
      <w:bookmarkStart w:id="119" w:name="_Toc439513161"/>
      <w:bookmarkStart w:id="120" w:name="_Toc479325592"/>
      <w:bookmarkStart w:id="121" w:name="_Toc435686980"/>
      <w:bookmarkStart w:id="122" w:name="_Toc486969379"/>
      <w:bookmarkStart w:id="123" w:name="_Toc31740"/>
      <w:bookmarkStart w:id="124" w:name="_Toc42952419"/>
      <w:bookmarkStart w:id="125" w:name="_Toc498899371"/>
      <w:bookmarkStart w:id="126" w:name="_Toc477879840"/>
      <w:bookmarkStart w:id="127" w:name="_Toc498871244"/>
      <w:bookmarkStart w:id="128" w:name="_Toc458635596"/>
      <w:bookmarkStart w:id="129" w:name="_Toc438513734"/>
      <w:bookmarkStart w:id="130" w:name="_Toc418023333"/>
      <w:bookmarkStart w:id="131" w:name="_Toc435623754"/>
      <w:bookmarkStart w:id="132" w:name="_Toc425347662"/>
      <w:bookmarkStart w:id="133" w:name="_Toc439679268"/>
      <w:bookmarkStart w:id="134" w:name="_Toc435629792"/>
      <w:bookmarkStart w:id="135" w:name="_Toc518912735"/>
      <w:bookmarkStart w:id="136" w:name="_Toc403072942"/>
      <w:bookmarkStart w:id="137" w:name="_Toc438641465"/>
      <w:bookmarkStart w:id="138" w:name="_Toc9797"/>
      <w:bookmarkStart w:id="139" w:name="_Toc391418659"/>
      <w:bookmarkStart w:id="140" w:name="_Toc487044252"/>
      <w:bookmarkStart w:id="141" w:name="_Toc494832087"/>
      <w:bookmarkStart w:id="142" w:name="_Toc399775413"/>
      <w:bookmarkStart w:id="143" w:name="_Toc403830754"/>
      <w:bookmarkStart w:id="144" w:name="_Toc403580038"/>
      <w:bookmarkStart w:id="145" w:name="_Toc439513445"/>
      <w:bookmarkStart w:id="146" w:name="_Toc458980393"/>
      <w:bookmarkStart w:id="147" w:name="_Toc438508597"/>
      <w:bookmarkStart w:id="148" w:name="_Toc470184441"/>
      <w:bookmarkStart w:id="149" w:name="_Toc438722130"/>
      <w:bookmarkStart w:id="150" w:name="_Toc435629838"/>
      <w:bookmarkStart w:id="151" w:name="_Toc490645938"/>
      <w:bookmarkStart w:id="152" w:name="_Toc422161992"/>
      <w:bookmarkStart w:id="153" w:name="_Toc416208486"/>
      <w:bookmarkStart w:id="154" w:name="_Toc479340789"/>
      <w:r>
        <w:rPr>
          <w:rFonts w:hint="eastAsia"/>
          <w:color w:val="000000" w:themeColor="text1"/>
          <w:highlight w:val="none"/>
          <w14:textFill>
            <w14:solidFill>
              <w14:schemeClr w14:val="tx1"/>
            </w14:solidFill>
          </w14:textFill>
        </w:rPr>
        <w:t>授予合同</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color w:val="000000" w:themeColor="text1"/>
          <w:highlight w:val="none"/>
          <w14:textFill>
            <w14:solidFill>
              <w14:schemeClr w14:val="tx1"/>
            </w14:solidFill>
          </w14:textFill>
        </w:rPr>
        <w:t xml:space="preserve">                                                    </w:t>
      </w:r>
    </w:p>
    <w:p w14:paraId="06934A8F">
      <w:pPr>
        <w:numPr>
          <w:ilvl w:val="1"/>
          <w:numId w:val="3"/>
        </w:numPr>
        <w:tabs>
          <w:tab w:val="left" w:pos="567"/>
          <w:tab w:val="clear" w:pos="289"/>
        </w:tabs>
        <w:spacing w:line="360" w:lineRule="auto"/>
        <w:ind w:left="567"/>
        <w:outlineLvl w:val="3"/>
        <w:rPr>
          <w:rFonts w:hint="eastAsia" w:hAnsi="宋体"/>
          <w:color w:val="000000" w:themeColor="text1"/>
          <w:sz w:val="24"/>
          <w:szCs w:val="24"/>
          <w:highlight w:val="none"/>
          <w14:textFill>
            <w14:solidFill>
              <w14:schemeClr w14:val="tx1"/>
            </w14:solidFill>
          </w14:textFill>
        </w:rPr>
      </w:pPr>
      <w:r>
        <w:rPr>
          <w:rFonts w:hint="eastAsia" w:ascii="宋体" w:hAnsi="宋体" w:cs="Times New Roman"/>
          <w:b/>
          <w:bCs/>
          <w:color w:val="000000" w:themeColor="text1"/>
          <w:sz w:val="24"/>
          <w:highlight w:val="none"/>
          <w:lang w:eastAsia="zh-CN"/>
          <w14:textFill>
            <w14:solidFill>
              <w14:schemeClr w14:val="tx1"/>
            </w14:solidFill>
          </w14:textFill>
        </w:rPr>
        <w:t>招标人</w:t>
      </w:r>
      <w:r>
        <w:rPr>
          <w:rFonts w:hint="eastAsia" w:ascii="宋体" w:hAnsi="宋体" w:eastAsia="宋体" w:cs="Times New Roman"/>
          <w:b/>
          <w:bCs/>
          <w:color w:val="000000" w:themeColor="text1"/>
          <w:sz w:val="24"/>
          <w:highlight w:val="none"/>
          <w14:textFill>
            <w14:solidFill>
              <w14:schemeClr w14:val="tx1"/>
            </w14:solidFill>
          </w14:textFill>
        </w:rPr>
        <w:t>确定中标人过程中，发现中标候选人有下列情形之一的，应当不予确定其为中</w:t>
      </w:r>
      <w:r>
        <w:rPr>
          <w:rFonts w:hint="eastAsia"/>
          <w:b/>
          <w:color w:val="000000" w:themeColor="text1"/>
          <w:sz w:val="24"/>
          <w:szCs w:val="24"/>
          <w:highlight w:val="none"/>
          <w14:textFill>
            <w14:solidFill>
              <w14:schemeClr w14:val="tx1"/>
            </w14:solidFill>
          </w14:textFill>
        </w:rPr>
        <w:t>标人</w:t>
      </w:r>
      <w:r>
        <w:rPr>
          <w:rFonts w:hint="eastAsia"/>
          <w:b/>
          <w:color w:val="000000" w:themeColor="text1"/>
          <w:sz w:val="24"/>
          <w:szCs w:val="24"/>
          <w:highlight w:val="none"/>
          <w:lang w:eastAsia="zh-CN"/>
          <w14:textFill>
            <w14:solidFill>
              <w14:schemeClr w14:val="tx1"/>
            </w14:solidFill>
          </w14:textFill>
        </w:rPr>
        <w:t>：</w:t>
      </w:r>
    </w:p>
    <w:p w14:paraId="1FD1DCC2">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发现中标候选人存在禁止参加本项目采购活动的违法行为的；</w:t>
      </w:r>
    </w:p>
    <w:p w14:paraId="40F6A057">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中标候选人因不可抗力，不能继续参加政府采购活动；</w:t>
      </w:r>
    </w:p>
    <w:p w14:paraId="135CFA24">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中标候选人无偿赠与或者低于成本价竞争；</w:t>
      </w:r>
    </w:p>
    <w:p w14:paraId="3D4B78F1">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中标候选人提供虚假材料；</w:t>
      </w:r>
    </w:p>
    <w:p w14:paraId="01D40156">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中标候选人恶意串通。</w:t>
      </w:r>
    </w:p>
    <w:p w14:paraId="23AD9B25">
      <w:pPr>
        <w:numPr>
          <w:ilvl w:val="1"/>
          <w:numId w:val="3"/>
        </w:numPr>
        <w:tabs>
          <w:tab w:val="left" w:pos="567"/>
          <w:tab w:val="clear" w:pos="289"/>
        </w:tabs>
        <w:spacing w:line="360" w:lineRule="auto"/>
        <w:ind w:left="567"/>
        <w:outlineLvl w:val="3"/>
        <w:rPr>
          <w:rFonts w:ascii="宋体" w:hAnsi="宋体"/>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中标结果公告</w:t>
      </w:r>
    </w:p>
    <w:p w14:paraId="0BDF4D8A">
      <w:pPr>
        <w:numPr>
          <w:ilvl w:val="0"/>
          <w:numId w:val="0"/>
        </w:numPr>
        <w:tabs>
          <w:tab w:val="left" w:pos="360"/>
        </w:tabs>
        <w:spacing w:line="360" w:lineRule="auto"/>
        <w:ind w:leftChars="0" w:firstLine="720" w:firstLineChars="300"/>
        <w:outlineLvl w:val="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采购代理机构将在</w:t>
      </w:r>
      <w:r>
        <w:rPr>
          <w:rFonts w:hint="eastAsia" w:hAnsi="宋体"/>
          <w:color w:val="000000" w:themeColor="text1"/>
          <w:sz w:val="24"/>
          <w:highlight w:val="none"/>
          <w:lang w:eastAsia="zh-CN"/>
          <w14:textFill>
            <w14:solidFill>
              <w14:schemeClr w14:val="tx1"/>
            </w14:solidFill>
          </w14:textFill>
        </w:rPr>
        <w:t>新疆政府采购网上</w:t>
      </w:r>
      <w:r>
        <w:rPr>
          <w:rFonts w:hint="eastAsia" w:ascii="宋体" w:hAnsi="宋体"/>
          <w:color w:val="000000" w:themeColor="text1"/>
          <w:sz w:val="24"/>
          <w:szCs w:val="24"/>
          <w:highlight w:val="none"/>
          <w14:textFill>
            <w14:solidFill>
              <w14:schemeClr w14:val="tx1"/>
            </w14:solidFill>
          </w14:textFill>
        </w:rPr>
        <w:t>公示中标结果公告。</w:t>
      </w:r>
    </w:p>
    <w:p w14:paraId="3A5F9F12">
      <w:pPr>
        <w:numPr>
          <w:ilvl w:val="1"/>
          <w:numId w:val="3"/>
        </w:numPr>
        <w:tabs>
          <w:tab w:val="left" w:pos="567"/>
          <w:tab w:val="clear" w:pos="289"/>
        </w:tabs>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质疑和投诉</w:t>
      </w:r>
    </w:p>
    <w:p w14:paraId="3E40087E">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5.3.1质疑和投诉</w:t>
      </w:r>
    </w:p>
    <w:p w14:paraId="6CABD039">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5.3.2供应商认为采购文件、采购过程和中标、成交结果使自己的权益受到损害的，可以在知道或者应知其权益受到损害之日起七个工作日内，以书面形式向采购人提出质疑。质疑人可以采取直接送达或者邮寄方式提交质疑书并由项目负责人本人进行签收。供应商应当在法定质疑期内一次性提出针对同一采购程序环节的质疑。供应商应知其权益受到损害之日，是指：</w:t>
      </w:r>
    </w:p>
    <w:p w14:paraId="6547CF28">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（一）对可以质疑的采购文件提出质疑的，为收到采购文件之日或者采购文件公告期限届满之日；</w:t>
      </w:r>
    </w:p>
    <w:p w14:paraId="5AAADB3C">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（二）对采购过程提出质疑的，为各采购程序环节结束之日；</w:t>
      </w:r>
    </w:p>
    <w:p w14:paraId="19079D43">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（三）对中标或者成交结果提出质疑的，为中标或者成交结果公告期限届满之日。</w:t>
      </w:r>
    </w:p>
    <w:p w14:paraId="362B169E">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5.3.3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567770C8">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14:paraId="69215669">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5.3.4供应商质疑、投诉应当有明确的请求和必要的证明材料。供应商投诉的事项不得超出已质疑事项的范围。采购人及采购代理机构按《政府采购质疑和投诉办法》进行处理供应商质疑事项。</w:t>
      </w:r>
    </w:p>
    <w:p w14:paraId="669A344A">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5.3.5质疑供应商对采购人、采购代理机构的质疑答复不满意，或者采购人、采购代理机构未在规定期限内作出答复的，供应商可以在答复期满后15个工作日内向同级财政部门提起投诉。</w:t>
      </w:r>
    </w:p>
    <w:p w14:paraId="46B6D0A0">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5.3.6供应商有下列情形之一的，采购代理机构上报财政局，将其列入不良行为记录名单：</w:t>
      </w:r>
    </w:p>
    <w:p w14:paraId="2B28DEE9">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（一）一年内三次以上质疑均查无实据的；</w:t>
      </w:r>
    </w:p>
    <w:p w14:paraId="4993C470">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（二）捏造事实或者提供虚假质疑材料的。</w:t>
      </w:r>
    </w:p>
    <w:p w14:paraId="08B8B703">
      <w:pPr>
        <w:pStyle w:val="91"/>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14:paraId="32008E8B">
      <w:pPr>
        <w:shd w:val="clear" w:color="auto" w:fill="auto"/>
        <w:jc w:val="left"/>
        <w:rPr>
          <w:rFonts w:hint="eastAsia" w:ascii="宋体" w:hAnsi="宋体" w:eastAsia="宋体" w:cs="宋体"/>
          <w:b/>
          <w:bCs/>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r>
        <w:rPr>
          <w:rFonts w:hint="eastAsia" w:ascii="宋体" w:hAnsi="宋体" w:eastAsia="宋体" w:cs="宋体"/>
          <w:b/>
          <w:bCs/>
          <w:color w:val="000000" w:themeColor="text1"/>
          <w:sz w:val="24"/>
          <w:szCs w:val="21"/>
          <w:highlight w:val="none"/>
          <w:lang w:eastAsia="zh-CN"/>
          <w14:textFill>
            <w14:solidFill>
              <w14:schemeClr w14:val="tx1"/>
            </w14:solidFill>
          </w14:textFill>
        </w:rPr>
        <w:t>附件：</w:t>
      </w:r>
    </w:p>
    <w:p w14:paraId="27A157D9">
      <w:pPr>
        <w:shd w:val="clear" w:color="auto" w:fill="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政府采购投诉书（范本）、质疑函范本</w:t>
      </w:r>
    </w:p>
    <w:p w14:paraId="7DA310E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政府采购投诉书（范本）</w:t>
      </w:r>
    </w:p>
    <w:p w14:paraId="4C39D616">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p>
    <w:p w14:paraId="2712DAF5">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投诉人：法定代表人：</w:t>
      </w:r>
    </w:p>
    <w:p w14:paraId="6FBB53D5">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地址：电话：</w:t>
      </w:r>
    </w:p>
    <w:p w14:paraId="1C4A49C7">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委托代理人姓名：职务：</w:t>
      </w:r>
    </w:p>
    <w:p w14:paraId="1DDCBAFA">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住址：联系电话：</w:t>
      </w:r>
    </w:p>
    <w:p w14:paraId="42AAECBA">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被投诉人：法定代表人：</w:t>
      </w:r>
    </w:p>
    <w:p w14:paraId="3F4E1C9F">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地址：电话：</w:t>
      </w:r>
    </w:p>
    <w:p w14:paraId="6F879B7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p>
    <w:p w14:paraId="630BCB7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我公司参加了年月日被投诉人组织的</w:t>
      </w:r>
      <w:r>
        <w:rPr>
          <w:rFonts w:hint="eastAsia" w:ascii="宋体" w:hAnsi="宋体" w:eastAsia="宋体" w:cs="宋体"/>
          <w:color w:val="000000" w:themeColor="text1"/>
          <w:sz w:val="24"/>
          <w:szCs w:val="21"/>
          <w:highlight w:val="none"/>
          <w:u w:val="single"/>
          <w14:textFill>
            <w14:solidFill>
              <w14:schemeClr w14:val="tx1"/>
            </w14:solidFill>
          </w14:textFill>
        </w:rPr>
        <w:t>（采购人）（项目名称）（项目编号）</w:t>
      </w:r>
      <w:r>
        <w:rPr>
          <w:rFonts w:hint="eastAsia" w:ascii="宋体" w:hAnsi="宋体" w:eastAsia="宋体" w:cs="宋体"/>
          <w:color w:val="000000" w:themeColor="text1"/>
          <w:sz w:val="24"/>
          <w:szCs w:val="21"/>
          <w:highlight w:val="none"/>
          <w14:textFill>
            <w14:solidFill>
              <w14:schemeClr w14:val="tx1"/>
            </w14:solidFill>
          </w14:textFill>
        </w:rPr>
        <w:t>的采购活动，我公司认为该项目的</w:t>
      </w:r>
      <w:r>
        <w:rPr>
          <w:rFonts w:hint="eastAsia" w:ascii="宋体" w:hAnsi="宋体" w:eastAsia="宋体" w:cs="宋体"/>
          <w:color w:val="000000" w:themeColor="text1"/>
          <w:sz w:val="24"/>
          <w:szCs w:val="21"/>
          <w:highlight w:val="none"/>
          <w:u w:val="single"/>
          <w14:textFill>
            <w14:solidFill>
              <w14:schemeClr w14:val="tx1"/>
            </w14:solidFill>
          </w14:textFill>
        </w:rPr>
        <w:t>（采购文件/采购过程/中标（</w:t>
      </w:r>
      <w:r>
        <w:rPr>
          <w:rFonts w:hint="eastAsia" w:ascii="宋体" w:hAnsi="宋体" w:eastAsia="宋体" w:cs="宋体"/>
          <w:color w:val="000000" w:themeColor="text1"/>
          <w:sz w:val="24"/>
          <w:szCs w:val="21"/>
          <w:highlight w:val="none"/>
          <w:u w:val="single"/>
          <w:lang w:eastAsia="zh-CN"/>
          <w14:textFill>
            <w14:solidFill>
              <w14:schemeClr w14:val="tx1"/>
            </w14:solidFill>
          </w14:textFill>
        </w:rPr>
        <w:t>中标</w:t>
      </w:r>
      <w:r>
        <w:rPr>
          <w:rFonts w:hint="eastAsia" w:ascii="宋体" w:hAnsi="宋体" w:eastAsia="宋体" w:cs="宋体"/>
          <w:color w:val="000000" w:themeColor="text1"/>
          <w:sz w:val="24"/>
          <w:szCs w:val="21"/>
          <w:highlight w:val="none"/>
          <w:u w:val="single"/>
          <w14:textFill>
            <w14:solidFill>
              <w14:schemeClr w14:val="tx1"/>
            </w14:solidFill>
          </w14:textFill>
        </w:rPr>
        <w:t>）结果）</w:t>
      </w:r>
      <w:r>
        <w:rPr>
          <w:rFonts w:hint="eastAsia" w:ascii="宋体" w:hAnsi="宋体" w:eastAsia="宋体" w:cs="宋体"/>
          <w:color w:val="000000" w:themeColor="text1"/>
          <w:sz w:val="24"/>
          <w:szCs w:val="21"/>
          <w:highlight w:val="none"/>
          <w14:textFill>
            <w14:solidFill>
              <w14:schemeClr w14:val="tx1"/>
            </w14:solidFill>
          </w14:textFill>
        </w:rPr>
        <w:t>损害了我公司权益，对此，我公司于年月日向</w:t>
      </w:r>
      <w:r>
        <w:rPr>
          <w:rFonts w:hint="eastAsia" w:ascii="宋体" w:hAnsi="宋体" w:eastAsia="宋体" w:cs="宋体"/>
          <w:color w:val="000000" w:themeColor="text1"/>
          <w:sz w:val="24"/>
          <w:szCs w:val="21"/>
          <w:highlight w:val="none"/>
          <w:u w:val="single"/>
          <w14:textFill>
            <w14:solidFill>
              <w14:schemeClr w14:val="tx1"/>
            </w14:solidFill>
          </w14:textFill>
        </w:rPr>
        <w:t>（采购人或者政府采购代理机构）</w:t>
      </w:r>
      <w:r>
        <w:rPr>
          <w:rFonts w:hint="eastAsia" w:ascii="宋体" w:hAnsi="宋体" w:eastAsia="宋体" w:cs="宋体"/>
          <w:color w:val="000000" w:themeColor="text1"/>
          <w:sz w:val="24"/>
          <w:szCs w:val="21"/>
          <w:highlight w:val="none"/>
          <w14:textFill>
            <w14:solidFill>
              <w14:schemeClr w14:val="tx1"/>
            </w14:solidFill>
          </w14:textFill>
        </w:rPr>
        <w:t>提出了质疑，</w:t>
      </w:r>
      <w:r>
        <w:rPr>
          <w:rFonts w:hint="eastAsia" w:ascii="宋体" w:hAnsi="宋体" w:eastAsia="宋体" w:cs="宋体"/>
          <w:color w:val="000000" w:themeColor="text1"/>
          <w:sz w:val="24"/>
          <w:szCs w:val="21"/>
          <w:highlight w:val="none"/>
          <w:u w:val="single"/>
          <w14:textFill>
            <w14:solidFill>
              <w14:schemeClr w14:val="tx1"/>
            </w14:solidFill>
          </w14:textFill>
        </w:rPr>
        <w:t>（其于年月日作出书面答复，因对其作出的答复不满意）/（被质疑人未在法定期内予以答复，按照政府采购有关规定）</w:t>
      </w:r>
      <w:r>
        <w:rPr>
          <w:rFonts w:hint="eastAsia" w:ascii="宋体" w:hAnsi="宋体" w:eastAsia="宋体" w:cs="宋体"/>
          <w:color w:val="000000" w:themeColor="text1"/>
          <w:sz w:val="24"/>
          <w:szCs w:val="21"/>
          <w:highlight w:val="none"/>
          <w14:textFill>
            <w14:solidFill>
              <w14:schemeClr w14:val="tx1"/>
            </w14:solidFill>
          </w14:textFill>
        </w:rPr>
        <w:t>，现向贵机关提起投诉：</w:t>
      </w:r>
    </w:p>
    <w:p w14:paraId="1EDEEE6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u w:val="single"/>
          <w14:textFill>
            <w14:solidFill>
              <w14:schemeClr w14:val="tx1"/>
            </w14:solidFill>
          </w14:textFill>
        </w:rPr>
        <w:t>具体的投诉事项及事实依据；</w:t>
      </w:r>
    </w:p>
    <w:p w14:paraId="2861B9B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u w:val="single"/>
          <w14:textFill>
            <w14:solidFill>
              <w14:schemeClr w14:val="tx1"/>
            </w14:solidFill>
          </w14:textFill>
        </w:rPr>
        <w:t>质疑和质疑答复情况简要描述；</w:t>
      </w:r>
    </w:p>
    <w:p w14:paraId="3A06CDE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u w:val="single"/>
          <w14:textFill>
            <w14:solidFill>
              <w14:schemeClr w14:val="tx1"/>
            </w14:solidFill>
          </w14:textFill>
        </w:rPr>
        <w:t>投诉请求。</w:t>
      </w:r>
    </w:p>
    <w:p w14:paraId="77D39A62">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附件：</w:t>
      </w:r>
    </w:p>
    <w:p w14:paraId="1650C264">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1.质疑书和质疑答复书；</w:t>
      </w:r>
    </w:p>
    <w:p w14:paraId="49570EA8">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2.证据材料（需注明证据来源），证人的姓名、住址和联系方式等；</w:t>
      </w:r>
    </w:p>
    <w:p w14:paraId="2DFD09A2">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3.营业执照；</w:t>
      </w:r>
    </w:p>
    <w:p w14:paraId="459C5AAC">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4.法定代表人身份证明函</w:t>
      </w:r>
    </w:p>
    <w:p w14:paraId="7A00BB51">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5.法定代表人授权委托书（包含法定代表人和委托代理人的身份证复印件）；</w:t>
      </w:r>
    </w:p>
    <w:p w14:paraId="11C95420">
      <w:pPr>
        <w:keepNext w:val="0"/>
        <w:keepLines w:val="0"/>
        <w:pageBreakBefore w:val="0"/>
        <w:widowControl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6.政府采购监管部门认为应当提供的其它材料。</w:t>
      </w:r>
    </w:p>
    <w:p w14:paraId="105E44BE">
      <w:pPr>
        <w:keepNext w:val="0"/>
        <w:keepLines w:val="0"/>
        <w:pageBreakBefore w:val="0"/>
        <w:widowControl w:val="0"/>
        <w:shd w:val="clear" w:color="auto" w:fill="auto"/>
        <w:kinsoku/>
        <w:wordWrap/>
        <w:overflowPunct/>
        <w:topLinePunct w:val="0"/>
        <w:autoSpaceDE/>
        <w:autoSpaceDN/>
        <w:bidi w:val="0"/>
        <w:adjustRightInd/>
        <w:snapToGrid/>
        <w:spacing w:line="240" w:lineRule="auto"/>
        <w:jc w:val="righ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投诉供应商：（盖章）</w:t>
      </w:r>
    </w:p>
    <w:p w14:paraId="5324C56A">
      <w:pPr>
        <w:keepNext w:val="0"/>
        <w:keepLines w:val="0"/>
        <w:pageBreakBefore w:val="0"/>
        <w:widowControl w:val="0"/>
        <w:shd w:val="clear" w:color="auto" w:fill="auto"/>
        <w:kinsoku/>
        <w:wordWrap/>
        <w:overflowPunct/>
        <w:topLinePunct w:val="0"/>
        <w:autoSpaceDE/>
        <w:autoSpaceDN/>
        <w:bidi w:val="0"/>
        <w:adjustRightInd/>
        <w:snapToGrid/>
        <w:spacing w:line="240" w:lineRule="auto"/>
        <w:jc w:val="righ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法定代表人（或主要负责人）：（</w:t>
      </w:r>
      <w:r>
        <w:rPr>
          <w:rFonts w:hint="eastAsia" w:ascii="宋体" w:hAnsi="宋体" w:eastAsia="宋体" w:cs="宋体"/>
          <w:color w:val="000000" w:themeColor="text1"/>
          <w:sz w:val="24"/>
          <w:szCs w:val="21"/>
          <w:highlight w:val="none"/>
          <w:lang w:eastAsia="zh-CN"/>
          <w14:textFill>
            <w14:solidFill>
              <w14:schemeClr w14:val="tx1"/>
            </w14:solidFill>
          </w14:textFill>
        </w:rPr>
        <w:t>签章</w:t>
      </w:r>
      <w:r>
        <w:rPr>
          <w:rFonts w:hint="eastAsia" w:ascii="宋体" w:hAnsi="宋体" w:eastAsia="宋体" w:cs="宋体"/>
          <w:color w:val="000000" w:themeColor="text1"/>
          <w:sz w:val="24"/>
          <w:szCs w:val="21"/>
          <w:highlight w:val="none"/>
          <w14:textFill>
            <w14:solidFill>
              <w14:schemeClr w14:val="tx1"/>
            </w14:solidFill>
          </w14:textFill>
        </w:rPr>
        <w:t>）</w:t>
      </w:r>
    </w:p>
    <w:p w14:paraId="28A0C57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3840" w:firstLineChars="1600"/>
        <w:jc w:val="righ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日</w:t>
      </w:r>
    </w:p>
    <w:p w14:paraId="21DD8597">
      <w:pPr>
        <w:keepNext w:val="0"/>
        <w:keepLines w:val="0"/>
        <w:pageBreakBefore w:val="0"/>
        <w:widowControl w:val="0"/>
        <w:shd w:val="clear" w:color="auto" w:fill="auto"/>
        <w:kinsoku/>
        <w:wordWrap/>
        <w:overflowPunct/>
        <w:topLinePunct w:val="0"/>
        <w:autoSpaceDE/>
        <w:autoSpaceDN/>
        <w:bidi w:val="0"/>
        <w:adjustRightInd/>
        <w:snapToGrid/>
        <w:spacing w:line="240" w:lineRule="auto"/>
        <w:jc w:val="right"/>
        <w:rPr>
          <w:rFonts w:hint="eastAsia" w:ascii="宋体" w:hAnsi="宋体" w:eastAsia="宋体" w:cs="宋体"/>
          <w:color w:val="000000" w:themeColor="text1"/>
          <w:sz w:val="24"/>
          <w:szCs w:val="21"/>
          <w:highlight w:val="none"/>
          <w14:textFill>
            <w14:solidFill>
              <w14:schemeClr w14:val="tx1"/>
            </w14:solidFill>
          </w14:textFill>
        </w:rPr>
      </w:pPr>
    </w:p>
    <w:p w14:paraId="68CFC1B4">
      <w:pPr>
        <w:keepNext w:val="0"/>
        <w:keepLines w:val="0"/>
        <w:pageBreakBefore w:val="0"/>
        <w:widowControl w:val="0"/>
        <w:shd w:val="clear" w:color="auto" w:fill="auto"/>
        <w:kinsoku/>
        <w:wordWrap/>
        <w:overflowPunct/>
        <w:topLinePunct w:val="0"/>
        <w:autoSpaceDE/>
        <w:autoSpaceDN/>
        <w:bidi w:val="0"/>
        <w:adjustRightInd/>
        <w:snapToGrid/>
        <w:spacing w:line="240" w:lineRule="auto"/>
        <w:jc w:val="right"/>
        <w:rPr>
          <w:rFonts w:hint="eastAsia" w:ascii="宋体" w:hAnsi="宋体" w:eastAsia="宋体" w:cs="宋体"/>
          <w:b/>
          <w:bCs/>
          <w:color w:val="000000" w:themeColor="text1"/>
          <w:sz w:val="32"/>
          <w:szCs w:val="32"/>
          <w:highlight w:val="none"/>
          <w14:textFill>
            <w14:solidFill>
              <w14:schemeClr w14:val="tx1"/>
            </w14:solidFill>
          </w14:textFill>
        </w:rPr>
      </w:pPr>
      <w:bookmarkStart w:id="155" w:name="_Toc17515"/>
      <w:r>
        <w:rPr>
          <w:rFonts w:hint="eastAsia" w:ascii="宋体" w:hAnsi="宋体" w:eastAsia="宋体" w:cs="宋体"/>
          <w:color w:val="000000" w:themeColor="text1"/>
          <w:sz w:val="24"/>
          <w:szCs w:val="21"/>
          <w:highlight w:val="none"/>
          <w14:textFill>
            <w14:solidFill>
              <w14:schemeClr w14:val="tx1"/>
            </w14:solidFill>
          </w14:textFill>
        </w:rPr>
        <w:t>本投诉书正本叁份，副本</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份并附电子文档</w:t>
      </w:r>
    </w:p>
    <w:p w14:paraId="34056988">
      <w:pPr>
        <w:shd w:val="clear" w:color="auto" w:fill="auto"/>
        <w:ind w:left="7951" w:hanging="5783" w:hangingChars="180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p w14:paraId="1A4A3261">
      <w:pPr>
        <w:shd w:val="clear" w:color="auto" w:fill="auto"/>
        <w:ind w:left="7951" w:hanging="5783" w:hangingChars="180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bookmarkEnd w:id="155"/>
    <w:p w14:paraId="05BBE966">
      <w:pPr>
        <w:shd w:val="clear" w:color="auto" w:fill="auto"/>
        <w:ind w:left="7951" w:hanging="5783" w:hangingChars="180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投诉相关说明</w:t>
      </w:r>
    </w:p>
    <w:p w14:paraId="47A63C3B">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hanging="5783" w:hangingChars="180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p w14:paraId="7DD8A56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投诉人应当满足《政府采购法》、《政府采购法实施条例》和《政府采购供应商投诉处理办法》的相关规定。</w:t>
      </w:r>
    </w:p>
    <w:p w14:paraId="53C64B2C">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4493" w:leftChars="304" w:hanging="3855" w:hangingChars="1600"/>
        <w:outlineLvl w:val="0"/>
        <w:rPr>
          <w:rFonts w:hint="eastAsia" w:ascii="宋体" w:hAnsi="宋体" w:eastAsia="宋体" w:cs="宋体"/>
          <w:b/>
          <w:bCs/>
          <w:color w:val="000000" w:themeColor="text1"/>
          <w:sz w:val="24"/>
          <w:szCs w:val="21"/>
          <w:highlight w:val="none"/>
          <w14:textFill>
            <w14:solidFill>
              <w14:schemeClr w14:val="tx1"/>
            </w14:solidFill>
          </w14:textFill>
        </w:rPr>
      </w:pPr>
      <w:bookmarkStart w:id="156" w:name="_Toc11499"/>
      <w:bookmarkEnd w:id="156"/>
      <w: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4"/>
          <w:szCs w:val="21"/>
          <w:highlight w:val="none"/>
          <w14:textFill>
            <w14:solidFill>
              <w14:schemeClr w14:val="tx1"/>
            </w14:solidFill>
          </w14:textFill>
        </w:rPr>
        <w:t>质疑前置及时间要求</w:t>
      </w:r>
    </w:p>
    <w:p w14:paraId="6FBCB6F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《中华人民共和国政府采购法》</w:t>
      </w: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14:paraId="6F0C8BD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第五十二条：供应商认为采购文件、采购过程和中标、</w:t>
      </w:r>
      <w:r>
        <w:rPr>
          <w:rFonts w:hint="eastAsia" w:ascii="宋体" w:hAnsi="宋体" w:eastAsia="宋体" w:cs="宋体"/>
          <w:color w:val="000000" w:themeColor="text1"/>
          <w:kern w:val="0"/>
          <w:sz w:val="24"/>
          <w:szCs w:val="21"/>
          <w:highlight w:val="none"/>
          <w:shd w:val="clear" w:color="auto" w:fill="FFFFFF"/>
          <w:lang w:eastAsia="zh-CN"/>
          <w14:textFill>
            <w14:solidFill>
              <w14:schemeClr w14:val="tx1"/>
            </w14:solidFill>
          </w14:textFill>
        </w:rPr>
        <w:t>中标</w:t>
      </w: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14:paraId="3A7AE30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第五十三条：采购人应当在收到供应商的书面质疑后七个工作日内作出答复，并以书面形式通知质疑供应商和其他有关供应商，但答复的内容不得涉及商业秘密。</w:t>
      </w:r>
    </w:p>
    <w:p w14:paraId="3C489B3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第五十五条:质疑供应商对采购人、采购代理机构的答复不满意或者采购人、采购代理机构未在规定的时间内作出答复的，可以在答复期满后十五个工作日内向同级政府采购监督管理部门投诉。</w:t>
      </w:r>
    </w:p>
    <w:p w14:paraId="43795B4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shd w:val="clear" w:color="auto" w:fill="FFFFFF"/>
          <w14:textFill>
            <w14:solidFill>
              <w14:schemeClr w14:val="tx1"/>
            </w14:solidFill>
          </w14:textFill>
        </w:rPr>
        <w:t>《政府采购实施条例》第五十五条：供应商质疑、投诉应当有明确的请求和必要的证明材料。供应商投诉的事项不得超出质疑事项的范围。</w:t>
      </w:r>
    </w:p>
    <w:p w14:paraId="24BF9F89">
      <w:pPr>
        <w:keepNext w:val="0"/>
        <w:keepLines w:val="0"/>
        <w:pageBreakBefore w:val="0"/>
        <w:shd w:val="clear" w:color="auto" w:fill="auto"/>
        <w:kinsoku/>
        <w:wordWrap/>
        <w:overflowPunct/>
        <w:topLinePunct w:val="0"/>
        <w:autoSpaceDE/>
        <w:autoSpaceDN/>
        <w:bidi w:val="0"/>
        <w:adjustRightInd/>
        <w:snapToGrid/>
        <w:spacing w:line="400" w:lineRule="exact"/>
        <w:ind w:left="5760" w:hanging="4337" w:hangingChars="1800"/>
        <w:outlineLvl w:val="0"/>
        <w:rPr>
          <w:rFonts w:hint="eastAsia" w:ascii="宋体" w:hAnsi="宋体" w:eastAsia="宋体" w:cs="宋体"/>
          <w:color w:val="000000" w:themeColor="text1"/>
          <w:sz w:val="24"/>
          <w:szCs w:val="21"/>
          <w:highlight w:val="none"/>
          <w14:textFill>
            <w14:solidFill>
              <w14:schemeClr w14:val="tx1"/>
            </w14:solidFill>
          </w14:textFill>
        </w:rPr>
      </w:pPr>
      <w:bookmarkStart w:id="157" w:name="_Toc13508"/>
      <w:bookmarkEnd w:id="157"/>
      <w:r>
        <w:rPr>
          <w:rFonts w:hint="eastAsia" w:ascii="宋体" w:hAnsi="宋体" w:eastAsia="宋体" w:cs="宋体"/>
          <w:b/>
          <w:bCs/>
          <w:color w:val="000000" w:themeColor="text1"/>
          <w:sz w:val="24"/>
          <w:szCs w:val="21"/>
          <w:highlight w:val="none"/>
          <w14:textFill>
            <w14:solidFill>
              <w14:schemeClr w14:val="tx1"/>
            </w14:solidFill>
          </w14:textFill>
        </w:rPr>
        <w:t>二、书面方式</w:t>
      </w:r>
    </w:p>
    <w:p w14:paraId="39D64665">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《政府采购供应商投诉处理办法》第八条：投诉人投诉</w:t>
      </w:r>
    </w:p>
    <w:p w14:paraId="043EF9F5">
      <w:pPr>
        <w:keepNext w:val="0"/>
        <w:keepLines w:val="0"/>
        <w:pageBreakBefore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时，应当提交投诉书，并按照被投诉人以及与投诉事项有关的供应商数量提供投诉书的副本。</w:t>
      </w:r>
    </w:p>
    <w:p w14:paraId="590CA0C0">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投诉书应当包括下列主要内容：</w:t>
      </w:r>
    </w:p>
    <w:p w14:paraId="485BA9AB">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投诉人和被投诉人的名称、地址、电话等；</w:t>
      </w:r>
    </w:p>
    <w:p w14:paraId="41F812AF">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具体的投诉事项及事实依据；</w:t>
      </w:r>
    </w:p>
    <w:p w14:paraId="04605469">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质疑和质疑答复情况及相关证明材料；</w:t>
      </w:r>
    </w:p>
    <w:p w14:paraId="7309F08F">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提起投诉的日期。</w:t>
      </w:r>
    </w:p>
    <w:p w14:paraId="48EA0C3C">
      <w:pPr>
        <w:keepNext w:val="0"/>
        <w:keepLines w:val="0"/>
        <w:pageBreakBefore w:val="0"/>
        <w:shd w:val="clear" w:color="auto" w:fill="auto"/>
        <w:kinsoku/>
        <w:wordWrap/>
        <w:overflowPunct/>
        <w:topLinePunct w:val="0"/>
        <w:autoSpaceDE/>
        <w:autoSpaceDN/>
        <w:bidi w:val="0"/>
        <w:adjustRightInd/>
        <w:snapToGrid/>
        <w:spacing w:line="400" w:lineRule="exact"/>
        <w:ind w:firstLine="645"/>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投诉书应当署名。投诉人为自然人，应当由本人</w:t>
      </w:r>
      <w:r>
        <w:rPr>
          <w:rFonts w:hint="eastAsia" w:ascii="宋体" w:hAnsi="宋体" w:eastAsia="宋体" w:cs="宋体"/>
          <w:color w:val="000000" w:themeColor="text1"/>
          <w:sz w:val="24"/>
          <w:szCs w:val="21"/>
          <w:highlight w:val="none"/>
          <w:lang w:eastAsia="zh-CN"/>
          <w14:textFill>
            <w14:solidFill>
              <w14:schemeClr w14:val="tx1"/>
            </w14:solidFill>
          </w14:textFill>
        </w:rPr>
        <w:t>签章</w:t>
      </w:r>
      <w:r>
        <w:rPr>
          <w:rFonts w:hint="eastAsia" w:ascii="宋体" w:hAnsi="宋体" w:eastAsia="宋体" w:cs="宋体"/>
          <w:color w:val="000000" w:themeColor="text1"/>
          <w:sz w:val="24"/>
          <w:szCs w:val="21"/>
          <w:highlight w:val="none"/>
          <w14:textFill>
            <w14:solidFill>
              <w14:schemeClr w14:val="tx1"/>
            </w14:solidFill>
          </w14:textFill>
        </w:rPr>
        <w:t>；投诉人为法人或者其他组织的，应当由法定代表人或者主要负责人</w:t>
      </w:r>
      <w:r>
        <w:rPr>
          <w:rFonts w:hint="eastAsia" w:ascii="宋体" w:hAnsi="宋体" w:eastAsia="宋体" w:cs="宋体"/>
          <w:color w:val="000000" w:themeColor="text1"/>
          <w:sz w:val="24"/>
          <w:szCs w:val="21"/>
          <w:highlight w:val="none"/>
          <w:lang w:eastAsia="zh-CN"/>
          <w14:textFill>
            <w14:solidFill>
              <w14:schemeClr w14:val="tx1"/>
            </w14:solidFill>
          </w14:textFill>
        </w:rPr>
        <w:t>签章</w:t>
      </w:r>
      <w:r>
        <w:rPr>
          <w:rFonts w:hint="eastAsia" w:ascii="宋体" w:hAnsi="宋体" w:eastAsia="宋体" w:cs="宋体"/>
          <w:color w:val="000000" w:themeColor="text1"/>
          <w:sz w:val="24"/>
          <w:szCs w:val="21"/>
          <w:highlight w:val="none"/>
          <w14:textFill>
            <w14:solidFill>
              <w14:schemeClr w14:val="tx1"/>
            </w14:solidFill>
          </w14:textFill>
        </w:rPr>
        <w:t>并加盖公章。</w:t>
      </w:r>
    </w:p>
    <w:p w14:paraId="318DC9C5">
      <w:pPr>
        <w:keepNext w:val="0"/>
        <w:keepLines w:val="0"/>
        <w:pageBreakBefore w:val="0"/>
        <w:shd w:val="clear" w:color="auto" w:fill="auto"/>
        <w:kinsoku/>
        <w:wordWrap/>
        <w:overflowPunct/>
        <w:topLinePunct w:val="0"/>
        <w:autoSpaceDE/>
        <w:autoSpaceDN/>
        <w:bidi w:val="0"/>
        <w:adjustRightInd/>
        <w:snapToGrid/>
        <w:spacing w:line="400" w:lineRule="exact"/>
        <w:ind w:firstLine="645"/>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F0CD922">
      <w:pPr>
        <w:keepNext w:val="0"/>
        <w:keepLines w:val="0"/>
        <w:pageBreakBefore w:val="0"/>
        <w:shd w:val="clear" w:color="auto" w:fill="auto"/>
        <w:kinsoku/>
        <w:wordWrap/>
        <w:overflowPunct/>
        <w:topLinePunct w:val="0"/>
        <w:autoSpaceDE/>
        <w:autoSpaceDN/>
        <w:bidi w:val="0"/>
        <w:adjustRightInd/>
        <w:snapToGrid/>
        <w:spacing w:line="400" w:lineRule="exact"/>
        <w:ind w:firstLine="645"/>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《政府采购供应商投诉处理办法》第十条：投诉人提起投诉应当符合下列条件：</w:t>
      </w:r>
    </w:p>
    <w:p w14:paraId="2A90517D">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投诉人是参与所投诉政府采购活动的供应商；</w:t>
      </w:r>
    </w:p>
    <w:p w14:paraId="72CF50E3">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提起投诉诉前已依法进行质疑；</w:t>
      </w:r>
    </w:p>
    <w:p w14:paraId="55D3F442">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投诉书内容符合本办法的规定；</w:t>
      </w:r>
    </w:p>
    <w:p w14:paraId="79922154">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在投诉有效期内提起投诉；</w:t>
      </w:r>
    </w:p>
    <w:p w14:paraId="6AD2A291">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属于本级财政部门管辖；</w:t>
      </w:r>
    </w:p>
    <w:p w14:paraId="66775905">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同一投诉事项未经财政部门投诉处理；</w:t>
      </w:r>
    </w:p>
    <w:p w14:paraId="3C495BBA">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国务院财政部门规定的其他条件</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14:paraId="4444FFA8">
      <w:pPr>
        <w:shd w:val="clear" w:color="auto" w:fill="auto"/>
        <w:outlineLvl w:val="0"/>
        <w:rPr>
          <w:rFonts w:hint="eastAsia" w:ascii="宋体" w:hAnsi="宋体" w:eastAsia="宋体" w:cs="宋体"/>
          <w:color w:val="000000" w:themeColor="text1"/>
          <w:sz w:val="24"/>
          <w:szCs w:val="21"/>
          <w:highlight w:val="none"/>
          <w14:textFill>
            <w14:solidFill>
              <w14:schemeClr w14:val="tx1"/>
            </w14:solidFill>
          </w14:textFill>
        </w:rPr>
      </w:pPr>
      <w:bookmarkStart w:id="158" w:name="_Toc5978"/>
      <w:bookmarkEnd w:id="158"/>
      <w:r>
        <w:rPr>
          <w:rFonts w:hint="eastAsia" w:ascii="宋体" w:hAnsi="宋体" w:eastAsia="宋体" w:cs="宋体"/>
          <w:b/>
          <w:bCs/>
          <w:color w:val="000000" w:themeColor="text1"/>
          <w:sz w:val="24"/>
          <w:szCs w:val="21"/>
          <w:highlight w:val="none"/>
          <w14:textFill>
            <w14:solidFill>
              <w14:schemeClr w14:val="tx1"/>
            </w14:solidFill>
          </w14:textFill>
        </w:rPr>
        <w:t>三、虚假、恶意投诉法律责任</w:t>
      </w:r>
    </w:p>
    <w:p w14:paraId="2A856733">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14:paraId="3EB46D51">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14:paraId="547A00F7">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（一）1年内3次以上投诉均查无实据的；</w:t>
      </w:r>
    </w:p>
    <w:p w14:paraId="158F378E">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（二）捏造事实或者提供虚假投诉材料的。</w:t>
      </w:r>
    </w:p>
    <w:p w14:paraId="4EA33F46">
      <w:pPr>
        <w:keepNext w:val="0"/>
        <w:keepLines w:val="0"/>
        <w:pageBreakBefore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p>
    <w:p w14:paraId="72363D12">
      <w:pPr>
        <w:keepNext w:val="0"/>
        <w:keepLines w:val="0"/>
        <w:pageBreakBefore w:val="0"/>
        <w:shd w:val="clear" w:color="auto" w:fill="auto"/>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1"/>
          <w:highlight w:val="none"/>
          <w14:textFill>
            <w14:solidFill>
              <w14:schemeClr w14:val="tx1"/>
            </w14:solidFill>
          </w14:textFill>
        </w:rPr>
      </w:pPr>
    </w:p>
    <w:p w14:paraId="64FA4394">
      <w:pPr>
        <w:shd w:val="clear" w:color="auto" w:fill="auto"/>
        <w:ind w:firstLine="480" w:firstLineChars="200"/>
        <w:jc w:val="both"/>
        <w:rPr>
          <w:rFonts w:hint="eastAsia" w:ascii="宋体" w:hAnsi="宋体" w:eastAsia="宋体" w:cs="宋体"/>
          <w:color w:val="000000" w:themeColor="text1"/>
          <w:sz w:val="24"/>
          <w:szCs w:val="21"/>
          <w:highlight w:val="none"/>
          <w14:textFill>
            <w14:solidFill>
              <w14:schemeClr w14:val="tx1"/>
            </w14:solidFill>
          </w14:textFill>
        </w:rPr>
      </w:pPr>
    </w:p>
    <w:p w14:paraId="1ACF552E">
      <w:pPr>
        <w:rPr>
          <w:rFonts w:hint="eastAsia" w:ascii="宋体" w:hAnsi="宋体" w:eastAsia="宋体" w:cs="宋体"/>
          <w:b/>
          <w:bCs/>
          <w:color w:val="000000" w:themeColor="text1"/>
          <w:sz w:val="32"/>
          <w:szCs w:val="32"/>
          <w:highlight w:val="none"/>
          <w14:textFill>
            <w14:solidFill>
              <w14:schemeClr w14:val="tx1"/>
            </w14:solidFill>
          </w14:textFill>
        </w:rPr>
      </w:pPr>
      <w:bookmarkStart w:id="159" w:name="_Toc1697"/>
      <w:r>
        <w:rPr>
          <w:rFonts w:hint="eastAsia" w:ascii="宋体" w:hAnsi="宋体" w:eastAsia="宋体" w:cs="宋体"/>
          <w:b/>
          <w:bCs/>
          <w:color w:val="000000" w:themeColor="text1"/>
          <w:sz w:val="32"/>
          <w:szCs w:val="32"/>
          <w:highlight w:val="none"/>
          <w14:textFill>
            <w14:solidFill>
              <w14:schemeClr w14:val="tx1"/>
            </w14:solidFill>
          </w14:textFill>
        </w:rPr>
        <w:br w:type="page"/>
      </w:r>
    </w:p>
    <w:bookmarkEnd w:id="159"/>
    <w:p w14:paraId="01E72E49">
      <w:pPr>
        <w:keepNext w:val="0"/>
        <w:keepLines w:val="0"/>
        <w:pageBreakBefore w:val="0"/>
        <w:widowControl w:val="0"/>
        <w:shd w:val="clear" w:color="auto" w:fill="auto"/>
        <w:kinsoku/>
        <w:wordWrap/>
        <w:overflowPunct/>
        <w:topLinePunct w:val="0"/>
        <w:autoSpaceDE/>
        <w:autoSpaceDN/>
        <w:bidi w:val="0"/>
        <w:spacing w:line="54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质疑函范本</w:t>
      </w:r>
    </w:p>
    <w:p w14:paraId="3A3E6E4E">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60" w:name="_Toc9061"/>
      <w:bookmarkEnd w:id="160"/>
      <w:r>
        <w:rPr>
          <w:rFonts w:hint="eastAsia" w:ascii="宋体" w:hAnsi="宋体" w:eastAsia="宋体" w:cs="宋体"/>
          <w:bCs/>
          <w:color w:val="000000" w:themeColor="text1"/>
          <w:sz w:val="24"/>
          <w:szCs w:val="21"/>
          <w:highlight w:val="none"/>
          <w14:textFill>
            <w14:solidFill>
              <w14:schemeClr w14:val="tx1"/>
            </w14:solidFill>
          </w14:textFill>
        </w:rPr>
        <w:t>一、质疑供应商基本信息</w:t>
      </w:r>
    </w:p>
    <w:p w14:paraId="43E1B18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质疑供应商：</w:t>
      </w:r>
    </w:p>
    <w:p w14:paraId="3475299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地址：邮编：</w:t>
      </w:r>
    </w:p>
    <w:p w14:paraId="1B85FE4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联系人：联系电话：</w:t>
      </w:r>
    </w:p>
    <w:p w14:paraId="1299250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授权代表：</w:t>
      </w:r>
    </w:p>
    <w:p w14:paraId="6DDB489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p>
    <w:p w14:paraId="6ECA8D7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地址：邮编：</w:t>
      </w:r>
    </w:p>
    <w:p w14:paraId="314DED2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61" w:name="_Toc15938"/>
      <w:bookmarkEnd w:id="161"/>
      <w:r>
        <w:rPr>
          <w:rFonts w:hint="eastAsia" w:ascii="宋体" w:hAnsi="宋体" w:eastAsia="宋体" w:cs="宋体"/>
          <w:bCs/>
          <w:color w:val="000000" w:themeColor="text1"/>
          <w:sz w:val="24"/>
          <w:szCs w:val="21"/>
          <w:highlight w:val="none"/>
          <w14:textFill>
            <w14:solidFill>
              <w14:schemeClr w14:val="tx1"/>
            </w14:solidFill>
          </w14:textFill>
        </w:rPr>
        <w:t>二、质疑项目基本情况</w:t>
      </w:r>
    </w:p>
    <w:p w14:paraId="309543C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质疑项目的名称：</w:t>
      </w:r>
    </w:p>
    <w:p w14:paraId="08FA13B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质疑项目的编号：包号：</w:t>
      </w:r>
    </w:p>
    <w:p w14:paraId="5077958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采购人名称：</w:t>
      </w:r>
    </w:p>
    <w:p w14:paraId="06C3A97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采购文件获取日期：</w:t>
      </w:r>
    </w:p>
    <w:p w14:paraId="70F1EB5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62" w:name="_Toc18271"/>
      <w:bookmarkEnd w:id="162"/>
      <w:r>
        <w:rPr>
          <w:rFonts w:hint="eastAsia" w:ascii="宋体" w:hAnsi="宋体" w:eastAsia="宋体" w:cs="宋体"/>
          <w:bCs/>
          <w:color w:val="000000" w:themeColor="text1"/>
          <w:sz w:val="24"/>
          <w:szCs w:val="21"/>
          <w:highlight w:val="none"/>
          <w14:textFill>
            <w14:solidFill>
              <w14:schemeClr w14:val="tx1"/>
            </w14:solidFill>
          </w14:textFill>
        </w:rPr>
        <w:t>三、质疑事项具体内容</w:t>
      </w:r>
    </w:p>
    <w:p w14:paraId="6356A32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质疑事项1：</w:t>
      </w:r>
    </w:p>
    <w:p w14:paraId="3E35747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事实依据：</w:t>
      </w:r>
    </w:p>
    <w:p w14:paraId="24F440A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法律依据：</w:t>
      </w:r>
    </w:p>
    <w:p w14:paraId="3EC50C9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质疑事项2</w:t>
      </w:r>
    </w:p>
    <w:p w14:paraId="502DB05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p>
    <w:p w14:paraId="05A57F4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63" w:name="_Toc22365"/>
      <w:bookmarkEnd w:id="163"/>
      <w:r>
        <w:rPr>
          <w:rFonts w:hint="eastAsia" w:ascii="宋体" w:hAnsi="宋体" w:eastAsia="宋体" w:cs="宋体"/>
          <w:bCs/>
          <w:color w:val="000000" w:themeColor="text1"/>
          <w:sz w:val="24"/>
          <w:szCs w:val="21"/>
          <w:highlight w:val="none"/>
          <w14:textFill>
            <w14:solidFill>
              <w14:schemeClr w14:val="tx1"/>
            </w14:solidFill>
          </w14:textFill>
        </w:rPr>
        <w:t>四、与质疑事项相关的质疑请求</w:t>
      </w:r>
    </w:p>
    <w:p w14:paraId="045D95D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请求：</w:t>
      </w:r>
    </w:p>
    <w:p w14:paraId="6C1D327A">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签章</w:t>
      </w:r>
      <w:r>
        <w:rPr>
          <w:rFonts w:hint="eastAsia" w:ascii="宋体" w:hAnsi="宋体" w:eastAsia="宋体" w:cs="宋体"/>
          <w:color w:val="000000" w:themeColor="text1"/>
          <w:sz w:val="24"/>
          <w:szCs w:val="21"/>
          <w:highlight w:val="none"/>
          <w14:textFill>
            <w14:solidFill>
              <w14:schemeClr w14:val="tx1"/>
            </w14:solidFill>
          </w14:textFill>
        </w:rPr>
        <w:t>(签章)：公章：</w:t>
      </w:r>
    </w:p>
    <w:p w14:paraId="7DBB621E">
      <w:pPr>
        <w:snapToGrid w:val="0"/>
        <w:spacing w:before="50" w:line="360" w:lineRule="auto"/>
        <w:ind w:firstLine="748" w:firstLineChars="312"/>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日期：</w:t>
      </w:r>
    </w:p>
    <w:p w14:paraId="4D4C6633">
      <w:pP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14:paraId="42DB1096">
      <w:pPr>
        <w:numPr>
          <w:ilvl w:val="1"/>
          <w:numId w:val="3"/>
        </w:numPr>
        <w:tabs>
          <w:tab w:val="left" w:pos="567"/>
          <w:tab w:val="clear" w:pos="289"/>
        </w:tabs>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lang w:eastAsia="zh-CN"/>
          <w14:textFill>
            <w14:solidFill>
              <w14:schemeClr w14:val="tx1"/>
            </w14:solidFill>
          </w14:textFill>
        </w:rPr>
        <w:t>成交通知书</w:t>
      </w:r>
    </w:p>
    <w:p w14:paraId="0EF1AB9C">
      <w:pPr>
        <w:numPr>
          <w:ilvl w:val="2"/>
          <w:numId w:val="3"/>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中标结果公告发布的同时，采购代理机构以书面形式向</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发出依法确认的《</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w:t>
      </w:r>
    </w:p>
    <w:p w14:paraId="3D432960">
      <w:pPr>
        <w:numPr>
          <w:ilvl w:val="2"/>
          <w:numId w:val="3"/>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》将是合同的一个组成部分，对</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和</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具有同等法律效力；《</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》发出后，</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改变中标结果，或者</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放弃中标的，均应承担相应的法律责任。</w:t>
      </w:r>
    </w:p>
    <w:p w14:paraId="479EF794">
      <w:pPr>
        <w:numPr>
          <w:ilvl w:val="2"/>
          <w:numId w:val="3"/>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采购代理机构在向</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发出《</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》的同时，发布《招标结果公告》，将招标结果通知未</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w:t>
      </w:r>
    </w:p>
    <w:p w14:paraId="42082D38">
      <w:pPr>
        <w:numPr>
          <w:ilvl w:val="1"/>
          <w:numId w:val="3"/>
        </w:numPr>
        <w:tabs>
          <w:tab w:val="left" w:pos="567"/>
          <w:tab w:val="clear" w:pos="289"/>
        </w:tabs>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签订合同</w:t>
      </w:r>
      <w:r>
        <w:rPr>
          <w:rFonts w:hint="eastAsia" w:ascii="宋体" w:hAnsi="宋体"/>
          <w:b/>
          <w:bCs/>
          <w:color w:val="000000" w:themeColor="text1"/>
          <w:sz w:val="24"/>
          <w:szCs w:val="24"/>
          <w:highlight w:val="none"/>
          <w14:textFill>
            <w14:solidFill>
              <w14:schemeClr w14:val="tx1"/>
            </w14:solidFill>
          </w14:textFill>
        </w:rPr>
        <w:t>（实质性要求）</w:t>
      </w:r>
    </w:p>
    <w:p w14:paraId="6D1C97F5">
      <w:pPr>
        <w:numPr>
          <w:ilvl w:val="2"/>
          <w:numId w:val="3"/>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中标人在收到《</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》后，应按照《</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》指定的时间、地点，派遣其授权代表与</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签署合同。</w:t>
      </w:r>
    </w:p>
    <w:p w14:paraId="400DF39D">
      <w:pPr>
        <w:numPr>
          <w:ilvl w:val="2"/>
          <w:numId w:val="3"/>
        </w:numPr>
        <w:tabs>
          <w:tab w:val="left" w:pos="624"/>
          <w:tab w:val="left" w:pos="735"/>
          <w:tab w:val="left" w:pos="1571"/>
          <w:tab w:val="clear" w:pos="1050"/>
        </w:tabs>
        <w:snapToGrid w:val="0"/>
        <w:spacing w:line="24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合同的组成基于但不限于以下部分：</w:t>
      </w:r>
    </w:p>
    <w:p w14:paraId="008DC193">
      <w:pPr>
        <w:widowControl/>
        <w:numPr>
          <w:ilvl w:val="0"/>
          <w:numId w:val="6"/>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w:t>
      </w:r>
    </w:p>
    <w:p w14:paraId="6A68E12D">
      <w:pPr>
        <w:widowControl/>
        <w:numPr>
          <w:ilvl w:val="0"/>
          <w:numId w:val="6"/>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及其澄清、补充文件；</w:t>
      </w:r>
    </w:p>
    <w:p w14:paraId="3C2D8DDC">
      <w:pPr>
        <w:widowControl/>
        <w:numPr>
          <w:ilvl w:val="0"/>
          <w:numId w:val="6"/>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中标人的</w:t>
      </w:r>
      <w:r>
        <w:rPr>
          <w:rFonts w:hint="eastAsia"/>
          <w:color w:val="000000" w:themeColor="text1"/>
          <w:sz w:val="24"/>
          <w:szCs w:val="24"/>
          <w:highlight w:val="none"/>
          <w:lang w:eastAsia="zh-CN"/>
          <w14:textFill>
            <w14:solidFill>
              <w14:schemeClr w14:val="tx1"/>
            </w14:solidFill>
          </w14:textFill>
        </w:rPr>
        <w:t>响应文件</w:t>
      </w:r>
      <w:r>
        <w:rPr>
          <w:rFonts w:hint="eastAsia"/>
          <w:color w:val="000000" w:themeColor="text1"/>
          <w:sz w:val="24"/>
          <w:szCs w:val="24"/>
          <w:highlight w:val="none"/>
          <w14:textFill>
            <w14:solidFill>
              <w14:schemeClr w14:val="tx1"/>
            </w14:solidFill>
          </w14:textFill>
        </w:rPr>
        <w:t>及其澄清、补充文件；</w:t>
      </w:r>
    </w:p>
    <w:p w14:paraId="159B87C0">
      <w:pPr>
        <w:widowControl/>
        <w:numPr>
          <w:ilvl w:val="0"/>
          <w:numId w:val="6"/>
        </w:numPr>
        <w:tabs>
          <w:tab w:val="left" w:pos="720"/>
          <w:tab w:val="left" w:pos="1418"/>
          <w:tab w:val="clear" w:pos="1080"/>
        </w:tabs>
        <w:spacing w:afterAutospacing="0" w:line="480" w:lineRule="exact"/>
        <w:ind w:left="1148" w:leftChars="356" w:hanging="400" w:hangingChars="167"/>
        <w:jc w:val="left"/>
        <w:rPr>
          <w:rFonts w:ascii="宋体" w:hAnsi="宋体"/>
          <w:b/>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w:t>
      </w:r>
    </w:p>
    <w:p w14:paraId="0511582F">
      <w:pPr>
        <w:pStyle w:val="4"/>
        <w:numPr>
          <w:ilvl w:val="0"/>
          <w:numId w:val="3"/>
        </w:numPr>
        <w:tabs>
          <w:tab w:val="left" w:pos="425"/>
          <w:tab w:val="clear" w:pos="147"/>
        </w:tabs>
        <w:spacing w:before="0" w:beforeLines="0" w:beforeAutospacing="0" w:after="0" w:afterLines="0" w:afterAutospacing="0"/>
        <w:ind w:left="425"/>
        <w:rPr>
          <w:rFonts w:hint="eastAsia"/>
          <w:bCs/>
          <w:color w:val="000000" w:themeColor="text1"/>
          <w:szCs w:val="24"/>
          <w:highlight w:val="none"/>
          <w14:textFill>
            <w14:solidFill>
              <w14:schemeClr w14:val="tx1"/>
            </w14:solidFill>
          </w14:textFill>
        </w:rPr>
      </w:pPr>
      <w:bookmarkStart w:id="164" w:name="_Toc416208487"/>
      <w:bookmarkStart w:id="165" w:name="_Toc383124049"/>
      <w:bookmarkStart w:id="166" w:name="_Toc439513446"/>
      <w:bookmarkStart w:id="167" w:name="_Toc418023334"/>
      <w:bookmarkStart w:id="168" w:name="_Toc458635597"/>
      <w:bookmarkStart w:id="169" w:name="_Toc458980394"/>
      <w:bookmarkStart w:id="170" w:name="_Toc438722131"/>
      <w:bookmarkStart w:id="171" w:name="_Toc438508598"/>
      <w:bookmarkStart w:id="172" w:name="_Toc477879841"/>
      <w:bookmarkStart w:id="173" w:name="_Toc298920094"/>
      <w:bookmarkStart w:id="174" w:name="_Toc435687350"/>
      <w:bookmarkStart w:id="175" w:name="_Toc470184442"/>
      <w:bookmarkStart w:id="176" w:name="_Toc425347663"/>
      <w:bookmarkStart w:id="177" w:name="_Toc498871245"/>
      <w:bookmarkStart w:id="178" w:name="_Toc479325593"/>
      <w:bookmarkStart w:id="179" w:name="_Toc298829963"/>
      <w:bookmarkStart w:id="180" w:name="_Toc487044253"/>
      <w:bookmarkStart w:id="181" w:name="_Toc298190386"/>
      <w:bookmarkStart w:id="182" w:name="_Toc486969380"/>
      <w:bookmarkStart w:id="183" w:name="_Toc350417826"/>
      <w:bookmarkStart w:id="184" w:name="_Toc343857028"/>
      <w:bookmarkStart w:id="185" w:name="_Toc31525"/>
      <w:bookmarkStart w:id="186" w:name="_Toc422161993"/>
      <w:bookmarkStart w:id="187" w:name="_Toc435686981"/>
      <w:bookmarkStart w:id="188" w:name="_Toc439679269"/>
      <w:bookmarkStart w:id="189" w:name="_Toc498899372"/>
      <w:bookmarkStart w:id="190" w:name="_Toc380533811"/>
      <w:bookmarkStart w:id="191" w:name="_Toc435687276"/>
      <w:bookmarkStart w:id="192" w:name="_Toc435623755"/>
      <w:bookmarkStart w:id="193" w:name="_Toc479340790"/>
      <w:bookmarkStart w:id="194" w:name="_Toc422865422"/>
      <w:bookmarkStart w:id="195" w:name="_Toc438641466"/>
      <w:bookmarkStart w:id="196" w:name="_Toc12802"/>
      <w:bookmarkStart w:id="197" w:name="_Toc297209420"/>
      <w:bookmarkStart w:id="198" w:name="_Toc518912736"/>
      <w:bookmarkStart w:id="199" w:name="_Toc414510781"/>
      <w:bookmarkStart w:id="200" w:name="_Toc439513162"/>
      <w:bookmarkStart w:id="201" w:name="_Toc299108392"/>
      <w:bookmarkStart w:id="202" w:name="_Toc435629793"/>
      <w:bookmarkStart w:id="203" w:name="_Toc356489054"/>
      <w:bookmarkStart w:id="204" w:name="_Toc298829722"/>
      <w:bookmarkStart w:id="205" w:name="_Toc435629839"/>
      <w:bookmarkStart w:id="206" w:name="_Toc494832088"/>
      <w:bookmarkStart w:id="207" w:name="_Toc365033707"/>
      <w:bookmarkStart w:id="208" w:name="_Toc438513735"/>
      <w:bookmarkStart w:id="209" w:name="_Toc364846101"/>
      <w:r>
        <w:rPr>
          <w:rFonts w:hint="eastAsia"/>
          <w:bCs/>
          <w:color w:val="000000" w:themeColor="text1"/>
          <w:szCs w:val="24"/>
          <w:highlight w:val="none"/>
          <w14:textFill>
            <w14:solidFill>
              <w14:schemeClr w14:val="tx1"/>
            </w14:solidFill>
          </w14:textFill>
        </w:rPr>
        <w:t>招标服务费</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0A91D417">
      <w:pPr>
        <w:spacing w:beforeAutospacing="0" w:after="50" w:line="400" w:lineRule="exact"/>
        <w:ind w:firstLine="523" w:firstLineChars="218"/>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中标人须向采购代理机构</w:t>
      </w:r>
      <w:r>
        <w:rPr>
          <w:rFonts w:hint="eastAsia" w:ascii="宋体" w:hAnsi="宋体"/>
          <w:color w:val="000000" w:themeColor="text1"/>
          <w:sz w:val="24"/>
          <w:highlight w:val="none"/>
          <w:lang w:val="en-US" w:eastAsia="zh-CN"/>
          <w14:textFill>
            <w14:solidFill>
              <w14:schemeClr w14:val="tx1"/>
            </w14:solidFill>
          </w14:textFill>
        </w:rPr>
        <w:t>缴纳</w:t>
      </w:r>
      <w:r>
        <w:rPr>
          <w:rFonts w:ascii="宋体" w:hAnsi="宋体"/>
          <w:color w:val="000000" w:themeColor="text1"/>
          <w:sz w:val="24"/>
          <w:highlight w:val="none"/>
          <w14:textFill>
            <w14:solidFill>
              <w14:schemeClr w14:val="tx1"/>
            </w14:solidFill>
          </w14:textFill>
        </w:rPr>
        <w:t>的招标服务费，根据《国家发展改革委关于进一步放开建设项目专业服务价格的通知发改价格》[2015]299号的通知实行市场调节价，本项目的招标服务费执行以下价格；</w:t>
      </w:r>
    </w:p>
    <w:p w14:paraId="088D10EA">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以预算金额作为收费的计算基数；</w:t>
      </w:r>
    </w:p>
    <w:p w14:paraId="4F47372D">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预算金额在100万以下的，招标服务费按1.5%计算；10</w:t>
      </w:r>
      <w:r>
        <w:rPr>
          <w:rFonts w:hint="eastAsia" w:ascii="宋体" w:hAnsi="宋体"/>
          <w:color w:val="000000" w:themeColor="text1"/>
          <w:sz w:val="24"/>
          <w:szCs w:val="24"/>
          <w:highlight w:val="none"/>
          <w:lang w:val="en-US" w:eastAsia="zh-CN"/>
          <w14:textFill>
            <w14:solidFill>
              <w14:schemeClr w14:val="tx1"/>
            </w14:solidFill>
          </w14:textFill>
        </w:rPr>
        <w:t>0</w:t>
      </w:r>
      <w:r>
        <w:rPr>
          <w:rFonts w:ascii="宋体" w:hAnsi="宋体"/>
          <w:color w:val="000000" w:themeColor="text1"/>
          <w:sz w:val="24"/>
          <w:szCs w:val="24"/>
          <w:highlight w:val="none"/>
          <w14:textFill>
            <w14:solidFill>
              <w14:schemeClr w14:val="tx1"/>
            </w14:solidFill>
          </w14:textFill>
        </w:rPr>
        <w:t>万到500万的，按</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%计算…</w:t>
      </w:r>
    </w:p>
    <w:p w14:paraId="3C9B94DF">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招标代理服务收费按差额定率累进法计算</w:t>
      </w:r>
      <w:r>
        <w:rPr>
          <w:rFonts w:hint="eastAsia" w:ascii="宋体" w:hAnsi="宋体"/>
          <w:color w:val="000000" w:themeColor="text1"/>
          <w:sz w:val="24"/>
          <w:szCs w:val="24"/>
          <w:highlight w:val="none"/>
          <w:lang w:eastAsia="zh-CN"/>
          <w14:textFill>
            <w14:solidFill>
              <w14:schemeClr w14:val="tx1"/>
            </w14:solidFill>
          </w14:textFill>
        </w:rPr>
        <w:t>；</w:t>
      </w:r>
    </w:p>
    <w:p w14:paraId="0D2CCD50">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招标服务费不在投标报价中单列；</w:t>
      </w:r>
    </w:p>
    <w:p w14:paraId="7A41FFA7">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招标服务费币种与《</w:t>
      </w:r>
      <w:r>
        <w:rPr>
          <w:rFonts w:hint="eastAsia" w:ascii="宋体" w:hAnsi="宋体"/>
          <w:color w:val="000000" w:themeColor="text1"/>
          <w:sz w:val="24"/>
          <w:szCs w:val="24"/>
          <w:highlight w:val="none"/>
          <w:lang w:eastAsia="zh-CN"/>
          <w14:textFill>
            <w14:solidFill>
              <w14:schemeClr w14:val="tx1"/>
            </w14:solidFill>
          </w14:textFill>
        </w:rPr>
        <w:t>成交通知书</w:t>
      </w:r>
      <w:r>
        <w:rPr>
          <w:rFonts w:ascii="宋体" w:hAnsi="宋体"/>
          <w:color w:val="000000" w:themeColor="text1"/>
          <w:sz w:val="24"/>
          <w:szCs w:val="24"/>
          <w:highlight w:val="none"/>
          <w14:textFill>
            <w14:solidFill>
              <w14:schemeClr w14:val="tx1"/>
            </w14:solidFill>
          </w14:textFill>
        </w:rPr>
        <w:t>》的币种相同；</w:t>
      </w:r>
    </w:p>
    <w:p w14:paraId="420556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中标人在领取《</w:t>
      </w:r>
      <w:r>
        <w:rPr>
          <w:rFonts w:hint="eastAsia" w:ascii="宋体" w:hAnsi="宋体"/>
          <w:color w:val="000000" w:themeColor="text1"/>
          <w:sz w:val="24"/>
          <w:highlight w:val="none"/>
          <w:lang w:eastAsia="zh-CN"/>
          <w14:textFill>
            <w14:solidFill>
              <w14:schemeClr w14:val="tx1"/>
            </w14:solidFill>
          </w14:textFill>
        </w:rPr>
        <w:t>成交通知书</w:t>
      </w:r>
      <w:r>
        <w:rPr>
          <w:rFonts w:ascii="宋体" w:hAnsi="宋体"/>
          <w:color w:val="000000" w:themeColor="text1"/>
          <w:sz w:val="24"/>
          <w:highlight w:val="none"/>
          <w14:textFill>
            <w14:solidFill>
              <w14:schemeClr w14:val="tx1"/>
            </w14:solidFill>
          </w14:textFill>
        </w:rPr>
        <w:t>》时，必须向采购代理机构直接</w:t>
      </w:r>
      <w:r>
        <w:rPr>
          <w:rFonts w:hint="eastAsia" w:ascii="宋体" w:hAnsi="宋体"/>
          <w:color w:val="000000" w:themeColor="text1"/>
          <w:sz w:val="24"/>
          <w:highlight w:val="none"/>
          <w:lang w:eastAsia="zh-CN"/>
          <w14:textFill>
            <w14:solidFill>
              <w14:schemeClr w14:val="tx1"/>
            </w14:solidFill>
          </w14:textFill>
        </w:rPr>
        <w:t>缴纳</w:t>
      </w:r>
      <w:r>
        <w:rPr>
          <w:rFonts w:ascii="宋体" w:hAnsi="宋体"/>
          <w:color w:val="000000" w:themeColor="text1"/>
          <w:sz w:val="24"/>
          <w:highlight w:val="none"/>
          <w14:textFill>
            <w14:solidFill>
              <w14:schemeClr w14:val="tx1"/>
            </w14:solidFill>
          </w14:textFill>
        </w:rPr>
        <w:t>招标服务费。</w:t>
      </w:r>
      <w:r>
        <w:rPr>
          <w:rFonts w:ascii="宋体" w:hAnsi="宋体"/>
          <w:color w:val="000000" w:themeColor="text1"/>
          <w:sz w:val="24"/>
          <w:highlight w:val="none"/>
          <w14:textFill>
            <w14:solidFill>
              <w14:schemeClr w14:val="tx1"/>
            </w14:solidFill>
          </w14:textFill>
        </w:rPr>
        <w:br w:type="page"/>
      </w:r>
    </w:p>
    <w:p w14:paraId="7CEA577E">
      <w:pPr>
        <w:spacing w:line="360" w:lineRule="auto"/>
        <w:rPr>
          <w:rFonts w:hint="eastAsia"/>
          <w:color w:val="000000" w:themeColor="text1"/>
          <w:highlight w:val="none"/>
          <w14:textFill>
            <w14:solidFill>
              <w14:schemeClr w14:val="tx1"/>
            </w14:solidFill>
          </w14:textFill>
        </w:rPr>
      </w:pPr>
    </w:p>
    <w:p w14:paraId="262BADD1">
      <w:pPr>
        <w:spacing w:line="360" w:lineRule="auto"/>
        <w:rPr>
          <w:rFonts w:hint="eastAsia"/>
          <w:color w:val="000000" w:themeColor="text1"/>
          <w:highlight w:val="none"/>
          <w14:textFill>
            <w14:solidFill>
              <w14:schemeClr w14:val="tx1"/>
            </w14:solidFill>
          </w14:textFill>
        </w:rPr>
      </w:pPr>
    </w:p>
    <w:p w14:paraId="0823A31F">
      <w:pPr>
        <w:spacing w:line="360" w:lineRule="auto"/>
        <w:rPr>
          <w:rFonts w:hint="eastAsia"/>
          <w:color w:val="000000" w:themeColor="text1"/>
          <w:highlight w:val="none"/>
          <w14:textFill>
            <w14:solidFill>
              <w14:schemeClr w14:val="tx1"/>
            </w14:solidFill>
          </w14:textFill>
        </w:rPr>
      </w:pPr>
    </w:p>
    <w:p w14:paraId="21FDEADF">
      <w:pPr>
        <w:spacing w:line="360" w:lineRule="auto"/>
        <w:rPr>
          <w:rFonts w:hint="eastAsia"/>
          <w:color w:val="000000" w:themeColor="text1"/>
          <w:highlight w:val="none"/>
          <w14:textFill>
            <w14:solidFill>
              <w14:schemeClr w14:val="tx1"/>
            </w14:solidFill>
          </w14:textFill>
        </w:rPr>
      </w:pPr>
    </w:p>
    <w:p w14:paraId="54EE272F">
      <w:pPr>
        <w:spacing w:line="360" w:lineRule="auto"/>
        <w:rPr>
          <w:rFonts w:hint="eastAsia"/>
          <w:color w:val="000000" w:themeColor="text1"/>
          <w:highlight w:val="none"/>
          <w14:textFill>
            <w14:solidFill>
              <w14:schemeClr w14:val="tx1"/>
            </w14:solidFill>
          </w14:textFill>
        </w:rPr>
      </w:pPr>
    </w:p>
    <w:p w14:paraId="19D36C52">
      <w:pPr>
        <w:spacing w:line="360" w:lineRule="auto"/>
        <w:rPr>
          <w:rFonts w:hint="eastAsia"/>
          <w:color w:val="000000" w:themeColor="text1"/>
          <w:highlight w:val="none"/>
          <w14:textFill>
            <w14:solidFill>
              <w14:schemeClr w14:val="tx1"/>
            </w14:solidFill>
          </w14:textFill>
        </w:rPr>
      </w:pPr>
    </w:p>
    <w:p w14:paraId="096C00D1">
      <w:pPr>
        <w:spacing w:line="360" w:lineRule="auto"/>
        <w:rPr>
          <w:rFonts w:hint="eastAsia"/>
          <w:color w:val="000000" w:themeColor="text1"/>
          <w:highlight w:val="none"/>
          <w14:textFill>
            <w14:solidFill>
              <w14:schemeClr w14:val="tx1"/>
            </w14:solidFill>
          </w14:textFill>
        </w:rPr>
      </w:pPr>
    </w:p>
    <w:p w14:paraId="4A2235DA">
      <w:pPr>
        <w:spacing w:line="360" w:lineRule="auto"/>
        <w:rPr>
          <w:rFonts w:hint="eastAsia"/>
          <w:color w:val="000000" w:themeColor="text1"/>
          <w:highlight w:val="none"/>
          <w14:textFill>
            <w14:solidFill>
              <w14:schemeClr w14:val="tx1"/>
            </w14:solidFill>
          </w14:textFill>
        </w:rPr>
      </w:pPr>
    </w:p>
    <w:p w14:paraId="2230F6E3">
      <w:pPr>
        <w:spacing w:line="360" w:lineRule="auto"/>
        <w:rPr>
          <w:rFonts w:hint="eastAsia"/>
          <w:color w:val="000000" w:themeColor="text1"/>
          <w:highlight w:val="none"/>
          <w14:textFill>
            <w14:solidFill>
              <w14:schemeClr w14:val="tx1"/>
            </w14:solidFill>
          </w14:textFill>
        </w:rPr>
      </w:pPr>
    </w:p>
    <w:p w14:paraId="59C965C0">
      <w:pPr>
        <w:spacing w:line="360" w:lineRule="auto"/>
        <w:rPr>
          <w:rFonts w:hint="eastAsia" w:ascii="宋体" w:hAnsi="宋体"/>
          <w:color w:val="000000" w:themeColor="text1"/>
          <w:sz w:val="28"/>
          <w:szCs w:val="28"/>
          <w:highlight w:val="none"/>
          <w14:textFill>
            <w14:solidFill>
              <w14:schemeClr w14:val="tx1"/>
            </w14:solidFill>
          </w14:textFill>
        </w:rPr>
      </w:pPr>
    </w:p>
    <w:p w14:paraId="1962E0F3">
      <w:pPr>
        <w:spacing w:line="360" w:lineRule="auto"/>
        <w:rPr>
          <w:rFonts w:hint="eastAsia" w:ascii="宋体" w:hAnsi="宋体"/>
          <w:color w:val="000000" w:themeColor="text1"/>
          <w:sz w:val="28"/>
          <w:szCs w:val="28"/>
          <w:highlight w:val="none"/>
          <w14:textFill>
            <w14:solidFill>
              <w14:schemeClr w14:val="tx1"/>
            </w14:solidFill>
          </w14:textFill>
        </w:rPr>
      </w:pPr>
    </w:p>
    <w:p w14:paraId="3DEA7ED5">
      <w:pPr>
        <w:pStyle w:val="2"/>
        <w:spacing w:line="360" w:lineRule="auto"/>
        <w:jc w:val="center"/>
        <w:rPr>
          <w:rFonts w:hint="eastAsia" w:ascii="宋体" w:hAnsi="宋体" w:eastAsia="宋体"/>
          <w:color w:val="000000" w:themeColor="text1"/>
          <w:sz w:val="48"/>
          <w:szCs w:val="48"/>
          <w:highlight w:val="none"/>
          <w:lang w:eastAsia="zh-CN"/>
          <w14:textFill>
            <w14:solidFill>
              <w14:schemeClr w14:val="tx1"/>
            </w14:solidFill>
          </w14:textFill>
        </w:rPr>
      </w:pPr>
      <w:bookmarkStart w:id="210" w:name="_Toc297209394"/>
      <w:bookmarkStart w:id="211" w:name="_Toc11709"/>
      <w:r>
        <w:rPr>
          <w:rFonts w:hint="eastAsia" w:ascii="宋体" w:hAnsi="宋体" w:eastAsia="宋体"/>
          <w:color w:val="000000" w:themeColor="text1"/>
          <w:sz w:val="48"/>
          <w:szCs w:val="48"/>
          <w:highlight w:val="none"/>
          <w14:textFill>
            <w14:solidFill>
              <w14:schemeClr w14:val="tx1"/>
            </w14:solidFill>
          </w14:textFill>
        </w:rPr>
        <w:t xml:space="preserve">第三章 </w:t>
      </w:r>
      <w:bookmarkEnd w:id="210"/>
      <w:bookmarkEnd w:id="211"/>
      <w:r>
        <w:rPr>
          <w:rFonts w:hint="eastAsia" w:ascii="宋体" w:hAnsi="宋体" w:eastAsia="宋体"/>
          <w:color w:val="000000" w:themeColor="text1"/>
          <w:sz w:val="48"/>
          <w:szCs w:val="48"/>
          <w:highlight w:val="none"/>
          <w:lang w:eastAsia="zh-CN"/>
          <w14:textFill>
            <w14:solidFill>
              <w14:schemeClr w14:val="tx1"/>
            </w14:solidFill>
          </w14:textFill>
        </w:rPr>
        <w:t>招标人需求</w:t>
      </w:r>
    </w:p>
    <w:p w14:paraId="312AC92D">
      <w:pPr>
        <w:spacing w:before="159" w:beforeLines="50" w:beforeAutospacing="0" w:line="360" w:lineRule="auto"/>
        <w:ind w:firstLine="489"/>
        <w:jc w:val="center"/>
        <w:rPr>
          <w:rFonts w:ascii="宋体" w:hAnsi="宋体" w:cs="Arial"/>
          <w:b/>
          <w:bCs/>
          <w:color w:val="000000" w:themeColor="text1"/>
          <w:sz w:val="24"/>
          <w:szCs w:val="24"/>
          <w:highlight w:val="none"/>
          <w14:textFill>
            <w14:solidFill>
              <w14:schemeClr w14:val="tx1"/>
            </w14:solidFill>
          </w14:textFill>
        </w:rPr>
        <w:sectPr>
          <w:footerReference r:id="rId9" w:type="default"/>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r>
        <w:rPr>
          <w:rFonts w:ascii="宋体" w:hAnsi="宋体" w:cs="Arial"/>
          <w:b/>
          <w:bCs/>
          <w:color w:val="000000" w:themeColor="text1"/>
          <w:sz w:val="24"/>
          <w:szCs w:val="24"/>
          <w:highlight w:val="none"/>
          <w14:textFill>
            <w14:solidFill>
              <w14:schemeClr w14:val="tx1"/>
            </w14:solidFill>
          </w14:textFill>
        </w:rPr>
        <w:br w:type="page"/>
      </w:r>
    </w:p>
    <w:p w14:paraId="21EEC882">
      <w:pPr>
        <w:spacing w:before="159" w:beforeLines="50" w:beforeAutospacing="0" w:line="360" w:lineRule="auto"/>
        <w:ind w:firstLine="489"/>
        <w:jc w:val="center"/>
        <w:rPr>
          <w:rFonts w:hint="eastAsia" w:ascii="宋体" w:hAnsi="宋体" w:eastAsia="宋体"/>
          <w:color w:val="000000" w:themeColor="text1"/>
          <w:sz w:val="36"/>
          <w:szCs w:val="36"/>
          <w:highlight w:val="none"/>
          <w:lang w:eastAsia="zh-CN"/>
          <w14:textFill>
            <w14:solidFill>
              <w14:schemeClr w14:val="tx1"/>
            </w14:solidFill>
          </w14:textFill>
        </w:rPr>
      </w:pPr>
      <w:r>
        <w:rPr>
          <w:rFonts w:hint="eastAsia" w:ascii="宋体" w:hAnsi="宋体" w:cs="Arial"/>
          <w:b/>
          <w:bCs/>
          <w:color w:val="000000" w:themeColor="text1"/>
          <w:sz w:val="36"/>
          <w:szCs w:val="36"/>
          <w:highlight w:val="none"/>
          <w:lang w:eastAsia="zh-CN"/>
          <w14:textFill>
            <w14:solidFill>
              <w14:schemeClr w14:val="tx1"/>
            </w14:solidFill>
          </w14:textFill>
        </w:rPr>
        <w:t>招标人需求</w:t>
      </w:r>
    </w:p>
    <w:p w14:paraId="334B68F4">
      <w:pPr>
        <w:rPr>
          <w:rFonts w:hint="eastAsia" w:ascii="宋体" w:hAnsi="宋体"/>
          <w:b/>
          <w:color w:val="000000" w:themeColor="text1"/>
          <w:sz w:val="24"/>
          <w:szCs w:val="24"/>
          <w:highlight w:val="none"/>
          <w14:textFill>
            <w14:solidFill>
              <w14:schemeClr w14:val="tx1"/>
            </w14:solidFill>
          </w14:textFill>
        </w:rPr>
      </w:pPr>
      <w:bookmarkStart w:id="212" w:name="_Toc514177034"/>
      <w:bookmarkStart w:id="213" w:name="_Toc524368767"/>
      <w:bookmarkStart w:id="214" w:name="_Toc418683336"/>
      <w:bookmarkStart w:id="215" w:name="_Toc19168"/>
      <w:bookmarkStart w:id="216" w:name="_Toc420441541"/>
      <w:bookmarkStart w:id="217" w:name="_Toc522529795"/>
      <w:bookmarkStart w:id="218" w:name="_Toc518912739"/>
    </w:p>
    <w:bookmarkEnd w:id="212"/>
    <w:bookmarkEnd w:id="213"/>
    <w:bookmarkEnd w:id="214"/>
    <w:bookmarkEnd w:id="215"/>
    <w:bookmarkEnd w:id="216"/>
    <w:bookmarkEnd w:id="217"/>
    <w:bookmarkEnd w:id="218"/>
    <w:p w14:paraId="28DE9289">
      <w:pPr>
        <w:adjustRightInd w:val="0"/>
        <w:spacing w:line="360" w:lineRule="auto"/>
        <w:ind w:firstLine="482" w:firstLineChars="200"/>
        <w:textAlignment w:val="baseline"/>
        <w:rPr>
          <w:rFonts w:hint="eastAsia" w:ascii="宋体" w:hAnsi="宋体"/>
          <w:b/>
          <w:color w:val="000000" w:themeColor="text1"/>
          <w:sz w:val="24"/>
          <w:szCs w:val="24"/>
          <w:highlight w:val="none"/>
          <w:lang w:val="en-US" w:eastAsia="zh-CN"/>
          <w14:textFill>
            <w14:solidFill>
              <w14:schemeClr w14:val="tx1"/>
            </w14:solidFill>
          </w14:textFill>
        </w:rPr>
      </w:pPr>
      <w:bookmarkStart w:id="219" w:name="_Toc5124202"/>
      <w:bookmarkStart w:id="220" w:name="_Toc524517837"/>
      <w:r>
        <w:rPr>
          <w:rFonts w:hint="eastAsia" w:ascii="宋体" w:hAnsi="宋体"/>
          <w:b/>
          <w:color w:val="000000" w:themeColor="text1"/>
          <w:sz w:val="24"/>
          <w:szCs w:val="24"/>
          <w:highlight w:val="none"/>
          <w:lang w:val="en-US" w:eastAsia="zh-CN"/>
          <w14:textFill>
            <w14:solidFill>
              <w14:schemeClr w14:val="tx1"/>
            </w14:solidFill>
          </w14:textFill>
        </w:rPr>
        <w:t>采购人对服务提出详细的内容、标准及相关要求，包含但不限于以下内容：</w:t>
      </w:r>
    </w:p>
    <w:bookmarkEnd w:id="219"/>
    <w:bookmarkEnd w:id="220"/>
    <w:p w14:paraId="19065262">
      <w:pPr>
        <w:spacing w:beforeAutospacing="0" w:after="50" w:line="400" w:lineRule="exact"/>
        <w:ind w:firstLine="523" w:firstLineChars="218"/>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采购标的名称：库尔勒市国土空间详细规划（城镇单元）（2025-2035年）项目</w:t>
      </w:r>
    </w:p>
    <w:p w14:paraId="21A028C0">
      <w:pPr>
        <w:numPr>
          <w:ilvl w:val="0"/>
          <w:numId w:val="0"/>
        </w:numPr>
        <w:spacing w:beforeAutospacing="0" w:after="50" w:line="400" w:lineRule="exact"/>
        <w:ind w:firstLine="525" w:firstLineChars="218"/>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lang w:val="en-US" w:eastAsia="zh-CN" w:bidi="ar-SA"/>
          <w14:textFill>
            <w14:solidFill>
              <w14:schemeClr w14:val="tx1"/>
            </w14:solidFill>
          </w14:textFill>
        </w:rPr>
        <w:t>一、</w:t>
      </w:r>
      <w:r>
        <w:rPr>
          <w:rFonts w:hint="eastAsia" w:ascii="宋体" w:hAnsi="宋体" w:eastAsia="宋体"/>
          <w:b/>
          <w:bCs/>
          <w:color w:val="000000" w:themeColor="text1"/>
          <w:sz w:val="24"/>
          <w:highlight w:val="none"/>
          <w:lang w:val="en-US" w:eastAsia="zh-CN"/>
          <w14:textFill>
            <w14:solidFill>
              <w14:schemeClr w14:val="tx1"/>
            </w14:solidFill>
          </w14:textFill>
        </w:rPr>
        <w:t>项目要求</w:t>
      </w:r>
    </w:p>
    <w:p w14:paraId="3D2A3018">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1.规划范围</w:t>
      </w:r>
      <w:r>
        <w:rPr>
          <w:rFonts w:hint="eastAsia" w:ascii="宋体" w:hAnsi="宋体" w:cs="Times New Roman"/>
          <w:color w:val="auto"/>
          <w:sz w:val="24"/>
          <w:highlight w:val="none"/>
          <w:lang w:val="en-US" w:eastAsia="zh-CN"/>
        </w:rPr>
        <w:t>：</w:t>
      </w:r>
      <w:r>
        <w:rPr>
          <w:rFonts w:hint="default" w:ascii="宋体" w:hAnsi="宋体" w:cs="Times New Roman"/>
          <w:color w:val="auto"/>
          <w:sz w:val="24"/>
          <w:highlight w:val="none"/>
          <w:lang w:val="en-US" w:eastAsia="zh-CN"/>
        </w:rPr>
        <w:t>库尔勒市</w:t>
      </w:r>
      <w:r>
        <w:rPr>
          <w:rFonts w:hint="eastAsia" w:ascii="宋体" w:hAnsi="宋体" w:cs="Times New Roman"/>
          <w:color w:val="auto"/>
          <w:sz w:val="24"/>
          <w:highlight w:val="none"/>
          <w:lang w:val="en-US" w:eastAsia="zh-CN"/>
        </w:rPr>
        <w:t>城镇单元</w:t>
      </w:r>
      <w:r>
        <w:rPr>
          <w:rFonts w:hint="default" w:ascii="宋体" w:hAnsi="宋体" w:cs="Times New Roman"/>
          <w:color w:val="auto"/>
          <w:sz w:val="24"/>
          <w:highlight w:val="none"/>
          <w:lang w:val="en-US" w:eastAsia="zh-CN"/>
        </w:rPr>
        <w:t>约102平方公里</w:t>
      </w:r>
    </w:p>
    <w:p w14:paraId="7FFA116D">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2.现状分析与专题评估（例如既有规划评估、城市更新潜力分析等）</w:t>
      </w:r>
    </w:p>
    <w:p w14:paraId="7BFAF53E">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3.单元详细规划编制内容（明确主导功能、规模总量、设施布局、空间形态等）</w:t>
      </w:r>
    </w:p>
    <w:p w14:paraId="6A5D049F">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4.地块详细规划图则编制内容（明确地块控制指标等）</w:t>
      </w:r>
    </w:p>
    <w:p w14:paraId="7261E7FD">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5.成果形式与数据入库要求（</w:t>
      </w:r>
      <w:r>
        <w:rPr>
          <w:rFonts w:hint="eastAsia" w:ascii="宋体" w:hAnsi="宋体" w:cs="Times New Roman"/>
          <w:color w:val="auto"/>
          <w:sz w:val="24"/>
          <w:highlight w:val="none"/>
          <w:lang w:val="en-US" w:eastAsia="zh-CN"/>
        </w:rPr>
        <w:t>按照法定文件和技术文件要求，提交成果</w:t>
      </w:r>
      <w:r>
        <w:rPr>
          <w:rFonts w:hint="default" w:ascii="宋体" w:hAnsi="宋体" w:cs="Times New Roman"/>
          <w:color w:val="auto"/>
          <w:sz w:val="24"/>
          <w:highlight w:val="none"/>
          <w:lang w:val="en-US" w:eastAsia="zh-CN"/>
        </w:rPr>
        <w:t>文本、图集、</w:t>
      </w:r>
      <w:r>
        <w:rPr>
          <w:rFonts w:hint="eastAsia" w:ascii="宋体" w:hAnsi="宋体" w:cs="Times New Roman"/>
          <w:color w:val="auto"/>
          <w:sz w:val="24"/>
          <w:highlight w:val="none"/>
          <w:lang w:val="en-US" w:eastAsia="zh-CN"/>
        </w:rPr>
        <w:t>说明</w:t>
      </w:r>
      <w:r>
        <w:rPr>
          <w:rFonts w:hint="default" w:ascii="宋体" w:hAnsi="宋体" w:cs="Times New Roman"/>
          <w:color w:val="auto"/>
          <w:sz w:val="24"/>
          <w:highlight w:val="none"/>
          <w:lang w:val="en-US" w:eastAsia="zh-CN"/>
        </w:rPr>
        <w:t>、数据库</w:t>
      </w:r>
      <w:r>
        <w:rPr>
          <w:rFonts w:hint="eastAsia" w:ascii="宋体" w:hAnsi="宋体" w:cs="Times New Roman"/>
          <w:color w:val="auto"/>
          <w:sz w:val="24"/>
          <w:highlight w:val="none"/>
          <w:lang w:val="en-US" w:eastAsia="zh-CN"/>
        </w:rPr>
        <w:t>及相关材料</w:t>
      </w:r>
      <w:r>
        <w:rPr>
          <w:rFonts w:hint="default" w:ascii="宋体" w:hAnsi="宋体" w:cs="Times New Roman"/>
          <w:color w:val="auto"/>
          <w:sz w:val="24"/>
          <w:highlight w:val="none"/>
          <w:lang w:val="en-US" w:eastAsia="zh-CN"/>
        </w:rPr>
        <w:t>，纳入“一张图”系统等）</w:t>
      </w:r>
    </w:p>
    <w:p w14:paraId="04D927FF">
      <w:pPr>
        <w:spacing w:beforeAutospacing="0" w:after="50" w:line="400" w:lineRule="exact"/>
        <w:ind w:firstLine="523" w:firstLineChars="218"/>
        <w:rPr>
          <w:rFonts w:hint="default" w:ascii="宋体" w:hAnsi="宋体" w:cs="Times New Roman"/>
          <w:color w:val="auto"/>
          <w:sz w:val="24"/>
          <w:highlight w:val="none"/>
          <w:lang w:val="en-US" w:eastAsia="zh-CN"/>
        </w:rPr>
      </w:pPr>
      <w:r>
        <w:rPr>
          <w:rFonts w:hint="default" w:ascii="宋体" w:hAnsi="宋体" w:cs="Times New Roman"/>
          <w:color w:val="auto"/>
          <w:sz w:val="24"/>
          <w:highlight w:val="none"/>
          <w:lang w:val="en-US" w:eastAsia="zh-CN"/>
        </w:rPr>
        <w:t>6.符合上位规划及新疆维吾尔自治区国土空间详细规划（城镇单元）编制技术规程要求。</w:t>
      </w:r>
    </w:p>
    <w:p w14:paraId="015E6C66">
      <w:pPr>
        <w:spacing w:line="54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二、进度要求：</w:t>
      </w:r>
    </w:p>
    <w:p w14:paraId="590E8A12">
      <w:pPr>
        <w:spacing w:beforeAutospacing="0" w:after="50" w:line="400" w:lineRule="exact"/>
        <w:ind w:firstLine="523" w:firstLineChars="218"/>
        <w:rPr>
          <w:rFonts w:hint="default" w:ascii="宋体" w:hAnsi="宋体" w:eastAsia="宋体"/>
          <w:b/>
          <w:bCs/>
          <w:color w:val="auto"/>
          <w:sz w:val="24"/>
          <w:highlight w:val="none"/>
          <w:lang w:val="en-US" w:eastAsia="zh-CN"/>
        </w:rPr>
      </w:pPr>
      <w:r>
        <w:rPr>
          <w:rFonts w:hint="default" w:ascii="宋体" w:hAnsi="宋体"/>
          <w:color w:val="auto"/>
          <w:sz w:val="24"/>
          <w:highlight w:val="none"/>
          <w:lang w:val="en-US" w:eastAsia="en-US"/>
        </w:rPr>
        <w:t>自合同签订之日起</w:t>
      </w:r>
      <w:r>
        <w:rPr>
          <w:rFonts w:hint="eastAsia" w:ascii="宋体" w:hAnsi="宋体"/>
          <w:color w:val="auto"/>
          <w:sz w:val="24"/>
          <w:highlight w:val="none"/>
          <w:lang w:val="en-US" w:eastAsia="zh-CN"/>
        </w:rPr>
        <w:t>6</w:t>
      </w:r>
      <w:r>
        <w:rPr>
          <w:rFonts w:hint="default" w:ascii="宋体" w:hAnsi="宋体"/>
          <w:color w:val="auto"/>
          <w:sz w:val="24"/>
          <w:highlight w:val="none"/>
          <w:lang w:val="en-US" w:eastAsia="en-US"/>
        </w:rPr>
        <w:t>个月：</w:t>
      </w:r>
      <w:r>
        <w:rPr>
          <w:rFonts w:hint="eastAsia" w:ascii="宋体" w:hAnsi="宋体"/>
          <w:color w:val="auto"/>
          <w:sz w:val="24"/>
          <w:highlight w:val="none"/>
          <w:lang w:val="en-US" w:eastAsia="zh-CN"/>
        </w:rPr>
        <w:t>1、</w:t>
      </w:r>
      <w:r>
        <w:rPr>
          <w:rFonts w:hint="default" w:ascii="宋体" w:hAnsi="宋体"/>
          <w:color w:val="auto"/>
          <w:sz w:val="24"/>
          <w:highlight w:val="none"/>
          <w:lang w:val="en-US" w:eastAsia="en-US"/>
        </w:rPr>
        <w:t>现状调研与数据分析（1个月）</w:t>
      </w:r>
      <w:r>
        <w:rPr>
          <w:rFonts w:hint="eastAsia" w:ascii="宋体" w:hAnsi="宋体"/>
          <w:color w:val="auto"/>
          <w:sz w:val="24"/>
          <w:highlight w:val="none"/>
          <w:lang w:val="en-US" w:eastAsia="zh-CN"/>
        </w:rPr>
        <w:t>；2、</w:t>
      </w:r>
      <w:r>
        <w:rPr>
          <w:rFonts w:hint="default" w:ascii="宋体" w:hAnsi="宋体"/>
          <w:color w:val="auto"/>
          <w:sz w:val="24"/>
          <w:highlight w:val="none"/>
          <w:lang w:val="en-US" w:eastAsia="en-US"/>
        </w:rPr>
        <w:t>方案编制与公众参与（3个月）</w:t>
      </w:r>
      <w:r>
        <w:rPr>
          <w:rFonts w:hint="eastAsia" w:ascii="宋体" w:hAnsi="宋体"/>
          <w:color w:val="auto"/>
          <w:sz w:val="24"/>
          <w:highlight w:val="none"/>
          <w:lang w:val="en-US" w:eastAsia="zh-CN"/>
        </w:rPr>
        <w:t>；3、</w:t>
      </w:r>
      <w:r>
        <w:rPr>
          <w:rFonts w:hint="default" w:ascii="宋体" w:hAnsi="宋体"/>
          <w:color w:val="auto"/>
          <w:sz w:val="24"/>
          <w:highlight w:val="none"/>
          <w:lang w:val="en-US" w:eastAsia="en-US"/>
        </w:rPr>
        <w:t>专家评审与修改（1个月）</w:t>
      </w:r>
      <w:r>
        <w:rPr>
          <w:rFonts w:hint="eastAsia" w:ascii="宋体" w:hAnsi="宋体"/>
          <w:color w:val="auto"/>
          <w:sz w:val="24"/>
          <w:highlight w:val="none"/>
          <w:lang w:val="en-US" w:eastAsia="zh-CN"/>
        </w:rPr>
        <w:t>；4、</w:t>
      </w:r>
      <w:r>
        <w:rPr>
          <w:rFonts w:hint="default" w:ascii="宋体" w:hAnsi="宋体"/>
          <w:color w:val="auto"/>
          <w:sz w:val="24"/>
          <w:highlight w:val="none"/>
          <w:lang w:val="en-US" w:eastAsia="en-US"/>
        </w:rPr>
        <w:t>成果提交与验收（1个月）</w:t>
      </w:r>
      <w:r>
        <w:rPr>
          <w:rFonts w:hint="eastAsia" w:ascii="宋体" w:hAnsi="宋体"/>
          <w:color w:val="auto"/>
          <w:sz w:val="24"/>
          <w:highlight w:val="none"/>
          <w:lang w:val="en-US" w:eastAsia="zh-CN"/>
        </w:rPr>
        <w:t>。最终数据库提交时间以库尔勒市自然资源局要求时间为准。</w:t>
      </w:r>
    </w:p>
    <w:p w14:paraId="52411FD8">
      <w:pPr>
        <w:spacing w:beforeAutospacing="0" w:after="50" w:line="400" w:lineRule="exact"/>
        <w:ind w:firstLine="525" w:firstLineChars="218"/>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三、质量要求</w:t>
      </w:r>
    </w:p>
    <w:p w14:paraId="356460A6">
      <w:pPr>
        <w:spacing w:beforeAutospacing="0" w:after="50" w:line="400" w:lineRule="exact"/>
        <w:ind w:firstLine="523" w:firstLineChars="218"/>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城镇单元详细规划编制质量</w:t>
      </w:r>
      <w:r>
        <w:rPr>
          <w:rFonts w:hint="eastAsia" w:ascii="宋体" w:hAnsi="宋体" w:eastAsia="宋体" w:cs="宋体"/>
          <w:color w:val="auto"/>
          <w:sz w:val="24"/>
          <w:szCs w:val="24"/>
          <w:highlight w:val="none"/>
          <w:lang w:val="en-US" w:eastAsia="zh-CN"/>
        </w:rPr>
        <w:t>要保证项目合规性、系统性、精准性、可实施性、成果规范性</w:t>
      </w:r>
      <w:r>
        <w:rPr>
          <w:rFonts w:hint="eastAsia" w:ascii="宋体" w:hAnsi="宋体" w:cs="宋体"/>
          <w:color w:val="auto"/>
          <w:sz w:val="24"/>
          <w:szCs w:val="24"/>
          <w:highlight w:val="none"/>
          <w:lang w:val="en-US" w:eastAsia="zh-CN"/>
        </w:rPr>
        <w:t>。</w:t>
      </w:r>
    </w:p>
    <w:p w14:paraId="47A9A61A">
      <w:pPr>
        <w:spacing w:beforeAutospacing="0" w:after="50" w:line="400" w:lineRule="exact"/>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ascii="宋体" w:hAnsi="宋体" w:eastAsia="宋体" w:cs="宋体"/>
          <w:color w:val="auto"/>
          <w:sz w:val="24"/>
          <w:szCs w:val="24"/>
          <w:highlight w:val="none"/>
        </w:rPr>
        <w:t>上位传导落实</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严格服从国土空间总体规划“三区三线”（生态保护红线、永久基本农田、城镇开发边界），不得突破刚性底线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强制性指标（建设用地规模、绿地率、基础设施配套、历史文化保护等）逐项分解、闭环传导，无遗漏、无冲突</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衔接交通、市政、防灾、公共服务等专项规划</w:t>
      </w:r>
      <w:r>
        <w:rPr>
          <w:rFonts w:hint="eastAsia" w:ascii="宋体" w:hAnsi="宋体" w:eastAsia="宋体" w:cs="宋体"/>
          <w:color w:val="auto"/>
          <w:sz w:val="24"/>
          <w:szCs w:val="24"/>
          <w:highlight w:val="none"/>
          <w:lang w:eastAsia="zh-CN"/>
        </w:rPr>
        <w:t>。</w:t>
      </w:r>
    </w:p>
    <w:p w14:paraId="6A4B5881">
      <w:pPr>
        <w:spacing w:beforeAutospacing="0" w:after="50" w:line="400" w:lineRule="exact"/>
        <w:ind w:firstLine="523" w:firstLineChars="2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法定程序合规</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单元划定、草案公示（≥30日）、专家论证、公众参与、审批备案全流程留痕。</w:t>
      </w:r>
    </w:p>
    <w:p w14:paraId="6B39DFBA">
      <w:pPr>
        <w:spacing w:beforeAutospacing="0" w:after="50" w:line="400" w:lineRule="exact"/>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规划内容质量</w:t>
      </w:r>
      <w:r>
        <w:rPr>
          <w:rFonts w:hint="eastAsia" w:ascii="宋体" w:hAnsi="宋体" w:eastAsia="宋体" w:cs="宋体"/>
          <w:color w:val="auto"/>
          <w:sz w:val="24"/>
          <w:szCs w:val="24"/>
          <w:highlight w:val="none"/>
          <w:lang w:val="en-US" w:eastAsia="zh-CN"/>
        </w:rPr>
        <w:t>合规</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单元层面功能布局清晰</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开发强度刚性可控</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设施配套齐全达标</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生态与安全底线严守</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地块层面地块图则法定精准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兼容性与弹性适配</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实施路径清晰</w:t>
      </w:r>
      <w:r>
        <w:rPr>
          <w:rFonts w:hint="eastAsia" w:ascii="宋体" w:hAnsi="宋体" w:eastAsia="宋体" w:cs="宋体"/>
          <w:color w:val="auto"/>
          <w:sz w:val="24"/>
          <w:szCs w:val="24"/>
          <w:highlight w:val="none"/>
          <w:lang w:eastAsia="zh-CN"/>
        </w:rPr>
        <w:t>。</w:t>
      </w:r>
    </w:p>
    <w:p w14:paraId="714E2769">
      <w:pPr>
        <w:spacing w:beforeAutospacing="0" w:after="50" w:line="400" w:lineRule="exact"/>
        <w:ind w:firstLine="523" w:firstLineChars="218"/>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lang w:val="en-US" w:eastAsia="zh-CN"/>
        </w:rPr>
        <w:t>4、</w:t>
      </w:r>
      <w:r>
        <w:rPr>
          <w:rFonts w:ascii="宋体" w:hAnsi="宋体" w:eastAsia="宋体" w:cs="宋体"/>
          <w:color w:val="auto"/>
          <w:sz w:val="24"/>
          <w:szCs w:val="24"/>
          <w:highlight w:val="none"/>
        </w:rPr>
        <w:t>成果体系完整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详细规划成果包括法定文件和技术文件，以纸质版和电子版两种形式提交，涉及的文、图、数应一致。</w:t>
      </w:r>
    </w:p>
    <w:p w14:paraId="73BA4D47">
      <w:pPr>
        <w:spacing w:beforeAutospacing="0" w:after="50" w:line="400" w:lineRule="exact"/>
        <w:ind w:firstLine="523" w:firstLineChars="218"/>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成果数据库应按照《新疆维吾尔自治区国土空间详细规划（城镇单元）数据库规范（征求意见稿）》与规划编制工作同步建设、同步报批，并整合到基于国土空间基础信息平台的国土空间规划“一张图”实施监督信息系统。</w:t>
      </w:r>
    </w:p>
    <w:p w14:paraId="0F765A52">
      <w:pPr>
        <w:spacing w:beforeAutospacing="0" w:after="50" w:line="400" w:lineRule="exact"/>
        <w:ind w:firstLine="525" w:firstLineChars="218"/>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四、付款方式</w:t>
      </w:r>
    </w:p>
    <w:p w14:paraId="23D60160">
      <w:pPr>
        <w:pStyle w:val="8"/>
        <w:rPr>
          <w:rFonts w:hint="default"/>
          <w:color w:val="auto"/>
          <w:highlight w:val="none"/>
          <w:lang w:val="en-US" w:eastAsia="zh-CN"/>
        </w:rPr>
        <w:sectPr>
          <w:headerReference r:id="rId10" w:type="default"/>
          <w:footerReference r:id="rId11" w:type="default"/>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kern w:val="0"/>
          <w:sz w:val="24"/>
          <w:szCs w:val="24"/>
          <w:highlight w:val="none"/>
          <w:lang w:val="en-US" w:eastAsia="zh-CN" w:bidi="ar"/>
        </w:rPr>
        <w:t>支付方式：分期付款（具体以双方签订合同为准）</w:t>
      </w:r>
    </w:p>
    <w:p w14:paraId="29C5F6DF">
      <w:pPr>
        <w:spacing w:line="360" w:lineRule="auto"/>
        <w:jc w:val="center"/>
        <w:outlineLvl w:val="9"/>
        <w:rPr>
          <w:rFonts w:hint="eastAsia" w:ascii="宋体" w:hAnsi="宋体" w:eastAsia="宋体" w:cs="Times New Roman"/>
          <w:color w:val="000000" w:themeColor="text1"/>
          <w:sz w:val="48"/>
          <w:szCs w:val="48"/>
          <w:highlight w:val="none"/>
          <w:lang w:eastAsia="zh-CN"/>
          <w14:textFill>
            <w14:solidFill>
              <w14:schemeClr w14:val="tx1"/>
            </w14:solidFill>
          </w14:textFill>
        </w:rPr>
      </w:pPr>
    </w:p>
    <w:p w14:paraId="69C67C9E">
      <w:pPr>
        <w:spacing w:line="360" w:lineRule="auto"/>
        <w:jc w:val="both"/>
        <w:outlineLvl w:val="9"/>
        <w:rPr>
          <w:rFonts w:hint="eastAsia" w:ascii="宋体" w:hAnsi="宋体" w:eastAsia="宋体" w:cs="Times New Roman"/>
          <w:color w:val="000000" w:themeColor="text1"/>
          <w:sz w:val="48"/>
          <w:szCs w:val="48"/>
          <w:highlight w:val="none"/>
          <w:lang w:eastAsia="zh-CN"/>
          <w14:textFill>
            <w14:solidFill>
              <w14:schemeClr w14:val="tx1"/>
            </w14:solidFill>
          </w14:textFill>
        </w:rPr>
      </w:pPr>
    </w:p>
    <w:p w14:paraId="2C7431E6">
      <w:pPr>
        <w:spacing w:line="360" w:lineRule="auto"/>
        <w:jc w:val="center"/>
        <w:outlineLvl w:val="9"/>
        <w:rPr>
          <w:rFonts w:hint="eastAsia" w:ascii="宋体" w:hAnsi="宋体" w:eastAsia="宋体" w:cs="Times New Roman"/>
          <w:color w:val="000000" w:themeColor="text1"/>
          <w:sz w:val="48"/>
          <w:szCs w:val="48"/>
          <w:highlight w:val="none"/>
          <w:lang w:eastAsia="zh-CN"/>
          <w14:textFill>
            <w14:solidFill>
              <w14:schemeClr w14:val="tx1"/>
            </w14:solidFill>
          </w14:textFill>
        </w:rPr>
      </w:pPr>
    </w:p>
    <w:p w14:paraId="2FC69A87">
      <w:pPr>
        <w:pStyle w:val="2"/>
        <w:spacing w:line="360" w:lineRule="auto"/>
        <w:jc w:val="center"/>
        <w:rPr>
          <w:rFonts w:hint="eastAsia" w:ascii="宋体" w:hAnsi="宋体" w:eastAsia="宋体" w:cs="Times New Roman"/>
          <w:color w:val="000000" w:themeColor="text1"/>
          <w:sz w:val="48"/>
          <w:szCs w:val="48"/>
          <w:highlight w:val="none"/>
          <w:lang w:eastAsia="zh-CN"/>
          <w14:textFill>
            <w14:solidFill>
              <w14:schemeClr w14:val="tx1"/>
            </w14:solidFill>
          </w14:textFill>
        </w:rPr>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Times New Roman"/>
          <w:color w:val="000000" w:themeColor="text1"/>
          <w:sz w:val="48"/>
          <w:szCs w:val="48"/>
          <w:highlight w:val="none"/>
          <w:lang w:eastAsia="zh-CN"/>
          <w14:textFill>
            <w14:solidFill>
              <w14:schemeClr w14:val="tx1"/>
            </w14:solidFill>
          </w14:textFill>
        </w:rPr>
        <w:t>第四章 评标文件</w:t>
      </w:r>
    </w:p>
    <w:p w14:paraId="53C2C0AA">
      <w:pPr>
        <w:pStyle w:val="5"/>
        <w:spacing w:beforeAutospacing="0" w:line="24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 xml:space="preserve">1.1 </w:t>
      </w:r>
      <w:r>
        <w:rPr>
          <w:rFonts w:hint="eastAsia" w:ascii="宋体" w:hAnsi="宋体" w:eastAsia="宋体"/>
          <w:b/>
          <w:bCs/>
          <w:color w:val="000000" w:themeColor="text1"/>
          <w:sz w:val="24"/>
          <w:szCs w:val="24"/>
          <w:highlight w:val="none"/>
          <w14:textFill>
            <w14:solidFill>
              <w14:schemeClr w14:val="tx1"/>
            </w14:solidFill>
          </w14:textFill>
        </w:rPr>
        <w:t>概述</w:t>
      </w:r>
    </w:p>
    <w:p w14:paraId="4F3BC827">
      <w:pPr>
        <w:pStyle w:val="5"/>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根据《中华人民共和国政府采购法》、《评标委员会和评标方法暂行规定》和国家及地方政府采购有关文件精神，在保证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库尔勒市国土空间详细规划（城镇单元）（2025-2035年）项目</w:t>
      </w:r>
      <w:r>
        <w:rPr>
          <w:rFonts w:hint="eastAsia" w:ascii="宋体" w:hAnsi="宋体" w:eastAsia="宋体" w:cs="宋体"/>
          <w:color w:val="000000" w:themeColor="text1"/>
          <w:sz w:val="24"/>
          <w:szCs w:val="24"/>
          <w:highlight w:val="none"/>
          <w14:textFill>
            <w14:solidFill>
              <w14:schemeClr w14:val="tx1"/>
            </w14:solidFill>
          </w14:textFill>
        </w:rPr>
        <w:t>（以下简称项目）招标公开、公平</w:t>
      </w:r>
      <w:r>
        <w:rPr>
          <w:rFonts w:hint="eastAsia" w:ascii="宋体" w:hAnsi="宋体" w:eastAsia="宋体"/>
          <w:color w:val="000000" w:themeColor="text1"/>
          <w:sz w:val="24"/>
          <w:szCs w:val="24"/>
          <w:highlight w:val="none"/>
          <w14:textFill>
            <w14:solidFill>
              <w14:schemeClr w14:val="tx1"/>
            </w14:solidFill>
          </w14:textFill>
        </w:rPr>
        <w:t>、公正的基础上，结合项目需求，由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新疆国腾工程项目管理咨询有限公司</w:t>
      </w:r>
      <w:r>
        <w:rPr>
          <w:rFonts w:hint="eastAsia" w:ascii="宋体" w:hAnsi="宋体" w:eastAsia="宋体"/>
          <w:color w:val="000000" w:themeColor="text1"/>
          <w:sz w:val="24"/>
          <w:szCs w:val="24"/>
          <w:highlight w:val="none"/>
          <w14:textFill>
            <w14:solidFill>
              <w14:schemeClr w14:val="tx1"/>
            </w14:solidFill>
          </w14:textFill>
        </w:rPr>
        <w:t>制定本评标文件，评标委员会确认。内容包括本次评标的评审过程和方法。</w:t>
      </w:r>
    </w:p>
    <w:p w14:paraId="533D9028">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1.2 定义</w:t>
      </w:r>
    </w:p>
    <w:p w14:paraId="725719D9">
      <w:pPr>
        <w:pStyle w:val="5"/>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招标人</w:t>
      </w:r>
      <w:r>
        <w:rPr>
          <w:rFonts w:hint="eastAsia" w:ascii="宋体" w:hAnsi="宋体" w:eastAsia="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14:textFill>
            <w14:solidFill>
              <w14:schemeClr w14:val="tx1"/>
            </w14:solidFill>
          </w14:textFill>
        </w:rPr>
        <w:t>指</w:t>
      </w:r>
      <w:r>
        <w:rPr>
          <w:rFonts w:hint="eastAsia" w:ascii="宋体" w:hAnsi="宋体" w:eastAsia="宋体" w:cs="宋体"/>
          <w:color w:val="000000" w:themeColor="text1"/>
          <w:sz w:val="24"/>
          <w:szCs w:val="24"/>
          <w:highlight w:val="none"/>
          <w:lang w:eastAsia="zh-CN"/>
          <w14:textFill>
            <w14:solidFill>
              <w14:schemeClr w14:val="tx1"/>
            </w14:solidFill>
          </w14:textFill>
        </w:rPr>
        <w:t>库尔勒市自然资源局</w:t>
      </w:r>
      <w:r>
        <w:rPr>
          <w:rFonts w:hint="eastAsia" w:ascii="宋体" w:hAnsi="宋体" w:eastAsia="宋体" w:cs="宋体"/>
          <w:color w:val="000000" w:themeColor="text1"/>
          <w:sz w:val="24"/>
          <w:szCs w:val="24"/>
          <w:highlight w:val="none"/>
          <w14:textFill>
            <w14:solidFill>
              <w14:schemeClr w14:val="tx1"/>
            </w14:solidFill>
          </w14:textFill>
        </w:rPr>
        <w:t>。</w:t>
      </w:r>
    </w:p>
    <w:p w14:paraId="099D634B">
      <w:pPr>
        <w:pStyle w:val="5"/>
        <w:spacing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采购代理机构：系指</w:t>
      </w:r>
      <w:r>
        <w:rPr>
          <w:rFonts w:hint="eastAsia" w:ascii="宋体" w:hAnsi="宋体" w:eastAsia="宋体" w:cs="宋体"/>
          <w:color w:val="000000" w:themeColor="text1"/>
          <w:sz w:val="24"/>
          <w:szCs w:val="24"/>
          <w:highlight w:val="none"/>
          <w:lang w:eastAsia="zh-CN"/>
          <w14:textFill>
            <w14:solidFill>
              <w14:schemeClr w14:val="tx1"/>
            </w14:solidFill>
          </w14:textFill>
        </w:rPr>
        <w:t>新疆国腾工程项目管理咨询有限公司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777276DF">
      <w:pPr>
        <w:pStyle w:val="4"/>
        <w:spacing w:before="0" w:beforeLines="0" w:beforeAutospacing="0" w:after="0" w:afterLines="0" w:afterAutospacing="0"/>
        <w:rPr>
          <w:color w:val="000000" w:themeColor="text1"/>
          <w:sz w:val="28"/>
          <w:szCs w:val="28"/>
          <w:highlight w:val="none"/>
          <w14:textFill>
            <w14:solidFill>
              <w14:schemeClr w14:val="tx1"/>
            </w14:solidFill>
          </w14:textFill>
        </w:rPr>
      </w:pPr>
      <w:bookmarkStart w:id="221" w:name="_Toc487044256"/>
      <w:bookmarkStart w:id="222" w:name="_Toc23987"/>
      <w:bookmarkStart w:id="223" w:name="_Toc486969383"/>
      <w:bookmarkStart w:id="224" w:name="_Toc458635600"/>
      <w:bookmarkStart w:id="225" w:name="_Toc522529809"/>
      <w:bookmarkStart w:id="226" w:name="_Toc439513165"/>
      <w:bookmarkStart w:id="227" w:name="_Toc9612855"/>
      <w:bookmarkStart w:id="228" w:name="_Toc439679272"/>
      <w:bookmarkStart w:id="229" w:name="_Toc470184445"/>
      <w:bookmarkStart w:id="230" w:name="_Toc9864091"/>
      <w:bookmarkStart w:id="231" w:name="_Toc418023337"/>
      <w:bookmarkStart w:id="232" w:name="_Toc524517866"/>
      <w:bookmarkStart w:id="233" w:name="_Toc514177057"/>
      <w:bookmarkStart w:id="234" w:name="_Toc498899387"/>
      <w:bookmarkStart w:id="235" w:name="_Toc524368794"/>
      <w:bookmarkStart w:id="236" w:name="_Toc273342936"/>
      <w:bookmarkStart w:id="237" w:name="_Toc438722134"/>
      <w:bookmarkStart w:id="238" w:name="_Toc10446423"/>
      <w:bookmarkStart w:id="239" w:name="_Toc479325596"/>
      <w:bookmarkStart w:id="240" w:name="_Toc422865425"/>
      <w:bookmarkStart w:id="241" w:name="_Toc11931289"/>
      <w:bookmarkStart w:id="242" w:name="_Toc458980397"/>
      <w:bookmarkStart w:id="243" w:name="_Toc29694"/>
      <w:bookmarkStart w:id="244" w:name="_Toc438508601"/>
      <w:bookmarkStart w:id="245" w:name="_Toc479340793"/>
      <w:bookmarkStart w:id="246" w:name="_Toc358307752"/>
      <w:bookmarkStart w:id="247" w:name="_Toc369081823"/>
      <w:bookmarkStart w:id="248" w:name="_Toc11944596"/>
      <w:bookmarkStart w:id="249" w:name="_Toc438513738"/>
      <w:bookmarkStart w:id="250" w:name="_Toc509337170"/>
      <w:bookmarkStart w:id="251" w:name="_Toc498871255"/>
      <w:bookmarkStart w:id="252" w:name="_Toc509337055"/>
      <w:bookmarkStart w:id="253" w:name="_Toc523170346"/>
      <w:bookmarkStart w:id="254" w:name="_Toc5124213"/>
      <w:bookmarkStart w:id="255" w:name="_Toc422161996"/>
      <w:bookmarkStart w:id="256" w:name="_Toc414510784"/>
      <w:bookmarkStart w:id="257" w:name="_Toc416208490"/>
      <w:bookmarkStart w:id="258" w:name="_Toc494832091"/>
      <w:bookmarkStart w:id="259" w:name="_Toc425347666"/>
      <w:bookmarkStart w:id="260" w:name="_Toc477879844"/>
      <w:bookmarkStart w:id="261" w:name="_Toc439513449"/>
      <w:r>
        <w:rPr>
          <w:rFonts w:hint="eastAsia"/>
          <w:color w:val="000000" w:themeColor="text1"/>
          <w:sz w:val="28"/>
          <w:szCs w:val="28"/>
          <w:highlight w:val="none"/>
          <w14:textFill>
            <w14:solidFill>
              <w14:schemeClr w14:val="tx1"/>
            </w14:solidFill>
          </w14:textFill>
        </w:rPr>
        <w:t>2、评标须知</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8F970E4">
      <w:pPr>
        <w:pStyle w:val="5"/>
        <w:spacing w:beforeAutospacing="0"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2.1 关于评标方案</w:t>
      </w:r>
    </w:p>
    <w:p w14:paraId="2E30B39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（1）评标委员会的每位成员（简称评委）应认真地阅读并确认已经正确理解了评标方案；</w:t>
      </w:r>
    </w:p>
    <w:p w14:paraId="2A6C5B2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（2）评委如对评标方案有异议，应在评标开始前提出。</w:t>
      </w:r>
    </w:p>
    <w:p w14:paraId="5692AEB4">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2.2 关于评标纪律</w:t>
      </w:r>
    </w:p>
    <w:p w14:paraId="43F7BECB">
      <w:pPr>
        <w:spacing w:line="360" w:lineRule="auto"/>
        <w:ind w:left="648" w:right="-113" w:rightChars="-54" w:hanging="648" w:hangingChars="27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（1）评标委员会成员不得与任何</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或者与招标结果有利害关系的人进行私下接触，不得收受</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、中介人、其他利害关系人的财物或者其他好处；</w:t>
      </w:r>
    </w:p>
    <w:p w14:paraId="241FB904">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（2）评委应本着客观、公正的原则独立给出评价意见；</w:t>
      </w:r>
    </w:p>
    <w:p w14:paraId="2EB8CCCC">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（3）评委之间不得相互串通进行评分；</w:t>
      </w:r>
    </w:p>
    <w:p w14:paraId="1346880E">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（4）评委不得试图影响其他评委的评价意见；</w:t>
      </w:r>
    </w:p>
    <w:p w14:paraId="574C3A6D">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（5）评委应关闭通讯工具或设置为震动状态，统一交由工作人员保管。</w:t>
      </w:r>
    </w:p>
    <w:p w14:paraId="31375FA4">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2.3 关于评标责任</w:t>
      </w:r>
    </w:p>
    <w:p w14:paraId="07399323">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（1）评委应在其书面评审意见上签字确认；</w:t>
      </w:r>
    </w:p>
    <w:p w14:paraId="02D5789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（2）评委对其所提出的评审意见承担个人责任。</w:t>
      </w:r>
    </w:p>
    <w:p w14:paraId="435038D8">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2.4 关于回避</w:t>
      </w:r>
    </w:p>
    <w:p w14:paraId="3B7953C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有下列情形之一的，不得担任评标委员会成员，如事先不知情的，应在宣读</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名单及评标纪律后主动提出回避：</w:t>
      </w:r>
    </w:p>
    <w:p w14:paraId="759E3984">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（1）是</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或者</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主要负责人的近亲属；</w:t>
      </w:r>
    </w:p>
    <w:p w14:paraId="5F1EC747">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（2）与</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有经济利益关系，可能影响对投标公正评审的；</w:t>
      </w:r>
    </w:p>
    <w:p w14:paraId="71889BE8">
      <w:pPr>
        <w:spacing w:line="360" w:lineRule="auto"/>
        <w:ind w:left="600" w:hanging="600" w:hangingChars="2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（3）曾因在招标、评标以及其他与招标投标有关活动中从事违法行为而受过行政处罚或刑事处罚的。</w:t>
      </w:r>
    </w:p>
    <w:p w14:paraId="101F98EA">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2.5 关于保密</w:t>
      </w:r>
    </w:p>
    <w:p w14:paraId="54E9002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评标委员会成员和与评标活动有关的工作人员不得透露对</w:t>
      </w:r>
      <w:r>
        <w:rPr>
          <w:rFonts w:hint="eastAsia" w:ascii="宋体" w:hAnsi="宋体"/>
          <w:color w:val="000000" w:themeColor="text1"/>
          <w:sz w:val="24"/>
          <w:szCs w:val="24"/>
          <w:highlight w:val="none"/>
          <w:lang w:eastAsia="zh-CN"/>
          <w14:textFill>
            <w14:solidFill>
              <w14:schemeClr w14:val="tx1"/>
            </w14:solidFill>
          </w14:textFill>
        </w:rPr>
        <w:t>响应文件</w:t>
      </w:r>
      <w:r>
        <w:rPr>
          <w:rFonts w:hint="eastAsia" w:ascii="宋体" w:hAnsi="宋体"/>
          <w:color w:val="000000" w:themeColor="text1"/>
          <w:sz w:val="24"/>
          <w:szCs w:val="24"/>
          <w:highlight w:val="none"/>
          <w14:textFill>
            <w14:solidFill>
              <w14:schemeClr w14:val="tx1"/>
            </w14:solidFill>
          </w14:textFill>
        </w:rPr>
        <w:t>的评审和比较、中标候选人的推荐情况以及评标有关的其他情况。</w:t>
      </w:r>
    </w:p>
    <w:p w14:paraId="35279AD8">
      <w:pPr>
        <w:pStyle w:val="13"/>
        <w:spacing w:line="360" w:lineRule="auto"/>
        <w:ind w:firstLine="480" w:firstLineChars="200"/>
        <w:rPr>
          <w:rFonts w:ascii="宋体" w:hAnsi="宋体" w:eastAsia="宋体"/>
          <w:b w:val="0"/>
          <w:bCs/>
          <w:color w:val="000000" w:themeColor="text1"/>
          <w:sz w:val="24"/>
          <w:szCs w:val="24"/>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前款所称与评标活动有关的工作人员，是指评标委员会成员以外的因参与评标监督工作或者事务性工作而知悉有关评标情况的所有人员。</w:t>
      </w:r>
    </w:p>
    <w:p w14:paraId="205CAE06">
      <w:pPr>
        <w:pStyle w:val="5"/>
        <w:spacing w:line="360" w:lineRule="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2.6</w:t>
      </w:r>
      <w:r>
        <w:rPr>
          <w:rFonts w:hint="eastAsia" w:ascii="宋体" w:hAnsi="宋体" w:eastAsia="宋体"/>
          <w:b/>
          <w:bCs/>
          <w:color w:val="000000" w:themeColor="text1"/>
          <w:sz w:val="24"/>
          <w:szCs w:val="24"/>
          <w:highlight w:val="none"/>
          <w:lang w:eastAsia="zh-CN"/>
          <w14:textFill>
            <w14:solidFill>
              <w14:schemeClr w14:val="tx1"/>
            </w14:solidFill>
          </w14:textFill>
        </w:rPr>
        <w:t>响应文件</w:t>
      </w:r>
      <w:r>
        <w:rPr>
          <w:rFonts w:hint="eastAsia" w:ascii="宋体" w:hAnsi="宋体" w:eastAsia="宋体"/>
          <w:b/>
          <w:bCs/>
          <w:color w:val="000000" w:themeColor="text1"/>
          <w:sz w:val="24"/>
          <w:szCs w:val="24"/>
          <w:highlight w:val="none"/>
          <w14:textFill>
            <w14:solidFill>
              <w14:schemeClr w14:val="tx1"/>
            </w14:solidFill>
          </w14:textFill>
        </w:rPr>
        <w:t>的澄清</w:t>
      </w:r>
    </w:p>
    <w:p w14:paraId="25ABD5B0">
      <w:pPr>
        <w:spacing w:line="360" w:lineRule="auto"/>
        <w:ind w:left="629" w:hanging="628" w:hangingChars="26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（1）除评标委员会主动要求澄清外，从开标后至授予合同期间，任何</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均不得就与其投标相关的任何问题与评标委员会联系。在评标过程中，如果</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试图在</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审查、澄清、比较及授予合同方面向</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施加任何影响，其投标将被拒绝。</w:t>
      </w:r>
    </w:p>
    <w:p w14:paraId="274C31FA">
      <w:pPr>
        <w:spacing w:afterAutospacing="0" w:line="360" w:lineRule="auto"/>
        <w:ind w:left="629" w:hanging="628" w:hangingChars="26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（2）评标委员会可以书面方式要求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中含义不明确、对同类问题表述不一致或者有明显文字和计算错误的内容作必要的澄清、说明或者补正。澄清、说明或者补正应以书面方式进行并不得超出</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的范围或者改变</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的实质性内容。以书面形式表达并加盖公章的答复经评标委员会认可后，可作为</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的一部分参与评标。</w:t>
      </w:r>
    </w:p>
    <w:p w14:paraId="4855CAB0">
      <w:pPr>
        <w:pStyle w:val="4"/>
        <w:spacing w:before="0" w:beforeLines="0" w:beforeAutospacing="0" w:after="0" w:afterLines="0" w:afterAutospacing="0"/>
        <w:rPr>
          <w:color w:val="000000" w:themeColor="text1"/>
          <w:sz w:val="28"/>
          <w:szCs w:val="28"/>
          <w:highlight w:val="none"/>
          <w14:textFill>
            <w14:solidFill>
              <w14:schemeClr w14:val="tx1"/>
            </w14:solidFill>
          </w14:textFill>
        </w:rPr>
      </w:pPr>
      <w:bookmarkStart w:id="262" w:name="_Toc522529810"/>
      <w:bookmarkStart w:id="263" w:name="_Toc11944597"/>
      <w:bookmarkStart w:id="264" w:name="_Toc11931290"/>
      <w:bookmarkStart w:id="265" w:name="_Toc498871256"/>
      <w:bookmarkStart w:id="266" w:name="_Toc5124214"/>
      <w:bookmarkStart w:id="267" w:name="_Toc458635601"/>
      <w:bookmarkStart w:id="268" w:name="_Toc418023338"/>
      <w:bookmarkStart w:id="269" w:name="_Toc5059"/>
      <w:bookmarkStart w:id="270" w:name="_Toc9864092"/>
      <w:bookmarkStart w:id="271" w:name="_Toc416208491"/>
      <w:bookmarkStart w:id="272" w:name="_Toc486969384"/>
      <w:bookmarkStart w:id="273" w:name="_Toc494832092"/>
      <w:bookmarkStart w:id="274" w:name="_Toc438508602"/>
      <w:bookmarkStart w:id="275" w:name="_Toc509337056"/>
      <w:bookmarkStart w:id="276" w:name="_Toc24194"/>
      <w:bookmarkStart w:id="277" w:name="_Toc523170347"/>
      <w:bookmarkStart w:id="278" w:name="_Toc524517867"/>
      <w:bookmarkStart w:id="279" w:name="_Toc458980398"/>
      <w:bookmarkStart w:id="280" w:name="_Toc439513166"/>
      <w:bookmarkStart w:id="281" w:name="_Toc439679273"/>
      <w:bookmarkStart w:id="282" w:name="_Toc470184446"/>
      <w:bookmarkStart w:id="283" w:name="_Toc498899388"/>
      <w:bookmarkStart w:id="284" w:name="_Toc438722135"/>
      <w:bookmarkStart w:id="285" w:name="_Toc10446424"/>
      <w:bookmarkStart w:id="286" w:name="_Toc487044257"/>
      <w:bookmarkStart w:id="287" w:name="_Toc425347667"/>
      <w:bookmarkStart w:id="288" w:name="_Toc439513450"/>
      <w:bookmarkStart w:id="289" w:name="_Toc422865426"/>
      <w:bookmarkStart w:id="290" w:name="_Toc438513739"/>
      <w:bookmarkStart w:id="291" w:name="_Toc479340794"/>
      <w:bookmarkStart w:id="292" w:name="_Toc9612856"/>
      <w:bookmarkStart w:id="293" w:name="_Toc524368795"/>
      <w:bookmarkStart w:id="294" w:name="_Toc514177058"/>
      <w:bookmarkStart w:id="295" w:name="_Toc422161997"/>
      <w:bookmarkStart w:id="296" w:name="_Toc477879845"/>
      <w:bookmarkStart w:id="297" w:name="_Toc479325597"/>
      <w:bookmarkStart w:id="298" w:name="_Toc414510785"/>
      <w:bookmarkStart w:id="299" w:name="_Toc509337171"/>
      <w:r>
        <w:rPr>
          <w:rFonts w:hint="eastAsia"/>
          <w:color w:val="000000" w:themeColor="text1"/>
          <w:sz w:val="28"/>
          <w:szCs w:val="28"/>
          <w:highlight w:val="none"/>
          <w14:textFill>
            <w14:solidFill>
              <w14:schemeClr w14:val="tx1"/>
            </w14:solidFill>
          </w14:textFill>
        </w:rPr>
        <w:t>3、评标委员会</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6D9BB8C">
      <w:pPr>
        <w:spacing w:beforeAutospacing="0" w:line="360" w:lineRule="auto"/>
        <w:ind w:left="631" w:hanging="631" w:hangingChars="26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（1）依法组建评标委员会。评标委员会由</w:t>
      </w:r>
      <w:r>
        <w:rPr>
          <w:rFonts w:hint="eastAsia" w:ascii="宋体" w:hAnsi="宋体"/>
          <w:color w:val="000000" w:themeColor="text1"/>
          <w:sz w:val="24"/>
          <w:highlight w:val="none"/>
          <w:lang w:val="en-US" w:eastAsia="zh-CN"/>
          <w14:textFill>
            <w14:solidFill>
              <w14:schemeClr w14:val="tx1"/>
            </w14:solidFill>
          </w14:textFill>
        </w:rPr>
        <w:t>五人</w:t>
      </w:r>
      <w:r>
        <w:rPr>
          <w:rFonts w:hint="eastAsia" w:ascii="宋体" w:hAnsi="宋体"/>
          <w:color w:val="000000" w:themeColor="text1"/>
          <w:sz w:val="24"/>
          <w:highlight w:val="none"/>
          <w14:textFill>
            <w14:solidFill>
              <w14:schemeClr w14:val="tx1"/>
            </w14:solidFill>
          </w14:textFill>
        </w:rPr>
        <w:t>单数组成，由</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的代表和从</w:t>
      </w:r>
      <w:r>
        <w:rPr>
          <w:rFonts w:hint="eastAsia" w:ascii="宋体" w:hAnsi="宋体" w:eastAsia="宋体" w:cs="宋体"/>
          <w:color w:val="000000" w:themeColor="text1"/>
          <w:sz w:val="24"/>
          <w:highlight w:val="none"/>
          <w:lang w:eastAsia="zh-CN"/>
          <w14:textFill>
            <w14:solidFill>
              <w14:schemeClr w14:val="tx1"/>
            </w14:solidFill>
          </w14:textFill>
        </w:rPr>
        <w:t>新疆维吾尔自治区政府采购专家库巴州分库</w:t>
      </w:r>
      <w:r>
        <w:rPr>
          <w:rFonts w:hint="eastAsia" w:ascii="宋体" w:hAnsi="宋体"/>
          <w:color w:val="000000" w:themeColor="text1"/>
          <w:sz w:val="24"/>
          <w:highlight w:val="none"/>
          <w14:textFill>
            <w14:solidFill>
              <w14:schemeClr w14:val="tx1"/>
            </w14:solidFill>
          </w14:textFill>
        </w:rPr>
        <w:t>随机抽取的专家组成，如</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不派代表评审，则评委会全部由专家组成。评委会将本着公平、公正、科学、择优的原则，严格按照法律法规和</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设定的程序和规则推荐评审结果，任何单位和个人不得非法干预或者影响评标过程和结果。</w:t>
      </w:r>
    </w:p>
    <w:p w14:paraId="63021947">
      <w:pPr>
        <w:spacing w:afterAutospacing="0" w:line="360" w:lineRule="auto"/>
        <w:ind w:left="630" w:right="17" w:rightChars="8" w:hanging="63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（2）评标委员会将只对确定为实质上响应</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要求的投标，即通过审查符合性的投标进行评价和比较，响应的依据是</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本身的内容，而不寻求其它证据。实质上响应的投标应该是与</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要求的全部主要条款、条件和规格相符，没有重大偏离的投标。</w:t>
      </w:r>
    </w:p>
    <w:p w14:paraId="281C83FF">
      <w:pPr>
        <w:pStyle w:val="4"/>
        <w:spacing w:before="0" w:beforeLines="0" w:beforeAutospacing="0" w:after="0" w:afterLines="0" w:afterAutospacing="0"/>
        <w:rPr>
          <w:color w:val="000000" w:themeColor="text1"/>
          <w:sz w:val="28"/>
          <w:szCs w:val="28"/>
          <w:highlight w:val="none"/>
          <w14:textFill>
            <w14:solidFill>
              <w14:schemeClr w14:val="tx1"/>
            </w14:solidFill>
          </w14:textFill>
        </w:rPr>
      </w:pPr>
      <w:bookmarkStart w:id="300" w:name="_Toc514177059"/>
      <w:bookmarkStart w:id="301" w:name="_Toc418023339"/>
      <w:bookmarkStart w:id="302" w:name="_Toc509337172"/>
      <w:bookmarkStart w:id="303" w:name="_Toc522529811"/>
      <w:bookmarkStart w:id="304" w:name="_Toc439513167"/>
      <w:bookmarkStart w:id="305" w:name="_Toc523170348"/>
      <w:bookmarkStart w:id="306" w:name="_Toc358307753"/>
      <w:bookmarkStart w:id="307" w:name="_Toc509337057"/>
      <w:bookmarkStart w:id="308" w:name="_Toc414510786"/>
      <w:bookmarkStart w:id="309" w:name="_Toc439513451"/>
      <w:bookmarkStart w:id="310" w:name="_Toc458635602"/>
      <w:bookmarkStart w:id="311" w:name="_Toc524517868"/>
      <w:bookmarkStart w:id="312" w:name="_Toc470184447"/>
      <w:bookmarkStart w:id="313" w:name="_Toc23199"/>
      <w:bookmarkStart w:id="314" w:name="_Toc369081824"/>
      <w:bookmarkStart w:id="315" w:name="_Toc524368796"/>
      <w:bookmarkStart w:id="316" w:name="_Toc487044258"/>
      <w:bookmarkStart w:id="317" w:name="_Toc9864093"/>
      <w:bookmarkStart w:id="318" w:name="_Toc5124215"/>
      <w:bookmarkStart w:id="319" w:name="_Toc479340795"/>
      <w:bookmarkStart w:id="320" w:name="_Toc498871257"/>
      <w:bookmarkStart w:id="321" w:name="_Toc458980399"/>
      <w:bookmarkStart w:id="322" w:name="_Toc486969385"/>
      <w:bookmarkStart w:id="323" w:name="_Toc425347668"/>
      <w:bookmarkStart w:id="324" w:name="_Toc416208492"/>
      <w:bookmarkStart w:id="325" w:name="_Toc439679274"/>
      <w:bookmarkStart w:id="326" w:name="_Toc438513740"/>
      <w:bookmarkStart w:id="327" w:name="_Toc9612857"/>
      <w:bookmarkStart w:id="328" w:name="_Toc438722136"/>
      <w:bookmarkStart w:id="329" w:name="_Toc422161998"/>
      <w:bookmarkStart w:id="330" w:name="_Toc498899389"/>
      <w:bookmarkStart w:id="331" w:name="_Toc11931291"/>
      <w:bookmarkStart w:id="332" w:name="_Toc273342937"/>
      <w:bookmarkStart w:id="333" w:name="_Toc438508603"/>
      <w:bookmarkStart w:id="334" w:name="_Toc479325598"/>
      <w:bookmarkStart w:id="335" w:name="_Toc29819"/>
      <w:bookmarkStart w:id="336" w:name="_Toc11944598"/>
      <w:bookmarkStart w:id="337" w:name="_Toc422865427"/>
      <w:bookmarkStart w:id="338" w:name="_Toc10446425"/>
      <w:bookmarkStart w:id="339" w:name="_Toc494832093"/>
      <w:bookmarkStart w:id="340" w:name="_Toc477879846"/>
      <w:r>
        <w:rPr>
          <w:rFonts w:hint="eastAsia"/>
          <w:color w:val="000000" w:themeColor="text1"/>
          <w:sz w:val="28"/>
          <w:szCs w:val="28"/>
          <w:highlight w:val="none"/>
          <w14:textFill>
            <w14:solidFill>
              <w14:schemeClr w14:val="tx1"/>
            </w14:solidFill>
          </w14:textFill>
        </w:rPr>
        <w:t>4、评标原则</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BBCF7DF">
      <w:pPr>
        <w:spacing w:beforeAutospacing="0" w:line="360" w:lineRule="auto"/>
        <w:ind w:left="734" w:hanging="734" w:hangingChars="30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4.1.1 评标工作应依据《中华人民共和国政府采购法》以及《评标委员会和评标方法暂行规定》和地方政府关于政府采购的有关规定，遵循“公平、公正、科学、择优”的原则。</w:t>
      </w:r>
    </w:p>
    <w:p w14:paraId="6F8C8E54">
      <w:pPr>
        <w:spacing w:line="360" w:lineRule="auto"/>
        <w:ind w:left="734" w:hanging="734" w:hangingChars="30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4.1.2 确定中标人的评标准则是：能够最大限度满足</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中规定的各项综合评价标准。评标委员会没有义务必须接受最低报价的投标。</w:t>
      </w:r>
    </w:p>
    <w:p w14:paraId="7026A306">
      <w:pPr>
        <w:spacing w:afterAutospacing="0" w:line="360" w:lineRule="auto"/>
        <w:ind w:left="734" w:leftChars="-1" w:hanging="736" w:hangingChars="30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4.1.3 评标委员会有权根据有关规定否决所有投标。</w:t>
      </w:r>
    </w:p>
    <w:p w14:paraId="2F092216">
      <w:pPr>
        <w:pStyle w:val="4"/>
        <w:spacing w:before="0" w:beforeLines="0" w:beforeAutospacing="0" w:after="0" w:afterLines="0" w:afterAutospacing="0"/>
        <w:rPr>
          <w:color w:val="000000" w:themeColor="text1"/>
          <w:sz w:val="28"/>
          <w:szCs w:val="28"/>
          <w:highlight w:val="none"/>
          <w14:textFill>
            <w14:solidFill>
              <w14:schemeClr w14:val="tx1"/>
            </w14:solidFill>
          </w14:textFill>
        </w:rPr>
      </w:pPr>
      <w:bookmarkStart w:id="341" w:name="_Toc330545477"/>
      <w:bookmarkStart w:id="342" w:name="_Toc439513452"/>
      <w:bookmarkStart w:id="343" w:name="_Toc369081825"/>
      <w:bookmarkStart w:id="344" w:name="_Toc438513741"/>
      <w:bookmarkStart w:id="345" w:name="_Toc494832094"/>
      <w:bookmarkStart w:id="346" w:name="_Toc9864094"/>
      <w:bookmarkStart w:id="347" w:name="_Toc358307754"/>
      <w:bookmarkStart w:id="348" w:name="_Toc439513168"/>
      <w:bookmarkStart w:id="349" w:name="_Toc272394436"/>
      <w:bookmarkStart w:id="350" w:name="_Toc277154673"/>
      <w:bookmarkStart w:id="351" w:name="_Toc470184448"/>
      <w:bookmarkStart w:id="352" w:name="_Toc61327435"/>
      <w:bookmarkStart w:id="353" w:name="_Toc439679275"/>
      <w:bookmarkStart w:id="354" w:name="_Toc10446426"/>
      <w:bookmarkStart w:id="355" w:name="_Toc109467929"/>
      <w:bookmarkStart w:id="356" w:name="_Toc509337058"/>
      <w:bookmarkStart w:id="357" w:name="_Toc422161999"/>
      <w:bookmarkStart w:id="358" w:name="_Toc486969386"/>
      <w:bookmarkStart w:id="359" w:name="_Toc458980400"/>
      <w:bookmarkStart w:id="360" w:name="_Toc438722137"/>
      <w:bookmarkStart w:id="361" w:name="_Toc11931292"/>
      <w:bookmarkStart w:id="362" w:name="_Toc479325599"/>
      <w:bookmarkStart w:id="363" w:name="_Toc265700488"/>
      <w:bookmarkStart w:id="364" w:name="_Toc524517869"/>
      <w:bookmarkStart w:id="365" w:name="_Toc414510787"/>
      <w:bookmarkStart w:id="366" w:name="_Toc418023340"/>
      <w:bookmarkStart w:id="367" w:name="_Toc15531"/>
      <w:bookmarkStart w:id="368" w:name="_Toc262564643"/>
      <w:bookmarkStart w:id="369" w:name="_Toc458635603"/>
      <w:bookmarkStart w:id="370" w:name="_Toc498871258"/>
      <w:bookmarkStart w:id="371" w:name="_Toc487044259"/>
      <w:bookmarkStart w:id="372" w:name="_Toc116976130"/>
      <w:bookmarkStart w:id="373" w:name="_Toc107385316"/>
      <w:bookmarkStart w:id="374" w:name="_Toc477879847"/>
      <w:bookmarkStart w:id="375" w:name="_Toc5124216"/>
      <w:bookmarkStart w:id="376" w:name="_Toc498899390"/>
      <w:bookmarkStart w:id="377" w:name="_Toc524368797"/>
      <w:bookmarkStart w:id="378" w:name="_Toc116924486"/>
      <w:bookmarkStart w:id="379" w:name="_Toc116981030"/>
      <w:bookmarkStart w:id="380" w:name="_Toc11944599"/>
      <w:bookmarkStart w:id="381" w:name="_Toc267904313"/>
      <w:bookmarkStart w:id="382" w:name="_Toc438508604"/>
      <w:bookmarkStart w:id="383" w:name="_Toc122420764"/>
      <w:bookmarkStart w:id="384" w:name="_Toc9612858"/>
      <w:bookmarkStart w:id="385" w:name="_Toc107460009"/>
      <w:bookmarkStart w:id="386" w:name="_Toc479340796"/>
      <w:bookmarkStart w:id="387" w:name="_Toc514177060"/>
      <w:bookmarkStart w:id="388" w:name="_Toc416208493"/>
      <w:bookmarkStart w:id="389" w:name="_Toc7451"/>
      <w:bookmarkStart w:id="390" w:name="_Toc425347669"/>
      <w:bookmarkStart w:id="391" w:name="_Toc107383644"/>
      <w:bookmarkStart w:id="392" w:name="_Toc422865428"/>
      <w:bookmarkStart w:id="393" w:name="_Toc522529812"/>
      <w:bookmarkStart w:id="394" w:name="_Toc509337173"/>
      <w:bookmarkStart w:id="395" w:name="_Toc523170349"/>
      <w:r>
        <w:rPr>
          <w:rFonts w:hint="eastAsia"/>
          <w:color w:val="000000" w:themeColor="text1"/>
          <w:sz w:val="28"/>
          <w:szCs w:val="28"/>
          <w:highlight w:val="none"/>
          <w14:textFill>
            <w14:solidFill>
              <w14:schemeClr w14:val="tx1"/>
            </w14:solidFill>
          </w14:textFill>
        </w:rPr>
        <w:t>5、评标方法及流程</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44FC06B">
      <w:pPr>
        <w:spacing w:beforeAutospacing="0" w:line="360" w:lineRule="auto"/>
        <w:ind w:left="53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本次招标的评标方法采用综合评分方法。具体方法及流程如下：</w:t>
      </w:r>
    </w:p>
    <w:p w14:paraId="7F8C5AD4">
      <w:pPr>
        <w:spacing w:line="360" w:lineRule="auto"/>
        <w:outlineLvl w:val="3"/>
        <w:rPr>
          <w:b/>
          <w:bCs/>
          <w:color w:val="000000" w:themeColor="text1"/>
          <w:highlight w:val="none"/>
          <w14:textFill>
            <w14:solidFill>
              <w14:schemeClr w14:val="tx1"/>
            </w14:solidFill>
          </w14:textFill>
        </w:rPr>
      </w:pPr>
      <w:bookmarkStart w:id="396" w:name="_Toc61327436"/>
      <w:r>
        <w:rPr>
          <w:rFonts w:hint="eastAsia" w:ascii="宋体" w:hAnsi="宋体"/>
          <w:b/>
          <w:bCs/>
          <w:color w:val="000000" w:themeColor="text1"/>
          <w:sz w:val="24"/>
          <w:highlight w:val="none"/>
          <w14:textFill>
            <w14:solidFill>
              <w14:schemeClr w14:val="tx1"/>
            </w14:solidFill>
          </w14:textFill>
        </w:rPr>
        <w:t>5.1 开标</w:t>
      </w:r>
      <w:bookmarkEnd w:id="396"/>
    </w:p>
    <w:p w14:paraId="0FE8944A">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bookmarkStart w:id="397" w:name="_Toc61327437"/>
      <w:r>
        <w:rPr>
          <w:rFonts w:hint="eastAsia" w:ascii="宋体" w:hAnsi="宋体"/>
          <w:color w:val="000000" w:themeColor="text1"/>
          <w:sz w:val="24"/>
          <w:highlight w:val="none"/>
          <w14:textFill>
            <w14:solidFill>
              <w14:schemeClr w14:val="tx1"/>
            </w14:solidFill>
          </w14:textFill>
        </w:rPr>
        <w:t>5.1.1开标在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确定的提交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截止时间的同一时间公开进行，开标地点为</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预先确定的地点。</w:t>
      </w:r>
    </w:p>
    <w:p w14:paraId="26DFD96E">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.2.在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的截止时间前收到的所有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，开标时须</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及时解密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。当</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少于三家时，则招标失败，采购代理机构将重新招标。</w:t>
      </w:r>
    </w:p>
    <w:p w14:paraId="2961D595">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5.1.3.参与本次采购活动的各个</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需提前自行配置好硬件</w:t>
      </w: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（电脑、摄像头、麦克风、谷歌浏览器、政采云招投标系统），登录政采云平台做好准备，并确保</w:t>
      </w: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正常。项目到达开标时间，</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等待代理机构开启解密标书后，</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进行标书解密。</w:t>
      </w:r>
    </w:p>
    <w:p w14:paraId="0FB9AD60">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5.1.4.开标会主持人介绍参加会议的人员。</w:t>
      </w:r>
    </w:p>
    <w:p w14:paraId="0FF07038">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5.1.5.</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进入项目即自行签到。</w:t>
      </w:r>
    </w:p>
    <w:p w14:paraId="0A590065">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5.1.6.开标会主持人宣布</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上传时间和地点是否符合</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w:t>
      </w:r>
    </w:p>
    <w:p w14:paraId="0128EEBA">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5.1.7.开标会主持人开启报价文件，宣布</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中的投标报价、</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期、质量等级等内容。</w:t>
      </w:r>
    </w:p>
    <w:p w14:paraId="6A4E57FE">
      <w:pPr>
        <w:tabs>
          <w:tab w:val="left" w:pos="735"/>
          <w:tab w:val="left" w:pos="1571"/>
        </w:tabs>
        <w:spacing w:line="360" w:lineRule="auto"/>
        <w:ind w:left="734" w:right="-120" w:hanging="734" w:hangingChars="30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5.1.8.</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对开标报价记录表确认无误后</w:t>
      </w:r>
      <w:r>
        <w:rPr>
          <w:rFonts w:hint="eastAsia" w:ascii="宋体" w:hAnsi="宋体"/>
          <w:color w:val="000000" w:themeColor="text1"/>
          <w:sz w:val="24"/>
          <w:highlight w:val="none"/>
          <w:lang w:eastAsia="zh-CN"/>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代理机构开启报价签字时段后30分钟内进行CA签字确认，30分钟后关闭报价签字确认，</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在此期间未进行CA签字确认的视为默认此报价。</w:t>
      </w:r>
    </w:p>
    <w:p w14:paraId="003D2C62">
      <w:pPr>
        <w:tabs>
          <w:tab w:val="left" w:pos="735"/>
          <w:tab w:val="left" w:pos="1571"/>
        </w:tabs>
        <w:spacing w:line="360" w:lineRule="auto"/>
        <w:ind w:left="734" w:right="-120" w:hanging="734" w:hangingChars="306"/>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5.1.9.进入评标阶段。</w:t>
      </w:r>
    </w:p>
    <w:p w14:paraId="77630569">
      <w:pPr>
        <w:spacing w:line="360" w:lineRule="auto"/>
        <w:outlineLvl w:val="3"/>
        <w:rPr>
          <w:b/>
          <w:bCs/>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5.2评标</w:t>
      </w:r>
      <w:bookmarkEnd w:id="397"/>
    </w:p>
    <w:p w14:paraId="43F6C2BB">
      <w:pPr>
        <w:spacing w:line="360" w:lineRule="auto"/>
        <w:ind w:firstLine="480" w:firstLineChars="200"/>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w:t>
      </w:r>
      <w:r>
        <w:rPr>
          <w:rFonts w:hint="eastAsia" w:ascii="宋体" w:hAnsi="宋体"/>
          <w:color w:val="000000" w:themeColor="text1"/>
          <w:sz w:val="24"/>
          <w:highlight w:val="none"/>
          <w:lang w:eastAsia="zh-CN"/>
          <w14:textFill>
            <w14:solidFill>
              <w14:schemeClr w14:val="tx1"/>
            </w14:solidFill>
          </w14:textFill>
        </w:rPr>
        <w:t>依次</w:t>
      </w:r>
      <w:r>
        <w:rPr>
          <w:rFonts w:hint="eastAsia" w:ascii="宋体" w:hAnsi="宋体"/>
          <w:color w:val="000000" w:themeColor="text1"/>
          <w:sz w:val="24"/>
          <w:szCs w:val="22"/>
          <w:highlight w:val="none"/>
          <w14:textFill>
            <w14:solidFill>
              <w14:schemeClr w14:val="tx1"/>
            </w14:solidFill>
          </w14:textFill>
        </w:rPr>
        <w:t>进行：</w:t>
      </w:r>
      <w:r>
        <w:rPr>
          <w:rFonts w:hint="eastAsia" w:ascii="宋体" w:hAnsi="宋体"/>
          <w:color w:val="000000" w:themeColor="text1"/>
          <w:sz w:val="24"/>
          <w:szCs w:val="22"/>
          <w:highlight w:val="none"/>
          <w:lang w:eastAsia="zh-CN"/>
          <w14:textFill>
            <w14:solidFill>
              <w14:schemeClr w14:val="tx1"/>
            </w14:solidFill>
          </w14:textFill>
        </w:rPr>
        <w:t>响应文件</w:t>
      </w:r>
      <w:r>
        <w:rPr>
          <w:rFonts w:hint="eastAsia" w:ascii="宋体" w:hAnsi="宋体"/>
          <w:color w:val="000000" w:themeColor="text1"/>
          <w:sz w:val="24"/>
          <w:szCs w:val="22"/>
          <w:highlight w:val="none"/>
          <w14:textFill>
            <w14:solidFill>
              <w14:schemeClr w14:val="tx1"/>
            </w14:solidFill>
          </w14:textFill>
        </w:rPr>
        <w:t>资格性审查、符合性审查</w:t>
      </w:r>
      <w:r>
        <w:rPr>
          <w:rFonts w:hint="eastAsia" w:ascii="宋体" w:hAnsi="宋体"/>
          <w:color w:val="000000" w:themeColor="text1"/>
          <w:sz w:val="24"/>
          <w:szCs w:val="22"/>
          <w:highlight w:val="none"/>
          <w:lang w:eastAsia="zh-CN"/>
          <w14:textFill>
            <w14:solidFill>
              <w14:schemeClr w14:val="tx1"/>
            </w14:solidFill>
          </w14:textFill>
        </w:rPr>
        <w:t>、响应文件</w:t>
      </w:r>
      <w:r>
        <w:rPr>
          <w:rFonts w:hint="eastAsia" w:ascii="宋体" w:hAnsi="宋体"/>
          <w:color w:val="000000" w:themeColor="text1"/>
          <w:sz w:val="24"/>
          <w:szCs w:val="22"/>
          <w:highlight w:val="none"/>
          <w14:textFill>
            <w14:solidFill>
              <w14:schemeClr w14:val="tx1"/>
            </w14:solidFill>
          </w14:textFill>
        </w:rPr>
        <w:t>详细评审</w:t>
      </w:r>
      <w:r>
        <w:rPr>
          <w:rFonts w:hint="eastAsia" w:ascii="宋体" w:hAnsi="宋体"/>
          <w:color w:val="000000" w:themeColor="text1"/>
          <w:sz w:val="24"/>
          <w:szCs w:val="22"/>
          <w:highlight w:val="none"/>
          <w:lang w:eastAsia="zh-CN"/>
          <w14:textFill>
            <w14:solidFill>
              <w14:schemeClr w14:val="tx1"/>
            </w14:solidFill>
          </w14:textFill>
        </w:rPr>
        <w:t>（商务与技术评审）和报价评审</w:t>
      </w:r>
      <w:r>
        <w:rPr>
          <w:rFonts w:hint="eastAsia" w:ascii="宋体" w:hAnsi="宋体"/>
          <w:color w:val="000000" w:themeColor="text1"/>
          <w:sz w:val="24"/>
          <w:szCs w:val="22"/>
          <w:highlight w:val="none"/>
          <w14:textFill>
            <w14:solidFill>
              <w14:schemeClr w14:val="tx1"/>
            </w14:solidFill>
          </w14:textFill>
        </w:rPr>
        <w:t>。</w:t>
      </w:r>
    </w:p>
    <w:p w14:paraId="06880EF0">
      <w:pPr>
        <w:pStyle w:val="15"/>
        <w:spacing w:line="360" w:lineRule="auto"/>
        <w:ind w:firstLine="0" w:firstLineChars="0"/>
        <w:rPr>
          <w:rFonts w:ascii="宋体" w:eastAsia="宋体"/>
          <w:color w:val="000000" w:themeColor="text1"/>
          <w:sz w:val="24"/>
          <w:highlight w:val="none"/>
          <w14:textFill>
            <w14:solidFill>
              <w14:schemeClr w14:val="tx1"/>
            </w14:solidFill>
          </w14:textFill>
        </w:rPr>
      </w:pPr>
      <w:r>
        <w:rPr>
          <w:rFonts w:hint="eastAsia" w:ascii="宋体" w:eastAsia="宋体"/>
          <w:b/>
          <w:bCs/>
          <w:color w:val="000000" w:themeColor="text1"/>
          <w:sz w:val="24"/>
          <w:highlight w:val="none"/>
          <w14:textFill>
            <w14:solidFill>
              <w14:schemeClr w14:val="tx1"/>
            </w14:solidFill>
          </w14:textFill>
        </w:rPr>
        <w:t xml:space="preserve">5.2.1 </w:t>
      </w:r>
      <w:r>
        <w:rPr>
          <w:rFonts w:hint="eastAsia" w:ascii="宋体" w:eastAsia="宋体"/>
          <w:b/>
          <w:bCs/>
          <w:color w:val="000000" w:themeColor="text1"/>
          <w:sz w:val="24"/>
          <w:highlight w:val="none"/>
          <w:lang w:eastAsia="zh-CN"/>
          <w14:textFill>
            <w14:solidFill>
              <w14:schemeClr w14:val="tx1"/>
            </w14:solidFill>
          </w14:textFill>
        </w:rPr>
        <w:t>响应文件</w:t>
      </w:r>
      <w:r>
        <w:rPr>
          <w:rFonts w:hint="eastAsia" w:ascii="宋体" w:eastAsia="宋体"/>
          <w:b/>
          <w:bCs/>
          <w:color w:val="000000" w:themeColor="text1"/>
          <w:sz w:val="24"/>
          <w:highlight w:val="none"/>
          <w14:textFill>
            <w14:solidFill>
              <w14:schemeClr w14:val="tx1"/>
            </w14:solidFill>
          </w14:textFill>
        </w:rPr>
        <w:t>资格审查（详见资格审查表）</w:t>
      </w:r>
    </w:p>
    <w:p w14:paraId="6BAB117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资格审查：开标结束后，</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或者采购代理机构应当依法对</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的资格进行审查，详见《资格审查表》。对初步被认定为资格审查不合格的，应实行及时告知投标当事人，以让其核证、澄清事实。未通过资格审查的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，不进入符合性审查。</w:t>
      </w:r>
      <w:bookmarkStart w:id="398" w:name="_Toc107383645"/>
      <w:bookmarkStart w:id="399" w:name="_Toc61327438"/>
    </w:p>
    <w:p w14:paraId="378DB6CC">
      <w:pPr>
        <w:pStyle w:val="15"/>
        <w:spacing w:line="360" w:lineRule="auto"/>
        <w:ind w:firstLine="0" w:firstLineChars="0"/>
        <w:rPr>
          <w:rFonts w:ascii="宋体" w:eastAsia="宋体"/>
          <w:color w:val="000000" w:themeColor="text1"/>
          <w:sz w:val="24"/>
          <w:highlight w:val="none"/>
          <w14:textFill>
            <w14:solidFill>
              <w14:schemeClr w14:val="tx1"/>
            </w14:solidFill>
          </w14:textFill>
        </w:rPr>
      </w:pPr>
      <w:r>
        <w:rPr>
          <w:rFonts w:hint="eastAsia" w:ascii="宋体" w:eastAsia="宋体"/>
          <w:b/>
          <w:bCs/>
          <w:color w:val="000000" w:themeColor="text1"/>
          <w:sz w:val="24"/>
          <w:highlight w:val="none"/>
          <w14:textFill>
            <w14:solidFill>
              <w14:schemeClr w14:val="tx1"/>
            </w14:solidFill>
          </w14:textFill>
        </w:rPr>
        <w:t xml:space="preserve">5.2.2 </w:t>
      </w:r>
      <w:bookmarkEnd w:id="398"/>
      <w:bookmarkEnd w:id="399"/>
      <w:r>
        <w:rPr>
          <w:rFonts w:hint="eastAsia" w:ascii="宋体" w:eastAsia="宋体"/>
          <w:b/>
          <w:bCs/>
          <w:color w:val="000000" w:themeColor="text1"/>
          <w:sz w:val="24"/>
          <w:highlight w:val="none"/>
          <w:lang w:eastAsia="zh-CN"/>
          <w14:textFill>
            <w14:solidFill>
              <w14:schemeClr w14:val="tx1"/>
            </w14:solidFill>
          </w14:textFill>
        </w:rPr>
        <w:t>响应文件</w:t>
      </w:r>
      <w:r>
        <w:rPr>
          <w:rFonts w:hint="eastAsia" w:ascii="宋体" w:eastAsia="宋体"/>
          <w:b/>
          <w:bCs/>
          <w:color w:val="000000" w:themeColor="text1"/>
          <w:sz w:val="24"/>
          <w:highlight w:val="none"/>
          <w14:textFill>
            <w14:solidFill>
              <w14:schemeClr w14:val="tx1"/>
            </w14:solidFill>
          </w14:textFill>
        </w:rPr>
        <w:t>符合性审查（详见符合性审查表）</w:t>
      </w:r>
    </w:p>
    <w:p w14:paraId="2FCC297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符合性审查：评标委员会应当对符合资格的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进行符合性审查，详见《符合性审查表》，以确定其是否满足</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的实质性要求。评标委员会对初步被认定为符合性审查不合格或无效投标者应实行及时告知，由评标委员会主任或</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代表将集体意见现场及时告知投标当事人，以让其核证、澄清事实。未通过符合性审查的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，不进入技术、商务和价格评审。</w:t>
      </w:r>
    </w:p>
    <w:p w14:paraId="6BF5225E">
      <w:pPr>
        <w:spacing w:line="360" w:lineRule="auto"/>
        <w:ind w:firstLine="482" w:firstLineChars="200"/>
        <w:rPr>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响应文件</w:t>
      </w:r>
      <w:r>
        <w:rPr>
          <w:rFonts w:hint="eastAsia"/>
          <w:b/>
          <w:color w:val="000000" w:themeColor="text1"/>
          <w:sz w:val="24"/>
          <w:highlight w:val="none"/>
          <w14:textFill>
            <w14:solidFill>
              <w14:schemeClr w14:val="tx1"/>
            </w14:solidFill>
          </w14:textFill>
        </w:rPr>
        <w:t>出现下列情况之一时将被认定为无效投标：</w:t>
      </w:r>
    </w:p>
    <w:p w14:paraId="71D52B98">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1）未按照</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的规定提交投标保证金的；</w:t>
      </w:r>
    </w:p>
    <w:p w14:paraId="30B8DD79">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未按</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要求签署、盖章的；</w:t>
      </w:r>
    </w:p>
    <w:p w14:paraId="3C2E7C4F">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3）不具备</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中规定的资格要求的；</w:t>
      </w:r>
    </w:p>
    <w:p w14:paraId="336601B3">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4）报价超过</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中规定的预算金额或者最高限价的；</w:t>
      </w:r>
    </w:p>
    <w:p w14:paraId="24066677">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含有</w:t>
      </w:r>
      <w:r>
        <w:rPr>
          <w:rFonts w:hint="eastAsia"/>
          <w:color w:val="000000" w:themeColor="text1"/>
          <w:sz w:val="24"/>
          <w:highlight w:val="none"/>
          <w:lang w:eastAsia="zh-CN"/>
          <w14:textFill>
            <w14:solidFill>
              <w14:schemeClr w14:val="tx1"/>
            </w14:solidFill>
          </w14:textFill>
        </w:rPr>
        <w:t>招标人</w:t>
      </w:r>
      <w:r>
        <w:rPr>
          <w:rFonts w:hint="eastAsia"/>
          <w:color w:val="000000" w:themeColor="text1"/>
          <w:sz w:val="24"/>
          <w:highlight w:val="none"/>
          <w14:textFill>
            <w14:solidFill>
              <w14:schemeClr w14:val="tx1"/>
            </w14:solidFill>
          </w14:textFill>
        </w:rPr>
        <w:t>不能接受的附加条件的；</w:t>
      </w:r>
    </w:p>
    <w:p w14:paraId="559B9E01">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6）法律、法规和</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规定的其他无效情形。</w:t>
      </w:r>
    </w:p>
    <w:p w14:paraId="580E8E9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评标过程中</w:t>
      </w:r>
      <w:r>
        <w:rPr>
          <w:rFonts w:hint="eastAsia" w:ascii="宋体" w:hAnsi="宋体" w:cs="宋体"/>
          <w:b/>
          <w:color w:val="000000" w:themeColor="text1"/>
          <w:sz w:val="24"/>
          <w:highlight w:val="none"/>
          <w:lang w:eastAsia="zh-CN"/>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出现下列情况之一时，对该</w:t>
      </w:r>
      <w:r>
        <w:rPr>
          <w:rFonts w:hint="eastAsia" w:ascii="宋体" w:hAnsi="宋体"/>
          <w:b/>
          <w:color w:val="000000" w:themeColor="text1"/>
          <w:sz w:val="24"/>
          <w:highlight w:val="none"/>
          <w:lang w:eastAsia="zh-CN"/>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作废标处理：</w:t>
      </w:r>
    </w:p>
    <w:p w14:paraId="523F0C2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供应商</w:t>
      </w:r>
      <w:r>
        <w:rPr>
          <w:color w:val="000000" w:themeColor="text1"/>
          <w:sz w:val="24"/>
          <w:highlight w:val="none"/>
          <w14:textFill>
            <w14:solidFill>
              <w14:schemeClr w14:val="tx1"/>
            </w14:solidFill>
          </w14:textFill>
        </w:rPr>
        <w:t>以他人的名义投标、串通投标、以行贿手段谋取中标或者以其他弄虚作假方式投标的</w:t>
      </w:r>
      <w:r>
        <w:rPr>
          <w:rFonts w:hint="eastAsia"/>
          <w:color w:val="000000" w:themeColor="text1"/>
          <w:sz w:val="24"/>
          <w:highlight w:val="none"/>
          <w14:textFill>
            <w14:solidFill>
              <w14:schemeClr w14:val="tx1"/>
            </w14:solidFill>
          </w14:textFill>
        </w:rPr>
        <w:t>；具体情形如下：</w:t>
      </w:r>
    </w:p>
    <w:p w14:paraId="4A75E2CE">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由同一单位或者个人编制；</w:t>
      </w:r>
    </w:p>
    <w:p w14:paraId="38C2DB7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委托同一单位或者个人办理投标事宜；</w:t>
      </w:r>
    </w:p>
    <w:p w14:paraId="22965203">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载明的项目管理成员或者联系人员为同一人；</w:t>
      </w:r>
    </w:p>
    <w:p w14:paraId="1E1FB3D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d）不同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异常一致或者投标报价呈规律性差异；</w:t>
      </w:r>
    </w:p>
    <w:p w14:paraId="231F878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e）不同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相互混装；</w:t>
      </w:r>
    </w:p>
    <w:p w14:paraId="44172DD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f）不同</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的投标保证金从同一单位或者个人的账户转出。</w:t>
      </w:r>
    </w:p>
    <w:p w14:paraId="6DC55A8C">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评标委员会认为</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的报价明显低于其他通过符合性审查</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不能证明其报价合理性的，评标委员会应当将其作为无效投标处理。</w:t>
      </w:r>
    </w:p>
    <w:p w14:paraId="04DACB60">
      <w:pPr>
        <w:spacing w:line="360" w:lineRule="auto"/>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ascii="宋体" w:hAnsi="宋体"/>
          <w:b/>
          <w:color w:val="000000" w:themeColor="text1"/>
          <w:sz w:val="24"/>
          <w:highlight w:val="none"/>
          <w14:textFill>
            <w14:solidFill>
              <w14:schemeClr w14:val="tx1"/>
            </w14:solidFill>
          </w14:textFill>
        </w:rPr>
        <w:t>其他无效情形</w:t>
      </w:r>
      <w:r>
        <w:rPr>
          <w:rFonts w:hint="eastAsia" w:ascii="宋体" w:hAnsi="宋体"/>
          <w:b/>
          <w:color w:val="000000" w:themeColor="text1"/>
          <w:sz w:val="24"/>
          <w:highlight w:val="none"/>
          <w14:textFill>
            <w14:solidFill>
              <w14:schemeClr w14:val="tx1"/>
            </w14:solidFill>
          </w14:textFill>
        </w:rPr>
        <w:t>：</w:t>
      </w:r>
    </w:p>
    <w:p w14:paraId="1062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未满足项目的</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期</w:t>
      </w:r>
      <w:r>
        <w:rPr>
          <w:rFonts w:ascii="宋体" w:hAnsi="宋体"/>
          <w:color w:val="000000" w:themeColor="text1"/>
          <w:sz w:val="24"/>
          <w:highlight w:val="none"/>
          <w14:textFill>
            <w14:solidFill>
              <w14:schemeClr w14:val="tx1"/>
            </w14:solidFill>
          </w14:textFill>
        </w:rPr>
        <w:t>要求</w:t>
      </w:r>
      <w:r>
        <w:rPr>
          <w:rFonts w:hint="eastAsia" w:ascii="宋体" w:hAnsi="宋体"/>
          <w:color w:val="000000" w:themeColor="text1"/>
          <w:sz w:val="24"/>
          <w:highlight w:val="none"/>
          <w14:textFill>
            <w14:solidFill>
              <w14:schemeClr w14:val="tx1"/>
            </w14:solidFill>
          </w14:textFill>
        </w:rPr>
        <w:t>；</w:t>
      </w:r>
    </w:p>
    <w:p w14:paraId="2E8F725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投标有效期未为90天</w:t>
      </w:r>
      <w:r>
        <w:rPr>
          <w:rFonts w:hint="eastAsia" w:ascii="宋体" w:hAnsi="宋体"/>
          <w:color w:val="000000" w:themeColor="text1"/>
          <w:sz w:val="24"/>
          <w:highlight w:val="none"/>
          <w14:textFill>
            <w14:solidFill>
              <w14:schemeClr w14:val="tx1"/>
            </w14:solidFill>
          </w14:textFill>
        </w:rPr>
        <w:t>；</w:t>
      </w:r>
    </w:p>
    <w:p w14:paraId="7CE3B9A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未按规定提交法定代表人证明书/法人授权委托书</w:t>
      </w:r>
      <w:r>
        <w:rPr>
          <w:rFonts w:hint="eastAsia" w:ascii="宋体" w:hAnsi="宋体"/>
          <w:color w:val="000000" w:themeColor="text1"/>
          <w:sz w:val="24"/>
          <w:highlight w:val="none"/>
          <w14:textFill>
            <w14:solidFill>
              <w14:schemeClr w14:val="tx1"/>
            </w14:solidFill>
          </w14:textFill>
        </w:rPr>
        <w:t>。</w:t>
      </w:r>
    </w:p>
    <w:p w14:paraId="3D3AA979">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被评委会确定为</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无效标或</w:t>
      </w:r>
      <w:r>
        <w:rPr>
          <w:rFonts w:hint="eastAsia" w:ascii="宋体" w:hAnsi="宋体"/>
          <w:color w:val="000000" w:themeColor="text1"/>
          <w:sz w:val="24"/>
          <w:highlight w:val="none"/>
          <w14:textFill>
            <w14:solidFill>
              <w14:schemeClr w14:val="tx1"/>
            </w14:solidFill>
          </w14:textFill>
        </w:rPr>
        <w:t>废标</w:t>
      </w:r>
      <w:r>
        <w:rPr>
          <w:rFonts w:hint="eastAsia" w:ascii="宋体" w:hAnsi="宋体" w:cs="宋体"/>
          <w:color w:val="000000" w:themeColor="text1"/>
          <w:sz w:val="24"/>
          <w:highlight w:val="none"/>
          <w14:textFill>
            <w14:solidFill>
              <w14:schemeClr w14:val="tx1"/>
            </w14:solidFill>
          </w14:textFill>
        </w:rPr>
        <w:t>的，其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cs="宋体"/>
          <w:color w:val="000000" w:themeColor="text1"/>
          <w:sz w:val="24"/>
          <w:highlight w:val="none"/>
          <w14:textFill>
            <w14:solidFill>
              <w14:schemeClr w14:val="tx1"/>
            </w14:solidFill>
          </w14:textFill>
        </w:rPr>
        <w:t>即被视为不能通过符合性评审，不得参与技术、商务和价格的评审。</w:t>
      </w:r>
    </w:p>
    <w:p w14:paraId="60988843">
      <w:pPr>
        <w:pStyle w:val="15"/>
        <w:spacing w:line="360" w:lineRule="auto"/>
        <w:ind w:firstLine="0" w:firstLineChars="0"/>
        <w:rPr>
          <w:rFonts w:ascii="宋体"/>
          <w:b/>
          <w:bCs/>
          <w:color w:val="000000" w:themeColor="text1"/>
          <w:sz w:val="24"/>
          <w:highlight w:val="none"/>
          <w14:textFill>
            <w14:solidFill>
              <w14:schemeClr w14:val="tx1"/>
            </w14:solidFill>
          </w14:textFill>
        </w:rPr>
      </w:pPr>
      <w:bookmarkStart w:id="400" w:name="_Toc61327439"/>
      <w:bookmarkStart w:id="401" w:name="_Toc107383646"/>
      <w:r>
        <w:rPr>
          <w:rFonts w:hint="eastAsia" w:ascii="宋体" w:eastAsia="宋体"/>
          <w:b/>
          <w:bCs/>
          <w:color w:val="000000" w:themeColor="text1"/>
          <w:sz w:val="24"/>
          <w:highlight w:val="none"/>
          <w14:textFill>
            <w14:solidFill>
              <w14:schemeClr w14:val="tx1"/>
            </w14:solidFill>
          </w14:textFill>
        </w:rPr>
        <w:t xml:space="preserve">5.2.3 </w:t>
      </w:r>
      <w:r>
        <w:rPr>
          <w:rFonts w:hint="eastAsia" w:ascii="宋体" w:eastAsia="宋体"/>
          <w:b/>
          <w:bCs/>
          <w:color w:val="000000" w:themeColor="text1"/>
          <w:sz w:val="24"/>
          <w:highlight w:val="none"/>
          <w:lang w:eastAsia="zh-CN"/>
          <w14:textFill>
            <w14:solidFill>
              <w14:schemeClr w14:val="tx1"/>
            </w14:solidFill>
          </w14:textFill>
        </w:rPr>
        <w:t>响应文件</w:t>
      </w:r>
      <w:r>
        <w:rPr>
          <w:rFonts w:hint="eastAsia" w:ascii="宋体" w:eastAsia="宋体"/>
          <w:b/>
          <w:bCs/>
          <w:color w:val="000000" w:themeColor="text1"/>
          <w:sz w:val="24"/>
          <w:highlight w:val="none"/>
          <w14:textFill>
            <w14:solidFill>
              <w14:schemeClr w14:val="tx1"/>
            </w14:solidFill>
          </w14:textFill>
        </w:rPr>
        <w:t>详细评审</w:t>
      </w:r>
      <w:bookmarkEnd w:id="400"/>
      <w:bookmarkEnd w:id="401"/>
      <w:r>
        <w:rPr>
          <w:rFonts w:hint="eastAsia" w:ascii="宋体" w:eastAsia="宋体"/>
          <w:b/>
          <w:bCs/>
          <w:color w:val="000000" w:themeColor="text1"/>
          <w:sz w:val="24"/>
          <w:highlight w:val="none"/>
          <w14:textFill>
            <w14:solidFill>
              <w14:schemeClr w14:val="tx1"/>
            </w14:solidFill>
          </w14:textFill>
        </w:rPr>
        <w:t>（详见技术、商务、价格评审表）</w:t>
      </w:r>
    </w:p>
    <w:p w14:paraId="2C2F595B">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14:paraId="27047259">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当通过</w:t>
      </w:r>
      <w:r>
        <w:rPr>
          <w:rFonts w:hint="eastAsia" w:ascii="宋体" w:hAnsi="宋体"/>
          <w:bCs/>
          <w:color w:val="000000" w:themeColor="text1"/>
          <w:sz w:val="24"/>
          <w:highlight w:val="none"/>
          <w14:textFill>
            <w14:solidFill>
              <w14:schemeClr w14:val="tx1"/>
            </w14:solidFill>
          </w14:textFill>
        </w:rPr>
        <w:t>资格、符合性审查</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多于或等于三家时，按照评标程序的规定和依据评分标准以及各项权重、符合性审查结果，各位评委单独就每个</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的技术、商务、价格进行评审和比较，评出其技术评分、商务评分和价格评分。将技术得分、商务得分和价格得分相加得出总分，并按总分高低排出名次</w:t>
      </w:r>
      <w:r>
        <w:rPr>
          <w:rFonts w:hint="eastAsia" w:ascii="宋体" w:hAnsi="宋体"/>
          <w:color w:val="000000" w:themeColor="text1"/>
          <w:sz w:val="24"/>
          <w:highlight w:val="none"/>
          <w:lang w:eastAsia="zh-CN"/>
          <w14:textFill>
            <w14:solidFill>
              <w14:schemeClr w14:val="tx1"/>
            </w14:solidFill>
          </w14:textFill>
        </w:rPr>
        <w:t>。</w:t>
      </w:r>
    </w:p>
    <w:p w14:paraId="6D9EAECF">
      <w:pPr>
        <w:spacing w:line="360" w:lineRule="auto"/>
        <w:ind w:right="-195" w:rightChars="-93"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当通过</w:t>
      </w:r>
      <w:r>
        <w:rPr>
          <w:rFonts w:hint="eastAsia" w:ascii="宋体" w:hAnsi="宋体"/>
          <w:bCs/>
          <w:color w:val="000000" w:themeColor="text1"/>
          <w:sz w:val="24"/>
          <w:highlight w:val="none"/>
          <w14:textFill>
            <w14:solidFill>
              <w14:schemeClr w14:val="tx1"/>
            </w14:solidFill>
          </w14:textFill>
        </w:rPr>
        <w:t>资格、符合性审查</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少于三家时，评标委员会否决所有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，提请依法重新招标。</w:t>
      </w:r>
    </w:p>
    <w:p w14:paraId="65CAADB2">
      <w:pPr>
        <w:pStyle w:val="4"/>
        <w:spacing w:before="0" w:beforeLines="0" w:beforeAutospacing="0" w:after="0" w:afterLines="0" w:afterAutospacing="0" w:line="360" w:lineRule="auto"/>
        <w:rPr>
          <w:color w:val="000000" w:themeColor="text1"/>
          <w:sz w:val="28"/>
          <w:szCs w:val="28"/>
          <w:highlight w:val="none"/>
          <w14:textFill>
            <w14:solidFill>
              <w14:schemeClr w14:val="tx1"/>
            </w14:solidFill>
          </w14:textFill>
        </w:rPr>
      </w:pPr>
      <w:bookmarkStart w:id="402" w:name="_Toc358307755"/>
      <w:bookmarkStart w:id="403" w:name="_Toc422865429"/>
      <w:bookmarkStart w:id="404" w:name="_Toc5124217"/>
      <w:bookmarkStart w:id="405" w:name="_Toc422162000"/>
      <w:bookmarkStart w:id="406" w:name="_Toc26049"/>
      <w:bookmarkStart w:id="407" w:name="_Toc116976131"/>
      <w:bookmarkStart w:id="408" w:name="_Toc330545478"/>
      <w:bookmarkStart w:id="409" w:name="_Toc458980401"/>
      <w:bookmarkStart w:id="410" w:name="_Toc523170350"/>
      <w:bookmarkStart w:id="411" w:name="_Toc509337059"/>
      <w:bookmarkStart w:id="412" w:name="_Toc107460010"/>
      <w:bookmarkStart w:id="413" w:name="_Toc479340797"/>
      <w:bookmarkStart w:id="414" w:name="_Toc438513742"/>
      <w:bookmarkStart w:id="415" w:name="_Toc116924487"/>
      <w:bookmarkStart w:id="416" w:name="_Toc265700489"/>
      <w:bookmarkStart w:id="417" w:name="_Toc479325600"/>
      <w:bookmarkStart w:id="418" w:name="_Toc122420765"/>
      <w:bookmarkStart w:id="419" w:name="_Toc439513453"/>
      <w:bookmarkStart w:id="420" w:name="_Toc272394437"/>
      <w:bookmarkStart w:id="421" w:name="_Toc11944600"/>
      <w:bookmarkStart w:id="422" w:name="_Toc416208494"/>
      <w:bookmarkStart w:id="423" w:name="_Toc262564644"/>
      <w:bookmarkStart w:id="424" w:name="_Toc486969387"/>
      <w:bookmarkStart w:id="425" w:name="_Toc109467930"/>
      <w:bookmarkStart w:id="426" w:name="_Toc107383647"/>
      <w:bookmarkStart w:id="427" w:name="_Toc418023341"/>
      <w:bookmarkStart w:id="428" w:name="_Toc107385317"/>
      <w:bookmarkStart w:id="429" w:name="_Toc10446427"/>
      <w:bookmarkStart w:id="430" w:name="_Toc277154674"/>
      <w:bookmarkStart w:id="431" w:name="_Toc369081826"/>
      <w:bookmarkStart w:id="432" w:name="_Toc9612859"/>
      <w:bookmarkStart w:id="433" w:name="_Toc514177061"/>
      <w:bookmarkStart w:id="434" w:name="_Toc9864095"/>
      <w:bookmarkStart w:id="435" w:name="_Toc439513169"/>
      <w:bookmarkStart w:id="436" w:name="_Toc425347670"/>
      <w:bookmarkStart w:id="437" w:name="_Toc414510788"/>
      <w:bookmarkStart w:id="438" w:name="_Toc267904314"/>
      <w:bookmarkStart w:id="439" w:name="_Toc487044260"/>
      <w:bookmarkStart w:id="440" w:name="_Toc522529813"/>
      <w:bookmarkStart w:id="441" w:name="_Toc498899391"/>
      <w:bookmarkStart w:id="442" w:name="_Toc11931293"/>
      <w:bookmarkStart w:id="443" w:name="_Toc477879848"/>
      <w:bookmarkStart w:id="444" w:name="_Toc509337174"/>
      <w:bookmarkStart w:id="445" w:name="_Toc116981031"/>
      <w:bookmarkStart w:id="446" w:name="_Toc438722138"/>
      <w:bookmarkStart w:id="447" w:name="_Toc23008"/>
      <w:bookmarkStart w:id="448" w:name="_Toc498871259"/>
      <w:bookmarkStart w:id="449" w:name="_Toc494832095"/>
      <w:bookmarkStart w:id="450" w:name="_Toc438508605"/>
      <w:bookmarkStart w:id="451" w:name="_Toc61327440"/>
      <w:bookmarkStart w:id="452" w:name="_Toc470184449"/>
      <w:bookmarkStart w:id="453" w:name="_Toc439679276"/>
      <w:bookmarkStart w:id="454" w:name="_Toc524368798"/>
      <w:bookmarkStart w:id="455" w:name="_Toc458635604"/>
      <w:bookmarkStart w:id="456" w:name="_Toc524517870"/>
      <w:r>
        <w:rPr>
          <w:rFonts w:hint="eastAsia"/>
          <w:color w:val="000000" w:themeColor="text1"/>
          <w:sz w:val="28"/>
          <w:szCs w:val="28"/>
          <w:highlight w:val="none"/>
          <w14:textFill>
            <w14:solidFill>
              <w14:schemeClr w14:val="tx1"/>
            </w14:solidFill>
          </w14:textFill>
        </w:rPr>
        <w:t>6、评分标准和权重</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2771DC1">
      <w:pPr>
        <w:spacing w:beforeAutospacing="0" w:line="360" w:lineRule="auto"/>
        <w:rPr>
          <w:b/>
          <w:bCs/>
          <w:color w:val="000000" w:themeColor="text1"/>
          <w:highlight w:val="none"/>
          <w14:textFill>
            <w14:solidFill>
              <w14:schemeClr w14:val="tx1"/>
            </w14:solidFill>
          </w14:textFill>
        </w:rPr>
      </w:pPr>
      <w:bookmarkStart w:id="457" w:name="_Toc61327441"/>
      <w:r>
        <w:rPr>
          <w:rFonts w:hint="eastAsia" w:ascii="宋体" w:hAnsi="宋体"/>
          <w:b/>
          <w:bCs/>
          <w:color w:val="000000" w:themeColor="text1"/>
          <w:sz w:val="24"/>
          <w:highlight w:val="none"/>
          <w14:textFill>
            <w14:solidFill>
              <w14:schemeClr w14:val="tx1"/>
            </w14:solidFill>
          </w14:textFill>
        </w:rPr>
        <w:t>6.1 评分标准</w:t>
      </w:r>
      <w:bookmarkEnd w:id="457"/>
    </w:p>
    <w:p w14:paraId="0A088846">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评委对</w:t>
      </w:r>
      <w:r>
        <w:rPr>
          <w:rFonts w:hint="eastAsia" w:ascii="宋体" w:hAnsi="宋体"/>
          <w:b/>
          <w:color w:val="000000" w:themeColor="text1"/>
          <w:sz w:val="24"/>
          <w:highlight w:val="none"/>
          <w:lang w:eastAsia="zh-CN"/>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的技术及商务响应情况进行评分。</w:t>
      </w:r>
    </w:p>
    <w:p w14:paraId="18C2598A">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技术、商务、价格评分应分别考虑下列因素：</w:t>
      </w:r>
    </w:p>
    <w:p w14:paraId="1847385E">
      <w:pPr>
        <w:spacing w:line="360" w:lineRule="auto"/>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6.1.1 技术、</w:t>
      </w:r>
      <w:r>
        <w:rPr>
          <w:rFonts w:hint="eastAsia" w:ascii="宋体" w:hAnsi="宋体"/>
          <w:b/>
          <w:color w:val="000000" w:themeColor="text1"/>
          <w:sz w:val="24"/>
          <w:highlight w:val="none"/>
          <w14:textFill>
            <w14:solidFill>
              <w14:schemeClr w14:val="tx1"/>
            </w14:solidFill>
          </w14:textFill>
        </w:rPr>
        <w:t>商务</w:t>
      </w:r>
      <w:r>
        <w:rPr>
          <w:rFonts w:hint="eastAsia" w:ascii="宋体" w:hAnsi="宋体"/>
          <w:b/>
          <w:bCs/>
          <w:color w:val="000000" w:themeColor="text1"/>
          <w:sz w:val="24"/>
          <w:highlight w:val="none"/>
          <w14:textFill>
            <w14:solidFill>
              <w14:schemeClr w14:val="tx1"/>
            </w14:solidFill>
          </w14:textFill>
        </w:rPr>
        <w:t>评审</w:t>
      </w:r>
    </w:p>
    <w:p w14:paraId="2BC26E6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评审内容详见技术</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商务响应评审表，技术、商务得分为各评委评分的算术平均值（四舍五入保留两位小数）。</w:t>
      </w:r>
    </w:p>
    <w:p w14:paraId="38EA61E3">
      <w:pPr>
        <w:spacing w:line="360" w:lineRule="auto"/>
        <w:outlineLvl w:val="3"/>
        <w:rPr>
          <w:rFonts w:ascii="宋体" w:hAnsi="宋体"/>
          <w:b/>
          <w:bCs/>
          <w:color w:val="000000" w:themeColor="text1"/>
          <w:sz w:val="24"/>
          <w:highlight w:val="none"/>
          <w14:textFill>
            <w14:solidFill>
              <w14:schemeClr w14:val="tx1"/>
            </w14:solidFill>
          </w14:textFill>
        </w:rPr>
      </w:pPr>
      <w:bookmarkStart w:id="458" w:name="_Toc61327442"/>
      <w:r>
        <w:rPr>
          <w:rFonts w:hint="eastAsia" w:ascii="宋体" w:hAnsi="宋体"/>
          <w:b/>
          <w:bCs/>
          <w:color w:val="000000" w:themeColor="text1"/>
          <w:sz w:val="24"/>
          <w:highlight w:val="none"/>
          <w14:textFill>
            <w14:solidFill>
              <w14:schemeClr w14:val="tx1"/>
            </w14:solidFill>
          </w14:textFill>
        </w:rPr>
        <w:t>6.1.2 价格的开启、核准和评分</w:t>
      </w:r>
    </w:p>
    <w:p w14:paraId="5B75DF72">
      <w:pPr>
        <w:numPr>
          <w:ilvl w:val="0"/>
          <w:numId w:val="0"/>
        </w:numPr>
        <w:tabs>
          <w:tab w:val="left" w:pos="930"/>
        </w:tabs>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评标委员会详细分析、核准价格表，检查其是否存在计算上或累加上的算术错误，修正错误的原则如下：</w:t>
      </w:r>
    </w:p>
    <w:p w14:paraId="36B5816A">
      <w:pPr>
        <w:keepNext w:val="0"/>
        <w:keepLines w:val="0"/>
        <w:pageBreakBefore w:val="0"/>
        <w:widowControl w:val="0"/>
        <w:numPr>
          <w:ilvl w:val="1"/>
          <w:numId w:val="7"/>
        </w:numPr>
        <w:tabs>
          <w:tab w:val="left" w:pos="1050"/>
        </w:tabs>
        <w:kinsoku/>
        <w:wordWrap/>
        <w:overflowPunct/>
        <w:topLinePunct w:val="0"/>
        <w:autoSpaceDE/>
        <w:autoSpaceDN/>
        <w:bidi w:val="0"/>
        <w:adjustRightInd/>
        <w:snapToGrid/>
        <w:spacing w:line="360" w:lineRule="auto"/>
        <w:ind w:left="629" w:firstLine="0"/>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中开标一览表（报价表）内容与</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中相应内容不一致的，以开标一览表（报价表）为准；</w:t>
      </w:r>
    </w:p>
    <w:p w14:paraId="1A0BBC87">
      <w:pPr>
        <w:keepNext w:val="0"/>
        <w:keepLines w:val="0"/>
        <w:pageBreakBefore w:val="0"/>
        <w:widowControl w:val="0"/>
        <w:numPr>
          <w:ilvl w:val="1"/>
          <w:numId w:val="7"/>
        </w:numPr>
        <w:tabs>
          <w:tab w:val="left" w:pos="1050"/>
        </w:tabs>
        <w:kinsoku/>
        <w:wordWrap/>
        <w:overflowPunct/>
        <w:topLinePunct w:val="0"/>
        <w:autoSpaceDE/>
        <w:autoSpaceDN/>
        <w:bidi w:val="0"/>
        <w:adjustRightInd/>
        <w:snapToGrid/>
        <w:spacing w:line="360" w:lineRule="auto"/>
        <w:ind w:left="629" w:firstLine="0"/>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大写金额和小写金额不一致的，以大写金额为准；</w:t>
      </w:r>
    </w:p>
    <w:p w14:paraId="6A95BB80">
      <w:pPr>
        <w:keepNext w:val="0"/>
        <w:keepLines w:val="0"/>
        <w:pageBreakBefore w:val="0"/>
        <w:widowControl w:val="0"/>
        <w:numPr>
          <w:ilvl w:val="1"/>
          <w:numId w:val="7"/>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单价金额小数点或者百分比有明显错位的，以开标一览表的总价为准，并修改单价；</w:t>
      </w:r>
    </w:p>
    <w:p w14:paraId="4751E861">
      <w:pPr>
        <w:keepNext w:val="0"/>
        <w:keepLines w:val="0"/>
        <w:pageBreakBefore w:val="0"/>
        <w:widowControl w:val="0"/>
        <w:numPr>
          <w:ilvl w:val="1"/>
          <w:numId w:val="7"/>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总价金额与按单价汇总金额不一致的，以单价金额计算结果为准；</w:t>
      </w:r>
    </w:p>
    <w:p w14:paraId="4D8F8E76">
      <w:pPr>
        <w:tabs>
          <w:tab w:val="left" w:pos="1050"/>
        </w:tabs>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同时出现两种以上不一致的，按照前款规定的顺序修正。修正后的报价按照</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的澄清、说明或者补正应当采用书面形式，并加盖公章，或者由法定代表人或其授权的代表签字。</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的澄清、说明或者补正不得超出</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的范围或者改变</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的实质性内容。经</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确认后产生约束力，</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不确认的，其投标无效。</w:t>
      </w:r>
    </w:p>
    <w:p w14:paraId="4ADAD98B">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供货范围（包括</w:t>
      </w:r>
      <w:r>
        <w:rPr>
          <w:rFonts w:hint="eastAsia" w:ascii="宋体" w:hAnsi="宋体"/>
          <w:bCs/>
          <w:color w:val="000000" w:themeColor="text1"/>
          <w:sz w:val="24"/>
          <w:highlight w:val="none"/>
          <w:lang w:eastAsia="zh-CN"/>
          <w14:textFill>
            <w14:solidFill>
              <w14:schemeClr w14:val="tx1"/>
            </w14:solidFill>
          </w14:textFill>
        </w:rPr>
        <w:t>货物</w:t>
      </w:r>
      <w:r>
        <w:rPr>
          <w:rFonts w:hint="eastAsia" w:ascii="宋体" w:hAnsi="宋体"/>
          <w:bCs/>
          <w:color w:val="000000" w:themeColor="text1"/>
          <w:sz w:val="24"/>
          <w:highlight w:val="none"/>
          <w14:textFill>
            <w14:solidFill>
              <w14:schemeClr w14:val="tx1"/>
            </w14:solidFill>
          </w14:textFill>
        </w:rPr>
        <w:t>和服务）缺漏项的调整，其调整价格为该项在其他有效投标中的最高报价。</w:t>
      </w:r>
    </w:p>
    <w:p w14:paraId="75430263">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评标委员会将按照上述修正错误的方法调整</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中投标报价，调整后的价格对</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具有约束力。如果</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不接受修正后的投标价格，则其投标将被拒绝。</w:t>
      </w:r>
    </w:p>
    <w:p w14:paraId="79DFA5EF">
      <w:pPr>
        <w:numPr>
          <w:ilvl w:val="0"/>
          <w:numId w:val="0"/>
        </w:numPr>
        <w:tabs>
          <w:tab w:val="left" w:pos="930"/>
        </w:tabs>
        <w:spacing w:line="360" w:lineRule="auto"/>
        <w:ind w:left="525" w:leftChars="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政策价格扣除</w:t>
      </w:r>
      <w:r>
        <w:rPr>
          <w:rFonts w:hint="eastAsia" w:ascii="宋体" w:hAnsi="宋体"/>
          <w:bCs/>
          <w:color w:val="000000" w:themeColor="text1"/>
          <w:sz w:val="24"/>
          <w:highlight w:val="none"/>
          <w:lang w:eastAsia="zh-CN"/>
          <w14:textFill>
            <w14:solidFill>
              <w14:schemeClr w14:val="tx1"/>
            </w14:solidFill>
          </w14:textFill>
        </w:rPr>
        <w:t>：</w:t>
      </w:r>
    </w:p>
    <w:p w14:paraId="45AC1FAA">
      <w:pPr>
        <w:numPr>
          <w:ilvl w:val="0"/>
          <w:numId w:val="0"/>
        </w:numPr>
        <w:tabs>
          <w:tab w:val="left" w:pos="930"/>
        </w:tabs>
        <w:spacing w:line="360" w:lineRule="auto"/>
        <w:ind w:left="525" w:leftChars="0"/>
        <w:rPr>
          <w:rFonts w:hint="eastAsia" w:ascii="宋体" w:hAnsi="宋体"/>
          <w:b w:val="0"/>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 w:val="0"/>
          <w:bCs/>
          <w:color w:val="000000" w:themeColor="text1"/>
          <w:sz w:val="24"/>
          <w:highlight w:val="none"/>
          <w14:textFill>
            <w14:solidFill>
              <w14:schemeClr w14:val="tx1"/>
            </w14:solidFill>
          </w14:textFill>
        </w:rPr>
        <w:t>小型和微型企业产品</w:t>
      </w:r>
    </w:p>
    <w:p w14:paraId="1C461670">
      <w:pPr>
        <w:numPr>
          <w:ilvl w:val="1"/>
          <w:numId w:val="8"/>
        </w:numPr>
        <w:tabs>
          <w:tab w:val="left" w:pos="1050"/>
        </w:tabs>
        <w:spacing w:line="360" w:lineRule="auto"/>
        <w:ind w:left="10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根据财务部、工业和信息化部印发的《政府采购促进中小企业发展管理办法》（</w:t>
      </w:r>
      <w:r>
        <w:rPr>
          <w:rFonts w:hint="eastAsia" w:ascii="宋体" w:hAnsi="宋体"/>
          <w:bCs/>
          <w:color w:val="000000" w:themeColor="text1"/>
          <w:sz w:val="24"/>
          <w:highlight w:val="none"/>
          <w:lang w:eastAsia="zh-CN"/>
          <w14:textFill>
            <w14:solidFill>
              <w14:schemeClr w14:val="tx1"/>
            </w14:solidFill>
          </w14:textFill>
        </w:rPr>
        <w:t>财库〔2020〕46号</w:t>
      </w:r>
      <w:r>
        <w:rPr>
          <w:rFonts w:hint="eastAsia" w:ascii="宋体" w:hAnsi="宋体"/>
          <w:bCs/>
          <w:color w:val="000000" w:themeColor="text1"/>
          <w:sz w:val="24"/>
          <w:highlight w:val="none"/>
          <w14:textFill>
            <w14:solidFill>
              <w14:schemeClr w14:val="tx1"/>
            </w14:solidFill>
          </w14:textFill>
        </w:rPr>
        <w:t>）的规，对小型和微型企业产品的价格给予</w:t>
      </w:r>
      <w:r>
        <w:rPr>
          <w:rFonts w:hint="eastAsia" w:ascii="宋体" w:hAnsi="宋体"/>
          <w:bCs/>
          <w:color w:val="000000" w:themeColor="text1"/>
          <w:sz w:val="24"/>
          <w:highlight w:val="none"/>
          <w:lang w:val="en-US" w:eastAsia="zh-CN"/>
          <w14:textFill>
            <w14:solidFill>
              <w14:schemeClr w14:val="tx1"/>
            </w14:solidFill>
          </w14:textFill>
        </w:rPr>
        <w:t>10%-20</w:t>
      </w:r>
      <w:r>
        <w:rPr>
          <w:rFonts w:hint="eastAsia" w:ascii="宋体" w:hAnsi="宋体"/>
          <w:bCs/>
          <w:color w:val="000000" w:themeColor="text1"/>
          <w:sz w:val="24"/>
          <w:highlight w:val="none"/>
          <w14:textFill>
            <w14:solidFill>
              <w14:schemeClr w14:val="tx1"/>
            </w14:solidFill>
          </w14:textFill>
        </w:rPr>
        <w:t>%的扣除，联合体一方为小型、微型企业且小型、微型企业协议合同金额占联合体协议合同总金额30%以上</w:t>
      </w:r>
      <w:r>
        <w:rPr>
          <w:rFonts w:hint="eastAsia" w:ascii="宋体" w:hAnsi="宋体"/>
          <w:bCs/>
          <w:color w:val="000000" w:themeColor="text1"/>
          <w:sz w:val="24"/>
          <w:highlight w:val="none"/>
          <w:lang w:eastAsia="zh-CN"/>
          <w14:textFill>
            <w14:solidFill>
              <w14:schemeClr w14:val="tx1"/>
            </w14:solidFill>
          </w14:textFill>
        </w:rPr>
        <w:t>地对</w:t>
      </w:r>
      <w:r>
        <w:rPr>
          <w:rFonts w:hint="eastAsia" w:ascii="宋体" w:hAnsi="宋体"/>
          <w:bCs/>
          <w:color w:val="000000" w:themeColor="text1"/>
          <w:sz w:val="24"/>
          <w:highlight w:val="none"/>
          <w14:textFill>
            <w14:solidFill>
              <w14:schemeClr w14:val="tx1"/>
            </w14:solidFill>
          </w14:textFill>
        </w:rPr>
        <w:t>联合体总金额扣除</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，用扣除后的价格参与评审；投标产品中仅有部分小型和微型企业产品的，则按所投小型和微型企业产品的价格予以扣除。</w:t>
      </w:r>
    </w:p>
    <w:p w14:paraId="3CB2CAC3">
      <w:pPr>
        <w:numPr>
          <w:ilvl w:val="0"/>
          <w:numId w:val="0"/>
        </w:numPr>
        <w:tabs>
          <w:tab w:val="left" w:pos="1050"/>
        </w:tabs>
        <w:spacing w:line="360" w:lineRule="auto"/>
        <w:ind w:left="630" w:leftChars="0"/>
        <w:rPr>
          <w:rFonts w:hint="eastAsia" w:ascii="宋体" w:hAnsi="宋体" w:eastAsia="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注：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C7CE8E5">
      <w:pPr>
        <w:numPr>
          <w:ilvl w:val="1"/>
          <w:numId w:val="8"/>
        </w:numPr>
        <w:tabs>
          <w:tab w:val="left" w:pos="1050"/>
        </w:tabs>
        <w:spacing w:line="360" w:lineRule="auto"/>
        <w:ind w:left="10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eastAsia="zh-CN"/>
          <w14:textFill>
            <w14:solidFill>
              <w14:schemeClr w14:val="tx1"/>
            </w14:solidFill>
          </w14:textFill>
        </w:rPr>
        <w:t>政府采购促进中小企业发展管理办法</w:t>
      </w:r>
      <w:r>
        <w:rPr>
          <w:rFonts w:hint="eastAsia" w:ascii="宋体" w:hAnsi="宋体"/>
          <w:bCs/>
          <w:color w:val="000000" w:themeColor="text1"/>
          <w:sz w:val="24"/>
          <w:highlight w:val="none"/>
          <w14:textFill>
            <w14:solidFill>
              <w14:schemeClr w14:val="tx1"/>
            </w14:solidFill>
          </w14:textFill>
        </w:rPr>
        <w:t>》所称中小企业（含中型、小型、微型企业，下同）应当同时符合以下条件：</w:t>
      </w:r>
    </w:p>
    <w:p w14:paraId="6C944C1C">
      <w:pPr>
        <w:spacing w:line="360" w:lineRule="auto"/>
        <w:ind w:left="630" w:firstLine="48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①符合中小企业划分标准；</w:t>
      </w:r>
    </w:p>
    <w:p w14:paraId="11214A53">
      <w:pPr>
        <w:spacing w:line="360" w:lineRule="auto"/>
        <w:ind w:left="630" w:firstLine="48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②提供本企业制造的货物、承担的工程或者服务，或者提供其他中小企业制造的货物。本项所称货物不包括使用大型企业注册商标的货物。</w:t>
      </w:r>
    </w:p>
    <w:p w14:paraId="04CB98DA">
      <w:pPr>
        <w:spacing w:line="360" w:lineRule="auto"/>
        <w:ind w:left="630" w:firstLine="480"/>
        <w:rPr>
          <w:rFonts w:hint="eastAsia" w:ascii="宋体" w:hAnsi="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中小企业划分标准以《工业和信息化部、国家统计局、国家发展和改革委员会、财政部关于印发中小企业划型标准的通知》（工信部联企业[2011]104号）规定的划分标准为准。小型、微型企业提供中型企业制造的货物的，视同为中型企业。</w:t>
      </w:r>
    </w:p>
    <w:p w14:paraId="1260D006">
      <w:pPr>
        <w:numPr>
          <w:ilvl w:val="0"/>
          <w:numId w:val="0"/>
        </w:numPr>
        <w:spacing w:line="360" w:lineRule="auto"/>
        <w:ind w:left="1110" w:leftChars="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③</w:t>
      </w:r>
      <w:r>
        <w:rPr>
          <w:rFonts w:hint="eastAsia" w:ascii="宋体" w:hAnsi="宋体"/>
          <w:bCs/>
          <w:color w:val="000000" w:themeColor="text1"/>
          <w:sz w:val="24"/>
          <w:highlight w:val="none"/>
          <w14:textFill>
            <w14:solidFill>
              <w14:schemeClr w14:val="tx1"/>
            </w14:solidFill>
          </w14:textFill>
        </w:rPr>
        <w:t>参加政府采购活动的中小企业应当提供《中小企业声明函》</w:t>
      </w:r>
    </w:p>
    <w:p w14:paraId="6C431862">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2）监狱企业产品价格扣除</w:t>
      </w:r>
    </w:p>
    <w:p w14:paraId="643C849C">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a）监狱企业视同小型、微型企业，按上述1.的a)条款享受评审中价格扣除。</w:t>
      </w:r>
    </w:p>
    <w:p w14:paraId="3B4AE3CF">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51287A">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c）监狱企业参加政府采购活动时，应当提供由省级以上监狱管理局、戒毒管理局（含新疆生产建设兵团）出具的属于监狱企业的证明文件，否则不予认可。</w:t>
      </w:r>
    </w:p>
    <w:p w14:paraId="72A47C06">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3）残疾人福利性单位产品价格扣除</w:t>
      </w:r>
    </w:p>
    <w:p w14:paraId="2D556B42">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a）残疾人福利性单位视同小型、微型企业，按上述1.的a)条款享受评审中价格扣除。</w:t>
      </w:r>
    </w:p>
    <w:p w14:paraId="5E50C6F8">
      <w:pPr>
        <w:tabs>
          <w:tab w:val="left" w:pos="1050"/>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b）根据财政部、民政部、中国残疾人联合会印发的《关于促进残疾人就业政府采购政策的通知》（财库〔2026〕141号）的规定，符合条件的残疾人福利性单位在参加政府采购活动时，应当提供该通知规定的《残疾人福利性单位声明函》（格式见第</w:t>
      </w:r>
      <w:r>
        <w:rPr>
          <w:rFonts w:hint="eastAsia" w:ascii="宋体" w:hAnsi="宋体"/>
          <w:bCs/>
          <w:color w:val="000000" w:themeColor="text1"/>
          <w:sz w:val="24"/>
          <w:highlight w:val="none"/>
          <w:lang w:val="en-US" w:eastAsia="zh-CN"/>
          <w14:textFill>
            <w14:solidFill>
              <w14:schemeClr w14:val="tx1"/>
            </w14:solidFill>
          </w14:textFill>
        </w:rPr>
        <w:t>五</w:t>
      </w:r>
      <w:r>
        <w:rPr>
          <w:rFonts w:hint="eastAsia" w:ascii="宋体" w:hAnsi="宋体"/>
          <w:bCs/>
          <w:color w:val="000000" w:themeColor="text1"/>
          <w:sz w:val="24"/>
          <w:highlight w:val="none"/>
          <w:lang w:eastAsia="zh-CN"/>
          <w14:textFill>
            <w14:solidFill>
              <w14:schemeClr w14:val="tx1"/>
            </w14:solidFill>
          </w14:textFill>
        </w:rPr>
        <w:t>章响应文件格式），并对声明的真实性负责。一旦中标将在中标公告中公告其声明函，接受社会监督。供应商提供的《残疾人福利性单位声明函》与事实不符的，依照《政府采购法》第七十七条第一款的规定追究法律责任。</w:t>
      </w:r>
    </w:p>
    <w:p w14:paraId="3091D5AD">
      <w:pPr>
        <w:tabs>
          <w:tab w:val="left" w:pos="1050"/>
        </w:tabs>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4.4</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同时为小型、微型企业、监狱企业和残疾人福利性单位任两种或以上情况的，评审中只享受一次价格扣除。不重复进行价格扣除。</w:t>
      </w:r>
    </w:p>
    <w:p w14:paraId="29896D8C">
      <w:pPr>
        <w:tabs>
          <w:tab w:val="left" w:pos="0"/>
        </w:tabs>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4.5</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节能产品、环保产品价格扣除：对获得节能产品认证证书或环境标志产品认证证书的产品给予5%的价格扣除。</w:t>
      </w:r>
    </w:p>
    <w:p w14:paraId="66F070B8">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价格评分</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取通过资格、符合性评审经过评标委员会修正及价格扣除后的所有</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中最低的投标价格作为基准价格。</w:t>
      </w:r>
    </w:p>
    <w:p w14:paraId="045920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计算公式（四舍五入保留两位小数）：</w:t>
      </w:r>
    </w:p>
    <w:p w14:paraId="589B0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价格评分= [基准价格÷经修正的投标报价]×100</w:t>
      </w:r>
    </w:p>
    <w:p w14:paraId="53FA40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价格得分=价格评分×价格部分权重</w:t>
      </w:r>
    </w:p>
    <w:p w14:paraId="7C13D723">
      <w:pPr>
        <w:spacing w:line="360" w:lineRule="auto"/>
        <w:rPr>
          <w:b/>
          <w:bCs/>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6.2 权重分配</w:t>
      </w:r>
      <w:bookmarkEnd w:id="458"/>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104"/>
        <w:gridCol w:w="2996"/>
      </w:tblGrid>
      <w:tr w14:paraId="7B8C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2A0232C7">
            <w:pPr>
              <w:spacing w:line="360" w:lineRule="auto"/>
              <w:jc w:val="center"/>
              <w:rPr>
                <w:rFonts w:hint="eastAsia" w:ascii="宋体" w:hAnsi="宋体"/>
                <w:b w:val="0"/>
                <w:bCs/>
                <w:color w:val="000000" w:themeColor="text1"/>
                <w:sz w:val="24"/>
                <w:szCs w:val="24"/>
                <w:highlight w:val="none"/>
                <w14:textFill>
                  <w14:solidFill>
                    <w14:schemeClr w14:val="tx1"/>
                  </w14:solidFill>
                </w14:textFill>
              </w:rPr>
            </w:pPr>
            <w:bookmarkStart w:id="459" w:name="_Toc61327443"/>
            <w:r>
              <w:rPr>
                <w:rFonts w:hint="eastAsia" w:ascii="宋体" w:hAnsi="宋体"/>
                <w:b w:val="0"/>
                <w:bCs/>
                <w:color w:val="000000" w:themeColor="text1"/>
                <w:sz w:val="24"/>
                <w:szCs w:val="24"/>
                <w:highlight w:val="none"/>
                <w14:textFill>
                  <w14:solidFill>
                    <w14:schemeClr w14:val="tx1"/>
                  </w14:solidFill>
                </w14:textFill>
              </w:rPr>
              <w:t>评分项目</w:t>
            </w:r>
          </w:p>
        </w:tc>
        <w:tc>
          <w:tcPr>
            <w:tcW w:w="3104" w:type="dxa"/>
            <w:noWrap w:val="0"/>
            <w:vAlign w:val="center"/>
          </w:tcPr>
          <w:p w14:paraId="7FC67819">
            <w:pPr>
              <w:spacing w:line="360" w:lineRule="auto"/>
              <w:jc w:val="center"/>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lang w:eastAsia="zh-CN"/>
                <w14:textFill>
                  <w14:solidFill>
                    <w14:schemeClr w14:val="tx1"/>
                  </w14:solidFill>
                </w14:textFill>
              </w:rPr>
              <w:t>商务</w:t>
            </w:r>
            <w:r>
              <w:rPr>
                <w:rFonts w:hint="eastAsia" w:ascii="宋体" w:hAnsi="宋体"/>
                <w:b w:val="0"/>
                <w:bCs/>
                <w:color w:val="000000" w:themeColor="text1"/>
                <w:sz w:val="24"/>
                <w:szCs w:val="24"/>
                <w:highlight w:val="none"/>
                <w14:textFill>
                  <w14:solidFill>
                    <w14:schemeClr w14:val="tx1"/>
                  </w14:solidFill>
                </w14:textFill>
              </w:rPr>
              <w:t>技术部分</w:t>
            </w:r>
          </w:p>
        </w:tc>
        <w:tc>
          <w:tcPr>
            <w:tcW w:w="2996" w:type="dxa"/>
            <w:noWrap w:val="0"/>
            <w:vAlign w:val="center"/>
          </w:tcPr>
          <w:p w14:paraId="51D67A03">
            <w:pPr>
              <w:spacing w:line="360" w:lineRule="auto"/>
              <w:jc w:val="center"/>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价格部分</w:t>
            </w:r>
          </w:p>
        </w:tc>
      </w:tr>
      <w:tr w14:paraId="0491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70FA473A">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权重</w:t>
            </w:r>
          </w:p>
        </w:tc>
        <w:tc>
          <w:tcPr>
            <w:tcW w:w="3104" w:type="dxa"/>
            <w:noWrap w:val="0"/>
            <w:vAlign w:val="center"/>
          </w:tcPr>
          <w:p w14:paraId="1EE17A2F">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90</w:t>
            </w:r>
            <w:r>
              <w:rPr>
                <w:rFonts w:hint="eastAsia" w:ascii="宋体" w:hAnsi="宋体"/>
                <w:color w:val="000000" w:themeColor="text1"/>
                <w:sz w:val="24"/>
                <w:szCs w:val="24"/>
                <w:highlight w:val="none"/>
                <w14:textFill>
                  <w14:solidFill>
                    <w14:schemeClr w14:val="tx1"/>
                  </w14:solidFill>
                </w14:textFill>
              </w:rPr>
              <w:t>%</w:t>
            </w:r>
          </w:p>
        </w:tc>
        <w:tc>
          <w:tcPr>
            <w:tcW w:w="2996" w:type="dxa"/>
            <w:noWrap w:val="0"/>
            <w:vAlign w:val="center"/>
          </w:tcPr>
          <w:p w14:paraId="6C870C3D">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w:t>
            </w:r>
          </w:p>
        </w:tc>
      </w:tr>
      <w:tr w14:paraId="14E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16984C6C">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满分</w:t>
            </w:r>
          </w:p>
        </w:tc>
        <w:tc>
          <w:tcPr>
            <w:tcW w:w="3104" w:type="dxa"/>
            <w:noWrap w:val="0"/>
            <w:vAlign w:val="center"/>
          </w:tcPr>
          <w:p w14:paraId="60116C4A">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90</w:t>
            </w:r>
            <w:r>
              <w:rPr>
                <w:rFonts w:hint="eastAsia" w:ascii="宋体" w:hAnsi="宋体"/>
                <w:color w:val="000000" w:themeColor="text1"/>
                <w:sz w:val="24"/>
                <w:szCs w:val="24"/>
                <w:highlight w:val="none"/>
                <w14:textFill>
                  <w14:solidFill>
                    <w14:schemeClr w14:val="tx1"/>
                  </w14:solidFill>
                </w14:textFill>
              </w:rPr>
              <w:t>分</w:t>
            </w:r>
          </w:p>
        </w:tc>
        <w:tc>
          <w:tcPr>
            <w:tcW w:w="2996" w:type="dxa"/>
            <w:noWrap w:val="0"/>
            <w:vAlign w:val="center"/>
          </w:tcPr>
          <w:p w14:paraId="03A0D67A">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分</w:t>
            </w:r>
          </w:p>
        </w:tc>
      </w:tr>
    </w:tbl>
    <w:p w14:paraId="571E8ED7">
      <w:pPr>
        <w:spacing w:line="360" w:lineRule="auto"/>
        <w:rPr>
          <w:b/>
          <w:bCs/>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6.3 综合得分</w:t>
      </w:r>
      <w:bookmarkEnd w:id="459"/>
    </w:p>
    <w:p w14:paraId="6F23DB7E">
      <w:pPr>
        <w:spacing w:line="360" w:lineRule="auto"/>
        <w:ind w:left="-2" w:leftChars="-1" w:firstLine="631"/>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综合得分=</w:t>
      </w:r>
      <w:r>
        <w:rPr>
          <w:rFonts w:hint="eastAsia" w:ascii="宋体" w:hAnsi="宋体"/>
          <w:b w:val="0"/>
          <w:bCs/>
          <w:color w:val="000000" w:themeColor="text1"/>
          <w:sz w:val="24"/>
          <w:highlight w:val="none"/>
          <w:lang w:eastAsia="zh-CN"/>
          <w14:textFill>
            <w14:solidFill>
              <w14:schemeClr w14:val="tx1"/>
            </w14:solidFill>
          </w14:textFill>
        </w:rPr>
        <w:t>商务</w:t>
      </w:r>
      <w:r>
        <w:rPr>
          <w:rFonts w:hint="eastAsia" w:ascii="宋体" w:hAnsi="宋体"/>
          <w:b w:val="0"/>
          <w:bCs/>
          <w:color w:val="000000" w:themeColor="text1"/>
          <w:sz w:val="24"/>
          <w:highlight w:val="none"/>
          <w14:textFill>
            <w14:solidFill>
              <w14:schemeClr w14:val="tx1"/>
            </w14:solidFill>
          </w14:textFill>
        </w:rPr>
        <w:t>技术得分+价格得分</w:t>
      </w:r>
    </w:p>
    <w:p w14:paraId="5AFC6544">
      <w:pPr>
        <w:spacing w:afterAutospacing="0" w:line="360" w:lineRule="auto"/>
        <w:ind w:left="-2" w:leftChars="-1" w:firstLine="63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评标委员会根据</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最终得分高低排定名次。</w:t>
      </w:r>
    </w:p>
    <w:p w14:paraId="5D901C8B">
      <w:pPr>
        <w:pStyle w:val="4"/>
        <w:spacing w:before="0" w:beforeLines="0" w:beforeAutospacing="0" w:after="0" w:afterLines="0" w:afterAutospacing="0" w:line="360" w:lineRule="auto"/>
        <w:rPr>
          <w:color w:val="000000" w:themeColor="text1"/>
          <w:sz w:val="28"/>
          <w:szCs w:val="28"/>
          <w:highlight w:val="none"/>
          <w14:textFill>
            <w14:solidFill>
              <w14:schemeClr w14:val="tx1"/>
            </w14:solidFill>
          </w14:textFill>
        </w:rPr>
      </w:pPr>
      <w:bookmarkStart w:id="460" w:name="_Toc5124218"/>
      <w:bookmarkStart w:id="461" w:name="_Toc486969388"/>
      <w:bookmarkStart w:id="462" w:name="_Toc438513743"/>
      <w:bookmarkStart w:id="463" w:name="_Toc438508606"/>
      <w:bookmarkStart w:id="464" w:name="_Toc418023342"/>
      <w:bookmarkStart w:id="465" w:name="_Toc439679277"/>
      <w:bookmarkStart w:id="466" w:name="_Toc9612860"/>
      <w:bookmarkStart w:id="467" w:name="_Toc10446428"/>
      <w:bookmarkStart w:id="468" w:name="_Toc425347671"/>
      <w:bookmarkStart w:id="469" w:name="_Toc9864096"/>
      <w:bookmarkStart w:id="470" w:name="_Toc422162001"/>
      <w:bookmarkStart w:id="471" w:name="_Toc479340798"/>
      <w:bookmarkStart w:id="472" w:name="_Toc494832096"/>
      <w:bookmarkStart w:id="473" w:name="_Toc11931294"/>
      <w:bookmarkStart w:id="474" w:name="_Toc479325601"/>
      <w:bookmarkStart w:id="475" w:name="_Toc523170351"/>
      <w:bookmarkStart w:id="476" w:name="_Toc422865430"/>
      <w:bookmarkStart w:id="477" w:name="_Toc477879849"/>
      <w:bookmarkStart w:id="478" w:name="_Toc522529814"/>
      <w:bookmarkStart w:id="479" w:name="_Toc416208495"/>
      <w:bookmarkStart w:id="480" w:name="_Toc514177062"/>
      <w:bookmarkStart w:id="481" w:name="_Toc438722139"/>
      <w:bookmarkStart w:id="482" w:name="_Toc25468"/>
      <w:bookmarkStart w:id="483" w:name="_Toc487044261"/>
      <w:bookmarkStart w:id="484" w:name="_Toc498899392"/>
      <w:bookmarkStart w:id="485" w:name="_Toc458980402"/>
      <w:bookmarkStart w:id="486" w:name="_Toc358307756"/>
      <w:bookmarkStart w:id="487" w:name="_Toc458635605"/>
      <w:bookmarkStart w:id="488" w:name="_Toc369081827"/>
      <w:bookmarkStart w:id="489" w:name="_Toc11944601"/>
      <w:bookmarkStart w:id="490" w:name="_Toc524368799"/>
      <w:bookmarkStart w:id="491" w:name="_Toc509337175"/>
      <w:bookmarkStart w:id="492" w:name="_Toc273342939"/>
      <w:bookmarkStart w:id="493" w:name="_Toc470184450"/>
      <w:bookmarkStart w:id="494" w:name="_Toc509337060"/>
      <w:bookmarkStart w:id="495" w:name="_Toc498871260"/>
      <w:bookmarkStart w:id="496" w:name="_Toc23766"/>
      <w:bookmarkStart w:id="497" w:name="_Toc524517871"/>
      <w:bookmarkStart w:id="498" w:name="_Toc439513170"/>
      <w:bookmarkStart w:id="499" w:name="_Toc414510789"/>
      <w:bookmarkStart w:id="500" w:name="_Toc439513454"/>
      <w:r>
        <w:rPr>
          <w:rFonts w:hint="eastAsia"/>
          <w:color w:val="000000" w:themeColor="text1"/>
          <w:sz w:val="28"/>
          <w:szCs w:val="28"/>
          <w:highlight w:val="none"/>
          <w14:textFill>
            <w14:solidFill>
              <w14:schemeClr w14:val="tx1"/>
            </w14:solidFill>
          </w14:textFill>
        </w:rPr>
        <w:t>7、定标和授标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EB2B0A5">
      <w:pPr>
        <w:spacing w:beforeAutospacing="0" w:line="360" w:lineRule="auto"/>
        <w:ind w:left="425" w:hanging="424" w:hangingChars="177"/>
        <w:rPr>
          <w:rFonts w:ascii="宋体" w:hAnsi="宋体"/>
          <w:color w:val="000000" w:themeColor="text1"/>
          <w:sz w:val="24"/>
          <w:highlight w:val="none"/>
          <w14:textFill>
            <w14:solidFill>
              <w14:schemeClr w14:val="tx1"/>
            </w14:solidFill>
          </w14:textFill>
        </w:rPr>
      </w:pPr>
      <w:bookmarkStart w:id="501" w:name="_Toc273342940"/>
      <w:bookmarkStart w:id="502" w:name="_Toc160609601"/>
      <w:bookmarkStart w:id="503" w:name="_Toc369081828"/>
      <w:bookmarkStart w:id="504" w:name="_Toc358307757"/>
      <w:r>
        <w:rPr>
          <w:rFonts w:hint="eastAsia" w:ascii="宋体" w:hAnsi="宋体"/>
          <w:color w:val="000000" w:themeColor="text1"/>
          <w:sz w:val="24"/>
          <w:szCs w:val="24"/>
          <w:highlight w:val="none"/>
          <w14:textFill>
            <w14:solidFill>
              <w14:schemeClr w14:val="tx1"/>
            </w14:solidFill>
          </w14:textFill>
        </w:rPr>
        <w:t>7.1综合</w:t>
      </w:r>
      <w:r>
        <w:rPr>
          <w:rFonts w:hint="eastAsia" w:ascii="宋体" w:hAnsi="宋体"/>
          <w:color w:val="000000" w:themeColor="text1"/>
          <w:sz w:val="24"/>
          <w:highlight w:val="none"/>
          <w14:textFill>
            <w14:solidFill>
              <w14:schemeClr w14:val="tx1"/>
            </w14:solidFill>
          </w14:textFill>
        </w:rPr>
        <w:t>得分相同时按下列顺序比较确定：（1）节能产品；（2）环保产品；（3）投标报价（由低到高）；（4）</w:t>
      </w:r>
      <w:r>
        <w:rPr>
          <w:rFonts w:hint="eastAsia" w:ascii="宋体" w:hAnsi="宋体"/>
          <w:color w:val="000000" w:themeColor="text1"/>
          <w:sz w:val="24"/>
          <w:highlight w:val="none"/>
          <w:lang w:eastAsia="zh-CN"/>
          <w14:textFill>
            <w14:solidFill>
              <w14:schemeClr w14:val="tx1"/>
            </w14:solidFill>
          </w14:textFill>
        </w:rPr>
        <w:t>商务</w:t>
      </w:r>
      <w:r>
        <w:rPr>
          <w:rFonts w:hint="eastAsia" w:ascii="宋体" w:hAnsi="宋体"/>
          <w:color w:val="000000" w:themeColor="text1"/>
          <w:sz w:val="24"/>
          <w:highlight w:val="none"/>
          <w14:textFill>
            <w14:solidFill>
              <w14:schemeClr w14:val="tx1"/>
            </w14:solidFill>
          </w14:textFill>
        </w:rPr>
        <w:t>技术评分（由高到低）。如以上都相同的，名次由评标委员会抽签确定。</w:t>
      </w:r>
    </w:p>
    <w:p w14:paraId="3D117830">
      <w:pPr>
        <w:spacing w:line="360" w:lineRule="auto"/>
        <w:ind w:left="425" w:hanging="424" w:hangingChars="177"/>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7.2评标委员会将综合得分排名第一名的</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推荐给</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作为第一中标候选人。</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具体详见供应商须知前附表第34条</w:t>
      </w:r>
      <w:r>
        <w:rPr>
          <w:rFonts w:hint="eastAsia" w:ascii="宋体" w:hAnsi="宋体"/>
          <w:color w:val="000000" w:themeColor="text1"/>
          <w:sz w:val="24"/>
          <w:szCs w:val="24"/>
          <w:highlight w:val="none"/>
          <w:lang w:eastAsia="zh-CN"/>
          <w14:textFill>
            <w14:solidFill>
              <w14:schemeClr w14:val="tx1"/>
            </w14:solidFill>
          </w14:textFill>
        </w:rPr>
        <w:t>）</w:t>
      </w:r>
    </w:p>
    <w:p w14:paraId="0AAB82A9">
      <w:pPr>
        <w:spacing w:line="360" w:lineRule="auto"/>
        <w:ind w:left="425" w:hanging="424" w:hangingChars="177"/>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7.3中标候选人放弃中标、或因不可抗力提出不能履行合同</w:t>
      </w:r>
      <w:r>
        <w:rPr>
          <w:rFonts w:hint="eastAsia" w:ascii="宋体" w:hAnsi="宋体"/>
          <w:color w:val="000000" w:themeColor="text1"/>
          <w:sz w:val="24"/>
          <w:szCs w:val="24"/>
          <w:highlight w:val="none"/>
          <w:lang w:eastAsia="zh-CN"/>
          <w14:textFill>
            <w14:solidFill>
              <w14:schemeClr w14:val="tx1"/>
            </w14:solidFill>
          </w14:textFill>
        </w:rPr>
        <w:t>，或</w:t>
      </w:r>
      <w:r>
        <w:rPr>
          <w:rFonts w:hint="eastAsia" w:ascii="宋体" w:hAnsi="宋体"/>
          <w:color w:val="000000" w:themeColor="text1"/>
          <w:sz w:val="24"/>
          <w:szCs w:val="24"/>
          <w:highlight w:val="none"/>
          <w14:textFill>
            <w14:solidFill>
              <w14:schemeClr w14:val="tx1"/>
            </w14:solidFill>
          </w14:textFill>
        </w:rPr>
        <w:t>未通过资格后审，或被取消资格的，须经监管部门批准后，</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方可按顺序选择候补</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或废标重招。</w:t>
      </w:r>
    </w:p>
    <w:p w14:paraId="5471D040">
      <w:pPr>
        <w:spacing w:line="360" w:lineRule="auto"/>
        <w:ind w:left="425" w:hanging="424" w:hangingChars="177"/>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7.4评标委员会提出评标书面报告和推荐中标意见报</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审批，审批通过后将对预中标人进行最终澄清及对</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的资格和履约能力进行再次审查，形成最终合同的基础文件。如在最终澄清过程中，发现预中标人存在重大问题造成其履约能力不能满足要求的，须报监管部门并经批准后，</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方可按顺序选择候补</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或废标重招。</w:t>
      </w:r>
    </w:p>
    <w:p w14:paraId="269124B3">
      <w:pPr>
        <w:spacing w:line="360" w:lineRule="auto"/>
        <w:ind w:left="425" w:hanging="424" w:hanging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7.5最终澄清</w:t>
      </w:r>
      <w:r>
        <w:rPr>
          <w:rFonts w:hint="eastAsia" w:ascii="宋体"/>
          <w:color w:val="000000" w:themeColor="text1"/>
          <w:sz w:val="24"/>
          <w:szCs w:val="24"/>
          <w:highlight w:val="none"/>
          <w14:textFill>
            <w14:solidFill>
              <w14:schemeClr w14:val="tx1"/>
            </w14:solidFill>
          </w14:textFill>
        </w:rPr>
        <w:t>完成</w:t>
      </w:r>
      <w:r>
        <w:rPr>
          <w:rFonts w:hint="eastAsia" w:ascii="宋体" w:hAnsi="宋体"/>
          <w:color w:val="000000" w:themeColor="text1"/>
          <w:sz w:val="24"/>
          <w:highlight w:val="none"/>
          <w14:textFill>
            <w14:solidFill>
              <w14:schemeClr w14:val="tx1"/>
            </w14:solidFill>
          </w14:textFill>
        </w:rPr>
        <w:t>后，由采购代理机构根据</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的确认结果发布招标结果公告。采购代理机构将在下列媒体公告中标结果：</w:t>
      </w:r>
      <w:r>
        <w:rPr>
          <w:rFonts w:hint="eastAsia" w:hAnsi="宋体"/>
          <w:color w:val="000000" w:themeColor="text1"/>
          <w:sz w:val="24"/>
          <w:highlight w:val="none"/>
          <w:lang w:eastAsia="zh-CN"/>
          <w14:textFill>
            <w14:solidFill>
              <w14:schemeClr w14:val="tx1"/>
            </w14:solidFill>
          </w14:textFill>
        </w:rPr>
        <w:t>新疆政府采购网</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F78CD0E">
      <w:pPr>
        <w:spacing w:afterAutospacing="0" w:line="360" w:lineRule="auto"/>
        <w:ind w:left="425" w:hanging="424" w:hanging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应当自</w:t>
      </w:r>
      <w:r>
        <w:rPr>
          <w:rFonts w:hint="eastAsia" w:ascii="宋体" w:hAnsi="宋体"/>
          <w:color w:val="000000" w:themeColor="text1"/>
          <w:sz w:val="24"/>
          <w:highlight w:val="none"/>
          <w:lang w:eastAsia="zh-CN"/>
          <w14:textFill>
            <w14:solidFill>
              <w14:schemeClr w14:val="tx1"/>
            </w14:solidFill>
          </w14:textFill>
        </w:rPr>
        <w:t>成交通知书</w:t>
      </w:r>
      <w:r>
        <w:rPr>
          <w:rFonts w:hint="eastAsia" w:ascii="宋体" w:hAnsi="宋体"/>
          <w:color w:val="000000" w:themeColor="text1"/>
          <w:sz w:val="24"/>
          <w:highlight w:val="none"/>
          <w14:textFill>
            <w14:solidFill>
              <w14:schemeClr w14:val="tx1"/>
            </w14:solidFill>
          </w14:textFill>
        </w:rPr>
        <w:t>发出之日起30日内，按照</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和中标人</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的规定，与中标人签订书面合同。所签订的合同不得对</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确定的事项和中标人</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作实质性修改。</w:t>
      </w:r>
    </w:p>
    <w:p w14:paraId="5A4F548E">
      <w:pPr>
        <w:pStyle w:val="4"/>
        <w:spacing w:before="0" w:beforeLines="0" w:beforeAutospacing="0" w:after="0" w:afterLines="0" w:afterAutospacing="0"/>
        <w:rPr>
          <w:rFonts w:hint="eastAsia"/>
          <w:color w:val="000000" w:themeColor="text1"/>
          <w:sz w:val="28"/>
          <w:szCs w:val="28"/>
          <w:highlight w:val="none"/>
          <w14:textFill>
            <w14:solidFill>
              <w14:schemeClr w14:val="tx1"/>
            </w14:solidFill>
          </w14:textFill>
        </w:rPr>
      </w:pPr>
      <w:bookmarkStart w:id="505" w:name="_Toc438508607"/>
      <w:bookmarkStart w:id="506" w:name="_Toc439513455"/>
      <w:bookmarkStart w:id="507" w:name="_Toc509337061"/>
      <w:bookmarkStart w:id="508" w:name="_Toc425347672"/>
      <w:bookmarkStart w:id="509" w:name="_Toc5124219"/>
      <w:bookmarkStart w:id="510" w:name="_Toc498871261"/>
      <w:bookmarkStart w:id="511" w:name="_Toc11931295"/>
      <w:bookmarkStart w:id="512" w:name="_Toc498899393"/>
      <w:bookmarkStart w:id="513" w:name="_Toc479340799"/>
      <w:bookmarkStart w:id="514" w:name="_Toc11944602"/>
      <w:bookmarkStart w:id="515" w:name="_Toc522529815"/>
      <w:bookmarkStart w:id="516" w:name="_Toc524517872"/>
      <w:bookmarkStart w:id="517" w:name="_Toc479325602"/>
      <w:bookmarkStart w:id="518" w:name="_Toc414510790"/>
      <w:bookmarkStart w:id="519" w:name="_Toc439679278"/>
      <w:bookmarkStart w:id="520" w:name="_Toc487044262"/>
      <w:bookmarkStart w:id="521" w:name="_Toc10446429"/>
      <w:bookmarkStart w:id="522" w:name="_Toc458980403"/>
      <w:bookmarkStart w:id="523" w:name="_Toc523170352"/>
      <w:bookmarkStart w:id="524" w:name="_Toc524368800"/>
      <w:bookmarkStart w:id="525" w:name="_Toc422865431"/>
      <w:bookmarkStart w:id="526" w:name="_Toc9864097"/>
      <w:bookmarkStart w:id="527" w:name="_Toc438513744"/>
      <w:bookmarkStart w:id="528" w:name="_Toc514177063"/>
      <w:bookmarkStart w:id="529" w:name="_Toc458635606"/>
      <w:bookmarkStart w:id="530" w:name="_Toc416208496"/>
      <w:bookmarkStart w:id="531" w:name="_Toc470184451"/>
      <w:bookmarkStart w:id="532" w:name="_Toc494832097"/>
      <w:bookmarkStart w:id="533" w:name="_Toc509337176"/>
      <w:bookmarkStart w:id="534" w:name="_Toc5714"/>
      <w:bookmarkStart w:id="535" w:name="_Toc438722140"/>
      <w:bookmarkStart w:id="536" w:name="_Toc439513171"/>
      <w:bookmarkStart w:id="537" w:name="_Toc486969389"/>
      <w:bookmarkStart w:id="538" w:name="_Toc418023343"/>
      <w:bookmarkStart w:id="539" w:name="_Toc17799"/>
      <w:bookmarkStart w:id="540" w:name="_Toc477879850"/>
      <w:bookmarkStart w:id="541" w:name="_Toc422162002"/>
      <w:bookmarkStart w:id="542" w:name="_Toc9612861"/>
      <w:r>
        <w:rPr>
          <w:rFonts w:hint="eastAsia"/>
          <w:color w:val="000000" w:themeColor="text1"/>
          <w:sz w:val="28"/>
          <w:szCs w:val="28"/>
          <w:highlight w:val="none"/>
          <w14:textFill>
            <w14:solidFill>
              <w14:schemeClr w14:val="tx1"/>
            </w14:solidFill>
          </w14:textFill>
        </w:rPr>
        <w:t>8、附表</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20E4CD1">
      <w:pPr>
        <w:spacing w:beforeAutospacing="0" w:line="360" w:lineRule="auto"/>
        <w:ind w:firstLine="460" w:firstLineChars="192"/>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附表1 资格审查表</w:t>
      </w:r>
    </w:p>
    <w:p w14:paraId="07FA2CA3">
      <w:pPr>
        <w:spacing w:line="360" w:lineRule="auto"/>
        <w:ind w:firstLine="460" w:firstLineChars="19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附表2 符合性审查表</w:t>
      </w:r>
    </w:p>
    <w:p w14:paraId="3CC57EE2">
      <w:pPr>
        <w:spacing w:line="360" w:lineRule="auto"/>
        <w:ind w:firstLine="460" w:firstLineChars="19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附表3 </w:t>
      </w:r>
      <w:r>
        <w:rPr>
          <w:rFonts w:hint="eastAsia" w:ascii="宋体" w:hAnsi="宋体"/>
          <w:color w:val="000000" w:themeColor="text1"/>
          <w:sz w:val="24"/>
          <w:highlight w:val="none"/>
          <w:lang w:eastAsia="zh-CN"/>
          <w14:textFill>
            <w14:solidFill>
              <w14:schemeClr w14:val="tx1"/>
            </w14:solidFill>
          </w14:textFill>
        </w:rPr>
        <w:t>商务</w:t>
      </w:r>
      <w:r>
        <w:rPr>
          <w:rFonts w:hint="eastAsia" w:ascii="宋体" w:hAnsi="宋体"/>
          <w:color w:val="000000" w:themeColor="text1"/>
          <w:sz w:val="24"/>
          <w:highlight w:val="none"/>
          <w14:textFill>
            <w14:solidFill>
              <w14:schemeClr w14:val="tx1"/>
            </w14:solidFill>
          </w14:textFill>
        </w:rPr>
        <w:t>技术响应性评审表</w:t>
      </w:r>
    </w:p>
    <w:p w14:paraId="348D1573">
      <w:pPr>
        <w:spacing w:line="360" w:lineRule="auto"/>
        <w:ind w:firstLine="460" w:firstLineChars="192"/>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附表4 </w:t>
      </w:r>
      <w:r>
        <w:rPr>
          <w:rFonts w:hint="eastAsia" w:ascii="宋体" w:hAnsi="宋体"/>
          <w:bCs/>
          <w:color w:val="000000" w:themeColor="text1"/>
          <w:sz w:val="24"/>
          <w:highlight w:val="none"/>
          <w14:textFill>
            <w14:solidFill>
              <w14:schemeClr w14:val="tx1"/>
            </w14:solidFill>
          </w14:textFill>
        </w:rPr>
        <w:t>价格响应性</w:t>
      </w:r>
      <w:r>
        <w:rPr>
          <w:rFonts w:hint="eastAsia" w:ascii="宋体" w:hAnsi="宋体"/>
          <w:color w:val="000000" w:themeColor="text1"/>
          <w:sz w:val="24"/>
          <w:highlight w:val="none"/>
          <w14:textFill>
            <w14:solidFill>
              <w14:schemeClr w14:val="tx1"/>
            </w14:solidFill>
          </w14:textFill>
        </w:rPr>
        <w:t>评审</w:t>
      </w:r>
      <w:r>
        <w:rPr>
          <w:rFonts w:hint="eastAsia" w:ascii="宋体" w:hAnsi="宋体"/>
          <w:bCs/>
          <w:color w:val="000000" w:themeColor="text1"/>
          <w:sz w:val="24"/>
          <w:highlight w:val="none"/>
          <w14:textFill>
            <w14:solidFill>
              <w14:schemeClr w14:val="tx1"/>
            </w14:solidFill>
          </w14:textFill>
        </w:rPr>
        <w:t>表</w:t>
      </w:r>
    </w:p>
    <w:p w14:paraId="70C6FAA9">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Start w:id="543" w:name="_Toc422162003"/>
      <w:bookmarkStart w:id="544" w:name="_Toc422865432"/>
      <w:bookmarkStart w:id="545" w:name="_Toc438508608"/>
      <w:bookmarkStart w:id="546" w:name="_Toc438513745"/>
      <w:bookmarkStart w:id="547" w:name="_Toc439513456"/>
      <w:bookmarkStart w:id="548" w:name="_Toc425347673"/>
      <w:bookmarkStart w:id="549" w:name="_Toc477879851"/>
      <w:bookmarkStart w:id="550" w:name="_Toc486969390"/>
      <w:bookmarkStart w:id="551" w:name="_Toc438722141"/>
      <w:bookmarkStart w:id="552" w:name="_Toc414510791"/>
      <w:bookmarkStart w:id="553" w:name="_Toc487044263"/>
      <w:bookmarkStart w:id="554" w:name="_Toc418023344"/>
      <w:bookmarkStart w:id="555" w:name="_Toc439679279"/>
      <w:bookmarkStart w:id="556" w:name="_Toc6196"/>
      <w:bookmarkStart w:id="557" w:name="_Toc479325603"/>
      <w:bookmarkStart w:id="558" w:name="_Toc479340800"/>
      <w:bookmarkStart w:id="559" w:name="_Toc470184452"/>
      <w:bookmarkStart w:id="560" w:name="_Toc458635607"/>
      <w:bookmarkStart w:id="561" w:name="_Toc416208497"/>
      <w:bookmarkStart w:id="562" w:name="_Toc458980404"/>
      <w:bookmarkStart w:id="563" w:name="_Toc439513172"/>
    </w:p>
    <w:p w14:paraId="3B6C68EA">
      <w:pPr>
        <w:spacing w:line="360" w:lineRule="auto"/>
        <w:outlineLvl w:val="2"/>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附表1 资格审查表</w:t>
      </w:r>
    </w:p>
    <w:tbl>
      <w:tblPr>
        <w:tblStyle w:val="32"/>
        <w:tblW w:w="95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686"/>
        <w:gridCol w:w="6111"/>
      </w:tblGrid>
      <w:tr w14:paraId="36760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52" w:type="dxa"/>
            <w:tcBorders>
              <w:tl2br w:val="nil"/>
              <w:tr2bl w:val="nil"/>
            </w:tcBorders>
            <w:shd w:val="clear" w:color="auto" w:fill="D7D7D7"/>
            <w:noWrap w:val="0"/>
            <w:vAlign w:val="center"/>
          </w:tcPr>
          <w:p w14:paraId="3208975A">
            <w:pPr>
              <w:spacing w:line="360" w:lineRule="auto"/>
              <w:jc w:val="center"/>
              <w:rPr>
                <w:rFonts w:hint="eastAsia" w:hAnsi="宋体" w:cs="宋体"/>
                <w:b/>
                <w:bCs/>
                <w:color w:val="auto"/>
                <w:sz w:val="24"/>
                <w:highlight w:val="none"/>
              </w:rPr>
            </w:pPr>
            <w:r>
              <w:rPr>
                <w:rFonts w:hint="eastAsia" w:hAnsi="宋体" w:cs="宋体"/>
                <w:b/>
                <w:bCs/>
                <w:color w:val="auto"/>
                <w:sz w:val="24"/>
                <w:highlight w:val="none"/>
              </w:rPr>
              <w:t>序号</w:t>
            </w:r>
          </w:p>
        </w:tc>
        <w:tc>
          <w:tcPr>
            <w:tcW w:w="8797" w:type="dxa"/>
            <w:gridSpan w:val="2"/>
            <w:tcBorders>
              <w:tl2br w:val="nil"/>
              <w:tr2bl w:val="nil"/>
            </w:tcBorders>
            <w:shd w:val="clear" w:color="auto" w:fill="D7D7D7"/>
            <w:noWrap w:val="0"/>
            <w:vAlign w:val="center"/>
          </w:tcPr>
          <w:p w14:paraId="0F9165F0">
            <w:pPr>
              <w:spacing w:line="360" w:lineRule="auto"/>
              <w:ind w:right="-124" w:rightChars="-59"/>
              <w:jc w:val="center"/>
              <w:rPr>
                <w:rFonts w:hint="eastAsia" w:hAnsi="宋体" w:cs="宋体"/>
                <w:b/>
                <w:bCs/>
                <w:color w:val="auto"/>
                <w:sz w:val="24"/>
                <w:highlight w:val="none"/>
              </w:rPr>
            </w:pPr>
            <w:r>
              <w:rPr>
                <w:rFonts w:hint="eastAsia" w:hAnsi="宋体" w:cs="宋体"/>
                <w:b/>
                <w:bCs/>
                <w:color w:val="auto"/>
                <w:sz w:val="24"/>
                <w:highlight w:val="none"/>
              </w:rPr>
              <w:t>评审内容</w:t>
            </w:r>
          </w:p>
        </w:tc>
      </w:tr>
      <w:tr w14:paraId="62E33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6A8F01FF">
            <w:pPr>
              <w:spacing w:line="360" w:lineRule="auto"/>
              <w:jc w:val="center"/>
              <w:rPr>
                <w:rFonts w:hint="eastAsia" w:hAnsi="宋体" w:cs="Tahoma"/>
                <w:color w:val="auto"/>
                <w:sz w:val="24"/>
                <w:highlight w:val="none"/>
              </w:rPr>
            </w:pPr>
            <w:r>
              <w:rPr>
                <w:rFonts w:hint="eastAsia" w:hAnsi="宋体" w:cs="Tahoma"/>
                <w:color w:val="auto"/>
                <w:sz w:val="24"/>
                <w:highlight w:val="none"/>
              </w:rPr>
              <w:t>1</w:t>
            </w:r>
          </w:p>
        </w:tc>
        <w:tc>
          <w:tcPr>
            <w:tcW w:w="2686" w:type="dxa"/>
            <w:tcBorders>
              <w:tl2br w:val="nil"/>
              <w:tr2bl w:val="nil"/>
            </w:tcBorders>
            <w:noWrap w:val="0"/>
            <w:vAlign w:val="center"/>
          </w:tcPr>
          <w:p w14:paraId="58A111D9">
            <w:pPr>
              <w:spacing w:line="360" w:lineRule="auto"/>
              <w:rPr>
                <w:rFonts w:hint="eastAsia" w:hAnsi="宋体" w:cs="Tahoma"/>
                <w:color w:val="auto"/>
                <w:sz w:val="24"/>
                <w:szCs w:val="24"/>
                <w:highlight w:val="none"/>
              </w:rPr>
            </w:pPr>
            <w:r>
              <w:rPr>
                <w:rFonts w:hint="eastAsia" w:hAnsi="宋体" w:cs="Tahoma"/>
                <w:color w:val="auto"/>
                <w:kern w:val="28"/>
                <w:sz w:val="24"/>
                <w:highlight w:val="none"/>
              </w:rPr>
              <w:t>具有独立承担民事责任的能力</w:t>
            </w:r>
          </w:p>
        </w:tc>
        <w:tc>
          <w:tcPr>
            <w:tcW w:w="6111" w:type="dxa"/>
            <w:tcBorders>
              <w:tl2br w:val="nil"/>
              <w:tr2bl w:val="nil"/>
            </w:tcBorders>
            <w:noWrap w:val="0"/>
            <w:vAlign w:val="center"/>
          </w:tcPr>
          <w:p w14:paraId="440D4A62">
            <w:pPr>
              <w:spacing w:line="360" w:lineRule="auto"/>
              <w:rPr>
                <w:rFonts w:hint="eastAsia" w:hAnsi="宋体" w:cs="Tahoma"/>
                <w:color w:val="auto"/>
                <w:kern w:val="28"/>
                <w:sz w:val="24"/>
                <w:highlight w:val="none"/>
              </w:rPr>
            </w:pPr>
            <w:r>
              <w:rPr>
                <w:rFonts w:hint="eastAsia" w:hAnsi="宋体" w:cs="Tahoma"/>
                <w:color w:val="auto"/>
                <w:kern w:val="28"/>
                <w:sz w:val="24"/>
                <w:highlight w:val="none"/>
              </w:rPr>
              <w:t>在中华人民共和国境内依法注册的、具有独立承担民事责任的能力，提供有效的营业执照；</w:t>
            </w:r>
          </w:p>
        </w:tc>
      </w:tr>
      <w:tr w14:paraId="1B309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5FB9A074">
            <w:pPr>
              <w:spacing w:line="360" w:lineRule="auto"/>
              <w:jc w:val="center"/>
              <w:rPr>
                <w:rFonts w:hint="eastAsia" w:hAnsi="宋体" w:cs="Tahoma"/>
                <w:color w:val="auto"/>
                <w:sz w:val="24"/>
                <w:highlight w:val="none"/>
              </w:rPr>
            </w:pPr>
            <w:r>
              <w:rPr>
                <w:rFonts w:hint="eastAsia" w:hAnsi="宋体" w:cs="Tahoma"/>
                <w:color w:val="auto"/>
                <w:sz w:val="24"/>
                <w:highlight w:val="none"/>
              </w:rPr>
              <w:t>2</w:t>
            </w:r>
          </w:p>
        </w:tc>
        <w:tc>
          <w:tcPr>
            <w:tcW w:w="2686" w:type="dxa"/>
            <w:tcBorders>
              <w:tl2br w:val="nil"/>
              <w:tr2bl w:val="nil"/>
            </w:tcBorders>
            <w:noWrap w:val="0"/>
            <w:vAlign w:val="center"/>
          </w:tcPr>
          <w:p w14:paraId="57C3D43F">
            <w:pPr>
              <w:spacing w:line="360" w:lineRule="auto"/>
              <w:rPr>
                <w:rFonts w:hint="eastAsia" w:hAnsi="宋体" w:cs="Tahoma"/>
                <w:color w:val="auto"/>
                <w:kern w:val="28"/>
                <w:sz w:val="24"/>
                <w:highlight w:val="none"/>
              </w:rPr>
            </w:pPr>
            <w:r>
              <w:rPr>
                <w:rFonts w:hint="eastAsia" w:hAnsi="宋体" w:cs="Tahoma"/>
                <w:color w:val="auto"/>
                <w:kern w:val="28"/>
                <w:sz w:val="24"/>
                <w:highlight w:val="none"/>
              </w:rPr>
              <w:t>法定代表人身份证明或法定代表人授权委托书</w:t>
            </w:r>
          </w:p>
        </w:tc>
        <w:tc>
          <w:tcPr>
            <w:tcW w:w="6111" w:type="dxa"/>
            <w:tcBorders>
              <w:tl2br w:val="nil"/>
              <w:tr2bl w:val="nil"/>
            </w:tcBorders>
            <w:noWrap w:val="0"/>
            <w:vAlign w:val="center"/>
          </w:tcPr>
          <w:p w14:paraId="181439FD">
            <w:pPr>
              <w:spacing w:line="360" w:lineRule="auto"/>
              <w:rPr>
                <w:rFonts w:hint="eastAsia" w:hAnsi="宋体" w:cs="Tahoma"/>
                <w:color w:val="auto"/>
                <w:kern w:val="28"/>
                <w:sz w:val="24"/>
                <w:highlight w:val="none"/>
              </w:rPr>
            </w:pPr>
            <w:r>
              <w:rPr>
                <w:rFonts w:hint="eastAsia" w:hAnsi="宋体" w:cs="Tahoma"/>
                <w:color w:val="auto"/>
                <w:kern w:val="28"/>
                <w:sz w:val="24"/>
                <w:highlight w:val="none"/>
              </w:rPr>
              <w:t>有效的法定代表人身份证明（法人）及法人身份证或具有法定效力的法定代表人授权委托书、被委托人身份证；</w:t>
            </w:r>
          </w:p>
        </w:tc>
      </w:tr>
      <w:tr w14:paraId="020F2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48FC70A0">
            <w:pPr>
              <w:spacing w:line="360" w:lineRule="auto"/>
              <w:jc w:val="center"/>
              <w:rPr>
                <w:rFonts w:hint="eastAsia" w:hAnsi="宋体" w:eastAsia="宋体" w:cs="Tahoma"/>
                <w:color w:val="auto"/>
                <w:sz w:val="24"/>
                <w:highlight w:val="none"/>
                <w:lang w:val="en-US" w:eastAsia="zh-CN"/>
              </w:rPr>
            </w:pPr>
            <w:r>
              <w:rPr>
                <w:rFonts w:hint="eastAsia" w:hAnsi="宋体" w:cs="Tahoma"/>
                <w:color w:val="auto"/>
                <w:sz w:val="24"/>
                <w:highlight w:val="none"/>
                <w:lang w:val="en-US" w:eastAsia="zh-CN"/>
              </w:rPr>
              <w:t>3</w:t>
            </w:r>
          </w:p>
        </w:tc>
        <w:tc>
          <w:tcPr>
            <w:tcW w:w="2686" w:type="dxa"/>
            <w:tcBorders>
              <w:tl2br w:val="nil"/>
              <w:tr2bl w:val="nil"/>
            </w:tcBorders>
            <w:noWrap w:val="0"/>
            <w:vAlign w:val="center"/>
          </w:tcPr>
          <w:p w14:paraId="138CBFCA">
            <w:pPr>
              <w:spacing w:line="360" w:lineRule="auto"/>
              <w:rPr>
                <w:rFonts w:hint="eastAsia" w:hAnsi="宋体" w:cs="Tahoma"/>
                <w:color w:val="auto"/>
                <w:kern w:val="28"/>
                <w:sz w:val="24"/>
                <w:highlight w:val="none"/>
              </w:rPr>
            </w:pPr>
            <w:r>
              <w:rPr>
                <w:rFonts w:hint="eastAsia" w:hAnsi="宋体" w:cs="Tahoma"/>
                <w:color w:val="auto"/>
                <w:kern w:val="28"/>
                <w:sz w:val="24"/>
                <w:highlight w:val="none"/>
                <w:lang w:val="en-US" w:eastAsia="zh-CN"/>
              </w:rPr>
              <w:t>具有良好的商业信誉和健全的财务会计制度</w:t>
            </w:r>
          </w:p>
        </w:tc>
        <w:tc>
          <w:tcPr>
            <w:tcW w:w="6111" w:type="dxa"/>
            <w:tcBorders>
              <w:tl2br w:val="nil"/>
              <w:tr2bl w:val="nil"/>
            </w:tcBorders>
            <w:noWrap w:val="0"/>
            <w:vAlign w:val="center"/>
          </w:tcPr>
          <w:p w14:paraId="58CA24A2">
            <w:pPr>
              <w:spacing w:line="360" w:lineRule="auto"/>
              <w:rPr>
                <w:rFonts w:hint="eastAsia" w:hAnsi="宋体" w:cs="Tahoma"/>
                <w:color w:val="auto"/>
                <w:kern w:val="28"/>
                <w:sz w:val="24"/>
                <w:highlight w:val="none"/>
              </w:rPr>
            </w:pPr>
            <w:r>
              <w:rPr>
                <w:rFonts w:hint="eastAsia" w:ascii="宋体" w:hAnsi="宋体" w:eastAsia="宋体" w:cs="Tahoma"/>
                <w:color w:val="auto"/>
                <w:kern w:val="28"/>
                <w:sz w:val="24"/>
                <w:highlight w:val="none"/>
              </w:rPr>
              <w:t>供应商提供（202</w:t>
            </w:r>
            <w:r>
              <w:rPr>
                <w:rFonts w:hint="eastAsia" w:ascii="宋体" w:hAnsi="宋体" w:eastAsia="宋体" w:cs="Tahoma"/>
                <w:color w:val="auto"/>
                <w:kern w:val="28"/>
                <w:sz w:val="24"/>
                <w:highlight w:val="none"/>
                <w:lang w:val="en-US" w:eastAsia="zh-CN"/>
              </w:rPr>
              <w:t>4</w:t>
            </w:r>
            <w:r>
              <w:rPr>
                <w:rFonts w:hint="eastAsia" w:ascii="宋体" w:hAnsi="宋体" w:eastAsia="宋体" w:cs="Tahoma"/>
                <w:color w:val="auto"/>
                <w:kern w:val="28"/>
                <w:sz w:val="24"/>
                <w:highlight w:val="none"/>
              </w:rPr>
              <w:t>年度</w:t>
            </w:r>
            <w:r>
              <w:rPr>
                <w:rFonts w:hint="eastAsia" w:ascii="宋体" w:hAnsi="宋体" w:eastAsia="宋体" w:cs="Tahoma"/>
                <w:color w:val="auto"/>
                <w:kern w:val="28"/>
                <w:sz w:val="24"/>
                <w:highlight w:val="none"/>
                <w:lang w:val="en-US" w:eastAsia="zh-CN"/>
              </w:rPr>
              <w:t>或</w:t>
            </w:r>
            <w:r>
              <w:rPr>
                <w:rFonts w:hint="eastAsia" w:ascii="宋体" w:hAnsi="宋体" w:eastAsia="宋体" w:cs="Tahoma"/>
                <w:color w:val="auto"/>
                <w:kern w:val="28"/>
                <w:sz w:val="24"/>
                <w:highlight w:val="none"/>
              </w:rPr>
              <w:t>202</w:t>
            </w:r>
            <w:r>
              <w:rPr>
                <w:rFonts w:hint="eastAsia" w:ascii="宋体" w:hAnsi="宋体" w:eastAsia="宋体" w:cs="Tahoma"/>
                <w:color w:val="auto"/>
                <w:kern w:val="28"/>
                <w:sz w:val="24"/>
                <w:highlight w:val="none"/>
                <w:lang w:val="en-US" w:eastAsia="zh-CN"/>
              </w:rPr>
              <w:t>5</w:t>
            </w:r>
            <w:r>
              <w:rPr>
                <w:rFonts w:hint="eastAsia" w:ascii="宋体" w:hAnsi="宋体" w:eastAsia="宋体" w:cs="Tahoma"/>
                <w:color w:val="auto"/>
                <w:kern w:val="28"/>
                <w:sz w:val="24"/>
                <w:highlight w:val="none"/>
              </w:rPr>
              <w:t>年度）</w:t>
            </w:r>
            <w:r>
              <w:rPr>
                <w:rFonts w:hint="eastAsia" w:hAnsi="宋体" w:cs="Tahoma"/>
                <w:color w:val="auto"/>
                <w:kern w:val="28"/>
                <w:sz w:val="24"/>
                <w:highlight w:val="none"/>
                <w:lang w:val="en-US" w:eastAsia="zh-CN"/>
              </w:rPr>
              <w:t>任意1年</w:t>
            </w:r>
            <w:r>
              <w:rPr>
                <w:rFonts w:hint="eastAsia" w:hAnsi="宋体" w:cs="Tahoma"/>
                <w:color w:val="auto"/>
                <w:kern w:val="28"/>
                <w:sz w:val="24"/>
                <w:highlight w:val="none"/>
              </w:rPr>
              <w:t>经会计事务所（审计机构）出具的财务审计报告，包括资产负债表、利润表、现金流量表等。供应商成立一年以内的须提供成立当月至投标截止日前上个月的财务报表复印件加盖公章（须包括资产负债表、利润表、现金流量表等）。</w:t>
            </w:r>
          </w:p>
          <w:p w14:paraId="0B8C0497">
            <w:pPr>
              <w:spacing w:line="360" w:lineRule="auto"/>
              <w:rPr>
                <w:rFonts w:hint="eastAsia" w:hAnsi="宋体" w:cs="Tahoma"/>
                <w:color w:val="auto"/>
                <w:kern w:val="28"/>
                <w:sz w:val="24"/>
                <w:highlight w:val="none"/>
              </w:rPr>
            </w:pPr>
            <w:r>
              <w:rPr>
                <w:rFonts w:hint="eastAsia" w:hAnsi="宋体" w:cs="Tahoma"/>
                <w:color w:val="auto"/>
                <w:kern w:val="28"/>
                <w:sz w:val="24"/>
                <w:highlight w:val="none"/>
              </w:rPr>
              <w:t>（注：若无会计事务所或审计机构审计的财务会计报表，可提供公司内部财务报表，提供（202</w:t>
            </w:r>
            <w:r>
              <w:rPr>
                <w:rFonts w:hint="eastAsia" w:hAnsi="宋体" w:cs="Tahoma"/>
                <w:color w:val="auto"/>
                <w:kern w:val="28"/>
                <w:sz w:val="24"/>
                <w:highlight w:val="none"/>
                <w:lang w:val="en-US" w:eastAsia="zh-CN"/>
              </w:rPr>
              <w:t>4</w:t>
            </w:r>
            <w:r>
              <w:rPr>
                <w:rFonts w:hint="eastAsia" w:hAnsi="宋体" w:cs="Tahoma"/>
                <w:color w:val="auto"/>
                <w:kern w:val="28"/>
                <w:sz w:val="24"/>
                <w:highlight w:val="none"/>
              </w:rPr>
              <w:t>年度</w:t>
            </w:r>
            <w:r>
              <w:rPr>
                <w:rFonts w:hint="eastAsia" w:hAnsi="宋体" w:cs="Tahoma"/>
                <w:color w:val="auto"/>
                <w:kern w:val="28"/>
                <w:sz w:val="24"/>
                <w:highlight w:val="none"/>
                <w:lang w:val="en-US" w:eastAsia="zh-CN"/>
              </w:rPr>
              <w:t>或</w:t>
            </w:r>
            <w:r>
              <w:rPr>
                <w:rFonts w:hint="eastAsia" w:hAnsi="宋体" w:cs="Tahoma"/>
                <w:color w:val="auto"/>
                <w:kern w:val="28"/>
                <w:sz w:val="24"/>
                <w:highlight w:val="none"/>
              </w:rPr>
              <w:t>202</w:t>
            </w:r>
            <w:r>
              <w:rPr>
                <w:rFonts w:hint="eastAsia" w:hAnsi="宋体" w:cs="Tahoma"/>
                <w:color w:val="auto"/>
                <w:kern w:val="28"/>
                <w:sz w:val="24"/>
                <w:highlight w:val="none"/>
                <w:lang w:val="en-US" w:eastAsia="zh-CN"/>
              </w:rPr>
              <w:t>5</w:t>
            </w:r>
            <w:r>
              <w:rPr>
                <w:rFonts w:hint="eastAsia" w:hAnsi="宋体" w:cs="Tahoma"/>
                <w:color w:val="auto"/>
                <w:kern w:val="28"/>
                <w:sz w:val="24"/>
                <w:highlight w:val="none"/>
              </w:rPr>
              <w:t>年度）</w:t>
            </w:r>
            <w:r>
              <w:rPr>
                <w:rFonts w:hint="eastAsia" w:hAnsi="宋体" w:cs="Tahoma"/>
                <w:color w:val="auto"/>
                <w:kern w:val="28"/>
                <w:sz w:val="24"/>
                <w:highlight w:val="none"/>
                <w:lang w:val="en-US" w:eastAsia="zh-CN"/>
              </w:rPr>
              <w:t>任意1年</w:t>
            </w:r>
            <w:r>
              <w:rPr>
                <w:rFonts w:hint="eastAsia" w:hAnsi="宋体" w:cs="Tahoma"/>
                <w:color w:val="auto"/>
                <w:kern w:val="28"/>
                <w:sz w:val="24"/>
                <w:highlight w:val="none"/>
                <w:lang w:eastAsia="zh-CN"/>
              </w:rPr>
              <w:t>；或基本开户银行在投标截止日前三个月内开具的资信证明（原件或该原件的复印件，复印件须加盖供应商公章，银行存款证明无效）</w:t>
            </w:r>
            <w:r>
              <w:rPr>
                <w:rFonts w:hint="eastAsia" w:hAnsi="宋体" w:cs="Tahoma"/>
                <w:color w:val="auto"/>
                <w:kern w:val="28"/>
                <w:sz w:val="24"/>
                <w:highlight w:val="none"/>
              </w:rPr>
              <w:t>）</w:t>
            </w:r>
          </w:p>
          <w:p w14:paraId="2FB0B692">
            <w:pPr>
              <w:spacing w:line="360" w:lineRule="auto"/>
              <w:rPr>
                <w:rFonts w:hint="eastAsia" w:hAnsi="宋体" w:cs="Tahoma"/>
                <w:color w:val="auto"/>
                <w:kern w:val="28"/>
                <w:sz w:val="24"/>
                <w:highlight w:val="none"/>
              </w:rPr>
            </w:pPr>
            <w:r>
              <w:rPr>
                <w:rFonts w:hint="eastAsia" w:hAnsi="宋体" w:cs="Tahoma"/>
                <w:color w:val="auto"/>
                <w:kern w:val="28"/>
                <w:sz w:val="24"/>
                <w:highlight w:val="none"/>
              </w:rPr>
              <w:t>注：根据《关于加强审计报告查验工作的通知》（财会〔2023〕15号）规定，在2022年10月以后出具的审计报告须在注册会计师行业统一监管平台（网址：http：//acc.mof.gov.cn）取得赋码，未取得赋码的财务报告视为无效；</w:t>
            </w:r>
            <w:r>
              <w:rPr>
                <w:rFonts w:hint="eastAsia" w:hAnsi="宋体" w:cs="Tahoma"/>
                <w:color w:val="auto"/>
                <w:kern w:val="28"/>
                <w:sz w:val="24"/>
                <w:highlight w:val="none"/>
                <w:lang w:val="en-US" w:eastAsia="zh-CN"/>
              </w:rPr>
              <w:t>供应商</w:t>
            </w:r>
            <w:r>
              <w:rPr>
                <w:rFonts w:hint="eastAsia" w:hAnsi="宋体" w:cs="Tahoma"/>
                <w:color w:val="auto"/>
                <w:kern w:val="28"/>
                <w:sz w:val="24"/>
                <w:highlight w:val="none"/>
              </w:rPr>
              <w:t>若为事业单位的，则不需提供利润表/损益表、所有者权益变动表。</w:t>
            </w:r>
          </w:p>
        </w:tc>
      </w:tr>
      <w:tr w14:paraId="71732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0A471EFA">
            <w:pPr>
              <w:spacing w:line="360" w:lineRule="auto"/>
              <w:jc w:val="center"/>
              <w:rPr>
                <w:rFonts w:hint="eastAsia" w:hAnsi="宋体" w:eastAsia="宋体" w:cs="Tahoma"/>
                <w:color w:val="auto"/>
                <w:sz w:val="24"/>
                <w:highlight w:val="none"/>
                <w:lang w:eastAsia="zh-CN"/>
              </w:rPr>
            </w:pPr>
            <w:r>
              <w:rPr>
                <w:rFonts w:hint="eastAsia" w:hAnsi="宋体" w:cs="Tahoma"/>
                <w:color w:val="auto"/>
                <w:sz w:val="24"/>
                <w:highlight w:val="none"/>
                <w:lang w:val="en-US" w:eastAsia="zh-CN"/>
              </w:rPr>
              <w:t>4</w:t>
            </w:r>
          </w:p>
        </w:tc>
        <w:tc>
          <w:tcPr>
            <w:tcW w:w="2686" w:type="dxa"/>
            <w:tcBorders>
              <w:tl2br w:val="nil"/>
              <w:tr2bl w:val="nil"/>
            </w:tcBorders>
            <w:noWrap w:val="0"/>
            <w:vAlign w:val="center"/>
          </w:tcPr>
          <w:p w14:paraId="0DBE2776">
            <w:pPr>
              <w:spacing w:line="360" w:lineRule="auto"/>
              <w:rPr>
                <w:rFonts w:hint="eastAsia" w:hAnsi="宋体" w:cs="Tahoma"/>
                <w:color w:val="auto"/>
                <w:kern w:val="28"/>
                <w:sz w:val="24"/>
                <w:highlight w:val="none"/>
              </w:rPr>
            </w:pPr>
            <w:r>
              <w:rPr>
                <w:rFonts w:hint="eastAsia" w:hAnsi="宋体" w:cs="Tahoma"/>
                <w:color w:val="auto"/>
                <w:kern w:val="28"/>
                <w:sz w:val="24"/>
                <w:highlight w:val="none"/>
              </w:rPr>
              <w:t>有依法缴纳税收和社会保障资金的良好记录</w:t>
            </w:r>
          </w:p>
        </w:tc>
        <w:tc>
          <w:tcPr>
            <w:tcW w:w="6111" w:type="dxa"/>
            <w:tcBorders>
              <w:tl2br w:val="nil"/>
              <w:tr2bl w:val="nil"/>
            </w:tcBorders>
            <w:noWrap w:val="0"/>
            <w:vAlign w:val="center"/>
          </w:tcPr>
          <w:p w14:paraId="10B6A8EC">
            <w:pPr>
              <w:spacing w:line="360" w:lineRule="auto"/>
              <w:rPr>
                <w:rFonts w:hint="eastAsia" w:hAnsi="宋体" w:cs="Tahoma"/>
                <w:color w:val="auto"/>
                <w:kern w:val="28"/>
                <w:sz w:val="24"/>
                <w:highlight w:val="none"/>
              </w:rPr>
            </w:pPr>
            <w:r>
              <w:rPr>
                <w:rFonts w:hint="eastAsia" w:hAnsi="宋体" w:cs="Tahoma"/>
                <w:color w:val="auto"/>
                <w:kern w:val="28"/>
                <w:sz w:val="24"/>
                <w:highlight w:val="none"/>
              </w:rPr>
              <w:t>1.</w:t>
            </w:r>
            <w:r>
              <w:rPr>
                <w:rFonts w:hint="eastAsia" w:hAnsi="宋体" w:cs="Tahoma"/>
                <w:color w:val="auto"/>
                <w:kern w:val="28"/>
                <w:sz w:val="24"/>
                <w:highlight w:val="none"/>
                <w:lang w:val="en-US" w:eastAsia="zh-CN"/>
              </w:rPr>
              <w:t>供应商</w:t>
            </w:r>
            <w:r>
              <w:rPr>
                <w:rFonts w:hint="eastAsia" w:hAnsi="宋体" w:cs="Tahoma"/>
                <w:color w:val="auto"/>
                <w:kern w:val="28"/>
                <w:sz w:val="24"/>
                <w:highlight w:val="none"/>
              </w:rPr>
              <w:t>依法缴纳税收的证明材料：本项目投标截止时间前6个月内（至少提供1个月）缴纳税收的凭据（完税证、缴款书、印花税票、银行代扣（代缴）转账凭证等均可）；</w:t>
            </w:r>
          </w:p>
          <w:p w14:paraId="0D755738">
            <w:pPr>
              <w:spacing w:line="360" w:lineRule="auto"/>
              <w:rPr>
                <w:rFonts w:hint="eastAsia" w:hAnsi="宋体" w:cs="Tahoma"/>
                <w:color w:val="auto"/>
                <w:kern w:val="28"/>
                <w:sz w:val="24"/>
                <w:highlight w:val="none"/>
              </w:rPr>
            </w:pPr>
            <w:r>
              <w:rPr>
                <w:rFonts w:hint="eastAsia" w:hAnsi="宋体" w:cs="Tahoma"/>
                <w:color w:val="auto"/>
                <w:kern w:val="28"/>
                <w:sz w:val="24"/>
                <w:highlight w:val="none"/>
              </w:rPr>
              <w:t>2.依法免税的</w:t>
            </w:r>
            <w:r>
              <w:rPr>
                <w:rFonts w:hint="eastAsia" w:hAnsi="宋体" w:cs="Tahoma"/>
                <w:color w:val="auto"/>
                <w:kern w:val="28"/>
                <w:sz w:val="24"/>
                <w:highlight w:val="none"/>
                <w:lang w:val="en-US" w:eastAsia="zh-CN"/>
              </w:rPr>
              <w:t>供应商</w:t>
            </w:r>
            <w:r>
              <w:rPr>
                <w:rFonts w:hint="eastAsia" w:hAnsi="宋体" w:cs="Tahoma"/>
                <w:color w:val="auto"/>
                <w:kern w:val="28"/>
                <w:sz w:val="24"/>
                <w:highlight w:val="none"/>
              </w:rPr>
              <w:t>，须提供相应文件证明其依法免税。</w:t>
            </w:r>
          </w:p>
          <w:p w14:paraId="3F4B4A6F">
            <w:pPr>
              <w:spacing w:line="360" w:lineRule="auto"/>
              <w:rPr>
                <w:rFonts w:hint="eastAsia" w:hAnsi="宋体" w:cs="Tahoma"/>
                <w:color w:val="auto"/>
                <w:kern w:val="28"/>
                <w:sz w:val="24"/>
                <w:highlight w:val="none"/>
              </w:rPr>
            </w:pPr>
            <w:r>
              <w:rPr>
                <w:rFonts w:hint="eastAsia" w:hAnsi="宋体" w:cs="Tahoma"/>
                <w:color w:val="auto"/>
                <w:kern w:val="28"/>
                <w:sz w:val="24"/>
                <w:highlight w:val="none"/>
              </w:rPr>
              <w:t>3.</w:t>
            </w:r>
            <w:r>
              <w:rPr>
                <w:rFonts w:hint="eastAsia" w:hAnsi="宋体" w:cs="Tahoma"/>
                <w:color w:val="auto"/>
                <w:kern w:val="28"/>
                <w:sz w:val="24"/>
                <w:highlight w:val="none"/>
                <w:lang w:val="en-US" w:eastAsia="zh-CN"/>
              </w:rPr>
              <w:t>供应商</w:t>
            </w:r>
            <w:r>
              <w:rPr>
                <w:rFonts w:hint="eastAsia" w:hAnsi="宋体" w:cs="Tahoma"/>
                <w:color w:val="auto"/>
                <w:kern w:val="28"/>
                <w:sz w:val="24"/>
                <w:highlight w:val="none"/>
              </w:rPr>
              <w:t>依法缴纳社会保障资金的证明材料：本项目投标截止时间前6个月内（至少提供1个月）缴纳社会保险的凭据（专用收据或社会保险交纳清单）；</w:t>
            </w:r>
          </w:p>
          <w:p w14:paraId="6D8BABD3">
            <w:pPr>
              <w:spacing w:line="360" w:lineRule="auto"/>
              <w:rPr>
                <w:rFonts w:hint="eastAsia" w:hAnsi="宋体" w:cs="Tahoma"/>
                <w:color w:val="auto"/>
                <w:kern w:val="28"/>
                <w:sz w:val="24"/>
                <w:highlight w:val="none"/>
              </w:rPr>
            </w:pPr>
            <w:r>
              <w:rPr>
                <w:rFonts w:hint="eastAsia" w:hAnsi="宋体" w:cs="Tahoma"/>
                <w:color w:val="auto"/>
                <w:kern w:val="28"/>
                <w:sz w:val="24"/>
                <w:highlight w:val="none"/>
              </w:rPr>
              <w:t>4.</w:t>
            </w:r>
            <w:r>
              <w:rPr>
                <w:rFonts w:hint="eastAsia" w:hAnsi="宋体" w:cs="Tahoma"/>
                <w:color w:val="auto"/>
                <w:kern w:val="28"/>
                <w:sz w:val="24"/>
                <w:highlight w:val="none"/>
                <w:lang w:val="en-US" w:eastAsia="zh-CN"/>
              </w:rPr>
              <w:t>供应商</w:t>
            </w:r>
            <w:r>
              <w:rPr>
                <w:rFonts w:hint="eastAsia" w:hAnsi="宋体" w:cs="Tahoma"/>
                <w:color w:val="auto"/>
                <w:kern w:val="28"/>
                <w:sz w:val="24"/>
                <w:highlight w:val="none"/>
              </w:rPr>
              <w:t>为其他组织或自然人的，也需要按此项规定提供缴纳税收的凭据和交纳社会保险的凭据。</w:t>
            </w:r>
          </w:p>
          <w:p w14:paraId="1D7641A0">
            <w:pPr>
              <w:spacing w:line="360" w:lineRule="auto"/>
              <w:rPr>
                <w:rFonts w:hint="eastAsia" w:hAnsi="宋体" w:cs="Tahoma"/>
                <w:color w:val="auto"/>
                <w:kern w:val="28"/>
                <w:sz w:val="24"/>
                <w:highlight w:val="none"/>
              </w:rPr>
            </w:pPr>
            <w:r>
              <w:rPr>
                <w:rFonts w:hint="eastAsia" w:hAnsi="宋体" w:cs="Tahoma"/>
                <w:color w:val="auto"/>
                <w:kern w:val="28"/>
                <w:sz w:val="24"/>
                <w:highlight w:val="none"/>
              </w:rPr>
              <w:t>5.依法不需要缴纳社会保障资金的供应商，须提供相应文件证明其依法不需要缴纳社会保障资金。</w:t>
            </w:r>
          </w:p>
        </w:tc>
      </w:tr>
      <w:tr w14:paraId="21978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50A1F07A">
            <w:pPr>
              <w:spacing w:line="360" w:lineRule="auto"/>
              <w:jc w:val="center"/>
              <w:rPr>
                <w:rFonts w:hint="eastAsia" w:hAnsi="宋体" w:eastAsia="宋体" w:cs="Tahoma"/>
                <w:color w:val="auto"/>
                <w:sz w:val="24"/>
                <w:highlight w:val="none"/>
                <w:lang w:eastAsia="zh-CN"/>
              </w:rPr>
            </w:pPr>
            <w:r>
              <w:rPr>
                <w:rFonts w:hint="eastAsia" w:hAnsi="宋体" w:cs="Tahoma"/>
                <w:color w:val="auto"/>
                <w:sz w:val="24"/>
                <w:highlight w:val="none"/>
                <w:lang w:val="en-US" w:eastAsia="zh-CN"/>
              </w:rPr>
              <w:t>5</w:t>
            </w:r>
          </w:p>
        </w:tc>
        <w:tc>
          <w:tcPr>
            <w:tcW w:w="2686" w:type="dxa"/>
            <w:tcBorders>
              <w:tl2br w:val="nil"/>
              <w:tr2bl w:val="nil"/>
            </w:tcBorders>
            <w:noWrap w:val="0"/>
            <w:vAlign w:val="center"/>
          </w:tcPr>
          <w:p w14:paraId="1AC42D30">
            <w:pPr>
              <w:spacing w:line="360" w:lineRule="auto"/>
              <w:rPr>
                <w:rFonts w:hint="eastAsia" w:hAnsi="宋体" w:cs="Tahoma"/>
                <w:color w:val="auto"/>
                <w:kern w:val="28"/>
                <w:sz w:val="24"/>
                <w:highlight w:val="none"/>
              </w:rPr>
            </w:pPr>
            <w:r>
              <w:rPr>
                <w:rFonts w:hint="eastAsia" w:hAnsi="宋体" w:cs="Tahoma"/>
                <w:color w:val="auto"/>
                <w:kern w:val="28"/>
                <w:sz w:val="24"/>
                <w:highlight w:val="none"/>
              </w:rPr>
              <w:t>具有履行合同所必需的专业技术能力</w:t>
            </w:r>
          </w:p>
        </w:tc>
        <w:tc>
          <w:tcPr>
            <w:tcW w:w="6111" w:type="dxa"/>
            <w:tcBorders>
              <w:tl2br w:val="nil"/>
              <w:tr2bl w:val="nil"/>
            </w:tcBorders>
            <w:noWrap w:val="0"/>
            <w:vAlign w:val="center"/>
          </w:tcPr>
          <w:p w14:paraId="0C8FE0BB">
            <w:pPr>
              <w:widowControl/>
              <w:spacing w:line="240" w:lineRule="auto"/>
              <w:jc w:val="left"/>
              <w:rPr>
                <w:rFonts w:hint="eastAsia" w:hAnsi="宋体" w:cs="Tahoma"/>
                <w:color w:val="auto"/>
                <w:kern w:val="28"/>
                <w:sz w:val="24"/>
                <w:highlight w:val="none"/>
              </w:rPr>
            </w:pPr>
            <w:r>
              <w:rPr>
                <w:rFonts w:hint="eastAsia" w:hAnsi="宋体" w:cs="宋体"/>
                <w:color w:val="auto"/>
                <w:kern w:val="2"/>
                <w:sz w:val="24"/>
                <w:szCs w:val="24"/>
                <w:highlight w:val="none"/>
                <w:lang w:val="en-US" w:eastAsia="zh-CN"/>
              </w:rPr>
              <w:t>供应商履行合同所必须的设备和专业技术能力的证明材料或声明（格式自拟）</w:t>
            </w:r>
          </w:p>
        </w:tc>
      </w:tr>
      <w:tr w14:paraId="1D7A1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4BAAFE16">
            <w:pPr>
              <w:spacing w:line="360" w:lineRule="auto"/>
              <w:jc w:val="center"/>
              <w:rPr>
                <w:rFonts w:hint="eastAsia" w:hAnsi="宋体" w:eastAsia="宋体" w:cs="Tahoma"/>
                <w:color w:val="auto"/>
                <w:sz w:val="24"/>
                <w:highlight w:val="none"/>
                <w:lang w:val="en-US" w:eastAsia="zh-CN"/>
              </w:rPr>
            </w:pPr>
            <w:r>
              <w:rPr>
                <w:rFonts w:hint="eastAsia" w:hAnsi="宋体" w:cs="Tahoma"/>
                <w:color w:val="auto"/>
                <w:sz w:val="24"/>
                <w:highlight w:val="none"/>
                <w:lang w:val="en-US" w:eastAsia="zh-CN"/>
              </w:rPr>
              <w:t>6</w:t>
            </w:r>
          </w:p>
        </w:tc>
        <w:tc>
          <w:tcPr>
            <w:tcW w:w="2686" w:type="dxa"/>
            <w:tcBorders>
              <w:tl2br w:val="nil"/>
              <w:tr2bl w:val="nil"/>
            </w:tcBorders>
            <w:noWrap w:val="0"/>
            <w:vAlign w:val="center"/>
          </w:tcPr>
          <w:p w14:paraId="07E9E140">
            <w:pPr>
              <w:spacing w:line="360" w:lineRule="auto"/>
              <w:rPr>
                <w:rFonts w:hint="default" w:ascii="宋体" w:hAnsi="宋体" w:eastAsia="宋体" w:cs="Tahoma"/>
                <w:color w:val="auto"/>
                <w:kern w:val="28"/>
                <w:sz w:val="24"/>
                <w:highlight w:val="none"/>
                <w:lang w:val="en-US" w:eastAsia="zh-CN" w:bidi="ar-SA"/>
              </w:rPr>
            </w:pPr>
            <w:r>
              <w:rPr>
                <w:rFonts w:hint="eastAsia" w:hAnsi="宋体" w:cs="Tahoma"/>
                <w:color w:val="auto"/>
                <w:kern w:val="28"/>
                <w:sz w:val="24"/>
                <w:highlight w:val="none"/>
              </w:rPr>
              <w:t>参加政府采购活动前三年内，在经营活动中没有重大违法记录</w:t>
            </w:r>
          </w:p>
        </w:tc>
        <w:tc>
          <w:tcPr>
            <w:tcW w:w="6111" w:type="dxa"/>
            <w:tcBorders>
              <w:tl2br w:val="nil"/>
              <w:tr2bl w:val="nil"/>
            </w:tcBorders>
            <w:noWrap w:val="0"/>
            <w:vAlign w:val="center"/>
          </w:tcPr>
          <w:p w14:paraId="173C0CB8">
            <w:pPr>
              <w:spacing w:line="360" w:lineRule="auto"/>
              <w:rPr>
                <w:rFonts w:hint="eastAsia" w:ascii="宋体" w:hAnsi="宋体" w:eastAsia="宋体" w:cs="Tahoma"/>
                <w:color w:val="auto"/>
                <w:kern w:val="28"/>
                <w:sz w:val="24"/>
                <w:highlight w:val="none"/>
                <w:lang w:val="en-US" w:eastAsia="zh-CN" w:bidi="ar-SA"/>
              </w:rPr>
            </w:pPr>
            <w:r>
              <w:rPr>
                <w:rFonts w:hint="eastAsia" w:hAnsi="宋体" w:cs="Tahoma"/>
                <w:color w:val="auto"/>
                <w:kern w:val="28"/>
                <w:sz w:val="24"/>
                <w:highlight w:val="none"/>
              </w:rPr>
              <w:t>参加政府采购活动前 3 年内在经营活动中没有重大违法记录的书面声明</w:t>
            </w:r>
          </w:p>
        </w:tc>
      </w:tr>
      <w:tr w14:paraId="734EE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303EDC5A">
            <w:pPr>
              <w:spacing w:line="360" w:lineRule="auto"/>
              <w:jc w:val="center"/>
              <w:rPr>
                <w:rFonts w:hint="eastAsia" w:hAnsi="宋体" w:eastAsia="宋体" w:cs="Tahoma"/>
                <w:color w:val="auto"/>
                <w:sz w:val="24"/>
                <w:highlight w:val="none"/>
                <w:lang w:eastAsia="zh-CN"/>
              </w:rPr>
            </w:pPr>
            <w:r>
              <w:rPr>
                <w:rFonts w:hint="eastAsia" w:hAnsi="宋体" w:cs="Tahoma"/>
                <w:color w:val="auto"/>
                <w:sz w:val="24"/>
                <w:highlight w:val="none"/>
                <w:lang w:val="en-US" w:eastAsia="zh-CN"/>
              </w:rPr>
              <w:t>7</w:t>
            </w:r>
          </w:p>
        </w:tc>
        <w:tc>
          <w:tcPr>
            <w:tcW w:w="2686" w:type="dxa"/>
            <w:tcBorders>
              <w:tl2br w:val="nil"/>
              <w:tr2bl w:val="nil"/>
            </w:tcBorders>
            <w:noWrap w:val="0"/>
            <w:vAlign w:val="center"/>
          </w:tcPr>
          <w:p w14:paraId="196AC9F7">
            <w:pPr>
              <w:spacing w:line="360" w:lineRule="auto"/>
              <w:rPr>
                <w:rFonts w:hint="eastAsia" w:ascii="宋体" w:hAnsi="宋体" w:eastAsia="宋体" w:cs="Tahoma"/>
                <w:color w:val="auto"/>
                <w:kern w:val="28"/>
                <w:sz w:val="24"/>
                <w:highlight w:val="none"/>
                <w:lang w:val="en-US" w:eastAsia="zh-CN" w:bidi="ar-SA"/>
              </w:rPr>
            </w:pPr>
            <w:r>
              <w:rPr>
                <w:rFonts w:hint="eastAsia" w:hAnsi="宋体" w:cs="Tahoma"/>
                <w:color w:val="auto"/>
                <w:kern w:val="28"/>
                <w:sz w:val="24"/>
                <w:highlight w:val="none"/>
              </w:rPr>
              <w:t>供应商未列入失信被执行人、重大税收违法案件当事人名单、政府采购严重违法失信行为记录名单</w:t>
            </w:r>
          </w:p>
        </w:tc>
        <w:tc>
          <w:tcPr>
            <w:tcW w:w="6111" w:type="dxa"/>
            <w:tcBorders>
              <w:tl2br w:val="nil"/>
              <w:tr2bl w:val="nil"/>
            </w:tcBorders>
            <w:noWrap w:val="0"/>
            <w:vAlign w:val="center"/>
          </w:tcPr>
          <w:p w14:paraId="53E85816">
            <w:pPr>
              <w:spacing w:line="360" w:lineRule="auto"/>
              <w:jc w:val="left"/>
              <w:rPr>
                <w:rFonts w:hint="eastAsia" w:ascii="宋体" w:hAnsi="宋体" w:eastAsia="宋体" w:cs="Tahoma"/>
                <w:color w:val="auto"/>
                <w:kern w:val="28"/>
                <w:sz w:val="24"/>
                <w:highlight w:val="none"/>
                <w:lang w:val="en-US" w:eastAsia="zh-CN" w:bidi="ar-SA"/>
              </w:rPr>
            </w:pPr>
            <w:r>
              <w:rPr>
                <w:rFonts w:hint="eastAsia" w:ascii="宋体" w:hAnsi="宋体" w:eastAsia="宋体" w:cs="Tahoma"/>
                <w:color w:val="auto"/>
                <w:kern w:val="0"/>
                <w:sz w:val="24"/>
                <w:highlight w:val="none"/>
              </w:rPr>
              <w:t>未 被 “ 信 用 中 国 ”（ www.creditchina.gov.cn ） 、 中 国 政 府 采 购 网 （www.ccgp.gov.cn）列入失信被执行人、</w:t>
            </w:r>
            <w:r>
              <w:rPr>
                <w:rFonts w:hint="eastAsia" w:hAnsi="宋体" w:cs="Tahoma"/>
                <w:color w:val="auto"/>
                <w:kern w:val="0"/>
                <w:sz w:val="24"/>
                <w:highlight w:val="none"/>
                <w:lang w:val="en-US" w:eastAsia="zh-CN"/>
              </w:rPr>
              <w:t>严重失信主体名单</w:t>
            </w:r>
            <w:r>
              <w:rPr>
                <w:rFonts w:hint="eastAsia" w:hAnsi="宋体" w:cs="Tahoma"/>
                <w:color w:val="auto"/>
                <w:kern w:val="0"/>
                <w:sz w:val="24"/>
                <w:highlight w:val="none"/>
                <w:lang w:eastAsia="zh-CN"/>
              </w:rPr>
              <w:t>、</w:t>
            </w:r>
            <w:r>
              <w:rPr>
                <w:rFonts w:hint="eastAsia" w:hAnsi="宋体" w:cs="Tahoma"/>
                <w:color w:val="auto"/>
                <w:kern w:val="0"/>
                <w:sz w:val="24"/>
                <w:highlight w:val="none"/>
                <w:lang w:val="en-US" w:eastAsia="zh-CN"/>
              </w:rPr>
              <w:t>经营异常名录</w:t>
            </w:r>
            <w:r>
              <w:rPr>
                <w:rFonts w:hint="eastAsia" w:hAnsi="宋体" w:cs="Tahoma"/>
                <w:color w:val="auto"/>
                <w:kern w:val="0"/>
                <w:sz w:val="24"/>
                <w:highlight w:val="none"/>
                <w:lang w:eastAsia="zh-CN"/>
              </w:rPr>
              <w:t>、</w:t>
            </w:r>
            <w:r>
              <w:rPr>
                <w:rFonts w:hint="eastAsia" w:ascii="宋体" w:hAnsi="宋体" w:eastAsia="宋体" w:cs="Tahoma"/>
                <w:color w:val="auto"/>
                <w:kern w:val="0"/>
                <w:sz w:val="24"/>
                <w:highlight w:val="none"/>
              </w:rPr>
              <w:t>重大税收违法</w:t>
            </w:r>
            <w:r>
              <w:rPr>
                <w:rFonts w:hint="eastAsia" w:hAnsi="宋体" w:cs="Tahoma"/>
                <w:color w:val="auto"/>
                <w:kern w:val="0"/>
                <w:sz w:val="24"/>
                <w:highlight w:val="none"/>
                <w:lang w:val="en-US" w:eastAsia="zh-CN"/>
              </w:rPr>
              <w:t>失信主体</w:t>
            </w:r>
            <w:r>
              <w:rPr>
                <w:rFonts w:hint="eastAsia" w:ascii="宋体" w:hAnsi="宋体" w:eastAsia="宋体" w:cs="Tahoma"/>
                <w:color w:val="auto"/>
                <w:kern w:val="0"/>
                <w:sz w:val="24"/>
                <w:highlight w:val="none"/>
              </w:rPr>
              <w:t>名单、 政府采购严重违法失信行为记录名单</w:t>
            </w:r>
            <w:r>
              <w:rPr>
                <w:rFonts w:hint="eastAsia" w:hAnsi="宋体" w:cs="Tahoma"/>
                <w:color w:val="auto"/>
                <w:sz w:val="24"/>
                <w:highlight w:val="none"/>
              </w:rPr>
              <w:t>；</w:t>
            </w:r>
            <w:r>
              <w:rPr>
                <w:rFonts w:hint="eastAsia" w:hAnsi="宋体" w:cs="Tahoma"/>
                <w:color w:val="auto"/>
                <w:sz w:val="24"/>
                <w:highlight w:val="none"/>
                <w:lang w:eastAsia="zh-CN"/>
              </w:rPr>
              <w:t>（</w:t>
            </w:r>
            <w:r>
              <w:rPr>
                <w:rFonts w:hint="eastAsia" w:hAnsi="宋体" w:cs="Tahoma"/>
                <w:color w:val="auto"/>
                <w:sz w:val="24"/>
                <w:highlight w:val="none"/>
                <w:lang w:val="en-US" w:eastAsia="zh-CN"/>
              </w:rPr>
              <w:t>可提供相应承诺书或查询截图</w:t>
            </w:r>
            <w:r>
              <w:rPr>
                <w:rFonts w:hint="eastAsia" w:hAnsi="宋体" w:cs="Tahoma"/>
                <w:color w:val="auto"/>
                <w:sz w:val="24"/>
                <w:highlight w:val="none"/>
                <w:lang w:eastAsia="zh-CN"/>
              </w:rPr>
              <w:t>）</w:t>
            </w:r>
          </w:p>
        </w:tc>
      </w:tr>
      <w:tr w14:paraId="5710C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2" w:type="dxa"/>
            <w:tcBorders>
              <w:tl2br w:val="nil"/>
              <w:tr2bl w:val="nil"/>
            </w:tcBorders>
            <w:noWrap w:val="0"/>
            <w:vAlign w:val="center"/>
          </w:tcPr>
          <w:p w14:paraId="35046D40">
            <w:pPr>
              <w:spacing w:line="360" w:lineRule="auto"/>
              <w:jc w:val="center"/>
              <w:rPr>
                <w:rFonts w:hint="eastAsia" w:hAnsi="宋体" w:eastAsia="宋体" w:cs="Tahoma"/>
                <w:color w:val="auto"/>
                <w:sz w:val="24"/>
                <w:highlight w:val="none"/>
                <w:lang w:eastAsia="zh-CN"/>
              </w:rPr>
            </w:pPr>
            <w:r>
              <w:rPr>
                <w:rFonts w:hint="eastAsia" w:hAnsi="宋体" w:cs="Tahoma"/>
                <w:color w:val="auto"/>
                <w:sz w:val="24"/>
                <w:highlight w:val="none"/>
                <w:lang w:val="en-US" w:eastAsia="zh-CN"/>
              </w:rPr>
              <w:t>8</w:t>
            </w:r>
          </w:p>
        </w:tc>
        <w:tc>
          <w:tcPr>
            <w:tcW w:w="2686" w:type="dxa"/>
            <w:tcBorders>
              <w:tl2br w:val="nil"/>
              <w:tr2bl w:val="nil"/>
            </w:tcBorders>
            <w:noWrap w:val="0"/>
            <w:vAlign w:val="center"/>
          </w:tcPr>
          <w:p w14:paraId="046E8CF0">
            <w:pPr>
              <w:spacing w:line="360" w:lineRule="auto"/>
              <w:jc w:val="left"/>
              <w:rPr>
                <w:rFonts w:hint="eastAsia" w:ascii="宋体" w:hAnsi="宋体" w:eastAsia="宋体" w:cs="Tahoma"/>
                <w:color w:val="auto"/>
                <w:kern w:val="2"/>
                <w:sz w:val="24"/>
                <w:highlight w:val="none"/>
                <w:lang w:val="en-US" w:eastAsia="zh-CN" w:bidi="ar-SA"/>
              </w:rPr>
            </w:pPr>
            <w:r>
              <w:rPr>
                <w:rFonts w:hint="eastAsia" w:hAnsi="宋体" w:cs="Tahoma"/>
                <w:color w:val="auto"/>
                <w:sz w:val="24"/>
                <w:highlight w:val="none"/>
              </w:rPr>
              <w:t>限制行为</w:t>
            </w:r>
          </w:p>
        </w:tc>
        <w:tc>
          <w:tcPr>
            <w:tcW w:w="6111" w:type="dxa"/>
            <w:tcBorders>
              <w:tl2br w:val="nil"/>
              <w:tr2bl w:val="nil"/>
            </w:tcBorders>
            <w:noWrap w:val="0"/>
            <w:vAlign w:val="center"/>
          </w:tcPr>
          <w:p w14:paraId="346603AE">
            <w:pPr>
              <w:spacing w:line="360" w:lineRule="auto"/>
              <w:jc w:val="left"/>
              <w:rPr>
                <w:rFonts w:hint="eastAsia" w:ascii="宋体" w:hAnsi="宋体" w:eastAsia="宋体" w:cs="Tahoma"/>
                <w:color w:val="auto"/>
                <w:sz w:val="24"/>
                <w:highlight w:val="none"/>
                <w:lang w:val="en-US" w:eastAsia="zh-CN" w:bidi="ar-SA"/>
              </w:rPr>
            </w:pPr>
            <w:r>
              <w:rPr>
                <w:rFonts w:hint="eastAsia" w:hAnsi="宋体" w:cs="Tahoma"/>
                <w:color w:val="auto"/>
                <w:sz w:val="24"/>
                <w:highlight w:val="none"/>
              </w:rPr>
              <w:t>单位负责人为同一人或者存在直接控股、管理关系的不同供应商，不得参加同一合同项下的政府采购活动；</w:t>
            </w:r>
            <w:r>
              <w:rPr>
                <w:rFonts w:hint="eastAsia" w:hAnsi="宋体" w:cs="Tahoma"/>
                <w:color w:val="auto"/>
                <w:sz w:val="24"/>
                <w:highlight w:val="none"/>
                <w:lang w:eastAsia="zh-CN"/>
              </w:rPr>
              <w:t>（</w:t>
            </w:r>
            <w:r>
              <w:rPr>
                <w:rFonts w:hint="eastAsia" w:hAnsi="宋体" w:cs="Tahoma"/>
                <w:color w:val="auto"/>
                <w:sz w:val="24"/>
                <w:highlight w:val="none"/>
                <w:lang w:val="en-US" w:eastAsia="zh-CN"/>
              </w:rPr>
              <w:t>提供相应承诺书</w:t>
            </w:r>
            <w:r>
              <w:rPr>
                <w:rFonts w:hint="eastAsia" w:hAnsi="宋体" w:cs="Tahoma"/>
                <w:color w:val="auto"/>
                <w:sz w:val="24"/>
                <w:highlight w:val="none"/>
                <w:lang w:eastAsia="zh-CN"/>
              </w:rPr>
              <w:t>）</w:t>
            </w:r>
            <w:r>
              <w:rPr>
                <w:rFonts w:hint="eastAsia" w:hAnsi="宋体" w:cs="Tahoma"/>
                <w:color w:val="auto"/>
                <w:sz w:val="24"/>
                <w:highlight w:val="none"/>
              </w:rPr>
              <w:t>；</w:t>
            </w:r>
          </w:p>
        </w:tc>
      </w:tr>
      <w:tr w14:paraId="0EDDC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tcBorders>
              <w:tl2br w:val="nil"/>
              <w:tr2bl w:val="nil"/>
            </w:tcBorders>
            <w:noWrap w:val="0"/>
            <w:vAlign w:val="center"/>
          </w:tcPr>
          <w:p w14:paraId="0F0AFE28">
            <w:pPr>
              <w:spacing w:line="360" w:lineRule="auto"/>
              <w:jc w:val="center"/>
              <w:rPr>
                <w:rFonts w:hint="eastAsia" w:hAnsi="宋体" w:eastAsia="宋体" w:cs="Tahoma"/>
                <w:color w:val="auto"/>
                <w:sz w:val="24"/>
                <w:highlight w:val="none"/>
                <w:lang w:eastAsia="zh-CN"/>
              </w:rPr>
            </w:pPr>
            <w:r>
              <w:rPr>
                <w:rFonts w:hint="eastAsia" w:hAnsi="宋体" w:cs="Tahoma"/>
                <w:color w:val="auto"/>
                <w:sz w:val="24"/>
                <w:highlight w:val="none"/>
                <w:lang w:val="en-US" w:eastAsia="zh-CN"/>
              </w:rPr>
              <w:t>9</w:t>
            </w:r>
          </w:p>
        </w:tc>
        <w:tc>
          <w:tcPr>
            <w:tcW w:w="2686" w:type="dxa"/>
            <w:tcBorders>
              <w:tl2br w:val="nil"/>
              <w:tr2bl w:val="nil"/>
            </w:tcBorders>
            <w:noWrap w:val="0"/>
            <w:vAlign w:val="center"/>
          </w:tcPr>
          <w:p w14:paraId="1106A36C">
            <w:pPr>
              <w:spacing w:line="360" w:lineRule="auto"/>
              <w:jc w:val="left"/>
              <w:rPr>
                <w:rFonts w:hint="eastAsia" w:ascii="宋体" w:hAnsi="宋体" w:eastAsia="宋体" w:cs="Tahoma"/>
                <w:color w:val="auto"/>
                <w:kern w:val="2"/>
                <w:sz w:val="24"/>
                <w:highlight w:val="none"/>
                <w:lang w:val="en-US" w:eastAsia="zh-CN" w:bidi="ar-SA"/>
              </w:rPr>
            </w:pPr>
            <w:r>
              <w:rPr>
                <w:rFonts w:hint="eastAsia" w:hAnsi="宋体" w:cs="Tahoma"/>
                <w:color w:val="auto"/>
                <w:sz w:val="24"/>
                <w:highlight w:val="none"/>
              </w:rPr>
              <w:t>法律、行政法规规定的其他条件</w:t>
            </w:r>
          </w:p>
        </w:tc>
        <w:tc>
          <w:tcPr>
            <w:tcW w:w="6111" w:type="dxa"/>
            <w:tcBorders>
              <w:tl2br w:val="nil"/>
              <w:tr2bl w:val="nil"/>
            </w:tcBorders>
            <w:noWrap w:val="0"/>
            <w:vAlign w:val="center"/>
          </w:tcPr>
          <w:p w14:paraId="5DC177C1">
            <w:pPr>
              <w:spacing w:line="360" w:lineRule="auto"/>
              <w:jc w:val="left"/>
              <w:rPr>
                <w:rFonts w:hint="eastAsia" w:ascii="宋体" w:hAnsi="宋体" w:eastAsia="宋体" w:cs="Tahoma"/>
                <w:color w:val="auto"/>
                <w:sz w:val="24"/>
                <w:highlight w:val="none"/>
                <w:lang w:val="en-US" w:eastAsia="zh-CN" w:bidi="ar-SA"/>
              </w:rPr>
            </w:pPr>
            <w:r>
              <w:rPr>
                <w:rFonts w:hint="eastAsia" w:hAnsi="宋体" w:cs="Tahoma"/>
                <w:color w:val="auto"/>
                <w:sz w:val="24"/>
                <w:highlight w:val="none"/>
              </w:rPr>
              <w:t>符合国家有关法律法规的规定</w:t>
            </w:r>
            <w:r>
              <w:rPr>
                <w:rFonts w:hint="eastAsia" w:hAnsi="宋体" w:cs="Tahoma"/>
                <w:color w:val="auto"/>
                <w:sz w:val="24"/>
                <w:highlight w:val="none"/>
                <w:lang w:eastAsia="zh-CN"/>
              </w:rPr>
              <w:t>（</w:t>
            </w:r>
            <w:r>
              <w:rPr>
                <w:rFonts w:hint="eastAsia" w:hAnsi="宋体" w:cs="Tahoma"/>
                <w:color w:val="auto"/>
                <w:sz w:val="24"/>
                <w:highlight w:val="none"/>
                <w:lang w:val="en-US" w:eastAsia="zh-CN"/>
              </w:rPr>
              <w:t>提供相应承诺书</w:t>
            </w:r>
            <w:r>
              <w:rPr>
                <w:rFonts w:hint="eastAsia" w:hAnsi="宋体" w:cs="Tahoma"/>
                <w:color w:val="auto"/>
                <w:sz w:val="24"/>
                <w:highlight w:val="none"/>
                <w:lang w:eastAsia="zh-CN"/>
              </w:rPr>
              <w:t>）</w:t>
            </w:r>
            <w:r>
              <w:rPr>
                <w:rFonts w:hint="eastAsia" w:hAnsi="宋体" w:cs="Tahoma"/>
                <w:color w:val="auto"/>
                <w:sz w:val="24"/>
                <w:highlight w:val="none"/>
              </w:rPr>
              <w:t>；</w:t>
            </w:r>
          </w:p>
        </w:tc>
      </w:tr>
      <w:tr w14:paraId="574F8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2" w:type="dxa"/>
            <w:tcBorders>
              <w:tl2br w:val="nil"/>
              <w:tr2bl w:val="nil"/>
            </w:tcBorders>
            <w:noWrap w:val="0"/>
            <w:vAlign w:val="center"/>
          </w:tcPr>
          <w:p w14:paraId="1D677F1D">
            <w:pPr>
              <w:spacing w:line="360" w:lineRule="auto"/>
              <w:jc w:val="center"/>
              <w:rPr>
                <w:rFonts w:hint="default" w:hAnsi="宋体" w:cs="Tahoma"/>
                <w:color w:val="auto"/>
                <w:sz w:val="24"/>
                <w:highlight w:val="none"/>
                <w:lang w:val="en-US" w:eastAsia="zh-CN"/>
              </w:rPr>
            </w:pPr>
            <w:r>
              <w:rPr>
                <w:rFonts w:hint="eastAsia" w:hAnsi="宋体" w:cs="Tahoma"/>
                <w:color w:val="auto"/>
                <w:sz w:val="24"/>
                <w:highlight w:val="none"/>
                <w:lang w:val="en-US" w:eastAsia="zh-CN"/>
              </w:rPr>
              <w:t>10</w:t>
            </w:r>
          </w:p>
        </w:tc>
        <w:tc>
          <w:tcPr>
            <w:tcW w:w="2686" w:type="dxa"/>
            <w:tcBorders>
              <w:tl2br w:val="nil"/>
              <w:tr2bl w:val="nil"/>
            </w:tcBorders>
            <w:noWrap w:val="0"/>
            <w:vAlign w:val="center"/>
          </w:tcPr>
          <w:p w14:paraId="1CC0C4BC">
            <w:pPr>
              <w:pStyle w:val="74"/>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val="en-US" w:eastAsia="zh-CN" w:bidi="ar-SA"/>
              </w:rPr>
              <w:t>特定资格要求</w:t>
            </w:r>
          </w:p>
        </w:tc>
        <w:tc>
          <w:tcPr>
            <w:tcW w:w="6111" w:type="dxa"/>
            <w:tcBorders>
              <w:tl2br w:val="nil"/>
              <w:tr2bl w:val="nil"/>
            </w:tcBorders>
            <w:noWrap w:val="0"/>
            <w:vAlign w:val="center"/>
          </w:tcPr>
          <w:p w14:paraId="5AE0D977">
            <w:pPr>
              <w:pStyle w:val="74"/>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宋体" w:hAnsi="宋体" w:eastAsia="宋体" w:cs="宋体"/>
                <w:b w:val="0"/>
                <w:bCs/>
                <w:color w:val="auto"/>
                <w:spacing w:val="0"/>
                <w:sz w:val="24"/>
                <w:szCs w:val="24"/>
                <w:highlight w:val="none"/>
                <w:lang w:bidi="ar-SA"/>
              </w:rPr>
            </w:pPr>
            <w:r>
              <w:rPr>
                <w:rFonts w:hint="eastAsia" w:ascii="宋体" w:hAnsi="宋体" w:eastAsia="宋体" w:cs="宋体"/>
                <w:b w:val="0"/>
                <w:bCs/>
                <w:color w:val="auto"/>
                <w:spacing w:val="0"/>
                <w:sz w:val="24"/>
                <w:szCs w:val="24"/>
                <w:highlight w:val="none"/>
                <w:lang w:val="en-US" w:eastAsia="zh-CN" w:bidi="ar-SA"/>
              </w:rPr>
              <w:t>供应商须具备城乡规划（国土空间规划）编制乙级资质及以上。</w:t>
            </w:r>
          </w:p>
        </w:tc>
      </w:tr>
      <w:tr w14:paraId="3D5C7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52" w:type="dxa"/>
            <w:tcBorders>
              <w:tl2br w:val="nil"/>
              <w:tr2bl w:val="nil"/>
            </w:tcBorders>
            <w:noWrap w:val="0"/>
            <w:vAlign w:val="center"/>
          </w:tcPr>
          <w:p w14:paraId="1CFD8A56">
            <w:pPr>
              <w:spacing w:line="360" w:lineRule="auto"/>
              <w:jc w:val="center"/>
              <w:rPr>
                <w:rFonts w:hint="default" w:hAnsi="宋体" w:cs="Tahoma"/>
                <w:color w:val="auto"/>
                <w:sz w:val="24"/>
                <w:highlight w:val="none"/>
                <w:lang w:val="en-US" w:eastAsia="zh-CN"/>
              </w:rPr>
            </w:pPr>
            <w:r>
              <w:rPr>
                <w:rFonts w:hint="eastAsia" w:hAnsi="宋体" w:cs="Tahoma"/>
                <w:color w:val="auto"/>
                <w:sz w:val="24"/>
                <w:highlight w:val="none"/>
                <w:lang w:val="en-US" w:eastAsia="zh-CN"/>
              </w:rPr>
              <w:t>11</w:t>
            </w:r>
          </w:p>
        </w:tc>
        <w:tc>
          <w:tcPr>
            <w:tcW w:w="2686" w:type="dxa"/>
            <w:tcBorders>
              <w:tl2br w:val="nil"/>
              <w:tr2bl w:val="nil"/>
            </w:tcBorders>
            <w:noWrap w:val="0"/>
            <w:vAlign w:val="center"/>
          </w:tcPr>
          <w:p w14:paraId="3A452B2A">
            <w:pPr>
              <w:pStyle w:val="74"/>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val="en-US" w:eastAsia="zh-CN" w:bidi="ar-SA"/>
              </w:rPr>
              <w:t>供应商</w:t>
            </w:r>
            <w:r>
              <w:rPr>
                <w:rFonts w:hint="eastAsia" w:ascii="宋体" w:hAnsi="宋体" w:eastAsia="宋体" w:cs="宋体"/>
                <w:b w:val="0"/>
                <w:bCs/>
                <w:color w:val="auto"/>
                <w:spacing w:val="0"/>
                <w:sz w:val="24"/>
                <w:szCs w:val="24"/>
                <w:highlight w:val="none"/>
                <w:lang w:bidi="ar-SA"/>
              </w:rPr>
              <w:t>为小</w:t>
            </w:r>
            <w:r>
              <w:rPr>
                <w:rFonts w:hint="eastAsia" w:ascii="宋体" w:hAnsi="宋体" w:eastAsia="宋体" w:cs="宋体"/>
                <w:b w:val="0"/>
                <w:bCs/>
                <w:color w:val="auto"/>
                <w:spacing w:val="0"/>
                <w:sz w:val="24"/>
                <w:szCs w:val="24"/>
                <w:highlight w:val="none"/>
                <w:lang w:val="en-US" w:eastAsia="zh-CN" w:bidi="ar-SA"/>
              </w:rPr>
              <w:t>微</w:t>
            </w:r>
            <w:r>
              <w:rPr>
                <w:rFonts w:hint="eastAsia" w:ascii="宋体" w:hAnsi="宋体" w:eastAsia="宋体" w:cs="宋体"/>
                <w:b w:val="0"/>
                <w:bCs/>
                <w:color w:val="auto"/>
                <w:spacing w:val="0"/>
                <w:sz w:val="24"/>
                <w:szCs w:val="24"/>
                <w:highlight w:val="none"/>
                <w:lang w:bidi="ar-SA"/>
              </w:rPr>
              <w:t>企业</w:t>
            </w:r>
          </w:p>
        </w:tc>
        <w:tc>
          <w:tcPr>
            <w:tcW w:w="6111" w:type="dxa"/>
            <w:tcBorders>
              <w:tl2br w:val="nil"/>
              <w:tr2bl w:val="nil"/>
            </w:tcBorders>
            <w:noWrap w:val="0"/>
            <w:vAlign w:val="center"/>
          </w:tcPr>
          <w:p w14:paraId="2BBA6D28">
            <w:pPr>
              <w:pStyle w:val="74"/>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bidi="ar-SA"/>
              </w:rPr>
              <w:t>本项目为</w:t>
            </w:r>
            <w:r>
              <w:rPr>
                <w:rFonts w:hint="eastAsia" w:ascii="宋体" w:hAnsi="宋体" w:eastAsia="宋体" w:cs="宋体"/>
                <w:color w:val="auto"/>
                <w:spacing w:val="0"/>
                <w:sz w:val="24"/>
                <w:szCs w:val="24"/>
                <w:highlight w:val="none"/>
              </w:rPr>
              <w:t>专门面向</w:t>
            </w:r>
            <w:r>
              <w:rPr>
                <w:rFonts w:hint="eastAsia" w:ascii="宋体" w:hAnsi="宋体" w:eastAsia="宋体" w:cs="宋体"/>
                <w:color w:val="auto"/>
                <w:spacing w:val="0"/>
                <w:sz w:val="24"/>
                <w:szCs w:val="24"/>
                <w:highlight w:val="none"/>
                <w:lang w:val="en-US" w:eastAsia="zh-CN"/>
              </w:rPr>
              <w:t>小微</w:t>
            </w:r>
            <w:r>
              <w:rPr>
                <w:rFonts w:hint="eastAsia" w:ascii="宋体" w:hAnsi="宋体" w:eastAsia="宋体" w:cs="宋体"/>
                <w:color w:val="auto"/>
                <w:spacing w:val="0"/>
                <w:sz w:val="24"/>
                <w:szCs w:val="24"/>
                <w:highlight w:val="none"/>
              </w:rPr>
              <w:t>企业（含小型、微型企业）</w:t>
            </w:r>
            <w:r>
              <w:rPr>
                <w:rFonts w:hint="eastAsia" w:ascii="宋体" w:hAnsi="宋体" w:eastAsia="宋体" w:cs="宋体"/>
                <w:b w:val="0"/>
                <w:bCs/>
                <w:color w:val="auto"/>
                <w:spacing w:val="0"/>
                <w:sz w:val="24"/>
                <w:szCs w:val="24"/>
                <w:highlight w:val="none"/>
                <w:lang w:bidi="ar-SA"/>
              </w:rPr>
              <w:t>采购项目</w:t>
            </w:r>
            <w:r>
              <w:rPr>
                <w:rFonts w:hint="eastAsia" w:ascii="宋体" w:hAnsi="宋体" w:eastAsia="宋体" w:cs="宋体"/>
                <w:b w:val="0"/>
                <w:bCs/>
                <w:color w:val="auto"/>
                <w:spacing w:val="0"/>
                <w:sz w:val="24"/>
                <w:szCs w:val="24"/>
                <w:highlight w:val="none"/>
                <w:lang w:eastAsia="zh-CN" w:bidi="ar-SA"/>
              </w:rPr>
              <w:t>，</w:t>
            </w:r>
            <w:r>
              <w:rPr>
                <w:rFonts w:hint="eastAsia" w:ascii="宋体" w:hAnsi="宋体" w:eastAsia="宋体" w:cs="宋体"/>
                <w:b w:val="0"/>
                <w:bCs/>
                <w:color w:val="auto"/>
                <w:spacing w:val="0"/>
                <w:sz w:val="24"/>
                <w:szCs w:val="24"/>
                <w:highlight w:val="none"/>
                <w:lang w:bidi="ar-SA"/>
              </w:rPr>
              <w:t>请根据要求单独上传《中小企业声明函》。格式以采购文件要求为准。</w:t>
            </w:r>
          </w:p>
        </w:tc>
      </w:tr>
      <w:tr w14:paraId="69A13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2" w:type="dxa"/>
            <w:noWrap w:val="0"/>
            <w:vAlign w:val="center"/>
          </w:tcPr>
          <w:p w14:paraId="48419F6A">
            <w:pPr>
              <w:spacing w:line="360" w:lineRule="auto"/>
              <w:jc w:val="left"/>
              <w:rPr>
                <w:rFonts w:hint="eastAsia" w:hAnsi="宋体" w:cs="Tahoma"/>
                <w:color w:val="auto"/>
                <w:sz w:val="24"/>
                <w:highlight w:val="none"/>
              </w:rPr>
            </w:pPr>
            <w:r>
              <w:rPr>
                <w:rFonts w:hint="eastAsia" w:hAnsi="宋体" w:cs="Tahoma"/>
                <w:color w:val="auto"/>
                <w:sz w:val="24"/>
                <w:highlight w:val="none"/>
              </w:rPr>
              <w:t>结论</w:t>
            </w:r>
          </w:p>
        </w:tc>
        <w:tc>
          <w:tcPr>
            <w:tcW w:w="2686" w:type="dxa"/>
            <w:noWrap w:val="0"/>
            <w:vAlign w:val="center"/>
          </w:tcPr>
          <w:p w14:paraId="5AA08B8D">
            <w:pPr>
              <w:spacing w:line="360" w:lineRule="auto"/>
              <w:jc w:val="left"/>
              <w:rPr>
                <w:rFonts w:hint="eastAsia" w:hAnsi="宋体" w:cs="Tahoma"/>
                <w:color w:val="auto"/>
                <w:sz w:val="24"/>
                <w:highlight w:val="none"/>
              </w:rPr>
            </w:pPr>
          </w:p>
        </w:tc>
        <w:tc>
          <w:tcPr>
            <w:tcW w:w="6111" w:type="dxa"/>
            <w:noWrap w:val="0"/>
            <w:vAlign w:val="center"/>
          </w:tcPr>
          <w:p w14:paraId="0608A78A">
            <w:pPr>
              <w:spacing w:line="360" w:lineRule="auto"/>
              <w:jc w:val="left"/>
              <w:rPr>
                <w:rFonts w:hint="eastAsia" w:hAnsi="宋体" w:cs="Tahoma"/>
                <w:color w:val="auto"/>
                <w:sz w:val="24"/>
                <w:highlight w:val="none"/>
              </w:rPr>
            </w:pPr>
            <w:r>
              <w:rPr>
                <w:rFonts w:hint="eastAsia" w:hAnsi="宋体" w:cs="Tahoma"/>
                <w:color w:val="auto"/>
                <w:sz w:val="24"/>
                <w:highlight w:val="none"/>
              </w:rPr>
              <w:t>（通过/不通过）</w:t>
            </w:r>
          </w:p>
        </w:tc>
      </w:tr>
    </w:tbl>
    <w:p w14:paraId="1445400D">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71DBDB9F">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4D0F2BC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结论栏中填写“通过”表示该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资格要求，“不通过”表示该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不符合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资格要求；</w:t>
      </w:r>
    </w:p>
    <w:p w14:paraId="7EE7EA20">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2、汇总结论按少数服从多数原则确定。</w:t>
      </w:r>
    </w:p>
    <w:p w14:paraId="7BBFB509">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4BE82AB7">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787C1557">
      <w:pPr>
        <w:spacing w:line="360" w:lineRule="auto"/>
        <w:outlineLvl w:val="2"/>
        <w:rPr>
          <w:rFonts w:ascii="宋体" w:hAnsi="宋体"/>
          <w:b/>
          <w:color w:val="000000" w:themeColor="text1"/>
          <w:sz w:val="24"/>
          <w:highlight w:val="none"/>
          <w14:textFill>
            <w14:solidFill>
              <w14:schemeClr w14:val="tx1"/>
            </w14:solidFill>
          </w14:textFill>
        </w:rPr>
      </w:pPr>
      <w:bookmarkStart w:id="564" w:name="_Toc9612863"/>
      <w:bookmarkStart w:id="565" w:name="_Toc16089"/>
      <w:bookmarkStart w:id="566" w:name="_Toc514177065"/>
      <w:bookmarkStart w:id="567" w:name="_Toc498871263"/>
      <w:bookmarkStart w:id="568" w:name="_Toc509337063"/>
      <w:bookmarkStart w:id="569" w:name="_Toc11944604"/>
      <w:bookmarkStart w:id="570" w:name="_Toc498899395"/>
      <w:bookmarkStart w:id="571" w:name="_Toc524368802"/>
      <w:bookmarkStart w:id="572" w:name="_Toc494832099"/>
      <w:bookmarkStart w:id="573" w:name="_Toc10446431"/>
      <w:bookmarkStart w:id="574" w:name="_Toc509337178"/>
      <w:bookmarkStart w:id="575" w:name="_Toc11931297"/>
      <w:bookmarkStart w:id="576" w:name="_Toc523170354"/>
      <w:bookmarkStart w:id="577" w:name="_Toc9864099"/>
      <w:bookmarkStart w:id="578" w:name="_Toc5124221"/>
      <w:bookmarkStart w:id="579" w:name="_Toc522529817"/>
      <w:bookmarkStart w:id="580" w:name="_Toc524517874"/>
      <w:r>
        <w:rPr>
          <w:rFonts w:hint="eastAsia" w:ascii="宋体" w:hAnsi="宋体"/>
          <w:b/>
          <w:color w:val="000000" w:themeColor="text1"/>
          <w:sz w:val="24"/>
          <w:highlight w:val="none"/>
          <w14:textFill>
            <w14:solidFill>
              <w14:schemeClr w14:val="tx1"/>
            </w14:solidFill>
          </w14:textFill>
        </w:rPr>
        <w:t>附表2</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rFonts w:hint="eastAsia" w:ascii="宋体" w:hAnsi="宋体"/>
          <w:b/>
          <w:color w:val="000000" w:themeColor="text1"/>
          <w:sz w:val="24"/>
          <w:highlight w:val="none"/>
          <w14:textFill>
            <w14:solidFill>
              <w14:schemeClr w14:val="tx1"/>
            </w14:solidFill>
          </w14:textFill>
        </w:rPr>
        <w:t xml:space="preserve"> 符合性审查表</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tbl>
      <w:tblPr>
        <w:tblStyle w:val="32"/>
        <w:tblW w:w="956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88"/>
        <w:gridCol w:w="8881"/>
      </w:tblGrid>
      <w:tr w14:paraId="6986C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38" w:hRule="atLeast"/>
        </w:trPr>
        <w:tc>
          <w:tcPr>
            <w:tcW w:w="688" w:type="dxa"/>
            <w:vMerge w:val="restart"/>
            <w:tcBorders>
              <w:tl2br w:val="nil"/>
              <w:tr2bl w:val="nil"/>
            </w:tcBorders>
            <w:shd w:val="clear" w:color="auto" w:fill="D7D7D7"/>
            <w:noWrap w:val="0"/>
            <w:tcMar>
              <w:top w:w="16" w:type="dxa"/>
              <w:left w:w="16" w:type="dxa"/>
              <w:bottom w:w="0" w:type="dxa"/>
              <w:right w:w="16" w:type="dxa"/>
            </w:tcMar>
            <w:vAlign w:val="center"/>
          </w:tcPr>
          <w:p w14:paraId="62873746">
            <w:pPr>
              <w:spacing w:line="400" w:lineRule="exact"/>
              <w:ind w:right="-120" w:rightChars="-57"/>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8881" w:type="dxa"/>
            <w:vMerge w:val="restart"/>
            <w:tcBorders>
              <w:tl2br w:val="nil"/>
              <w:tr2bl w:val="nil"/>
            </w:tcBorders>
            <w:shd w:val="clear" w:color="auto" w:fill="D7D7D7"/>
            <w:noWrap w:val="0"/>
            <w:vAlign w:val="center"/>
          </w:tcPr>
          <w:p w14:paraId="1BE783F4">
            <w:pPr>
              <w:spacing w:line="400" w:lineRule="exact"/>
              <w:ind w:right="-120" w:rightChars="-57"/>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评审内容</w:t>
            </w:r>
          </w:p>
        </w:tc>
      </w:tr>
      <w:tr w14:paraId="7DAE7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2" w:hRule="atLeast"/>
        </w:trPr>
        <w:tc>
          <w:tcPr>
            <w:tcW w:w="688" w:type="dxa"/>
            <w:vMerge w:val="continue"/>
            <w:tcBorders>
              <w:tl2br w:val="nil"/>
              <w:tr2bl w:val="nil"/>
            </w:tcBorders>
            <w:shd w:val="clear" w:color="auto" w:fill="D7D7D7"/>
            <w:noWrap w:val="0"/>
            <w:vAlign w:val="center"/>
          </w:tcPr>
          <w:p w14:paraId="56BF4B47">
            <w:pPr>
              <w:spacing w:line="400" w:lineRule="exact"/>
              <w:rPr>
                <w:rFonts w:ascii="宋体" w:hAnsi="宋体"/>
                <w:color w:val="000000" w:themeColor="text1"/>
                <w:sz w:val="24"/>
                <w:highlight w:val="none"/>
                <w14:textFill>
                  <w14:solidFill>
                    <w14:schemeClr w14:val="tx1"/>
                  </w14:solidFill>
                </w14:textFill>
              </w:rPr>
            </w:pPr>
          </w:p>
        </w:tc>
        <w:tc>
          <w:tcPr>
            <w:tcW w:w="8881" w:type="dxa"/>
            <w:vMerge w:val="continue"/>
            <w:tcBorders>
              <w:tl2br w:val="nil"/>
              <w:tr2bl w:val="nil"/>
            </w:tcBorders>
            <w:shd w:val="clear" w:color="auto" w:fill="D7D7D7"/>
            <w:noWrap w:val="0"/>
            <w:vAlign w:val="center"/>
          </w:tcPr>
          <w:p w14:paraId="69F1D614">
            <w:pPr>
              <w:spacing w:line="400" w:lineRule="exact"/>
              <w:rPr>
                <w:rFonts w:ascii="宋体" w:hAnsi="宋体"/>
                <w:color w:val="000000" w:themeColor="text1"/>
                <w:sz w:val="24"/>
                <w:highlight w:val="none"/>
                <w14:textFill>
                  <w14:solidFill>
                    <w14:schemeClr w14:val="tx1"/>
                  </w14:solidFill>
                </w14:textFill>
              </w:rPr>
            </w:pPr>
          </w:p>
        </w:tc>
      </w:tr>
      <w:tr w14:paraId="01336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13F161CB">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8881" w:type="dxa"/>
            <w:tcBorders>
              <w:tl2br w:val="nil"/>
              <w:tr2bl w:val="nil"/>
            </w:tcBorders>
            <w:noWrap w:val="0"/>
            <w:vAlign w:val="center"/>
          </w:tcPr>
          <w:p w14:paraId="39281964">
            <w:pPr>
              <w:pStyle w:val="49"/>
              <w:widowControl w:val="0"/>
              <w:pBdr>
                <w:bottom w:val="none" w:color="auto" w:sz="0" w:space="0"/>
                <w:right w:val="none" w:color="auto" w:sz="0" w:space="0"/>
              </w:pBdr>
              <w:spacing w:before="0" w:beforeAutospacing="0" w:after="0" w:afterAutospacing="0" w:line="400" w:lineRule="exact"/>
              <w:jc w:val="both"/>
              <w:rPr>
                <w:rFonts w:hint="eastAsia"/>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是否满足项目的</w:t>
            </w:r>
            <w:r>
              <w:rPr>
                <w:rFonts w:hint="eastAsia" w:ascii="宋体" w:hAnsi="宋体" w:cs="宋体"/>
                <w:color w:val="000000" w:themeColor="text1"/>
                <w:sz w:val="24"/>
                <w:szCs w:val="24"/>
                <w:highlight w:val="none"/>
                <w:lang w:val="en-US" w:eastAsia="zh-CN"/>
                <w14:textFill>
                  <w14:solidFill>
                    <w14:schemeClr w14:val="tx1"/>
                  </w14:solidFill>
                </w14:textFill>
              </w:rPr>
              <w:t>合同履约期</w:t>
            </w:r>
            <w:r>
              <w:rPr>
                <w:rFonts w:hint="eastAsia"/>
                <w:color w:val="000000" w:themeColor="text1"/>
                <w:kern w:val="2"/>
                <w:sz w:val="24"/>
                <w:szCs w:val="24"/>
                <w:highlight w:val="none"/>
                <w14:textFill>
                  <w14:solidFill>
                    <w14:schemeClr w14:val="tx1"/>
                  </w14:solidFill>
                </w14:textFill>
              </w:rPr>
              <w:t>要求</w:t>
            </w:r>
          </w:p>
        </w:tc>
      </w:tr>
      <w:tr w14:paraId="69A77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88" w:type="dxa"/>
            <w:tcBorders>
              <w:tl2br w:val="nil"/>
              <w:tr2bl w:val="nil"/>
            </w:tcBorders>
            <w:noWrap w:val="0"/>
            <w:vAlign w:val="center"/>
          </w:tcPr>
          <w:p w14:paraId="19081A8A">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8881" w:type="dxa"/>
            <w:tcBorders>
              <w:tl2br w:val="nil"/>
              <w:tr2bl w:val="nil"/>
            </w:tcBorders>
            <w:noWrap w:val="0"/>
            <w:vAlign w:val="center"/>
          </w:tcPr>
          <w:p w14:paraId="13A12442">
            <w:pPr>
              <w:spacing w:line="400" w:lineRule="exact"/>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是否符合</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的签署盖章要求</w:t>
            </w:r>
          </w:p>
        </w:tc>
      </w:tr>
      <w:tr w14:paraId="39E4D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688" w:type="dxa"/>
            <w:tcBorders>
              <w:tl2br w:val="nil"/>
              <w:tr2bl w:val="nil"/>
            </w:tcBorders>
            <w:noWrap w:val="0"/>
            <w:tcMar>
              <w:top w:w="16" w:type="dxa"/>
              <w:left w:w="16" w:type="dxa"/>
              <w:bottom w:w="0" w:type="dxa"/>
              <w:right w:w="16" w:type="dxa"/>
            </w:tcMar>
            <w:vAlign w:val="center"/>
          </w:tcPr>
          <w:p w14:paraId="227D526A">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8881" w:type="dxa"/>
            <w:tcBorders>
              <w:tl2br w:val="nil"/>
              <w:tr2bl w:val="nil"/>
            </w:tcBorders>
            <w:noWrap w:val="0"/>
            <w:vAlign w:val="center"/>
          </w:tcPr>
          <w:p w14:paraId="06444062">
            <w:pPr>
              <w:pStyle w:val="49"/>
              <w:widowControl w:val="0"/>
              <w:pBdr>
                <w:bottom w:val="none" w:color="auto" w:sz="0" w:space="0"/>
                <w:right w:val="none" w:color="auto" w:sz="0" w:space="0"/>
              </w:pBdr>
              <w:spacing w:before="0" w:beforeAutospacing="0" w:after="0" w:afterAutospacing="0" w:line="400" w:lineRule="exact"/>
              <w:jc w:val="both"/>
              <w:rPr>
                <w:rFonts w:hint="eastAsia"/>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是否按规定提交足够投标保证金</w:t>
            </w:r>
          </w:p>
        </w:tc>
      </w:tr>
      <w:tr w14:paraId="74B9B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0A6DF78A">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8881" w:type="dxa"/>
            <w:tcBorders>
              <w:tl2br w:val="nil"/>
              <w:tr2bl w:val="nil"/>
            </w:tcBorders>
            <w:noWrap w:val="0"/>
            <w:vAlign w:val="center"/>
          </w:tcPr>
          <w:p w14:paraId="466B29F5">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投标有效期是否为90天</w:t>
            </w:r>
          </w:p>
        </w:tc>
      </w:tr>
      <w:tr w14:paraId="164B1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050768B1">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p>
        </w:tc>
        <w:tc>
          <w:tcPr>
            <w:tcW w:w="8881" w:type="dxa"/>
            <w:tcBorders>
              <w:tl2br w:val="nil"/>
              <w:tr2bl w:val="nil"/>
            </w:tcBorders>
            <w:noWrap w:val="0"/>
            <w:vAlign w:val="center"/>
          </w:tcPr>
          <w:p w14:paraId="7C1388EB">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w:t>
            </w:r>
            <w:r>
              <w:rPr>
                <w:rFonts w:hint="eastAsia" w:ascii="宋体" w:hAnsi="宋体"/>
                <w:color w:val="000000" w:themeColor="text1"/>
                <w:sz w:val="24"/>
                <w:highlight w:val="none"/>
                <w14:textFill>
                  <w14:solidFill>
                    <w14:schemeClr w14:val="tx1"/>
                  </w14:solidFill>
                </w14:textFill>
              </w:rPr>
              <w:t>报价是否固定唯一，且</w:t>
            </w:r>
            <w:r>
              <w:rPr>
                <w:rFonts w:hint="eastAsia" w:ascii="宋体" w:hAnsi="宋体" w:cs="宋体"/>
                <w:color w:val="000000" w:themeColor="text1"/>
                <w:sz w:val="24"/>
                <w:highlight w:val="none"/>
                <w14:textFill>
                  <w14:solidFill>
                    <w14:schemeClr w14:val="tx1"/>
                  </w14:solidFill>
                </w14:textFill>
              </w:rPr>
              <w:t>投标报价</w:t>
            </w:r>
            <w:r>
              <w:rPr>
                <w:rFonts w:hint="eastAsia" w:ascii="宋体" w:hAnsi="宋体"/>
                <w:color w:val="000000" w:themeColor="text1"/>
                <w:sz w:val="24"/>
                <w:highlight w:val="none"/>
                <w14:textFill>
                  <w14:solidFill>
                    <w14:schemeClr w14:val="tx1"/>
                  </w14:solidFill>
                </w14:textFill>
              </w:rPr>
              <w:t>没有</w:t>
            </w:r>
            <w:r>
              <w:rPr>
                <w:rFonts w:hint="eastAsia" w:ascii="宋体" w:hAnsi="宋体" w:cs="宋体"/>
                <w:color w:val="000000" w:themeColor="text1"/>
                <w:sz w:val="24"/>
                <w:highlight w:val="none"/>
                <w:lang w:val="en-US" w:eastAsia="zh-CN"/>
                <w14:textFill>
                  <w14:solidFill>
                    <w14:schemeClr w14:val="tx1"/>
                  </w14:solidFill>
                </w14:textFill>
              </w:rPr>
              <w:t>超过最高</w:t>
            </w:r>
            <w:r>
              <w:rPr>
                <w:rFonts w:hint="eastAsia" w:ascii="宋体" w:hAnsi="宋体" w:cs="宋体"/>
                <w:color w:val="000000" w:themeColor="text1"/>
                <w:sz w:val="24"/>
                <w:highlight w:val="none"/>
                <w14:textFill>
                  <w14:solidFill>
                    <w14:schemeClr w14:val="tx1"/>
                  </w14:solidFill>
                </w14:textFill>
              </w:rPr>
              <w:t>限价</w:t>
            </w:r>
          </w:p>
        </w:tc>
      </w:tr>
      <w:tr w14:paraId="4927F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81" w:hRule="atLeast"/>
        </w:trPr>
        <w:tc>
          <w:tcPr>
            <w:tcW w:w="688" w:type="dxa"/>
            <w:tcBorders>
              <w:tl2br w:val="nil"/>
              <w:tr2bl w:val="nil"/>
            </w:tcBorders>
            <w:noWrap w:val="0"/>
            <w:tcMar>
              <w:top w:w="16" w:type="dxa"/>
              <w:left w:w="16" w:type="dxa"/>
              <w:bottom w:w="0" w:type="dxa"/>
              <w:right w:w="16" w:type="dxa"/>
            </w:tcMar>
            <w:vAlign w:val="center"/>
          </w:tcPr>
          <w:p w14:paraId="44CE7BE0">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w:t>
            </w:r>
          </w:p>
        </w:tc>
        <w:tc>
          <w:tcPr>
            <w:tcW w:w="8881" w:type="dxa"/>
            <w:tcBorders>
              <w:tl2br w:val="nil"/>
              <w:tr2bl w:val="nil"/>
            </w:tcBorders>
            <w:noWrap w:val="0"/>
            <w:vAlign w:val="center"/>
          </w:tcPr>
          <w:p w14:paraId="553707B1">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评标委员会认为</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的报价明显</w:t>
            </w:r>
            <w:r>
              <w:rPr>
                <w:rFonts w:hint="eastAsia" w:ascii="宋体" w:hAnsi="宋体"/>
                <w:color w:val="000000" w:themeColor="text1"/>
                <w:sz w:val="24"/>
                <w:highlight w:val="none"/>
                <w:lang w:val="en-US" w:eastAsia="zh-CN"/>
                <w14:textFill>
                  <w14:solidFill>
                    <w14:schemeClr w14:val="tx1"/>
                  </w14:solidFill>
                </w14:textFill>
              </w:rPr>
              <w:t>低</w:t>
            </w:r>
            <w:r>
              <w:rPr>
                <w:rFonts w:hint="eastAsia" w:ascii="宋体" w:hAnsi="宋体"/>
                <w:color w:val="000000" w:themeColor="text1"/>
                <w:sz w:val="24"/>
                <w:highlight w:val="none"/>
                <w14:textFill>
                  <w14:solidFill>
                    <w14:schemeClr w14:val="tx1"/>
                  </w14:solidFill>
                </w14:textFill>
              </w:rPr>
              <w:t>于其他通过符合性审查</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的报价，有可能影响</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质量或者不能诚信履约的，应当要求其在评标现场合理的时间内提供书面说明，必要时提交相关证明材料；</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不能证明其报价合理性的，评标委员会应当将其作为无效投标处理</w:t>
            </w:r>
          </w:p>
        </w:tc>
      </w:tr>
      <w:tr w14:paraId="79821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383363E9">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p>
        </w:tc>
        <w:tc>
          <w:tcPr>
            <w:tcW w:w="8881" w:type="dxa"/>
            <w:tcBorders>
              <w:tl2br w:val="nil"/>
              <w:tr2bl w:val="nil"/>
            </w:tcBorders>
            <w:noWrap w:val="0"/>
            <w:vAlign w:val="center"/>
          </w:tcPr>
          <w:p w14:paraId="39FE2199">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1"/>
                <w:sz w:val="24"/>
                <w:highlight w:val="none"/>
                <w:lang w:eastAsia="zh-CN"/>
                <w14:textFill>
                  <w14:solidFill>
                    <w14:schemeClr w14:val="tx1"/>
                  </w14:solidFill>
                </w14:textFill>
              </w:rPr>
              <w:t>响应文件</w:t>
            </w:r>
            <w:r>
              <w:rPr>
                <w:rFonts w:ascii="宋体" w:hAnsi="宋体" w:cs="宋体"/>
                <w:color w:val="000000" w:themeColor="text1"/>
                <w:kern w:val="1"/>
                <w:sz w:val="24"/>
                <w:highlight w:val="none"/>
                <w14:textFill>
                  <w14:solidFill>
                    <w14:schemeClr w14:val="tx1"/>
                  </w14:solidFill>
                </w14:textFill>
              </w:rPr>
              <w:t>是否满足</w:t>
            </w:r>
            <w:r>
              <w:rPr>
                <w:rFonts w:hint="eastAsia" w:ascii="宋体" w:hAnsi="宋体" w:cs="宋体"/>
                <w:color w:val="000000" w:themeColor="text1"/>
                <w:kern w:val="1"/>
                <w:sz w:val="24"/>
                <w:highlight w:val="none"/>
                <w:lang w:eastAsia="zh-CN"/>
                <w14:textFill>
                  <w14:solidFill>
                    <w14:schemeClr w14:val="tx1"/>
                  </w14:solidFill>
                </w14:textFill>
              </w:rPr>
              <w:t>招标文件</w:t>
            </w:r>
            <w:r>
              <w:rPr>
                <w:rFonts w:hint="eastAsia" w:ascii="宋体" w:hAnsi="宋体" w:cs="宋体"/>
                <w:color w:val="000000" w:themeColor="text1"/>
                <w:kern w:val="1"/>
                <w:sz w:val="24"/>
                <w:highlight w:val="none"/>
                <w:lang w:val="en-US" w:eastAsia="zh-CN"/>
                <w14:textFill>
                  <w14:solidFill>
                    <w14:schemeClr w14:val="tx1"/>
                  </w14:solidFill>
                </w14:textFill>
              </w:rPr>
              <w:t>的实质性要求</w:t>
            </w:r>
            <w:r>
              <w:rPr>
                <w:rFonts w:hint="eastAsia" w:ascii="宋体" w:hAnsi="宋体" w:cs="宋体"/>
                <w:color w:val="000000" w:themeColor="text1"/>
                <w:kern w:val="1"/>
                <w:sz w:val="24"/>
                <w:highlight w:val="none"/>
                <w14:textFill>
                  <w14:solidFill>
                    <w14:schemeClr w14:val="tx1"/>
                  </w14:solidFill>
                </w14:textFill>
              </w:rPr>
              <w:t xml:space="preserve"> </w:t>
            </w:r>
          </w:p>
        </w:tc>
      </w:tr>
      <w:tr w14:paraId="67C57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15CD4D76">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p>
        </w:tc>
        <w:tc>
          <w:tcPr>
            <w:tcW w:w="8881" w:type="dxa"/>
            <w:tcBorders>
              <w:tl2br w:val="nil"/>
              <w:tr2bl w:val="nil"/>
            </w:tcBorders>
            <w:noWrap w:val="0"/>
            <w:vAlign w:val="center"/>
          </w:tcPr>
          <w:p w14:paraId="5FD44CC1">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ascii="宋体" w:hAnsi="宋体"/>
                <w:color w:val="000000" w:themeColor="text1"/>
                <w:sz w:val="24"/>
                <w:highlight w:val="none"/>
                <w14:textFill>
                  <w14:solidFill>
                    <w14:schemeClr w14:val="tx1"/>
                  </w14:solidFill>
                </w14:textFill>
              </w:rPr>
              <w:t>是否</w:t>
            </w:r>
            <w:r>
              <w:rPr>
                <w:rFonts w:hint="eastAsia" w:ascii="宋体" w:hAnsi="宋体" w:cs="宋体"/>
                <w:color w:val="000000" w:themeColor="text1"/>
                <w:sz w:val="24"/>
                <w:szCs w:val="24"/>
                <w:highlight w:val="none"/>
                <w14:textFill>
                  <w14:solidFill>
                    <w14:schemeClr w14:val="tx1"/>
                  </w14:solidFill>
                </w14:textFill>
              </w:rPr>
              <w:t>没有</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中规定的其它无效投标条款的</w:t>
            </w:r>
          </w:p>
        </w:tc>
      </w:tr>
      <w:tr w14:paraId="2D0F6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283772DF">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p>
        </w:tc>
        <w:tc>
          <w:tcPr>
            <w:tcW w:w="8881" w:type="dxa"/>
            <w:tcBorders>
              <w:tl2br w:val="nil"/>
              <w:tr2bl w:val="nil"/>
            </w:tcBorders>
            <w:noWrap w:val="0"/>
            <w:vAlign w:val="center"/>
          </w:tcPr>
          <w:p w14:paraId="40610354">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按有关法律、法规、规章</w:t>
            </w:r>
            <w:r>
              <w:rPr>
                <w:rFonts w:ascii="宋体" w:hAnsi="宋体"/>
                <w:color w:val="000000" w:themeColor="text1"/>
                <w:sz w:val="24"/>
                <w:highlight w:val="none"/>
                <w14:textFill>
                  <w14:solidFill>
                    <w14:schemeClr w14:val="tx1"/>
                  </w14:solidFill>
                </w14:textFill>
              </w:rPr>
              <w:t>是否</w:t>
            </w:r>
            <w:r>
              <w:rPr>
                <w:rFonts w:hint="eastAsia" w:ascii="宋体" w:hAnsi="宋体" w:cs="宋体"/>
                <w:color w:val="000000" w:themeColor="text1"/>
                <w:sz w:val="24"/>
                <w:szCs w:val="24"/>
                <w:highlight w:val="none"/>
                <w14:textFill>
                  <w14:solidFill>
                    <w14:schemeClr w14:val="tx1"/>
                  </w14:solidFill>
                </w14:textFill>
              </w:rPr>
              <w:t>不属于投标无效的</w:t>
            </w:r>
          </w:p>
        </w:tc>
      </w:tr>
      <w:tr w14:paraId="23E23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7E955E1F">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w:t>
            </w:r>
          </w:p>
        </w:tc>
        <w:tc>
          <w:tcPr>
            <w:tcW w:w="8881" w:type="dxa"/>
            <w:tcBorders>
              <w:tl2br w:val="nil"/>
              <w:tr2bl w:val="nil"/>
            </w:tcBorders>
            <w:noWrap w:val="0"/>
            <w:vAlign w:val="center"/>
          </w:tcPr>
          <w:p w14:paraId="594B3173">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未按招标文件规定的格式填写，内容不全或关键字迹模糊、无法辨认的</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78920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2FF16D28">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w:t>
            </w:r>
          </w:p>
        </w:tc>
        <w:tc>
          <w:tcPr>
            <w:tcW w:w="8881" w:type="dxa"/>
            <w:tcBorders>
              <w:tl2br w:val="nil"/>
              <w:tr2bl w:val="nil"/>
            </w:tcBorders>
            <w:noWrap w:val="0"/>
            <w:vAlign w:val="center"/>
          </w:tcPr>
          <w:p w14:paraId="607D3932">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在评标过程中，发现</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以他人名义投标、串通投标、以行贿手段谋取成交或者以其他弄虚作假方式投标的；</w:t>
            </w:r>
          </w:p>
        </w:tc>
      </w:tr>
      <w:tr w14:paraId="04A72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55D158A3">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8881" w:type="dxa"/>
            <w:tcBorders>
              <w:tl2br w:val="nil"/>
              <w:tr2bl w:val="nil"/>
            </w:tcBorders>
            <w:noWrap w:val="0"/>
            <w:vAlign w:val="center"/>
          </w:tcPr>
          <w:p w14:paraId="1882BBCF">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附有招标人不能接受的条件的；</w:t>
            </w:r>
          </w:p>
        </w:tc>
      </w:tr>
      <w:tr w14:paraId="1965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569" w:type="dxa"/>
            <w:gridSpan w:val="2"/>
            <w:tcBorders>
              <w:tl2br w:val="nil"/>
              <w:tr2bl w:val="nil"/>
            </w:tcBorders>
            <w:noWrap w:val="0"/>
            <w:tcMar>
              <w:top w:w="16" w:type="dxa"/>
              <w:left w:w="16" w:type="dxa"/>
              <w:bottom w:w="0" w:type="dxa"/>
              <w:right w:w="16" w:type="dxa"/>
            </w:tcMar>
            <w:vAlign w:val="center"/>
          </w:tcPr>
          <w:p w14:paraId="26D47FA1">
            <w:pPr>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结    论</w:t>
            </w:r>
          </w:p>
        </w:tc>
      </w:tr>
    </w:tbl>
    <w:p w14:paraId="2D0272CA">
      <w:pPr>
        <w:spacing w:line="360" w:lineRule="auto"/>
        <w:ind w:firstLine="480" w:firstLineChars="200"/>
        <w:rPr>
          <w:rFonts w:hint="eastAsia" w:ascii="time of new roman" w:hAnsi="time of new roman"/>
          <w:color w:val="000000" w:themeColor="text1"/>
          <w:sz w:val="24"/>
          <w:szCs w:val="24"/>
          <w:highlight w:val="none"/>
          <w14:textFill>
            <w14:solidFill>
              <w14:schemeClr w14:val="tx1"/>
            </w14:solidFill>
          </w14:textFill>
        </w:rPr>
      </w:pPr>
      <w:r>
        <w:rPr>
          <w:rFonts w:hint="eastAsia" w:ascii="time of new roman" w:hAnsi="time of new roman"/>
          <w:color w:val="000000" w:themeColor="text1"/>
          <w:sz w:val="24"/>
          <w:szCs w:val="24"/>
          <w:highlight w:val="none"/>
          <w14:textFill>
            <w14:solidFill>
              <w14:schemeClr w14:val="tx1"/>
            </w14:solidFill>
          </w14:textFill>
        </w:rPr>
        <w:t>注：</w:t>
      </w:r>
    </w:p>
    <w:p w14:paraId="05B5D2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1、结论栏中填写“通过”表示该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要求，“不通过”表示该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不符合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要求；</w:t>
      </w:r>
    </w:p>
    <w:p w14:paraId="016DA59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、汇总结论按少数服从多数原则确定。</w:t>
      </w:r>
    </w:p>
    <w:p w14:paraId="78C0FDFE">
      <w:pPr>
        <w:ind w:firstLine="420" w:firstLineChars="200"/>
        <w:rPr>
          <w:rFonts w:ascii="time of new roman" w:hAnsi="time of new roman"/>
          <w:color w:val="000000" w:themeColor="text1"/>
          <w:szCs w:val="21"/>
          <w:highlight w:val="none"/>
          <w14:textFill>
            <w14:solidFill>
              <w14:schemeClr w14:val="tx1"/>
            </w14:solidFill>
          </w14:textFill>
        </w:rPr>
      </w:pPr>
    </w:p>
    <w:p w14:paraId="50B60CE6">
      <w:pPr>
        <w:spacing w:line="360" w:lineRule="auto"/>
        <w:outlineLvl w:val="0"/>
        <w:rPr>
          <w:rFonts w:ascii="宋体" w:hAnsi="宋体"/>
          <w:b/>
          <w:color w:val="000000" w:themeColor="text1"/>
          <w:sz w:val="24"/>
          <w:highlight w:val="none"/>
          <w14:textFill>
            <w14:solidFill>
              <w14:schemeClr w14:val="tx1"/>
            </w14:solidFill>
          </w14:textFill>
        </w:rPr>
      </w:pPr>
      <w:r>
        <w:rPr>
          <w:rFonts w:hint="eastAsia" w:ascii="time of new roman" w:hAnsi="time of new roman"/>
          <w:b/>
          <w:bCs/>
          <w:color w:val="000000" w:themeColor="text1"/>
          <w:szCs w:val="21"/>
          <w:highlight w:val="none"/>
          <w14:textFill>
            <w14:solidFill>
              <w14:schemeClr w14:val="tx1"/>
            </w14:solidFill>
          </w14:textFill>
        </w:rPr>
        <w:br w:type="page"/>
      </w:r>
      <w:bookmarkStart w:id="581" w:name="_Toc524517875"/>
      <w:bookmarkStart w:id="582" w:name="_Toc498899396"/>
      <w:bookmarkStart w:id="583" w:name="_Toc438513746"/>
      <w:bookmarkStart w:id="584" w:name="_Toc425347674"/>
      <w:bookmarkStart w:id="585" w:name="_Toc486969391"/>
      <w:bookmarkStart w:id="586" w:name="_Toc422162004"/>
      <w:bookmarkStart w:id="587" w:name="_Toc422865433"/>
      <w:bookmarkStart w:id="588" w:name="_Toc418023345"/>
      <w:bookmarkStart w:id="589" w:name="_Toc509337179"/>
      <w:bookmarkStart w:id="590" w:name="_Toc414510792"/>
      <w:bookmarkStart w:id="591" w:name="_Toc479325604"/>
      <w:bookmarkStart w:id="592" w:name="_Toc11944605"/>
      <w:bookmarkStart w:id="593" w:name="_Toc487044264"/>
      <w:bookmarkStart w:id="594" w:name="_Toc498871264"/>
      <w:bookmarkStart w:id="595" w:name="_Toc439513457"/>
      <w:bookmarkStart w:id="596" w:name="_Toc477879852"/>
      <w:bookmarkStart w:id="597" w:name="_Toc9612864"/>
      <w:bookmarkStart w:id="598" w:name="_Toc438508609"/>
      <w:bookmarkStart w:id="599" w:name="_Toc26433"/>
      <w:bookmarkStart w:id="600" w:name="_Toc416208498"/>
      <w:bookmarkStart w:id="601" w:name="_Toc458635608"/>
      <w:bookmarkStart w:id="602" w:name="_Toc509337064"/>
      <w:bookmarkStart w:id="603" w:name="_Toc514177066"/>
      <w:bookmarkStart w:id="604" w:name="_Toc479340801"/>
      <w:bookmarkStart w:id="605" w:name="_Toc7959"/>
      <w:bookmarkStart w:id="606" w:name="_Toc11931298"/>
      <w:bookmarkStart w:id="607" w:name="_Toc5124222"/>
      <w:bookmarkStart w:id="608" w:name="_Toc439513173"/>
      <w:bookmarkStart w:id="609" w:name="_Toc524368803"/>
      <w:bookmarkStart w:id="610" w:name="_Toc10446432"/>
      <w:bookmarkStart w:id="611" w:name="_Toc523170355"/>
      <w:bookmarkStart w:id="612" w:name="_Toc494832100"/>
      <w:bookmarkStart w:id="613" w:name="_Toc438722142"/>
      <w:bookmarkStart w:id="614" w:name="_Toc522529818"/>
      <w:bookmarkStart w:id="615" w:name="_Toc439679280"/>
      <w:bookmarkStart w:id="616" w:name="_Toc458980405"/>
      <w:bookmarkStart w:id="617" w:name="_Toc470184453"/>
      <w:bookmarkStart w:id="618" w:name="_Toc9864100"/>
      <w:r>
        <w:rPr>
          <w:rFonts w:hint="eastAsia" w:ascii="宋体" w:hAnsi="宋体"/>
          <w:b/>
          <w:color w:val="000000" w:themeColor="text1"/>
          <w:sz w:val="24"/>
          <w:highlight w:val="none"/>
          <w14:textFill>
            <w14:solidFill>
              <w14:schemeClr w14:val="tx1"/>
            </w14:solidFill>
          </w14:textFill>
        </w:rPr>
        <w:t xml:space="preserve">附表3 </w:t>
      </w:r>
      <w:r>
        <w:rPr>
          <w:rFonts w:hint="eastAsia" w:ascii="宋体" w:hAnsi="宋体"/>
          <w:b/>
          <w:color w:val="000000" w:themeColor="text1"/>
          <w:sz w:val="24"/>
          <w:highlight w:val="none"/>
          <w:lang w:eastAsia="zh-CN"/>
          <w14:textFill>
            <w14:solidFill>
              <w14:schemeClr w14:val="tx1"/>
            </w14:solidFill>
          </w14:textFill>
        </w:rPr>
        <w:t>商务</w:t>
      </w:r>
      <w:r>
        <w:rPr>
          <w:rFonts w:hint="eastAsia" w:ascii="宋体" w:hAnsi="宋体"/>
          <w:b/>
          <w:color w:val="000000" w:themeColor="text1"/>
          <w:sz w:val="24"/>
          <w:highlight w:val="none"/>
          <w14:textFill>
            <w14:solidFill>
              <w14:schemeClr w14:val="tx1"/>
            </w14:solidFill>
          </w14:textFill>
        </w:rPr>
        <w:t>技术响应性评审表</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宋体" w:hAnsi="宋体"/>
          <w:b/>
          <w:bCs/>
          <w:color w:val="000000" w:themeColor="text1"/>
          <w:sz w:val="24"/>
          <w:highlight w:val="none"/>
          <w14:textFill>
            <w14:solidFill>
              <w14:schemeClr w14:val="tx1"/>
            </w14:solidFill>
          </w14:textFill>
        </w:rPr>
        <w:t xml:space="preserve"> </w:t>
      </w:r>
    </w:p>
    <w:p w14:paraId="128ECF26">
      <w:pP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time of new roman" w:hAnsi="time of new roman"/>
          <w:color w:val="000000" w:themeColor="text1"/>
          <w:sz w:val="24"/>
          <w:szCs w:val="24"/>
          <w:highlight w:val="none"/>
          <w14:textFill>
            <w14:solidFill>
              <w14:schemeClr w14:val="tx1"/>
            </w14:solidFill>
          </w14:textFill>
        </w:rPr>
        <w:t>采购项目名称：</w:t>
      </w:r>
      <w:r>
        <w:rPr>
          <w:rFonts w:hint="eastAsia" w:ascii="宋体" w:hAnsi="宋体" w:cs="宋体"/>
          <w:color w:val="000000" w:themeColor="text1"/>
          <w:sz w:val="24"/>
          <w:szCs w:val="24"/>
          <w:highlight w:val="none"/>
          <w:lang w:eastAsia="zh-CN"/>
          <w14:textFill>
            <w14:solidFill>
              <w14:schemeClr w14:val="tx1"/>
            </w14:solidFill>
          </w14:textFill>
        </w:rPr>
        <w:t>库尔勒市国土空间详细规划（城镇单元）（2025-2035年）项目</w:t>
      </w:r>
    </w:p>
    <w:p w14:paraId="1E91A97A">
      <w:pPr>
        <w:spacing w:line="360" w:lineRule="auto"/>
        <w:jc w:val="center"/>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评分细则：</w:t>
      </w:r>
    </w:p>
    <w:tbl>
      <w:tblPr>
        <w:tblStyle w:val="32"/>
        <w:tblW w:w="9963" w:type="dxa"/>
        <w:tblInd w:w="-16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026"/>
        <w:gridCol w:w="1358"/>
        <w:gridCol w:w="6922"/>
        <w:gridCol w:w="657"/>
      </w:tblGrid>
      <w:tr w14:paraId="51DB5D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2384" w:type="dxa"/>
            <w:gridSpan w:val="2"/>
            <w:tcBorders>
              <w:top w:val="outset" w:color="auto" w:sz="6" w:space="0"/>
              <w:left w:val="outset" w:color="auto" w:sz="6" w:space="0"/>
              <w:bottom w:val="outset" w:color="auto" w:sz="6" w:space="0"/>
              <w:right w:val="outset" w:color="auto" w:sz="6" w:space="0"/>
            </w:tcBorders>
            <w:noWrap w:val="0"/>
            <w:vAlign w:val="center"/>
          </w:tcPr>
          <w:p w14:paraId="4568C647">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评分点</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1776D757">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评分标准</w:t>
            </w:r>
          </w:p>
        </w:tc>
        <w:tc>
          <w:tcPr>
            <w:tcW w:w="657" w:type="dxa"/>
            <w:tcBorders>
              <w:top w:val="outset" w:color="auto" w:sz="6" w:space="0"/>
              <w:left w:val="outset" w:color="auto" w:sz="6" w:space="0"/>
              <w:bottom w:val="outset" w:color="auto" w:sz="6" w:space="0"/>
              <w:right w:val="outset" w:color="auto" w:sz="6" w:space="0"/>
            </w:tcBorders>
            <w:noWrap w:val="0"/>
            <w:vAlign w:val="center"/>
          </w:tcPr>
          <w:p w14:paraId="732C7799">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权重分配</w:t>
            </w:r>
          </w:p>
        </w:tc>
      </w:tr>
      <w:tr w14:paraId="37387A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298" w:hRule="atLeast"/>
        </w:trPr>
        <w:tc>
          <w:tcPr>
            <w:tcW w:w="1026" w:type="dxa"/>
            <w:vMerge w:val="restart"/>
            <w:tcBorders>
              <w:left w:val="outset" w:color="auto" w:sz="6" w:space="0"/>
              <w:right w:val="outset" w:color="auto" w:sz="6" w:space="0"/>
            </w:tcBorders>
            <w:noWrap w:val="0"/>
            <w:vAlign w:val="center"/>
          </w:tcPr>
          <w:p w14:paraId="47E6BC84">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w:t>
            </w:r>
            <w:r>
              <w:rPr>
                <w:rFonts w:hint="eastAsia" w:ascii="宋体" w:hAnsi="宋体" w:eastAsia="宋体" w:cs="宋体"/>
                <w:color w:val="000000" w:themeColor="text1"/>
                <w:sz w:val="24"/>
                <w:szCs w:val="24"/>
                <w:highlight w:val="none"/>
                <w:lang w:val="zh-CN"/>
                <w14:textFill>
                  <w14:solidFill>
                    <w14:schemeClr w14:val="tx1"/>
                  </w14:solidFill>
                </w14:textFill>
              </w:rPr>
              <w:t>技术评审</w:t>
            </w:r>
            <w:r>
              <w:rPr>
                <w:rFonts w:hint="eastAsia" w:ascii="宋体" w:hAnsi="宋体" w:eastAsia="宋体" w:cs="宋体"/>
                <w:color w:val="000000" w:themeColor="text1"/>
                <w:sz w:val="24"/>
                <w:szCs w:val="24"/>
                <w:highlight w:val="none"/>
                <w14:textFill>
                  <w14:solidFill>
                    <w14:schemeClr w14:val="tx1"/>
                  </w14:solidFill>
                </w14:textFill>
              </w:rPr>
              <w:t>表</w:t>
            </w:r>
          </w:p>
          <w:p w14:paraId="72C6FB4D">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1358" w:type="dxa"/>
            <w:tcBorders>
              <w:top w:val="outset" w:color="auto" w:sz="6" w:space="0"/>
              <w:left w:val="outset" w:color="auto" w:sz="6" w:space="0"/>
              <w:bottom w:val="single" w:color="auto" w:sz="4" w:space="0"/>
              <w:right w:val="outset" w:color="auto" w:sz="6" w:space="0"/>
            </w:tcBorders>
            <w:noWrap w:val="0"/>
            <w:vAlign w:val="center"/>
          </w:tcPr>
          <w:p w14:paraId="2CF797A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业绩</w:t>
            </w:r>
          </w:p>
          <w:p w14:paraId="4B67A3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3224A1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供应商近五年（202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月至今）承担过类似项目业绩的：每提供一项类似项目业绩的得2.5分，本项最多得10分。（同一业绩只计分一次）</w:t>
            </w:r>
          </w:p>
          <w:p w14:paraId="2D0CD76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注：每一个业绩须提供项目成交通知书/中标通知书或合同关键页复印件，并加盖供应商公章。合同书关键页包括服务内容页、合同金额页、双方盖章页及签订时间页（时间以合同签订日期为准</w:t>
            </w:r>
          </w:p>
          <w:p w14:paraId="202F9AB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）。提供不全者不予认可。</w:t>
            </w:r>
          </w:p>
        </w:tc>
        <w:tc>
          <w:tcPr>
            <w:tcW w:w="657" w:type="dxa"/>
            <w:vMerge w:val="restart"/>
            <w:tcBorders>
              <w:left w:val="outset" w:color="auto" w:sz="6" w:space="0"/>
              <w:right w:val="outset" w:color="auto" w:sz="6" w:space="0"/>
            </w:tcBorders>
            <w:noWrap w:val="0"/>
            <w:vAlign w:val="center"/>
          </w:tcPr>
          <w:p w14:paraId="664B1926">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r>
      <w:tr w14:paraId="3B93ED3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93" w:hRule="atLeast"/>
        </w:trPr>
        <w:tc>
          <w:tcPr>
            <w:tcW w:w="1026" w:type="dxa"/>
            <w:vMerge w:val="continue"/>
            <w:tcBorders>
              <w:left w:val="outset" w:color="auto" w:sz="6" w:space="0"/>
              <w:right w:val="single" w:color="auto" w:sz="4" w:space="0"/>
            </w:tcBorders>
            <w:noWrap w:val="0"/>
            <w:vAlign w:val="center"/>
          </w:tcPr>
          <w:p w14:paraId="23CFB35C">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single" w:color="auto" w:sz="4" w:space="0"/>
              <w:right w:val="single" w:color="auto" w:sz="4" w:space="0"/>
            </w:tcBorders>
            <w:noWrap w:val="0"/>
            <w:vAlign w:val="center"/>
          </w:tcPr>
          <w:p w14:paraId="3B5C44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6922" w:type="dxa"/>
            <w:tcBorders>
              <w:top w:val="outset" w:color="auto" w:sz="6" w:space="0"/>
              <w:left w:val="single" w:color="auto" w:sz="4" w:space="0"/>
              <w:bottom w:val="outset" w:color="auto" w:sz="6" w:space="0"/>
              <w:right w:val="outset" w:color="auto" w:sz="6" w:space="0"/>
            </w:tcBorders>
            <w:noWrap w:val="0"/>
            <w:vAlign w:val="center"/>
          </w:tcPr>
          <w:p w14:paraId="2661C81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项目负责人具有城乡规划（国土空间规划）注册城乡规划师执业资格证书的得5分；具有城乡规划（国土空间规划）高级职称</w:t>
            </w:r>
            <w:r>
              <w:rPr>
                <w:rFonts w:hint="eastAsia" w:ascii="宋体" w:hAnsi="宋体" w:cs="宋体"/>
                <w:sz w:val="24"/>
                <w:szCs w:val="24"/>
                <w:highlight w:val="none"/>
                <w:lang w:val="en-US" w:eastAsia="zh-CN"/>
              </w:rPr>
              <w:t>的得4分，</w:t>
            </w:r>
            <w:r>
              <w:rPr>
                <w:rFonts w:hint="eastAsia" w:ascii="宋体" w:hAnsi="宋体" w:eastAsia="宋体" w:cs="宋体"/>
                <w:sz w:val="24"/>
                <w:szCs w:val="24"/>
                <w:highlight w:val="none"/>
                <w:lang w:val="en-US" w:eastAsia="zh-CN"/>
              </w:rPr>
              <w:t>具有城乡规划中级职称的得3分，具有城乡规划初级职称</w:t>
            </w:r>
            <w:r>
              <w:rPr>
                <w:rFonts w:hint="eastAsia" w:ascii="宋体" w:hAnsi="宋体" w:cs="宋体"/>
                <w:sz w:val="24"/>
                <w:szCs w:val="24"/>
                <w:highlight w:val="none"/>
                <w:lang w:val="en-US" w:eastAsia="zh-CN"/>
              </w:rPr>
              <w:t>的得1分；</w:t>
            </w:r>
            <w:r>
              <w:rPr>
                <w:rFonts w:hint="eastAsia" w:ascii="宋体" w:hAnsi="宋体" w:eastAsia="宋体" w:cs="宋体"/>
                <w:sz w:val="24"/>
                <w:szCs w:val="24"/>
                <w:highlight w:val="none"/>
                <w:lang w:val="en-US" w:eastAsia="zh-CN"/>
              </w:rPr>
              <w:t>未提供不得分，本项最高得5分。</w:t>
            </w:r>
          </w:p>
          <w:p w14:paraId="40D633E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注：需提供项目负责人</w:t>
            </w:r>
            <w:r>
              <w:rPr>
                <w:rFonts w:hint="eastAsia" w:ascii="宋体" w:hAnsi="宋体" w:cs="宋体"/>
                <w:b/>
                <w:bCs/>
                <w:sz w:val="24"/>
                <w:szCs w:val="24"/>
                <w:highlight w:val="none"/>
                <w:lang w:val="en-US" w:eastAsia="zh-CN"/>
              </w:rPr>
              <w:t>身份证、学历证、</w:t>
            </w:r>
            <w:r>
              <w:rPr>
                <w:rFonts w:hint="eastAsia" w:ascii="宋体" w:hAnsi="宋体" w:eastAsia="宋体" w:cs="宋体"/>
                <w:b/>
                <w:bCs/>
                <w:sz w:val="24"/>
                <w:szCs w:val="24"/>
                <w:highlight w:val="none"/>
                <w:lang w:val="en-US" w:eastAsia="zh-CN"/>
              </w:rPr>
              <w:t>近三个月的社保证明资料</w:t>
            </w:r>
            <w:r>
              <w:rPr>
                <w:rFonts w:hint="eastAsia" w:ascii="宋体" w:hAnsi="宋体" w:cs="宋体"/>
                <w:b/>
                <w:bCs/>
                <w:sz w:val="24"/>
                <w:szCs w:val="24"/>
                <w:highlight w:val="none"/>
                <w:lang w:val="en-US" w:eastAsia="zh-CN"/>
              </w:rPr>
              <w:t>及相关证书等</w:t>
            </w:r>
            <w:r>
              <w:rPr>
                <w:rFonts w:hint="eastAsia" w:ascii="宋体" w:hAnsi="宋体" w:eastAsia="宋体" w:cs="宋体"/>
                <w:b/>
                <w:bCs/>
                <w:sz w:val="24"/>
                <w:szCs w:val="24"/>
                <w:highlight w:val="none"/>
                <w:lang w:val="en-US" w:eastAsia="zh-CN"/>
              </w:rPr>
              <w:t>，提供不全不得分。</w:t>
            </w:r>
          </w:p>
        </w:tc>
        <w:tc>
          <w:tcPr>
            <w:tcW w:w="657" w:type="dxa"/>
            <w:vMerge w:val="continue"/>
            <w:tcBorders>
              <w:left w:val="outset" w:color="auto" w:sz="6" w:space="0"/>
              <w:right w:val="outset" w:color="auto" w:sz="6" w:space="0"/>
            </w:tcBorders>
            <w:noWrap w:val="0"/>
            <w:vAlign w:val="center"/>
          </w:tcPr>
          <w:p w14:paraId="42ABE77D">
            <w:pPr>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4D0D7A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single" w:color="auto" w:sz="4" w:space="0"/>
            </w:tcBorders>
            <w:noWrap w:val="0"/>
            <w:vAlign w:val="center"/>
          </w:tcPr>
          <w:p w14:paraId="653B77DC">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9B1B1A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项目团队成员（</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w:t>
            </w:r>
          </w:p>
        </w:tc>
        <w:tc>
          <w:tcPr>
            <w:tcW w:w="6922" w:type="dxa"/>
            <w:tcBorders>
              <w:top w:val="outset" w:color="auto" w:sz="6" w:space="0"/>
              <w:left w:val="single" w:color="auto" w:sz="4" w:space="0"/>
              <w:bottom w:val="outset" w:color="auto" w:sz="6" w:space="0"/>
              <w:right w:val="outset" w:color="auto" w:sz="6" w:space="0"/>
            </w:tcBorders>
            <w:noWrap w:val="0"/>
            <w:vAlign w:val="center"/>
          </w:tcPr>
          <w:p w14:paraId="33D34292">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拟投入的项目组成人员(除项目负责人外):</w:t>
            </w:r>
          </w:p>
          <w:p w14:paraId="1B51C09F">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拟派项目组人员合理、专业齐全（城乡/城市规划或国土空间规划、</w:t>
            </w:r>
            <w:r>
              <w:rPr>
                <w:rFonts w:hint="eastAsia" w:ascii="宋体" w:hAnsi="宋体" w:cs="宋体"/>
                <w:sz w:val="24"/>
                <w:szCs w:val="24"/>
                <w:highlight w:val="none"/>
                <w:lang w:val="en-US" w:eastAsia="zh-CN"/>
              </w:rPr>
              <w:t>道路桥梁</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建筑设计</w:t>
            </w:r>
            <w:r>
              <w:rPr>
                <w:rFonts w:hint="default" w:ascii="宋体" w:hAnsi="宋体" w:eastAsia="宋体" w:cs="宋体"/>
                <w:sz w:val="24"/>
                <w:szCs w:val="24"/>
                <w:highlight w:val="none"/>
                <w:lang w:val="en-US" w:eastAsia="zh-CN"/>
              </w:rPr>
              <w:t>等）高级职称的，每提供一人得2分</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拟派项目组人员具有（城乡/城市规划或国土空间规划、</w:t>
            </w:r>
            <w:r>
              <w:rPr>
                <w:rFonts w:hint="eastAsia" w:ascii="宋体" w:hAnsi="宋体" w:cs="宋体"/>
                <w:sz w:val="24"/>
                <w:szCs w:val="24"/>
                <w:highlight w:val="none"/>
                <w:lang w:val="en-US" w:eastAsia="zh-CN"/>
              </w:rPr>
              <w:t>道路桥梁</w:t>
            </w:r>
            <w:r>
              <w:rPr>
                <w:rFonts w:hint="default" w:ascii="宋体" w:hAnsi="宋体" w:eastAsia="宋体" w:cs="宋体"/>
                <w:sz w:val="24"/>
                <w:szCs w:val="24"/>
                <w:highlight w:val="none"/>
                <w:lang w:val="en-US" w:eastAsia="zh-CN"/>
              </w:rPr>
              <w:t>、市政工程、风景园林等）中级职称的，每提供一人得1分</w:t>
            </w:r>
            <w:r>
              <w:rPr>
                <w:rFonts w:hint="eastAsia" w:ascii="宋体" w:hAnsi="宋体" w:cs="宋体"/>
                <w:sz w:val="24"/>
                <w:szCs w:val="24"/>
                <w:highlight w:val="none"/>
                <w:lang w:val="en-US" w:eastAsia="zh-CN"/>
              </w:rPr>
              <w:t>，</w:t>
            </w:r>
          </w:p>
          <w:p w14:paraId="6F1912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拟派项目组人员具有（城乡/城市规划或国土空间规划、</w:t>
            </w:r>
            <w:r>
              <w:rPr>
                <w:rFonts w:hint="eastAsia" w:ascii="宋体" w:hAnsi="宋体" w:cs="宋体"/>
                <w:sz w:val="24"/>
                <w:szCs w:val="24"/>
                <w:highlight w:val="none"/>
                <w:lang w:val="en-US" w:eastAsia="zh-CN"/>
              </w:rPr>
              <w:t>道路桥梁</w:t>
            </w:r>
            <w:r>
              <w:rPr>
                <w:rFonts w:hint="default" w:ascii="宋体" w:hAnsi="宋体" w:eastAsia="宋体" w:cs="宋体"/>
                <w:sz w:val="24"/>
                <w:szCs w:val="24"/>
                <w:highlight w:val="none"/>
                <w:lang w:val="en-US" w:eastAsia="zh-CN"/>
              </w:rPr>
              <w:t>、市政工程、风景园林等）初级职称</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，每提供一人得</w:t>
            </w:r>
            <w:r>
              <w:rPr>
                <w:rFonts w:hint="eastAsia" w:ascii="宋体" w:hAnsi="宋体" w:eastAsia="宋体" w:cs="宋体"/>
                <w:sz w:val="24"/>
                <w:szCs w:val="24"/>
                <w:highlight w:val="none"/>
                <w:lang w:val="en-US" w:eastAsia="zh-CN"/>
              </w:rPr>
              <w:t>0.5</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p w14:paraId="44B01322">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未提供不得分，本小项最高得1</w:t>
            </w:r>
            <w:r>
              <w:rPr>
                <w:rFonts w:hint="eastAsia" w:ascii="宋体" w:hAnsi="宋体" w:cs="宋体"/>
                <w:sz w:val="24"/>
                <w:szCs w:val="24"/>
                <w:highlight w:val="none"/>
                <w:lang w:val="en-US" w:eastAsia="zh-CN"/>
              </w:rPr>
              <w:t>5</w:t>
            </w:r>
            <w:r>
              <w:rPr>
                <w:rFonts w:hint="default" w:ascii="宋体" w:hAnsi="宋体" w:eastAsia="宋体" w:cs="宋体"/>
                <w:sz w:val="24"/>
                <w:szCs w:val="24"/>
                <w:highlight w:val="none"/>
                <w:lang w:val="en-US" w:eastAsia="zh-CN"/>
              </w:rPr>
              <w:t>分，同一专业、同一名人员具有多项职称专业的不重复计分，仅得一项专业职称得分；</w:t>
            </w:r>
          </w:p>
          <w:p w14:paraId="1AD811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SA"/>
              </w:rPr>
              <w:t>注：</w:t>
            </w:r>
            <w:r>
              <w:rPr>
                <w:rFonts w:hint="default" w:ascii="宋体" w:hAnsi="宋体" w:eastAsia="宋体" w:cs="宋体"/>
                <w:b/>
                <w:bCs/>
                <w:color w:val="000000"/>
                <w:kern w:val="0"/>
                <w:sz w:val="24"/>
                <w:szCs w:val="24"/>
                <w:highlight w:val="none"/>
                <w:lang w:val="en-US" w:eastAsia="zh-CN" w:bidi="ar-SA"/>
              </w:rPr>
              <w:t>须提供项目组成人员</w:t>
            </w:r>
            <w:r>
              <w:rPr>
                <w:rFonts w:hint="eastAsia" w:ascii="宋体" w:hAnsi="宋体" w:cs="宋体"/>
                <w:b/>
                <w:bCs/>
                <w:sz w:val="24"/>
                <w:szCs w:val="24"/>
                <w:highlight w:val="none"/>
                <w:lang w:val="en-US" w:eastAsia="zh-CN"/>
              </w:rPr>
              <w:t>身份证、学历证、</w:t>
            </w:r>
            <w:r>
              <w:rPr>
                <w:rFonts w:hint="default" w:ascii="宋体" w:hAnsi="宋体" w:eastAsia="宋体" w:cs="宋体"/>
                <w:b/>
                <w:bCs/>
                <w:color w:val="000000"/>
                <w:kern w:val="0"/>
                <w:sz w:val="24"/>
                <w:szCs w:val="24"/>
                <w:highlight w:val="none"/>
                <w:lang w:val="en-US" w:eastAsia="zh-CN" w:bidi="ar-SA"/>
              </w:rPr>
              <w:t>近三个月的社保证明资料、相关证书复印件等证明材料加盖投标人公章，同一名人员具有多项职称专业的不重复计分，仅得一项专业职称得分，</w:t>
            </w:r>
            <w:r>
              <w:rPr>
                <w:rFonts w:hint="eastAsia" w:ascii="宋体" w:hAnsi="宋体" w:eastAsia="宋体" w:cs="宋体"/>
                <w:b/>
                <w:bCs/>
                <w:color w:val="000000"/>
                <w:kern w:val="0"/>
                <w:sz w:val="24"/>
                <w:szCs w:val="24"/>
                <w:highlight w:val="none"/>
                <w:lang w:val="en-US" w:eastAsia="zh-CN" w:bidi="ar-SA"/>
              </w:rPr>
              <w:t>未提供</w:t>
            </w:r>
            <w:r>
              <w:rPr>
                <w:rFonts w:hint="default" w:ascii="宋体" w:hAnsi="宋体" w:eastAsia="宋体" w:cs="宋体"/>
                <w:b/>
                <w:bCs/>
                <w:color w:val="000000"/>
                <w:kern w:val="0"/>
                <w:sz w:val="24"/>
                <w:szCs w:val="24"/>
                <w:highlight w:val="none"/>
                <w:lang w:val="en-US" w:eastAsia="zh-CN" w:bidi="ar-SA"/>
              </w:rPr>
              <w:t>职称或职称专业不符的，不得分。未提供及提供材料不全的本项不得分。</w:t>
            </w:r>
          </w:p>
        </w:tc>
        <w:tc>
          <w:tcPr>
            <w:tcW w:w="657" w:type="dxa"/>
            <w:vMerge w:val="continue"/>
            <w:tcBorders>
              <w:left w:val="outset" w:color="auto" w:sz="6" w:space="0"/>
              <w:right w:val="outset" w:color="auto" w:sz="6" w:space="0"/>
            </w:tcBorders>
            <w:noWrap w:val="0"/>
            <w:vAlign w:val="center"/>
          </w:tcPr>
          <w:p w14:paraId="565D0351">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500B0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outset" w:color="auto" w:sz="6" w:space="0"/>
            </w:tcBorders>
            <w:noWrap w:val="0"/>
            <w:vAlign w:val="center"/>
          </w:tcPr>
          <w:p w14:paraId="20E12657">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outset" w:color="auto" w:sz="6" w:space="0"/>
              <w:right w:val="outset" w:color="auto" w:sz="6" w:space="0"/>
            </w:tcBorders>
            <w:noWrap w:val="0"/>
            <w:vAlign w:val="center"/>
          </w:tcPr>
          <w:p w14:paraId="420FC63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项目背景分 </w:t>
            </w:r>
          </w:p>
          <w:p w14:paraId="68174D5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析</w:t>
            </w:r>
          </w:p>
          <w:p w14:paraId="6FBA0A2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（9分）</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72B0FCE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根据本项目特点投标人在投标文件中对本项目的背景分析包括 </w:t>
            </w:r>
          </w:p>
          <w:p w14:paraId="565203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以下内容：①项目背景、②相关规划梳理、③规划编制思路； </w:t>
            </w:r>
          </w:p>
          <w:p w14:paraId="0E00B0D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每具有一项得 3 分，最多得 9 分，提供的方案中每有一处具有 </w:t>
            </w:r>
          </w:p>
          <w:p w14:paraId="6ABDA1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缺陷的扣1分，扣完为止。</w:t>
            </w:r>
          </w:p>
          <w:p w14:paraId="11C21F6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（缺陷是指：存在不适用项目实际情况的情形、凭空编造、方案中内容前后不一致、前后逻辑错误、涉及的规范及标准错 误、地点区域错误、内容缺失、不符合项目实际情况等）</w:t>
            </w:r>
          </w:p>
        </w:tc>
        <w:tc>
          <w:tcPr>
            <w:tcW w:w="657" w:type="dxa"/>
            <w:vMerge w:val="continue"/>
            <w:tcBorders>
              <w:left w:val="outset" w:color="auto" w:sz="6" w:space="0"/>
              <w:right w:val="outset" w:color="auto" w:sz="6" w:space="0"/>
            </w:tcBorders>
            <w:noWrap w:val="0"/>
            <w:vAlign w:val="center"/>
          </w:tcPr>
          <w:p w14:paraId="785A5010">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3DD339D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outset" w:color="auto" w:sz="6" w:space="0"/>
            </w:tcBorders>
            <w:noWrap w:val="0"/>
            <w:vAlign w:val="center"/>
          </w:tcPr>
          <w:p w14:paraId="138AEE3A">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outset" w:color="auto" w:sz="6" w:space="0"/>
              <w:right w:val="outset" w:color="auto" w:sz="6" w:space="0"/>
            </w:tcBorders>
            <w:noWrap w:val="0"/>
            <w:vAlign w:val="center"/>
          </w:tcPr>
          <w:p w14:paraId="3FD635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总体规划方 </w:t>
            </w:r>
          </w:p>
          <w:p w14:paraId="7340C2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案</w:t>
            </w:r>
          </w:p>
          <w:p w14:paraId="301B7FC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分）</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6EA9295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根据投标人提供本项目的规划方案，从以下方面进行综合打分： </w:t>
            </w:r>
          </w:p>
          <w:p w14:paraId="62F4A4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现状分析与专题评估（例如既有规划评估、城市更新潜力分析等）；</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发展定位及主导功能、</w:t>
            </w:r>
            <w:r>
              <w:rPr>
                <w:rFonts w:hint="default" w:ascii="宋体" w:hAnsi="宋体" w:cs="Times New Roman"/>
                <w:color w:val="000000" w:themeColor="text1"/>
                <w:sz w:val="24"/>
                <w:highlight w:val="none"/>
                <w:lang w:val="en-US" w:eastAsia="zh-CN"/>
                <w14:textFill>
                  <w14:solidFill>
                    <w14:schemeClr w14:val="tx1"/>
                  </w14:solidFill>
                </w14:textFill>
              </w:rPr>
              <w:t>规模总量、设施布局、空间形态等</w:t>
            </w:r>
            <w:r>
              <w:rPr>
                <w:rFonts w:hint="eastAsia" w:ascii="宋体" w:hAnsi="宋体" w:cs="Times New Roman"/>
                <w:color w:val="000000" w:themeColor="text1"/>
                <w:sz w:val="24"/>
                <w:highlight w:val="none"/>
                <w:lang w:val="en-US" w:eastAsia="zh-CN"/>
                <w14:textFill>
                  <w14:solidFill>
                    <w14:schemeClr w14:val="tx1"/>
                  </w14:solidFill>
                </w14:textFill>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国土空间规划方案；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生态修复和国土综合整治；</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规划实施与保障措施；</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 成果形式与数据入库</w:t>
            </w:r>
            <w:r>
              <w:rPr>
                <w:rFonts w:hint="eastAsia" w:ascii="宋体" w:hAnsi="宋体" w:cs="宋体"/>
                <w:sz w:val="24"/>
                <w:szCs w:val="24"/>
                <w:highlight w:val="none"/>
                <w:lang w:val="en-US" w:eastAsia="zh-CN"/>
              </w:rPr>
              <w:t>保障措施</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例如</w:t>
            </w:r>
            <w:r>
              <w:rPr>
                <w:rFonts w:hint="eastAsia" w:ascii="宋体" w:hAnsi="宋体" w:eastAsia="宋体" w:cs="宋体"/>
                <w:sz w:val="24"/>
                <w:szCs w:val="24"/>
                <w:highlight w:val="none"/>
                <w:lang w:val="en-US" w:eastAsia="zh-CN"/>
              </w:rPr>
              <w:t>文本、图集、数据库，纳入“一张图”系统）</w:t>
            </w:r>
          </w:p>
          <w:p w14:paraId="611563A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每具有一项得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分，最多得 </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分，提供的方案中每有一处缺陷的扣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分，扣完为止</w:t>
            </w:r>
            <w:r>
              <w:rPr>
                <w:rFonts w:hint="eastAsia" w:ascii="宋体" w:hAnsi="宋体" w:cs="宋体"/>
                <w:sz w:val="24"/>
                <w:szCs w:val="24"/>
                <w:highlight w:val="none"/>
                <w:lang w:val="en-US" w:eastAsia="zh-CN"/>
              </w:rPr>
              <w:t>，未提供不得分</w:t>
            </w:r>
            <w:r>
              <w:rPr>
                <w:rFonts w:hint="eastAsia" w:ascii="宋体" w:hAnsi="宋体" w:eastAsia="宋体" w:cs="宋体"/>
                <w:sz w:val="24"/>
                <w:szCs w:val="24"/>
                <w:highlight w:val="none"/>
                <w:lang w:val="en-US" w:eastAsia="zh-CN"/>
              </w:rPr>
              <w:t>。</w:t>
            </w:r>
          </w:p>
          <w:p w14:paraId="5589ABA3">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ascii="宋体" w:hAnsi="宋体" w:eastAsia="宋体" w:cs="宋体"/>
                <w:b/>
                <w:bCs/>
                <w:sz w:val="24"/>
                <w:szCs w:val="24"/>
                <w:highlight w:val="none"/>
                <w:lang w:val="en-US" w:eastAsia="zh-CN"/>
              </w:rPr>
              <w:t>（缺陷是指：存在不适用项目实际情况的情形、凭空编造、 方案中内容前后不一致、前后逻辑错误、涉及的规范及标准错误、地点区域错误、内容缺失、不符合项目实际情况等）</w:t>
            </w:r>
          </w:p>
        </w:tc>
        <w:tc>
          <w:tcPr>
            <w:tcW w:w="657" w:type="dxa"/>
            <w:vMerge w:val="continue"/>
            <w:tcBorders>
              <w:left w:val="outset" w:color="auto" w:sz="6" w:space="0"/>
              <w:right w:val="outset" w:color="auto" w:sz="6" w:space="0"/>
            </w:tcBorders>
            <w:noWrap w:val="0"/>
            <w:vAlign w:val="center"/>
          </w:tcPr>
          <w:p w14:paraId="7178E722">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F487A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05" w:hRule="atLeast"/>
        </w:trPr>
        <w:tc>
          <w:tcPr>
            <w:tcW w:w="1026" w:type="dxa"/>
            <w:vMerge w:val="continue"/>
            <w:tcBorders>
              <w:left w:val="outset" w:color="auto" w:sz="6" w:space="0"/>
              <w:right w:val="outset" w:color="auto" w:sz="6" w:space="0"/>
            </w:tcBorders>
            <w:noWrap w:val="0"/>
            <w:vAlign w:val="center"/>
          </w:tcPr>
          <w:p w14:paraId="2EE518DC">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367F662">
            <w:pPr>
              <w:pStyle w:val="20"/>
              <w:ind w:left="0" w:leftChars="0"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进度计划保障措施</w:t>
            </w:r>
          </w:p>
          <w:p w14:paraId="6E1E1400">
            <w:pPr>
              <w:pStyle w:val="20"/>
              <w:ind w:left="0" w:leftChars="0"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FD5206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供应商针对本项目实施的任务划分、关键时间节点把握，提供进度计划保障措施，进度计划科学合理，且保障措施得力，能够保证</w:t>
            </w:r>
            <w:r>
              <w:rPr>
                <w:rFonts w:hint="eastAsia" w:ascii="宋体" w:hAnsi="宋体" w:cs="宋体"/>
                <w:sz w:val="24"/>
                <w:szCs w:val="24"/>
                <w:highlight w:val="none"/>
                <w:lang w:val="en-US" w:eastAsia="zh-CN"/>
              </w:rPr>
              <w:t>规划</w:t>
            </w:r>
            <w:r>
              <w:rPr>
                <w:rFonts w:hint="eastAsia" w:ascii="宋体" w:hAnsi="宋体" w:eastAsia="宋体" w:cs="宋体"/>
                <w:sz w:val="24"/>
                <w:szCs w:val="24"/>
                <w:highlight w:val="none"/>
                <w:lang w:val="en-US" w:eastAsia="zh-CN"/>
              </w:rPr>
              <w:t>工作按期完成得4分，进度计划或保障措施内容存在缺漏、不完整得2分，未提供的不得分。</w:t>
            </w:r>
          </w:p>
        </w:tc>
        <w:tc>
          <w:tcPr>
            <w:tcW w:w="657" w:type="dxa"/>
            <w:vMerge w:val="continue"/>
            <w:tcBorders>
              <w:left w:val="outset" w:color="auto" w:sz="6" w:space="0"/>
              <w:right w:val="outset" w:color="auto" w:sz="6" w:space="0"/>
            </w:tcBorders>
            <w:noWrap w:val="0"/>
            <w:vAlign w:val="center"/>
          </w:tcPr>
          <w:p w14:paraId="09E9FAC5">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249B3A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07" w:hRule="atLeast"/>
        </w:trPr>
        <w:tc>
          <w:tcPr>
            <w:tcW w:w="1026" w:type="dxa"/>
            <w:vMerge w:val="continue"/>
            <w:tcBorders>
              <w:left w:val="outset" w:color="auto" w:sz="6" w:space="0"/>
              <w:right w:val="outset" w:color="auto" w:sz="6" w:space="0"/>
            </w:tcBorders>
            <w:noWrap w:val="0"/>
            <w:vAlign w:val="center"/>
          </w:tcPr>
          <w:p w14:paraId="48EE59D9">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06282E0">
            <w:pPr>
              <w:pStyle w:val="2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重点难点问题分析及应对措施</w:t>
            </w:r>
          </w:p>
          <w:p w14:paraId="5BE916EE">
            <w:pPr>
              <w:pStyle w:val="2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60B61D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针对本项目实际情况结合过往经验分析提供的重点难点分析及应对措施需包含但不限于以下内容：①项目可能存在的问题进行重点难点分析；②提出的解决方案或合理化建议；</w:t>
            </w:r>
          </w:p>
          <w:p w14:paraId="18DC4B2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每具有一项得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分，最多得 </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分，提供的方案中每有一处缺陷的扣1分，扣完为止。</w:t>
            </w:r>
          </w:p>
          <w:p w14:paraId="04E6552E">
            <w:pPr>
              <w:pStyle w:val="40"/>
              <w:ind w:left="0" w:leftChars="0" w:firstLine="0" w:firstLineChars="0"/>
              <w:rPr>
                <w:rFonts w:hint="eastAsia"/>
                <w:lang w:val="en-US" w:eastAsia="zh-CN"/>
              </w:rPr>
            </w:pPr>
            <w:r>
              <w:rPr>
                <w:rFonts w:hint="eastAsia" w:ascii="宋体" w:hAnsi="宋体" w:eastAsia="宋体" w:cs="宋体"/>
                <w:b/>
                <w:bCs/>
                <w:sz w:val="24"/>
                <w:szCs w:val="24"/>
                <w:highlight w:val="none"/>
                <w:lang w:val="en-US" w:eastAsia="zh-CN"/>
              </w:rPr>
              <w:t>（缺陷是指：存在不适用项目实际情况的情形、凭空编造、 方案中内容前后不一致、前后逻辑错误、涉及的规范及标准错误、地点区域错误、内容缺失、不符合项目实际情况等）</w:t>
            </w:r>
          </w:p>
        </w:tc>
        <w:tc>
          <w:tcPr>
            <w:tcW w:w="657" w:type="dxa"/>
            <w:vMerge w:val="continue"/>
            <w:tcBorders>
              <w:left w:val="outset" w:color="auto" w:sz="6" w:space="0"/>
              <w:right w:val="outset" w:color="auto" w:sz="6" w:space="0"/>
            </w:tcBorders>
            <w:noWrap w:val="0"/>
            <w:vAlign w:val="center"/>
          </w:tcPr>
          <w:p w14:paraId="4CFD664F">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69BF0E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72" w:hRule="atLeast"/>
        </w:trPr>
        <w:tc>
          <w:tcPr>
            <w:tcW w:w="1026" w:type="dxa"/>
            <w:vMerge w:val="continue"/>
            <w:tcBorders>
              <w:left w:val="outset" w:color="auto" w:sz="6" w:space="0"/>
              <w:right w:val="outset" w:color="auto" w:sz="6" w:space="0"/>
            </w:tcBorders>
            <w:noWrap w:val="0"/>
            <w:vAlign w:val="center"/>
          </w:tcPr>
          <w:p w14:paraId="42DE9601">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1F784E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质量保证 </w:t>
            </w:r>
          </w:p>
          <w:p w14:paraId="02EFD8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措施</w:t>
            </w:r>
          </w:p>
          <w:p w14:paraId="403440C7">
            <w:pPr>
              <w:pStyle w:val="20"/>
              <w:ind w:left="0" w:leftChars="0" w:firstLine="0" w:firstLineChars="0"/>
              <w:jc w:val="center"/>
              <w:rPr>
                <w:rFonts w:hint="default"/>
                <w:lang w:val="en-US" w:eastAsia="zh-CN"/>
              </w:rPr>
            </w:pPr>
            <w:r>
              <w:rPr>
                <w:rFonts w:hint="eastAsia" w:ascii="宋体" w:hAnsi="宋体" w:eastAsia="宋体" w:cs="宋体"/>
                <w:sz w:val="24"/>
                <w:szCs w:val="24"/>
                <w:highlight w:val="none"/>
                <w:lang w:val="en-US" w:eastAsia="zh-CN"/>
              </w:rPr>
              <w:t>（8分）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B477E9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根据项目实际情况制定服务质量保障措施，措施内容包括： </w:t>
            </w:r>
          </w:p>
          <w:p w14:paraId="0B78287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①项目质量保障措施；②风险管理及应急保障措施；③成果内容 </w:t>
            </w:r>
          </w:p>
          <w:p w14:paraId="786857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保障方案；④服务保障措施及售后服务保障措施等内容；</w:t>
            </w:r>
          </w:p>
          <w:p w14:paraId="63F0F7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每具有一项得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分，最多得 </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分，提供的</w:t>
            </w:r>
            <w:r>
              <w:rPr>
                <w:rFonts w:hint="eastAsia" w:ascii="宋体" w:hAnsi="宋体" w:cs="宋体"/>
                <w:sz w:val="24"/>
                <w:szCs w:val="24"/>
                <w:highlight w:val="none"/>
                <w:lang w:val="en-US" w:eastAsia="zh-CN"/>
              </w:rPr>
              <w:t>措施内容</w:t>
            </w:r>
            <w:r>
              <w:rPr>
                <w:rFonts w:hint="eastAsia" w:ascii="宋体" w:hAnsi="宋体" w:eastAsia="宋体" w:cs="宋体"/>
                <w:sz w:val="24"/>
                <w:szCs w:val="24"/>
                <w:highlight w:val="none"/>
                <w:lang w:val="en-US" w:eastAsia="zh-CN"/>
              </w:rPr>
              <w:t xml:space="preserve">每有一处缺陷的扣1分，扣完为止。 </w:t>
            </w:r>
          </w:p>
          <w:p w14:paraId="67A9591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（缺陷是指：存在不适用项目实际情况的情形、凭空编造、 方案中内容前后不一致、前后逻辑错误、涉及的规范及标准错误、地点区域错误、内容缺失、不符合项目实际情况等）</w:t>
            </w:r>
          </w:p>
        </w:tc>
        <w:tc>
          <w:tcPr>
            <w:tcW w:w="657" w:type="dxa"/>
            <w:vMerge w:val="continue"/>
            <w:tcBorders>
              <w:left w:val="outset" w:color="auto" w:sz="6" w:space="0"/>
              <w:right w:val="outset" w:color="auto" w:sz="6" w:space="0"/>
            </w:tcBorders>
            <w:noWrap w:val="0"/>
            <w:vAlign w:val="center"/>
          </w:tcPr>
          <w:p w14:paraId="19EE8AF2">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0B1D55C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77" w:hRule="atLeast"/>
        </w:trPr>
        <w:tc>
          <w:tcPr>
            <w:tcW w:w="1026" w:type="dxa"/>
            <w:vMerge w:val="continue"/>
            <w:tcBorders>
              <w:left w:val="outset" w:color="auto" w:sz="6" w:space="0"/>
              <w:right w:val="outset" w:color="auto" w:sz="6" w:space="0"/>
            </w:tcBorders>
            <w:noWrap w:val="0"/>
            <w:vAlign w:val="center"/>
          </w:tcPr>
          <w:p w14:paraId="323C7ECE">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noWrap w:val="0"/>
            <w:vAlign w:val="center"/>
          </w:tcPr>
          <w:p w14:paraId="2412300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合理化 </w:t>
            </w:r>
          </w:p>
          <w:p w14:paraId="40B3651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建议</w:t>
            </w:r>
          </w:p>
          <w:p w14:paraId="16E969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A77EE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根据供应商针对本项目提出的合理化建议（主要包括根据国土空 </w:t>
            </w:r>
          </w:p>
          <w:p w14:paraId="07C5C03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间规划要求，针对规划编制提出建设性意见和建议）建议内容合理、切实可行的</w:t>
            </w:r>
            <w:r>
              <w:rPr>
                <w:rFonts w:hint="eastAsia" w:ascii="宋体" w:hAnsi="宋体" w:cs="宋体"/>
                <w:sz w:val="24"/>
                <w:szCs w:val="24"/>
                <w:highlight w:val="none"/>
                <w:lang w:val="en-US" w:eastAsia="zh-CN"/>
              </w:rPr>
              <w:t>每提出1条</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，最多得3分。</w:t>
            </w:r>
          </w:p>
        </w:tc>
        <w:tc>
          <w:tcPr>
            <w:tcW w:w="657" w:type="dxa"/>
            <w:vMerge w:val="continue"/>
            <w:tcBorders>
              <w:left w:val="outset" w:color="auto" w:sz="6" w:space="0"/>
              <w:right w:val="outset" w:color="auto" w:sz="6" w:space="0"/>
            </w:tcBorders>
            <w:noWrap w:val="0"/>
            <w:vAlign w:val="center"/>
          </w:tcPr>
          <w:p w14:paraId="7CCA243A">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19F590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77" w:hRule="atLeast"/>
        </w:trPr>
        <w:tc>
          <w:tcPr>
            <w:tcW w:w="1026" w:type="dxa"/>
            <w:vMerge w:val="continue"/>
            <w:tcBorders>
              <w:left w:val="outset" w:color="auto" w:sz="6" w:space="0"/>
              <w:right w:val="outset" w:color="auto" w:sz="6" w:space="0"/>
            </w:tcBorders>
            <w:noWrap w:val="0"/>
            <w:vAlign w:val="center"/>
          </w:tcPr>
          <w:p w14:paraId="1237C858">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noWrap w:val="0"/>
            <w:vAlign w:val="center"/>
          </w:tcPr>
          <w:p w14:paraId="1E533CB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w:t>
            </w:r>
          </w:p>
          <w:p w14:paraId="109DE9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DBD0BC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供应商根据本项目特点，提供服务承诺包括：①人员安排、② </w:t>
            </w:r>
          </w:p>
          <w:p w14:paraId="0EB4E237">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服务响应、③服务保障措施、④后续服务措施。每具有一项得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 </w:t>
            </w:r>
          </w:p>
          <w:p w14:paraId="3692A392">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
              </w:rPr>
              <w:t>分，最多得</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w:t>
            </w:r>
            <w:r>
              <w:rPr>
                <w:rFonts w:hint="eastAsia" w:ascii="宋体" w:hAnsi="宋体" w:eastAsia="宋体" w:cs="宋体"/>
                <w:b w:val="0"/>
                <w:bCs w:val="0"/>
                <w:color w:val="000000"/>
                <w:kern w:val="0"/>
                <w:sz w:val="24"/>
                <w:szCs w:val="24"/>
                <w:lang w:val="en-US" w:eastAsia="zh-CN" w:bidi="ar"/>
              </w:rPr>
              <w:t>提供的方案中每有一处具有缺陷的扣</w:t>
            </w: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分，扣完为止。</w:t>
            </w:r>
            <w:r>
              <w:rPr>
                <w:rFonts w:hint="eastAsia" w:ascii="宋体" w:hAnsi="宋体" w:eastAsia="宋体" w:cs="宋体"/>
                <w:b/>
                <w:bCs/>
                <w:color w:val="000000"/>
                <w:kern w:val="0"/>
                <w:sz w:val="24"/>
                <w:szCs w:val="24"/>
                <w:lang w:val="en-US" w:eastAsia="zh-CN" w:bidi="ar"/>
              </w:rPr>
              <w:t>（缺陷是指： 存在不适用项目实际情况的情形、凭空编造、方案中内容前后 不一致、前后逻辑错误、涉及的规范及标准错误、地点区域错误、内容缺失、不符合项目实际情况等）</w:t>
            </w:r>
          </w:p>
        </w:tc>
        <w:tc>
          <w:tcPr>
            <w:tcW w:w="657" w:type="dxa"/>
            <w:vMerge w:val="continue"/>
            <w:tcBorders>
              <w:left w:val="outset" w:color="auto" w:sz="6" w:space="0"/>
              <w:right w:val="outset" w:color="auto" w:sz="6" w:space="0"/>
            </w:tcBorders>
            <w:noWrap w:val="0"/>
            <w:vAlign w:val="center"/>
          </w:tcPr>
          <w:p w14:paraId="31002720">
            <w:pPr>
              <w:pStyle w:val="77"/>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51A26D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68" w:hRule="atLeast"/>
        </w:trPr>
        <w:tc>
          <w:tcPr>
            <w:tcW w:w="2384" w:type="dxa"/>
            <w:gridSpan w:val="2"/>
            <w:tcBorders>
              <w:top w:val="single" w:color="auto" w:sz="4" w:space="0"/>
              <w:left w:val="outset" w:color="auto" w:sz="6" w:space="0"/>
              <w:bottom w:val="outset" w:color="auto" w:sz="6" w:space="0"/>
              <w:right w:val="outset" w:color="auto" w:sz="6" w:space="0"/>
            </w:tcBorders>
            <w:noWrap w:val="0"/>
            <w:vAlign w:val="center"/>
          </w:tcPr>
          <w:p w14:paraId="5ABF7C87">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合计</w:t>
            </w:r>
          </w:p>
        </w:tc>
        <w:tc>
          <w:tcPr>
            <w:tcW w:w="7579" w:type="dxa"/>
            <w:gridSpan w:val="2"/>
            <w:tcBorders>
              <w:top w:val="outset" w:color="auto" w:sz="6" w:space="0"/>
              <w:left w:val="outset" w:color="auto" w:sz="6" w:space="0"/>
              <w:bottom w:val="outset" w:color="auto" w:sz="6" w:space="0"/>
              <w:right w:val="outset" w:color="auto" w:sz="6" w:space="0"/>
            </w:tcBorders>
            <w:noWrap w:val="0"/>
            <w:vAlign w:val="center"/>
          </w:tcPr>
          <w:p w14:paraId="1DA14F05">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zh-CN"/>
                <w14:textFill>
                  <w14:solidFill>
                    <w14:schemeClr w14:val="tx1"/>
                  </w14:solidFill>
                </w14:textFill>
              </w:rPr>
              <w:t>0</w:t>
            </w:r>
          </w:p>
        </w:tc>
      </w:tr>
      <w:tr w14:paraId="71204ED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59" w:hRule="atLeast"/>
        </w:trPr>
        <w:tc>
          <w:tcPr>
            <w:tcW w:w="9963" w:type="dxa"/>
            <w:gridSpan w:val="4"/>
            <w:tcBorders>
              <w:top w:val="outset" w:color="auto" w:sz="6" w:space="0"/>
              <w:left w:val="outset" w:color="auto" w:sz="6" w:space="0"/>
              <w:bottom w:val="outset" w:color="auto" w:sz="6" w:space="0"/>
              <w:right w:val="outset" w:color="auto" w:sz="6" w:space="0"/>
            </w:tcBorders>
            <w:noWrap w:val="0"/>
            <w:vAlign w:val="center"/>
          </w:tcPr>
          <w:p w14:paraId="68CB3755">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 1、计算过程中，算术平均值保留2位小数（百分比亦取2位小数），第三位小数四舍五入。</w:t>
            </w:r>
          </w:p>
          <w:p w14:paraId="2E9AE212">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的最终得分为：所有评委对其评分的算术平均值。</w:t>
            </w:r>
          </w:p>
        </w:tc>
      </w:tr>
    </w:tbl>
    <w:p w14:paraId="7CD563BE">
      <w:pPr>
        <w:spacing w:line="360" w:lineRule="auto"/>
        <w:outlineLvl w:val="9"/>
        <w:rPr>
          <w:rFonts w:ascii="time of new roman" w:hAnsi="time of new roman"/>
          <w:color w:val="000000" w:themeColor="text1"/>
          <w:sz w:val="24"/>
          <w:szCs w:val="24"/>
          <w:highlight w:val="none"/>
          <w14:textFill>
            <w14:solidFill>
              <w14:schemeClr w14:val="tx1"/>
            </w14:solidFill>
          </w14:textFill>
        </w:rPr>
      </w:pPr>
    </w:p>
    <w:p w14:paraId="0F5A071A">
      <w:pPr>
        <w:pStyle w:val="18"/>
        <w:ind w:left="0" w:leftChars="0" w:firstLine="0" w:firstLineChars="0"/>
        <w:rPr>
          <w:rFonts w:hint="eastAsia"/>
          <w:highlight w:val="none"/>
        </w:rPr>
      </w:pPr>
      <w:bookmarkStart w:id="619" w:name="_Toc389080939"/>
      <w:bookmarkStart w:id="620" w:name="_Toc10446434"/>
      <w:bookmarkStart w:id="621" w:name="_Toc514177068"/>
      <w:bookmarkStart w:id="622" w:name="_Toc439513175"/>
      <w:bookmarkStart w:id="623" w:name="_Toc438513748"/>
      <w:bookmarkStart w:id="624" w:name="_Toc479325606"/>
      <w:bookmarkStart w:id="625" w:name="_Toc494832102"/>
      <w:bookmarkStart w:id="626" w:name="_Toc403072955"/>
      <w:bookmarkStart w:id="627" w:name="_Toc524368805"/>
      <w:bookmarkStart w:id="628" w:name="_Toc523170357"/>
      <w:bookmarkStart w:id="629" w:name="_Toc5124224"/>
      <w:bookmarkStart w:id="630" w:name="_Toc439513459"/>
      <w:bookmarkStart w:id="631" w:name="_Toc414510794"/>
      <w:bookmarkStart w:id="632" w:name="_Toc409601380"/>
      <w:bookmarkStart w:id="633" w:name="_Toc422162006"/>
      <w:bookmarkStart w:id="634" w:name="_Toc477879854"/>
      <w:bookmarkStart w:id="635" w:name="_Toc9612866"/>
      <w:bookmarkStart w:id="636" w:name="_Toc487044266"/>
      <w:bookmarkStart w:id="637" w:name="_Toc425347676"/>
      <w:bookmarkStart w:id="638" w:name="_Toc458635610"/>
      <w:bookmarkStart w:id="639" w:name="_Toc416208500"/>
      <w:bookmarkStart w:id="640" w:name="_Toc403580052"/>
      <w:bookmarkStart w:id="641" w:name="_Toc389763145"/>
      <w:bookmarkStart w:id="642" w:name="_Toc13148"/>
      <w:bookmarkStart w:id="643" w:name="_Toc470184455"/>
      <w:bookmarkStart w:id="644" w:name="_Toc522529820"/>
      <w:bookmarkStart w:id="645" w:name="_Toc438722144"/>
      <w:bookmarkStart w:id="646" w:name="_Toc498899398"/>
      <w:bookmarkStart w:id="647" w:name="_Toc422865435"/>
      <w:bookmarkStart w:id="648" w:name="_Toc439679282"/>
      <w:bookmarkStart w:id="649" w:name="_Toc458980409"/>
      <w:bookmarkStart w:id="650" w:name="_Toc498871266"/>
      <w:bookmarkStart w:id="651" w:name="_Toc438508611"/>
      <w:bookmarkStart w:id="652" w:name="_Toc418023347"/>
      <w:bookmarkStart w:id="653" w:name="_Toc11931300"/>
      <w:bookmarkStart w:id="654" w:name="_Toc11944607"/>
      <w:bookmarkStart w:id="655" w:name="_Toc524517877"/>
      <w:bookmarkStart w:id="656" w:name="_Toc12619"/>
      <w:bookmarkStart w:id="657" w:name="_Toc509337066"/>
      <w:bookmarkStart w:id="658" w:name="_Toc479340803"/>
      <w:bookmarkStart w:id="659" w:name="_Toc392064531"/>
      <w:bookmarkStart w:id="660" w:name="_Toc486969393"/>
      <w:bookmarkStart w:id="661" w:name="_Toc509337181"/>
      <w:bookmarkStart w:id="662" w:name="_Toc16399"/>
      <w:bookmarkStart w:id="663" w:name="_Toc9864102"/>
    </w:p>
    <w:p w14:paraId="473E60F5">
      <w:pPr>
        <w:spacing w:line="360" w:lineRule="auto"/>
        <w:outlineLvl w:val="2"/>
        <w:rPr>
          <w:rFonts w:hint="eastAsia"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附表</w:t>
      </w:r>
      <w:r>
        <w:rPr>
          <w:rFonts w:hint="eastAsia" w:ascii="宋体" w:hAnsi="宋体" w:eastAsia="宋体" w:cs="Times New Roman"/>
          <w:b/>
          <w:color w:val="000000" w:themeColor="text1"/>
          <w:sz w:val="24"/>
          <w:highlight w:val="none"/>
          <w:lang w:val="en-US" w:eastAsia="zh-CN"/>
          <w14:textFill>
            <w14:solidFill>
              <w14:schemeClr w14:val="tx1"/>
            </w14:solidFill>
          </w14:textFill>
        </w:rPr>
        <w:t>4</w:t>
      </w:r>
      <w:r>
        <w:rPr>
          <w:rFonts w:hint="eastAsia" w:ascii="宋体" w:hAnsi="宋体" w:eastAsia="宋体" w:cs="Times New Roman"/>
          <w:b/>
          <w:color w:val="000000" w:themeColor="text1"/>
          <w:sz w:val="24"/>
          <w:highlight w:val="none"/>
          <w14:textFill>
            <w14:solidFill>
              <w14:schemeClr w14:val="tx1"/>
            </w14:solidFill>
          </w14:textFill>
        </w:rPr>
        <w:t xml:space="preserve"> 价格响应性评审表</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tbl>
      <w:tblPr>
        <w:tblStyle w:val="32"/>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23"/>
        <w:gridCol w:w="7825"/>
      </w:tblGrid>
      <w:tr w14:paraId="40C2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399" w:type="dxa"/>
            <w:tcBorders>
              <w:top w:val="single" w:color="auto" w:sz="4" w:space="0"/>
              <w:left w:val="single" w:color="auto" w:sz="4" w:space="0"/>
              <w:bottom w:val="single" w:color="auto" w:sz="4" w:space="0"/>
              <w:right w:val="single" w:color="auto" w:sz="4" w:space="0"/>
            </w:tcBorders>
            <w:noWrap w:val="0"/>
            <w:vAlign w:val="center"/>
          </w:tcPr>
          <w:p w14:paraId="73F0EB04">
            <w:pPr>
              <w:widowControl/>
              <w:adjustRightInd w:val="0"/>
              <w:spacing w:line="36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w:t>
            </w:r>
          </w:p>
          <w:p w14:paraId="151F0B25">
            <w:pPr>
              <w:widowControl/>
              <w:adjustRightInd w:val="0"/>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AB32D8B">
            <w:pPr>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825" w:type="dxa"/>
            <w:tcBorders>
              <w:top w:val="single" w:color="auto" w:sz="4" w:space="0"/>
              <w:left w:val="single" w:color="auto" w:sz="4" w:space="0"/>
              <w:bottom w:val="single" w:color="auto" w:sz="4" w:space="0"/>
              <w:right w:val="single" w:color="auto" w:sz="4" w:space="0"/>
            </w:tcBorders>
            <w:noWrap w:val="0"/>
            <w:vAlign w:val="center"/>
          </w:tcPr>
          <w:p w14:paraId="56FE7567">
            <w:pPr>
              <w:spacing w:line="400" w:lineRule="exact"/>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满足招标文件要求且投标价格</w:t>
            </w:r>
            <w:r>
              <w:rPr>
                <w:rFonts w:hint="eastAsia" w:ascii="宋体" w:hAnsi="宋体" w:cs="宋体"/>
                <w:b/>
                <w:bCs/>
                <w:color w:val="000000" w:themeColor="text1"/>
                <w:sz w:val="24"/>
                <w:szCs w:val="24"/>
                <w:highlight w:val="none"/>
                <w:lang w:val="en-US" w:eastAsia="zh-CN"/>
                <w14:textFill>
                  <w14:solidFill>
                    <w14:schemeClr w14:val="tx1"/>
                  </w14:solidFill>
                </w14:textFill>
              </w:rPr>
              <w:t>最低</w:t>
            </w:r>
            <w:r>
              <w:rPr>
                <w:rFonts w:hint="eastAsia" w:ascii="宋体" w:hAnsi="宋体" w:eastAsia="宋体" w:cs="宋体"/>
                <w:b/>
                <w:bCs/>
                <w:color w:val="000000" w:themeColor="text1"/>
                <w:sz w:val="24"/>
                <w:szCs w:val="24"/>
                <w:highlight w:val="none"/>
                <w14:textFill>
                  <w14:solidFill>
                    <w14:schemeClr w14:val="tx1"/>
                  </w14:solidFill>
                </w14:textFill>
              </w:rPr>
              <w:t>的投标报价为评标基准价，其价格分为满分。其他</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的价格分统一按照下列公式计算：投标报价得分=（评标基准价/有效投标报价）×</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（计算结果保留两位小数）</w:t>
            </w:r>
          </w:p>
        </w:tc>
      </w:tr>
    </w:tbl>
    <w:p w14:paraId="23E944F7">
      <w:pPr>
        <w:spacing w:line="360" w:lineRule="auto"/>
        <w:rPr>
          <w:rFonts w:ascii="宋体" w:hAnsi="宋体"/>
          <w:color w:val="000000" w:themeColor="text1"/>
          <w:sz w:val="24"/>
          <w:szCs w:val="24"/>
          <w:highlight w:val="none"/>
          <w14:textFill>
            <w14:solidFill>
              <w14:schemeClr w14:val="tx1"/>
            </w14:solidFill>
          </w14:textFill>
        </w:rPr>
      </w:pPr>
    </w:p>
    <w:p w14:paraId="1DEC1F4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D97BAB3">
      <w:pPr>
        <w:rPr>
          <w:rFonts w:hint="eastAsia"/>
          <w:color w:val="000000" w:themeColor="text1"/>
          <w:highlight w:val="none"/>
          <w14:textFill>
            <w14:solidFill>
              <w14:schemeClr w14:val="tx1"/>
            </w14:solidFill>
          </w14:textFill>
        </w:rPr>
      </w:pPr>
    </w:p>
    <w:p w14:paraId="22621916">
      <w:pPr>
        <w:pStyle w:val="31"/>
        <w:ind w:firstLine="560"/>
        <w:rPr>
          <w:rFonts w:hint="eastAsia"/>
          <w:color w:val="000000" w:themeColor="text1"/>
          <w:highlight w:val="none"/>
          <w14:textFill>
            <w14:solidFill>
              <w14:schemeClr w14:val="tx1"/>
            </w14:solidFill>
          </w14:textFill>
        </w:rPr>
      </w:pPr>
    </w:p>
    <w:p w14:paraId="33F2AF01">
      <w:pPr>
        <w:pStyle w:val="31"/>
        <w:ind w:firstLine="560"/>
        <w:rPr>
          <w:rFonts w:hint="eastAsia"/>
          <w:color w:val="000000" w:themeColor="text1"/>
          <w:highlight w:val="none"/>
          <w14:textFill>
            <w14:solidFill>
              <w14:schemeClr w14:val="tx1"/>
            </w14:solidFill>
          </w14:textFill>
        </w:rPr>
      </w:pPr>
    </w:p>
    <w:p w14:paraId="7A2D4152">
      <w:pPr>
        <w:pStyle w:val="31"/>
        <w:ind w:firstLine="560"/>
        <w:rPr>
          <w:rFonts w:hint="eastAsia"/>
          <w:color w:val="000000" w:themeColor="text1"/>
          <w:highlight w:val="none"/>
          <w14:textFill>
            <w14:solidFill>
              <w14:schemeClr w14:val="tx1"/>
            </w14:solidFill>
          </w14:textFill>
        </w:rPr>
      </w:pPr>
    </w:p>
    <w:p w14:paraId="69C28413">
      <w:pPr>
        <w:pStyle w:val="31"/>
        <w:ind w:firstLine="560"/>
        <w:rPr>
          <w:rFonts w:hint="eastAsia"/>
          <w:color w:val="000000" w:themeColor="text1"/>
          <w:highlight w:val="none"/>
          <w14:textFill>
            <w14:solidFill>
              <w14:schemeClr w14:val="tx1"/>
            </w14:solidFill>
          </w14:textFill>
        </w:rPr>
      </w:pPr>
    </w:p>
    <w:p w14:paraId="7751377D">
      <w:pPr>
        <w:pStyle w:val="15"/>
        <w:rPr>
          <w:rFonts w:hint="eastAsia"/>
          <w:color w:val="000000" w:themeColor="text1"/>
          <w:highlight w:val="none"/>
          <w14:textFill>
            <w14:solidFill>
              <w14:schemeClr w14:val="tx1"/>
            </w14:solidFill>
          </w14:textFill>
        </w:rPr>
      </w:pPr>
    </w:p>
    <w:p w14:paraId="0E08A07C">
      <w:pPr>
        <w:outlineLvl w:val="9"/>
        <w:rPr>
          <w:rFonts w:hint="eastAsia"/>
          <w:color w:val="000000" w:themeColor="text1"/>
          <w:highlight w:val="none"/>
          <w14:textFill>
            <w14:solidFill>
              <w14:schemeClr w14:val="tx1"/>
            </w14:solidFill>
          </w14:textFill>
        </w:rPr>
      </w:pPr>
    </w:p>
    <w:p w14:paraId="5138E902">
      <w:pPr>
        <w:rPr>
          <w:rFonts w:hint="eastAsia"/>
          <w:color w:val="000000" w:themeColor="text1"/>
          <w:highlight w:val="none"/>
          <w14:textFill>
            <w14:solidFill>
              <w14:schemeClr w14:val="tx1"/>
            </w14:solidFill>
          </w14:textFill>
        </w:rPr>
      </w:pPr>
    </w:p>
    <w:p w14:paraId="0BFE1F33">
      <w:pPr>
        <w:pStyle w:val="18"/>
        <w:rPr>
          <w:rFonts w:hint="eastAsia"/>
          <w:highlight w:val="none"/>
        </w:rPr>
      </w:pPr>
    </w:p>
    <w:p w14:paraId="2E7BB006">
      <w:pPr>
        <w:spacing w:line="360" w:lineRule="auto"/>
        <w:rPr>
          <w:rFonts w:hint="eastAsia"/>
          <w:color w:val="000000" w:themeColor="text1"/>
          <w:highlight w:val="none"/>
          <w14:textFill>
            <w14:solidFill>
              <w14:schemeClr w14:val="tx1"/>
            </w14:solidFill>
          </w14:textFill>
        </w:rPr>
      </w:pPr>
    </w:p>
    <w:p w14:paraId="544F6D50">
      <w:pPr>
        <w:spacing w:line="360" w:lineRule="auto"/>
        <w:ind w:firstLine="562" w:firstLineChars="200"/>
        <w:rPr>
          <w:rFonts w:hint="eastAsia" w:ascii="宋体" w:hAnsi="宋体"/>
          <w:b/>
          <w:color w:val="000000" w:themeColor="text1"/>
          <w:sz w:val="28"/>
          <w:szCs w:val="28"/>
          <w:highlight w:val="none"/>
          <w14:textFill>
            <w14:solidFill>
              <w14:schemeClr w14:val="tx1"/>
            </w14:solidFill>
          </w14:textFill>
        </w:rPr>
      </w:pPr>
    </w:p>
    <w:p w14:paraId="6AC7BA0F">
      <w:pPr>
        <w:pStyle w:val="2"/>
        <w:spacing w:line="360" w:lineRule="auto"/>
        <w:jc w:val="center"/>
        <w:rPr>
          <w:rFonts w:ascii="宋体" w:hAnsi="宋体" w:eastAsia="宋体"/>
          <w:color w:val="000000" w:themeColor="text1"/>
          <w:sz w:val="48"/>
          <w:szCs w:val="48"/>
          <w:highlight w:val="none"/>
          <w14:textFill>
            <w14:solidFill>
              <w14:schemeClr w14:val="tx1"/>
            </w14:solidFill>
          </w14:textFill>
        </w:rPr>
      </w:pPr>
      <w:bookmarkStart w:id="664" w:name="_Toc599"/>
      <w:bookmarkStart w:id="665" w:name="_Toc297209399"/>
      <w:r>
        <w:rPr>
          <w:rFonts w:hint="eastAsia" w:ascii="宋体" w:hAnsi="宋体" w:eastAsia="宋体"/>
          <w:color w:val="000000" w:themeColor="text1"/>
          <w:sz w:val="48"/>
          <w:szCs w:val="48"/>
          <w:highlight w:val="none"/>
          <w14:textFill>
            <w14:solidFill>
              <w14:schemeClr w14:val="tx1"/>
            </w14:solidFill>
          </w14:textFill>
        </w:rPr>
        <w:t>第五章 合同（样本）</w:t>
      </w:r>
      <w:bookmarkEnd w:id="664"/>
      <w:bookmarkEnd w:id="665"/>
    </w:p>
    <w:p w14:paraId="5D1EA4A1">
      <w:pPr>
        <w:pStyle w:val="50"/>
        <w:rPr>
          <w:color w:val="000000" w:themeColor="text1"/>
          <w:highlight w:val="none"/>
          <w14:textFill>
            <w14:solidFill>
              <w14:schemeClr w14:val="tx1"/>
            </w14:solidFill>
          </w14:textFill>
        </w:rPr>
      </w:pPr>
      <w:bookmarkStart w:id="666" w:name="_Toc527703760"/>
      <w:r>
        <w:rPr>
          <w:color w:val="000000" w:themeColor="text1"/>
          <w:sz w:val="24"/>
          <w:highlight w:val="none"/>
          <w14:textFill>
            <w14:solidFill>
              <w14:schemeClr w14:val="tx1"/>
            </w14:solidFill>
          </w14:textFill>
        </w:rPr>
        <w:br w:type="page"/>
      </w:r>
      <w:r>
        <w:rPr>
          <w:rFonts w:hint="eastAsia"/>
          <w:color w:val="000000" w:themeColor="text1"/>
          <w:sz w:val="28"/>
          <w:szCs w:val="24"/>
          <w:highlight w:val="none"/>
          <w14:textFill>
            <w14:solidFill>
              <w14:schemeClr w14:val="tx1"/>
            </w14:solidFill>
          </w14:textFill>
        </w:rPr>
        <w:t>注：本合同条款仅供参考，最终以甲方提供的样本并经甲乙双方协商一致的合同为准。</w:t>
      </w:r>
    </w:p>
    <w:bookmarkEnd w:id="666"/>
    <w:p w14:paraId="10A86C4F">
      <w:pPr>
        <w:pStyle w:val="31"/>
        <w:ind w:left="0" w:leftChars="0" w:firstLine="0" w:firstLineChars="0"/>
        <w:rPr>
          <w:rFonts w:hint="eastAsia"/>
          <w:color w:val="000000" w:themeColor="text1"/>
          <w:highlight w:val="none"/>
          <w:lang w:val="en-US" w:eastAsia="zh-CN"/>
          <w14:textFill>
            <w14:solidFill>
              <w14:schemeClr w14:val="tx1"/>
            </w14:solidFill>
          </w14:textFill>
        </w:rPr>
      </w:pPr>
      <w:bookmarkStart w:id="667" w:name="_Toc297209400"/>
    </w:p>
    <w:p w14:paraId="2FE2AD84">
      <w:pPr>
        <w:keepNext w:val="0"/>
        <w:keepLines w:val="0"/>
        <w:widowControl/>
        <w:suppressLineNumbers w:val="0"/>
        <w:jc w:val="center"/>
        <w:rPr>
          <w:rFonts w:hint="eastAsia" w:ascii="宋体" w:hAnsi="宋体" w:eastAsia="宋体" w:cs="宋体"/>
          <w:b/>
          <w:bCs/>
          <w:color w:val="000000" w:themeColor="text1"/>
          <w:kern w:val="0"/>
          <w:sz w:val="56"/>
          <w:szCs w:val="56"/>
          <w:highlight w:val="none"/>
          <w:lang w:val="en-US" w:eastAsia="zh-CN" w:bidi="ar"/>
          <w14:textFill>
            <w14:solidFill>
              <w14:schemeClr w14:val="tx1"/>
            </w14:solidFill>
          </w14:textFill>
        </w:rPr>
      </w:pPr>
    </w:p>
    <w:p w14:paraId="3DC77726">
      <w:pPr>
        <w:pStyle w:val="31"/>
        <w:ind w:left="0" w:leftChars="0" w:firstLine="0" w:firstLineChars="0"/>
        <w:rPr>
          <w:rFonts w:hint="eastAsia"/>
          <w:color w:val="000000" w:themeColor="text1"/>
          <w:highlight w:val="none"/>
          <w:lang w:val="en-US" w:eastAsia="zh-CN"/>
          <w14:textFill>
            <w14:solidFill>
              <w14:schemeClr w14:val="tx1"/>
            </w14:solidFill>
          </w14:textFill>
        </w:rPr>
      </w:pPr>
    </w:p>
    <w:p w14:paraId="0D969312">
      <w:pPr>
        <w:keepNext w:val="0"/>
        <w:keepLines w:val="0"/>
        <w:widowControl/>
        <w:suppressLineNumbers w:val="0"/>
        <w:jc w:val="center"/>
        <w:rPr>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kern w:val="0"/>
          <w:sz w:val="72"/>
          <w:szCs w:val="72"/>
          <w:highlight w:val="none"/>
          <w:lang w:val="en-US" w:eastAsia="zh-CN" w:bidi="ar"/>
          <w14:textFill>
            <w14:solidFill>
              <w14:schemeClr w14:val="tx1"/>
            </w14:solidFill>
          </w14:textFill>
        </w:rPr>
        <w:t>政府采购合同参考范本</w:t>
      </w:r>
    </w:p>
    <w:p w14:paraId="6DA29161">
      <w:pPr>
        <w:keepNext w:val="0"/>
        <w:keepLines w:val="0"/>
        <w:widowControl/>
        <w:suppressLineNumbers w:val="0"/>
        <w:jc w:val="center"/>
        <w:rPr>
          <w:rFonts w:hint="eastAsia" w:ascii="宋体" w:hAnsi="宋体" w:eastAsia="宋体" w:cs="宋体"/>
          <w:b/>
          <w:bCs/>
          <w:color w:val="000000" w:themeColor="text1"/>
          <w:kern w:val="0"/>
          <w:sz w:val="52"/>
          <w:szCs w:val="52"/>
          <w:highlight w:val="none"/>
          <w:lang w:val="en-US" w:eastAsia="zh-CN" w:bidi="ar"/>
          <w14:textFill>
            <w14:solidFill>
              <w14:schemeClr w14:val="tx1"/>
            </w14:solidFill>
          </w14:textFill>
        </w:rPr>
      </w:pPr>
    </w:p>
    <w:p w14:paraId="60E6011A">
      <w:pPr>
        <w:keepNext w:val="0"/>
        <w:keepLines w:val="0"/>
        <w:widowControl/>
        <w:suppressLineNumbers w:val="0"/>
        <w:jc w:val="center"/>
        <w:rPr>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kern w:val="0"/>
          <w:sz w:val="52"/>
          <w:szCs w:val="52"/>
          <w:highlight w:val="none"/>
          <w:lang w:val="en-US" w:eastAsia="zh-CN" w:bidi="ar"/>
          <w14:textFill>
            <w14:solidFill>
              <w14:schemeClr w14:val="tx1"/>
            </w14:solidFill>
          </w14:textFill>
        </w:rPr>
        <w:t>（服务类）</w:t>
      </w:r>
    </w:p>
    <w:p w14:paraId="2ABA51FC">
      <w:pPr>
        <w:keepNext w:val="0"/>
        <w:keepLines w:val="0"/>
        <w:widowControl/>
        <w:suppressLineNumbers w:val="0"/>
        <w:jc w:val="cente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p>
    <w:p w14:paraId="1BFF538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p>
    <w:p w14:paraId="66D2C19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pPr>
    </w:p>
    <w:p w14:paraId="5301966D">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项目名称：</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46C10755">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甲方（采购人）：</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2E937C55">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乙方（供应商）：</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2972FC33">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签订地址：</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5CDCB996">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签订日期：</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年</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月</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日</w:t>
      </w:r>
    </w:p>
    <w:p w14:paraId="74CC02A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30"/>
          <w:szCs w:val="3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40"/>
          <w:szCs w:val="40"/>
          <w:highlight w:val="none"/>
          <w:lang w:val="en-US" w:eastAsia="zh-CN" w:bidi="ar"/>
          <w14:textFill>
            <w14:solidFill>
              <w14:schemeClr w14:val="tx1"/>
            </w14:solidFill>
          </w14:textFill>
        </w:rPr>
        <w:br w:type="page"/>
      </w:r>
      <w:r>
        <w:rPr>
          <w:rFonts w:hint="eastAsia" w:ascii="宋体" w:hAnsi="宋体" w:eastAsia="宋体" w:cs="宋体"/>
          <w:b/>
          <w:bCs/>
          <w:color w:val="000000" w:themeColor="text1"/>
          <w:kern w:val="0"/>
          <w:sz w:val="36"/>
          <w:szCs w:val="36"/>
          <w:highlight w:val="none"/>
          <w:lang w:val="en-US" w:eastAsia="zh-CN" w:bidi="ar"/>
          <w14:textFill>
            <w14:solidFill>
              <w14:schemeClr w14:val="tx1"/>
            </w14:solidFill>
          </w14:textFill>
        </w:rPr>
        <w:t>第一部分 合同书</w:t>
      </w:r>
    </w:p>
    <w:p w14:paraId="626CDFC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（采购人名称）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（政府采购方式）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（项目名称）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项目进行了采购。经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（相关评定主体名称）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评定，</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（供应商名称）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为该项目中标供应商。现于中标通知书发出之日起三十日内，按照采购 文件确定的事项签订本合同。 </w:t>
      </w:r>
    </w:p>
    <w:p w14:paraId="677F436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（采购人名称）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(以下简称：甲方)和</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（供应商名称）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(以下简称：乙方)协商一致，约定以下合同条款，以兹共同遵守、全面履行。 </w:t>
      </w:r>
    </w:p>
    <w:p w14:paraId="2D64AB2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1.1 合同组成部分 </w:t>
      </w:r>
    </w:p>
    <w:p w14:paraId="2358244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14:paraId="2D23B6A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1.1.1 本合同及其补充合同、变更协议； </w:t>
      </w:r>
    </w:p>
    <w:p w14:paraId="47199F7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1.1.2 中标通知书； </w:t>
      </w:r>
    </w:p>
    <w:p w14:paraId="2B96CC2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1.1.3 响应文件（含澄清或者说明文件）； </w:t>
      </w:r>
    </w:p>
    <w:p w14:paraId="311E469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1.1.4 磋商文件（含澄清或者修改文件）； </w:t>
      </w:r>
    </w:p>
    <w:p w14:paraId="4A5195D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1.1.5 其他相关采购文件。 </w:t>
      </w:r>
    </w:p>
    <w:p w14:paraId="19AF84A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1.2 标的 </w:t>
      </w:r>
    </w:p>
    <w:p w14:paraId="3A177FB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1.2.1 标的名称：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6B5E36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1.2.2 标的数量：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A959D6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1.2.3 标的质量：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F11004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1.3 价款 </w:t>
      </w:r>
    </w:p>
    <w:p w14:paraId="5BF6735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本合同总价为：¥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元（大写：</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B3442F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分项价格：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3272"/>
        <w:gridCol w:w="3300"/>
      </w:tblGrid>
      <w:tr w14:paraId="2EBB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251A4DD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3272" w:type="dxa"/>
            <w:noWrap w:val="0"/>
            <w:vAlign w:val="center"/>
          </w:tcPr>
          <w:p w14:paraId="5404A9C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分项名称</w:t>
            </w:r>
          </w:p>
        </w:tc>
        <w:tc>
          <w:tcPr>
            <w:tcW w:w="3300" w:type="dxa"/>
            <w:noWrap w:val="0"/>
            <w:vAlign w:val="center"/>
          </w:tcPr>
          <w:p w14:paraId="49D5D7D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分项价格（元）</w:t>
            </w:r>
          </w:p>
        </w:tc>
      </w:tr>
      <w:tr w14:paraId="0A9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6D886FB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272" w:type="dxa"/>
            <w:noWrap w:val="0"/>
            <w:vAlign w:val="center"/>
          </w:tcPr>
          <w:p w14:paraId="184E106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300" w:type="dxa"/>
            <w:noWrap w:val="0"/>
            <w:vAlign w:val="center"/>
          </w:tcPr>
          <w:p w14:paraId="5E69308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02CB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19C824F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272" w:type="dxa"/>
            <w:noWrap w:val="0"/>
            <w:vAlign w:val="center"/>
          </w:tcPr>
          <w:p w14:paraId="32A2AC4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300" w:type="dxa"/>
            <w:noWrap w:val="0"/>
            <w:vAlign w:val="center"/>
          </w:tcPr>
          <w:p w14:paraId="0ED9108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22DF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3" w:type="dxa"/>
            <w:gridSpan w:val="2"/>
            <w:noWrap w:val="0"/>
            <w:vAlign w:val="center"/>
          </w:tcPr>
          <w:p w14:paraId="4BBBFD0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总价（元）</w:t>
            </w:r>
          </w:p>
        </w:tc>
        <w:tc>
          <w:tcPr>
            <w:tcW w:w="3300" w:type="dxa"/>
            <w:noWrap w:val="0"/>
            <w:vAlign w:val="center"/>
          </w:tcPr>
          <w:p w14:paraId="2D6BADB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bl>
    <w:p w14:paraId="31735BD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1.4 付款方式和发票开具方式 </w:t>
      </w:r>
    </w:p>
    <w:p w14:paraId="03E5FAA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1.4.1 付款方式：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A754FB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1.4.2 发票开具方式：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745E1B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1.5 履行期限、地点和方式 </w:t>
      </w:r>
    </w:p>
    <w:p w14:paraId="2DC5AFF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1.5.1 履行期限：</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3E670E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1.5.2 履行地点：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919260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1.5.3 履行方式：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E86BFD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1.6 违约责任 </w:t>
      </w:r>
    </w:p>
    <w:p w14:paraId="4C69E4B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%计算，最高限额为本合同总价的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%；迟延履行的违约金计算数额达到前述最高限额之日起，甲方有权在要求乙方支付违约金的同时，书面通知乙方解除本合同； </w:t>
      </w:r>
    </w:p>
    <w:p w14:paraId="48BC4B3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1.6.2 除不可抗力外，如果甲方没有按照本合同约定的付款方式付款，那么乙方可要求甲方支付违约金，违约金按每迟延付款一日的应付而未付款的 %计算，最高限额为本合同总价的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%；迟延付款的违约金计算数额达到前述最高限额之日起，乙方有权在要求甲方支付违约金的同时，书面通知甲方解除本合同； </w:t>
      </w:r>
    </w:p>
    <w:p w14:paraId="1795092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707E255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2F71C6E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1D8A341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7374685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1.7 合同争议的解决 </w:t>
      </w:r>
    </w:p>
    <w:p w14:paraId="45BF47C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种方式解决： </w:t>
      </w:r>
    </w:p>
    <w:p w14:paraId="0EFE0D0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1.7.1 将争议提交</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仲裁委员会依申请仲裁时其现行有效的仲裁规则裁决； </w:t>
      </w:r>
    </w:p>
    <w:p w14:paraId="537FD58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1.7.2 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（被告住所地、合同履行地、合同签订地、原告住所地、标的物所在地等与争议有实际联系的地点中选出的人民法院名称） 人民法院起诉。 </w:t>
      </w:r>
    </w:p>
    <w:p w14:paraId="497996A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1.8 合同生效 </w:t>
      </w:r>
    </w:p>
    <w:p w14:paraId="1B74826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本合同自双方当事人盖章或者签字时生效。</w:t>
      </w:r>
    </w:p>
    <w:p w14:paraId="262C742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4AB837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甲    方：                          乙    方： </w:t>
      </w:r>
    </w:p>
    <w:p w14:paraId="0324308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统一社会信用代码：                  统一社会信用代码或身份证号码： </w:t>
      </w:r>
    </w:p>
    <w:p w14:paraId="65AC92F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住    所：                          住    所： </w:t>
      </w:r>
    </w:p>
    <w:p w14:paraId="630E7F9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法定代表人或授权代表（签字）：      法定代表人授权代表（签字）： </w:t>
      </w:r>
    </w:p>
    <w:p w14:paraId="326BE65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联 系 人：                            联 系 人： </w:t>
      </w:r>
    </w:p>
    <w:p w14:paraId="16E2A48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约定送达地址：                      约定送达地址： </w:t>
      </w:r>
    </w:p>
    <w:p w14:paraId="53EED5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邮政编码：                          邮政编码： </w:t>
      </w:r>
    </w:p>
    <w:p w14:paraId="688CCEC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电    话:                           电    话: </w:t>
      </w:r>
    </w:p>
    <w:p w14:paraId="2A57E77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传    真:                           传    真: </w:t>
      </w:r>
    </w:p>
    <w:p w14:paraId="58109E9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电子邮箱：                          电子邮箱： </w:t>
      </w:r>
    </w:p>
    <w:p w14:paraId="243D68E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开户银行：                          开户银行： </w:t>
      </w:r>
    </w:p>
    <w:p w14:paraId="72F6E10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开户名称：                          开户名称： </w:t>
      </w:r>
    </w:p>
    <w:p w14:paraId="26E7F65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开户账号：                          开户账号： </w:t>
      </w:r>
    </w:p>
    <w:p w14:paraId="236EED6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br w:type="page"/>
      </w: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第二部分 合同一般条款</w:t>
      </w:r>
    </w:p>
    <w:p w14:paraId="07C26AF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 定义 </w:t>
      </w:r>
    </w:p>
    <w:p w14:paraId="378A6BE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本合同中的下列词语应按以下内容进行解释： </w:t>
      </w:r>
    </w:p>
    <w:p w14:paraId="01A0FF7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 “合同”系指采购人和中标供应商签订的载明双方当事人所达成的协议，并包括所有的附件、附录和构成合同的其他文件。 </w:t>
      </w:r>
    </w:p>
    <w:p w14:paraId="1B763F6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2.1.2 “合同价”系指根据合同约定，中标供应商在完全履行合同义务后，采购人应支付给中标供应商的价格。 </w:t>
      </w:r>
    </w:p>
    <w:p w14:paraId="22D0DA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2.1.3 “服务”系指中标供应商根据合同约定应向采购人履行的除货物和工程以外的其他政府采购对象，包括采购人自身需要的服务和向社会公众提供的公共服务。 </w:t>
      </w:r>
    </w:p>
    <w:p w14:paraId="13683E1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 “甲方”系指与中标供应商签署合同的采购人；采购人委托采购代理机构代表其与乙方签订合同的，采购人的授权委托书作为合同附件。 </w:t>
      </w:r>
    </w:p>
    <w:p w14:paraId="064BF51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09C6D4C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2.1.6 “现场”系指合同约定提供服务的地点。 </w:t>
      </w:r>
    </w:p>
    <w:p w14:paraId="299CCD3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2.2 技术规范 </w:t>
      </w:r>
    </w:p>
    <w:p w14:paraId="2B4287B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 </w:t>
      </w:r>
    </w:p>
    <w:p w14:paraId="56EEC0E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2.3 知识产权 </w:t>
      </w:r>
    </w:p>
    <w:p w14:paraId="6F9C2A5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2.3.1 乙方应保证其提供的服务不受任何第三方提出的侵犯其著作权、商标权、专利权等知识产权方面的起诉；如果任何第三方提出侵权指控，那么乙方须与该第三方交涉并承担由此发生的一切责任、费用和赔偿； </w:t>
      </w:r>
    </w:p>
    <w:p w14:paraId="34FD140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2.3.2 合同涉及技术成果的归属和收益的分成办法的，详见</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F5E5FB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2.4 履约检查和问题反馈 </w:t>
      </w:r>
    </w:p>
    <w:p w14:paraId="0F57DEB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2.4.1 甲方有权在其认为必要时，对乙方是否能够按照合同约定提供服务进行履约检查，以确保乙方所提供的服务能够依约满足甲方之项目需求，但不得因履约检查妨碍乙方的正常工作，乙方应予积极配合； </w:t>
      </w:r>
    </w:p>
    <w:p w14:paraId="61609B3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2.4.2 合同履行期间，甲方有权将履行过程中出现的问题反馈给乙方，双方当事人应以书面形式约定需要完善和改进的内容。 </w:t>
      </w:r>
    </w:p>
    <w:p w14:paraId="6DB8DC1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2.5 结算方式和付款条件 </w:t>
      </w:r>
    </w:p>
    <w:p w14:paraId="7D7650F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详见</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DDA6A6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2.6 技术资料和保密义务 </w:t>
      </w:r>
    </w:p>
    <w:p w14:paraId="46AAA8F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2.6.1 乙方有权依据合同约定和项目需要，向甲方了解有关情况，调阅有关资料等，甲方应予积极配合； </w:t>
      </w:r>
    </w:p>
    <w:p w14:paraId="4588242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2.6.2 乙方有义务妥善保管和保护由甲方提供的前款信息和资料等； </w:t>
      </w:r>
    </w:p>
    <w:p w14:paraId="60D8F54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4C576B0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2.7 质量保证 </w:t>
      </w:r>
    </w:p>
    <w:p w14:paraId="6814F4B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2.7.1 乙方应建立和完善履行合同的内部质量保证体系，并提供相关内部规章制度给甲方，以便甲方进行监督检查； </w:t>
      </w:r>
    </w:p>
    <w:p w14:paraId="68D376A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2.7.2 乙方应保证履行合同的人员数量和素质、软件和硬件设备的配置、场地、环境和设施等满足全面履行合同的要求，并应接受甲方的监督检查。 </w:t>
      </w:r>
    </w:p>
    <w:p w14:paraId="47BE222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2.8 延迟履行 </w:t>
      </w:r>
    </w:p>
    <w:p w14:paraId="7A9BE48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 </w:t>
      </w:r>
    </w:p>
    <w:p w14:paraId="77B180D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2.9 合同变更 </w:t>
      </w:r>
    </w:p>
    <w:p w14:paraId="0379E11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2.9.1 双方当事人协商一致，可以签订书面补充合同的形式变更合同，但不得违背采购文件确定的事项，且如果系追加与合同标的相同的服务的，那么所有补充合同的采购金额不得超过原合同价的10%； </w:t>
      </w:r>
    </w:p>
    <w:p w14:paraId="1996E2A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2.9.2 合同继续履行将损害国家利益和社会公共利益的，双方当事人应当以书面形式变更合同。有过错的一方应当承担赔偿责任，双方当事人都有过错的，各自承担相应的责任。 </w:t>
      </w:r>
    </w:p>
    <w:p w14:paraId="4CD380C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2.10 合同转让和分包 </w:t>
      </w:r>
    </w:p>
    <w:p w14:paraId="287BF33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6F593EA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2.11 不可抗力 </w:t>
      </w:r>
    </w:p>
    <w:p w14:paraId="68C5769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2.11.1 如果任何一方遭遇法律规定的不可抗力，致使合同履行受阻时，履行合同的期限应予延长，延长的期限应相当于不可抗力所影响的时间； </w:t>
      </w:r>
    </w:p>
    <w:p w14:paraId="7E4B32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2.11.2 因不可抗力致使不能实现合同目的的，当事人可以解除合同； </w:t>
      </w:r>
    </w:p>
    <w:p w14:paraId="25E7995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2.11.3 因不可抗力致使合同有变更必要的，双方当事人应在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约定时间内以书面形式变更合同； </w:t>
      </w:r>
    </w:p>
    <w:p w14:paraId="3AD1C44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2.11.4 受不可抗力影响的一方在不可抗力发生后，应在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约定时间内以书面形式通知对方当事人，并在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约定时间内，将有关部门出具的证明文件送达对方当事人。 </w:t>
      </w:r>
    </w:p>
    <w:p w14:paraId="2923EBB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2.12 税费 </w:t>
      </w:r>
    </w:p>
    <w:p w14:paraId="066B065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与合同有关的一切税费，均按照中华人民共和国法律的相关规定缴纳。 </w:t>
      </w:r>
    </w:p>
    <w:p w14:paraId="48C8564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2.13 乙方破产 </w:t>
      </w:r>
    </w:p>
    <w:p w14:paraId="5440D7A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10EC5EF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2.14 合同中止、终止 </w:t>
      </w:r>
    </w:p>
    <w:p w14:paraId="6B6018B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2.14.1 双方当事人不得擅自中止或者终止合同； </w:t>
      </w:r>
    </w:p>
    <w:p w14:paraId="065C2FB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2.14.2 合同继续履行将损害国家利益和社会公共利益的，双方当事人应当中止或者终止合同。有过错的一方应当承担赔偿责任，双方当事人都有过错的，各自承担相应的责任。 </w:t>
      </w:r>
    </w:p>
    <w:p w14:paraId="4DD87A4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2.15 检验和验收 </w:t>
      </w:r>
    </w:p>
    <w:p w14:paraId="3B72DE2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2.15.1 乙方按照</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的约定，定期提交服务报告，甲方按照</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的约定进行定期验收； </w:t>
      </w:r>
    </w:p>
    <w:p w14:paraId="5443CAB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 </w:t>
      </w:r>
    </w:p>
    <w:p w14:paraId="0E4F9DA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2.15.3 检验和验收标准、程序等具体内容以及前述验收书的效力详见</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合同专用条款</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147661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2.16 通知和送达 </w:t>
      </w:r>
    </w:p>
    <w:p w14:paraId="196B848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2.16.1 任何一方因履行合同而以合同第一部分尾部所列明的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发出的所有通知、文件、材料，均视为已向对方当事人送达；任何一方变更上述送达方式或者地址的，应于</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个工作日内书面通知对方当事人，在对方当事人收到有关变更通知之前，变更前的约定送达方式或者地址仍视为有效。 </w:t>
      </w:r>
    </w:p>
    <w:p w14:paraId="10C47A2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2.16.2 以当面交付方式送达的，交付之时视为送达；以电子邮件方式送达的，发出电子邮件之时视为送达；以传真方式送达的，发出传真之时视为送达；以邮寄方式送达的，邮件挂号寄出或者交邮之日之次日视为送达。 </w:t>
      </w:r>
    </w:p>
    <w:p w14:paraId="297E8B2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2.17 合同使用的文字和适用的法律 </w:t>
      </w:r>
    </w:p>
    <w:p w14:paraId="01E1E77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2.17.1 合同使用汉语书就、变更和解释； </w:t>
      </w:r>
    </w:p>
    <w:p w14:paraId="093A528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2.17.2 合同适用中华人民共和国法律。 </w:t>
      </w:r>
    </w:p>
    <w:p w14:paraId="1917BB1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2.18 履约保证金 </w:t>
      </w:r>
    </w:p>
    <w:p w14:paraId="629F109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2.18.1 采购文件要求乙方提交履约保证金的，乙方应按</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约定的方式，以支票、汇票、本票或者金融机构、担保机构出具的保函等非现金形式，提交不超过合同价10%的履约保证金； </w:t>
      </w:r>
    </w:p>
    <w:p w14:paraId="6918DED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2.18.2 履约保证金在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约定期间内不予退还或者应完全有效，前述约定期间届满之日起</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个工作日内，甲方应将履约保证金退还乙方； </w:t>
      </w:r>
    </w:p>
    <w:p w14:paraId="591C963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2.18.3 如果乙方不履行合同，履约保证金不予退还；如果乙方未能按合同约定全面履行义务，那么甲方有权从履约保证金中取得补偿或赔偿，同时不影响甲方要求乙方承担合同约定的超过履约保证金的违约责任的权利。 </w:t>
      </w:r>
    </w:p>
    <w:p w14:paraId="619CEE2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2.19 合同份数 </w:t>
      </w:r>
    </w:p>
    <w:p w14:paraId="118FBF6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合同份数按</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规定，每份均具有同等法律效力。 </w:t>
      </w:r>
    </w:p>
    <w:p w14:paraId="67930DC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EFD4E8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第三部分 合同专用条款</w:t>
      </w:r>
    </w:p>
    <w:p w14:paraId="4B46660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6670"/>
      </w:tblGrid>
      <w:tr w14:paraId="42BA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7745F89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条款号</w:t>
            </w:r>
          </w:p>
        </w:tc>
        <w:tc>
          <w:tcPr>
            <w:tcW w:w="3349" w:type="pct"/>
            <w:noWrap w:val="0"/>
            <w:vAlign w:val="center"/>
          </w:tcPr>
          <w:p w14:paraId="3795DAC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约定内容</w:t>
            </w:r>
          </w:p>
        </w:tc>
      </w:tr>
      <w:tr w14:paraId="0B3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2B12398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4942E62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072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7CC70267">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93E61C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74E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5037303F">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77BE9DF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77C7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752D5A0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E6B5F6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7FA6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42A66AF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6D69D287">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13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2052EDB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5F3214AB">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574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36AD652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1DA15E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2732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18112DE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3C8D5DE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406C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5E011BA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5C62A2D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52E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6D150D6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6DF68E8A">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14:paraId="040A2FFF">
      <w:pPr>
        <w:spacing w:line="360" w:lineRule="auto"/>
        <w:jc w:val="center"/>
        <w:rPr>
          <w:rFonts w:ascii="宋体" w:hAnsi="宋体"/>
          <w:b/>
          <w:bCs/>
          <w:color w:val="000000" w:themeColor="text1"/>
          <w:sz w:val="24"/>
          <w:szCs w:val="24"/>
          <w:highlight w:val="none"/>
          <w:u w:val="single"/>
          <w14:textFill>
            <w14:solidFill>
              <w14:schemeClr w14:val="tx1"/>
            </w14:solidFill>
          </w14:textFill>
        </w:rPr>
      </w:pPr>
      <w:r>
        <w:rPr>
          <w:rFonts w:hint="eastAsia"/>
          <w:b/>
          <w:bCs/>
          <w:color w:val="000000" w:themeColor="text1"/>
          <w:sz w:val="28"/>
          <w:szCs w:val="24"/>
          <w:highlight w:val="none"/>
          <w14:textFill>
            <w14:solidFill>
              <w14:schemeClr w14:val="tx1"/>
            </w14:solidFill>
          </w14:textFill>
        </w:rPr>
        <w:t>注：本合同条款仅供参考，最终以甲方提供的样本并经甲乙双方协商一致的合同为准。</w:t>
      </w:r>
    </w:p>
    <w:p w14:paraId="32BADED1">
      <w:pPr>
        <w:rPr>
          <w:rFonts w:hint="eastAsia" w:ascii="宋体" w:hAnsi="宋体" w:eastAsia="宋体"/>
          <w:color w:val="000000" w:themeColor="text1"/>
          <w:sz w:val="48"/>
          <w:szCs w:val="48"/>
          <w:highlight w:val="none"/>
          <w14:textFill>
            <w14:solidFill>
              <w14:schemeClr w14:val="tx1"/>
            </w14:solidFill>
          </w14:textFill>
        </w:rPr>
      </w:pPr>
      <w:r>
        <w:rPr>
          <w:rFonts w:hint="eastAsia" w:ascii="宋体" w:hAnsi="宋体" w:eastAsia="宋体"/>
          <w:color w:val="000000" w:themeColor="text1"/>
          <w:sz w:val="48"/>
          <w:szCs w:val="48"/>
          <w:highlight w:val="none"/>
          <w14:textFill>
            <w14:solidFill>
              <w14:schemeClr w14:val="tx1"/>
            </w14:solidFill>
          </w14:textFill>
        </w:rPr>
        <w:br w:type="page"/>
      </w:r>
    </w:p>
    <w:p w14:paraId="5ABA95DF">
      <w:pPr>
        <w:rPr>
          <w:rFonts w:hint="eastAsia"/>
          <w:color w:val="000000" w:themeColor="text1"/>
          <w:highlight w:val="none"/>
          <w14:textFill>
            <w14:solidFill>
              <w14:schemeClr w14:val="tx1"/>
            </w14:solidFill>
          </w14:textFill>
        </w:rPr>
      </w:pPr>
    </w:p>
    <w:p w14:paraId="4CF9D905">
      <w:pPr>
        <w:pStyle w:val="2"/>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30A42C61">
      <w:pPr>
        <w:pStyle w:val="2"/>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74FC5BD8">
      <w:pPr>
        <w:pStyle w:val="2"/>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2A6BAA8B">
      <w:pPr>
        <w:pStyle w:val="2"/>
        <w:spacing w:line="360" w:lineRule="auto"/>
        <w:jc w:val="center"/>
        <w:rPr>
          <w:rFonts w:hint="eastAsia" w:ascii="宋体" w:hAnsi="宋体" w:eastAsia="宋体"/>
          <w:color w:val="000000" w:themeColor="text1"/>
          <w:sz w:val="48"/>
          <w:szCs w:val="48"/>
          <w:highlight w:val="none"/>
          <w14:textFill>
            <w14:solidFill>
              <w14:schemeClr w14:val="tx1"/>
            </w14:solidFill>
          </w14:textFill>
        </w:rPr>
      </w:pPr>
      <w:bookmarkStart w:id="668" w:name="_Toc22252"/>
      <w:r>
        <w:rPr>
          <w:rFonts w:hint="eastAsia" w:ascii="宋体" w:hAnsi="宋体" w:eastAsia="宋体"/>
          <w:color w:val="000000" w:themeColor="text1"/>
          <w:sz w:val="48"/>
          <w:szCs w:val="48"/>
          <w:highlight w:val="none"/>
          <w14:textFill>
            <w14:solidFill>
              <w14:schemeClr w14:val="tx1"/>
            </w14:solidFill>
          </w14:textFill>
        </w:rPr>
        <w:t xml:space="preserve">第六章 </w:t>
      </w:r>
      <w:r>
        <w:rPr>
          <w:rFonts w:hint="eastAsia" w:ascii="宋体" w:hAnsi="宋体" w:eastAsia="宋体"/>
          <w:color w:val="000000" w:themeColor="text1"/>
          <w:sz w:val="48"/>
          <w:szCs w:val="48"/>
          <w:highlight w:val="none"/>
          <w:lang w:eastAsia="zh-CN"/>
          <w14:textFill>
            <w14:solidFill>
              <w14:schemeClr w14:val="tx1"/>
            </w14:solidFill>
          </w14:textFill>
        </w:rPr>
        <w:t>响应文件</w:t>
      </w:r>
      <w:r>
        <w:rPr>
          <w:rFonts w:hint="eastAsia" w:ascii="宋体" w:hAnsi="宋体" w:eastAsia="宋体"/>
          <w:color w:val="000000" w:themeColor="text1"/>
          <w:sz w:val="48"/>
          <w:szCs w:val="48"/>
          <w:highlight w:val="none"/>
          <w14:textFill>
            <w14:solidFill>
              <w14:schemeClr w14:val="tx1"/>
            </w14:solidFill>
          </w14:textFill>
        </w:rPr>
        <w:t>格式</w:t>
      </w:r>
      <w:bookmarkEnd w:id="667"/>
      <w:bookmarkEnd w:id="668"/>
    </w:p>
    <w:p w14:paraId="4D57810C">
      <w:pPr>
        <w:keepNext w:val="0"/>
        <w:keepLines w:val="0"/>
        <w:pageBreakBefore w:val="0"/>
        <w:widowControl w:val="0"/>
        <w:kinsoku/>
        <w:wordWrap/>
        <w:overflowPunct/>
        <w:topLinePunct w:val="0"/>
        <w:autoSpaceDE/>
        <w:autoSpaceDN/>
        <w:bidi w:val="0"/>
        <w:adjustRightInd/>
        <w:snapToGrid/>
        <w:spacing w:after="100" w:line="360" w:lineRule="exact"/>
        <w:ind w:right="102"/>
        <w:jc w:val="center"/>
        <w:textAlignment w:val="auto"/>
        <w:rPr>
          <w:rFonts w:hint="eastAsia" w:ascii="宋体" w:hAnsi="宋体" w:eastAsia="宋体" w:cs="宋体"/>
          <w:b/>
          <w:bCs/>
          <w:color w:val="000000" w:themeColor="text1"/>
          <w:sz w:val="32"/>
          <w:szCs w:val="32"/>
          <w:highlight w:val="none"/>
          <w:u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u w:val="none"/>
          <w14:textFill>
            <w14:solidFill>
              <w14:schemeClr w14:val="tx1"/>
            </w14:solidFill>
          </w14:textFill>
        </w:rPr>
        <w:t>目 录</w:t>
      </w:r>
    </w:p>
    <w:p w14:paraId="1FD4D25F">
      <w:pPr>
        <w:pStyle w:val="14"/>
        <w:rPr>
          <w:rFonts w:hint="eastAsia"/>
          <w:color w:val="000000" w:themeColor="text1"/>
          <w:highlight w:val="none"/>
          <w14:textFill>
            <w14:solidFill>
              <w14:schemeClr w14:val="tx1"/>
            </w14:solidFill>
          </w14:textFill>
        </w:rPr>
      </w:pPr>
    </w:p>
    <w:p w14:paraId="5A0ACD4D">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投标函；</w:t>
      </w:r>
    </w:p>
    <w:p w14:paraId="48140134">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法定代表人身份证明书、法定代表人授权委托书；</w:t>
      </w:r>
    </w:p>
    <w:p w14:paraId="13553E9D">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企业信誉信息截图；</w:t>
      </w:r>
    </w:p>
    <w:p w14:paraId="4BE4C835">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报价一览表；</w:t>
      </w:r>
    </w:p>
    <w:p w14:paraId="1197B502">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五、供应商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概况一览表；</w:t>
      </w:r>
    </w:p>
    <w:p w14:paraId="69525113">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六、供应商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递交投标保证金汇款凭证；</w:t>
      </w:r>
    </w:p>
    <w:p w14:paraId="03F006E1">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投标企业类型声明函；</w:t>
      </w:r>
    </w:p>
    <w:p w14:paraId="2A8BDE01">
      <w:pPr>
        <w:spacing w:after="100" w:line="265" w:lineRule="auto"/>
        <w:ind w:right="103"/>
        <w:jc w:val="left"/>
        <w:rPr>
          <w:rFonts w:hint="eastAsia"/>
          <w:highlight w:val="none"/>
          <w:lang w:val="en-US" w:eastAsia="zh-CN"/>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八、不参与围标串标承诺书</w:t>
      </w:r>
    </w:p>
    <w:p w14:paraId="117CBAF7">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九、近三年项目业绩一览表</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14:paraId="6C01A813">
      <w:pPr>
        <w:spacing w:after="100" w:line="265" w:lineRule="auto"/>
        <w:ind w:right="103"/>
        <w:jc w:val="left"/>
        <w:rPr>
          <w:rFonts w:hint="eastAsia" w:ascii="宋体" w:hAnsi="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十、人员配备</w:t>
      </w:r>
    </w:p>
    <w:p w14:paraId="63F9D149">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技术服务方案</w:t>
      </w:r>
    </w:p>
    <w:p w14:paraId="12A65210">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商务、技术偏离表</w:t>
      </w:r>
    </w:p>
    <w:p w14:paraId="3BADA6DC">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十三、</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反商业贿赂承诺书</w:t>
      </w:r>
    </w:p>
    <w:p w14:paraId="58AF4C32">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十四、</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关于投标资料真实性的承诺书</w:t>
      </w:r>
    </w:p>
    <w:p w14:paraId="2A9F398E">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十五、</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要求提供的其它材料以及</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认为需要提交的材料</w:t>
      </w:r>
    </w:p>
    <w:p w14:paraId="7EEE53BF">
      <w:pPr>
        <w:spacing w:after="100" w:line="265" w:lineRule="auto"/>
        <w:ind w:right="103"/>
        <w:jc w:val="left"/>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注：</w:t>
      </w:r>
      <w:r>
        <w:rPr>
          <w:rFonts w:hint="eastAsia" w:ascii="宋体" w:hAnsi="宋体" w:cs="宋体"/>
          <w:b/>
          <w:bCs/>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14:textFill>
            <w14:solidFill>
              <w14:schemeClr w14:val="tx1"/>
            </w14:solidFill>
          </w14:textFill>
        </w:rPr>
        <w:t>根据评标方法如有需要的其他资料自行添加，以上材料须加盖单位公章，</w:t>
      </w:r>
      <w:r>
        <w:rPr>
          <w:rFonts w:hint="eastAsia" w:ascii="宋体" w:hAnsi="宋体" w:cs="宋体"/>
          <w:b/>
          <w:bCs/>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14:textFill>
            <w14:solidFill>
              <w14:schemeClr w14:val="tx1"/>
            </w14:solidFill>
          </w14:textFill>
        </w:rPr>
        <w:t>需将</w:t>
      </w:r>
      <w:r>
        <w:rPr>
          <w:rFonts w:hint="eastAsia" w:ascii="宋体" w:hAnsi="宋体" w:cs="宋体"/>
          <w:b/>
          <w:bCs/>
          <w:color w:val="000000" w:themeColor="text1"/>
          <w:sz w:val="24"/>
          <w:szCs w:val="24"/>
          <w:highlight w:val="none"/>
          <w:u w:val="non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u w:val="none"/>
          <w14:textFill>
            <w14:solidFill>
              <w14:schemeClr w14:val="tx1"/>
            </w14:solidFill>
          </w14:textFill>
        </w:rPr>
        <w:t>按上述顺序装订成册。</w:t>
      </w:r>
    </w:p>
    <w:p w14:paraId="289C71D5">
      <w:pPr>
        <w:pStyle w:val="46"/>
        <w:rPr>
          <w:rFonts w:hint="eastAsia"/>
          <w:color w:val="000000" w:themeColor="text1"/>
          <w:highlight w:val="none"/>
          <w14:textFill>
            <w14:solidFill>
              <w14:schemeClr w14:val="tx1"/>
            </w14:solidFill>
          </w14:textFill>
        </w:rPr>
      </w:pPr>
    </w:p>
    <w:p w14:paraId="5B65CDC7">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61F0756">
      <w:pPr>
        <w:pStyle w:val="46"/>
        <w:rPr>
          <w:rFonts w:hint="eastAsia"/>
          <w:color w:val="000000" w:themeColor="text1"/>
          <w:highlight w:val="none"/>
          <w14:textFill>
            <w14:solidFill>
              <w14:schemeClr w14:val="tx1"/>
            </w14:solidFill>
          </w14:textFill>
        </w:rPr>
      </w:pPr>
    </w:p>
    <w:p w14:paraId="7E460F7C">
      <w:pPr>
        <w:rPr>
          <w:rFonts w:hint="eastAsia"/>
          <w:color w:val="000000" w:themeColor="text1"/>
          <w:highlight w:val="none"/>
          <w14:textFill>
            <w14:solidFill>
              <w14:schemeClr w14:val="tx1"/>
            </w14:solidFill>
          </w14:textFill>
        </w:rPr>
      </w:pPr>
    </w:p>
    <w:p w14:paraId="6D41F020">
      <w:pPr>
        <w:pStyle w:val="46"/>
        <w:ind w:left="0" w:leftChars="0" w:firstLine="0" w:firstLineChars="0"/>
        <w:rPr>
          <w:rFonts w:hint="eastAsia"/>
          <w:color w:val="000000" w:themeColor="text1"/>
          <w:highlight w:val="none"/>
          <w14:textFill>
            <w14:solidFill>
              <w14:schemeClr w14:val="tx1"/>
            </w14:solidFill>
          </w14:textFill>
        </w:rPr>
      </w:pPr>
    </w:p>
    <w:p w14:paraId="0781B044">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b/>
          <w:color w:val="000000" w:themeColor="text1"/>
          <w:sz w:val="28"/>
          <w:szCs w:val="28"/>
          <w:highlight w:val="none"/>
          <w14:textFill>
            <w14:solidFill>
              <w14:schemeClr w14:val="tx1"/>
            </w14:solidFill>
          </w14:textFill>
        </w:rPr>
        <w:t>投  标  函</w:t>
      </w:r>
    </w:p>
    <w:p w14:paraId="7E3512B8">
      <w:pPr>
        <w:spacing w:line="360" w:lineRule="auto"/>
        <w:ind w:firstLine="48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013319F9">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经研究，我们决定参加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名称</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的招标活动并投标，为此，我方郑重声明以下诸点，并负法律责任。</w:t>
      </w:r>
    </w:p>
    <w:p w14:paraId="6492C5EE">
      <w:pPr>
        <w:spacing w:line="360" w:lineRule="auto"/>
        <w:ind w:firstLine="48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一、我方承诺以</w:t>
      </w:r>
      <w:r>
        <w:rPr>
          <w:rFonts w:hint="eastAsia" w:ascii="宋体" w:hAnsi="宋体" w:cs="宋体"/>
          <w:color w:val="000000" w:themeColor="text1"/>
          <w:sz w:val="24"/>
          <w:szCs w:val="24"/>
          <w:highlight w:val="none"/>
          <w:lang w:val="en-US" w:eastAsia="zh-CN"/>
          <w14:textFill>
            <w14:solidFill>
              <w14:schemeClr w14:val="tx1"/>
            </w14:solidFill>
          </w14:textFill>
        </w:rPr>
        <w:t>报价：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元（大写：</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hAnsi="宋体" w:cs="宋体"/>
          <w:color w:val="auto"/>
          <w:sz w:val="24"/>
          <w:szCs w:val="24"/>
          <w:highlight w:val="none"/>
          <w:lang w:val="en-US" w:eastAsia="zh-CN"/>
        </w:rPr>
        <w:t>税率：</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none"/>
          <w:lang w:val="en-US" w:eastAsia="zh-CN"/>
        </w:rPr>
        <w:t>%；</w:t>
      </w:r>
      <w:r>
        <w:rPr>
          <w:rFonts w:hint="eastAsia" w:ascii="宋体" w:hAnsi="宋体" w:eastAsia="宋体" w:cs="宋体"/>
          <w:color w:val="000000" w:themeColor="text1"/>
          <w:sz w:val="24"/>
          <w:szCs w:val="24"/>
          <w:highlight w:val="none"/>
          <w14:textFill>
            <w14:solidFill>
              <w14:schemeClr w14:val="tx1"/>
            </w14:solidFill>
          </w14:textFill>
        </w:rPr>
        <w:t>承担本次项目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文件中要求所有工作，</w:t>
      </w:r>
      <w:r>
        <w:rPr>
          <w:rFonts w:hint="eastAsia" w:ascii="宋体" w:hAnsi="宋体" w:cs="宋体"/>
          <w:color w:val="000000" w:themeColor="text1"/>
          <w:sz w:val="24"/>
          <w:szCs w:val="24"/>
          <w:highlight w:val="none"/>
          <w:lang w:val="en-US" w:eastAsia="zh-CN"/>
          <w14:textFill>
            <w14:solidFill>
              <w14:schemeClr w14:val="tx1"/>
            </w14:solidFill>
          </w14:textFill>
        </w:rPr>
        <w:t>合同履约</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66A6E778">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二、完全响应</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文件中所有条款。</w:t>
      </w:r>
    </w:p>
    <w:p w14:paraId="56F013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三、一旦我方中标，我方保证在贵方约定的日期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内容服务</w:t>
      </w:r>
      <w:r>
        <w:rPr>
          <w:rFonts w:hint="eastAsia" w:ascii="宋体" w:hAnsi="宋体" w:eastAsia="宋体" w:cs="宋体"/>
          <w:color w:val="000000" w:themeColor="text1"/>
          <w:sz w:val="24"/>
          <w:szCs w:val="24"/>
          <w:highlight w:val="none"/>
          <w14:textFill>
            <w14:solidFill>
              <w14:schemeClr w14:val="tx1"/>
            </w14:solidFill>
          </w14:textFill>
        </w:rPr>
        <w:t>。</w:t>
      </w:r>
    </w:p>
    <w:p w14:paraId="6D20D90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四、如果我方中标，非业主原因，我方保证将按下列质量要求完成本</w:t>
      </w:r>
      <w:r>
        <w:rPr>
          <w:rFonts w:hint="eastAsia" w:ascii="宋体" w:hAnsi="宋体" w:cs="宋体"/>
          <w:color w:val="000000" w:themeColor="text1"/>
          <w:sz w:val="24"/>
          <w:szCs w:val="24"/>
          <w:highlight w:val="none"/>
          <w:lang w:val="en-US" w:eastAsia="zh-CN"/>
          <w14:textFill>
            <w14:solidFill>
              <w14:schemeClr w14:val="tx1"/>
            </w14:solidFill>
          </w14:textFill>
        </w:rPr>
        <w:t>项目服务</w:t>
      </w:r>
      <w:r>
        <w:rPr>
          <w:rFonts w:hint="eastAsia" w:ascii="宋体" w:hAnsi="宋体" w:eastAsia="宋体" w:cs="宋体"/>
          <w:color w:val="000000" w:themeColor="text1"/>
          <w:sz w:val="24"/>
          <w:szCs w:val="24"/>
          <w:highlight w:val="none"/>
          <w14:textFill>
            <w14:solidFill>
              <w14:schemeClr w14:val="tx1"/>
            </w14:solidFill>
          </w14:textFill>
        </w:rPr>
        <w:t>质量，质量要求：</w:t>
      </w:r>
      <w:r>
        <w:rPr>
          <w:rFonts w:hint="eastAsia" w:ascii="宋体" w:hAnsi="宋体" w:eastAsia="宋体" w:cs="宋体"/>
          <w:color w:val="000000" w:themeColor="text1"/>
          <w:sz w:val="24"/>
          <w:szCs w:val="24"/>
          <w:highlight w:val="none"/>
          <w:u w:val="single"/>
          <w14:textFill>
            <w14:solidFill>
              <w14:schemeClr w14:val="tx1"/>
            </w14:solidFill>
          </w14:textFill>
        </w:rPr>
        <w:t>合格，必须达到国家规定的标准。</w:t>
      </w:r>
    </w:p>
    <w:p w14:paraId="2F35962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五、如果我方中标，我方将按</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文件规定的时间内签订合同。如果违约，我方愿以投标保证金作为赔偿金，同时贵方有权终止我方中标并选择其它</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14:paraId="10F001F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、贵方的</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文件、答疑文件、</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文件文件补充、</w:t>
      </w:r>
      <w:r>
        <w:rPr>
          <w:rFonts w:hint="eastAsia" w:ascii="宋体" w:hAnsi="宋体" w:cs="宋体"/>
          <w:color w:val="000000" w:themeColor="text1"/>
          <w:sz w:val="24"/>
          <w:szCs w:val="24"/>
          <w:highlight w:val="none"/>
          <w:lang w:eastAsia="zh-CN"/>
          <w14:textFill>
            <w14:solidFill>
              <w14:schemeClr w14:val="tx1"/>
            </w14:solidFill>
          </w14:textFill>
        </w:rPr>
        <w:t>成交通知书</w:t>
      </w:r>
      <w:r>
        <w:rPr>
          <w:rFonts w:hint="eastAsia" w:ascii="宋体" w:hAnsi="宋体" w:eastAsia="宋体" w:cs="宋体"/>
          <w:color w:val="000000" w:themeColor="text1"/>
          <w:sz w:val="24"/>
          <w:szCs w:val="24"/>
          <w:highlight w:val="none"/>
          <w14:textFill>
            <w14:solidFill>
              <w14:schemeClr w14:val="tx1"/>
            </w14:solidFill>
          </w14:textFill>
        </w:rPr>
        <w:t>和本</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将做为合同附件，具有同等法律效力。</w:t>
      </w:r>
    </w:p>
    <w:p w14:paraId="6A950BF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、如果我方未中标，贵方没有必要对我方做出任何解释和说明，我方将充分尊重和理解贵方的选择。</w:t>
      </w:r>
    </w:p>
    <w:p w14:paraId="124C46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、我方的</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有效期为</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w:t>
      </w:r>
    </w:p>
    <w:p w14:paraId="440A6651">
      <w:pPr>
        <w:spacing w:line="360" w:lineRule="auto"/>
        <w:ind w:right="105" w:rightChars="50" w:firstLine="480" w:firstLineChars="200"/>
        <w:rPr>
          <w:rFonts w:hint="eastAsia" w:hAnsi="宋体" w:cs="宋体"/>
          <w:color w:val="auto"/>
          <w:sz w:val="24"/>
          <w:szCs w:val="24"/>
          <w:highlight w:val="none"/>
        </w:rPr>
      </w:pPr>
      <w:r>
        <w:rPr>
          <w:rFonts w:hint="eastAsia" w:hAnsi="宋体" w:cs="宋体"/>
          <w:color w:val="auto"/>
          <w:sz w:val="24"/>
          <w:szCs w:val="24"/>
          <w:highlight w:val="none"/>
        </w:rPr>
        <w:t>九、如我方中标，我方将按劳动力投入情况清单、设备清单配备表、拟投入本项目的主要成员表进行配备，如果违约，我方愿以投标保证金作为赔偿金，同时贵方有权终止我方中标并选择其它供应商。</w:t>
      </w:r>
    </w:p>
    <w:p w14:paraId="7AA6DD1F">
      <w:pPr>
        <w:spacing w:line="360" w:lineRule="auto"/>
        <w:ind w:right="105" w:rightChars="5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auto"/>
          <w:sz w:val="24"/>
          <w:szCs w:val="24"/>
          <w:highlight w:val="none"/>
        </w:rPr>
        <w:t>十、我方同意甲方要求我方提供资料内所有扫描件的原件进行现场核实。包括但不限于中标后3个工作日内，将业绩合同，人员资格证件等原件递交至甲方处核查，如有弄虚作假行为，我方愿以投标保证金作为赔偿金，同时贵方有权终止我方中标并选择其它供应商。</w:t>
      </w:r>
    </w:p>
    <w:p w14:paraId="6A8847A6">
      <w:pPr>
        <w:spacing w:line="360" w:lineRule="auto"/>
        <w:ind w:right="105" w:rightChars="5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5C156E7">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w:t>
      </w:r>
    </w:p>
    <w:p w14:paraId="59ACFACD">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232F6551">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被授权人（签字）：</w:t>
      </w:r>
    </w:p>
    <w:p w14:paraId="3C62A2E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6FA818A">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5BE8F1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39B75385">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法定代表人身份证明书</w:t>
      </w:r>
    </w:p>
    <w:p w14:paraId="2E95A97B">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640BF3A">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单位名称：</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2B507EC8">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企业类型：</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560EB9E6">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地    址：</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384CE91B">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营业期限：</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257E5D06">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成立时间：</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70BD4B1A">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姓名：</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性别：</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p>
    <w:p w14:paraId="54ACEE0A">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年龄：</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职务：</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14:paraId="5770A14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 xml:space="preserve">系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sz w:val="24"/>
          <w:szCs w:val="24"/>
          <w:highlight w:val="none"/>
          <w:u w:val="single"/>
          <w:lang w:eastAsia="zh-CN" w:bidi="ar"/>
          <w14:textFill>
            <w14:solidFill>
              <w14:schemeClr w14:val="tx1"/>
            </w14:solidFill>
          </w14:textFill>
        </w:rPr>
        <w:t>供应商</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名称）               </w:t>
      </w:r>
      <w:r>
        <w:rPr>
          <w:rFonts w:hint="eastAsia" w:ascii="宋体" w:hAnsi="宋体" w:eastAsia="宋体" w:cs="宋体"/>
          <w:bCs/>
          <w:color w:val="000000" w:themeColor="text1"/>
          <w:sz w:val="24"/>
          <w:szCs w:val="24"/>
          <w:highlight w:val="none"/>
          <w:lang w:bidi="ar"/>
          <w14:textFill>
            <w14:solidFill>
              <w14:schemeClr w14:val="tx1"/>
            </w14:solidFill>
          </w14:textFill>
        </w:rPr>
        <w:t>的法定代表人。</w:t>
      </w:r>
    </w:p>
    <w:p w14:paraId="2B77DF1B">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特此证明。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39"/>
      </w:tblGrid>
      <w:tr w14:paraId="68AF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14:paraId="3917CB41">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法定代表人身份证（正面）</w:t>
            </w:r>
          </w:p>
        </w:tc>
        <w:tc>
          <w:tcPr>
            <w:tcW w:w="3439" w:type="dxa"/>
            <w:noWrap w:val="0"/>
            <w:vAlign w:val="center"/>
          </w:tcPr>
          <w:p w14:paraId="401A9712">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法</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定代表人身份证（背面）</w:t>
            </w:r>
          </w:p>
        </w:tc>
      </w:tr>
    </w:tbl>
    <w:p w14:paraId="00735575">
      <w:pPr>
        <w:rPr>
          <w:rFonts w:hint="eastAsia" w:ascii="宋体" w:hAnsi="宋体" w:eastAsia="宋体" w:cs="宋体"/>
          <w:b/>
          <w:color w:val="000000" w:themeColor="text1"/>
          <w:sz w:val="24"/>
          <w:szCs w:val="24"/>
          <w:highlight w:val="none"/>
          <w14:textFill>
            <w14:solidFill>
              <w14:schemeClr w14:val="tx1"/>
            </w14:solidFill>
          </w14:textFill>
        </w:rPr>
      </w:pPr>
    </w:p>
    <w:p w14:paraId="56730389">
      <w:pPr>
        <w:rPr>
          <w:rFonts w:hint="eastAsia" w:ascii="宋体" w:hAnsi="宋体" w:eastAsia="宋体" w:cs="宋体"/>
          <w:bCs/>
          <w:color w:val="000000" w:themeColor="text1"/>
          <w:sz w:val="24"/>
          <w:szCs w:val="24"/>
          <w:highlight w:val="none"/>
          <w14:textFill>
            <w14:solidFill>
              <w14:schemeClr w14:val="tx1"/>
            </w14:solidFill>
          </w14:textFill>
        </w:rPr>
      </w:pPr>
    </w:p>
    <w:p w14:paraId="5EA4EB11">
      <w:pPr>
        <w:rPr>
          <w:rFonts w:hint="eastAsia" w:ascii="宋体" w:hAnsi="宋体" w:eastAsia="宋体" w:cs="宋体"/>
          <w:bCs/>
          <w:color w:val="000000" w:themeColor="text1"/>
          <w:sz w:val="24"/>
          <w:szCs w:val="24"/>
          <w:highlight w:val="none"/>
          <w14:textFill>
            <w14:solidFill>
              <w14:schemeClr w14:val="tx1"/>
            </w14:solidFill>
          </w14:textFill>
        </w:rPr>
      </w:pPr>
    </w:p>
    <w:p w14:paraId="415FF187">
      <w:pPr>
        <w:rPr>
          <w:rFonts w:hint="eastAsia" w:ascii="宋体" w:hAnsi="宋体" w:eastAsia="宋体" w:cs="宋体"/>
          <w:bCs/>
          <w:color w:val="000000" w:themeColor="text1"/>
          <w:sz w:val="24"/>
          <w:szCs w:val="24"/>
          <w:highlight w:val="none"/>
          <w14:textFill>
            <w14:solidFill>
              <w14:schemeClr w14:val="tx1"/>
            </w14:solidFill>
          </w14:textFill>
        </w:rPr>
      </w:pPr>
    </w:p>
    <w:p w14:paraId="31F2BFC3">
      <w:pPr>
        <w:jc w:val="left"/>
        <w:rPr>
          <w:rFonts w:hint="eastAsia" w:ascii="宋体" w:hAnsi="宋体" w:eastAsia="宋体" w:cs="宋体"/>
          <w:bCs/>
          <w:color w:val="000000" w:themeColor="text1"/>
          <w:sz w:val="24"/>
          <w:szCs w:val="24"/>
          <w:highlight w:val="none"/>
          <w:u w:val="single"/>
          <w:lang w:bidi="ar"/>
          <w14:textFill>
            <w14:solidFill>
              <w14:schemeClr w14:val="tx1"/>
            </w14:solidFill>
          </w14:textFill>
        </w:rPr>
      </w:pPr>
      <w:r>
        <w:rPr>
          <w:rFonts w:hint="eastAsia" w:ascii="宋体" w:hAnsi="宋体" w:cs="宋体"/>
          <w:bCs/>
          <w:color w:val="000000" w:themeColor="text1"/>
          <w:sz w:val="24"/>
          <w:szCs w:val="24"/>
          <w:highlight w:val="none"/>
          <w:lang w:eastAsia="zh-CN" w:bidi="ar"/>
          <w14:textFill>
            <w14:solidFill>
              <w14:schemeClr w14:val="tx1"/>
            </w14:solidFill>
          </w14:textFill>
        </w:rPr>
        <w:t>供应商</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名称</w:t>
      </w:r>
      <w:r>
        <w:rPr>
          <w:rFonts w:hint="eastAsia" w:ascii="宋体" w:hAnsi="宋体" w:eastAsia="宋体" w:cs="宋体"/>
          <w:bCs/>
          <w:color w:val="000000" w:themeColor="text1"/>
          <w:sz w:val="24"/>
          <w:szCs w:val="24"/>
          <w:highlight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公</w:t>
      </w:r>
      <w:r>
        <w:rPr>
          <w:rFonts w:hint="eastAsia" w:ascii="宋体" w:hAnsi="宋体" w:eastAsia="宋体" w:cs="宋体"/>
          <w:bCs/>
          <w:color w:val="000000" w:themeColor="text1"/>
          <w:sz w:val="24"/>
          <w:szCs w:val="24"/>
          <w:highlight w:val="none"/>
          <w:u w:val="none"/>
          <w:lang w:bidi="ar"/>
          <w14:textFill>
            <w14:solidFill>
              <w14:schemeClr w14:val="tx1"/>
            </w14:solidFill>
          </w14:textFill>
        </w:rPr>
        <w:t>章）</w:t>
      </w:r>
    </w:p>
    <w:p w14:paraId="2D1D247E">
      <w:pPr>
        <w:pStyle w:val="14"/>
        <w:ind w:left="0" w:leftChars="0"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14:paraId="5244809E">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581ACA6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E83E0D0">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554B6603">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7E25FAD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7B12B4F5">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C5C9FA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43B6F723">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5709F2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68BDC1DD">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法定代表人授权委托书</w:t>
      </w:r>
    </w:p>
    <w:p w14:paraId="4CD6C828">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515409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招标人名称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1549651">
      <w:pPr>
        <w:spacing w:line="360" w:lineRule="auto"/>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（职务或职称）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（姓名）为我单位本次授权委托人，全权处理此次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招投标活动的一切事宜。</w:t>
      </w:r>
    </w:p>
    <w:p w14:paraId="1587729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特此授权</w:t>
      </w:r>
    </w:p>
    <w:p w14:paraId="0FA3975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（附法定代表人、授权委托人身份证明复印件）</w:t>
      </w:r>
    </w:p>
    <w:p w14:paraId="760077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bl>
      <w:tblPr>
        <w:tblStyle w:val="3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59D54AC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18036397">
            <w:pPr>
              <w:pStyle w:val="80"/>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232" w:type="dxa"/>
            <w:noWrap w:val="0"/>
            <w:vAlign w:val="center"/>
          </w:tcPr>
          <w:p w14:paraId="5DFC6F9F">
            <w:pPr>
              <w:pStyle w:val="80"/>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背面</w:t>
            </w:r>
          </w:p>
        </w:tc>
      </w:tr>
      <w:tr w14:paraId="64952E8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779878DC">
            <w:pPr>
              <w:pStyle w:val="80"/>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232" w:type="dxa"/>
            <w:noWrap w:val="0"/>
            <w:vAlign w:val="center"/>
          </w:tcPr>
          <w:p w14:paraId="28C27494">
            <w:pPr>
              <w:pStyle w:val="80"/>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背面</w:t>
            </w:r>
          </w:p>
        </w:tc>
      </w:tr>
    </w:tbl>
    <w:p w14:paraId="2BF4F2D2">
      <w:pPr>
        <w:widowControl/>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8FE0F98">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w:t>
      </w:r>
    </w:p>
    <w:p w14:paraId="3D8AFF45">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57170DF8">
      <w:pPr>
        <w:widowControl/>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w:t>
      </w:r>
      <w:r>
        <w:rPr>
          <w:rFonts w:hint="eastAsia" w:ascii="宋体" w:hAnsi="宋体" w:cs="宋体"/>
          <w:color w:val="000000" w:themeColor="text1"/>
          <w:sz w:val="24"/>
          <w:szCs w:val="24"/>
          <w:highlight w:val="none"/>
          <w:lang w:val="en-US" w:eastAsia="zh-CN"/>
          <w14:textFill>
            <w14:solidFill>
              <w14:schemeClr w14:val="tx1"/>
            </w14:solidFill>
          </w14:textFill>
        </w:rPr>
        <w:t>委托</w:t>
      </w:r>
      <w:r>
        <w:rPr>
          <w:rFonts w:hint="eastAsia" w:ascii="宋体" w:hAnsi="宋体" w:eastAsia="宋体" w:cs="宋体"/>
          <w:color w:val="000000" w:themeColor="text1"/>
          <w:sz w:val="24"/>
          <w:szCs w:val="24"/>
          <w:highlight w:val="none"/>
          <w14:textFill>
            <w14:solidFill>
              <w14:schemeClr w14:val="tx1"/>
            </w14:solidFill>
          </w14:textFill>
        </w:rPr>
        <w:t>人（签字）：</w:t>
      </w:r>
    </w:p>
    <w:p w14:paraId="31BBD346">
      <w:pPr>
        <w:pStyle w:val="81"/>
        <w:outlineLvl w:val="9"/>
        <w:rPr>
          <w:rFonts w:hint="eastAsia" w:ascii="黑体" w:hAnsi="黑体" w:eastAsia="黑体" w:cs="Tahoma"/>
          <w:b w:val="0"/>
          <w:bCs/>
          <w:color w:val="000000" w:themeColor="text1"/>
          <w:sz w:val="21"/>
          <w:szCs w:val="21"/>
          <w:highlight w:val="none"/>
          <w14:textFill>
            <w14:solidFill>
              <w14:schemeClr w14:val="tx1"/>
            </w14:solidFill>
          </w14:textFill>
        </w:rPr>
      </w:pPr>
    </w:p>
    <w:p w14:paraId="163F8CAD">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6C00A4D1">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企业信誉信息</w:t>
      </w:r>
    </w:p>
    <w:p w14:paraId="4A64A770">
      <w:pPr>
        <w:spacing w:before="247" w:line="225" w:lineRule="auto"/>
        <w:ind w:left="0"/>
        <w:jc w:val="center"/>
        <w:outlineLvl w:val="2"/>
        <w:rPr>
          <w:rFonts w:ascii="宋体" w:hAnsi="宋体" w:eastAsia="宋体" w:cs="宋体"/>
          <w:color w:val="auto"/>
          <w:sz w:val="31"/>
          <w:szCs w:val="31"/>
          <w:highlight w:val="none"/>
        </w:rPr>
      </w:pPr>
      <w:r>
        <w:rPr>
          <w:rFonts w:ascii="宋体" w:hAnsi="宋体" w:eastAsia="宋体" w:cs="宋体"/>
          <w:b/>
          <w:bCs/>
          <w:color w:val="auto"/>
          <w:spacing w:val="9"/>
          <w:sz w:val="31"/>
          <w:szCs w:val="31"/>
          <w:highlight w:val="none"/>
        </w:rPr>
        <w:t>诚信声明</w:t>
      </w:r>
    </w:p>
    <w:p w14:paraId="2B4FCC48">
      <w:pPr>
        <w:pStyle w:val="13"/>
        <w:spacing w:line="300" w:lineRule="auto"/>
        <w:rPr>
          <w:color w:val="auto"/>
          <w:highlight w:val="none"/>
        </w:rPr>
      </w:pPr>
    </w:p>
    <w:p w14:paraId="52598F15">
      <w:pPr>
        <w:spacing w:before="91" w:line="219" w:lineRule="auto"/>
        <w:ind w:left="34"/>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致</w:t>
      </w:r>
      <w:r>
        <w:rPr>
          <w:rFonts w:ascii="宋体" w:hAnsi="宋体" w:eastAsia="宋体" w:cs="宋体"/>
          <w:color w:val="auto"/>
          <w:spacing w:val="-17"/>
          <w:sz w:val="28"/>
          <w:szCs w:val="28"/>
          <w:highlight w:val="none"/>
        </w:rPr>
        <w:t>：（</w:t>
      </w:r>
      <w:r>
        <w:rPr>
          <w:rFonts w:ascii="宋体" w:hAnsi="宋体" w:eastAsia="宋体" w:cs="宋体"/>
          <w:color w:val="auto"/>
          <w:spacing w:val="16"/>
          <w:sz w:val="28"/>
          <w:szCs w:val="28"/>
          <w:highlight w:val="none"/>
        </w:rPr>
        <w:t>采购人名称</w:t>
      </w:r>
      <w:r>
        <w:rPr>
          <w:rFonts w:ascii="宋体" w:hAnsi="宋体" w:eastAsia="宋体" w:cs="宋体"/>
          <w:color w:val="auto"/>
          <w:spacing w:val="-17"/>
          <w:sz w:val="28"/>
          <w:szCs w:val="28"/>
          <w:highlight w:val="none"/>
        </w:rPr>
        <w:t>）：</w:t>
      </w:r>
    </w:p>
    <w:p w14:paraId="316B7910">
      <w:pPr>
        <w:pStyle w:val="13"/>
        <w:spacing w:line="270" w:lineRule="auto"/>
        <w:rPr>
          <w:color w:val="auto"/>
          <w:highlight w:val="none"/>
        </w:rPr>
      </w:pPr>
    </w:p>
    <w:p w14:paraId="50D85EF7">
      <w:pPr>
        <w:spacing w:before="91" w:line="360" w:lineRule="auto"/>
        <w:ind w:left="15" w:firstLine="600"/>
        <w:jc w:val="both"/>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（供应商名称）郑重声明，我公司具有良好的商业信誉和健全的财务</w:t>
      </w:r>
      <w:r>
        <w:rPr>
          <w:rFonts w:ascii="宋体" w:hAnsi="宋体" w:eastAsia="宋体" w:cs="宋体"/>
          <w:color w:val="auto"/>
          <w:spacing w:val="4"/>
          <w:sz w:val="28"/>
          <w:szCs w:val="28"/>
          <w:highlight w:val="none"/>
        </w:rPr>
        <w:t>会计制度，具有履行合同所必需的设备和专业</w:t>
      </w:r>
      <w:r>
        <w:rPr>
          <w:rFonts w:ascii="宋体" w:hAnsi="宋体" w:eastAsia="宋体" w:cs="宋体"/>
          <w:color w:val="auto"/>
          <w:spacing w:val="3"/>
          <w:sz w:val="28"/>
          <w:szCs w:val="28"/>
          <w:highlight w:val="none"/>
        </w:rPr>
        <w:t>技术能力，有依法缴纳税收</w:t>
      </w:r>
      <w:r>
        <w:rPr>
          <w:rFonts w:ascii="宋体" w:hAnsi="宋体" w:eastAsia="宋体" w:cs="宋体"/>
          <w:color w:val="auto"/>
          <w:spacing w:val="4"/>
          <w:sz w:val="28"/>
          <w:szCs w:val="28"/>
          <w:highlight w:val="none"/>
        </w:rPr>
        <w:t>和社会保障资金的良好记录，参加本项目采购</w:t>
      </w:r>
      <w:r>
        <w:rPr>
          <w:rFonts w:ascii="宋体" w:hAnsi="宋体" w:eastAsia="宋体" w:cs="宋体"/>
          <w:color w:val="auto"/>
          <w:spacing w:val="3"/>
          <w:sz w:val="28"/>
          <w:szCs w:val="28"/>
          <w:highlight w:val="none"/>
        </w:rPr>
        <w:t>活动前三年内无重大违法活动记录，在合同签订前后随时愿意提供相关证明材料；我公司还同时声明</w:t>
      </w:r>
      <w:r>
        <w:rPr>
          <w:rFonts w:ascii="宋体" w:hAnsi="宋体" w:eastAsia="宋体" w:cs="宋体"/>
          <w:color w:val="auto"/>
          <w:spacing w:val="6"/>
          <w:sz w:val="28"/>
          <w:szCs w:val="28"/>
          <w:highlight w:val="none"/>
        </w:rPr>
        <w:t>未列入在信用中国网站（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8"/>
          <w:szCs w:val="28"/>
          <w:highlight w:val="none"/>
        </w:rPr>
        <w:t>www</w:t>
      </w:r>
      <w:r>
        <w:rPr>
          <w:rFonts w:ascii="宋体" w:hAnsi="宋体" w:eastAsia="宋体" w:cs="宋体"/>
          <w:color w:val="auto"/>
          <w:spacing w:val="6"/>
          <w:sz w:val="28"/>
          <w:szCs w:val="28"/>
          <w:highlight w:val="none"/>
        </w:rPr>
        <w:t>.</w:t>
      </w:r>
      <w:r>
        <w:rPr>
          <w:rFonts w:ascii="宋体" w:hAnsi="宋体" w:eastAsia="宋体" w:cs="宋体"/>
          <w:color w:val="auto"/>
          <w:sz w:val="28"/>
          <w:szCs w:val="28"/>
          <w:highlight w:val="none"/>
        </w:rPr>
        <w:t>creditchina</w:t>
      </w:r>
      <w:r>
        <w:rPr>
          <w:rFonts w:ascii="宋体" w:hAnsi="宋体" w:eastAsia="宋体" w:cs="宋体"/>
          <w:color w:val="auto"/>
          <w:spacing w:val="6"/>
          <w:sz w:val="28"/>
          <w:szCs w:val="28"/>
          <w:highlight w:val="none"/>
        </w:rPr>
        <w:t>.</w:t>
      </w:r>
      <w:r>
        <w:rPr>
          <w:rFonts w:ascii="宋体" w:hAnsi="宋体" w:eastAsia="宋体" w:cs="宋体"/>
          <w:color w:val="auto"/>
          <w:sz w:val="28"/>
          <w:szCs w:val="28"/>
          <w:highlight w:val="none"/>
        </w:rPr>
        <w:t>gov</w:t>
      </w:r>
      <w:r>
        <w:rPr>
          <w:rFonts w:ascii="宋体" w:hAnsi="宋体" w:eastAsia="宋体" w:cs="宋体"/>
          <w:color w:val="auto"/>
          <w:spacing w:val="6"/>
          <w:sz w:val="28"/>
          <w:szCs w:val="28"/>
          <w:highlight w:val="none"/>
        </w:rPr>
        <w:t>.</w:t>
      </w:r>
      <w:r>
        <w:rPr>
          <w:rFonts w:ascii="宋体" w:hAnsi="宋体" w:eastAsia="宋体" w:cs="宋体"/>
          <w:color w:val="auto"/>
          <w:sz w:val="28"/>
          <w:szCs w:val="28"/>
          <w:highlight w:val="none"/>
        </w:rPr>
        <w:t>cn</w:t>
      </w:r>
      <w:r>
        <w:rPr>
          <w:rFonts w:ascii="宋体" w:hAnsi="宋体" w:eastAsia="宋体" w:cs="宋体"/>
          <w:color w:val="auto"/>
          <w:sz w:val="28"/>
          <w:szCs w:val="28"/>
          <w:highlight w:val="none"/>
        </w:rPr>
        <w:fldChar w:fldCharType="end"/>
      </w:r>
      <w:r>
        <w:rPr>
          <w:rFonts w:ascii="宋体" w:hAnsi="宋体" w:eastAsia="宋体" w:cs="宋体"/>
          <w:color w:val="auto"/>
          <w:spacing w:val="6"/>
          <w:sz w:val="28"/>
          <w:szCs w:val="28"/>
          <w:highlight w:val="none"/>
        </w:rPr>
        <w:t>）“失信被执行人”、</w:t>
      </w:r>
      <w:r>
        <w:rPr>
          <w:rFonts w:ascii="宋体" w:hAnsi="宋体" w:eastAsia="宋体" w:cs="宋体"/>
          <w:color w:val="auto"/>
          <w:spacing w:val="5"/>
          <w:sz w:val="28"/>
          <w:szCs w:val="28"/>
          <w:highlight w:val="none"/>
        </w:rPr>
        <w:t>“</w:t>
      </w:r>
      <w:r>
        <w:rPr>
          <w:rFonts w:hint="eastAsia" w:ascii="宋体" w:hAnsi="宋体" w:eastAsia="宋体" w:cs="宋体"/>
          <w:color w:val="auto"/>
          <w:spacing w:val="5"/>
          <w:sz w:val="28"/>
          <w:szCs w:val="28"/>
          <w:highlight w:val="none"/>
        </w:rPr>
        <w:t>重大税收违法</w:t>
      </w:r>
      <w:r>
        <w:rPr>
          <w:rFonts w:hint="eastAsia" w:ascii="宋体" w:hAnsi="宋体" w:eastAsia="宋体" w:cs="宋体"/>
          <w:color w:val="auto"/>
          <w:spacing w:val="5"/>
          <w:sz w:val="28"/>
          <w:szCs w:val="28"/>
          <w:highlight w:val="none"/>
          <w:lang w:val="en-US" w:eastAsia="zh-CN"/>
        </w:rPr>
        <w:t>失信主体</w:t>
      </w:r>
      <w:r>
        <w:rPr>
          <w:rFonts w:hint="eastAsia" w:ascii="宋体" w:hAnsi="宋体" w:eastAsia="宋体" w:cs="宋体"/>
          <w:color w:val="auto"/>
          <w:spacing w:val="5"/>
          <w:sz w:val="28"/>
          <w:szCs w:val="28"/>
          <w:highlight w:val="none"/>
        </w:rPr>
        <w:t>名单</w:t>
      </w:r>
      <w:r>
        <w:rPr>
          <w:rFonts w:ascii="宋体" w:hAnsi="宋体" w:eastAsia="宋体" w:cs="宋体"/>
          <w:color w:val="auto"/>
          <w:spacing w:val="5"/>
          <w:sz w:val="28"/>
          <w:szCs w:val="28"/>
          <w:highlight w:val="none"/>
        </w:rPr>
        <w:t>”</w:t>
      </w:r>
      <w:r>
        <w:rPr>
          <w:rFonts w:hint="eastAsia" w:hAnsi="宋体" w:cs="宋体"/>
          <w:color w:val="auto"/>
          <w:spacing w:val="5"/>
          <w:sz w:val="28"/>
          <w:szCs w:val="28"/>
          <w:highlight w:val="none"/>
          <w:lang w:eastAsia="zh-CN"/>
        </w:rPr>
        <w:t>、“</w:t>
      </w:r>
      <w:r>
        <w:rPr>
          <w:rFonts w:hint="eastAsia" w:hAnsi="宋体" w:cs="宋体"/>
          <w:color w:val="auto"/>
          <w:spacing w:val="5"/>
          <w:sz w:val="28"/>
          <w:szCs w:val="28"/>
          <w:highlight w:val="none"/>
          <w:lang w:val="en-US" w:eastAsia="zh-CN"/>
        </w:rPr>
        <w:t>严重失信主体名单</w:t>
      </w:r>
      <w:r>
        <w:rPr>
          <w:rFonts w:hint="eastAsia" w:hAnsi="宋体" w:cs="宋体"/>
          <w:color w:val="auto"/>
          <w:spacing w:val="5"/>
          <w:sz w:val="28"/>
          <w:szCs w:val="28"/>
          <w:highlight w:val="none"/>
          <w:lang w:eastAsia="zh-CN"/>
        </w:rPr>
        <w:t>”、“</w:t>
      </w:r>
      <w:r>
        <w:rPr>
          <w:rFonts w:hint="eastAsia" w:ascii="宋体" w:hAnsi="宋体" w:eastAsia="宋体" w:cs="宋体"/>
          <w:color w:val="auto"/>
          <w:spacing w:val="9"/>
          <w:sz w:val="28"/>
          <w:szCs w:val="28"/>
          <w:highlight w:val="none"/>
          <w:lang w:val="en-US" w:eastAsia="zh-CN"/>
        </w:rPr>
        <w:t>经营异常名录</w:t>
      </w:r>
      <w:r>
        <w:rPr>
          <w:rFonts w:hint="eastAsia" w:hAnsi="宋体" w:cs="宋体"/>
          <w:color w:val="auto"/>
          <w:spacing w:val="5"/>
          <w:sz w:val="28"/>
          <w:szCs w:val="28"/>
          <w:highlight w:val="none"/>
          <w:lang w:eastAsia="zh-CN"/>
        </w:rPr>
        <w:t>”</w:t>
      </w:r>
      <w:r>
        <w:rPr>
          <w:rFonts w:ascii="宋体" w:hAnsi="宋体" w:eastAsia="宋体" w:cs="宋体"/>
          <w:color w:val="auto"/>
          <w:spacing w:val="5"/>
          <w:sz w:val="28"/>
          <w:szCs w:val="28"/>
          <w:highlight w:val="none"/>
        </w:rPr>
        <w:t>中，也未列入中国政府采购网</w:t>
      </w:r>
      <w:r>
        <w:rPr>
          <w:rFonts w:ascii="宋体" w:hAnsi="宋体" w:eastAsia="宋体" w:cs="宋体"/>
          <w:color w:val="auto"/>
          <w:spacing w:val="9"/>
          <w:sz w:val="28"/>
          <w:szCs w:val="28"/>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8"/>
          <w:szCs w:val="28"/>
          <w:highlight w:val="none"/>
        </w:rPr>
        <w:t>www</w:t>
      </w:r>
      <w:r>
        <w:rPr>
          <w:rFonts w:ascii="宋体" w:hAnsi="宋体" w:eastAsia="宋体" w:cs="宋体"/>
          <w:color w:val="auto"/>
          <w:spacing w:val="9"/>
          <w:sz w:val="28"/>
          <w:szCs w:val="28"/>
          <w:highlight w:val="none"/>
        </w:rPr>
        <w:t>.</w:t>
      </w:r>
      <w:r>
        <w:rPr>
          <w:rFonts w:ascii="宋体" w:hAnsi="宋体" w:eastAsia="宋体" w:cs="宋体"/>
          <w:color w:val="auto"/>
          <w:sz w:val="28"/>
          <w:szCs w:val="28"/>
          <w:highlight w:val="none"/>
        </w:rPr>
        <w:t>ccgp</w:t>
      </w:r>
      <w:r>
        <w:rPr>
          <w:rFonts w:ascii="宋体" w:hAnsi="宋体" w:eastAsia="宋体" w:cs="宋体"/>
          <w:color w:val="auto"/>
          <w:spacing w:val="9"/>
          <w:sz w:val="28"/>
          <w:szCs w:val="28"/>
          <w:highlight w:val="none"/>
        </w:rPr>
        <w:t>.</w:t>
      </w:r>
      <w:r>
        <w:rPr>
          <w:rFonts w:ascii="宋体" w:hAnsi="宋体" w:eastAsia="宋体" w:cs="宋体"/>
          <w:color w:val="auto"/>
          <w:sz w:val="28"/>
          <w:szCs w:val="28"/>
          <w:highlight w:val="none"/>
        </w:rPr>
        <w:t>gov</w:t>
      </w:r>
      <w:r>
        <w:rPr>
          <w:rFonts w:ascii="宋体" w:hAnsi="宋体" w:eastAsia="宋体" w:cs="宋体"/>
          <w:color w:val="auto"/>
          <w:spacing w:val="9"/>
          <w:sz w:val="28"/>
          <w:szCs w:val="28"/>
          <w:highlight w:val="none"/>
        </w:rPr>
        <w:t>.</w:t>
      </w:r>
      <w:r>
        <w:rPr>
          <w:rFonts w:ascii="宋体" w:hAnsi="宋体" w:eastAsia="宋体" w:cs="宋体"/>
          <w:color w:val="auto"/>
          <w:sz w:val="28"/>
          <w:szCs w:val="28"/>
          <w:highlight w:val="none"/>
        </w:rPr>
        <w:t>cn</w:t>
      </w:r>
      <w:r>
        <w:rPr>
          <w:rFonts w:ascii="宋体" w:hAnsi="宋体" w:eastAsia="宋体" w:cs="宋体"/>
          <w:color w:val="auto"/>
          <w:sz w:val="28"/>
          <w:szCs w:val="28"/>
          <w:highlight w:val="none"/>
        </w:rPr>
        <w:fldChar w:fldCharType="end"/>
      </w:r>
      <w:r>
        <w:rPr>
          <w:rFonts w:ascii="宋体" w:hAnsi="宋体" w:eastAsia="宋体" w:cs="宋体"/>
          <w:color w:val="auto"/>
          <w:spacing w:val="9"/>
          <w:sz w:val="28"/>
          <w:szCs w:val="28"/>
          <w:highlight w:val="none"/>
        </w:rPr>
        <w:t>）“政府采购严重违法失信行为记录名单”中，并随</w:t>
      </w:r>
      <w:r>
        <w:rPr>
          <w:rFonts w:ascii="宋体" w:hAnsi="宋体" w:eastAsia="宋体" w:cs="宋体"/>
          <w:color w:val="auto"/>
          <w:spacing w:val="3"/>
          <w:sz w:val="28"/>
          <w:szCs w:val="28"/>
          <w:highlight w:val="none"/>
        </w:rPr>
        <w:t>时接受采购人的检查验证，符合《政府采购法》规定的投标供应商资格条</w:t>
      </w:r>
      <w:r>
        <w:rPr>
          <w:rFonts w:ascii="宋体" w:hAnsi="宋体" w:eastAsia="宋体" w:cs="宋体"/>
          <w:color w:val="auto"/>
          <w:spacing w:val="5"/>
          <w:sz w:val="28"/>
          <w:szCs w:val="28"/>
          <w:highlight w:val="none"/>
        </w:rPr>
        <w:t>件。我方对以上声明负全部法律责任。</w:t>
      </w:r>
    </w:p>
    <w:p w14:paraId="16E84673">
      <w:pPr>
        <w:spacing w:before="150" w:line="220" w:lineRule="auto"/>
        <w:ind w:left="60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特此声明。</w:t>
      </w:r>
    </w:p>
    <w:p w14:paraId="4A2D55D8">
      <w:pPr>
        <w:pStyle w:val="13"/>
        <w:spacing w:line="277" w:lineRule="auto"/>
        <w:rPr>
          <w:color w:val="auto"/>
          <w:highlight w:val="none"/>
        </w:rPr>
      </w:pPr>
    </w:p>
    <w:p w14:paraId="0EA24A18">
      <w:pPr>
        <w:pStyle w:val="13"/>
        <w:spacing w:line="278" w:lineRule="auto"/>
        <w:rPr>
          <w:color w:val="auto"/>
          <w:highlight w:val="none"/>
        </w:rPr>
      </w:pPr>
    </w:p>
    <w:p w14:paraId="3D7E14D7">
      <w:pPr>
        <w:pStyle w:val="13"/>
        <w:spacing w:line="278" w:lineRule="auto"/>
        <w:rPr>
          <w:color w:val="auto"/>
          <w:highlight w:val="none"/>
        </w:rPr>
      </w:pPr>
    </w:p>
    <w:p w14:paraId="114EDE4B">
      <w:pPr>
        <w:pStyle w:val="13"/>
        <w:spacing w:line="278" w:lineRule="auto"/>
        <w:rPr>
          <w:color w:val="auto"/>
          <w:highlight w:val="none"/>
        </w:rPr>
      </w:pPr>
    </w:p>
    <w:p w14:paraId="45746CCC">
      <w:pPr>
        <w:pStyle w:val="13"/>
        <w:spacing w:line="278" w:lineRule="auto"/>
        <w:rPr>
          <w:color w:val="auto"/>
          <w:highlight w:val="none"/>
        </w:rPr>
      </w:pPr>
    </w:p>
    <w:p w14:paraId="2E2947DB">
      <w:pPr>
        <w:spacing w:before="91" w:line="219" w:lineRule="auto"/>
        <w:ind w:left="3618"/>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供应商名称（盖章）：</w:t>
      </w:r>
    </w:p>
    <w:p w14:paraId="3D41AB9B">
      <w:pPr>
        <w:pStyle w:val="13"/>
        <w:spacing w:line="275" w:lineRule="auto"/>
        <w:rPr>
          <w:color w:val="auto"/>
          <w:highlight w:val="none"/>
        </w:rPr>
      </w:pPr>
    </w:p>
    <w:p w14:paraId="45777612">
      <w:pPr>
        <w:spacing w:before="92" w:line="219" w:lineRule="auto"/>
        <w:ind w:left="0"/>
        <w:jc w:val="right"/>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法定代表人或委托代理人（签字或盖章</w:t>
      </w:r>
      <w:r>
        <w:rPr>
          <w:rFonts w:ascii="宋体" w:hAnsi="宋体" w:eastAsia="宋体" w:cs="宋体"/>
          <w:color w:val="auto"/>
          <w:sz w:val="28"/>
          <w:szCs w:val="28"/>
          <w:highlight w:val="none"/>
        </w:rPr>
        <w:t>）：</w:t>
      </w:r>
    </w:p>
    <w:p w14:paraId="47DA2001">
      <w:pPr>
        <w:pStyle w:val="13"/>
        <w:spacing w:line="273" w:lineRule="auto"/>
        <w:rPr>
          <w:color w:val="auto"/>
          <w:highlight w:val="none"/>
        </w:rPr>
      </w:pPr>
    </w:p>
    <w:p w14:paraId="366D34A5">
      <w:pPr>
        <w:spacing w:before="92" w:line="220" w:lineRule="auto"/>
        <w:ind w:left="3666"/>
        <w:rPr>
          <w:rFonts w:ascii="宋体" w:hAnsi="宋体" w:eastAsia="宋体" w:cs="宋体"/>
          <w:color w:val="auto"/>
          <w:spacing w:val="-14"/>
          <w:sz w:val="28"/>
          <w:szCs w:val="28"/>
          <w:highlight w:val="none"/>
        </w:rPr>
      </w:pPr>
      <w:r>
        <w:rPr>
          <w:rFonts w:ascii="宋体" w:hAnsi="宋体" w:eastAsia="宋体" w:cs="宋体"/>
          <w:color w:val="auto"/>
          <w:spacing w:val="-14"/>
          <w:sz w:val="28"/>
          <w:szCs w:val="28"/>
          <w:highlight w:val="none"/>
        </w:rPr>
        <w:t>日期：</w:t>
      </w:r>
      <w:r>
        <w:rPr>
          <w:rFonts w:ascii="宋体" w:hAnsi="宋体" w:eastAsia="宋体" w:cs="宋体"/>
          <w:color w:val="auto"/>
          <w:spacing w:val="9"/>
          <w:sz w:val="28"/>
          <w:szCs w:val="28"/>
          <w:highlight w:val="none"/>
        </w:rPr>
        <w:t xml:space="preserve">    </w:t>
      </w:r>
      <w:r>
        <w:rPr>
          <w:rFonts w:ascii="宋体" w:hAnsi="宋体" w:eastAsia="宋体" w:cs="宋体"/>
          <w:color w:val="auto"/>
          <w:spacing w:val="-14"/>
          <w:sz w:val="28"/>
          <w:szCs w:val="28"/>
          <w:highlight w:val="none"/>
        </w:rPr>
        <w:t>年</w:t>
      </w:r>
      <w:r>
        <w:rPr>
          <w:rFonts w:ascii="宋体" w:hAnsi="宋体" w:eastAsia="宋体" w:cs="宋体"/>
          <w:color w:val="auto"/>
          <w:spacing w:val="15"/>
          <w:sz w:val="28"/>
          <w:szCs w:val="28"/>
          <w:highlight w:val="none"/>
        </w:rPr>
        <w:t xml:space="preserve">  </w:t>
      </w:r>
      <w:r>
        <w:rPr>
          <w:rFonts w:ascii="宋体" w:hAnsi="宋体" w:eastAsia="宋体" w:cs="宋体"/>
          <w:color w:val="auto"/>
          <w:spacing w:val="-14"/>
          <w:sz w:val="28"/>
          <w:szCs w:val="28"/>
          <w:highlight w:val="none"/>
        </w:rPr>
        <w:t>月</w:t>
      </w:r>
      <w:r>
        <w:rPr>
          <w:rFonts w:ascii="宋体" w:hAnsi="宋体" w:eastAsia="宋体" w:cs="宋体"/>
          <w:color w:val="auto"/>
          <w:spacing w:val="34"/>
          <w:sz w:val="28"/>
          <w:szCs w:val="28"/>
          <w:highlight w:val="none"/>
        </w:rPr>
        <w:t xml:space="preserve">  </w:t>
      </w:r>
      <w:r>
        <w:rPr>
          <w:rFonts w:ascii="宋体" w:hAnsi="宋体" w:eastAsia="宋体" w:cs="宋体"/>
          <w:color w:val="auto"/>
          <w:spacing w:val="-14"/>
          <w:sz w:val="28"/>
          <w:szCs w:val="28"/>
          <w:highlight w:val="none"/>
        </w:rPr>
        <w:t>日</w:t>
      </w:r>
    </w:p>
    <w:p w14:paraId="5C4C6D90">
      <w:pPr>
        <w:rPr>
          <w:rFonts w:ascii="宋体" w:hAnsi="宋体" w:eastAsia="宋体" w:cs="宋体"/>
          <w:color w:val="auto"/>
          <w:spacing w:val="-14"/>
          <w:sz w:val="28"/>
          <w:szCs w:val="28"/>
          <w:highlight w:val="none"/>
        </w:rPr>
      </w:pPr>
      <w:r>
        <w:rPr>
          <w:rFonts w:ascii="宋体" w:hAnsi="宋体" w:eastAsia="宋体" w:cs="宋体"/>
          <w:color w:val="auto"/>
          <w:spacing w:val="-14"/>
          <w:sz w:val="28"/>
          <w:szCs w:val="28"/>
          <w:highlight w:val="none"/>
        </w:rPr>
        <w:br w:type="page"/>
      </w:r>
    </w:p>
    <w:p w14:paraId="43E4536D">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报价一览表</w:t>
      </w:r>
    </w:p>
    <w:tbl>
      <w:tblPr>
        <w:tblStyle w:val="32"/>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3872"/>
        <w:gridCol w:w="1540"/>
        <w:gridCol w:w="2679"/>
      </w:tblGrid>
      <w:tr w14:paraId="6C8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848" w:type="dxa"/>
            <w:noWrap w:val="0"/>
            <w:vAlign w:val="center"/>
          </w:tcPr>
          <w:p w14:paraId="1603E490">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p>
        </w:tc>
        <w:tc>
          <w:tcPr>
            <w:tcW w:w="8091" w:type="dxa"/>
            <w:gridSpan w:val="3"/>
            <w:noWrap w:val="0"/>
            <w:vAlign w:val="center"/>
          </w:tcPr>
          <w:p w14:paraId="5057907A">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07E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8" w:type="dxa"/>
            <w:noWrap w:val="0"/>
            <w:vAlign w:val="center"/>
          </w:tcPr>
          <w:p w14:paraId="4EA194D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w:t>
            </w:r>
          </w:p>
        </w:tc>
        <w:tc>
          <w:tcPr>
            <w:tcW w:w="8091" w:type="dxa"/>
            <w:gridSpan w:val="3"/>
            <w:noWrap w:val="0"/>
            <w:vAlign w:val="center"/>
          </w:tcPr>
          <w:p w14:paraId="32A9C655">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6AF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13956BF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3872" w:type="dxa"/>
            <w:noWrap w:val="0"/>
            <w:vAlign w:val="center"/>
          </w:tcPr>
          <w:p w14:paraId="4AB6988F">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0" w:type="dxa"/>
            <w:noWrap w:val="0"/>
            <w:vAlign w:val="center"/>
          </w:tcPr>
          <w:p w14:paraId="24BD0C6D">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679" w:type="dxa"/>
            <w:noWrap w:val="0"/>
            <w:vAlign w:val="center"/>
          </w:tcPr>
          <w:p w14:paraId="76A7456A">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B68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0EADA20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授权委托人</w:t>
            </w:r>
          </w:p>
        </w:tc>
        <w:tc>
          <w:tcPr>
            <w:tcW w:w="3872" w:type="dxa"/>
            <w:noWrap w:val="0"/>
            <w:vAlign w:val="center"/>
          </w:tcPr>
          <w:p w14:paraId="00A14A1B">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0" w:type="dxa"/>
            <w:noWrap w:val="0"/>
            <w:vAlign w:val="center"/>
          </w:tcPr>
          <w:p w14:paraId="38F665A1">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679" w:type="dxa"/>
            <w:noWrap w:val="0"/>
            <w:vAlign w:val="center"/>
          </w:tcPr>
          <w:p w14:paraId="2E912438">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96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2516CDA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投标项目名称</w:t>
            </w:r>
          </w:p>
        </w:tc>
        <w:tc>
          <w:tcPr>
            <w:tcW w:w="8091" w:type="dxa"/>
            <w:gridSpan w:val="3"/>
            <w:noWrap w:val="0"/>
            <w:vAlign w:val="center"/>
          </w:tcPr>
          <w:p w14:paraId="3421537B">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DF1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1848" w:type="dxa"/>
            <w:noWrap w:val="0"/>
            <w:vAlign w:val="center"/>
          </w:tcPr>
          <w:p w14:paraId="66DD3D4A">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lang w:val="en-US" w:eastAsia="zh-CN"/>
                <w14:textFill>
                  <w14:solidFill>
                    <w14:schemeClr w14:val="tx1"/>
                  </w14:solidFill>
                </w14:textFill>
              </w:rPr>
              <w:t>报价</w:t>
            </w:r>
          </w:p>
        </w:tc>
        <w:tc>
          <w:tcPr>
            <w:tcW w:w="8091" w:type="dxa"/>
            <w:gridSpan w:val="3"/>
            <w:noWrap w:val="0"/>
            <w:vAlign w:val="center"/>
          </w:tcPr>
          <w:p w14:paraId="59D60BC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元</w:t>
            </w:r>
          </w:p>
          <w:p w14:paraId="540ECA3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p>
        </w:tc>
      </w:tr>
      <w:tr w14:paraId="1B8D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1848" w:type="dxa"/>
            <w:noWrap w:val="0"/>
            <w:vAlign w:val="center"/>
          </w:tcPr>
          <w:p w14:paraId="0BAE7DF0">
            <w:pPr>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合同履约期</w:t>
            </w:r>
          </w:p>
        </w:tc>
        <w:tc>
          <w:tcPr>
            <w:tcW w:w="8091" w:type="dxa"/>
            <w:gridSpan w:val="3"/>
            <w:noWrap w:val="0"/>
            <w:vAlign w:val="center"/>
          </w:tcPr>
          <w:p w14:paraId="105DBFE9">
            <w:pPr>
              <w:spacing w:line="240" w:lineRule="auto"/>
              <w:jc w:val="left"/>
              <w:rPr>
                <w:rFonts w:hint="eastAsia" w:ascii="宋体" w:hAnsi="宋体" w:eastAsia="宋体" w:cs="宋体"/>
                <w:b/>
                <w:bCs/>
                <w:color w:val="000000" w:themeColor="text1"/>
                <w:sz w:val="24"/>
                <w:szCs w:val="24"/>
                <w:highlight w:val="none"/>
                <w:u w:val="single"/>
                <w14:textFill>
                  <w14:solidFill>
                    <w14:schemeClr w14:val="tx1"/>
                  </w14:solidFill>
                </w14:textFill>
              </w:rPr>
            </w:pPr>
          </w:p>
        </w:tc>
      </w:tr>
      <w:tr w14:paraId="51FD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848" w:type="dxa"/>
            <w:noWrap w:val="0"/>
            <w:vAlign w:val="center"/>
          </w:tcPr>
          <w:p w14:paraId="512FCF3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8091" w:type="dxa"/>
            <w:gridSpan w:val="3"/>
            <w:noWrap w:val="0"/>
            <w:vAlign w:val="center"/>
          </w:tcPr>
          <w:p w14:paraId="12867352">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投标报价应包括：有关本项目所需服务费、人工费、保险费、社保、税金等全部相关费用；</w:t>
            </w:r>
          </w:p>
        </w:tc>
      </w:tr>
    </w:tbl>
    <w:p w14:paraId="7EBB43EA">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0E24C2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843B5DB">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p>
    <w:p w14:paraId="7BA430F9">
      <w:pPr>
        <w:spacing w:line="360" w:lineRule="auto"/>
        <w:ind w:right="105" w:right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0BB1229">
      <w:pPr>
        <w:spacing w:line="360" w:lineRule="auto"/>
        <w:ind w:right="105" w:rightChars="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0C07F8">
      <w:pPr>
        <w:spacing w:line="360" w:lineRule="auto"/>
        <w:ind w:right="105" w:rightChars="5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78B1449">
      <w:pPr>
        <w:jc w:val="center"/>
        <w:rPr>
          <w:rFonts w:hint="eastAsia" w:ascii="宋体" w:hAnsi="宋体" w:cs="宋体"/>
          <w:b/>
          <w:color w:val="000000" w:themeColor="text1"/>
          <w:sz w:val="28"/>
          <w:szCs w:val="28"/>
          <w:highlight w:val="none"/>
          <w:lang w:val="en-US" w:eastAsia="zh-CN"/>
          <w14:textFill>
            <w14:solidFill>
              <w14:schemeClr w14:val="tx1"/>
            </w14:solidFill>
          </w14:textFill>
        </w:rPr>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p>
    <w:p w14:paraId="24EB1690">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五、供应商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概况一览表</w:t>
      </w:r>
    </w:p>
    <w:p w14:paraId="0B681453">
      <w:pPr>
        <w:pStyle w:val="89"/>
        <w:tabs>
          <w:tab w:val="left" w:pos="5570"/>
        </w:tabs>
        <w:spacing w:before="123" w:line="240" w:lineRule="auto"/>
        <w:ind w:left="21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w:t>
      </w:r>
    </w:p>
    <w:p w14:paraId="6585C724">
      <w:pPr>
        <w:pStyle w:val="89"/>
        <w:tabs>
          <w:tab w:val="left" w:pos="5570"/>
        </w:tabs>
        <w:spacing w:before="123" w:line="240" w:lineRule="auto"/>
        <w:ind w:left="21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bl>
      <w:tblPr>
        <w:tblStyle w:val="32"/>
        <w:tblW w:w="497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1320"/>
        <w:gridCol w:w="1962"/>
        <w:gridCol w:w="1805"/>
        <w:gridCol w:w="1418"/>
        <w:gridCol w:w="1966"/>
      </w:tblGrid>
      <w:tr w14:paraId="2CEDD7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bottom w:val="single" w:color="000000" w:sz="4" w:space="0"/>
              <w:right w:val="single" w:color="000000" w:sz="4" w:space="0"/>
            </w:tcBorders>
            <w:noWrap w:val="0"/>
            <w:vAlign w:val="center"/>
          </w:tcPr>
          <w:p w14:paraId="063EBAF3">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供应商名称</w:t>
            </w:r>
          </w:p>
        </w:tc>
        <w:tc>
          <w:tcPr>
            <w:tcW w:w="4220" w:type="pct"/>
            <w:gridSpan w:val="4"/>
            <w:tcBorders>
              <w:left w:val="single" w:color="000000" w:sz="4" w:space="0"/>
              <w:bottom w:val="single" w:color="000000" w:sz="4" w:space="0"/>
            </w:tcBorders>
            <w:noWrap w:val="0"/>
            <w:vAlign w:val="center"/>
          </w:tcPr>
          <w:p w14:paraId="6FD1445B">
            <w:pPr>
              <w:pStyle w:val="90"/>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2E8D17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6" w:hRule="atLeast"/>
          <w:jc w:val="center"/>
        </w:trPr>
        <w:tc>
          <w:tcPr>
            <w:tcW w:w="779" w:type="pct"/>
            <w:tcBorders>
              <w:top w:val="single" w:color="000000" w:sz="4" w:space="0"/>
              <w:bottom w:val="single" w:color="000000" w:sz="4" w:space="0"/>
              <w:right w:val="single" w:color="000000" w:sz="4" w:space="0"/>
            </w:tcBorders>
            <w:noWrap w:val="0"/>
            <w:vAlign w:val="center"/>
          </w:tcPr>
          <w:p w14:paraId="66CCCA47">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联系地址</w:t>
            </w:r>
          </w:p>
        </w:tc>
        <w:tc>
          <w:tcPr>
            <w:tcW w:w="4220" w:type="pct"/>
            <w:gridSpan w:val="4"/>
            <w:tcBorders>
              <w:top w:val="single" w:color="000000" w:sz="4" w:space="0"/>
              <w:left w:val="single" w:color="000000" w:sz="4" w:space="0"/>
              <w:bottom w:val="single" w:color="000000" w:sz="4" w:space="0"/>
            </w:tcBorders>
            <w:noWrap w:val="0"/>
            <w:vAlign w:val="center"/>
          </w:tcPr>
          <w:p w14:paraId="11A4BC0C">
            <w:pPr>
              <w:pStyle w:val="90"/>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A528C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19" w:hRule="atLeast"/>
          <w:jc w:val="center"/>
        </w:trPr>
        <w:tc>
          <w:tcPr>
            <w:tcW w:w="779" w:type="pct"/>
            <w:tcBorders>
              <w:top w:val="single" w:color="000000" w:sz="4" w:space="0"/>
              <w:bottom w:val="single" w:color="000000" w:sz="4" w:space="0"/>
              <w:right w:val="single" w:color="000000" w:sz="4" w:space="0"/>
            </w:tcBorders>
            <w:noWrap w:val="0"/>
            <w:vAlign w:val="center"/>
          </w:tcPr>
          <w:p w14:paraId="6B977C89">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供应商从业人员数量</w:t>
            </w:r>
          </w:p>
        </w:tc>
        <w:tc>
          <w:tcPr>
            <w:tcW w:w="4220" w:type="pct"/>
            <w:gridSpan w:val="4"/>
            <w:tcBorders>
              <w:top w:val="single" w:color="000000" w:sz="4" w:space="0"/>
              <w:left w:val="single" w:color="000000" w:sz="4" w:space="0"/>
              <w:bottom w:val="single" w:color="auto" w:sz="4" w:space="0"/>
            </w:tcBorders>
            <w:noWrap w:val="0"/>
            <w:vAlign w:val="center"/>
          </w:tcPr>
          <w:p w14:paraId="09CB5D01">
            <w:pPr>
              <w:pStyle w:val="90"/>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1EE33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top w:val="single" w:color="000000" w:sz="4" w:space="0"/>
              <w:bottom w:val="single" w:color="000000" w:sz="4" w:space="0"/>
              <w:right w:val="single" w:color="auto" w:sz="4" w:space="0"/>
            </w:tcBorders>
            <w:noWrap w:val="0"/>
            <w:vAlign w:val="center"/>
          </w:tcPr>
          <w:p w14:paraId="385FE917">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w:t>
            </w:r>
          </w:p>
        </w:tc>
        <w:tc>
          <w:tcPr>
            <w:tcW w:w="1158" w:type="pct"/>
            <w:tcBorders>
              <w:top w:val="single" w:color="auto" w:sz="4" w:space="0"/>
              <w:left w:val="single" w:color="auto" w:sz="4" w:space="0"/>
              <w:bottom w:val="single" w:color="auto" w:sz="4" w:space="0"/>
              <w:right w:val="nil"/>
            </w:tcBorders>
            <w:noWrap w:val="0"/>
            <w:vAlign w:val="center"/>
          </w:tcPr>
          <w:p w14:paraId="518F61D9">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姓名：</w:t>
            </w:r>
          </w:p>
        </w:tc>
        <w:tc>
          <w:tcPr>
            <w:tcW w:w="1065" w:type="pct"/>
            <w:tcBorders>
              <w:top w:val="single" w:color="auto" w:sz="4" w:space="0"/>
              <w:left w:val="nil"/>
              <w:bottom w:val="single" w:color="auto" w:sz="4" w:space="0"/>
              <w:right w:val="nil"/>
            </w:tcBorders>
            <w:noWrap w:val="0"/>
            <w:vAlign w:val="center"/>
          </w:tcPr>
          <w:p w14:paraId="5F9124A3">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职务：</w:t>
            </w:r>
          </w:p>
        </w:tc>
        <w:tc>
          <w:tcPr>
            <w:tcW w:w="837" w:type="pct"/>
            <w:tcBorders>
              <w:top w:val="single" w:color="auto" w:sz="4" w:space="0"/>
              <w:left w:val="nil"/>
              <w:bottom w:val="single" w:color="auto" w:sz="4" w:space="0"/>
              <w:right w:val="nil"/>
            </w:tcBorders>
            <w:noWrap w:val="0"/>
            <w:vAlign w:val="center"/>
          </w:tcPr>
          <w:p w14:paraId="74A8CE4C">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职称：</w:t>
            </w:r>
          </w:p>
        </w:tc>
        <w:tc>
          <w:tcPr>
            <w:tcW w:w="1159" w:type="pct"/>
            <w:tcBorders>
              <w:top w:val="single" w:color="auto" w:sz="4" w:space="0"/>
              <w:left w:val="nil"/>
              <w:bottom w:val="single" w:color="auto" w:sz="4" w:space="0"/>
              <w:right w:val="single" w:color="auto" w:sz="4" w:space="0"/>
            </w:tcBorders>
            <w:noWrap w:val="0"/>
            <w:vAlign w:val="center"/>
          </w:tcPr>
          <w:p w14:paraId="67E98AD6">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电话：</w:t>
            </w:r>
          </w:p>
        </w:tc>
      </w:tr>
      <w:tr w14:paraId="39C9B1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6" w:hRule="atLeast"/>
          <w:jc w:val="center"/>
        </w:trPr>
        <w:tc>
          <w:tcPr>
            <w:tcW w:w="779" w:type="pct"/>
            <w:tcBorders>
              <w:top w:val="single" w:color="000000" w:sz="4" w:space="0"/>
              <w:bottom w:val="single" w:color="000000" w:sz="4" w:space="0"/>
              <w:right w:val="single" w:color="auto" w:sz="4" w:space="0"/>
            </w:tcBorders>
            <w:noWrap w:val="0"/>
            <w:vAlign w:val="center"/>
          </w:tcPr>
          <w:p w14:paraId="1B8EEFD1">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2"/>
                <w:sz w:val="24"/>
                <w:szCs w:val="24"/>
                <w:highlight w:val="none"/>
                <w14:textFill>
                  <w14:solidFill>
                    <w14:schemeClr w14:val="tx1"/>
                  </w14:solidFill>
                </w14:textFill>
              </w:rPr>
              <w:t>负责人</w:t>
            </w:r>
          </w:p>
        </w:tc>
        <w:tc>
          <w:tcPr>
            <w:tcW w:w="1158" w:type="pct"/>
            <w:tcBorders>
              <w:top w:val="single" w:color="auto" w:sz="4" w:space="0"/>
              <w:left w:val="single" w:color="auto" w:sz="4" w:space="0"/>
              <w:bottom w:val="single" w:color="auto" w:sz="4" w:space="0"/>
              <w:right w:val="nil"/>
            </w:tcBorders>
            <w:noWrap w:val="0"/>
            <w:vAlign w:val="center"/>
          </w:tcPr>
          <w:p w14:paraId="00FADD83">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姓名：</w:t>
            </w:r>
          </w:p>
        </w:tc>
        <w:tc>
          <w:tcPr>
            <w:tcW w:w="1065" w:type="pct"/>
            <w:tcBorders>
              <w:top w:val="single" w:color="auto" w:sz="4" w:space="0"/>
              <w:left w:val="nil"/>
              <w:bottom w:val="single" w:color="auto" w:sz="4" w:space="0"/>
              <w:right w:val="nil"/>
            </w:tcBorders>
            <w:noWrap w:val="0"/>
            <w:vAlign w:val="center"/>
          </w:tcPr>
          <w:p w14:paraId="6EE7A77C">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职务：</w:t>
            </w:r>
          </w:p>
        </w:tc>
        <w:tc>
          <w:tcPr>
            <w:tcW w:w="837" w:type="pct"/>
            <w:tcBorders>
              <w:top w:val="single" w:color="auto" w:sz="4" w:space="0"/>
              <w:left w:val="nil"/>
              <w:bottom w:val="single" w:color="auto" w:sz="4" w:space="0"/>
              <w:right w:val="nil"/>
            </w:tcBorders>
            <w:noWrap w:val="0"/>
            <w:vAlign w:val="center"/>
          </w:tcPr>
          <w:p w14:paraId="109102BC">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职称：</w:t>
            </w:r>
          </w:p>
        </w:tc>
        <w:tc>
          <w:tcPr>
            <w:tcW w:w="1159" w:type="pct"/>
            <w:tcBorders>
              <w:top w:val="single" w:color="auto" w:sz="4" w:space="0"/>
              <w:left w:val="nil"/>
              <w:bottom w:val="single" w:color="auto" w:sz="4" w:space="0"/>
              <w:right w:val="single" w:color="auto" w:sz="4" w:space="0"/>
            </w:tcBorders>
            <w:noWrap w:val="0"/>
            <w:vAlign w:val="center"/>
          </w:tcPr>
          <w:p w14:paraId="16F12709">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电话：</w:t>
            </w:r>
          </w:p>
        </w:tc>
      </w:tr>
      <w:tr w14:paraId="31E807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vMerge w:val="restart"/>
            <w:tcBorders>
              <w:top w:val="single" w:color="000000" w:sz="4" w:space="0"/>
              <w:right w:val="single" w:color="auto" w:sz="4" w:space="0"/>
            </w:tcBorders>
            <w:noWrap w:val="0"/>
            <w:vAlign w:val="center"/>
          </w:tcPr>
          <w:p w14:paraId="11275814">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联系方式</w:t>
            </w:r>
          </w:p>
        </w:tc>
        <w:tc>
          <w:tcPr>
            <w:tcW w:w="2223" w:type="pct"/>
            <w:gridSpan w:val="2"/>
            <w:tcBorders>
              <w:top w:val="single" w:color="auto" w:sz="4" w:space="0"/>
              <w:left w:val="single" w:color="auto" w:sz="4" w:space="0"/>
              <w:bottom w:val="nil"/>
              <w:right w:val="nil"/>
            </w:tcBorders>
            <w:noWrap w:val="0"/>
            <w:vAlign w:val="center"/>
          </w:tcPr>
          <w:p w14:paraId="228ED5F4">
            <w:pPr>
              <w:pStyle w:val="47"/>
              <w:keepNext w:val="0"/>
              <w:keepLines w:val="0"/>
              <w:pageBreakBefore w:val="0"/>
              <w:tabs>
                <w:tab w:val="left" w:pos="3735"/>
              </w:tabs>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联系人：</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p>
        </w:tc>
        <w:tc>
          <w:tcPr>
            <w:tcW w:w="1996" w:type="pct"/>
            <w:gridSpan w:val="2"/>
            <w:tcBorders>
              <w:top w:val="single" w:color="auto" w:sz="4" w:space="0"/>
              <w:left w:val="nil"/>
              <w:bottom w:val="nil"/>
              <w:right w:val="single" w:color="auto" w:sz="4" w:space="0"/>
            </w:tcBorders>
            <w:noWrap w:val="0"/>
            <w:vAlign w:val="center"/>
          </w:tcPr>
          <w:p w14:paraId="2C8D2A1B">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电话：</w:t>
            </w:r>
          </w:p>
        </w:tc>
      </w:tr>
      <w:tr w14:paraId="404543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0" w:hRule="atLeast"/>
          <w:jc w:val="center"/>
        </w:trPr>
        <w:tc>
          <w:tcPr>
            <w:tcW w:w="779" w:type="pct"/>
            <w:vMerge w:val="continue"/>
            <w:tcBorders>
              <w:bottom w:val="single" w:color="000000" w:sz="4" w:space="0"/>
              <w:right w:val="single" w:color="auto" w:sz="4" w:space="0"/>
            </w:tcBorders>
            <w:noWrap w:val="0"/>
            <w:vAlign w:val="center"/>
          </w:tcPr>
          <w:p w14:paraId="6D5F3166">
            <w:pPr>
              <w:pStyle w:val="47"/>
              <w:keepNext w:val="0"/>
              <w:keepLines w:val="0"/>
              <w:pageBreakBefore w:val="0"/>
              <w:tabs>
                <w:tab w:val="left" w:pos="3673"/>
              </w:tabs>
              <w:kinsoku/>
              <w:wordWrap/>
              <w:overflowPunct/>
              <w:topLinePunct w:val="0"/>
              <w:autoSpaceDE/>
              <w:autoSpaceDN/>
              <w:bidi w:val="0"/>
              <w:adjustRightInd/>
              <w:snapToGrid/>
              <w:spacing w:before="120"/>
              <w:ind w:left="102"/>
              <w:textAlignment w:val="auto"/>
              <w:rPr>
                <w:color w:val="000000" w:themeColor="text1"/>
                <w:highlight w:val="none"/>
                <w14:textFill>
                  <w14:solidFill>
                    <w14:schemeClr w14:val="tx1"/>
                  </w14:solidFill>
                </w14:textFill>
              </w:rPr>
            </w:pPr>
          </w:p>
        </w:tc>
        <w:tc>
          <w:tcPr>
            <w:tcW w:w="2223" w:type="pct"/>
            <w:gridSpan w:val="2"/>
            <w:tcBorders>
              <w:top w:val="nil"/>
              <w:left w:val="single" w:color="auto" w:sz="4" w:space="0"/>
              <w:bottom w:val="single" w:color="auto" w:sz="4" w:space="0"/>
              <w:right w:val="nil"/>
            </w:tcBorders>
            <w:noWrap w:val="0"/>
            <w:vAlign w:val="center"/>
          </w:tcPr>
          <w:p w14:paraId="1B56DB4D">
            <w:pPr>
              <w:pStyle w:val="47"/>
              <w:keepNext w:val="0"/>
              <w:keepLines w:val="0"/>
              <w:pageBreakBefore w:val="0"/>
              <w:tabs>
                <w:tab w:val="left" w:pos="3673"/>
              </w:tabs>
              <w:kinsoku/>
              <w:wordWrap/>
              <w:overflowPunct/>
              <w:topLinePunct w:val="0"/>
              <w:autoSpaceDE/>
              <w:autoSpaceDN/>
              <w:bidi w:val="0"/>
              <w:adjustRightInd/>
              <w:snapToGrid/>
              <w:spacing w:before="120"/>
              <w:ind w:left="102"/>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传  真： </w:t>
            </w:r>
          </w:p>
        </w:tc>
        <w:tc>
          <w:tcPr>
            <w:tcW w:w="1996" w:type="pct"/>
            <w:gridSpan w:val="2"/>
            <w:tcBorders>
              <w:top w:val="nil"/>
              <w:left w:val="nil"/>
              <w:bottom w:val="single" w:color="auto" w:sz="4" w:space="0"/>
              <w:right w:val="single" w:color="auto" w:sz="4" w:space="0"/>
            </w:tcBorders>
            <w:noWrap w:val="0"/>
            <w:vAlign w:val="center"/>
          </w:tcPr>
          <w:p w14:paraId="668EA0CA">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邮箱：</w:t>
            </w:r>
          </w:p>
        </w:tc>
      </w:tr>
      <w:tr w14:paraId="7673A8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top w:val="single" w:color="000000" w:sz="4" w:space="0"/>
              <w:bottom w:val="single" w:color="auto" w:sz="4" w:space="0"/>
              <w:right w:val="single" w:color="000000" w:sz="4" w:space="0"/>
            </w:tcBorders>
            <w:noWrap w:val="0"/>
            <w:vAlign w:val="center"/>
          </w:tcPr>
          <w:p w14:paraId="31BFCC3F">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基本账户</w:t>
            </w:r>
          </w:p>
        </w:tc>
        <w:tc>
          <w:tcPr>
            <w:tcW w:w="2223" w:type="pct"/>
            <w:gridSpan w:val="2"/>
            <w:tcBorders>
              <w:top w:val="single" w:color="auto" w:sz="4" w:space="0"/>
              <w:left w:val="single" w:color="000000" w:sz="4" w:space="0"/>
              <w:bottom w:val="single" w:color="auto" w:sz="4" w:space="0"/>
              <w:right w:val="nil"/>
            </w:tcBorders>
            <w:noWrap w:val="0"/>
            <w:vAlign w:val="center"/>
          </w:tcPr>
          <w:p w14:paraId="115315DF">
            <w:pPr>
              <w:pStyle w:val="47"/>
              <w:keepNext w:val="0"/>
              <w:keepLines w:val="0"/>
              <w:pageBreakBefore w:val="0"/>
              <w:kinsoku/>
              <w:wordWrap/>
              <w:overflowPunct/>
              <w:topLinePunct w:val="0"/>
              <w:autoSpaceDE/>
              <w:autoSpaceDN/>
              <w:bidi w:val="0"/>
              <w:adjustRightInd/>
              <w:snapToGrid/>
              <w:spacing w:before="120"/>
              <w:ind w:left="3461" w:leftChars="48" w:hanging="3360" w:hangingChars="14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名  称：          </w:t>
            </w:r>
          </w:p>
        </w:tc>
        <w:tc>
          <w:tcPr>
            <w:tcW w:w="1996" w:type="pct"/>
            <w:gridSpan w:val="2"/>
            <w:tcBorders>
              <w:top w:val="single" w:color="auto" w:sz="4" w:space="0"/>
              <w:left w:val="nil"/>
              <w:bottom w:val="single" w:color="auto" w:sz="4" w:space="0"/>
            </w:tcBorders>
            <w:noWrap w:val="0"/>
            <w:vAlign w:val="center"/>
          </w:tcPr>
          <w:p w14:paraId="5637DE09">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账号：</w:t>
            </w:r>
          </w:p>
        </w:tc>
      </w:tr>
      <w:tr w14:paraId="22145A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1" w:hRule="atLeast"/>
          <w:jc w:val="center"/>
        </w:trPr>
        <w:tc>
          <w:tcPr>
            <w:tcW w:w="779" w:type="pct"/>
            <w:vMerge w:val="restart"/>
            <w:tcBorders>
              <w:top w:val="single" w:color="auto" w:sz="4" w:space="0"/>
              <w:right w:val="single" w:color="000000" w:sz="4" w:space="0"/>
            </w:tcBorders>
            <w:noWrap w:val="0"/>
            <w:vAlign w:val="center"/>
          </w:tcPr>
          <w:p w14:paraId="5CF9C151">
            <w:pPr>
              <w:pStyle w:val="47"/>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供应商关联情况</w:t>
            </w:r>
          </w:p>
        </w:tc>
        <w:tc>
          <w:tcPr>
            <w:tcW w:w="4220" w:type="pct"/>
            <w:gridSpan w:val="4"/>
            <w:tcBorders>
              <w:top w:val="single" w:color="auto" w:sz="4" w:space="0"/>
              <w:left w:val="single" w:color="000000" w:sz="4" w:space="0"/>
              <w:bottom w:val="nil"/>
            </w:tcBorders>
            <w:noWrap w:val="0"/>
            <w:vAlign w:val="center"/>
          </w:tcPr>
          <w:p w14:paraId="12D97954">
            <w:pPr>
              <w:pStyle w:val="47"/>
              <w:keepNext w:val="0"/>
              <w:keepLines w:val="0"/>
              <w:pageBreakBefore w:val="0"/>
              <w:kinsoku/>
              <w:wordWrap/>
              <w:overflowPunct/>
              <w:topLinePunct w:val="0"/>
              <w:autoSpaceDE/>
              <w:autoSpaceDN/>
              <w:bidi w:val="0"/>
              <w:adjustRightInd/>
              <w:snapToGrid/>
              <w:spacing w:before="120" w:line="242" w:lineRule="exact"/>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1：与我公司单位负责人为同一人的其他单位名称： </w:t>
            </w:r>
          </w:p>
        </w:tc>
      </w:tr>
      <w:tr w14:paraId="5E9A2A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2269E935">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38728475">
            <w:pPr>
              <w:pStyle w:val="47"/>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□无； </w:t>
            </w:r>
          </w:p>
        </w:tc>
      </w:tr>
      <w:tr w14:paraId="1197C8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137318FC">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133BC268">
            <w:pPr>
              <w:pStyle w:val="47"/>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8"/>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tc>
      </w:tr>
      <w:tr w14:paraId="617195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17C19DC1">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546FB136">
            <w:pPr>
              <w:pStyle w:val="47"/>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2、与我公司存在控股、管理关系的其他单位的名称： </w:t>
            </w:r>
          </w:p>
        </w:tc>
      </w:tr>
      <w:tr w14:paraId="61D5B2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5ED9EA52">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6CE8C644">
            <w:pPr>
              <w:pStyle w:val="47"/>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□无； </w:t>
            </w:r>
          </w:p>
        </w:tc>
      </w:tr>
      <w:tr w14:paraId="6065CB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52C72193">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242C44DE">
            <w:pPr>
              <w:pStyle w:val="47"/>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8"/>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tc>
      </w:tr>
      <w:tr w14:paraId="2E1D50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1" w:hRule="atLeast"/>
          <w:jc w:val="center"/>
        </w:trPr>
        <w:tc>
          <w:tcPr>
            <w:tcW w:w="779" w:type="pct"/>
            <w:vMerge w:val="continue"/>
            <w:tcBorders>
              <w:right w:val="single" w:color="000000" w:sz="4" w:space="0"/>
            </w:tcBorders>
            <w:noWrap w:val="0"/>
            <w:vAlign w:val="center"/>
          </w:tcPr>
          <w:p w14:paraId="0C8A8324">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060936BC">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备注：</w:t>
            </w:r>
          </w:p>
        </w:tc>
      </w:tr>
      <w:tr w14:paraId="2A0406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0" w:hRule="atLeast"/>
          <w:jc w:val="center"/>
        </w:trPr>
        <w:tc>
          <w:tcPr>
            <w:tcW w:w="779" w:type="pct"/>
            <w:vMerge w:val="continue"/>
            <w:tcBorders>
              <w:right w:val="single" w:color="000000" w:sz="4" w:space="0"/>
            </w:tcBorders>
            <w:noWrap w:val="0"/>
            <w:vAlign w:val="center"/>
          </w:tcPr>
          <w:p w14:paraId="21B91706">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1FB947B1">
            <w:pPr>
              <w:pStyle w:val="47"/>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1、“单位负责人”是指单位法定代表人或者法律、行政法规规定代表单位行使职权的主要负责人。</w:t>
            </w:r>
          </w:p>
        </w:tc>
      </w:tr>
      <w:tr w14:paraId="7584C4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4" w:hRule="atLeast"/>
          <w:jc w:val="center"/>
        </w:trPr>
        <w:tc>
          <w:tcPr>
            <w:tcW w:w="779" w:type="pct"/>
            <w:vMerge w:val="continue"/>
            <w:tcBorders>
              <w:bottom w:val="single" w:color="auto" w:sz="4" w:space="0"/>
              <w:right w:val="single" w:color="000000" w:sz="4" w:space="0"/>
            </w:tcBorders>
            <w:noWrap w:val="0"/>
            <w:vAlign w:val="center"/>
          </w:tcPr>
          <w:p w14:paraId="44481692">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single" w:color="auto" w:sz="4" w:space="0"/>
            </w:tcBorders>
            <w:noWrap w:val="0"/>
            <w:vAlign w:val="center"/>
          </w:tcPr>
          <w:p w14:paraId="5BB12F9A">
            <w:pPr>
              <w:pStyle w:val="47"/>
              <w:keepNext w:val="0"/>
              <w:keepLines w:val="0"/>
              <w:pageBreakBefore w:val="0"/>
              <w:kinsoku/>
              <w:wordWrap/>
              <w:overflowPunct/>
              <w:topLinePunct w:val="0"/>
              <w:autoSpaceDE/>
              <w:autoSpaceDN/>
              <w:bidi w:val="0"/>
              <w:adjustRightInd/>
              <w:snapToGrid/>
              <w:spacing w:before="120"/>
              <w:ind w:left="102"/>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2、本条所规定的控股、管理关系仅限于直接控股、直接管理关系，不包括间接的控股或管理关系。</w:t>
            </w:r>
          </w:p>
        </w:tc>
      </w:tr>
    </w:tbl>
    <w:p w14:paraId="454BC09B">
      <w:pPr>
        <w:spacing w:line="360" w:lineRule="auto"/>
        <w:ind w:firstLine="28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我们保证上述声明中的资料和数据是真实的、正确的，我们同意如贵方要求，可以出示相关证明文件。（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附相关证明材料</w:t>
      </w:r>
      <w:r>
        <w:rPr>
          <w:rFonts w:hint="eastAsia" w:ascii="宋体" w:hAnsi="宋体" w:cs="宋体"/>
          <w:color w:val="000000" w:themeColor="text1"/>
          <w:sz w:val="24"/>
          <w:szCs w:val="24"/>
          <w:highlight w:val="none"/>
          <w:lang w:eastAsia="zh-CN"/>
          <w14:textFill>
            <w14:solidFill>
              <w14:schemeClr w14:val="tx1"/>
            </w14:solidFill>
          </w14:textFill>
        </w:rPr>
        <w:t>：营业执照、开户许可证</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等相关证明材料</w:t>
      </w:r>
      <w:r>
        <w:rPr>
          <w:rFonts w:hint="eastAsia" w:ascii="宋体" w:hAnsi="宋体" w:cs="宋体"/>
          <w:color w:val="000000" w:themeColor="text1"/>
          <w:sz w:val="24"/>
          <w:szCs w:val="24"/>
          <w:highlight w:val="none"/>
          <w:lang w:eastAsia="zh-CN"/>
          <w14:textFill>
            <w14:solidFill>
              <w14:schemeClr w14:val="tx1"/>
            </w14:solidFill>
          </w14:textFill>
        </w:rPr>
        <w:t>）。</w:t>
      </w:r>
    </w:p>
    <w:p w14:paraId="2F2D776D">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F1D4C94">
      <w:pPr>
        <w:spacing w:line="360" w:lineRule="auto"/>
        <w:ind w:right="105" w:rightChars="5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90ACEDD">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2EDFA9B2">
      <w:pPr>
        <w:pStyle w:val="75"/>
        <w:spacing w:line="240" w:lineRule="auto"/>
        <w:jc w:val="center"/>
        <w:outlineLvl w:val="2"/>
        <w:rPr>
          <w:rFonts w:hint="eastAsia" w:ascii="宋体" w:hAnsi="宋体" w:eastAsia="宋体" w:cs="宋体"/>
          <w:b/>
          <w:color w:val="auto"/>
          <w:sz w:val="28"/>
          <w:szCs w:val="22"/>
          <w:highlight w:val="none"/>
          <w:lang w:val="en-US" w:eastAsia="zh-CN"/>
        </w:rPr>
      </w:pPr>
      <w:r>
        <w:rPr>
          <w:rFonts w:hint="eastAsia" w:ascii="宋体" w:hAnsi="宋体" w:eastAsia="宋体" w:cs="宋体"/>
          <w:b/>
          <w:color w:val="auto"/>
          <w:sz w:val="28"/>
          <w:szCs w:val="22"/>
          <w:highlight w:val="none"/>
          <w:lang w:val="en-US" w:eastAsia="zh-CN"/>
        </w:rPr>
        <w:t>1.营业执照及资质证书</w:t>
      </w:r>
    </w:p>
    <w:p w14:paraId="729FECA5">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31BC6CE">
      <w:pPr>
        <w:pStyle w:val="75"/>
        <w:spacing w:line="360" w:lineRule="auto"/>
        <w:jc w:val="center"/>
        <w:outlineLvl w:val="2"/>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2.</w:t>
      </w:r>
      <w:r>
        <w:rPr>
          <w:rFonts w:hint="eastAsia" w:ascii="宋体" w:hAnsi="宋体" w:eastAsia="宋体" w:cs="宋体"/>
          <w:b/>
          <w:color w:val="auto"/>
          <w:sz w:val="28"/>
          <w:szCs w:val="22"/>
          <w:highlight w:val="none"/>
        </w:rPr>
        <w:t>具有良好的商业信誉和健全的财务会计制度</w:t>
      </w:r>
    </w:p>
    <w:p w14:paraId="572AF6F7">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供应商提供（202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年度）</w:t>
      </w:r>
      <w:r>
        <w:rPr>
          <w:rFonts w:hint="eastAsia" w:ascii="宋体" w:hAnsi="宋体" w:eastAsia="宋体" w:cs="宋体"/>
          <w:color w:val="000000"/>
          <w:sz w:val="24"/>
          <w:szCs w:val="24"/>
          <w:highlight w:val="none"/>
          <w:lang w:val="en-US" w:eastAsia="zh-CN"/>
        </w:rPr>
        <w:t>任意1年</w:t>
      </w:r>
      <w:r>
        <w:rPr>
          <w:rFonts w:hint="eastAsia" w:ascii="宋体" w:hAnsi="宋体" w:eastAsia="宋体" w:cs="宋体"/>
          <w:color w:val="000000"/>
          <w:sz w:val="24"/>
          <w:szCs w:val="24"/>
          <w:highlight w:val="none"/>
        </w:rPr>
        <w:t>经会计事务所（审计机构）出具的财务审计报告，包括资产负债表、利润表、现金流量表等。供应商成立一年以内的须提供成立当月至投标截止日前上个月的财务报表复印件加盖公章（须包括资产负债表、利润表、现金流量表等）。</w:t>
      </w:r>
    </w:p>
    <w:p w14:paraId="39F605DD">
      <w:pPr>
        <w:pStyle w:val="10"/>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（注：若无会计事务所或审计机构审计的财务会计报表，可提供公司内部财务报表，提供（202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年度）</w:t>
      </w:r>
      <w:r>
        <w:rPr>
          <w:rFonts w:hint="eastAsia" w:ascii="宋体" w:hAnsi="宋体" w:eastAsia="宋体" w:cs="宋体"/>
          <w:color w:val="000000"/>
          <w:sz w:val="24"/>
          <w:szCs w:val="24"/>
          <w:highlight w:val="none"/>
          <w:lang w:val="en-US" w:eastAsia="zh-CN"/>
        </w:rPr>
        <w:t>任意1年</w:t>
      </w:r>
      <w:r>
        <w:rPr>
          <w:rFonts w:hint="eastAsia" w:ascii="宋体" w:hAnsi="宋体" w:eastAsia="宋体" w:cs="宋体"/>
          <w:color w:val="000000"/>
          <w:sz w:val="24"/>
          <w:szCs w:val="24"/>
          <w:highlight w:val="none"/>
          <w:lang w:eastAsia="zh-CN"/>
        </w:rPr>
        <w:t>；或基本开户银行在投标截止日前三个月内开具的资信证明（原件或该原件的复印件，复印件须加盖供应商公章，银行存款证明无效）</w:t>
      </w:r>
      <w:r>
        <w:rPr>
          <w:rFonts w:hint="eastAsia" w:ascii="宋体" w:hAnsi="宋体" w:eastAsia="宋体" w:cs="宋体"/>
          <w:color w:val="000000"/>
          <w:sz w:val="24"/>
          <w:szCs w:val="24"/>
          <w:highlight w:val="none"/>
        </w:rPr>
        <w:t>）</w:t>
      </w:r>
    </w:p>
    <w:p w14:paraId="713B25D2">
      <w:pPr>
        <w:pStyle w:val="97"/>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000000"/>
          <w:sz w:val="24"/>
          <w:szCs w:val="24"/>
          <w:highlight w:val="none"/>
        </w:rPr>
        <w:t>注：根据《关于加强审计报告查验工作的通知》（财会〔2023〕15号）规定，在2022年10月以后出具的审计报告须在注册会计师行业统一监管平台（网址：http：//acc.mof.gov.cn）取得赋码，未取得赋码的财务报告视为无效；</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若为事业单位的，则不需提供利润表/损益表、所有者权益变动表。</w:t>
      </w:r>
    </w:p>
    <w:p w14:paraId="00D02AD1">
      <w:pPr>
        <w:pStyle w:val="75"/>
        <w:outlineLvl w:val="9"/>
        <w:rPr>
          <w:rFonts w:hint="eastAsia" w:ascii="宋体" w:hAnsi="宋体" w:eastAsia="宋体" w:cs="宋体"/>
          <w:color w:val="auto"/>
          <w:highlight w:val="none"/>
        </w:rPr>
      </w:pPr>
      <w:bookmarkStart w:id="669" w:name="_Toc22107"/>
      <w:bookmarkStart w:id="670" w:name="_Toc22210"/>
      <w:bookmarkStart w:id="671" w:name="_Toc23229"/>
    </w:p>
    <w:p w14:paraId="69CDCC6E">
      <w:pPr>
        <w:pStyle w:val="75"/>
        <w:outlineLvl w:val="9"/>
        <w:rPr>
          <w:rFonts w:hint="eastAsia" w:ascii="宋体" w:hAnsi="宋体" w:eastAsia="宋体" w:cs="宋体"/>
          <w:color w:val="auto"/>
          <w:highlight w:val="none"/>
        </w:rPr>
      </w:pPr>
    </w:p>
    <w:p w14:paraId="20B8C5B1">
      <w:pPr>
        <w:pStyle w:val="75"/>
        <w:outlineLvl w:val="9"/>
        <w:rPr>
          <w:rFonts w:hint="eastAsia" w:ascii="宋体" w:hAnsi="宋体" w:eastAsia="宋体" w:cs="宋体"/>
          <w:color w:val="auto"/>
          <w:highlight w:val="none"/>
        </w:rPr>
      </w:pPr>
    </w:p>
    <w:p w14:paraId="38997521">
      <w:pPr>
        <w:pStyle w:val="75"/>
        <w:outlineLvl w:val="9"/>
        <w:rPr>
          <w:rFonts w:hint="eastAsia" w:ascii="宋体" w:hAnsi="宋体" w:eastAsia="宋体" w:cs="宋体"/>
          <w:color w:val="auto"/>
          <w:highlight w:val="none"/>
        </w:rPr>
      </w:pPr>
    </w:p>
    <w:p w14:paraId="726EC34D">
      <w:pPr>
        <w:pStyle w:val="75"/>
        <w:outlineLvl w:val="9"/>
        <w:rPr>
          <w:rFonts w:hint="eastAsia" w:ascii="宋体" w:hAnsi="宋体" w:eastAsia="宋体" w:cs="宋体"/>
          <w:color w:val="auto"/>
          <w:highlight w:val="none"/>
        </w:rPr>
      </w:pPr>
    </w:p>
    <w:p w14:paraId="4C781B56">
      <w:pPr>
        <w:pStyle w:val="75"/>
        <w:outlineLvl w:val="9"/>
        <w:rPr>
          <w:rFonts w:hint="eastAsia" w:ascii="宋体" w:hAnsi="宋体" w:eastAsia="宋体" w:cs="宋体"/>
          <w:color w:val="auto"/>
          <w:highlight w:val="none"/>
        </w:rPr>
      </w:pPr>
    </w:p>
    <w:p w14:paraId="6B4DFBFF">
      <w:pPr>
        <w:pStyle w:val="75"/>
        <w:outlineLvl w:val="9"/>
        <w:rPr>
          <w:rFonts w:hint="eastAsia" w:ascii="宋体" w:hAnsi="宋体" w:eastAsia="宋体" w:cs="宋体"/>
          <w:color w:val="auto"/>
          <w:highlight w:val="none"/>
        </w:rPr>
      </w:pPr>
    </w:p>
    <w:p w14:paraId="5E330678">
      <w:pPr>
        <w:pStyle w:val="75"/>
        <w:outlineLvl w:val="9"/>
        <w:rPr>
          <w:rFonts w:hint="eastAsia" w:ascii="宋体" w:hAnsi="宋体" w:eastAsia="宋体" w:cs="宋体"/>
          <w:color w:val="auto"/>
          <w:highlight w:val="none"/>
        </w:rPr>
      </w:pPr>
    </w:p>
    <w:p w14:paraId="5FF04633">
      <w:pPr>
        <w:pStyle w:val="75"/>
        <w:outlineLvl w:val="9"/>
        <w:rPr>
          <w:rFonts w:hint="eastAsia" w:ascii="宋体" w:hAnsi="宋体" w:eastAsia="宋体" w:cs="宋体"/>
          <w:color w:val="auto"/>
          <w:highlight w:val="none"/>
        </w:rPr>
      </w:pPr>
    </w:p>
    <w:p w14:paraId="32551AC1">
      <w:pPr>
        <w:pStyle w:val="75"/>
        <w:outlineLvl w:val="9"/>
        <w:rPr>
          <w:rFonts w:hint="eastAsia" w:ascii="宋体" w:hAnsi="宋体" w:eastAsia="宋体" w:cs="宋体"/>
          <w:color w:val="auto"/>
          <w:highlight w:val="none"/>
        </w:rPr>
      </w:pPr>
    </w:p>
    <w:p w14:paraId="2E665D8D">
      <w:pPr>
        <w:pStyle w:val="75"/>
        <w:outlineLvl w:val="9"/>
        <w:rPr>
          <w:rFonts w:hint="eastAsia" w:ascii="宋体" w:hAnsi="宋体" w:eastAsia="宋体" w:cs="宋体"/>
          <w:color w:val="auto"/>
          <w:highlight w:val="none"/>
        </w:rPr>
      </w:pPr>
    </w:p>
    <w:p w14:paraId="5F268A79">
      <w:pPr>
        <w:pStyle w:val="75"/>
        <w:outlineLvl w:val="9"/>
        <w:rPr>
          <w:rFonts w:hint="eastAsia" w:ascii="宋体" w:hAnsi="宋体" w:eastAsia="宋体" w:cs="宋体"/>
          <w:color w:val="auto"/>
          <w:highlight w:val="none"/>
        </w:rPr>
      </w:pPr>
    </w:p>
    <w:p w14:paraId="5621D7E4">
      <w:pPr>
        <w:pStyle w:val="75"/>
        <w:outlineLvl w:val="9"/>
        <w:rPr>
          <w:rFonts w:hint="eastAsia" w:ascii="宋体" w:hAnsi="宋体" w:eastAsia="宋体" w:cs="宋体"/>
          <w:color w:val="auto"/>
          <w:highlight w:val="none"/>
        </w:rPr>
      </w:pPr>
    </w:p>
    <w:p w14:paraId="29F0F7AB">
      <w:pPr>
        <w:pStyle w:val="75"/>
        <w:outlineLvl w:val="9"/>
        <w:rPr>
          <w:rFonts w:hint="eastAsia" w:ascii="宋体" w:hAnsi="宋体" w:eastAsia="宋体" w:cs="宋体"/>
          <w:color w:val="auto"/>
          <w:highlight w:val="none"/>
        </w:rPr>
      </w:pPr>
    </w:p>
    <w:p w14:paraId="0EC3B7A1">
      <w:pPr>
        <w:pStyle w:val="75"/>
        <w:outlineLvl w:val="9"/>
        <w:rPr>
          <w:rFonts w:hint="eastAsia" w:ascii="宋体" w:hAnsi="宋体" w:eastAsia="宋体" w:cs="宋体"/>
          <w:color w:val="auto"/>
          <w:highlight w:val="none"/>
        </w:rPr>
      </w:pPr>
    </w:p>
    <w:p w14:paraId="27789BF1">
      <w:pPr>
        <w:pStyle w:val="75"/>
        <w:outlineLvl w:val="9"/>
        <w:rPr>
          <w:rFonts w:hint="eastAsia" w:ascii="宋体" w:hAnsi="宋体" w:eastAsia="宋体" w:cs="宋体"/>
          <w:color w:val="auto"/>
          <w:highlight w:val="none"/>
        </w:rPr>
      </w:pPr>
    </w:p>
    <w:p w14:paraId="3AB6DEE6">
      <w:pPr>
        <w:pStyle w:val="75"/>
        <w:outlineLvl w:val="9"/>
        <w:rPr>
          <w:rFonts w:hint="eastAsia" w:ascii="宋体" w:hAnsi="宋体" w:eastAsia="宋体" w:cs="宋体"/>
          <w:color w:val="auto"/>
          <w:highlight w:val="none"/>
        </w:rPr>
      </w:pPr>
    </w:p>
    <w:p w14:paraId="34482BBE">
      <w:pPr>
        <w:pStyle w:val="75"/>
        <w:outlineLvl w:val="9"/>
        <w:rPr>
          <w:rFonts w:hint="eastAsia" w:ascii="宋体" w:hAnsi="宋体" w:eastAsia="宋体" w:cs="宋体"/>
          <w:color w:val="auto"/>
          <w:highlight w:val="none"/>
        </w:rPr>
      </w:pPr>
    </w:p>
    <w:p w14:paraId="0D4BAF0D">
      <w:pPr>
        <w:pStyle w:val="75"/>
        <w:outlineLvl w:val="9"/>
        <w:rPr>
          <w:rFonts w:hint="eastAsia" w:ascii="宋体" w:hAnsi="宋体" w:eastAsia="宋体" w:cs="宋体"/>
          <w:color w:val="auto"/>
          <w:highlight w:val="none"/>
        </w:rPr>
      </w:pPr>
    </w:p>
    <w:p w14:paraId="385400B7">
      <w:pPr>
        <w:pStyle w:val="75"/>
        <w:spacing w:line="360" w:lineRule="auto"/>
        <w:jc w:val="center"/>
        <w:outlineLvl w:val="2"/>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3.</w:t>
      </w:r>
      <w:r>
        <w:rPr>
          <w:rFonts w:hint="eastAsia" w:ascii="宋体" w:hAnsi="宋体" w:eastAsia="宋体" w:cs="宋体"/>
          <w:b/>
          <w:color w:val="auto"/>
          <w:sz w:val="28"/>
          <w:szCs w:val="22"/>
          <w:highlight w:val="none"/>
        </w:rPr>
        <w:t>有依法缴纳税收和社会保障资金的良好记录</w:t>
      </w:r>
      <w:bookmarkEnd w:id="669"/>
      <w:bookmarkEnd w:id="670"/>
      <w:bookmarkEnd w:id="671"/>
    </w:p>
    <w:p w14:paraId="25BB1DFB">
      <w:pPr>
        <w:pStyle w:val="97"/>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1、供应商依法缴纳税收的证明材料：本项目投标截止时间前6个月内（至少提供1个月）缴纳税收的凭据（完税证、缴款书、印花税票、银行代扣（代缴）转账凭证等均可）；</w:t>
      </w:r>
    </w:p>
    <w:p w14:paraId="19D910A3">
      <w:pPr>
        <w:pStyle w:val="97"/>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2、依法免税的供应商，须提供相应文件证明其依法免税。</w:t>
      </w:r>
    </w:p>
    <w:p w14:paraId="09125279">
      <w:pPr>
        <w:pStyle w:val="97"/>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3、供应商依法缴纳社会保障资金的证明材料：本项目投标截止时间时间前6个月内（至少提供1个月）缴纳社会保险的凭据（专用收据或社会保险交纳清单）；</w:t>
      </w:r>
    </w:p>
    <w:p w14:paraId="0EAC8C22">
      <w:pPr>
        <w:pStyle w:val="97"/>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4、供应商为其他组织或自然人的，也需要按此项规定提供缴纳税收的凭据和交纳社会保险的凭据。</w:t>
      </w:r>
    </w:p>
    <w:p w14:paraId="27AEAEC7">
      <w:pPr>
        <w:pStyle w:val="75"/>
        <w:spacing w:line="360" w:lineRule="auto"/>
        <w:outlineLvl w:val="2"/>
        <w:rPr>
          <w:rFonts w:hint="eastAsia" w:ascii="宋体" w:hAnsi="宋体" w:eastAsia="宋体" w:cs="宋体"/>
          <w:color w:val="auto"/>
          <w:highlight w:val="none"/>
        </w:rPr>
        <w:sectPr>
          <w:footerReference r:id="rId12"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sectPr>
      </w:pPr>
    </w:p>
    <w:p w14:paraId="7499D53A">
      <w:pPr>
        <w:pStyle w:val="75"/>
        <w:spacing w:line="240" w:lineRule="auto"/>
        <w:jc w:val="center"/>
        <w:outlineLvl w:val="2"/>
        <w:rPr>
          <w:rFonts w:hint="eastAsia" w:ascii="宋体" w:hAnsi="宋体" w:eastAsia="宋体" w:cs="宋体"/>
          <w:b/>
          <w:color w:val="auto"/>
          <w:sz w:val="28"/>
          <w:szCs w:val="22"/>
          <w:highlight w:val="none"/>
        </w:rPr>
      </w:pPr>
      <w:bookmarkStart w:id="672" w:name="_Toc2948"/>
      <w:bookmarkStart w:id="673" w:name="_Toc3970"/>
      <w:bookmarkStart w:id="674" w:name="_Toc2602"/>
      <w:r>
        <w:rPr>
          <w:rFonts w:hint="eastAsia" w:ascii="宋体" w:hAnsi="宋体" w:eastAsia="宋体" w:cs="宋体"/>
          <w:b/>
          <w:color w:val="auto"/>
          <w:sz w:val="28"/>
          <w:szCs w:val="22"/>
          <w:highlight w:val="none"/>
          <w:lang w:val="en-US" w:eastAsia="zh-CN"/>
        </w:rPr>
        <w:t>4.</w:t>
      </w:r>
      <w:r>
        <w:rPr>
          <w:rFonts w:hint="eastAsia" w:ascii="宋体" w:hAnsi="宋体" w:eastAsia="宋体" w:cs="宋体"/>
          <w:b/>
          <w:color w:val="auto"/>
          <w:sz w:val="28"/>
          <w:szCs w:val="22"/>
          <w:highlight w:val="none"/>
          <w:lang w:eastAsia="zh-CN"/>
        </w:rPr>
        <w:t>供应商</w:t>
      </w:r>
      <w:r>
        <w:rPr>
          <w:rFonts w:hint="eastAsia" w:ascii="宋体" w:hAnsi="宋体" w:eastAsia="宋体" w:cs="宋体"/>
          <w:b/>
          <w:color w:val="auto"/>
          <w:sz w:val="28"/>
          <w:szCs w:val="22"/>
          <w:highlight w:val="none"/>
        </w:rPr>
        <w:t>须具有履行合同所必需的设备和专业技术能力，须附相关证明材料或声明</w:t>
      </w:r>
      <w:bookmarkEnd w:id="672"/>
      <w:bookmarkEnd w:id="673"/>
      <w:bookmarkEnd w:id="674"/>
    </w:p>
    <w:p w14:paraId="6433528C">
      <w:pPr>
        <w:pStyle w:val="97"/>
        <w:autoSpaceDE w:val="0"/>
        <w:autoSpaceDN w:val="0"/>
        <w:adjustRightInd w:val="0"/>
        <w:spacing w:line="440" w:lineRule="exact"/>
        <w:rPr>
          <w:rFonts w:hint="eastAsia" w:ascii="宋体" w:hAnsi="宋体" w:eastAsia="宋体" w:cs="宋体"/>
          <w:color w:val="auto"/>
          <w:kern w:val="0"/>
          <w:sz w:val="24"/>
          <w:szCs w:val="24"/>
          <w:highlight w:val="none"/>
        </w:rPr>
      </w:pPr>
    </w:p>
    <w:p w14:paraId="57A9FE92">
      <w:pPr>
        <w:pStyle w:val="97"/>
        <w:autoSpaceDE w:val="0"/>
        <w:autoSpaceDN w:val="0"/>
        <w:adjustRightInd w:val="0"/>
        <w:spacing w:line="440" w:lineRule="exact"/>
        <w:rPr>
          <w:rFonts w:hint="eastAsia" w:ascii="宋体" w:hAnsi="宋体" w:eastAsia="宋体" w:cs="宋体"/>
          <w:color w:val="auto"/>
          <w:kern w:val="0"/>
          <w:sz w:val="24"/>
          <w:szCs w:val="24"/>
          <w:highlight w:val="none"/>
        </w:rPr>
      </w:pPr>
    </w:p>
    <w:p w14:paraId="742503B2">
      <w:pPr>
        <w:pStyle w:val="97"/>
        <w:autoSpaceDE w:val="0"/>
        <w:autoSpaceDN w:val="0"/>
        <w:adjustRightIn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履行合同所必须的设备和专业技术能力的证明材料或声明（格式自拟）</w:t>
      </w:r>
    </w:p>
    <w:p w14:paraId="4EB31483">
      <w:pPr>
        <w:pStyle w:val="75"/>
        <w:outlineLvl w:val="2"/>
        <w:rPr>
          <w:rFonts w:hint="eastAsia" w:ascii="宋体" w:hAnsi="宋体" w:eastAsia="宋体" w:cs="宋体"/>
          <w:color w:val="auto"/>
          <w:highlight w:val="none"/>
          <w:lang w:val="en-US" w:eastAsia="zh-CN"/>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sectPr>
      </w:pPr>
    </w:p>
    <w:p w14:paraId="0D942888">
      <w:pPr>
        <w:pStyle w:val="75"/>
        <w:spacing w:line="240" w:lineRule="auto"/>
        <w:jc w:val="center"/>
        <w:outlineLvl w:val="2"/>
        <w:rPr>
          <w:rFonts w:hint="eastAsia" w:ascii="宋体" w:hAnsi="宋体" w:eastAsia="宋体" w:cs="宋体"/>
          <w:b/>
          <w:color w:val="auto"/>
          <w:sz w:val="28"/>
          <w:szCs w:val="22"/>
          <w:highlight w:val="none"/>
          <w:lang w:val="en-US" w:eastAsia="zh-CN"/>
        </w:rPr>
      </w:pPr>
      <w:bookmarkStart w:id="675" w:name="_Toc3628"/>
      <w:bookmarkStart w:id="676" w:name="_Toc2473"/>
      <w:bookmarkStart w:id="677" w:name="_Toc27781"/>
      <w:r>
        <w:rPr>
          <w:rFonts w:hint="eastAsia" w:ascii="宋体" w:hAnsi="宋体" w:eastAsia="宋体" w:cs="宋体"/>
          <w:b/>
          <w:color w:val="auto"/>
          <w:sz w:val="28"/>
          <w:szCs w:val="22"/>
          <w:highlight w:val="none"/>
          <w:lang w:val="en-US" w:eastAsia="zh-CN"/>
        </w:rPr>
        <w:t>5.参加政府采购活动前三年内，在经营活动中没有重大违法记录的书面声明</w:t>
      </w:r>
      <w:bookmarkEnd w:id="675"/>
      <w:bookmarkEnd w:id="676"/>
      <w:bookmarkEnd w:id="677"/>
    </w:p>
    <w:p w14:paraId="3552FF08">
      <w:pPr>
        <w:pStyle w:val="97"/>
        <w:adjustRightInd w:val="0"/>
        <w:snapToGrid w:val="0"/>
        <w:spacing w:line="360" w:lineRule="auto"/>
        <w:rPr>
          <w:rFonts w:hint="eastAsia" w:ascii="宋体" w:hAnsi="宋体" w:eastAsia="宋体" w:cs="宋体"/>
          <w:color w:val="auto"/>
          <w:sz w:val="24"/>
          <w:szCs w:val="24"/>
          <w:highlight w:val="none"/>
        </w:rPr>
      </w:pPr>
    </w:p>
    <w:p w14:paraId="28E588AF">
      <w:pPr>
        <w:pStyle w:val="97"/>
        <w:adjustRightInd w:val="0"/>
        <w:snapToGrid w:val="0"/>
        <w:spacing w:line="360" w:lineRule="auto"/>
        <w:rPr>
          <w:rFonts w:hint="eastAsia" w:ascii="宋体" w:hAnsi="宋体" w:eastAsia="宋体" w:cs="宋体"/>
          <w:color w:val="auto"/>
          <w:sz w:val="24"/>
          <w:szCs w:val="24"/>
          <w:highlight w:val="none"/>
        </w:rPr>
      </w:pPr>
    </w:p>
    <w:p w14:paraId="0684FE5A">
      <w:pPr>
        <w:pStyle w:val="97"/>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1216F308">
      <w:pPr>
        <w:pStyle w:val="98"/>
        <w:adjustRightInd w:val="0"/>
        <w:snapToGrid w:val="0"/>
        <w:spacing w:line="360" w:lineRule="auto"/>
        <w:ind w:firstLine="56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无重大违法记录声明书</w:t>
      </w:r>
    </w:p>
    <w:p w14:paraId="56CF1F5D">
      <w:pPr>
        <w:pStyle w:val="97"/>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采购人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4FD57CD">
      <w:pPr>
        <w:pStyle w:val="9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标项名称</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4285E4B8">
      <w:pPr>
        <w:pStyle w:val="9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CC1CA82">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before="0" w:beforeLines="100" w:line="600" w:lineRule="auto"/>
        <w:ind w:right="5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（盖</w:t>
      </w:r>
      <w:r>
        <w:rPr>
          <w:rFonts w:hint="eastAsia" w:ascii="宋体" w:hAnsi="宋体" w:eastAsia="宋体" w:cs="宋体"/>
          <w:color w:val="auto"/>
          <w:spacing w:val="-3"/>
          <w:kern w:val="0"/>
          <w:sz w:val="24"/>
          <w:szCs w:val="24"/>
          <w:highlight w:val="none"/>
        </w:rPr>
        <w:t>单</w:t>
      </w:r>
      <w:r>
        <w:rPr>
          <w:rFonts w:hint="eastAsia" w:ascii="宋体" w:hAnsi="宋体" w:eastAsia="宋体" w:cs="宋体"/>
          <w:color w:val="auto"/>
          <w:kern w:val="0"/>
          <w:sz w:val="24"/>
          <w:szCs w:val="24"/>
          <w:highlight w:val="none"/>
        </w:rPr>
        <w:t>位</w:t>
      </w:r>
      <w:r>
        <w:rPr>
          <w:rFonts w:hint="eastAsia" w:ascii="宋体" w:hAnsi="宋体" w:eastAsia="宋体" w:cs="宋体"/>
          <w:color w:val="auto"/>
          <w:spacing w:val="-3"/>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1216AC1A">
      <w:pPr>
        <w:tabs>
          <w:tab w:val="left" w:pos="6940"/>
          <w:tab w:val="left" w:pos="7520"/>
        </w:tabs>
        <w:autoSpaceDE w:val="0"/>
        <w:autoSpaceDN w:val="0"/>
        <w:adjustRightInd w:val="0"/>
        <w:spacing w:line="600" w:lineRule="auto"/>
        <w:ind w:right="52"/>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w:t>
      </w:r>
      <w:r>
        <w:rPr>
          <w:rFonts w:hint="eastAsia" w:ascii="宋体" w:hAnsi="宋体" w:eastAsia="宋体" w:cs="宋体"/>
          <w:b w:val="0"/>
          <w:bCs w:val="0"/>
          <w:color w:val="auto"/>
          <w:spacing w:val="-3"/>
          <w:kern w:val="0"/>
          <w:sz w:val="24"/>
          <w:szCs w:val="24"/>
          <w:highlight w:val="none"/>
        </w:rPr>
        <w:t>表</w:t>
      </w:r>
      <w:r>
        <w:rPr>
          <w:rFonts w:hint="eastAsia" w:ascii="宋体" w:hAnsi="宋体" w:eastAsia="宋体" w:cs="宋体"/>
          <w:b w:val="0"/>
          <w:bCs w:val="0"/>
          <w:color w:val="auto"/>
          <w:kern w:val="0"/>
          <w:sz w:val="24"/>
          <w:szCs w:val="24"/>
          <w:highlight w:val="none"/>
        </w:rPr>
        <w:t>人（</w:t>
      </w:r>
      <w:r>
        <w:rPr>
          <w:rFonts w:hint="eastAsia" w:ascii="宋体" w:hAnsi="宋体" w:eastAsia="宋体" w:cs="宋体"/>
          <w:b w:val="0"/>
          <w:bCs w:val="0"/>
          <w:color w:val="auto"/>
          <w:spacing w:val="-3"/>
          <w:kern w:val="0"/>
          <w:sz w:val="24"/>
          <w:szCs w:val="24"/>
          <w:highlight w:val="none"/>
        </w:rPr>
        <w:t>单位</w:t>
      </w:r>
      <w:r>
        <w:rPr>
          <w:rFonts w:hint="eastAsia" w:ascii="宋体" w:hAnsi="宋体" w:eastAsia="宋体" w:cs="宋体"/>
          <w:b w:val="0"/>
          <w:bCs w:val="0"/>
          <w:color w:val="auto"/>
          <w:kern w:val="0"/>
          <w:sz w:val="24"/>
          <w:szCs w:val="24"/>
          <w:highlight w:val="none"/>
        </w:rPr>
        <w:t>负责人</w:t>
      </w:r>
      <w:r>
        <w:rPr>
          <w:rFonts w:hint="eastAsia" w:ascii="宋体" w:hAnsi="宋体" w:eastAsia="宋体" w:cs="宋体"/>
          <w:b w:val="0"/>
          <w:bCs w:val="0"/>
          <w:color w:val="auto"/>
          <w:spacing w:val="-3"/>
          <w:kern w:val="0"/>
          <w:sz w:val="24"/>
          <w:szCs w:val="24"/>
          <w:highlight w:val="none"/>
        </w:rPr>
        <w:t>）</w:t>
      </w:r>
      <w:r>
        <w:rPr>
          <w:rFonts w:hint="eastAsia" w:ascii="宋体" w:hAnsi="宋体" w:eastAsia="宋体" w:cs="宋体"/>
          <w:b w:val="0"/>
          <w:bCs w:val="0"/>
          <w:color w:val="auto"/>
          <w:kern w:val="0"/>
          <w:sz w:val="24"/>
          <w:szCs w:val="24"/>
          <w:highlight w:val="none"/>
        </w:rPr>
        <w:t>或其</w:t>
      </w:r>
      <w:r>
        <w:rPr>
          <w:rFonts w:hint="eastAsia" w:ascii="宋体" w:hAnsi="宋体" w:eastAsia="宋体" w:cs="宋体"/>
          <w:b w:val="0"/>
          <w:bCs w:val="0"/>
          <w:color w:val="auto"/>
          <w:spacing w:val="-3"/>
          <w:kern w:val="0"/>
          <w:sz w:val="24"/>
          <w:szCs w:val="24"/>
          <w:highlight w:val="none"/>
        </w:rPr>
        <w:t>委托</w:t>
      </w:r>
      <w:r>
        <w:rPr>
          <w:rFonts w:hint="eastAsia" w:ascii="宋体" w:hAnsi="宋体" w:eastAsia="宋体" w:cs="宋体"/>
          <w:b w:val="0"/>
          <w:bCs w:val="0"/>
          <w:color w:val="auto"/>
          <w:kern w:val="0"/>
          <w:sz w:val="24"/>
          <w:szCs w:val="24"/>
          <w:highlight w:val="none"/>
        </w:rPr>
        <w:t>代理人（</w:t>
      </w:r>
      <w:r>
        <w:rPr>
          <w:rFonts w:hint="eastAsia" w:ascii="宋体" w:hAnsi="宋体" w:eastAsia="宋体" w:cs="宋体"/>
          <w:b w:val="0"/>
          <w:bCs w:val="0"/>
          <w:color w:val="auto"/>
          <w:spacing w:val="-3"/>
          <w:kern w:val="0"/>
          <w:sz w:val="24"/>
          <w:szCs w:val="24"/>
          <w:highlight w:val="none"/>
        </w:rPr>
        <w:t>签</w:t>
      </w:r>
      <w:r>
        <w:rPr>
          <w:rFonts w:hint="eastAsia" w:ascii="宋体" w:hAnsi="宋体" w:eastAsia="宋体" w:cs="宋体"/>
          <w:b w:val="0"/>
          <w:bCs w:val="0"/>
          <w:color w:val="auto"/>
          <w:kern w:val="0"/>
          <w:sz w:val="24"/>
          <w:szCs w:val="24"/>
          <w:highlight w:val="none"/>
        </w:rPr>
        <w:t>字或</w:t>
      </w:r>
      <w:r>
        <w:rPr>
          <w:rFonts w:hint="eastAsia" w:ascii="宋体" w:hAnsi="宋体" w:eastAsia="宋体" w:cs="宋体"/>
          <w:b w:val="0"/>
          <w:bCs w:val="0"/>
          <w:color w:val="auto"/>
          <w:kern w:val="0"/>
          <w:sz w:val="24"/>
          <w:szCs w:val="24"/>
          <w:highlight w:val="none"/>
          <w:lang w:val="en-US" w:eastAsia="zh-CN"/>
        </w:rPr>
        <w:t>盖</w:t>
      </w:r>
      <w:r>
        <w:rPr>
          <w:rFonts w:hint="eastAsia" w:ascii="宋体" w:hAnsi="宋体" w:eastAsia="宋体" w:cs="宋体"/>
          <w:b w:val="0"/>
          <w:bCs w:val="0"/>
          <w:color w:val="auto"/>
          <w:kern w:val="0"/>
          <w:sz w:val="24"/>
          <w:szCs w:val="24"/>
          <w:highlight w:val="none"/>
        </w:rPr>
        <w:t>章）</w:t>
      </w:r>
      <w:r>
        <w:rPr>
          <w:rFonts w:hint="eastAsia" w:ascii="宋体" w:hAnsi="宋体" w:eastAsia="宋体" w:cs="宋体"/>
          <w:b w:val="0"/>
          <w:bCs w:val="0"/>
          <w:color w:val="auto"/>
          <w:spacing w:val="2"/>
          <w:kern w:val="0"/>
          <w:sz w:val="24"/>
          <w:szCs w:val="24"/>
          <w:highlight w:val="none"/>
        </w:rPr>
        <w:t>：</w:t>
      </w:r>
      <w:r>
        <w:rPr>
          <w:rFonts w:hint="eastAsia" w:ascii="宋体" w:hAnsi="宋体" w:eastAsia="宋体" w:cs="宋体"/>
          <w:b w:val="0"/>
          <w:bCs w:val="0"/>
          <w:color w:val="auto"/>
          <w:spacing w:val="57"/>
          <w:kern w:val="0"/>
          <w:sz w:val="24"/>
          <w:szCs w:val="24"/>
          <w:highlight w:val="none"/>
          <w:u w:val="single"/>
          <w:lang w:val="en-US" w:eastAsia="zh-CN"/>
        </w:rPr>
        <w:t xml:space="preserve">     </w:t>
      </w:r>
    </w:p>
    <w:p w14:paraId="3F7D85B1">
      <w:pPr>
        <w:pStyle w:val="93"/>
        <w:keepNext w:val="0"/>
        <w:keepLines w:val="0"/>
        <w:pageBreakBefore w:val="0"/>
        <w:widowControl/>
        <w:kinsoku/>
        <w:wordWrap/>
        <w:overflowPunct/>
        <w:topLinePunct w:val="0"/>
        <w:autoSpaceDE/>
        <w:autoSpaceDN/>
        <w:bidi w:val="0"/>
        <w:adjustRightInd/>
        <w:snapToGrid/>
        <w:spacing w:line="600" w:lineRule="auto"/>
        <w:ind w:left="0" w:leftChars="0"/>
        <w:textAlignment w:val="auto"/>
        <w:rPr>
          <w:rFonts w:hint="default" w:ascii="宋体" w:hAnsi="宋体" w:eastAsia="宋体" w:cs="宋体"/>
          <w:b w:val="0"/>
          <w:bCs w:val="0"/>
          <w:color w:val="auto"/>
          <w:sz w:val="24"/>
          <w:highlight w:val="none"/>
          <w:u w:val="single"/>
          <w:lang w:val="en-US"/>
        </w:rPr>
      </w:pPr>
      <w:r>
        <w:rPr>
          <w:rFonts w:hint="eastAsia" w:ascii="宋体" w:hAnsi="宋体" w:eastAsia="宋体" w:cs="宋体"/>
          <w:b w:val="0"/>
          <w:bCs w:val="0"/>
          <w:color w:val="auto"/>
          <w:sz w:val="24"/>
          <w:highlight w:val="none"/>
          <w:lang w:val="en-US" w:eastAsia="zh-CN"/>
        </w:rPr>
        <w:t>日　 期：</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日</w:t>
      </w:r>
    </w:p>
    <w:p w14:paraId="17EF97A1">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auto"/>
          <w:sz w:val="28"/>
          <w:szCs w:val="28"/>
          <w:highlight w:val="none"/>
          <w:lang w:val="en-US" w:eastAsia="zh-CN"/>
        </w:rPr>
        <w:br w:type="page"/>
      </w:r>
    </w:p>
    <w:p w14:paraId="43121032">
      <w:pPr>
        <w:pStyle w:val="75"/>
        <w:spacing w:line="240" w:lineRule="auto"/>
        <w:jc w:val="center"/>
        <w:outlineLvl w:val="2"/>
        <w:rPr>
          <w:rFonts w:hint="eastAsia" w:ascii="宋体" w:hAnsi="宋体" w:eastAsia="宋体" w:cs="宋体"/>
          <w:b/>
          <w:color w:val="auto"/>
          <w:sz w:val="28"/>
          <w:szCs w:val="22"/>
          <w:highlight w:val="none"/>
          <w:lang w:val="en-US" w:eastAsia="zh-CN"/>
        </w:rPr>
      </w:pPr>
      <w:r>
        <w:rPr>
          <w:rFonts w:hint="eastAsia" w:ascii="宋体" w:hAnsi="宋体" w:eastAsia="宋体" w:cs="宋体"/>
          <w:b/>
          <w:color w:val="auto"/>
          <w:sz w:val="28"/>
          <w:szCs w:val="22"/>
          <w:highlight w:val="none"/>
          <w:lang w:val="en-US" w:eastAsia="zh-CN"/>
        </w:rPr>
        <w:t>6.供应商未列入失信被执行人、重大税收违法案件当事人名单、政府采购严重违法失信行为记录名单</w:t>
      </w:r>
    </w:p>
    <w:p w14:paraId="38210487">
      <w:pPr>
        <w:pStyle w:val="99"/>
        <w:spacing w:line="360" w:lineRule="auto"/>
        <w:ind w:firstLine="480" w:firstLineChars="200"/>
        <w:jc w:val="left"/>
        <w:rPr>
          <w:rFonts w:hint="eastAsia" w:ascii="宋体" w:hAnsi="宋体" w:eastAsia="宋体" w:cs="宋体"/>
          <w:color w:val="auto"/>
          <w:spacing w:val="0"/>
          <w:kern w:val="0"/>
          <w:sz w:val="24"/>
          <w:szCs w:val="24"/>
          <w:highlight w:val="none"/>
        </w:rPr>
      </w:pPr>
    </w:p>
    <w:p w14:paraId="2DE7FF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“信用中国”网站或“中国政府采购网”查询信息：</w:t>
      </w:r>
    </w:p>
    <w:p w14:paraId="7A2ACD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 未被列入失信被执行人； </w:t>
      </w:r>
    </w:p>
    <w:p w14:paraId="3CA441C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不是重大税收违法</w:t>
      </w:r>
      <w:r>
        <w:rPr>
          <w:rFonts w:hint="eastAsia" w:ascii="宋体" w:hAnsi="宋体" w:eastAsia="宋体" w:cs="宋体"/>
          <w:color w:val="auto"/>
          <w:sz w:val="24"/>
          <w:szCs w:val="24"/>
          <w:highlight w:val="none"/>
          <w:lang w:val="en-US" w:eastAsia="zh-CN"/>
        </w:rPr>
        <w:t>失信主体名单</w:t>
      </w:r>
      <w:r>
        <w:rPr>
          <w:rFonts w:hint="eastAsia" w:ascii="宋体" w:hAnsi="宋体" w:eastAsia="宋体" w:cs="宋体"/>
          <w:color w:val="auto"/>
          <w:sz w:val="24"/>
          <w:szCs w:val="24"/>
          <w:highlight w:val="none"/>
        </w:rPr>
        <w:t xml:space="preserve">； </w:t>
      </w:r>
    </w:p>
    <w:p w14:paraId="1779A78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未被列入</w:t>
      </w:r>
      <w:r>
        <w:rPr>
          <w:rFonts w:hint="eastAsia" w:ascii="宋体" w:hAnsi="宋体" w:eastAsia="宋体" w:cs="宋体"/>
          <w:color w:val="auto"/>
          <w:sz w:val="24"/>
          <w:szCs w:val="24"/>
          <w:highlight w:val="none"/>
          <w:lang w:val="en-US" w:eastAsia="zh-CN"/>
        </w:rPr>
        <w:t>严重失信主体名单</w:t>
      </w:r>
      <w:r>
        <w:rPr>
          <w:rFonts w:hint="eastAsia" w:ascii="宋体" w:hAnsi="宋体" w:eastAsia="宋体" w:cs="宋体"/>
          <w:color w:val="auto"/>
          <w:sz w:val="24"/>
          <w:szCs w:val="24"/>
          <w:highlight w:val="none"/>
        </w:rPr>
        <w:t>；</w:t>
      </w:r>
    </w:p>
    <w:p w14:paraId="7E08021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不是</w:t>
      </w:r>
      <w:r>
        <w:rPr>
          <w:rFonts w:hint="eastAsia" w:ascii="宋体" w:hAnsi="宋体" w:eastAsia="宋体" w:cs="宋体"/>
          <w:color w:val="auto"/>
          <w:sz w:val="24"/>
          <w:szCs w:val="24"/>
          <w:highlight w:val="none"/>
          <w:lang w:val="en-US" w:eastAsia="zh-CN"/>
        </w:rPr>
        <w:t>经营异常名录</w:t>
      </w:r>
      <w:r>
        <w:rPr>
          <w:rFonts w:hint="eastAsia" w:ascii="宋体" w:hAnsi="宋体" w:eastAsia="宋体" w:cs="宋体"/>
          <w:color w:val="auto"/>
          <w:sz w:val="24"/>
          <w:szCs w:val="24"/>
          <w:highlight w:val="none"/>
        </w:rPr>
        <w:t>的供应商</w:t>
      </w:r>
    </w:p>
    <w:p w14:paraId="5C4164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未被列入政府采购严重违法失信行为记录名单。</w:t>
      </w:r>
    </w:p>
    <w:p w14:paraId="3D7FB3F8">
      <w:pPr>
        <w:spacing w:line="360" w:lineRule="auto"/>
        <w:ind w:firstLine="480" w:firstLineChars="200"/>
        <w:jc w:val="left"/>
        <w:rPr>
          <w:rFonts w:hint="eastAsia" w:ascii="宋体" w:hAnsi="宋体" w:eastAsia="宋体" w:cs="宋体"/>
          <w:color w:val="auto"/>
          <w:sz w:val="24"/>
          <w:szCs w:val="24"/>
          <w:highlight w:val="none"/>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highlight w:val="none"/>
        </w:rPr>
        <w:t>⑥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相关承诺函并加盖供应商单位公章。</w:t>
      </w:r>
    </w:p>
    <w:p w14:paraId="6A249014">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六、供应商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递交投标保证金汇款凭证</w:t>
      </w:r>
    </w:p>
    <w:p w14:paraId="7EADDCA7">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977A94C">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703351B">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244B2603">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708676C8">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0C119DF">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34D3FDC">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EF4F20A">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610E0FB8">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CF7A22D">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2CE2F3C6">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1AB3DEA8">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C15179A">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8C32811">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F0BB00C">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BDF2928">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1B0B452">
      <w:pPr>
        <w:pStyle w:val="46"/>
        <w:rPr>
          <w:rFonts w:hint="eastAsia"/>
          <w:color w:val="000000" w:themeColor="text1"/>
          <w:highlight w:val="none"/>
          <w14:textFill>
            <w14:solidFill>
              <w14:schemeClr w14:val="tx1"/>
            </w14:solidFill>
          </w14:textFill>
        </w:rPr>
      </w:pPr>
    </w:p>
    <w:p w14:paraId="429319A5">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D6A2BB5">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7BFEC783">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3E0287D">
      <w:pPr>
        <w:pStyle w:val="46"/>
        <w:rPr>
          <w:rFonts w:hint="eastAsia"/>
          <w:color w:val="000000" w:themeColor="text1"/>
          <w:highlight w:val="none"/>
          <w:lang w:val="en-US" w:eastAsia="zh-CN"/>
          <w14:textFill>
            <w14:solidFill>
              <w14:schemeClr w14:val="tx1"/>
            </w14:solidFill>
          </w14:textFill>
        </w:rPr>
      </w:pPr>
    </w:p>
    <w:p w14:paraId="4E4FCAE3">
      <w:pPr>
        <w:pStyle w:val="46"/>
        <w:numPr>
          <w:ilvl w:val="0"/>
          <w:numId w:val="0"/>
        </w:numPr>
        <w:autoSpaceDE w:val="0"/>
        <w:autoSpaceDN w:val="0"/>
        <w:adjustRightInd w:val="0"/>
        <w:snapToGrid w:val="0"/>
        <w:spacing w:line="360" w:lineRule="auto"/>
        <w:jc w:val="center"/>
        <w:rPr>
          <w:rStyle w:val="67"/>
          <w:rFonts w:hint="eastAsia" w:ascii="宋体" w:hAnsi="宋体" w:eastAsia="宋体" w:cs="宋体"/>
          <w:b/>
          <w:color w:val="000000" w:themeColor="text1"/>
          <w:kern w:val="2"/>
          <w:sz w:val="28"/>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hAnsi="宋体" w:cs="宋体"/>
          <w:b/>
          <w:color w:val="000000" w:themeColor="text1"/>
          <w:kern w:val="2"/>
          <w:sz w:val="28"/>
          <w:szCs w:val="28"/>
          <w:highlight w:val="none"/>
          <w:lang w:val="en-US" w:eastAsia="zh-CN" w:bidi="ar-SA"/>
          <w14:textFill>
            <w14:solidFill>
              <w14:schemeClr w14:val="tx1"/>
            </w14:solidFill>
          </w14:textFill>
        </w:rPr>
        <w:t>七、投标企业类型声明函</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w:t>
      </w:r>
    </w:p>
    <w:p w14:paraId="6181C57E">
      <w:pPr>
        <w:pStyle w:val="2"/>
        <w:pageBreakBefore w:val="0"/>
        <w:kinsoku/>
        <w:wordWrap/>
        <w:overflowPunct/>
        <w:topLinePunct w:val="0"/>
        <w:autoSpaceDE/>
        <w:autoSpaceDN/>
        <w:bidi w:val="0"/>
        <w:snapToGrid/>
        <w:spacing w:before="0" w:after="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中小企业声明函（工程、服务）</w:t>
      </w:r>
    </w:p>
    <w:p w14:paraId="360FA6D9">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6"/>
          <w:kern w:val="0"/>
          <w:sz w:val="24"/>
          <w:szCs w:val="24"/>
          <w:highlight w:val="none"/>
          <w:u w:val="single"/>
          <w:lang w:val="en-US"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15E8AB2">
      <w:pPr>
        <w:keepNext w:val="0"/>
        <w:keepLines w:val="0"/>
        <w:pageBreakBefore w:val="0"/>
        <w:numPr>
          <w:ilvl w:val="0"/>
          <w:numId w:val="0"/>
        </w:numPr>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EF0CE23">
      <w:pPr>
        <w:keepNext w:val="0"/>
        <w:keepLines w:val="0"/>
        <w:pageBreakBefore w:val="0"/>
        <w:numPr>
          <w:ilvl w:val="0"/>
          <w:numId w:val="0"/>
        </w:numPr>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A5F407">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0D40023">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750ABC9">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FF14CA6">
      <w:pPr>
        <w:keepNext w:val="0"/>
        <w:keepLines w:val="0"/>
        <w:pageBreakBefore w:val="0"/>
        <w:kinsoku/>
        <w:wordWrap/>
        <w:overflowPunct/>
        <w:topLinePunct w:val="0"/>
        <w:autoSpaceDE/>
        <w:autoSpaceDN/>
        <w:bidi w:val="0"/>
        <w:spacing w:line="336" w:lineRule="auto"/>
        <w:jc w:val="left"/>
        <w:textAlignment w:val="auto"/>
        <w:rPr>
          <w:rFonts w:hint="eastAsia" w:ascii="宋体" w:hAnsi="宋体" w:eastAsia="宋体" w:cs="宋体"/>
          <w:color w:val="auto"/>
          <w:sz w:val="24"/>
          <w:szCs w:val="24"/>
          <w:highlight w:val="none"/>
        </w:rPr>
      </w:pPr>
    </w:p>
    <w:p w14:paraId="26567CA3">
      <w:pPr>
        <w:keepNext w:val="0"/>
        <w:keepLines w:val="0"/>
        <w:pageBreakBefore w:val="0"/>
        <w:kinsoku/>
        <w:wordWrap/>
        <w:overflowPunct/>
        <w:topLinePunct w:val="0"/>
        <w:autoSpaceDE/>
        <w:autoSpaceDN/>
        <w:bidi w:val="0"/>
        <w:spacing w:line="33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名称（盖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p>
    <w:p w14:paraId="6D6AA1B1">
      <w:pPr>
        <w:pStyle w:val="93"/>
        <w:keepNext w:val="0"/>
        <w:keepLines w:val="0"/>
        <w:pageBreakBefore w:val="0"/>
        <w:widowControl/>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 w:val="0"/>
          <w:bCs w:val="0"/>
          <w:color w:val="auto"/>
          <w:sz w:val="24"/>
          <w:highlight w:val="none"/>
          <w:lang w:val="en-US" w:eastAsia="zh-CN"/>
        </w:rPr>
        <w:t>日　 期：</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日</w:t>
      </w:r>
      <w:r>
        <w:rPr>
          <w:rFonts w:hint="eastAsia" w:ascii="宋体" w:hAnsi="宋体" w:eastAsia="宋体" w:cs="宋体"/>
          <w:bCs/>
          <w:color w:val="auto"/>
          <w:sz w:val="24"/>
          <w:szCs w:val="24"/>
          <w:highlight w:val="none"/>
          <w:shd w:val="clear" w:color="auto" w:fill="FFFFFF"/>
        </w:rPr>
        <w:t xml:space="preserve">        </w:t>
      </w:r>
    </w:p>
    <w:p w14:paraId="549BF93F">
      <w:pPr>
        <w:pStyle w:val="96"/>
        <w:keepNext w:val="0"/>
        <w:keepLines w:val="0"/>
        <w:pageBreakBefore w:val="0"/>
        <w:kinsoku/>
        <w:wordWrap/>
        <w:overflowPunct/>
        <w:topLinePunct w:val="0"/>
        <w:autoSpaceDE/>
        <w:autoSpaceDN/>
        <w:bidi w:val="0"/>
        <w:adjustRightInd w:val="0"/>
        <w:snapToGrid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14:paraId="6E4E203E">
      <w:pPr>
        <w:pStyle w:val="96"/>
        <w:keepNext w:val="0"/>
        <w:keepLines w:val="0"/>
        <w:pageBreakBefore w:val="0"/>
        <w:kinsoku/>
        <w:wordWrap/>
        <w:overflowPunct/>
        <w:topLinePunct w:val="0"/>
        <w:autoSpaceDE/>
        <w:autoSpaceDN/>
        <w:bidi w:val="0"/>
        <w:adjustRightInd w:val="0"/>
        <w:snapToGrid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14:paraId="0953F5C2">
      <w:pPr>
        <w:keepNext w:val="0"/>
        <w:keepLines w:val="0"/>
        <w:pageBreakBefore w:val="0"/>
        <w:widowControl w:val="0"/>
        <w:kinsoku/>
        <w:wordWrap/>
        <w:overflowPunct/>
        <w:topLinePunct w:val="0"/>
        <w:autoSpaceDE/>
        <w:autoSpaceDN/>
        <w:bidi w:val="0"/>
        <w:adjustRightInd/>
        <w:snapToGrid/>
        <w:spacing w:before="157" w:beforeLines="50" w:line="280" w:lineRule="exact"/>
        <w:ind w:firstLine="1446" w:firstLineChars="200"/>
        <w:jc w:val="left"/>
        <w:textAlignment w:val="auto"/>
        <w:outlineLvl w:val="9"/>
        <w:rPr>
          <w:rStyle w:val="67"/>
          <w:rFonts w:hint="eastAsia" w:ascii="仿宋" w:hAnsi="仿宋" w:eastAsia="仿宋" w:cs="仿宋"/>
          <w:b/>
          <w:color w:val="000000" w:themeColor="text1"/>
          <w:kern w:val="2"/>
          <w:szCs w:val="24"/>
          <w:highlight w:val="none"/>
          <w:lang w:val="en-US" w:eastAsia="zh-CN" w:bidi="ar-SA"/>
          <w14:textFill>
            <w14:solidFill>
              <w14:schemeClr w14:val="tx1"/>
            </w14:solidFill>
          </w14:textFill>
        </w:rPr>
      </w:pPr>
      <w:r>
        <w:rPr>
          <w:rStyle w:val="67"/>
          <w:rFonts w:hint="eastAsia" w:ascii="仿宋" w:hAnsi="仿宋" w:eastAsia="仿宋" w:cs="仿宋"/>
          <w:b/>
          <w:color w:val="000000" w:themeColor="text1"/>
          <w:kern w:val="2"/>
          <w:szCs w:val="24"/>
          <w:highlight w:val="none"/>
          <w:lang w:val="en-US" w:eastAsia="zh-CN" w:bidi="ar-SA"/>
          <w14:textFill>
            <w14:solidFill>
              <w14:schemeClr w14:val="tx1"/>
            </w14:solidFill>
          </w14:textFill>
        </w:rPr>
        <w:br w:type="page"/>
      </w:r>
    </w:p>
    <w:p w14:paraId="287748D7">
      <w:pPr>
        <w:keepNext w:val="0"/>
        <w:keepLines w:val="0"/>
        <w:pageBreakBefore w:val="0"/>
        <w:widowControl w:val="0"/>
        <w:tabs>
          <w:tab w:val="left" w:pos="6300"/>
        </w:tabs>
        <w:kinsoku/>
        <w:wordWrap/>
        <w:overflowPunct/>
        <w:topLinePunct w:val="0"/>
        <w:autoSpaceDE/>
        <w:autoSpaceDN/>
        <w:bidi w:val="0"/>
        <w:adjustRightInd/>
        <w:snapToGrid w:val="0"/>
        <w:spacing w:before="157" w:beforeLines="50" w:line="500" w:lineRule="exact"/>
        <w:ind w:firstLine="562" w:firstLineChars="200"/>
        <w:jc w:val="center"/>
        <w:textAlignment w:val="auto"/>
        <w:outlineLvl w:val="0"/>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残疾人福利性单位声明函（如有）</w:t>
      </w:r>
    </w:p>
    <w:p w14:paraId="5A896A76">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1BD42D9">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4"/>
          <w:szCs w:val="24"/>
          <w:highlight w:val="none"/>
          <w:u w:val="single"/>
          <w14:textFill>
            <w14:solidFill>
              <w14:schemeClr w14:val="tx1"/>
            </w14:solidFill>
          </w14:textFill>
        </w:rPr>
        <w:t>_（</w:t>
      </w:r>
      <w:r>
        <w:rPr>
          <w:rFonts w:hint="eastAsia" w:ascii="宋体" w:hAnsi="宋体" w:cs="宋体"/>
          <w:color w:val="000000" w:themeColor="text1"/>
          <w:sz w:val="24"/>
          <w:szCs w:val="24"/>
          <w:highlight w:val="none"/>
          <w:u w:val="single"/>
          <w:lang w:eastAsia="zh-CN"/>
          <w14:textFill>
            <w14:solidFill>
              <w14:schemeClr w14:val="tx1"/>
            </w14:solidFill>
          </w14:textFill>
        </w:rPr>
        <w:t>招标人</w:t>
      </w:r>
      <w:r>
        <w:rPr>
          <w:rFonts w:hint="eastAsia" w:ascii="宋体" w:hAnsi="宋体" w:eastAsia="宋体" w:cs="宋体"/>
          <w:color w:val="000000" w:themeColor="text1"/>
          <w:sz w:val="24"/>
          <w:szCs w:val="24"/>
          <w:highlight w:val="none"/>
          <w:u w:val="single"/>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的______项目采购活动提供本单位制造的货物</w:t>
      </w:r>
      <w:r>
        <w:rPr>
          <w:rFonts w:hint="eastAsia" w:ascii="宋体" w:hAnsi="宋体" w:eastAsia="宋体" w:cs="宋体"/>
          <w:color w:val="000000" w:themeColor="text1"/>
          <w:sz w:val="24"/>
          <w:szCs w:val="24"/>
          <w:highlight w:val="none"/>
          <w:u w:val="single"/>
          <w14:textFill>
            <w14:solidFill>
              <w14:schemeClr w14:val="tx1"/>
            </w14:solidFill>
          </w14:textFill>
        </w:rPr>
        <w:t>（由本单位承担工程/提供服务）</w:t>
      </w:r>
      <w:r>
        <w:rPr>
          <w:rFonts w:hint="eastAsia" w:ascii="宋体" w:hAnsi="宋体" w:eastAsia="宋体" w:cs="宋体"/>
          <w:color w:val="000000" w:themeColor="text1"/>
          <w:sz w:val="24"/>
          <w:szCs w:val="24"/>
          <w:highlight w:val="none"/>
          <w14:textFill>
            <w14:solidFill>
              <w14:schemeClr w14:val="tx1"/>
            </w14:solidFill>
          </w14:textFill>
        </w:rPr>
        <w:t>，或者提供其他残疾人福利性单位制造的货物（不包括使用非残疾人福利性单位注册商标的货物）。</w:t>
      </w:r>
    </w:p>
    <w:p w14:paraId="72431165">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6B8C84FA">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6F921A8">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投标单位：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（全称）（盖章）  </w:t>
      </w:r>
    </w:p>
    <w:p w14:paraId="4224DB02">
      <w:pPr>
        <w:pStyle w:val="13"/>
        <w:spacing w:line="420" w:lineRule="exac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法定代表人或委托代理人：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（签字或盖章）</w:t>
      </w:r>
    </w:p>
    <w:p w14:paraId="67B76559">
      <w:pPr>
        <w:widowControl/>
        <w:adjustRightInd w:val="0"/>
        <w:snapToGrid w:val="0"/>
        <w:spacing w:line="4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19ACCABE">
      <w:pPr>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p>
    <w:p w14:paraId="5B7B722A">
      <w:pPr>
        <w:widowControl/>
        <w:spacing w:line="440" w:lineRule="exact"/>
        <w:ind w:firstLine="48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注：须提供证明材料（能反映出企业残疾人的占比等情况的材料及残疾人证等）。</w:t>
      </w:r>
    </w:p>
    <w:p w14:paraId="4C26EA8C">
      <w:pPr>
        <w:spacing w:line="360" w:lineRule="auto"/>
        <w:ind w:firstLine="220" w:firstLineChars="100"/>
        <w:jc w:val="left"/>
        <w:rPr>
          <w:rFonts w:hint="eastAsia" w:ascii="宋体" w:hAnsi="宋体" w:eastAsia="宋体" w:cs="宋体"/>
          <w:bCs/>
          <w:color w:val="000000" w:themeColor="text1"/>
          <w:sz w:val="22"/>
          <w:szCs w:val="30"/>
          <w:highlight w:val="none"/>
          <w14:textFill>
            <w14:solidFill>
              <w14:schemeClr w14:val="tx1"/>
            </w14:solidFill>
          </w14:textFill>
        </w:rPr>
      </w:pPr>
    </w:p>
    <w:p w14:paraId="4A8680EB">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4A7928A7">
      <w:pPr>
        <w:widowControl/>
        <w:spacing w:line="5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D2C33DC">
      <w:pPr>
        <w:widowControl/>
        <w:spacing w:line="5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1C5F94E2">
      <w:pPr>
        <w:widowControl/>
        <w:spacing w:line="560" w:lineRule="exact"/>
        <w:jc w:val="center"/>
        <w:rPr>
          <w:rStyle w:val="67"/>
          <w:rFonts w:hint="eastAsia" w:ascii="宋体" w:hAnsi="宋体" w:eastAsia="宋体" w:cs="宋体"/>
          <w:b/>
          <w:color w:val="000000" w:themeColor="text1"/>
          <w:kern w:val="2"/>
          <w:szCs w:val="24"/>
          <w:highlight w:val="none"/>
          <w:lang w:val="en-US" w:eastAsia="zh-CN" w:bidi="ar-SA"/>
          <w14:textFill>
            <w14:solidFill>
              <w14:schemeClr w14:val="tx1"/>
            </w14:solidFill>
          </w14:textFill>
        </w:rPr>
      </w:pPr>
      <w:r>
        <w:rPr>
          <w:rStyle w:val="67"/>
          <w:rFonts w:hint="eastAsia" w:ascii="仿宋" w:hAnsi="仿宋" w:eastAsia="仿宋" w:cs="仿宋"/>
          <w:b/>
          <w:color w:val="000000" w:themeColor="text1"/>
          <w:kern w:val="2"/>
          <w:szCs w:val="24"/>
          <w:highlight w:val="none"/>
          <w:lang w:val="en-US" w:eastAsia="zh-CN" w:bidi="ar-SA"/>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监狱企业证明文件（如有）</w:t>
      </w:r>
    </w:p>
    <w:p w14:paraId="31F0F311">
      <w:pPr>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14:paraId="342E78AC">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监狱企业证明（如属于监狱企业，需提供由省级以上监狱管理局、戒毒管理局（含新疆生产建设兵团）出具的属于监狱企业的证明文件）；</w:t>
      </w:r>
    </w:p>
    <w:p w14:paraId="57CA4DC3">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2.证明材料加盖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公章。</w:t>
      </w:r>
    </w:p>
    <w:p w14:paraId="70D51EB6">
      <w:pPr>
        <w:rPr>
          <w:rFonts w:hint="eastAsia" w:ascii="宋体" w:hAnsi="宋体" w:eastAsia="宋体" w:cs="宋体"/>
          <w:color w:val="000000" w:themeColor="text1"/>
          <w:sz w:val="24"/>
          <w:szCs w:val="24"/>
          <w:highlight w:val="none"/>
          <w14:textFill>
            <w14:solidFill>
              <w14:schemeClr w14:val="tx1"/>
            </w14:solidFill>
          </w14:textFill>
        </w:rPr>
      </w:pPr>
    </w:p>
    <w:p w14:paraId="215F0AFA">
      <w:pPr>
        <w:rPr>
          <w:rFonts w:hint="eastAsia" w:ascii="宋体" w:hAnsi="宋体" w:eastAsia="宋体" w:cs="宋体"/>
          <w:color w:val="000000" w:themeColor="text1"/>
          <w:sz w:val="24"/>
          <w:highlight w:val="none"/>
          <w14:textFill>
            <w14:solidFill>
              <w14:schemeClr w14:val="tx1"/>
            </w14:solidFill>
          </w14:textFill>
        </w:rPr>
      </w:pPr>
    </w:p>
    <w:p w14:paraId="4D0ACED7">
      <w:pPr>
        <w:rPr>
          <w:rFonts w:hint="eastAsia" w:ascii="宋体" w:hAnsi="宋体" w:eastAsia="宋体" w:cs="宋体"/>
          <w:color w:val="000000" w:themeColor="text1"/>
          <w:sz w:val="24"/>
          <w:highlight w:val="none"/>
          <w14:textFill>
            <w14:solidFill>
              <w14:schemeClr w14:val="tx1"/>
            </w14:solidFill>
          </w14:textFill>
        </w:rPr>
      </w:pPr>
    </w:p>
    <w:p w14:paraId="28F10FCE">
      <w:pPr>
        <w:rPr>
          <w:rFonts w:hint="eastAsia" w:ascii="宋体" w:hAnsi="宋体" w:eastAsia="宋体" w:cs="宋体"/>
          <w:color w:val="000000" w:themeColor="text1"/>
          <w:sz w:val="24"/>
          <w:highlight w:val="none"/>
          <w14:textFill>
            <w14:solidFill>
              <w14:schemeClr w14:val="tx1"/>
            </w14:solidFill>
          </w14:textFill>
        </w:rPr>
      </w:pPr>
    </w:p>
    <w:p w14:paraId="4FC59D9E">
      <w:pPr>
        <w:rPr>
          <w:rFonts w:hint="eastAsia" w:ascii="宋体" w:hAnsi="宋体" w:eastAsia="宋体" w:cs="宋体"/>
          <w:color w:val="000000" w:themeColor="text1"/>
          <w:sz w:val="24"/>
          <w:highlight w:val="none"/>
          <w14:textFill>
            <w14:solidFill>
              <w14:schemeClr w14:val="tx1"/>
            </w14:solidFill>
          </w14:textFill>
        </w:rPr>
      </w:pPr>
    </w:p>
    <w:p w14:paraId="0AAAA1D5">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八、不参与围标串标承诺书</w:t>
      </w:r>
    </w:p>
    <w:p w14:paraId="48E74AE5">
      <w:pPr>
        <w:pStyle w:val="13"/>
        <w:rPr>
          <w:rFonts w:hint="eastAsia" w:ascii="宋体" w:hAnsi="宋体" w:eastAsia="宋体" w:cs="宋体"/>
          <w:color w:val="000000" w:themeColor="text1"/>
          <w:highlight w:val="none"/>
          <w:lang w:eastAsia="zh-CN"/>
          <w14:textFill>
            <w14:solidFill>
              <w14:schemeClr w14:val="tx1"/>
            </w14:solidFill>
          </w14:textFill>
        </w:rPr>
      </w:pPr>
    </w:p>
    <w:p w14:paraId="5B09EC32">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本人作为经授权</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代表，清楚知晓我单位本项目投标活动，对以下事项作出承诺：</w:t>
      </w:r>
    </w:p>
    <w:p w14:paraId="78240B05">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我单位和我本人遵循公开、公平、公正、诚实守信的原则，依法依规参与本项目竞标。</w:t>
      </w:r>
    </w:p>
    <w:p w14:paraId="65F9A579">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我单位和我本人在本项目招投标活动中，未参与围标串标。</w:t>
      </w:r>
    </w:p>
    <w:p w14:paraId="3174F4A8">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我单位如被查实在本项目招标投标活动中存在《新疆维吾尔自治区房屋建筑和市政基础设施工程串通投标和弄虚作假行为认定查处办法（试行）》所列围标串标行为的，递交</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行为作为实施串通投标违法行为的关键环节，本人承担直接责任人员法律责任，接受相应行政处罚和失信惩戒。</w:t>
      </w:r>
    </w:p>
    <w:p w14:paraId="1E4450B0">
      <w:pPr>
        <w:widowControl/>
        <w:spacing w:line="560" w:lineRule="exact"/>
        <w:jc w:val="center"/>
        <w:rPr>
          <w:rStyle w:val="67"/>
          <w:rFonts w:hint="eastAsia" w:ascii="宋体" w:hAnsi="宋体" w:eastAsia="宋体" w:cs="宋体"/>
          <w:b/>
          <w:color w:val="000000" w:themeColor="text1"/>
          <w:kern w:val="2"/>
          <w:szCs w:val="24"/>
          <w:highlight w:val="none"/>
          <w:lang w:val="en-US" w:eastAsia="zh-CN" w:bidi="ar-SA"/>
          <w14:textFill>
            <w14:solidFill>
              <w14:schemeClr w14:val="tx1"/>
            </w14:solidFill>
          </w14:textFill>
        </w:rPr>
      </w:pPr>
    </w:p>
    <w:p w14:paraId="43BF40A9">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《不参与围标串标承诺书》签署页</w:t>
      </w:r>
    </w:p>
    <w:p w14:paraId="35982B9B">
      <w:pPr>
        <w:numPr>
          <w:ilvl w:val="0"/>
          <w:numId w:val="0"/>
        </w:numPr>
        <w:spacing w:line="360" w:lineRule="auto"/>
        <w:ind w:left="21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0D06B94D">
      <w:pPr>
        <w:numPr>
          <w:ilvl w:val="0"/>
          <w:numId w:val="0"/>
        </w:numPr>
        <w:spacing w:line="360" w:lineRule="auto"/>
        <w:ind w:left="21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 xml:space="preserve">编号：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86DEDF8">
      <w:pPr>
        <w:numPr>
          <w:ilvl w:val="0"/>
          <w:numId w:val="0"/>
        </w:numPr>
        <w:spacing w:line="360" w:lineRule="auto"/>
        <w:ind w:left="210" w:left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22F31AD7">
      <w:pPr>
        <w:pStyle w:val="13"/>
        <w:rPr>
          <w:rFonts w:hint="eastAsia" w:ascii="宋体" w:hAnsi="宋体" w:eastAsia="宋体" w:cs="宋体"/>
          <w:color w:val="000000" w:themeColor="text1"/>
          <w:sz w:val="22"/>
          <w:szCs w:val="22"/>
          <w:highlight w:val="none"/>
          <w:lang w:eastAsia="zh-CN"/>
          <w14:textFill>
            <w14:solidFill>
              <w14:schemeClr w14:val="tx1"/>
            </w14:solidFill>
          </w14:textFill>
        </w:rPr>
      </w:pPr>
    </w:p>
    <w:tbl>
      <w:tblPr>
        <w:tblStyle w:val="32"/>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14:paraId="5092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14:paraId="16732DE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4959" w:type="dxa"/>
            <w:noWrap w:val="0"/>
            <w:vAlign w:val="center"/>
          </w:tcPr>
          <w:p w14:paraId="4C6F92DB">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盖章</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3696" w:type="dxa"/>
            <w:noWrap w:val="0"/>
            <w:vAlign w:val="center"/>
          </w:tcPr>
          <w:p w14:paraId="414DA9D2">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投标单位代表签名</w:t>
            </w:r>
            <w:r>
              <w:rPr>
                <w:rFonts w:hint="eastAsia" w:ascii="宋体" w:hAnsi="宋体" w:cs="宋体"/>
                <w:color w:val="000000" w:themeColor="text1"/>
                <w:sz w:val="24"/>
                <w:szCs w:val="24"/>
                <w:highlight w:val="none"/>
                <w:lang w:val="en-US" w:eastAsia="zh-CN"/>
                <w14:textFill>
                  <w14:solidFill>
                    <w14:schemeClr w14:val="tx1"/>
                  </w14:solidFill>
                </w14:textFill>
              </w:rPr>
              <w:t>或盖章</w:t>
            </w:r>
          </w:p>
        </w:tc>
      </w:tr>
      <w:tr w14:paraId="5845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14:paraId="720EFDB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959" w:type="dxa"/>
            <w:noWrap w:val="0"/>
            <w:vAlign w:val="center"/>
          </w:tcPr>
          <w:p w14:paraId="791B0F0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696" w:type="dxa"/>
            <w:noWrap w:val="0"/>
            <w:vAlign w:val="center"/>
          </w:tcPr>
          <w:p w14:paraId="2C90F50B">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CB7444C">
      <w:pPr>
        <w:pStyle w:val="46"/>
        <w:rPr>
          <w:rFonts w:hint="eastAsia"/>
          <w:color w:val="000000" w:themeColor="text1"/>
          <w:sz w:val="22"/>
          <w:szCs w:val="21"/>
          <w:highlight w:val="none"/>
          <w:lang w:val="en-US" w:eastAsia="zh-CN"/>
          <w14:textFill>
            <w14:solidFill>
              <w14:schemeClr w14:val="tx1"/>
            </w14:solidFill>
          </w14:textFill>
        </w:rPr>
      </w:pPr>
    </w:p>
    <w:p w14:paraId="49721D24">
      <w:pPr>
        <w:rPr>
          <w:rFonts w:hint="eastAsia"/>
          <w:color w:val="000000" w:themeColor="text1"/>
          <w:sz w:val="20"/>
          <w:szCs w:val="22"/>
          <w:highlight w:val="none"/>
          <w:lang w:val="en-US" w:eastAsia="zh-CN"/>
          <w14:textFill>
            <w14:solidFill>
              <w14:schemeClr w14:val="tx1"/>
            </w14:solidFill>
          </w14:textFill>
        </w:rPr>
      </w:pPr>
    </w:p>
    <w:p w14:paraId="71110FCC">
      <w:pPr>
        <w:pStyle w:val="46"/>
        <w:rPr>
          <w:rFonts w:hint="eastAsia"/>
          <w:color w:val="000000" w:themeColor="text1"/>
          <w:sz w:val="22"/>
          <w:szCs w:val="21"/>
          <w:highlight w:val="none"/>
          <w:lang w:val="en-US" w:eastAsia="zh-CN"/>
          <w14:textFill>
            <w14:solidFill>
              <w14:schemeClr w14:val="tx1"/>
            </w14:solidFill>
          </w14:textFill>
        </w:rPr>
      </w:pPr>
    </w:p>
    <w:p w14:paraId="5D20A95A">
      <w:pPr>
        <w:rPr>
          <w:rFonts w:hint="eastAsia"/>
          <w:color w:val="000000" w:themeColor="text1"/>
          <w:highlight w:val="none"/>
          <w:lang w:val="en-US" w:eastAsia="zh-CN"/>
          <w14:textFill>
            <w14:solidFill>
              <w14:schemeClr w14:val="tx1"/>
            </w14:solidFill>
          </w14:textFill>
        </w:rPr>
      </w:pPr>
    </w:p>
    <w:p w14:paraId="7E7EF385">
      <w:pPr>
        <w:pStyle w:val="46"/>
        <w:rPr>
          <w:rFonts w:hint="eastAsia"/>
          <w:color w:val="000000" w:themeColor="text1"/>
          <w:highlight w:val="none"/>
          <w:lang w:val="en-US" w:eastAsia="zh-CN"/>
          <w14:textFill>
            <w14:solidFill>
              <w14:schemeClr w14:val="tx1"/>
            </w14:solidFill>
          </w14:textFill>
        </w:rPr>
      </w:pPr>
    </w:p>
    <w:p w14:paraId="518410BD">
      <w:pPr>
        <w:rPr>
          <w:rFonts w:hint="eastAsia"/>
          <w:color w:val="000000" w:themeColor="text1"/>
          <w:highlight w:val="none"/>
          <w:lang w:val="en-US" w:eastAsia="zh-CN"/>
          <w14:textFill>
            <w14:solidFill>
              <w14:schemeClr w14:val="tx1"/>
            </w14:solidFill>
          </w14:textFill>
        </w:rPr>
      </w:pPr>
    </w:p>
    <w:p w14:paraId="5980B3CB">
      <w:pPr>
        <w:pStyle w:val="46"/>
        <w:rPr>
          <w:rFonts w:hint="eastAsia"/>
          <w:color w:val="000000" w:themeColor="text1"/>
          <w:highlight w:val="none"/>
          <w:lang w:val="en-US" w:eastAsia="zh-CN"/>
          <w14:textFill>
            <w14:solidFill>
              <w14:schemeClr w14:val="tx1"/>
            </w14:solidFill>
          </w14:textFill>
        </w:rPr>
      </w:pPr>
    </w:p>
    <w:p w14:paraId="2D2F011A">
      <w:pPr>
        <w:rPr>
          <w:rFonts w:hint="eastAsia"/>
          <w:color w:val="000000" w:themeColor="text1"/>
          <w:highlight w:val="none"/>
          <w:lang w:val="en-US" w:eastAsia="zh-CN"/>
          <w14:textFill>
            <w14:solidFill>
              <w14:schemeClr w14:val="tx1"/>
            </w14:solidFill>
          </w14:textFill>
        </w:rPr>
      </w:pPr>
    </w:p>
    <w:p w14:paraId="70D571A0">
      <w:pPr>
        <w:pStyle w:val="46"/>
        <w:rPr>
          <w:rFonts w:hint="eastAsia"/>
          <w:color w:val="000000" w:themeColor="text1"/>
          <w:highlight w:val="none"/>
          <w:lang w:val="en-US" w:eastAsia="zh-CN"/>
          <w14:textFill>
            <w14:solidFill>
              <w14:schemeClr w14:val="tx1"/>
            </w14:solidFill>
          </w14:textFill>
        </w:rPr>
      </w:pPr>
    </w:p>
    <w:p w14:paraId="647B8E42">
      <w:pPr>
        <w:rPr>
          <w:rFonts w:hint="eastAsia"/>
          <w:color w:val="000000" w:themeColor="text1"/>
          <w:highlight w:val="none"/>
          <w:lang w:val="en-US" w:eastAsia="zh-CN"/>
          <w14:textFill>
            <w14:solidFill>
              <w14:schemeClr w14:val="tx1"/>
            </w14:solidFill>
          </w14:textFill>
        </w:rPr>
      </w:pPr>
    </w:p>
    <w:p w14:paraId="6D919C1A">
      <w:pPr>
        <w:pStyle w:val="46"/>
        <w:rPr>
          <w:rFonts w:hint="eastAsia"/>
          <w:color w:val="000000" w:themeColor="text1"/>
          <w:highlight w:val="none"/>
          <w:lang w:val="en-US" w:eastAsia="zh-CN"/>
          <w14:textFill>
            <w14:solidFill>
              <w14:schemeClr w14:val="tx1"/>
            </w14:solidFill>
          </w14:textFill>
        </w:rPr>
      </w:pPr>
    </w:p>
    <w:p w14:paraId="1CECCAAA">
      <w:pPr>
        <w:rPr>
          <w:rFonts w:hint="eastAsia"/>
          <w:color w:val="000000" w:themeColor="text1"/>
          <w:highlight w:val="none"/>
          <w:lang w:val="en-US" w:eastAsia="zh-CN"/>
          <w14:textFill>
            <w14:solidFill>
              <w14:schemeClr w14:val="tx1"/>
            </w14:solidFill>
          </w14:textFill>
        </w:rPr>
      </w:pPr>
    </w:p>
    <w:p w14:paraId="6EC8F11F">
      <w:pPr>
        <w:pStyle w:val="46"/>
        <w:rPr>
          <w:rFonts w:hint="eastAsia"/>
          <w:color w:val="000000" w:themeColor="text1"/>
          <w:highlight w:val="none"/>
          <w:lang w:val="en-US" w:eastAsia="zh-CN"/>
          <w14:textFill>
            <w14:solidFill>
              <w14:schemeClr w14:val="tx1"/>
            </w14:solidFill>
          </w14:textFill>
        </w:rPr>
      </w:pPr>
    </w:p>
    <w:p w14:paraId="15DF006A">
      <w:pPr>
        <w:rPr>
          <w:rFonts w:hint="eastAsia"/>
          <w:color w:val="000000" w:themeColor="text1"/>
          <w:highlight w:val="none"/>
          <w:lang w:val="en-US" w:eastAsia="zh-CN"/>
          <w14:textFill>
            <w14:solidFill>
              <w14:schemeClr w14:val="tx1"/>
            </w14:solidFill>
          </w14:textFill>
        </w:rPr>
      </w:pPr>
    </w:p>
    <w:p w14:paraId="6E590B45">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4622E7D">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3B0B4BE">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00BED3D8">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九、近三年项目业绩一览表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14:paraId="703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noWrap w:val="0"/>
            <w:vAlign w:val="center"/>
          </w:tcPr>
          <w:p w14:paraId="14A4293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93" w:type="dxa"/>
            <w:noWrap w:val="0"/>
            <w:vAlign w:val="center"/>
          </w:tcPr>
          <w:p w14:paraId="2E5F1F4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329" w:type="dxa"/>
            <w:noWrap w:val="0"/>
            <w:vAlign w:val="center"/>
          </w:tcPr>
          <w:p w14:paraId="2A84DB3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招标单位</w:t>
            </w:r>
          </w:p>
        </w:tc>
        <w:tc>
          <w:tcPr>
            <w:tcW w:w="1497" w:type="dxa"/>
            <w:noWrap w:val="0"/>
            <w:vAlign w:val="center"/>
          </w:tcPr>
          <w:p w14:paraId="2677268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c>
          <w:tcPr>
            <w:tcW w:w="1403" w:type="dxa"/>
            <w:noWrap w:val="0"/>
            <w:vAlign w:val="center"/>
          </w:tcPr>
          <w:p w14:paraId="14A00F8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金额</w:t>
            </w:r>
          </w:p>
        </w:tc>
        <w:tc>
          <w:tcPr>
            <w:tcW w:w="1422" w:type="dxa"/>
            <w:noWrap w:val="0"/>
            <w:vAlign w:val="center"/>
          </w:tcPr>
          <w:p w14:paraId="4F31EB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1440" w:type="dxa"/>
            <w:noWrap w:val="0"/>
            <w:vAlign w:val="center"/>
          </w:tcPr>
          <w:p w14:paraId="71763E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r>
      <w:tr w14:paraId="7408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0CACC2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0A52FF1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7FD2A1B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4E735A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064003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42983EF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657C139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5EF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228DC82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25DBF3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0837830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1D683CC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75D9967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0B3762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11CC628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9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766DCF2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582E458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71824AB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7744F37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75BDA5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6BB345F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642FC4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AA3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noWrap w:val="0"/>
            <w:vAlign w:val="top"/>
          </w:tcPr>
          <w:p w14:paraId="7447957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37F9DD8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56BC58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031E55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15A61F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59E7C04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0931B2A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D4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6021FCE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2B87FA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17E2FCA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1623721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5C634CF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2751E7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20A270F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419E78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须附每一个业绩</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项目成交通知书/中标通知书或合同关键页复印件，并加盖供应商公章。合同书关键页包括服务内容页、合同金额页、双方盖章页及签订时间页。</w:t>
      </w:r>
    </w:p>
    <w:p w14:paraId="3F57610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2、近</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val="en-US" w:eastAsia="zh-CN"/>
          <w14:textFill>
            <w14:solidFill>
              <w14:schemeClr w14:val="tx1"/>
            </w14:solidFill>
          </w14:textFill>
        </w:rPr>
        <w:t>年业绩指从20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1月</w:t>
      </w:r>
      <w:r>
        <w:rPr>
          <w:rFonts w:hint="eastAsia" w:ascii="宋体" w:hAnsi="宋体" w:eastAsia="宋体" w:cs="宋体"/>
          <w:color w:val="000000" w:themeColor="text1"/>
          <w:sz w:val="24"/>
          <w:szCs w:val="24"/>
          <w:highlight w:val="none"/>
          <w:lang w:val="en-US" w:eastAsia="zh-CN"/>
          <w14:textFill>
            <w14:solidFill>
              <w14:schemeClr w14:val="tx1"/>
            </w14:solidFill>
          </w14:textFill>
        </w:rPr>
        <w:t>至今类似项目业绩</w:t>
      </w:r>
    </w:p>
    <w:p w14:paraId="5B53DBCB">
      <w:pPr>
        <w:spacing w:line="360" w:lineRule="auto"/>
        <w:ind w:right="105" w:rightChar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CDB2F3E">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B03478C">
      <w:pPr>
        <w:spacing w:line="360" w:lineRule="auto"/>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93E6F3A">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50D0122E">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B2582DB">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人员配备</w:t>
      </w:r>
    </w:p>
    <w:p w14:paraId="28271359">
      <w:pPr>
        <w:numPr>
          <w:ilvl w:val="0"/>
          <w:numId w:val="0"/>
        </w:numPr>
        <w:spacing w:line="360" w:lineRule="auto"/>
        <w:ind w:left="732" w:leftChars="71" w:hanging="583" w:hangingChars="242"/>
        <w:rPr>
          <w:rFonts w:hint="eastAsia"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项目负责人简历表</w:t>
      </w:r>
    </w:p>
    <w:tbl>
      <w:tblPr>
        <w:tblStyle w:val="32"/>
        <w:tblW w:w="0" w:type="auto"/>
        <w:jc w:val="center"/>
        <w:tblLayout w:type="fixed"/>
        <w:tblCellMar>
          <w:top w:w="0" w:type="dxa"/>
          <w:left w:w="108" w:type="dxa"/>
          <w:bottom w:w="0" w:type="dxa"/>
          <w:right w:w="108" w:type="dxa"/>
        </w:tblCellMar>
      </w:tblPr>
      <w:tblGrid>
        <w:gridCol w:w="1285"/>
        <w:gridCol w:w="1835"/>
        <w:gridCol w:w="1592"/>
        <w:gridCol w:w="1325"/>
        <w:gridCol w:w="1462"/>
        <w:gridCol w:w="2355"/>
      </w:tblGrid>
      <w:tr w14:paraId="5D0DB3C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03A940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835" w:type="dxa"/>
            <w:tcBorders>
              <w:top w:val="single" w:color="auto" w:sz="6" w:space="0"/>
              <w:left w:val="single" w:color="auto" w:sz="6" w:space="0"/>
              <w:bottom w:val="single" w:color="auto" w:sz="6" w:space="0"/>
              <w:right w:val="single" w:color="auto" w:sz="6" w:space="0"/>
            </w:tcBorders>
            <w:noWrap w:val="0"/>
            <w:vAlign w:val="center"/>
          </w:tcPr>
          <w:p w14:paraId="13500FB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14:paraId="3E5EB01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1325" w:type="dxa"/>
            <w:tcBorders>
              <w:top w:val="single" w:color="auto" w:sz="6" w:space="0"/>
              <w:left w:val="single" w:color="auto" w:sz="6" w:space="0"/>
              <w:bottom w:val="single" w:color="auto" w:sz="6" w:space="0"/>
              <w:right w:val="single" w:color="auto" w:sz="6" w:space="0"/>
            </w:tcBorders>
            <w:noWrap w:val="0"/>
            <w:vAlign w:val="center"/>
          </w:tcPr>
          <w:p w14:paraId="735E046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03E5EAE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EC8FAB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2410C">
        <w:tblPrEx>
          <w:tblCellMar>
            <w:top w:w="0" w:type="dxa"/>
            <w:left w:w="108" w:type="dxa"/>
            <w:bottom w:w="0" w:type="dxa"/>
            <w:right w:w="108" w:type="dxa"/>
          </w:tblCellMar>
        </w:tblPrEx>
        <w:trPr>
          <w:trHeight w:val="584"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7ABF8A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1C3311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6D74409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     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CD3EA6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5525F6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CE5503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学位</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2C7498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62D6F97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2AB4CF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5B287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2E9D65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现所在机构或部门</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20905D2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6E73ADC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41EF79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BA9C5C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E1263D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ED635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主要经历</w:t>
            </w:r>
          </w:p>
          <w:p w14:paraId="0D09AA3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31BCF95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742D1F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41B5DA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5AE563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DA7E3D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DA107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492FCA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66A74D9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798C5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5298E3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0C20C5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77075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D83395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462E3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C9E2B6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31721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22BC58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5B541B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14FCB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367E6F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BE298A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E1678C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65269BD">
      <w:pPr>
        <w:pStyle w:val="46"/>
        <w:numPr>
          <w:ilvl w:val="0"/>
          <w:numId w:val="0"/>
        </w:numPr>
        <w:autoSpaceDE w:val="0"/>
        <w:autoSpaceDN w:val="0"/>
        <w:adjustRightInd w:val="0"/>
        <w:snapToGrid w:val="0"/>
        <w:spacing w:line="360" w:lineRule="auto"/>
        <w:jc w:val="both"/>
        <w:rPr>
          <w:rFonts w:hint="eastAsia"/>
          <w:color w:val="000000" w:themeColor="text1"/>
          <w:sz w:val="24"/>
          <w:szCs w:val="24"/>
          <w:highlight w:val="none"/>
          <w:lang w:val="en-US" w:eastAsia="zh-CN"/>
          <w14:textFill>
            <w14:solidFill>
              <w14:schemeClr w14:val="tx1"/>
            </w14:solidFill>
          </w14:textFill>
        </w:rPr>
      </w:pPr>
    </w:p>
    <w:p w14:paraId="2DF90954">
      <w:pPr>
        <w:pStyle w:val="46"/>
        <w:numPr>
          <w:ilvl w:val="0"/>
          <w:numId w:val="0"/>
        </w:numPr>
        <w:autoSpaceDE w:val="0"/>
        <w:autoSpaceDN w:val="0"/>
        <w:adjustRightInd w:val="0"/>
        <w:snapToGrid w:val="0"/>
        <w:spacing w:line="360" w:lineRule="auto"/>
        <w:jc w:val="both"/>
        <w:rPr>
          <w:rFonts w:hint="eastAsia"/>
          <w:color w:val="000000" w:themeColor="text1"/>
          <w:sz w:val="24"/>
          <w:szCs w:val="24"/>
          <w:highlight w:val="none"/>
          <w:lang w:val="en-US" w:eastAsia="zh-CN"/>
          <w14:textFill>
            <w14:solidFill>
              <w14:schemeClr w14:val="tx1"/>
            </w14:solidFill>
          </w14:textFill>
        </w:rPr>
      </w:pPr>
    </w:p>
    <w:p w14:paraId="7521964D">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注：后附印证材料，印证材料请按商务、技术评审表中内容进行附后。</w:t>
      </w:r>
    </w:p>
    <w:p w14:paraId="1F979F4F">
      <w:pPr>
        <w:rPr>
          <w:rFonts w:hint="eastAsia" w:ascii="宋体" w:hAnsi="宋体" w:eastAsia="宋体" w:cs="宋体"/>
          <w:color w:val="000000"/>
          <w:kern w:val="0"/>
          <w:sz w:val="24"/>
          <w:szCs w:val="24"/>
          <w:highlight w:val="none"/>
          <w:lang w:val="en-US" w:eastAsia="zh-CN" w:bidi="ar"/>
        </w:rPr>
      </w:pPr>
    </w:p>
    <w:p w14:paraId="75343045">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7EA385D">
      <w:pPr>
        <w:pStyle w:val="46"/>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B4CA43A">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6163ED62">
      <w:pPr>
        <w:autoSpaceDE w:val="0"/>
        <w:autoSpaceDN w:val="0"/>
        <w:adjustRightInd w:val="0"/>
        <w:spacing w:line="36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2、拟投入本项目的主要成员表</w:t>
      </w:r>
    </w:p>
    <w:tbl>
      <w:tblPr>
        <w:tblStyle w:val="32"/>
        <w:tblW w:w="1013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315"/>
        <w:gridCol w:w="1356"/>
        <w:gridCol w:w="1333"/>
        <w:gridCol w:w="1388"/>
        <w:gridCol w:w="2166"/>
        <w:gridCol w:w="1611"/>
      </w:tblGrid>
      <w:tr w14:paraId="0A39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967" w:type="dxa"/>
            <w:noWrap w:val="0"/>
            <w:vAlign w:val="center"/>
          </w:tcPr>
          <w:p w14:paraId="4024A0C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315" w:type="dxa"/>
            <w:noWrap w:val="0"/>
            <w:vAlign w:val="center"/>
          </w:tcPr>
          <w:p w14:paraId="75B1DA4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356" w:type="dxa"/>
            <w:noWrap w:val="0"/>
            <w:vAlign w:val="center"/>
          </w:tcPr>
          <w:p w14:paraId="57AA3FA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性别</w:t>
            </w:r>
          </w:p>
        </w:tc>
        <w:tc>
          <w:tcPr>
            <w:tcW w:w="1333" w:type="dxa"/>
            <w:noWrap w:val="0"/>
            <w:vAlign w:val="center"/>
          </w:tcPr>
          <w:p w14:paraId="4239ABA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p>
        </w:tc>
        <w:tc>
          <w:tcPr>
            <w:tcW w:w="1388" w:type="dxa"/>
            <w:noWrap w:val="0"/>
            <w:vAlign w:val="center"/>
          </w:tcPr>
          <w:p w14:paraId="75FEB65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岗位</w:t>
            </w:r>
          </w:p>
        </w:tc>
        <w:tc>
          <w:tcPr>
            <w:tcW w:w="2166" w:type="dxa"/>
            <w:noWrap w:val="0"/>
            <w:vAlign w:val="center"/>
          </w:tcPr>
          <w:p w14:paraId="5EC1AF5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从事该岗位时间</w:t>
            </w:r>
          </w:p>
        </w:tc>
        <w:tc>
          <w:tcPr>
            <w:tcW w:w="1611" w:type="dxa"/>
            <w:noWrap w:val="0"/>
            <w:vAlign w:val="center"/>
          </w:tcPr>
          <w:p w14:paraId="03957951">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628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37FC9FD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15" w:type="dxa"/>
            <w:noWrap w:val="0"/>
            <w:vAlign w:val="center"/>
          </w:tcPr>
          <w:p w14:paraId="5D749DB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7E4EEC4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2ACB3AC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263D6D0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7876D49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7352B6B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A7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64360C4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15" w:type="dxa"/>
            <w:noWrap w:val="0"/>
            <w:vAlign w:val="center"/>
          </w:tcPr>
          <w:p w14:paraId="4C91523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7E7CFF8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7112E32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39EF229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3B1AADA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373F61E3">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363A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4755789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315" w:type="dxa"/>
            <w:noWrap w:val="0"/>
            <w:vAlign w:val="center"/>
          </w:tcPr>
          <w:p w14:paraId="5C21C63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52ABA4B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36A9612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1F0693B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748F4FE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769E9EC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6F0E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67" w:type="dxa"/>
            <w:noWrap w:val="0"/>
            <w:vAlign w:val="center"/>
          </w:tcPr>
          <w:p w14:paraId="0E7F9F4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15" w:type="dxa"/>
            <w:noWrap w:val="0"/>
            <w:vAlign w:val="center"/>
          </w:tcPr>
          <w:p w14:paraId="5075CDE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2C90566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682C43B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45098D2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1E8434A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5861961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bl>
    <w:p w14:paraId="3EA25AE4">
      <w:pPr>
        <w:pStyle w:val="46"/>
        <w:numPr>
          <w:ilvl w:val="0"/>
          <w:numId w:val="0"/>
        </w:numPr>
        <w:autoSpaceDE w:val="0"/>
        <w:autoSpaceDN w:val="0"/>
        <w:adjustRightInd w:val="0"/>
        <w:snapToGrid w:val="0"/>
        <w:spacing w:line="360" w:lineRule="auto"/>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注：后附印证材料，印证材料请按商务、技术评审表中内容进行附后。</w:t>
      </w:r>
    </w:p>
    <w:p w14:paraId="5060EEBE">
      <w:pPr>
        <w:pStyle w:val="46"/>
        <w:rPr>
          <w:rFonts w:hint="eastAsia"/>
          <w:color w:val="000000" w:themeColor="text1"/>
          <w:highlight w:val="none"/>
          <w:lang w:val="en-US" w:eastAsia="zh-CN"/>
          <w14:textFill>
            <w14:solidFill>
              <w14:schemeClr w14:val="tx1"/>
            </w14:solidFill>
          </w14:textFill>
        </w:rPr>
      </w:pPr>
    </w:p>
    <w:p w14:paraId="5C3CD866">
      <w:pPr>
        <w:rPr>
          <w:rFonts w:hint="eastAsia"/>
          <w:color w:val="000000" w:themeColor="text1"/>
          <w:highlight w:val="none"/>
          <w:lang w:val="en-US" w:eastAsia="zh-CN"/>
          <w14:textFill>
            <w14:solidFill>
              <w14:schemeClr w14:val="tx1"/>
            </w14:solidFill>
          </w14:textFill>
        </w:rPr>
      </w:pPr>
    </w:p>
    <w:p w14:paraId="4B49FF93">
      <w:pPr>
        <w:pStyle w:val="46"/>
        <w:rPr>
          <w:rFonts w:hint="eastAsia"/>
          <w:color w:val="000000" w:themeColor="text1"/>
          <w:highlight w:val="none"/>
          <w:lang w:val="en-US" w:eastAsia="zh-CN"/>
          <w14:textFill>
            <w14:solidFill>
              <w14:schemeClr w14:val="tx1"/>
            </w14:solidFill>
          </w14:textFill>
        </w:rPr>
      </w:pPr>
    </w:p>
    <w:p w14:paraId="2034E876">
      <w:pPr>
        <w:rPr>
          <w:rFonts w:hint="eastAsia"/>
          <w:color w:val="000000" w:themeColor="text1"/>
          <w:highlight w:val="none"/>
          <w:lang w:val="en-US" w:eastAsia="zh-CN"/>
          <w14:textFill>
            <w14:solidFill>
              <w14:schemeClr w14:val="tx1"/>
            </w14:solidFill>
          </w14:textFill>
        </w:rPr>
      </w:pPr>
    </w:p>
    <w:p w14:paraId="0C6D964C">
      <w:pPr>
        <w:pStyle w:val="46"/>
        <w:rPr>
          <w:rFonts w:hint="eastAsia"/>
          <w:color w:val="000000" w:themeColor="text1"/>
          <w:highlight w:val="none"/>
          <w:lang w:val="en-US" w:eastAsia="zh-CN"/>
          <w14:textFill>
            <w14:solidFill>
              <w14:schemeClr w14:val="tx1"/>
            </w14:solidFill>
          </w14:textFill>
        </w:rPr>
      </w:pPr>
    </w:p>
    <w:p w14:paraId="276F29E9">
      <w:pPr>
        <w:rPr>
          <w:rFonts w:hint="eastAsia"/>
          <w:color w:val="000000" w:themeColor="text1"/>
          <w:highlight w:val="none"/>
          <w:lang w:val="en-US" w:eastAsia="zh-CN"/>
          <w14:textFill>
            <w14:solidFill>
              <w14:schemeClr w14:val="tx1"/>
            </w14:solidFill>
          </w14:textFill>
        </w:rPr>
      </w:pPr>
    </w:p>
    <w:p w14:paraId="599D95BE">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29AB236">
      <w:pPr>
        <w:pStyle w:val="46"/>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09F66F">
      <w:pPr>
        <w:ind w:firstLine="720" w:firstLineChars="3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1962D7CD">
      <w:pPr>
        <w:pStyle w:val="42"/>
        <w:rPr>
          <w:rFonts w:hint="eastAsia"/>
          <w:color w:val="000000" w:themeColor="text1"/>
          <w:highlight w:val="none"/>
          <w:lang w:val="en-US" w:eastAsia="zh-CN"/>
          <w14:textFill>
            <w14:solidFill>
              <w14:schemeClr w14:val="tx1"/>
            </w14:solidFill>
          </w14:textFill>
        </w:rPr>
      </w:pPr>
    </w:p>
    <w:p w14:paraId="4B877EB2">
      <w:pPr>
        <w:numPr>
          <w:ilvl w:val="0"/>
          <w:numId w:val="0"/>
        </w:numPr>
        <w:spacing w:line="360" w:lineRule="auto"/>
        <w:jc w:val="center"/>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十一、技术服务方案</w:t>
      </w:r>
    </w:p>
    <w:p w14:paraId="53315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（格式自拟）</w:t>
      </w:r>
    </w:p>
    <w:p w14:paraId="1103A1FA">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包括但不限于以下内容</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项目背景分析；总体规划方案；进度计划保障措施；重点难点问题分析及应对措施；质量保证措施；合理化建议；服务承诺；</w:t>
      </w:r>
    </w:p>
    <w:p w14:paraId="1C0FB5ED">
      <w:pPr>
        <w:pStyle w:val="46"/>
        <w:rPr>
          <w:rFonts w:hint="eastAsia"/>
          <w:color w:val="000000" w:themeColor="text1"/>
          <w:highlight w:val="none"/>
          <w:lang w:val="en-US" w:eastAsia="zh-CN"/>
          <w14:textFill>
            <w14:solidFill>
              <w14:schemeClr w14:val="tx1"/>
            </w14:solidFill>
          </w14:textFill>
        </w:rPr>
      </w:pPr>
    </w:p>
    <w:p w14:paraId="7BDFF3B1">
      <w:pPr>
        <w:rPr>
          <w:rFonts w:hint="eastAsia"/>
          <w:color w:val="000000" w:themeColor="text1"/>
          <w:highlight w:val="none"/>
          <w:lang w:val="en-US" w:eastAsia="zh-CN"/>
          <w14:textFill>
            <w14:solidFill>
              <w14:schemeClr w14:val="tx1"/>
            </w14:solidFill>
          </w14:textFill>
        </w:rPr>
      </w:pPr>
    </w:p>
    <w:p w14:paraId="584BAFF9">
      <w:pPr>
        <w:rPr>
          <w:rFonts w:hint="eastAsia"/>
          <w:color w:val="000000" w:themeColor="text1"/>
          <w:highlight w:val="none"/>
          <w:lang w:val="en-US" w:eastAsia="zh-CN"/>
          <w14:textFill>
            <w14:solidFill>
              <w14:schemeClr w14:val="tx1"/>
            </w14:solidFill>
          </w14:textFill>
        </w:rPr>
      </w:pPr>
    </w:p>
    <w:p w14:paraId="769F8100">
      <w:pPr>
        <w:rPr>
          <w:rFonts w:hint="eastAsia"/>
          <w:color w:val="000000" w:themeColor="text1"/>
          <w:highlight w:val="none"/>
          <w:lang w:val="en-US" w:eastAsia="zh-CN"/>
          <w14:textFill>
            <w14:solidFill>
              <w14:schemeClr w14:val="tx1"/>
            </w14:solidFill>
          </w14:textFill>
        </w:rPr>
      </w:pPr>
    </w:p>
    <w:p w14:paraId="0AFFDA90">
      <w:pPr>
        <w:rPr>
          <w:rFonts w:hint="eastAsia"/>
          <w:color w:val="000000" w:themeColor="text1"/>
          <w:highlight w:val="none"/>
          <w:lang w:val="en-US" w:eastAsia="zh-CN"/>
          <w14:textFill>
            <w14:solidFill>
              <w14:schemeClr w14:val="tx1"/>
            </w14:solidFill>
          </w14:textFill>
        </w:rPr>
      </w:pPr>
    </w:p>
    <w:p w14:paraId="57EE548C">
      <w:pPr>
        <w:rPr>
          <w:rFonts w:hint="eastAsia"/>
          <w:color w:val="000000" w:themeColor="text1"/>
          <w:highlight w:val="none"/>
          <w:lang w:val="en-US" w:eastAsia="zh-CN"/>
          <w14:textFill>
            <w14:solidFill>
              <w14:schemeClr w14:val="tx1"/>
            </w14:solidFill>
          </w14:textFill>
        </w:rPr>
      </w:pPr>
    </w:p>
    <w:p w14:paraId="1C2161C3">
      <w:pPr>
        <w:pStyle w:val="46"/>
        <w:rPr>
          <w:rFonts w:hint="eastAsia"/>
          <w:color w:val="000000" w:themeColor="text1"/>
          <w:highlight w:val="none"/>
          <w:lang w:val="en-US" w:eastAsia="zh-CN"/>
          <w14:textFill>
            <w14:solidFill>
              <w14:schemeClr w14:val="tx1"/>
            </w14:solidFill>
          </w14:textFill>
        </w:rPr>
      </w:pPr>
    </w:p>
    <w:p w14:paraId="15522652">
      <w:pPr>
        <w:rPr>
          <w:rFonts w:hint="eastAsia"/>
          <w:color w:val="000000" w:themeColor="text1"/>
          <w:highlight w:val="none"/>
          <w:lang w:val="en-US" w:eastAsia="zh-CN"/>
          <w14:textFill>
            <w14:solidFill>
              <w14:schemeClr w14:val="tx1"/>
            </w14:solidFill>
          </w14:textFill>
        </w:rPr>
      </w:pPr>
    </w:p>
    <w:p w14:paraId="55A0A8FF">
      <w:pPr>
        <w:pStyle w:val="46"/>
        <w:rPr>
          <w:rFonts w:hint="eastAsia"/>
          <w:color w:val="000000" w:themeColor="text1"/>
          <w:highlight w:val="none"/>
          <w:lang w:val="en-US" w:eastAsia="zh-CN"/>
          <w14:textFill>
            <w14:solidFill>
              <w14:schemeClr w14:val="tx1"/>
            </w14:solidFill>
          </w14:textFill>
        </w:rPr>
      </w:pPr>
    </w:p>
    <w:p w14:paraId="0C91717E">
      <w:pPr>
        <w:rPr>
          <w:rFonts w:hint="eastAsia"/>
          <w:color w:val="000000" w:themeColor="text1"/>
          <w:highlight w:val="none"/>
          <w:lang w:val="en-US" w:eastAsia="zh-CN"/>
          <w14:textFill>
            <w14:solidFill>
              <w14:schemeClr w14:val="tx1"/>
            </w14:solidFill>
          </w14:textFill>
        </w:rPr>
      </w:pPr>
    </w:p>
    <w:p w14:paraId="7AA585B7">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3D2A02E">
      <w:pPr>
        <w:pStyle w:val="46"/>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8CB6DEE">
      <w:pPr>
        <w:ind w:firstLine="720" w:firstLineChars="3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6E27B769">
      <w:pPr>
        <w:pStyle w:val="42"/>
        <w:rPr>
          <w:rFonts w:hint="eastAsia"/>
          <w:color w:val="000000" w:themeColor="text1"/>
          <w:highlight w:val="none"/>
          <w:lang w:val="en-US" w:eastAsia="zh-CN"/>
          <w14:textFill>
            <w14:solidFill>
              <w14:schemeClr w14:val="tx1"/>
            </w14:solidFill>
          </w14:textFill>
        </w:rPr>
      </w:pPr>
    </w:p>
    <w:p w14:paraId="5AA766D6">
      <w:pPr>
        <w:pStyle w:val="42"/>
        <w:numPr>
          <w:ilvl w:val="0"/>
          <w:numId w:val="0"/>
        </w:numPr>
        <w:ind w:right="-58" w:rightChars="0"/>
        <w:rPr>
          <w:rFonts w:hint="eastAsia"/>
          <w:color w:val="000000" w:themeColor="text1"/>
          <w:highlight w:val="none"/>
          <w:lang w:val="en-US" w:eastAsia="zh-CN"/>
          <w14:textFill>
            <w14:solidFill>
              <w14:schemeClr w14:val="tx1"/>
            </w14:solidFill>
          </w14:textFill>
        </w:rPr>
      </w:pPr>
    </w:p>
    <w:p w14:paraId="7279219D">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1FED908">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商务、技术偏离表</w:t>
      </w:r>
    </w:p>
    <w:p w14:paraId="14C2842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150"/>
        <w:gridCol w:w="2445"/>
        <w:gridCol w:w="2472"/>
        <w:gridCol w:w="1033"/>
        <w:gridCol w:w="1094"/>
      </w:tblGrid>
      <w:tr w14:paraId="270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7E78DD82">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50" w:type="dxa"/>
            <w:noWrap w:val="0"/>
            <w:vAlign w:val="center"/>
          </w:tcPr>
          <w:p w14:paraId="302E7A82">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文件条目号</w:t>
            </w:r>
          </w:p>
        </w:tc>
        <w:tc>
          <w:tcPr>
            <w:tcW w:w="2445" w:type="dxa"/>
            <w:noWrap w:val="0"/>
            <w:vAlign w:val="center"/>
          </w:tcPr>
          <w:p w14:paraId="1AAA82E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文件的商务条款</w:t>
            </w:r>
          </w:p>
        </w:tc>
        <w:tc>
          <w:tcPr>
            <w:tcW w:w="2472" w:type="dxa"/>
            <w:noWrap w:val="0"/>
            <w:vAlign w:val="center"/>
          </w:tcPr>
          <w:p w14:paraId="5163F08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的商务条款</w:t>
            </w:r>
          </w:p>
        </w:tc>
        <w:tc>
          <w:tcPr>
            <w:tcW w:w="1033" w:type="dxa"/>
            <w:noWrap w:val="0"/>
            <w:vAlign w:val="center"/>
          </w:tcPr>
          <w:p w14:paraId="6CA28545">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094" w:type="dxa"/>
            <w:noWrap w:val="0"/>
            <w:vAlign w:val="center"/>
          </w:tcPr>
          <w:p w14:paraId="2F6A076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274F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4BA8D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4512B9E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3D6BA5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041FD01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4AF091B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72D1296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EED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4A8C53B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0B7C98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5A693F6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24B9827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3B3CC20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761FF6A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7F3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44E227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464F23D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52298A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73F4B1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3DE1403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050D47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30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469F4CB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3E1AAB4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3142D7B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573DFFF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52B3AFD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1440AD9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099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5EB6E2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78EAC5D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46316B4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1E7C9A6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3D7FE7E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4DFBCB1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8D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5BC043E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5B59E58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1230ED9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66AA3B1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0407399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0339FD1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44E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0EE7259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55BAE48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3665941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2B72AD1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00BEBC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597BBB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17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6FAD67D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298E198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627D05A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010DB6B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7F3E86C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52F674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7E8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05D98CC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62249A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7D7AADB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4802996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4555A3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4A2108C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7FC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73B37EF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092C3C5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423D6E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474D25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779E9D5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6A3163B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3D6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4C2547E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1A30F96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5225970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50F1A7C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404472D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101E53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CB48D5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注：凡</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中商务条款（包括</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期、付款、合同条款以及其它所有商务内容）与</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的，均应在此表中列出（内容较多的可以标注见</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第几页，</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）。未在本表中列明的</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视同响应</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p w14:paraId="3A51F040">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p>
    <w:p w14:paraId="683CD388">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5C9A162">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483F1FD">
      <w:pPr>
        <w:spacing w:after="100" w:line="265" w:lineRule="auto"/>
        <w:ind w:right="103" w:firstLine="1440" w:firstLineChars="600"/>
        <w:jc w:val="both"/>
        <w:rPr>
          <w:rFonts w:hint="eastAsia" w:ascii="黑体" w:hAnsi="黑体" w:eastAsia="黑体" w:cs="Tahoma"/>
          <w:b/>
          <w:bCs/>
          <w:color w:val="000000" w:themeColor="text1"/>
          <w:sz w:val="36"/>
          <w:szCs w:val="36"/>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4DEB198">
      <w:pPr>
        <w:pStyle w:val="46"/>
        <w:ind w:left="0" w:leftChars="0" w:firstLine="0" w:firstLineChars="0"/>
        <w:rPr>
          <w:rFonts w:hint="eastAsia"/>
          <w:color w:val="000000" w:themeColor="text1"/>
          <w:highlight w:val="none"/>
          <w14:textFill>
            <w14:solidFill>
              <w14:schemeClr w14:val="tx1"/>
            </w14:solidFill>
          </w14:textFill>
        </w:rPr>
      </w:pPr>
    </w:p>
    <w:p w14:paraId="27007F4D">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技 术 偏 离 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988"/>
        <w:gridCol w:w="1533"/>
        <w:gridCol w:w="1533"/>
        <w:gridCol w:w="1533"/>
        <w:gridCol w:w="1533"/>
      </w:tblGrid>
      <w:tr w14:paraId="566F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776BFC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988" w:type="dxa"/>
            <w:noWrap w:val="0"/>
            <w:vAlign w:val="center"/>
          </w:tcPr>
          <w:p w14:paraId="629B0B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条目号</w:t>
            </w:r>
          </w:p>
        </w:tc>
        <w:tc>
          <w:tcPr>
            <w:tcW w:w="1533" w:type="dxa"/>
            <w:noWrap w:val="0"/>
            <w:vAlign w:val="center"/>
          </w:tcPr>
          <w:p w14:paraId="219ABF2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招标规格</w:t>
            </w:r>
          </w:p>
        </w:tc>
        <w:tc>
          <w:tcPr>
            <w:tcW w:w="1533" w:type="dxa"/>
            <w:noWrap w:val="0"/>
            <w:vAlign w:val="center"/>
          </w:tcPr>
          <w:p w14:paraId="6504E5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投标规格</w:t>
            </w:r>
          </w:p>
        </w:tc>
        <w:tc>
          <w:tcPr>
            <w:tcW w:w="1533" w:type="dxa"/>
            <w:noWrap w:val="0"/>
            <w:vAlign w:val="center"/>
          </w:tcPr>
          <w:p w14:paraId="04AE0B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533" w:type="dxa"/>
            <w:noWrap w:val="0"/>
            <w:vAlign w:val="center"/>
          </w:tcPr>
          <w:p w14:paraId="7EC8C09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518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1B8B29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188493E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F5C270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626D0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054BE4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4F6E32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C24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1836A7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43E96D8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6F3341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068EA2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AB2842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4D1561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059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799AD6B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1DF7AE3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8F55B0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857DD4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A907CD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9812B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8E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7C037F1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367C89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8BEA55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26DFD4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F14A8E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75B0AF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5F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012ADF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7CA45E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43A9B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26307F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3AF99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3C545B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540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4A3472D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0C4C58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282C3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D38B60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24F710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7F811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4A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12EE9FC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661198C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E9F876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65CAF5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D5A7E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1B999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9C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2D4E274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67543CD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C85FA5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ABFA9C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8415AD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8D2C1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35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102A27C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0B92BD4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C1C73C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72471A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F0171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B5F09E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7F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06E70ED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354B2A6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C5FE6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695150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ED71B5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8E634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73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5368D61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7CCC25B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230FD5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B759B3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EBD1FB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F517E3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33E1F0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注：凡</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中技术条款（包括投标技术参数等所有技术内容）与</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的，均应在此表中列出（内容较多的可以标注见</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第几页，</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）。未在本表中列明的</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视同响应</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p w14:paraId="07A8AE66">
      <w:pPr>
        <w:spacing w:line="360" w:lineRule="auto"/>
        <w:ind w:right="105" w:rightChar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F00E8A2">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8F186BA">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6EF76D6">
      <w:pPr>
        <w:spacing w:after="100" w:line="265" w:lineRule="auto"/>
        <w:ind w:right="103" w:firstLine="1440" w:firstLineChars="600"/>
        <w:jc w:val="both"/>
        <w:rPr>
          <w:rFonts w:hint="eastAsia" w:ascii="黑体" w:hAnsi="黑体" w:eastAsia="黑体" w:cs="Tahoma"/>
          <w:b/>
          <w:bCs/>
          <w:color w:val="000000" w:themeColor="text1"/>
          <w:sz w:val="36"/>
          <w:szCs w:val="36"/>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2D28620">
      <w:pPr>
        <w:pStyle w:val="46"/>
        <w:ind w:left="0" w:leftChars="0" w:firstLine="0" w:firstLineChars="0"/>
        <w:rPr>
          <w:rFonts w:hint="eastAsia"/>
          <w:color w:val="000000" w:themeColor="text1"/>
          <w:highlight w:val="none"/>
          <w14:textFill>
            <w14:solidFill>
              <w14:schemeClr w14:val="tx1"/>
            </w14:solidFill>
          </w14:textFill>
        </w:rPr>
      </w:pPr>
    </w:p>
    <w:p w14:paraId="7507C36C">
      <w:pPr>
        <w:rPr>
          <w:rFonts w:hint="eastAsia"/>
          <w:color w:val="000000" w:themeColor="text1"/>
          <w:highlight w:val="none"/>
          <w14:textFill>
            <w14:solidFill>
              <w14:schemeClr w14:val="tx1"/>
            </w14:solidFill>
          </w14:textFill>
        </w:rPr>
      </w:pPr>
    </w:p>
    <w:p w14:paraId="752AFFD9">
      <w:pPr>
        <w:pStyle w:val="46"/>
        <w:rPr>
          <w:rFonts w:hint="eastAsia"/>
          <w:color w:val="000000" w:themeColor="text1"/>
          <w:highlight w:val="none"/>
          <w14:textFill>
            <w14:solidFill>
              <w14:schemeClr w14:val="tx1"/>
            </w14:solidFill>
          </w14:textFill>
        </w:rPr>
      </w:pPr>
    </w:p>
    <w:p w14:paraId="2139F396">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十三、</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反商业贿赂承诺书</w:t>
      </w:r>
    </w:p>
    <w:p w14:paraId="043DD6DF">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77076E0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为了从源头上防治腐败，杜绝商业贿赂行为的发生，更好地配合政府采购的工作，我们</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承诺如下：</w:t>
      </w:r>
    </w:p>
    <w:p w14:paraId="539E81E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1、不以各种名义给</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或采购代理机构借或送现金、有价证券及物品</w:t>
      </w:r>
      <w:r>
        <w:rPr>
          <w:rFonts w:hint="eastAsia" w:ascii="宋体" w:hAnsi="宋体" w:cs="宋体"/>
          <w:color w:val="000000" w:themeColor="text1"/>
          <w:sz w:val="24"/>
          <w:szCs w:val="24"/>
          <w:highlight w:val="none"/>
          <w:lang w:eastAsia="zh-CN"/>
          <w14:textFill>
            <w14:solidFill>
              <w14:schemeClr w14:val="tx1"/>
            </w14:solidFill>
          </w14:textFill>
        </w:rPr>
        <w:t>；</w:t>
      </w:r>
    </w:p>
    <w:p w14:paraId="6825370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2、不以个人名义邀请</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或采购代理机构工作人员参与考察旅游活动和宴请活动；</w:t>
      </w:r>
    </w:p>
    <w:p w14:paraId="3838A85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3、不发生与采购事项有关的其他违规违纪行为。</w:t>
      </w:r>
    </w:p>
    <w:p w14:paraId="36852DF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如违反其中一项，</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或采购代理机构将向新疆维吾尔自治区采购办反映将其列入政府采购黑名单并终止投标资格，今后不得参与新疆维吾尔自治区政府采购招投标活动，触犯法律由司法部门处理。</w:t>
      </w:r>
    </w:p>
    <w:p w14:paraId="0D30B1A4">
      <w:pPr>
        <w:pStyle w:val="15"/>
        <w:spacing w:line="360" w:lineRule="auto"/>
        <w:ind w:left="420" w:leftChars="200"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249B281">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5D5CB91E">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28165E54">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756A105C">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60211ABF">
      <w:pPr>
        <w:pStyle w:val="15"/>
        <w:spacing w:line="360" w:lineRule="exact"/>
        <w:ind w:left="420" w:leftChars="200" w:firstLine="540"/>
        <w:jc w:val="right"/>
        <w:rPr>
          <w:rFonts w:hint="eastAsia" w:ascii="宋体" w:hAnsi="宋体" w:eastAsia="宋体" w:cs="宋体"/>
          <w:color w:val="000000" w:themeColor="text1"/>
          <w:sz w:val="24"/>
          <w:szCs w:val="24"/>
          <w:highlight w:val="none"/>
          <w14:textFill>
            <w14:solidFill>
              <w14:schemeClr w14:val="tx1"/>
            </w14:solidFill>
          </w14:textFill>
        </w:rPr>
      </w:pPr>
    </w:p>
    <w:p w14:paraId="6207BF3A">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C77D275">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667702E">
      <w:pPr>
        <w:pStyle w:val="15"/>
        <w:spacing w:line="360" w:lineRule="exact"/>
        <w:ind w:firstLine="54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10E3DDD9">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E438F80">
      <w:pPr>
        <w:pStyle w:val="46"/>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A112454">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5F88646">
      <w:pPr>
        <w:pStyle w:val="46"/>
        <w:rPr>
          <w:rFonts w:hint="eastAsia"/>
          <w:color w:val="000000" w:themeColor="text1"/>
          <w:highlight w:val="none"/>
          <w14:textFill>
            <w14:solidFill>
              <w14:schemeClr w14:val="tx1"/>
            </w14:solidFill>
          </w14:textFill>
        </w:rPr>
      </w:pPr>
    </w:p>
    <w:p w14:paraId="7D4CAA56">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关于投标资料真实性的承诺书</w:t>
      </w:r>
    </w:p>
    <w:p w14:paraId="1E688F56">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关于对本</w:t>
      </w:r>
      <w:r>
        <w:rPr>
          <w:rFonts w:hint="eastAsia" w:ascii="宋体" w:hAnsi="宋体" w:cs="宋体"/>
          <w:b/>
          <w:color w:val="000000" w:themeColor="text1"/>
          <w:sz w:val="28"/>
          <w:szCs w:val="28"/>
          <w:highlight w:val="none"/>
          <w:lang w:val="en-US" w:eastAsia="zh-CN"/>
          <w14:textFill>
            <w14:solidFill>
              <w14:schemeClr w14:val="tx1"/>
            </w14:solidFill>
          </w14:textFill>
        </w:rPr>
        <w:t>响应文件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中资料真实性的承诺</w:t>
      </w:r>
    </w:p>
    <w:p w14:paraId="3AB25460">
      <w:pPr>
        <w:spacing w:line="360" w:lineRule="exact"/>
        <w:jc w:val="center"/>
        <w:rPr>
          <w:rFonts w:hint="eastAsia" w:ascii="黑体" w:hAnsi="黑体" w:eastAsia="黑体"/>
          <w:b/>
          <w:color w:val="000000" w:themeColor="text1"/>
          <w:sz w:val="28"/>
          <w:szCs w:val="21"/>
          <w:highlight w:val="none"/>
          <w14:textFill>
            <w14:solidFill>
              <w14:schemeClr w14:val="tx1"/>
            </w14:solidFill>
          </w14:textFill>
        </w:rPr>
      </w:pPr>
    </w:p>
    <w:p w14:paraId="3343FC25">
      <w:pPr>
        <w:spacing w:line="600" w:lineRule="auto"/>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至：</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64FCA677">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根据《中华人民共和国政府采购法》、《中华人民共和国政府采购法实施条例》等有关法律、法规的规定和</w:t>
      </w:r>
      <w:r>
        <w:rPr>
          <w:rFonts w:hint="eastAsia" w:ascii="宋体" w:hAnsi="宋体" w:eastAsia="宋体" w:cs="宋体"/>
          <w:color w:val="000000" w:themeColor="text1"/>
          <w:sz w:val="24"/>
          <w:szCs w:val="24"/>
          <w:highlight w:val="none"/>
          <w:u w:val="single"/>
          <w14:textFill>
            <w14:solidFill>
              <w14:schemeClr w14:val="tx1"/>
            </w14:solidFill>
          </w14:textFill>
        </w:rPr>
        <w:t>    （项目名称）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的要求，我公司在</w:t>
      </w:r>
      <w:r>
        <w:rPr>
          <w:rFonts w:hint="eastAsia" w:ascii="宋体" w:hAnsi="宋体" w:eastAsia="宋体" w:cs="宋体"/>
          <w:color w:val="000000" w:themeColor="text1"/>
          <w:sz w:val="24"/>
          <w:szCs w:val="24"/>
          <w:highlight w:val="none"/>
          <w:u w:val="single"/>
          <w14:textFill>
            <w14:solidFill>
              <w14:schemeClr w14:val="tx1"/>
            </w14:solidFill>
          </w14:textFill>
        </w:rPr>
        <w:t>   （项目名称）   </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中所提供资料真实性作如下承诺：</w:t>
      </w:r>
    </w:p>
    <w:p w14:paraId="07B31932">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我公司将严格按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要求，在编制本</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时，对</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 xml:space="preserve">中所提供的资料全部真实和正确，并对提供的所有资料（资格、业绩、其他材料等）的真实性负责！ </w:t>
      </w:r>
    </w:p>
    <w:p w14:paraId="4F5BF588">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对提供的全部资料中有存在不真实（伪造或租借等虚假资料）情形，将无条件接受任何处罚，自行承担由此引起的一切责任！</w:t>
      </w:r>
    </w:p>
    <w:p w14:paraId="155ADFD3">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p>
    <w:p w14:paraId="719B60AF">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特此承诺</w:t>
      </w:r>
    </w:p>
    <w:p w14:paraId="1E6E0E5E">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p>
    <w:p w14:paraId="3055A0A6">
      <w:pPr>
        <w:spacing w:line="480" w:lineRule="auto"/>
        <w:ind w:firstLine="1680" w:firstLineChars="7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公</w:t>
      </w:r>
      <w:r>
        <w:rPr>
          <w:rFonts w:hint="eastAsia" w:ascii="宋体" w:hAnsi="宋体" w:eastAsia="宋体" w:cs="宋体"/>
          <w:b w:val="0"/>
          <w:bCs/>
          <w:color w:val="000000" w:themeColor="text1"/>
          <w:sz w:val="24"/>
          <w:szCs w:val="24"/>
          <w:highlight w:val="none"/>
          <w14:textFill>
            <w14:solidFill>
              <w14:schemeClr w14:val="tx1"/>
            </w14:solidFill>
          </w14:textFill>
        </w:rPr>
        <w:t>章）</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1CF15819">
      <w:pPr>
        <w:spacing w:line="480" w:lineRule="auto"/>
        <w:ind w:firstLine="1680" w:firstLineChars="700"/>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法定代表人：（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42D7D09E">
      <w:pPr>
        <w:spacing w:line="480" w:lineRule="auto"/>
        <w:ind w:firstLine="1680" w:firstLineChars="7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有效的联系方式：</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1EABC8B7">
      <w:pPr>
        <w:spacing w:line="480" w:lineRule="auto"/>
        <w:ind w:firstLine="4320" w:firstLineChars="18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年      月       日</w:t>
      </w:r>
    </w:p>
    <w:p w14:paraId="2FB3D47C">
      <w:pPr>
        <w:spacing w:line="480" w:lineRule="auto"/>
        <w:rPr>
          <w:rFonts w:hint="eastAsia" w:ascii="宋体" w:hAnsi="宋体" w:eastAsia="宋体" w:cs="宋体"/>
          <w:b/>
          <w:color w:val="000000" w:themeColor="text1"/>
          <w:sz w:val="24"/>
          <w:szCs w:val="24"/>
          <w:highlight w:val="none"/>
          <w14:textFill>
            <w14:solidFill>
              <w14:schemeClr w14:val="tx1"/>
            </w14:solidFill>
          </w14:textFill>
        </w:rPr>
      </w:pPr>
    </w:p>
    <w:p w14:paraId="70F1DFA0">
      <w:pPr>
        <w:keepNext/>
        <w:keepLines/>
        <w:pageBreakBefore w:val="0"/>
        <w:widowControl w:val="0"/>
        <w:numPr>
          <w:ilvl w:val="0"/>
          <w:numId w:val="0"/>
        </w:numPr>
        <w:tabs>
          <w:tab w:val="left" w:pos="425"/>
          <w:tab w:val="left" w:pos="5852"/>
        </w:tabs>
        <w:kinsoku/>
        <w:wordWrap/>
        <w:overflowPunct/>
        <w:topLinePunct w:val="0"/>
        <w:autoSpaceDE/>
        <w:autoSpaceDN/>
        <w:bidi w:val="0"/>
        <w:adjustRightInd/>
        <w:snapToGrid w:val="0"/>
        <w:spacing w:line="480" w:lineRule="auto"/>
        <w:ind w:leftChars="0"/>
        <w:textAlignment w:val="auto"/>
        <w:outlineLvl w:val="9"/>
        <w:rPr>
          <w:rFonts w:ascii="黑体" w:hAnsi="黑体" w:eastAsia="黑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说明：投标</w:t>
      </w:r>
      <w:r>
        <w:rPr>
          <w:rFonts w:hint="eastAsia" w:ascii="宋体" w:hAnsi="宋体" w:cs="宋体"/>
          <w:b w:val="0"/>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14:textFill>
            <w14:solidFill>
              <w14:schemeClr w14:val="tx1"/>
            </w14:solidFill>
          </w14:textFill>
        </w:rPr>
        <w:t>未提供此承诺的，内容应填写完整，否则其投标将被拒绝！</w:t>
      </w:r>
    </w:p>
    <w:p w14:paraId="29848536">
      <w:pPr>
        <w:pStyle w:val="81"/>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7A4BA7AD">
      <w:pPr>
        <w:pStyle w:val="81"/>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40D6E1B8">
      <w:pPr>
        <w:pStyle w:val="81"/>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134F5EE3">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6E6499B">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十五、</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要求提供的其它材料以及</w:t>
      </w:r>
      <w:r>
        <w:rPr>
          <w:rFonts w:hint="eastAsia" w:ascii="宋体" w:hAnsi="宋体" w:cs="宋体"/>
          <w:b/>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认为需要提交的材料</w:t>
      </w:r>
    </w:p>
    <w:p w14:paraId="21D5A050">
      <w:pPr>
        <w:pStyle w:val="81"/>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2BC6CED8">
      <w:pPr>
        <w:pStyle w:val="27"/>
        <w:spacing w:line="480" w:lineRule="exact"/>
        <w:jc w:val="cente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承诺书</w:t>
      </w:r>
    </w:p>
    <w:p w14:paraId="0A40E43B">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0290D620">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我单位参加</w:t>
      </w:r>
      <w:r>
        <w:rPr>
          <w:rFonts w:hint="eastAsia" w:ascii="宋体" w:hAnsi="宋体" w:eastAsia="宋体" w:cs="宋体"/>
          <w:snapToGrid w:val="0"/>
          <w:color w:val="000000" w:themeColor="text1"/>
          <w:spacing w:val="9"/>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采购活动，郑重承诺具备以下条件；</w:t>
      </w:r>
    </w:p>
    <w:p w14:paraId="6AFE650D">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1、具有独立承担民事责任的能力；</w:t>
      </w:r>
    </w:p>
    <w:p w14:paraId="70EF7213">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2、具有良好的商业信誉和健全的财务会计制度；</w:t>
      </w:r>
    </w:p>
    <w:p w14:paraId="4C0452E4">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3、具有履行合同所必需的设备和专业技术能力；</w:t>
      </w:r>
    </w:p>
    <w:p w14:paraId="7DF4A766">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4、有依法缴纳税收和社会保障资金的良好记录；</w:t>
      </w:r>
    </w:p>
    <w:p w14:paraId="2B7DCFCE">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5、参加采购活动前三年内，在经营活动中没有重大违法记录；</w:t>
      </w:r>
    </w:p>
    <w:p w14:paraId="6DF7EE66">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6、法律、行政法规规定的其他条件。</w:t>
      </w:r>
    </w:p>
    <w:p w14:paraId="0BF6E1B9">
      <w:pPr>
        <w:pStyle w:val="27"/>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4F6C0670">
      <w:pPr>
        <w:pStyle w:val="27"/>
        <w:spacing w:line="480" w:lineRule="exact"/>
        <w:jc w:val="righ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57FAF520">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righ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（盖章) </w:t>
      </w:r>
    </w:p>
    <w:p w14:paraId="681A394A">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righ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法定代表人</w:t>
      </w:r>
      <w:r>
        <w:rPr>
          <w:rFonts w:hint="eastAsia" w:ascii="宋体" w:hAnsi="宋体" w:eastAsia="宋体" w:cs="宋体"/>
          <w:color w:val="000000" w:themeColor="text1"/>
          <w:spacing w:val="8"/>
          <w:sz w:val="24"/>
          <w:szCs w:val="24"/>
          <w:highlight w:val="none"/>
          <w14:textFill>
            <w14:solidFill>
              <w14:schemeClr w14:val="tx1"/>
            </w14:solidFill>
          </w14:textFill>
        </w:rPr>
        <w:t>或委托代理人</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（签字</w:t>
      </w:r>
      <w:r>
        <w:rPr>
          <w:rFonts w:hint="eastAsia" w:ascii="宋体" w:hAnsi="宋体" w:cs="宋体"/>
          <w:color w:val="000000" w:themeColor="text1"/>
          <w:spacing w:val="8"/>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5BE804EB">
      <w:pPr>
        <w:bidi w:val="0"/>
        <w:ind w:left="5880" w:leftChars="2800" w:firstLine="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2830FEE5">
      <w:pPr>
        <w:spacing w:line="480" w:lineRule="auto"/>
        <w:jc w:val="left"/>
        <w:rPr>
          <w:rFonts w:ascii="宋体" w:hAnsi="宋体"/>
          <w:b/>
          <w:bCs/>
          <w:color w:val="000000" w:themeColor="text1"/>
          <w:sz w:val="40"/>
          <w:szCs w:val="21"/>
          <w:highlight w:val="none"/>
          <w14:textFill>
            <w14:solidFill>
              <w14:schemeClr w14:val="tx1"/>
            </w14:solidFill>
          </w14:textFill>
        </w:rPr>
      </w:pPr>
    </w:p>
    <w:p w14:paraId="47B79DF9">
      <w:pPr>
        <w:pStyle w:val="46"/>
        <w:rPr>
          <w:rFonts w:ascii="宋体" w:hAnsi="宋体"/>
          <w:b/>
          <w:bCs/>
          <w:color w:val="000000" w:themeColor="text1"/>
          <w:sz w:val="36"/>
          <w:highlight w:val="none"/>
          <w14:textFill>
            <w14:solidFill>
              <w14:schemeClr w14:val="tx1"/>
            </w14:solidFill>
          </w14:textFill>
        </w:rPr>
      </w:pPr>
    </w:p>
    <w:p w14:paraId="633445C7">
      <w:pPr>
        <w:rPr>
          <w:rFonts w:ascii="宋体" w:hAnsi="宋体"/>
          <w:b/>
          <w:bCs/>
          <w:color w:val="000000" w:themeColor="text1"/>
          <w:sz w:val="36"/>
          <w:highlight w:val="none"/>
          <w14:textFill>
            <w14:solidFill>
              <w14:schemeClr w14:val="tx1"/>
            </w14:solidFill>
          </w14:textFill>
        </w:rPr>
      </w:pPr>
    </w:p>
    <w:p w14:paraId="1F58E062">
      <w:pPr>
        <w:pStyle w:val="27"/>
        <w:spacing w:line="480" w:lineRule="exact"/>
        <w:rPr>
          <w:rFonts w:hint="eastAsia" w:ascii="宋体" w:hAnsi="宋体" w:eastAsia="宋体" w:cs="宋体"/>
          <w:b/>
          <w:color w:val="000000" w:themeColor="text1"/>
          <w:sz w:val="24"/>
          <w:szCs w:val="24"/>
          <w:highlight w:val="none"/>
          <w14:textFill>
            <w14:solidFill>
              <w14:schemeClr w14:val="tx1"/>
            </w14:solidFill>
          </w14:textFill>
        </w:rPr>
      </w:pPr>
    </w:p>
    <w:p w14:paraId="1F28765F">
      <w:pPr>
        <w:pStyle w:val="27"/>
        <w:spacing w:line="480" w:lineRule="exact"/>
        <w:rPr>
          <w:rFonts w:hint="eastAsia" w:ascii="宋体" w:hAnsi="宋体" w:eastAsia="宋体" w:cs="宋体"/>
          <w:b/>
          <w:color w:val="000000" w:themeColor="text1"/>
          <w:sz w:val="24"/>
          <w:szCs w:val="24"/>
          <w:highlight w:val="none"/>
          <w14:textFill>
            <w14:solidFill>
              <w14:schemeClr w14:val="tx1"/>
            </w14:solidFill>
          </w14:textFill>
        </w:rPr>
      </w:pPr>
    </w:p>
    <w:p w14:paraId="1AEDF99B">
      <w:pPr>
        <w:spacing w:line="480" w:lineRule="exact"/>
        <w:rPr>
          <w:rFonts w:hint="eastAsia" w:ascii="宋体" w:hAnsi="宋体" w:eastAsia="宋体" w:cs="宋体"/>
          <w:b/>
          <w:bCs/>
          <w:color w:val="000000" w:themeColor="text1"/>
          <w:sz w:val="24"/>
          <w:szCs w:val="24"/>
          <w:highlight w:val="none"/>
          <w14:textFill>
            <w14:solidFill>
              <w14:schemeClr w14:val="tx1"/>
            </w14:solidFill>
          </w14:textFill>
        </w:rPr>
      </w:pPr>
    </w:p>
    <w:p w14:paraId="4A101103">
      <w:pPr>
        <w:rPr>
          <w:rStyle w:val="67"/>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Style w:val="67"/>
          <w:rFonts w:hint="eastAsia" w:ascii="宋体" w:hAnsi="宋体" w:eastAsia="宋体" w:cs="宋体"/>
          <w:b w:val="0"/>
          <w:color w:val="000000" w:themeColor="text1"/>
          <w:sz w:val="24"/>
          <w:szCs w:val="24"/>
          <w:highlight w:val="none"/>
          <w:lang w:val="en-US" w:eastAsia="zh-CN"/>
          <w14:textFill>
            <w14:solidFill>
              <w14:schemeClr w14:val="tx1"/>
            </w14:solidFill>
          </w14:textFill>
        </w:rPr>
        <w:br w:type="page"/>
      </w:r>
    </w:p>
    <w:p w14:paraId="365A7696">
      <w:pPr>
        <w:spacing w:line="60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60"/>
          <w:sz w:val="32"/>
          <w:szCs w:val="32"/>
          <w:highlight w:val="none"/>
          <w14:textFill>
            <w14:solidFill>
              <w14:schemeClr w14:val="tx1"/>
            </w14:solidFill>
          </w14:textFill>
        </w:rPr>
        <w:t>注意事项</w:t>
      </w:r>
    </w:p>
    <w:p w14:paraId="3977ECDB">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对所附表格中要求的资料和询问应做出肯定的回答。</w:t>
      </w:r>
    </w:p>
    <w:p w14:paraId="489A3097">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的签字人应保证他所做的声明及对一切问题的回答的真实性和准确。</w:t>
      </w:r>
    </w:p>
    <w:p w14:paraId="57CA0198">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提供的</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将由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使用，并据此进行评价和判断，确定</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的能力。</w:t>
      </w:r>
    </w:p>
    <w:p w14:paraId="293544E3">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提交的文件将给予保密，但不退还。</w:t>
      </w:r>
    </w:p>
    <w:p w14:paraId="7DD3FB57">
      <w:pPr>
        <w:spacing w:line="400" w:lineRule="exact"/>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 xml:space="preserve">            </w:t>
      </w:r>
    </w:p>
    <w:p w14:paraId="6D535BE6">
      <w:pPr>
        <w:pStyle w:val="4"/>
        <w:numPr>
          <w:ilvl w:val="0"/>
          <w:numId w:val="0"/>
        </w:numPr>
        <w:shd w:val="clear" w:color="auto" w:fill="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bookmarkStart w:id="678" w:name="_Toc23573"/>
      <w:bookmarkStart w:id="679" w:name="_Toc29473"/>
      <w:r>
        <w:rPr>
          <w:rFonts w:hint="eastAsia" w:ascii="宋体" w:hAnsi="宋体" w:eastAsia="宋体" w:cs="宋体"/>
          <w:b/>
          <w:bCs/>
          <w:i w:val="0"/>
          <w:color w:val="000000" w:themeColor="text1"/>
          <w:spacing w:val="0"/>
          <w:w w:val="100"/>
          <w:kern w:val="0"/>
          <w:position w:val="0"/>
          <w:sz w:val="21"/>
          <w:szCs w:val="21"/>
          <w:highlight w:val="none"/>
          <w:lang w:val="en-US" w:eastAsia="zh-CN" w:bidi="ar-SA"/>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中小企业划分标准</w:t>
      </w:r>
      <w:bookmarkEnd w:id="678"/>
      <w:bookmarkEnd w:id="679"/>
    </w:p>
    <w:p w14:paraId="23CDE87E">
      <w:pPr>
        <w:shd w:val="clear" w:color="auto" w:fill="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80" w:name="bookmark4"/>
      <w:bookmarkStart w:id="681" w:name="bookmark5"/>
      <w:r>
        <w:rPr>
          <w:rFonts w:hint="eastAsia" w:ascii="宋体" w:hAnsi="宋体" w:eastAsia="宋体" w:cs="宋体"/>
          <w:color w:val="000000" w:themeColor="text1"/>
          <w:sz w:val="24"/>
          <w:highlight w:val="none"/>
          <w14:textFill>
            <w14:solidFill>
              <w14:schemeClr w14:val="tx1"/>
            </w14:solidFill>
          </w14:textFill>
        </w:rPr>
        <w:t>工业和信息化部、国家统计局、发展改革委、财政部等四部门《关于印发中小企业划型标准规定的通知》（工信部联企业〔2011〕300号）规定中小企业划型标准如表所示：</w:t>
      </w:r>
      <w:bookmarkEnd w:id="680"/>
      <w:bookmarkEnd w:id="681"/>
    </w:p>
    <w:p w14:paraId="50080F86">
      <w:pPr>
        <w:shd w:val="clear" w:color="auto" w:fill="auto"/>
        <w:spacing w:line="1" w:lineRule="exact"/>
        <w:jc w:val="center"/>
        <w:rPr>
          <w:rFonts w:hint="eastAsia" w:ascii="宋体" w:hAnsi="宋体" w:eastAsia="宋体" w:cs="宋体"/>
          <w:color w:val="000000" w:themeColor="text1"/>
          <w:sz w:val="18"/>
          <w:szCs w:val="18"/>
          <w:highlight w:val="none"/>
          <w14:textFill>
            <w14:solidFill>
              <w14:schemeClr w14:val="tx1"/>
            </w14:solidFill>
          </w14:textFill>
        </w:rPr>
      </w:pPr>
    </w:p>
    <w:tbl>
      <w:tblPr>
        <w:tblStyle w:val="32"/>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36"/>
        <w:gridCol w:w="733"/>
        <w:gridCol w:w="316"/>
        <w:gridCol w:w="6990"/>
        <w:gridCol w:w="2"/>
      </w:tblGrid>
      <w:tr w14:paraId="7384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6C91C35B">
            <w:pPr>
              <w:pStyle w:val="88"/>
              <w:shd w:val="clear" w:color="auto" w:fill="auto"/>
              <w:spacing w:line="240" w:lineRule="auto"/>
              <w:ind w:firstLine="2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农、林、牧、渔业</w:t>
            </w:r>
          </w:p>
        </w:tc>
        <w:tc>
          <w:tcPr>
            <w:tcW w:w="8039" w:type="dxa"/>
            <w:gridSpan w:val="3"/>
            <w:shd w:val="clear" w:color="auto" w:fill="FFFFFF"/>
            <w:noWrap w:val="0"/>
            <w:vAlign w:val="center"/>
          </w:tcPr>
          <w:p w14:paraId="0345F407">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营业收入20000万元以下的为中小微型企业。</w:t>
            </w:r>
          </w:p>
        </w:tc>
      </w:tr>
      <w:tr w14:paraId="1DFB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41920AB1">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0A84C62">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4AEF3835">
            <w:pPr>
              <w:pStyle w:val="88"/>
              <w:shd w:val="clear" w:color="auto" w:fill="auto"/>
              <w:tabs>
                <w:tab w:val="left" w:pos="1930"/>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营业收入500万元及以上</w:t>
            </w:r>
          </w:p>
        </w:tc>
      </w:tr>
      <w:tr w14:paraId="32B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12B7686">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D39013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436E56CB">
            <w:pPr>
              <w:pStyle w:val="88"/>
              <w:shd w:val="clear" w:color="auto" w:fill="auto"/>
              <w:tabs>
                <w:tab w:val="left" w:pos="1752"/>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营业收入50万元及以上</w:t>
            </w:r>
          </w:p>
        </w:tc>
      </w:tr>
      <w:tr w14:paraId="115D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0A50288A">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E44B5CD">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6C5C717D">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营业收入50万元以下</w:t>
            </w:r>
          </w:p>
        </w:tc>
      </w:tr>
      <w:tr w14:paraId="4A24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142E908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w:t>
            </w:r>
          </w:p>
          <w:p w14:paraId="0E7C1D8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（包括采矿业，制造业，电力、热力、燃气及水生产和供应</w:t>
            </w:r>
          </w:p>
          <w:p w14:paraId="12617CA8">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w:t>
            </w:r>
          </w:p>
        </w:tc>
        <w:tc>
          <w:tcPr>
            <w:tcW w:w="8039" w:type="dxa"/>
            <w:gridSpan w:val="3"/>
            <w:shd w:val="clear" w:color="auto" w:fill="FFFFFF"/>
            <w:noWrap w:val="0"/>
            <w:vAlign w:val="center"/>
          </w:tcPr>
          <w:p w14:paraId="12E33F08">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40000万元以下的为中小微型企业。</w:t>
            </w:r>
          </w:p>
        </w:tc>
      </w:tr>
      <w:tr w14:paraId="339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5865EAE">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AC2B316">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2FE851CF">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从业人员300人及以上，且营业收入2000万元及以上</w:t>
            </w:r>
          </w:p>
        </w:tc>
      </w:tr>
      <w:tr w14:paraId="56EF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7DC5BBE0">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051DC4F">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6A532549">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从业人员20人及以上，且营业收入300万元及以上</w:t>
            </w:r>
          </w:p>
        </w:tc>
      </w:tr>
      <w:tr w14:paraId="46A5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0C24471">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197B75B">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505DA299">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从业人员20人以下或营业收入300万元以下</w:t>
            </w:r>
          </w:p>
        </w:tc>
      </w:tr>
      <w:tr w14:paraId="28F6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2584B25F">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建筑业</w:t>
            </w:r>
          </w:p>
        </w:tc>
        <w:tc>
          <w:tcPr>
            <w:tcW w:w="8039" w:type="dxa"/>
            <w:gridSpan w:val="3"/>
            <w:shd w:val="clear" w:color="auto" w:fill="FFFFFF"/>
            <w:noWrap w:val="0"/>
            <w:vAlign w:val="center"/>
          </w:tcPr>
          <w:p w14:paraId="1314EBA6">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营业收入80000万元以下或资产总额 80000万元以下的为中小微型企业。</w:t>
            </w:r>
          </w:p>
        </w:tc>
      </w:tr>
      <w:tr w14:paraId="1A7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4381C44B">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6AAC9D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5FDD6B3B">
            <w:pPr>
              <w:pStyle w:val="88"/>
              <w:shd w:val="clear" w:color="auto" w:fill="auto"/>
              <w:spacing w:line="240" w:lineRule="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营业收入6000万元及以上，且资产总额5000万元及以上</w:t>
            </w:r>
          </w:p>
        </w:tc>
      </w:tr>
      <w:tr w14:paraId="04C5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4E9E869F">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AB291F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2E7E60D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营业收入300万元及以上，且资产总额300万元及以上</w:t>
            </w:r>
          </w:p>
        </w:tc>
      </w:tr>
      <w:tr w14:paraId="22FD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F9B7B1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2110AD3B">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7B66B234">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营业收入300万元以下或资产总额300万元以下</w:t>
            </w:r>
          </w:p>
        </w:tc>
      </w:tr>
      <w:tr w14:paraId="35C1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230B6E7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039" w:type="dxa"/>
            <w:gridSpan w:val="3"/>
            <w:shd w:val="clear" w:color="auto" w:fill="FFFFFF"/>
            <w:noWrap w:val="0"/>
            <w:vAlign w:val="center"/>
          </w:tcPr>
          <w:p w14:paraId="22DD070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从业人员200人以下或营业收入 40000万元以下的为中小微型企业。</w:t>
            </w:r>
          </w:p>
        </w:tc>
      </w:tr>
      <w:tr w14:paraId="139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17A4C79">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065BE0FC">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2A468932">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从业人员20人及以上，且营业收入5000万元及以上</w:t>
            </w:r>
          </w:p>
        </w:tc>
      </w:tr>
      <w:tr w14:paraId="4A8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7AA53E5">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7453805F">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00EB51E9">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从业人员5人及以上，且营业收入1000万元及以上</w:t>
            </w:r>
          </w:p>
        </w:tc>
      </w:tr>
      <w:tr w14:paraId="6389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61CB89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7F4530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6AE1FEA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从业人员5人以下或营业收入1000万元以下</w:t>
            </w:r>
          </w:p>
        </w:tc>
      </w:tr>
      <w:tr w14:paraId="75F2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43A771DB">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零售业</w:t>
            </w:r>
          </w:p>
        </w:tc>
        <w:tc>
          <w:tcPr>
            <w:tcW w:w="8039" w:type="dxa"/>
            <w:gridSpan w:val="3"/>
            <w:shd w:val="clear" w:color="auto" w:fill="FFFFFF"/>
            <w:noWrap w:val="0"/>
            <w:vAlign w:val="center"/>
          </w:tcPr>
          <w:p w14:paraId="164A9F08">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20 000万元以下的为中小微型企业。</w:t>
            </w:r>
          </w:p>
        </w:tc>
      </w:tr>
      <w:tr w14:paraId="4BA8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71FA636C">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E57399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69112E50">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从业人员50人及以上，且营业收入500万元及以上</w:t>
            </w:r>
          </w:p>
        </w:tc>
      </w:tr>
      <w:tr w14:paraId="140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52ABC800">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147C0C7">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66E44608">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491B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AAA5CC6">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F9511F4">
            <w:pPr>
              <w:pStyle w:val="88"/>
              <w:shd w:val="clear" w:color="auto" w:fill="auto"/>
              <w:spacing w:before="8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23FBFA77">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3A0C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7925B360">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交通运输业 （不含铁路运输业）</w:t>
            </w:r>
          </w:p>
        </w:tc>
        <w:tc>
          <w:tcPr>
            <w:tcW w:w="8039" w:type="dxa"/>
            <w:gridSpan w:val="3"/>
            <w:shd w:val="clear" w:color="auto" w:fill="FFFFFF"/>
            <w:noWrap w:val="0"/>
            <w:vAlign w:val="center"/>
          </w:tcPr>
          <w:p w14:paraId="77722A63">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30 000万元以下的为中小微型企业。</w:t>
            </w:r>
          </w:p>
        </w:tc>
      </w:tr>
      <w:tr w14:paraId="139D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90BD30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DB55312">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630ADFD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从业人员300人及以上，且营业收入3000万元及以上</w:t>
            </w:r>
          </w:p>
        </w:tc>
      </w:tr>
      <w:tr w14:paraId="6C3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1241504">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4409588">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2E0F66C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从业人员20人及以上，且营业收入200万元及以上</w:t>
            </w:r>
          </w:p>
        </w:tc>
      </w:tr>
      <w:tr w14:paraId="4C31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3CF78CA">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067EB15A">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548DC09A">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从业人员20人以下或营业收入200万元以下</w:t>
            </w:r>
          </w:p>
        </w:tc>
      </w:tr>
      <w:tr w14:paraId="7B1E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54556489">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仓储业</w:t>
            </w:r>
          </w:p>
        </w:tc>
        <w:tc>
          <w:tcPr>
            <w:tcW w:w="8039" w:type="dxa"/>
            <w:gridSpan w:val="3"/>
            <w:shd w:val="clear" w:color="auto" w:fill="FFFFFF"/>
            <w:noWrap w:val="0"/>
            <w:vAlign w:val="center"/>
          </w:tcPr>
          <w:p w14:paraId="7303F3E6">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从业人员200人以下或营业收入 30 000万元以下的为中小微型企业。</w:t>
            </w:r>
          </w:p>
        </w:tc>
      </w:tr>
      <w:tr w14:paraId="577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00B46927">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D89F64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161DD4F7">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108F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43246FD">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E0B0AE9">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48487D40">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从业人员20人及以上，且营业收入100万元及以上</w:t>
            </w:r>
          </w:p>
        </w:tc>
      </w:tr>
      <w:tr w14:paraId="638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1AAA1C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2AE53E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6738BD1E">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从业人员20人以下或营业收入100万元以下</w:t>
            </w:r>
          </w:p>
        </w:tc>
      </w:tr>
      <w:tr w14:paraId="1929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536E892A">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邮政业</w:t>
            </w:r>
          </w:p>
        </w:tc>
        <w:tc>
          <w:tcPr>
            <w:tcW w:w="8039" w:type="dxa"/>
            <w:gridSpan w:val="3"/>
            <w:shd w:val="clear" w:color="auto" w:fill="FFFFFF"/>
            <w:noWrap w:val="0"/>
            <w:vAlign w:val="center"/>
          </w:tcPr>
          <w:p w14:paraId="37F6A67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30 000万元以下的为中小微型企业。</w:t>
            </w:r>
          </w:p>
        </w:tc>
      </w:tr>
      <w:tr w14:paraId="6449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5278421B">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1454BAA">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3AFE7435">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从业人员300人及以上，且营业收入2000万元及以上</w:t>
            </w:r>
          </w:p>
        </w:tc>
      </w:tr>
      <w:tr w14:paraId="7AF2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F10B621">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A19ABAC">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24D827BB">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从业人员20人及以上，且营业收入100万元及以上</w:t>
            </w:r>
          </w:p>
        </w:tc>
      </w:tr>
      <w:tr w14:paraId="4D7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0513C8C">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AA10191">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1D18197D">
            <w:pPr>
              <w:pStyle w:val="88"/>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从业人员20人以下或营业收入100万元以下</w:t>
            </w:r>
          </w:p>
        </w:tc>
      </w:tr>
      <w:tr w14:paraId="4D15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3E3761F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住宿业</w:t>
            </w:r>
          </w:p>
        </w:tc>
        <w:tc>
          <w:tcPr>
            <w:tcW w:w="8077" w:type="dxa"/>
            <w:gridSpan w:val="5"/>
            <w:shd w:val="clear" w:color="auto" w:fill="FFFFFF"/>
            <w:noWrap w:val="0"/>
            <w:vAlign w:val="center"/>
          </w:tcPr>
          <w:p w14:paraId="4D39E4D5">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10000万元以下的为中小微型企业。</w:t>
            </w:r>
          </w:p>
        </w:tc>
      </w:tr>
      <w:tr w14:paraId="21E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66BF7C6">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1083900D">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7C60174C">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从业人员100人及以上，且营业收入2000万元及以上</w:t>
            </w:r>
          </w:p>
        </w:tc>
      </w:tr>
      <w:tr w14:paraId="5776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4A58E04">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1B5DA2F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57DDF418">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0AC5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25A8DD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683C0E8B">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40E95888">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51F1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27B80584">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餐饮业</w:t>
            </w:r>
          </w:p>
        </w:tc>
        <w:tc>
          <w:tcPr>
            <w:tcW w:w="8077" w:type="dxa"/>
            <w:gridSpan w:val="5"/>
            <w:shd w:val="clear" w:color="auto" w:fill="FFFFFF"/>
            <w:noWrap w:val="0"/>
            <w:vAlign w:val="center"/>
          </w:tcPr>
          <w:p w14:paraId="266D357B">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10 000万元以下的为中小微型企业。</w:t>
            </w:r>
          </w:p>
        </w:tc>
      </w:tr>
      <w:tr w14:paraId="352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DEB3C5E">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220EEBE2">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4130A483">
            <w:pPr>
              <w:pStyle w:val="88"/>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从业人员100人及以上，且营业收入2000万元及以上</w:t>
            </w:r>
          </w:p>
        </w:tc>
      </w:tr>
      <w:tr w14:paraId="7F60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47CEA59">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6593EF30">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07FDB12C">
            <w:pPr>
              <w:pStyle w:val="88"/>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048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49325EC">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B1FDD3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2F330E33">
            <w:pPr>
              <w:pStyle w:val="88"/>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1544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4E8EA484">
            <w:pPr>
              <w:pStyle w:val="88"/>
              <w:shd w:val="clear" w:color="auto" w:fill="auto"/>
              <w:spacing w:line="492"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信息传输业 （包括电信、互联网 和相关服务）</w:t>
            </w:r>
          </w:p>
        </w:tc>
        <w:tc>
          <w:tcPr>
            <w:tcW w:w="8077" w:type="dxa"/>
            <w:gridSpan w:val="5"/>
            <w:shd w:val="clear" w:color="auto" w:fill="FFFFFF"/>
            <w:noWrap w:val="0"/>
            <w:vAlign w:val="center"/>
          </w:tcPr>
          <w:p w14:paraId="0AE6E9FB">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从业人员2000人以下或营业收入 100 000万元以下的为中小微型企业。</w:t>
            </w:r>
          </w:p>
        </w:tc>
      </w:tr>
      <w:tr w14:paraId="1CD3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83C7F45">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4F4596D">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2586C0BF">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26E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51E7EE1">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E322E8E">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02DBF0B1">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2563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F0BEDD5">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7BCAEBF">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0DB7FDB2">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06D3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11D25BC8">
            <w:pPr>
              <w:pStyle w:val="88"/>
              <w:shd w:val="clear" w:color="auto" w:fill="auto"/>
              <w:spacing w:line="509"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软件和信息技术服务业</w:t>
            </w:r>
          </w:p>
        </w:tc>
        <w:tc>
          <w:tcPr>
            <w:tcW w:w="8077" w:type="dxa"/>
            <w:gridSpan w:val="5"/>
            <w:shd w:val="clear" w:color="auto" w:fill="FFFFFF"/>
            <w:noWrap w:val="0"/>
            <w:vAlign w:val="center"/>
          </w:tcPr>
          <w:p w14:paraId="703BDB65">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10000万元以下的为中小微型企业。</w:t>
            </w:r>
          </w:p>
        </w:tc>
      </w:tr>
      <w:tr w14:paraId="5A5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6D1CFDA">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3906C6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6F886514">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15C9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F243A24">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220A0DB7">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37ECCE87">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从业人员10人及以上，且营业收入50万元及以上</w:t>
            </w:r>
          </w:p>
        </w:tc>
      </w:tr>
      <w:tr w14:paraId="223D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4F1168E">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32E9CB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16F192D5">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从业人员10人以下或营业收入50万元以下</w:t>
            </w:r>
          </w:p>
        </w:tc>
      </w:tr>
      <w:tr w14:paraId="7B2A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05263A35">
            <w:pPr>
              <w:pStyle w:val="88"/>
              <w:shd w:val="clear" w:color="auto" w:fil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房地产开发经营</w:t>
            </w:r>
          </w:p>
        </w:tc>
        <w:tc>
          <w:tcPr>
            <w:tcW w:w="8077" w:type="dxa"/>
            <w:gridSpan w:val="5"/>
            <w:shd w:val="clear" w:color="auto" w:fill="FFFFFF"/>
            <w:noWrap w:val="0"/>
            <w:vAlign w:val="center"/>
          </w:tcPr>
          <w:p w14:paraId="2596F051">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营业收入200 000万元以下或资产总额 10 000万元以下的为中小微型企业。</w:t>
            </w:r>
          </w:p>
        </w:tc>
      </w:tr>
      <w:tr w14:paraId="240C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470F253">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3C1C5D1">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74555843">
            <w:pPr>
              <w:pStyle w:val="88"/>
              <w:shd w:val="clear" w:color="auto" w:fill="auto"/>
              <w:spacing w:after="120"/>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营业收入1000万元及以上，且资产总额5000万元及以上</w:t>
            </w:r>
          </w:p>
        </w:tc>
      </w:tr>
      <w:tr w14:paraId="5C65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65A03B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DCE7F9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347EEA6B">
            <w:pPr>
              <w:pStyle w:val="88"/>
              <w:shd w:val="clear" w:color="auto" w:fill="auto"/>
              <w:spacing w:line="240" w:lineRule="auto"/>
              <w:ind w:left="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营业收入100万元及以上，且资产总额2000万元及以上</w:t>
            </w:r>
          </w:p>
        </w:tc>
      </w:tr>
      <w:tr w14:paraId="0AF4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E895E9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5A92547">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0DE6D9B2">
            <w:pPr>
              <w:pStyle w:val="88"/>
              <w:shd w:val="clear" w:color="auto" w:fill="auto"/>
              <w:tabs>
                <w:tab w:val="left" w:pos="5256"/>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营业收入100万元以下或资产总额2000万元以下</w:t>
            </w:r>
          </w:p>
        </w:tc>
      </w:tr>
      <w:tr w14:paraId="5161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7A724577">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物业管理</w:t>
            </w:r>
          </w:p>
        </w:tc>
        <w:tc>
          <w:tcPr>
            <w:tcW w:w="8077" w:type="dxa"/>
            <w:gridSpan w:val="5"/>
            <w:shd w:val="clear" w:color="auto" w:fill="FFFFFF"/>
            <w:noWrap w:val="0"/>
            <w:vAlign w:val="center"/>
          </w:tcPr>
          <w:p w14:paraId="6D23D267">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从业人员1 000人以下或营业收入5000万元以下的为中小微型企业。</w:t>
            </w:r>
          </w:p>
        </w:tc>
      </w:tr>
      <w:tr w14:paraId="1910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2532F51">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FD384AD">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543DA3B8">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从业人员300人及以上，且营业收入1000万元及以上</w:t>
            </w:r>
          </w:p>
        </w:tc>
      </w:tr>
      <w:tr w14:paraId="422A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B19D848">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EA9EB7B">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6232EFDB">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从业人员100人及以上，且营业收入500万元及以上</w:t>
            </w:r>
          </w:p>
        </w:tc>
      </w:tr>
      <w:tr w14:paraId="34D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EAAD7C1">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18AF9A31">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2386C943">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从业人员100人以下或营业收入500万元以下</w:t>
            </w:r>
          </w:p>
        </w:tc>
      </w:tr>
      <w:tr w14:paraId="5549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33BBB72D">
            <w:pPr>
              <w:pStyle w:val="88"/>
              <w:shd w:val="clear" w:color="auto" w:fill="auto"/>
              <w:ind w:firstLine="2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租赁和商务服务业</w:t>
            </w:r>
          </w:p>
        </w:tc>
        <w:tc>
          <w:tcPr>
            <w:tcW w:w="8077" w:type="dxa"/>
            <w:gridSpan w:val="5"/>
            <w:shd w:val="clear" w:color="auto" w:fill="FFFFFF"/>
            <w:noWrap w:val="0"/>
            <w:vAlign w:val="center"/>
          </w:tcPr>
          <w:p w14:paraId="7841D8BA">
            <w:pPr>
              <w:pStyle w:val="88"/>
              <w:shd w:val="clear" w:color="auto" w:fill="auto"/>
              <w:tabs>
                <w:tab w:val="left" w:pos="10666"/>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从业人员300人以下或资产总额 120 000万元以下的为中小微型企业。 其中，从业人员100人及以上，且资产总额 8 000万元及以上的为中型企业；从业人员10人及以上，且资产总额 100万元及以上的为小型企业；从业人员</w:t>
            </w:r>
            <w:r>
              <w:rPr>
                <w:rFonts w:hint="eastAsia" w:ascii="宋体" w:hAnsi="宋体" w:eastAsia="宋体" w:cs="宋体"/>
                <w:color w:val="000000" w:themeColor="text1"/>
                <w:sz w:val="21"/>
                <w:szCs w:val="21"/>
                <w:highlight w:val="none"/>
                <w:lang w:val="en-US"/>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人以下或资产总额 100万元以下的为微型企业。</w:t>
            </w:r>
          </w:p>
        </w:tc>
      </w:tr>
      <w:tr w14:paraId="441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D209423">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28437F69">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41C30D4D">
            <w:pPr>
              <w:pStyle w:val="88"/>
              <w:shd w:val="clear" w:color="auto" w:fill="auto"/>
              <w:ind w:firstLine="14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从业人员100人及以上，且资产总额8000万元及以上</w:t>
            </w:r>
          </w:p>
        </w:tc>
      </w:tr>
      <w:tr w14:paraId="2E75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5E26738">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7466E34">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5CB4AAEC">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从业人员10人及以上，且资产总额100万元及以上</w:t>
            </w:r>
          </w:p>
        </w:tc>
      </w:tr>
      <w:tr w14:paraId="510D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20621179">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56955C7">
            <w:pPr>
              <w:pStyle w:val="88"/>
              <w:shd w:val="clear" w:color="auto" w:fill="auto"/>
              <w:spacing w:before="1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705623F7">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从业人员10人以下或资产总额100万元以下</w:t>
            </w:r>
          </w:p>
        </w:tc>
      </w:tr>
      <w:tr w14:paraId="4144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70F41D8C">
            <w:pPr>
              <w:pStyle w:val="88"/>
              <w:shd w:val="clear" w:color="auto" w:fill="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其他未列明行业</w:t>
            </w:r>
          </w:p>
        </w:tc>
        <w:tc>
          <w:tcPr>
            <w:tcW w:w="8077" w:type="dxa"/>
            <w:gridSpan w:val="5"/>
            <w:shd w:val="clear" w:color="auto" w:fill="FFFFFF"/>
            <w:noWrap w:val="0"/>
            <w:vAlign w:val="center"/>
          </w:tcPr>
          <w:p w14:paraId="41E2CDD6">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从业人员300人以下的为中小微型企业。</w:t>
            </w:r>
          </w:p>
        </w:tc>
      </w:tr>
      <w:tr w14:paraId="139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02C994C">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AB18C62">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0D129358">
            <w:pPr>
              <w:pStyle w:val="88"/>
              <w:shd w:val="clear" w:color="auto" w:fill="auto"/>
              <w:ind w:firstLine="14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从业人员100人及以上</w:t>
            </w:r>
          </w:p>
        </w:tc>
      </w:tr>
      <w:tr w14:paraId="543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B397BBC">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9CE2E0B">
            <w:pPr>
              <w:pStyle w:val="88"/>
              <w:shd w:val="clear" w:color="auto" w:fill="auto"/>
              <w:spacing w:before="8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50622C5E">
            <w:pPr>
              <w:pStyle w:val="88"/>
              <w:shd w:val="clear" w:color="auto" w:fill="auto"/>
              <w:ind w:firstLine="14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从业人员10人及以上</w:t>
            </w:r>
          </w:p>
        </w:tc>
      </w:tr>
      <w:tr w14:paraId="5172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8199DE8">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1405D723">
            <w:pPr>
              <w:pStyle w:val="88"/>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1460351C">
            <w:pPr>
              <w:pStyle w:val="88"/>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w:t>
            </w:r>
          </w:p>
        </w:tc>
      </w:tr>
    </w:tbl>
    <w:p w14:paraId="0033328C">
      <w:pPr>
        <w:rPr>
          <w:rFonts w:hint="eastAsia"/>
          <w:color w:val="000000" w:themeColor="text1"/>
          <w:highlight w:val="none"/>
          <w:lang w:val="en-US" w:eastAsia="zh-CN"/>
          <w14:textFill>
            <w14:solidFill>
              <w14:schemeClr w14:val="tx1"/>
            </w14:solidFill>
          </w14:textFill>
        </w:rPr>
      </w:pPr>
    </w:p>
    <w:p w14:paraId="2D5D05D6">
      <w:pPr>
        <w:rPr>
          <w:rFonts w:hint="eastAsia" w:ascii="宋体" w:hAnsi="宋体" w:eastAsia="宋体" w:cs="宋体"/>
          <w:color w:val="000000" w:themeColor="text1"/>
          <w:sz w:val="24"/>
          <w:szCs w:val="24"/>
          <w:highlight w:val="none"/>
          <w14:textFill>
            <w14:solidFill>
              <w14:schemeClr w14:val="tx1"/>
            </w14:solidFill>
          </w14:textFill>
        </w:rPr>
      </w:pPr>
    </w:p>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 of new roman">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5035">
    <w:pPr>
      <w:pStyle w:val="53"/>
      <w:pBdr>
        <w:top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FA63">
    <w:pPr>
      <w:pStyle w:val="53"/>
      <w:pBdr>
        <w:top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5ED7">
    <w:pPr>
      <w:pStyle w:val="53"/>
      <w:pBdr>
        <w:top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669">
    <w:pPr>
      <w:pStyle w:val="53"/>
      <w:pBdr>
        <w:top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1303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C1303B">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73B3">
    <w:pPr>
      <w:pStyle w:val="53"/>
      <w:pBdr>
        <w:top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44F5D">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F44F5D">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550F">
    <w:pPr>
      <w:pStyle w:val="53"/>
      <w:pBdr>
        <w:top w:val="none" w:color="auto" w:sz="0" w:space="0"/>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A76A2">
                          <w:pPr>
                            <w:pStyle w:val="2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0A76A2">
                    <w:pPr>
                      <w:pStyle w:val="2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B6F0">
    <w:pPr>
      <w:pStyle w:val="53"/>
      <w:pBdr>
        <w:top w:val="none" w:color="auto" w:sz="0" w:space="0"/>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9313E">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0B9313E">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9BBB">
    <w:pPr>
      <w:pStyle w:val="23"/>
      <w:pBdr>
        <w:bottom w:val="double" w:color="auto" w:sz="8" w:space="1"/>
      </w:pBdr>
      <w:spacing w:beforeAutospacing="0"/>
      <w:jc w:val="both"/>
      <w:rPr>
        <w:rFonts w:hint="eastAsia" w:ascii="宋体" w:hAnsi="宋体" w:cs="宋体"/>
        <w:b/>
        <w:bCs/>
        <w:caps/>
        <w:sz w:val="13"/>
        <w:szCs w:val="13"/>
        <w:lang w:val="en-US" w:eastAsia="zh-CN"/>
      </w:rPr>
    </w:pPr>
  </w:p>
  <w:p w14:paraId="36966241">
    <w:pPr>
      <w:pStyle w:val="23"/>
      <w:pBdr>
        <w:bottom w:val="double" w:color="auto" w:sz="8" w:space="1"/>
      </w:pBdr>
      <w:spacing w:beforeAutospacing="0"/>
      <w:jc w:val="both"/>
      <w:rPr>
        <w:rFonts w:hint="eastAsia" w:ascii="宋体" w:hAnsi="宋体" w:cs="宋体"/>
        <w:b/>
        <w:bCs/>
        <w:caps/>
        <w:sz w:val="13"/>
        <w:szCs w:val="13"/>
        <w:lang w:val="en-US" w:eastAsia="zh-CN"/>
      </w:rPr>
    </w:pPr>
  </w:p>
  <w:p w14:paraId="79043C18">
    <w:pPr>
      <w:pStyle w:val="23"/>
      <w:pBdr>
        <w:bottom w:val="double" w:color="auto" w:sz="8" w:space="1"/>
      </w:pBdr>
      <w:spacing w:beforeAutospacing="0"/>
      <w:jc w:val="both"/>
      <w:rPr>
        <w:rFonts w:ascii="宋体" w:hAnsi="宋体"/>
        <w:color w:val="000000"/>
      </w:rPr>
    </w:pPr>
    <w:r>
      <w:rPr>
        <w:rFonts w:hint="eastAsia" w:ascii="宋体" w:hAnsi="宋体" w:cs="宋体"/>
        <w:b/>
        <w:bCs/>
        <w:szCs w:val="18"/>
        <w:lang w:val="en-US" w:eastAsia="zh-CN"/>
      </w:rPr>
      <w:t>新疆国腾工程项目管理咨询有限公司</w:t>
    </w:r>
    <w:r>
      <w:rPr>
        <w:rFonts w:hint="eastAsia" w:ascii="宋体" w:hAnsi="宋体" w:cs="宋体"/>
        <w:b/>
        <w:bCs/>
        <w:caps/>
        <w:sz w:val="13"/>
        <w:szCs w:val="13"/>
        <w:lang w:val="en-US" w:eastAsia="zh-CN"/>
      </w:rPr>
      <w:t xml:space="preserve">                                               </w:t>
    </w:r>
    <w:r>
      <w:rPr>
        <w:rFonts w:hint="eastAsia" w:ascii="宋体" w:hAnsi="宋体" w:cs="宋体"/>
        <w:b/>
        <w:bCs/>
        <w:szCs w:val="18"/>
      </w:rPr>
      <w:t xml:space="preserve">  </w:t>
    </w:r>
    <w:r>
      <w:rPr>
        <w:rFonts w:hint="eastAsia" w:ascii="宋体" w:hAnsi="宋体" w:cs="宋体"/>
        <w:b/>
        <w:bCs/>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A83B">
    <w:pPr>
      <w:pStyle w:val="23"/>
      <w:pBdr>
        <w:bottom w:val="double" w:color="auto" w:sz="8" w:space="1"/>
      </w:pBdr>
      <w:spacing w:beforeAutospacing="0"/>
      <w:jc w:val="both"/>
      <w:rPr>
        <w:rFonts w:hint="eastAsia" w:ascii="宋体" w:hAnsi="宋体" w:eastAsia="宋体" w:cs="宋体"/>
        <w:b/>
        <w:bCs/>
        <w:szCs w:val="18"/>
        <w:lang w:val="en-US" w:eastAsia="zh-CN"/>
      </w:rPr>
    </w:pPr>
  </w:p>
  <w:p w14:paraId="79F6B1F0">
    <w:pPr>
      <w:pStyle w:val="23"/>
      <w:pBdr>
        <w:bottom w:val="double" w:color="auto" w:sz="8" w:space="1"/>
      </w:pBdr>
      <w:spacing w:beforeAutospacing="0"/>
      <w:jc w:val="both"/>
      <w:rPr>
        <w:rFonts w:ascii="宋体" w:hAnsi="宋体"/>
        <w:color w:val="000000"/>
      </w:rPr>
    </w:pPr>
    <w:r>
      <w:rPr>
        <w:rFonts w:hint="eastAsia" w:ascii="宋体" w:hAnsi="宋体" w:cs="宋体"/>
        <w:b/>
        <w:bCs/>
        <w:szCs w:val="18"/>
        <w:lang w:val="en-US" w:eastAsia="zh-CN"/>
      </w:rPr>
      <w:t>新疆国腾工程项目管理咨询有限公司</w:t>
    </w:r>
    <w:r>
      <w:rPr>
        <w:rFonts w:hint="eastAsia" w:ascii="宋体" w:hAnsi="宋体" w:cs="宋体"/>
        <w:b/>
        <w:bCs/>
        <w:caps/>
        <w:sz w:val="13"/>
        <w:szCs w:val="13"/>
        <w:lang w:val="en-US" w:eastAsia="zh-CN"/>
      </w:rPr>
      <w:t xml:space="preserve">                                                         </w:t>
    </w:r>
    <w:r>
      <w:rPr>
        <w:rFonts w:hint="eastAsia" w:ascii="宋体" w:hAnsi="宋体" w:cs="宋体"/>
        <w:b/>
        <w:bCs/>
        <w:szCs w:val="18"/>
      </w:rPr>
      <w:t xml:space="preserve">  </w:t>
    </w:r>
    <w:r>
      <w:rPr>
        <w:rFonts w:hint="eastAsia" w:ascii="宋体" w:hAnsi="宋体" w:cs="宋体"/>
        <w:b/>
        <w:bCs/>
        <w:szCs w:val="18"/>
        <w:lang w:val="en-US" w:eastAsia="zh-CN"/>
      </w:rPr>
      <w:t xml:space="preserve">         </w:t>
    </w:r>
    <w:r>
      <w:rPr>
        <w:rFonts w:hint="eastAsia" w:ascii="宋体" w:hAnsi="宋体" w:cs="宋体"/>
        <w:b/>
        <w:bCs/>
        <w:szCs w:val="18"/>
      </w:rPr>
      <w:t xml:space="preserve"> 公开·公平·公正·诚信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B9C7">
    <w:pPr>
      <w:pStyle w:val="23"/>
      <w:pBdr>
        <w:bottom w:val="none" w:color="auto" w:sz="0" w:space="1"/>
      </w:pBdr>
      <w:jc w:val="both"/>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59121"/>
    <w:multiLevelType w:val="singleLevel"/>
    <w:tmpl w:val="9A659121"/>
    <w:lvl w:ilvl="0" w:tentative="0">
      <w:start w:val="1"/>
      <w:numFmt w:val="bullet"/>
      <w:pStyle w:val="9"/>
      <w:lvlText w:val=""/>
      <w:lvlJc w:val="left"/>
      <w:pPr>
        <w:tabs>
          <w:tab w:val="left" w:pos="360"/>
        </w:tabs>
        <w:ind w:left="360" w:hanging="360"/>
      </w:pPr>
      <w:rPr>
        <w:rFonts w:hint="default" w:ascii="Wingdings" w:hAnsi="Wingdings"/>
      </w:rPr>
    </w:lvl>
  </w:abstractNum>
  <w:abstractNum w:abstractNumId="1">
    <w:nsid w:val="0000000C"/>
    <w:multiLevelType w:val="multilevel"/>
    <w:tmpl w:val="0000000C"/>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3">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0B216D"/>
    <w:multiLevelType w:val="multilevel"/>
    <w:tmpl w:val="010B216D"/>
    <w:lvl w:ilvl="0" w:tentative="0">
      <w:start w:val="1"/>
      <w:numFmt w:val="decimal"/>
      <w:lvlText w:val="%1."/>
      <w:lvlJc w:val="left"/>
      <w:pPr>
        <w:tabs>
          <w:tab w:val="left" w:pos="147"/>
        </w:tabs>
        <w:ind w:left="147" w:hanging="425"/>
      </w:pPr>
      <w:rPr>
        <w:rFonts w:hint="eastAsia"/>
        <w:b/>
        <w:i w:val="0"/>
        <w:sz w:val="28"/>
        <w:szCs w:val="28"/>
      </w:rPr>
    </w:lvl>
    <w:lvl w:ilvl="1" w:tentative="0">
      <w:start w:val="1"/>
      <w:numFmt w:val="decimal"/>
      <w:lvlText w:val="%1.%2."/>
      <w:lvlJc w:val="left"/>
      <w:pPr>
        <w:tabs>
          <w:tab w:val="left" w:pos="289"/>
        </w:tabs>
        <w:ind w:left="289" w:hanging="567"/>
      </w:pPr>
      <w:rPr>
        <w:rFonts w:hint="eastAsia" w:ascii="宋体" w:hAnsi="宋体" w:eastAsia="宋体"/>
        <w:b/>
        <w:i w:val="0"/>
        <w:sz w:val="24"/>
        <w:szCs w:val="24"/>
      </w:rPr>
    </w:lvl>
    <w:lvl w:ilvl="2" w:tentative="0">
      <w:start w:val="1"/>
      <w:numFmt w:val="decimal"/>
      <w:lvlText w:val="%1.%2.%3."/>
      <w:lvlJc w:val="left"/>
      <w:pPr>
        <w:tabs>
          <w:tab w:val="left" w:pos="1050"/>
        </w:tabs>
        <w:ind w:left="1050" w:hanging="624"/>
      </w:pPr>
      <w:rPr>
        <w:rFonts w:hint="eastAsia" w:ascii="宋体" w:eastAsia="宋体"/>
        <w:b w:val="0"/>
        <w:i w:val="0"/>
        <w:sz w:val="24"/>
        <w:szCs w:val="24"/>
      </w:rPr>
    </w:lvl>
    <w:lvl w:ilvl="3" w:tentative="0">
      <w:start w:val="1"/>
      <w:numFmt w:val="decimal"/>
      <w:lvlText w:val="%1.%2.%3.%4."/>
      <w:lvlJc w:val="left"/>
      <w:pPr>
        <w:tabs>
          <w:tab w:val="left" w:pos="573"/>
        </w:tabs>
        <w:ind w:left="573" w:hanging="851"/>
      </w:pPr>
      <w:rPr>
        <w:rFonts w:hint="eastAsia"/>
      </w:rPr>
    </w:lvl>
    <w:lvl w:ilvl="4" w:tentative="0">
      <w:start w:val="1"/>
      <w:numFmt w:val="decimal"/>
      <w:lvlText w:val="%1.%2.%3.%4.%5."/>
      <w:lvlJc w:val="left"/>
      <w:pPr>
        <w:tabs>
          <w:tab w:val="left" w:pos="714"/>
        </w:tabs>
        <w:ind w:left="714" w:hanging="992"/>
      </w:pPr>
      <w:rPr>
        <w:rFonts w:hint="eastAsia"/>
      </w:rPr>
    </w:lvl>
    <w:lvl w:ilvl="5" w:tentative="0">
      <w:start w:val="1"/>
      <w:numFmt w:val="decimal"/>
      <w:lvlText w:val="%1.%2.%3.%4.%5.%6."/>
      <w:lvlJc w:val="left"/>
      <w:pPr>
        <w:tabs>
          <w:tab w:val="left" w:pos="856"/>
        </w:tabs>
        <w:ind w:left="856" w:hanging="1134"/>
      </w:pPr>
      <w:rPr>
        <w:rFonts w:hint="eastAsia"/>
      </w:rPr>
    </w:lvl>
    <w:lvl w:ilvl="6" w:tentative="0">
      <w:start w:val="1"/>
      <w:numFmt w:val="decimal"/>
      <w:lvlText w:val="%1.%2.%3.%4.%5.%6.%7."/>
      <w:lvlJc w:val="left"/>
      <w:pPr>
        <w:tabs>
          <w:tab w:val="left" w:pos="998"/>
        </w:tabs>
        <w:ind w:left="998" w:hanging="1276"/>
      </w:pPr>
      <w:rPr>
        <w:rFonts w:hint="eastAsia"/>
      </w:rPr>
    </w:lvl>
    <w:lvl w:ilvl="7" w:tentative="0">
      <w:start w:val="1"/>
      <w:numFmt w:val="decimal"/>
      <w:lvlText w:val="%1.%2.%3.%4.%5.%6.%7.%8."/>
      <w:lvlJc w:val="left"/>
      <w:pPr>
        <w:tabs>
          <w:tab w:val="left" w:pos="1140"/>
        </w:tabs>
        <w:ind w:left="1140" w:hanging="1418"/>
      </w:pPr>
      <w:rPr>
        <w:rFonts w:hint="eastAsia"/>
      </w:rPr>
    </w:lvl>
    <w:lvl w:ilvl="8" w:tentative="0">
      <w:start w:val="1"/>
      <w:numFmt w:val="decimal"/>
      <w:lvlText w:val="%1.%2.%3.%4.%5.%6.%7.%8.%9."/>
      <w:lvlJc w:val="left"/>
      <w:pPr>
        <w:tabs>
          <w:tab w:val="left" w:pos="1281"/>
        </w:tabs>
        <w:ind w:left="1281" w:hanging="1559"/>
      </w:pPr>
      <w:rPr>
        <w:rFonts w:hint="eastAsia"/>
      </w:rPr>
    </w:lvl>
  </w:abstractNum>
  <w:abstractNum w:abstractNumId="5">
    <w:nsid w:val="0264A9F5"/>
    <w:multiLevelType w:val="singleLevel"/>
    <w:tmpl w:val="0264A9F5"/>
    <w:lvl w:ilvl="0" w:tentative="0">
      <w:start w:val="2"/>
      <w:numFmt w:val="chineseCounting"/>
      <w:suff w:val="space"/>
      <w:lvlText w:val="第%1章"/>
      <w:lvlJc w:val="left"/>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5"/>
  </w:num>
  <w:num w:numId="3">
    <w:abstractNumId w:val="4"/>
  </w:num>
  <w:num w:numId="4">
    <w:abstractNumId w:val="6"/>
  </w:num>
  <w:num w:numId="5">
    <w:abstractNumId w:val="7"/>
  </w:num>
  <w:num w:numId="6">
    <w:abstractNumId w:val="1"/>
  </w:num>
  <w:num w:numId="7">
    <w:abstractNumId w:val="3"/>
    <w:lvlOverride w:ilvl="1">
      <w:startOverride w:val="1"/>
    </w:lvlOverride>
  </w:num>
  <w:num w:numId="8">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jVmMjUxNjhkNmY4MTFiOTJmNDI3YmM0OGNiOGYifQ=="/>
  </w:docVars>
  <w:rsids>
    <w:rsidRoot w:val="7C6102CA"/>
    <w:rsid w:val="005A2D64"/>
    <w:rsid w:val="007B3BB3"/>
    <w:rsid w:val="009E70F5"/>
    <w:rsid w:val="00A23DF8"/>
    <w:rsid w:val="00C50B26"/>
    <w:rsid w:val="00D42B17"/>
    <w:rsid w:val="00F44F67"/>
    <w:rsid w:val="00FF56BA"/>
    <w:rsid w:val="012E5582"/>
    <w:rsid w:val="01514167"/>
    <w:rsid w:val="016C71F3"/>
    <w:rsid w:val="017117FD"/>
    <w:rsid w:val="01AF0E8E"/>
    <w:rsid w:val="01C0753F"/>
    <w:rsid w:val="01C761D7"/>
    <w:rsid w:val="01DC4A7B"/>
    <w:rsid w:val="02054F52"/>
    <w:rsid w:val="02144BFA"/>
    <w:rsid w:val="02160F0D"/>
    <w:rsid w:val="0224362A"/>
    <w:rsid w:val="02385327"/>
    <w:rsid w:val="0246107B"/>
    <w:rsid w:val="0247234C"/>
    <w:rsid w:val="024A0BB7"/>
    <w:rsid w:val="02A8425B"/>
    <w:rsid w:val="02AD1871"/>
    <w:rsid w:val="02B81FC4"/>
    <w:rsid w:val="02BE17C0"/>
    <w:rsid w:val="02BE582C"/>
    <w:rsid w:val="02DF57A3"/>
    <w:rsid w:val="02E6432A"/>
    <w:rsid w:val="030F6088"/>
    <w:rsid w:val="0323246D"/>
    <w:rsid w:val="033504B3"/>
    <w:rsid w:val="03C076C5"/>
    <w:rsid w:val="03C2134C"/>
    <w:rsid w:val="03D14035"/>
    <w:rsid w:val="03EB4FA5"/>
    <w:rsid w:val="03F1578E"/>
    <w:rsid w:val="03F37758"/>
    <w:rsid w:val="03F67601"/>
    <w:rsid w:val="041B6CAE"/>
    <w:rsid w:val="042D3F5F"/>
    <w:rsid w:val="043B46F7"/>
    <w:rsid w:val="04732647"/>
    <w:rsid w:val="04754611"/>
    <w:rsid w:val="04CE1F73"/>
    <w:rsid w:val="04E70FED"/>
    <w:rsid w:val="04E86B91"/>
    <w:rsid w:val="0501600D"/>
    <w:rsid w:val="0506170D"/>
    <w:rsid w:val="052027CE"/>
    <w:rsid w:val="055169D5"/>
    <w:rsid w:val="05656433"/>
    <w:rsid w:val="057C19CF"/>
    <w:rsid w:val="057F6DC9"/>
    <w:rsid w:val="058E05D6"/>
    <w:rsid w:val="05A14F91"/>
    <w:rsid w:val="05AA0371"/>
    <w:rsid w:val="05FE4192"/>
    <w:rsid w:val="060774EA"/>
    <w:rsid w:val="06080E63"/>
    <w:rsid w:val="061B64E7"/>
    <w:rsid w:val="061E4834"/>
    <w:rsid w:val="06367DD0"/>
    <w:rsid w:val="06451DC1"/>
    <w:rsid w:val="064916A0"/>
    <w:rsid w:val="06874187"/>
    <w:rsid w:val="069114AA"/>
    <w:rsid w:val="06A42F8B"/>
    <w:rsid w:val="06AE3E0A"/>
    <w:rsid w:val="06D01FD2"/>
    <w:rsid w:val="0701218C"/>
    <w:rsid w:val="0730397D"/>
    <w:rsid w:val="07464042"/>
    <w:rsid w:val="075524D7"/>
    <w:rsid w:val="079C2696"/>
    <w:rsid w:val="07A121DD"/>
    <w:rsid w:val="07B76CEE"/>
    <w:rsid w:val="07CD6512"/>
    <w:rsid w:val="07DB478B"/>
    <w:rsid w:val="07E353BA"/>
    <w:rsid w:val="084367D4"/>
    <w:rsid w:val="085B3B1D"/>
    <w:rsid w:val="085E716A"/>
    <w:rsid w:val="0870581B"/>
    <w:rsid w:val="087370B9"/>
    <w:rsid w:val="0875641E"/>
    <w:rsid w:val="087D1CE6"/>
    <w:rsid w:val="08856DEC"/>
    <w:rsid w:val="08B60D54"/>
    <w:rsid w:val="08CF1E16"/>
    <w:rsid w:val="08D86F1C"/>
    <w:rsid w:val="08FA5A7C"/>
    <w:rsid w:val="090715AF"/>
    <w:rsid w:val="090B0BAB"/>
    <w:rsid w:val="09213A61"/>
    <w:rsid w:val="0926412B"/>
    <w:rsid w:val="0932487E"/>
    <w:rsid w:val="09371E95"/>
    <w:rsid w:val="09376339"/>
    <w:rsid w:val="093920B1"/>
    <w:rsid w:val="09410F65"/>
    <w:rsid w:val="095A3DD5"/>
    <w:rsid w:val="097C3D4B"/>
    <w:rsid w:val="09862E1C"/>
    <w:rsid w:val="099E0166"/>
    <w:rsid w:val="09B71227"/>
    <w:rsid w:val="09C86F91"/>
    <w:rsid w:val="09D27E0F"/>
    <w:rsid w:val="09D40ACE"/>
    <w:rsid w:val="09F81E67"/>
    <w:rsid w:val="0A1B17B6"/>
    <w:rsid w:val="0A1B3564"/>
    <w:rsid w:val="0A374116"/>
    <w:rsid w:val="0A9D21CB"/>
    <w:rsid w:val="0AA23C86"/>
    <w:rsid w:val="0AC34508"/>
    <w:rsid w:val="0AD41965"/>
    <w:rsid w:val="0AEE75FE"/>
    <w:rsid w:val="0AF344E1"/>
    <w:rsid w:val="0AFB03B2"/>
    <w:rsid w:val="0B271D19"/>
    <w:rsid w:val="0B4929E2"/>
    <w:rsid w:val="0B550EF0"/>
    <w:rsid w:val="0B6727D9"/>
    <w:rsid w:val="0B6D6042"/>
    <w:rsid w:val="0B754EF6"/>
    <w:rsid w:val="0B8213C1"/>
    <w:rsid w:val="0B8D069C"/>
    <w:rsid w:val="0BC46BF9"/>
    <w:rsid w:val="0BCD6AE0"/>
    <w:rsid w:val="0C1E10EA"/>
    <w:rsid w:val="0C5B40EC"/>
    <w:rsid w:val="0C945850"/>
    <w:rsid w:val="0C950876"/>
    <w:rsid w:val="0CBD4DA7"/>
    <w:rsid w:val="0D5C71FC"/>
    <w:rsid w:val="0D913B3D"/>
    <w:rsid w:val="0D9543FB"/>
    <w:rsid w:val="0D991370"/>
    <w:rsid w:val="0D9A342E"/>
    <w:rsid w:val="0DB8731C"/>
    <w:rsid w:val="0DDC74AE"/>
    <w:rsid w:val="0DF30354"/>
    <w:rsid w:val="0E0D7668"/>
    <w:rsid w:val="0E2055ED"/>
    <w:rsid w:val="0E2D1AB8"/>
    <w:rsid w:val="0E505DA2"/>
    <w:rsid w:val="0E611762"/>
    <w:rsid w:val="0E75310C"/>
    <w:rsid w:val="0E7B0A75"/>
    <w:rsid w:val="0EAF071F"/>
    <w:rsid w:val="0EB6385C"/>
    <w:rsid w:val="0EC92CCF"/>
    <w:rsid w:val="0ED13065"/>
    <w:rsid w:val="0F136F00"/>
    <w:rsid w:val="0F1D7D7F"/>
    <w:rsid w:val="0F1E7653"/>
    <w:rsid w:val="0F28279D"/>
    <w:rsid w:val="0F2E3D3A"/>
    <w:rsid w:val="0F3550C8"/>
    <w:rsid w:val="0F3F1AA3"/>
    <w:rsid w:val="0F451083"/>
    <w:rsid w:val="0F503CB0"/>
    <w:rsid w:val="0F5352EA"/>
    <w:rsid w:val="0F60670D"/>
    <w:rsid w:val="0FD83CA6"/>
    <w:rsid w:val="10150A56"/>
    <w:rsid w:val="10354C54"/>
    <w:rsid w:val="105A46BB"/>
    <w:rsid w:val="106B37DA"/>
    <w:rsid w:val="10FE6329"/>
    <w:rsid w:val="110A4333"/>
    <w:rsid w:val="111D4066"/>
    <w:rsid w:val="112C24FB"/>
    <w:rsid w:val="112F4F5E"/>
    <w:rsid w:val="11427B0D"/>
    <w:rsid w:val="114C66F9"/>
    <w:rsid w:val="114E421F"/>
    <w:rsid w:val="11586146"/>
    <w:rsid w:val="115E01DA"/>
    <w:rsid w:val="117F087D"/>
    <w:rsid w:val="11A15AE1"/>
    <w:rsid w:val="11F36B75"/>
    <w:rsid w:val="11FE0D43"/>
    <w:rsid w:val="120E39AF"/>
    <w:rsid w:val="125C296C"/>
    <w:rsid w:val="126C329A"/>
    <w:rsid w:val="12706417"/>
    <w:rsid w:val="127E28E2"/>
    <w:rsid w:val="128F58C2"/>
    <w:rsid w:val="1293615E"/>
    <w:rsid w:val="12971BF6"/>
    <w:rsid w:val="12B021A5"/>
    <w:rsid w:val="12CB18A0"/>
    <w:rsid w:val="12DD1CFF"/>
    <w:rsid w:val="130F79DE"/>
    <w:rsid w:val="1326034E"/>
    <w:rsid w:val="138959E3"/>
    <w:rsid w:val="138A175B"/>
    <w:rsid w:val="141334FE"/>
    <w:rsid w:val="14292D22"/>
    <w:rsid w:val="143B037F"/>
    <w:rsid w:val="14B720DC"/>
    <w:rsid w:val="14EF5D19"/>
    <w:rsid w:val="153B2D0D"/>
    <w:rsid w:val="157224A6"/>
    <w:rsid w:val="15C2342E"/>
    <w:rsid w:val="15F5110D"/>
    <w:rsid w:val="15FF01DE"/>
    <w:rsid w:val="1613704A"/>
    <w:rsid w:val="16201F02"/>
    <w:rsid w:val="16306F40"/>
    <w:rsid w:val="163D0D06"/>
    <w:rsid w:val="167F3C30"/>
    <w:rsid w:val="16B014D8"/>
    <w:rsid w:val="16FA2753"/>
    <w:rsid w:val="16FE12D6"/>
    <w:rsid w:val="17306175"/>
    <w:rsid w:val="1735378C"/>
    <w:rsid w:val="173E7713"/>
    <w:rsid w:val="174A0844"/>
    <w:rsid w:val="175956CC"/>
    <w:rsid w:val="17716EB9"/>
    <w:rsid w:val="177644D0"/>
    <w:rsid w:val="17935082"/>
    <w:rsid w:val="17BE19D3"/>
    <w:rsid w:val="17F91257"/>
    <w:rsid w:val="180970F2"/>
    <w:rsid w:val="18226406"/>
    <w:rsid w:val="18273A1C"/>
    <w:rsid w:val="184E71FB"/>
    <w:rsid w:val="18552337"/>
    <w:rsid w:val="18A55011"/>
    <w:rsid w:val="18AD593E"/>
    <w:rsid w:val="18AF5134"/>
    <w:rsid w:val="18B057C0"/>
    <w:rsid w:val="18C82B09"/>
    <w:rsid w:val="18F51711"/>
    <w:rsid w:val="19031337"/>
    <w:rsid w:val="19037FE5"/>
    <w:rsid w:val="191B532F"/>
    <w:rsid w:val="19487E8E"/>
    <w:rsid w:val="195645B9"/>
    <w:rsid w:val="195E16BF"/>
    <w:rsid w:val="19630A84"/>
    <w:rsid w:val="196D1903"/>
    <w:rsid w:val="197131A1"/>
    <w:rsid w:val="198D3D53"/>
    <w:rsid w:val="19C534ED"/>
    <w:rsid w:val="19CE05F3"/>
    <w:rsid w:val="19E03E83"/>
    <w:rsid w:val="1A002777"/>
    <w:rsid w:val="1A383CBF"/>
    <w:rsid w:val="1A5F56EF"/>
    <w:rsid w:val="1A78055F"/>
    <w:rsid w:val="1A8962C8"/>
    <w:rsid w:val="1AAC0209"/>
    <w:rsid w:val="1AC217DA"/>
    <w:rsid w:val="1AC47300"/>
    <w:rsid w:val="1ADD6614"/>
    <w:rsid w:val="1AE57555"/>
    <w:rsid w:val="1B0B3181"/>
    <w:rsid w:val="1B221A8F"/>
    <w:rsid w:val="1B46240B"/>
    <w:rsid w:val="1B662AAD"/>
    <w:rsid w:val="1B7A20B5"/>
    <w:rsid w:val="1BB750B7"/>
    <w:rsid w:val="1BCD0437"/>
    <w:rsid w:val="1BD712B5"/>
    <w:rsid w:val="1C424981"/>
    <w:rsid w:val="1C4701E9"/>
    <w:rsid w:val="1C4921B3"/>
    <w:rsid w:val="1C6A2129"/>
    <w:rsid w:val="1C7A1A19"/>
    <w:rsid w:val="1C970CCA"/>
    <w:rsid w:val="1C996313"/>
    <w:rsid w:val="1CA613B3"/>
    <w:rsid w:val="1CAA3620"/>
    <w:rsid w:val="1CAD0994"/>
    <w:rsid w:val="1CD06430"/>
    <w:rsid w:val="1CDE733B"/>
    <w:rsid w:val="1DA63635"/>
    <w:rsid w:val="1DAF4298"/>
    <w:rsid w:val="1DB93368"/>
    <w:rsid w:val="1DBB0E8E"/>
    <w:rsid w:val="1DD12460"/>
    <w:rsid w:val="1DD7559C"/>
    <w:rsid w:val="1DDA15EE"/>
    <w:rsid w:val="1DF93765"/>
    <w:rsid w:val="1DFB23A5"/>
    <w:rsid w:val="1DFC5003"/>
    <w:rsid w:val="1E072487"/>
    <w:rsid w:val="1E1660C5"/>
    <w:rsid w:val="1E2F2CF8"/>
    <w:rsid w:val="1E5170FD"/>
    <w:rsid w:val="1F016D75"/>
    <w:rsid w:val="1F122D30"/>
    <w:rsid w:val="1FB02549"/>
    <w:rsid w:val="1FB042F7"/>
    <w:rsid w:val="1FCD4EA9"/>
    <w:rsid w:val="203E7B55"/>
    <w:rsid w:val="20457135"/>
    <w:rsid w:val="204A64FA"/>
    <w:rsid w:val="20B06785"/>
    <w:rsid w:val="20B16579"/>
    <w:rsid w:val="20CA3473"/>
    <w:rsid w:val="20D44015"/>
    <w:rsid w:val="21374CD0"/>
    <w:rsid w:val="21620AF1"/>
    <w:rsid w:val="216361B0"/>
    <w:rsid w:val="216A6083"/>
    <w:rsid w:val="218473D6"/>
    <w:rsid w:val="21892883"/>
    <w:rsid w:val="219914E7"/>
    <w:rsid w:val="21C422DC"/>
    <w:rsid w:val="21E5472C"/>
    <w:rsid w:val="222F1E4B"/>
    <w:rsid w:val="2230171F"/>
    <w:rsid w:val="22486EF4"/>
    <w:rsid w:val="224A27E1"/>
    <w:rsid w:val="22612CC2"/>
    <w:rsid w:val="22E569AE"/>
    <w:rsid w:val="22E9024C"/>
    <w:rsid w:val="22EA5D72"/>
    <w:rsid w:val="23461B9F"/>
    <w:rsid w:val="234C4337"/>
    <w:rsid w:val="235356C5"/>
    <w:rsid w:val="2355768F"/>
    <w:rsid w:val="237044C9"/>
    <w:rsid w:val="23A67EEB"/>
    <w:rsid w:val="23DD70FB"/>
    <w:rsid w:val="23ED5B1A"/>
    <w:rsid w:val="23F01166"/>
    <w:rsid w:val="23FC7B0B"/>
    <w:rsid w:val="2419690F"/>
    <w:rsid w:val="242D6275"/>
    <w:rsid w:val="243279D1"/>
    <w:rsid w:val="244D7F86"/>
    <w:rsid w:val="245B0CD5"/>
    <w:rsid w:val="24B403E6"/>
    <w:rsid w:val="24BA7F43"/>
    <w:rsid w:val="24C3687B"/>
    <w:rsid w:val="24DB5972"/>
    <w:rsid w:val="24EC4023"/>
    <w:rsid w:val="2500362B"/>
    <w:rsid w:val="250749B9"/>
    <w:rsid w:val="2524035B"/>
    <w:rsid w:val="253A4D8F"/>
    <w:rsid w:val="256E67E6"/>
    <w:rsid w:val="25873D4C"/>
    <w:rsid w:val="258E6E89"/>
    <w:rsid w:val="25A95A70"/>
    <w:rsid w:val="25BA0959"/>
    <w:rsid w:val="25E92311"/>
    <w:rsid w:val="25F211C5"/>
    <w:rsid w:val="25F36D79"/>
    <w:rsid w:val="26025181"/>
    <w:rsid w:val="2677074C"/>
    <w:rsid w:val="269B6808"/>
    <w:rsid w:val="26AD333E"/>
    <w:rsid w:val="26AE33EC"/>
    <w:rsid w:val="26BB5A5B"/>
    <w:rsid w:val="26D905D7"/>
    <w:rsid w:val="270627E5"/>
    <w:rsid w:val="27391076"/>
    <w:rsid w:val="273C1350"/>
    <w:rsid w:val="27604855"/>
    <w:rsid w:val="27856069"/>
    <w:rsid w:val="27912C60"/>
    <w:rsid w:val="27D72D69"/>
    <w:rsid w:val="27F92BDD"/>
    <w:rsid w:val="28017DE6"/>
    <w:rsid w:val="284303FE"/>
    <w:rsid w:val="28506677"/>
    <w:rsid w:val="28885E11"/>
    <w:rsid w:val="28940C5A"/>
    <w:rsid w:val="289522DC"/>
    <w:rsid w:val="28AC332A"/>
    <w:rsid w:val="28F33BD2"/>
    <w:rsid w:val="290C4C94"/>
    <w:rsid w:val="29192A8A"/>
    <w:rsid w:val="29240E10"/>
    <w:rsid w:val="292D6084"/>
    <w:rsid w:val="294C58B8"/>
    <w:rsid w:val="294D2BB7"/>
    <w:rsid w:val="294F2DD3"/>
    <w:rsid w:val="29542197"/>
    <w:rsid w:val="29626662"/>
    <w:rsid w:val="296D7255"/>
    <w:rsid w:val="296F0D7F"/>
    <w:rsid w:val="2973086F"/>
    <w:rsid w:val="297C16ED"/>
    <w:rsid w:val="29826D04"/>
    <w:rsid w:val="29BF10BF"/>
    <w:rsid w:val="29FA2D3E"/>
    <w:rsid w:val="2A4B17EC"/>
    <w:rsid w:val="2A4B359A"/>
    <w:rsid w:val="2A9071FF"/>
    <w:rsid w:val="2A946CEF"/>
    <w:rsid w:val="2AAA4765"/>
    <w:rsid w:val="2AAB228B"/>
    <w:rsid w:val="2AB10A39"/>
    <w:rsid w:val="2ABC1DA2"/>
    <w:rsid w:val="2ACD2201"/>
    <w:rsid w:val="2AF57A1F"/>
    <w:rsid w:val="2AF7102C"/>
    <w:rsid w:val="2B0F281A"/>
    <w:rsid w:val="2B1240B8"/>
    <w:rsid w:val="2B2C41BE"/>
    <w:rsid w:val="2B3564E7"/>
    <w:rsid w:val="2B381D70"/>
    <w:rsid w:val="2B455D1B"/>
    <w:rsid w:val="2B57010A"/>
    <w:rsid w:val="2B5D3585"/>
    <w:rsid w:val="2B714350"/>
    <w:rsid w:val="2B8D72B8"/>
    <w:rsid w:val="2BCE7FDF"/>
    <w:rsid w:val="2BCF3D57"/>
    <w:rsid w:val="2C7A06EF"/>
    <w:rsid w:val="2C8114F5"/>
    <w:rsid w:val="2C864D5D"/>
    <w:rsid w:val="2C954FA0"/>
    <w:rsid w:val="2CDE2517"/>
    <w:rsid w:val="2CE657FC"/>
    <w:rsid w:val="2D54499D"/>
    <w:rsid w:val="2D595C45"/>
    <w:rsid w:val="2D7352E2"/>
    <w:rsid w:val="2DB256DE"/>
    <w:rsid w:val="2DC773DC"/>
    <w:rsid w:val="2DF06932"/>
    <w:rsid w:val="2E2E2FB7"/>
    <w:rsid w:val="2E34487D"/>
    <w:rsid w:val="2E644C2A"/>
    <w:rsid w:val="2E6C3ADF"/>
    <w:rsid w:val="2E7F3B7F"/>
    <w:rsid w:val="2E961C7A"/>
    <w:rsid w:val="2E9C2118"/>
    <w:rsid w:val="2EDE1C71"/>
    <w:rsid w:val="2EFE6E2D"/>
    <w:rsid w:val="2F9432ED"/>
    <w:rsid w:val="2F9E5130"/>
    <w:rsid w:val="2FA33530"/>
    <w:rsid w:val="2FA774C5"/>
    <w:rsid w:val="2FBE480E"/>
    <w:rsid w:val="2FC02334"/>
    <w:rsid w:val="2FDE6C5E"/>
    <w:rsid w:val="2FE853E7"/>
    <w:rsid w:val="3029612C"/>
    <w:rsid w:val="30313232"/>
    <w:rsid w:val="305667F5"/>
    <w:rsid w:val="305D4027"/>
    <w:rsid w:val="308570DA"/>
    <w:rsid w:val="309D08C8"/>
    <w:rsid w:val="30CC4D09"/>
    <w:rsid w:val="30E56588"/>
    <w:rsid w:val="31140B8A"/>
    <w:rsid w:val="31240A07"/>
    <w:rsid w:val="31316541"/>
    <w:rsid w:val="313528E5"/>
    <w:rsid w:val="31462D0D"/>
    <w:rsid w:val="314B3E80"/>
    <w:rsid w:val="31834A37"/>
    <w:rsid w:val="319C46DB"/>
    <w:rsid w:val="31B23EFF"/>
    <w:rsid w:val="31C83722"/>
    <w:rsid w:val="31FB58A6"/>
    <w:rsid w:val="32087FC3"/>
    <w:rsid w:val="32244DFC"/>
    <w:rsid w:val="327127D7"/>
    <w:rsid w:val="327306FD"/>
    <w:rsid w:val="32D24852"/>
    <w:rsid w:val="32E4458C"/>
    <w:rsid w:val="32EF7D87"/>
    <w:rsid w:val="32F00926"/>
    <w:rsid w:val="331C5AD4"/>
    <w:rsid w:val="332901F1"/>
    <w:rsid w:val="337F6063"/>
    <w:rsid w:val="338B0CB3"/>
    <w:rsid w:val="33EA7980"/>
    <w:rsid w:val="33F407FF"/>
    <w:rsid w:val="34063D97"/>
    <w:rsid w:val="342804A8"/>
    <w:rsid w:val="342F72BB"/>
    <w:rsid w:val="345F3088"/>
    <w:rsid w:val="346F257B"/>
    <w:rsid w:val="348576A9"/>
    <w:rsid w:val="34A83397"/>
    <w:rsid w:val="34B1049E"/>
    <w:rsid w:val="34B326E0"/>
    <w:rsid w:val="34BD50C3"/>
    <w:rsid w:val="34D83C7C"/>
    <w:rsid w:val="34E70363"/>
    <w:rsid w:val="34FF049D"/>
    <w:rsid w:val="35094B0E"/>
    <w:rsid w:val="35103416"/>
    <w:rsid w:val="351729F7"/>
    <w:rsid w:val="351D3D85"/>
    <w:rsid w:val="3592207D"/>
    <w:rsid w:val="35B9552F"/>
    <w:rsid w:val="35DB7EC8"/>
    <w:rsid w:val="35E87EEF"/>
    <w:rsid w:val="35ED3757"/>
    <w:rsid w:val="35EF5721"/>
    <w:rsid w:val="360867E3"/>
    <w:rsid w:val="361B561A"/>
    <w:rsid w:val="362A49AB"/>
    <w:rsid w:val="362F5B1E"/>
    <w:rsid w:val="36581519"/>
    <w:rsid w:val="36590DED"/>
    <w:rsid w:val="365D6B2F"/>
    <w:rsid w:val="36A91D74"/>
    <w:rsid w:val="36B21AE0"/>
    <w:rsid w:val="37074CED"/>
    <w:rsid w:val="371B42F4"/>
    <w:rsid w:val="37362EDC"/>
    <w:rsid w:val="37384EA6"/>
    <w:rsid w:val="374C2700"/>
    <w:rsid w:val="374C2A45"/>
    <w:rsid w:val="378D6FA0"/>
    <w:rsid w:val="37B22EAA"/>
    <w:rsid w:val="37CE1367"/>
    <w:rsid w:val="37D90437"/>
    <w:rsid w:val="382A0C93"/>
    <w:rsid w:val="38314519"/>
    <w:rsid w:val="38397128"/>
    <w:rsid w:val="38661397"/>
    <w:rsid w:val="38787C50"/>
    <w:rsid w:val="38934A8A"/>
    <w:rsid w:val="38D94BBA"/>
    <w:rsid w:val="38F44DFD"/>
    <w:rsid w:val="390414E4"/>
    <w:rsid w:val="390B0AC4"/>
    <w:rsid w:val="395F2BBE"/>
    <w:rsid w:val="39665CFB"/>
    <w:rsid w:val="399B34CA"/>
    <w:rsid w:val="39B527DE"/>
    <w:rsid w:val="39DC5FBD"/>
    <w:rsid w:val="39EB6200"/>
    <w:rsid w:val="3A1F08B8"/>
    <w:rsid w:val="3A1F40FB"/>
    <w:rsid w:val="3A384FBB"/>
    <w:rsid w:val="3A513627"/>
    <w:rsid w:val="3A712BA9"/>
    <w:rsid w:val="3A886145"/>
    <w:rsid w:val="3A966B3D"/>
    <w:rsid w:val="3AA20FB4"/>
    <w:rsid w:val="3AAF547F"/>
    <w:rsid w:val="3AB111F7"/>
    <w:rsid w:val="3ADE7B13"/>
    <w:rsid w:val="3AE113B1"/>
    <w:rsid w:val="3B033D64"/>
    <w:rsid w:val="3B1F54E9"/>
    <w:rsid w:val="3B312338"/>
    <w:rsid w:val="3B67426B"/>
    <w:rsid w:val="3B801056"/>
    <w:rsid w:val="3BA40D5C"/>
    <w:rsid w:val="3BAA5C47"/>
    <w:rsid w:val="3BAF5634"/>
    <w:rsid w:val="3BB32D4D"/>
    <w:rsid w:val="3BBF5B96"/>
    <w:rsid w:val="3BD66A3C"/>
    <w:rsid w:val="3BDA477E"/>
    <w:rsid w:val="3BDD09B9"/>
    <w:rsid w:val="3BE23632"/>
    <w:rsid w:val="3BF07AFD"/>
    <w:rsid w:val="3BFC2946"/>
    <w:rsid w:val="3C1732DC"/>
    <w:rsid w:val="3C6109FB"/>
    <w:rsid w:val="3C7A386B"/>
    <w:rsid w:val="3C8D17F0"/>
    <w:rsid w:val="3D023F8C"/>
    <w:rsid w:val="3D0E6912"/>
    <w:rsid w:val="3D191AF3"/>
    <w:rsid w:val="3D1B34DD"/>
    <w:rsid w:val="3D632551"/>
    <w:rsid w:val="3D7824A0"/>
    <w:rsid w:val="3D7C35C8"/>
    <w:rsid w:val="3D94095C"/>
    <w:rsid w:val="3DA60DBB"/>
    <w:rsid w:val="3DBF1E7D"/>
    <w:rsid w:val="3DCB0822"/>
    <w:rsid w:val="3DED0BF5"/>
    <w:rsid w:val="3DF15D4D"/>
    <w:rsid w:val="3E330D82"/>
    <w:rsid w:val="3E391C30"/>
    <w:rsid w:val="3E410AE4"/>
    <w:rsid w:val="3E5A7DF8"/>
    <w:rsid w:val="3E6C180C"/>
    <w:rsid w:val="3E6F38A3"/>
    <w:rsid w:val="3E990920"/>
    <w:rsid w:val="3EB412B6"/>
    <w:rsid w:val="3EBF1A09"/>
    <w:rsid w:val="3F201D3F"/>
    <w:rsid w:val="3F2C3542"/>
    <w:rsid w:val="3F485EA2"/>
    <w:rsid w:val="3F584337"/>
    <w:rsid w:val="3F591E5E"/>
    <w:rsid w:val="3F6104C3"/>
    <w:rsid w:val="3F780536"/>
    <w:rsid w:val="3F8844F1"/>
    <w:rsid w:val="3F9115F7"/>
    <w:rsid w:val="3FDB2873"/>
    <w:rsid w:val="3FDF05B5"/>
    <w:rsid w:val="3FE45BCB"/>
    <w:rsid w:val="3FEB51AC"/>
    <w:rsid w:val="4039660E"/>
    <w:rsid w:val="4050500F"/>
    <w:rsid w:val="405F5173"/>
    <w:rsid w:val="406311E6"/>
    <w:rsid w:val="40786313"/>
    <w:rsid w:val="407A208B"/>
    <w:rsid w:val="40A11D0E"/>
    <w:rsid w:val="40B60FC7"/>
    <w:rsid w:val="40C1415E"/>
    <w:rsid w:val="410E6A32"/>
    <w:rsid w:val="411502A2"/>
    <w:rsid w:val="414A0A35"/>
    <w:rsid w:val="414F52C6"/>
    <w:rsid w:val="41870F04"/>
    <w:rsid w:val="41874A60"/>
    <w:rsid w:val="41D94253"/>
    <w:rsid w:val="41E023C2"/>
    <w:rsid w:val="42091919"/>
    <w:rsid w:val="42114C71"/>
    <w:rsid w:val="428216CB"/>
    <w:rsid w:val="428471F1"/>
    <w:rsid w:val="429A6A15"/>
    <w:rsid w:val="42AE4EBA"/>
    <w:rsid w:val="42D53EF1"/>
    <w:rsid w:val="42D71A17"/>
    <w:rsid w:val="430A1DED"/>
    <w:rsid w:val="431247FD"/>
    <w:rsid w:val="434C41B3"/>
    <w:rsid w:val="43AD4526"/>
    <w:rsid w:val="43AE09CA"/>
    <w:rsid w:val="43CD6303"/>
    <w:rsid w:val="43E20674"/>
    <w:rsid w:val="442567B2"/>
    <w:rsid w:val="4427252A"/>
    <w:rsid w:val="444043A0"/>
    <w:rsid w:val="44AE49FA"/>
    <w:rsid w:val="44E938F9"/>
    <w:rsid w:val="454809AA"/>
    <w:rsid w:val="45795917"/>
    <w:rsid w:val="457B0D80"/>
    <w:rsid w:val="45861EC6"/>
    <w:rsid w:val="45943BEF"/>
    <w:rsid w:val="464A2500"/>
    <w:rsid w:val="46626629"/>
    <w:rsid w:val="466F1F67"/>
    <w:rsid w:val="469D6230"/>
    <w:rsid w:val="46B1432D"/>
    <w:rsid w:val="46DE61F7"/>
    <w:rsid w:val="46E77CD6"/>
    <w:rsid w:val="47022DDB"/>
    <w:rsid w:val="47376F28"/>
    <w:rsid w:val="477535AD"/>
    <w:rsid w:val="47777325"/>
    <w:rsid w:val="47A472DD"/>
    <w:rsid w:val="47CB7671"/>
    <w:rsid w:val="47D30C6E"/>
    <w:rsid w:val="47FB7F56"/>
    <w:rsid w:val="48054931"/>
    <w:rsid w:val="48457423"/>
    <w:rsid w:val="487321E2"/>
    <w:rsid w:val="48897310"/>
    <w:rsid w:val="48A04659"/>
    <w:rsid w:val="48B325DE"/>
    <w:rsid w:val="493504C2"/>
    <w:rsid w:val="498B70B7"/>
    <w:rsid w:val="49965848"/>
    <w:rsid w:val="49A07481"/>
    <w:rsid w:val="49BC3715"/>
    <w:rsid w:val="49BE56DF"/>
    <w:rsid w:val="49CB1BAA"/>
    <w:rsid w:val="4A361719"/>
    <w:rsid w:val="4A4060F4"/>
    <w:rsid w:val="4A4F27DB"/>
    <w:rsid w:val="4A657908"/>
    <w:rsid w:val="4A8B58C4"/>
    <w:rsid w:val="4ADF3B5F"/>
    <w:rsid w:val="4AE44CD1"/>
    <w:rsid w:val="4AE45030"/>
    <w:rsid w:val="4AEB61E4"/>
    <w:rsid w:val="4AFA3339"/>
    <w:rsid w:val="4B0E1D4E"/>
    <w:rsid w:val="4B663938"/>
    <w:rsid w:val="4B7A73E4"/>
    <w:rsid w:val="4B955106"/>
    <w:rsid w:val="4BA72C4C"/>
    <w:rsid w:val="4BA8076C"/>
    <w:rsid w:val="4BBA1ED6"/>
    <w:rsid w:val="4BDF0B7C"/>
    <w:rsid w:val="4BE62CCB"/>
    <w:rsid w:val="4C154208"/>
    <w:rsid w:val="4C1C66ED"/>
    <w:rsid w:val="4C3103EA"/>
    <w:rsid w:val="4C6205A3"/>
    <w:rsid w:val="4C6A56AA"/>
    <w:rsid w:val="4C7B3413"/>
    <w:rsid w:val="4C8845CA"/>
    <w:rsid w:val="4C942727"/>
    <w:rsid w:val="4CA961D2"/>
    <w:rsid w:val="4CB44B77"/>
    <w:rsid w:val="4CD15729"/>
    <w:rsid w:val="4CDC7ED3"/>
    <w:rsid w:val="4D0E072B"/>
    <w:rsid w:val="4D0F29B4"/>
    <w:rsid w:val="4D15004A"/>
    <w:rsid w:val="4D21045F"/>
    <w:rsid w:val="4D225F85"/>
    <w:rsid w:val="4D387556"/>
    <w:rsid w:val="4D624012"/>
    <w:rsid w:val="4D6317A6"/>
    <w:rsid w:val="4D6420F9"/>
    <w:rsid w:val="4D7A36CB"/>
    <w:rsid w:val="4D9C7AE5"/>
    <w:rsid w:val="4DBE6647"/>
    <w:rsid w:val="4DBF37D4"/>
    <w:rsid w:val="4DCE1C69"/>
    <w:rsid w:val="4DE60D60"/>
    <w:rsid w:val="4DE653E2"/>
    <w:rsid w:val="4DF55447"/>
    <w:rsid w:val="4E382DC8"/>
    <w:rsid w:val="4E3A10AC"/>
    <w:rsid w:val="4E3C3076"/>
    <w:rsid w:val="4E481A1B"/>
    <w:rsid w:val="4E524648"/>
    <w:rsid w:val="4E5926D3"/>
    <w:rsid w:val="4E6F7DC7"/>
    <w:rsid w:val="4E724CEA"/>
    <w:rsid w:val="4E7B594C"/>
    <w:rsid w:val="4E854A1D"/>
    <w:rsid w:val="4E8F31A6"/>
    <w:rsid w:val="4E9702AC"/>
    <w:rsid w:val="4EAD187E"/>
    <w:rsid w:val="4EBD5F65"/>
    <w:rsid w:val="4EC015B1"/>
    <w:rsid w:val="4ECD6362"/>
    <w:rsid w:val="4ED13B16"/>
    <w:rsid w:val="4EE31744"/>
    <w:rsid w:val="4EF676C9"/>
    <w:rsid w:val="4EFD2805"/>
    <w:rsid w:val="4F2064F4"/>
    <w:rsid w:val="4F2E29BF"/>
    <w:rsid w:val="4F3B50DC"/>
    <w:rsid w:val="4F5733FF"/>
    <w:rsid w:val="4F645B70"/>
    <w:rsid w:val="4F804D73"/>
    <w:rsid w:val="4FA64C4B"/>
    <w:rsid w:val="4FB96E6B"/>
    <w:rsid w:val="500E27F0"/>
    <w:rsid w:val="50480D54"/>
    <w:rsid w:val="50485D02"/>
    <w:rsid w:val="505A5A36"/>
    <w:rsid w:val="506568B4"/>
    <w:rsid w:val="50C03AEB"/>
    <w:rsid w:val="50C0528B"/>
    <w:rsid w:val="50CA6717"/>
    <w:rsid w:val="50E13A61"/>
    <w:rsid w:val="50EB4717"/>
    <w:rsid w:val="510D2AA8"/>
    <w:rsid w:val="512322CB"/>
    <w:rsid w:val="513B7615"/>
    <w:rsid w:val="5162050F"/>
    <w:rsid w:val="51713037"/>
    <w:rsid w:val="51730B5D"/>
    <w:rsid w:val="517D5E7F"/>
    <w:rsid w:val="51962A9D"/>
    <w:rsid w:val="5196484B"/>
    <w:rsid w:val="51AB3D3B"/>
    <w:rsid w:val="51B80C66"/>
    <w:rsid w:val="51C251CD"/>
    <w:rsid w:val="51D11D27"/>
    <w:rsid w:val="51D75590"/>
    <w:rsid w:val="52151C14"/>
    <w:rsid w:val="521D0E97"/>
    <w:rsid w:val="526606C2"/>
    <w:rsid w:val="52754DA9"/>
    <w:rsid w:val="5293282E"/>
    <w:rsid w:val="52B256B5"/>
    <w:rsid w:val="52BB04BB"/>
    <w:rsid w:val="52D720CA"/>
    <w:rsid w:val="52D7511B"/>
    <w:rsid w:val="52DC2732"/>
    <w:rsid w:val="52F156C3"/>
    <w:rsid w:val="52F537F4"/>
    <w:rsid w:val="52FF3287"/>
    <w:rsid w:val="53895131"/>
    <w:rsid w:val="539354E6"/>
    <w:rsid w:val="53A616BE"/>
    <w:rsid w:val="53B10062"/>
    <w:rsid w:val="53C90F08"/>
    <w:rsid w:val="53CE37AD"/>
    <w:rsid w:val="53D17DBD"/>
    <w:rsid w:val="53D578AD"/>
    <w:rsid w:val="542B571F"/>
    <w:rsid w:val="54A51975"/>
    <w:rsid w:val="54BC281B"/>
    <w:rsid w:val="54C53DC5"/>
    <w:rsid w:val="54C811C0"/>
    <w:rsid w:val="55042663"/>
    <w:rsid w:val="55061CE8"/>
    <w:rsid w:val="550E1FB0"/>
    <w:rsid w:val="55102B67"/>
    <w:rsid w:val="5518133D"/>
    <w:rsid w:val="553E3924"/>
    <w:rsid w:val="557355CF"/>
    <w:rsid w:val="55A70AA7"/>
    <w:rsid w:val="5640122A"/>
    <w:rsid w:val="565D002E"/>
    <w:rsid w:val="56717635"/>
    <w:rsid w:val="567710EF"/>
    <w:rsid w:val="56A417B8"/>
    <w:rsid w:val="56A55518"/>
    <w:rsid w:val="56A93273"/>
    <w:rsid w:val="56E30533"/>
    <w:rsid w:val="56EF6ED8"/>
    <w:rsid w:val="572528F9"/>
    <w:rsid w:val="573F0049"/>
    <w:rsid w:val="578B4632"/>
    <w:rsid w:val="57A82053"/>
    <w:rsid w:val="57BD0D84"/>
    <w:rsid w:val="57DD4F82"/>
    <w:rsid w:val="581D1822"/>
    <w:rsid w:val="587C29ED"/>
    <w:rsid w:val="591A5BE0"/>
    <w:rsid w:val="59215342"/>
    <w:rsid w:val="592310BA"/>
    <w:rsid w:val="593E5EF4"/>
    <w:rsid w:val="59575208"/>
    <w:rsid w:val="59747B68"/>
    <w:rsid w:val="597B6F41"/>
    <w:rsid w:val="598558D1"/>
    <w:rsid w:val="5988716F"/>
    <w:rsid w:val="59A07F8E"/>
    <w:rsid w:val="59C81C62"/>
    <w:rsid w:val="59DD74BB"/>
    <w:rsid w:val="59FB10DB"/>
    <w:rsid w:val="5A0053F8"/>
    <w:rsid w:val="5A5017CA"/>
    <w:rsid w:val="5A582FE6"/>
    <w:rsid w:val="5A631A81"/>
    <w:rsid w:val="5AAE70AA"/>
    <w:rsid w:val="5AC10B8B"/>
    <w:rsid w:val="5AD85A9C"/>
    <w:rsid w:val="5AFF2821"/>
    <w:rsid w:val="5B022424"/>
    <w:rsid w:val="5B741564"/>
    <w:rsid w:val="5BA109BC"/>
    <w:rsid w:val="5BAF30D9"/>
    <w:rsid w:val="5BB606DB"/>
    <w:rsid w:val="5BE76EE9"/>
    <w:rsid w:val="5BF8682E"/>
    <w:rsid w:val="5C0A6562"/>
    <w:rsid w:val="5C0C052C"/>
    <w:rsid w:val="5C163158"/>
    <w:rsid w:val="5C2307D3"/>
    <w:rsid w:val="5C5E66B4"/>
    <w:rsid w:val="5C724FDF"/>
    <w:rsid w:val="5C966047"/>
    <w:rsid w:val="5CAC2EA5"/>
    <w:rsid w:val="5CD03307"/>
    <w:rsid w:val="5CDA5F34"/>
    <w:rsid w:val="5D616655"/>
    <w:rsid w:val="5D700646"/>
    <w:rsid w:val="5D891708"/>
    <w:rsid w:val="5DB46785"/>
    <w:rsid w:val="5DEA664B"/>
    <w:rsid w:val="5DF63241"/>
    <w:rsid w:val="5DF70D68"/>
    <w:rsid w:val="5E3B448A"/>
    <w:rsid w:val="5E451AD3"/>
    <w:rsid w:val="5E455888"/>
    <w:rsid w:val="5E5166CA"/>
    <w:rsid w:val="5E6C52B2"/>
    <w:rsid w:val="5E761C8C"/>
    <w:rsid w:val="5E7F3237"/>
    <w:rsid w:val="5E856373"/>
    <w:rsid w:val="5E9B7945"/>
    <w:rsid w:val="5EA04F5B"/>
    <w:rsid w:val="5EAD1265"/>
    <w:rsid w:val="5EB34C8F"/>
    <w:rsid w:val="5EBA3954"/>
    <w:rsid w:val="5EF37781"/>
    <w:rsid w:val="5EFD415C"/>
    <w:rsid w:val="5F24793A"/>
    <w:rsid w:val="5F4B7635"/>
    <w:rsid w:val="5F744410"/>
    <w:rsid w:val="5F9C1BC7"/>
    <w:rsid w:val="5FAB274D"/>
    <w:rsid w:val="5FBF10D2"/>
    <w:rsid w:val="5FE01AB3"/>
    <w:rsid w:val="60182053"/>
    <w:rsid w:val="602D0A71"/>
    <w:rsid w:val="607D5554"/>
    <w:rsid w:val="609B1E7E"/>
    <w:rsid w:val="612D6994"/>
    <w:rsid w:val="614E0C9F"/>
    <w:rsid w:val="615D0EE2"/>
    <w:rsid w:val="61C3168D"/>
    <w:rsid w:val="61CE4C4E"/>
    <w:rsid w:val="61DE0274"/>
    <w:rsid w:val="61E810F3"/>
    <w:rsid w:val="624502F4"/>
    <w:rsid w:val="625B18C5"/>
    <w:rsid w:val="62680A96"/>
    <w:rsid w:val="62BE3C02"/>
    <w:rsid w:val="62C74B48"/>
    <w:rsid w:val="62CD442D"/>
    <w:rsid w:val="62E33669"/>
    <w:rsid w:val="62EF3EC6"/>
    <w:rsid w:val="631A16C3"/>
    <w:rsid w:val="6329551F"/>
    <w:rsid w:val="63B76FCF"/>
    <w:rsid w:val="63CB2A7A"/>
    <w:rsid w:val="63D57455"/>
    <w:rsid w:val="63F42489"/>
    <w:rsid w:val="64025D70"/>
    <w:rsid w:val="641937E6"/>
    <w:rsid w:val="646507D9"/>
    <w:rsid w:val="64A05CB5"/>
    <w:rsid w:val="64A137DB"/>
    <w:rsid w:val="64BE438D"/>
    <w:rsid w:val="64C64FF0"/>
    <w:rsid w:val="64CD45D0"/>
    <w:rsid w:val="64D73325"/>
    <w:rsid w:val="64E831B8"/>
    <w:rsid w:val="64FA04E8"/>
    <w:rsid w:val="65183A9D"/>
    <w:rsid w:val="65222407"/>
    <w:rsid w:val="652E1513"/>
    <w:rsid w:val="652F2B95"/>
    <w:rsid w:val="653463FD"/>
    <w:rsid w:val="655B398A"/>
    <w:rsid w:val="6582360D"/>
    <w:rsid w:val="658B72E8"/>
    <w:rsid w:val="65931376"/>
    <w:rsid w:val="65D35C16"/>
    <w:rsid w:val="661324B7"/>
    <w:rsid w:val="6616004D"/>
    <w:rsid w:val="661B4AF6"/>
    <w:rsid w:val="66256220"/>
    <w:rsid w:val="66320B8F"/>
    <w:rsid w:val="664A7DA0"/>
    <w:rsid w:val="6672542F"/>
    <w:rsid w:val="667271DD"/>
    <w:rsid w:val="6686712D"/>
    <w:rsid w:val="66ED0F5A"/>
    <w:rsid w:val="6732696D"/>
    <w:rsid w:val="67334BBF"/>
    <w:rsid w:val="674212A6"/>
    <w:rsid w:val="674347BF"/>
    <w:rsid w:val="677671A1"/>
    <w:rsid w:val="67780823"/>
    <w:rsid w:val="67C53C55"/>
    <w:rsid w:val="67CF5490"/>
    <w:rsid w:val="67E61C31"/>
    <w:rsid w:val="67F278AA"/>
    <w:rsid w:val="682B1129"/>
    <w:rsid w:val="682B7F8C"/>
    <w:rsid w:val="68613E1C"/>
    <w:rsid w:val="686314D3"/>
    <w:rsid w:val="686822F1"/>
    <w:rsid w:val="687F5BE1"/>
    <w:rsid w:val="689C114A"/>
    <w:rsid w:val="68A044D6"/>
    <w:rsid w:val="68A51AEC"/>
    <w:rsid w:val="68B63CF9"/>
    <w:rsid w:val="68BA727D"/>
    <w:rsid w:val="68C55CEA"/>
    <w:rsid w:val="68CD4B9F"/>
    <w:rsid w:val="69124CA8"/>
    <w:rsid w:val="691B3B5C"/>
    <w:rsid w:val="693B41FE"/>
    <w:rsid w:val="69584DB0"/>
    <w:rsid w:val="69847953"/>
    <w:rsid w:val="69961435"/>
    <w:rsid w:val="69CE0BCF"/>
    <w:rsid w:val="69D41F5D"/>
    <w:rsid w:val="69DC778F"/>
    <w:rsid w:val="69FC1E52"/>
    <w:rsid w:val="6A1A02B8"/>
    <w:rsid w:val="6A42336B"/>
    <w:rsid w:val="6A514D30"/>
    <w:rsid w:val="6A57276D"/>
    <w:rsid w:val="6A5D01A4"/>
    <w:rsid w:val="6AB2229E"/>
    <w:rsid w:val="6AB5047B"/>
    <w:rsid w:val="6AC65D4A"/>
    <w:rsid w:val="6AE0505D"/>
    <w:rsid w:val="6AEA1A38"/>
    <w:rsid w:val="6AF208ED"/>
    <w:rsid w:val="6AF64881"/>
    <w:rsid w:val="6AF91C7B"/>
    <w:rsid w:val="6AFA59F3"/>
    <w:rsid w:val="6B133A97"/>
    <w:rsid w:val="6B19231D"/>
    <w:rsid w:val="6B1C0381"/>
    <w:rsid w:val="6B2D401B"/>
    <w:rsid w:val="6B2F0242"/>
    <w:rsid w:val="6B457399"/>
    <w:rsid w:val="6B4A0729"/>
    <w:rsid w:val="6B67752D"/>
    <w:rsid w:val="6BA047ED"/>
    <w:rsid w:val="6BC06C3D"/>
    <w:rsid w:val="6C2C6080"/>
    <w:rsid w:val="6C360CAD"/>
    <w:rsid w:val="6C3F4006"/>
    <w:rsid w:val="6C6F087D"/>
    <w:rsid w:val="6C944351"/>
    <w:rsid w:val="6CBF0CA2"/>
    <w:rsid w:val="6D3671B7"/>
    <w:rsid w:val="6D480C98"/>
    <w:rsid w:val="6D6B12A5"/>
    <w:rsid w:val="6D785A21"/>
    <w:rsid w:val="6D79199C"/>
    <w:rsid w:val="6DC626A2"/>
    <w:rsid w:val="6DEF7365"/>
    <w:rsid w:val="6E005A16"/>
    <w:rsid w:val="6E337B9A"/>
    <w:rsid w:val="6E405E13"/>
    <w:rsid w:val="6E856472"/>
    <w:rsid w:val="6EAB3BD4"/>
    <w:rsid w:val="6ED547AD"/>
    <w:rsid w:val="6EFE2975"/>
    <w:rsid w:val="6F6A6F1F"/>
    <w:rsid w:val="6F857F81"/>
    <w:rsid w:val="6FB60DC4"/>
    <w:rsid w:val="704C6CF1"/>
    <w:rsid w:val="704F233D"/>
    <w:rsid w:val="70531E2E"/>
    <w:rsid w:val="707029DF"/>
    <w:rsid w:val="707A4AC4"/>
    <w:rsid w:val="70DA60AB"/>
    <w:rsid w:val="70ED2282"/>
    <w:rsid w:val="70F91796"/>
    <w:rsid w:val="70F9386B"/>
    <w:rsid w:val="712F2F91"/>
    <w:rsid w:val="71333A0D"/>
    <w:rsid w:val="713A2FED"/>
    <w:rsid w:val="713F08E6"/>
    <w:rsid w:val="71431EA2"/>
    <w:rsid w:val="715776FB"/>
    <w:rsid w:val="71926986"/>
    <w:rsid w:val="71940950"/>
    <w:rsid w:val="719C7699"/>
    <w:rsid w:val="719E357C"/>
    <w:rsid w:val="71A60683"/>
    <w:rsid w:val="71BA7C8A"/>
    <w:rsid w:val="71C01745"/>
    <w:rsid w:val="71E12379"/>
    <w:rsid w:val="71E2790D"/>
    <w:rsid w:val="71EC42E8"/>
    <w:rsid w:val="71F907B3"/>
    <w:rsid w:val="720601FE"/>
    <w:rsid w:val="72227D09"/>
    <w:rsid w:val="72281098"/>
    <w:rsid w:val="723637B5"/>
    <w:rsid w:val="726A30B5"/>
    <w:rsid w:val="728409C4"/>
    <w:rsid w:val="728E0764"/>
    <w:rsid w:val="729D55E2"/>
    <w:rsid w:val="72A050D2"/>
    <w:rsid w:val="72E2393D"/>
    <w:rsid w:val="72EC6569"/>
    <w:rsid w:val="72F84FAC"/>
    <w:rsid w:val="73057E05"/>
    <w:rsid w:val="735D4177"/>
    <w:rsid w:val="73814F04"/>
    <w:rsid w:val="73B175F5"/>
    <w:rsid w:val="73C53042"/>
    <w:rsid w:val="73FC0DD6"/>
    <w:rsid w:val="73FE6554"/>
    <w:rsid w:val="7435033D"/>
    <w:rsid w:val="74354DE7"/>
    <w:rsid w:val="74440D98"/>
    <w:rsid w:val="74472FBD"/>
    <w:rsid w:val="74743DBF"/>
    <w:rsid w:val="7478018D"/>
    <w:rsid w:val="74884263"/>
    <w:rsid w:val="74956EB9"/>
    <w:rsid w:val="74E0571E"/>
    <w:rsid w:val="74E474F8"/>
    <w:rsid w:val="74F35B62"/>
    <w:rsid w:val="74F57957"/>
    <w:rsid w:val="750F6B76"/>
    <w:rsid w:val="751D0CB9"/>
    <w:rsid w:val="753A35BC"/>
    <w:rsid w:val="757A60AE"/>
    <w:rsid w:val="7589009F"/>
    <w:rsid w:val="759C588A"/>
    <w:rsid w:val="75A86FF9"/>
    <w:rsid w:val="75F47C0F"/>
    <w:rsid w:val="75F55735"/>
    <w:rsid w:val="76243003"/>
    <w:rsid w:val="765468FF"/>
    <w:rsid w:val="767E397C"/>
    <w:rsid w:val="7682032D"/>
    <w:rsid w:val="7682370F"/>
    <w:rsid w:val="768454F1"/>
    <w:rsid w:val="76BB24DB"/>
    <w:rsid w:val="76D637B8"/>
    <w:rsid w:val="76DD06A3"/>
    <w:rsid w:val="76F1414E"/>
    <w:rsid w:val="76FF4ABD"/>
    <w:rsid w:val="771F6F0D"/>
    <w:rsid w:val="773724A9"/>
    <w:rsid w:val="773A3D47"/>
    <w:rsid w:val="774B2230"/>
    <w:rsid w:val="774B7D02"/>
    <w:rsid w:val="7750356B"/>
    <w:rsid w:val="7763329E"/>
    <w:rsid w:val="77690189"/>
    <w:rsid w:val="777955C2"/>
    <w:rsid w:val="77894387"/>
    <w:rsid w:val="778B3E9C"/>
    <w:rsid w:val="77A80CB1"/>
    <w:rsid w:val="77B33C85"/>
    <w:rsid w:val="77BB03D2"/>
    <w:rsid w:val="77CA4EC1"/>
    <w:rsid w:val="78491F11"/>
    <w:rsid w:val="78632E2A"/>
    <w:rsid w:val="786A065C"/>
    <w:rsid w:val="78753AC2"/>
    <w:rsid w:val="789B0816"/>
    <w:rsid w:val="78D6184E"/>
    <w:rsid w:val="78EC2E1F"/>
    <w:rsid w:val="78FB3062"/>
    <w:rsid w:val="79006282"/>
    <w:rsid w:val="79112886"/>
    <w:rsid w:val="791668BF"/>
    <w:rsid w:val="791F31F5"/>
    <w:rsid w:val="7923201D"/>
    <w:rsid w:val="79234F6E"/>
    <w:rsid w:val="7959691A"/>
    <w:rsid w:val="79B871A5"/>
    <w:rsid w:val="79BD2A0E"/>
    <w:rsid w:val="79CB3075"/>
    <w:rsid w:val="79CD2453"/>
    <w:rsid w:val="79D01E04"/>
    <w:rsid w:val="79D55FA9"/>
    <w:rsid w:val="7A15193F"/>
    <w:rsid w:val="7A356A48"/>
    <w:rsid w:val="7A684727"/>
    <w:rsid w:val="7A7B08FF"/>
    <w:rsid w:val="7AA3135F"/>
    <w:rsid w:val="7AB14320"/>
    <w:rsid w:val="7AC5601E"/>
    <w:rsid w:val="7AD4000F"/>
    <w:rsid w:val="7AEF6BF7"/>
    <w:rsid w:val="7AF406B1"/>
    <w:rsid w:val="7B02692A"/>
    <w:rsid w:val="7B2368A0"/>
    <w:rsid w:val="7B452CBB"/>
    <w:rsid w:val="7B4E6013"/>
    <w:rsid w:val="7B605366"/>
    <w:rsid w:val="7B9C6D7F"/>
    <w:rsid w:val="7BF02C26"/>
    <w:rsid w:val="7BFF7884"/>
    <w:rsid w:val="7C0106C9"/>
    <w:rsid w:val="7C11382C"/>
    <w:rsid w:val="7C184379"/>
    <w:rsid w:val="7C32323F"/>
    <w:rsid w:val="7C4F3DF1"/>
    <w:rsid w:val="7C6102CA"/>
    <w:rsid w:val="7C7B1825"/>
    <w:rsid w:val="7C8021FC"/>
    <w:rsid w:val="7CA852AF"/>
    <w:rsid w:val="7CE16A13"/>
    <w:rsid w:val="7CE65A86"/>
    <w:rsid w:val="7CF16C56"/>
    <w:rsid w:val="7CF9504E"/>
    <w:rsid w:val="7D0C1134"/>
    <w:rsid w:val="7D1E4059"/>
    <w:rsid w:val="7D555DEC"/>
    <w:rsid w:val="7D817AAD"/>
    <w:rsid w:val="7D902DFC"/>
    <w:rsid w:val="7D9F4904"/>
    <w:rsid w:val="7DC73E5B"/>
    <w:rsid w:val="7DE06CCB"/>
    <w:rsid w:val="7E0A5DEF"/>
    <w:rsid w:val="7E2549BD"/>
    <w:rsid w:val="7E45629C"/>
    <w:rsid w:val="7E5F22E5"/>
    <w:rsid w:val="7E682F48"/>
    <w:rsid w:val="7E843AFA"/>
    <w:rsid w:val="7E953F59"/>
    <w:rsid w:val="7E9C7095"/>
    <w:rsid w:val="7EA1139D"/>
    <w:rsid w:val="7EA55E20"/>
    <w:rsid w:val="7ECD724F"/>
    <w:rsid w:val="7ED2433A"/>
    <w:rsid w:val="7ED44A81"/>
    <w:rsid w:val="7EDC56E4"/>
    <w:rsid w:val="7EF70770"/>
    <w:rsid w:val="7F196938"/>
    <w:rsid w:val="7F271055"/>
    <w:rsid w:val="7F3E014D"/>
    <w:rsid w:val="7F4219EB"/>
    <w:rsid w:val="7F567244"/>
    <w:rsid w:val="7F612B50"/>
    <w:rsid w:val="7F737DF6"/>
    <w:rsid w:val="7F9B10FB"/>
    <w:rsid w:val="7FDF548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qFormat/>
    <w:uiPriority w:val="0"/>
    <w:pPr>
      <w:keepNext/>
      <w:keepLines/>
      <w:spacing w:before="340" w:beforeLines="0" w:after="330" w:afterLines="0" w:line="578" w:lineRule="auto"/>
      <w:outlineLvl w:val="0"/>
    </w:pPr>
    <w:rPr>
      <w:rFonts w:eastAsia="楷体_GB2312"/>
      <w:b/>
      <w:kern w:val="44"/>
      <w:sz w:val="72"/>
    </w:rPr>
  </w:style>
  <w:style w:type="paragraph" w:styleId="3">
    <w:name w:val="heading 2"/>
    <w:basedOn w:val="1"/>
    <w:next w:val="1"/>
    <w:qFormat/>
    <w:uiPriority w:val="0"/>
    <w:pPr>
      <w:keepNext/>
      <w:keepLines/>
      <w:spacing w:before="20" w:beforeLines="0" w:after="20" w:afterLines="0" w:line="500" w:lineRule="exact"/>
      <w:outlineLvl w:val="1"/>
    </w:pPr>
    <w:rPr>
      <w:rFonts w:ascii="宋体" w:hAnsi="宋体"/>
      <w:b/>
      <w:sz w:val="28"/>
    </w:rPr>
  </w:style>
  <w:style w:type="paragraph" w:styleId="4">
    <w:name w:val="heading 3"/>
    <w:basedOn w:val="1"/>
    <w:next w:val="1"/>
    <w:qFormat/>
    <w:uiPriority w:val="0"/>
    <w:pPr>
      <w:keepNext/>
      <w:keepLines/>
      <w:spacing w:before="260" w:beforeLines="0" w:after="260" w:afterLines="0" w:line="400" w:lineRule="exact"/>
      <w:outlineLvl w:val="2"/>
    </w:pPr>
    <w:rPr>
      <w:rFonts w:ascii="宋体" w:hAnsi="宋体"/>
      <w:b/>
      <w:sz w:val="24"/>
    </w:rPr>
  </w:style>
  <w:style w:type="paragraph" w:styleId="5">
    <w:name w:val="heading 4"/>
    <w:basedOn w:val="1"/>
    <w:next w:val="1"/>
    <w:qFormat/>
    <w:uiPriority w:val="0"/>
    <w:pPr>
      <w:keepNext/>
      <w:spacing w:line="480" w:lineRule="atLeast"/>
      <w:jc w:val="left"/>
      <w:outlineLvl w:val="3"/>
    </w:pPr>
    <w:rPr>
      <w:rFonts w:ascii="楷体_GB2312" w:eastAsia="楷体_GB2312"/>
      <w:sz w:val="30"/>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index 8"/>
    <w:basedOn w:val="1"/>
    <w:next w:val="1"/>
    <w:qFormat/>
    <w:uiPriority w:val="0"/>
    <w:pPr>
      <w:spacing w:line="276" w:lineRule="auto"/>
      <w:jc w:val="left"/>
    </w:pPr>
    <w:rPr>
      <w:rFonts w:ascii="宋体" w:hAnsi="宋体"/>
      <w:color w:val="FF0000"/>
      <w:szCs w:val="21"/>
    </w:rPr>
  </w:style>
  <w:style w:type="paragraph" w:styleId="8">
    <w:name w:val="Normal Indent"/>
    <w:basedOn w:val="1"/>
    <w:qFormat/>
    <w:uiPriority w:val="0"/>
    <w:pPr>
      <w:ind w:firstLine="420"/>
    </w:pPr>
  </w:style>
  <w:style w:type="paragraph" w:styleId="9">
    <w:name w:val="List Bullet"/>
    <w:basedOn w:val="1"/>
    <w:next w:val="10"/>
    <w:qFormat/>
    <w:uiPriority w:val="0"/>
    <w:pPr>
      <w:numPr>
        <w:ilvl w:val="0"/>
        <w:numId w:val="1"/>
      </w:numPr>
    </w:p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11">
    <w:name w:val="toa heading"/>
    <w:basedOn w:val="1"/>
    <w:next w:val="1"/>
    <w:qFormat/>
    <w:uiPriority w:val="0"/>
    <w:pPr>
      <w:spacing w:before="120"/>
    </w:pPr>
    <w:rPr>
      <w:rFonts w:ascii="Arial" w:hAnsi="Arial" w:cs="Arial"/>
      <w:sz w:val="24"/>
      <w:szCs w:val="24"/>
    </w:rPr>
  </w:style>
  <w:style w:type="paragraph" w:styleId="12">
    <w:name w:val="annotation text"/>
    <w:basedOn w:val="1"/>
    <w:qFormat/>
    <w:uiPriority w:val="0"/>
    <w:pPr>
      <w:jc w:val="left"/>
    </w:pPr>
  </w:style>
  <w:style w:type="paragraph" w:styleId="13">
    <w:name w:val="Body Text"/>
    <w:basedOn w:val="1"/>
    <w:next w:val="14"/>
    <w:qFormat/>
    <w:uiPriority w:val="0"/>
    <w:pPr>
      <w:spacing w:line="480" w:lineRule="atLeast"/>
    </w:pPr>
    <w:rPr>
      <w:rFonts w:ascii="楷体_GB2312" w:eastAsia="楷体_GB2312"/>
      <w:b/>
      <w:sz w:val="30"/>
    </w:rPr>
  </w:style>
  <w:style w:type="paragraph" w:styleId="14">
    <w:name w:val="Body Text First Indent"/>
    <w:basedOn w:val="13"/>
    <w:next w:val="1"/>
    <w:qFormat/>
    <w:uiPriority w:val="99"/>
    <w:pPr>
      <w:spacing w:after="120"/>
      <w:ind w:firstLine="420" w:firstLineChars="100"/>
    </w:pPr>
  </w:style>
  <w:style w:type="paragraph" w:styleId="15">
    <w:name w:val="Body Text Indent"/>
    <w:basedOn w:val="1"/>
    <w:qFormat/>
    <w:uiPriority w:val="0"/>
    <w:pPr>
      <w:ind w:firstLine="700" w:firstLineChars="250"/>
    </w:pPr>
    <w:rPr>
      <w:rFonts w:ascii="楷体_GB2312" w:hAnsi="宋体" w:eastAsia="楷体_GB2312"/>
      <w:sz w:val="28"/>
    </w:rPr>
  </w:style>
  <w:style w:type="paragraph" w:styleId="16">
    <w:name w:val="List 2"/>
    <w:basedOn w:val="1"/>
    <w:next w:val="17"/>
    <w:qFormat/>
    <w:uiPriority w:val="0"/>
    <w:pPr>
      <w:ind w:left="100" w:leftChars="200" w:hanging="200" w:hangingChars="200"/>
    </w:pPr>
  </w:style>
  <w:style w:type="paragraph" w:styleId="17">
    <w:name w:val="Plain Text"/>
    <w:basedOn w:val="1"/>
    <w:qFormat/>
    <w:uiPriority w:val="0"/>
    <w:rPr>
      <w:rFonts w:ascii="宋体" w:hAnsi="Courier New"/>
    </w:rPr>
  </w:style>
  <w:style w:type="paragraph" w:styleId="18">
    <w:name w:val="toc 3"/>
    <w:basedOn w:val="1"/>
    <w:next w:val="1"/>
    <w:qFormat/>
    <w:uiPriority w:val="39"/>
    <w:pPr>
      <w:tabs>
        <w:tab w:val="right" w:leader="dot" w:pos="9345"/>
        <w:tab w:val="right" w:leader="dot" w:pos="9450"/>
      </w:tabs>
      <w:spacing w:line="360" w:lineRule="auto"/>
      <w:ind w:left="525"/>
      <w:jc w:val="left"/>
    </w:pPr>
    <w:rPr>
      <w:i/>
      <w:iCs/>
      <w:szCs w:val="24"/>
    </w:rPr>
  </w:style>
  <w:style w:type="paragraph" w:styleId="19">
    <w:name w:val="Date"/>
    <w:basedOn w:val="1"/>
    <w:next w:val="1"/>
    <w:qFormat/>
    <w:uiPriority w:val="0"/>
    <w:pPr>
      <w:autoSpaceDE w:val="0"/>
      <w:autoSpaceDN w:val="0"/>
      <w:adjustRightInd w:val="0"/>
      <w:spacing w:line="312" w:lineRule="atLeast"/>
      <w:textAlignment w:val="baseline"/>
    </w:pPr>
    <w:rPr>
      <w:kern w:val="0"/>
      <w:sz w:val="32"/>
    </w:rPr>
  </w:style>
  <w:style w:type="paragraph" w:styleId="20">
    <w:name w:val="Body Text Indent 2"/>
    <w:basedOn w:val="1"/>
    <w:qFormat/>
    <w:uiPriority w:val="0"/>
    <w:pPr>
      <w:spacing w:line="360" w:lineRule="auto"/>
      <w:ind w:firstLine="555"/>
    </w:pPr>
    <w:rPr>
      <w:rFonts w:ascii="仿宋_GB2312" w:eastAsia="仿宋_GB2312"/>
      <w:sz w:val="28"/>
    </w:rPr>
  </w:style>
  <w:style w:type="paragraph" w:styleId="21">
    <w:name w:val="footer"/>
    <w:basedOn w:val="1"/>
    <w:qFormat/>
    <w:uiPriority w:val="99"/>
    <w:pPr>
      <w:tabs>
        <w:tab w:val="center" w:pos="4153"/>
        <w:tab w:val="right" w:pos="8306"/>
      </w:tabs>
      <w:snapToGrid w:val="0"/>
      <w:jc w:val="left"/>
    </w:pPr>
    <w:rPr>
      <w:sz w:val="18"/>
    </w:rPr>
  </w:style>
  <w:style w:type="paragraph" w:styleId="22">
    <w:name w:val="envelope return"/>
    <w:basedOn w:val="1"/>
    <w:qFormat/>
    <w:uiPriority w:val="99"/>
    <w:pPr>
      <w:snapToGrid w:val="0"/>
    </w:pPr>
    <w:rPr>
      <w:rFonts w:ascii="Arial" w:hAnsi="Arial" w:cs="Arial"/>
    </w:rPr>
  </w:style>
  <w:style w:type="paragraph" w:styleId="23">
    <w:name w:val="header"/>
    <w:basedOn w:val="1"/>
    <w:qFormat/>
    <w:uiPriority w:val="0"/>
    <w:pPr>
      <w:pBdr>
        <w:bottom w:val="thinThickMediumGap" w:color="auto" w:sz="18"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180"/>
      </w:tabs>
      <w:spacing w:after="120" w:afterLines="0" w:line="480" w:lineRule="auto"/>
      <w:jc w:val="center"/>
    </w:pPr>
    <w:rPr>
      <w:b/>
      <w:sz w:val="28"/>
      <w:szCs w:val="28"/>
    </w:rPr>
  </w:style>
  <w:style w:type="paragraph" w:styleId="25">
    <w:name w:val="Subtitle"/>
    <w:basedOn w:val="1"/>
    <w:next w:val="1"/>
    <w:qFormat/>
    <w:uiPriority w:val="11"/>
    <w:pPr>
      <w:wordWrap w:val="0"/>
      <w:spacing w:after="60"/>
      <w:ind w:left="1024" w:firstLine="18"/>
      <w:jc w:val="center"/>
    </w:pPr>
    <w:rPr>
      <w:rFonts w:ascii="Calibri" w:hAnsi="Calibri" w:eastAsia="宋体" w:cs="Times New Roman"/>
      <w:sz w:val="21"/>
      <w:szCs w:val="22"/>
      <w:lang w:val="en-US" w:eastAsia="zh-CN" w:bidi="ar-SA"/>
    </w:rPr>
  </w:style>
  <w:style w:type="paragraph" w:styleId="26">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7">
    <w:name w:val="footnote text"/>
    <w:basedOn w:val="1"/>
    <w:qFormat/>
    <w:uiPriority w:val="0"/>
    <w:pPr>
      <w:snapToGrid w:val="0"/>
      <w:jc w:val="left"/>
    </w:pPr>
    <w:rPr>
      <w:rFonts w:eastAsia="楷体_GB2312"/>
      <w:sz w:val="18"/>
      <w:szCs w:val="18"/>
    </w:rPr>
  </w:style>
  <w:style w:type="paragraph" w:styleId="28">
    <w:name w:val="toc 6"/>
    <w:basedOn w:val="1"/>
    <w:next w:val="1"/>
    <w:qFormat/>
    <w:uiPriority w:val="39"/>
    <w:pPr>
      <w:ind w:left="2100" w:leftChars="1000"/>
    </w:pPr>
  </w:style>
  <w:style w:type="paragraph" w:styleId="29">
    <w:name w:val="Body Text Indent 3"/>
    <w:basedOn w:val="1"/>
    <w:next w:val="9"/>
    <w:qFormat/>
    <w:uiPriority w:val="0"/>
    <w:pPr>
      <w:spacing w:after="120"/>
      <w:ind w:left="420" w:leftChars="200"/>
    </w:pPr>
    <w:rPr>
      <w:sz w:val="16"/>
      <w:szCs w:val="16"/>
    </w:rPr>
  </w:style>
  <w:style w:type="paragraph" w:styleId="30">
    <w:name w:val="toc 2"/>
    <w:basedOn w:val="1"/>
    <w:next w:val="1"/>
    <w:qFormat/>
    <w:uiPriority w:val="39"/>
    <w:pPr>
      <w:tabs>
        <w:tab w:val="right" w:leader="dot" w:pos="9180"/>
      </w:tabs>
      <w:spacing w:line="360" w:lineRule="auto"/>
      <w:ind w:left="210"/>
      <w:jc w:val="left"/>
    </w:pPr>
    <w:rPr>
      <w:smallCaps/>
      <w:szCs w:val="24"/>
    </w:rPr>
  </w:style>
  <w:style w:type="paragraph" w:styleId="31">
    <w:name w:val="Body Text First Indent 2"/>
    <w:basedOn w:val="15"/>
    <w:qFormat/>
    <w:uiPriority w:val="99"/>
    <w:pPr>
      <w:tabs>
        <w:tab w:val="left" w:pos="0"/>
        <w:tab w:val="left" w:pos="993"/>
        <w:tab w:val="left" w:pos="1134"/>
      </w:tabs>
      <w:ind w:firstLine="420" w:firstLineChars="20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Hyperlink"/>
    <w:basedOn w:val="34"/>
    <w:qFormat/>
    <w:uiPriority w:val="99"/>
    <w:rPr>
      <w:color w:val="000000"/>
      <w:sz w:val="18"/>
      <w:szCs w:val="18"/>
      <w:u w:val="none"/>
    </w:rPr>
  </w:style>
  <w:style w:type="character" w:styleId="37">
    <w:name w:val="HTML Sample"/>
    <w:basedOn w:val="34"/>
    <w:qFormat/>
    <w:uiPriority w:val="0"/>
    <w:rPr>
      <w:rFonts w:ascii="Courier New" w:hAnsi="Courier New"/>
    </w:rPr>
  </w:style>
  <w:style w:type="paragraph" w:customStyle="1" w:styleId="38">
    <w:name w:val="style4"/>
    <w:basedOn w:val="1"/>
    <w:next w:val="39"/>
    <w:qFormat/>
    <w:uiPriority w:val="0"/>
    <w:pPr>
      <w:widowControl/>
      <w:spacing w:before="280" w:after="280"/>
    </w:pPr>
    <w:rPr>
      <w:rFonts w:ascii="宋体"/>
      <w:sz w:val="18"/>
    </w:rPr>
  </w:style>
  <w:style w:type="paragraph" w:customStyle="1" w:styleId="3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首行缩进"/>
    <w:basedOn w:val="1"/>
    <w:qFormat/>
    <w:uiPriority w:val="0"/>
    <w:pPr>
      <w:adjustRightInd w:val="0"/>
      <w:ind w:firstLine="720"/>
    </w:pPr>
    <w:rPr>
      <w:sz w:val="24"/>
    </w:rPr>
  </w:style>
  <w:style w:type="paragraph" w:customStyle="1" w:styleId="41">
    <w:name w:val="样式 正文首行缩进 2 + 首行缩进:  2 字符"/>
    <w:basedOn w:val="1"/>
    <w:qFormat/>
    <w:uiPriority w:val="0"/>
    <w:pPr>
      <w:spacing w:line="360" w:lineRule="auto"/>
      <w:ind w:firstLine="480" w:firstLineChars="200"/>
    </w:pPr>
    <w:rPr>
      <w:szCs w:val="21"/>
    </w:rPr>
  </w:style>
  <w:style w:type="paragraph" w:customStyle="1" w:styleId="42">
    <w:name w:val="BodyText"/>
    <w:basedOn w:val="1"/>
    <w:next w:val="43"/>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43">
    <w:name w:val="UserStyle_0"/>
    <w:next w:val="1"/>
    <w:qFormat/>
    <w:uiPriority w:val="0"/>
    <w:pPr>
      <w:textAlignment w:val="baseline"/>
    </w:pPr>
    <w:rPr>
      <w:rFonts w:ascii="Times New Roman" w:hAnsi="Times New Roman" w:eastAsia="宋体" w:cs="Times New Roman"/>
      <w:sz w:val="32"/>
      <w:szCs w:val="22"/>
      <w:lang w:val="en-US" w:eastAsia="zh-CN" w:bidi="ar-SA"/>
    </w:rPr>
  </w:style>
  <w:style w:type="paragraph" w:customStyle="1" w:styleId="44">
    <w:name w:val="目录 53"/>
    <w:basedOn w:val="1"/>
    <w:next w:val="1"/>
    <w:qFormat/>
    <w:uiPriority w:val="0"/>
    <w:pPr>
      <w:ind w:left="840"/>
    </w:pPr>
    <w:rPr>
      <w:sz w:val="18"/>
    </w:rPr>
  </w:style>
  <w:style w:type="paragraph" w:customStyle="1" w:styleId="4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Table Paragraph"/>
    <w:basedOn w:val="1"/>
    <w:qFormat/>
    <w:uiPriority w:val="1"/>
  </w:style>
  <w:style w:type="paragraph" w:customStyle="1" w:styleId="48">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49">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50">
    <w:name w:val="表"/>
    <w:basedOn w:val="1"/>
    <w:qFormat/>
    <w:uiPriority w:val="0"/>
    <w:pPr>
      <w:spacing w:line="360" w:lineRule="auto"/>
    </w:pPr>
    <w:rPr>
      <w:rFonts w:ascii="宋体" w:hAnsi="宋体"/>
      <w:b/>
      <w:bCs/>
    </w:rPr>
  </w:style>
  <w:style w:type="paragraph" w:customStyle="1" w:styleId="51">
    <w:name w:val="样式 小四 段前: 5 磅 段后: 5 磅 首行缩进:  2 字符"/>
    <w:basedOn w:val="1"/>
    <w:qFormat/>
    <w:uiPriority w:val="0"/>
    <w:pPr>
      <w:spacing w:line="360" w:lineRule="auto"/>
    </w:pPr>
    <w:rPr>
      <w:rFonts w:ascii="宋体" w:hAnsi="宋体"/>
      <w:sz w:val="24"/>
      <w:szCs w:val="21"/>
    </w:rPr>
  </w:style>
  <w:style w:type="character" w:customStyle="1" w:styleId="52">
    <w:name w:val="p141"/>
    <w:qFormat/>
    <w:uiPriority w:val="0"/>
    <w:rPr>
      <w:sz w:val="21"/>
      <w:szCs w:val="21"/>
    </w:rPr>
  </w:style>
  <w:style w:type="paragraph" w:customStyle="1" w:styleId="53">
    <w:name w:val="页脚2"/>
    <w:basedOn w:val="1"/>
    <w:qFormat/>
    <w:uiPriority w:val="0"/>
    <w:pPr>
      <w:widowControl/>
      <w:pBdr>
        <w:top w:val="single" w:color="auto" w:sz="6" w:space="0"/>
      </w:pBdr>
      <w:jc w:val="right"/>
      <w:textAlignment w:val="center"/>
    </w:pPr>
    <w:rPr>
      <w:rFonts w:ascii="宋体" w:hAnsi="宋体"/>
      <w:kern w:val="0"/>
      <w:sz w:val="18"/>
      <w:szCs w:val="18"/>
    </w:rPr>
  </w:style>
  <w:style w:type="character" w:customStyle="1" w:styleId="54">
    <w:name w:val="font31"/>
    <w:basedOn w:val="34"/>
    <w:qFormat/>
    <w:uiPriority w:val="0"/>
    <w:rPr>
      <w:rFonts w:hint="eastAsia" w:ascii="宋体" w:hAnsi="宋体" w:eastAsia="宋体" w:cs="宋体"/>
      <w:b/>
      <w:bCs/>
      <w:color w:val="000000"/>
      <w:sz w:val="22"/>
      <w:szCs w:val="22"/>
      <w:u w:val="none"/>
    </w:rPr>
  </w:style>
  <w:style w:type="character" w:customStyle="1" w:styleId="55">
    <w:name w:val="font21"/>
    <w:basedOn w:val="34"/>
    <w:qFormat/>
    <w:uiPriority w:val="0"/>
    <w:rPr>
      <w:rFonts w:hint="eastAsia" w:ascii="宋体" w:hAnsi="宋体" w:eastAsia="宋体" w:cs="宋体"/>
      <w:color w:val="000000"/>
      <w:sz w:val="22"/>
      <w:szCs w:val="22"/>
      <w:u w:val="none"/>
    </w:rPr>
  </w:style>
  <w:style w:type="character" w:customStyle="1" w:styleId="56">
    <w:name w:val="font71"/>
    <w:basedOn w:val="34"/>
    <w:qFormat/>
    <w:uiPriority w:val="0"/>
    <w:rPr>
      <w:rFonts w:hint="default" w:ascii="Times New Roman" w:hAnsi="Times New Roman" w:cs="Times New Roman"/>
      <w:color w:val="000000"/>
      <w:sz w:val="22"/>
      <w:szCs w:val="22"/>
      <w:u w:val="none"/>
    </w:rPr>
  </w:style>
  <w:style w:type="character" w:customStyle="1" w:styleId="57">
    <w:name w:val="font51"/>
    <w:basedOn w:val="34"/>
    <w:qFormat/>
    <w:uiPriority w:val="0"/>
    <w:rPr>
      <w:rFonts w:hint="eastAsia" w:ascii="宋体" w:hAnsi="宋体" w:eastAsia="宋体" w:cs="宋体"/>
      <w:color w:val="000000"/>
      <w:sz w:val="18"/>
      <w:szCs w:val="18"/>
      <w:u w:val="none"/>
    </w:rPr>
  </w:style>
  <w:style w:type="character" w:customStyle="1" w:styleId="58">
    <w:name w:val="font41"/>
    <w:basedOn w:val="34"/>
    <w:qFormat/>
    <w:uiPriority w:val="0"/>
    <w:rPr>
      <w:rFonts w:hint="eastAsia" w:ascii="宋体" w:hAnsi="宋体" w:eastAsia="宋体" w:cs="宋体"/>
      <w:color w:val="000000"/>
      <w:sz w:val="20"/>
      <w:szCs w:val="20"/>
      <w:u w:val="none"/>
    </w:rPr>
  </w:style>
  <w:style w:type="character" w:customStyle="1" w:styleId="59">
    <w:name w:val="font61"/>
    <w:basedOn w:val="34"/>
    <w:qFormat/>
    <w:uiPriority w:val="0"/>
    <w:rPr>
      <w:rFonts w:hint="default" w:ascii="Times New Roman" w:hAnsi="Times New Roman" w:cs="Times New Roman"/>
      <w:color w:val="000000"/>
      <w:sz w:val="20"/>
      <w:szCs w:val="20"/>
      <w:u w:val="none"/>
    </w:rPr>
  </w:style>
  <w:style w:type="character" w:customStyle="1" w:styleId="60">
    <w:name w:val="font91"/>
    <w:basedOn w:val="34"/>
    <w:qFormat/>
    <w:uiPriority w:val="0"/>
    <w:rPr>
      <w:rFonts w:hint="eastAsia" w:ascii="宋体" w:hAnsi="宋体" w:eastAsia="宋体" w:cs="宋体"/>
      <w:b/>
      <w:bCs/>
      <w:color w:val="000000"/>
      <w:sz w:val="24"/>
      <w:szCs w:val="24"/>
      <w:u w:val="none"/>
    </w:rPr>
  </w:style>
  <w:style w:type="character" w:customStyle="1" w:styleId="61">
    <w:name w:val="font01"/>
    <w:basedOn w:val="34"/>
    <w:qFormat/>
    <w:uiPriority w:val="0"/>
    <w:rPr>
      <w:rFonts w:hint="eastAsia" w:ascii="宋体" w:hAnsi="宋体" w:eastAsia="宋体" w:cs="宋体"/>
      <w:color w:val="000000"/>
      <w:sz w:val="24"/>
      <w:szCs w:val="24"/>
      <w:u w:val="none"/>
    </w:rPr>
  </w:style>
  <w:style w:type="character" w:customStyle="1" w:styleId="62">
    <w:name w:val="font101"/>
    <w:basedOn w:val="34"/>
    <w:qFormat/>
    <w:uiPriority w:val="0"/>
    <w:rPr>
      <w:rFonts w:hint="eastAsia" w:ascii="宋体" w:hAnsi="宋体" w:eastAsia="宋体" w:cs="宋体"/>
      <w:b/>
      <w:bCs/>
      <w:color w:val="000000"/>
      <w:sz w:val="24"/>
      <w:szCs w:val="24"/>
      <w:u w:val="none"/>
    </w:rPr>
  </w:style>
  <w:style w:type="paragraph" w:customStyle="1" w:styleId="63">
    <w:name w:val="列出段落11"/>
    <w:basedOn w:val="1"/>
    <w:qFormat/>
    <w:uiPriority w:val="0"/>
    <w:pPr>
      <w:ind w:firstLine="420" w:firstLineChars="200"/>
    </w:pPr>
  </w:style>
  <w:style w:type="paragraph" w:customStyle="1" w:styleId="64">
    <w:name w:val="列出段落1"/>
    <w:basedOn w:val="1"/>
    <w:qFormat/>
    <w:uiPriority w:val="0"/>
    <w:pPr>
      <w:ind w:firstLine="420" w:firstLineChars="200"/>
    </w:pPr>
  </w:style>
  <w:style w:type="paragraph" w:styleId="65">
    <w:name w:val="List Paragraph"/>
    <w:basedOn w:val="1"/>
    <w:qFormat/>
    <w:uiPriority w:val="34"/>
    <w:pPr>
      <w:ind w:firstLine="420" w:firstLineChars="200"/>
    </w:pPr>
  </w:style>
  <w:style w:type="paragraph" w:customStyle="1" w:styleId="6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7">
    <w:name w:val="标题 1 Char"/>
    <w:link w:val="2"/>
    <w:qFormat/>
    <w:uiPriority w:val="0"/>
    <w:rPr>
      <w:rFonts w:eastAsia="楷体_GB2312"/>
      <w:b/>
      <w:kern w:val="44"/>
      <w:sz w:val="72"/>
    </w:rPr>
  </w:style>
  <w:style w:type="paragraph" w:customStyle="1" w:styleId="6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纯文本1 New New New New New New New New"/>
    <w:basedOn w:val="1"/>
    <w:qFormat/>
    <w:uiPriority w:val="0"/>
    <w:pPr>
      <w:widowControl w:val="0"/>
      <w:suppressAutoHyphens/>
    </w:pPr>
    <w:rPr>
      <w:rFonts w:ascii="宋体"/>
      <w:kern w:val="2"/>
      <w:szCs w:val="20"/>
      <w:lang w:eastAsia="ar-SA"/>
    </w:rPr>
  </w:style>
  <w:style w:type="character" w:customStyle="1" w:styleId="72">
    <w:name w:val="标题 2 字符"/>
    <w:qFormat/>
    <w:uiPriority w:val="99"/>
    <w:rPr>
      <w:b/>
      <w:kern w:val="2"/>
      <w:sz w:val="24"/>
      <w:szCs w:val="24"/>
    </w:rPr>
  </w:style>
  <w:style w:type="paragraph" w:customStyle="1" w:styleId="73">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74">
    <w:name w:val="Normal_0"/>
    <w:next w:val="31"/>
    <w:qFormat/>
    <w:uiPriority w:val="0"/>
    <w:rPr>
      <w:rFonts w:ascii="Times New Roman" w:hAnsi="Times New Roman" w:eastAsia="Times New Roman" w:cs="Times New Roman"/>
      <w:sz w:val="24"/>
      <w:szCs w:val="24"/>
      <w:lang w:bidi="ar-SA"/>
    </w:rPr>
  </w:style>
  <w:style w:type="paragraph" w:customStyle="1" w:styleId="75">
    <w:name w:val="Normal_3"/>
    <w:qFormat/>
    <w:uiPriority w:val="0"/>
    <w:rPr>
      <w:rFonts w:ascii="黑体" w:hAnsi="黑体" w:eastAsia="黑体" w:cs="Times New Roman"/>
      <w:b/>
      <w:sz w:val="32"/>
      <w:szCs w:val="24"/>
      <w:lang w:bidi="ar-SA"/>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79">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80">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paragraph" w:customStyle="1" w:styleId="81">
    <w:name w:val="样式3"/>
    <w:basedOn w:val="17"/>
    <w:qFormat/>
    <w:uiPriority w:val="0"/>
    <w:pPr>
      <w:spacing w:line="0" w:lineRule="atLeast"/>
      <w:outlineLvl w:val="0"/>
    </w:pPr>
    <w:rPr>
      <w:sz w:val="28"/>
    </w:rPr>
  </w:style>
  <w:style w:type="paragraph" w:customStyle="1" w:styleId="82">
    <w:name w:val="È±Ê¡ÎÄ±¾"/>
    <w:basedOn w:val="1"/>
    <w:qFormat/>
    <w:uiPriority w:val="0"/>
    <w:pPr>
      <w:widowControl/>
      <w:overflowPunct w:val="0"/>
      <w:autoSpaceDE w:val="0"/>
      <w:autoSpaceDN w:val="0"/>
      <w:adjustRightInd w:val="0"/>
      <w:jc w:val="left"/>
    </w:pPr>
    <w:rPr>
      <w:kern w:val="0"/>
      <w:sz w:val="24"/>
    </w:rPr>
  </w:style>
  <w:style w:type="paragraph" w:customStyle="1" w:styleId="83">
    <w:name w:val="正文文本_0"/>
    <w:basedOn w:val="84"/>
    <w:unhideWhenUsed/>
    <w:qFormat/>
    <w:uiPriority w:val="0"/>
    <w:pPr>
      <w:spacing w:after="120"/>
    </w:pPr>
    <w:rPr>
      <w:rFonts w:ascii="Times New Roman" w:hAnsi="Times New Roman" w:eastAsia="仿宋_GB2312"/>
      <w:sz w:val="28"/>
      <w:szCs w:val="24"/>
    </w:rPr>
  </w:style>
  <w:style w:type="paragraph" w:customStyle="1" w:styleId="8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Table Text"/>
    <w:basedOn w:val="1"/>
    <w:autoRedefine/>
    <w:semiHidden/>
    <w:qFormat/>
    <w:uiPriority w:val="0"/>
    <w:rPr>
      <w:rFonts w:ascii="宋体" w:hAnsi="宋体" w:eastAsia="宋体" w:cs="宋体"/>
      <w:sz w:val="24"/>
      <w:szCs w:val="24"/>
      <w:lang w:val="en-US" w:eastAsia="en-US" w:bidi="ar-SA"/>
    </w:rPr>
  </w:style>
  <w:style w:type="table" w:customStyle="1" w:styleId="86">
    <w:name w:val="Table Normal"/>
    <w:autoRedefine/>
    <w:semiHidden/>
    <w:unhideWhenUsed/>
    <w:qFormat/>
    <w:uiPriority w:val="0"/>
    <w:tblPr>
      <w:tblCellMar>
        <w:top w:w="0" w:type="dxa"/>
        <w:left w:w="0" w:type="dxa"/>
        <w:bottom w:w="0" w:type="dxa"/>
        <w:right w:w="0" w:type="dxa"/>
      </w:tblCellMar>
    </w:tblPr>
  </w:style>
  <w:style w:type="paragraph" w:customStyle="1" w:styleId="87">
    <w:name w:val="正文文本首行缩进1"/>
    <w:basedOn w:val="13"/>
    <w:autoRedefine/>
    <w:qFormat/>
    <w:uiPriority w:val="0"/>
    <w:pPr>
      <w:ind w:firstLine="420" w:firstLineChars="100"/>
    </w:pPr>
    <w:rPr>
      <w:sz w:val="30"/>
    </w:rPr>
  </w:style>
  <w:style w:type="paragraph" w:customStyle="1" w:styleId="88">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89">
    <w:name w:val="正文文本_1_0"/>
    <w:basedOn w:val="90"/>
    <w:qFormat/>
    <w:uiPriority w:val="0"/>
    <w:pPr>
      <w:spacing w:after="120"/>
    </w:pPr>
    <w:rPr>
      <w:rFonts w:ascii="Times New Roman" w:hAnsi="Times New Roman"/>
    </w:rPr>
  </w:style>
  <w:style w:type="paragraph" w:customStyle="1" w:styleId="90">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日期_0"/>
    <w:basedOn w:val="94"/>
    <w:next w:val="95"/>
    <w:qFormat/>
    <w:uiPriority w:val="0"/>
    <w:pPr>
      <w:ind w:left="100" w:leftChars="2500"/>
    </w:pPr>
    <w:rPr>
      <w:rFonts w:ascii="Times New Roman" w:hAnsi="Times New Roman"/>
      <w:szCs w:val="24"/>
    </w:rPr>
  </w:style>
  <w:style w:type="paragraph" w:customStyle="1" w:styleId="9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12"/>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25330</Words>
  <Characters>26532</Characters>
  <Lines>0</Lines>
  <Paragraphs>0</Paragraphs>
  <TotalTime>0</TotalTime>
  <ScaleCrop>false</ScaleCrop>
  <LinksUpToDate>false</LinksUpToDate>
  <CharactersWithSpaces>27123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2023-02-21T08:19:00Z</dcterms:created>
  <dc:creator>Se7en</dc:creator>
  <cp:lastModifiedBy>6</cp:lastModifiedBy>
  <cp:lastPrinted>2024-11-21T03:28:00Z</cp:lastPrinted>
  <dcterms:modified xsi:type="dcterms:W3CDTF">2026-05-26T02:14:38Z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B1C3F0990FDF48FD9FD94A83AF47D507_13</vt:lpwstr>
  </property>
  <property fmtid="{D5CDD505-2E9C-101B-9397-08002B2CF9AE}" pid="4" name="KSOTemplateDocerSaveRecord">
    <vt:lpwstr>eyJoZGlkIjoiNThlNzA2M2EyMjM1OWEyNTM4ZjViOTUzNDZkNTMxZjciLCJ1c2VySWQiOiI0MDQzMTA1MDEifQ==</vt:lpwstr>
  </property>
</Properties>
</file>