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版本号：N511024202600005220260430001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威远县严陵镇四川省2025年耕地轮作项目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N5110242026000052</w:t>
      </w:r>
    </w:p>
    <w:p>
      <w:pPr>
        <w:pStyle w:val="null3"/>
        <w:jc w:val="left"/>
        <w:outlineLvl w:val="2"/>
      </w:pPr>
      <w:r>
        <w:rPr>
          <w:rFonts w:ascii="仿宋_GB2312" w:hAnsi="仿宋_GB2312" w:cs="仿宋_GB2312" w:eastAsia="仿宋_GB2312"/>
          <w:sz w:val="28"/>
          <w:b/>
        </w:rPr>
        <w:t>威远县严陵镇人民政府</w:t>
      </w:r>
    </w:p>
    <w:p>
      <w:pPr>
        <w:pStyle w:val="null3"/>
        <w:jc w:val="center"/>
        <w:outlineLvl w:val="2"/>
      </w:pPr>
      <w:r>
        <w:rPr>
          <w:rFonts w:ascii="仿宋_GB2312" w:hAnsi="仿宋_GB2312" w:cs="仿宋_GB2312" w:eastAsia="仿宋_GB2312"/>
          <w:sz w:val="28"/>
          <w:b/>
        </w:rPr>
        <w:t>四川信立标合建设项目管理有限公司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四川信立标合建设项目管理有限公司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威远县严陵镇人民政府</w:t>
      </w:r>
      <w:r>
        <w:rPr>
          <w:rFonts w:ascii="仿宋_GB2312" w:hAnsi="仿宋_GB2312" w:cs="仿宋_GB2312" w:eastAsia="仿宋_GB2312"/>
        </w:rPr>
        <w:t xml:space="preserve"> 委托，拟对 </w:t>
      </w:r>
      <w:r>
        <w:rPr>
          <w:rFonts w:ascii="仿宋_GB2312" w:hAnsi="仿宋_GB2312" w:cs="仿宋_GB2312" w:eastAsia="仿宋_GB2312"/>
        </w:rPr>
        <w:t>威远县严陵镇四川省2025年耕地轮作项目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内江市威远县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N5110242026000052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威远县严陵镇四川省2025年耕地轮作项目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本项目为威远县严陵镇四川省2025年耕地轮作项目采购。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威远县严陵镇人民政府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四川省内江市威远县严陵镇东二街61号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18048702758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四川信立标合建设项目管理有限公司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四川省威远县花城路雄飞水晶国际小区第三期1幢3单元2层3-2-9号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姚女士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0832-6880888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该费用参照原《招标代理服务收费管理暂行办法》(计价格〔2002〕1980号)及《国家发展改革委办公厅关于招标代理服务收费有关问题的通知》(发改办价格〔2003〕857号)的标准规定。收取招标代理费8850.00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威远县严陵镇人民政府</w:t>
      </w:r>
      <w:r>
        <w:rPr>
          <w:rFonts w:ascii="仿宋_GB2312" w:hAnsi="仿宋_GB2312" w:cs="仿宋_GB2312" w:eastAsia="仿宋_GB2312"/>
        </w:rPr>
        <w:t xml:space="preserve"> 和 </w:t>
      </w:r>
      <w:r>
        <w:rPr>
          <w:rFonts w:ascii="仿宋_GB2312" w:hAnsi="仿宋_GB2312" w:cs="仿宋_GB2312" w:eastAsia="仿宋_GB2312"/>
        </w:rPr>
        <w:t>四川信立标合建设项目管理有限公司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威远县严陵镇人民政府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四川信立标合建设项目管理有限公司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全部货物交货安装、调试完成并经验收合格，设备正常运行满1年后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1.验收主体威远县严陵镇人民政府。2.验收方式由采购人内部组织。3.验收程序为一次性验收。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招标文件、中标人投标文件及采购合同中所有技术参数要求。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招标文件、中标人投标文件及采购合同中所有技术参数要求。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由采购人组织，投标人配合进行：采购人招标文件的质量要求和技术指标、投标人的投标文件及承诺与本合同约定标准进行验收；采购人与投标人双方如对质量要求和技术指标的约定标准有相互抵触或异议的事项，由采购人在招标文件与投标文件中按质量要求和技术指标比较优胜的原则确定该项的约定标准进行验收；验收时如不能满足相关规范标准及采购人使用要求或其它不符合标准及本合同规定之情形者，采购人应做出详尽的现场记录，或由采购人与投标人双方签署备忘录，此现场记录或备忘录可用作有效证据，由此产生的时间延误与有关费用由投标人承担，验收期限相应顺延；如质量验收合格，双方签署验收报告。 2.如经投标人在采购人规定的范围内未完成或不能达到合同约定的质量标准，采购人视作投标人不能按照项目要求进行履约，须支付合同金额的3%作为违约赔偿金给采购人，采购人还可依法追究供应商的违约责任。由采购人在采购与投标文件中按质量要求和技术指标比较优胜的原则确定该项的约定标准进行验收。 3.其他未尽事宜应严格按照财政部《关于进一步加强政府采购需求和履约验收管理的指导意见》财库〔2016〕205号的要求进行。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威远县严陵镇人民政府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四川信立标合建设项目管理有限公司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四川信立标合建设项目管理有限公司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联系人：姚女士</w:t>
      </w:r>
    </w:p>
    <w:p>
      <w:pPr>
        <w:pStyle w:val="null3"/>
        <w:jc w:val="left"/>
      </w:pPr>
      <w:r>
        <w:rPr>
          <w:rFonts w:ascii="仿宋_GB2312" w:hAnsi="仿宋_GB2312" w:cs="仿宋_GB2312" w:eastAsia="仿宋_GB2312"/>
        </w:rPr>
        <w:t>联系电话：0832-6880888</w:t>
      </w:r>
    </w:p>
    <w:p>
      <w:pPr>
        <w:pStyle w:val="null3"/>
        <w:jc w:val="left"/>
      </w:pPr>
      <w:r>
        <w:rPr>
          <w:rFonts w:ascii="仿宋_GB2312" w:hAnsi="仿宋_GB2312" w:cs="仿宋_GB2312" w:eastAsia="仿宋_GB2312"/>
        </w:rPr>
        <w:t>地址：四川省威远县花城路雄飞水晶国际小区第三期1幢3单元2层3-2-9号</w:t>
      </w:r>
    </w:p>
    <w:p>
      <w:pPr>
        <w:pStyle w:val="null3"/>
        <w:jc w:val="left"/>
      </w:pPr>
      <w:r>
        <w:rPr>
          <w:rFonts w:ascii="仿宋_GB2312" w:hAnsi="仿宋_GB2312" w:cs="仿宋_GB2312" w:eastAsia="仿宋_GB2312"/>
        </w:rPr>
        <w:t>邮编：642450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590,000.00</w:t>
      </w:r>
    </w:p>
    <w:p>
      <w:pPr>
        <w:pStyle w:val="null3"/>
        <w:jc w:val="left"/>
      </w:pPr>
      <w:r>
        <w:rPr>
          <w:rFonts w:ascii="仿宋_GB2312" w:hAnsi="仿宋_GB2312" w:cs="仿宋_GB2312" w:eastAsia="仿宋_GB2312"/>
        </w:rPr>
        <w:t>采购包最高限价（元）: 590,000.00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A02220100 拖拉机</w:t>
            </w:r>
          </w:p>
        </w:tc>
        <w:tc>
          <w:tcPr>
            <w:tcW w:type="dxa" w:w="821"/>
          </w:tcPr>
          <w:p>
            <w:pPr>
              <w:pStyle w:val="null3"/>
              <w:jc w:val="left"/>
            </w:pPr>
            <w:r>
              <w:rPr>
                <w:rFonts w:ascii="仿宋_GB2312" w:hAnsi="仿宋_GB2312" w:cs="仿宋_GB2312" w:eastAsia="仿宋_GB2312"/>
              </w:rPr>
              <w:t>轮式拖拉机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A02220200 土壤耕整机械</w:t>
            </w:r>
          </w:p>
        </w:tc>
        <w:tc>
          <w:tcPr>
            <w:tcW w:type="dxa" w:w="821"/>
          </w:tcPr>
          <w:p>
            <w:pPr>
              <w:pStyle w:val="null3"/>
              <w:jc w:val="left"/>
            </w:pPr>
            <w:r>
              <w:rPr>
                <w:rFonts w:ascii="仿宋_GB2312" w:hAnsi="仿宋_GB2312" w:cs="仿宋_GB2312" w:eastAsia="仿宋_GB2312"/>
              </w:rPr>
              <w:t>旋耕机（开荒）</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A02220200 土壤耕整机械</w:t>
            </w:r>
          </w:p>
        </w:tc>
        <w:tc>
          <w:tcPr>
            <w:tcW w:type="dxa" w:w="821"/>
          </w:tcPr>
          <w:p>
            <w:pPr>
              <w:pStyle w:val="null3"/>
              <w:jc w:val="left"/>
            </w:pPr>
            <w:r>
              <w:rPr>
                <w:rFonts w:ascii="仿宋_GB2312" w:hAnsi="仿宋_GB2312" w:cs="仿宋_GB2312" w:eastAsia="仿宋_GB2312"/>
              </w:rPr>
              <w:t>履带旋耕机</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235,000.00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A02430900 无人机</w:t>
            </w:r>
          </w:p>
        </w:tc>
        <w:tc>
          <w:tcPr>
            <w:tcW w:type="dxa" w:w="821"/>
          </w:tcPr>
          <w:p>
            <w:pPr>
              <w:pStyle w:val="null3"/>
              <w:jc w:val="left"/>
            </w:pPr>
            <w:r>
              <w:rPr>
                <w:rFonts w:ascii="仿宋_GB2312" w:hAnsi="仿宋_GB2312" w:cs="仿宋_GB2312" w:eastAsia="仿宋_GB2312"/>
              </w:rPr>
              <w:t>植保无人机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A02430900 无人机</w:t>
            </w:r>
          </w:p>
        </w:tc>
        <w:tc>
          <w:tcPr>
            <w:tcW w:type="dxa" w:w="821"/>
          </w:tcPr>
          <w:p>
            <w:pPr>
              <w:pStyle w:val="null3"/>
              <w:jc w:val="left"/>
            </w:pPr>
            <w:r>
              <w:rPr>
                <w:rFonts w:ascii="仿宋_GB2312" w:hAnsi="仿宋_GB2312" w:cs="仿宋_GB2312" w:eastAsia="仿宋_GB2312"/>
              </w:rPr>
              <w:t>航拍（航测）无人机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轮式拖拉机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旋耕机（开荒）</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履带旋耕机</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235,000.00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植保无人机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航拍（航测）无人机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A02220100 拖拉机</w:t>
            </w:r>
          </w:p>
        </w:tc>
        <w:tc>
          <w:tcPr>
            <w:tcW w:type="dxa" w:w="2492"/>
          </w:tcPr>
          <w:p>
            <w:pPr>
              <w:pStyle w:val="null3"/>
              <w:jc w:val="left"/>
            </w:pPr>
            <w:r>
              <w:rPr>
                <w:rFonts w:ascii="仿宋_GB2312" w:hAnsi="仿宋_GB2312" w:cs="仿宋_GB2312" w:eastAsia="仿宋_GB2312"/>
              </w:rPr>
              <w:t>轮式拖拉机</w:t>
            </w:r>
          </w:p>
        </w:tc>
        <w:tc>
          <w:tcPr>
            <w:tcW w:type="dxa" w:w="2492"/>
          </w:tcPr>
          <w:p>
            <w:pPr>
              <w:pStyle w:val="null3"/>
              <w:jc w:val="left"/>
            </w:pPr>
            <w:r>
              <w:rPr>
                <w:rFonts w:ascii="仿宋_GB2312" w:hAnsi="仿宋_GB2312" w:cs="仿宋_GB2312" w:eastAsia="仿宋_GB2312"/>
              </w:rPr>
              <w:t>轮式拖拉机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标的名称：轮式拖拉机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轮式拖拉机</w:t>
            </w:r>
          </w:p>
        </w:tc>
        <w:tc>
          <w:tcPr>
            <w:tcW w:type="dxa" w:w="5814"/>
          </w:tcPr>
          <w:p>
            <w:pPr>
              <w:pStyle w:val="null3"/>
              <w:jc w:val="left"/>
            </w:pPr>
            <w:r>
              <w:rPr>
                <w:rFonts w:ascii="仿宋_GB2312" w:hAnsi="仿宋_GB2312" w:cs="仿宋_GB2312" w:eastAsia="仿宋_GB2312"/>
                <w:sz w:val="24"/>
              </w:rPr>
              <w:t>1.外形尺寸：5000*2100*2990mm±300mm。</w:t>
            </w:r>
            <w:r>
              <w:br/>
            </w:r>
            <w:r>
              <w:rPr>
                <w:rFonts w:ascii="仿宋_GB2312" w:hAnsi="仿宋_GB2312" w:cs="仿宋_GB2312" w:eastAsia="仿宋_GB2312"/>
                <w:sz w:val="24"/>
              </w:rPr>
              <w:t>2.轴距：2650mm±210mm。</w:t>
            </w:r>
            <w:r>
              <w:br/>
            </w:r>
            <w:r>
              <w:rPr>
                <w:rFonts w:ascii="仿宋_GB2312" w:hAnsi="仿宋_GB2312" w:cs="仿宋_GB2312" w:eastAsia="仿宋_GB2312"/>
                <w:sz w:val="24"/>
              </w:rPr>
              <w:t>3.常用轮距：≤1710/1650mm。</w:t>
            </w:r>
            <w:r>
              <w:br/>
            </w:r>
            <w:r>
              <w:rPr>
                <w:rFonts w:ascii="仿宋_GB2312" w:hAnsi="仿宋_GB2312" w:cs="仿宋_GB2312" w:eastAsia="仿宋_GB2312"/>
                <w:sz w:val="24"/>
              </w:rPr>
              <w:t>4.最小离地间隙：≥430mm。</w:t>
            </w:r>
            <w:r>
              <w:br/>
            </w:r>
            <w:r>
              <w:rPr>
                <w:rFonts w:ascii="仿宋_GB2312" w:hAnsi="仿宋_GB2312" w:cs="仿宋_GB2312" w:eastAsia="仿宋_GB2312"/>
                <w:sz w:val="24"/>
              </w:rPr>
              <w:t>5.最小使用质量：4650KG±300kg。</w:t>
            </w:r>
            <w:r>
              <w:br/>
            </w:r>
            <w:r>
              <w:rPr>
                <w:rFonts w:ascii="仿宋_GB2312" w:hAnsi="仿宋_GB2312" w:cs="仿宋_GB2312" w:eastAsia="仿宋_GB2312"/>
                <w:sz w:val="24"/>
              </w:rPr>
              <w:t>6.前后配重：≥440/0KG。</w:t>
            </w:r>
            <w:r>
              <w:br/>
            </w:r>
            <w:r>
              <w:rPr>
                <w:rFonts w:ascii="仿宋_GB2312" w:hAnsi="仿宋_GB2312" w:cs="仿宋_GB2312" w:eastAsia="仿宋_GB2312"/>
                <w:sz w:val="24"/>
              </w:rPr>
              <w:t>7.发动机标定功率：≥102.9KW。</w:t>
            </w:r>
            <w:r>
              <w:br/>
            </w:r>
            <w:r>
              <w:rPr>
                <w:rFonts w:ascii="仿宋_GB2312" w:hAnsi="仿宋_GB2312" w:cs="仿宋_GB2312" w:eastAsia="仿宋_GB2312"/>
                <w:sz w:val="24"/>
              </w:rPr>
              <w:t>8.发动机气缸数：≥6。</w:t>
            </w:r>
            <w:r>
              <w:br/>
            </w:r>
            <w:r>
              <w:rPr>
                <w:rFonts w:ascii="仿宋_GB2312" w:hAnsi="仿宋_GB2312" w:cs="仿宋_GB2312" w:eastAsia="仿宋_GB2312"/>
                <w:sz w:val="24"/>
              </w:rPr>
              <w:t>9.档位数：≥12/12。</w:t>
            </w:r>
            <w:r>
              <w:br/>
            </w:r>
            <w:r>
              <w:rPr>
                <w:rFonts w:ascii="仿宋_GB2312" w:hAnsi="仿宋_GB2312" w:cs="仿宋_GB2312" w:eastAsia="仿宋_GB2312"/>
                <w:sz w:val="24"/>
              </w:rPr>
              <w:t>10.液压输出；≥2组。</w:t>
            </w:r>
          </w:p>
          <w:p>
            <w:pPr>
              <w:pStyle w:val="null3"/>
              <w:jc w:val="left"/>
            </w:pPr>
            <w:r>
              <w:rPr>
                <w:rFonts w:ascii="仿宋_GB2312" w:hAnsi="仿宋_GB2312" w:cs="仿宋_GB2312" w:eastAsia="仿宋_GB2312"/>
                <w:sz w:val="24"/>
              </w:rPr>
              <w:t>11.选装翻倾防护装置：简易驾驶室（加装空调）。</w:t>
            </w:r>
          </w:p>
          <w:p>
            <w:pPr>
              <w:pStyle w:val="null3"/>
              <w:jc w:val="left"/>
            </w:pPr>
            <w:r>
              <w:rPr>
                <w:rFonts w:ascii="仿宋_GB2312" w:hAnsi="仿宋_GB2312" w:cs="仿宋_GB2312" w:eastAsia="仿宋_GB2312"/>
                <w:sz w:val="24"/>
              </w:rPr>
              <w:t>12.GPS+双星系统</w:t>
            </w:r>
          </w:p>
          <w:p>
            <w:pPr>
              <w:pStyle w:val="null3"/>
              <w:jc w:val="left"/>
            </w:pPr>
            <w:r>
              <w:rPr>
                <w:rFonts w:ascii="仿宋_GB2312" w:hAnsi="仿宋_GB2312" w:cs="仿宋_GB2312" w:eastAsia="仿宋_GB2312"/>
                <w:sz w:val="24"/>
              </w:rPr>
              <w:t>▲12.1防水等级：设备浸入水下1.2m，时间50min后外观正常，无变形、无裂痕，内部无水积聚现。</w:t>
            </w:r>
          </w:p>
          <w:p>
            <w:pPr>
              <w:pStyle w:val="null3"/>
              <w:jc w:val="left"/>
            </w:pPr>
            <w:r>
              <w:rPr>
                <w:rFonts w:ascii="仿宋_GB2312" w:hAnsi="仿宋_GB2312" w:cs="仿宋_GB2312" w:eastAsia="仿宋_GB2312"/>
                <w:sz w:val="24"/>
              </w:rPr>
              <w:t>▲12.2设备从1.8m高度跌落，跌落次数4次，外观正常，结构完好，无无裂痕。</w:t>
            </w:r>
          </w:p>
          <w:p>
            <w:pPr>
              <w:pStyle w:val="null3"/>
              <w:jc w:val="left"/>
            </w:pPr>
            <w:r>
              <w:rPr>
                <w:rFonts w:ascii="仿宋_GB2312" w:hAnsi="仿宋_GB2312" w:cs="仿宋_GB2312" w:eastAsia="仿宋_GB2312"/>
                <w:sz w:val="24"/>
                <w:b/>
              </w:rPr>
              <w:t>注：1、</w:t>
            </w:r>
            <w:r>
              <w:rPr>
                <w:rFonts w:ascii="仿宋_GB2312" w:hAnsi="仿宋_GB2312" w:cs="仿宋_GB2312" w:eastAsia="仿宋_GB2312"/>
                <w:sz w:val="24"/>
                <w:b/>
              </w:rPr>
              <w:t>“技术参数及性能（配置）要求”中带“▲”的参数</w:t>
            </w:r>
            <w:r>
              <w:rPr>
                <w:rFonts w:ascii="仿宋_GB2312" w:hAnsi="仿宋_GB2312" w:cs="仿宋_GB2312" w:eastAsia="仿宋_GB2312"/>
                <w:sz w:val="24"/>
                <w:b/>
              </w:rPr>
              <w:t>须提供第三方</w:t>
            </w:r>
            <w:r>
              <w:rPr>
                <w:rFonts w:ascii="仿宋_GB2312" w:hAnsi="仿宋_GB2312" w:cs="仿宋_GB2312" w:eastAsia="仿宋_GB2312"/>
                <w:sz w:val="24"/>
                <w:b/>
              </w:rPr>
              <w:t>(检验)检测机构出具的国家认可的(检验)检测报告并加盖投标人公章</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b/>
              </w:rPr>
              <w:t xml:space="preserve">   2、“技术参数及性能（配置）要求”中带“▲”参数仅作为评审依据，投标人应尽量满足，如不满足，作扣分处理，不作为投标人符合性审查，详细扣分标准见综合评分明细表。</w:t>
            </w:r>
          </w:p>
          <w:p>
            <w:pPr>
              <w:pStyle w:val="null3"/>
              <w:jc w:val="left"/>
            </w:pPr>
          </w:p>
        </w:tc>
      </w:tr>
    </w:tbl>
    <w:p>
      <w:pPr>
        <w:pStyle w:val="null3"/>
        <w:jc w:val="left"/>
      </w:pPr>
      <w:r>
        <w:rPr>
          <w:rFonts w:ascii="仿宋_GB2312" w:hAnsi="仿宋_GB2312" w:cs="仿宋_GB2312" w:eastAsia="仿宋_GB2312"/>
        </w:rPr>
        <w:t>标的名称：旋耕机（开荒）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旋耕机（开荒）</w:t>
            </w:r>
          </w:p>
        </w:tc>
        <w:tc>
          <w:tcPr>
            <w:tcW w:type="dxa" w:w="5814"/>
          </w:tcPr>
          <w:p>
            <w:pPr>
              <w:pStyle w:val="null3"/>
              <w:jc w:val="left"/>
            </w:pPr>
            <w:r>
              <w:rPr>
                <w:rFonts w:ascii="仿宋_GB2312" w:hAnsi="仿宋_GB2312" w:cs="仿宋_GB2312" w:eastAsia="仿宋_GB2312"/>
                <w:sz w:val="24"/>
              </w:rPr>
              <w:t>1.整机尺寸：1170*2785*1100mm±30mm。</w:t>
            </w:r>
          </w:p>
          <w:p>
            <w:pPr>
              <w:pStyle w:val="null3"/>
              <w:jc w:val="left"/>
            </w:pPr>
            <w:r>
              <w:rPr>
                <w:rFonts w:ascii="仿宋_GB2312" w:hAnsi="仿宋_GB2312" w:cs="仿宋_GB2312" w:eastAsia="仿宋_GB2312"/>
                <w:sz w:val="24"/>
              </w:rPr>
              <w:t>2.作业速度范围：0.69～1.39m/s。</w:t>
            </w:r>
          </w:p>
          <w:p>
            <w:pPr>
              <w:pStyle w:val="null3"/>
              <w:jc w:val="left"/>
            </w:pPr>
            <w:r>
              <w:rPr>
                <w:rFonts w:ascii="仿宋_GB2312" w:hAnsi="仿宋_GB2312" w:cs="仿宋_GB2312" w:eastAsia="仿宋_GB2312"/>
                <w:sz w:val="24"/>
              </w:rPr>
              <w:t>3.工作幅宽：260cm±3cm。</w:t>
            </w:r>
          </w:p>
          <w:p>
            <w:pPr>
              <w:pStyle w:val="null3"/>
              <w:jc w:val="left"/>
            </w:pPr>
            <w:r>
              <w:rPr>
                <w:rFonts w:ascii="仿宋_GB2312" w:hAnsi="仿宋_GB2312" w:cs="仿宋_GB2312" w:eastAsia="仿宋_GB2312"/>
                <w:sz w:val="24"/>
              </w:rPr>
              <w:t>4.耕深：≥12cm。</w:t>
            </w:r>
          </w:p>
          <w:p>
            <w:pPr>
              <w:pStyle w:val="null3"/>
              <w:jc w:val="left"/>
            </w:pPr>
            <w:r>
              <w:rPr>
                <w:rFonts w:ascii="仿宋_GB2312" w:hAnsi="仿宋_GB2312" w:cs="仿宋_GB2312" w:eastAsia="仿宋_GB2312"/>
                <w:sz w:val="24"/>
              </w:rPr>
              <w:t>5.刀辊设计转速；≥280r/min。</w:t>
            </w:r>
          </w:p>
          <w:p>
            <w:pPr>
              <w:pStyle w:val="null3"/>
              <w:jc w:val="left"/>
            </w:pPr>
            <w:r>
              <w:rPr>
                <w:rFonts w:ascii="仿宋_GB2312" w:hAnsi="仿宋_GB2312" w:cs="仿宋_GB2312" w:eastAsia="仿宋_GB2312"/>
                <w:sz w:val="24"/>
              </w:rPr>
              <w:t>6.刀辊总安装刀数：≥64把。</w:t>
            </w:r>
          </w:p>
          <w:p>
            <w:pPr>
              <w:pStyle w:val="null3"/>
              <w:jc w:val="left"/>
            </w:pPr>
            <w:r>
              <w:rPr>
                <w:rFonts w:ascii="仿宋_GB2312" w:hAnsi="仿宋_GB2312" w:cs="仿宋_GB2312" w:eastAsia="仿宋_GB2312"/>
                <w:sz w:val="24"/>
              </w:rPr>
              <w:t>7.配套拖拉机动力范围：80.9～110.3KW。</w:t>
            </w:r>
          </w:p>
        </w:tc>
      </w:tr>
    </w:tbl>
    <w:p>
      <w:pPr>
        <w:pStyle w:val="null3"/>
        <w:jc w:val="left"/>
      </w:pPr>
      <w:r>
        <w:rPr>
          <w:rFonts w:ascii="仿宋_GB2312" w:hAnsi="仿宋_GB2312" w:cs="仿宋_GB2312" w:eastAsia="仿宋_GB2312"/>
        </w:rPr>
        <w:t>标的名称：履带旋耕机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履带旋耕机</w:t>
            </w:r>
          </w:p>
        </w:tc>
        <w:tc>
          <w:tcPr>
            <w:tcW w:type="dxa" w:w="5814"/>
          </w:tcPr>
          <w:p>
            <w:pPr>
              <w:pStyle w:val="null3"/>
              <w:jc w:val="left"/>
            </w:pPr>
            <w:r>
              <w:rPr>
                <w:rFonts w:ascii="仿宋_GB2312" w:hAnsi="仿宋_GB2312" w:cs="仿宋_GB2312" w:eastAsia="仿宋_GB2312"/>
                <w:sz w:val="24"/>
              </w:rPr>
              <w:t>1.配套动力标定功率≥86KW</w:t>
            </w:r>
            <w:r>
              <w:br/>
            </w:r>
            <w:r>
              <w:rPr>
                <w:rFonts w:ascii="仿宋_GB2312" w:hAnsi="仿宋_GB2312" w:cs="仿宋_GB2312" w:eastAsia="仿宋_GB2312"/>
                <w:sz w:val="24"/>
              </w:rPr>
              <w:t>2.配套动力标定转速≧2600r/min</w:t>
            </w:r>
            <w:r>
              <w:br/>
            </w:r>
            <w:r>
              <w:rPr>
                <w:rFonts w:ascii="仿宋_GB2312" w:hAnsi="仿宋_GB2312" w:cs="仿宋_GB2312" w:eastAsia="仿宋_GB2312"/>
                <w:sz w:val="24"/>
              </w:rPr>
              <w:t>3.作业幅宽≧230cm</w:t>
            </w:r>
          </w:p>
          <w:p>
            <w:pPr>
              <w:pStyle w:val="null3"/>
              <w:jc w:val="left"/>
            </w:pPr>
            <w:r>
              <w:rPr>
                <w:rFonts w:ascii="仿宋_GB2312" w:hAnsi="仿宋_GB2312" w:cs="仿宋_GB2312" w:eastAsia="仿宋_GB2312"/>
                <w:sz w:val="24"/>
              </w:rPr>
              <w:t>4.履带规格（宽X节距X节数）：≥450mm*90mm*55±2节</w:t>
            </w:r>
            <w:r>
              <w:br/>
            </w:r>
            <w:r>
              <w:rPr>
                <w:rFonts w:ascii="仿宋_GB2312" w:hAnsi="仿宋_GB2312" w:cs="仿宋_GB2312" w:eastAsia="仿宋_GB2312"/>
                <w:sz w:val="24"/>
              </w:rPr>
              <w:t>5.旋耕装置联接方式：悬挂</w:t>
            </w:r>
          </w:p>
        </w:tc>
      </w:tr>
    </w:tbl>
    <w:p>
      <w:pPr>
        <w:pStyle w:val="null3"/>
        <w:jc w:val="left"/>
      </w:pPr>
      <w:r>
        <w:rPr>
          <w:rFonts w:ascii="仿宋_GB2312" w:hAnsi="仿宋_GB2312" w:cs="仿宋_GB2312" w:eastAsia="仿宋_GB2312"/>
        </w:rPr>
        <w:t>标的名称：植保无人机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植保无人机</w:t>
            </w:r>
          </w:p>
        </w:tc>
        <w:tc>
          <w:tcPr>
            <w:tcW w:type="dxa" w:w="5814"/>
          </w:tcPr>
          <w:p>
            <w:pPr>
              <w:pStyle w:val="null3"/>
              <w:jc w:val="left"/>
            </w:pPr>
            <w:r>
              <w:rPr>
                <w:rFonts w:ascii="仿宋_GB2312" w:hAnsi="仿宋_GB2312" w:cs="仿宋_GB2312" w:eastAsia="仿宋_GB2312"/>
                <w:sz w:val="24"/>
              </w:rPr>
              <w:t>1.动力系统：电机KV值≧50（r/min）/V</w:t>
            </w:r>
          </w:p>
          <w:p>
            <w:pPr>
              <w:pStyle w:val="null3"/>
              <w:jc w:val="left"/>
            </w:pPr>
            <w:r>
              <w:rPr>
                <w:rFonts w:ascii="仿宋_GB2312" w:hAnsi="仿宋_GB2312" w:cs="仿宋_GB2312" w:eastAsia="仿宋_GB2312"/>
                <w:sz w:val="24"/>
              </w:rPr>
              <w:t>2.喷洒负载：水箱作业箱容积≧70L；喷洒负载：水泵最大流量（标配2喷）≧30L/min</w:t>
            </w:r>
          </w:p>
          <w:p>
            <w:pPr>
              <w:pStyle w:val="null3"/>
              <w:jc w:val="left"/>
            </w:pPr>
            <w:r>
              <w:rPr>
                <w:rFonts w:ascii="仿宋_GB2312" w:hAnsi="仿宋_GB2312" w:cs="仿宋_GB2312" w:eastAsia="仿宋_GB2312"/>
                <w:sz w:val="24"/>
              </w:rPr>
              <w:t>3.播撒负载：播撒载荷≧70kg</w:t>
            </w:r>
          </w:p>
          <w:p>
            <w:pPr>
              <w:pStyle w:val="null3"/>
              <w:jc w:val="left"/>
            </w:pPr>
            <w:r>
              <w:rPr>
                <w:rFonts w:ascii="仿宋_GB2312" w:hAnsi="仿宋_GB2312" w:cs="仿宋_GB2312" w:eastAsia="仿宋_GB2312"/>
                <w:sz w:val="24"/>
              </w:rPr>
              <w:t>4.吊运负载：吊运载荷≧75kg</w:t>
            </w:r>
          </w:p>
          <w:p>
            <w:pPr>
              <w:pStyle w:val="null3"/>
              <w:jc w:val="left"/>
            </w:pPr>
            <w:r>
              <w:rPr>
                <w:rFonts w:ascii="仿宋_GB2312" w:hAnsi="仿宋_GB2312" w:cs="仿宋_GB2312" w:eastAsia="仿宋_GB2312"/>
                <w:sz w:val="24"/>
              </w:rPr>
              <w:t>5.安全感知系统：≧256线激光雷达+毫米波雷达+三目视觉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6.配置：主机一套，智能飞行电池2组，全能变频充电站，柴油充电机</w:t>
            </w:r>
          </w:p>
          <w:p>
            <w:pPr>
              <w:pStyle w:val="null3"/>
              <w:jc w:val="left"/>
            </w:pPr>
            <w:r>
              <w:rPr>
                <w:rFonts w:ascii="仿宋_GB2312" w:hAnsi="仿宋_GB2312" w:cs="仿宋_GB2312" w:eastAsia="仿宋_GB2312"/>
                <w:sz w:val="24"/>
              </w:rPr>
              <w:t>▲7.无人飞机空载和满载悬停时，不应出现掉高或坠落等现象。满载悬停时间应不低于5min，空载悬停时间应不低于10min。无人飞机在自动控制模式下飞行，水平匀速运动的速度误差应不大于0.3m/s；百米水平飞行航迹误差在水平和铅锤方向上均应不大于0.4m。植保无人驾驶航空器续航时间与连续喷雾作业时间之比应不小于1.2。</w:t>
            </w:r>
          </w:p>
          <w:p>
            <w:pPr>
              <w:pStyle w:val="null3"/>
              <w:jc w:val="left"/>
            </w:pPr>
            <w:r>
              <w:rPr>
                <w:rFonts w:ascii="仿宋_GB2312" w:hAnsi="仿宋_GB2312" w:cs="仿宋_GB2312" w:eastAsia="仿宋_GB2312"/>
                <w:sz w:val="24"/>
              </w:rPr>
              <w:t>▲8.植保无人驾驶航空器喷雾系统应具有良好的防滴性能，停止喷雾5s后，出现漏滴现象的喷头不应超过１个，且其漏滴的液滴数应不大于2滴/min。植保无人驾驶航空器喷雾量偏差不应超过设定值的±5％，沿喷幅方向上喷雾量分布均匀性变异系数应不大于35％。具有断点续喷功能的植保无人驾驶航空器，结束喷雾作业的断药点与续喷点之间水平距离应不大于1m，且植保无人驾驶航空器到达续喷点后，应能立刻开始喷雾作业。</w:t>
            </w:r>
          </w:p>
          <w:p>
            <w:pPr>
              <w:pStyle w:val="null3"/>
              <w:jc w:val="left"/>
            </w:pPr>
            <w:r>
              <w:rPr>
                <w:rFonts w:ascii="仿宋_GB2312" w:hAnsi="仿宋_GB2312" w:cs="仿宋_GB2312" w:eastAsia="仿宋_GB2312"/>
                <w:sz w:val="24"/>
              </w:rPr>
              <w:t>▲9.植保无人驾驶航空器应具有避障功能。在制造商明示的最大作业速度下不得与垂直于地面的直径(2±0.5)cm的管状障碍物碰撞。植保无人驾驶航空器离开障碍物，应能重新可控。</w:t>
            </w:r>
          </w:p>
          <w:p>
            <w:pPr>
              <w:pStyle w:val="null3"/>
              <w:jc w:val="left"/>
            </w:pPr>
            <w:r>
              <w:rPr>
                <w:rFonts w:ascii="仿宋_GB2312" w:hAnsi="仿宋_GB2312" w:cs="仿宋_GB2312" w:eastAsia="仿宋_GB2312"/>
                <w:sz w:val="24"/>
              </w:rPr>
              <w:t>▲10.无人飞机应具有限高、限速，限距功能，最大水平飞行速度应不超过50km/h，飞行真高应不超过30m，最大飞行半径应不超过2000m。无人飞机应配备地理围栏系统。围栏外正常作业时，应在距离围栏边界15m内刹车，不应冲撞围栏边界；无人飞机位于围栏内任一位置时，任意操作地面控制端（含遥控器），旋翼不应旋转。</w:t>
            </w:r>
          </w:p>
          <w:p>
            <w:pPr>
              <w:pStyle w:val="null3"/>
              <w:jc w:val="left"/>
            </w:pPr>
            <w:r>
              <w:rPr>
                <w:rFonts w:ascii="仿宋_GB2312" w:hAnsi="仿宋_GB2312" w:cs="仿宋_GB2312" w:eastAsia="仿宋_GB2312"/>
                <w:sz w:val="24"/>
                <w:b/>
              </w:rPr>
              <w:t>注：1、</w:t>
            </w:r>
            <w:r>
              <w:rPr>
                <w:rFonts w:ascii="仿宋_GB2312" w:hAnsi="仿宋_GB2312" w:cs="仿宋_GB2312" w:eastAsia="仿宋_GB2312"/>
                <w:sz w:val="24"/>
                <w:b/>
              </w:rPr>
              <w:t>“技术参数及性能（配置）要求”中带“▲”的参数</w:t>
            </w:r>
            <w:r>
              <w:rPr>
                <w:rFonts w:ascii="仿宋_GB2312" w:hAnsi="仿宋_GB2312" w:cs="仿宋_GB2312" w:eastAsia="仿宋_GB2312"/>
                <w:sz w:val="24"/>
                <w:b/>
              </w:rPr>
              <w:t>须提供第三方</w:t>
            </w:r>
            <w:r>
              <w:rPr>
                <w:rFonts w:ascii="仿宋_GB2312" w:hAnsi="仿宋_GB2312" w:cs="仿宋_GB2312" w:eastAsia="仿宋_GB2312"/>
                <w:sz w:val="24"/>
                <w:b/>
              </w:rPr>
              <w:t>(检验)检测机构出具的国家认可的(检验)检测报告并加盖投标人公章</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b/>
              </w:rPr>
              <w:t xml:space="preserve">   2、“技术参数及性能（配置）要求”中带“★”条款为实质性要求，投标人必须满足，若未满足的，将被视为无效响应。“▲”参数仅作为评审依据，投标人应尽量满足，如不满足，作扣分处理，不作为投标人符合性审查，详细扣分标准见综合评分明细表。</w:t>
            </w:r>
          </w:p>
        </w:tc>
      </w:tr>
    </w:tbl>
    <w:p>
      <w:pPr>
        <w:pStyle w:val="null3"/>
        <w:jc w:val="left"/>
      </w:pPr>
      <w:r>
        <w:rPr>
          <w:rFonts w:ascii="仿宋_GB2312" w:hAnsi="仿宋_GB2312" w:cs="仿宋_GB2312" w:eastAsia="仿宋_GB2312"/>
        </w:rPr>
        <w:t>标的名称：航拍（航测）无人机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航拍（航测）无人机</w:t>
            </w:r>
          </w:p>
        </w:tc>
        <w:tc>
          <w:tcPr>
            <w:tcW w:type="dxa" w:w="5814"/>
          </w:tcPr>
          <w:p>
            <w:pPr>
              <w:pStyle w:val="null3"/>
              <w:jc w:val="left"/>
            </w:pPr>
            <w:r>
              <w:rPr>
                <w:rFonts w:ascii="仿宋_GB2312" w:hAnsi="仿宋_GB2312" w:cs="仿宋_GB2312" w:eastAsia="仿宋_GB2312"/>
                <w:sz w:val="24"/>
              </w:rPr>
              <w:t>1.最大起飞重量：≧1430g（带静音桨）</w:t>
            </w:r>
            <w:r>
              <w:br/>
            </w:r>
            <w:r>
              <w:rPr>
                <w:rFonts w:ascii="仿宋_GB2312" w:hAnsi="仿宋_GB2312" w:cs="仿宋_GB2312" w:eastAsia="仿宋_GB2312"/>
                <w:sz w:val="24"/>
              </w:rPr>
              <w:t>2.最长飞行时间≧45分钟</w:t>
            </w:r>
            <w:r>
              <w:br/>
            </w:r>
            <w:r>
              <w:rPr>
                <w:rFonts w:ascii="仿宋_GB2312" w:hAnsi="仿宋_GB2312" w:cs="仿宋_GB2312" w:eastAsia="仿宋_GB2312"/>
                <w:sz w:val="24"/>
              </w:rPr>
              <w:t>3.最大可抗风速≧6级风，12m/s</w:t>
            </w:r>
            <w:r>
              <w:br/>
            </w:r>
            <w:r>
              <w:rPr>
                <w:rFonts w:ascii="仿宋_GB2312" w:hAnsi="仿宋_GB2312" w:cs="仿宋_GB2312" w:eastAsia="仿宋_GB2312"/>
                <w:sz w:val="24"/>
              </w:rPr>
              <w:t>4.可见光相机变焦倍数最大支持：≧112倍数字变焦</w:t>
            </w:r>
            <w:r>
              <w:br/>
            </w:r>
            <w:r>
              <w:rPr>
                <w:rFonts w:ascii="仿宋_GB2312" w:hAnsi="仿宋_GB2312" w:cs="仿宋_GB2312" w:eastAsia="仿宋_GB2312"/>
                <w:sz w:val="24"/>
              </w:rPr>
              <w:t>5.激光测距模块：最远正入射量程≧1800m</w:t>
            </w:r>
            <w:r>
              <w:br/>
            </w:r>
            <w:r>
              <w:rPr>
                <w:rFonts w:ascii="仿宋_GB2312" w:hAnsi="仿宋_GB2312" w:cs="仿宋_GB2312" w:eastAsia="仿宋_GB2312"/>
                <w:sz w:val="24"/>
              </w:rPr>
              <w:t>6.航线功能：支持航点、正射、倾斜、航带、仿地等多种航线作业类型</w:t>
            </w:r>
            <w:r>
              <w:br/>
            </w:r>
            <w:r>
              <w:rPr>
                <w:rFonts w:ascii="仿宋_GB2312" w:hAnsi="仿宋_GB2312" w:cs="仿宋_GB2312" w:eastAsia="仿宋_GB2312"/>
                <w:sz w:val="24"/>
              </w:rPr>
              <w:t>7.GPS时间戳水印，夜景模式</w:t>
            </w:r>
            <w:r>
              <w:br/>
            </w:r>
            <w:r>
              <w:rPr>
                <w:rFonts w:ascii="仿宋_GB2312" w:hAnsi="仿宋_GB2312" w:cs="仿宋_GB2312" w:eastAsia="仿宋_GB2312"/>
                <w:sz w:val="24"/>
              </w:rPr>
              <w:t>8.遥控器与图传系统：支持2.4G、5.8G图传，遥控器外置电池</w:t>
            </w:r>
            <w:r>
              <w:br/>
            </w:r>
            <w:r>
              <w:rPr>
                <w:rFonts w:ascii="仿宋_GB2312" w:hAnsi="仿宋_GB2312" w:cs="仿宋_GB2312" w:eastAsia="仿宋_GB2312"/>
                <w:sz w:val="24"/>
              </w:rPr>
              <w:t>★</w:t>
            </w:r>
            <w:r>
              <w:rPr>
                <w:rFonts w:ascii="仿宋_GB2312" w:hAnsi="仿宋_GB2312" w:cs="仿宋_GB2312" w:eastAsia="仿宋_GB2312"/>
                <w:sz w:val="24"/>
              </w:rPr>
              <w:t>9.配备遥控器、飞行电池、充电等配件、主机一套</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10.飞行器最大上升速度应不得小于10m/s,飞行器最大下降速度应不得小于8m/s(垂直下降),在遥控器开启状态下，飞行器开启电源后15秒内可启动螺旋桨飞行器普通档最大水平飞行速度应不得小于21m/s，运动档最大水平速度可设置33m/s,飞行器最大飞行海拔高度应不得小于6000m,无人机续航时间应不低于49分钟(常规桨叶)。</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11.前视及后视双目测距范围：0.4米至22.5米，可探测范围：0.4米至200米；视角（FOV）：水平90°，垂直135°；使用环境表面有丰富纹理，光照条件充足。侧视双目测距范围：0.4米至32米，可探测范围：0.4米至200米；视角（FOV）：水平90°，垂直90°；使用环境表面有丰富纹理，光照条件充足下视双目测距范围：0.4米至18.8米，；视角（FOV）：水平160°，垂直160°；光照条件充足是指照度不低于夜间城市灯光场景</w:t>
            </w:r>
          </w:p>
          <w:p>
            <w:pPr>
              <w:pStyle w:val="null3"/>
              <w:jc w:val="left"/>
            </w:pPr>
            <w:r>
              <w:rPr>
                <w:rFonts w:ascii="仿宋_GB2312" w:hAnsi="仿宋_GB2312" w:cs="仿宋_GB2312" w:eastAsia="仿宋_GB2312"/>
                <w:sz w:val="24"/>
              </w:rPr>
              <w:t>▲12.混合变焦112倍；激光模块正入射量程：1800米（1 Hz）；斜入射量程（1∶5斜距）：600米（1 Hz）；测距精度：1~3 米：系统误差&lt;0.3米，随机误差&lt;0.1米@1σ；其他距离：±0.2+0.0015D）（目标物距离，单位米）；@20%反射率目标。</w:t>
            </w:r>
          </w:p>
          <w:p>
            <w:pPr>
              <w:pStyle w:val="null3"/>
              <w:jc w:val="left"/>
            </w:pPr>
            <w:r>
              <w:rPr>
                <w:rFonts w:ascii="仿宋_GB2312" w:hAnsi="仿宋_GB2312" w:cs="仿宋_GB2312" w:eastAsia="仿宋_GB2312"/>
                <w:sz w:val="24"/>
                <w:b/>
              </w:rPr>
              <w:t>注：1、</w:t>
            </w:r>
            <w:r>
              <w:rPr>
                <w:rFonts w:ascii="仿宋_GB2312" w:hAnsi="仿宋_GB2312" w:cs="仿宋_GB2312" w:eastAsia="仿宋_GB2312"/>
                <w:sz w:val="24"/>
                <w:b/>
              </w:rPr>
              <w:t>“技术参数及性能（配置）要求”中带“▲”的参数</w:t>
            </w:r>
            <w:r>
              <w:rPr>
                <w:rFonts w:ascii="仿宋_GB2312" w:hAnsi="仿宋_GB2312" w:cs="仿宋_GB2312" w:eastAsia="仿宋_GB2312"/>
                <w:sz w:val="24"/>
                <w:b/>
              </w:rPr>
              <w:t>须提供第三方</w:t>
            </w:r>
            <w:r>
              <w:rPr>
                <w:rFonts w:ascii="仿宋_GB2312" w:hAnsi="仿宋_GB2312" w:cs="仿宋_GB2312" w:eastAsia="仿宋_GB2312"/>
                <w:sz w:val="24"/>
                <w:b/>
              </w:rPr>
              <w:t>(检验)检测机构出具的国家认可的(检验)检测报告并加盖投标人公章</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b/>
              </w:rPr>
              <w:t xml:space="preserve">   2、“技术参数及性能（配置）要求”中带“★”条款为实质性要求，投标人必须满足，若未满足的，将被视为无效响应。“▲”参数仅作为评审依据，投标人应尽量满足，如不满足，作扣分处理，不作为投标人符合性审查，详细扣分标准见综合评分明细表。</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投标人应于政府采购合同签订后30日内完成产品的交付以及安装调试并通过验收。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威远县严陵镇建立村。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1、合同签订后，招标人向中标人支付预付款，达到付款条件起10日内，支付合同总金额的30.00%</w:t>
            </w:r>
          </w:p>
          <w:p>
            <w:pPr>
              <w:pStyle w:val="null3"/>
              <w:jc w:val="left"/>
            </w:pPr>
            <w:r>
              <w:rPr>
                <w:rFonts w:ascii="仿宋_GB2312" w:hAnsi="仿宋_GB2312" w:cs="仿宋_GB2312" w:eastAsia="仿宋_GB2312"/>
              </w:rPr>
              <w:t>2、全部货物交货安装、调试完成并经验收合格，待财政资金到位后，达到付款条件起10日内，支付合同总金额的67.00%</w:t>
            </w:r>
          </w:p>
          <w:p>
            <w:pPr>
              <w:pStyle w:val="null3"/>
              <w:jc w:val="left"/>
            </w:pPr>
            <w:r>
              <w:rPr>
                <w:rFonts w:ascii="仿宋_GB2312" w:hAnsi="仿宋_GB2312" w:cs="仿宋_GB2312" w:eastAsia="仿宋_GB2312"/>
              </w:rPr>
              <w:t>3、尾款，设备正常运行满1年后，达到付款条件起10日内，支付合同总金额的3.00%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由采购人组织，投标人配合进行：采购人招标文件的质量要求和技术指标、投标人的投标文件及承诺与本合同约定标准进行验收；采购人与投标人双方如对质量要求和技术指标的约定标准有相互抵触或异议的事项，由采购人在招标文件与投标文件中按质量要求和技术指标比较优胜的原则确定该项的约定标准进行验收；验收时如不能满足相关规范标准及采购人使用要求或其它不符合标准及本合同规定之情形者，采购人应做出详尽的现场记录，或由采购人与投标人双方签署备忘录，此现场记录或备忘录可用作有效证据，由此产生的时间延误与有关费用由投标人承担，验收期限相应顺延；如质量验收合格，双方签署验收报告。 2.如经投标人在采购人规定的范围内未完成或不能达到合同约定的质量标准，采购人视作投标人不能按照项目要求进行履约，须支付合同金额的3%作为违约赔偿金给采购人，采购人还可依法追究供应商的违约责任。由采购人在采购与投标文件中按质量要求和技术指标比较优胜的原则确定该项的约定标准进行验收。 3.其他未尽事宜应严格按照财政部《关于进一步加强政府采购需求和履约验收管理的指导意见》财库〔2016〕205号的要求进行。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质保期为自验收合格之日起1年（国家或行业有其他相关要求的除外）。所提供的产品质量出现问题，中标人应负责三包(包修、包换、包退)，相关费用由中标人负担。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1）甲方必须遵守本合同并执行合同中的各项规定，保证本合同的正常履行；（2）对于因甲方原因导致变更、中止或者终止政府采购合同的，甲方应当依照合同约定对乙方受到的损失予以赔偿或者补偿。2.乙方违约责任：（1）乙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3）乙方偿付的违约金不足以弥补甲方损失的，还应按甲方损失尚未弥补的部分，支付赔偿金给甲方。争议解决办法合同履行期间,若双方发生争议，可协商或由有关部门调解解决，协商或调解不成的，由当事人依法维护其合法权益，并由合同履行地人民法院裁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1、合同价款： 合同价款是投标人响应采购项目要求的全部工作内容的价格体现。所涉及设备、人工劳务、机具设备投入、项目实施过程中所涉及的全部材料（辅材）、安装、运输、调试、培训、保修期内保修服务、交通费用、通讯费用、人员食宿费用、税金、风险、招标代理服务费等完成本项目所涉及的一切费用。 2、质量要求： （1）投标人须保证货物(含零部件、配件等)是全新、未拆封、未使用过的合格产品，表面无划伤、无碰撞痕迹，且权属清楚，不得侵害他人的知识产权，不得以次充好，产品来源渠道必须合法，同时应根据国家有关规定及采购单位的要求做好售后服务工作。（2）投标人提供的产品必须符合或优于国家标准、行业标准、地方标准等标准、规范。（3）货物质量出现问题，乙方应负责三包(包修、包换、包退)，费用由投标人承担。 3、售后服务要求： 质保期内投标人负责产品维护、维修及抢修在质保期内提供7*24小时技术支持热线电话（固话、手机）。如2小时内无法电话解决问题，投标人维修工程师在接到故障报告后48小时内到达采购人现场修理和更换零件，费用（包括材料）由投标人承担，如无法排除，须提供备用设备确保正常运行。 4、实施方案编制要求： 投标人针对本项目提供的实施方案，包含：①货源组织方案；②运输方案；③进度计划和质量保证方案；④安装及调试方案；⑤应急预案。 5、售后服务方案编制要求： 投标人针对本项目提供的售后服务方案，包含：①售后服务人员配置及维修保养方案；②售后服务响应时间；③售后培训方案（对设备使用人员进行维修、维护培训）。 6、投标人如具有类似项目履约经验，需提供中标/成交通知书或合同复印件。 7、如果本项目采购文件中引用的相关标准有最新版本的均以最新标准执行，采购活动中已经作废失效的，在评审中和履约中自动不再适用。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 证、组织机构代码证或三证 合一的营业执照”；②若为事业法人：提供“统一社会信用代码 法人登记 证书”；未换证的提交“事业法人登记证书、组织机构 代码证”；③若为其他组织：提供“对应主管 部门颁发的准许执 业证明文件或营业执照”；④若为自然人：提供“身份证明材料”。（以上4项材料投标人根据自身情况任选其一即可，提供复印件并进行电子签章。）</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2024年），经审计的财务报告（包含审计报告和审计报告中所涉及的财务报表和报表附注）或者银行出具的资信证明。未经审计的提供财务报表（至少包括资产负债表、利润表、现金流量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其他要求评审点</w:t>
            </w:r>
          </w:p>
        </w:tc>
        <w:tc>
          <w:tcPr>
            <w:tcW w:type="dxa" w:w="3322"/>
          </w:tcPr>
          <w:p>
            <w:pPr>
              <w:pStyle w:val="null3"/>
              <w:jc w:val="left"/>
            </w:pPr>
            <w:r>
              <w:rPr>
                <w:rFonts w:ascii="仿宋_GB2312" w:hAnsi="仿宋_GB2312" w:cs="仿宋_GB2312" w:eastAsia="仿宋_GB2312"/>
              </w:rPr>
              <w:t>根据关联响应格式按照要求进行填写并加盖电子签章</w:t>
            </w:r>
          </w:p>
        </w:tc>
        <w:tc>
          <w:tcPr>
            <w:tcW w:type="dxa" w:w="1661"/>
          </w:tcPr>
          <w:p>
            <w:pPr>
              <w:pStyle w:val="null3"/>
              <w:jc w:val="left"/>
            </w:pPr>
            <w:r>
              <w:rPr>
                <w:rFonts w:ascii="仿宋_GB2312" w:hAnsi="仿宋_GB2312" w:cs="仿宋_GB2312" w:eastAsia="仿宋_GB2312"/>
              </w:rPr>
              <w:t>产品技术要求应答表.docx,投标人认为需要提供的其他证明材料.docx,商务应答表.docx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投标人完全满足招标文件中“技术参数及性能（配置）要求”没有负偏离的得27分。带“▲”号的技术参数及性能（配置）要求每有一项负偏离扣2分（带“▲”号参数共9条），共计18分；非带“▲”号的技术参数及性能（配置）要求每有一项负偏离扣0.25分（非带“▲”号参数共36条），共计9分；直至该项分值扣完为止。</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进行综合评分，包含：①货源组织方案；②运输方案；③进度计划和质量保证方案；④安装及调试方案；⑤应急预案。提供以上方案得25分，每有一项内容缺失扣5分，每有一项内容存在“错误或缺陷”每一处扣2.5分,直至该小项分值扣完为止，不提供实施方案的不得分。 注：（1）以上所称的“错误或缺陷”情形是指方案存在：①项目名称或地点区域错误、采购人名称或项目编号错误或仅有框架或标题大纲无正文内容；②内容前后矛盾、标题与内容描述不符或方案内容与本项目服务内容要求、技术要求无关的情形。（2）同一小项出现同类“错误或缺陷”的，不重复扣分。本项满分为25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售后服务方案进行综合评分，包含：①售后服务人员配置及维修保养方案；②售后服务响应时间；③售后培训方案（对设备使用人员进行维修、维护培训）。提供以上方案得15分，每有一项内容缺失扣5分，每有一项内容存在“错误或缺陷”每一处扣2.5分,直至该小项分值扣完为止，不提供售后服务方案的不得分。 注：（1）以上所称的“错误或缺陷”情形是指方案存在：①项目名称或地点区域错误、采购人名称或项目编号错误或仅有框架或标题大纲无正文内容；②内容前后矛盾、标题与内容描述不符或方案内容与本项目服务内容要求、技术要求无关的情形。（2）同一小项出现同类“错误或缺陷”的，不重复扣分。本项满分为15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供应商2023年01月01日（含01日）以来每具有一个类似项目业绩得1.5分，本项最高得3分。 注：类似项目是指同类型销售业绩，需提供中标/成交通知书或合同复印件（以合同签订时间或中标/成交通知书时间为准）。不提供或不满足不得分。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详见附件：产品技术要求应答表.docx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详见附件：投标人认为需要提供的其他证明材料.docx</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