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9666BE">
      <w:pPr>
        <w:rPr>
          <w:rFonts w:hint="eastAsia" w:hAnsi="宋体" w:eastAsia="方正仿宋"/>
          <w:color w:val="auto"/>
          <w:sz w:val="36"/>
          <w:szCs w:val="36"/>
          <w:lang w:eastAsia="zh-CN"/>
        </w:rPr>
      </w:pPr>
      <w:r>
        <w:rPr>
          <w:rFonts w:hint="eastAsia" w:hAnsi="宋体"/>
          <w:color w:val="auto"/>
          <w:sz w:val="36"/>
          <w:szCs w:val="36"/>
        </w:rPr>
        <w:t>主要合同条款</w:t>
      </w:r>
      <w:bookmarkStart w:id="1" w:name="_GoBack"/>
      <w:bookmarkEnd w:id="1"/>
    </w:p>
    <w:p w14:paraId="20348623">
      <w:pPr>
        <w:widowControl/>
        <w:spacing w:line="360" w:lineRule="auto"/>
        <w:jc w:val="left"/>
        <w:rPr>
          <w:rFonts w:ascii="宋体" w:hAnsi="宋体" w:eastAsia="宋体" w:cs="宋体"/>
          <w:color w:val="auto"/>
          <w:spacing w:val="-20"/>
          <w:kern w:val="0"/>
          <w:sz w:val="24"/>
        </w:rPr>
      </w:pPr>
      <w:r>
        <w:rPr>
          <w:rFonts w:hint="eastAsia" w:ascii="宋体" w:hAnsi="宋体" w:eastAsia="宋体" w:cs="宋体"/>
          <w:color w:val="auto"/>
          <w:spacing w:val="-20"/>
          <w:kern w:val="0"/>
          <w:sz w:val="24"/>
        </w:rPr>
        <w:t>签订地点：XXXX。</w:t>
      </w:r>
    </w:p>
    <w:p w14:paraId="27BCDFC5">
      <w:pPr>
        <w:widowControl/>
        <w:spacing w:line="360" w:lineRule="auto"/>
        <w:jc w:val="left"/>
        <w:rPr>
          <w:rFonts w:ascii="宋体" w:hAnsi="宋体" w:eastAsia="宋体" w:cs="宋体"/>
          <w:color w:val="auto"/>
          <w:spacing w:val="-20"/>
          <w:kern w:val="0"/>
          <w:sz w:val="24"/>
        </w:rPr>
      </w:pPr>
      <w:r>
        <w:rPr>
          <w:rFonts w:hint="eastAsia" w:ascii="宋体" w:hAnsi="宋体" w:eastAsia="宋体" w:cs="宋体"/>
          <w:color w:val="auto"/>
          <w:spacing w:val="-20"/>
          <w:kern w:val="0"/>
          <w:sz w:val="24"/>
        </w:rPr>
        <w:t>签订时间：XXXX年XX月XX日。</w:t>
      </w:r>
    </w:p>
    <w:p w14:paraId="39FD3D52">
      <w:pPr>
        <w:widowControl/>
        <w:spacing w:line="360" w:lineRule="auto"/>
        <w:jc w:val="left"/>
        <w:rPr>
          <w:rFonts w:ascii="宋体" w:hAnsi="宋体" w:eastAsia="宋体" w:cs="宋体"/>
          <w:color w:val="auto"/>
          <w:spacing w:val="-20"/>
          <w:kern w:val="0"/>
          <w:sz w:val="24"/>
        </w:rPr>
      </w:pPr>
      <w:r>
        <w:rPr>
          <w:rFonts w:hint="eastAsia" w:ascii="宋体" w:hAnsi="宋体" w:eastAsia="宋体" w:cs="宋体"/>
          <w:color w:val="auto"/>
          <w:spacing w:val="-20"/>
          <w:kern w:val="0"/>
          <w:sz w:val="24"/>
        </w:rPr>
        <w:t xml:space="preserve">采购人（以下简称：甲方）：                              </w:t>
      </w:r>
    </w:p>
    <w:p w14:paraId="0FE2ED24">
      <w:pPr>
        <w:widowControl/>
        <w:spacing w:line="360" w:lineRule="auto"/>
        <w:jc w:val="left"/>
        <w:rPr>
          <w:rFonts w:ascii="宋体" w:hAnsi="宋体" w:eastAsia="宋体" w:cs="宋体"/>
          <w:color w:val="auto"/>
          <w:spacing w:val="-20"/>
          <w:kern w:val="0"/>
          <w:sz w:val="24"/>
        </w:rPr>
      </w:pPr>
      <w:r>
        <w:rPr>
          <w:rFonts w:hint="eastAsia" w:ascii="宋体" w:hAnsi="宋体" w:eastAsia="宋体" w:cs="宋体"/>
          <w:color w:val="auto"/>
          <w:spacing w:val="-20"/>
          <w:kern w:val="0"/>
          <w:sz w:val="24"/>
        </w:rPr>
        <w:t xml:space="preserve">供应商（以下简称：乙方）：                              </w:t>
      </w:r>
    </w:p>
    <w:p w14:paraId="2E487ABE">
      <w:pPr>
        <w:widowControl/>
        <w:spacing w:line="360" w:lineRule="auto"/>
        <w:jc w:val="left"/>
        <w:rPr>
          <w:rFonts w:ascii="宋体" w:hAnsi="宋体" w:eastAsia="宋体" w:cs="宋体"/>
          <w:color w:val="auto"/>
          <w:spacing w:val="-20"/>
          <w:kern w:val="0"/>
          <w:sz w:val="24"/>
        </w:rPr>
      </w:pPr>
    </w:p>
    <w:p w14:paraId="51D0B889">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依据《中华人民共和国民法典》《中华人民共和国政府采购法》与项目行业有关的法律法规，以及XXXX项目（采购项目编号：XXXX）的《采购文件》，乙方的《响应文件》及《成交通知书》，甲、乙双方同意签订本合同。详细技术说明及其他有关合同项目的特定信息由合同附件予以说明，合同附件及本项目的《磋商文件》《响应文件》《成交通知书》等均为本合同的组成部分。 </w:t>
      </w:r>
    </w:p>
    <w:p w14:paraId="0699DC3D">
      <w:pPr>
        <w:widowControl/>
        <w:spacing w:line="360" w:lineRule="auto"/>
        <w:ind w:firstLine="482" w:firstLineChars="200"/>
        <w:jc w:val="left"/>
        <w:rPr>
          <w:rFonts w:hint="default" w:ascii="宋体" w:hAnsi="宋体" w:eastAsia="宋体"/>
          <w:b/>
          <w:bCs/>
          <w:color w:val="auto"/>
          <w:kern w:val="0"/>
          <w:sz w:val="24"/>
          <w:szCs w:val="20"/>
          <w:lang w:val="en-US" w:eastAsia="zh-CN"/>
        </w:rPr>
      </w:pPr>
      <w:r>
        <w:rPr>
          <w:rFonts w:hint="eastAsia" w:ascii="宋体" w:hAnsi="宋体" w:eastAsia="宋体"/>
          <w:b/>
          <w:bCs/>
          <w:color w:val="auto"/>
          <w:kern w:val="0"/>
          <w:sz w:val="24"/>
          <w:szCs w:val="20"/>
        </w:rPr>
        <w:t>第一条 项目</w:t>
      </w:r>
      <w:r>
        <w:rPr>
          <w:rFonts w:hint="eastAsia" w:ascii="宋体" w:hAnsi="宋体" w:eastAsia="宋体"/>
          <w:b/>
          <w:bCs/>
          <w:color w:val="auto"/>
          <w:kern w:val="0"/>
          <w:sz w:val="24"/>
          <w:szCs w:val="20"/>
          <w:lang w:val="en-US" w:eastAsia="zh-CN"/>
        </w:rPr>
        <w:t>概述</w:t>
      </w:r>
    </w:p>
    <w:p w14:paraId="4A454975">
      <w:pPr>
        <w:widowControl/>
        <w:spacing w:line="360" w:lineRule="auto"/>
        <w:ind w:firstLine="480" w:firstLineChars="200"/>
        <w:jc w:val="left"/>
        <w:rPr>
          <w:rFonts w:hint="eastAsia" w:ascii="宋体" w:hAnsi="宋体" w:eastAsia="宋体" w:cs="宋体"/>
          <w:b w:val="0"/>
          <w:bCs w:val="0"/>
          <w:color w:val="auto"/>
          <w:sz w:val="24"/>
          <w:szCs w:val="32"/>
          <w:lang w:val="en-US" w:eastAsia="zh-CN"/>
        </w:rPr>
      </w:pPr>
      <w:r>
        <w:rPr>
          <w:rFonts w:hint="eastAsia" w:ascii="宋体" w:hAnsi="宋体" w:eastAsia="宋体" w:cs="宋体"/>
          <w:b w:val="0"/>
          <w:bCs w:val="0"/>
          <w:color w:val="auto"/>
          <w:sz w:val="24"/>
          <w:szCs w:val="32"/>
          <w:lang w:val="en-US" w:eastAsia="zh-CN"/>
        </w:rPr>
        <w:t>大熊猫国家公园重点入口社区龙门山镇从湔江路至宝山村的回龙沟区域制作一套体现国家公园管理元素的导视标识系统、科普文化展示系统、访客行为管理系统、户外徒步系统，标识标牌拟建81个，包括包含5块综合导览牌、10块警示牌、15块小型导览牌、20块生态解说牌、10块地质解说牌，10块人文解说牌、10套文明劝导牌、大熊猫国家公园标志牌1组。</w:t>
      </w:r>
    </w:p>
    <w:p w14:paraId="5113E950">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第二条 合同期限</w:t>
      </w:r>
    </w:p>
    <w:p w14:paraId="1AD842A0">
      <w:pPr>
        <w:keepNext w:val="0"/>
        <w:keepLines w:val="0"/>
        <w:widowControl/>
        <w:suppressLineNumbers w:val="0"/>
        <w:ind w:firstLine="482" w:firstLineChars="200"/>
        <w:jc w:val="left"/>
        <w:rPr>
          <w:rFonts w:hint="eastAsia" w:ascii="宋体" w:hAnsi="宋体" w:eastAsia="宋体" w:cs="宋体"/>
          <w:b w:val="0"/>
          <w:bCs w:val="0"/>
          <w:color w:val="auto"/>
          <w:sz w:val="24"/>
          <w:szCs w:val="32"/>
          <w:lang w:val="en-US" w:eastAsia="zh-CN"/>
        </w:rPr>
      </w:pPr>
      <w:r>
        <w:rPr>
          <w:rFonts w:hint="eastAsia" w:asciiTheme="minorEastAsia" w:hAnsiTheme="minorEastAsia" w:eastAsiaTheme="minorEastAsia" w:cstheme="minorEastAsia"/>
          <w:b/>
          <w:bCs/>
          <w:color w:val="auto"/>
          <w:sz w:val="24"/>
        </w:rPr>
        <w:t>项目期限</w:t>
      </w:r>
      <w:r>
        <w:rPr>
          <w:rFonts w:hint="eastAsia" w:asciiTheme="minorEastAsia" w:hAnsiTheme="minorEastAsia" w:eastAsiaTheme="minorEastAsia" w:cstheme="minorEastAsia"/>
          <w:b/>
          <w:bCs/>
          <w:color w:val="auto"/>
          <w:sz w:val="24"/>
          <w:lang w:eastAsia="zh-CN"/>
        </w:rPr>
        <w:t>：</w:t>
      </w:r>
      <w:r>
        <w:rPr>
          <w:rFonts w:hint="eastAsia" w:ascii="宋体" w:hAnsi="宋体" w:eastAsia="宋体" w:cs="宋体"/>
          <w:b w:val="0"/>
          <w:bCs w:val="0"/>
          <w:color w:val="auto"/>
          <w:sz w:val="24"/>
          <w:szCs w:val="32"/>
          <w:lang w:val="en-US" w:eastAsia="zh-CN"/>
        </w:rPr>
        <w:t xml:space="preserve">自合同签订之日起6个月内完成全部服务内容。 </w:t>
      </w:r>
    </w:p>
    <w:p w14:paraId="39AE36D4">
      <w:pPr>
        <w:widowControl/>
        <w:spacing w:line="360" w:lineRule="auto"/>
        <w:ind w:firstLine="482" w:firstLineChars="200"/>
        <w:jc w:val="left"/>
        <w:rPr>
          <w:rFonts w:hint="eastAsia" w:ascii="宋体" w:hAnsi="宋体" w:eastAsia="宋体"/>
          <w:b/>
          <w:bCs/>
          <w:color w:val="auto"/>
          <w:kern w:val="0"/>
          <w:sz w:val="24"/>
          <w:szCs w:val="20"/>
        </w:rPr>
      </w:pPr>
      <w:r>
        <w:rPr>
          <w:rFonts w:hint="eastAsia" w:ascii="宋体" w:hAnsi="宋体" w:eastAsia="宋体"/>
          <w:b/>
          <w:bCs/>
          <w:color w:val="auto"/>
          <w:kern w:val="0"/>
          <w:sz w:val="24"/>
          <w:szCs w:val="20"/>
        </w:rPr>
        <w:t>第三条</w:t>
      </w:r>
      <w:r>
        <w:rPr>
          <w:rFonts w:hint="eastAsia" w:ascii="宋体" w:hAnsi="宋体" w:eastAsia="宋体"/>
          <w:b/>
          <w:bCs/>
          <w:color w:val="auto"/>
          <w:kern w:val="0"/>
          <w:sz w:val="24"/>
          <w:szCs w:val="20"/>
          <w:lang w:val="en-US" w:eastAsia="zh-CN"/>
        </w:rPr>
        <w:t xml:space="preserve"> </w:t>
      </w:r>
      <w:r>
        <w:rPr>
          <w:rFonts w:hint="eastAsia" w:ascii="宋体" w:hAnsi="宋体" w:eastAsia="宋体"/>
          <w:b/>
          <w:bCs/>
          <w:color w:val="auto"/>
          <w:kern w:val="0"/>
          <w:sz w:val="24"/>
          <w:szCs w:val="20"/>
        </w:rPr>
        <w:t>服务内容及要求</w:t>
      </w:r>
    </w:p>
    <w:p w14:paraId="06E5868E">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w:t>
      </w:r>
      <w:r>
        <w:rPr>
          <w:rFonts w:hint="eastAsia" w:ascii="宋体" w:hAnsi="宋体" w:eastAsia="宋体" w:cs="宋体"/>
          <w:b w:val="0"/>
          <w:bCs w:val="0"/>
          <w:color w:val="auto"/>
          <w:sz w:val="24"/>
          <w:szCs w:val="24"/>
          <w:highlight w:val="none"/>
          <w:lang w:val="en-US" w:eastAsia="zh-CN"/>
        </w:rPr>
        <w:t xml:space="preserve">一）科普文化展示系统 </w:t>
      </w:r>
    </w:p>
    <w:tbl>
      <w:tblPr>
        <w:tblStyle w:val="6"/>
        <w:tblW w:w="81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17"/>
        <w:gridCol w:w="1555"/>
        <w:gridCol w:w="1725"/>
        <w:gridCol w:w="3863"/>
      </w:tblGrid>
      <w:tr w14:paraId="17B5B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6" w:hRule="atLeast"/>
          <w:jc w:val="center"/>
        </w:trPr>
        <w:tc>
          <w:tcPr>
            <w:tcW w:w="6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3704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模块</w:t>
            </w:r>
          </w:p>
        </w:tc>
        <w:tc>
          <w:tcPr>
            <w:tcW w:w="20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73B4F0">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子功能</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D8FC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功能及技术要求</w:t>
            </w:r>
          </w:p>
        </w:tc>
      </w:tr>
      <w:tr w14:paraId="47619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57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2DEAE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 科普访客系统小程序</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3BD0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1.1 活动轮播图管理</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EF5B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支持上传多种常见格式图片，如 JPEG、PNG等，对上传图片进行大小压缩处理，确保加载速度。开发轮播图排序拖拽功能，利用 HTML5 的拖放 API 实现。设置关联活动页面链接，对链接进行严格 URL 校验，保证链接的有效性。添加定时上下架设置，可精确到具体时间点，通过数据库记录和定时任务实现，轮播图内容由当地政府提供，供应商随时服务更换，数量不限。</w:t>
            </w:r>
          </w:p>
        </w:tc>
      </w:tr>
      <w:tr w14:paraId="20D0A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447F9A">
            <w:pPr>
              <w:pStyle w:val="8"/>
              <w:spacing w:line="360" w:lineRule="auto"/>
              <w:jc w:val="center"/>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27DAA">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1.2 热门科普线路推荐</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D8DB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浏览量权重设为 40%、收藏量 30%、评论量 30%，实时从数据库获取相关数据进行计算。实现动态更新推荐列表，每小时自动从数据库拉取最新数据刷新页面展示。开发手动置顶功能，管理员可在后台直接操作，通过修改数据库中景点或视频介绍的排序字段实现。</w:t>
            </w:r>
          </w:p>
        </w:tc>
      </w:tr>
      <w:tr w14:paraId="035D9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57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81D8C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 科普知识分类模块</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0D5E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2.1 科普知识分类管理</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298B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设计多级分类树形结构，例如自然景观下细分山岳、湖泊，珍稀树木简介、野生动物简介等。支持分类标签颜色自定义，在后台管理界面提供颜色选择器，颜色信息存储于数据库。开发分类关联景点及动植物简介功能，通过数据库查询数量并实时更新展示，动植物简介内容由供应商提供，经采购人及当地政府审核同意后方可上传，综合数量不少于10份。</w:t>
            </w:r>
          </w:p>
        </w:tc>
      </w:tr>
      <w:tr w14:paraId="19B82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80"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BD1DF2">
            <w:pPr>
              <w:pStyle w:val="8"/>
              <w:spacing w:line="360" w:lineRule="auto"/>
              <w:jc w:val="center"/>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6AC4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2.2 科普知识信息管理（可植入其他信息管理）</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5BBB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采用富文本编辑器，实现图文混排编辑景点、动植物简介描述，支持插入图片、视频、链接等元素。实现多图上传功能，对上传图片进行排序，利用前端文件上传组件和后端接口处理。对接主流地图 API，采集景点地理位置坐标，在地图上精准标注。在后台展示评论列表，管理员可进行审核通过、删除等操作。</w:t>
            </w:r>
          </w:p>
        </w:tc>
      </w:tr>
      <w:tr w14:paraId="50E13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57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25F242">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3、科普线路活动预约</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3093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科普活动预约（可植入其他信息预约）</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top"/>
          </w:tcPr>
          <w:p w14:paraId="1490762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后台可发起科普线路活动，科普线路需要供应商与采购人、当地政府共同考量确定，要求输入活动时间、地点、难度等级、活动亮点等详细信息，上传科普活动相关图片。对接保险接口，设置报名时自动购买保险功能。用户可在专门的科普活动页面查看活动信息，以列表形式展示各活动，每项科普活动配有图片及关键信息卡片。点击进入详情页可查看详细介绍、用户评价等，支付按钮醒目设置在页面下方，支付时显示包含保险费用的总金额。预约记录与订单状态在个人中心页面查看，按时间倒序排列，订单详情中明确显示保险购买信息。</w:t>
            </w:r>
          </w:p>
        </w:tc>
      </w:tr>
      <w:tr w14:paraId="7B35D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40" w:hRule="atLeast"/>
          <w:jc w:val="center"/>
        </w:trPr>
        <w:tc>
          <w:tcPr>
            <w:tcW w:w="157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E88AED">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4、科普线路手绘地图显示</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F9B0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以手绘风格呈现科普酰氯区域地图，标注景点、住宿、登山入口、科普线路等位置。支持地图缩放、拖动，点击标注可查看详细信息。</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top"/>
          </w:tcPr>
          <w:p w14:paraId="3C952E3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地图作为单独页面，加载后自动定位到当前所在区域。缩放通过手势操作，标注图标设计具有特色，如景点为彩色小图标，住宿为房子图标等。点击标注弹出信息窗口，显示名称、简介及相关链接，如景点可链接到详情页。</w:t>
            </w:r>
          </w:p>
        </w:tc>
      </w:tr>
      <w:tr w14:paraId="1D955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81" w:hRule="atLeast"/>
          <w:jc w:val="center"/>
        </w:trPr>
        <w:tc>
          <w:tcPr>
            <w:tcW w:w="157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76C3C1">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 植入配套服务模块</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BF22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3.1住宿服务板块</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1A46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开发动态筛选条件，通过滑块组件实现；星级采用多选框形式，方便用户选择。实现模糊搜索功能，根据住宿名称或地址关键词在数据库中进行模糊匹配查询。设置搜索结果分页，每页展示20条数据，通过后端分页查询语句实现。在房型展示处，用户可通过动态日期选择器选择入住和退房日期。将设施标签图标化，如 WiFi、停车场等，通过前端图标库实现。展示用户评价星级，采用星级评分组件，同时支持按星级筛选评价，实时校验房型库存，每次用户预订时查询数据库中对应房型库存数量。供应商邀请入驻的住宿、民宿上架的商家不得少于20家。</w:t>
            </w:r>
          </w:p>
        </w:tc>
      </w:tr>
      <w:tr w14:paraId="20B48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A5728">
            <w:pPr>
              <w:pStyle w:val="8"/>
              <w:spacing w:line="360" w:lineRule="auto"/>
              <w:jc w:val="center"/>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F97B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3.2 餐饮服务板块</w:t>
            </w:r>
          </w:p>
          <w:p w14:paraId="17976789">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8764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实行在线订座当地餐饮店。供应商邀请入驻的上架商家不得少于10家，且需取得食品经营许可证。</w:t>
            </w:r>
          </w:p>
        </w:tc>
      </w:tr>
      <w:tr w14:paraId="01EF6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BC7F9E">
            <w:pPr>
              <w:pStyle w:val="8"/>
              <w:spacing w:line="360" w:lineRule="auto"/>
              <w:jc w:val="center"/>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1317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3.3 其他板块</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A1B8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采用 SPU/SKU 商品模型，支持商品多规格（如颜色、尺码）、设置。开发商品上下架批量操作功能，通过批量更新数据库中商品状态字段实现。设置库存预警通知，当库存低于阈值时，通过短信接口向管理员发送提醒短信。根据商品重量、发货地和收货地等信息。集成快递 100 或顺丰等主流物流 API，获取物流单号对应的物流信息。实现物流状态自动同步，通过定时调用物流 API 接口更新物流状态。在用户端展示物流地图轨迹，利用地图 API 和物流轨迹数据进行展示</w:t>
            </w:r>
          </w:p>
        </w:tc>
      </w:tr>
      <w:tr w14:paraId="4A69A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57" w:hRule="atLeast"/>
          <w:jc w:val="center"/>
        </w:trPr>
        <w:tc>
          <w:tcPr>
            <w:tcW w:w="157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969F0A">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6、科普游览圈论坛模块</w:t>
            </w:r>
          </w:p>
        </w:tc>
        <w:tc>
          <w:tcPr>
            <w:tcW w:w="10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D0531E">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讨论圈</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top"/>
          </w:tcPr>
          <w:p w14:paraId="7827B95F">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用户可发布图文并茂的旅游相关帖子，支持视频上传。帖子展示列表按发布时间倒序排列，显示帖子标题、作者、发布时间、点赞数、评论数。用户可对帖子进行点赞、评论、收藏操作，评论区支持回复功能。具备搜索功能，可按关键词搜索帖子。</w:t>
            </w:r>
          </w:p>
        </w:tc>
      </w:tr>
      <w:tr w14:paraId="1FAB4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7"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AEE3E">
            <w:pPr>
              <w:pStyle w:val="8"/>
              <w:spacing w:line="360" w:lineRule="auto"/>
              <w:jc w:val="center"/>
              <w:rPr>
                <w:rFonts w:hint="eastAsia" w:ascii="宋体" w:hAnsi="宋体" w:eastAsia="宋体" w:cs="宋体"/>
                <w:b w:val="0"/>
                <w:bCs w:val="0"/>
                <w:color w:val="auto"/>
                <w:sz w:val="24"/>
                <w:szCs w:val="24"/>
                <w:highlight w:val="none"/>
                <w:lang w:val="en-US" w:eastAsia="zh-CN"/>
              </w:rPr>
            </w:pPr>
          </w:p>
        </w:tc>
        <w:tc>
          <w:tcPr>
            <w:tcW w:w="10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F8BB4F">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top"/>
          </w:tcPr>
          <w:p w14:paraId="56E33D6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帖子管理：审核用户发布的帖子，删除违规帖子（涉黄、涉政、广告等），置顶热门帖子。评论管理：审核用户评论，删除不当评论，对违规用户进行禁言等处理。数据统计：统计热门帖子（按点赞数、评论数等综合指标）、活跃用户（按发帖量、评论量）等数据，生成报表。</w:t>
            </w:r>
          </w:p>
        </w:tc>
      </w:tr>
      <w:tr w14:paraId="70EB55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2" w:hRule="atLeast"/>
          <w:jc w:val="center"/>
        </w:trPr>
        <w:tc>
          <w:tcPr>
            <w:tcW w:w="157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71C7D1">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 后台管理模块</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6F04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7.1 数据看板</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EFF3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实现实时销售数据可视化，通过折线图展示销售趋势，柱状图展示不同商品或业务的销售占比。分析用户活跃度，计算日活跃用户数（DAU）和月活跃用户数（MAU）。开发热力图展示景点访问分布，利用地图 API 和用户访问数据生成热力图。</w:t>
            </w:r>
          </w:p>
        </w:tc>
      </w:tr>
      <w:tr w14:paraId="0B77C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2"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D5AB76">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4524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7.2 系统日志与监控</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D9F3F">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记录系统操作日志，包括增删改查等操作，存储于数据库。设置异常登录报警功能，当检测到异常登录时，通过短信或邮件通知管理员。监控接口性能，当接口响应时间超过 2 秒时进行预警，通过性能监控工具实现</w:t>
            </w:r>
          </w:p>
        </w:tc>
      </w:tr>
      <w:tr w14:paraId="565F1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8" w:hRule="atLeast"/>
          <w:jc w:val="center"/>
        </w:trPr>
        <w:tc>
          <w:tcPr>
            <w:tcW w:w="157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3B7176">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5362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7.3 科普线路推广功能</w:t>
            </w:r>
          </w:p>
        </w:tc>
        <w:tc>
          <w:tcPr>
            <w:tcW w:w="2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ABD8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优惠券创建：可设置优惠券类型、面值、适用商品/店铺范围等），在数据库中存储优惠券信息。优惠券编辑：修改已创建优惠券的各项参数，如有效期、使用条件等，修改后及时同步到用户端展示。优惠券发放：可选择按用户分组（如会员等级等）、特定活动等方式发放优惠券，通过系统消息或短信通知用户领取。优惠券核销统计：统计优惠券的领取数量、使用数量等数据，生成报表，方便分析营销效果。</w:t>
            </w:r>
          </w:p>
        </w:tc>
      </w:tr>
      <w:tr w14:paraId="05149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88"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2A7AE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科普展示系统要求建设一个集实物展示、多媒体互动、系统宣教于一体的综合性科普展示平台，具体要求如下：</w:t>
            </w:r>
          </w:p>
          <w:p w14:paraId="77DCBCA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一、展陈空间与硬件配置</w:t>
            </w:r>
          </w:p>
          <w:p w14:paraId="7686FF5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大型显示设备：配备98英寸智能显示设备，用于循环播放宣教内容，要求显示效果好，运行稳定。</w:t>
            </w:r>
          </w:p>
          <w:p w14:paraId="135B6F0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二、标本与实物展品</w:t>
            </w:r>
          </w:p>
          <w:p w14:paraId="5A545D6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 动植物标本：陈列制作精良、形态逼真的动植物标本，总数不低于20幅/件。标本应具有本地代表性，种类丰富，并配有清晰的科普说明标牌。</w:t>
            </w:r>
          </w:p>
          <w:p w14:paraId="716E0EF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 地质标本：</w:t>
            </w:r>
          </w:p>
          <w:p w14:paraId="50FDB54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① 当地矿石：系统展示本地特色矿石标本，需标注名称、成分、产地及应用。</w:t>
            </w:r>
          </w:p>
          <w:p w14:paraId="228C293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②当地土壤：以剖面或样本盒形式，展示本地区典型土壤类型，并说明其形成与特性。</w:t>
            </w:r>
          </w:p>
          <w:p w14:paraId="32A6CEA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三、宣教内容与软件制作</w:t>
            </w:r>
          </w:p>
          <w:p w14:paraId="5ED84CB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 宣教视频：专业策划并制作不低于3套科普宣教视频。</w:t>
            </w:r>
          </w:p>
          <w:p w14:paraId="4D73CAA7">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①内容要求：主题需与本展区内容紧密结合，如本地生态多样性、地质演变、环境保护等。</w:t>
            </w:r>
          </w:p>
          <w:p w14:paraId="4166FF0E">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② 技术标准：影片画质需达到1080P或以上，配有专业解说与背景音乐，每套时长不低于5分钟。</w:t>
            </w:r>
          </w:p>
          <w:p w14:paraId="42EDD48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四、系统集成与整体效果</w:t>
            </w:r>
          </w:p>
          <w:p w14:paraId="74C8C4B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所有硬件、标本与多媒体内容须进行系统化集成，确保展示逻辑清晰，观展动线合理，最终形成一个现代化、吸引观众并富有教育意义的完整科普展示系统。</w:t>
            </w:r>
          </w:p>
        </w:tc>
      </w:tr>
    </w:tbl>
    <w:p w14:paraId="3609708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（二）访客行为管理系统</w:t>
      </w:r>
    </w:p>
    <w:tbl>
      <w:tblPr>
        <w:tblStyle w:val="6"/>
        <w:tblW w:w="482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98"/>
        <w:gridCol w:w="2346"/>
        <w:gridCol w:w="4585"/>
      </w:tblGrid>
      <w:tr w14:paraId="66033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5" w:hRule="atLeast"/>
          <w:jc w:val="center"/>
        </w:trPr>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EC2F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模块</w:t>
            </w: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BEA1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功能</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028B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功能描述</w:t>
            </w:r>
          </w:p>
        </w:tc>
      </w:tr>
      <w:tr w14:paraId="105E1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7" w:hRule="atLeast"/>
          <w:jc w:val="center"/>
        </w:trPr>
        <w:tc>
          <w:tcPr>
            <w:tcW w:w="789" w:type="pct"/>
            <w:vMerge w:val="restart"/>
            <w:tcBorders>
              <w:top w:val="single" w:color="000000" w:sz="4" w:space="0"/>
              <w:left w:val="single" w:color="000000" w:sz="4" w:space="0"/>
              <w:right w:val="single" w:color="000000" w:sz="4" w:space="0"/>
            </w:tcBorders>
            <w:shd w:val="clear" w:color="auto" w:fill="auto"/>
            <w:vAlign w:val="center"/>
          </w:tcPr>
          <w:p w14:paraId="12AD5A9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科普线路预约</w:t>
            </w: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FC1C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预约流程（下一步省略步骤）</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3DA2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预约流程把选择预约类型、出行人数、出行日期放在一个界面，点击下一步跳转到预约信息填写、资料上传界面填写完成后创建订单。</w:t>
            </w:r>
          </w:p>
        </w:tc>
      </w:tr>
      <w:tr w14:paraId="5F32A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6" w:hRule="atLeast"/>
          <w:jc w:val="center"/>
        </w:trPr>
        <w:tc>
          <w:tcPr>
            <w:tcW w:w="789" w:type="pct"/>
            <w:vMerge w:val="continue"/>
            <w:tcBorders>
              <w:left w:val="single" w:color="000000" w:sz="4" w:space="0"/>
              <w:right w:val="single" w:color="000000" w:sz="4" w:space="0"/>
            </w:tcBorders>
            <w:shd w:val="clear" w:color="auto" w:fill="auto"/>
            <w:vAlign w:val="center"/>
          </w:tcPr>
          <w:p w14:paraId="11E1A2C5">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AF53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截止时间</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1A28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截止时间修改为今日时间，例如当日的9：00-18：00点为开发时间。</w:t>
            </w:r>
          </w:p>
        </w:tc>
      </w:tr>
      <w:tr w14:paraId="7C22E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jc w:val="center"/>
        </w:trPr>
        <w:tc>
          <w:tcPr>
            <w:tcW w:w="789" w:type="pct"/>
            <w:vMerge w:val="continue"/>
            <w:tcBorders>
              <w:left w:val="single" w:color="000000" w:sz="4" w:space="0"/>
              <w:right w:val="single" w:color="000000" w:sz="4" w:space="0"/>
            </w:tcBorders>
            <w:shd w:val="clear" w:color="auto" w:fill="auto"/>
            <w:vAlign w:val="center"/>
          </w:tcPr>
          <w:p w14:paraId="190BAB2D">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AC99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预约须知</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2F72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预约活动前需强制阅读30秒后才能开始预约流程。</w:t>
            </w:r>
          </w:p>
        </w:tc>
      </w:tr>
      <w:tr w14:paraId="20F2D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6" w:hRule="atLeast"/>
          <w:jc w:val="center"/>
        </w:trPr>
        <w:tc>
          <w:tcPr>
            <w:tcW w:w="789" w:type="pct"/>
            <w:vMerge w:val="continue"/>
            <w:tcBorders>
              <w:left w:val="single" w:color="000000" w:sz="4" w:space="0"/>
              <w:right w:val="single" w:color="000000" w:sz="4" w:space="0"/>
            </w:tcBorders>
            <w:shd w:val="clear" w:color="auto" w:fill="auto"/>
            <w:vAlign w:val="center"/>
          </w:tcPr>
          <w:p w14:paraId="7CFF3AF5">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5100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线路订单审核</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D654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龙门山科普线路预约平台进行初审，熊猫站进行终审（平台独立出来），采用双级审核机制。</w:t>
            </w:r>
          </w:p>
        </w:tc>
      </w:tr>
      <w:tr w14:paraId="21C7F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6" w:hRule="atLeast"/>
          <w:jc w:val="center"/>
        </w:trPr>
        <w:tc>
          <w:tcPr>
            <w:tcW w:w="789" w:type="pct"/>
            <w:vMerge w:val="continue"/>
            <w:tcBorders>
              <w:left w:val="single" w:color="000000" w:sz="4" w:space="0"/>
              <w:right w:val="single" w:color="000000" w:sz="4" w:space="0"/>
            </w:tcBorders>
            <w:shd w:val="clear" w:color="auto" w:fill="auto"/>
            <w:vAlign w:val="center"/>
          </w:tcPr>
          <w:p w14:paraId="303B0E0E">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88AD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预约类型</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9A44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个人（需购买保险、预约信息上传、个人资料上传）、团体（增加团队人数选项，需购买保险、团体信息上传（营业执照）、文件在线填写保存，推送到后台进行初审）、科考科研（增加科研科考人数选项，需购买保险、科考团队信息上传、提供经有权部门审批的文件、文件在线填写保存，推送到后台进行初审）。</w:t>
            </w:r>
          </w:p>
        </w:tc>
      </w:tr>
      <w:tr w14:paraId="57D5E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11" w:hRule="atLeast"/>
          <w:jc w:val="center"/>
        </w:trPr>
        <w:tc>
          <w:tcPr>
            <w:tcW w:w="789" w:type="pct"/>
            <w:vMerge w:val="continue"/>
            <w:tcBorders>
              <w:left w:val="single" w:color="000000" w:sz="4" w:space="0"/>
              <w:right w:val="single" w:color="000000" w:sz="4" w:space="0"/>
            </w:tcBorders>
            <w:shd w:val="clear" w:color="auto" w:fill="auto"/>
            <w:vAlign w:val="center"/>
          </w:tcPr>
          <w:p w14:paraId="20E24B10">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7E75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保险</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F4B7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可上传已购买保险凭证，若无购买保险需选择购买保险类型进行购买，保险类型及详情都需后台上传信息。</w:t>
            </w:r>
          </w:p>
        </w:tc>
      </w:tr>
      <w:tr w14:paraId="27C67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7" w:hRule="atLeast"/>
          <w:jc w:val="center"/>
        </w:trPr>
        <w:tc>
          <w:tcPr>
            <w:tcW w:w="789" w:type="pct"/>
            <w:vMerge w:val="continue"/>
            <w:tcBorders>
              <w:left w:val="single" w:color="000000" w:sz="4" w:space="0"/>
              <w:right w:val="single" w:color="000000" w:sz="4" w:space="0"/>
            </w:tcBorders>
            <w:shd w:val="clear" w:color="auto" w:fill="auto"/>
            <w:vAlign w:val="center"/>
          </w:tcPr>
          <w:p w14:paraId="7542915B">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CDA8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预约时间</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9E97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可预约时间仅显示未来7天，每日名额用尽后禁止选择，预约一天往后推一天，在每日日期下实时显示已预约名额，剩余名额。</w:t>
            </w:r>
          </w:p>
        </w:tc>
      </w:tr>
      <w:tr w14:paraId="7EE4A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jc w:val="center"/>
        </w:trPr>
        <w:tc>
          <w:tcPr>
            <w:tcW w:w="789" w:type="pct"/>
            <w:vMerge w:val="continue"/>
            <w:tcBorders>
              <w:left w:val="single" w:color="000000" w:sz="4" w:space="0"/>
              <w:right w:val="single" w:color="000000" w:sz="4" w:space="0"/>
            </w:tcBorders>
            <w:shd w:val="clear" w:color="auto" w:fill="auto"/>
            <w:vAlign w:val="center"/>
          </w:tcPr>
          <w:p w14:paraId="75A8D88A">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7A41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天气展示</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BE9A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在路线上面展示该路线景点的天气情况，文字展示。</w:t>
            </w:r>
          </w:p>
        </w:tc>
      </w:tr>
      <w:tr w14:paraId="13246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62" w:hRule="atLeast"/>
          <w:jc w:val="center"/>
        </w:trPr>
        <w:tc>
          <w:tcPr>
            <w:tcW w:w="789" w:type="pct"/>
            <w:vMerge w:val="continue"/>
            <w:tcBorders>
              <w:left w:val="single" w:color="000000" w:sz="4" w:space="0"/>
              <w:bottom w:val="single" w:color="000000" w:sz="4" w:space="0"/>
              <w:right w:val="single" w:color="000000" w:sz="4" w:space="0"/>
            </w:tcBorders>
            <w:shd w:val="clear" w:color="auto" w:fill="auto"/>
            <w:vAlign w:val="center"/>
          </w:tcPr>
          <w:p w14:paraId="4FA3D064">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EBFF7">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活动窗口</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3CDB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创建活动展示活动时间及活动规制，用户根据规制完成任务可得经验值，经验值是后台人员发放，根据经验值给用户进行排名，排行榜对用户前50名进行排行。</w:t>
            </w:r>
          </w:p>
        </w:tc>
      </w:tr>
      <w:tr w14:paraId="47A05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2" w:hRule="atLeast"/>
          <w:jc w:val="center"/>
        </w:trPr>
        <w:tc>
          <w:tcPr>
            <w:tcW w:w="7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CB8BB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电子签名功能</w:t>
            </w: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0F56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准备与绘制</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B59F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签名画板：1、进入页面， canvas 画板初始化2、手指触摸屏幕开始绘制3、移动手指生成签名笔迹4、可调整画笔颜色和粗细5、不满意可点击“重写”清空画布。生成签名图片：点击“确认”按钮，调用小程序API将画布内容转换为本地临时图片文件路径，并显示预览。</w:t>
            </w:r>
          </w:p>
        </w:tc>
      </w:tr>
      <w:tr w14:paraId="73037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7" w:hRule="atLeast"/>
          <w:jc w:val="center"/>
        </w:trPr>
        <w:tc>
          <w:tcPr>
            <w:tcW w:w="7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2D1389">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C457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提交与存储</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5742F">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上传签名：1. 预览无误后，点击“提交”2. 将临时图片文件和相关数据（如订单号）上传至服务器3. 显示“上传中”加载状态。</w:t>
            </w:r>
          </w:p>
        </w:tc>
      </w:tr>
      <w:tr w14:paraId="6C1C3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2" w:hRule="atLeast"/>
          <w:jc w:val="center"/>
        </w:trPr>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59699">
            <w:pPr>
              <w:pStyle w:val="8"/>
              <w:spacing w:line="360" w:lineRule="auto"/>
              <w:jc w:val="left"/>
              <w:rPr>
                <w:rFonts w:hint="eastAsia" w:ascii="宋体" w:hAnsi="宋体" w:eastAsia="宋体" w:cs="宋体"/>
                <w:b w:val="0"/>
                <w:bCs w:val="0"/>
                <w:color w:val="auto"/>
                <w:sz w:val="24"/>
                <w:szCs w:val="24"/>
                <w:highlight w:val="none"/>
                <w:lang w:val="en-US" w:eastAsia="zh-CN"/>
              </w:rPr>
            </w:pPr>
          </w:p>
        </w:tc>
        <w:tc>
          <w:tcPr>
            <w:tcW w:w="14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E024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管理与查询</w:t>
            </w:r>
          </w:p>
        </w:tc>
        <w:tc>
          <w:tcPr>
            <w:tcW w:w="2786" w:type="pct"/>
            <w:tcBorders>
              <w:top w:val="single" w:color="000000" w:sz="4" w:space="0"/>
              <w:left w:val="single" w:color="000000" w:sz="4" w:space="0"/>
              <w:bottom w:val="single" w:color="000000" w:sz="4" w:space="0"/>
              <w:right w:val="single" w:color="000000" w:sz="4" w:space="0"/>
            </w:tcBorders>
            <w:shd w:val="clear" w:color="auto" w:fill="auto"/>
            <w:vAlign w:val="top"/>
          </w:tcPr>
          <w:p w14:paraId="6498A61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历史记录：在“我的签署”页面，向下滑动触发请求，获取历史签名记录列表。删除记录：在历史记录列表中，左滑或点击某条记录后的“删除”按钮。</w:t>
            </w:r>
          </w:p>
        </w:tc>
      </w:tr>
    </w:tbl>
    <w:p w14:paraId="6CAE511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（三）户外徒步系统</w:t>
      </w:r>
    </w:p>
    <w:p w14:paraId="78AF7572">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1、服务内容</w:t>
      </w:r>
    </w:p>
    <w:p w14:paraId="53EFD097">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为实现游客及徒步爱好者登山过程中现场情况的实时反馈，助力龙门山镇政府工作人员与应急救援人员精准掌握现场动态、高效应对各类突发状况，供应商需提前搭建现场信息回传专用网络，统筹规划视频传输设备调配、信号保障点位布设及信息反馈响应机制，确保登山全程的现场画面与动态信息及时回传，利用mesh技术搭建主干网络，同时实时回传人员定位信息；利用lora技术搭建人员定位系统，在九峰山徒步场景中，预计需要覆盖范围达到8KM（从【红房子】至【金顶】）。</w:t>
      </w:r>
    </w:p>
    <w:p w14:paraId="660370F0">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Mesh和lora均为自组网技术，mesh技术实现主干网络功能，实现团队定位，需要建设固定基站；lora技术需结合北斗卫星及蓝牙才能实现人员精准定位（定位精度在5-10米），lora网络实时采集工牌的定位信息，领队可通过蓝牙广播收到人员定位数据，管理者可通过mesh和lora网络在镇政府实时查看场景中任何一人的定位信息。</w:t>
      </w:r>
    </w:p>
    <w:p w14:paraId="1D780E99">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（1）导游/登山路线</w:t>
      </w:r>
    </w:p>
    <w:p w14:paraId="6536B19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0" distR="0">
            <wp:extent cx="2248535" cy="1287780"/>
            <wp:effectExtent l="0" t="0" r="184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
                    <a:stretch>
                      <a:fillRect/>
                    </a:stretch>
                  </pic:blipFill>
                  <pic:spPr>
                    <a:xfrm>
                      <a:off x="0" y="0"/>
                      <a:ext cx="2248535" cy="1287780"/>
                    </a:xfrm>
                    <a:prstGeom prst="rect">
                      <a:avLst/>
                    </a:prstGeom>
                  </pic:spPr>
                </pic:pic>
              </a:graphicData>
            </a:graphic>
          </wp:inline>
        </w:drawing>
      </w:r>
    </w:p>
    <w:p w14:paraId="15B9E91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（2）总体网络覆盖路线</w:t>
      </w:r>
    </w:p>
    <w:p w14:paraId="2278FBD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0" distR="0">
            <wp:extent cx="2363470" cy="1130300"/>
            <wp:effectExtent l="0" t="0" r="17780"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2363470" cy="1130300"/>
                    </a:xfrm>
                    <a:prstGeom prst="rect">
                      <a:avLst/>
                    </a:prstGeom>
                  </pic:spPr>
                </pic:pic>
              </a:graphicData>
            </a:graphic>
          </wp:inline>
        </w:drawing>
      </w:r>
    </w:p>
    <w:p w14:paraId="5F082E5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2、方案设计</w:t>
      </w:r>
    </w:p>
    <w:p w14:paraId="06D8447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object>
          <v:shape id="_x0000_i1026" o:spt="75" type="#_x0000_t75" style="height:144.45pt;width:273.6pt;" o:ole="t" filled="f" o:preferrelative="t" stroked="f" coordsize="21600,21600">
            <v:path/>
            <v:fill on="f" focussize="0,0"/>
            <v:stroke on="f"/>
            <v:imagedata r:id="rId8" o:title=""/>
            <o:lock v:ext="edit" aspectratio="t"/>
            <w10:wrap type="none"/>
            <w10:anchorlock/>
          </v:shape>
          <o:OLEObject Type="Embed" ProgID="Visio.Drawing.15" ShapeID="_x0000_i1026" DrawAspect="Content" ObjectID="_1468075725" r:id="rId7">
            <o:LockedField>false</o:LockedField>
          </o:OLEObject>
        </w:object>
      </w:r>
    </w:p>
    <w:p w14:paraId="6F70DBB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0" distR="0">
            <wp:extent cx="2805430" cy="1584325"/>
            <wp:effectExtent l="0" t="0" r="1397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2805430" cy="1584325"/>
                    </a:xfrm>
                    <a:prstGeom prst="rect">
                      <a:avLst/>
                    </a:prstGeom>
                  </pic:spPr>
                </pic:pic>
              </a:graphicData>
            </a:graphic>
          </wp:inline>
        </w:drawing>
      </w:r>
    </w:p>
    <w:p w14:paraId="59A1B1A0">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1.龙门山镇政府作为公网引入点。</w:t>
      </w:r>
    </w:p>
    <w:p w14:paraId="2654AC80">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2.在龙门山镇政府到金顶之间设立4个点位。在这4个点位上用网桥搭建骨干线路，负责将公网引入到景区登山线路沿线。</w:t>
      </w:r>
    </w:p>
    <w:p w14:paraId="72404CB9">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3.同时在这4个点位上用自组网设备设立覆盖点，用自组网设备覆盖全部旅游线路区域。</w:t>
      </w:r>
    </w:p>
    <w:p w14:paraId="0179302C">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4.导游、登山队携带自组网设备通过WIFI接入需求终端。将现场情况回传至监控中心</w:t>
      </w:r>
    </w:p>
    <w:p w14:paraId="0AA41A72">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5.龙门山镇政府通过后台监控实时掌握现场情况，进行统一调度。</w:t>
      </w:r>
    </w:p>
    <w:p w14:paraId="396648EB">
      <w:pPr>
        <w:pStyle w:val="8"/>
        <w:spacing w:line="360" w:lineRule="auto"/>
        <w:ind w:firstLine="480" w:firstLineChars="200"/>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覆盖图示：</w:t>
      </w:r>
    </w:p>
    <w:p w14:paraId="2BA32E6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0" distR="0">
            <wp:extent cx="2730500" cy="1635125"/>
            <wp:effectExtent l="0" t="0" r="1270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0" cstate="print"/>
                    <a:stretch>
                      <a:fillRect/>
                    </a:stretch>
                  </pic:blipFill>
                  <pic:spPr>
                    <a:xfrm>
                      <a:off x="0" y="0"/>
                      <a:ext cx="2730500" cy="1635125"/>
                    </a:xfrm>
                    <a:prstGeom prst="rect">
                      <a:avLst/>
                    </a:prstGeom>
                  </pic:spPr>
                </pic:pic>
              </a:graphicData>
            </a:graphic>
          </wp:inline>
        </w:drawing>
      </w:r>
    </w:p>
    <w:p w14:paraId="388C4FC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3、无线传输设备</w:t>
      </w:r>
    </w:p>
    <w:p w14:paraId="1CCB23B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（1）单兵式自组网电台</w:t>
      </w:r>
    </w:p>
    <w:p w14:paraId="5993095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背负式自组网电台：体积小、重量轻，配备高容量可拆卸锂电池，便于单兵背负携带，充分的解放双手。快速入网、自动多跳中继，可为单兵、战术班组、战术警犬提供语音组呼、视频回传、中继传输等多媒体通信业务，实现高速协同。兼具北斗定位功能，同时也支持wifi覆盖，可配合wifi功能的智能终端进行各种通信。系统采用同频组网、多跳中继，支持任意网络拓扑结构，如点对点、点对多点、链状中继、网状网络及混合网络拓扑等。可为应急处突、反恐防爆、隐蔽侦查、特种作战、抢险救灾、日常巡逻等“平急战”任务，即时提供无线宽带通信。传输距离地面开阔环境可达10km以上，阻挡环境下300~1000m（视阻挡环境而定），空中到地面大于30km。</w:t>
      </w:r>
    </w:p>
    <w:p w14:paraId="0EAE478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（2）无线微波网桥</w:t>
      </w:r>
    </w:p>
    <w:p w14:paraId="45E89F7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无线通信设备专门为恶劣环境工作场景而设计，其板卡采用工业级设计，具有强大的无线抗干扰能力；设备的发射功率最高可达30dBm，实际功耗低于5W；在野外无市电的情况下，可以灵活搭配蓄电池、太阳能和风能等多种供电方式进行工作；设备内置25dBi天线，在无阻挡状态下最远传输距离不低于15km，提供的设备应有防水和防尘的设计，防护等级可达IP66，适用于野外恶劣环境的无线连接服务，支持高带宽的网络数据链接以及基于网络的音视频等信号的传输。该设备广泛应用于森林防火、水利水电工程、油田管道监测、港口码头远程数据传输以及跨越山川、河流等远距离无线数据连接应用领域。</w:t>
      </w:r>
    </w:p>
    <w:p w14:paraId="5708A03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4、硬件设备</w:t>
      </w:r>
    </w:p>
    <w:tbl>
      <w:tblPr>
        <w:tblStyle w:val="6"/>
        <w:tblW w:w="8366" w:type="dxa"/>
        <w:tblInd w:w="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1"/>
        <w:gridCol w:w="1245"/>
        <w:gridCol w:w="1350"/>
        <w:gridCol w:w="4170"/>
      </w:tblGrid>
      <w:tr w14:paraId="585D5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9" w:hRule="atLeast"/>
        </w:trPr>
        <w:tc>
          <w:tcPr>
            <w:tcW w:w="1601" w:type="dxa"/>
            <w:shd w:val="clear" w:color="000000" w:fill="D9D9D9"/>
            <w:noWrap/>
            <w:vAlign w:val="center"/>
          </w:tcPr>
          <w:p w14:paraId="7BFDABCA">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产品名称</w:t>
            </w:r>
          </w:p>
        </w:tc>
        <w:tc>
          <w:tcPr>
            <w:tcW w:w="1245" w:type="dxa"/>
            <w:shd w:val="clear" w:color="000000" w:fill="D9D9D9"/>
            <w:noWrap/>
            <w:vAlign w:val="center"/>
          </w:tcPr>
          <w:p w14:paraId="7017FBCF">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w:t>
            </w:r>
          </w:p>
        </w:tc>
        <w:tc>
          <w:tcPr>
            <w:tcW w:w="1350" w:type="dxa"/>
            <w:shd w:val="clear" w:color="000000" w:fill="D9D9D9"/>
            <w:noWrap/>
            <w:vAlign w:val="center"/>
          </w:tcPr>
          <w:p w14:paraId="2B855427">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单位</w:t>
            </w:r>
          </w:p>
        </w:tc>
        <w:tc>
          <w:tcPr>
            <w:tcW w:w="4170" w:type="dxa"/>
            <w:shd w:val="clear" w:color="000000" w:fill="D9D9D9"/>
            <w:noWrap/>
            <w:vAlign w:val="center"/>
          </w:tcPr>
          <w:p w14:paraId="2CE17A72">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备注</w:t>
            </w:r>
          </w:p>
        </w:tc>
      </w:tr>
      <w:tr w14:paraId="4A91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4" w:hRule="atLeast"/>
        </w:trPr>
        <w:tc>
          <w:tcPr>
            <w:tcW w:w="1601" w:type="dxa"/>
            <w:shd w:val="clear" w:color="auto" w:fill="auto"/>
            <w:noWrap/>
            <w:vAlign w:val="center"/>
          </w:tcPr>
          <w:p w14:paraId="7B9385E8">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微波网桥</w:t>
            </w:r>
          </w:p>
        </w:tc>
        <w:tc>
          <w:tcPr>
            <w:tcW w:w="1245" w:type="dxa"/>
            <w:shd w:val="clear" w:color="auto" w:fill="auto"/>
            <w:noWrap/>
            <w:vAlign w:val="center"/>
          </w:tcPr>
          <w:p w14:paraId="737C846A">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w:t>
            </w:r>
          </w:p>
        </w:tc>
        <w:tc>
          <w:tcPr>
            <w:tcW w:w="1350" w:type="dxa"/>
            <w:shd w:val="clear" w:color="auto" w:fill="auto"/>
            <w:noWrap/>
            <w:vAlign w:val="center"/>
          </w:tcPr>
          <w:p w14:paraId="2F4186F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台</w:t>
            </w:r>
          </w:p>
        </w:tc>
        <w:tc>
          <w:tcPr>
            <w:tcW w:w="4170" w:type="dxa"/>
            <w:shd w:val="clear" w:color="auto" w:fill="auto"/>
            <w:vAlign w:val="center"/>
          </w:tcPr>
          <w:p w14:paraId="516E1767">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用于镇政府--1号覆盖点--2号覆盖点，设备功耗10W</w:t>
            </w:r>
          </w:p>
        </w:tc>
      </w:tr>
      <w:tr w14:paraId="14579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1601" w:type="dxa"/>
            <w:shd w:val="clear" w:color="auto" w:fill="auto"/>
            <w:vAlign w:val="center"/>
          </w:tcPr>
          <w:p w14:paraId="48C3ED3F">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基站自组网设备</w:t>
            </w:r>
          </w:p>
        </w:tc>
        <w:tc>
          <w:tcPr>
            <w:tcW w:w="1245" w:type="dxa"/>
            <w:shd w:val="clear" w:color="auto" w:fill="auto"/>
            <w:noWrap/>
            <w:vAlign w:val="center"/>
          </w:tcPr>
          <w:p w14:paraId="151E65DD">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w:t>
            </w:r>
          </w:p>
        </w:tc>
        <w:tc>
          <w:tcPr>
            <w:tcW w:w="1350" w:type="dxa"/>
            <w:shd w:val="clear" w:color="auto" w:fill="auto"/>
            <w:noWrap/>
            <w:vAlign w:val="center"/>
          </w:tcPr>
          <w:p w14:paraId="71F852E7">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台</w:t>
            </w:r>
          </w:p>
        </w:tc>
        <w:tc>
          <w:tcPr>
            <w:tcW w:w="4170" w:type="dxa"/>
            <w:shd w:val="clear" w:color="auto" w:fill="auto"/>
            <w:vAlign w:val="center"/>
          </w:tcPr>
          <w:p w14:paraId="345907FF">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用于1号覆盖点和2号覆盖点，设备功耗90瓦</w:t>
            </w:r>
          </w:p>
        </w:tc>
      </w:tr>
      <w:tr w14:paraId="3ECB4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1601" w:type="dxa"/>
            <w:shd w:val="clear" w:color="auto" w:fill="auto"/>
            <w:noWrap/>
            <w:vAlign w:val="center"/>
          </w:tcPr>
          <w:p w14:paraId="79908DD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便携式自组网设备</w:t>
            </w:r>
          </w:p>
        </w:tc>
        <w:tc>
          <w:tcPr>
            <w:tcW w:w="1245" w:type="dxa"/>
            <w:shd w:val="clear" w:color="auto" w:fill="auto"/>
            <w:vAlign w:val="center"/>
          </w:tcPr>
          <w:p w14:paraId="4928B7DB">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w:t>
            </w:r>
          </w:p>
        </w:tc>
        <w:tc>
          <w:tcPr>
            <w:tcW w:w="1350" w:type="dxa"/>
            <w:shd w:val="clear" w:color="auto" w:fill="auto"/>
            <w:noWrap/>
            <w:vAlign w:val="center"/>
          </w:tcPr>
          <w:p w14:paraId="14EC3766">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台</w:t>
            </w:r>
          </w:p>
        </w:tc>
        <w:tc>
          <w:tcPr>
            <w:tcW w:w="4170" w:type="dxa"/>
            <w:shd w:val="clear" w:color="auto" w:fill="auto"/>
            <w:vAlign w:val="center"/>
          </w:tcPr>
          <w:p w14:paraId="3388D9E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用于向导便携式使用，含便携式电池1块</w:t>
            </w:r>
          </w:p>
        </w:tc>
      </w:tr>
      <w:tr w14:paraId="780C9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1601" w:type="dxa"/>
            <w:shd w:val="clear" w:color="auto" w:fill="auto"/>
            <w:noWrap/>
            <w:vAlign w:val="center"/>
          </w:tcPr>
          <w:p w14:paraId="7BB79837">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Lora基站</w:t>
            </w:r>
          </w:p>
        </w:tc>
        <w:tc>
          <w:tcPr>
            <w:tcW w:w="1245" w:type="dxa"/>
            <w:shd w:val="clear" w:color="auto" w:fill="auto"/>
            <w:vAlign w:val="center"/>
          </w:tcPr>
          <w:p w14:paraId="3FCB22F0">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w:t>
            </w:r>
          </w:p>
        </w:tc>
        <w:tc>
          <w:tcPr>
            <w:tcW w:w="1350" w:type="dxa"/>
            <w:shd w:val="clear" w:color="auto" w:fill="auto"/>
            <w:noWrap/>
            <w:vAlign w:val="center"/>
          </w:tcPr>
          <w:p w14:paraId="461743F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套</w:t>
            </w:r>
          </w:p>
        </w:tc>
        <w:tc>
          <w:tcPr>
            <w:tcW w:w="4170" w:type="dxa"/>
            <w:shd w:val="clear" w:color="auto" w:fill="auto"/>
            <w:vAlign w:val="center"/>
          </w:tcPr>
          <w:p w14:paraId="054565B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含基站1个，中继4个，工牌5个</w:t>
            </w:r>
          </w:p>
        </w:tc>
      </w:tr>
      <w:tr w14:paraId="42C31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2" w:hRule="atLeast"/>
        </w:trPr>
        <w:tc>
          <w:tcPr>
            <w:tcW w:w="1601" w:type="dxa"/>
            <w:shd w:val="clear" w:color="auto" w:fill="auto"/>
            <w:noWrap/>
            <w:vAlign w:val="center"/>
          </w:tcPr>
          <w:p w14:paraId="157F908E">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供电系统</w:t>
            </w:r>
          </w:p>
        </w:tc>
        <w:tc>
          <w:tcPr>
            <w:tcW w:w="1245" w:type="dxa"/>
            <w:shd w:val="clear" w:color="auto" w:fill="auto"/>
            <w:vAlign w:val="center"/>
          </w:tcPr>
          <w:p w14:paraId="00D60141">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w:t>
            </w:r>
          </w:p>
        </w:tc>
        <w:tc>
          <w:tcPr>
            <w:tcW w:w="1350" w:type="dxa"/>
            <w:shd w:val="clear" w:color="auto" w:fill="auto"/>
            <w:noWrap/>
            <w:vAlign w:val="center"/>
          </w:tcPr>
          <w:p w14:paraId="39C2FCE4">
            <w:pPr>
              <w:pStyle w:val="8"/>
              <w:spacing w:line="360" w:lineRule="auto"/>
              <w:jc w:val="center"/>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套</w:t>
            </w:r>
          </w:p>
        </w:tc>
        <w:tc>
          <w:tcPr>
            <w:tcW w:w="4170" w:type="dxa"/>
            <w:shd w:val="clear" w:color="auto" w:fill="auto"/>
            <w:vAlign w:val="center"/>
          </w:tcPr>
          <w:p w14:paraId="4A6781D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用于微波网桥和基站自组网设备24*3小时供电,，包含杆体</w:t>
            </w:r>
          </w:p>
        </w:tc>
      </w:tr>
    </w:tbl>
    <w:p w14:paraId="7209C5C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（四）导视标识系统</w:t>
      </w:r>
    </w:p>
    <w:p w14:paraId="2F2D94C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1、综合导览牌</w:t>
      </w:r>
    </w:p>
    <w:p w14:paraId="031F83D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数量：5块</w:t>
      </w:r>
    </w:p>
    <w:p w14:paraId="655DCB6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规格：1550mm长*2600mm高*200mm宽；</w:t>
      </w:r>
      <w:r>
        <w:rPr>
          <w:rFonts w:hint="eastAsia" w:ascii="宋体" w:hAnsi="宋体" w:eastAsia="宋体" w:cs="宋体"/>
          <w:b w:val="0"/>
          <w:bCs w:val="0"/>
          <w:color w:val="auto"/>
          <w:sz w:val="24"/>
          <w:szCs w:val="24"/>
          <w:highlight w:val="none"/>
          <w:lang w:val="en-US" w:eastAsia="zh-CN"/>
        </w:rPr>
        <w:br w:type="textWrapping"/>
      </w:r>
      <w:r>
        <w:rPr>
          <w:rFonts w:hint="eastAsia" w:ascii="宋体" w:hAnsi="宋体" w:eastAsia="宋体" w:cs="宋体"/>
          <w:b w:val="0"/>
          <w:bCs w:val="0"/>
          <w:color w:val="auto"/>
          <w:sz w:val="24"/>
          <w:szCs w:val="24"/>
          <w:highlight w:val="none"/>
          <w:lang w:val="en-US" w:eastAsia="zh-CN"/>
        </w:rPr>
        <w:t>材质工艺：1.2不锈钢激光切割，焊接打磨喷漆工艺，做仿木纹和仿石材效果，立体图案，内容喷印，单面(制作前打样确认)。</w:t>
      </w:r>
    </w:p>
    <w:p w14:paraId="2994F9A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2A6B0DF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2451100" cy="2548890"/>
            <wp:effectExtent l="0" t="0" r="6350" b="3810"/>
            <wp:docPr id="15" name="图片 1" descr="C:/Users/Administrator/Desktop/微信截图_20250304092507.png微信截图_2025030409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C:/Users/Administrator/Desktop/微信截图_20250304092507.png微信截图_20250304092507"/>
                    <pic:cNvPicPr>
                      <a:picLocks noChangeAspect="1"/>
                    </pic:cNvPicPr>
                  </pic:nvPicPr>
                  <pic:blipFill>
                    <a:blip r:embed="rId11"/>
                    <a:srcRect l="1317" r="1317"/>
                    <a:stretch>
                      <a:fillRect/>
                    </a:stretch>
                  </pic:blipFill>
                  <pic:spPr>
                    <a:xfrm>
                      <a:off x="0" y="0"/>
                      <a:ext cx="2451100" cy="2548890"/>
                    </a:xfrm>
                    <a:prstGeom prst="rect">
                      <a:avLst/>
                    </a:prstGeom>
                    <a:noFill/>
                    <a:ln w="9525">
                      <a:noFill/>
                    </a:ln>
                  </pic:spPr>
                </pic:pic>
              </a:graphicData>
            </a:graphic>
          </wp:inline>
        </w:drawing>
      </w:r>
    </w:p>
    <w:p w14:paraId="3922A9CA">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2、导览牌</w:t>
      </w:r>
    </w:p>
    <w:p w14:paraId="6792747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数量：15块</w:t>
      </w:r>
    </w:p>
    <w:p w14:paraId="2BA7CF0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规格：100mm长*3000mm高；</w:t>
      </w:r>
    </w:p>
    <w:p w14:paraId="415E190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材质工艺：1.2不锈钢激光切割，焊接打磨喷漆工艺，做仿木纹和仿石材效果，内容喷印，双面(制作前打样确认)。</w:t>
      </w:r>
    </w:p>
    <w:p w14:paraId="671C237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4FBEDD4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3484880" cy="2495550"/>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3484880" cy="2495550"/>
                    </a:xfrm>
                    <a:prstGeom prst="rect">
                      <a:avLst/>
                    </a:prstGeom>
                    <a:noFill/>
                    <a:ln>
                      <a:noFill/>
                    </a:ln>
                  </pic:spPr>
                </pic:pic>
              </a:graphicData>
            </a:graphic>
          </wp:inline>
        </w:drawing>
      </w:r>
    </w:p>
    <w:p w14:paraId="24B4455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3、解说牌（生态解说牌20块、地质解说牌10块、人文解说牌10块）</w:t>
      </w:r>
    </w:p>
    <w:p w14:paraId="173076A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数量：40块</w:t>
      </w:r>
    </w:p>
    <w:p w14:paraId="2AEA3A8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规格：长1100mm*高1600mm*宽200mm；</w:t>
      </w:r>
    </w:p>
    <w:p w14:paraId="35C4792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材质工艺：1.2不锈钢激光切割，焊接打磨喷漆工艺，做仿木纹和仿石材效果，内容丝印，单面(制作前打样确认)。</w:t>
      </w:r>
    </w:p>
    <w:p w14:paraId="7E1C2E1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7EEAD3E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3477895" cy="2642870"/>
            <wp:effectExtent l="0" t="0" r="8255" b="508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3"/>
                    <a:stretch>
                      <a:fillRect/>
                    </a:stretch>
                  </pic:blipFill>
                  <pic:spPr>
                    <a:xfrm>
                      <a:off x="0" y="0"/>
                      <a:ext cx="3477895" cy="2642870"/>
                    </a:xfrm>
                    <a:prstGeom prst="rect">
                      <a:avLst/>
                    </a:prstGeom>
                    <a:noFill/>
                    <a:ln>
                      <a:noFill/>
                    </a:ln>
                  </pic:spPr>
                </pic:pic>
              </a:graphicData>
            </a:graphic>
          </wp:inline>
        </w:drawing>
      </w:r>
    </w:p>
    <w:p w14:paraId="3887941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4、警示牌</w:t>
      </w:r>
    </w:p>
    <w:p w14:paraId="3AFB6E3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数量：10块</w:t>
      </w:r>
    </w:p>
    <w:p w14:paraId="40DCF36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规格：600mm长*860mm高；</w:t>
      </w:r>
    </w:p>
    <w:p w14:paraId="317BFC3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材质工艺：1.2不锈钢激光切割，焊接打磨喷漆工艺，内容喷印，双面(制作前打样确认)。</w:t>
      </w:r>
    </w:p>
    <w:p w14:paraId="7207360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1386A61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2153920" cy="2319020"/>
            <wp:effectExtent l="0" t="0" r="17780" b="5080"/>
            <wp:docPr id="20" name="图片 20" descr="d26de015f3ed10893a21208d7632ba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26de015f3ed10893a21208d7632ba66"/>
                    <pic:cNvPicPr>
                      <a:picLocks noChangeAspect="1"/>
                    </pic:cNvPicPr>
                  </pic:nvPicPr>
                  <pic:blipFill>
                    <a:blip r:embed="rId14"/>
                    <a:stretch>
                      <a:fillRect/>
                    </a:stretch>
                  </pic:blipFill>
                  <pic:spPr>
                    <a:xfrm>
                      <a:off x="0" y="0"/>
                      <a:ext cx="2153920" cy="2319020"/>
                    </a:xfrm>
                    <a:prstGeom prst="rect">
                      <a:avLst/>
                    </a:prstGeom>
                  </pic:spPr>
                </pic:pic>
              </a:graphicData>
            </a:graphic>
          </wp:inline>
        </w:drawing>
      </w:r>
      <w:r>
        <w:rPr>
          <w:rFonts w:hint="eastAsia" w:ascii="宋体" w:hAnsi="宋体" w:eastAsia="宋体" w:cs="宋体"/>
          <w:b w:val="0"/>
          <w:bCs w:val="0"/>
          <w:color w:val="auto"/>
          <w:sz w:val="24"/>
          <w:szCs w:val="24"/>
          <w:highlight w:val="none"/>
          <w:lang w:val="en-US" w:eastAsia="zh-CN"/>
        </w:rPr>
        <w:drawing>
          <wp:inline distT="0" distB="0" distL="114300" distR="114300">
            <wp:extent cx="1597660" cy="2568575"/>
            <wp:effectExtent l="0" t="0" r="2540" b="3175"/>
            <wp:docPr id="21" name="图片 21" descr="9fa47d7caeec7a489d2492b4cf5299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fa47d7caeec7a489d2492b4cf5299a4"/>
                    <pic:cNvPicPr>
                      <a:picLocks noChangeAspect="1"/>
                    </pic:cNvPicPr>
                  </pic:nvPicPr>
                  <pic:blipFill>
                    <a:blip r:embed="rId15"/>
                    <a:stretch>
                      <a:fillRect/>
                    </a:stretch>
                  </pic:blipFill>
                  <pic:spPr>
                    <a:xfrm>
                      <a:off x="0" y="0"/>
                      <a:ext cx="1597660" cy="2568575"/>
                    </a:xfrm>
                    <a:prstGeom prst="rect">
                      <a:avLst/>
                    </a:prstGeom>
                  </pic:spPr>
                </pic:pic>
              </a:graphicData>
            </a:graphic>
          </wp:inline>
        </w:drawing>
      </w:r>
      <w:r>
        <w:rPr>
          <w:rFonts w:hint="eastAsia" w:ascii="宋体" w:hAnsi="宋体" w:eastAsia="宋体" w:cs="宋体"/>
          <w:b w:val="0"/>
          <w:bCs w:val="0"/>
          <w:color w:val="auto"/>
          <w:sz w:val="24"/>
          <w:szCs w:val="24"/>
          <w:highlight w:val="none"/>
          <w:lang w:val="en-US" w:eastAsia="zh-CN"/>
        </w:rPr>
        <w:drawing>
          <wp:inline distT="0" distB="0" distL="114300" distR="114300">
            <wp:extent cx="2826385" cy="1836420"/>
            <wp:effectExtent l="0" t="0" r="12065" b="11430"/>
            <wp:docPr id="22" name="图片 22" descr="626ea8957a303bdca20d7d9c6f04ce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626ea8957a303bdca20d7d9c6f04ceba"/>
                    <pic:cNvPicPr>
                      <a:picLocks noChangeAspect="1"/>
                    </pic:cNvPicPr>
                  </pic:nvPicPr>
                  <pic:blipFill>
                    <a:blip r:embed="rId16"/>
                    <a:stretch>
                      <a:fillRect/>
                    </a:stretch>
                  </pic:blipFill>
                  <pic:spPr>
                    <a:xfrm>
                      <a:off x="0" y="0"/>
                      <a:ext cx="2826385" cy="1836420"/>
                    </a:xfrm>
                    <a:prstGeom prst="rect">
                      <a:avLst/>
                    </a:prstGeom>
                  </pic:spPr>
                </pic:pic>
              </a:graphicData>
            </a:graphic>
          </wp:inline>
        </w:drawing>
      </w:r>
    </w:p>
    <w:p w14:paraId="05221C2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7、文明劝导牌</w:t>
      </w:r>
    </w:p>
    <w:p w14:paraId="7091E93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数量：10套</w:t>
      </w:r>
    </w:p>
    <w:p w14:paraId="6E7C59A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规格：530mm长*550mm高；</w:t>
      </w:r>
    </w:p>
    <w:p w14:paraId="56981957">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材质工艺：1.2不锈钢激光切割，焊接打磨喷漆工艺，做仿木纹，内容喷印，双面(制作前打样确认)。</w:t>
      </w:r>
    </w:p>
    <w:p w14:paraId="21958D98">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4EA0F45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3611880" cy="1904365"/>
            <wp:effectExtent l="0" t="0" r="7620" b="63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7"/>
                    <a:stretch>
                      <a:fillRect/>
                    </a:stretch>
                  </pic:blipFill>
                  <pic:spPr>
                    <a:xfrm>
                      <a:off x="0" y="0"/>
                      <a:ext cx="3611880" cy="1904365"/>
                    </a:xfrm>
                    <a:prstGeom prst="rect">
                      <a:avLst/>
                    </a:prstGeom>
                    <a:noFill/>
                    <a:ln>
                      <a:noFill/>
                    </a:ln>
                  </pic:spPr>
                </pic:pic>
              </a:graphicData>
            </a:graphic>
          </wp:inline>
        </w:drawing>
      </w:r>
    </w:p>
    <w:p w14:paraId="607D5F9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8、大熊猫国家公园标志牌</w:t>
      </w:r>
    </w:p>
    <w:p w14:paraId="20A666D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数量：1组</w:t>
      </w:r>
    </w:p>
    <w:p w14:paraId="5A1F7C6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规格型号：</w:t>
      </w:r>
    </w:p>
    <w:p w14:paraId="07482E1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牡丹花图形总长3.5米*高2.5米*厚300mm（立体一面）；字总长8米*高900mm*厚100mm；熊猫80cm高；</w:t>
      </w:r>
    </w:p>
    <w:p w14:paraId="66A1397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竹子长3.5米*直径100mm。</w:t>
      </w:r>
    </w:p>
    <w:p w14:paraId="5A25B5F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材质工艺：总体材质采用镀锌板激光切割，焊接打磨油漆工艺(制作前确认)。</w:t>
      </w:r>
    </w:p>
    <w:p w14:paraId="394E9C2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参考图如下（仅供参考）：</w:t>
      </w:r>
    </w:p>
    <w:p w14:paraId="4C826E4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drawing>
          <wp:inline distT="0" distB="0" distL="114300" distR="114300">
            <wp:extent cx="3566160" cy="1615440"/>
            <wp:effectExtent l="0" t="0" r="15240" b="381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8"/>
                    <a:stretch>
                      <a:fillRect/>
                    </a:stretch>
                  </pic:blipFill>
                  <pic:spPr>
                    <a:xfrm>
                      <a:off x="0" y="0"/>
                      <a:ext cx="3566160" cy="1615440"/>
                    </a:xfrm>
                    <a:prstGeom prst="rect">
                      <a:avLst/>
                    </a:prstGeom>
                    <a:noFill/>
                    <a:ln>
                      <a:noFill/>
                    </a:ln>
                  </pic:spPr>
                </pic:pic>
              </a:graphicData>
            </a:graphic>
          </wp:inline>
        </w:drawing>
      </w:r>
    </w:p>
    <w:p w14:paraId="3CEC99B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三、服务要求：</w:t>
      </w:r>
    </w:p>
    <w:p w14:paraId="7BE066C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（1）设计要求：供应商在项目实施前，应对项目实施地进行充分了解，并根据现场情况及周边建筑景观情况，对物品进行深化设计，并合理选择安装点位。</w:t>
      </w:r>
    </w:p>
    <w:p w14:paraId="6F85D38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（2）排版要求：设计符合采购人要求的内容的进行排版融入、色彩搭配合理，文字和图片（若有）的排版要规范整齐，不杂乱，字体简洁易读。</w:t>
      </w:r>
    </w:p>
    <w:p w14:paraId="185BD00B">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（3）实施要求：项目在具体实施前，供应商需提供项目实施方案编制(代作业设计)经采购人确认后进行实施。</w:t>
      </w:r>
    </w:p>
    <w:p w14:paraId="69E3621C">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（4）在安装点位确认后，供应商需与当地村民及村（居）委会沟通协调点位事宜，确保能够全部安装落地。</w:t>
      </w:r>
    </w:p>
    <w:p w14:paraId="3E4859AE">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（5）供应商应在经采购人确认的安装点位进行安装，安装的各类标识标牌必须牢固，无晃动安全可靠。</w:t>
      </w:r>
    </w:p>
    <w:p w14:paraId="2795DDBF">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（6）充分考虑地域环境条件，减少对周围环境的损害，充分协调与周边建筑景观的关系；</w:t>
      </w:r>
    </w:p>
    <w:p w14:paraId="7A12EB01">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（7）安装完毕后做到现场环境干净整洁；</w:t>
      </w:r>
    </w:p>
    <w:p w14:paraId="7BC82A66">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（8）保证安装过程中的作业安全,成交供应商履行合同过程中，发生任何安全意外事件引起的法律责任及民事责任概由成交供应商承担。</w:t>
      </w:r>
    </w:p>
    <w:p w14:paraId="63C04AEE">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（9）小程序开发要求全自主研发系统，需要与采购人以及龙门山镇人民政府进行充分沟通，经采购人及龙门山镇人民政府确认最终实施意见后进行开发实施。</w:t>
      </w:r>
    </w:p>
    <w:p w14:paraId="7FB4160A">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（10）小程序平台日常运营服务</w:t>
      </w:r>
    </w:p>
    <w:p w14:paraId="5417DA6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 精准访客流量，预约引流：平台提供日常访客预约登记与宣传服务，要求持续导入精准意向客户，提升当地科普信息曝光。</w:t>
      </w:r>
    </w:p>
    <w:p w14:paraId="3F89F7A3">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 生态产品展销专区：需要提供专业的产品上架、维护与在线销售服务。当地特色生态产品要求直接呈现在对我们平台高度信任的用户面前，实现价值二次转换。</w:t>
      </w:r>
    </w:p>
    <w:p w14:paraId="0B6EE060">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 高频信息，锁定用户：通过每日更新当地天气、环境、应急安全等民生资讯，我们牢牢锁定本地高频使用用户，为产品带来持续且稳定的流量关注。</w:t>
      </w:r>
    </w:p>
    <w:p w14:paraId="11C957A5">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 活动与内容营销：平台将定期维护活动动态、科普知识及活动路线。保证我们品牌可深度融入各类主题活动，实现场景化营销与品牌价值提升。</w:t>
      </w:r>
    </w:p>
    <w:p w14:paraId="01A17CBD">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四、售后服务保障要求：</w:t>
      </w:r>
    </w:p>
    <w:p w14:paraId="53E3B462">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 （1）供应商须提供的完成项目服务所需的设施(含零部件、配件、使用说明书等)，表面无划伤、无碰撞痕迹，展板、广告牌等内容权属清楚，不得侵害他人的知识产权。</w:t>
      </w:r>
    </w:p>
    <w:p w14:paraId="5E13638A">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（2）完成项目服务所需的设施出现问题，供应商应负责三包(包修、包换、包退)，费用由供应商负担。  </w:t>
      </w:r>
    </w:p>
    <w:p w14:paraId="33646387">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（3）所有标识标牌在安装制作前，需向采购人最终确定尺寸、材质、颜色、样式、内容，并进行制作安装。</w:t>
      </w:r>
    </w:p>
    <w:p w14:paraId="786E4749">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（4）供应商应对所制作安装的标牌质保一年。</w:t>
      </w:r>
    </w:p>
    <w:p w14:paraId="1DB70D24">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（5）提供的产品/服务不得存在高危漏洞，不得使用高风险组件，不得依托高风险服务。 </w:t>
      </w:r>
    </w:p>
    <w:p w14:paraId="6D0E2A9A">
      <w:pPr>
        <w:pStyle w:val="8"/>
        <w:spacing w:line="36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（6）修复新发现的网络安全漏洞并配合采购人保留采取相关追责措施的权利。 </w:t>
      </w:r>
    </w:p>
    <w:p w14:paraId="76C55511">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第四条 服务费用及支付方式</w:t>
      </w:r>
    </w:p>
    <w:p w14:paraId="72669450">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1、本项目合同总费用为</w:t>
      </w:r>
      <w:r>
        <w:rPr>
          <w:rFonts w:hint="eastAsia" w:ascii="宋体" w:hAnsi="宋体" w:eastAsia="宋体"/>
          <w:color w:val="auto"/>
          <w:kern w:val="0"/>
          <w:sz w:val="24"/>
          <w:szCs w:val="20"/>
          <w:u w:val="single"/>
        </w:rPr>
        <w:t xml:space="preserve">     </w:t>
      </w:r>
      <w:r>
        <w:rPr>
          <w:rFonts w:hint="eastAsia" w:ascii="宋体" w:hAnsi="宋体" w:eastAsia="宋体"/>
          <w:color w:val="auto"/>
          <w:kern w:val="0"/>
          <w:sz w:val="24"/>
          <w:szCs w:val="20"/>
        </w:rPr>
        <w:t>万元</w:t>
      </w:r>
      <w:bookmarkStart w:id="0" w:name="_Hlk97805055"/>
      <w:r>
        <w:rPr>
          <w:rFonts w:hint="eastAsia" w:ascii="宋体" w:hAnsi="宋体" w:eastAsia="宋体"/>
          <w:color w:val="auto"/>
          <w:kern w:val="0"/>
          <w:sz w:val="24"/>
          <w:szCs w:val="20"/>
        </w:rPr>
        <w:t>；该费用为固定包干含税价，包括但不限于编制服务费、人工费、材料费、差旅费、税金等以及乙方为履行本合同而支出的一切费用。除本合同明确约定的费用外，甲方不再另行向乙方支付任何费用。</w:t>
      </w:r>
      <w:bookmarkEnd w:id="0"/>
    </w:p>
    <w:p w14:paraId="048F6F7D">
      <w:pPr>
        <w:spacing w:line="360" w:lineRule="auto"/>
        <w:ind w:firstLine="480" w:firstLineChars="200"/>
        <w:rPr>
          <w:rFonts w:ascii="宋体" w:hAnsi="宋体" w:eastAsia="宋体"/>
          <w:color w:val="auto"/>
          <w:kern w:val="0"/>
          <w:sz w:val="24"/>
          <w:szCs w:val="20"/>
        </w:rPr>
      </w:pPr>
      <w:r>
        <w:rPr>
          <w:rFonts w:hint="eastAsia" w:ascii="宋体" w:hAnsi="宋体" w:eastAsia="宋体"/>
          <w:color w:val="auto"/>
          <w:kern w:val="0"/>
          <w:sz w:val="24"/>
          <w:szCs w:val="20"/>
        </w:rPr>
        <w:t>2、支付方式：</w:t>
      </w:r>
    </w:p>
    <w:p w14:paraId="7BEEA849">
      <w:pPr>
        <w:pStyle w:val="8"/>
        <w:spacing w:line="360" w:lineRule="auto"/>
        <w:ind w:firstLine="480" w:firstLineChars="200"/>
        <w:jc w:val="lef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第一次付款：合同签订生效后，</w:t>
      </w:r>
      <w:r>
        <w:rPr>
          <w:rFonts w:hint="eastAsia" w:asciiTheme="minorEastAsia" w:hAnsiTheme="minorEastAsia" w:eastAsiaTheme="minorEastAsia" w:cstheme="minorEastAsia"/>
          <w:bCs/>
          <w:color w:val="000000"/>
          <w:sz w:val="24"/>
          <w:szCs w:val="24"/>
          <w:highlight w:val="none"/>
          <w:lang w:val="en-US" w:eastAsia="zh-CN"/>
        </w:rPr>
        <w:t>且供应商按采购人要求提交合法票据后，</w:t>
      </w:r>
      <w:r>
        <w:rPr>
          <w:rFonts w:hint="eastAsia" w:ascii="宋体" w:hAnsi="宋体" w:eastAsia="宋体" w:cs="宋体"/>
          <w:color w:val="auto"/>
          <w:sz w:val="24"/>
          <w:szCs w:val="24"/>
          <w:highlight w:val="none"/>
          <w:lang w:eastAsia="zh-CN"/>
        </w:rPr>
        <w:t>达到付款条件起</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eastAsia="zh-CN"/>
        </w:rPr>
        <w:t>日内，支付合同总金额的</w:t>
      </w:r>
      <w:r>
        <w:rPr>
          <w:rFonts w:hint="eastAsia" w:ascii="宋体" w:hAnsi="宋体" w:eastAsia="宋体" w:cs="宋体"/>
          <w:color w:val="auto"/>
          <w:sz w:val="24"/>
          <w:szCs w:val="24"/>
          <w:highlight w:val="none"/>
          <w:lang w:val="en-US" w:eastAsia="zh-CN"/>
        </w:rPr>
        <w:t>40</w:t>
      </w:r>
      <w:r>
        <w:rPr>
          <w:rFonts w:hint="eastAsia" w:ascii="宋体" w:hAnsi="宋体" w:eastAsia="宋体" w:cs="宋体"/>
          <w:color w:val="auto"/>
          <w:sz w:val="24"/>
          <w:szCs w:val="24"/>
          <w:highlight w:val="none"/>
          <w:lang w:eastAsia="zh-CN"/>
        </w:rPr>
        <w:t>%；</w:t>
      </w:r>
    </w:p>
    <w:p w14:paraId="1574A7C5">
      <w:pPr>
        <w:numPr>
          <w:ilvl w:val="0"/>
          <w:numId w:val="0"/>
        </w:numPr>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第二次付款：完成并验收合格后，</w:t>
      </w:r>
      <w:r>
        <w:rPr>
          <w:rFonts w:hint="eastAsia" w:asciiTheme="minorEastAsia" w:hAnsiTheme="minorEastAsia" w:eastAsiaTheme="minorEastAsia" w:cstheme="minorEastAsia"/>
          <w:bCs/>
          <w:color w:val="000000"/>
          <w:sz w:val="24"/>
          <w:szCs w:val="24"/>
          <w:highlight w:val="none"/>
          <w:lang w:val="en-US" w:eastAsia="zh-CN"/>
        </w:rPr>
        <w:t>且供应商按采购人要求提交合法票据后，</w:t>
      </w:r>
      <w:r>
        <w:rPr>
          <w:rFonts w:hint="eastAsia" w:ascii="宋体" w:hAnsi="宋体" w:eastAsia="宋体" w:cs="宋体"/>
          <w:color w:val="auto"/>
          <w:sz w:val="24"/>
          <w:szCs w:val="24"/>
          <w:highlight w:val="none"/>
          <w:lang w:eastAsia="zh-CN"/>
        </w:rPr>
        <w:t>达到付款条件起</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eastAsia="zh-CN"/>
        </w:rPr>
        <w:t>日内，支付合同总金额的</w:t>
      </w:r>
      <w:r>
        <w:rPr>
          <w:rFonts w:hint="eastAsia" w:ascii="宋体" w:hAnsi="宋体" w:eastAsia="宋体" w:cs="宋体"/>
          <w:color w:val="auto"/>
          <w:sz w:val="24"/>
          <w:szCs w:val="24"/>
          <w:highlight w:val="none"/>
          <w:lang w:val="en-US" w:eastAsia="zh-CN"/>
        </w:rPr>
        <w:t>60</w:t>
      </w:r>
      <w:r>
        <w:rPr>
          <w:rFonts w:hint="eastAsia" w:ascii="宋体" w:hAnsi="宋体" w:eastAsia="宋体" w:cs="宋体"/>
          <w:color w:val="auto"/>
          <w:sz w:val="24"/>
          <w:szCs w:val="24"/>
          <w:highlight w:val="none"/>
          <w:lang w:eastAsia="zh-CN"/>
        </w:rPr>
        <w:t>%；</w:t>
      </w:r>
    </w:p>
    <w:p w14:paraId="04566E1C">
      <w:pPr>
        <w:spacing w:line="360" w:lineRule="auto"/>
        <w:ind w:firstLine="480" w:firstLineChars="200"/>
        <w:rPr>
          <w:rFonts w:hint="default" w:ascii="宋体" w:hAnsi="宋体" w:eastAsia="宋体" w:cs="仿宋"/>
          <w:color w:val="auto"/>
          <w:kern w:val="0"/>
          <w:sz w:val="24"/>
          <w:lang w:val="en-US" w:eastAsia="zh-CN"/>
        </w:rPr>
      </w:pPr>
      <w:r>
        <w:rPr>
          <w:rFonts w:hint="eastAsia" w:ascii="宋体" w:hAnsi="宋体" w:eastAsia="宋体" w:cs="仿宋"/>
          <w:color w:val="auto"/>
          <w:kern w:val="0"/>
          <w:sz w:val="24"/>
        </w:rPr>
        <w:t>3、本合同所有款项均以转账方式支付，乙方收款账户信息位于本合同乙方签字盖章栏处，乙方保证该收款账户信息真实、准确、合法、有效，如有变更需提前3个工作日书面告知甲方，因乙方提供的收款账户信息不正确、乙方收款账户信息变更但未及时书面告知甲方、银行过失等非甲方原因导致甲方未能及时付款或付款错误的，由此产生的所有损失及其他不利后果均由乙方自行承担，与甲方无关。</w:t>
      </w:r>
      <w:r>
        <w:rPr>
          <w:rFonts w:hint="eastAsia" w:ascii="宋体" w:hAnsi="宋体" w:eastAsia="宋体" w:cs="仿宋"/>
          <w:color w:val="auto"/>
          <w:kern w:val="0"/>
          <w:sz w:val="24"/>
        </w:rPr>
        <w:br w:type="textWrapping"/>
      </w:r>
      <w:r>
        <w:rPr>
          <w:rFonts w:hint="eastAsia" w:ascii="宋体" w:hAnsi="宋体" w:eastAsia="宋体" w:cs="仿宋"/>
          <w:color w:val="auto"/>
          <w:kern w:val="0"/>
          <w:sz w:val="24"/>
          <w:lang w:val="en-US" w:eastAsia="zh-CN"/>
        </w:rPr>
        <w:t xml:space="preserve">    4、甲方付款前未收到或者未足额收到乙方提供的同等金额的增值税普通发票的，有权迟延支付相应款项且不承担任何违约责任，乙方不得以此为由拒绝履行合同约定的开票义务和其他义务，由此造成的一切不利后果均由乙方承担。</w:t>
      </w:r>
    </w:p>
    <w:p w14:paraId="4F719288">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第五条 知识产权</w:t>
      </w:r>
    </w:p>
    <w:p w14:paraId="69ABF931">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lang w:val="en-US" w:eastAsia="zh-CN"/>
        </w:rPr>
        <w:t>1、</w:t>
      </w:r>
      <w:r>
        <w:rPr>
          <w:rFonts w:hint="eastAsia" w:ascii="宋体" w:hAnsi="宋体" w:eastAsia="宋体"/>
          <w:color w:val="auto"/>
          <w:kern w:val="0"/>
          <w:sz w:val="24"/>
          <w:szCs w:val="20"/>
        </w:rPr>
        <w:t>乙方应保证所提供的服务或其任何一部分均不会侵犯任何第三方的专利权、商标权或著作权。否则造成第三方因此索赔的，所有责任均由乙方自行承担并妥善解决相关纠纷，由此导致甲方先行赔偿或者承担连带责任的，甲方有权向乙方追偿。如最终导致甲方无法使用乙方提交的服务成果的，甲方有权要求乙方全额返还甲方已支付给乙方的所有费用并赔偿由此给甲方造成的所有损失。</w:t>
      </w:r>
    </w:p>
    <w:p w14:paraId="1F9ED063">
      <w:pPr>
        <w:widowControl/>
        <w:spacing w:line="360" w:lineRule="auto"/>
        <w:ind w:firstLine="480" w:firstLineChars="200"/>
        <w:jc w:val="left"/>
        <w:rPr>
          <w:rFonts w:hint="default"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2、</w:t>
      </w:r>
      <w:r>
        <w:rPr>
          <w:rFonts w:hint="eastAsia" w:ascii="宋体" w:hAnsi="宋体" w:eastAsia="宋体"/>
          <w:color w:val="auto"/>
          <w:kern w:val="0"/>
          <w:sz w:val="24"/>
          <w:szCs w:val="20"/>
        </w:rPr>
        <w:t>乙方提交给甲方的全部服务成果的所有权和知识产权均归甲方所有，甲方有独立排他使用，乙方无权干涉。未经甲方书面同意，乙方不得擅自对外透露、允许任何第三方使用或者另作他用，否则应按照本合同总金额【2】%支付违约金，违约金不足以弥补甲方损失的，乙方还应负责赔偿。</w:t>
      </w:r>
    </w:p>
    <w:p w14:paraId="6D38E72B">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第六条 无产权瑕疵条款</w:t>
      </w:r>
    </w:p>
    <w:p w14:paraId="74A37B87">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乙方保证所提供的服务的所有权完全属于乙方且无任何抵押、查封等产权瑕疵。如有产权瑕疵的，视为乙方违约。乙方应负担由此而产生的一切损失及责任。</w:t>
      </w:r>
    </w:p>
    <w:p w14:paraId="60723181">
      <w:pPr>
        <w:widowControl/>
        <w:spacing w:line="360" w:lineRule="auto"/>
        <w:ind w:firstLine="482" w:firstLineChars="200"/>
        <w:jc w:val="left"/>
        <w:rPr>
          <w:rFonts w:hint="default" w:ascii="宋体" w:hAnsi="宋体" w:eastAsia="宋体"/>
          <w:b/>
          <w:bCs/>
          <w:color w:val="auto"/>
          <w:kern w:val="0"/>
          <w:sz w:val="24"/>
          <w:szCs w:val="20"/>
          <w:lang w:val="en-US" w:eastAsia="zh-CN"/>
        </w:rPr>
      </w:pPr>
      <w:r>
        <w:rPr>
          <w:rFonts w:hint="eastAsia" w:ascii="宋体" w:hAnsi="宋体" w:eastAsia="宋体"/>
          <w:b/>
          <w:bCs/>
          <w:color w:val="auto"/>
          <w:kern w:val="0"/>
          <w:sz w:val="24"/>
          <w:szCs w:val="20"/>
        </w:rPr>
        <w:t xml:space="preserve">第七条 </w:t>
      </w:r>
      <w:r>
        <w:rPr>
          <w:rFonts w:hint="eastAsia" w:ascii="宋体" w:hAnsi="宋体" w:eastAsia="宋体"/>
          <w:b/>
          <w:bCs/>
          <w:color w:val="auto"/>
          <w:kern w:val="0"/>
          <w:sz w:val="24"/>
          <w:szCs w:val="20"/>
          <w:lang w:val="en-US" w:eastAsia="zh-CN"/>
        </w:rPr>
        <w:t>保密条款</w:t>
      </w:r>
    </w:p>
    <w:p w14:paraId="00C74C80">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1.保密信息：乙方在履行本合同所获取或者甲方（含龙门山镇）基于本合同向乙方提供的尚未公开的保密信息，如用户个人信息、未公开或依法依规需要保密的数据、文件、资料、统计信息、内部审批审核记录等。</w:t>
      </w:r>
    </w:p>
    <w:p w14:paraId="7CFBEE16">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2.乙方承诺在服务期间所获悉的保信息承担严格保密义务，除按法律法规依法公开外，未经甲方书面同意，乙方不得有下列行为：</w:t>
      </w:r>
    </w:p>
    <w:p w14:paraId="21D0EB16">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（1）向任何第三方披露、泄露、出售或非法提供；</w:t>
      </w:r>
    </w:p>
    <w:p w14:paraId="476E787E">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（2）复制、导出、修改或修改原始数据；</w:t>
      </w:r>
    </w:p>
    <w:p w14:paraId="494C584F">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（3）用于本协议约定目的之外的任何用途。</w:t>
      </w:r>
    </w:p>
    <w:p w14:paraId="39DAAADC">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3.乙方应根据不同类型的数据信息采用不低于行业标准的保密措施，包括但不限于访问控制、加密存储、审计日志、脱敏处理）保护上述数据安全。</w:t>
      </w:r>
    </w:p>
    <w:p w14:paraId="45566B92">
      <w:pPr>
        <w:widowControl/>
        <w:spacing w:line="360" w:lineRule="auto"/>
        <w:ind w:firstLine="480" w:firstLineChars="200"/>
        <w:jc w:val="left"/>
        <w:rPr>
          <w:rFonts w:hint="eastAsia" w:ascii="宋体" w:hAnsi="宋体" w:eastAsia="宋体"/>
          <w:color w:val="auto"/>
          <w:kern w:val="0"/>
          <w:sz w:val="24"/>
          <w:szCs w:val="20"/>
          <w:lang w:val="en-US" w:eastAsia="zh-CN"/>
        </w:rPr>
      </w:pPr>
      <w:r>
        <w:rPr>
          <w:rFonts w:hint="eastAsia" w:ascii="宋体" w:hAnsi="宋体" w:eastAsia="宋体"/>
          <w:color w:val="auto"/>
          <w:kern w:val="0"/>
          <w:sz w:val="24"/>
          <w:szCs w:val="20"/>
          <w:lang w:val="en-US" w:eastAsia="zh-CN"/>
        </w:rPr>
        <w:t>4.有下列情形之一的，不视为违反保密义务：</w:t>
      </w:r>
    </w:p>
    <w:p w14:paraId="6A761E83">
      <w:pPr>
        <w:widowControl/>
        <w:spacing w:line="360" w:lineRule="auto"/>
        <w:ind w:firstLine="480" w:firstLineChars="200"/>
        <w:jc w:val="left"/>
        <w:rPr>
          <w:rFonts w:hint="eastAsia" w:ascii="宋体" w:hAnsi="宋体" w:eastAsia="宋体"/>
          <w:color w:val="auto"/>
          <w:kern w:val="0"/>
          <w:sz w:val="24"/>
          <w:szCs w:val="20"/>
        </w:rPr>
      </w:pPr>
      <w:r>
        <w:rPr>
          <w:rFonts w:hint="eastAsia" w:ascii="宋体" w:hAnsi="宋体" w:eastAsia="宋体"/>
          <w:color w:val="auto"/>
          <w:kern w:val="0"/>
          <w:sz w:val="24"/>
          <w:szCs w:val="20"/>
        </w:rPr>
        <w:t>（1）依法应向有权机关（如法院、监察委、网信部门、审计机关）提供的；</w:t>
      </w:r>
    </w:p>
    <w:p w14:paraId="14F1FB17">
      <w:pPr>
        <w:widowControl/>
        <w:spacing w:line="360" w:lineRule="auto"/>
        <w:ind w:firstLine="480" w:firstLineChars="200"/>
        <w:jc w:val="left"/>
        <w:rPr>
          <w:rFonts w:hint="eastAsia" w:ascii="宋体" w:hAnsi="宋体" w:eastAsia="宋体"/>
          <w:color w:val="auto"/>
          <w:kern w:val="0"/>
          <w:sz w:val="24"/>
          <w:szCs w:val="20"/>
        </w:rPr>
      </w:pPr>
      <w:r>
        <w:rPr>
          <w:rFonts w:hint="eastAsia" w:ascii="宋体" w:hAnsi="宋体" w:eastAsia="宋体"/>
          <w:color w:val="auto"/>
          <w:kern w:val="0"/>
          <w:sz w:val="24"/>
          <w:szCs w:val="20"/>
        </w:rPr>
        <w:t>（2）数据已通过合法渠道公开或非因违约方原因成为公开信息的；</w:t>
      </w:r>
    </w:p>
    <w:p w14:paraId="5ABBC80E">
      <w:pPr>
        <w:widowControl/>
        <w:spacing w:line="360" w:lineRule="auto"/>
        <w:ind w:firstLine="480" w:firstLineChars="200"/>
        <w:jc w:val="left"/>
        <w:rPr>
          <w:rFonts w:hint="eastAsia" w:ascii="宋体" w:hAnsi="宋体" w:eastAsia="宋体"/>
          <w:color w:val="auto"/>
          <w:kern w:val="0"/>
          <w:sz w:val="24"/>
          <w:szCs w:val="20"/>
        </w:rPr>
      </w:pPr>
      <w:r>
        <w:rPr>
          <w:rFonts w:hint="eastAsia" w:ascii="宋体" w:hAnsi="宋体" w:eastAsia="宋体"/>
          <w:color w:val="auto"/>
          <w:kern w:val="0"/>
          <w:sz w:val="24"/>
          <w:szCs w:val="20"/>
        </w:rPr>
        <w:t>（3）为保护数据主体重大生命、财产安全且无法及时取得同意而紧急使用的。</w:t>
      </w:r>
    </w:p>
    <w:p w14:paraId="680023D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lang w:val="en-US" w:eastAsia="zh-CN"/>
        </w:rPr>
        <w:t>5.保密期限为长期。</w:t>
      </w:r>
    </w:p>
    <w:p w14:paraId="12C586F5">
      <w:pPr>
        <w:spacing w:after="120"/>
        <w:ind w:firstLine="482" w:firstLineChars="200"/>
        <w:rPr>
          <w:rFonts w:ascii="宋体" w:hAnsi="宋体" w:eastAsia="宋体"/>
          <w:b/>
          <w:bCs/>
          <w:color w:val="auto"/>
          <w:kern w:val="0"/>
          <w:sz w:val="24"/>
          <w:szCs w:val="20"/>
        </w:rPr>
      </w:pPr>
      <w:r>
        <w:rPr>
          <w:rFonts w:hint="eastAsia" w:ascii="宋体" w:hAnsi="宋体" w:eastAsia="宋体"/>
          <w:b/>
          <w:bCs/>
          <w:color w:val="auto"/>
          <w:kern w:val="0"/>
          <w:sz w:val="24"/>
          <w:szCs w:val="20"/>
        </w:rPr>
        <w:t>第八条 履约验收方案</w:t>
      </w:r>
    </w:p>
    <w:p w14:paraId="041110A9">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1、</w:t>
      </w:r>
      <w:r>
        <w:rPr>
          <w:rFonts w:hAnsi="宋体" w:cs="宋体"/>
          <w:color w:val="auto"/>
          <w:sz w:val="24"/>
          <w:szCs w:val="24"/>
        </w:rPr>
        <w:t>履约验收的主体</w:t>
      </w:r>
      <w:r>
        <w:rPr>
          <w:rFonts w:hint="eastAsia" w:hAnsi="宋体" w:cs="宋体"/>
          <w:color w:val="auto"/>
          <w:sz w:val="24"/>
          <w:szCs w:val="24"/>
        </w:rPr>
        <w:t>：彭州市规划和自然资源局。</w:t>
      </w:r>
    </w:p>
    <w:p w14:paraId="5C449507">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2、履约验收</w:t>
      </w:r>
      <w:r>
        <w:rPr>
          <w:rFonts w:hAnsi="宋体" w:cs="宋体"/>
          <w:color w:val="auto"/>
          <w:sz w:val="24"/>
          <w:szCs w:val="24"/>
        </w:rPr>
        <w:t>时间</w:t>
      </w:r>
      <w:r>
        <w:rPr>
          <w:rFonts w:hint="eastAsia" w:hAnsi="宋体" w:cs="宋体"/>
          <w:color w:val="auto"/>
          <w:sz w:val="24"/>
          <w:szCs w:val="24"/>
        </w:rPr>
        <w:t>：供应商提交验收申请后30日内。</w:t>
      </w:r>
    </w:p>
    <w:p w14:paraId="54085B99">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3、履约验收</w:t>
      </w:r>
      <w:r>
        <w:rPr>
          <w:rFonts w:hAnsi="宋体" w:cs="宋体"/>
          <w:color w:val="auto"/>
          <w:sz w:val="24"/>
          <w:szCs w:val="24"/>
        </w:rPr>
        <w:t>方式</w:t>
      </w:r>
      <w:r>
        <w:rPr>
          <w:rFonts w:hint="eastAsia" w:hAnsi="宋体" w:cs="宋体"/>
          <w:color w:val="auto"/>
          <w:sz w:val="24"/>
          <w:szCs w:val="24"/>
        </w:rPr>
        <w:t>：单位内部验收。</w:t>
      </w:r>
    </w:p>
    <w:p w14:paraId="3F7F5FDC">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4、履约验收</w:t>
      </w:r>
      <w:r>
        <w:rPr>
          <w:rFonts w:hAnsi="宋体" w:cs="宋体"/>
          <w:color w:val="auto"/>
          <w:sz w:val="24"/>
          <w:szCs w:val="24"/>
        </w:rPr>
        <w:t>程序</w:t>
      </w:r>
      <w:r>
        <w:rPr>
          <w:rFonts w:hint="eastAsia" w:hAnsi="宋体" w:cs="宋体"/>
          <w:color w:val="auto"/>
          <w:sz w:val="24"/>
          <w:szCs w:val="24"/>
        </w:rPr>
        <w:t>：</w:t>
      </w:r>
      <w:r>
        <w:rPr>
          <w:rFonts w:hint="eastAsia" w:hAnsi="宋体" w:cs="宋体"/>
          <w:color w:val="auto"/>
          <w:sz w:val="24"/>
          <w:szCs w:val="24"/>
          <w:lang w:val="en-US" w:eastAsia="zh-CN"/>
        </w:rPr>
        <w:t>一次性</w:t>
      </w:r>
      <w:r>
        <w:rPr>
          <w:rFonts w:hint="eastAsia" w:hAnsi="宋体" w:cs="宋体"/>
          <w:color w:val="auto"/>
          <w:sz w:val="24"/>
          <w:szCs w:val="24"/>
        </w:rPr>
        <w:t>验收。</w:t>
      </w:r>
    </w:p>
    <w:p w14:paraId="6B0BB8E8">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5、履约验收</w:t>
      </w:r>
      <w:r>
        <w:rPr>
          <w:rFonts w:hAnsi="宋体" w:cs="宋体"/>
          <w:color w:val="auto"/>
          <w:sz w:val="24"/>
          <w:szCs w:val="24"/>
        </w:rPr>
        <w:t>内容</w:t>
      </w:r>
      <w:r>
        <w:rPr>
          <w:rFonts w:hint="eastAsia" w:hAnsi="宋体" w:cs="宋体"/>
          <w:color w:val="auto"/>
          <w:sz w:val="24"/>
          <w:szCs w:val="24"/>
        </w:rPr>
        <w:t>：按照采购文件每一项技术商务要求和供应商响应文件验收。</w:t>
      </w:r>
    </w:p>
    <w:p w14:paraId="6002DA5C">
      <w:pPr>
        <w:pStyle w:val="4"/>
        <w:snapToGrid w:val="0"/>
        <w:spacing w:line="360" w:lineRule="auto"/>
        <w:ind w:firstLine="480" w:firstLineChars="200"/>
        <w:rPr>
          <w:rFonts w:hAnsi="宋体" w:cs="宋体"/>
          <w:color w:val="auto"/>
          <w:sz w:val="24"/>
          <w:szCs w:val="24"/>
        </w:rPr>
      </w:pPr>
      <w:r>
        <w:rPr>
          <w:rFonts w:hint="eastAsia" w:hAnsi="宋体" w:cs="宋体"/>
          <w:color w:val="auto"/>
          <w:sz w:val="24"/>
          <w:szCs w:val="24"/>
        </w:rPr>
        <w:t>6、履约验收</w:t>
      </w:r>
      <w:r>
        <w:rPr>
          <w:rFonts w:hAnsi="宋体" w:cs="宋体"/>
          <w:color w:val="auto"/>
          <w:sz w:val="24"/>
          <w:szCs w:val="24"/>
        </w:rPr>
        <w:t>标准</w:t>
      </w:r>
      <w:r>
        <w:rPr>
          <w:rFonts w:hint="eastAsia" w:hAnsi="宋体" w:cs="宋体"/>
          <w:color w:val="auto"/>
          <w:sz w:val="24"/>
          <w:szCs w:val="24"/>
        </w:rPr>
        <w:t>：参照财库[2016]205号《财政部关于进一步加强政府采购需求和履约验收管理的指导意见》《政府采购需求管理办法》(财库〔2021〕22 号)的相关规定和本项目政府采购合同的约定对项目验收。</w:t>
      </w:r>
    </w:p>
    <w:p w14:paraId="2451F045">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第九条 甲方的权利和义务</w:t>
      </w:r>
    </w:p>
    <w:p w14:paraId="248F7BCD">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甲方有权对合同规定范围内乙方的服务行为进行监督和检查，拥有监管权。有权定期核对乙方提供服务所配备的人员数量。对甲方认为不合理或不符合合同约定的部分有权下达整改通知书，并要求乙方限期整改，乙方应无条件服从并确保整改后符合甲方要求，否则甲方有权单方解除本合同。</w:t>
      </w:r>
    </w:p>
    <w:p w14:paraId="1F07BFA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2、负责检查监督乙方管理工作的实施及制度的执行情况。</w:t>
      </w:r>
    </w:p>
    <w:p w14:paraId="65352D08">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3、根据本合同规定，在乙方严格履行本合同约定所有相关义务的前提下，按照时向乙方支付应付的服务费用。</w:t>
      </w:r>
    </w:p>
    <w:p w14:paraId="643E2E8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4、国家法律、法规所规定由甲方享有的其他权利、承担的其他责任。</w:t>
      </w:r>
    </w:p>
    <w:p w14:paraId="03B7ED8E">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第十条 乙方的权利和义务</w:t>
      </w:r>
    </w:p>
    <w:p w14:paraId="03818E38">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1、对本合同规定的委托服务范围内的项目享有管理权及服务义务。</w:t>
      </w:r>
    </w:p>
    <w:p w14:paraId="05CE0DB7">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2、根据本合同的规定向甲方收取相关服务费用，并有权在本项目管理范围内管理及合理使用。</w:t>
      </w:r>
    </w:p>
    <w:p w14:paraId="0F6C950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3、及时向甲方通告本项目服务范围内有关服务的重大事项，及时配合处理投诉。</w:t>
      </w:r>
    </w:p>
    <w:p w14:paraId="0C196BCE">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4、接受项目行业管理部门及政府有关部门的指导，接受甲方的监督。</w:t>
      </w:r>
    </w:p>
    <w:p w14:paraId="07F7CE79">
      <w:pPr>
        <w:widowControl/>
        <w:spacing w:line="360" w:lineRule="auto"/>
        <w:ind w:firstLine="480" w:firstLineChars="200"/>
        <w:jc w:val="left"/>
        <w:rPr>
          <w:rFonts w:hint="default" w:ascii="宋体" w:hAnsi="宋体" w:eastAsia="宋体"/>
          <w:color w:val="auto"/>
          <w:kern w:val="0"/>
          <w:sz w:val="24"/>
          <w:szCs w:val="20"/>
          <w:lang w:val="en-US" w:eastAsia="zh-CN"/>
        </w:rPr>
      </w:pPr>
      <w:r>
        <w:rPr>
          <w:rFonts w:hint="eastAsia" w:ascii="宋体" w:hAnsi="宋体" w:eastAsia="宋体"/>
          <w:color w:val="auto"/>
          <w:kern w:val="0"/>
          <w:sz w:val="24"/>
          <w:szCs w:val="20"/>
        </w:rPr>
        <w:t>5、</w:t>
      </w:r>
      <w:r>
        <w:rPr>
          <w:rFonts w:hint="eastAsia" w:ascii="宋体" w:hAnsi="宋体" w:eastAsia="宋体"/>
          <w:color w:val="auto"/>
          <w:kern w:val="0"/>
          <w:sz w:val="24"/>
          <w:szCs w:val="20"/>
          <w:lang w:val="en-US" w:eastAsia="zh-CN"/>
        </w:rPr>
        <w:t>按照《中华人民共和国个人信息保护法》《中华人民共和国网络安全法》《中华人民共和国数据安全法》等有关规定，合法收集用户信息、做好个人信息保护、数据安全防护措施与防范以及保密要求，不得利用任何技术手段，擅自访问、窃取、泄露、传输用户信息、数据信息或者用于本合同目的之外。</w:t>
      </w:r>
    </w:p>
    <w:p w14:paraId="6AE5E103">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lang w:val="en-US" w:eastAsia="zh-CN"/>
        </w:rPr>
        <w:t>6、</w:t>
      </w:r>
      <w:r>
        <w:rPr>
          <w:rFonts w:hint="eastAsia" w:ascii="宋体" w:hAnsi="宋体" w:eastAsia="宋体"/>
          <w:color w:val="auto"/>
          <w:kern w:val="0"/>
          <w:sz w:val="24"/>
          <w:szCs w:val="20"/>
        </w:rPr>
        <w:t>国家法律、法规所规定由乙方承担的其它责任。</w:t>
      </w:r>
    </w:p>
    <w:p w14:paraId="359768AA">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第十一条 违约责任</w:t>
      </w:r>
    </w:p>
    <w:p w14:paraId="19D9DD78">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1、甲乙双方必须遵守本合同并执行合同中的各项规定，保证本合同的正常履行。</w:t>
      </w:r>
    </w:p>
    <w:p w14:paraId="7C44530F">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如因乙方工作人员在履行职务过程中的疏忽、失职、过错等故意或者过失原因给甲方造成损失或侵害，包括但不限于甲方本身的财产损失、由此而导致的甲方对任何第三方的法律责任等，乙方对此均应承担全部的赔偿责任。</w:t>
      </w:r>
    </w:p>
    <w:p w14:paraId="4C3C2747">
      <w:pPr>
        <w:widowControl/>
        <w:spacing w:line="360" w:lineRule="auto"/>
        <w:ind w:firstLine="480" w:firstLineChars="200"/>
        <w:jc w:val="left"/>
        <w:rPr>
          <w:rFonts w:hint="default" w:ascii="宋体" w:hAnsi="宋体" w:eastAsia="宋体"/>
          <w:color w:val="auto"/>
          <w:kern w:val="0"/>
          <w:sz w:val="24"/>
          <w:szCs w:val="20"/>
          <w:lang w:val="en-US" w:eastAsia="zh-CN"/>
        </w:rPr>
      </w:pPr>
      <w:r>
        <w:rPr>
          <w:rFonts w:hint="eastAsia" w:ascii="宋体" w:hAnsi="宋体" w:eastAsia="宋体"/>
          <w:color w:val="auto"/>
          <w:kern w:val="0"/>
          <w:sz w:val="24"/>
          <w:szCs w:val="20"/>
        </w:rPr>
        <w:t>3、甲方无正当理由逾期未按照合同约定付款的，则每日按照未付款金额的</w:t>
      </w:r>
      <w:r>
        <w:rPr>
          <w:rFonts w:hint="eastAsia" w:ascii="宋体" w:hAnsi="宋体" w:eastAsia="宋体"/>
          <w:color w:val="auto"/>
          <w:kern w:val="0"/>
          <w:sz w:val="24"/>
          <w:szCs w:val="20"/>
          <w:u w:val="single"/>
        </w:rPr>
        <w:t xml:space="preserve">    2</w:t>
      </w:r>
      <w:r>
        <w:rPr>
          <w:rFonts w:hint="eastAsia" w:ascii="宋体" w:hAnsi="宋体" w:eastAsia="宋体"/>
          <w:color w:val="auto"/>
          <w:kern w:val="0"/>
          <w:sz w:val="24"/>
          <w:szCs w:val="20"/>
        </w:rPr>
        <w:t>‱ 向乙方偿付违约金，但累计违约金总额不超过未付款总的</w:t>
      </w:r>
      <w:r>
        <w:rPr>
          <w:rFonts w:hint="eastAsia" w:ascii="宋体" w:hAnsi="宋体" w:eastAsia="宋体"/>
          <w:color w:val="auto"/>
          <w:kern w:val="0"/>
          <w:sz w:val="24"/>
          <w:szCs w:val="20"/>
          <w:u w:val="single"/>
        </w:rPr>
        <w:t xml:space="preserve">5 </w:t>
      </w:r>
      <w:r>
        <w:rPr>
          <w:rFonts w:hint="eastAsia" w:ascii="宋体" w:hAnsi="宋体" w:eastAsia="宋体"/>
          <w:color w:val="auto"/>
          <w:kern w:val="0"/>
          <w:sz w:val="24"/>
          <w:szCs w:val="20"/>
        </w:rPr>
        <w:t>％。</w:t>
      </w:r>
      <w:r>
        <w:rPr>
          <w:rFonts w:hint="eastAsia" w:ascii="宋体" w:hAnsi="宋体" w:eastAsia="宋体"/>
          <w:color w:val="auto"/>
          <w:kern w:val="0"/>
          <w:sz w:val="24"/>
          <w:szCs w:val="20"/>
          <w:lang w:val="en-US" w:eastAsia="zh-CN"/>
        </w:rPr>
        <w:t>因财政迟延拨款导致甲方付款迟延情形除外。</w:t>
      </w:r>
    </w:p>
    <w:p w14:paraId="56088AFF">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4、若因乙方自身原因迟延提交服务成果文件</w:t>
      </w:r>
      <w:r>
        <w:rPr>
          <w:rFonts w:hint="eastAsia" w:ascii="宋体" w:hAnsi="宋体" w:eastAsia="宋体"/>
          <w:color w:val="auto"/>
          <w:kern w:val="0"/>
          <w:sz w:val="24"/>
          <w:szCs w:val="20"/>
          <w:lang w:val="en-US" w:eastAsia="zh-CN"/>
        </w:rPr>
        <w:t>或者未按期完成标识标牌定制安装</w:t>
      </w:r>
      <w:r>
        <w:rPr>
          <w:rFonts w:hint="eastAsia" w:ascii="宋体" w:hAnsi="宋体" w:eastAsia="宋体"/>
          <w:color w:val="auto"/>
          <w:kern w:val="0"/>
          <w:sz w:val="24"/>
          <w:szCs w:val="20"/>
        </w:rPr>
        <w:t>的，任一阶段每延误一天，乙方应按照服务费总额的【1】%支付违约金。延误超过【10】天以上（含）的，甲方有权单方面解除本合同</w:t>
      </w:r>
      <w:r>
        <w:rPr>
          <w:rFonts w:hint="eastAsia" w:ascii="宋体" w:hAnsi="宋体" w:eastAsia="宋体"/>
          <w:color w:val="auto"/>
          <w:kern w:val="0"/>
          <w:sz w:val="24"/>
          <w:szCs w:val="20"/>
          <w:lang w:eastAsia="zh-CN"/>
        </w:rPr>
        <w:t>，</w:t>
      </w:r>
      <w:r>
        <w:rPr>
          <w:rFonts w:hint="eastAsia" w:ascii="宋体" w:hAnsi="宋体" w:eastAsia="宋体"/>
          <w:color w:val="auto"/>
          <w:kern w:val="0"/>
          <w:sz w:val="24"/>
          <w:szCs w:val="20"/>
          <w:lang w:val="en-US" w:eastAsia="zh-CN"/>
        </w:rPr>
        <w:t>且乙方应退还甲方已支付的全部款项</w:t>
      </w:r>
      <w:r>
        <w:rPr>
          <w:rFonts w:hint="eastAsia" w:ascii="宋体" w:hAnsi="宋体" w:eastAsia="宋体"/>
          <w:color w:val="auto"/>
          <w:kern w:val="0"/>
          <w:sz w:val="24"/>
          <w:szCs w:val="20"/>
        </w:rPr>
        <w:t>。</w:t>
      </w:r>
    </w:p>
    <w:p w14:paraId="451FFEF5">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5、未经甲方书面同意，乙方擅自将本合同约定的全部或者部分义务转让给他人实施。甲方有权方面解除本合同</w:t>
      </w:r>
      <w:r>
        <w:rPr>
          <w:rFonts w:hint="eastAsia" w:ascii="宋体" w:hAnsi="宋体" w:eastAsia="宋体"/>
          <w:color w:val="auto"/>
          <w:kern w:val="0"/>
          <w:sz w:val="24"/>
          <w:szCs w:val="20"/>
          <w:lang w:eastAsia="zh-CN"/>
        </w:rPr>
        <w:t>，</w:t>
      </w:r>
      <w:r>
        <w:rPr>
          <w:rFonts w:hint="eastAsia" w:ascii="宋体" w:hAnsi="宋体" w:eastAsia="宋体"/>
          <w:color w:val="auto"/>
          <w:kern w:val="0"/>
          <w:sz w:val="24"/>
          <w:szCs w:val="20"/>
          <w:lang w:val="en-US" w:eastAsia="zh-CN"/>
        </w:rPr>
        <w:t>且乙方应退还甲方已支付的全部款项并承担服务费总额【20】%的违约金</w:t>
      </w:r>
      <w:r>
        <w:rPr>
          <w:rFonts w:hint="eastAsia" w:ascii="宋体" w:hAnsi="宋体" w:eastAsia="宋体"/>
          <w:color w:val="auto"/>
          <w:kern w:val="0"/>
          <w:sz w:val="24"/>
          <w:szCs w:val="20"/>
        </w:rPr>
        <w:t>，由此引发乙方与第三方之间的一切纠纷及责任，均由乙方自行承担并妥善解决，与甲方无关。</w:t>
      </w:r>
    </w:p>
    <w:p w14:paraId="5F3B50DA">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6、乙方应妥善保管甲方提供的与本项目有关的资料、文件，不得损毁灭失。若本合同终止或者提前解除的，乙方应在合同终止或者解除当日完好无损的将甲方提供的资料、文件全部归还给甲方，否则乙方应承担</w:t>
      </w:r>
      <w:r>
        <w:rPr>
          <w:rFonts w:hint="eastAsia" w:ascii="宋体" w:hAnsi="宋体" w:eastAsia="宋体"/>
          <w:color w:val="auto"/>
          <w:kern w:val="0"/>
          <w:sz w:val="24"/>
          <w:szCs w:val="20"/>
          <w:lang w:val="en-US" w:eastAsia="zh-CN"/>
        </w:rPr>
        <w:t>服务费总额【10】%的违约金</w:t>
      </w:r>
      <w:r>
        <w:rPr>
          <w:rFonts w:hint="eastAsia" w:ascii="宋体" w:hAnsi="宋体" w:eastAsia="宋体"/>
          <w:color w:val="auto"/>
          <w:kern w:val="0"/>
          <w:sz w:val="24"/>
          <w:szCs w:val="20"/>
        </w:rPr>
        <w:t>赔偿责任。</w:t>
      </w:r>
    </w:p>
    <w:p w14:paraId="4C6769C8">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7、乙方对甲方提交的基础资料、在本合同履行过程中知悉的甲方商业秘密、尚未公开的保密信息以及服务成果内容负有保密义务，不得向任何第三方泄露。违反前述保密义务给甲方造成损失的，乙方应按照本合同总额的【2】%支付违约金。违约金不足以弥补甲方损失的，乙方还应负责赔偿。本保密义务不因合同履行完毕或者提前解除而失效。</w:t>
      </w:r>
    </w:p>
    <w:p w14:paraId="0EC70B1B">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8、乙方在履行本合同过程中存在其他违约行为，每发生一次，需向甲方支付违约金¥【500】元（本合同其他条款对违约金标准另有不同约定的除外）。</w:t>
      </w:r>
    </w:p>
    <w:p w14:paraId="73E07A7A">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9、本合同因乙方违约导致提前解除的，乙方需按照本合同总价款的2</w:t>
      </w:r>
      <w:r>
        <w:rPr>
          <w:rFonts w:ascii="宋体" w:hAnsi="宋体" w:eastAsia="宋体"/>
          <w:color w:val="auto"/>
          <w:kern w:val="0"/>
          <w:sz w:val="24"/>
          <w:szCs w:val="20"/>
        </w:rPr>
        <w:t>0</w:t>
      </w:r>
      <w:r>
        <w:rPr>
          <w:rFonts w:hint="eastAsia" w:ascii="宋体" w:hAnsi="宋体" w:eastAsia="宋体"/>
          <w:color w:val="auto"/>
          <w:kern w:val="0"/>
          <w:sz w:val="24"/>
          <w:szCs w:val="20"/>
        </w:rPr>
        <w:t>%向甲方支付违约金，并全额返还甲方支付的所有款项，违约金不足以弥补甲方损失的，乙方负责赔偿。</w:t>
      </w:r>
    </w:p>
    <w:p w14:paraId="315CB25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10、乙方在履行本合同过程中违约但合同最终继续履行或者虽未继续履行但仍存在甲方需向乙方支付费用的情形的，对于乙方应承担的违约金、赔偿金及其他费用，甲方有权在支付给乙方的费用中直接予以扣除，不足部分，由乙方负责赔偿。</w:t>
      </w:r>
    </w:p>
    <w:p w14:paraId="6058DD7F">
      <w:pPr>
        <w:widowControl/>
        <w:spacing w:line="360" w:lineRule="auto"/>
        <w:ind w:firstLine="480" w:firstLineChars="200"/>
        <w:jc w:val="left"/>
        <w:rPr>
          <w:rFonts w:ascii="宋体" w:hAnsi="宋体" w:eastAsia="宋体"/>
          <w:color w:val="auto"/>
          <w:kern w:val="0"/>
          <w:sz w:val="24"/>
          <w:szCs w:val="20"/>
        </w:rPr>
      </w:pPr>
      <w:r>
        <w:rPr>
          <w:rFonts w:ascii="宋体" w:hAnsi="宋体" w:eastAsia="宋体"/>
          <w:color w:val="auto"/>
          <w:kern w:val="0"/>
          <w:sz w:val="24"/>
          <w:szCs w:val="20"/>
        </w:rPr>
        <w:t>1</w:t>
      </w:r>
      <w:r>
        <w:rPr>
          <w:rFonts w:hint="eastAsia" w:ascii="宋体" w:hAnsi="宋体" w:eastAsia="宋体"/>
          <w:color w:val="auto"/>
          <w:kern w:val="0"/>
          <w:sz w:val="24"/>
          <w:szCs w:val="20"/>
        </w:rPr>
        <w:t>1、本合同所称因违约行为造成的损失包括但不限于守约方遭受的直接经济损失以及守约方为解决争议、实现权利而支出的诉讼费用（或仲裁费用）、律师费、差旅费、保全费、公证费等相关费用。</w:t>
      </w:r>
    </w:p>
    <w:p w14:paraId="3B08FB62">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第十二条 不可抗力事件处理</w:t>
      </w:r>
    </w:p>
    <w:p w14:paraId="7A8CD5B3">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1、在合同有效期内，任何一方因不可抗力事件（包括但不限于上级政府行为等）导致不能如期履行合同，则合同履行期可延长，其延长期与不可抗力影响期相同。</w:t>
      </w:r>
    </w:p>
    <w:p w14:paraId="48D1F8D1">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2、不可抗力事件发生后，应立即通知对方，并寄送有关权威机构出具的证明。</w:t>
      </w:r>
    </w:p>
    <w:p w14:paraId="31DACE3A">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3、不可抗力事件延续XX天以上，双方应通过友好协商，确定是否继续履行合同。</w:t>
      </w:r>
    </w:p>
    <w:p w14:paraId="54C1EDA6">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4、如因不可抗力导致本合同确已无法继续履行或履行已成为不必要，则双方均可终止合同且互不承担违约责任，双方因履行本合同而发生的费用由各方自行承担。</w:t>
      </w:r>
    </w:p>
    <w:p w14:paraId="32248568">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第十三条 解决合同纠纷的方式</w:t>
      </w:r>
    </w:p>
    <w:p w14:paraId="6CEC9A26">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1、在执行本合同中发生的或与本合同有关的争端，双方应通过友好协商解决，经协商在XX天内不能达成协议时，应提交甲方所在地人民法院提起诉讼解决。</w:t>
      </w:r>
    </w:p>
    <w:p w14:paraId="4A5F6F39">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2、生效诉讼裁决应为最终决定，并对双方具有约束力。</w:t>
      </w:r>
    </w:p>
    <w:p w14:paraId="629E4473">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3、除另有裁决外，诉讼费应由败诉方负担。 </w:t>
      </w:r>
    </w:p>
    <w:p w14:paraId="1B22622A">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4、在诉讼期间，除正在进行诉讼部分外，合同其他部分继续执行。  </w:t>
      </w:r>
    </w:p>
    <w:p w14:paraId="1C4E7569">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第十四条 合同生效及其他</w:t>
      </w:r>
    </w:p>
    <w:p w14:paraId="50833CB2">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1、合同经双方法定代表人或其授权委托代理人签字（或盖章）并加盖单位公章或合同专用章后生效。</w:t>
      </w:r>
    </w:p>
    <w:p w14:paraId="3B335B6D">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2、本合同一式XX份，甲方XX份，乙方XX份，政府采购代理机构XX份，具有同等法律效力。</w:t>
      </w:r>
    </w:p>
    <w:p w14:paraId="1CA8AF71">
      <w:pPr>
        <w:widowControl/>
        <w:spacing w:line="360" w:lineRule="auto"/>
        <w:ind w:firstLine="480" w:firstLineChars="200"/>
        <w:jc w:val="left"/>
        <w:rPr>
          <w:rFonts w:ascii="宋体" w:hAnsi="宋体" w:eastAsia="宋体"/>
          <w:color w:val="auto"/>
          <w:kern w:val="0"/>
          <w:sz w:val="24"/>
          <w:szCs w:val="20"/>
        </w:rPr>
      </w:pPr>
      <w:r>
        <w:rPr>
          <w:rFonts w:ascii="宋体" w:hAnsi="宋体" w:eastAsia="宋体"/>
          <w:color w:val="auto"/>
          <w:kern w:val="0"/>
          <w:sz w:val="24"/>
          <w:szCs w:val="20"/>
        </w:rPr>
        <w:t>3</w:t>
      </w:r>
      <w:r>
        <w:rPr>
          <w:rFonts w:hint="eastAsia" w:ascii="宋体" w:hAnsi="宋体" w:eastAsia="宋体"/>
          <w:color w:val="auto"/>
          <w:kern w:val="0"/>
          <w:sz w:val="24"/>
          <w:szCs w:val="20"/>
        </w:rPr>
        <w:t>、甲乙双方在本合同签字盖章栏处提供的联系地址、电子邮箱为双方确认的送达地址。双方在本合同履行过程中的发送的相关文件以及司法机关送达的相关法律文书，可以直接送达的，由受送达人签字确认。采用邮寄送达的，一方按照对方提供的地址邮寄相关文书的，签收之日为送达之日。如一方确认的地址错误、地址变更后未及时告知对方或者指定联系人、拒收等原因导致邮件未被实际签收的，自邮件被退回之日起视为送达。未退回的，自邮件发出【  】日后即视为送达。采用电子邮件送达的，自邮件到达对方指定系统后即视为送达。本合同因法定或者约定的解除条件成就的，本合同自解除通知书到达对方时即行解除。</w:t>
      </w:r>
    </w:p>
    <w:p w14:paraId="6D725348">
      <w:pPr>
        <w:widowControl/>
        <w:spacing w:line="360" w:lineRule="auto"/>
        <w:ind w:firstLine="482" w:firstLineChars="200"/>
        <w:jc w:val="left"/>
        <w:rPr>
          <w:rFonts w:ascii="宋体" w:hAnsi="宋体" w:eastAsia="宋体"/>
          <w:b/>
          <w:bCs/>
          <w:color w:val="auto"/>
          <w:kern w:val="0"/>
          <w:sz w:val="24"/>
          <w:szCs w:val="20"/>
        </w:rPr>
      </w:pPr>
      <w:r>
        <w:rPr>
          <w:rFonts w:hint="eastAsia" w:ascii="宋体" w:hAnsi="宋体" w:eastAsia="宋体"/>
          <w:b/>
          <w:bCs/>
          <w:color w:val="auto"/>
          <w:kern w:val="0"/>
          <w:sz w:val="24"/>
          <w:szCs w:val="20"/>
        </w:rPr>
        <w:t>第十五条 附件</w:t>
      </w:r>
    </w:p>
    <w:p w14:paraId="18EFDEC9">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1、项目采购文件</w:t>
      </w:r>
    </w:p>
    <w:p w14:paraId="636A5739">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2、项目修改澄清文件</w:t>
      </w:r>
    </w:p>
    <w:p w14:paraId="41C6CF35">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3、项目响应文件</w:t>
      </w:r>
    </w:p>
    <w:p w14:paraId="1CE58EB6">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4、成交通知书</w:t>
      </w:r>
    </w:p>
    <w:p w14:paraId="5BDBEADF">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5、其他</w:t>
      </w:r>
    </w:p>
    <w:p w14:paraId="231C8C51">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【以下无正文，为签字盖章页】</w:t>
      </w:r>
    </w:p>
    <w:p w14:paraId="18CDD4A1">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甲方：   （盖章）   </w:t>
      </w:r>
      <w:r>
        <w:rPr>
          <w:rFonts w:hint="eastAsia" w:ascii="宋体" w:hAnsi="宋体" w:eastAsia="宋体"/>
          <w:color w:val="auto"/>
          <w:kern w:val="0"/>
          <w:sz w:val="24"/>
          <w:szCs w:val="20"/>
        </w:rPr>
        <w:tab/>
      </w:r>
      <w:r>
        <w:rPr>
          <w:rFonts w:hint="eastAsia" w:ascii="宋体" w:hAnsi="宋体" w:eastAsia="宋体"/>
          <w:color w:val="auto"/>
          <w:kern w:val="0"/>
          <w:sz w:val="24"/>
          <w:szCs w:val="20"/>
        </w:rPr>
        <w:tab/>
      </w:r>
      <w:r>
        <w:rPr>
          <w:rFonts w:hint="eastAsia" w:ascii="宋体" w:hAnsi="宋体" w:eastAsia="宋体"/>
          <w:color w:val="auto"/>
          <w:kern w:val="0"/>
          <w:sz w:val="24"/>
          <w:szCs w:val="20"/>
        </w:rPr>
        <w:tab/>
      </w:r>
      <w:r>
        <w:rPr>
          <w:rFonts w:hint="eastAsia" w:ascii="宋体" w:hAnsi="宋体" w:eastAsia="宋体"/>
          <w:color w:val="auto"/>
          <w:kern w:val="0"/>
          <w:sz w:val="24"/>
          <w:szCs w:val="20"/>
        </w:rPr>
        <w:t xml:space="preserve">           乙方：   （盖章）</w:t>
      </w:r>
    </w:p>
    <w:p w14:paraId="6E8D434E">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法定代表人（授权代表）：              法定代表人（授权代表）：</w:t>
      </w:r>
    </w:p>
    <w:p w14:paraId="3C871BFC">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地    址：                            地    址：</w:t>
      </w:r>
    </w:p>
    <w:p w14:paraId="6A96393B">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开户银行：                            开户银行：</w:t>
      </w:r>
    </w:p>
    <w:p w14:paraId="5B5F62AD">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账</w:t>
      </w:r>
      <w:r>
        <w:rPr>
          <w:rFonts w:hint="eastAsia" w:ascii="宋体" w:hAnsi="宋体" w:eastAsia="宋体"/>
          <w:color w:val="auto"/>
          <w:kern w:val="0"/>
          <w:sz w:val="24"/>
          <w:szCs w:val="20"/>
          <w:lang w:val="en-US" w:eastAsia="zh-CN"/>
        </w:rPr>
        <w:t xml:space="preserve">    </w:t>
      </w:r>
      <w:r>
        <w:rPr>
          <w:rFonts w:hint="eastAsia" w:ascii="宋体" w:hAnsi="宋体" w:eastAsia="宋体"/>
          <w:color w:val="auto"/>
          <w:kern w:val="0"/>
          <w:sz w:val="24"/>
          <w:szCs w:val="20"/>
        </w:rPr>
        <w:t>号：                            账</w:t>
      </w:r>
      <w:r>
        <w:rPr>
          <w:rFonts w:hint="eastAsia" w:ascii="宋体" w:hAnsi="宋体" w:eastAsia="宋体"/>
          <w:color w:val="auto"/>
          <w:kern w:val="0"/>
          <w:sz w:val="24"/>
          <w:szCs w:val="20"/>
          <w:lang w:val="en-US" w:eastAsia="zh-CN"/>
        </w:rPr>
        <w:t xml:space="preserve">    </w:t>
      </w:r>
      <w:r>
        <w:rPr>
          <w:rFonts w:hint="eastAsia" w:ascii="宋体" w:hAnsi="宋体" w:eastAsia="宋体"/>
          <w:color w:val="auto"/>
          <w:kern w:val="0"/>
          <w:sz w:val="24"/>
          <w:szCs w:val="20"/>
        </w:rPr>
        <w:t>号：</w:t>
      </w:r>
    </w:p>
    <w:p w14:paraId="2A6D7DAE">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电    话：                            电    话：</w:t>
      </w:r>
    </w:p>
    <w:p w14:paraId="4C06AD1B">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邮 </w:t>
      </w:r>
      <w:r>
        <w:rPr>
          <w:rFonts w:ascii="宋体" w:hAnsi="宋体" w:eastAsia="宋体"/>
          <w:color w:val="auto"/>
          <w:kern w:val="0"/>
          <w:sz w:val="24"/>
          <w:szCs w:val="20"/>
        </w:rPr>
        <w:t xml:space="preserve">   </w:t>
      </w:r>
      <w:r>
        <w:rPr>
          <w:rFonts w:hint="eastAsia" w:ascii="宋体" w:hAnsi="宋体" w:eastAsia="宋体"/>
          <w:color w:val="auto"/>
          <w:kern w:val="0"/>
          <w:sz w:val="24"/>
          <w:szCs w:val="20"/>
        </w:rPr>
        <w:t xml:space="preserve">箱： </w:t>
      </w:r>
      <w:r>
        <w:rPr>
          <w:rFonts w:ascii="宋体" w:hAnsi="宋体" w:eastAsia="宋体"/>
          <w:color w:val="auto"/>
          <w:kern w:val="0"/>
          <w:sz w:val="24"/>
          <w:szCs w:val="20"/>
        </w:rPr>
        <w:t xml:space="preserve">                           </w:t>
      </w:r>
      <w:r>
        <w:rPr>
          <w:rFonts w:hint="eastAsia" w:ascii="宋体" w:hAnsi="宋体" w:eastAsia="宋体"/>
          <w:color w:val="auto"/>
          <w:kern w:val="0"/>
          <w:sz w:val="24"/>
          <w:szCs w:val="20"/>
        </w:rPr>
        <w:t xml:space="preserve">邮 </w:t>
      </w:r>
      <w:r>
        <w:rPr>
          <w:rFonts w:ascii="宋体" w:hAnsi="宋体" w:eastAsia="宋体"/>
          <w:color w:val="auto"/>
          <w:kern w:val="0"/>
          <w:sz w:val="24"/>
          <w:szCs w:val="20"/>
        </w:rPr>
        <w:t xml:space="preserve">   </w:t>
      </w:r>
      <w:r>
        <w:rPr>
          <w:rFonts w:hint="eastAsia" w:ascii="宋体" w:hAnsi="宋体" w:eastAsia="宋体"/>
          <w:color w:val="auto"/>
          <w:kern w:val="0"/>
          <w:sz w:val="24"/>
          <w:szCs w:val="20"/>
        </w:rPr>
        <w:t>箱：</w:t>
      </w:r>
    </w:p>
    <w:p w14:paraId="67C62418">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传    真：                            传    真：</w:t>
      </w:r>
    </w:p>
    <w:p w14:paraId="76566A0C">
      <w:pPr>
        <w:widowControl/>
        <w:spacing w:line="360" w:lineRule="auto"/>
        <w:ind w:firstLine="480" w:firstLineChars="200"/>
        <w:jc w:val="left"/>
        <w:rPr>
          <w:rFonts w:ascii="宋体" w:hAnsi="宋体" w:eastAsia="宋体"/>
          <w:color w:val="auto"/>
          <w:kern w:val="0"/>
          <w:sz w:val="24"/>
          <w:szCs w:val="20"/>
        </w:rPr>
      </w:pPr>
      <w:r>
        <w:rPr>
          <w:rFonts w:hint="eastAsia" w:ascii="宋体" w:hAnsi="宋体" w:eastAsia="宋体"/>
          <w:color w:val="auto"/>
          <w:kern w:val="0"/>
          <w:sz w:val="24"/>
          <w:szCs w:val="20"/>
        </w:rPr>
        <w:t xml:space="preserve">签约日期：XX年XX月XX日 </w:t>
      </w:r>
      <w:r>
        <w:rPr>
          <w:rFonts w:hint="eastAsia" w:ascii="宋体" w:hAnsi="宋体" w:eastAsia="宋体"/>
          <w:color w:val="auto"/>
          <w:kern w:val="0"/>
          <w:sz w:val="24"/>
          <w:szCs w:val="20"/>
        </w:rPr>
        <w:tab/>
      </w:r>
      <w:r>
        <w:rPr>
          <w:rFonts w:hint="eastAsia" w:ascii="宋体" w:hAnsi="宋体" w:eastAsia="宋体"/>
          <w:color w:val="auto"/>
          <w:kern w:val="0"/>
          <w:sz w:val="24"/>
          <w:szCs w:val="20"/>
        </w:rPr>
        <w:tab/>
      </w:r>
      <w:r>
        <w:rPr>
          <w:rFonts w:hint="eastAsia" w:ascii="宋体" w:hAnsi="宋体" w:eastAsia="宋体"/>
          <w:color w:val="auto"/>
          <w:kern w:val="0"/>
          <w:sz w:val="24"/>
          <w:szCs w:val="20"/>
        </w:rPr>
        <w:t xml:space="preserve">       签约日期：XX年XX月XX日</w:t>
      </w:r>
    </w:p>
    <w:p w14:paraId="33A0A551">
      <w:pPr>
        <w:pStyle w:val="2"/>
        <w:rPr>
          <w:rFonts w:asciiTheme="minorEastAsia" w:hAnsiTheme="minorEastAsia" w:eastAsiaTheme="minorEastAsia" w:cstheme="minorEastAsia"/>
          <w:color w:val="auto"/>
          <w:sz w:val="24"/>
        </w:rPr>
      </w:pPr>
    </w:p>
    <w:p w14:paraId="1E8488AA"/>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方正仿宋">
    <w:altName w:val="仿宋"/>
    <w:panose1 w:val="00000000000000000000"/>
    <w:charset w:val="86"/>
    <w:family w:val="script"/>
    <w:pitch w:val="default"/>
    <w:sig w:usb0="00000000" w:usb1="00000000" w:usb2="00000000" w:usb3="00000000" w:csb0="00040000" w:csb1="00000000"/>
  </w:font>
  <w:font w:name="Tms Rmn">
    <w:altName w:val="Segoe Print"/>
    <w:panose1 w:val="02020603040505020304"/>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19754">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92F9F2">
                          <w:pPr>
                            <w:pStyle w:val="5"/>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0E92F9F2">
                    <w:pPr>
                      <w:pStyle w:val="5"/>
                    </w:pPr>
                    <w:r>
                      <w:fldChar w:fldCharType="begin"/>
                    </w:r>
                    <w:r>
                      <w:instrText xml:space="preserve"> PAGE  \* MERGEFORMAT </w:instrText>
                    </w:r>
                    <w:r>
                      <w:fldChar w:fldCharType="separate"/>
                    </w:r>
                    <w:r>
                      <w:t>17</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AA13CD"/>
    <w:rsid w:val="20512691"/>
    <w:rsid w:val="41AA13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99"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方正仿宋" w:cs="Times New Roman"/>
      <w:kern w:val="2"/>
      <w:sz w:val="32"/>
      <w:szCs w:val="24"/>
      <w:lang w:val="en-US" w:eastAsia="zh-CN" w:bidi="ar-SA"/>
    </w:rPr>
  </w:style>
  <w:style w:type="character" w:default="1" w:styleId="7">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next w:val="3"/>
    <w:qFormat/>
    <w:uiPriority w:val="99"/>
    <w:pPr>
      <w:spacing w:after="120"/>
    </w:pPr>
    <w:rPr>
      <w:rFonts w:ascii="宋体" w:hAnsi="Times New Roman" w:eastAsia="宋体"/>
      <w:sz w:val="34"/>
    </w:rPr>
  </w:style>
  <w:style w:type="paragraph" w:styleId="3">
    <w:name w:val="Body Text 2"/>
    <w:basedOn w:val="1"/>
    <w:qFormat/>
    <w:uiPriority w:val="99"/>
    <w:pPr>
      <w:spacing w:after="120" w:line="480" w:lineRule="auto"/>
    </w:pPr>
  </w:style>
  <w:style w:type="paragraph" w:styleId="4">
    <w:name w:val="Plain Text"/>
    <w:qFormat/>
    <w:uiPriority w:val="0"/>
    <w:pPr>
      <w:widowControl w:val="0"/>
      <w:autoSpaceDE w:val="0"/>
      <w:autoSpaceDN w:val="0"/>
      <w:adjustRightInd w:val="0"/>
      <w:jc w:val="both"/>
    </w:pPr>
    <w:rPr>
      <w:rFonts w:ascii="宋体" w:hAnsi="Tms Rmn" w:eastAsia="宋体" w:cs="Times New Roman"/>
      <w:sz w:val="21"/>
      <w:lang w:val="en-US" w:eastAsia="zh-CN" w:bidi="ar-SA"/>
    </w:rPr>
  </w:style>
  <w:style w:type="paragraph" w:styleId="5">
    <w:name w:val="footer"/>
    <w:basedOn w:val="1"/>
    <w:qFormat/>
    <w:uiPriority w:val="0"/>
    <w:pPr>
      <w:tabs>
        <w:tab w:val="center" w:pos="4153"/>
        <w:tab w:val="right" w:pos="8306"/>
      </w:tabs>
      <w:snapToGrid w:val="0"/>
      <w:jc w:val="left"/>
    </w:pPr>
    <w:rPr>
      <w:sz w:val="18"/>
    </w:rPr>
  </w:style>
  <w:style w:type="paragraph" w:customStyle="1" w:styleId="8">
    <w:name w:val="null3"/>
    <w:qFormat/>
    <w:uiPriority w:val="0"/>
    <w:rPr>
      <w:rFonts w:asciiTheme="minorHAnsi" w:hAnsiTheme="minorHAnsi" w:eastAsiaTheme="minorEastAsia" w:cstheme="minorBidi"/>
      <w:lang w:val="en-US" w:eastAsia="zh-Han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oleObject" Target="embeddings/oleObject1.bin"/><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23</Pages>
  <Words>0</Words>
  <Characters>0</Characters>
  <Lines>0</Lines>
  <Paragraphs>0</Paragraphs>
  <TotalTime>3</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2026-04-30T07:36:00Z</dcterms:created>
  <dc:creator>vv</dc:creator>
  <cp:lastModifiedBy>vv</cp:lastModifiedBy>
  <dcterms:modified xsi:type="dcterms:W3CDTF">2026-04-30T07:42:08Z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068ACCE1CC2646E1AB2AF99B4A00B0E1_11</vt:lpwstr>
  </property>
  <property fmtid="{D5CDD505-2E9C-101B-9397-08002B2CF9AE}" pid="4" name="KSOTemplateDocerSaveRecord">
    <vt:lpwstr>eyJoZGlkIjoiZmUzMzZiYjY0ZTQ0NmI4ZTRjMDA4MTdhYmZiMTNhNzciLCJ1c2VySWQiOiIxMDA1OTg1NDAzIn0=</vt:lpwstr>
  </property>
</Properties>
</file>