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版本号：N513311202600014020260512001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甘孜州2026年度山洪灾害专业化隐患排查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N5133112026000140</w:t>
      </w:r>
    </w:p>
    <w:p>
      <w:pPr>
        <w:pStyle w:val="null3"/>
        <w:jc w:val="center"/>
        <w:outlineLvl w:val="2"/>
      </w:pPr>
      <w:r>
        <w:rPr>
          <w:rFonts w:ascii="仿宋_GB2312" w:hAnsi="仿宋_GB2312" w:cs="仿宋_GB2312" w:eastAsia="仿宋_GB2312"/>
          <w:sz w:val="28"/>
          <w:b/>
        </w:rPr>
        <w:t>甘孜藏族自治州水利局</w:t>
      </w:r>
    </w:p>
    <w:p>
      <w:pPr>
        <w:pStyle w:val="null3"/>
        <w:jc w:val="center"/>
        <w:outlineLvl w:val="2"/>
      </w:pPr>
      <w:r>
        <w:rPr>
          <w:rFonts w:ascii="仿宋_GB2312" w:hAnsi="仿宋_GB2312" w:cs="仿宋_GB2312" w:eastAsia="仿宋_GB2312"/>
          <w:sz w:val="28"/>
          <w:b/>
        </w:rPr>
        <w:t>四川标凯招标代理有限公司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四川标凯招标代理有限公司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甘孜藏族自治州水利局</w:t>
      </w:r>
      <w:r>
        <w:rPr>
          <w:rFonts w:ascii="仿宋_GB2312" w:hAnsi="仿宋_GB2312" w:cs="仿宋_GB2312" w:eastAsia="仿宋_GB2312"/>
        </w:rPr>
        <w:t xml:space="preserve"> 委托，拟对 </w:t>
      </w:r>
      <w:r>
        <w:rPr>
          <w:rFonts w:ascii="仿宋_GB2312" w:hAnsi="仿宋_GB2312" w:cs="仿宋_GB2312" w:eastAsia="仿宋_GB2312"/>
        </w:rPr>
        <w:t>甘孜州2026年度山洪灾害专业化隐患排查</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N5133112026000140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甘孜州2026年度山洪灾害专业化隐患排查</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甘孜藏族自治州水利局拟采购甘孜州2026年度山洪灾害专业化隐患排查一项，本项目共一个包。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政主管部门颁发的有效期内的工程设计水利行业乙级及以上资质或地质灾害评估和治理工程勘查设计乙级及以上资质。（描述：供应商须具有行政主管部门颁发的有效期内的工程设计水利行业乙级及以上资质或地质灾害评估和治理工程勘查设计乙级及以上资质。提供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甘孜藏族自治州水利局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康定市炉城镇西大街64号州政府二办公区四楼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0836-2835507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四川标凯招标代理有限公司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成都高新区天府大道中段530号东方希望天祥广场A栋23楼2308号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028-83228173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采购包1：1,585,000.00元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代理协议约定及《四川省政府采购营商环境指标提升专项行动工作方案》中"成本＋合理利润"原则，定额收取代理服务费15700元(大写:壹万伍仟柒佰元整)，由成交供应商在领取成交通知书前一次性支付给四川标凯招标代理有限公司。收款单位:四川标凯招标代理有限公司，开户银行:中国农业银行股份有限公司成都世纪城支行，账号:22807301040015940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甘孜藏族自治州水利局</w:t>
      </w:r>
      <w:r>
        <w:rPr>
          <w:rFonts w:ascii="仿宋_GB2312" w:hAnsi="仿宋_GB2312" w:cs="仿宋_GB2312" w:eastAsia="仿宋_GB2312"/>
        </w:rPr>
        <w:t xml:space="preserve"> 和 </w:t>
      </w:r>
      <w:r>
        <w:rPr>
          <w:rFonts w:ascii="仿宋_GB2312" w:hAnsi="仿宋_GB2312" w:cs="仿宋_GB2312" w:eastAsia="仿宋_GB2312"/>
        </w:rPr>
        <w:t>四川标凯招标代理有限公司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甘孜藏族自治州水利局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四川标凯招标代理有限公司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按采购人制定的验收方案、方式和程序执行，供应商在项目服务完成后5日内提出验收申请，采购人在接到供应商验收申请后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按照本项目采购文件、成交供应商的响应文件及承诺、采购合同约定中的商务要求相关内容进行验收。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若项目验收不合格，乙方需在甲方要求的期限内完成整改并重新申请验收，整改产生的所有费用由乙方自行承担；经2次整改后仍未通过验收的，甲方有权单方解除合同，乙方需退还甲方已支付的全部款项，并承担由此给甲方造成的全部损失。</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甘孜藏族自治州水利局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四川标凯招标代理有限公司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四川标凯招标代理有限公司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联系电话：0836-2835507</w:t>
      </w:r>
    </w:p>
    <w:p>
      <w:pPr>
        <w:pStyle w:val="null3"/>
        <w:jc w:val="left"/>
      </w:pPr>
      <w:r>
        <w:rPr>
          <w:rFonts w:ascii="仿宋_GB2312" w:hAnsi="仿宋_GB2312" w:cs="仿宋_GB2312" w:eastAsia="仿宋_GB2312"/>
        </w:rPr>
        <w:t>地址：康定市炉城镇西大街64号州政府二办公区四楼</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联系人：何强</w:t>
      </w:r>
    </w:p>
    <w:p>
      <w:pPr>
        <w:pStyle w:val="null3"/>
        <w:jc w:val="left"/>
      </w:pPr>
      <w:r>
        <w:rPr>
          <w:rFonts w:ascii="仿宋_GB2312" w:hAnsi="仿宋_GB2312" w:cs="仿宋_GB2312" w:eastAsia="仿宋_GB2312"/>
        </w:rPr>
        <w:t>联系电话：028-83228173</w:t>
      </w:r>
    </w:p>
    <w:p>
      <w:pPr>
        <w:pStyle w:val="null3"/>
        <w:jc w:val="left"/>
      </w:pPr>
      <w:r>
        <w:rPr>
          <w:rFonts w:ascii="仿宋_GB2312" w:hAnsi="仿宋_GB2312" w:cs="仿宋_GB2312" w:eastAsia="仿宋_GB2312"/>
        </w:rPr>
        <w:t>地址：成都高新区天府大道中段530号东方希望天祥广场A栋23楼2308号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1,585,000.00</w:t>
      </w:r>
    </w:p>
    <w:p>
      <w:pPr>
        <w:pStyle w:val="null3"/>
        <w:jc w:val="left"/>
      </w:pPr>
      <w:r>
        <w:rPr>
          <w:rFonts w:ascii="仿宋_GB2312" w:hAnsi="仿宋_GB2312" w:cs="仿宋_GB2312" w:eastAsia="仿宋_GB2312"/>
        </w:rPr>
        <w:t>采购包最高限价（元）: 1,585,000.00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C01031700 水利工程研究服务</w:t>
            </w:r>
          </w:p>
        </w:tc>
        <w:tc>
          <w:tcPr>
            <w:tcW w:type="dxa" w:w="821"/>
          </w:tcPr>
          <w:p>
            <w:pPr>
              <w:pStyle w:val="null3"/>
              <w:jc w:val="left"/>
            </w:pPr>
            <w:r>
              <w:rPr>
                <w:rFonts w:ascii="仿宋_GB2312" w:hAnsi="仿宋_GB2312" w:cs="仿宋_GB2312" w:eastAsia="仿宋_GB2312"/>
              </w:rPr>
              <w:t>甘孜州2026年度山洪灾害专业化隐患排查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1,585,000.00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甘孜州2026年度山洪灾害专业化隐患排查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标的名称：甘孜州2026年度山洪灾害专业化隐患排查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ind w:firstLine="482"/>
              <w:jc w:val="both"/>
            </w:pPr>
            <w:r>
              <w:rPr>
                <w:rFonts w:ascii="仿宋_GB2312" w:hAnsi="仿宋_GB2312" w:cs="仿宋_GB2312" w:eastAsia="仿宋_GB2312"/>
                <w:sz w:val="24"/>
                <w:b/>
              </w:rPr>
              <w:t>1.服务内容</w:t>
            </w:r>
          </w:p>
          <w:p>
            <w:pPr>
              <w:pStyle w:val="null3"/>
              <w:ind w:firstLine="480"/>
              <w:jc w:val="both"/>
            </w:pPr>
            <w:r>
              <w:rPr>
                <w:rFonts w:ascii="仿宋_GB2312" w:hAnsi="仿宋_GB2312" w:cs="仿宋_GB2312" w:eastAsia="仿宋_GB2312"/>
                <w:sz w:val="24"/>
              </w:rPr>
              <w:t>以小流域为单元，对石渠县、色达县、理塘县、乡城县、稻城县、得荣县的山洪沟开展隐患排查，工作内容如下：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）隐患调查：采用</w:t>
            </w:r>
            <w:r>
              <w:rPr>
                <w:rFonts w:ascii="仿宋_GB2312" w:hAnsi="仿宋_GB2312" w:cs="仿宋_GB2312" w:eastAsia="仿宋_GB2312"/>
                <w:sz w:val="24"/>
              </w:rPr>
              <w:t>遥感测绘</w:t>
            </w:r>
            <w:r>
              <w:rPr>
                <w:rFonts w:ascii="仿宋_GB2312" w:hAnsi="仿宋_GB2312" w:cs="仿宋_GB2312" w:eastAsia="仿宋_GB2312"/>
                <w:sz w:val="24"/>
              </w:rPr>
              <w:t>、实地测绘等，重点调查小流域基础信息、受威胁对象、物源、不利行洪地貌、碍洪建（构）筑物等情况。收集确定小流域水系拓扑关系、行政区划、面积、沟长、比降、物源储量等基础信息。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风险评价：定性和定量相结合，分析小流域山洪灾害风险隐患现状及其影响程度，评价其防洪能力。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）等级划定：根据调查与评价，复核危险区划定及其范围，评定危险区等级，提出防灾减灾措施建议。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）成果整理与应用：以县域为单元，对成果进行审核整（汇）编，报送调查评价成果，审定后应用于山洪灾害防御工作。</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1）项目团队负责人及主要成员须参与项目的全过程，服从采购人对本项目合理的工作安排。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2）保密要求：成交供应商必须严格遵守</w:t>
            </w:r>
            <w:r>
              <w:rPr>
                <w:rFonts w:ascii="仿宋_GB2312" w:hAnsi="仿宋_GB2312" w:cs="仿宋_GB2312" w:eastAsia="仿宋_GB2312"/>
                <w:sz w:val="24"/>
              </w:rPr>
              <w:t>采购人的</w:t>
            </w:r>
            <w:r>
              <w:rPr>
                <w:rFonts w:ascii="仿宋_GB2312" w:hAnsi="仿宋_GB2312" w:cs="仿宋_GB2312" w:eastAsia="仿宋_GB2312"/>
                <w:sz w:val="24"/>
              </w:rPr>
              <w:t>保密要求，</w:t>
            </w:r>
            <w:r>
              <w:rPr>
                <w:rFonts w:ascii="仿宋_GB2312" w:hAnsi="仿宋_GB2312" w:cs="仿宋_GB2312" w:eastAsia="仿宋_GB2312"/>
                <w:sz w:val="24"/>
              </w:rPr>
              <w:t>供应商应对项目实施过程中产生的数据、文档、资源等内容严格保密，</w:t>
            </w:r>
            <w:r>
              <w:rPr>
                <w:rFonts w:ascii="仿宋_GB2312" w:hAnsi="仿宋_GB2312" w:cs="仿宋_GB2312" w:eastAsia="仿宋_GB2312"/>
                <w:sz w:val="24"/>
              </w:rPr>
              <w:t>不得未经采购人同意向任何第三方泄露本项目相关资料和信息。</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成果要求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按照《四川省水利厅关于抓紧开展2024年度山洪灾害专业化隐患排查工作的通知》《四川省山洪灾害风险隐患调查评价指南（2024年）》要求，根据轻重缓急、按山洪小流域全覆盖原则确定排查时序和排查任务，开展隐患调查评价工作，并以县域为单位编写成果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成果报告符合《四川省水利厅关于抓紧开展</w:t>
            </w:r>
            <w:r>
              <w:rPr>
                <w:rFonts w:ascii="仿宋_GB2312" w:hAnsi="仿宋_GB2312" w:cs="仿宋_GB2312" w:eastAsia="仿宋_GB2312"/>
                <w:sz w:val="24"/>
              </w:rPr>
              <w:t>2024年度山洪灾害专业化隐患排查工作的通知》《四川省山洪灾害风险隐患调查评价指南（2024年）》等政策文件要求，提供经相关专家审查通过后的成果报告；最终审定稿须向采购人提交纸质版三份，并提供对应电子文档一份。</w:t>
            </w:r>
          </w:p>
          <w:p>
            <w:pPr>
              <w:pStyle w:val="null3"/>
              <w:ind w:firstLine="480"/>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本项目的其他要求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安全要求：本项目自签订合同之日起至项目完成之日止，</w:t>
            </w:r>
            <w:r>
              <w:rPr>
                <w:rFonts w:ascii="仿宋_GB2312" w:hAnsi="仿宋_GB2312" w:cs="仿宋_GB2312" w:eastAsia="仿宋_GB2312"/>
                <w:sz w:val="24"/>
              </w:rPr>
              <w:t>供应商</w:t>
            </w:r>
            <w:r>
              <w:rPr>
                <w:rFonts w:ascii="仿宋_GB2312" w:hAnsi="仿宋_GB2312" w:cs="仿宋_GB2312" w:eastAsia="仿宋_GB2312"/>
                <w:sz w:val="24"/>
              </w:rPr>
              <w:t>将负责该项目实施过程中的人身安全、财产安全等一切安全责任。在项目实施过程中造成的直接或间接损失，均</w:t>
            </w:r>
            <w:r>
              <w:rPr>
                <w:rFonts w:ascii="仿宋_GB2312" w:hAnsi="仿宋_GB2312" w:cs="仿宋_GB2312" w:eastAsia="仿宋_GB2312"/>
                <w:sz w:val="24"/>
              </w:rPr>
              <w:t>由</w:t>
            </w:r>
            <w:r>
              <w:rPr>
                <w:rFonts w:ascii="仿宋_GB2312" w:hAnsi="仿宋_GB2312" w:cs="仿宋_GB2312" w:eastAsia="仿宋_GB2312"/>
                <w:sz w:val="24"/>
              </w:rPr>
              <w:t>供应商</w:t>
            </w:r>
            <w:r>
              <w:rPr>
                <w:rFonts w:ascii="仿宋_GB2312" w:hAnsi="仿宋_GB2312" w:cs="仿宋_GB2312" w:eastAsia="仿宋_GB2312"/>
                <w:sz w:val="24"/>
              </w:rPr>
              <w:t>自行承担。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供应商应保证所提供的服务或其任何一部分均不会侵犯任何第三方的专利权</w:t>
            </w:r>
            <w:r>
              <w:rPr>
                <w:rFonts w:ascii="仿宋_GB2312" w:hAnsi="仿宋_GB2312" w:cs="仿宋_GB2312" w:eastAsia="仿宋_GB2312"/>
                <w:sz w:val="24"/>
              </w:rPr>
              <w:t>、</w:t>
            </w:r>
            <w:r>
              <w:rPr>
                <w:rFonts w:ascii="仿宋_GB2312" w:hAnsi="仿宋_GB2312" w:cs="仿宋_GB2312" w:eastAsia="仿宋_GB2312"/>
                <w:sz w:val="24"/>
              </w:rPr>
              <w:t>商标权或著作权。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本项目</w:t>
            </w:r>
            <w:r>
              <w:rPr>
                <w:rFonts w:ascii="仿宋_GB2312" w:hAnsi="仿宋_GB2312" w:cs="仿宋_GB2312" w:eastAsia="仿宋_GB2312"/>
                <w:sz w:val="24"/>
              </w:rPr>
              <w:t>成果</w:t>
            </w:r>
            <w:r>
              <w:rPr>
                <w:rFonts w:ascii="仿宋_GB2312" w:hAnsi="仿宋_GB2312" w:cs="仿宋_GB2312" w:eastAsia="仿宋_GB2312"/>
                <w:sz w:val="24"/>
              </w:rPr>
              <w:t>全部版权归采购人所有。供应商不得擅自对外发表、出版；确实因学术交流、职称评定等需要而要做发表的必须征得采购人书面授权许可，若因此带来的相关法律和经济纠纷与采购人无关，供应商应自行承担全部法律和经济等相关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成交</w:t>
            </w:r>
            <w:r>
              <w:rPr>
                <w:rFonts w:ascii="仿宋_GB2312" w:hAnsi="仿宋_GB2312" w:cs="仿宋_GB2312" w:eastAsia="仿宋_GB2312"/>
                <w:sz w:val="24"/>
              </w:rPr>
              <w:t>，不可因未了解项目现场情况而放弃</w:t>
            </w:r>
            <w:r>
              <w:rPr>
                <w:rFonts w:ascii="仿宋_GB2312" w:hAnsi="仿宋_GB2312" w:cs="仿宋_GB2312" w:eastAsia="仿宋_GB2312"/>
                <w:sz w:val="24"/>
              </w:rPr>
              <w:t>成交</w:t>
            </w:r>
            <w:r>
              <w:rPr>
                <w:rFonts w:ascii="仿宋_GB2312" w:hAnsi="仿宋_GB2312" w:cs="仿宋_GB2312" w:eastAsia="仿宋_GB2312"/>
                <w:sz w:val="24"/>
              </w:rPr>
              <w:t>不履行</w:t>
            </w:r>
            <w:r>
              <w:rPr>
                <w:rFonts w:ascii="仿宋_GB2312" w:hAnsi="仿宋_GB2312" w:cs="仿宋_GB2312" w:eastAsia="仿宋_GB2312"/>
                <w:sz w:val="24"/>
              </w:rPr>
              <w:t>成交供应商</w:t>
            </w:r>
            <w:r>
              <w:rPr>
                <w:rFonts w:ascii="仿宋_GB2312" w:hAnsi="仿宋_GB2312" w:cs="仿宋_GB2312" w:eastAsia="仿宋_GB2312"/>
                <w:sz w:val="24"/>
              </w:rPr>
              <w:t>义务。如因</w:t>
            </w:r>
            <w:r>
              <w:rPr>
                <w:rFonts w:ascii="仿宋_GB2312" w:hAnsi="仿宋_GB2312" w:cs="仿宋_GB2312" w:eastAsia="仿宋_GB2312"/>
                <w:sz w:val="24"/>
              </w:rPr>
              <w:t>供应商</w:t>
            </w:r>
            <w:r>
              <w:rPr>
                <w:rFonts w:ascii="仿宋_GB2312" w:hAnsi="仿宋_GB2312" w:cs="仿宋_GB2312" w:eastAsia="仿宋_GB2312"/>
                <w:sz w:val="24"/>
              </w:rPr>
              <w:t>不能正常履约，给采购人造成任何损失的，采购人将保留进一步追溯的权利，并要求</w:t>
            </w:r>
            <w:r>
              <w:rPr>
                <w:rFonts w:ascii="仿宋_GB2312" w:hAnsi="仿宋_GB2312" w:cs="仿宋_GB2312" w:eastAsia="仿宋_GB2312"/>
                <w:sz w:val="24"/>
              </w:rPr>
              <w:t>供应商</w:t>
            </w:r>
            <w:r>
              <w:rPr>
                <w:rFonts w:ascii="仿宋_GB2312" w:hAnsi="仿宋_GB2312" w:cs="仿宋_GB2312" w:eastAsia="仿宋_GB2312"/>
                <w:sz w:val="24"/>
              </w:rPr>
              <w:t>赔偿由此带来的所有损失；如放弃</w:t>
            </w:r>
            <w:r>
              <w:rPr>
                <w:rFonts w:ascii="仿宋_GB2312" w:hAnsi="仿宋_GB2312" w:cs="仿宋_GB2312" w:eastAsia="仿宋_GB2312"/>
                <w:sz w:val="24"/>
              </w:rPr>
              <w:t>成交</w:t>
            </w:r>
            <w:r>
              <w:rPr>
                <w:rFonts w:ascii="仿宋_GB2312" w:hAnsi="仿宋_GB2312" w:cs="仿宋_GB2312" w:eastAsia="仿宋_GB2312"/>
                <w:sz w:val="24"/>
              </w:rPr>
              <w:t>，所产生的后果按照政府采购相关法律法规执行。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本项目的响应报价应是最终用户验收合格后的总价，包括但不限于人工劳务、保险、税费、利润等其他所有费用，供应商须自行考虑所有不确定因素，如出现因响应报价估算错误等引起的损失由供应商自行承担，采购人不承担任何费用。</w:t>
            </w:r>
          </w:p>
          <w:p>
            <w:pPr>
              <w:pStyle w:val="null3"/>
              <w:jc w:val="both"/>
            </w:pPr>
            <w:r>
              <w:rPr>
                <w:rFonts w:ascii="仿宋_GB2312" w:hAnsi="仿宋_GB2312" w:cs="仿宋_GB2312" w:eastAsia="仿宋_GB2312"/>
                <w:sz w:val="24"/>
                <w:b/>
              </w:rPr>
              <w:t xml:space="preserve">    注：</w:t>
            </w:r>
            <w:r>
              <w:rPr>
                <w:rFonts w:ascii="仿宋_GB2312" w:hAnsi="仿宋_GB2312" w:cs="仿宋_GB2312" w:eastAsia="仿宋_GB2312"/>
                <w:sz w:val="24"/>
                <w:b/>
              </w:rPr>
              <w:t>1.本项目所引用的规范/标准/文件，如有最新版本，依照其最新规定执行；</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本章带</w:t>
            </w:r>
            <w:r>
              <w:rPr>
                <w:rFonts w:ascii="仿宋_GB2312" w:hAnsi="仿宋_GB2312" w:cs="仿宋_GB2312" w:eastAsia="仿宋_GB2312"/>
                <w:sz w:val="24"/>
                <w:b/>
              </w:rPr>
              <w:t>“★”号条款为实质性要求，有具体要求的须按文件要求提供证明材料，无要求的响应即可，格式自拟</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本项目的履约方案及能力</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服务方案</w:t>
            </w:r>
            <w:r>
              <w:rPr>
                <w:rFonts w:ascii="仿宋_GB2312" w:hAnsi="仿宋_GB2312" w:cs="仿宋_GB2312" w:eastAsia="仿宋_GB2312"/>
                <w:sz w:val="24"/>
              </w:rPr>
              <w:t>，包含：</w:t>
            </w:r>
            <w:r>
              <w:rPr>
                <w:rFonts w:ascii="仿宋_GB2312" w:hAnsi="仿宋_GB2312" w:cs="仿宋_GB2312" w:eastAsia="仿宋_GB2312"/>
                <w:sz w:val="24"/>
              </w:rPr>
              <w:t>①项目技术路线；②项目重难点分析；③项目组织结构；④报告编制工作流程；⑤项目应急预案；⑥保密措施。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项目保障措施</w:t>
            </w:r>
            <w:r>
              <w:rPr>
                <w:rFonts w:ascii="仿宋_GB2312" w:hAnsi="仿宋_GB2312" w:cs="仿宋_GB2312" w:eastAsia="仿宋_GB2312"/>
                <w:sz w:val="24"/>
              </w:rPr>
              <w:t>，</w:t>
            </w:r>
            <w:r>
              <w:rPr>
                <w:rFonts w:ascii="仿宋_GB2312" w:hAnsi="仿宋_GB2312" w:cs="仿宋_GB2312" w:eastAsia="仿宋_GB2312"/>
                <w:sz w:val="24"/>
              </w:rPr>
              <w:t>包含：</w:t>
            </w:r>
            <w:r>
              <w:rPr>
                <w:rFonts w:ascii="仿宋_GB2312" w:hAnsi="仿宋_GB2312" w:cs="仿宋_GB2312" w:eastAsia="仿宋_GB2312"/>
                <w:sz w:val="24"/>
              </w:rPr>
              <w:t>①</w:t>
            </w:r>
            <w:r>
              <w:rPr>
                <w:rFonts w:ascii="仿宋_GB2312" w:hAnsi="仿宋_GB2312" w:cs="仿宋_GB2312" w:eastAsia="仿宋_GB2312"/>
                <w:sz w:val="24"/>
              </w:rPr>
              <w:t>进度计划及进度保障措施；</w:t>
            </w:r>
            <w:r>
              <w:rPr>
                <w:rFonts w:ascii="仿宋_GB2312" w:hAnsi="仿宋_GB2312" w:cs="仿宋_GB2312" w:eastAsia="仿宋_GB2312"/>
                <w:sz w:val="24"/>
              </w:rPr>
              <w:t>②</w:t>
            </w:r>
            <w:r>
              <w:rPr>
                <w:rFonts w:ascii="仿宋_GB2312" w:hAnsi="仿宋_GB2312" w:cs="仿宋_GB2312" w:eastAsia="仿宋_GB2312"/>
                <w:sz w:val="24"/>
              </w:rPr>
              <w:t>人员组织分工与职责；</w:t>
            </w:r>
            <w:r>
              <w:rPr>
                <w:rFonts w:ascii="仿宋_GB2312" w:hAnsi="仿宋_GB2312" w:cs="仿宋_GB2312" w:eastAsia="仿宋_GB2312"/>
                <w:sz w:val="24"/>
              </w:rPr>
              <w:t>③</w:t>
            </w:r>
            <w:r>
              <w:rPr>
                <w:rFonts w:ascii="仿宋_GB2312" w:hAnsi="仿宋_GB2312" w:cs="仿宋_GB2312" w:eastAsia="仿宋_GB2312"/>
                <w:sz w:val="24"/>
              </w:rPr>
              <w:t>安全保障措施；</w:t>
            </w:r>
            <w:r>
              <w:rPr>
                <w:rFonts w:ascii="仿宋_GB2312" w:hAnsi="仿宋_GB2312" w:cs="仿宋_GB2312" w:eastAsia="仿宋_GB2312"/>
                <w:sz w:val="24"/>
              </w:rPr>
              <w:t>④</w:t>
            </w:r>
            <w:r>
              <w:rPr>
                <w:rFonts w:ascii="仿宋_GB2312" w:hAnsi="仿宋_GB2312" w:cs="仿宋_GB2312" w:eastAsia="仿宋_GB2312"/>
                <w:sz w:val="24"/>
              </w:rPr>
              <w:t>质量保障方案（包含质量保障体系、质量控制目标、质量保障措施）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后续服务方案，包含：</w:t>
            </w:r>
            <w:r>
              <w:rPr>
                <w:rFonts w:ascii="仿宋_GB2312" w:hAnsi="仿宋_GB2312" w:cs="仿宋_GB2312" w:eastAsia="仿宋_GB2312"/>
                <w:sz w:val="24"/>
              </w:rPr>
              <w:t>①后续服务人员配置；②后续服务内容与承诺；③后续服务响应时间</w:t>
            </w:r>
            <w:r>
              <w:rPr>
                <w:rFonts w:ascii="仿宋_GB2312" w:hAnsi="仿宋_GB2312" w:cs="仿宋_GB2312" w:eastAsia="仿宋_GB2312"/>
                <w:sz w:val="24"/>
              </w:rPr>
              <w:t>及</w:t>
            </w:r>
            <w:r>
              <w:rPr>
                <w:rFonts w:ascii="仿宋_GB2312" w:hAnsi="仿宋_GB2312" w:cs="仿宋_GB2312" w:eastAsia="仿宋_GB2312"/>
                <w:sz w:val="24"/>
              </w:rPr>
              <w:t>保障措施。</w:t>
            </w:r>
          </w:p>
          <w:p>
            <w:pPr>
              <w:pStyle w:val="null3"/>
              <w:jc w:val="left"/>
            </w:pPr>
            <w:r>
              <w:rPr>
                <w:rFonts w:ascii="仿宋_GB2312" w:hAnsi="仿宋_GB2312" w:cs="仿宋_GB2312" w:eastAsia="仿宋_GB2312"/>
                <w:sz w:val="24"/>
              </w:rPr>
              <w:t xml:space="preserve">    4、综合实力：拟投入本项目的人员（项目负责人、技术负责人、勘察专业负责人、测绘专业负责人、其他技术人员）。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合同签订后200个日历天内完成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石渠县、色达县、理塘县、乡城县、稻城县、得荣县，具体以采购人指定地点为准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1、验收主体：履约验收由采购人自行验收，验收方案采购人可根据实际情况自行编写或参照采购合同执行。 2、验收时间、方式及程序：按采购人制定的验收方案、方式和程序执行，供应商在项目服务完成后5日内提出验收申请，采购人在接到供应商验收申请后10日内自行组织验收。 3、验收内容：按照本项目采购文件、成交供应商的响应文件及承诺、采购合同约定中的技术要求及商务要求相关内容进行验收。 若项目验收不合格，乙方需在甲方要求的期限内完成整改并重新申请验收，整改产生的所有费用由乙方自行承担；经2次整改后仍未通过验收的，甲方有权单方解除合同，乙方需退还甲方已支付的全部款项，并承担由此给甲方造成的全部损失。 4、验收标准：严格按照《财政部关于进一步加强政府采购需求和履约验收管理的指导意见》（财库〔2016〕205号）、《政府采购需求管理办法》（财库〔2021〕22号）的要求进行验收；双方如对服务要求和服务内容的约定标准有相互抵触或异议的事项，由采购人在采购文件、成交供应商的响应文件中按服务要求和服务内容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1、预付款，合同签订且人员进场后，采购⼈收到供应商出具的完税发票及凭证资料，达到付款条件起7日内，支付合同总金额的40.00%</w:t>
            </w:r>
          </w:p>
          <w:p>
            <w:pPr>
              <w:pStyle w:val="null3"/>
              <w:jc w:val="left"/>
            </w:pPr>
            <w:r>
              <w:rPr>
                <w:rFonts w:ascii="仿宋_GB2312" w:hAnsi="仿宋_GB2312" w:cs="仿宋_GB2312" w:eastAsia="仿宋_GB2312"/>
              </w:rPr>
              <w:t>2、进度款，供应商向采购人提交石渠县、色达县、理塘县、乡城县、稻城县、得荣县的送审稿后，采购⼈收到供应商出具的完税发票及凭证资料，达到付款条件起7日内，支付合同总金额的40.00%</w:t>
            </w:r>
          </w:p>
          <w:p>
            <w:pPr>
              <w:pStyle w:val="null3"/>
              <w:jc w:val="left"/>
            </w:pPr>
            <w:r>
              <w:rPr>
                <w:rFonts w:ascii="仿宋_GB2312" w:hAnsi="仿宋_GB2312" w:cs="仿宋_GB2312" w:eastAsia="仿宋_GB2312"/>
              </w:rPr>
              <w:t>3、尾款，成交供应商服务完成并验收合格后，采购⼈收到供应商出具的完税发票及凭证资料，达到付款条件起7日内，支付合同总金额的20.00%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若乙方未按合同约定的服务期限完成全部工作并提交合格成果的，每逾期1日历天，按合同总金额的0.1%向甲方支付违约金；逾期超过30日的，甲方有权单方解除合同，乙方需退还甲方已支付的全部款项，并按合同总金额的20%向甲方支付违约金。 1.违约责任： 1.1甲乙双方必须遵守本合同并执行合同中的各项规定，保证本合同的正常履行。 1.2如因乙方工作人员在履行职务过程中的疏忽、失职、过错等故意或者过失原因给甲方造成损失或侵害，但不限于甲方本身的财产损失、由此而导致的甲方对任何第三方的法律责任等，乙方对此均应承担全部的赔偿责任。除前款约定外，乙方出现下列情形之一的，亦构成违约：（1）未按合同约定的服务期限提交全部或部分成果的；（2）提交的成果经验收不合格，且未在甲方要求的合理期限内修改至合格的；（3）违反本合同约定的保密义务或知识产权保证义务的；（4）未经甲方书面同意，将本合同项下服务转包或分包的；（5）未经甲方书面同意，擅自更换项目团队负责人或主要成员的；（6）违反本合同第（六）条知识产权保证；（7）违反本合同项下其他承诺或保证的。 1.3若乙方违反本合同约定应按合同总金额的20%向甲方支付违约金。 1.4若乙方未按合同约定的服务期限完成全部工作并提交合格成果的，每逾期1日历天，按合同总金额的0.1%向甲方支付违约金；逾期超过30日的，甲方有权单方解除合同，乙方需退还甲方已支付的全部款项，并按合同总金额的20%向甲方支付违约金。 2.解决争议的方法：合同履行期间，若双方发生争议，可协商或由有关部门调解解决，协商或调解不成的，向采购人所在地人民法院起诉。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格式“报价表”中的“服务范围"可填写满⾜本项⽬的服务范围或据实填写。2.★对磋商⽂件“5.3.11.推荐成交候选供应商”说明如下：...评审得分且最后报价且技术指标且提供的经评审认定有效的优先采购产品认证证书数量相同的（供应商响应的产品同时具有节能产品认证证书、环境标志产品认证证书的，按认定有效的节能产品认证证书、环境标志产品认证证书数量累计计算），按供应商注册地址是否属于少数⺠族地区进⾏认定，注册地址属于少数⺠族地区的排列在⾮少数⺠族地区之前，均为少数⺠族地区的并列。成交候选供应商并列的，由磋商⼩组根据磋商⽂件规定的推荐成交候选供应商数量，在排名并列的成交候选供应商中，采取随机抽取的⽅式确定成交候选供应商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第三章</w:t>
      </w:r>
      <w:r>
        <w:rPr>
          <w:rFonts w:ascii="仿宋_GB2312" w:hAnsi="仿宋_GB2312" w:cs="仿宋_GB2312" w:eastAsia="仿宋_GB2312"/>
          <w:sz w:val="24"/>
        </w:rPr>
        <w:t>“技术、服务及其他要求”3.2.技术要求、3.3.1服务内容要求中的实质性要求的内容。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4"/>
        </w:rPr>
        <w:t>第七章</w:t>
      </w:r>
      <w:r>
        <w:rPr>
          <w:rFonts w:ascii="仿宋_GB2312" w:hAnsi="仿宋_GB2312" w:cs="仿宋_GB2312" w:eastAsia="仿宋_GB2312"/>
          <w:sz w:val="24"/>
        </w:rPr>
        <w:t>“拟签订采购合同文本”中属于3.3.2.商务要求的实质性要求的内容。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非独立法人分支机构参加须提供具有独立法人资格的总公司出具的授权书，并提供“统一社会信用代码营业执照”；未换证的提供“营业执照、税务登记证、组织机构代码证”。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参与的供应商服务全部由符合政策要求的中小企业承接（监狱企业和残疾人福利性单位视同小微企业，符合中小企业划分标准的个体工商户视同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供应商须具有行政主管部门颁发的有效期内的工程设计水利行业乙级及以上资质或地质灾害评估和治理工程勘查设计乙级及以上资质。</w:t>
            </w:r>
          </w:p>
        </w:tc>
        <w:tc>
          <w:tcPr>
            <w:tcW w:type="dxa" w:w="3322"/>
          </w:tcPr>
          <w:p>
            <w:pPr>
              <w:pStyle w:val="null3"/>
              <w:jc w:val="left"/>
            </w:pPr>
            <w:r>
              <w:rPr>
                <w:rFonts w:ascii="仿宋_GB2312" w:hAnsi="仿宋_GB2312" w:cs="仿宋_GB2312" w:eastAsia="仿宋_GB2312"/>
              </w:rPr>
              <w:t>供应商须具有行政主管部门颁发的有效期内的工程设计水利行业乙级及以上资质或地质灾害评估和治理工程勘查设计乙级及以上资质。提供资质证书复印件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技术要求、服务要求应答</w:t>
            </w:r>
          </w:p>
        </w:tc>
        <w:tc>
          <w:tcPr>
            <w:tcW w:type="dxa" w:w="3322"/>
          </w:tcPr>
          <w:p>
            <w:pPr>
              <w:pStyle w:val="null3"/>
              <w:jc w:val="left"/>
            </w:pPr>
            <w:r>
              <w:rPr>
                <w:rFonts w:ascii="仿宋_GB2312" w:hAnsi="仿宋_GB2312" w:cs="仿宋_GB2312" w:eastAsia="仿宋_GB2312"/>
              </w:rPr>
              <w:t>完全满足采购文件第三章“3.2.技术要求”、“3.3.服务要求”中带“★”的实质性要求。</w:t>
            </w:r>
          </w:p>
        </w:tc>
        <w:tc>
          <w:tcPr>
            <w:tcW w:type="dxa" w:w="1661"/>
          </w:tcPr>
          <w:p>
            <w:pPr>
              <w:pStyle w:val="null3"/>
              <w:jc w:val="left"/>
            </w:pPr>
            <w:r>
              <w:rPr>
                <w:rFonts w:ascii="仿宋_GB2312" w:hAnsi="仿宋_GB2312" w:cs="仿宋_GB2312" w:eastAsia="仿宋_GB2312"/>
              </w:rPr>
              <w:t>供应商应提供的其他证明材料.docx,服务应答表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响应文件未载明或者载明的标的名称、数量、计量单位及其他政府采购合同实质性内容与采购文件要求不一致，且采购人无法接受的，属于无效响应。</w:t>
            </w:r>
          </w:p>
        </w:tc>
        <w:tc>
          <w:tcPr>
            <w:tcW w:type="dxa" w:w="3322"/>
          </w:tcPr>
          <w:p>
            <w:pPr>
              <w:pStyle w:val="null3"/>
              <w:jc w:val="left"/>
            </w:pPr>
            <w:r>
              <w:rPr>
                <w:rFonts w:ascii="仿宋_GB2312" w:hAnsi="仿宋_GB2312" w:cs="仿宋_GB2312" w:eastAsia="仿宋_GB2312"/>
              </w:rPr>
              <w:t>响应文件未载明或者载明的标的名称、数量、计量单位及其他政府采购合同实质性内容与采购文件要求不一致，且采购人无法接受的，属于无效响应。</w:t>
            </w:r>
          </w:p>
        </w:tc>
        <w:tc>
          <w:tcPr>
            <w:tcW w:type="dxa" w:w="1661"/>
          </w:tcPr>
          <w:p>
            <w:pPr>
              <w:pStyle w:val="null3"/>
              <w:jc w:val="left"/>
            </w:pPr>
            <w:r>
              <w:rPr>
                <w:rFonts w:ascii="仿宋_GB2312" w:hAnsi="仿宋_GB2312" w:cs="仿宋_GB2312" w:eastAsia="仿宋_GB2312"/>
              </w:rPr>
              <w:t>供应商应提供的其他证明材料.docx,服务应答表,报价表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采购文件中除符合性审查内容1-3项外的其他实质性要求</w:t>
            </w:r>
          </w:p>
        </w:tc>
        <w:tc>
          <w:tcPr>
            <w:tcW w:type="dxa" w:w="3322"/>
          </w:tcPr>
          <w:p>
            <w:pPr>
              <w:pStyle w:val="null3"/>
              <w:jc w:val="left"/>
            </w:pPr>
            <w:r>
              <w:rPr>
                <w:rFonts w:ascii="仿宋_GB2312" w:hAnsi="仿宋_GB2312" w:cs="仿宋_GB2312" w:eastAsia="仿宋_GB2312"/>
              </w:rPr>
              <w:t>完全满足采购文件中除符合性审查内容1-3项外的其他实质性要求。</w:t>
            </w:r>
          </w:p>
        </w:tc>
        <w:tc>
          <w:tcPr>
            <w:tcW w:type="dxa" w:w="1661"/>
          </w:tcPr>
          <w:p>
            <w:pPr>
              <w:pStyle w:val="null3"/>
              <w:jc w:val="left"/>
            </w:pPr>
            <w:r>
              <w:rPr>
                <w:rFonts w:ascii="仿宋_GB2312" w:hAnsi="仿宋_GB2312" w:cs="仿宋_GB2312" w:eastAsia="仿宋_GB2312"/>
              </w:rPr>
              <w:t>供应商应提供的其他证明材料.docx,服务应答表,报价表,投标（响应）函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服务方案、项目保障措施、后续服务方案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特点制定的服务方案进行综合评审，包括：①项目技术路线；②项目重难点分析；③项目组织结构；④报告编制工作流程；⑤项目应急预案；⑥保密措施。上述6项内容齐全且无缺陷得42分；每缺少一项内容扣7分，扣完为止；单项内容每存在一处缺陷扣3.5分，单项内容分扣完为止。（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项目保障措施</w:t>
            </w:r>
          </w:p>
        </w:tc>
        <w:tc>
          <w:tcPr>
            <w:tcW w:type="dxa" w:w="2575"/>
          </w:tcPr>
          <w:p>
            <w:pPr>
              <w:pStyle w:val="null3"/>
              <w:jc w:val="left"/>
            </w:pPr>
            <w:r>
              <w:rPr>
                <w:rFonts w:ascii="仿宋_GB2312" w:hAnsi="仿宋_GB2312" w:cs="仿宋_GB2312" w:eastAsia="仿宋_GB2312"/>
              </w:rPr>
              <w:t>根据供应商针对本项目特点制定的项目保障措施进行综合评审，包括：①进度计划及进度保障措施；②人员组织分工与职责；③安全保障措施；④质量保障方案（包含质量保障体系、质量控制目标、质量保障措施）。上述4项内容齐全且无缺陷得28分；每缺少一项内容扣7分，扣完为止；单项内容每存在一处缺陷扣3.5分，单项内容分扣完为止。（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特点制定的后续服务方案进行综合评审，包括：①后续服务人员配置；②后续服务内容与承诺；③后续服务响应时间及保障措施。上述3项内容齐全且无缺陷得3分；每缺少一项内容扣1分，扣完为止；单项内容每存在一处缺陷扣0.5分，单项内容分扣完为止。（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项目服务团队</w:t>
            </w:r>
          </w:p>
        </w:tc>
        <w:tc>
          <w:tcPr>
            <w:tcW w:type="dxa" w:w="2575"/>
          </w:tcPr>
          <w:p>
            <w:pPr>
              <w:pStyle w:val="null3"/>
              <w:jc w:val="left"/>
            </w:pPr>
            <w:r>
              <w:rPr>
                <w:rFonts w:ascii="仿宋_GB2312" w:hAnsi="仿宋_GB2312" w:cs="仿宋_GB2312" w:eastAsia="仿宋_GB2312"/>
              </w:rPr>
              <w:t>①项目负责人（1人）：具有水利类中级职称得2分，具有水利类高级及以上职称得4分；本项最高得4分。 ②技术负责人（1人）：拟投入本项目的技术负责人具有水利类中级职称得2分，具有水利类高级及以上职称得4分；本项最高得4分。 ③勘察专业负责人（1人）： 拟投入本项目的勘察专业负责人具有注册土木工程师（岩土）资格证书得3分；本项最高得3分。 ④测绘专业负责人（1人）： 拟投入本项目的测绘专业负责人具有测绘类相关专业中级以及上职称得2分；本项最高得2分。 ⑤其他技术人员：每提供一个具有水利类或测绘类或地质类相关专业中级及以上职称证书的得2分，本项最高得4分。 注：以上①-⑤项人员不重复计分；需提供证书复印件。</w:t>
            </w:r>
          </w:p>
        </w:tc>
        <w:tc>
          <w:tcPr>
            <w:tcW w:type="dxa" w:w="831"/>
          </w:tcPr>
          <w:p>
            <w:pPr>
              <w:pStyle w:val="null3"/>
              <w:jc w:val="center"/>
            </w:pPr>
            <w:r>
              <w:rPr>
                <w:rFonts w:ascii="仿宋_GB2312" w:hAnsi="仿宋_GB2312" w:cs="仿宋_GB2312" w:eastAsia="仿宋_GB2312"/>
              </w:rPr>
              <w:t>17.0000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