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版本号：N513325202600006520260512001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雅江县河口镇城厢村日斗沟泥石流治理工程勘查设计项目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N5133252026000065</w:t>
      </w:r>
    </w:p>
    <w:p>
      <w:pPr>
        <w:pStyle w:val="null3"/>
        <w:jc w:val="left"/>
        <w:outlineLvl w:val="2"/>
      </w:pPr>
      <w:r>
        <w:rPr>
          <w:rFonts w:ascii="仿宋_GB2312" w:hAnsi="仿宋_GB2312" w:cs="仿宋_GB2312" w:eastAsia="仿宋_GB2312"/>
          <w:sz w:val="28"/>
          <w:b/>
        </w:rPr>
        <w:t>雅江县自然资源和规划局</w:t>
      </w:r>
    </w:p>
    <w:p>
      <w:pPr>
        <w:pStyle w:val="null3"/>
        <w:jc w:val="center"/>
        <w:outlineLvl w:val="2"/>
      </w:pPr>
      <w:r>
        <w:rPr>
          <w:rFonts w:ascii="仿宋_GB2312" w:hAnsi="仿宋_GB2312" w:cs="仿宋_GB2312" w:eastAsia="仿宋_GB2312"/>
          <w:sz w:val="28"/>
          <w:b/>
        </w:rPr>
        <w:t>四川中达天成建设工程有限公司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四川中达天成建设工程有限公司</w:t>
      </w:r>
      <w:r>
        <w:rPr>
          <w:rFonts w:ascii="仿宋_GB2312" w:hAnsi="仿宋_GB2312" w:cs="仿宋_GB2312" w:eastAsia="仿宋_GB2312"/>
        </w:rPr>
        <w:t xml:space="preserve"> （以下简称“代理机构”）受 </w:t>
      </w:r>
      <w:r>
        <w:rPr>
          <w:rFonts w:ascii="仿宋_GB2312" w:hAnsi="仿宋_GB2312" w:cs="仿宋_GB2312" w:eastAsia="仿宋_GB2312"/>
        </w:rPr>
        <w:t>雅江县自然资源和规划局</w:t>
      </w:r>
      <w:r>
        <w:rPr>
          <w:rFonts w:ascii="仿宋_GB2312" w:hAnsi="仿宋_GB2312" w:cs="仿宋_GB2312" w:eastAsia="仿宋_GB2312"/>
        </w:rPr>
        <w:t xml:space="preserve"> 委托，拟对 </w:t>
      </w:r>
      <w:r>
        <w:rPr>
          <w:rFonts w:ascii="仿宋_GB2312" w:hAnsi="仿宋_GB2312" w:cs="仿宋_GB2312" w:eastAsia="仿宋_GB2312"/>
        </w:rPr>
        <w:t>雅江县河口镇城厢村日斗沟泥石流治理工程勘查设计项目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甘孜藏族自治州雅江县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N5133252026000065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雅江县河口镇城厢村日斗沟泥石流治理工程勘查设计项目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本项目为雅江县河口镇城厢村日斗沟泥石流治理工程勘查设计服务，拟采购一名供应商对地质灾害隐患点开展勘查设计，为后续施工提供依据。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提供具有行政主管部门颁发的有效期内的地质灾害评估和治理工程勘查设计甲级资质证书扫描件并进行电子签章。（描述：供应商须提供具有行政主管部门颁发的有效期内的地质灾害评估和治理工程勘查设计甲级资质证书扫描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雅江县自然资源和规划局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雅江县木亚广场附属办公楼15层2号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627450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采购人</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0836-5127227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四川中达天成建设工程有限公司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成都市武侯区武侯电商产业功能区管委会武兴二路17号10栋2层1号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028-64543297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采购包1：519,122.04元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四川省财政厅关于印发《四川省政府采购营商环境指标提升专项行动工作方案》以及《招标代理服务收费管理暂行办法》计价格[2002]1980号文，按照拟代理采购项目的成本支出加合理利润的原则确定。</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雅江县自然资源和规划局</w:t>
      </w:r>
      <w:r>
        <w:rPr>
          <w:rFonts w:ascii="仿宋_GB2312" w:hAnsi="仿宋_GB2312" w:cs="仿宋_GB2312" w:eastAsia="仿宋_GB2312"/>
        </w:rPr>
        <w:t xml:space="preserve"> 和 </w:t>
      </w:r>
      <w:r>
        <w:rPr>
          <w:rFonts w:ascii="仿宋_GB2312" w:hAnsi="仿宋_GB2312" w:cs="仿宋_GB2312" w:eastAsia="仿宋_GB2312"/>
        </w:rPr>
        <w:t>四川中达天成建设工程有限公司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雅江县自然资源和规划局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四川中达天成建设工程有限公司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一次性验收 ，达到验收条件起 30 日内，验收合同总金额的 100%</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国家、行业标准、四川省地方标准规定的验收标准以及招标文件的要求，其他未尽事宜应严格按照《财政部关于进一步加强政府采购需求和履约验收管理的指导意见》（财库〔2016〕205号）、《政府采购需求管理办法》（财库〔2021〕22号）的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对本项目的“服务内容及要求”、“技术要求”、“其他要求”进行验收。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对本项目的“服务内容及要求”、“商务要求”、“其他要求”进行验收。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行业）标准、磋商文件、成交人的投标文件及承诺函进行验收，并严格按照《财政部关于进一步加强政府采购和履约验收管理的指导意见》（财库〔2016〕205号）、《财政部关于印发政府采购需求管理办法的通知》（财库〔2021〕22号）的要求、供应商报价文件及合同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雅江县自然资源和规划局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四川中达天成建设工程有限公司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四川中达天成建设工程有限公司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联系人：周女士</w:t>
      </w:r>
    </w:p>
    <w:p>
      <w:pPr>
        <w:pStyle w:val="null3"/>
        <w:jc w:val="left"/>
      </w:pPr>
      <w:r>
        <w:rPr>
          <w:rFonts w:ascii="仿宋_GB2312" w:hAnsi="仿宋_GB2312" w:cs="仿宋_GB2312" w:eastAsia="仿宋_GB2312"/>
        </w:rPr>
        <w:t>联系电话：18781866396</w:t>
      </w:r>
    </w:p>
    <w:p>
      <w:pPr>
        <w:pStyle w:val="null3"/>
        <w:jc w:val="left"/>
      </w:pPr>
      <w:r>
        <w:rPr>
          <w:rFonts w:ascii="仿宋_GB2312" w:hAnsi="仿宋_GB2312" w:cs="仿宋_GB2312" w:eastAsia="仿宋_GB2312"/>
        </w:rPr>
        <w:t>地址：成都市武侯区武侯电商产业功能区管委会武兴二路17号10栋2层1号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519,122.04</w:t>
      </w:r>
    </w:p>
    <w:p>
      <w:pPr>
        <w:pStyle w:val="null3"/>
        <w:jc w:val="left"/>
      </w:pPr>
      <w:r>
        <w:rPr>
          <w:rFonts w:ascii="仿宋_GB2312" w:hAnsi="仿宋_GB2312" w:cs="仿宋_GB2312" w:eastAsia="仿宋_GB2312"/>
        </w:rPr>
        <w:t>采购包最高限价（元）: 519,122.04</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C19990000 其他专业技术服务</w:t>
            </w:r>
          </w:p>
        </w:tc>
        <w:tc>
          <w:tcPr>
            <w:tcW w:type="dxa" w:w="821"/>
          </w:tcPr>
          <w:p>
            <w:pPr>
              <w:pStyle w:val="null3"/>
              <w:jc w:val="left"/>
            </w:pPr>
            <w:r>
              <w:rPr>
                <w:rFonts w:ascii="仿宋_GB2312" w:hAnsi="仿宋_GB2312" w:cs="仿宋_GB2312" w:eastAsia="仿宋_GB2312"/>
              </w:rPr>
              <w:t>雅江县河口镇城厢村日斗沟泥石流治理工程勘查设计项目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519,122.04</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雅江县河口镇城厢村日斗沟泥石流治理工程勘查设计项目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519,122.04</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标的名称：雅江县河口镇城厢村日斗沟泥石流治理工程勘查设计项目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勘查设计依据</w:t>
            </w:r>
          </w:p>
        </w:tc>
        <w:tc>
          <w:tcPr>
            <w:tcW w:type="dxa" w:w="5814"/>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、勘查设计依据：</w:t>
            </w:r>
          </w:p>
          <w:p>
            <w:pPr>
              <w:pStyle w:val="null3"/>
              <w:ind w:firstLine="420"/>
              <w:jc w:val="both"/>
            </w:pPr>
            <w:r>
              <w:rPr>
                <w:rFonts w:ascii="仿宋_GB2312" w:hAnsi="仿宋_GB2312" w:cs="仿宋_GB2312" w:eastAsia="仿宋_GB2312"/>
                <w:sz w:val="21"/>
              </w:rPr>
              <w:t>1.《岩土工程勘察规范》（GB50021-2001，2009年版）；</w:t>
            </w:r>
          </w:p>
          <w:p>
            <w:pPr>
              <w:pStyle w:val="null3"/>
              <w:ind w:firstLine="420"/>
              <w:jc w:val="both"/>
            </w:pPr>
            <w:r>
              <w:rPr>
                <w:rFonts w:ascii="仿宋_GB2312" w:hAnsi="仿宋_GB2312" w:cs="仿宋_GB2312" w:eastAsia="仿宋_GB2312"/>
                <w:sz w:val="21"/>
              </w:rPr>
              <w:t>2.《泥石流灾害防治工程勘查规范》（DZ/T0220-2006）；</w:t>
            </w:r>
          </w:p>
          <w:p>
            <w:pPr>
              <w:pStyle w:val="null3"/>
              <w:ind w:firstLine="420"/>
              <w:jc w:val="both"/>
            </w:pPr>
            <w:r>
              <w:rPr>
                <w:rFonts w:ascii="仿宋_GB2312" w:hAnsi="仿宋_GB2312" w:cs="仿宋_GB2312" w:eastAsia="仿宋_GB2312"/>
                <w:sz w:val="21"/>
              </w:rPr>
              <w:t>3.《泥石流灾害防治工程勘查规范（试行）》（T/CAGHP006—2018）；</w:t>
            </w:r>
          </w:p>
          <w:p>
            <w:pPr>
              <w:pStyle w:val="null3"/>
              <w:ind w:firstLine="420"/>
              <w:jc w:val="both"/>
            </w:pPr>
            <w:r>
              <w:rPr>
                <w:rFonts w:ascii="仿宋_GB2312" w:hAnsi="仿宋_GB2312" w:cs="仿宋_GB2312" w:eastAsia="仿宋_GB2312"/>
                <w:sz w:val="21"/>
              </w:rPr>
              <w:t>4.《土工试验方法标准》（GB/T50123-2019）；</w:t>
            </w:r>
          </w:p>
          <w:p>
            <w:pPr>
              <w:pStyle w:val="null3"/>
              <w:ind w:firstLine="420"/>
              <w:jc w:val="both"/>
            </w:pPr>
            <w:r>
              <w:rPr>
                <w:rFonts w:ascii="仿宋_GB2312" w:hAnsi="仿宋_GB2312" w:cs="仿宋_GB2312" w:eastAsia="仿宋_GB2312"/>
                <w:sz w:val="21"/>
              </w:rPr>
              <w:t>5.《泥石流灾害防治工程设计规范》（DZ/T0239-2004）；</w:t>
            </w:r>
          </w:p>
          <w:p>
            <w:pPr>
              <w:pStyle w:val="null3"/>
              <w:ind w:firstLine="420"/>
              <w:jc w:val="both"/>
            </w:pPr>
            <w:r>
              <w:rPr>
                <w:rFonts w:ascii="仿宋_GB2312" w:hAnsi="仿宋_GB2312" w:cs="仿宋_GB2312" w:eastAsia="仿宋_GB2312"/>
                <w:sz w:val="21"/>
              </w:rPr>
              <w:t>6.《泥石流防治工程设计规范（试行）》（T /CAGHP021—2018）；</w:t>
            </w:r>
          </w:p>
          <w:p>
            <w:pPr>
              <w:pStyle w:val="null3"/>
              <w:ind w:firstLine="420"/>
              <w:jc w:val="both"/>
            </w:pPr>
            <w:r>
              <w:rPr>
                <w:rFonts w:ascii="仿宋_GB2312" w:hAnsi="仿宋_GB2312" w:cs="仿宋_GB2312" w:eastAsia="仿宋_GB2312"/>
                <w:sz w:val="21"/>
              </w:rPr>
              <w:t>7.《建筑抗震设计规范》（GB50011-2010（2016年版））；</w:t>
            </w:r>
          </w:p>
          <w:p>
            <w:pPr>
              <w:pStyle w:val="null3"/>
              <w:ind w:firstLine="420"/>
              <w:jc w:val="both"/>
            </w:pPr>
            <w:r>
              <w:rPr>
                <w:rFonts w:ascii="仿宋_GB2312" w:hAnsi="仿宋_GB2312" w:cs="仿宋_GB2312" w:eastAsia="仿宋_GB2312"/>
                <w:sz w:val="21"/>
              </w:rPr>
              <w:t>8.国家和行业现行有关地质灾害防治工程勘查、设计的其他规范和标准。</w:t>
            </w:r>
          </w:p>
          <w:p>
            <w:pPr>
              <w:pStyle w:val="null3"/>
              <w:jc w:val="left"/>
            </w:pPr>
            <w:r>
              <w:rPr>
                <w:rFonts w:ascii="仿宋_GB2312" w:hAnsi="仿宋_GB2312" w:cs="仿宋_GB2312" w:eastAsia="仿宋_GB2312"/>
                <w:sz w:val="21"/>
              </w:rPr>
              <w:t>注：本文件中所列出的所有标准、规范及文件，其名称及代号仅供参考。所有标准规范均应以项目实施期间中华人民共和国官方最新发布并正式实施的版本为准，投标人有责任在最终确定设计方案和开展具体工作前，自行查询、获取并确认所采用的全部技术依据为现行有效版本。采购人</w:t>
            </w:r>
            <w:r>
              <w:rPr>
                <w:rFonts w:ascii="仿宋_GB2312" w:hAnsi="仿宋_GB2312" w:cs="仿宋_GB2312" w:eastAsia="仿宋_GB2312"/>
                <w:sz w:val="21"/>
              </w:rPr>
              <w:t>/招标机构对技术文件所涉标准的时效性有最终审查权，编制方提供的任何关于标准规范的列表或信息，仅为基于编制时点的初步整理，不构成对标准有效性、完整性及适用性的任何担保或承诺。因采用非现行有效或非官方版本标准而导致的一切后果，编制方不承担相关责任。</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jc w:val="left"/>
            </w:pPr>
            <w:r>
              <w:rPr>
                <w:rFonts w:ascii="仿宋_GB2312" w:hAnsi="仿宋_GB2312" w:cs="仿宋_GB2312" w:eastAsia="仿宋_GB2312"/>
                <w:sz w:val="21"/>
                <w:b/>
              </w:rPr>
              <w:t>二、技术、服务要求</w:t>
            </w:r>
            <w:r>
              <w:rPr>
                <w:rFonts w:ascii="仿宋_GB2312" w:hAnsi="仿宋_GB2312" w:cs="仿宋_GB2312" w:eastAsia="仿宋_GB2312"/>
                <w:sz w:val="21"/>
                <w:b/>
              </w:rPr>
              <w:t>：</w:t>
            </w:r>
          </w:p>
          <w:p>
            <w:pPr>
              <w:pStyle w:val="null3"/>
              <w:ind w:firstLine="480"/>
              <w:jc w:val="left"/>
            </w:pPr>
            <w:r>
              <w:rPr>
                <w:rFonts w:ascii="仿宋_GB2312" w:hAnsi="仿宋_GB2312" w:cs="仿宋_GB2312" w:eastAsia="仿宋_GB2312"/>
                <w:sz w:val="21"/>
              </w:rPr>
              <w:t>1、按照相关规范要求编制并提交《勘查报告》、《可行性研究报告》和《估算书》、《初步设计报告》和《概算书》、《施工图设计报告》和《预算书》，配合项目实施、施工期间派驻设计代表提供售后服务等工作。</w:t>
            </w:r>
          </w:p>
          <w:p>
            <w:pPr>
              <w:pStyle w:val="null3"/>
              <w:ind w:firstLine="480"/>
              <w:jc w:val="left"/>
            </w:pPr>
            <w:r>
              <w:rPr>
                <w:rFonts w:ascii="仿宋_GB2312" w:hAnsi="仿宋_GB2312" w:cs="仿宋_GB2312" w:eastAsia="仿宋_GB2312"/>
                <w:sz w:val="21"/>
              </w:rPr>
              <w:t>2、本项目勘查设计应遵守国家有关法律法规，按国家、四川省现行地质灾害防治工程相关规程规范、预算标准和管理规定进行勘查、初步设计和施工图设计。</w:t>
            </w:r>
          </w:p>
          <w:p>
            <w:pPr>
              <w:pStyle w:val="null3"/>
              <w:ind w:firstLine="480"/>
              <w:jc w:val="left"/>
            </w:pPr>
            <w:r>
              <w:rPr>
                <w:rFonts w:ascii="仿宋_GB2312" w:hAnsi="仿宋_GB2312" w:cs="仿宋_GB2312" w:eastAsia="仿宋_GB2312"/>
                <w:sz w:val="21"/>
              </w:rPr>
              <w:t>3、供应商在其工作范围内应确保其各自独立准备的全部勘查设计文件在中国境内外都没有且也不会侵犯任何第三方的知识产权（包括但不限于著作权、商标权、专利权）或专有技术或商业秘密；供应商如果在其设计文件中使用或包含任何其他人的知识产权或专有技术或商业秘密，应保证已经获得权利人的合法、有效、充分的授权；采购人拥有成交供应商所提交的全部勘查设计文件（包括勘查报告、概算书、预算书、可行性研究报告、初步设计报告、施工图设计报告）的使用权和受益权，并使用于本采购项目。</w:t>
            </w:r>
          </w:p>
          <w:p>
            <w:pPr>
              <w:pStyle w:val="null3"/>
              <w:ind w:firstLine="480"/>
              <w:jc w:val="left"/>
            </w:pPr>
            <w:r>
              <w:rPr>
                <w:rFonts w:ascii="仿宋_GB2312" w:hAnsi="仿宋_GB2312" w:cs="仿宋_GB2312" w:eastAsia="仿宋_GB2312"/>
                <w:sz w:val="21"/>
              </w:rPr>
              <w:t>4、本次所有勘查设计成果归采购人所有，采购人对成交供应商的勘查设计方案拥有处置权。</w:t>
            </w:r>
          </w:p>
          <w:p>
            <w:pPr>
              <w:pStyle w:val="null3"/>
              <w:ind w:firstLine="480"/>
              <w:jc w:val="left"/>
            </w:pPr>
            <w:r>
              <w:rPr>
                <w:rFonts w:ascii="仿宋_GB2312" w:hAnsi="仿宋_GB2312" w:cs="仿宋_GB2312" w:eastAsia="仿宋_GB2312"/>
                <w:sz w:val="21"/>
              </w:rPr>
              <w:t>5、成交供应商为采购人提供项目后期施工期间技术交底，工程验槽，指导施工等服务，解答采购人在服务中遇到的问题，及时为采购人提出解决问题的办法，保证本项目后续工作顺利推进。</w:t>
            </w:r>
          </w:p>
          <w:p>
            <w:pPr>
              <w:pStyle w:val="null3"/>
              <w:ind w:firstLine="480"/>
              <w:jc w:val="left"/>
            </w:pPr>
            <w:r>
              <w:rPr>
                <w:rFonts w:ascii="仿宋_GB2312" w:hAnsi="仿宋_GB2312" w:cs="仿宋_GB2312" w:eastAsia="仿宋_GB2312"/>
                <w:sz w:val="21"/>
              </w:rPr>
              <w:t>6、勘查报告3套、可行性研究报告3套、初步设计报告3套、施工图设计报告3套、估算书3套、概算书3套、预算书3套、电子文档1份，满足业主的需求并且通过行业主管部门或行业要求的专家评审及审查。</w:t>
            </w:r>
          </w:p>
          <w:p>
            <w:pPr>
              <w:pStyle w:val="null3"/>
              <w:jc w:val="left"/>
            </w:pPr>
            <w:r>
              <w:rPr>
                <w:rFonts w:ascii="仿宋_GB2312" w:hAnsi="仿宋_GB2312" w:cs="仿宋_GB2312" w:eastAsia="仿宋_GB2312"/>
                <w:sz w:val="21"/>
              </w:rPr>
              <w:t>7、其他采购人要求提供的成果内容。</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保密要求</w:t>
            </w:r>
          </w:p>
        </w:tc>
        <w:tc>
          <w:tcPr>
            <w:tcW w:type="dxa" w:w="5814"/>
          </w:tcPr>
          <w:p>
            <w:pPr>
              <w:pStyle w:val="null3"/>
              <w:jc w:val="left"/>
            </w:pPr>
            <w:r>
              <w:rPr>
                <w:rFonts w:ascii="仿宋_GB2312" w:hAnsi="仿宋_GB2312" w:cs="仿宋_GB2312" w:eastAsia="仿宋_GB2312"/>
                <w:sz w:val="21"/>
              </w:rPr>
              <w:t>此项工作数据属于保密数据，工作过程中必须严格按国家保密工作规程操作，以保障对整个工作成果及接触到的相关工作资料进行保密。</w:t>
            </w:r>
            <w:r>
              <w:rPr>
                <w:rFonts w:ascii="仿宋_GB2312" w:hAnsi="仿宋_GB2312" w:cs="仿宋_GB2312" w:eastAsia="仿宋_GB2312"/>
                <w:sz w:val="21"/>
                <w:b/>
              </w:rPr>
              <w:t>（提供承诺函</w:t>
            </w:r>
            <w:r>
              <w:rPr>
                <w:rFonts w:ascii="仿宋_GB2312" w:hAnsi="仿宋_GB2312" w:cs="仿宋_GB2312" w:eastAsia="仿宋_GB2312"/>
                <w:sz w:val="21"/>
                <w:b/>
              </w:rPr>
              <w:t>,格式自拟）。</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jc w:val="left"/>
            </w:pPr>
            <w:r>
              <w:rPr>
                <w:rFonts w:ascii="仿宋_GB2312" w:hAnsi="仿宋_GB2312" w:cs="仿宋_GB2312" w:eastAsia="仿宋_GB2312"/>
                <w:sz w:val="21"/>
              </w:rPr>
              <w:t>供应商应按安全规范规定做好调查评价过程中的一切安全工作，确保野外工作人员的安全，凡野外工作过程中发生的一切安全事故均由供应商负责</w:t>
            </w:r>
            <w:r>
              <w:rPr>
                <w:rFonts w:ascii="仿宋_GB2312" w:hAnsi="仿宋_GB2312" w:cs="仿宋_GB2312" w:eastAsia="仿宋_GB2312"/>
                <w:sz w:val="21"/>
                <w:b/>
              </w:rPr>
              <w:t>。（提供承诺函</w:t>
            </w:r>
            <w:r>
              <w:rPr>
                <w:rFonts w:ascii="仿宋_GB2312" w:hAnsi="仿宋_GB2312" w:cs="仿宋_GB2312" w:eastAsia="仿宋_GB2312"/>
                <w:sz w:val="21"/>
                <w:b/>
              </w:rPr>
              <w:t>,格式自拟）</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20"/>
              <w:jc w:val="both"/>
            </w:pPr>
            <w:r>
              <w:rPr>
                <w:rFonts w:ascii="仿宋_GB2312" w:hAnsi="仿宋_GB2312" w:cs="仿宋_GB2312" w:eastAsia="仿宋_GB2312"/>
                <w:sz w:val="21"/>
              </w:rPr>
              <w:t>1、因不可抗力、政策变化或上级主管部门文件要求等因素，导致原合同无法按期完成，可经双方协商，同意对履约时间进行延期，不增加任何服务费。</w:t>
            </w:r>
          </w:p>
          <w:p>
            <w:pPr>
              <w:pStyle w:val="null3"/>
              <w:ind w:firstLine="420"/>
              <w:jc w:val="both"/>
            </w:pPr>
            <w:r>
              <w:rPr>
                <w:rFonts w:ascii="仿宋_GB2312" w:hAnsi="仿宋_GB2312" w:cs="仿宋_GB2312" w:eastAsia="仿宋_GB2312"/>
                <w:sz w:val="21"/>
              </w:rPr>
              <w:t>2、本文件所述技术参数及性能要求，均基于其指标属性隐含对应现行有效的国家标准、行业标准或国际规范的强制效力。无论文件中是否明示标准编号，供应商须确保全面符合该参数关联的所有有效标准规范。若同一参数存在多重标准适用，按最高要求执行；因标准引用遗漏或冲突导致的合规问题，由供应商承担全部责任。本文件如有引用技术规范或标准若国家发布有更新的，按更新的技术规范或标准执行。</w:t>
            </w:r>
          </w:p>
          <w:p>
            <w:pPr>
              <w:pStyle w:val="null3"/>
              <w:jc w:val="left"/>
            </w:pPr>
            <w:r>
              <w:rPr>
                <w:rFonts w:ascii="仿宋_GB2312" w:hAnsi="仿宋_GB2312" w:cs="仿宋_GB2312" w:eastAsia="仿宋_GB2312"/>
                <w:sz w:val="21"/>
              </w:rPr>
              <w:t>3、上述表述中未提出的其他要求在评分细则中列出，供应商应对应评分细则予以提供和响应，评审小组将根据评分细则给予评分（适用于综合评分项目）。</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30日历天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雅江县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成交供应商与采购人应严格按照财库〔2016〕205号 《财政部关于进一步加强政府采购需求和履约验收管理的指导意见》的要求、采购文件规定的要求和成交供应商响应文件及合同承诺的内容进行验收。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1、合同签订后，达到付款条件起10日内，支付合同总金额的30.00%</w:t>
            </w:r>
          </w:p>
          <w:p>
            <w:pPr>
              <w:pStyle w:val="null3"/>
              <w:jc w:val="left"/>
            </w:pPr>
            <w:r>
              <w:rPr>
                <w:rFonts w:ascii="仿宋_GB2312" w:hAnsi="仿宋_GB2312" w:cs="仿宋_GB2312" w:eastAsia="仿宋_GB2312"/>
              </w:rPr>
              <w:t>2、提交通过评审合格的勘查设计成果报告后，达到付款条件起10日内，支付合同总金额的30.00%</w:t>
            </w:r>
          </w:p>
          <w:p>
            <w:pPr>
              <w:pStyle w:val="null3"/>
              <w:jc w:val="left"/>
            </w:pPr>
            <w:r>
              <w:rPr>
                <w:rFonts w:ascii="仿宋_GB2312" w:hAnsi="仿宋_GB2312" w:cs="仿宋_GB2312" w:eastAsia="仿宋_GB2312"/>
              </w:rPr>
              <w:t>3、施工进场技术交底后，达到付款条件起10日内，支付合同总金额的20.00%</w:t>
            </w:r>
          </w:p>
          <w:p>
            <w:pPr>
              <w:pStyle w:val="null3"/>
              <w:jc w:val="left"/>
            </w:pPr>
            <w:r>
              <w:rPr>
                <w:rFonts w:ascii="仿宋_GB2312" w:hAnsi="仿宋_GB2312" w:cs="仿宋_GB2312" w:eastAsia="仿宋_GB2312"/>
              </w:rPr>
              <w:t>4、项目竣工验收后，达到付款条件起10日内，支付合同总金额的20.00%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（1）合同签订后，任何一方不得擅自无故停止合同，若任何一方违约，违约方应支付对方违约金。 （2）采购人未履行本合同约定的义务给成交供应商造成损失的，应当承担相应的赔偿责任。若因政策调整、计划变更或实施主体变更而不具备工作条件等非采购人原因导致审计服务内容调整或无法实施的除外，采购人有权根据工作需要无条件单方面调整合同内项目或者解除合同，不视为采购人违约；成交供应商虽完成工作但未达到采购人相关文件要求的质量标准，又拒不按照采购人的要求补充、纠正的，成交供应商除向采购人支付违约金外，还应赔偿采购人因此而受到的损失。同时，采购人有权解除合同，尚未支付的费用不再支付。 （3）责任与解决争议的办法：①除本文件或政府采购合同另有约定外，供应商提供的服务不符合本合同规定的，每出现一次违约（合同涉及“日期”和“天数”的，每逾期一天或少一天，视为一次违约），供应商须向采购人支付违约金并且按采购人要求进行整改，出现违约3次以上或未按采购人要求整改的，采购人有权无条件解除本合同 并要求供应商退还已收取的费用。②双方应通过友好协商解决，经协商不能达成协议时，向采购人所在地人民法院起诉。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上传相关证明材料，进行电子签章。【相关证明材料：①若供应商为企业法人的，提供具有统一社会信用代码的“营业执照”复印件，未换证的提供“营业执照、税务登记证、组织机构代码证”复印件；②若供应商为事业法人的，提供具有统一社会信用代码的“法人登记证书”复印件；未换证的提交“事业法人登记证书、组织机构代码证”复印件；③若供应商为其他组织的，提供对应主管部门颁发的准许执业的证明文件或营业执照复印件；④若供应商为自然人的，提供相关“身份证明材料”。】</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供应商须提供具有行政主管部门颁发的有效期内的地质灾害评估和治理工程勘查设计甲级资质证书扫描件并进行电子签章。</w:t>
            </w:r>
          </w:p>
        </w:tc>
        <w:tc>
          <w:tcPr>
            <w:tcW w:type="dxa" w:w="3322"/>
          </w:tcPr>
          <w:p>
            <w:pPr>
              <w:pStyle w:val="null3"/>
              <w:jc w:val="left"/>
            </w:pPr>
            <w:r>
              <w:rPr>
                <w:rFonts w:ascii="仿宋_GB2312" w:hAnsi="仿宋_GB2312" w:cs="仿宋_GB2312" w:eastAsia="仿宋_GB2312"/>
              </w:rPr>
              <w:t>供应商须提供具有行政主管部门颁发的有效期内的地质灾害评估和治理工程勘查设计甲级资质证书扫描件并进行电子签章。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商务要求应答</w:t>
            </w:r>
          </w:p>
        </w:tc>
        <w:tc>
          <w:tcPr>
            <w:tcW w:type="dxa" w:w="3322"/>
          </w:tcPr>
          <w:p>
            <w:pPr>
              <w:pStyle w:val="null3"/>
              <w:jc w:val="left"/>
            </w:pPr>
            <w:r>
              <w:rPr>
                <w:rFonts w:ascii="仿宋_GB2312" w:hAnsi="仿宋_GB2312" w:cs="仿宋_GB2312" w:eastAsia="仿宋_GB2312"/>
              </w:rPr>
              <w:t>供应商须对招标文件第三章“3.3.2商务要求”中的全部内容逐条进行响应。投标（响应）文件及相关的证明材料（如有）须加盖供应商电子印章。</w:t>
            </w:r>
          </w:p>
        </w:tc>
        <w:tc>
          <w:tcPr>
            <w:tcW w:type="dxa" w:w="1661"/>
          </w:tcPr>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技术、服务要求应答</w:t>
            </w:r>
          </w:p>
        </w:tc>
        <w:tc>
          <w:tcPr>
            <w:tcW w:type="dxa" w:w="3322"/>
          </w:tcPr>
          <w:p>
            <w:pPr>
              <w:pStyle w:val="null3"/>
              <w:jc w:val="left"/>
            </w:pPr>
            <w:r>
              <w:rPr>
                <w:rFonts w:ascii="仿宋_GB2312" w:hAnsi="仿宋_GB2312" w:cs="仿宋_GB2312" w:eastAsia="仿宋_GB2312"/>
              </w:rPr>
              <w:t>供应商须对招标文件第三章“3.2技术要求”中的全部内容逐条进行响应。投标（响应）文件及相关的证明材料（如有）须加盖供应商电子印章</w:t>
            </w:r>
          </w:p>
        </w:tc>
        <w:tc>
          <w:tcPr>
            <w:tcW w:type="dxa" w:w="1661"/>
          </w:tcPr>
          <w:p>
            <w:pPr>
              <w:pStyle w:val="null3"/>
              <w:jc w:val="left"/>
            </w:pPr>
            <w:r>
              <w:rPr>
                <w:rFonts w:ascii="仿宋_GB2312" w:hAnsi="仿宋_GB2312" w:cs="仿宋_GB2312" w:eastAsia="仿宋_GB2312"/>
              </w:rPr>
              <w:t>投标人本项目管理、技术、服务人员情况表(1).docx,服务应答表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评审标准</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根据供应商提供的项目实施方案进行综合评价，包括： ①项目背景分析；②项目所在地以往资料收集及利用情况；③野外现场踏勘与调查分析；④对灾害体特征、成因机理有准确的认识分析；⑤总体工作部署思路清楚，勘查点、线、面布置合理，并附相关图件；⑥勘查工作布置、勘查方法与技术要求；⑦勘查设计组织管理和保障措施方案；⑧治理方案设想思路合理、拟采用的治理工程措施、工程工作量、估算费用合理；⑨后续服务方案。 以上9项内容齐全且无缺陷得63分，每缺漏一项扣7分，每项内容有一处存在缺陷扣3.5分，未提供不得分。 注：缺陷是指：①涉及的法律法规规范标准错误或失效，套用其他项目的数据、名称；不满足本项目的功能需求，专业术语表述错误；②内容生搬硬造，阐述抄袭其他项目内容；③方案内容交叉混乱与实际需求不相符；④项目名称、实施地点与本项目所在地冲突情形；⑤描述简单（如仅有框架或标题或一两句话概括），存在以上任一情形。</w:t>
            </w:r>
          </w:p>
        </w:tc>
        <w:tc>
          <w:tcPr>
            <w:tcW w:type="dxa" w:w="831"/>
          </w:tcPr>
          <w:p>
            <w:pPr>
              <w:pStyle w:val="null3"/>
              <w:jc w:val="center"/>
            </w:pPr>
            <w:r>
              <w:rPr>
                <w:rFonts w:ascii="仿宋_GB2312" w:hAnsi="仿宋_GB2312" w:cs="仿宋_GB2312" w:eastAsia="仿宋_GB2312"/>
              </w:rPr>
              <w:t>63.0000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其他按需响应格式.docx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1、项目负责人（4分）：具有水工环类中级职称的得2分，具有水工环类高级及以上职称的得4分；本项最高得4分。 2、技术负责人（4分）：具有水工环类中级职称的得2分，具有水工环类高级及以上职称的得4分；本项最高得4分。 3、设计负责人（4分）：具有注册结构工程师得2分，同时具有中级及以上职称的加2分；本项最高得4分。 4、测量负责人（4分）：具备注册测绘师证得2分；同时具有测绘类中级及以上职称加2分；本项最高得4分。 5、岩土工程负责人（3分）：具有全国注册土木工程师（岩土）资格或岩土工程类中级及以上职称得3分；本项最高的3分。 6、造价负责人（3分）：具有注册造价工程师或一级造价工程师或工程造价类高级及以上职称的得3分；本项最高得3分。 7、项目其他团队人员（2分）：每具有一位水工环类或岩土工程类或工程测量类专业中级及以上技术职称的得1分。本项最高得2分，未提供不得分。 注：（1）提供以上人员有效期内的身份证、职称证（或资格证）扫描件并进行电子签章；（2）以上人员不重复计分；（3）水工环类职称指水文地质或工程地质或环境地质或水工环地质等相关职称；（4）岩土工程类职称指岩土工程或岩土工程勘察与治理或岩土设计等相关职称；</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投标人本项目管理、技术、服务人员情况表(1).docx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供应商自2023年1月1日（含）至今完成过类似项目业绩的，每提供1个类似项目业绩得1.5分，本项最多得3分，不提供不得分。 注：以合同签订时间为准。须提供相关业绩完整合同扫描件并进行电子签章。未按要求提供相关证明材料的不得分。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监狱企业的证明文件</w:t>
            </w:r>
          </w:p>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中小企业声明函</w:t>
            </w:r>
          </w:p>
          <w:p>
            <w:pPr>
              <w:pStyle w:val="null3"/>
              <w:jc w:val="left"/>
            </w:pPr>
            <w:r>
              <w:rPr>
                <w:rFonts w:ascii="仿宋_GB2312" w:hAnsi="仿宋_GB2312" w:cs="仿宋_GB2312" w:eastAsia="仿宋_GB2312"/>
              </w:rPr>
              <w:t>残疾人福利性单位声明函</w:t>
            </w:r>
          </w:p>
          <w:p>
            <w:pPr>
              <w:pStyle w:val="null3"/>
              <w:jc w:val="left"/>
            </w:pPr>
            <w:r>
              <w:rPr>
                <w:rFonts w:ascii="仿宋_GB2312" w:hAnsi="仿宋_GB2312" w:cs="仿宋_GB2312" w:eastAsia="仿宋_GB2312"/>
              </w:rPr>
              <w:t>关于符合本国产品标准的声明函</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详见附件：业绩.docx</w:t>
      </w:r>
    </w:p>
    <w:p>
      <w:pPr>
        <w:pStyle w:val="null3"/>
        <w:ind w:firstLine="960"/>
        <w:jc w:val="left"/>
      </w:pPr>
      <w:r>
        <w:rPr>
          <w:rFonts w:ascii="仿宋_GB2312" w:hAnsi="仿宋_GB2312" w:cs="仿宋_GB2312" w:eastAsia="仿宋_GB2312"/>
        </w:rPr>
        <w:t>详见附件：投标人本项目管理、技术、服务人员情况表(1).docx</w:t>
      </w:r>
    </w:p>
    <w:p>
      <w:pPr>
        <w:pStyle w:val="null3"/>
        <w:ind w:firstLine="960"/>
        <w:jc w:val="left"/>
      </w:pPr>
      <w:r>
        <w:rPr>
          <w:rFonts w:ascii="仿宋_GB2312" w:hAnsi="仿宋_GB2312" w:cs="仿宋_GB2312" w:eastAsia="仿宋_GB2312"/>
        </w:rPr>
        <w:t>详见附件：其他按需响应格式.docx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