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83935">
      <w:pPr>
        <w:spacing w:line="560" w:lineRule="exact"/>
        <w:ind w:left="1080" w:leftChars="257" w:hanging="540"/>
        <w:jc w:val="center"/>
        <w:rPr>
          <w:rFonts w:hint="default" w:ascii="Times New Roman" w:hAnsi="Times New Roman" w:cs="Times New Roman"/>
          <w:bCs/>
          <w:sz w:val="32"/>
          <w:szCs w:val="32"/>
        </w:rPr>
      </w:pPr>
      <w:r>
        <w:rPr>
          <w:rFonts w:hint="eastAsia"/>
          <w:b/>
          <w:bCs/>
          <w:color w:val="1F1F1F"/>
          <w:spacing w:val="1"/>
          <w:sz w:val="43"/>
          <w:szCs w:val="43"/>
          <w:lang w:eastAsia="zh-CN"/>
        </w:rPr>
        <w:t>2024年和田地区策勒县沙海碧湖景区基础设施建设项目（全过程跟踪审计）</w:t>
      </w:r>
    </w:p>
    <w:p w14:paraId="746A7ACE">
      <w:pPr>
        <w:spacing w:line="560" w:lineRule="exact"/>
        <w:ind w:left="1080" w:leftChars="257" w:hanging="540"/>
        <w:jc w:val="center"/>
        <w:rPr>
          <w:rFonts w:hint="default" w:ascii="Times New Roman" w:hAnsi="Times New Roman" w:cs="Times New Roman" w:eastAsiaTheme="majorEastAsia"/>
          <w:b/>
          <w:bCs/>
          <w:sz w:val="32"/>
          <w:szCs w:val="32"/>
        </w:rPr>
      </w:pPr>
    </w:p>
    <w:p w14:paraId="0637AA62">
      <w:pPr>
        <w:spacing w:line="560" w:lineRule="exact"/>
        <w:ind w:left="1080" w:leftChars="257" w:hanging="540"/>
        <w:jc w:val="center"/>
        <w:rPr>
          <w:rFonts w:hint="default" w:ascii="Times New Roman" w:hAnsi="Times New Roman" w:cs="Times New Roman"/>
          <w:bCs/>
          <w:sz w:val="32"/>
          <w:szCs w:val="32"/>
        </w:rPr>
      </w:pPr>
    </w:p>
    <w:p w14:paraId="69D8F8CF">
      <w:pPr>
        <w:spacing w:line="560" w:lineRule="exact"/>
        <w:jc w:val="both"/>
        <w:rPr>
          <w:rFonts w:hint="default" w:ascii="Times New Roman" w:hAnsi="Times New Roman" w:cs="Times New Roman"/>
          <w:bCs/>
          <w:sz w:val="32"/>
          <w:szCs w:val="32"/>
        </w:rPr>
      </w:pPr>
    </w:p>
    <w:p w14:paraId="32455118">
      <w:pPr>
        <w:spacing w:line="560" w:lineRule="exact"/>
        <w:jc w:val="both"/>
        <w:rPr>
          <w:rFonts w:hint="default" w:ascii="Times New Roman" w:hAnsi="Times New Roman" w:cs="Times New Roman"/>
          <w:bCs/>
          <w:sz w:val="32"/>
          <w:szCs w:val="32"/>
        </w:rPr>
      </w:pPr>
    </w:p>
    <w:p w14:paraId="10BA7911">
      <w:pPr>
        <w:spacing w:line="560" w:lineRule="exact"/>
        <w:ind w:left="1080" w:leftChars="257" w:hanging="540"/>
        <w:jc w:val="center"/>
        <w:rPr>
          <w:rFonts w:hint="default" w:ascii="Times New Roman" w:hAnsi="Times New Roman" w:cs="Times New Roman"/>
          <w:bCs/>
          <w:sz w:val="32"/>
          <w:szCs w:val="32"/>
        </w:rPr>
      </w:pPr>
    </w:p>
    <w:p w14:paraId="29C207FC">
      <w:pPr>
        <w:spacing w:line="360" w:lineRule="auto"/>
        <w:ind w:left="1080" w:leftChars="257" w:hanging="540"/>
        <w:jc w:val="center"/>
        <w:rPr>
          <w:rFonts w:hint="default" w:ascii="Times New Roman" w:hAnsi="Times New Roman" w:eastAsia="方正小标宋_GBK" w:cs="Times New Roman"/>
          <w:bCs/>
          <w:sz w:val="56"/>
          <w:szCs w:val="56"/>
          <w:lang w:eastAsia="zh-CN"/>
        </w:rPr>
      </w:pPr>
      <w:r>
        <w:rPr>
          <w:rFonts w:hint="default" w:ascii="Times New Roman" w:hAnsi="Times New Roman" w:eastAsia="方正小标宋_GBK" w:cs="Times New Roman"/>
          <w:bCs/>
          <w:sz w:val="56"/>
          <w:szCs w:val="56"/>
        </w:rPr>
        <w:t>政府采购</w:t>
      </w:r>
      <w:r>
        <w:rPr>
          <w:rFonts w:hint="eastAsia" w:eastAsia="方正小标宋_GBK" w:cs="Times New Roman"/>
          <w:bCs/>
          <w:sz w:val="56"/>
          <w:szCs w:val="56"/>
          <w:lang w:eastAsia="zh-CN"/>
        </w:rPr>
        <w:t>竞争性磋商</w:t>
      </w:r>
      <w:r>
        <w:rPr>
          <w:rFonts w:hint="default" w:ascii="Times New Roman" w:hAnsi="Times New Roman" w:eastAsia="方正小标宋_GBK" w:cs="Times New Roman"/>
          <w:bCs/>
          <w:sz w:val="56"/>
          <w:szCs w:val="56"/>
          <w:lang w:eastAsia="zh-CN"/>
        </w:rPr>
        <w:t>文件</w:t>
      </w:r>
    </w:p>
    <w:p w14:paraId="32DFAAC3">
      <w:pPr>
        <w:pageBreakBefore w:val="0"/>
        <w:widowControl w:val="0"/>
        <w:wordWrap/>
        <w:overflowPunct/>
        <w:topLinePunct w:val="0"/>
        <w:bidi w:val="0"/>
        <w:spacing w:line="308" w:lineRule="auto"/>
        <w:rPr>
          <w:color w:val="auto"/>
          <w:spacing w:val="0"/>
          <w:w w:val="100"/>
          <w:position w:val="0"/>
          <w:lang w:eastAsia="zh-CN"/>
        </w:rPr>
      </w:pPr>
    </w:p>
    <w:p w14:paraId="05D9CF1E">
      <w:pPr>
        <w:pageBreakBefore w:val="0"/>
        <w:widowControl w:val="0"/>
        <w:wordWrap/>
        <w:overflowPunct/>
        <w:topLinePunct w:val="0"/>
        <w:bidi w:val="0"/>
        <w:spacing w:before="0" w:line="360" w:lineRule="auto"/>
        <w:ind w:left="1080" w:leftChars="257" w:hanging="540" w:firstLineChars="0"/>
        <w:jc w:val="center"/>
        <w:rPr>
          <w:rFonts w:ascii="Times New Roman" w:hAnsi="Times New Roman" w:eastAsia="方正小标宋_GBK" w:cs="Times New Roman"/>
          <w:bCs/>
          <w:color w:val="auto"/>
          <w:spacing w:val="0"/>
          <w:w w:val="100"/>
          <w:position w:val="0"/>
          <w:sz w:val="36"/>
          <w:szCs w:val="36"/>
          <w:lang w:eastAsia="zh-CN"/>
        </w:rPr>
      </w:pPr>
      <w:r>
        <w:rPr>
          <w:rFonts w:ascii="Times New Roman" w:hAnsi="Times New Roman" w:eastAsia="方正小标宋_GBK" w:cs="Times New Roman"/>
          <w:bCs/>
          <w:color w:val="auto"/>
          <w:spacing w:val="0"/>
          <w:w w:val="100"/>
          <w:position w:val="0"/>
          <w:sz w:val="36"/>
          <w:szCs w:val="36"/>
          <w:lang w:eastAsia="zh-CN"/>
        </w:rPr>
        <w:t>（</w:t>
      </w:r>
      <w:r>
        <w:rPr>
          <w:rFonts w:hint="default" w:ascii="Times New Roman" w:hAnsi="Times New Roman" w:eastAsia="方正小标宋_GBK" w:cs="Times New Roman"/>
          <w:b w:val="0"/>
          <w:bCs/>
          <w:color w:val="auto"/>
          <w:spacing w:val="0"/>
          <w:w w:val="100"/>
          <w:position w:val="0"/>
          <w:sz w:val="36"/>
          <w:szCs w:val="36"/>
          <w:lang w:val="en-US" w:eastAsia="zh-CN"/>
        </w:rPr>
        <w:t>服务</w:t>
      </w:r>
      <w:r>
        <w:rPr>
          <w:rFonts w:ascii="Times New Roman" w:hAnsi="Times New Roman" w:eastAsia="方正小标宋_GBK" w:cs="Times New Roman"/>
          <w:bCs/>
          <w:color w:val="auto"/>
          <w:spacing w:val="0"/>
          <w:w w:val="100"/>
          <w:position w:val="0"/>
          <w:sz w:val="36"/>
          <w:szCs w:val="36"/>
          <w:lang w:eastAsia="zh-CN"/>
        </w:rPr>
        <w:t>类）</w:t>
      </w:r>
    </w:p>
    <w:p w14:paraId="29C50F5E">
      <w:pPr>
        <w:spacing w:line="560" w:lineRule="exact"/>
        <w:ind w:left="1080" w:leftChars="257" w:hanging="540"/>
        <w:rPr>
          <w:rFonts w:hint="default" w:ascii="Times New Roman" w:hAnsi="Times New Roman" w:cs="Times New Roman"/>
          <w:bCs/>
          <w:sz w:val="32"/>
          <w:szCs w:val="32"/>
        </w:rPr>
      </w:pPr>
    </w:p>
    <w:p w14:paraId="58B9C4CC">
      <w:pPr>
        <w:spacing w:line="560" w:lineRule="exact"/>
        <w:ind w:left="1080" w:leftChars="257" w:hanging="540"/>
        <w:rPr>
          <w:rFonts w:hint="default" w:ascii="Times New Roman" w:hAnsi="Times New Roman" w:cs="Times New Roman"/>
          <w:bCs/>
          <w:sz w:val="32"/>
          <w:szCs w:val="32"/>
        </w:rPr>
      </w:pPr>
    </w:p>
    <w:p w14:paraId="6C134C72">
      <w:pPr>
        <w:spacing w:line="560" w:lineRule="exact"/>
        <w:ind w:left="1080" w:leftChars="257" w:hanging="540"/>
        <w:rPr>
          <w:rFonts w:hint="default" w:ascii="Times New Roman" w:hAnsi="Times New Roman" w:cs="Times New Roman"/>
          <w:bCs/>
          <w:sz w:val="32"/>
          <w:szCs w:val="32"/>
        </w:rPr>
      </w:pPr>
    </w:p>
    <w:p w14:paraId="46F72A16">
      <w:pPr>
        <w:pStyle w:val="12"/>
        <w:ind w:firstLine="640"/>
        <w:rPr>
          <w:rFonts w:hint="default" w:ascii="Times New Roman" w:hAnsi="Times New Roman" w:eastAsia="宋体" w:cs="Times New Roman"/>
          <w:bCs/>
          <w:sz w:val="32"/>
          <w:szCs w:val="32"/>
        </w:rPr>
      </w:pPr>
    </w:p>
    <w:p w14:paraId="444B5C3E">
      <w:pPr>
        <w:spacing w:before="101" w:line="225" w:lineRule="auto"/>
        <w:ind w:left="2060"/>
        <w:rPr>
          <w:rFonts w:hint="default" w:ascii="Times New Roman" w:hAnsi="Times New Roman" w:cs="Times New Roman"/>
          <w:bCs w:val="0"/>
          <w:color w:val="auto"/>
          <w:sz w:val="31"/>
          <w:szCs w:val="31"/>
          <w14:textOutline w14:w="5791" w14:cap="sq" w14:cmpd="sng" w14:algn="ctr">
            <w14:solidFill>
              <w14:srgbClr w14:val="000000"/>
            </w14:solidFill>
            <w14:prstDash w14:val="solid"/>
            <w14:bevel/>
          </w14:textOutline>
        </w:rPr>
      </w:pPr>
    </w:p>
    <w:p w14:paraId="19D99469">
      <w:pPr>
        <w:pStyle w:val="10"/>
        <w:pageBreakBefore w:val="0"/>
        <w:wordWrap w:val="0"/>
        <w:overflowPunct/>
        <w:bidi w:val="0"/>
        <w:spacing w:line="360" w:lineRule="auto"/>
        <w:ind w:right="0"/>
        <w:rPr>
          <w:rFonts w:hint="eastAsia"/>
          <w:color w:val="1F1F1F"/>
          <w:spacing w:val="-3"/>
          <w:sz w:val="28"/>
          <w:szCs w:val="28"/>
          <w:lang w:eastAsia="zh-CN"/>
        </w:rPr>
      </w:pPr>
      <w:r>
        <w:rPr>
          <w:color w:val="1F1F1F"/>
          <w:spacing w:val="-3"/>
          <w:sz w:val="28"/>
          <w:szCs w:val="28"/>
        </w:rPr>
        <w:t>项目名称：</w:t>
      </w:r>
      <w:r>
        <w:rPr>
          <w:rFonts w:hint="eastAsia"/>
          <w:color w:val="1F1F1F"/>
          <w:spacing w:val="-3"/>
          <w:sz w:val="28"/>
          <w:szCs w:val="28"/>
          <w:lang w:eastAsia="zh-CN"/>
        </w:rPr>
        <w:t>2024年和田地区策勒县沙海碧湖景区基础设施建设项目（全过程跟踪审计）</w:t>
      </w:r>
    </w:p>
    <w:p w14:paraId="6B33307C">
      <w:pPr>
        <w:pStyle w:val="10"/>
        <w:pageBreakBefore w:val="0"/>
        <w:wordWrap w:val="0"/>
        <w:overflowPunct/>
        <w:bidi w:val="0"/>
        <w:spacing w:line="360" w:lineRule="auto"/>
        <w:ind w:right="0"/>
        <w:rPr>
          <w:rFonts w:hint="eastAsia" w:ascii="宋体" w:hAnsi="宋体" w:eastAsia="宋体" w:cs="Times New Roman"/>
          <w:color w:val="1F1F1F"/>
          <w:spacing w:val="-3"/>
          <w:sz w:val="28"/>
          <w:szCs w:val="28"/>
          <w:lang w:eastAsia="zh-CN"/>
        </w:rPr>
      </w:pPr>
      <w:r>
        <w:rPr>
          <w:rFonts w:hint="eastAsia" w:ascii="宋体" w:hAnsi="宋体" w:eastAsia="宋体" w:cs="Times New Roman"/>
          <w:color w:val="1F1F1F"/>
          <w:spacing w:val="-3"/>
          <w:sz w:val="28"/>
          <w:szCs w:val="28"/>
          <w:lang w:eastAsia="zh-CN"/>
        </w:rPr>
        <w:t>项目编号：</w:t>
      </w:r>
      <w:r>
        <w:rPr>
          <w:rFonts w:hint="eastAsia" w:cs="Times New Roman"/>
          <w:color w:val="1F1F1F"/>
          <w:spacing w:val="-3"/>
          <w:sz w:val="28"/>
          <w:szCs w:val="28"/>
          <w:lang w:eastAsia="zh-CN"/>
        </w:rPr>
        <w:t>CLX-2026-016</w:t>
      </w:r>
      <w:r>
        <w:rPr>
          <w:rFonts w:hint="eastAsia" w:ascii="宋体" w:hAnsi="宋体" w:eastAsia="宋体" w:cs="Times New Roman"/>
          <w:color w:val="1F1F1F"/>
          <w:spacing w:val="-3"/>
          <w:sz w:val="28"/>
          <w:szCs w:val="28"/>
          <w:lang w:eastAsia="zh-CN"/>
        </w:rPr>
        <w:t>号</w:t>
      </w:r>
    </w:p>
    <w:p w14:paraId="31CF554D">
      <w:pPr>
        <w:pStyle w:val="10"/>
        <w:pageBreakBefore w:val="0"/>
        <w:wordWrap w:val="0"/>
        <w:overflowPunct/>
        <w:bidi w:val="0"/>
        <w:spacing w:line="360" w:lineRule="auto"/>
        <w:ind w:right="0"/>
        <w:rPr>
          <w:rFonts w:hint="default" w:ascii="宋体" w:hAnsi="宋体" w:eastAsia="宋体" w:cs="Times New Roman"/>
          <w:color w:val="1F1F1F"/>
          <w:spacing w:val="-3"/>
          <w:sz w:val="28"/>
          <w:szCs w:val="28"/>
          <w:lang w:eastAsia="zh-CN"/>
        </w:rPr>
      </w:pPr>
      <w:bookmarkStart w:id="0" w:name="_Toc2888"/>
      <w:r>
        <w:rPr>
          <w:rFonts w:hint="default" w:ascii="宋体" w:hAnsi="宋体" w:eastAsia="宋体" w:cs="Times New Roman"/>
          <w:color w:val="1F1F1F"/>
          <w:spacing w:val="-3"/>
          <w:sz w:val="28"/>
          <w:szCs w:val="28"/>
          <w:lang w:eastAsia="zh-CN"/>
        </w:rPr>
        <w:t>采购人：</w:t>
      </w:r>
      <w:bookmarkEnd w:id="0"/>
      <w:r>
        <w:rPr>
          <w:rFonts w:hint="default" w:ascii="宋体" w:hAnsi="宋体" w:eastAsia="宋体" w:cs="Times New Roman"/>
          <w:color w:val="1F1F1F"/>
          <w:spacing w:val="-3"/>
          <w:sz w:val="28"/>
          <w:szCs w:val="28"/>
          <w:lang w:eastAsia="zh-CN"/>
        </w:rPr>
        <w:t>策勒县文化体育广播电视和旅游局</w:t>
      </w:r>
    </w:p>
    <w:p w14:paraId="785A6808">
      <w:pPr>
        <w:pStyle w:val="10"/>
        <w:pageBreakBefore w:val="0"/>
        <w:wordWrap w:val="0"/>
        <w:overflowPunct/>
        <w:bidi w:val="0"/>
        <w:spacing w:line="360" w:lineRule="auto"/>
        <w:ind w:right="0"/>
        <w:rPr>
          <w:rFonts w:hint="default" w:ascii="宋体" w:hAnsi="宋体" w:eastAsia="宋体" w:cs="Times New Roman"/>
          <w:color w:val="1F1F1F"/>
          <w:spacing w:val="-3"/>
          <w:sz w:val="28"/>
          <w:szCs w:val="28"/>
          <w:lang w:eastAsia="zh-CN"/>
        </w:rPr>
      </w:pPr>
      <w:bookmarkStart w:id="1" w:name="_Toc4781"/>
      <w:r>
        <w:rPr>
          <w:rFonts w:hint="default" w:ascii="宋体" w:hAnsi="宋体" w:eastAsia="宋体" w:cs="Times New Roman"/>
          <w:color w:val="1F1F1F"/>
          <w:spacing w:val="-3"/>
          <w:sz w:val="28"/>
          <w:szCs w:val="28"/>
          <w:lang w:eastAsia="zh-CN"/>
        </w:rPr>
        <w:t>采购代理机构：</w:t>
      </w:r>
      <w:bookmarkEnd w:id="1"/>
      <w:r>
        <w:rPr>
          <w:rFonts w:hint="default" w:ascii="宋体" w:hAnsi="宋体" w:eastAsia="宋体" w:cs="Times New Roman"/>
          <w:color w:val="1F1F1F"/>
          <w:spacing w:val="-3"/>
          <w:sz w:val="28"/>
          <w:szCs w:val="28"/>
          <w:lang w:eastAsia="zh-CN"/>
        </w:rPr>
        <w:t>新疆福瑞通工程项目管理有限责任公司</w:t>
      </w:r>
    </w:p>
    <w:p w14:paraId="3BF98F1B">
      <w:pPr>
        <w:pStyle w:val="27"/>
        <w:jc w:val="center"/>
        <w:rPr>
          <w:rFonts w:hint="default" w:ascii="宋体" w:hAnsi="宋体" w:eastAsia="宋体" w:cs="Times New Roman"/>
          <w:color w:val="1F1F1F"/>
          <w:spacing w:val="-3"/>
          <w:sz w:val="28"/>
          <w:szCs w:val="28"/>
          <w:lang w:eastAsia="zh-CN"/>
        </w:rPr>
      </w:pPr>
    </w:p>
    <w:p w14:paraId="7B1A5382">
      <w:pPr>
        <w:widowControl/>
        <w:spacing w:beforeLines="0" w:afterLines="0" w:line="560" w:lineRule="exact"/>
        <w:jc w:val="center"/>
        <w:rPr>
          <w:rFonts w:hint="default" w:ascii="Times New Roman" w:hAnsi="Times New Roman" w:cs="Times New Roman"/>
          <w:bCs/>
          <w:sz w:val="32"/>
          <w:szCs w:val="32"/>
        </w:rPr>
      </w:pPr>
      <w:r>
        <w:rPr>
          <w:rFonts w:hint="eastAsia" w:ascii="宋体" w:hAnsi="宋体" w:eastAsia="宋体" w:cs="Times New Roman"/>
          <w:b/>
          <w:bCs/>
          <w:color w:val="1F1F1F"/>
          <w:spacing w:val="-3"/>
          <w:sz w:val="28"/>
          <w:szCs w:val="28"/>
          <w:lang w:val="en-US" w:eastAsia="zh-CN"/>
        </w:rPr>
        <w:t>2026年5月</w:t>
      </w:r>
      <w:r>
        <w:rPr>
          <w:rFonts w:hint="default" w:ascii="Times New Roman" w:hAnsi="Times New Roman" w:cs="Times New Roman"/>
          <w:bCs/>
          <w:sz w:val="32"/>
          <w:szCs w:val="32"/>
        </w:rPr>
        <w:br w:type="page"/>
      </w:r>
    </w:p>
    <w:p w14:paraId="7DFCD5D2">
      <w:pPr>
        <w:pStyle w:val="10"/>
        <w:bidi w:val="0"/>
        <w:jc w:val="center"/>
        <w:rPr>
          <w:b/>
          <w:bCs/>
          <w:sz w:val="36"/>
          <w:szCs w:val="36"/>
        </w:rPr>
      </w:pPr>
      <w:bookmarkStart w:id="2" w:name="_Toc28191"/>
      <w:r>
        <w:rPr>
          <w:b/>
          <w:bCs/>
          <w:sz w:val="36"/>
          <w:szCs w:val="36"/>
        </w:rPr>
        <w:t>竞争性磋商文件</w:t>
      </w:r>
      <w:bookmarkEnd w:id="2"/>
    </w:p>
    <w:p w14:paraId="077CF471">
      <w:pPr>
        <w:pageBreakBefore w:val="0"/>
        <w:wordWrap w:val="0"/>
        <w:overflowPunct/>
        <w:bidi w:val="0"/>
        <w:spacing w:line="260" w:lineRule="auto"/>
        <w:rPr>
          <w:rFonts w:ascii="Arial"/>
          <w:sz w:val="21"/>
        </w:rPr>
      </w:pPr>
    </w:p>
    <w:p w14:paraId="1F213CE5">
      <w:pPr>
        <w:pageBreakBefore w:val="0"/>
        <w:wordWrap w:val="0"/>
        <w:overflowPunct/>
        <w:bidi w:val="0"/>
        <w:spacing w:line="260" w:lineRule="auto"/>
        <w:rPr>
          <w:rFonts w:ascii="Arial"/>
          <w:sz w:val="21"/>
        </w:rPr>
      </w:pPr>
    </w:p>
    <w:p w14:paraId="553814F0">
      <w:pPr>
        <w:pageBreakBefore w:val="0"/>
        <w:wordWrap w:val="0"/>
        <w:overflowPunct/>
        <w:bidi w:val="0"/>
        <w:spacing w:line="260" w:lineRule="auto"/>
        <w:rPr>
          <w:rFonts w:ascii="Arial"/>
          <w:sz w:val="21"/>
        </w:rPr>
      </w:pPr>
    </w:p>
    <w:p w14:paraId="1C31E324">
      <w:pPr>
        <w:pageBreakBefore w:val="0"/>
        <w:wordWrap w:val="0"/>
        <w:overflowPunct/>
        <w:bidi w:val="0"/>
        <w:spacing w:line="260" w:lineRule="auto"/>
        <w:rPr>
          <w:rFonts w:ascii="Arial"/>
          <w:sz w:val="21"/>
        </w:rPr>
      </w:pPr>
    </w:p>
    <w:p w14:paraId="6865BC55">
      <w:pPr>
        <w:pStyle w:val="10"/>
        <w:pageBreakBefore w:val="0"/>
        <w:wordWrap w:val="0"/>
        <w:overflowPunct/>
        <w:bidi w:val="0"/>
        <w:spacing w:line="360" w:lineRule="auto"/>
        <w:ind w:left="0" w:right="0" w:firstLine="548" w:firstLineChars="200"/>
        <w:rPr>
          <w:rFonts w:hint="eastAsia"/>
          <w:color w:val="1F1F1F"/>
          <w:spacing w:val="-3"/>
          <w:sz w:val="28"/>
          <w:szCs w:val="28"/>
          <w:lang w:eastAsia="zh-CN"/>
        </w:rPr>
      </w:pPr>
      <w:r>
        <w:rPr>
          <w:color w:val="1F1F1F"/>
          <w:spacing w:val="-3"/>
          <w:sz w:val="28"/>
          <w:szCs w:val="28"/>
        </w:rPr>
        <w:t>项目名称：</w:t>
      </w:r>
      <w:r>
        <w:rPr>
          <w:rFonts w:hint="eastAsia"/>
          <w:color w:val="1F1F1F"/>
          <w:spacing w:val="-3"/>
          <w:sz w:val="28"/>
          <w:szCs w:val="28"/>
          <w:lang w:eastAsia="zh-CN"/>
        </w:rPr>
        <w:t>2024年和田地区策勒县沙海碧湖景区基础设施建设项目（全过程跟踪审计）</w:t>
      </w:r>
    </w:p>
    <w:p w14:paraId="726E9852">
      <w:pPr>
        <w:pStyle w:val="10"/>
        <w:pageBreakBefore w:val="0"/>
        <w:wordWrap w:val="0"/>
        <w:overflowPunct/>
        <w:bidi w:val="0"/>
        <w:spacing w:line="360" w:lineRule="auto"/>
        <w:ind w:left="0" w:right="0" w:firstLine="552" w:firstLineChars="200"/>
        <w:rPr>
          <w:sz w:val="28"/>
          <w:szCs w:val="28"/>
        </w:rPr>
      </w:pPr>
      <w:r>
        <w:rPr>
          <w:color w:val="1F1F1F"/>
          <w:spacing w:val="-2"/>
          <w:sz w:val="28"/>
          <w:szCs w:val="28"/>
        </w:rPr>
        <w:t>项目编号：</w:t>
      </w:r>
      <w:r>
        <w:rPr>
          <w:rFonts w:hint="eastAsia"/>
          <w:color w:val="1F1F1F"/>
          <w:spacing w:val="-2"/>
          <w:sz w:val="28"/>
          <w:szCs w:val="28"/>
          <w:lang w:eastAsia="zh-CN"/>
        </w:rPr>
        <w:t>CLX-2026-016号</w:t>
      </w:r>
    </w:p>
    <w:p w14:paraId="5A094A58">
      <w:pPr>
        <w:pageBreakBefore w:val="0"/>
        <w:wordWrap w:val="0"/>
        <w:overflowPunct/>
        <w:bidi w:val="0"/>
        <w:spacing w:line="248" w:lineRule="auto"/>
        <w:rPr>
          <w:rFonts w:ascii="Arial"/>
          <w:sz w:val="21"/>
        </w:rPr>
      </w:pPr>
    </w:p>
    <w:p w14:paraId="7727AD88">
      <w:pPr>
        <w:pageBreakBefore w:val="0"/>
        <w:wordWrap w:val="0"/>
        <w:overflowPunct/>
        <w:bidi w:val="0"/>
        <w:spacing w:line="248" w:lineRule="auto"/>
        <w:rPr>
          <w:rFonts w:ascii="Arial"/>
          <w:sz w:val="21"/>
        </w:rPr>
      </w:pPr>
    </w:p>
    <w:p w14:paraId="684DF319">
      <w:pPr>
        <w:pageBreakBefore w:val="0"/>
        <w:wordWrap w:val="0"/>
        <w:overflowPunct/>
        <w:bidi w:val="0"/>
        <w:spacing w:line="248" w:lineRule="auto"/>
        <w:rPr>
          <w:rFonts w:ascii="Arial"/>
          <w:sz w:val="21"/>
        </w:rPr>
      </w:pPr>
    </w:p>
    <w:p w14:paraId="323823FB">
      <w:pPr>
        <w:pageBreakBefore w:val="0"/>
        <w:wordWrap w:val="0"/>
        <w:overflowPunct/>
        <w:bidi w:val="0"/>
        <w:spacing w:line="248" w:lineRule="auto"/>
        <w:rPr>
          <w:rFonts w:ascii="Arial"/>
          <w:sz w:val="21"/>
        </w:rPr>
      </w:pPr>
    </w:p>
    <w:p w14:paraId="7CF0D3FA">
      <w:pPr>
        <w:pageBreakBefore w:val="0"/>
        <w:wordWrap w:val="0"/>
        <w:overflowPunct/>
        <w:bidi w:val="0"/>
        <w:spacing w:line="249" w:lineRule="auto"/>
        <w:rPr>
          <w:rFonts w:ascii="Arial"/>
          <w:sz w:val="21"/>
        </w:rPr>
      </w:pPr>
    </w:p>
    <w:p w14:paraId="5E1CC2B7">
      <w:pPr>
        <w:pageBreakBefore w:val="0"/>
        <w:wordWrap w:val="0"/>
        <w:overflowPunct/>
        <w:bidi w:val="0"/>
        <w:spacing w:line="249" w:lineRule="auto"/>
        <w:rPr>
          <w:rFonts w:ascii="Arial"/>
          <w:sz w:val="21"/>
        </w:rPr>
      </w:pPr>
    </w:p>
    <w:p w14:paraId="46F3C710">
      <w:pPr>
        <w:pStyle w:val="10"/>
        <w:pageBreakBefore w:val="0"/>
        <w:wordWrap w:val="0"/>
        <w:overflowPunct/>
        <w:bidi w:val="0"/>
        <w:spacing w:before="91" w:line="221" w:lineRule="auto"/>
        <w:ind w:left="341"/>
        <w:rPr>
          <w:rFonts w:hint="eastAsia" w:eastAsia="仿宋"/>
          <w:sz w:val="28"/>
          <w:szCs w:val="28"/>
          <w:lang w:eastAsia="zh-CN"/>
        </w:rPr>
      </w:pPr>
      <w:r>
        <w:rPr>
          <w:color w:val="1F1F1F"/>
          <w:spacing w:val="-3"/>
          <w:sz w:val="28"/>
          <w:szCs w:val="28"/>
        </w:rPr>
        <w:t>采购人</w:t>
      </w:r>
      <w:r>
        <w:rPr>
          <w:rFonts w:hint="eastAsia"/>
          <w:color w:val="1F1F1F"/>
          <w:spacing w:val="-3"/>
          <w:sz w:val="28"/>
          <w:szCs w:val="28"/>
          <w:lang w:eastAsia="zh-CN"/>
        </w:rPr>
        <w:t>（</w:t>
      </w:r>
      <w:r>
        <w:rPr>
          <w:color w:val="1F1F1F"/>
          <w:spacing w:val="-3"/>
          <w:sz w:val="28"/>
          <w:szCs w:val="28"/>
        </w:rPr>
        <w:t>盖章</w:t>
      </w:r>
      <w:r>
        <w:rPr>
          <w:color w:val="1F1F1F"/>
          <w:spacing w:val="19"/>
          <w:sz w:val="28"/>
          <w:szCs w:val="28"/>
        </w:rPr>
        <w:t>）：</w:t>
      </w:r>
      <w:r>
        <w:rPr>
          <w:rFonts w:hint="eastAsia"/>
          <w:color w:val="1F1F1F"/>
          <w:spacing w:val="-3"/>
          <w:sz w:val="28"/>
          <w:szCs w:val="28"/>
          <w:lang w:eastAsia="zh-CN"/>
        </w:rPr>
        <w:t>策勒县文化体育广播电视和旅游局</w:t>
      </w:r>
    </w:p>
    <w:p w14:paraId="2BFAD13B">
      <w:pPr>
        <w:pStyle w:val="10"/>
        <w:pageBreakBefore w:val="0"/>
        <w:wordWrap w:val="0"/>
        <w:overflowPunct/>
        <w:bidi w:val="0"/>
        <w:spacing w:before="91" w:line="221" w:lineRule="auto"/>
        <w:ind w:left="341"/>
        <w:rPr>
          <w:rFonts w:hint="default" w:eastAsia="仿宋"/>
          <w:color w:val="auto"/>
          <w:spacing w:val="-3"/>
          <w:sz w:val="28"/>
          <w:szCs w:val="28"/>
          <w:lang w:val="en-US" w:eastAsia="zh-CN"/>
        </w:rPr>
      </w:pPr>
      <w:r>
        <w:rPr>
          <w:color w:val="1F1F1F"/>
          <w:spacing w:val="-3"/>
          <w:sz w:val="28"/>
          <w:szCs w:val="28"/>
        </w:rPr>
        <w:t>联系人：</w:t>
      </w:r>
      <w:r>
        <w:rPr>
          <w:rFonts w:hint="eastAsia"/>
          <w:color w:val="auto"/>
          <w:spacing w:val="-3"/>
          <w:sz w:val="28"/>
          <w:szCs w:val="28"/>
          <w:lang w:val="en-US" w:eastAsia="zh-CN"/>
        </w:rPr>
        <w:t>张先生</w:t>
      </w:r>
    </w:p>
    <w:p w14:paraId="4F3B87B4">
      <w:pPr>
        <w:pStyle w:val="10"/>
        <w:pageBreakBefore w:val="0"/>
        <w:wordWrap w:val="0"/>
        <w:overflowPunct/>
        <w:bidi w:val="0"/>
        <w:spacing w:before="91" w:line="221" w:lineRule="auto"/>
        <w:ind w:left="341"/>
        <w:rPr>
          <w:rFonts w:hint="eastAsia" w:eastAsia="仿宋"/>
          <w:color w:val="auto"/>
          <w:spacing w:val="-3"/>
          <w:sz w:val="28"/>
          <w:szCs w:val="28"/>
          <w:lang w:eastAsia="zh-CN"/>
        </w:rPr>
      </w:pPr>
      <w:r>
        <w:rPr>
          <w:color w:val="auto"/>
          <w:spacing w:val="-3"/>
          <w:sz w:val="28"/>
          <w:szCs w:val="28"/>
        </w:rPr>
        <w:t>联系电话：</w:t>
      </w:r>
      <w:r>
        <w:rPr>
          <w:rFonts w:hint="eastAsia"/>
          <w:color w:val="auto"/>
          <w:spacing w:val="-3"/>
          <w:sz w:val="28"/>
          <w:szCs w:val="28"/>
          <w:lang w:eastAsia="zh-CN"/>
        </w:rPr>
        <w:t>0903-6712682</w:t>
      </w:r>
    </w:p>
    <w:p w14:paraId="1A7503A6">
      <w:pPr>
        <w:pStyle w:val="10"/>
        <w:pageBreakBefore w:val="0"/>
        <w:wordWrap w:val="0"/>
        <w:overflowPunct/>
        <w:bidi w:val="0"/>
        <w:spacing w:before="91" w:line="221" w:lineRule="auto"/>
        <w:ind w:left="341"/>
        <w:rPr>
          <w:rFonts w:hint="eastAsia"/>
          <w:color w:val="1F1F1F"/>
          <w:spacing w:val="-3"/>
          <w:sz w:val="28"/>
          <w:szCs w:val="28"/>
          <w:lang w:eastAsia="zh-CN"/>
        </w:rPr>
      </w:pPr>
      <w:r>
        <w:rPr>
          <w:color w:val="1F1F1F"/>
          <w:spacing w:val="-3"/>
          <w:sz w:val="28"/>
          <w:szCs w:val="28"/>
        </w:rPr>
        <w:t>地址：</w:t>
      </w:r>
      <w:r>
        <w:rPr>
          <w:rFonts w:hint="eastAsia"/>
          <w:color w:val="1F1F1F"/>
          <w:spacing w:val="-3"/>
          <w:sz w:val="28"/>
          <w:szCs w:val="28"/>
          <w:lang w:eastAsia="zh-CN"/>
        </w:rPr>
        <w:t>策勒县英巴扎街17号</w:t>
      </w:r>
    </w:p>
    <w:p w14:paraId="5784A2B1">
      <w:pPr>
        <w:pageBreakBefore w:val="0"/>
        <w:wordWrap w:val="0"/>
        <w:overflowPunct/>
        <w:bidi w:val="0"/>
        <w:spacing w:line="270" w:lineRule="auto"/>
        <w:rPr>
          <w:rFonts w:ascii="Arial"/>
          <w:sz w:val="21"/>
        </w:rPr>
      </w:pPr>
    </w:p>
    <w:p w14:paraId="56ADD2A0">
      <w:pPr>
        <w:pageBreakBefore w:val="0"/>
        <w:wordWrap w:val="0"/>
        <w:overflowPunct/>
        <w:bidi w:val="0"/>
        <w:spacing w:line="271" w:lineRule="auto"/>
        <w:rPr>
          <w:rFonts w:ascii="Arial"/>
          <w:sz w:val="21"/>
        </w:rPr>
      </w:pPr>
    </w:p>
    <w:p w14:paraId="543BBA02">
      <w:pPr>
        <w:pageBreakBefore w:val="0"/>
        <w:wordWrap w:val="0"/>
        <w:overflowPunct/>
        <w:bidi w:val="0"/>
        <w:spacing w:line="271" w:lineRule="auto"/>
        <w:rPr>
          <w:rFonts w:ascii="Arial"/>
          <w:sz w:val="21"/>
        </w:rPr>
      </w:pPr>
      <w:r>
        <w:drawing>
          <wp:anchor distT="0" distB="0" distL="0" distR="0" simplePos="0" relativeHeight="251659264" behindDoc="0" locked="0" layoutInCell="1" allowOverlap="1">
            <wp:simplePos x="0" y="0"/>
            <wp:positionH relativeFrom="column">
              <wp:posOffset>0</wp:posOffset>
            </wp:positionH>
            <wp:positionV relativeFrom="paragraph">
              <wp:posOffset>120650</wp:posOffset>
            </wp:positionV>
            <wp:extent cx="5233035" cy="762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
                    <a:stretch>
                      <a:fillRect/>
                    </a:stretch>
                  </pic:blipFill>
                  <pic:spPr>
                    <a:xfrm>
                      <a:off x="0" y="0"/>
                      <a:ext cx="5233347" cy="7619"/>
                    </a:xfrm>
                    <a:prstGeom prst="rect">
                      <a:avLst/>
                    </a:prstGeom>
                  </pic:spPr>
                </pic:pic>
              </a:graphicData>
            </a:graphic>
          </wp:anchor>
        </w:drawing>
      </w:r>
    </w:p>
    <w:p w14:paraId="5C600369">
      <w:pPr>
        <w:pageBreakBefore w:val="0"/>
        <w:wordWrap w:val="0"/>
        <w:overflowPunct/>
        <w:bidi w:val="0"/>
        <w:spacing w:line="271" w:lineRule="auto"/>
        <w:rPr>
          <w:rFonts w:ascii="Arial"/>
          <w:sz w:val="21"/>
        </w:rPr>
      </w:pPr>
    </w:p>
    <w:p w14:paraId="63B7C2E5">
      <w:pPr>
        <w:pageBreakBefore w:val="0"/>
        <w:wordWrap w:val="0"/>
        <w:overflowPunct/>
        <w:bidi w:val="0"/>
        <w:spacing w:line="271" w:lineRule="auto"/>
        <w:rPr>
          <w:rFonts w:ascii="Arial"/>
          <w:sz w:val="21"/>
        </w:rPr>
      </w:pPr>
    </w:p>
    <w:p w14:paraId="1A129F3A">
      <w:pPr>
        <w:pageBreakBefore w:val="0"/>
        <w:wordWrap w:val="0"/>
        <w:overflowPunct/>
        <w:bidi w:val="0"/>
        <w:spacing w:line="271" w:lineRule="auto"/>
        <w:rPr>
          <w:rFonts w:ascii="Arial"/>
          <w:sz w:val="21"/>
        </w:rPr>
      </w:pPr>
    </w:p>
    <w:p w14:paraId="271818F0">
      <w:pPr>
        <w:pStyle w:val="10"/>
        <w:pageBreakBefore w:val="0"/>
        <w:wordWrap w:val="0"/>
        <w:overflowPunct/>
        <w:bidi w:val="0"/>
        <w:spacing w:before="0" w:line="240" w:lineRule="auto"/>
        <w:ind w:right="0" w:firstLine="274" w:firstLineChars="100"/>
        <w:rPr>
          <w:rFonts w:hint="eastAsia" w:ascii="宋体" w:hAnsi="宋体" w:eastAsia="宋体"/>
          <w:color w:val="1F1F1F"/>
          <w:spacing w:val="-3"/>
          <w:sz w:val="28"/>
          <w:szCs w:val="28"/>
          <w:lang w:eastAsia="zh-CN"/>
        </w:rPr>
      </w:pPr>
      <w:r>
        <w:rPr>
          <w:rFonts w:ascii="宋体" w:hAnsi="宋体" w:eastAsia="宋体"/>
          <w:color w:val="1F1F1F"/>
          <w:spacing w:val="-3"/>
          <w:sz w:val="28"/>
          <w:szCs w:val="28"/>
        </w:rPr>
        <w:t>采购代理机构（盖章）</w:t>
      </w:r>
      <w:r>
        <w:rPr>
          <w:rFonts w:hint="eastAsia" w:ascii="宋体" w:hAnsi="宋体" w:eastAsia="宋体"/>
          <w:color w:val="1F1F1F"/>
          <w:spacing w:val="-3"/>
          <w:sz w:val="28"/>
          <w:szCs w:val="28"/>
          <w:lang w:eastAsia="zh-CN"/>
        </w:rPr>
        <w:t>：新疆福瑞通工程项目管理有限责任</w:t>
      </w:r>
      <w:r>
        <w:rPr>
          <w:rFonts w:hint="eastAsia" w:ascii="宋体" w:hAnsi="宋体" w:eastAsia="宋体"/>
          <w:color w:val="1F1F1F"/>
          <w:spacing w:val="-3"/>
          <w:sz w:val="28"/>
          <w:szCs w:val="28"/>
          <w:lang w:val="en-US" w:eastAsia="zh-CN"/>
        </w:rPr>
        <w:t>公</w:t>
      </w:r>
      <w:r>
        <w:rPr>
          <w:rFonts w:hint="eastAsia" w:ascii="宋体" w:hAnsi="宋体" w:eastAsia="宋体"/>
          <w:color w:val="1F1F1F"/>
          <w:spacing w:val="-3"/>
          <w:sz w:val="28"/>
          <w:szCs w:val="28"/>
          <w:lang w:eastAsia="zh-CN"/>
        </w:rPr>
        <w:t>司</w:t>
      </w:r>
    </w:p>
    <w:p w14:paraId="4000D9B1">
      <w:pPr>
        <w:pStyle w:val="10"/>
        <w:pageBreakBefore w:val="0"/>
        <w:wordWrap w:val="0"/>
        <w:overflowPunct/>
        <w:bidi w:val="0"/>
        <w:spacing w:before="91" w:line="355" w:lineRule="auto"/>
        <w:ind w:right="1290" w:firstLine="274" w:firstLineChars="100"/>
        <w:rPr>
          <w:rFonts w:hint="eastAsia" w:ascii="宋体" w:hAnsi="宋体" w:eastAsia="宋体"/>
          <w:color w:val="1F1F1F"/>
          <w:spacing w:val="-3"/>
          <w:sz w:val="28"/>
          <w:szCs w:val="28"/>
          <w:lang w:eastAsia="zh-CN"/>
        </w:rPr>
      </w:pPr>
      <w:r>
        <w:rPr>
          <w:rFonts w:ascii="宋体" w:hAnsi="宋体" w:eastAsia="宋体"/>
          <w:color w:val="1F1F1F"/>
          <w:spacing w:val="-3"/>
          <w:sz w:val="28"/>
          <w:szCs w:val="28"/>
        </w:rPr>
        <w:t>项目负责人：</w:t>
      </w:r>
      <w:r>
        <w:rPr>
          <w:rFonts w:hint="eastAsia"/>
          <w:color w:val="1F1F1F"/>
          <w:spacing w:val="-3"/>
          <w:sz w:val="28"/>
          <w:szCs w:val="28"/>
          <w:lang w:val="en-US" w:eastAsia="zh-CN"/>
        </w:rPr>
        <w:t>李先生</w:t>
      </w:r>
    </w:p>
    <w:p w14:paraId="440B9C5B">
      <w:pPr>
        <w:pStyle w:val="10"/>
        <w:pageBreakBefore w:val="0"/>
        <w:wordWrap w:val="0"/>
        <w:overflowPunct/>
        <w:bidi w:val="0"/>
        <w:spacing w:before="91" w:line="355" w:lineRule="auto"/>
        <w:ind w:right="1290" w:firstLine="274" w:firstLineChars="100"/>
        <w:rPr>
          <w:rFonts w:hint="eastAsia" w:ascii="宋体" w:hAnsi="宋体" w:eastAsia="宋体"/>
          <w:color w:val="1F1F1F"/>
          <w:spacing w:val="-3"/>
          <w:sz w:val="28"/>
          <w:szCs w:val="28"/>
          <w:lang w:eastAsia="zh-CN"/>
        </w:rPr>
      </w:pPr>
      <w:r>
        <w:rPr>
          <w:rFonts w:ascii="宋体" w:hAnsi="宋体" w:eastAsia="宋体"/>
          <w:color w:val="1F1F1F"/>
          <w:spacing w:val="-3"/>
          <w:sz w:val="28"/>
          <w:szCs w:val="28"/>
        </w:rPr>
        <w:t>电话：</w:t>
      </w:r>
      <w:r>
        <w:rPr>
          <w:rFonts w:hint="eastAsia" w:ascii="宋体" w:hAnsi="宋体" w:eastAsia="宋体"/>
          <w:color w:val="1F1F1F"/>
          <w:spacing w:val="-3"/>
          <w:sz w:val="28"/>
          <w:szCs w:val="28"/>
          <w:lang w:eastAsia="zh-CN"/>
        </w:rPr>
        <w:t>0903-2052532</w:t>
      </w:r>
      <w:r>
        <w:rPr>
          <w:rFonts w:hint="eastAsia" w:ascii="宋体" w:hAnsi="宋体" w:eastAsia="宋体"/>
          <w:color w:val="1F1F1F"/>
          <w:spacing w:val="-3"/>
          <w:sz w:val="28"/>
          <w:szCs w:val="28"/>
          <w:lang w:val="en-US" w:eastAsia="zh-CN"/>
        </w:rPr>
        <w:t>/</w:t>
      </w:r>
      <w:r>
        <w:rPr>
          <w:rFonts w:hint="eastAsia" w:ascii="宋体" w:hAnsi="宋体" w:eastAsia="宋体"/>
          <w:color w:val="1F1F1F"/>
          <w:spacing w:val="-3"/>
          <w:sz w:val="28"/>
          <w:szCs w:val="28"/>
          <w:lang w:eastAsia="zh-CN"/>
        </w:rPr>
        <w:t>18016908725</w:t>
      </w:r>
    </w:p>
    <w:p w14:paraId="609114B4">
      <w:pPr>
        <w:pStyle w:val="10"/>
        <w:pageBreakBefore w:val="0"/>
        <w:wordWrap w:val="0"/>
        <w:overflowPunct/>
        <w:bidi w:val="0"/>
        <w:spacing w:before="91" w:line="355" w:lineRule="auto"/>
        <w:ind w:right="1290" w:firstLine="274" w:firstLineChars="100"/>
        <w:rPr>
          <w:rFonts w:hint="eastAsia" w:ascii="宋体" w:hAnsi="宋体" w:eastAsia="宋体"/>
          <w:color w:val="1F1F1F"/>
          <w:spacing w:val="-3"/>
          <w:sz w:val="28"/>
          <w:szCs w:val="28"/>
          <w:lang w:eastAsia="zh-CN"/>
        </w:rPr>
      </w:pPr>
      <w:bookmarkStart w:id="3" w:name="_Toc7771"/>
      <w:r>
        <w:rPr>
          <w:rFonts w:ascii="宋体" w:hAnsi="宋体" w:eastAsia="宋体"/>
          <w:color w:val="1F1F1F"/>
          <w:spacing w:val="-3"/>
          <w:sz w:val="28"/>
          <w:szCs w:val="28"/>
        </w:rPr>
        <w:t>详细地址：</w:t>
      </w:r>
      <w:bookmarkEnd w:id="3"/>
      <w:r>
        <w:rPr>
          <w:rFonts w:hint="eastAsia" w:ascii="宋体" w:hAnsi="宋体" w:eastAsia="宋体"/>
          <w:color w:val="1F1F1F"/>
          <w:spacing w:val="-3"/>
          <w:sz w:val="28"/>
          <w:szCs w:val="28"/>
          <w:lang w:eastAsia="zh-CN"/>
        </w:rPr>
        <w:t>策勒县策勒镇渠勒村520-1号</w:t>
      </w:r>
    </w:p>
    <w:p w14:paraId="68B7C68E">
      <w:pPr>
        <w:rPr>
          <w:rFonts w:hint="eastAsia"/>
          <w:color w:val="1F1F1F"/>
          <w:spacing w:val="-3"/>
          <w:sz w:val="28"/>
          <w:szCs w:val="28"/>
          <w:lang w:eastAsia="zh-CN"/>
        </w:rPr>
      </w:pPr>
      <w:r>
        <w:rPr>
          <w:rFonts w:hint="eastAsia"/>
          <w:color w:val="1F1F1F"/>
          <w:spacing w:val="-3"/>
          <w:sz w:val="28"/>
          <w:szCs w:val="28"/>
          <w:lang w:eastAsia="zh-CN"/>
        </w:rPr>
        <w:br w:type="page"/>
      </w:r>
    </w:p>
    <w:p w14:paraId="4AF6185A">
      <w:pPr>
        <w:spacing w:line="560" w:lineRule="exact"/>
        <w:jc w:val="center"/>
        <w:rPr>
          <w:rFonts w:hint="default" w:ascii="Times New Roman" w:hAnsi="Times New Roman" w:cs="Times New Roman" w:eastAsiaTheme="minorEastAsia"/>
          <w:b/>
          <w:bCs/>
          <w:sz w:val="44"/>
          <w:szCs w:val="44"/>
        </w:rPr>
      </w:pPr>
      <w:r>
        <w:rPr>
          <w:rFonts w:hint="default" w:ascii="Times New Roman" w:hAnsi="Times New Roman" w:cs="Times New Roman" w:eastAsiaTheme="minorEastAsia"/>
          <w:b/>
          <w:bCs/>
          <w:sz w:val="44"/>
          <w:szCs w:val="44"/>
        </w:rPr>
        <w:t>目录</w:t>
      </w:r>
    </w:p>
    <w:p w14:paraId="501EC1FA">
      <w:pPr>
        <w:pStyle w:val="18"/>
        <w:tabs>
          <w:tab w:val="right" w:leader="dot" w:pos="8306"/>
        </w:tabs>
      </w:pPr>
      <w:r>
        <w:fldChar w:fldCharType="begin"/>
      </w:r>
      <w:r>
        <w:instrText xml:space="preserve">TOC \o "1-1" \h \u </w:instrText>
      </w:r>
      <w:r>
        <w:fldChar w:fldCharType="separate"/>
      </w:r>
      <w:r>
        <w:fldChar w:fldCharType="begin"/>
      </w:r>
      <w:r>
        <w:instrText xml:space="preserve"> HYPERLINK \l _Toc8216 </w:instrText>
      </w:r>
      <w:r>
        <w:fldChar w:fldCharType="separate"/>
      </w:r>
      <w:r>
        <w:rPr>
          <w:rFonts w:hint="default"/>
        </w:rPr>
        <w:t>第一章</w:t>
      </w:r>
      <w:r>
        <w:rPr>
          <w:rFonts w:hint="eastAsia"/>
          <w:lang w:eastAsia="zh-CN"/>
        </w:rPr>
        <w:t>采购</w:t>
      </w:r>
      <w:r>
        <w:rPr>
          <w:rFonts w:hint="default"/>
        </w:rPr>
        <w:t>邀请</w:t>
      </w:r>
      <w:r>
        <w:tab/>
      </w:r>
      <w:r>
        <w:fldChar w:fldCharType="begin"/>
      </w:r>
      <w:r>
        <w:instrText xml:space="preserve"> PAGEREF _Toc8216 \h </w:instrText>
      </w:r>
      <w:r>
        <w:fldChar w:fldCharType="separate"/>
      </w:r>
      <w:r>
        <w:t>4</w:t>
      </w:r>
      <w:r>
        <w:fldChar w:fldCharType="end"/>
      </w:r>
      <w:r>
        <w:fldChar w:fldCharType="end"/>
      </w:r>
    </w:p>
    <w:p w14:paraId="33261D3B">
      <w:pPr>
        <w:pStyle w:val="18"/>
        <w:tabs>
          <w:tab w:val="right" w:leader="dot" w:pos="8306"/>
        </w:tabs>
      </w:pPr>
      <w:r>
        <w:fldChar w:fldCharType="begin"/>
      </w:r>
      <w:r>
        <w:instrText xml:space="preserve"> HYPERLINK \l _Toc29435 </w:instrText>
      </w:r>
      <w:r>
        <w:fldChar w:fldCharType="separate"/>
      </w:r>
      <w:r>
        <w:rPr>
          <w:rFonts w:hint="default" w:ascii="Times New Roman" w:hAnsi="Times New Roman" w:eastAsia="宋体" w:cs="Times New Roman"/>
          <w:szCs w:val="32"/>
          <w:lang w:eastAsia="zh-CN"/>
        </w:rPr>
        <w:t>第二章</w:t>
      </w:r>
      <w:r>
        <w:rPr>
          <w:rFonts w:hint="default" w:ascii="Times New Roman" w:hAnsi="Times New Roman" w:eastAsia="宋体" w:cs="Times New Roman"/>
          <w:szCs w:val="32"/>
        </w:rPr>
        <w:t>供应商须知</w:t>
      </w:r>
      <w:r>
        <w:tab/>
      </w:r>
      <w:r>
        <w:fldChar w:fldCharType="begin"/>
      </w:r>
      <w:r>
        <w:instrText xml:space="preserve"> PAGEREF _Toc29435 \h </w:instrText>
      </w:r>
      <w:r>
        <w:fldChar w:fldCharType="separate"/>
      </w:r>
      <w:r>
        <w:t>9</w:t>
      </w:r>
      <w:r>
        <w:fldChar w:fldCharType="end"/>
      </w:r>
      <w:r>
        <w:fldChar w:fldCharType="end"/>
      </w:r>
    </w:p>
    <w:p w14:paraId="7C0447C8">
      <w:pPr>
        <w:pStyle w:val="18"/>
        <w:tabs>
          <w:tab w:val="right" w:leader="dot" w:pos="8306"/>
        </w:tabs>
      </w:pPr>
      <w:r>
        <w:fldChar w:fldCharType="begin"/>
      </w:r>
      <w:r>
        <w:instrText xml:space="preserve"> HYPERLINK \l _Toc82 </w:instrText>
      </w:r>
      <w:r>
        <w:fldChar w:fldCharType="separate"/>
      </w:r>
      <w:r>
        <w:rPr>
          <w:rFonts w:hint="default" w:ascii="Times New Roman" w:hAnsi="Times New Roman" w:eastAsia="宋体" w:cs="Times New Roman"/>
          <w:szCs w:val="32"/>
          <w:lang w:eastAsia="zh-CN"/>
        </w:rPr>
        <w:t>第三章采购需求</w:t>
      </w:r>
      <w:r>
        <w:tab/>
      </w:r>
      <w:r>
        <w:fldChar w:fldCharType="begin"/>
      </w:r>
      <w:r>
        <w:instrText xml:space="preserve"> PAGEREF _Toc82 \h </w:instrText>
      </w:r>
      <w:r>
        <w:fldChar w:fldCharType="separate"/>
      </w:r>
      <w:r>
        <w:t>33</w:t>
      </w:r>
      <w:r>
        <w:fldChar w:fldCharType="end"/>
      </w:r>
      <w:r>
        <w:fldChar w:fldCharType="end"/>
      </w:r>
    </w:p>
    <w:p w14:paraId="23D6CCEF">
      <w:pPr>
        <w:pStyle w:val="18"/>
        <w:tabs>
          <w:tab w:val="right" w:leader="dot" w:pos="8306"/>
        </w:tabs>
      </w:pPr>
      <w:r>
        <w:fldChar w:fldCharType="begin"/>
      </w:r>
      <w:r>
        <w:instrText xml:space="preserve"> HYPERLINK \l _Toc24697 </w:instrText>
      </w:r>
      <w:r>
        <w:fldChar w:fldCharType="separate"/>
      </w:r>
      <w:r>
        <w:rPr>
          <w:rFonts w:hint="default" w:ascii="Times New Roman" w:hAnsi="Times New Roman" w:eastAsia="宋体" w:cs="Times New Roman"/>
          <w:szCs w:val="32"/>
          <w:lang w:val="en-US" w:eastAsia="zh-CN"/>
        </w:rPr>
        <w:t>第四章</w:t>
      </w:r>
      <w:r>
        <w:rPr>
          <w:rFonts w:hint="eastAsia" w:ascii="Times New Roman" w:hAnsi="Times New Roman" w:eastAsia="宋体" w:cs="Times New Roman"/>
          <w:szCs w:val="32"/>
          <w:lang w:val="en-US" w:eastAsia="zh-CN"/>
        </w:rPr>
        <w:t>评审方法及标准</w:t>
      </w:r>
      <w:r>
        <w:tab/>
      </w:r>
      <w:r>
        <w:fldChar w:fldCharType="begin"/>
      </w:r>
      <w:r>
        <w:instrText xml:space="preserve"> PAGEREF _Toc24697 \h </w:instrText>
      </w:r>
      <w:r>
        <w:fldChar w:fldCharType="separate"/>
      </w:r>
      <w:r>
        <w:t>38</w:t>
      </w:r>
      <w:r>
        <w:fldChar w:fldCharType="end"/>
      </w:r>
      <w:r>
        <w:fldChar w:fldCharType="end"/>
      </w:r>
    </w:p>
    <w:p w14:paraId="628E0ABD">
      <w:pPr>
        <w:pStyle w:val="18"/>
        <w:tabs>
          <w:tab w:val="right" w:leader="dot" w:pos="8306"/>
        </w:tabs>
      </w:pPr>
      <w:r>
        <w:fldChar w:fldCharType="begin"/>
      </w:r>
      <w:r>
        <w:instrText xml:space="preserve"> HYPERLINK \l _Toc6380 </w:instrText>
      </w:r>
      <w:r>
        <w:fldChar w:fldCharType="separate"/>
      </w:r>
      <w:r>
        <w:rPr>
          <w:rFonts w:hint="default" w:ascii="Times New Roman" w:hAnsi="Times New Roman" w:cs="Times New Roman"/>
          <w:szCs w:val="32"/>
        </w:rPr>
        <w:t>第</w:t>
      </w:r>
      <w:r>
        <w:rPr>
          <w:rFonts w:hint="eastAsia" w:ascii="Times New Roman" w:cs="Times New Roman"/>
          <w:szCs w:val="32"/>
          <w:lang w:val="en-US" w:eastAsia="zh-CN"/>
        </w:rPr>
        <w:t>五</w:t>
      </w:r>
      <w:r>
        <w:rPr>
          <w:rFonts w:hint="default" w:ascii="Times New Roman" w:hAnsi="Times New Roman" w:cs="Times New Roman"/>
          <w:szCs w:val="32"/>
        </w:rPr>
        <w:t>章</w:t>
      </w:r>
      <w:r>
        <w:rPr>
          <w:rFonts w:hint="eastAsia" w:ascii="Times New Roman" w:cs="Times New Roman"/>
          <w:szCs w:val="32"/>
          <w:lang w:eastAsia="zh-CN"/>
        </w:rPr>
        <w:t>合同草案条款</w:t>
      </w:r>
      <w:r>
        <w:tab/>
      </w:r>
      <w:r>
        <w:fldChar w:fldCharType="begin"/>
      </w:r>
      <w:r>
        <w:instrText xml:space="preserve"> PAGEREF _Toc6380 \h </w:instrText>
      </w:r>
      <w:r>
        <w:fldChar w:fldCharType="separate"/>
      </w:r>
      <w:r>
        <w:t>48</w:t>
      </w:r>
      <w:r>
        <w:fldChar w:fldCharType="end"/>
      </w:r>
      <w:r>
        <w:fldChar w:fldCharType="end"/>
      </w:r>
    </w:p>
    <w:p w14:paraId="62D289C1">
      <w:pPr>
        <w:pStyle w:val="18"/>
        <w:tabs>
          <w:tab w:val="right" w:leader="dot" w:pos="8306"/>
        </w:tabs>
      </w:pPr>
      <w:r>
        <w:fldChar w:fldCharType="begin"/>
      </w:r>
      <w:r>
        <w:instrText xml:space="preserve"> HYPERLINK \l _Toc10298 </w:instrText>
      </w:r>
      <w:r>
        <w:fldChar w:fldCharType="separate"/>
      </w:r>
      <w:r>
        <w:rPr>
          <w:rFonts w:hint="default" w:ascii="Times New Roman" w:hAnsi="Times New Roman" w:cs="Times New Roman"/>
          <w:szCs w:val="32"/>
        </w:rPr>
        <w:t>第</w:t>
      </w:r>
      <w:r>
        <w:rPr>
          <w:rFonts w:hint="eastAsia" w:ascii="Times New Roman" w:cs="Times New Roman"/>
          <w:szCs w:val="32"/>
          <w:lang w:val="en-US" w:eastAsia="zh-CN"/>
        </w:rPr>
        <w:t>六</w:t>
      </w:r>
      <w:r>
        <w:rPr>
          <w:rFonts w:hint="default" w:ascii="Times New Roman" w:hAnsi="Times New Roman" w:cs="Times New Roman"/>
          <w:szCs w:val="32"/>
        </w:rPr>
        <w:t>章</w:t>
      </w:r>
      <w:r>
        <w:rPr>
          <w:rFonts w:hint="eastAsia" w:ascii="Times New Roman" w:cs="Times New Roman"/>
          <w:szCs w:val="32"/>
          <w:lang w:eastAsia="zh-CN"/>
        </w:rPr>
        <w:t>响应</w:t>
      </w:r>
      <w:r>
        <w:rPr>
          <w:rFonts w:hint="default" w:ascii="Times New Roman" w:hAnsi="Times New Roman" w:cs="Times New Roman"/>
          <w:szCs w:val="32"/>
        </w:rPr>
        <w:t>文件格式</w:t>
      </w:r>
      <w:r>
        <w:tab/>
      </w:r>
      <w:r>
        <w:fldChar w:fldCharType="begin"/>
      </w:r>
      <w:r>
        <w:instrText xml:space="preserve"> PAGEREF _Toc10298 \h </w:instrText>
      </w:r>
      <w:r>
        <w:fldChar w:fldCharType="separate"/>
      </w:r>
      <w:r>
        <w:t>70</w:t>
      </w:r>
      <w:r>
        <w:fldChar w:fldCharType="end"/>
      </w:r>
      <w:r>
        <w:fldChar w:fldCharType="end"/>
      </w:r>
    </w:p>
    <w:p w14:paraId="79673D88">
      <w:pPr>
        <w:pStyle w:val="10"/>
        <w:tabs>
          <w:tab w:val="right" w:leader="dot" w:pos="8317"/>
          <w:tab w:val="clear" w:pos="567"/>
        </w:tabs>
        <w:spacing w:before="78" w:line="184" w:lineRule="auto"/>
        <w:ind w:left="23"/>
      </w:pPr>
      <w:r>
        <w:fldChar w:fldCharType="end"/>
      </w:r>
    </w:p>
    <w:p w14:paraId="700CA95A">
      <w:pPr>
        <w:spacing w:line="560" w:lineRule="exact"/>
        <w:rPr>
          <w:rFonts w:hint="default" w:ascii="Times New Roman" w:hAnsi="Times New Roman" w:cs="Times New Roman"/>
          <w:sz w:val="32"/>
          <w:szCs w:val="32"/>
        </w:rPr>
      </w:pPr>
    </w:p>
    <w:p w14:paraId="456AFF84">
      <w:pPr>
        <w:pStyle w:val="2"/>
        <w:bidi w:val="0"/>
        <w:rPr>
          <w:rFonts w:hint="default" w:ascii="Times New Roman" w:hAnsi="Times New Roman" w:cs="Times New Roman"/>
          <w:szCs w:val="32"/>
        </w:rPr>
      </w:pPr>
      <w:bookmarkStart w:id="4" w:name="_Toc8216"/>
      <w:r>
        <w:rPr>
          <w:rFonts w:hint="default"/>
        </w:rPr>
        <w:br w:type="page"/>
      </w:r>
      <w:r>
        <w:rPr>
          <w:rFonts w:hint="default"/>
        </w:rPr>
        <w:t>第一章</w:t>
      </w:r>
      <w:r>
        <w:rPr>
          <w:rFonts w:hint="eastAsia"/>
          <w:lang w:eastAsia="zh-CN"/>
        </w:rPr>
        <w:t>采购</w:t>
      </w:r>
      <w:r>
        <w:rPr>
          <w:rFonts w:hint="default"/>
        </w:rPr>
        <w:t>邀请</w:t>
      </w:r>
      <w:bookmarkEnd w:id="4"/>
    </w:p>
    <w:p w14:paraId="356B08BC">
      <w:pPr>
        <w:numPr>
          <w:ilvl w:val="0"/>
          <w:numId w:val="0"/>
        </w:numPr>
        <w:jc w:val="center"/>
        <w:rPr>
          <w:rFonts w:hint="eastAsia" w:ascii="仿宋" w:hAnsi="仿宋" w:eastAsia="仿宋" w:cs="仿宋"/>
          <w:color w:val="1F1F1F"/>
          <w:spacing w:val="-2"/>
          <w:sz w:val="24"/>
          <w:lang w:val="en-US"/>
        </w:rPr>
      </w:pPr>
      <w:r>
        <w:rPr>
          <w:rFonts w:hint="eastAsia" w:ascii="仿宋" w:hAnsi="仿宋" w:eastAsia="仿宋" w:cs="仿宋"/>
          <w:b w:val="0"/>
          <w:color w:val="1F1F1F"/>
          <w:spacing w:val="-2"/>
          <w:sz w:val="24"/>
          <w:szCs w:val="24"/>
          <w:lang w:eastAsia="zh-CN"/>
        </w:rPr>
        <w:t>2024年和田地区策勒县沙海碧湖景区基础设施建设项目（全过程跟踪审计）竞争性磋商</w:t>
      </w:r>
      <w:r>
        <w:rPr>
          <w:rFonts w:hint="eastAsia" w:ascii="仿宋" w:hAnsi="仿宋" w:eastAsia="仿宋" w:cs="仿宋"/>
          <w:b w:val="0"/>
          <w:color w:val="1F1F1F"/>
          <w:spacing w:val="-2"/>
          <w:sz w:val="24"/>
          <w:szCs w:val="24"/>
          <w:lang w:val="en-US" w:eastAsia="zh-CN"/>
        </w:rPr>
        <w:t>公告</w:t>
      </w:r>
    </w:p>
    <w:tbl>
      <w:tblPr>
        <w:tblStyle w:val="43"/>
        <w:tblW w:w="9100" w:type="dxa"/>
        <w:tblInd w:w="2" w:type="dxa"/>
        <w:tblBorders>
          <w:top w:val="single" w:color="404040" w:sz="2" w:space="0"/>
          <w:left w:val="single" w:color="404040" w:sz="2" w:space="0"/>
          <w:bottom w:val="single" w:color="404040" w:sz="2" w:space="0"/>
          <w:right w:val="single" w:color="404040" w:sz="2" w:space="0"/>
          <w:insideH w:val="none" w:color="auto" w:sz="0" w:space="0"/>
          <w:insideV w:val="none" w:color="auto" w:sz="0" w:space="0"/>
        </w:tblBorders>
        <w:tblLayout w:type="fixed"/>
        <w:tblCellMar>
          <w:top w:w="0" w:type="dxa"/>
          <w:left w:w="0" w:type="dxa"/>
          <w:bottom w:w="0" w:type="dxa"/>
          <w:right w:w="0" w:type="dxa"/>
        </w:tblCellMar>
      </w:tblPr>
      <w:tblGrid>
        <w:gridCol w:w="9100"/>
      </w:tblGrid>
      <w:tr w14:paraId="30C9075E">
        <w:tblPrEx>
          <w:tblBorders>
            <w:top w:val="single" w:color="404040" w:sz="2" w:space="0"/>
            <w:left w:val="single" w:color="404040" w:sz="2" w:space="0"/>
            <w:bottom w:val="single" w:color="404040" w:sz="2" w:space="0"/>
            <w:right w:val="single" w:color="404040" w:sz="2" w:space="0"/>
            <w:insideH w:val="none" w:color="auto" w:sz="0" w:space="0"/>
            <w:insideV w:val="none" w:color="auto" w:sz="0" w:space="0"/>
          </w:tblBorders>
          <w:tblCellMar>
            <w:top w:w="0" w:type="dxa"/>
            <w:left w:w="0" w:type="dxa"/>
            <w:bottom w:w="0" w:type="dxa"/>
            <w:right w:w="0" w:type="dxa"/>
          </w:tblCellMar>
        </w:tblPrEx>
        <w:trPr>
          <w:trHeight w:val="1055" w:hRule="atLeast"/>
        </w:trPr>
        <w:tc>
          <w:tcPr>
            <w:tcW w:w="9100" w:type="dxa"/>
            <w:vAlign w:val="top"/>
          </w:tcPr>
          <w:p w14:paraId="6DE7EADE">
            <w:pPr>
              <w:pStyle w:val="46"/>
              <w:pageBreakBefore w:val="0"/>
              <w:wordWrap w:val="0"/>
              <w:overflowPunct/>
              <w:bidi w:val="0"/>
              <w:spacing w:line="240" w:lineRule="auto"/>
              <w:ind w:left="0"/>
            </w:pPr>
            <w:r>
              <w:rPr>
                <w:color w:val="1F1F1F"/>
                <w:spacing w:val="-5"/>
              </w:rPr>
              <w:t>项目概况</w:t>
            </w:r>
          </w:p>
          <w:p w14:paraId="53EE3CF7">
            <w:pPr>
              <w:pStyle w:val="46"/>
              <w:keepNext w:val="0"/>
              <w:keepLines w:val="0"/>
              <w:pageBreakBefore w:val="0"/>
              <w:widowControl/>
              <w:kinsoku/>
              <w:wordWrap w:val="0"/>
              <w:overflowPunct/>
              <w:topLinePunct w:val="0"/>
              <w:autoSpaceDE w:val="0"/>
              <w:autoSpaceDN w:val="0"/>
              <w:bidi w:val="0"/>
              <w:adjustRightInd w:val="0"/>
              <w:snapToGrid w:val="0"/>
              <w:spacing w:line="240" w:lineRule="auto"/>
              <w:ind w:left="0"/>
              <w:textAlignment w:val="baseline"/>
            </w:pPr>
            <w:r>
              <w:rPr>
                <w:rFonts w:hint="eastAsia"/>
                <w:color w:val="1F1F1F"/>
                <w:spacing w:val="-2"/>
                <w:lang w:eastAsia="zh-CN"/>
              </w:rPr>
              <w:t>2024年和田地区策勒县沙海碧湖景区基础设施建设项目（全过程跟踪审计）</w:t>
            </w:r>
            <w:r>
              <w:rPr>
                <w:color w:val="1F1F1F"/>
                <w:spacing w:val="-2"/>
              </w:rPr>
              <w:t>的潜在</w:t>
            </w:r>
            <w:r>
              <w:rPr>
                <w:rFonts w:hint="eastAsia"/>
                <w:color w:val="1F1F1F"/>
                <w:spacing w:val="-2"/>
                <w:lang w:val="en-US" w:eastAsia="zh-CN"/>
              </w:rPr>
              <w:t>供应商</w:t>
            </w:r>
            <w:r>
              <w:rPr>
                <w:color w:val="1F1F1F"/>
                <w:spacing w:val="-2"/>
              </w:rPr>
              <w:t>应</w:t>
            </w:r>
            <w:r>
              <w:rPr>
                <w:rFonts w:hint="eastAsia"/>
                <w:color w:val="1F1F1F"/>
                <w:spacing w:val="-2"/>
                <w:lang w:val="en-US" w:eastAsia="zh-CN"/>
              </w:rPr>
              <w:t>在</w:t>
            </w:r>
            <w:r>
              <w:rPr>
                <w:rFonts w:hint="eastAsia"/>
                <w:color w:val="1F1F1F"/>
                <w:spacing w:val="-2"/>
                <w:lang w:eastAsia="zh-CN"/>
              </w:rPr>
              <w:t>录</w:t>
            </w:r>
            <w:r>
              <w:rPr>
                <w:color w:val="1F1F1F"/>
                <w:spacing w:val="-2"/>
              </w:rPr>
              <w:t>政采云平</w:t>
            </w:r>
            <w:r>
              <w:rPr>
                <w:rFonts w:hint="eastAsia"/>
                <w:color w:val="1F1F1F"/>
                <w:spacing w:val="-2"/>
                <w:lang w:val="en-US" w:eastAsia="zh-CN"/>
              </w:rPr>
              <w:t>台线上</w:t>
            </w:r>
            <w:r>
              <w:rPr>
                <w:color w:val="auto"/>
                <w:spacing w:val="-3"/>
              </w:rPr>
              <w:t>获取采购文件</w:t>
            </w:r>
            <w:r>
              <w:rPr>
                <w:color w:val="auto"/>
                <w:spacing w:val="-10"/>
              </w:rPr>
              <w:t>，</w:t>
            </w:r>
            <w:r>
              <w:rPr>
                <w:color w:val="auto"/>
                <w:spacing w:val="-7"/>
                <w:highlight w:val="none"/>
              </w:rPr>
              <w:t>并于</w:t>
            </w:r>
            <w:r>
              <w:rPr>
                <w:rFonts w:hint="eastAsia"/>
                <w:color w:val="auto"/>
                <w:spacing w:val="-7"/>
                <w:highlight w:val="none"/>
                <w:u w:val="none" w:color="auto"/>
                <w:lang w:eastAsia="zh-CN"/>
              </w:rPr>
              <w:t>2026年6月4日11：00</w:t>
            </w:r>
            <w:r>
              <w:rPr>
                <w:color w:val="auto"/>
                <w:spacing w:val="-8"/>
                <w:highlight w:val="none"/>
              </w:rPr>
              <w:t>（北京时间）</w:t>
            </w:r>
            <w:r>
              <w:rPr>
                <w:color w:val="auto"/>
                <w:spacing w:val="-8"/>
              </w:rPr>
              <w:t>前递交</w:t>
            </w:r>
            <w:r>
              <w:rPr>
                <w:color w:val="auto"/>
                <w:spacing w:val="-5"/>
              </w:rPr>
              <w:t>响应文件。</w:t>
            </w:r>
          </w:p>
        </w:tc>
      </w:tr>
    </w:tbl>
    <w:p w14:paraId="72012D00">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bookmarkStart w:id="5" w:name="_Toc6361"/>
      <w:r>
        <w:rPr>
          <w:rFonts w:hint="eastAsia" w:ascii="仿宋" w:hAnsi="仿宋" w:eastAsia="仿宋" w:cs="仿宋"/>
          <w:b/>
          <w:bCs/>
          <w:color w:val="1F1F1F"/>
          <w:spacing w:val="-2"/>
          <w:kern w:val="2"/>
          <w:sz w:val="24"/>
          <w:szCs w:val="24"/>
          <w:lang w:val="en-US" w:eastAsia="zh-CN" w:bidi="ar-SA"/>
        </w:rPr>
        <w:t>一、项目基本情况</w:t>
      </w:r>
      <w:bookmarkEnd w:id="5"/>
    </w:p>
    <w:p w14:paraId="3D92678A">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r>
        <w:rPr>
          <w:rFonts w:hint="eastAsia" w:ascii="仿宋" w:hAnsi="仿宋" w:eastAsia="仿宋" w:cs="仿宋"/>
          <w:color w:val="1F1F1F"/>
          <w:spacing w:val="-2"/>
          <w:kern w:val="2"/>
          <w:sz w:val="24"/>
          <w:szCs w:val="24"/>
          <w:lang w:val="en-US" w:eastAsia="zh-CN" w:bidi="ar-SA"/>
        </w:rPr>
        <w:t>项目编号：CLX-2026-016号</w:t>
      </w:r>
    </w:p>
    <w:p w14:paraId="124A086E">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r>
        <w:rPr>
          <w:rFonts w:hint="eastAsia" w:ascii="仿宋" w:hAnsi="仿宋" w:eastAsia="仿宋" w:cs="仿宋"/>
          <w:color w:val="1F1F1F"/>
          <w:spacing w:val="-2"/>
          <w:kern w:val="2"/>
          <w:sz w:val="24"/>
          <w:szCs w:val="24"/>
          <w:lang w:val="en-US" w:eastAsia="zh-CN" w:bidi="ar-SA"/>
        </w:rPr>
        <w:t>项目名称：2024年和田地区策勒县沙海碧湖景区基础设施建设项目（全过程跟踪审计）</w:t>
      </w:r>
    </w:p>
    <w:p w14:paraId="214826D6">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r>
        <w:rPr>
          <w:rFonts w:hint="eastAsia" w:ascii="仿宋" w:hAnsi="仿宋" w:eastAsia="仿宋" w:cs="仿宋"/>
          <w:color w:val="1F1F1F"/>
          <w:spacing w:val="-2"/>
          <w:kern w:val="2"/>
          <w:sz w:val="24"/>
          <w:szCs w:val="24"/>
          <w:lang w:val="en-US" w:eastAsia="zh-CN" w:bidi="ar-SA"/>
        </w:rPr>
        <w:t>采购方式：竞争性磋商</w:t>
      </w:r>
    </w:p>
    <w:p w14:paraId="5F3337EA">
      <w:pPr>
        <w:pStyle w:val="10"/>
        <w:pageBreakBefore w:val="0"/>
        <w:wordWrap w:val="0"/>
        <w:overflowPunct/>
        <w:bidi w:val="0"/>
        <w:spacing w:before="43" w:line="222" w:lineRule="auto"/>
        <w:ind w:left="610"/>
        <w:rPr>
          <w:rFonts w:hint="default" w:ascii="仿宋" w:hAnsi="仿宋" w:eastAsia="仿宋" w:cs="仿宋"/>
          <w:color w:val="1F1F1F"/>
          <w:spacing w:val="-2"/>
          <w:kern w:val="2"/>
          <w:sz w:val="24"/>
          <w:szCs w:val="24"/>
          <w:lang w:val="en-US" w:eastAsia="zh-CN" w:bidi="ar-SA"/>
        </w:rPr>
      </w:pPr>
      <w:r>
        <w:rPr>
          <w:rFonts w:hint="eastAsia" w:ascii="仿宋" w:hAnsi="仿宋" w:eastAsia="仿宋" w:cs="仿宋"/>
          <w:color w:val="1F1F1F"/>
          <w:spacing w:val="-2"/>
          <w:kern w:val="2"/>
          <w:sz w:val="24"/>
          <w:szCs w:val="24"/>
          <w:lang w:val="en-US" w:eastAsia="zh-CN" w:bidi="ar-SA"/>
        </w:rPr>
        <w:t>预算金额（元）：700000.00</w:t>
      </w:r>
    </w:p>
    <w:p w14:paraId="0F7840D2">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r>
        <w:rPr>
          <w:rFonts w:hint="eastAsia" w:ascii="仿宋" w:hAnsi="仿宋" w:eastAsia="仿宋" w:cs="仿宋"/>
          <w:color w:val="1F1F1F"/>
          <w:spacing w:val="-2"/>
          <w:kern w:val="2"/>
          <w:sz w:val="24"/>
          <w:szCs w:val="24"/>
          <w:lang w:val="en-US" w:eastAsia="zh-CN" w:bidi="ar-SA"/>
        </w:rPr>
        <w:t>最高限价（元）：700000.00</w:t>
      </w:r>
    </w:p>
    <w:p w14:paraId="38EA2707">
      <w:pPr>
        <w:pStyle w:val="10"/>
        <w:pageBreakBefore w:val="0"/>
        <w:wordWrap w:val="0"/>
        <w:overflowPunct/>
        <w:bidi w:val="0"/>
        <w:spacing w:before="43" w:line="222" w:lineRule="auto"/>
        <w:ind w:left="610"/>
        <w:rPr>
          <w:rFonts w:hint="eastAsia"/>
          <w:lang w:val="en-US" w:eastAsia="zh-CN"/>
        </w:rPr>
      </w:pPr>
      <w:r>
        <w:rPr>
          <w:rFonts w:hint="eastAsia" w:ascii="仿宋" w:hAnsi="仿宋" w:eastAsia="仿宋" w:cs="仿宋"/>
          <w:color w:val="1F1F1F"/>
          <w:spacing w:val="-2"/>
          <w:kern w:val="2"/>
          <w:sz w:val="24"/>
          <w:szCs w:val="24"/>
          <w:lang w:val="en-US" w:eastAsia="zh-CN" w:bidi="ar-SA"/>
        </w:rPr>
        <w:t>采购需求：</w:t>
      </w:r>
    </w:p>
    <w:p w14:paraId="061C6CD9">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p>
    <w:p w14:paraId="1665743E">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r>
        <w:rPr>
          <w:rFonts w:hint="eastAsia" w:ascii="仿宋" w:hAnsi="仿宋" w:eastAsia="仿宋" w:cs="仿宋"/>
          <w:color w:val="1F1F1F"/>
          <w:spacing w:val="-2"/>
          <w:kern w:val="2"/>
          <w:sz w:val="24"/>
          <w:szCs w:val="24"/>
          <w:lang w:val="en-US" w:eastAsia="zh-CN" w:bidi="ar-SA"/>
        </w:rPr>
        <w:t>标项名称：2024年和田地区策勒县沙海碧湖景区基础设施建设项目（全过程跟踪审计）</w:t>
      </w:r>
    </w:p>
    <w:p w14:paraId="6E497FEE">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r>
        <w:rPr>
          <w:rFonts w:hint="eastAsia" w:ascii="仿宋" w:hAnsi="仿宋" w:eastAsia="仿宋" w:cs="仿宋"/>
          <w:color w:val="1F1F1F"/>
          <w:spacing w:val="-2"/>
          <w:kern w:val="2"/>
          <w:sz w:val="24"/>
          <w:szCs w:val="24"/>
          <w:lang w:val="en-US" w:eastAsia="zh-CN" w:bidi="ar-SA"/>
        </w:rPr>
        <w:t>数量：1</w:t>
      </w:r>
    </w:p>
    <w:p w14:paraId="4C429980">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r>
        <w:rPr>
          <w:rFonts w:hint="eastAsia" w:ascii="仿宋" w:hAnsi="仿宋" w:eastAsia="仿宋" w:cs="仿宋"/>
          <w:color w:val="1F1F1F"/>
          <w:spacing w:val="-2"/>
          <w:kern w:val="2"/>
          <w:sz w:val="24"/>
          <w:szCs w:val="24"/>
          <w:lang w:val="en-US" w:eastAsia="zh-CN" w:bidi="ar-SA"/>
        </w:rPr>
        <w:t>预算金额（元）：700000.00</w:t>
      </w:r>
    </w:p>
    <w:p w14:paraId="76DB54AB">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r>
        <w:rPr>
          <w:rFonts w:hint="eastAsia" w:ascii="仿宋" w:hAnsi="仿宋" w:eastAsia="仿宋" w:cs="仿宋"/>
          <w:color w:val="1F1F1F"/>
          <w:spacing w:val="-2"/>
          <w:kern w:val="2"/>
          <w:sz w:val="24"/>
          <w:szCs w:val="24"/>
          <w:lang w:val="en-US" w:eastAsia="zh-CN" w:bidi="ar-SA"/>
        </w:rPr>
        <w:t>单位：批</w:t>
      </w:r>
    </w:p>
    <w:p w14:paraId="5B2BA3AA">
      <w:pPr>
        <w:pStyle w:val="10"/>
        <w:pageBreakBefore w:val="0"/>
        <w:wordWrap w:val="0"/>
        <w:overflowPunct/>
        <w:bidi w:val="0"/>
        <w:spacing w:before="43" w:line="222" w:lineRule="auto"/>
        <w:ind w:left="610"/>
        <w:rPr>
          <w:rFonts w:hint="default" w:ascii="仿宋" w:hAnsi="仿宋" w:eastAsia="仿宋" w:cs="仿宋"/>
          <w:color w:val="1F1F1F"/>
          <w:spacing w:val="-2"/>
          <w:kern w:val="2"/>
          <w:sz w:val="24"/>
          <w:szCs w:val="24"/>
          <w:highlight w:val="none"/>
          <w:lang w:val="en-US" w:eastAsia="zh-CN" w:bidi="ar-SA"/>
        </w:rPr>
      </w:pPr>
      <w:r>
        <w:rPr>
          <w:rFonts w:hint="eastAsia" w:ascii="仿宋" w:hAnsi="仿宋" w:eastAsia="仿宋" w:cs="仿宋"/>
          <w:color w:val="1F1F1F"/>
          <w:spacing w:val="-2"/>
          <w:kern w:val="2"/>
          <w:sz w:val="24"/>
          <w:szCs w:val="24"/>
          <w:lang w:val="en-US" w:eastAsia="zh-CN" w:bidi="ar-SA"/>
        </w:rPr>
        <w:t>简要规格描述：</w:t>
      </w:r>
      <w:r>
        <w:rPr>
          <w:rFonts w:hint="eastAsia" w:ascii="仿宋" w:hAnsi="仿宋" w:eastAsia="仿宋" w:cs="仿宋"/>
          <w:color w:val="1F1F1F"/>
          <w:spacing w:val="-2"/>
          <w:kern w:val="2"/>
          <w:sz w:val="24"/>
          <w:szCs w:val="24"/>
          <w:highlight w:val="none"/>
          <w:lang w:val="en-US" w:eastAsia="zh-CN" w:bidi="ar-SA"/>
        </w:rPr>
        <w:t>2024年和田地区策勒县沙海碧湖景区基础设施建设项目跟踪审计服务（具体采购需求详见招标文件）</w:t>
      </w:r>
    </w:p>
    <w:p w14:paraId="227801EA">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highlight w:val="none"/>
          <w:lang w:val="en-US" w:eastAsia="zh-CN" w:bidi="ar-SA"/>
        </w:rPr>
      </w:pPr>
      <w:r>
        <w:rPr>
          <w:rFonts w:hint="eastAsia" w:ascii="仿宋" w:hAnsi="仿宋" w:eastAsia="仿宋" w:cs="仿宋"/>
          <w:color w:val="1F1F1F"/>
          <w:spacing w:val="-2"/>
          <w:kern w:val="2"/>
          <w:sz w:val="24"/>
          <w:szCs w:val="24"/>
          <w:highlight w:val="none"/>
          <w:lang w:val="en-US" w:eastAsia="zh-CN" w:bidi="ar-SA"/>
        </w:rPr>
        <w:t>备注：</w:t>
      </w:r>
    </w:p>
    <w:p w14:paraId="3CE4AAE5">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p>
    <w:p w14:paraId="19E9DF0C">
      <w:pPr>
        <w:pStyle w:val="10"/>
        <w:pageBreakBefore w:val="0"/>
        <w:wordWrap w:val="0"/>
        <w:overflowPunct/>
        <w:bidi w:val="0"/>
        <w:spacing w:before="43" w:line="222" w:lineRule="auto"/>
        <w:ind w:left="610"/>
        <w:rPr>
          <w:rFonts w:hint="default" w:ascii="仿宋" w:hAnsi="仿宋" w:eastAsia="仿宋" w:cs="仿宋"/>
          <w:color w:val="1F1F1F"/>
          <w:spacing w:val="-2"/>
          <w:kern w:val="2"/>
          <w:sz w:val="24"/>
          <w:szCs w:val="24"/>
          <w:highlight w:val="none"/>
          <w:lang w:val="en-US" w:eastAsia="zh-CN" w:bidi="ar-SA"/>
        </w:rPr>
      </w:pPr>
      <w:r>
        <w:rPr>
          <w:rFonts w:hint="eastAsia" w:ascii="仿宋" w:hAnsi="仿宋" w:eastAsia="仿宋" w:cs="仿宋"/>
          <w:color w:val="1F1F1F"/>
          <w:spacing w:val="-2"/>
          <w:kern w:val="2"/>
          <w:sz w:val="24"/>
          <w:szCs w:val="24"/>
          <w:lang w:val="en-US" w:eastAsia="zh-CN" w:bidi="ar-SA"/>
        </w:rPr>
        <w:t>合同履约期限：</w:t>
      </w:r>
      <w:r>
        <w:rPr>
          <w:rFonts w:hint="eastAsia" w:ascii="仿宋" w:hAnsi="仿宋" w:eastAsia="仿宋" w:cs="仿宋"/>
          <w:color w:val="1F1F1F"/>
          <w:spacing w:val="-2"/>
          <w:kern w:val="2"/>
          <w:sz w:val="24"/>
          <w:szCs w:val="24"/>
          <w:highlight w:val="none"/>
          <w:lang w:val="en-US" w:eastAsia="zh-CN" w:bidi="ar-SA"/>
        </w:rPr>
        <w:t>标项1，合同签订起至所有项目验收结束为止（具体合同约定为准）；</w:t>
      </w:r>
    </w:p>
    <w:p w14:paraId="7E1014BE">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r>
        <w:rPr>
          <w:rFonts w:hint="eastAsia" w:ascii="仿宋" w:hAnsi="仿宋" w:eastAsia="仿宋" w:cs="仿宋"/>
          <w:color w:val="1F1F1F"/>
          <w:spacing w:val="-2"/>
          <w:kern w:val="2"/>
          <w:sz w:val="24"/>
          <w:szCs w:val="24"/>
          <w:highlight w:val="none"/>
          <w:lang w:val="en-US" w:eastAsia="zh-CN" w:bidi="ar-SA"/>
        </w:rPr>
        <w:t>本项目接受联合</w:t>
      </w:r>
      <w:r>
        <w:rPr>
          <w:rFonts w:hint="eastAsia" w:ascii="仿宋" w:hAnsi="仿宋" w:eastAsia="仿宋" w:cs="仿宋"/>
          <w:color w:val="1F1F1F"/>
          <w:spacing w:val="-2"/>
          <w:kern w:val="2"/>
          <w:sz w:val="24"/>
          <w:szCs w:val="24"/>
          <w:lang w:val="en-US" w:eastAsia="zh-CN" w:bidi="ar-SA"/>
        </w:rPr>
        <w:t>体投标。</w:t>
      </w:r>
    </w:p>
    <w:p w14:paraId="19803DE9">
      <w:pPr>
        <w:pStyle w:val="10"/>
        <w:pageBreakBefore w:val="0"/>
        <w:wordWrap w:val="0"/>
        <w:overflowPunct/>
        <w:bidi w:val="0"/>
        <w:spacing w:before="43" w:line="222" w:lineRule="auto"/>
        <w:ind w:left="610"/>
        <w:rPr>
          <w:rFonts w:hint="eastAsia" w:ascii="仿宋" w:hAnsi="仿宋" w:eastAsia="仿宋" w:cs="仿宋"/>
          <w:b/>
          <w:bCs/>
          <w:color w:val="1F1F1F"/>
          <w:spacing w:val="-2"/>
          <w:kern w:val="2"/>
          <w:sz w:val="24"/>
          <w:szCs w:val="24"/>
          <w:lang w:val="en-US" w:eastAsia="zh-CN" w:bidi="ar-SA"/>
        </w:rPr>
      </w:pPr>
      <w:bookmarkStart w:id="6" w:name="_Toc7491"/>
      <w:r>
        <w:rPr>
          <w:rFonts w:hint="eastAsia" w:ascii="仿宋" w:hAnsi="仿宋" w:eastAsia="仿宋" w:cs="仿宋"/>
          <w:b/>
          <w:bCs/>
          <w:color w:val="1F1F1F"/>
          <w:spacing w:val="-2"/>
          <w:kern w:val="2"/>
          <w:sz w:val="24"/>
          <w:szCs w:val="24"/>
          <w:lang w:val="en-US" w:eastAsia="zh-CN" w:bidi="ar-SA"/>
        </w:rPr>
        <w:t>二、申请人的资格要求：</w:t>
      </w:r>
      <w:bookmarkEnd w:id="6"/>
    </w:p>
    <w:p w14:paraId="500F2AB1">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r>
        <w:rPr>
          <w:rFonts w:hint="eastAsia" w:ascii="仿宋" w:hAnsi="仿宋" w:eastAsia="仿宋" w:cs="仿宋"/>
          <w:color w:val="1F1F1F"/>
          <w:spacing w:val="-2"/>
          <w:kern w:val="2"/>
          <w:sz w:val="24"/>
          <w:szCs w:val="24"/>
          <w:lang w:val="en-US" w:eastAsia="zh-CN" w:bidi="ar-SA"/>
        </w:rPr>
        <w:t>1.满足《中华人民共和国政府采购法》第二十二条规定；</w:t>
      </w:r>
    </w:p>
    <w:p w14:paraId="49293EE7">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r>
        <w:rPr>
          <w:rFonts w:hint="eastAsia" w:ascii="仿宋" w:hAnsi="仿宋" w:eastAsia="仿宋" w:cs="仿宋"/>
          <w:color w:val="1F1F1F"/>
          <w:spacing w:val="-2"/>
          <w:kern w:val="2"/>
          <w:sz w:val="24"/>
          <w:szCs w:val="24"/>
          <w:lang w:val="en-US" w:eastAsia="zh-CN" w:bidi="ar-SA"/>
        </w:rPr>
        <w:t>2.落实政府采购政策需满足的资格要求：</w:t>
      </w:r>
      <w:bookmarkStart w:id="7" w:name="_Toc18990"/>
    </w:p>
    <w:p w14:paraId="0964CA66">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r>
        <w:rPr>
          <w:rFonts w:hint="eastAsia" w:ascii="仿宋" w:hAnsi="仿宋" w:eastAsia="仿宋" w:cs="仿宋"/>
          <w:color w:val="1F1F1F"/>
          <w:spacing w:val="-2"/>
          <w:kern w:val="2"/>
          <w:sz w:val="24"/>
          <w:szCs w:val="24"/>
          <w:lang w:val="en-US" w:eastAsia="zh-CN" w:bidi="ar-SA"/>
        </w:rPr>
        <w:t>2.1中小企业政策</w:t>
      </w:r>
      <w:bookmarkEnd w:id="7"/>
      <w:r>
        <w:rPr>
          <w:rFonts w:hint="eastAsia" w:ascii="仿宋" w:hAnsi="仿宋" w:eastAsia="仿宋" w:cs="仿宋"/>
          <w:color w:val="1F1F1F"/>
          <w:spacing w:val="-2"/>
          <w:kern w:val="2"/>
          <w:sz w:val="24"/>
          <w:szCs w:val="24"/>
          <w:lang w:val="en-US" w:eastAsia="zh-CN" w:bidi="ar-SA"/>
        </w:rPr>
        <w:t>：本项目专门面向中小企业采购。即：提供的货物或服务全部由符合政策要求的中小/小微企业制造、服务全部由符合政策要求的中小/小微企业承接。</w:t>
      </w:r>
    </w:p>
    <w:p w14:paraId="0079EB65">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r>
        <w:rPr>
          <w:rFonts w:hint="eastAsia" w:ascii="仿宋" w:hAnsi="仿宋" w:eastAsia="仿宋" w:cs="仿宋"/>
          <w:color w:val="1F1F1F"/>
          <w:spacing w:val="-2"/>
          <w:kern w:val="2"/>
          <w:sz w:val="24"/>
          <w:szCs w:val="24"/>
          <w:lang w:val="en-US" w:eastAsia="zh-CN" w:bidi="ar-SA"/>
        </w:rPr>
        <w:t>2.2其它落实政府采购政策的资格要求</w:t>
      </w:r>
    </w:p>
    <w:p w14:paraId="4B394673">
      <w:pPr>
        <w:pStyle w:val="10"/>
        <w:pageBreakBefore w:val="0"/>
        <w:wordWrap w:val="0"/>
        <w:overflowPunct/>
        <w:bidi w:val="0"/>
        <w:spacing w:before="43" w:line="222" w:lineRule="auto"/>
        <w:ind w:left="610"/>
        <w:rPr>
          <w:rFonts w:hint="default" w:ascii="仿宋" w:hAnsi="仿宋" w:eastAsia="仿宋" w:cs="仿宋"/>
          <w:color w:val="1F1F1F"/>
          <w:spacing w:val="-2"/>
          <w:kern w:val="2"/>
          <w:sz w:val="24"/>
          <w:szCs w:val="24"/>
          <w:lang w:val="en-US" w:eastAsia="zh-CN" w:bidi="ar-SA"/>
        </w:rPr>
      </w:pPr>
      <w:r>
        <w:rPr>
          <w:rFonts w:hint="default" w:ascii="仿宋" w:hAnsi="仿宋" w:eastAsia="仿宋" w:cs="仿宋"/>
          <w:color w:val="1F1F1F"/>
          <w:spacing w:val="-2"/>
          <w:kern w:val="2"/>
          <w:sz w:val="24"/>
          <w:szCs w:val="24"/>
          <w:lang w:val="en-US" w:eastAsia="zh-CN" w:bidi="ar-SA"/>
        </w:rPr>
        <w:t>(1)财政部、国家发展改革委、生态环境部、市场监管总局《关于调整优化节能产品、环境标志产品政府采购执行机制的通知》(财库[2019]9号);</w:t>
      </w:r>
    </w:p>
    <w:p w14:paraId="32BDF411">
      <w:pPr>
        <w:pStyle w:val="10"/>
        <w:pageBreakBefore w:val="0"/>
        <w:wordWrap w:val="0"/>
        <w:overflowPunct/>
        <w:bidi w:val="0"/>
        <w:spacing w:before="43" w:line="222" w:lineRule="auto"/>
        <w:ind w:left="610"/>
        <w:rPr>
          <w:rFonts w:hint="default" w:ascii="仿宋" w:hAnsi="仿宋" w:eastAsia="仿宋" w:cs="仿宋"/>
          <w:color w:val="1F1F1F"/>
          <w:spacing w:val="-2"/>
          <w:kern w:val="2"/>
          <w:sz w:val="24"/>
          <w:szCs w:val="24"/>
          <w:lang w:val="en-US" w:eastAsia="zh-CN" w:bidi="ar-SA"/>
        </w:rPr>
      </w:pPr>
      <w:r>
        <w:rPr>
          <w:rFonts w:hint="default" w:ascii="仿宋" w:hAnsi="仿宋" w:eastAsia="仿宋" w:cs="仿宋"/>
          <w:color w:val="1F1F1F"/>
          <w:spacing w:val="-2"/>
          <w:kern w:val="2"/>
          <w:sz w:val="24"/>
          <w:szCs w:val="24"/>
          <w:lang w:val="en-US" w:eastAsia="zh-CN" w:bidi="ar-SA"/>
        </w:rPr>
        <w:t>(2)财政部、生态环境部《关于印发环境标志产品政府采购品目清单的通知》(财库[2019]18号)</w:t>
      </w:r>
      <w:r>
        <w:rPr>
          <w:rFonts w:hint="eastAsia" w:ascii="仿宋" w:hAnsi="仿宋" w:eastAsia="仿宋" w:cs="仿宋"/>
          <w:color w:val="1F1F1F"/>
          <w:spacing w:val="-2"/>
          <w:kern w:val="2"/>
          <w:sz w:val="24"/>
          <w:szCs w:val="24"/>
          <w:lang w:val="en-US" w:eastAsia="zh-CN" w:bidi="ar-SA"/>
        </w:rPr>
        <w:t>；</w:t>
      </w:r>
    </w:p>
    <w:p w14:paraId="2B968BBB">
      <w:pPr>
        <w:pStyle w:val="10"/>
        <w:pageBreakBefore w:val="0"/>
        <w:wordWrap w:val="0"/>
        <w:overflowPunct/>
        <w:bidi w:val="0"/>
        <w:spacing w:before="43" w:line="222" w:lineRule="auto"/>
        <w:ind w:left="610"/>
        <w:rPr>
          <w:rFonts w:hint="default" w:ascii="仿宋" w:hAnsi="仿宋" w:eastAsia="仿宋" w:cs="仿宋"/>
          <w:color w:val="1F1F1F"/>
          <w:spacing w:val="-2"/>
          <w:kern w:val="2"/>
          <w:sz w:val="24"/>
          <w:szCs w:val="24"/>
          <w:lang w:val="en-US" w:eastAsia="zh-CN" w:bidi="ar-SA"/>
        </w:rPr>
      </w:pPr>
      <w:r>
        <w:rPr>
          <w:rFonts w:hint="default" w:ascii="仿宋" w:hAnsi="仿宋" w:eastAsia="仿宋" w:cs="仿宋"/>
          <w:color w:val="1F1F1F"/>
          <w:spacing w:val="-2"/>
          <w:kern w:val="2"/>
          <w:sz w:val="24"/>
          <w:szCs w:val="24"/>
          <w:lang w:val="en-US" w:eastAsia="zh-CN" w:bidi="ar-SA"/>
        </w:rPr>
        <w:t>(3)财政部、发展改革委《关于印发节能产品政府采购品目清单的通知》(财库[2019]19号);</w:t>
      </w:r>
    </w:p>
    <w:p w14:paraId="5430D9D1">
      <w:pPr>
        <w:pStyle w:val="10"/>
        <w:pageBreakBefore w:val="0"/>
        <w:wordWrap w:val="0"/>
        <w:overflowPunct/>
        <w:bidi w:val="0"/>
        <w:spacing w:before="43" w:line="222" w:lineRule="auto"/>
        <w:ind w:left="610"/>
        <w:rPr>
          <w:rFonts w:hint="default" w:ascii="仿宋" w:hAnsi="仿宋" w:eastAsia="仿宋" w:cs="仿宋"/>
          <w:color w:val="1F1F1F"/>
          <w:spacing w:val="-2"/>
          <w:kern w:val="2"/>
          <w:sz w:val="24"/>
          <w:szCs w:val="24"/>
          <w:lang w:val="en-US" w:eastAsia="zh-CN" w:bidi="ar-SA"/>
        </w:rPr>
      </w:pPr>
      <w:r>
        <w:rPr>
          <w:rFonts w:hint="default" w:ascii="仿宋" w:hAnsi="仿宋" w:eastAsia="仿宋" w:cs="仿宋"/>
          <w:color w:val="1F1F1F"/>
          <w:spacing w:val="-2"/>
          <w:kern w:val="2"/>
          <w:sz w:val="24"/>
          <w:szCs w:val="24"/>
          <w:lang w:val="en-US" w:eastAsia="zh-CN" w:bidi="ar-SA"/>
        </w:rPr>
        <w:t>(4)市场监管总局《市场监管总局关于发布参与实施政府采购节能产品、环境标志产品认证机构名录的公告》(2019年第16号);</w:t>
      </w:r>
    </w:p>
    <w:p w14:paraId="5BAFD2FA">
      <w:pPr>
        <w:pStyle w:val="10"/>
        <w:pageBreakBefore w:val="0"/>
        <w:wordWrap w:val="0"/>
        <w:overflowPunct/>
        <w:bidi w:val="0"/>
        <w:spacing w:before="43" w:line="222" w:lineRule="auto"/>
        <w:ind w:left="610"/>
        <w:rPr>
          <w:rFonts w:hint="default" w:ascii="仿宋" w:hAnsi="仿宋" w:eastAsia="仿宋" w:cs="仿宋"/>
          <w:color w:val="1F1F1F"/>
          <w:spacing w:val="-2"/>
          <w:kern w:val="2"/>
          <w:sz w:val="24"/>
          <w:szCs w:val="24"/>
          <w:lang w:val="en-US" w:eastAsia="zh-CN" w:bidi="ar-SA"/>
        </w:rPr>
      </w:pPr>
      <w:r>
        <w:rPr>
          <w:rFonts w:hint="default" w:ascii="仿宋" w:hAnsi="仿宋" w:eastAsia="仿宋" w:cs="仿宋"/>
          <w:color w:val="1F1F1F"/>
          <w:spacing w:val="-2"/>
          <w:kern w:val="2"/>
          <w:sz w:val="24"/>
          <w:szCs w:val="24"/>
          <w:lang w:val="en-US" w:eastAsia="zh-CN" w:bidi="ar-SA"/>
        </w:rPr>
        <w:t>(5)财政部、工业和信息化部《关于印发《政府采购促进中小企业发展管理办法》的通知》(财库[2020]46号)《关于进一步加大政府采购支持中小企业力度的通知》(财库[2022]19号)执行;</w:t>
      </w:r>
    </w:p>
    <w:p w14:paraId="19E04A62">
      <w:pPr>
        <w:pStyle w:val="10"/>
        <w:pageBreakBefore w:val="0"/>
        <w:wordWrap w:val="0"/>
        <w:overflowPunct/>
        <w:bidi w:val="0"/>
        <w:spacing w:before="43" w:line="222" w:lineRule="auto"/>
        <w:ind w:left="610"/>
        <w:rPr>
          <w:rFonts w:hint="default" w:ascii="仿宋" w:hAnsi="仿宋" w:eastAsia="仿宋" w:cs="仿宋"/>
          <w:color w:val="1F1F1F"/>
          <w:spacing w:val="-2"/>
          <w:kern w:val="2"/>
          <w:sz w:val="24"/>
          <w:szCs w:val="24"/>
          <w:lang w:val="en-US" w:eastAsia="zh-CN" w:bidi="ar-SA"/>
        </w:rPr>
      </w:pPr>
      <w:r>
        <w:rPr>
          <w:rFonts w:hint="default" w:ascii="仿宋" w:hAnsi="仿宋" w:eastAsia="仿宋" w:cs="仿宋"/>
          <w:color w:val="1F1F1F"/>
          <w:spacing w:val="-2"/>
          <w:kern w:val="2"/>
          <w:sz w:val="24"/>
          <w:szCs w:val="24"/>
          <w:lang w:val="en-US" w:eastAsia="zh-CN" w:bidi="ar-SA"/>
        </w:rPr>
        <w:t>(6)财政部、民政部、中国残疾人联合会《关于促进残疾人就业政府采购政策的通知》(财库[2017]141号)</w:t>
      </w:r>
      <w:r>
        <w:rPr>
          <w:rFonts w:hint="eastAsia" w:ascii="仿宋" w:hAnsi="仿宋" w:eastAsia="仿宋" w:cs="仿宋"/>
          <w:color w:val="1F1F1F"/>
          <w:spacing w:val="-2"/>
          <w:kern w:val="2"/>
          <w:sz w:val="24"/>
          <w:szCs w:val="24"/>
          <w:lang w:val="en-US" w:eastAsia="zh-CN" w:bidi="ar-SA"/>
        </w:rPr>
        <w:t>；</w:t>
      </w:r>
    </w:p>
    <w:p w14:paraId="215F9EA5">
      <w:pPr>
        <w:pStyle w:val="10"/>
        <w:pageBreakBefore w:val="0"/>
        <w:wordWrap w:val="0"/>
        <w:overflowPunct/>
        <w:bidi w:val="0"/>
        <w:spacing w:before="43" w:line="222" w:lineRule="auto"/>
        <w:ind w:left="610"/>
        <w:rPr>
          <w:rFonts w:hint="default" w:ascii="仿宋" w:hAnsi="仿宋" w:eastAsia="仿宋" w:cs="仿宋"/>
          <w:color w:val="1F1F1F"/>
          <w:spacing w:val="-2"/>
          <w:kern w:val="2"/>
          <w:sz w:val="24"/>
          <w:szCs w:val="24"/>
          <w:lang w:val="en-US" w:eastAsia="zh-CN" w:bidi="ar-SA"/>
        </w:rPr>
      </w:pPr>
      <w:r>
        <w:rPr>
          <w:rFonts w:hint="default" w:ascii="仿宋" w:hAnsi="仿宋" w:eastAsia="仿宋" w:cs="仿宋"/>
          <w:color w:val="1F1F1F"/>
          <w:spacing w:val="-2"/>
          <w:kern w:val="2"/>
          <w:sz w:val="24"/>
          <w:szCs w:val="24"/>
          <w:lang w:val="en-US" w:eastAsia="zh-CN" w:bidi="ar-SA"/>
        </w:rPr>
        <w:t>(7)财政部、司法部《关于政府采购支持JY企业发展有关问题的通知》(财库[2014]68号)</w:t>
      </w:r>
      <w:r>
        <w:rPr>
          <w:rFonts w:hint="eastAsia" w:ascii="仿宋" w:hAnsi="仿宋" w:eastAsia="仿宋" w:cs="仿宋"/>
          <w:color w:val="1F1F1F"/>
          <w:spacing w:val="-2"/>
          <w:kern w:val="2"/>
          <w:sz w:val="24"/>
          <w:szCs w:val="24"/>
          <w:lang w:val="en-US" w:eastAsia="zh-CN" w:bidi="ar-SA"/>
        </w:rPr>
        <w:t>；</w:t>
      </w:r>
    </w:p>
    <w:p w14:paraId="5200401C">
      <w:pPr>
        <w:pStyle w:val="10"/>
        <w:pageBreakBefore w:val="0"/>
        <w:wordWrap w:val="0"/>
        <w:overflowPunct/>
        <w:bidi w:val="0"/>
        <w:spacing w:before="43" w:line="222" w:lineRule="auto"/>
        <w:ind w:left="610"/>
        <w:rPr>
          <w:rFonts w:hint="default" w:ascii="仿宋" w:hAnsi="仿宋" w:eastAsia="仿宋" w:cs="仿宋"/>
          <w:color w:val="1F1F1F"/>
          <w:spacing w:val="-2"/>
          <w:kern w:val="2"/>
          <w:sz w:val="24"/>
          <w:szCs w:val="24"/>
          <w:lang w:val="en-US" w:eastAsia="zh-CN" w:bidi="ar-SA"/>
        </w:rPr>
      </w:pPr>
      <w:r>
        <w:rPr>
          <w:rFonts w:hint="default" w:ascii="仿宋" w:hAnsi="仿宋" w:eastAsia="仿宋" w:cs="仿宋"/>
          <w:color w:val="1F1F1F"/>
          <w:spacing w:val="-2"/>
          <w:kern w:val="2"/>
          <w:sz w:val="24"/>
          <w:szCs w:val="24"/>
          <w:lang w:val="en-US" w:eastAsia="zh-CN" w:bidi="ar-SA"/>
        </w:rPr>
        <w:t>（8）财政部、生态环境部、国家邮政局《关于印发《商品包装政府采购需求标准（试行）》、《快递包装政府采购需求标准（试行）》的通知》（财办库〔2020〕123号）</w:t>
      </w:r>
      <w:r>
        <w:rPr>
          <w:rFonts w:hint="eastAsia" w:ascii="仿宋" w:hAnsi="仿宋" w:eastAsia="仿宋" w:cs="仿宋"/>
          <w:color w:val="1F1F1F"/>
          <w:spacing w:val="-2"/>
          <w:kern w:val="2"/>
          <w:sz w:val="24"/>
          <w:szCs w:val="24"/>
          <w:lang w:val="en-US" w:eastAsia="zh-CN" w:bidi="ar-SA"/>
        </w:rPr>
        <w:t>；</w:t>
      </w:r>
    </w:p>
    <w:p w14:paraId="5FBFDF4E">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r>
        <w:rPr>
          <w:rFonts w:hint="eastAsia" w:ascii="仿宋" w:hAnsi="仿宋" w:eastAsia="仿宋" w:cs="仿宋"/>
          <w:color w:val="1F1F1F"/>
          <w:spacing w:val="-2"/>
          <w:kern w:val="2"/>
          <w:sz w:val="24"/>
          <w:szCs w:val="24"/>
          <w:lang w:val="en-US" w:eastAsia="zh-CN" w:bidi="ar-SA"/>
        </w:rPr>
        <w:t>3.本项目的其他资格要求：</w:t>
      </w:r>
    </w:p>
    <w:p w14:paraId="262172FB">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r>
        <w:rPr>
          <w:rFonts w:hint="eastAsia" w:ascii="仿宋" w:hAnsi="仿宋" w:eastAsia="仿宋" w:cs="仿宋"/>
          <w:color w:val="1F1F1F"/>
          <w:spacing w:val="-2"/>
          <w:kern w:val="2"/>
          <w:sz w:val="24"/>
          <w:szCs w:val="24"/>
          <w:lang w:val="en-US" w:eastAsia="zh-CN" w:bidi="ar-SA"/>
        </w:rPr>
        <w:t>(1)具有独立承担民事责任的能力：提供在中华人民共和国境内注册的法人或其他组织的营业执照或事业单位法人证书或社会团体法人登记证书复印件；如供应商为自然人的提供自然人身份证明复印件；如国家另有规定的，则从其规定。</w:t>
      </w:r>
    </w:p>
    <w:p w14:paraId="4E8C9636">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r>
        <w:rPr>
          <w:rFonts w:hint="eastAsia" w:ascii="仿宋" w:hAnsi="仿宋" w:eastAsia="仿宋" w:cs="仿宋"/>
          <w:color w:val="1F1F1F"/>
          <w:spacing w:val="-2"/>
          <w:kern w:val="2"/>
          <w:sz w:val="24"/>
          <w:szCs w:val="24"/>
          <w:lang w:val="en-US" w:eastAsia="zh-CN" w:bidi="ar-SA"/>
        </w:rPr>
        <w:t>(2)具有良好的商业信誉和健全的财务会计制度：投标人需提供2024或2025年度由第三方审计机构出具的在注册会计师行业统一监管平台备案赋码的财务审计报告(会计周期不满一年的按实际发生情况提供银行出具的资信证明）和单独提供健全的财务会计制度。</w:t>
      </w:r>
    </w:p>
    <w:p w14:paraId="4CF9370F">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r>
        <w:rPr>
          <w:rFonts w:hint="eastAsia" w:ascii="仿宋" w:hAnsi="仿宋" w:eastAsia="仿宋" w:cs="仿宋"/>
          <w:color w:val="1F1F1F"/>
          <w:spacing w:val="-2"/>
          <w:kern w:val="2"/>
          <w:sz w:val="24"/>
          <w:szCs w:val="24"/>
          <w:lang w:val="en-US" w:eastAsia="zh-CN" w:bidi="ar-SA"/>
        </w:rPr>
        <w:t>(3)具有履行合同所必需的设备和专业技术能力：投标人须提供此项《声明函》</w:t>
      </w:r>
    </w:p>
    <w:p w14:paraId="3FEC150C">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r>
        <w:rPr>
          <w:rFonts w:hint="eastAsia" w:ascii="仿宋" w:hAnsi="仿宋" w:eastAsia="仿宋" w:cs="仿宋"/>
          <w:color w:val="1F1F1F"/>
          <w:spacing w:val="-2"/>
          <w:kern w:val="2"/>
          <w:sz w:val="24"/>
          <w:szCs w:val="24"/>
          <w:lang w:val="en-US" w:eastAsia="zh-CN" w:bidi="ar-SA"/>
        </w:rPr>
        <w:t>(4)有依法缴纳税收和社会保障资金的良好记录：①提供税务机关出具近三个月的完税证明或无欠税证明（新成立不足三个月的公司按实际发生提供，成立时间超过三个月的零申报的需提供依法报税资料），注：以完税证明税款所属日期为准，代缴税的完税证明不作为税务缴费凭证（如社保缴税等）；如依法免税的，应提供相应文件证明；②提供近段时间内法人(指本单位)连续3个月（指2026年2月-2026年4月）的缴纳社保证明材料，成立不足3个月的公司按实际发生提供，如依法不需要缴纳社会保障资金的，应提供相应文件证明）；</w:t>
      </w:r>
    </w:p>
    <w:p w14:paraId="3C5B0C61">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r>
        <w:rPr>
          <w:rFonts w:hint="eastAsia" w:ascii="仿宋" w:hAnsi="仿宋" w:eastAsia="仿宋" w:cs="仿宋"/>
          <w:color w:val="1F1F1F"/>
          <w:spacing w:val="-2"/>
          <w:kern w:val="2"/>
          <w:sz w:val="24"/>
          <w:szCs w:val="24"/>
          <w:lang w:val="en-US" w:eastAsia="zh-CN" w:bidi="ar-SA"/>
        </w:rPr>
        <w:t>(5)投标人近三年内如在“信用中国网www.creditchina.gov.cn”被列入失信被执行人、企业经营异常名录、重大税收违法案件当事人名单、政府采购严重违法失信行为记录名单（尚在处罚期内的）；在“中国政府采购网（www.ccgp.gov.cn）”被列入政府采购严重违法失信行为记录名单的（尚在处罚期内的）；将拒绝其参加本次政府采购活动；</w:t>
      </w:r>
    </w:p>
    <w:p w14:paraId="04449A16">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r>
        <w:rPr>
          <w:rFonts w:hint="eastAsia" w:ascii="仿宋" w:hAnsi="仿宋" w:eastAsia="仿宋" w:cs="仿宋"/>
          <w:color w:val="1F1F1F"/>
          <w:spacing w:val="-2"/>
          <w:kern w:val="2"/>
          <w:sz w:val="24"/>
          <w:szCs w:val="24"/>
          <w:lang w:val="en-US" w:eastAsia="zh-CN" w:bidi="ar-SA"/>
        </w:rPr>
        <w:t>(6)参加采购活动前3年内，在经营活动中没有重大违法记录（投标人须提供此项《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73DBCE5">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r>
        <w:rPr>
          <w:rFonts w:hint="eastAsia" w:ascii="仿宋" w:hAnsi="仿宋" w:eastAsia="仿宋" w:cs="仿宋"/>
          <w:color w:val="1F1F1F"/>
          <w:spacing w:val="-2"/>
          <w:kern w:val="2"/>
          <w:sz w:val="24"/>
          <w:szCs w:val="24"/>
          <w:lang w:val="en-US" w:eastAsia="zh-CN" w:bidi="ar-SA"/>
        </w:rPr>
        <w:t>(7)单位负责人为同一人或者存在直接控股、管理关系的不同投标人，不得参加同一合同项下的政府采购活动（投标人须提供此项《声明函》）。</w:t>
      </w:r>
    </w:p>
    <w:p w14:paraId="5CCF7948">
      <w:pPr>
        <w:pStyle w:val="10"/>
        <w:pageBreakBefore w:val="0"/>
        <w:wordWrap w:val="0"/>
        <w:overflowPunct/>
        <w:bidi w:val="0"/>
        <w:spacing w:before="43" w:line="222" w:lineRule="auto"/>
        <w:ind w:left="610"/>
        <w:rPr>
          <w:rFonts w:hint="default"/>
          <w:lang w:val="en-US" w:eastAsia="zh-CN"/>
        </w:rPr>
      </w:pPr>
      <w:r>
        <w:rPr>
          <w:rFonts w:hint="eastAsia" w:ascii="仿宋" w:hAnsi="仿宋" w:eastAsia="仿宋" w:cs="仿宋"/>
          <w:color w:val="1F1F1F"/>
          <w:spacing w:val="-2"/>
          <w:kern w:val="2"/>
          <w:sz w:val="24"/>
          <w:szCs w:val="24"/>
          <w:lang w:val="en-US" w:eastAsia="zh-CN" w:bidi="ar-SA"/>
        </w:rPr>
        <w:t>(8)投标保证金或电子保函：7000元（大写：柒仟元整）；</w:t>
      </w:r>
    </w:p>
    <w:p w14:paraId="1B2FC338">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r>
        <w:rPr>
          <w:rFonts w:hint="eastAsia" w:ascii="仿宋" w:hAnsi="仿宋" w:eastAsia="仿宋" w:cs="仿宋"/>
          <w:color w:val="1F1F1F"/>
          <w:spacing w:val="-2"/>
          <w:kern w:val="2"/>
          <w:sz w:val="24"/>
          <w:szCs w:val="24"/>
          <w:lang w:val="en-US" w:eastAsia="zh-CN" w:bidi="ar-SA"/>
        </w:rPr>
        <w:t>4.本项目的特定资格要求：</w:t>
      </w:r>
    </w:p>
    <w:p w14:paraId="67420F86">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r>
        <w:rPr>
          <w:rFonts w:hint="eastAsia" w:ascii="仿宋" w:hAnsi="仿宋" w:eastAsia="仿宋" w:cs="仿宋"/>
          <w:color w:val="1F1F1F"/>
          <w:spacing w:val="-2"/>
          <w:kern w:val="2"/>
          <w:sz w:val="24"/>
          <w:szCs w:val="24"/>
          <w:lang w:val="en-US" w:eastAsia="zh-CN" w:bidi="ar-SA"/>
        </w:rPr>
        <w:t>（1）投标人须具有由财政部门颁发的有效会计师事务所执业证书，不具备上述条件的投标人，须与一家会计事务所组成联合体参与投标；</w:t>
      </w:r>
    </w:p>
    <w:p w14:paraId="75E1CF32">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r>
        <w:rPr>
          <w:rFonts w:hint="eastAsia" w:ascii="仿宋" w:hAnsi="仿宋" w:eastAsia="仿宋" w:cs="仿宋"/>
          <w:color w:val="1F1F1F"/>
          <w:spacing w:val="-2"/>
          <w:kern w:val="2"/>
          <w:sz w:val="24"/>
          <w:szCs w:val="24"/>
          <w:lang w:val="en-US" w:eastAsia="zh-CN" w:bidi="ar-SA"/>
        </w:rPr>
        <w:t>（2）拟派本项目的项目总负责人需具有建设部颁发的本单位注册的一级注册造价工程师资格证；</w:t>
      </w:r>
    </w:p>
    <w:p w14:paraId="74E319F5">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r>
        <w:rPr>
          <w:rFonts w:hint="eastAsia" w:ascii="仿宋" w:hAnsi="仿宋" w:eastAsia="仿宋" w:cs="仿宋"/>
          <w:color w:val="1F1F1F"/>
          <w:spacing w:val="-2"/>
          <w:kern w:val="2"/>
          <w:sz w:val="24"/>
          <w:szCs w:val="24"/>
          <w:lang w:val="en-US" w:eastAsia="zh-CN" w:bidi="ar-SA"/>
        </w:rPr>
        <w:t>（3）决算阶段负责人须具有注册会计师执业资格证书，且在本单位注册；</w:t>
      </w:r>
    </w:p>
    <w:p w14:paraId="53A2BB94">
      <w:pPr>
        <w:pStyle w:val="10"/>
        <w:pageBreakBefore w:val="0"/>
        <w:wordWrap w:val="0"/>
        <w:overflowPunct/>
        <w:bidi w:val="0"/>
        <w:spacing w:before="43" w:line="222" w:lineRule="auto"/>
        <w:ind w:left="610"/>
        <w:rPr>
          <w:rFonts w:hint="eastAsia" w:ascii="仿宋" w:hAnsi="仿宋" w:eastAsia="仿宋" w:cs="仿宋"/>
          <w:b/>
          <w:bCs/>
          <w:color w:val="1F1F1F"/>
          <w:spacing w:val="-2"/>
          <w:kern w:val="2"/>
          <w:sz w:val="24"/>
          <w:szCs w:val="24"/>
          <w:lang w:val="en-US" w:eastAsia="zh-CN" w:bidi="ar-SA"/>
        </w:rPr>
      </w:pPr>
      <w:bookmarkStart w:id="8" w:name="_Toc31376"/>
      <w:r>
        <w:rPr>
          <w:rFonts w:hint="eastAsia" w:ascii="仿宋" w:hAnsi="仿宋" w:eastAsia="仿宋" w:cs="仿宋"/>
          <w:b/>
          <w:bCs/>
          <w:color w:val="1F1F1F"/>
          <w:spacing w:val="-2"/>
          <w:kern w:val="2"/>
          <w:sz w:val="24"/>
          <w:szCs w:val="24"/>
          <w:lang w:val="en-US" w:eastAsia="zh-CN" w:bidi="ar-SA"/>
        </w:rPr>
        <w:t>三、获取采购文件</w:t>
      </w:r>
      <w:bookmarkEnd w:id="8"/>
    </w:p>
    <w:p w14:paraId="462B872A">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r>
        <w:rPr>
          <w:rFonts w:hint="eastAsia" w:ascii="仿宋" w:hAnsi="仿宋" w:eastAsia="仿宋" w:cs="仿宋"/>
          <w:color w:val="1F1F1F"/>
          <w:spacing w:val="-2"/>
          <w:kern w:val="2"/>
          <w:sz w:val="24"/>
          <w:szCs w:val="24"/>
          <w:lang w:val="en-US" w:eastAsia="zh-CN" w:bidi="ar-SA"/>
        </w:rPr>
        <w:t>时间：</w:t>
      </w:r>
      <w:r>
        <w:rPr>
          <w:rFonts w:hint="eastAsia" w:ascii="仿宋" w:hAnsi="仿宋" w:eastAsia="仿宋" w:cs="仿宋"/>
          <w:color w:val="1F1F1F"/>
          <w:spacing w:val="-2"/>
          <w:kern w:val="2"/>
          <w:sz w:val="24"/>
          <w:szCs w:val="24"/>
          <w:highlight w:val="none"/>
          <w:lang w:val="en-US" w:eastAsia="zh-CN" w:bidi="ar-SA"/>
        </w:rPr>
        <w:t>2026年5月22日至2026年6月3日，每天上午0</w:t>
      </w:r>
      <w:r>
        <w:rPr>
          <w:rFonts w:hint="eastAsia" w:ascii="仿宋" w:hAnsi="仿宋" w:eastAsia="仿宋" w:cs="仿宋"/>
          <w:color w:val="1F1F1F"/>
          <w:spacing w:val="-2"/>
          <w:kern w:val="2"/>
          <w:sz w:val="24"/>
          <w:szCs w:val="24"/>
          <w:lang w:val="en-US" w:eastAsia="zh-CN" w:bidi="ar-SA"/>
        </w:rPr>
        <w:t>0:00至14:00，下午14:00至23:59（北京时间，法定节假日除外）</w:t>
      </w:r>
    </w:p>
    <w:p w14:paraId="4BA0F92A">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bookmarkStart w:id="9" w:name="_Toc31766"/>
      <w:r>
        <w:rPr>
          <w:rFonts w:hint="eastAsia" w:ascii="仿宋" w:hAnsi="仿宋" w:eastAsia="仿宋" w:cs="仿宋"/>
          <w:color w:val="1F1F1F"/>
          <w:spacing w:val="-2"/>
          <w:kern w:val="2"/>
          <w:sz w:val="24"/>
          <w:szCs w:val="24"/>
          <w:lang w:val="en-US" w:eastAsia="zh-CN" w:bidi="ar-SA"/>
        </w:rPr>
        <w:t>地点：政采云平台线上</w:t>
      </w:r>
      <w:bookmarkEnd w:id="9"/>
    </w:p>
    <w:p w14:paraId="3D8E5608">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r>
        <w:rPr>
          <w:rFonts w:hint="eastAsia" w:ascii="仿宋" w:hAnsi="仿宋" w:eastAsia="仿宋" w:cs="仿宋"/>
          <w:color w:val="1F1F1F"/>
          <w:spacing w:val="-2"/>
          <w:kern w:val="2"/>
          <w:sz w:val="24"/>
          <w:szCs w:val="24"/>
          <w:lang w:val="en-US" w:eastAsia="zh-CN" w:bidi="ar-SA"/>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35887F60">
      <w:pPr>
        <w:pStyle w:val="10"/>
        <w:pageBreakBefore w:val="0"/>
        <w:wordWrap w:val="0"/>
        <w:overflowPunct/>
        <w:bidi w:val="0"/>
        <w:spacing w:before="43" w:line="222" w:lineRule="auto"/>
        <w:ind w:left="610"/>
        <w:rPr>
          <w:rFonts w:hint="eastAsia"/>
          <w:lang w:val="en-US" w:eastAsia="zh-CN"/>
        </w:rPr>
      </w:pPr>
      <w:r>
        <w:rPr>
          <w:rFonts w:hint="eastAsia" w:ascii="仿宋" w:hAnsi="仿宋" w:eastAsia="仿宋" w:cs="仿宋"/>
          <w:color w:val="1F1F1F"/>
          <w:spacing w:val="-2"/>
          <w:kern w:val="2"/>
          <w:sz w:val="24"/>
          <w:szCs w:val="24"/>
          <w:lang w:val="en-US" w:eastAsia="zh-CN" w:bidi="ar-SA"/>
        </w:rPr>
        <w:t>售价（元）：0</w:t>
      </w:r>
    </w:p>
    <w:p w14:paraId="1C207102">
      <w:pPr>
        <w:pStyle w:val="10"/>
        <w:pageBreakBefore w:val="0"/>
        <w:wordWrap w:val="0"/>
        <w:overflowPunct/>
        <w:bidi w:val="0"/>
        <w:spacing w:before="43" w:line="222" w:lineRule="auto"/>
        <w:ind w:left="610"/>
        <w:rPr>
          <w:rFonts w:hint="eastAsia" w:ascii="仿宋" w:hAnsi="仿宋" w:eastAsia="仿宋" w:cs="仿宋"/>
          <w:b/>
          <w:bCs/>
          <w:color w:val="1F1F1F"/>
          <w:spacing w:val="-2"/>
          <w:kern w:val="2"/>
          <w:sz w:val="24"/>
          <w:szCs w:val="24"/>
          <w:lang w:val="en-US" w:eastAsia="zh-CN" w:bidi="ar-SA"/>
        </w:rPr>
      </w:pPr>
      <w:bookmarkStart w:id="10" w:name="_Toc5136"/>
      <w:r>
        <w:rPr>
          <w:rFonts w:hint="eastAsia" w:ascii="仿宋" w:hAnsi="仿宋" w:eastAsia="仿宋" w:cs="仿宋"/>
          <w:b/>
          <w:bCs/>
          <w:color w:val="1F1F1F"/>
          <w:spacing w:val="-2"/>
          <w:kern w:val="2"/>
          <w:sz w:val="24"/>
          <w:szCs w:val="24"/>
          <w:lang w:val="en-US" w:eastAsia="zh-CN" w:bidi="ar-SA"/>
        </w:rPr>
        <w:t>四、响应文件提交</w:t>
      </w:r>
      <w:bookmarkEnd w:id="10"/>
    </w:p>
    <w:p w14:paraId="65F91E01">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bookmarkStart w:id="11" w:name="_Toc11827"/>
      <w:r>
        <w:rPr>
          <w:rFonts w:hint="eastAsia" w:ascii="仿宋" w:hAnsi="仿宋" w:eastAsia="仿宋" w:cs="仿宋"/>
          <w:color w:val="1F1F1F"/>
          <w:spacing w:val="-2"/>
          <w:kern w:val="2"/>
          <w:sz w:val="24"/>
          <w:szCs w:val="24"/>
          <w:lang w:val="en-US" w:eastAsia="zh-CN" w:bidi="ar-SA"/>
        </w:rPr>
        <w:t>截止时间：2026年6月4日11：00（北京时间）</w:t>
      </w:r>
    </w:p>
    <w:p w14:paraId="6E591844">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r>
        <w:rPr>
          <w:rFonts w:hint="eastAsia" w:ascii="仿宋" w:hAnsi="仿宋" w:eastAsia="仿宋" w:cs="仿宋"/>
          <w:color w:val="1F1F1F"/>
          <w:spacing w:val="-2"/>
          <w:kern w:val="2"/>
          <w:sz w:val="24"/>
          <w:szCs w:val="24"/>
          <w:lang w:val="en-US" w:eastAsia="zh-CN" w:bidi="ar-SA"/>
        </w:rPr>
        <w:t>地点：请登录政采云投标客户端投标</w:t>
      </w:r>
    </w:p>
    <w:p w14:paraId="4F56DA5F">
      <w:pPr>
        <w:pStyle w:val="10"/>
        <w:pageBreakBefore w:val="0"/>
        <w:numPr>
          <w:ilvl w:val="0"/>
          <w:numId w:val="1"/>
        </w:numPr>
        <w:wordWrap w:val="0"/>
        <w:overflowPunct/>
        <w:bidi w:val="0"/>
        <w:spacing w:before="43" w:line="222" w:lineRule="auto"/>
        <w:ind w:left="610"/>
        <w:rPr>
          <w:rFonts w:hint="eastAsia" w:ascii="仿宋" w:hAnsi="仿宋" w:eastAsia="仿宋" w:cs="仿宋"/>
          <w:b/>
          <w:bCs/>
          <w:color w:val="1F1F1F"/>
          <w:spacing w:val="-2"/>
          <w:kern w:val="2"/>
          <w:sz w:val="24"/>
          <w:szCs w:val="24"/>
          <w:lang w:val="en-US" w:eastAsia="zh-CN" w:bidi="ar-SA"/>
        </w:rPr>
      </w:pPr>
      <w:r>
        <w:rPr>
          <w:rFonts w:hint="eastAsia" w:ascii="仿宋" w:hAnsi="仿宋" w:eastAsia="仿宋" w:cs="仿宋"/>
          <w:b/>
          <w:bCs/>
          <w:color w:val="1F1F1F"/>
          <w:spacing w:val="-2"/>
          <w:kern w:val="2"/>
          <w:sz w:val="24"/>
          <w:szCs w:val="24"/>
          <w:lang w:val="en-US" w:eastAsia="zh-CN" w:bidi="ar-SA"/>
        </w:rPr>
        <w:t>响应文件开启</w:t>
      </w:r>
    </w:p>
    <w:p w14:paraId="765BAA64">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r>
        <w:rPr>
          <w:rFonts w:hint="eastAsia" w:ascii="仿宋" w:hAnsi="仿宋" w:eastAsia="仿宋" w:cs="仿宋"/>
          <w:color w:val="1F1F1F"/>
          <w:spacing w:val="-2"/>
          <w:kern w:val="2"/>
          <w:sz w:val="24"/>
          <w:szCs w:val="24"/>
          <w:lang w:val="en-US" w:eastAsia="zh-CN" w:bidi="ar-SA"/>
        </w:rPr>
        <w:t>开启时间：2026年6月4日11：00（北京时间）</w:t>
      </w:r>
    </w:p>
    <w:p w14:paraId="75ADCCD7">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r>
        <w:rPr>
          <w:rFonts w:hint="eastAsia" w:ascii="仿宋" w:hAnsi="仿宋" w:eastAsia="仿宋" w:cs="仿宋"/>
          <w:color w:val="1F1F1F"/>
          <w:spacing w:val="-2"/>
          <w:kern w:val="2"/>
          <w:sz w:val="24"/>
          <w:szCs w:val="24"/>
          <w:lang w:val="en-US" w:eastAsia="zh-CN" w:bidi="ar-SA"/>
        </w:rPr>
        <w:t>地点：投标人登录政采云平台https://www.zcygov.cn/，进入“项目采购-开标评标-右边选择对应项目点击“进入项目”进入开标大厅。</w:t>
      </w:r>
    </w:p>
    <w:p w14:paraId="6907ACA4">
      <w:pPr>
        <w:pStyle w:val="10"/>
        <w:pageBreakBefore w:val="0"/>
        <w:numPr>
          <w:ilvl w:val="0"/>
          <w:numId w:val="1"/>
        </w:numPr>
        <w:wordWrap w:val="0"/>
        <w:overflowPunct/>
        <w:bidi w:val="0"/>
        <w:spacing w:before="43" w:line="222" w:lineRule="auto"/>
        <w:ind w:left="610"/>
        <w:rPr>
          <w:rFonts w:hint="eastAsia" w:ascii="仿宋" w:hAnsi="仿宋" w:eastAsia="仿宋" w:cs="仿宋"/>
          <w:b/>
          <w:bCs/>
          <w:color w:val="1F1F1F"/>
          <w:spacing w:val="-2"/>
          <w:kern w:val="2"/>
          <w:sz w:val="24"/>
          <w:szCs w:val="24"/>
          <w:lang w:val="en-US" w:eastAsia="zh-CN" w:bidi="ar-SA"/>
        </w:rPr>
      </w:pPr>
      <w:r>
        <w:rPr>
          <w:rFonts w:hint="eastAsia" w:ascii="仿宋" w:hAnsi="仿宋" w:eastAsia="仿宋" w:cs="仿宋"/>
          <w:b/>
          <w:bCs/>
          <w:color w:val="1F1F1F"/>
          <w:spacing w:val="-2"/>
          <w:kern w:val="2"/>
          <w:sz w:val="24"/>
          <w:szCs w:val="24"/>
          <w:lang w:val="en-US" w:eastAsia="zh-CN" w:bidi="ar-SA"/>
        </w:rPr>
        <w:t>公告期限</w:t>
      </w:r>
      <w:bookmarkEnd w:id="11"/>
    </w:p>
    <w:p w14:paraId="1630EDD3">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r>
        <w:rPr>
          <w:rFonts w:hint="eastAsia" w:ascii="仿宋" w:hAnsi="仿宋" w:eastAsia="仿宋" w:cs="仿宋"/>
          <w:color w:val="1F1F1F"/>
          <w:spacing w:val="-2"/>
          <w:kern w:val="2"/>
          <w:sz w:val="24"/>
          <w:szCs w:val="24"/>
          <w:lang w:val="en-US" w:eastAsia="zh-CN" w:bidi="ar-SA"/>
        </w:rPr>
        <w:t>自本公告发布之日起3个工作日。</w:t>
      </w:r>
    </w:p>
    <w:p w14:paraId="556F72EE">
      <w:pPr>
        <w:pStyle w:val="10"/>
        <w:pageBreakBefore w:val="0"/>
        <w:numPr>
          <w:ilvl w:val="0"/>
          <w:numId w:val="1"/>
        </w:numPr>
        <w:wordWrap w:val="0"/>
        <w:overflowPunct/>
        <w:bidi w:val="0"/>
        <w:spacing w:before="43" w:line="222" w:lineRule="auto"/>
        <w:ind w:left="610"/>
        <w:rPr>
          <w:rFonts w:hint="eastAsia" w:ascii="仿宋" w:hAnsi="仿宋" w:eastAsia="仿宋" w:cs="仿宋"/>
          <w:b/>
          <w:bCs/>
          <w:color w:val="1F1F1F"/>
          <w:spacing w:val="-2"/>
          <w:kern w:val="2"/>
          <w:sz w:val="24"/>
          <w:szCs w:val="24"/>
          <w:lang w:val="en-US" w:eastAsia="zh-CN" w:bidi="ar-SA"/>
        </w:rPr>
      </w:pPr>
      <w:bookmarkStart w:id="12" w:name="_Toc21124"/>
      <w:r>
        <w:rPr>
          <w:rFonts w:hint="eastAsia" w:ascii="仿宋" w:hAnsi="仿宋" w:eastAsia="仿宋" w:cs="仿宋"/>
          <w:b/>
          <w:bCs/>
          <w:color w:val="1F1F1F"/>
          <w:spacing w:val="-2"/>
          <w:kern w:val="2"/>
          <w:sz w:val="24"/>
          <w:szCs w:val="24"/>
          <w:lang w:val="en-US" w:eastAsia="zh-CN" w:bidi="ar-SA"/>
        </w:rPr>
        <w:t>其他补充事宜</w:t>
      </w:r>
      <w:bookmarkEnd w:id="12"/>
    </w:p>
    <w:p w14:paraId="55E1FB27">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en-US" w:bidi="ar-SA"/>
        </w:rPr>
      </w:pPr>
      <w:bookmarkStart w:id="13" w:name="_Toc4645"/>
      <w:r>
        <w:rPr>
          <w:rFonts w:hint="eastAsia" w:ascii="仿宋" w:hAnsi="仿宋" w:eastAsia="仿宋" w:cs="仿宋"/>
          <w:color w:val="1F1F1F"/>
          <w:spacing w:val="-2"/>
          <w:kern w:val="2"/>
          <w:sz w:val="24"/>
          <w:szCs w:val="24"/>
          <w:lang w:val="en-US" w:eastAsia="en-US" w:bidi="ar-SA"/>
        </w:rPr>
        <w:t>1、本项目实行网上投标，采用电子投标文件。</w:t>
      </w:r>
    </w:p>
    <w:p w14:paraId="0631C327">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en-US" w:bidi="ar-SA"/>
        </w:rPr>
      </w:pPr>
      <w:r>
        <w:rPr>
          <w:rFonts w:hint="eastAsia" w:ascii="仿宋" w:hAnsi="仿宋" w:eastAsia="仿宋" w:cs="仿宋"/>
          <w:color w:val="1F1F1F"/>
          <w:spacing w:val="-2"/>
          <w:kern w:val="2"/>
          <w:sz w:val="24"/>
          <w:szCs w:val="24"/>
          <w:lang w:val="en-US" w:eastAsia="en-US" w:bidi="ar-SA"/>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303560CA">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en-US" w:bidi="ar-SA"/>
        </w:rPr>
      </w:pPr>
      <w:r>
        <w:rPr>
          <w:rFonts w:hint="eastAsia" w:ascii="仿宋" w:hAnsi="仿宋" w:eastAsia="仿宋" w:cs="仿宋"/>
          <w:color w:val="1F1F1F"/>
          <w:spacing w:val="-2"/>
          <w:kern w:val="2"/>
          <w:sz w:val="24"/>
          <w:szCs w:val="24"/>
          <w:lang w:val="en-US" w:eastAsia="en-US" w:bidi="ar-SA"/>
        </w:rPr>
        <w:t>3、供应商将政采云电子交易客户端下载、安装完成后，可通过账号密码或CA登录客户端进行投标文件的制作。在使用政采云投标客户端时，建议使用WIN7及以上操作系统。</w:t>
      </w:r>
    </w:p>
    <w:p w14:paraId="7BE11A36">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en-US" w:bidi="ar-SA"/>
        </w:rPr>
      </w:pPr>
      <w:r>
        <w:rPr>
          <w:rFonts w:hint="eastAsia" w:ascii="仿宋" w:hAnsi="仿宋" w:eastAsia="仿宋" w:cs="仿宋"/>
          <w:color w:val="1F1F1F"/>
          <w:spacing w:val="-2"/>
          <w:kern w:val="2"/>
          <w:sz w:val="24"/>
          <w:szCs w:val="24"/>
          <w:lang w:val="en-US" w:eastAsia="en-US" w:bidi="ar-SA"/>
        </w:rPr>
        <w:t>4、其他事项：1.本项目实行网上投标，采用响应文件电子标书；</w:t>
      </w:r>
    </w:p>
    <w:p w14:paraId="0E91E135">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en-US" w:bidi="ar-SA"/>
        </w:rPr>
      </w:pPr>
      <w:r>
        <w:rPr>
          <w:rFonts w:hint="eastAsia" w:ascii="仿宋" w:hAnsi="仿宋" w:eastAsia="仿宋" w:cs="仿宋"/>
          <w:color w:val="1F1F1F"/>
          <w:spacing w:val="-2"/>
          <w:kern w:val="2"/>
          <w:sz w:val="24"/>
          <w:szCs w:val="24"/>
          <w:lang w:val="en-US" w:eastAsia="en-US" w:bidi="ar-SA"/>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p>
    <w:p w14:paraId="4D71833C">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en-US" w:bidi="ar-SA"/>
        </w:rPr>
      </w:pPr>
      <w:r>
        <w:rPr>
          <w:rFonts w:hint="eastAsia" w:ascii="仿宋" w:hAnsi="仿宋" w:eastAsia="仿宋" w:cs="仿宋"/>
          <w:color w:val="1F1F1F"/>
          <w:spacing w:val="-2"/>
          <w:kern w:val="2"/>
          <w:sz w:val="24"/>
          <w:szCs w:val="24"/>
          <w:lang w:val="en-US" w:eastAsia="en-US" w:bidi="ar-SA"/>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r>
        <w:rPr>
          <w:rFonts w:hint="eastAsia" w:ascii="仿宋" w:hAnsi="仿宋" w:eastAsia="仿宋" w:cs="仿宋"/>
          <w:color w:val="1F1F1F"/>
          <w:spacing w:val="-2"/>
          <w:kern w:val="2"/>
          <w:sz w:val="24"/>
          <w:szCs w:val="24"/>
          <w:lang w:val="en-US" w:eastAsia="en-US" w:bidi="ar-SA"/>
        </w:rPr>
        <w:br w:type="textWrapping"/>
      </w:r>
      <w:r>
        <w:rPr>
          <w:rFonts w:hint="eastAsia" w:ascii="仿宋" w:hAnsi="仿宋" w:eastAsia="仿宋" w:cs="仿宋"/>
          <w:color w:val="1F1F1F"/>
          <w:spacing w:val="-2"/>
          <w:kern w:val="2"/>
          <w:sz w:val="24"/>
          <w:szCs w:val="24"/>
          <w:lang w:val="en-US" w:eastAsia="en-US" w:bidi="ar-SA"/>
        </w:rPr>
        <w:t>4.供应商应当在投标截止时间前，将生成的“电子加密投标文件”上传递交至“政府采购云平台”，投标截止时间以后上传递交的投标文件将被“政府采购云平台”拒收；</w:t>
      </w:r>
      <w:r>
        <w:rPr>
          <w:rFonts w:hint="eastAsia" w:ascii="仿宋" w:hAnsi="仿宋" w:eastAsia="仿宋" w:cs="仿宋"/>
          <w:color w:val="1F1F1F"/>
          <w:spacing w:val="-2"/>
          <w:kern w:val="2"/>
          <w:sz w:val="24"/>
          <w:szCs w:val="24"/>
          <w:lang w:val="en-US" w:eastAsia="en-US" w:bidi="ar-SA"/>
        </w:rPr>
        <w:br w:type="textWrapping"/>
      </w:r>
      <w:r>
        <w:rPr>
          <w:rFonts w:hint="eastAsia" w:ascii="仿宋" w:hAnsi="仿宋" w:eastAsia="仿宋" w:cs="仿宋"/>
          <w:color w:val="1F1F1F"/>
          <w:spacing w:val="-2"/>
          <w:kern w:val="2"/>
          <w:sz w:val="24"/>
          <w:szCs w:val="24"/>
          <w:lang w:val="en-US" w:eastAsia="en-US" w:bidi="ar-SA"/>
        </w:rPr>
        <w:t>5.供应商在开标前须提前配置好电脑浏览器（建议使用360浏览器或谷歌浏览器），开标时登录政采云平台，在“项目采购-开标评标”功能中，使用制作加密响应性文件电子标书的CA锁进行解密及报价确认。本项目投标文件的解密时间定为60分钟内，若供应商在规定时间内因自身原因导致无法正常解密，后果由供应商自行承担。</w:t>
      </w:r>
    </w:p>
    <w:p w14:paraId="266F8E1E">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en-US" w:bidi="ar-SA"/>
        </w:rPr>
      </w:pPr>
      <w:r>
        <w:rPr>
          <w:rFonts w:hint="eastAsia" w:ascii="仿宋" w:hAnsi="仿宋" w:eastAsia="仿宋" w:cs="仿宋"/>
          <w:b/>
          <w:bCs/>
          <w:color w:val="1F1F1F"/>
          <w:spacing w:val="-2"/>
          <w:kern w:val="2"/>
          <w:sz w:val="24"/>
          <w:szCs w:val="24"/>
          <w:lang w:val="en-US" w:eastAsia="en-US" w:bidi="ar-SA"/>
        </w:rPr>
        <w:t>特别提示</w:t>
      </w:r>
      <w:r>
        <w:rPr>
          <w:rFonts w:hint="eastAsia" w:ascii="仿宋" w:hAnsi="仿宋" w:eastAsia="仿宋" w:cs="仿宋"/>
          <w:color w:val="1F1F1F"/>
          <w:spacing w:val="-2"/>
          <w:kern w:val="2"/>
          <w:sz w:val="24"/>
          <w:szCs w:val="24"/>
          <w:lang w:val="en-US" w:eastAsia="en-US" w:bidi="ar-SA"/>
        </w:rPr>
        <w:t>：</w:t>
      </w:r>
    </w:p>
    <w:p w14:paraId="4DDA2B3B">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en-US" w:bidi="ar-SA"/>
        </w:rPr>
      </w:pPr>
      <w:r>
        <w:rPr>
          <w:rFonts w:hint="eastAsia" w:ascii="仿宋" w:hAnsi="仿宋" w:eastAsia="仿宋" w:cs="仿宋"/>
          <w:color w:val="1F1F1F"/>
          <w:spacing w:val="-2"/>
          <w:kern w:val="2"/>
          <w:sz w:val="24"/>
          <w:szCs w:val="24"/>
          <w:lang w:val="en-US" w:eastAsia="en-US" w:bidi="ar-SA"/>
        </w:rPr>
        <w:t>1、采购限额标准以上，200万元以下的货物和服务采购项目、400万元以下的工程采购项目，适宜由中小企业提供的，采购人应当专门面向中小企业采购。</w:t>
      </w:r>
    </w:p>
    <w:p w14:paraId="12CE432E">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en-US" w:bidi="ar-SA"/>
        </w:rPr>
      </w:pPr>
      <w:r>
        <w:rPr>
          <w:rFonts w:hint="eastAsia" w:ascii="仿宋" w:hAnsi="仿宋" w:eastAsia="仿宋" w:cs="仿宋"/>
          <w:color w:val="1F1F1F"/>
          <w:spacing w:val="-2"/>
          <w:kern w:val="2"/>
          <w:sz w:val="24"/>
          <w:szCs w:val="24"/>
          <w:lang w:val="en-US" w:eastAsia="en-US" w:bidi="ar-SA"/>
        </w:rPr>
        <w:t>2、超过200万元的货物和服务采购项目，预留该部分采购项目预算总额的30%以上专门面向中小企业采购，其中预留给小微企业的比例不低于60%。</w:t>
      </w:r>
    </w:p>
    <w:p w14:paraId="482C14AC">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en-US" w:bidi="ar-SA"/>
        </w:rPr>
      </w:pPr>
      <w:r>
        <w:rPr>
          <w:rFonts w:hint="eastAsia" w:ascii="仿宋" w:hAnsi="仿宋" w:eastAsia="仿宋" w:cs="仿宋"/>
          <w:color w:val="1F1F1F"/>
          <w:spacing w:val="-2"/>
          <w:kern w:val="2"/>
          <w:sz w:val="24"/>
          <w:szCs w:val="24"/>
          <w:lang w:val="en-US" w:eastAsia="en-US" w:bidi="ar-SA"/>
        </w:rPr>
        <w:t>3、超过400万元的工程采购项目中适宜由中小企业提供的，预留该部分采购项目预算总额的40%以上专门面向中小企业采购，其中预留给小微企业的比例不低于60%。</w:t>
      </w:r>
    </w:p>
    <w:p w14:paraId="64D9D69E">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en-US" w:bidi="ar-SA"/>
        </w:rPr>
      </w:pPr>
      <w:r>
        <w:rPr>
          <w:rFonts w:hint="eastAsia" w:ascii="仿宋" w:hAnsi="仿宋" w:eastAsia="仿宋" w:cs="仿宋"/>
          <w:color w:val="1F1F1F"/>
          <w:spacing w:val="-2"/>
          <w:kern w:val="2"/>
          <w:sz w:val="24"/>
          <w:szCs w:val="24"/>
          <w:lang w:val="en-US" w:eastAsia="en-US"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6DD582D">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en-US" w:bidi="ar-SA"/>
        </w:rPr>
      </w:pPr>
      <w:r>
        <w:rPr>
          <w:rFonts w:hint="eastAsia" w:ascii="仿宋" w:hAnsi="仿宋" w:eastAsia="仿宋" w:cs="仿宋"/>
          <w:color w:val="1F1F1F"/>
          <w:spacing w:val="-2"/>
          <w:kern w:val="2"/>
          <w:sz w:val="24"/>
          <w:szCs w:val="24"/>
          <w:lang w:val="en-US" w:eastAsia="en-US"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4F0ACAE">
      <w:pPr>
        <w:pStyle w:val="10"/>
        <w:pageBreakBefore w:val="0"/>
        <w:numPr>
          <w:ilvl w:val="0"/>
          <w:numId w:val="1"/>
        </w:numPr>
        <w:wordWrap w:val="0"/>
        <w:overflowPunct/>
        <w:bidi w:val="0"/>
        <w:spacing w:before="43" w:line="222" w:lineRule="auto"/>
        <w:ind w:left="610"/>
        <w:rPr>
          <w:rFonts w:hint="eastAsia" w:ascii="仿宋" w:hAnsi="仿宋" w:eastAsia="仿宋" w:cs="仿宋"/>
          <w:b/>
          <w:bCs/>
          <w:color w:val="1F1F1F"/>
          <w:spacing w:val="-2"/>
          <w:kern w:val="2"/>
          <w:sz w:val="24"/>
          <w:szCs w:val="24"/>
          <w:lang w:val="en-US" w:eastAsia="en-US" w:bidi="ar-SA"/>
        </w:rPr>
      </w:pPr>
      <w:r>
        <w:rPr>
          <w:rFonts w:hint="eastAsia" w:ascii="仿宋" w:hAnsi="仿宋" w:eastAsia="仿宋" w:cs="仿宋"/>
          <w:b/>
          <w:bCs/>
          <w:color w:val="1F1F1F"/>
          <w:spacing w:val="-2"/>
          <w:kern w:val="2"/>
          <w:sz w:val="24"/>
          <w:szCs w:val="24"/>
          <w:lang w:val="en-US" w:eastAsia="zh-CN" w:bidi="ar-SA"/>
        </w:rPr>
        <w:t>凡</w:t>
      </w:r>
      <w:r>
        <w:rPr>
          <w:rFonts w:hint="eastAsia" w:ascii="仿宋" w:hAnsi="仿宋" w:eastAsia="仿宋" w:cs="仿宋"/>
          <w:b/>
          <w:bCs/>
          <w:color w:val="1F1F1F"/>
          <w:spacing w:val="-2"/>
          <w:kern w:val="2"/>
          <w:sz w:val="24"/>
          <w:szCs w:val="24"/>
          <w:lang w:val="en-US" w:eastAsia="en-US" w:bidi="ar-SA"/>
        </w:rPr>
        <w:t>对本次</w:t>
      </w:r>
      <w:r>
        <w:rPr>
          <w:rFonts w:hint="eastAsia" w:ascii="仿宋" w:hAnsi="仿宋" w:eastAsia="仿宋" w:cs="仿宋"/>
          <w:b/>
          <w:bCs/>
          <w:color w:val="1F1F1F"/>
          <w:spacing w:val="-2"/>
          <w:kern w:val="2"/>
          <w:sz w:val="24"/>
          <w:szCs w:val="24"/>
          <w:lang w:val="en-US" w:eastAsia="zh-CN" w:bidi="ar-SA"/>
        </w:rPr>
        <w:t>招标</w:t>
      </w:r>
      <w:r>
        <w:rPr>
          <w:rFonts w:hint="eastAsia" w:ascii="仿宋" w:hAnsi="仿宋" w:eastAsia="仿宋" w:cs="仿宋"/>
          <w:b/>
          <w:bCs/>
          <w:color w:val="1F1F1F"/>
          <w:spacing w:val="-2"/>
          <w:kern w:val="2"/>
          <w:sz w:val="24"/>
          <w:szCs w:val="24"/>
          <w:lang w:val="en-US" w:eastAsia="en-US" w:bidi="ar-SA"/>
        </w:rPr>
        <w:t>提出询问，请按以下方式联系</w:t>
      </w:r>
      <w:bookmarkEnd w:id="13"/>
    </w:p>
    <w:p w14:paraId="73E2D01A">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bookmarkStart w:id="14" w:name="_Toc11397"/>
      <w:r>
        <w:rPr>
          <w:rFonts w:hint="eastAsia" w:ascii="仿宋" w:hAnsi="仿宋" w:eastAsia="仿宋" w:cs="仿宋"/>
          <w:color w:val="1F1F1F"/>
          <w:spacing w:val="-2"/>
          <w:kern w:val="2"/>
          <w:sz w:val="24"/>
          <w:szCs w:val="24"/>
          <w:lang w:val="en-US" w:eastAsia="zh-CN" w:bidi="ar-SA"/>
        </w:rPr>
        <w:t>1、采购人信息：</w:t>
      </w:r>
    </w:p>
    <w:p w14:paraId="0BACC2A4">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r>
        <w:rPr>
          <w:rFonts w:hint="eastAsia" w:ascii="仿宋" w:hAnsi="仿宋" w:eastAsia="仿宋" w:cs="仿宋"/>
          <w:color w:val="1F1F1F"/>
          <w:spacing w:val="-2"/>
          <w:kern w:val="2"/>
          <w:sz w:val="24"/>
          <w:szCs w:val="24"/>
          <w:lang w:val="en-US" w:eastAsia="en-US" w:bidi="ar-SA"/>
        </w:rPr>
        <w:t>名称：</w:t>
      </w:r>
      <w:bookmarkEnd w:id="14"/>
      <w:r>
        <w:rPr>
          <w:rFonts w:hint="eastAsia" w:ascii="仿宋" w:hAnsi="仿宋" w:eastAsia="仿宋" w:cs="仿宋"/>
          <w:color w:val="1F1F1F"/>
          <w:spacing w:val="-2"/>
          <w:kern w:val="2"/>
          <w:sz w:val="24"/>
          <w:szCs w:val="24"/>
          <w:lang w:val="en-US" w:eastAsia="zh-CN" w:bidi="ar-SA"/>
        </w:rPr>
        <w:t>策勒县文化体育广播电视和旅游局</w:t>
      </w:r>
    </w:p>
    <w:p w14:paraId="5BA107E6">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r>
        <w:rPr>
          <w:rFonts w:hint="eastAsia" w:ascii="仿宋" w:hAnsi="仿宋" w:eastAsia="仿宋" w:cs="仿宋"/>
          <w:color w:val="1F1F1F"/>
          <w:spacing w:val="-2"/>
          <w:kern w:val="2"/>
          <w:sz w:val="24"/>
          <w:szCs w:val="24"/>
          <w:lang w:val="en-US" w:eastAsia="en-US" w:bidi="ar-SA"/>
        </w:rPr>
        <w:t>地址：</w:t>
      </w:r>
      <w:r>
        <w:rPr>
          <w:rFonts w:hint="eastAsia" w:ascii="仿宋" w:hAnsi="仿宋" w:eastAsia="仿宋" w:cs="仿宋"/>
          <w:color w:val="1F1F1F"/>
          <w:spacing w:val="-2"/>
          <w:kern w:val="2"/>
          <w:sz w:val="24"/>
          <w:szCs w:val="24"/>
          <w:lang w:val="en-US" w:eastAsia="zh-CN" w:bidi="ar-SA"/>
        </w:rPr>
        <w:t>策勒县英巴扎街17号</w:t>
      </w:r>
    </w:p>
    <w:p w14:paraId="69FB6336">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en-US" w:bidi="ar-SA"/>
        </w:rPr>
      </w:pPr>
      <w:r>
        <w:rPr>
          <w:rFonts w:hint="eastAsia" w:ascii="仿宋" w:hAnsi="仿宋" w:eastAsia="仿宋" w:cs="仿宋"/>
          <w:color w:val="1F1F1F"/>
          <w:spacing w:val="-2"/>
          <w:kern w:val="2"/>
          <w:sz w:val="24"/>
          <w:szCs w:val="24"/>
          <w:lang w:val="en-US" w:eastAsia="en-US" w:bidi="ar-SA"/>
        </w:rPr>
        <w:t>联系方式：</w:t>
      </w:r>
      <w:r>
        <w:rPr>
          <w:rFonts w:hint="eastAsia" w:ascii="仿宋" w:hAnsi="仿宋" w:eastAsia="仿宋" w:cs="仿宋"/>
          <w:color w:val="1F1F1F"/>
          <w:spacing w:val="-2"/>
          <w:kern w:val="2"/>
          <w:sz w:val="24"/>
          <w:szCs w:val="24"/>
          <w:lang w:val="en-US" w:eastAsia="zh-CN" w:bidi="ar-SA"/>
        </w:rPr>
        <w:t>0903-6712682</w:t>
      </w:r>
    </w:p>
    <w:p w14:paraId="73D5A7FF">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r>
        <w:rPr>
          <w:rFonts w:hint="eastAsia" w:ascii="仿宋" w:hAnsi="仿宋" w:eastAsia="仿宋" w:cs="仿宋"/>
          <w:color w:val="1F1F1F"/>
          <w:spacing w:val="-2"/>
          <w:kern w:val="2"/>
          <w:sz w:val="24"/>
          <w:szCs w:val="24"/>
          <w:lang w:val="en-US" w:eastAsia="zh-CN" w:bidi="ar-SA"/>
        </w:rPr>
        <w:t>2、</w:t>
      </w:r>
      <w:r>
        <w:rPr>
          <w:rFonts w:hint="eastAsia" w:ascii="仿宋" w:hAnsi="仿宋" w:eastAsia="仿宋" w:cs="仿宋"/>
          <w:color w:val="1F1F1F"/>
          <w:spacing w:val="-2"/>
          <w:kern w:val="2"/>
          <w:sz w:val="24"/>
          <w:szCs w:val="24"/>
          <w:lang w:val="en-US" w:eastAsia="en-US" w:bidi="ar-SA"/>
        </w:rPr>
        <w:t>采购代理机构信息</w:t>
      </w:r>
      <w:r>
        <w:rPr>
          <w:rFonts w:hint="eastAsia" w:ascii="仿宋" w:hAnsi="仿宋" w:eastAsia="仿宋" w:cs="仿宋"/>
          <w:color w:val="1F1F1F"/>
          <w:spacing w:val="-2"/>
          <w:kern w:val="2"/>
          <w:sz w:val="24"/>
          <w:szCs w:val="24"/>
          <w:lang w:val="en-US" w:eastAsia="zh-CN" w:bidi="ar-SA"/>
        </w:rPr>
        <w:t>：</w:t>
      </w:r>
    </w:p>
    <w:p w14:paraId="4B70FB09">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r>
        <w:rPr>
          <w:rFonts w:hint="eastAsia" w:ascii="仿宋" w:hAnsi="仿宋" w:eastAsia="仿宋" w:cs="仿宋"/>
          <w:color w:val="1F1F1F"/>
          <w:spacing w:val="-2"/>
          <w:kern w:val="2"/>
          <w:sz w:val="24"/>
          <w:szCs w:val="24"/>
          <w:lang w:val="en-US" w:eastAsia="en-US" w:bidi="ar-SA"/>
        </w:rPr>
        <w:t>名称：</w:t>
      </w:r>
      <w:r>
        <w:rPr>
          <w:rFonts w:hint="eastAsia" w:ascii="仿宋" w:hAnsi="仿宋" w:eastAsia="仿宋" w:cs="仿宋"/>
          <w:color w:val="1F1F1F"/>
          <w:spacing w:val="-2"/>
          <w:kern w:val="2"/>
          <w:sz w:val="24"/>
          <w:szCs w:val="24"/>
          <w:lang w:val="en-US" w:eastAsia="zh-CN" w:bidi="ar-SA"/>
        </w:rPr>
        <w:t>新疆福瑞通工程项目管理有限责任公司</w:t>
      </w:r>
    </w:p>
    <w:p w14:paraId="0E676BE8">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r>
        <w:rPr>
          <w:rFonts w:hint="eastAsia" w:ascii="仿宋" w:hAnsi="仿宋" w:eastAsia="仿宋" w:cs="仿宋"/>
          <w:color w:val="1F1F1F"/>
          <w:spacing w:val="-2"/>
          <w:kern w:val="2"/>
          <w:sz w:val="24"/>
          <w:szCs w:val="24"/>
          <w:lang w:val="en-US" w:eastAsia="en-US" w:bidi="ar-SA"/>
        </w:rPr>
        <w:t>地址：</w:t>
      </w:r>
      <w:r>
        <w:rPr>
          <w:rFonts w:hint="eastAsia" w:ascii="仿宋" w:hAnsi="仿宋" w:eastAsia="仿宋" w:cs="仿宋"/>
          <w:color w:val="1F1F1F"/>
          <w:spacing w:val="-2"/>
          <w:kern w:val="2"/>
          <w:sz w:val="24"/>
          <w:szCs w:val="24"/>
          <w:lang w:val="en-US" w:eastAsia="zh-CN" w:bidi="ar-SA"/>
        </w:rPr>
        <w:t>策勒县策勒镇渠勒村520-1号</w:t>
      </w:r>
    </w:p>
    <w:p w14:paraId="69148E09">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en-US" w:bidi="ar-SA"/>
        </w:rPr>
      </w:pPr>
      <w:r>
        <w:rPr>
          <w:rFonts w:hint="eastAsia" w:ascii="仿宋" w:hAnsi="仿宋" w:eastAsia="仿宋" w:cs="仿宋"/>
          <w:color w:val="1F1F1F"/>
          <w:spacing w:val="-2"/>
          <w:kern w:val="2"/>
          <w:sz w:val="24"/>
          <w:szCs w:val="24"/>
          <w:lang w:val="en-US" w:eastAsia="en-US" w:bidi="ar-SA"/>
        </w:rPr>
        <w:t>联系方式：</w:t>
      </w:r>
      <w:r>
        <w:rPr>
          <w:rFonts w:hint="eastAsia" w:ascii="仿宋" w:hAnsi="仿宋" w:eastAsia="仿宋" w:cs="仿宋"/>
          <w:color w:val="1F1F1F"/>
          <w:spacing w:val="-2"/>
          <w:kern w:val="2"/>
          <w:sz w:val="24"/>
          <w:szCs w:val="24"/>
          <w:lang w:val="en-US" w:eastAsia="zh-CN" w:bidi="ar-SA"/>
        </w:rPr>
        <w:t>0903-2052532</w:t>
      </w:r>
    </w:p>
    <w:p w14:paraId="08495EEB">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en-US" w:bidi="ar-SA"/>
        </w:rPr>
      </w:pPr>
      <w:r>
        <w:rPr>
          <w:rFonts w:hint="eastAsia" w:ascii="仿宋" w:hAnsi="仿宋" w:eastAsia="仿宋" w:cs="仿宋"/>
          <w:color w:val="1F1F1F"/>
          <w:spacing w:val="-2"/>
          <w:kern w:val="2"/>
          <w:sz w:val="24"/>
          <w:szCs w:val="24"/>
          <w:lang w:val="en-US" w:eastAsia="zh-CN" w:bidi="ar-SA"/>
        </w:rPr>
        <w:t>3、</w:t>
      </w:r>
      <w:r>
        <w:rPr>
          <w:rFonts w:hint="eastAsia" w:ascii="仿宋" w:hAnsi="仿宋" w:eastAsia="仿宋" w:cs="仿宋"/>
          <w:color w:val="1F1F1F"/>
          <w:spacing w:val="-2"/>
          <w:kern w:val="2"/>
          <w:sz w:val="24"/>
          <w:szCs w:val="24"/>
          <w:lang w:val="en-US" w:eastAsia="en-US" w:bidi="ar-SA"/>
        </w:rPr>
        <w:t>项目联系方式</w:t>
      </w:r>
    </w:p>
    <w:p w14:paraId="770ECAFE">
      <w:pPr>
        <w:pStyle w:val="10"/>
        <w:pageBreakBefore w:val="0"/>
        <w:wordWrap w:val="0"/>
        <w:overflowPunct/>
        <w:bidi w:val="0"/>
        <w:spacing w:before="43" w:line="222" w:lineRule="auto"/>
        <w:ind w:left="610"/>
        <w:rPr>
          <w:rFonts w:hint="eastAsia" w:ascii="仿宋" w:hAnsi="仿宋" w:eastAsia="仿宋" w:cs="仿宋"/>
          <w:color w:val="1F1F1F"/>
          <w:spacing w:val="-2"/>
          <w:kern w:val="2"/>
          <w:sz w:val="24"/>
          <w:szCs w:val="24"/>
          <w:lang w:val="en-US" w:eastAsia="zh-CN" w:bidi="ar-SA"/>
        </w:rPr>
      </w:pPr>
      <w:r>
        <w:rPr>
          <w:rFonts w:hint="eastAsia" w:ascii="仿宋" w:hAnsi="仿宋" w:eastAsia="仿宋" w:cs="仿宋"/>
          <w:color w:val="1F1F1F"/>
          <w:spacing w:val="-2"/>
          <w:kern w:val="2"/>
          <w:sz w:val="24"/>
          <w:szCs w:val="24"/>
          <w:lang w:val="en-US" w:eastAsia="en-US" w:bidi="ar-SA"/>
        </w:rPr>
        <w:t>项目联系人：</w:t>
      </w:r>
      <w:r>
        <w:rPr>
          <w:rFonts w:hint="eastAsia" w:ascii="仿宋" w:hAnsi="仿宋" w:eastAsia="仿宋" w:cs="仿宋"/>
          <w:color w:val="1F1F1F"/>
          <w:spacing w:val="-2"/>
          <w:kern w:val="2"/>
          <w:sz w:val="24"/>
          <w:szCs w:val="24"/>
          <w:lang w:val="en-US" w:eastAsia="zh-CN" w:bidi="ar-SA"/>
        </w:rPr>
        <w:t>李先生</w:t>
      </w:r>
    </w:p>
    <w:p w14:paraId="1C5ED2EE">
      <w:pPr>
        <w:pStyle w:val="10"/>
        <w:pageBreakBefore w:val="0"/>
        <w:wordWrap w:val="0"/>
        <w:overflowPunct/>
        <w:bidi w:val="0"/>
        <w:spacing w:before="43" w:line="222" w:lineRule="auto"/>
        <w:ind w:left="610"/>
        <w:rPr>
          <w:rFonts w:hint="default" w:ascii="Times New Roman" w:hAnsi="Times New Roman" w:cs="Times New Roman"/>
          <w:sz w:val="28"/>
          <w:szCs w:val="28"/>
        </w:rPr>
      </w:pPr>
      <w:r>
        <w:rPr>
          <w:rFonts w:hint="eastAsia" w:ascii="仿宋" w:hAnsi="仿宋" w:eastAsia="仿宋" w:cs="仿宋"/>
          <w:color w:val="1F1F1F"/>
          <w:spacing w:val="-2"/>
          <w:kern w:val="2"/>
          <w:sz w:val="24"/>
          <w:szCs w:val="24"/>
          <w:lang w:val="en-US" w:eastAsia="en-US" w:bidi="ar-SA"/>
        </w:rPr>
        <w:t>联系方式：</w:t>
      </w:r>
      <w:r>
        <w:rPr>
          <w:rFonts w:hint="eastAsia" w:ascii="仿宋" w:hAnsi="仿宋" w:eastAsia="仿宋" w:cs="仿宋"/>
          <w:color w:val="1F1F1F"/>
          <w:spacing w:val="-2"/>
          <w:kern w:val="2"/>
          <w:sz w:val="24"/>
          <w:szCs w:val="24"/>
          <w:lang w:val="en-US" w:eastAsia="zh-CN" w:bidi="ar-SA"/>
        </w:rPr>
        <w:t>0903-2052532</w:t>
      </w:r>
      <w:r>
        <w:rPr>
          <w:rFonts w:hint="default" w:ascii="Times New Roman" w:hAnsi="Times New Roman" w:cs="Times New Roman"/>
          <w:sz w:val="28"/>
          <w:szCs w:val="28"/>
        </w:rPr>
        <w:br w:type="page"/>
      </w:r>
    </w:p>
    <w:p w14:paraId="21E686B6">
      <w:pPr>
        <w:pStyle w:val="2"/>
        <w:spacing w:before="0" w:beforeLines="0" w:after="0" w:afterLines="0" w:line="480" w:lineRule="exact"/>
        <w:rPr>
          <w:rFonts w:hint="default" w:ascii="Times New Roman" w:hAnsi="Times New Roman" w:cs="Times New Roman"/>
          <w:sz w:val="28"/>
          <w:szCs w:val="28"/>
        </w:rPr>
      </w:pPr>
      <w:bookmarkStart w:id="15" w:name="_Toc29435"/>
      <w:r>
        <w:rPr>
          <w:rFonts w:hint="default" w:ascii="Times New Roman" w:hAnsi="Times New Roman" w:eastAsia="宋体" w:cs="Times New Roman"/>
          <w:sz w:val="32"/>
          <w:szCs w:val="32"/>
          <w:lang w:eastAsia="zh-CN"/>
        </w:rPr>
        <w:t>第二章</w:t>
      </w:r>
      <w:r>
        <w:rPr>
          <w:rFonts w:hint="default" w:ascii="Times New Roman" w:hAnsi="Times New Roman" w:eastAsia="宋体" w:cs="Times New Roman"/>
          <w:sz w:val="32"/>
          <w:szCs w:val="32"/>
        </w:rPr>
        <w:t>供应商须知</w:t>
      </w:r>
      <w:bookmarkEnd w:id="15"/>
    </w:p>
    <w:p w14:paraId="1F51A53D">
      <w:pPr>
        <w:pStyle w:val="3"/>
        <w:keepNext/>
        <w:keepLines/>
        <w:pageBreakBefore w:val="0"/>
        <w:widowControl w:val="0"/>
        <w:numPr>
          <w:ilvl w:val="0"/>
          <w:numId w:val="0"/>
        </w:numPr>
        <w:kinsoku/>
        <w:wordWrap/>
        <w:overflowPunct/>
        <w:topLinePunct/>
        <w:autoSpaceDE/>
        <w:autoSpaceDN/>
        <w:bidi w:val="0"/>
        <w:adjustRightInd/>
        <w:snapToGrid/>
        <w:spacing w:before="80" w:after="80" w:line="360" w:lineRule="auto"/>
        <w:ind w:left="420" w:leftChars="0" w:hanging="420" w:firstLineChars="0"/>
        <w:jc w:val="center"/>
        <w:textAlignment w:val="auto"/>
        <w:rPr>
          <w:rFonts w:hint="default" w:eastAsia="宋体" w:asciiTheme="majorHAnsi" w:hAnsiTheme="majorHAnsi" w:cstheme="majorBidi"/>
          <w:b/>
          <w:bCs/>
          <w:color w:val="000000" w:themeColor="text1"/>
          <w:kern w:val="2"/>
          <w:sz w:val="28"/>
          <w:szCs w:val="28"/>
          <w:highlight w:val="none"/>
          <w:lang w:val="en-US" w:eastAsia="zh-CN" w:bidi="ar-SA"/>
          <w14:textFill>
            <w14:solidFill>
              <w14:schemeClr w14:val="tx1"/>
            </w14:solidFill>
          </w14:textFill>
        </w:rPr>
      </w:pPr>
      <w:r>
        <w:rPr>
          <w:rFonts w:hint="default" w:eastAsia="宋体" w:asciiTheme="majorHAnsi" w:hAnsiTheme="majorHAnsi" w:cstheme="majorBidi"/>
          <w:b/>
          <w:bCs/>
          <w:color w:val="000000" w:themeColor="text1"/>
          <w:kern w:val="2"/>
          <w:sz w:val="28"/>
          <w:szCs w:val="28"/>
          <w:highlight w:val="none"/>
          <w:lang w:val="en-US" w:eastAsia="zh-CN" w:bidi="ar-SA"/>
          <w14:textFill>
            <w14:solidFill>
              <w14:schemeClr w14:val="tx1"/>
            </w14:solidFill>
          </w14:textFill>
        </w:rPr>
        <w:t>一、供应商须知前附表</w:t>
      </w:r>
    </w:p>
    <w:tbl>
      <w:tblPr>
        <w:tblStyle w:val="28"/>
        <w:tblW w:w="91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89"/>
        <w:gridCol w:w="1626"/>
        <w:gridCol w:w="6766"/>
      </w:tblGrid>
      <w:tr w14:paraId="55BB0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89" w:type="dxa"/>
            <w:vAlign w:val="center"/>
          </w:tcPr>
          <w:p w14:paraId="2991612C">
            <w:pPr>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b/>
                <w:bCs/>
                <w:sz w:val="28"/>
                <w:szCs w:val="28"/>
              </w:rPr>
              <w:t>序号</w:t>
            </w:r>
          </w:p>
        </w:tc>
        <w:tc>
          <w:tcPr>
            <w:tcW w:w="1626" w:type="dxa"/>
            <w:vAlign w:val="center"/>
          </w:tcPr>
          <w:p w14:paraId="70977CBC">
            <w:pPr>
              <w:spacing w:beforeLines="0" w:afterLines="0" w:line="480" w:lineRule="exact"/>
              <w:ind w:left="-48" w:leftChars="-23" w:firstLine="50"/>
              <w:jc w:val="center"/>
              <w:rPr>
                <w:rFonts w:hint="default" w:ascii="Times New Roman" w:hAnsi="Times New Roman" w:cs="Times New Roman" w:eastAsiaTheme="minorEastAsia"/>
                <w:b/>
                <w:sz w:val="28"/>
                <w:szCs w:val="28"/>
                <w:lang w:eastAsia="zh-CN"/>
              </w:rPr>
            </w:pPr>
            <w:r>
              <w:rPr>
                <w:rFonts w:hint="eastAsia" w:cs="Times New Roman" w:eastAsiaTheme="minorEastAsia"/>
                <w:b/>
                <w:sz w:val="28"/>
                <w:szCs w:val="28"/>
                <w:lang w:val="en-US" w:eastAsia="zh-CN"/>
              </w:rPr>
              <w:t>内容</w:t>
            </w:r>
          </w:p>
        </w:tc>
        <w:tc>
          <w:tcPr>
            <w:tcW w:w="6766" w:type="dxa"/>
            <w:vAlign w:val="center"/>
          </w:tcPr>
          <w:p w14:paraId="61EDA28D">
            <w:pPr>
              <w:spacing w:beforeLines="0" w:afterLines="0" w:line="480" w:lineRule="exact"/>
              <w:ind w:left="-48" w:leftChars="-23" w:firstLine="50"/>
              <w:jc w:val="center"/>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lang w:eastAsia="zh-CN"/>
              </w:rPr>
              <w:t>说明和要求</w:t>
            </w:r>
          </w:p>
        </w:tc>
      </w:tr>
      <w:tr w14:paraId="51DE59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89" w:type="dxa"/>
            <w:shd w:val="clear" w:color="auto" w:fill="auto"/>
            <w:vAlign w:val="center"/>
          </w:tcPr>
          <w:p w14:paraId="40D29659">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kern w:val="2"/>
                <w:sz w:val="21"/>
                <w:szCs w:val="21"/>
                <w:lang w:val="en-US" w:eastAsia="zh-CN" w:bidi="ar-SA"/>
              </w:rPr>
            </w:pPr>
            <w:r>
              <w:rPr>
                <w:rFonts w:hint="eastAsia" w:ascii="仿宋" w:hAnsi="仿宋" w:eastAsia="仿宋" w:cs="仿宋"/>
                <w:color w:val="1F1F1F"/>
                <w:sz w:val="21"/>
                <w:szCs w:val="21"/>
              </w:rPr>
              <w:t>1</w:t>
            </w:r>
          </w:p>
        </w:tc>
        <w:tc>
          <w:tcPr>
            <w:tcW w:w="1626" w:type="dxa"/>
            <w:shd w:val="clear" w:color="auto" w:fill="auto"/>
            <w:vAlign w:val="center"/>
          </w:tcPr>
          <w:p w14:paraId="4D689FAB">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kern w:val="2"/>
                <w:sz w:val="21"/>
                <w:szCs w:val="21"/>
                <w:lang w:val="en-US" w:eastAsia="zh-CN" w:bidi="ar-SA"/>
              </w:rPr>
            </w:pPr>
            <w:r>
              <w:rPr>
                <w:rFonts w:hint="eastAsia" w:ascii="仿宋" w:hAnsi="仿宋" w:eastAsia="仿宋" w:cs="仿宋"/>
                <w:color w:val="1F1F1F"/>
                <w:spacing w:val="4"/>
                <w:sz w:val="21"/>
                <w:szCs w:val="21"/>
              </w:rPr>
              <w:t>采购人</w:t>
            </w:r>
          </w:p>
        </w:tc>
        <w:tc>
          <w:tcPr>
            <w:tcW w:w="6766" w:type="dxa"/>
            <w:shd w:val="clear" w:color="auto" w:fill="auto"/>
            <w:vAlign w:val="center"/>
          </w:tcPr>
          <w:p w14:paraId="14479BB2">
            <w:pPr>
              <w:pStyle w:val="46"/>
              <w:keepNext w:val="0"/>
              <w:keepLines/>
              <w:pageBreakBefore w:val="0"/>
              <w:widowControl w:val="0"/>
              <w:kinsoku/>
              <w:wordWrap w:val="0"/>
              <w:overflowPunct/>
              <w:topLinePunct/>
              <w:autoSpaceDE w:val="0"/>
              <w:autoSpaceDN w:val="0"/>
              <w:bidi w:val="0"/>
              <w:adjustRightInd w:val="0"/>
              <w:snapToGrid w:val="0"/>
              <w:spacing w:before="84" w:line="229" w:lineRule="auto"/>
              <w:ind w:left="39"/>
              <w:jc w:val="both"/>
              <w:textAlignment w:val="baseline"/>
              <w:rPr>
                <w:rFonts w:hint="eastAsia" w:ascii="仿宋" w:hAnsi="仿宋" w:eastAsia="仿宋" w:cs="仿宋"/>
                <w:sz w:val="21"/>
                <w:szCs w:val="21"/>
                <w:lang w:eastAsia="zh-CN"/>
              </w:rPr>
            </w:pPr>
            <w:r>
              <w:rPr>
                <w:rFonts w:hint="eastAsia" w:ascii="仿宋" w:hAnsi="仿宋" w:eastAsia="仿宋" w:cs="仿宋"/>
                <w:color w:val="1F1F1F"/>
                <w:spacing w:val="9"/>
                <w:sz w:val="21"/>
                <w:szCs w:val="21"/>
              </w:rPr>
              <w:t>采购人：</w:t>
            </w:r>
            <w:r>
              <w:rPr>
                <w:rFonts w:hint="eastAsia" w:ascii="仿宋" w:hAnsi="仿宋" w:eastAsia="仿宋" w:cs="仿宋"/>
                <w:color w:val="1F1F1F"/>
                <w:spacing w:val="9"/>
                <w:sz w:val="21"/>
                <w:szCs w:val="21"/>
                <w:lang w:eastAsia="zh-CN"/>
              </w:rPr>
              <w:t>策勒县文化体育广播电视和旅游局</w:t>
            </w:r>
          </w:p>
          <w:p w14:paraId="0D804E9B">
            <w:pPr>
              <w:pStyle w:val="46"/>
              <w:keepNext w:val="0"/>
              <w:keepLines/>
              <w:pageBreakBefore w:val="0"/>
              <w:widowControl w:val="0"/>
              <w:kinsoku/>
              <w:wordWrap w:val="0"/>
              <w:overflowPunct/>
              <w:topLinePunct/>
              <w:autoSpaceDE w:val="0"/>
              <w:autoSpaceDN w:val="0"/>
              <w:bidi w:val="0"/>
              <w:adjustRightInd w:val="0"/>
              <w:snapToGrid w:val="0"/>
              <w:spacing w:before="102" w:line="231" w:lineRule="auto"/>
              <w:ind w:left="39"/>
              <w:jc w:val="both"/>
              <w:textAlignment w:val="baseline"/>
              <w:rPr>
                <w:rFonts w:hint="eastAsia" w:ascii="仿宋" w:hAnsi="仿宋" w:eastAsia="仿宋" w:cs="仿宋"/>
                <w:color w:val="auto"/>
                <w:sz w:val="21"/>
                <w:szCs w:val="21"/>
                <w:lang w:eastAsia="zh-CN"/>
              </w:rPr>
            </w:pPr>
            <w:r>
              <w:rPr>
                <w:rFonts w:hint="eastAsia" w:ascii="仿宋" w:hAnsi="仿宋" w:eastAsia="仿宋" w:cs="仿宋"/>
                <w:color w:val="1F1F1F"/>
                <w:spacing w:val="6"/>
                <w:sz w:val="21"/>
                <w:szCs w:val="21"/>
              </w:rPr>
              <w:t>地址：</w:t>
            </w:r>
            <w:r>
              <w:rPr>
                <w:rFonts w:hint="eastAsia" w:ascii="仿宋" w:hAnsi="仿宋" w:eastAsia="仿宋" w:cs="仿宋"/>
                <w:color w:val="auto"/>
                <w:spacing w:val="6"/>
                <w:sz w:val="21"/>
                <w:szCs w:val="21"/>
                <w:lang w:eastAsia="zh-CN"/>
              </w:rPr>
              <w:t>策勒县英巴扎街17号</w:t>
            </w:r>
          </w:p>
          <w:p w14:paraId="47070749">
            <w:pPr>
              <w:pStyle w:val="46"/>
              <w:keepNext w:val="0"/>
              <w:keepLines/>
              <w:pageBreakBefore w:val="0"/>
              <w:widowControl w:val="0"/>
              <w:kinsoku/>
              <w:wordWrap w:val="0"/>
              <w:overflowPunct/>
              <w:topLinePunct/>
              <w:autoSpaceDE w:val="0"/>
              <w:autoSpaceDN w:val="0"/>
              <w:bidi w:val="0"/>
              <w:adjustRightInd w:val="0"/>
              <w:snapToGrid w:val="0"/>
              <w:spacing w:before="97" w:line="232" w:lineRule="auto"/>
              <w:ind w:left="35"/>
              <w:jc w:val="both"/>
              <w:textAlignment w:val="baseline"/>
              <w:rPr>
                <w:rFonts w:hint="eastAsia" w:ascii="仿宋" w:hAnsi="仿宋" w:eastAsia="仿宋" w:cs="仿宋"/>
                <w:color w:val="auto"/>
                <w:sz w:val="21"/>
                <w:szCs w:val="21"/>
                <w:lang w:eastAsia="zh-CN"/>
              </w:rPr>
            </w:pPr>
            <w:r>
              <w:rPr>
                <w:rFonts w:hint="eastAsia" w:ascii="仿宋" w:hAnsi="仿宋" w:eastAsia="仿宋" w:cs="仿宋"/>
                <w:color w:val="auto"/>
                <w:spacing w:val="7"/>
                <w:sz w:val="21"/>
                <w:szCs w:val="21"/>
              </w:rPr>
              <w:t>联系人：</w:t>
            </w:r>
            <w:r>
              <w:rPr>
                <w:rFonts w:hint="eastAsia" w:ascii="仿宋" w:hAnsi="仿宋" w:eastAsia="仿宋" w:cs="仿宋"/>
                <w:color w:val="auto"/>
                <w:spacing w:val="7"/>
                <w:sz w:val="21"/>
                <w:szCs w:val="21"/>
                <w:lang w:val="en-US" w:eastAsia="zh-CN"/>
              </w:rPr>
              <w:t>张先生</w:t>
            </w:r>
          </w:p>
          <w:p w14:paraId="15EF1B5E">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kern w:val="2"/>
                <w:sz w:val="21"/>
                <w:szCs w:val="21"/>
                <w:lang w:val="en-US" w:eastAsia="zh-CN" w:bidi="ar-SA"/>
              </w:rPr>
            </w:pPr>
            <w:r>
              <w:rPr>
                <w:rFonts w:hint="eastAsia" w:ascii="仿宋" w:hAnsi="仿宋" w:eastAsia="仿宋" w:cs="仿宋"/>
                <w:color w:val="auto"/>
                <w:spacing w:val="5"/>
                <w:sz w:val="21"/>
                <w:szCs w:val="21"/>
              </w:rPr>
              <w:t>联系电话：</w:t>
            </w:r>
            <w:r>
              <w:rPr>
                <w:rFonts w:hint="eastAsia" w:ascii="仿宋" w:hAnsi="仿宋" w:eastAsia="仿宋" w:cs="仿宋"/>
                <w:color w:val="auto"/>
                <w:spacing w:val="5"/>
                <w:sz w:val="21"/>
                <w:szCs w:val="21"/>
                <w:lang w:eastAsia="zh-CN"/>
              </w:rPr>
              <w:t>0903-6712682</w:t>
            </w:r>
          </w:p>
        </w:tc>
      </w:tr>
      <w:tr w14:paraId="5DBF13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89" w:type="dxa"/>
            <w:shd w:val="clear" w:color="auto" w:fill="auto"/>
            <w:vAlign w:val="center"/>
          </w:tcPr>
          <w:p w14:paraId="60FA04B5">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kern w:val="2"/>
                <w:sz w:val="21"/>
                <w:szCs w:val="21"/>
                <w:lang w:val="en-US" w:eastAsia="zh-CN" w:bidi="ar-SA"/>
              </w:rPr>
            </w:pPr>
            <w:r>
              <w:rPr>
                <w:rFonts w:hint="eastAsia" w:ascii="仿宋" w:hAnsi="仿宋" w:eastAsia="仿宋" w:cs="仿宋"/>
                <w:color w:val="1F1F1F"/>
                <w:sz w:val="21"/>
                <w:szCs w:val="21"/>
              </w:rPr>
              <w:t>2</w:t>
            </w:r>
          </w:p>
        </w:tc>
        <w:tc>
          <w:tcPr>
            <w:tcW w:w="1626" w:type="dxa"/>
            <w:shd w:val="clear" w:color="auto" w:fill="auto"/>
            <w:vAlign w:val="center"/>
          </w:tcPr>
          <w:p w14:paraId="2ED0D5B6">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kern w:val="2"/>
                <w:sz w:val="21"/>
                <w:szCs w:val="21"/>
                <w:lang w:val="en-US" w:eastAsia="zh-CN" w:bidi="ar-SA"/>
              </w:rPr>
            </w:pPr>
            <w:r>
              <w:rPr>
                <w:rFonts w:hint="eastAsia" w:ascii="仿宋" w:hAnsi="仿宋" w:eastAsia="仿宋" w:cs="仿宋"/>
                <w:color w:val="1F1F1F"/>
                <w:spacing w:val="4"/>
                <w:sz w:val="21"/>
                <w:szCs w:val="21"/>
              </w:rPr>
              <w:t>代理机构</w:t>
            </w:r>
          </w:p>
        </w:tc>
        <w:tc>
          <w:tcPr>
            <w:tcW w:w="6766" w:type="dxa"/>
            <w:shd w:val="clear" w:color="auto" w:fill="auto"/>
            <w:vAlign w:val="center"/>
          </w:tcPr>
          <w:p w14:paraId="0EE0FC06">
            <w:pPr>
              <w:pStyle w:val="46"/>
              <w:keepNext w:val="0"/>
              <w:keepLines/>
              <w:pageBreakBefore w:val="0"/>
              <w:widowControl w:val="0"/>
              <w:kinsoku/>
              <w:wordWrap w:val="0"/>
              <w:overflowPunct/>
              <w:topLinePunct/>
              <w:autoSpaceDE w:val="0"/>
              <w:autoSpaceDN w:val="0"/>
              <w:bidi w:val="0"/>
              <w:adjustRightInd w:val="0"/>
              <w:snapToGrid w:val="0"/>
              <w:spacing w:before="88" w:line="230" w:lineRule="auto"/>
              <w:ind w:left="39"/>
              <w:jc w:val="both"/>
              <w:textAlignment w:val="baseline"/>
              <w:rPr>
                <w:rFonts w:hint="eastAsia" w:ascii="仿宋" w:hAnsi="仿宋" w:eastAsia="仿宋" w:cs="仿宋"/>
                <w:sz w:val="21"/>
                <w:szCs w:val="21"/>
                <w:lang w:eastAsia="zh-CN"/>
              </w:rPr>
            </w:pPr>
            <w:r>
              <w:rPr>
                <w:rFonts w:hint="eastAsia" w:ascii="仿宋" w:hAnsi="仿宋" w:eastAsia="仿宋" w:cs="仿宋"/>
                <w:color w:val="1F1F1F"/>
                <w:spacing w:val="9"/>
                <w:sz w:val="21"/>
                <w:szCs w:val="21"/>
              </w:rPr>
              <w:t>采购代理机构：</w:t>
            </w:r>
            <w:r>
              <w:rPr>
                <w:rFonts w:hint="eastAsia" w:ascii="仿宋" w:hAnsi="仿宋" w:eastAsia="仿宋" w:cs="仿宋"/>
                <w:color w:val="1F1F1F"/>
                <w:spacing w:val="9"/>
                <w:sz w:val="21"/>
                <w:szCs w:val="21"/>
                <w:lang w:eastAsia="zh-CN"/>
              </w:rPr>
              <w:t>新疆福瑞通工程项目管理有限责任公司</w:t>
            </w:r>
          </w:p>
          <w:p w14:paraId="17330BB8">
            <w:pPr>
              <w:pStyle w:val="46"/>
              <w:keepNext w:val="0"/>
              <w:keepLines/>
              <w:pageBreakBefore w:val="0"/>
              <w:widowControl w:val="0"/>
              <w:kinsoku/>
              <w:wordWrap w:val="0"/>
              <w:overflowPunct/>
              <w:topLinePunct/>
              <w:autoSpaceDE w:val="0"/>
              <w:autoSpaceDN w:val="0"/>
              <w:bidi w:val="0"/>
              <w:adjustRightInd w:val="0"/>
              <w:snapToGrid w:val="0"/>
              <w:spacing w:before="98" w:line="230" w:lineRule="auto"/>
              <w:ind w:left="39"/>
              <w:jc w:val="both"/>
              <w:textAlignment w:val="baseline"/>
              <w:rPr>
                <w:rFonts w:hint="eastAsia" w:ascii="仿宋" w:hAnsi="仿宋" w:eastAsia="仿宋" w:cs="仿宋"/>
                <w:sz w:val="21"/>
                <w:szCs w:val="21"/>
              </w:rPr>
            </w:pPr>
            <w:r>
              <w:rPr>
                <w:rFonts w:hint="eastAsia" w:ascii="仿宋" w:hAnsi="仿宋" w:eastAsia="仿宋" w:cs="仿宋"/>
                <w:color w:val="1F1F1F"/>
                <w:spacing w:val="5"/>
                <w:sz w:val="21"/>
                <w:szCs w:val="21"/>
              </w:rPr>
              <w:t>地址：</w:t>
            </w:r>
            <w:r>
              <w:rPr>
                <w:rFonts w:hint="eastAsia" w:ascii="仿宋" w:hAnsi="仿宋" w:eastAsia="仿宋" w:cs="仿宋"/>
                <w:color w:val="1F1F1F"/>
                <w:spacing w:val="5"/>
                <w:sz w:val="21"/>
                <w:szCs w:val="21"/>
                <w:lang w:eastAsia="zh-CN"/>
              </w:rPr>
              <w:t>策勒县策勒镇渠勒村520-1号</w:t>
            </w:r>
            <w:r>
              <w:rPr>
                <w:rFonts w:hint="eastAsia" w:ascii="仿宋" w:hAnsi="仿宋" w:eastAsia="仿宋" w:cs="仿宋"/>
                <w:color w:val="1F1F1F"/>
                <w:spacing w:val="5"/>
                <w:sz w:val="21"/>
                <w:szCs w:val="21"/>
              </w:rPr>
              <w:t>室</w:t>
            </w:r>
          </w:p>
          <w:p w14:paraId="7A3D6CDF">
            <w:pPr>
              <w:pStyle w:val="46"/>
              <w:keepNext w:val="0"/>
              <w:keepLines/>
              <w:pageBreakBefore w:val="0"/>
              <w:widowControl w:val="0"/>
              <w:kinsoku/>
              <w:wordWrap w:val="0"/>
              <w:overflowPunct/>
              <w:topLinePunct/>
              <w:autoSpaceDE w:val="0"/>
              <w:autoSpaceDN w:val="0"/>
              <w:bidi w:val="0"/>
              <w:adjustRightInd w:val="0"/>
              <w:snapToGrid w:val="0"/>
              <w:spacing w:before="98" w:line="232" w:lineRule="auto"/>
              <w:ind w:left="38"/>
              <w:jc w:val="both"/>
              <w:textAlignment w:val="baseline"/>
              <w:rPr>
                <w:rFonts w:hint="eastAsia" w:ascii="仿宋" w:hAnsi="仿宋" w:eastAsia="仿宋" w:cs="仿宋"/>
                <w:sz w:val="21"/>
                <w:szCs w:val="21"/>
                <w:lang w:eastAsia="zh-CN"/>
              </w:rPr>
            </w:pPr>
            <w:r>
              <w:rPr>
                <w:rFonts w:hint="eastAsia" w:ascii="仿宋" w:hAnsi="仿宋" w:eastAsia="仿宋" w:cs="仿宋"/>
                <w:color w:val="1F1F1F"/>
                <w:spacing w:val="7"/>
                <w:sz w:val="21"/>
                <w:szCs w:val="21"/>
              </w:rPr>
              <w:t>业务联系人：</w:t>
            </w:r>
            <w:r>
              <w:rPr>
                <w:rFonts w:hint="eastAsia" w:ascii="仿宋" w:hAnsi="仿宋" w:eastAsia="仿宋" w:cs="仿宋"/>
                <w:color w:val="1F1F1F"/>
                <w:spacing w:val="7"/>
                <w:sz w:val="21"/>
                <w:szCs w:val="21"/>
                <w:lang w:val="en-US" w:eastAsia="zh-CN"/>
              </w:rPr>
              <w:t>李先生</w:t>
            </w:r>
          </w:p>
          <w:p w14:paraId="53F72489">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kern w:val="2"/>
                <w:sz w:val="21"/>
                <w:szCs w:val="21"/>
                <w:lang w:val="en-US" w:eastAsia="zh-CN" w:bidi="ar-SA"/>
              </w:rPr>
            </w:pPr>
            <w:r>
              <w:rPr>
                <w:rFonts w:hint="eastAsia" w:ascii="仿宋" w:hAnsi="仿宋" w:eastAsia="仿宋" w:cs="仿宋"/>
                <w:color w:val="1F1F1F"/>
                <w:spacing w:val="5"/>
                <w:sz w:val="21"/>
                <w:szCs w:val="21"/>
              </w:rPr>
              <w:t>联系电话：</w:t>
            </w:r>
            <w:r>
              <w:rPr>
                <w:rFonts w:hint="eastAsia" w:ascii="仿宋" w:hAnsi="仿宋" w:eastAsia="仿宋" w:cs="仿宋"/>
                <w:color w:val="1F1F1F"/>
                <w:spacing w:val="5"/>
                <w:sz w:val="21"/>
                <w:szCs w:val="21"/>
                <w:lang w:eastAsia="zh-CN"/>
              </w:rPr>
              <w:t>0903-2052532</w:t>
            </w:r>
            <w:r>
              <w:rPr>
                <w:rFonts w:hint="eastAsia" w:ascii="仿宋" w:hAnsi="仿宋" w:eastAsia="仿宋" w:cs="仿宋"/>
                <w:color w:val="1F1F1F"/>
                <w:spacing w:val="5"/>
                <w:sz w:val="21"/>
                <w:szCs w:val="21"/>
                <w:lang w:val="en-US" w:eastAsia="zh-CN"/>
              </w:rPr>
              <w:t>/</w:t>
            </w:r>
            <w:r>
              <w:rPr>
                <w:rFonts w:hint="eastAsia" w:ascii="仿宋" w:hAnsi="仿宋" w:eastAsia="仿宋" w:cs="仿宋"/>
                <w:color w:val="1F1F1F"/>
                <w:spacing w:val="5"/>
                <w:sz w:val="21"/>
                <w:szCs w:val="21"/>
                <w:lang w:eastAsia="zh-CN"/>
              </w:rPr>
              <w:t>18016908725</w:t>
            </w:r>
          </w:p>
        </w:tc>
      </w:tr>
      <w:tr w14:paraId="73E038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89" w:type="dxa"/>
            <w:shd w:val="clear" w:color="auto" w:fill="auto"/>
            <w:vAlign w:val="center"/>
          </w:tcPr>
          <w:p w14:paraId="58887900">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kern w:val="2"/>
                <w:sz w:val="21"/>
                <w:szCs w:val="21"/>
                <w:lang w:val="en-US" w:eastAsia="en-US" w:bidi="ar-SA"/>
              </w:rPr>
            </w:pPr>
            <w:r>
              <w:rPr>
                <w:rFonts w:hint="eastAsia" w:ascii="仿宋" w:hAnsi="仿宋" w:eastAsia="仿宋" w:cs="仿宋"/>
                <w:color w:val="1F1F1F"/>
                <w:sz w:val="21"/>
                <w:szCs w:val="21"/>
              </w:rPr>
              <w:t>3</w:t>
            </w:r>
          </w:p>
        </w:tc>
        <w:tc>
          <w:tcPr>
            <w:tcW w:w="1626" w:type="dxa"/>
            <w:shd w:val="clear" w:color="auto" w:fill="auto"/>
            <w:vAlign w:val="center"/>
          </w:tcPr>
          <w:p w14:paraId="268B2834">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kern w:val="2"/>
                <w:sz w:val="21"/>
                <w:szCs w:val="21"/>
                <w:lang w:val="en-US" w:eastAsia="en-US" w:bidi="ar-SA"/>
              </w:rPr>
            </w:pPr>
            <w:r>
              <w:rPr>
                <w:rFonts w:hint="eastAsia" w:ascii="仿宋" w:hAnsi="仿宋" w:eastAsia="仿宋" w:cs="仿宋"/>
                <w:color w:val="1F1F1F"/>
                <w:spacing w:val="4"/>
                <w:sz w:val="21"/>
                <w:szCs w:val="21"/>
              </w:rPr>
              <w:t>监督部门</w:t>
            </w:r>
          </w:p>
        </w:tc>
        <w:tc>
          <w:tcPr>
            <w:tcW w:w="6766" w:type="dxa"/>
            <w:shd w:val="clear" w:color="auto" w:fill="auto"/>
            <w:vAlign w:val="center"/>
          </w:tcPr>
          <w:p w14:paraId="02110965">
            <w:pPr>
              <w:pStyle w:val="46"/>
              <w:keepNext w:val="0"/>
              <w:keepLines/>
              <w:pageBreakBefore w:val="0"/>
              <w:widowControl w:val="0"/>
              <w:kinsoku/>
              <w:wordWrap w:val="0"/>
              <w:overflowPunct/>
              <w:topLinePunct/>
              <w:autoSpaceDE w:val="0"/>
              <w:autoSpaceDN w:val="0"/>
              <w:bidi w:val="0"/>
              <w:adjustRightInd w:val="0"/>
              <w:snapToGrid w:val="0"/>
              <w:spacing w:before="187" w:line="229" w:lineRule="auto"/>
              <w:ind w:left="39"/>
              <w:jc w:val="both"/>
              <w:textAlignment w:val="baseline"/>
              <w:rPr>
                <w:rFonts w:hint="eastAsia" w:ascii="仿宋" w:hAnsi="仿宋" w:eastAsia="仿宋" w:cs="仿宋"/>
                <w:sz w:val="21"/>
                <w:szCs w:val="21"/>
              </w:rPr>
            </w:pPr>
            <w:r>
              <w:rPr>
                <w:rFonts w:hint="eastAsia" w:ascii="仿宋" w:hAnsi="仿宋" w:eastAsia="仿宋" w:cs="仿宋"/>
                <w:color w:val="1F1F1F"/>
                <w:spacing w:val="8"/>
                <w:sz w:val="21"/>
                <w:szCs w:val="21"/>
              </w:rPr>
              <w:t>名称：策勒县财政局</w:t>
            </w:r>
          </w:p>
          <w:p w14:paraId="42AF1191">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jc w:val="both"/>
              <w:textAlignment w:val="baseline"/>
              <w:rPr>
                <w:rFonts w:hint="eastAsia" w:ascii="仿宋" w:hAnsi="仿宋" w:eastAsia="仿宋" w:cs="仿宋"/>
                <w:sz w:val="21"/>
                <w:szCs w:val="21"/>
              </w:rPr>
            </w:pPr>
            <w:r>
              <w:rPr>
                <w:rFonts w:hint="eastAsia" w:ascii="仿宋" w:hAnsi="仿宋" w:eastAsia="仿宋" w:cs="仿宋"/>
                <w:color w:val="1F1F1F"/>
                <w:spacing w:val="8"/>
                <w:sz w:val="21"/>
                <w:szCs w:val="21"/>
              </w:rPr>
              <w:t>联系人：张女士</w:t>
            </w:r>
          </w:p>
          <w:p w14:paraId="1CA1EBC5">
            <w:pPr>
              <w:pStyle w:val="46"/>
              <w:keepNext w:val="0"/>
              <w:keepLines/>
              <w:pageBreakBefore w:val="0"/>
              <w:widowControl w:val="0"/>
              <w:kinsoku/>
              <w:wordWrap w:val="0"/>
              <w:overflowPunct/>
              <w:topLinePunct/>
              <w:autoSpaceDE w:val="0"/>
              <w:autoSpaceDN w:val="0"/>
              <w:bidi w:val="0"/>
              <w:adjustRightInd w:val="0"/>
              <w:snapToGrid w:val="0"/>
              <w:spacing w:before="96" w:line="231" w:lineRule="auto"/>
              <w:ind w:left="44" w:leftChars="0"/>
              <w:jc w:val="both"/>
              <w:textAlignment w:val="baseline"/>
              <w:rPr>
                <w:rFonts w:hint="eastAsia" w:ascii="仿宋" w:hAnsi="仿宋" w:eastAsia="仿宋" w:cs="仿宋"/>
                <w:kern w:val="2"/>
                <w:sz w:val="21"/>
                <w:szCs w:val="21"/>
                <w:lang w:val="en-US" w:eastAsia="en-US" w:bidi="ar-SA"/>
              </w:rPr>
            </w:pPr>
            <w:r>
              <w:rPr>
                <w:rFonts w:hint="eastAsia" w:ascii="仿宋" w:hAnsi="仿宋" w:eastAsia="仿宋" w:cs="仿宋"/>
                <w:color w:val="1F1F1F"/>
                <w:spacing w:val="5"/>
                <w:sz w:val="21"/>
                <w:szCs w:val="21"/>
              </w:rPr>
              <w:t>监督投诉电话：0903-6712645</w:t>
            </w:r>
          </w:p>
        </w:tc>
      </w:tr>
      <w:tr w14:paraId="58B335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89" w:type="dxa"/>
            <w:shd w:val="clear" w:color="auto" w:fill="auto"/>
            <w:vAlign w:val="center"/>
          </w:tcPr>
          <w:p w14:paraId="172956EE">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color w:val="1F1F1F"/>
                <w:spacing w:val="4"/>
                <w:kern w:val="2"/>
                <w:sz w:val="21"/>
                <w:szCs w:val="21"/>
                <w:lang w:val="en-US" w:eastAsia="zh-CN" w:bidi="ar-SA"/>
              </w:rPr>
            </w:pPr>
            <w:r>
              <w:rPr>
                <w:rFonts w:hint="eastAsia" w:ascii="仿宋" w:hAnsi="仿宋" w:eastAsia="仿宋" w:cs="仿宋"/>
                <w:color w:val="1F1F1F"/>
                <w:sz w:val="21"/>
                <w:szCs w:val="21"/>
              </w:rPr>
              <w:t>4</w:t>
            </w:r>
          </w:p>
        </w:tc>
        <w:tc>
          <w:tcPr>
            <w:tcW w:w="1626" w:type="dxa"/>
            <w:shd w:val="clear" w:color="auto" w:fill="auto"/>
            <w:vAlign w:val="center"/>
          </w:tcPr>
          <w:p w14:paraId="1A4036C6">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color w:val="1F1F1F"/>
                <w:spacing w:val="4"/>
                <w:sz w:val="21"/>
                <w:szCs w:val="21"/>
                <w:lang w:val="en-US" w:eastAsia="en-US"/>
              </w:rPr>
            </w:pPr>
            <w:r>
              <w:rPr>
                <w:rFonts w:hint="eastAsia" w:ascii="仿宋" w:hAnsi="仿宋" w:eastAsia="仿宋" w:cs="仿宋"/>
                <w:color w:val="1F1F1F"/>
                <w:spacing w:val="4"/>
                <w:sz w:val="21"/>
                <w:szCs w:val="21"/>
                <w:lang w:val="en-US" w:eastAsia="en-US"/>
              </w:rPr>
              <w:t>项目名称</w:t>
            </w:r>
          </w:p>
        </w:tc>
        <w:tc>
          <w:tcPr>
            <w:tcW w:w="6766" w:type="dxa"/>
            <w:shd w:val="clear" w:color="auto" w:fill="auto"/>
            <w:vAlign w:val="center"/>
          </w:tcPr>
          <w:p w14:paraId="6A244607">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5"/>
                <w:sz w:val="21"/>
                <w:szCs w:val="21"/>
              </w:rPr>
            </w:pPr>
            <w:r>
              <w:rPr>
                <w:rFonts w:hint="eastAsia" w:ascii="仿宋" w:hAnsi="仿宋" w:eastAsia="仿宋" w:cs="仿宋"/>
                <w:color w:val="1F1F1F"/>
                <w:spacing w:val="6"/>
                <w:sz w:val="21"/>
                <w:szCs w:val="21"/>
                <w:lang w:eastAsia="zh-CN"/>
              </w:rPr>
              <w:t>2024年和田地区策勒县沙海碧湖景区基础设施建设项目（全过程跟踪审计）</w:t>
            </w:r>
          </w:p>
        </w:tc>
      </w:tr>
      <w:tr w14:paraId="7EC418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789" w:type="dxa"/>
            <w:shd w:val="clear" w:color="auto" w:fill="auto"/>
            <w:vAlign w:val="center"/>
          </w:tcPr>
          <w:p w14:paraId="1F6885A8">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color w:val="1F1F1F"/>
                <w:spacing w:val="4"/>
                <w:kern w:val="2"/>
                <w:sz w:val="21"/>
                <w:szCs w:val="21"/>
                <w:lang w:val="en-US" w:eastAsia="zh-CN" w:bidi="ar-SA"/>
              </w:rPr>
            </w:pPr>
            <w:r>
              <w:rPr>
                <w:rFonts w:hint="eastAsia" w:ascii="仿宋" w:hAnsi="仿宋" w:eastAsia="仿宋" w:cs="仿宋"/>
                <w:color w:val="1F1F1F"/>
                <w:sz w:val="21"/>
                <w:szCs w:val="21"/>
              </w:rPr>
              <w:t>5</w:t>
            </w:r>
          </w:p>
        </w:tc>
        <w:tc>
          <w:tcPr>
            <w:tcW w:w="1626" w:type="dxa"/>
            <w:shd w:val="clear" w:color="auto" w:fill="auto"/>
            <w:vAlign w:val="center"/>
          </w:tcPr>
          <w:p w14:paraId="49547033">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color w:val="1F1F1F"/>
                <w:spacing w:val="4"/>
                <w:sz w:val="21"/>
                <w:szCs w:val="21"/>
                <w:lang w:val="en-US" w:eastAsia="en-US"/>
              </w:rPr>
            </w:pPr>
            <w:r>
              <w:rPr>
                <w:rFonts w:hint="eastAsia" w:ascii="仿宋" w:hAnsi="仿宋" w:eastAsia="仿宋" w:cs="仿宋"/>
                <w:color w:val="1F1F1F"/>
                <w:spacing w:val="4"/>
                <w:sz w:val="21"/>
                <w:szCs w:val="21"/>
                <w:lang w:val="en-US" w:eastAsia="en-US"/>
              </w:rPr>
              <w:t>项目地点</w:t>
            </w:r>
          </w:p>
        </w:tc>
        <w:tc>
          <w:tcPr>
            <w:tcW w:w="6766" w:type="dxa"/>
            <w:shd w:val="clear" w:color="auto" w:fill="auto"/>
            <w:vAlign w:val="center"/>
          </w:tcPr>
          <w:p w14:paraId="584C2964">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5"/>
                <w:sz w:val="21"/>
                <w:szCs w:val="21"/>
                <w:lang w:val="en-US" w:eastAsia="zh-CN"/>
              </w:rPr>
            </w:pPr>
            <w:r>
              <w:rPr>
                <w:rFonts w:hint="eastAsia" w:ascii="仿宋" w:hAnsi="仿宋" w:eastAsia="仿宋" w:cs="仿宋"/>
                <w:color w:val="1F1F1F"/>
                <w:spacing w:val="5"/>
                <w:sz w:val="21"/>
                <w:szCs w:val="21"/>
                <w:lang w:val="en-US" w:eastAsia="zh-CN"/>
              </w:rPr>
              <w:t>策勒县</w:t>
            </w:r>
          </w:p>
        </w:tc>
      </w:tr>
      <w:tr w14:paraId="5B0AA1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89" w:type="dxa"/>
            <w:shd w:val="clear" w:color="auto" w:fill="auto"/>
            <w:vAlign w:val="center"/>
          </w:tcPr>
          <w:p w14:paraId="6B8B2DBB">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color w:val="1F1F1F"/>
                <w:spacing w:val="4"/>
                <w:kern w:val="2"/>
                <w:sz w:val="21"/>
                <w:szCs w:val="21"/>
                <w:lang w:val="en-US" w:eastAsia="zh-CN" w:bidi="ar-SA"/>
              </w:rPr>
            </w:pPr>
            <w:r>
              <w:rPr>
                <w:rFonts w:hint="eastAsia" w:ascii="仿宋" w:hAnsi="仿宋" w:eastAsia="仿宋" w:cs="仿宋"/>
                <w:color w:val="1F1F1F"/>
                <w:sz w:val="21"/>
                <w:szCs w:val="21"/>
              </w:rPr>
              <w:t>6</w:t>
            </w:r>
          </w:p>
        </w:tc>
        <w:tc>
          <w:tcPr>
            <w:tcW w:w="1626" w:type="dxa"/>
            <w:shd w:val="clear" w:color="auto" w:fill="auto"/>
            <w:vAlign w:val="center"/>
          </w:tcPr>
          <w:p w14:paraId="1A29F6EA">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color w:val="1F1F1F"/>
                <w:spacing w:val="4"/>
                <w:sz w:val="21"/>
                <w:szCs w:val="21"/>
                <w:lang w:val="en-US" w:eastAsia="en-US"/>
              </w:rPr>
            </w:pPr>
            <w:r>
              <w:rPr>
                <w:rFonts w:hint="eastAsia" w:ascii="仿宋" w:hAnsi="仿宋" w:eastAsia="仿宋" w:cs="仿宋"/>
                <w:color w:val="1F1F1F"/>
                <w:spacing w:val="4"/>
                <w:sz w:val="21"/>
                <w:szCs w:val="21"/>
                <w:lang w:val="en-US" w:eastAsia="en-US"/>
              </w:rPr>
              <w:t>采购内容</w:t>
            </w:r>
          </w:p>
        </w:tc>
        <w:tc>
          <w:tcPr>
            <w:tcW w:w="6766" w:type="dxa"/>
            <w:shd w:val="clear" w:color="auto" w:fill="auto"/>
            <w:vAlign w:val="center"/>
          </w:tcPr>
          <w:p w14:paraId="5A75FCFA">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5"/>
                <w:sz w:val="21"/>
                <w:szCs w:val="21"/>
              </w:rPr>
            </w:pPr>
            <w:r>
              <w:rPr>
                <w:rFonts w:hint="eastAsia" w:ascii="仿宋" w:hAnsi="仿宋" w:eastAsia="仿宋" w:cs="仿宋"/>
                <w:color w:val="1F1F1F"/>
                <w:spacing w:val="4"/>
                <w:sz w:val="21"/>
                <w:szCs w:val="21"/>
                <w:highlight w:val="none"/>
                <w:lang w:val="en-US" w:eastAsia="zh-CN"/>
              </w:rPr>
              <w:t>2024年和田地区策勒县沙海碧湖景区基础设施建设项目跟踪审计服务（具体采购需求详见招标文件）</w:t>
            </w:r>
          </w:p>
        </w:tc>
      </w:tr>
      <w:tr w14:paraId="56CC10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89" w:type="dxa"/>
            <w:shd w:val="clear" w:color="auto" w:fill="auto"/>
            <w:vAlign w:val="center"/>
          </w:tcPr>
          <w:p w14:paraId="6C1FB3E9">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color w:val="1F1F1F"/>
                <w:spacing w:val="4"/>
                <w:kern w:val="2"/>
                <w:sz w:val="21"/>
                <w:szCs w:val="21"/>
                <w:lang w:val="en-US" w:eastAsia="en-US" w:bidi="ar-SA"/>
              </w:rPr>
            </w:pPr>
            <w:r>
              <w:rPr>
                <w:rFonts w:hint="eastAsia" w:ascii="仿宋" w:hAnsi="仿宋" w:eastAsia="仿宋" w:cs="仿宋"/>
                <w:color w:val="1F1F1F"/>
                <w:sz w:val="21"/>
                <w:szCs w:val="21"/>
              </w:rPr>
              <w:t>7</w:t>
            </w:r>
          </w:p>
        </w:tc>
        <w:tc>
          <w:tcPr>
            <w:tcW w:w="1626" w:type="dxa"/>
            <w:shd w:val="clear" w:color="auto" w:fill="auto"/>
            <w:vAlign w:val="center"/>
          </w:tcPr>
          <w:p w14:paraId="2841DD85">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color w:val="1F1F1F"/>
                <w:spacing w:val="4"/>
                <w:sz w:val="21"/>
                <w:szCs w:val="21"/>
                <w:lang w:val="en-US" w:eastAsia="en-US"/>
              </w:rPr>
            </w:pPr>
            <w:r>
              <w:rPr>
                <w:color w:val="1F1F1F"/>
                <w:spacing w:val="8"/>
                <w:sz w:val="20"/>
                <w:szCs w:val="20"/>
              </w:rPr>
              <w:t>★</w:t>
            </w:r>
            <w:r>
              <w:rPr>
                <w:rFonts w:hint="eastAsia" w:ascii="仿宋" w:hAnsi="仿宋" w:eastAsia="仿宋" w:cs="仿宋"/>
                <w:color w:val="1F1F1F"/>
                <w:spacing w:val="4"/>
                <w:sz w:val="21"/>
                <w:szCs w:val="21"/>
                <w:lang w:val="en-US" w:eastAsia="en-US"/>
              </w:rPr>
              <w:t>采购范围</w:t>
            </w:r>
          </w:p>
        </w:tc>
        <w:tc>
          <w:tcPr>
            <w:tcW w:w="6766" w:type="dxa"/>
            <w:shd w:val="clear" w:color="auto" w:fill="auto"/>
            <w:vAlign w:val="center"/>
          </w:tcPr>
          <w:p w14:paraId="127C7787">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5"/>
                <w:sz w:val="21"/>
                <w:szCs w:val="21"/>
              </w:rPr>
            </w:pPr>
            <w:r>
              <w:rPr>
                <w:rFonts w:hint="eastAsia" w:ascii="仿宋" w:hAnsi="仿宋" w:eastAsia="仿宋" w:cs="仿宋"/>
                <w:color w:val="1F1F1F"/>
                <w:spacing w:val="5"/>
                <w:sz w:val="21"/>
                <w:szCs w:val="21"/>
                <w:highlight w:val="none"/>
                <w:lang w:val="en-US" w:eastAsia="zh-CN"/>
              </w:rPr>
              <w:t>包括（但不限于）施工过程结算的审核、竣工决算的编制及审核、施工阶段全过程造价管理咨询，合同管理、工程进度款审核、变更签证造价审核确认、资金使用计划、投资绩效、风险控制、造价争议处理、材料设备询价、财务决算编制与审核、固定资产交付及产权边界厘清等全过程跟踪审计服务及其他工程咨询业务。</w:t>
            </w:r>
          </w:p>
        </w:tc>
      </w:tr>
      <w:tr w14:paraId="59578C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89" w:type="dxa"/>
            <w:shd w:val="clear" w:color="auto" w:fill="auto"/>
            <w:vAlign w:val="center"/>
          </w:tcPr>
          <w:p w14:paraId="467084DF">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color w:val="1F1F1F"/>
                <w:spacing w:val="4"/>
                <w:kern w:val="2"/>
                <w:sz w:val="21"/>
                <w:szCs w:val="21"/>
                <w:lang w:val="en-US" w:eastAsia="en-US" w:bidi="ar-SA"/>
              </w:rPr>
            </w:pPr>
            <w:r>
              <w:rPr>
                <w:rFonts w:hint="eastAsia" w:ascii="仿宋" w:hAnsi="仿宋" w:eastAsia="仿宋" w:cs="仿宋"/>
                <w:color w:val="1F1F1F"/>
                <w:sz w:val="21"/>
                <w:szCs w:val="21"/>
              </w:rPr>
              <w:t>8</w:t>
            </w:r>
          </w:p>
        </w:tc>
        <w:tc>
          <w:tcPr>
            <w:tcW w:w="1626" w:type="dxa"/>
            <w:shd w:val="clear" w:color="auto" w:fill="auto"/>
            <w:vAlign w:val="center"/>
          </w:tcPr>
          <w:p w14:paraId="2E994674">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kern w:val="2"/>
                <w:sz w:val="21"/>
                <w:szCs w:val="21"/>
                <w:lang w:val="en-US" w:eastAsia="en-US" w:bidi="ar-SA"/>
              </w:rPr>
            </w:pPr>
            <w:r>
              <w:rPr>
                <w:rFonts w:hint="eastAsia" w:ascii="仿宋" w:hAnsi="仿宋" w:eastAsia="仿宋" w:cs="仿宋"/>
                <w:color w:val="1F1F1F"/>
                <w:spacing w:val="5"/>
                <w:sz w:val="21"/>
                <w:szCs w:val="21"/>
              </w:rPr>
              <w:t>采购方式</w:t>
            </w:r>
          </w:p>
        </w:tc>
        <w:tc>
          <w:tcPr>
            <w:tcW w:w="6766" w:type="dxa"/>
            <w:shd w:val="clear" w:color="auto" w:fill="auto"/>
            <w:vAlign w:val="center"/>
          </w:tcPr>
          <w:p w14:paraId="0DB6DC84">
            <w:pPr>
              <w:pStyle w:val="46"/>
              <w:keepNext w:val="0"/>
              <w:keepLines/>
              <w:pageBreakBefore w:val="0"/>
              <w:widowControl w:val="0"/>
              <w:kinsoku/>
              <w:wordWrap w:val="0"/>
              <w:overflowPunct/>
              <w:topLinePunct/>
              <w:autoSpaceDE w:val="0"/>
              <w:autoSpaceDN w:val="0"/>
              <w:bidi w:val="0"/>
              <w:adjustRightInd w:val="0"/>
              <w:snapToGrid w:val="0"/>
              <w:spacing w:before="57" w:line="229" w:lineRule="auto"/>
              <w:ind w:left="44" w:leftChars="0"/>
              <w:jc w:val="left"/>
              <w:textAlignment w:val="baseline"/>
              <w:rPr>
                <w:rFonts w:hint="eastAsia" w:ascii="仿宋" w:hAnsi="仿宋" w:eastAsia="仿宋" w:cs="仿宋"/>
                <w:kern w:val="2"/>
                <w:sz w:val="21"/>
                <w:szCs w:val="21"/>
                <w:lang w:val="en-US" w:eastAsia="zh-CN" w:bidi="ar-SA"/>
              </w:rPr>
            </w:pPr>
            <w:r>
              <w:rPr>
                <w:rFonts w:hint="eastAsia" w:ascii="仿宋" w:hAnsi="仿宋" w:eastAsia="仿宋" w:cs="仿宋"/>
                <w:color w:val="1F1F1F"/>
                <w:spacing w:val="5"/>
                <w:sz w:val="21"/>
                <w:szCs w:val="21"/>
              </w:rPr>
              <w:t>竞争性磋商</w:t>
            </w:r>
          </w:p>
        </w:tc>
      </w:tr>
      <w:tr w14:paraId="788236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89" w:type="dxa"/>
            <w:shd w:val="clear" w:color="auto" w:fill="auto"/>
            <w:vAlign w:val="center"/>
          </w:tcPr>
          <w:p w14:paraId="2F549F7D">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color w:val="1F1F1F"/>
                <w:spacing w:val="4"/>
                <w:kern w:val="2"/>
                <w:sz w:val="21"/>
                <w:szCs w:val="21"/>
                <w:lang w:val="en-US" w:eastAsia="en-US" w:bidi="ar-SA"/>
              </w:rPr>
            </w:pPr>
            <w:r>
              <w:rPr>
                <w:rFonts w:hint="eastAsia" w:ascii="仿宋" w:hAnsi="仿宋" w:eastAsia="仿宋" w:cs="仿宋"/>
                <w:color w:val="1F1F1F"/>
                <w:sz w:val="21"/>
                <w:szCs w:val="21"/>
              </w:rPr>
              <w:t>9</w:t>
            </w:r>
          </w:p>
        </w:tc>
        <w:tc>
          <w:tcPr>
            <w:tcW w:w="1626" w:type="dxa"/>
            <w:shd w:val="clear" w:color="auto" w:fill="auto"/>
            <w:vAlign w:val="center"/>
          </w:tcPr>
          <w:p w14:paraId="32663DD6">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kern w:val="2"/>
                <w:sz w:val="21"/>
                <w:szCs w:val="21"/>
                <w:lang w:val="en-US" w:eastAsia="en-US" w:bidi="ar-SA"/>
              </w:rPr>
            </w:pPr>
            <w:r>
              <w:rPr>
                <w:rFonts w:hint="eastAsia" w:ascii="仿宋" w:hAnsi="仿宋" w:eastAsia="仿宋" w:cs="仿宋"/>
                <w:color w:val="1F1F1F"/>
                <w:spacing w:val="5"/>
                <w:sz w:val="21"/>
                <w:szCs w:val="21"/>
              </w:rPr>
              <w:t>评标方法</w:t>
            </w:r>
          </w:p>
        </w:tc>
        <w:tc>
          <w:tcPr>
            <w:tcW w:w="6766" w:type="dxa"/>
            <w:shd w:val="clear" w:color="auto" w:fill="auto"/>
            <w:vAlign w:val="center"/>
          </w:tcPr>
          <w:p w14:paraId="747B6CE1">
            <w:pPr>
              <w:pStyle w:val="46"/>
              <w:keepNext w:val="0"/>
              <w:keepLines/>
              <w:pageBreakBefore w:val="0"/>
              <w:widowControl w:val="0"/>
              <w:kinsoku/>
              <w:wordWrap w:val="0"/>
              <w:overflowPunct/>
              <w:topLinePunct/>
              <w:autoSpaceDE w:val="0"/>
              <w:autoSpaceDN w:val="0"/>
              <w:bidi w:val="0"/>
              <w:adjustRightInd w:val="0"/>
              <w:snapToGrid w:val="0"/>
              <w:spacing w:before="91" w:line="231" w:lineRule="auto"/>
              <w:ind w:left="39" w:leftChars="0"/>
              <w:jc w:val="left"/>
              <w:textAlignment w:val="baseline"/>
              <w:rPr>
                <w:rFonts w:hint="eastAsia" w:ascii="仿宋" w:hAnsi="仿宋" w:eastAsia="仿宋" w:cs="仿宋"/>
                <w:kern w:val="2"/>
                <w:sz w:val="21"/>
                <w:szCs w:val="21"/>
                <w:lang w:val="en-US" w:eastAsia="zh-CN" w:bidi="ar-SA"/>
              </w:rPr>
            </w:pPr>
            <w:r>
              <w:rPr>
                <w:rFonts w:hint="eastAsia" w:ascii="仿宋" w:hAnsi="仿宋" w:eastAsia="仿宋" w:cs="仿宋"/>
                <w:color w:val="1F1F1F"/>
                <w:spacing w:val="5"/>
                <w:sz w:val="21"/>
                <w:szCs w:val="21"/>
                <w:lang w:val="en-US" w:eastAsia="zh-CN"/>
              </w:rPr>
              <w:t>根据《政府采购竞争性磋商采购方式管理暂行办法》（财库〔2014〕214号）的规定评审标准，本项目采用综合评分法。</w:t>
            </w:r>
          </w:p>
        </w:tc>
      </w:tr>
      <w:tr w14:paraId="4990F7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89" w:type="dxa"/>
            <w:shd w:val="clear" w:color="auto" w:fill="auto"/>
            <w:vAlign w:val="center"/>
          </w:tcPr>
          <w:p w14:paraId="34F5CA40">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color w:val="1F1F1F"/>
                <w:spacing w:val="4"/>
                <w:sz w:val="21"/>
                <w:szCs w:val="21"/>
                <w:lang w:val="en-US" w:eastAsia="zh-CN"/>
              </w:rPr>
            </w:pPr>
            <w:r>
              <w:rPr>
                <w:rFonts w:hint="eastAsia" w:ascii="仿宋" w:hAnsi="仿宋" w:eastAsia="仿宋" w:cs="仿宋"/>
                <w:color w:val="1F1F1F"/>
                <w:spacing w:val="4"/>
                <w:sz w:val="21"/>
                <w:szCs w:val="21"/>
                <w:lang w:val="en-US" w:eastAsia="zh-CN"/>
              </w:rPr>
              <w:t>10</w:t>
            </w:r>
          </w:p>
        </w:tc>
        <w:tc>
          <w:tcPr>
            <w:tcW w:w="1626" w:type="dxa"/>
            <w:shd w:val="clear" w:color="auto" w:fill="auto"/>
            <w:vAlign w:val="center"/>
          </w:tcPr>
          <w:p w14:paraId="58E6B81E">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color w:val="1F1F1F"/>
                <w:spacing w:val="4"/>
                <w:sz w:val="21"/>
                <w:szCs w:val="21"/>
              </w:rPr>
            </w:pPr>
            <w:r>
              <w:rPr>
                <w:color w:val="1F1F1F"/>
                <w:spacing w:val="8"/>
                <w:sz w:val="20"/>
                <w:szCs w:val="20"/>
              </w:rPr>
              <w:t>★</w:t>
            </w:r>
            <w:r>
              <w:rPr>
                <w:rFonts w:hint="eastAsia" w:ascii="仿宋" w:hAnsi="仿宋" w:eastAsia="仿宋" w:cs="仿宋"/>
                <w:color w:val="1F1F1F"/>
                <w:spacing w:val="4"/>
                <w:sz w:val="21"/>
                <w:szCs w:val="21"/>
              </w:rPr>
              <w:t>质量标准</w:t>
            </w:r>
          </w:p>
        </w:tc>
        <w:tc>
          <w:tcPr>
            <w:tcW w:w="6766" w:type="dxa"/>
            <w:shd w:val="clear" w:color="auto" w:fill="auto"/>
            <w:vAlign w:val="center"/>
          </w:tcPr>
          <w:p w14:paraId="651D410A">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5"/>
                <w:sz w:val="21"/>
                <w:szCs w:val="21"/>
              </w:rPr>
            </w:pPr>
            <w:r>
              <w:rPr>
                <w:rFonts w:hint="eastAsia" w:ascii="仿宋" w:hAnsi="仿宋" w:eastAsia="仿宋" w:cs="仿宋"/>
                <w:color w:val="1F1F1F"/>
                <w:spacing w:val="4"/>
                <w:sz w:val="21"/>
                <w:szCs w:val="21"/>
              </w:rPr>
              <w:t>按照国家和行业标准，质量标准达到合格及以上</w:t>
            </w:r>
          </w:p>
        </w:tc>
      </w:tr>
      <w:tr w14:paraId="0AFFFB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89" w:type="dxa"/>
            <w:shd w:val="clear" w:color="auto" w:fill="auto"/>
            <w:vAlign w:val="center"/>
          </w:tcPr>
          <w:p w14:paraId="34F27A0E">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color w:val="1F1F1F"/>
                <w:spacing w:val="4"/>
                <w:sz w:val="21"/>
                <w:szCs w:val="21"/>
                <w:lang w:val="en-US" w:eastAsia="zh-CN"/>
              </w:rPr>
            </w:pPr>
            <w:r>
              <w:rPr>
                <w:rFonts w:hint="eastAsia" w:ascii="仿宋" w:hAnsi="仿宋" w:eastAsia="仿宋" w:cs="仿宋"/>
                <w:color w:val="1F1F1F"/>
                <w:spacing w:val="4"/>
                <w:sz w:val="21"/>
                <w:szCs w:val="21"/>
                <w:lang w:val="en-US" w:eastAsia="zh-CN"/>
              </w:rPr>
              <w:t>11</w:t>
            </w:r>
          </w:p>
        </w:tc>
        <w:tc>
          <w:tcPr>
            <w:tcW w:w="1626" w:type="dxa"/>
            <w:shd w:val="clear" w:color="auto" w:fill="auto"/>
            <w:vAlign w:val="center"/>
          </w:tcPr>
          <w:p w14:paraId="112B7265">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color w:val="1F1F1F"/>
                <w:spacing w:val="4"/>
                <w:sz w:val="21"/>
                <w:szCs w:val="21"/>
              </w:rPr>
            </w:pPr>
            <w:r>
              <w:rPr>
                <w:color w:val="1F1F1F"/>
                <w:spacing w:val="8"/>
                <w:sz w:val="20"/>
                <w:szCs w:val="20"/>
              </w:rPr>
              <w:t>★</w:t>
            </w:r>
            <w:r>
              <w:rPr>
                <w:rFonts w:hint="eastAsia" w:ascii="仿宋" w:hAnsi="仿宋" w:eastAsia="仿宋" w:cs="仿宋"/>
                <w:color w:val="1F1F1F"/>
                <w:spacing w:val="4"/>
                <w:sz w:val="21"/>
                <w:szCs w:val="21"/>
                <w:lang w:val="en-US" w:eastAsia="zh-CN"/>
              </w:rPr>
              <w:t>合同履约期限</w:t>
            </w:r>
          </w:p>
        </w:tc>
        <w:tc>
          <w:tcPr>
            <w:tcW w:w="6766" w:type="dxa"/>
            <w:shd w:val="clear" w:color="auto" w:fill="auto"/>
            <w:vAlign w:val="center"/>
          </w:tcPr>
          <w:p w14:paraId="491E593C">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5"/>
                <w:sz w:val="21"/>
                <w:szCs w:val="21"/>
              </w:rPr>
            </w:pPr>
            <w:r>
              <w:rPr>
                <w:rFonts w:hint="eastAsia" w:ascii="仿宋" w:hAnsi="仿宋" w:eastAsia="仿宋" w:cs="仿宋"/>
                <w:color w:val="1F1F1F"/>
                <w:spacing w:val="4"/>
                <w:sz w:val="21"/>
                <w:szCs w:val="21"/>
                <w:highlight w:val="none"/>
                <w:lang w:val="en-US" w:eastAsia="zh-CN"/>
              </w:rPr>
              <w:t>合同签订起至所有项目验收结束为止（具体合同约定为准）</w:t>
            </w:r>
          </w:p>
        </w:tc>
      </w:tr>
      <w:tr w14:paraId="073CDE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89" w:type="dxa"/>
            <w:shd w:val="clear" w:color="auto" w:fill="auto"/>
            <w:vAlign w:val="center"/>
          </w:tcPr>
          <w:p w14:paraId="6F9DB452">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color w:val="1F1F1F"/>
                <w:spacing w:val="4"/>
                <w:sz w:val="21"/>
                <w:szCs w:val="21"/>
                <w:lang w:val="en-US" w:eastAsia="zh-CN"/>
              </w:rPr>
            </w:pPr>
            <w:r>
              <w:rPr>
                <w:rFonts w:hint="eastAsia" w:ascii="仿宋" w:hAnsi="仿宋" w:eastAsia="仿宋" w:cs="仿宋"/>
                <w:color w:val="1F1F1F"/>
                <w:spacing w:val="4"/>
                <w:sz w:val="21"/>
                <w:szCs w:val="21"/>
                <w:lang w:val="en-US" w:eastAsia="zh-CN"/>
              </w:rPr>
              <w:t>12</w:t>
            </w:r>
          </w:p>
        </w:tc>
        <w:tc>
          <w:tcPr>
            <w:tcW w:w="1626" w:type="dxa"/>
            <w:shd w:val="clear" w:color="auto" w:fill="auto"/>
            <w:vAlign w:val="center"/>
          </w:tcPr>
          <w:p w14:paraId="7EC7753E">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color w:val="1F1F1F"/>
                <w:spacing w:val="4"/>
                <w:sz w:val="21"/>
                <w:szCs w:val="21"/>
              </w:rPr>
            </w:pPr>
            <w:r>
              <w:rPr>
                <w:rFonts w:hint="eastAsia" w:ascii="仿宋" w:hAnsi="仿宋" w:eastAsia="仿宋" w:cs="仿宋"/>
                <w:color w:val="1F1F1F"/>
                <w:spacing w:val="4"/>
                <w:sz w:val="21"/>
                <w:szCs w:val="21"/>
              </w:rPr>
              <w:t>资金来源</w:t>
            </w:r>
          </w:p>
        </w:tc>
        <w:tc>
          <w:tcPr>
            <w:tcW w:w="6766" w:type="dxa"/>
            <w:shd w:val="clear" w:color="auto" w:fill="auto"/>
            <w:vAlign w:val="center"/>
          </w:tcPr>
          <w:p w14:paraId="3EADEC07">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5"/>
                <w:sz w:val="21"/>
                <w:szCs w:val="21"/>
              </w:rPr>
            </w:pPr>
            <w:r>
              <w:rPr>
                <w:rFonts w:hint="eastAsia" w:ascii="仿宋" w:hAnsi="仿宋" w:eastAsia="仿宋" w:cs="仿宋"/>
                <w:color w:val="1F1F1F"/>
                <w:spacing w:val="6"/>
                <w:sz w:val="21"/>
                <w:szCs w:val="21"/>
                <w:lang w:eastAsia="zh-CN"/>
              </w:rPr>
              <w:t>地方政府专项债券资金及配套资金</w:t>
            </w:r>
          </w:p>
        </w:tc>
      </w:tr>
      <w:tr w14:paraId="2927B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89" w:type="dxa"/>
            <w:shd w:val="clear" w:color="auto" w:fill="auto"/>
            <w:vAlign w:val="center"/>
          </w:tcPr>
          <w:p w14:paraId="3B78D490">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color w:val="1F1F1F"/>
                <w:spacing w:val="4"/>
                <w:sz w:val="21"/>
                <w:szCs w:val="21"/>
                <w:lang w:val="en-US" w:eastAsia="zh-CN"/>
              </w:rPr>
            </w:pPr>
            <w:r>
              <w:rPr>
                <w:rFonts w:hint="eastAsia" w:ascii="仿宋" w:hAnsi="仿宋" w:eastAsia="仿宋" w:cs="仿宋"/>
                <w:color w:val="1F1F1F"/>
                <w:spacing w:val="4"/>
                <w:sz w:val="21"/>
                <w:szCs w:val="21"/>
                <w:lang w:val="en-US" w:eastAsia="zh-CN"/>
              </w:rPr>
              <w:t>13</w:t>
            </w:r>
          </w:p>
        </w:tc>
        <w:tc>
          <w:tcPr>
            <w:tcW w:w="1626" w:type="dxa"/>
            <w:shd w:val="clear" w:color="auto" w:fill="auto"/>
            <w:vAlign w:val="center"/>
          </w:tcPr>
          <w:p w14:paraId="2C47FBB3">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center"/>
              <w:textAlignment w:val="baseline"/>
              <w:rPr>
                <w:rFonts w:hint="eastAsia" w:ascii="仿宋" w:hAnsi="仿宋" w:eastAsia="仿宋" w:cs="仿宋"/>
                <w:color w:val="1F1F1F"/>
                <w:spacing w:val="6"/>
                <w:sz w:val="21"/>
                <w:szCs w:val="21"/>
                <w:lang w:eastAsia="zh-CN"/>
              </w:rPr>
            </w:pPr>
            <w:r>
              <w:rPr>
                <w:rFonts w:hint="eastAsia" w:ascii="仿宋" w:hAnsi="仿宋" w:eastAsia="仿宋" w:cs="仿宋"/>
                <w:color w:val="1F1F1F"/>
                <w:spacing w:val="6"/>
                <w:sz w:val="21"/>
                <w:szCs w:val="21"/>
                <w:lang w:val="en-US" w:eastAsia="zh-CN"/>
              </w:rPr>
              <w:t>预算金额</w:t>
            </w:r>
          </w:p>
        </w:tc>
        <w:tc>
          <w:tcPr>
            <w:tcW w:w="6766" w:type="dxa"/>
            <w:shd w:val="clear" w:color="auto" w:fill="auto"/>
            <w:vAlign w:val="center"/>
          </w:tcPr>
          <w:p w14:paraId="200BBFC0">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6"/>
                <w:sz w:val="21"/>
                <w:szCs w:val="21"/>
                <w:lang w:eastAsia="zh-CN"/>
              </w:rPr>
            </w:pPr>
            <w:r>
              <w:rPr>
                <w:rFonts w:hint="eastAsia" w:ascii="仿宋" w:hAnsi="仿宋" w:eastAsia="仿宋" w:cs="仿宋"/>
                <w:color w:val="1F1F1F"/>
                <w:spacing w:val="6"/>
                <w:sz w:val="21"/>
                <w:szCs w:val="21"/>
                <w:lang w:val="en-US" w:eastAsia="zh-CN"/>
              </w:rPr>
              <w:t>700000.00元</w:t>
            </w:r>
          </w:p>
        </w:tc>
      </w:tr>
      <w:tr w14:paraId="44157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89" w:type="dxa"/>
            <w:shd w:val="clear" w:color="auto" w:fill="auto"/>
            <w:vAlign w:val="center"/>
          </w:tcPr>
          <w:p w14:paraId="6558F7FE">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color w:val="1F1F1F"/>
                <w:spacing w:val="4"/>
                <w:sz w:val="21"/>
                <w:szCs w:val="21"/>
                <w:lang w:val="en-US" w:eastAsia="zh-CN"/>
              </w:rPr>
            </w:pPr>
            <w:r>
              <w:rPr>
                <w:rFonts w:hint="eastAsia" w:ascii="仿宋" w:hAnsi="仿宋" w:eastAsia="仿宋" w:cs="仿宋"/>
                <w:color w:val="1F1F1F"/>
                <w:spacing w:val="4"/>
                <w:sz w:val="21"/>
                <w:szCs w:val="21"/>
                <w:lang w:val="en-US" w:eastAsia="zh-CN"/>
              </w:rPr>
              <w:t>14</w:t>
            </w:r>
          </w:p>
        </w:tc>
        <w:tc>
          <w:tcPr>
            <w:tcW w:w="1626" w:type="dxa"/>
            <w:shd w:val="clear" w:color="auto" w:fill="auto"/>
            <w:vAlign w:val="center"/>
          </w:tcPr>
          <w:p w14:paraId="0758E675">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center"/>
              <w:textAlignment w:val="baseline"/>
              <w:rPr>
                <w:rFonts w:hint="eastAsia" w:ascii="仿宋" w:hAnsi="仿宋" w:eastAsia="仿宋" w:cs="仿宋"/>
                <w:color w:val="1F1F1F"/>
                <w:spacing w:val="6"/>
                <w:sz w:val="21"/>
                <w:szCs w:val="21"/>
                <w:lang w:eastAsia="zh-CN"/>
              </w:rPr>
            </w:pPr>
            <w:r>
              <w:rPr>
                <w:color w:val="1F1F1F"/>
                <w:spacing w:val="8"/>
                <w:sz w:val="20"/>
                <w:szCs w:val="20"/>
              </w:rPr>
              <w:t>★</w:t>
            </w:r>
            <w:r>
              <w:rPr>
                <w:rFonts w:hint="eastAsia" w:ascii="仿宋" w:hAnsi="仿宋" w:eastAsia="仿宋" w:cs="仿宋"/>
                <w:color w:val="1F1F1F"/>
                <w:spacing w:val="6"/>
                <w:sz w:val="21"/>
                <w:szCs w:val="21"/>
                <w:lang w:val="en-US" w:eastAsia="zh-CN"/>
              </w:rPr>
              <w:t>最高限价</w:t>
            </w:r>
          </w:p>
        </w:tc>
        <w:tc>
          <w:tcPr>
            <w:tcW w:w="6766" w:type="dxa"/>
            <w:shd w:val="clear" w:color="auto" w:fill="auto"/>
            <w:vAlign w:val="center"/>
          </w:tcPr>
          <w:p w14:paraId="6E9B0C20">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6"/>
                <w:sz w:val="21"/>
                <w:szCs w:val="21"/>
                <w:lang w:val="en-US" w:eastAsia="zh-CN"/>
              </w:rPr>
            </w:pPr>
            <w:r>
              <w:rPr>
                <w:rFonts w:hint="eastAsia" w:ascii="仿宋" w:hAnsi="仿宋" w:eastAsia="仿宋" w:cs="仿宋"/>
                <w:spacing w:val="5"/>
                <w:sz w:val="21"/>
                <w:szCs w:val="21"/>
              </w:rPr>
              <w:t>1</w:t>
            </w:r>
            <w:r>
              <w:rPr>
                <w:rFonts w:hint="eastAsia" w:ascii="仿宋" w:hAnsi="仿宋" w:eastAsia="仿宋" w:cs="仿宋"/>
                <w:color w:val="1F1F1F"/>
                <w:spacing w:val="6"/>
                <w:sz w:val="21"/>
                <w:szCs w:val="21"/>
                <w:lang w:val="en-US" w:eastAsia="zh-CN"/>
              </w:rPr>
              <w:t>、本项目的最高限价：700000.00元</w:t>
            </w:r>
          </w:p>
          <w:p w14:paraId="10FD34E2">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6"/>
                <w:sz w:val="21"/>
                <w:szCs w:val="21"/>
                <w:lang w:val="en-US" w:eastAsia="zh-CN"/>
              </w:rPr>
            </w:pPr>
            <w:r>
              <w:rPr>
                <w:rFonts w:hint="eastAsia" w:ascii="仿宋" w:hAnsi="仿宋" w:eastAsia="仿宋" w:cs="仿宋"/>
                <w:color w:val="1F1F1F"/>
                <w:spacing w:val="6"/>
                <w:sz w:val="21"/>
                <w:szCs w:val="21"/>
                <w:lang w:val="en-US" w:eastAsia="zh-CN"/>
              </w:rPr>
              <w:t>2、投标报价出现下列情形的，投标无效：</w:t>
            </w:r>
          </w:p>
          <w:p w14:paraId="38289E4A">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6"/>
                <w:sz w:val="21"/>
                <w:szCs w:val="21"/>
                <w:lang w:val="en-US" w:eastAsia="zh-CN"/>
              </w:rPr>
            </w:pPr>
            <w:r>
              <w:rPr>
                <w:rFonts w:hint="eastAsia" w:ascii="仿宋" w:hAnsi="仿宋" w:eastAsia="仿宋" w:cs="仿宋"/>
                <w:color w:val="1F1F1F"/>
                <w:spacing w:val="6"/>
                <w:sz w:val="21"/>
                <w:szCs w:val="21"/>
                <w:lang w:val="en-US" w:eastAsia="zh-CN"/>
              </w:rPr>
              <w:t>（1）响应文件出现不是唯一的、有选择性投标报价的；</w:t>
            </w:r>
          </w:p>
          <w:p w14:paraId="65044271">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6"/>
                <w:sz w:val="21"/>
                <w:szCs w:val="21"/>
                <w:lang w:val="en-US" w:eastAsia="zh-CN"/>
              </w:rPr>
            </w:pPr>
            <w:r>
              <w:rPr>
                <w:rFonts w:hint="eastAsia" w:ascii="仿宋" w:hAnsi="仿宋" w:eastAsia="仿宋" w:cs="仿宋"/>
                <w:color w:val="1F1F1F"/>
                <w:spacing w:val="6"/>
                <w:sz w:val="21"/>
                <w:szCs w:val="21"/>
                <w:lang w:val="en-US" w:eastAsia="zh-CN"/>
              </w:rPr>
              <w:t>（2）投标报价超过磋商文件中规定的预算金额或者最高限价的；</w:t>
            </w:r>
          </w:p>
          <w:p w14:paraId="39C111FC">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6"/>
                <w:sz w:val="21"/>
                <w:szCs w:val="21"/>
                <w:lang w:val="en-US" w:eastAsia="zh-CN"/>
              </w:rPr>
            </w:pPr>
            <w:r>
              <w:rPr>
                <w:rFonts w:hint="eastAsia" w:ascii="仿宋" w:hAnsi="仿宋" w:eastAsia="仿宋" w:cs="仿宋"/>
                <w:color w:val="1F1F1F"/>
                <w:spacing w:val="6"/>
                <w:sz w:val="21"/>
                <w:szCs w:val="21"/>
                <w:lang w:val="en-US" w:eastAsia="zh-CN"/>
              </w:rPr>
              <w:t>（3）报价明显低于其他通过符合性审查供应商的报价，有可能影响产品质量或者不能诚信履约的，未能按要求提供书面说明或者提交相关证明材料证明其报价合理性的（投标人逐项就投标人提供的货物、工程和服务的主营业务成本（应根据投标人企业类型予以区别）、税金及附加、销售费用、管理费用、财务费用等成本构成事项详细陈述）；</w:t>
            </w:r>
          </w:p>
          <w:p w14:paraId="58684D68">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6"/>
                <w:sz w:val="21"/>
                <w:szCs w:val="21"/>
                <w:lang w:eastAsia="zh-CN"/>
              </w:rPr>
            </w:pPr>
            <w:r>
              <w:rPr>
                <w:rFonts w:hint="eastAsia" w:ascii="仿宋" w:hAnsi="仿宋" w:eastAsia="仿宋" w:cs="仿宋"/>
                <w:color w:val="1F1F1F"/>
                <w:spacing w:val="6"/>
                <w:sz w:val="21"/>
                <w:szCs w:val="21"/>
                <w:lang w:val="en-US" w:eastAsia="zh-CN"/>
              </w:rPr>
              <w:t>（4）供应商对根据修正原则修正后的报价不确认的。</w:t>
            </w:r>
          </w:p>
        </w:tc>
      </w:tr>
      <w:tr w14:paraId="6F189A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89" w:type="dxa"/>
            <w:shd w:val="clear" w:color="auto" w:fill="auto"/>
            <w:vAlign w:val="center"/>
          </w:tcPr>
          <w:p w14:paraId="0F60D3DB">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color w:val="1F1F1F"/>
                <w:sz w:val="21"/>
                <w:szCs w:val="21"/>
                <w:lang w:val="en-US" w:eastAsia="zh-CN"/>
              </w:rPr>
            </w:pPr>
            <w:r>
              <w:rPr>
                <w:rFonts w:hint="eastAsia" w:ascii="仿宋" w:hAnsi="仿宋" w:eastAsia="仿宋" w:cs="仿宋"/>
                <w:color w:val="1F1F1F"/>
                <w:sz w:val="21"/>
                <w:szCs w:val="21"/>
                <w:lang w:val="en-US" w:eastAsia="zh-CN"/>
              </w:rPr>
              <w:t>15</w:t>
            </w:r>
          </w:p>
        </w:tc>
        <w:tc>
          <w:tcPr>
            <w:tcW w:w="1626" w:type="dxa"/>
            <w:shd w:val="clear" w:color="auto" w:fill="auto"/>
            <w:vAlign w:val="center"/>
          </w:tcPr>
          <w:p w14:paraId="554B5A6E">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color w:val="1F1F1F"/>
                <w:spacing w:val="4"/>
                <w:sz w:val="21"/>
                <w:szCs w:val="21"/>
                <w:lang w:val="en-US" w:eastAsia="zh-CN"/>
              </w:rPr>
            </w:pPr>
            <w:r>
              <w:rPr>
                <w:color w:val="1F1F1F"/>
                <w:spacing w:val="8"/>
                <w:sz w:val="20"/>
                <w:szCs w:val="20"/>
              </w:rPr>
              <w:t>★</w:t>
            </w:r>
            <w:r>
              <w:rPr>
                <w:rFonts w:hint="eastAsia" w:ascii="仿宋" w:hAnsi="仿宋" w:eastAsia="仿宋" w:cs="仿宋"/>
                <w:color w:val="1F1F1F"/>
                <w:spacing w:val="4"/>
                <w:sz w:val="21"/>
                <w:szCs w:val="21"/>
              </w:rPr>
              <w:t>供应商资质条件、能力、信誉</w:t>
            </w:r>
            <w:r>
              <w:rPr>
                <w:rFonts w:hint="eastAsia" w:ascii="仿宋" w:hAnsi="仿宋" w:eastAsia="仿宋" w:cs="仿宋"/>
                <w:color w:val="1F1F1F"/>
                <w:spacing w:val="4"/>
                <w:sz w:val="21"/>
                <w:szCs w:val="21"/>
                <w:lang w:val="en-US" w:eastAsia="zh-CN"/>
              </w:rPr>
              <w:t>等要求</w:t>
            </w:r>
          </w:p>
        </w:tc>
        <w:tc>
          <w:tcPr>
            <w:tcW w:w="6766" w:type="dxa"/>
            <w:shd w:val="clear" w:color="auto" w:fill="auto"/>
            <w:vAlign w:val="center"/>
          </w:tcPr>
          <w:p w14:paraId="2792FC0C">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5"/>
                <w:sz w:val="21"/>
                <w:szCs w:val="21"/>
                <w:lang w:val="en-US" w:eastAsia="zh-CN"/>
              </w:rPr>
            </w:pPr>
            <w:r>
              <w:rPr>
                <w:rFonts w:hint="eastAsia" w:ascii="仿宋" w:hAnsi="仿宋" w:eastAsia="仿宋" w:cs="仿宋"/>
                <w:color w:val="1F1F1F"/>
                <w:spacing w:val="5"/>
                <w:sz w:val="21"/>
                <w:szCs w:val="21"/>
                <w:lang w:val="en-US" w:eastAsia="zh-CN"/>
              </w:rPr>
              <w:t>1.满足《中华人民共和国政府采购法》第二十二条规定；</w:t>
            </w:r>
          </w:p>
          <w:p w14:paraId="6FAB7F02">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5"/>
                <w:sz w:val="21"/>
                <w:szCs w:val="21"/>
                <w:lang w:val="en-US" w:eastAsia="zh-CN"/>
              </w:rPr>
            </w:pPr>
            <w:r>
              <w:rPr>
                <w:rFonts w:hint="eastAsia" w:ascii="仿宋" w:hAnsi="仿宋" w:eastAsia="仿宋" w:cs="仿宋"/>
                <w:color w:val="1F1F1F"/>
                <w:spacing w:val="5"/>
                <w:sz w:val="21"/>
                <w:szCs w:val="21"/>
                <w:lang w:val="en-US" w:eastAsia="zh-CN"/>
              </w:rPr>
              <w:t>2.落实政府采购政策需满足的资格要求：</w:t>
            </w:r>
          </w:p>
          <w:p w14:paraId="068D1AD3">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5"/>
                <w:sz w:val="21"/>
                <w:szCs w:val="21"/>
                <w:lang w:val="en-US" w:eastAsia="zh-CN"/>
              </w:rPr>
            </w:pPr>
            <w:r>
              <w:rPr>
                <w:rFonts w:hint="eastAsia" w:ascii="仿宋" w:hAnsi="仿宋" w:eastAsia="仿宋" w:cs="仿宋"/>
                <w:color w:val="1F1F1F"/>
                <w:spacing w:val="5"/>
                <w:sz w:val="21"/>
                <w:szCs w:val="21"/>
                <w:lang w:val="en-US" w:eastAsia="zh-CN"/>
              </w:rPr>
              <w:t>2.1中小企业政策：本项目专门面向中小企业采购。即：提供的货物或服务全部由符合政策要求的中小/小微企业制造、服务全部由符合政策要求的中小/小微企业承接。</w:t>
            </w:r>
          </w:p>
          <w:p w14:paraId="0046DF08">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5"/>
                <w:sz w:val="21"/>
                <w:szCs w:val="21"/>
                <w:lang w:val="en-US" w:eastAsia="zh-CN"/>
              </w:rPr>
            </w:pPr>
            <w:r>
              <w:rPr>
                <w:rFonts w:hint="eastAsia" w:ascii="仿宋" w:hAnsi="仿宋" w:eastAsia="仿宋" w:cs="仿宋"/>
                <w:color w:val="1F1F1F"/>
                <w:spacing w:val="5"/>
                <w:sz w:val="21"/>
                <w:szCs w:val="21"/>
                <w:lang w:val="en-US" w:eastAsia="zh-CN"/>
              </w:rPr>
              <w:t>2.2其它落实政府采购政策的资格要求</w:t>
            </w:r>
          </w:p>
          <w:p w14:paraId="531AF7A5">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5"/>
                <w:sz w:val="21"/>
                <w:szCs w:val="21"/>
                <w:lang w:val="en-US" w:eastAsia="zh-CN"/>
              </w:rPr>
            </w:pPr>
            <w:r>
              <w:rPr>
                <w:rFonts w:hint="eastAsia" w:ascii="仿宋" w:hAnsi="仿宋" w:eastAsia="仿宋" w:cs="仿宋"/>
                <w:color w:val="1F1F1F"/>
                <w:spacing w:val="5"/>
                <w:sz w:val="21"/>
                <w:szCs w:val="21"/>
                <w:lang w:val="en-US" w:eastAsia="zh-CN"/>
              </w:rPr>
              <w:t>(1)财政部、国家发展改革委、生态环境部、市场监管总局《关于调整优化节能产品、环境标志产品政府采购执行机制的通知》(财库[2019]9号);</w:t>
            </w:r>
          </w:p>
          <w:p w14:paraId="037E43A5">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5"/>
                <w:sz w:val="21"/>
                <w:szCs w:val="21"/>
                <w:lang w:val="en-US" w:eastAsia="zh-CN"/>
              </w:rPr>
            </w:pPr>
            <w:r>
              <w:rPr>
                <w:rFonts w:hint="eastAsia" w:ascii="仿宋" w:hAnsi="仿宋" w:eastAsia="仿宋" w:cs="仿宋"/>
                <w:color w:val="1F1F1F"/>
                <w:spacing w:val="5"/>
                <w:sz w:val="21"/>
                <w:szCs w:val="21"/>
                <w:lang w:val="en-US" w:eastAsia="zh-CN"/>
              </w:rPr>
              <w:t>(2)财政部、生态环境部《关于印发环境标志产品政府采购品目清单的通知》(财库[2019]18号)</w:t>
            </w:r>
            <w:r>
              <w:rPr>
                <w:rFonts w:hint="eastAsia" w:cs="仿宋"/>
                <w:color w:val="1F1F1F"/>
                <w:spacing w:val="5"/>
                <w:sz w:val="21"/>
                <w:szCs w:val="21"/>
                <w:lang w:val="en-US" w:eastAsia="zh-CN"/>
              </w:rPr>
              <w:t>；</w:t>
            </w:r>
          </w:p>
          <w:p w14:paraId="27AB411D">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5"/>
                <w:sz w:val="21"/>
                <w:szCs w:val="21"/>
                <w:lang w:val="en-US" w:eastAsia="zh-CN"/>
              </w:rPr>
            </w:pPr>
            <w:r>
              <w:rPr>
                <w:rFonts w:hint="eastAsia" w:ascii="仿宋" w:hAnsi="仿宋" w:eastAsia="仿宋" w:cs="仿宋"/>
                <w:color w:val="1F1F1F"/>
                <w:spacing w:val="5"/>
                <w:sz w:val="21"/>
                <w:szCs w:val="21"/>
                <w:lang w:val="en-US" w:eastAsia="zh-CN"/>
              </w:rPr>
              <w:t>(3)财政部、发展改革委《关于印发节能产品政府采购品目清单的通知》(财库[2019]19号);</w:t>
            </w:r>
          </w:p>
          <w:p w14:paraId="2AB9C318">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5"/>
                <w:sz w:val="21"/>
                <w:szCs w:val="21"/>
                <w:lang w:val="en-US" w:eastAsia="zh-CN"/>
              </w:rPr>
            </w:pPr>
            <w:r>
              <w:rPr>
                <w:rFonts w:hint="eastAsia" w:ascii="仿宋" w:hAnsi="仿宋" w:eastAsia="仿宋" w:cs="仿宋"/>
                <w:color w:val="1F1F1F"/>
                <w:spacing w:val="5"/>
                <w:sz w:val="21"/>
                <w:szCs w:val="21"/>
                <w:lang w:val="en-US" w:eastAsia="zh-CN"/>
              </w:rPr>
              <w:t>(4)市场监管总局《市场监管总局关于发布参与实施政府采购节能产品、环境标志产品认证机构名录的公告》(2019年第16号);</w:t>
            </w:r>
          </w:p>
          <w:p w14:paraId="2FF7580C">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5"/>
                <w:sz w:val="21"/>
                <w:szCs w:val="21"/>
                <w:lang w:val="en-US" w:eastAsia="zh-CN"/>
              </w:rPr>
            </w:pPr>
            <w:r>
              <w:rPr>
                <w:rFonts w:hint="eastAsia" w:ascii="仿宋" w:hAnsi="仿宋" w:eastAsia="仿宋" w:cs="仿宋"/>
                <w:color w:val="1F1F1F"/>
                <w:spacing w:val="5"/>
                <w:sz w:val="21"/>
                <w:szCs w:val="21"/>
                <w:lang w:val="en-US" w:eastAsia="zh-CN"/>
              </w:rPr>
              <w:t>(5)财政部、工业和信息化部《关于印发《政府采购促进中小企业发展管理办法》的通知》(财库[2020]46号)《关于进一步加大政府采购支持中小企业力度的通知》(财库[2022]19号)执行;</w:t>
            </w:r>
          </w:p>
          <w:p w14:paraId="6AFA33FC">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5"/>
                <w:sz w:val="21"/>
                <w:szCs w:val="21"/>
                <w:lang w:val="en-US" w:eastAsia="zh-CN"/>
              </w:rPr>
            </w:pPr>
            <w:r>
              <w:rPr>
                <w:rFonts w:hint="eastAsia" w:ascii="仿宋" w:hAnsi="仿宋" w:eastAsia="仿宋" w:cs="仿宋"/>
                <w:color w:val="1F1F1F"/>
                <w:spacing w:val="5"/>
                <w:sz w:val="21"/>
                <w:szCs w:val="21"/>
                <w:lang w:val="en-US" w:eastAsia="zh-CN"/>
              </w:rPr>
              <w:t>(6)财政部、民政部、中国残疾人联合会《关于促进残疾人就业政府采购政策的通知》(财库[2017]141号)</w:t>
            </w:r>
            <w:r>
              <w:rPr>
                <w:rFonts w:hint="eastAsia" w:cs="仿宋"/>
                <w:color w:val="1F1F1F"/>
                <w:spacing w:val="5"/>
                <w:sz w:val="21"/>
                <w:szCs w:val="21"/>
                <w:lang w:val="en-US" w:eastAsia="zh-CN"/>
              </w:rPr>
              <w:t>；</w:t>
            </w:r>
          </w:p>
          <w:p w14:paraId="046FCE43">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5"/>
                <w:sz w:val="21"/>
                <w:szCs w:val="21"/>
                <w:lang w:val="en-US" w:eastAsia="zh-CN"/>
              </w:rPr>
            </w:pPr>
            <w:r>
              <w:rPr>
                <w:rFonts w:hint="eastAsia" w:ascii="仿宋" w:hAnsi="仿宋" w:eastAsia="仿宋" w:cs="仿宋"/>
                <w:color w:val="1F1F1F"/>
                <w:spacing w:val="5"/>
                <w:sz w:val="21"/>
                <w:szCs w:val="21"/>
                <w:lang w:val="en-US" w:eastAsia="zh-CN"/>
              </w:rPr>
              <w:t>(7)财政部、司法部《关于政府采购支持JY企业发展有关问题的通知》(财库[2014]68号)</w:t>
            </w:r>
            <w:r>
              <w:rPr>
                <w:rFonts w:hint="eastAsia" w:cs="仿宋"/>
                <w:color w:val="1F1F1F"/>
                <w:spacing w:val="5"/>
                <w:sz w:val="21"/>
                <w:szCs w:val="21"/>
                <w:lang w:val="en-US" w:eastAsia="zh-CN"/>
              </w:rPr>
              <w:t>；</w:t>
            </w:r>
          </w:p>
          <w:p w14:paraId="386684FE">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5"/>
                <w:sz w:val="21"/>
                <w:szCs w:val="21"/>
                <w:lang w:val="en-US" w:eastAsia="zh-CN"/>
              </w:rPr>
            </w:pPr>
            <w:r>
              <w:rPr>
                <w:rFonts w:hint="eastAsia" w:ascii="仿宋" w:hAnsi="仿宋" w:eastAsia="仿宋" w:cs="仿宋"/>
                <w:color w:val="1F1F1F"/>
                <w:spacing w:val="5"/>
                <w:sz w:val="21"/>
                <w:szCs w:val="21"/>
                <w:lang w:val="en-US" w:eastAsia="zh-CN"/>
              </w:rPr>
              <w:t>（8）财政部、生态环境部、国家邮政局《关于印发《商品包装政府采购需求标准（试行）》、《快递包装政府采购需求标准（试行）》的通知》（财办库〔2020〕123号）</w:t>
            </w:r>
            <w:r>
              <w:rPr>
                <w:rFonts w:hint="eastAsia" w:cs="仿宋"/>
                <w:color w:val="1F1F1F"/>
                <w:spacing w:val="5"/>
                <w:sz w:val="21"/>
                <w:szCs w:val="21"/>
                <w:lang w:val="en-US" w:eastAsia="zh-CN"/>
              </w:rPr>
              <w:t>；</w:t>
            </w:r>
          </w:p>
          <w:p w14:paraId="3CAF3784">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5"/>
                <w:sz w:val="21"/>
                <w:szCs w:val="21"/>
                <w:lang w:val="en-US" w:eastAsia="zh-CN"/>
              </w:rPr>
            </w:pPr>
            <w:r>
              <w:rPr>
                <w:rFonts w:hint="eastAsia" w:ascii="仿宋" w:hAnsi="仿宋" w:eastAsia="仿宋" w:cs="仿宋"/>
                <w:color w:val="1F1F1F"/>
                <w:spacing w:val="5"/>
                <w:sz w:val="21"/>
                <w:szCs w:val="21"/>
                <w:lang w:val="en-US" w:eastAsia="zh-CN"/>
              </w:rPr>
              <w:t>3.本项目的其他资格要求：</w:t>
            </w:r>
          </w:p>
          <w:p w14:paraId="6E8C8A1C">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5"/>
                <w:sz w:val="21"/>
                <w:szCs w:val="21"/>
                <w:lang w:val="en-US" w:eastAsia="zh-CN"/>
              </w:rPr>
            </w:pPr>
            <w:r>
              <w:rPr>
                <w:rFonts w:hint="eastAsia" w:ascii="仿宋" w:hAnsi="仿宋" w:eastAsia="仿宋" w:cs="仿宋"/>
                <w:color w:val="1F1F1F"/>
                <w:spacing w:val="5"/>
                <w:sz w:val="21"/>
                <w:szCs w:val="21"/>
                <w:lang w:val="en-US" w:eastAsia="zh-CN"/>
              </w:rPr>
              <w:t>(1)具有独立承担民事责任的能力：提供在中华人民共和国境内注册的法人或其他组织的营业执照或事业单位法人证书或社会团体法人登记证书复印件；如供应商为自然人的提供自然人身份证明复印件；如国家另有规定的，则从其规定。</w:t>
            </w:r>
          </w:p>
          <w:p w14:paraId="6433D30A">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5"/>
                <w:sz w:val="21"/>
                <w:szCs w:val="21"/>
                <w:lang w:val="en-US" w:eastAsia="zh-CN"/>
              </w:rPr>
            </w:pPr>
            <w:r>
              <w:rPr>
                <w:rFonts w:hint="eastAsia" w:ascii="仿宋" w:hAnsi="仿宋" w:eastAsia="仿宋" w:cs="仿宋"/>
                <w:color w:val="1F1F1F"/>
                <w:spacing w:val="5"/>
                <w:sz w:val="21"/>
                <w:szCs w:val="21"/>
                <w:lang w:val="en-US" w:eastAsia="zh-CN"/>
              </w:rPr>
              <w:t>(2)具有良好的商业信誉和健全的财务会计制度：投标人需提供2024或2025年度由第三方审计机构出具的在注册会计师行业统一监管平台备案赋码的财务审计报告(会计周期不满一年的按实际发生情况提供银行出具的资信证明）和单独提供健全的财务会计制度。</w:t>
            </w:r>
          </w:p>
          <w:p w14:paraId="1F83BEC6">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5"/>
                <w:sz w:val="21"/>
                <w:szCs w:val="21"/>
                <w:lang w:val="en-US" w:eastAsia="zh-CN"/>
              </w:rPr>
            </w:pPr>
            <w:r>
              <w:rPr>
                <w:rFonts w:hint="eastAsia" w:ascii="仿宋" w:hAnsi="仿宋" w:eastAsia="仿宋" w:cs="仿宋"/>
                <w:color w:val="1F1F1F"/>
                <w:spacing w:val="5"/>
                <w:sz w:val="21"/>
                <w:szCs w:val="21"/>
                <w:lang w:val="en-US" w:eastAsia="zh-CN"/>
              </w:rPr>
              <w:t>(3)具有履行合同所必需的设备和专业技术能力：投标人须提供此项《声明函》</w:t>
            </w:r>
          </w:p>
          <w:p w14:paraId="4872F856">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5"/>
                <w:sz w:val="21"/>
                <w:szCs w:val="21"/>
                <w:lang w:val="en-US" w:eastAsia="zh-CN"/>
              </w:rPr>
            </w:pPr>
            <w:r>
              <w:rPr>
                <w:rFonts w:hint="eastAsia" w:ascii="仿宋" w:hAnsi="仿宋" w:eastAsia="仿宋" w:cs="仿宋"/>
                <w:color w:val="1F1F1F"/>
                <w:spacing w:val="5"/>
                <w:sz w:val="21"/>
                <w:szCs w:val="21"/>
                <w:lang w:val="en-US" w:eastAsia="zh-CN"/>
              </w:rPr>
              <w:t>(4)有依法缴纳税收和社会保障资金的良好记录：①提供税务机关出具近三个月的完税证明或无欠税证明（新成立不足三个月的公司按实际发生提供，成立时间超过三个月的零申报的需提供依法报税资料），注：以完税证明税款所属日期为准，代缴税的完税证明不作为税务缴费凭证（如社保缴税等）；如依法免税的，应提供相应文件证明；②提供近段时间内法人(指本单位)连续3个月（指2026年2月-2026年4月）的缴纳社保证明材料，成立不足3个月的公司按实际发生提供，如依法不需要缴纳社会保障资金的，应提供相应文件证明）；</w:t>
            </w:r>
          </w:p>
          <w:p w14:paraId="6E1D53B5">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5"/>
                <w:sz w:val="21"/>
                <w:szCs w:val="21"/>
                <w:lang w:val="en-US" w:eastAsia="zh-CN"/>
              </w:rPr>
            </w:pPr>
            <w:r>
              <w:rPr>
                <w:rFonts w:hint="eastAsia" w:ascii="仿宋" w:hAnsi="仿宋" w:eastAsia="仿宋" w:cs="仿宋"/>
                <w:color w:val="1F1F1F"/>
                <w:spacing w:val="5"/>
                <w:sz w:val="21"/>
                <w:szCs w:val="21"/>
                <w:lang w:val="en-US" w:eastAsia="zh-CN"/>
              </w:rPr>
              <w:t>(5)投标人近三年内如在“信用中国网www.creditchina.gov.cn”被列入失信被执行人、企业经营异常名录、重大税收违法案件当事人名单、政府采购严重违法失信行为记录名单（尚在处罚期内的）；在“中国政府采购网（www.ccgp.gov.cn）”被列入政府采购严重违法失信行为记录名单的（尚在处罚期内的）；将拒绝其参加本次政府采购活动；</w:t>
            </w:r>
          </w:p>
          <w:p w14:paraId="09C87F27">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5"/>
                <w:sz w:val="21"/>
                <w:szCs w:val="21"/>
                <w:lang w:val="en-US" w:eastAsia="zh-CN"/>
              </w:rPr>
            </w:pPr>
            <w:r>
              <w:rPr>
                <w:rFonts w:hint="eastAsia" w:ascii="仿宋" w:hAnsi="仿宋" w:eastAsia="仿宋" w:cs="仿宋"/>
                <w:color w:val="1F1F1F"/>
                <w:spacing w:val="5"/>
                <w:sz w:val="21"/>
                <w:szCs w:val="21"/>
                <w:lang w:val="en-US" w:eastAsia="zh-CN"/>
              </w:rPr>
              <w:t>(6)参加采购活动前3年内，在经营活动中没有重大违法记录（投标人须提供此项《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3A3D7161">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5"/>
                <w:sz w:val="21"/>
                <w:szCs w:val="21"/>
                <w:lang w:val="en-US" w:eastAsia="zh-CN"/>
              </w:rPr>
            </w:pPr>
            <w:r>
              <w:rPr>
                <w:rFonts w:hint="eastAsia" w:ascii="仿宋" w:hAnsi="仿宋" w:eastAsia="仿宋" w:cs="仿宋"/>
                <w:color w:val="1F1F1F"/>
                <w:spacing w:val="5"/>
                <w:sz w:val="21"/>
                <w:szCs w:val="21"/>
                <w:lang w:val="en-US" w:eastAsia="zh-CN"/>
              </w:rPr>
              <w:t>(7)单位负责人为同一人或者存在直接控股、管理关系的不同投标人，不得参加同一合同项下的政府采购活动（投标人须提供此项《声明函》）。</w:t>
            </w:r>
          </w:p>
          <w:p w14:paraId="398F497F">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5"/>
                <w:sz w:val="21"/>
                <w:szCs w:val="21"/>
                <w:lang w:val="en-US" w:eastAsia="zh-CN"/>
              </w:rPr>
            </w:pPr>
            <w:r>
              <w:rPr>
                <w:rFonts w:hint="eastAsia" w:ascii="仿宋" w:hAnsi="仿宋" w:eastAsia="仿宋" w:cs="仿宋"/>
                <w:color w:val="1F1F1F"/>
                <w:spacing w:val="5"/>
                <w:sz w:val="21"/>
                <w:szCs w:val="21"/>
                <w:lang w:val="en-US" w:eastAsia="zh-CN"/>
              </w:rPr>
              <w:t>(8)投标保证金或电子保函：7000元（大写：柒仟元整）；</w:t>
            </w:r>
          </w:p>
          <w:p w14:paraId="629CA04A">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5"/>
                <w:sz w:val="21"/>
                <w:szCs w:val="21"/>
                <w:lang w:val="en-US" w:eastAsia="zh-CN"/>
              </w:rPr>
            </w:pPr>
            <w:r>
              <w:rPr>
                <w:rFonts w:hint="eastAsia" w:ascii="仿宋" w:hAnsi="仿宋" w:eastAsia="仿宋" w:cs="仿宋"/>
                <w:color w:val="1F1F1F"/>
                <w:spacing w:val="5"/>
                <w:sz w:val="21"/>
                <w:szCs w:val="21"/>
                <w:lang w:val="en-US" w:eastAsia="zh-CN"/>
              </w:rPr>
              <w:t>4.本项目的特定资格要求：</w:t>
            </w:r>
          </w:p>
          <w:p w14:paraId="5F7B7D86">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5"/>
                <w:sz w:val="21"/>
                <w:szCs w:val="21"/>
                <w:lang w:val="en-US" w:eastAsia="zh-CN"/>
              </w:rPr>
            </w:pPr>
            <w:r>
              <w:rPr>
                <w:rFonts w:hint="eastAsia" w:ascii="仿宋" w:hAnsi="仿宋" w:eastAsia="仿宋" w:cs="仿宋"/>
                <w:color w:val="1F1F1F"/>
                <w:spacing w:val="5"/>
                <w:sz w:val="21"/>
                <w:szCs w:val="21"/>
                <w:lang w:val="en-US" w:eastAsia="zh-CN"/>
              </w:rPr>
              <w:t>（1）投标人须具有由财政部门颁发的有效会计师事务所执业证书，不具备上述条件的投标人，须与一家会计事务所组成联合体参与投标；</w:t>
            </w:r>
          </w:p>
          <w:p w14:paraId="1B4A023E">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5"/>
                <w:sz w:val="21"/>
                <w:szCs w:val="21"/>
                <w:lang w:val="en-US" w:eastAsia="zh-CN"/>
              </w:rPr>
            </w:pPr>
            <w:r>
              <w:rPr>
                <w:rFonts w:hint="eastAsia" w:ascii="仿宋" w:hAnsi="仿宋" w:eastAsia="仿宋" w:cs="仿宋"/>
                <w:color w:val="1F1F1F"/>
                <w:spacing w:val="5"/>
                <w:sz w:val="21"/>
                <w:szCs w:val="21"/>
                <w:lang w:val="en-US" w:eastAsia="zh-CN"/>
              </w:rPr>
              <w:t>（2）拟派本项目的项目总负责人需具有建设部颁发的本单位注册的一级注册造价工程师资格证；</w:t>
            </w:r>
          </w:p>
          <w:p w14:paraId="27271651">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5"/>
                <w:sz w:val="21"/>
                <w:szCs w:val="21"/>
              </w:rPr>
            </w:pPr>
            <w:r>
              <w:rPr>
                <w:rFonts w:hint="eastAsia" w:ascii="仿宋" w:hAnsi="仿宋" w:eastAsia="仿宋" w:cs="仿宋"/>
                <w:color w:val="1F1F1F"/>
                <w:spacing w:val="5"/>
                <w:sz w:val="21"/>
                <w:szCs w:val="21"/>
                <w:lang w:val="en-US" w:eastAsia="zh-CN"/>
              </w:rPr>
              <w:t>（3）决算阶段负责人须具有注册会计师执业资格证书，且在本单位注册；</w:t>
            </w:r>
          </w:p>
        </w:tc>
      </w:tr>
      <w:tr w14:paraId="498AD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89" w:type="dxa"/>
            <w:shd w:val="clear" w:color="auto" w:fill="auto"/>
            <w:vAlign w:val="center"/>
          </w:tcPr>
          <w:p w14:paraId="2C28566C">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color w:val="1F1F1F"/>
                <w:sz w:val="21"/>
                <w:szCs w:val="21"/>
                <w:lang w:val="en-US" w:eastAsia="zh-CN"/>
              </w:rPr>
            </w:pPr>
            <w:r>
              <w:rPr>
                <w:rFonts w:hint="eastAsia" w:ascii="仿宋" w:hAnsi="仿宋" w:eastAsia="仿宋" w:cs="仿宋"/>
                <w:color w:val="1F1F1F"/>
                <w:sz w:val="21"/>
                <w:szCs w:val="21"/>
                <w:lang w:val="en-US" w:eastAsia="zh-CN"/>
              </w:rPr>
              <w:t>16</w:t>
            </w:r>
          </w:p>
        </w:tc>
        <w:tc>
          <w:tcPr>
            <w:tcW w:w="1626" w:type="dxa"/>
            <w:shd w:val="clear" w:color="auto" w:fill="auto"/>
            <w:vAlign w:val="center"/>
          </w:tcPr>
          <w:p w14:paraId="432753FF">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kern w:val="2"/>
                <w:sz w:val="21"/>
                <w:szCs w:val="21"/>
                <w:lang w:val="en-US" w:eastAsia="en-US" w:bidi="ar-SA"/>
              </w:rPr>
            </w:pPr>
            <w:r>
              <w:rPr>
                <w:rFonts w:hint="eastAsia" w:ascii="仿宋" w:hAnsi="仿宋" w:eastAsia="仿宋" w:cs="仿宋"/>
                <w:color w:val="1F1F1F"/>
                <w:spacing w:val="7"/>
                <w:sz w:val="21"/>
                <w:szCs w:val="21"/>
              </w:rPr>
              <w:t>信息公告媒体</w:t>
            </w:r>
          </w:p>
        </w:tc>
        <w:tc>
          <w:tcPr>
            <w:tcW w:w="6766" w:type="dxa"/>
            <w:shd w:val="clear" w:color="auto" w:fill="auto"/>
            <w:vAlign w:val="top"/>
          </w:tcPr>
          <w:p w14:paraId="3C8D9044">
            <w:pPr>
              <w:pStyle w:val="46"/>
              <w:keepNext w:val="0"/>
              <w:keepLines/>
              <w:pageBreakBefore w:val="0"/>
              <w:widowControl w:val="0"/>
              <w:kinsoku/>
              <w:wordWrap w:val="0"/>
              <w:overflowPunct/>
              <w:topLinePunct/>
              <w:autoSpaceDE w:val="0"/>
              <w:autoSpaceDN w:val="0"/>
              <w:bidi w:val="0"/>
              <w:adjustRightInd w:val="0"/>
              <w:snapToGrid w:val="0"/>
              <w:spacing w:before="167" w:line="224" w:lineRule="auto"/>
              <w:ind w:left="37" w:leftChars="0"/>
              <w:textAlignment w:val="baseline"/>
              <w:rPr>
                <w:rFonts w:hint="eastAsia" w:ascii="仿宋" w:hAnsi="仿宋" w:eastAsia="仿宋" w:cs="仿宋"/>
                <w:kern w:val="2"/>
                <w:sz w:val="21"/>
                <w:szCs w:val="21"/>
                <w:lang w:val="en-US" w:eastAsia="en-US" w:bidi="ar-SA"/>
              </w:rPr>
            </w:pPr>
            <w:r>
              <w:rPr>
                <w:rFonts w:hint="eastAsia" w:ascii="仿宋" w:hAnsi="仿宋" w:eastAsia="仿宋" w:cs="仿宋"/>
                <w:color w:val="1F1F1F"/>
                <w:spacing w:val="13"/>
                <w:sz w:val="21"/>
                <w:szCs w:val="21"/>
              </w:rPr>
              <w:t>新疆政府采购网（</w:t>
            </w:r>
            <w:r>
              <w:rPr>
                <w:rFonts w:hint="eastAsia" w:ascii="仿宋" w:hAnsi="仿宋" w:eastAsia="仿宋" w:cs="仿宋"/>
                <w:color w:val="1F1F1F"/>
                <w:sz w:val="21"/>
                <w:szCs w:val="21"/>
                <w:lang w:eastAsia="zh-CN"/>
              </w:rPr>
              <w:t>http://www.ccgp-xinjiang.gov.cn/</w:t>
            </w:r>
            <w:r>
              <w:rPr>
                <w:rFonts w:hint="eastAsia" w:ascii="仿宋" w:hAnsi="仿宋" w:eastAsia="仿宋" w:cs="仿宋"/>
                <w:color w:val="1F1F1F"/>
                <w:spacing w:val="13"/>
                <w:sz w:val="21"/>
                <w:szCs w:val="21"/>
              </w:rPr>
              <w:t>）</w:t>
            </w:r>
          </w:p>
        </w:tc>
      </w:tr>
      <w:tr w14:paraId="6CB46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89" w:type="dxa"/>
            <w:shd w:val="clear" w:color="auto" w:fill="auto"/>
            <w:vAlign w:val="center"/>
          </w:tcPr>
          <w:p w14:paraId="37A803D6">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color w:val="1F1F1F"/>
                <w:sz w:val="21"/>
                <w:szCs w:val="21"/>
                <w:lang w:val="en-US" w:eastAsia="zh-CN"/>
              </w:rPr>
            </w:pPr>
            <w:r>
              <w:rPr>
                <w:rFonts w:hint="eastAsia" w:ascii="仿宋" w:hAnsi="仿宋" w:eastAsia="仿宋" w:cs="仿宋"/>
                <w:color w:val="1F1F1F"/>
                <w:sz w:val="21"/>
                <w:szCs w:val="21"/>
                <w:lang w:val="en-US" w:eastAsia="zh-CN"/>
              </w:rPr>
              <w:t>17</w:t>
            </w:r>
          </w:p>
        </w:tc>
        <w:tc>
          <w:tcPr>
            <w:tcW w:w="1626" w:type="dxa"/>
            <w:shd w:val="clear" w:color="auto" w:fill="auto"/>
            <w:vAlign w:val="center"/>
          </w:tcPr>
          <w:p w14:paraId="102F7558">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color w:val="1F1F1F"/>
                <w:spacing w:val="7"/>
                <w:sz w:val="21"/>
                <w:szCs w:val="21"/>
                <w:lang w:val="en-US" w:eastAsia="en-US"/>
              </w:rPr>
            </w:pPr>
            <w:r>
              <w:rPr>
                <w:rFonts w:hint="eastAsia" w:ascii="仿宋" w:hAnsi="仿宋" w:eastAsia="仿宋" w:cs="仿宋"/>
                <w:color w:val="1F1F1F"/>
                <w:spacing w:val="7"/>
                <w:sz w:val="21"/>
                <w:szCs w:val="21"/>
              </w:rPr>
              <w:t>联合体投标</w:t>
            </w:r>
          </w:p>
        </w:tc>
        <w:tc>
          <w:tcPr>
            <w:tcW w:w="6766" w:type="dxa"/>
            <w:shd w:val="clear" w:color="auto" w:fill="auto"/>
            <w:vAlign w:val="center"/>
          </w:tcPr>
          <w:p w14:paraId="7A946684">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5"/>
                <w:sz w:val="21"/>
                <w:szCs w:val="21"/>
                <w:lang w:val="en-US" w:eastAsia="zh-CN"/>
              </w:rPr>
            </w:pPr>
            <w:r>
              <w:rPr>
                <w:rFonts w:hint="eastAsia" w:ascii="仿宋" w:hAnsi="仿宋" w:eastAsia="仿宋" w:cs="仿宋"/>
                <w:color w:val="1F1F1F"/>
                <w:spacing w:val="5"/>
                <w:sz w:val="21"/>
                <w:szCs w:val="21"/>
                <w:lang w:val="en-US" w:eastAsia="zh-CN"/>
              </w:rPr>
              <w:t>□不接受</w:t>
            </w:r>
          </w:p>
          <w:p w14:paraId="26B047E5">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5"/>
                <w:sz w:val="21"/>
                <w:szCs w:val="21"/>
                <w:lang w:val="en-US" w:eastAsia="zh-CN"/>
              </w:rPr>
            </w:pPr>
            <w:r>
              <w:rPr>
                <w:rFonts w:hint="eastAsia" w:cs="仿宋"/>
                <w:color w:val="1F1F1F"/>
                <w:spacing w:val="5"/>
                <w:sz w:val="21"/>
                <w:szCs w:val="21"/>
                <w:lang w:val="en-US" w:eastAsia="zh-CN"/>
              </w:rPr>
              <w:t>☑</w:t>
            </w:r>
            <w:r>
              <w:rPr>
                <w:rFonts w:hint="eastAsia" w:ascii="仿宋" w:hAnsi="仿宋" w:eastAsia="仿宋" w:cs="仿宋"/>
                <w:color w:val="1F1F1F"/>
                <w:spacing w:val="5"/>
                <w:sz w:val="21"/>
                <w:szCs w:val="21"/>
                <w:lang w:val="en-US" w:eastAsia="zh-CN"/>
              </w:rPr>
              <w:t>接受</w:t>
            </w:r>
          </w:p>
          <w:p w14:paraId="4299B815">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cs="仿宋"/>
                <w:b/>
                <w:bCs/>
                <w:color w:val="1F1F1F"/>
                <w:spacing w:val="5"/>
                <w:sz w:val="21"/>
                <w:szCs w:val="21"/>
                <w:highlight w:val="none"/>
                <w:lang w:val="en-US" w:eastAsia="zh-CN"/>
              </w:rPr>
            </w:pPr>
            <w:r>
              <w:rPr>
                <w:rFonts w:hint="eastAsia" w:cs="仿宋"/>
                <w:b/>
                <w:bCs/>
                <w:color w:val="1F1F1F"/>
                <w:spacing w:val="5"/>
                <w:sz w:val="21"/>
                <w:szCs w:val="21"/>
                <w:lang w:val="en-US" w:eastAsia="zh-CN"/>
              </w:rPr>
              <w:t>注</w:t>
            </w:r>
            <w:r>
              <w:rPr>
                <w:rFonts w:hint="eastAsia" w:cs="仿宋"/>
                <w:b/>
                <w:bCs/>
                <w:color w:val="1F1F1F"/>
                <w:spacing w:val="5"/>
                <w:sz w:val="21"/>
                <w:szCs w:val="21"/>
                <w:highlight w:val="none"/>
                <w:lang w:val="en-US" w:eastAsia="zh-CN"/>
              </w:rPr>
              <w:t>：1.联合体投标时，供应商名称应填写联合体全称（例：xxx公司（联合体成员：xxx公司））。</w:t>
            </w:r>
          </w:p>
          <w:p w14:paraId="215806BB">
            <w:pPr>
              <w:pStyle w:val="46"/>
              <w:keepNext w:val="0"/>
              <w:keepLines/>
              <w:pageBreakBefore w:val="0"/>
              <w:widowControl w:val="0"/>
              <w:numPr>
                <w:ilvl w:val="0"/>
                <w:numId w:val="2"/>
              </w:numPr>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cs="仿宋"/>
                <w:b/>
                <w:bCs/>
                <w:color w:val="1F1F1F"/>
                <w:spacing w:val="5"/>
                <w:sz w:val="21"/>
                <w:szCs w:val="21"/>
                <w:highlight w:val="none"/>
                <w:lang w:val="en-US" w:eastAsia="zh-CN"/>
              </w:rPr>
            </w:pPr>
            <w:r>
              <w:rPr>
                <w:rFonts w:hint="eastAsia" w:cs="仿宋"/>
                <w:b/>
                <w:bCs/>
                <w:color w:val="1F1F1F"/>
                <w:spacing w:val="5"/>
                <w:sz w:val="21"/>
                <w:szCs w:val="21"/>
                <w:highlight w:val="none"/>
                <w:lang w:val="en-US" w:eastAsia="zh-CN"/>
              </w:rPr>
              <w:t>联合体投标时，响应文件盖章要求：响应文件仅联合体协议书需联合体各方盖章。除联合体协议书外，供应商（投标人）盖章由联合体牵头单位盖章。</w:t>
            </w:r>
          </w:p>
          <w:p w14:paraId="68F86B77">
            <w:pPr>
              <w:pStyle w:val="46"/>
              <w:keepNext w:val="0"/>
              <w:keepLines/>
              <w:pageBreakBefore w:val="0"/>
              <w:widowControl w:val="0"/>
              <w:numPr>
                <w:ilvl w:val="0"/>
                <w:numId w:val="2"/>
              </w:numPr>
              <w:kinsoku/>
              <w:wordWrap w:val="0"/>
              <w:overflowPunct/>
              <w:topLinePunct/>
              <w:autoSpaceDE w:val="0"/>
              <w:autoSpaceDN w:val="0"/>
              <w:bidi w:val="0"/>
              <w:adjustRightInd w:val="0"/>
              <w:snapToGrid w:val="0"/>
              <w:spacing w:before="99" w:line="232" w:lineRule="auto"/>
              <w:ind w:left="35" w:leftChars="0"/>
              <w:jc w:val="both"/>
              <w:textAlignment w:val="baseline"/>
              <w:rPr>
                <w:rFonts w:hint="default" w:ascii="仿宋" w:hAnsi="仿宋" w:eastAsia="仿宋" w:cs="仿宋"/>
                <w:b/>
                <w:bCs/>
                <w:spacing w:val="-15"/>
                <w:sz w:val="21"/>
                <w:szCs w:val="21"/>
                <w:highlight w:val="none"/>
                <w:lang w:val="en-US" w:eastAsia="zh-CN"/>
              </w:rPr>
            </w:pPr>
            <w:r>
              <w:rPr>
                <w:rFonts w:hint="eastAsia" w:cs="仿宋"/>
                <w:b/>
                <w:bCs/>
                <w:color w:val="1F1F1F"/>
                <w:spacing w:val="5"/>
                <w:sz w:val="21"/>
                <w:szCs w:val="21"/>
                <w:highlight w:val="none"/>
                <w:lang w:val="en-US" w:eastAsia="zh-CN"/>
              </w:rPr>
              <w:t>联合体投标时，法定代表人身份证明、授权委托书由联合体牵头人出具即可。</w:t>
            </w:r>
          </w:p>
          <w:p w14:paraId="28F0FCD8">
            <w:pPr>
              <w:pStyle w:val="46"/>
              <w:keepNext w:val="0"/>
              <w:keepLines/>
              <w:pageBreakBefore w:val="0"/>
              <w:widowControl w:val="0"/>
              <w:numPr>
                <w:ilvl w:val="0"/>
                <w:numId w:val="2"/>
              </w:numPr>
              <w:kinsoku/>
              <w:wordWrap w:val="0"/>
              <w:overflowPunct/>
              <w:topLinePunct/>
              <w:autoSpaceDE w:val="0"/>
              <w:autoSpaceDN w:val="0"/>
              <w:bidi w:val="0"/>
              <w:adjustRightInd w:val="0"/>
              <w:snapToGrid w:val="0"/>
              <w:spacing w:before="99" w:line="232" w:lineRule="auto"/>
              <w:ind w:left="35" w:leftChars="0"/>
              <w:jc w:val="both"/>
              <w:textAlignment w:val="baseline"/>
              <w:rPr>
                <w:rFonts w:hint="default" w:ascii="仿宋" w:hAnsi="仿宋" w:eastAsia="仿宋" w:cs="仿宋"/>
                <w:spacing w:val="-15"/>
                <w:sz w:val="21"/>
                <w:szCs w:val="21"/>
                <w:lang w:val="en-US" w:eastAsia="zh-CN"/>
              </w:rPr>
            </w:pPr>
            <w:r>
              <w:rPr>
                <w:rFonts w:hint="eastAsia" w:cs="仿宋"/>
                <w:b/>
                <w:bCs/>
                <w:spacing w:val="-15"/>
                <w:sz w:val="21"/>
                <w:szCs w:val="21"/>
                <w:highlight w:val="none"/>
                <w:lang w:val="en-US" w:eastAsia="zh-CN"/>
              </w:rPr>
              <w:t>联合体投标时，响应文件递交应由牵头单位递交。</w:t>
            </w:r>
          </w:p>
        </w:tc>
      </w:tr>
      <w:tr w14:paraId="50883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89" w:type="dxa"/>
            <w:shd w:val="clear" w:color="auto" w:fill="auto"/>
            <w:vAlign w:val="center"/>
          </w:tcPr>
          <w:p w14:paraId="5C378C5A">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color w:val="1F1F1F"/>
                <w:sz w:val="21"/>
                <w:szCs w:val="21"/>
                <w:lang w:val="en-US" w:eastAsia="zh-CN"/>
              </w:rPr>
            </w:pPr>
            <w:r>
              <w:rPr>
                <w:rFonts w:hint="eastAsia" w:ascii="仿宋" w:hAnsi="仿宋" w:eastAsia="仿宋" w:cs="仿宋"/>
                <w:color w:val="1F1F1F"/>
                <w:sz w:val="21"/>
                <w:szCs w:val="21"/>
                <w:lang w:val="en-US" w:eastAsia="zh-CN"/>
              </w:rPr>
              <w:t>18</w:t>
            </w:r>
          </w:p>
        </w:tc>
        <w:tc>
          <w:tcPr>
            <w:tcW w:w="1626" w:type="dxa"/>
            <w:shd w:val="clear" w:color="auto" w:fill="auto"/>
            <w:vAlign w:val="center"/>
          </w:tcPr>
          <w:p w14:paraId="59D97CD5">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color w:val="1F1F1F"/>
                <w:spacing w:val="7"/>
                <w:sz w:val="21"/>
                <w:szCs w:val="21"/>
                <w:lang w:val="en-US" w:eastAsia="en-US"/>
              </w:rPr>
            </w:pPr>
            <w:r>
              <w:rPr>
                <w:rFonts w:hint="eastAsia" w:ascii="仿宋" w:hAnsi="仿宋" w:eastAsia="仿宋" w:cs="仿宋"/>
                <w:color w:val="1F1F1F"/>
                <w:spacing w:val="7"/>
                <w:sz w:val="21"/>
                <w:szCs w:val="21"/>
              </w:rPr>
              <w:t>备选方案</w:t>
            </w:r>
          </w:p>
        </w:tc>
        <w:tc>
          <w:tcPr>
            <w:tcW w:w="6766" w:type="dxa"/>
            <w:shd w:val="clear" w:color="auto" w:fill="auto"/>
            <w:vAlign w:val="center"/>
          </w:tcPr>
          <w:p w14:paraId="0D466A16">
            <w:pPr>
              <w:pStyle w:val="46"/>
              <w:spacing w:before="197" w:line="262" w:lineRule="auto"/>
              <w:ind w:right="5774" w:rightChars="0"/>
              <w:jc w:val="both"/>
              <w:rPr>
                <w:rFonts w:hint="eastAsia" w:ascii="仿宋" w:hAnsi="仿宋" w:eastAsia="仿宋" w:cs="仿宋"/>
                <w:kern w:val="2"/>
                <w:sz w:val="21"/>
                <w:szCs w:val="21"/>
                <w:lang w:val="en-US" w:eastAsia="en-US" w:bidi="ar-SA"/>
              </w:rPr>
            </w:pPr>
            <w:r>
              <w:rPr>
                <w:rFonts w:hint="eastAsia" w:ascii="仿宋" w:hAnsi="仿宋" w:eastAsia="仿宋" w:cs="仿宋"/>
                <w:spacing w:val="-8"/>
                <w:sz w:val="21"/>
                <w:szCs w:val="21"/>
              </w:rPr>
              <w:t>☑不接受</w:t>
            </w:r>
            <w:r>
              <w:rPr>
                <w:rFonts w:hint="eastAsia" w:ascii="仿宋" w:hAnsi="仿宋" w:eastAsia="仿宋" w:cs="仿宋"/>
                <w:spacing w:val="-15"/>
                <w:sz w:val="21"/>
                <w:szCs w:val="21"/>
              </w:rPr>
              <w:t>□接受</w:t>
            </w:r>
          </w:p>
        </w:tc>
      </w:tr>
      <w:tr w14:paraId="4E4C32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89" w:type="dxa"/>
            <w:shd w:val="clear" w:color="auto" w:fill="auto"/>
            <w:vAlign w:val="center"/>
          </w:tcPr>
          <w:p w14:paraId="6AC41B27">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color w:val="1F1F1F"/>
                <w:sz w:val="21"/>
                <w:szCs w:val="21"/>
                <w:lang w:val="en-US" w:eastAsia="zh-CN"/>
              </w:rPr>
            </w:pPr>
            <w:r>
              <w:rPr>
                <w:rFonts w:hint="eastAsia" w:ascii="仿宋" w:hAnsi="仿宋" w:eastAsia="仿宋" w:cs="仿宋"/>
                <w:color w:val="1F1F1F"/>
                <w:sz w:val="21"/>
                <w:szCs w:val="21"/>
                <w:lang w:val="en-US" w:eastAsia="zh-CN"/>
              </w:rPr>
              <w:t>19</w:t>
            </w:r>
          </w:p>
        </w:tc>
        <w:tc>
          <w:tcPr>
            <w:tcW w:w="1626" w:type="dxa"/>
            <w:shd w:val="clear" w:color="auto" w:fill="auto"/>
            <w:vAlign w:val="center"/>
          </w:tcPr>
          <w:p w14:paraId="255552E7">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color w:val="1F1F1F"/>
                <w:spacing w:val="7"/>
                <w:sz w:val="21"/>
                <w:szCs w:val="21"/>
                <w:lang w:val="en-US" w:eastAsia="en-US"/>
              </w:rPr>
            </w:pPr>
            <w:r>
              <w:rPr>
                <w:rFonts w:hint="eastAsia" w:ascii="仿宋" w:hAnsi="仿宋" w:eastAsia="仿宋" w:cs="仿宋"/>
                <w:color w:val="1F1F1F"/>
                <w:spacing w:val="7"/>
                <w:sz w:val="21"/>
                <w:szCs w:val="21"/>
              </w:rPr>
              <w:t>踏勘现场</w:t>
            </w:r>
          </w:p>
        </w:tc>
        <w:tc>
          <w:tcPr>
            <w:tcW w:w="6766" w:type="dxa"/>
            <w:shd w:val="clear" w:color="auto" w:fill="auto"/>
            <w:vAlign w:val="center"/>
          </w:tcPr>
          <w:p w14:paraId="22AB890A">
            <w:pPr>
              <w:pStyle w:val="46"/>
              <w:spacing w:before="164" w:line="238" w:lineRule="auto"/>
              <w:ind w:right="5774" w:rightChars="0"/>
              <w:jc w:val="both"/>
              <w:rPr>
                <w:rFonts w:hint="eastAsia" w:ascii="仿宋" w:hAnsi="仿宋" w:eastAsia="仿宋" w:cs="仿宋"/>
                <w:kern w:val="2"/>
                <w:sz w:val="21"/>
                <w:szCs w:val="21"/>
                <w:lang w:val="en-US" w:eastAsia="en-US" w:bidi="ar-SA"/>
              </w:rPr>
            </w:pPr>
            <w:r>
              <w:rPr>
                <w:rFonts w:hint="eastAsia" w:ascii="仿宋" w:hAnsi="仿宋" w:eastAsia="仿宋" w:cs="仿宋"/>
                <w:spacing w:val="-8"/>
                <w:sz w:val="21"/>
                <w:szCs w:val="21"/>
                <w:lang w:eastAsia="zh-CN"/>
              </w:rPr>
              <w:t>☑</w:t>
            </w:r>
            <w:r>
              <w:rPr>
                <w:rFonts w:hint="eastAsia" w:ascii="仿宋" w:hAnsi="仿宋" w:eastAsia="仿宋" w:cs="仿宋"/>
                <w:spacing w:val="-8"/>
                <w:sz w:val="21"/>
                <w:szCs w:val="21"/>
              </w:rPr>
              <w:t>不组织</w:t>
            </w:r>
            <w:r>
              <w:rPr>
                <w:rFonts w:hint="eastAsia" w:ascii="仿宋" w:hAnsi="仿宋" w:eastAsia="仿宋" w:cs="仿宋"/>
                <w:spacing w:val="-15"/>
                <w:sz w:val="21"/>
                <w:szCs w:val="21"/>
              </w:rPr>
              <w:t>□组织</w:t>
            </w:r>
          </w:p>
        </w:tc>
      </w:tr>
      <w:tr w14:paraId="6416F5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89" w:type="dxa"/>
            <w:shd w:val="clear" w:color="auto" w:fill="auto"/>
            <w:vAlign w:val="center"/>
          </w:tcPr>
          <w:p w14:paraId="081DDF87">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color w:val="1F1F1F"/>
                <w:sz w:val="21"/>
                <w:szCs w:val="21"/>
                <w:lang w:val="en-US" w:eastAsia="zh-CN"/>
              </w:rPr>
            </w:pPr>
            <w:r>
              <w:rPr>
                <w:rFonts w:hint="eastAsia" w:ascii="仿宋" w:hAnsi="仿宋" w:eastAsia="仿宋" w:cs="仿宋"/>
                <w:color w:val="1F1F1F"/>
                <w:sz w:val="21"/>
                <w:szCs w:val="21"/>
                <w:lang w:val="en-US" w:eastAsia="zh-CN"/>
              </w:rPr>
              <w:t>20</w:t>
            </w:r>
          </w:p>
        </w:tc>
        <w:tc>
          <w:tcPr>
            <w:tcW w:w="1626" w:type="dxa"/>
            <w:shd w:val="clear" w:color="auto" w:fill="auto"/>
            <w:vAlign w:val="center"/>
          </w:tcPr>
          <w:p w14:paraId="5768E463">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color w:val="1F1F1F"/>
                <w:spacing w:val="7"/>
                <w:sz w:val="21"/>
                <w:szCs w:val="21"/>
                <w:lang w:val="en-US" w:eastAsia="en-US"/>
              </w:rPr>
            </w:pPr>
            <w:r>
              <w:rPr>
                <w:rFonts w:hint="eastAsia" w:ascii="仿宋" w:hAnsi="仿宋" w:eastAsia="仿宋" w:cs="仿宋"/>
                <w:color w:val="1F1F1F"/>
                <w:spacing w:val="7"/>
                <w:sz w:val="21"/>
                <w:szCs w:val="21"/>
              </w:rPr>
              <w:t>分包</w:t>
            </w:r>
          </w:p>
        </w:tc>
        <w:tc>
          <w:tcPr>
            <w:tcW w:w="6766" w:type="dxa"/>
            <w:shd w:val="clear" w:color="auto" w:fill="auto"/>
            <w:vAlign w:val="center"/>
          </w:tcPr>
          <w:p w14:paraId="1B378F3C">
            <w:pPr>
              <w:pStyle w:val="46"/>
              <w:spacing w:before="165" w:line="238" w:lineRule="auto"/>
              <w:ind w:right="5774" w:rightChars="0"/>
              <w:jc w:val="both"/>
              <w:rPr>
                <w:rFonts w:hint="eastAsia" w:ascii="仿宋" w:hAnsi="仿宋" w:eastAsia="仿宋" w:cs="仿宋"/>
                <w:kern w:val="2"/>
                <w:sz w:val="21"/>
                <w:szCs w:val="21"/>
                <w:lang w:val="en-US" w:eastAsia="en-US" w:bidi="ar-SA"/>
              </w:rPr>
            </w:pPr>
            <w:r>
              <w:rPr>
                <w:rFonts w:hint="eastAsia" w:ascii="仿宋" w:hAnsi="仿宋" w:eastAsia="仿宋" w:cs="仿宋"/>
                <w:spacing w:val="-8"/>
                <w:sz w:val="21"/>
                <w:szCs w:val="21"/>
              </w:rPr>
              <w:t>☑不允许</w:t>
            </w:r>
            <w:r>
              <w:rPr>
                <w:rFonts w:hint="eastAsia" w:ascii="仿宋" w:hAnsi="仿宋" w:eastAsia="仿宋" w:cs="仿宋"/>
                <w:spacing w:val="-15"/>
                <w:sz w:val="21"/>
                <w:szCs w:val="21"/>
              </w:rPr>
              <w:t>□允许</w:t>
            </w:r>
          </w:p>
        </w:tc>
      </w:tr>
      <w:tr w14:paraId="41F61D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89" w:type="dxa"/>
            <w:shd w:val="clear" w:color="auto" w:fill="auto"/>
            <w:vAlign w:val="center"/>
          </w:tcPr>
          <w:p w14:paraId="2B1FF70F">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color w:val="1F1F1F"/>
                <w:sz w:val="21"/>
                <w:szCs w:val="21"/>
                <w:lang w:val="en-US" w:eastAsia="zh-CN"/>
              </w:rPr>
            </w:pPr>
            <w:r>
              <w:rPr>
                <w:rFonts w:hint="eastAsia" w:ascii="仿宋" w:hAnsi="仿宋" w:eastAsia="仿宋" w:cs="仿宋"/>
                <w:color w:val="1F1F1F"/>
                <w:sz w:val="21"/>
                <w:szCs w:val="21"/>
                <w:lang w:val="en-US" w:eastAsia="zh-CN"/>
              </w:rPr>
              <w:t>21</w:t>
            </w:r>
          </w:p>
        </w:tc>
        <w:tc>
          <w:tcPr>
            <w:tcW w:w="1626" w:type="dxa"/>
            <w:shd w:val="clear" w:color="auto" w:fill="auto"/>
            <w:vAlign w:val="center"/>
          </w:tcPr>
          <w:p w14:paraId="29274089">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color w:val="1F1F1F"/>
                <w:spacing w:val="7"/>
                <w:sz w:val="21"/>
                <w:szCs w:val="21"/>
              </w:rPr>
            </w:pPr>
            <w:r>
              <w:rPr>
                <w:rFonts w:hint="eastAsia" w:ascii="仿宋" w:hAnsi="仿宋" w:eastAsia="仿宋" w:cs="仿宋"/>
                <w:color w:val="1F1F1F"/>
                <w:spacing w:val="7"/>
                <w:sz w:val="21"/>
                <w:szCs w:val="21"/>
              </w:rPr>
              <w:t>构成竞争性磋商文件的其他资料</w:t>
            </w:r>
          </w:p>
        </w:tc>
        <w:tc>
          <w:tcPr>
            <w:tcW w:w="6766" w:type="dxa"/>
            <w:shd w:val="clear" w:color="auto" w:fill="auto"/>
            <w:vAlign w:val="center"/>
          </w:tcPr>
          <w:p w14:paraId="49262320">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5"/>
                <w:sz w:val="21"/>
                <w:szCs w:val="21"/>
              </w:rPr>
            </w:pPr>
            <w:r>
              <w:rPr>
                <w:rFonts w:hint="eastAsia" w:ascii="仿宋" w:hAnsi="仿宋" w:eastAsia="仿宋" w:cs="仿宋"/>
                <w:color w:val="1F1F1F"/>
                <w:spacing w:val="9"/>
                <w:sz w:val="21"/>
                <w:szCs w:val="21"/>
                <w:lang w:val="en-US" w:eastAsia="zh-CN"/>
              </w:rPr>
              <w:t>磋商</w:t>
            </w:r>
            <w:r>
              <w:rPr>
                <w:rFonts w:hint="eastAsia" w:ascii="仿宋" w:hAnsi="仿宋" w:eastAsia="仿宋" w:cs="仿宋"/>
                <w:color w:val="1F1F1F"/>
                <w:spacing w:val="9"/>
                <w:sz w:val="21"/>
                <w:szCs w:val="21"/>
              </w:rPr>
              <w:t>文件的澄清、修改及有关补充通知为</w:t>
            </w:r>
            <w:r>
              <w:rPr>
                <w:rFonts w:hint="eastAsia" w:ascii="仿宋" w:hAnsi="仿宋" w:eastAsia="仿宋" w:cs="仿宋"/>
                <w:color w:val="1F1F1F"/>
                <w:spacing w:val="9"/>
                <w:sz w:val="21"/>
                <w:szCs w:val="21"/>
                <w:lang w:val="en-US" w:eastAsia="zh-CN"/>
              </w:rPr>
              <w:t>磋商</w:t>
            </w:r>
            <w:r>
              <w:rPr>
                <w:rFonts w:hint="eastAsia" w:ascii="仿宋" w:hAnsi="仿宋" w:eastAsia="仿宋" w:cs="仿宋"/>
                <w:color w:val="1F1F1F"/>
                <w:spacing w:val="9"/>
                <w:sz w:val="21"/>
                <w:szCs w:val="21"/>
              </w:rPr>
              <w:t>文件的有效组成部分。</w:t>
            </w:r>
          </w:p>
        </w:tc>
      </w:tr>
      <w:tr w14:paraId="6BDEF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89" w:type="dxa"/>
            <w:shd w:val="clear" w:color="auto" w:fill="auto"/>
            <w:vAlign w:val="center"/>
          </w:tcPr>
          <w:p w14:paraId="74E48D44">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color w:val="1F1F1F"/>
                <w:sz w:val="21"/>
                <w:szCs w:val="21"/>
                <w:lang w:val="en-US" w:eastAsia="zh-CN"/>
              </w:rPr>
            </w:pPr>
            <w:r>
              <w:rPr>
                <w:rFonts w:hint="eastAsia" w:ascii="仿宋" w:hAnsi="仿宋" w:eastAsia="仿宋" w:cs="仿宋"/>
                <w:color w:val="1F1F1F"/>
                <w:sz w:val="21"/>
                <w:szCs w:val="21"/>
                <w:lang w:val="en-US" w:eastAsia="zh-CN"/>
              </w:rPr>
              <w:t>22</w:t>
            </w:r>
          </w:p>
        </w:tc>
        <w:tc>
          <w:tcPr>
            <w:tcW w:w="1626" w:type="dxa"/>
            <w:shd w:val="clear" w:color="auto" w:fill="auto"/>
            <w:vAlign w:val="center"/>
          </w:tcPr>
          <w:p w14:paraId="07A64648">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color w:val="1F1F1F"/>
                <w:spacing w:val="4"/>
                <w:sz w:val="21"/>
                <w:szCs w:val="21"/>
              </w:rPr>
            </w:pPr>
            <w:r>
              <w:rPr>
                <w:color w:val="1F1F1F"/>
                <w:spacing w:val="8"/>
                <w:sz w:val="20"/>
                <w:szCs w:val="20"/>
              </w:rPr>
              <w:t>★</w:t>
            </w:r>
            <w:r>
              <w:rPr>
                <w:rFonts w:hint="eastAsia" w:ascii="仿宋" w:hAnsi="仿宋" w:eastAsia="仿宋" w:cs="仿宋"/>
                <w:color w:val="1F1F1F"/>
                <w:spacing w:val="9"/>
                <w:sz w:val="21"/>
                <w:szCs w:val="21"/>
                <w:lang w:val="en-US" w:eastAsia="zh-CN"/>
              </w:rPr>
              <w:t>投标有效期</w:t>
            </w:r>
          </w:p>
        </w:tc>
        <w:tc>
          <w:tcPr>
            <w:tcW w:w="6766" w:type="dxa"/>
            <w:shd w:val="clear" w:color="auto" w:fill="auto"/>
            <w:vAlign w:val="center"/>
          </w:tcPr>
          <w:p w14:paraId="305EAE1B">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5"/>
                <w:sz w:val="21"/>
                <w:szCs w:val="21"/>
              </w:rPr>
            </w:pPr>
            <w:r>
              <w:rPr>
                <w:rFonts w:hint="eastAsia" w:ascii="仿宋" w:hAnsi="仿宋" w:eastAsia="仿宋" w:cs="仿宋"/>
                <w:color w:val="1F1F1F"/>
                <w:spacing w:val="5"/>
                <w:sz w:val="21"/>
                <w:szCs w:val="21"/>
              </w:rPr>
              <w:t>为</w:t>
            </w:r>
            <w:r>
              <w:rPr>
                <w:rFonts w:hint="eastAsia" w:ascii="仿宋" w:hAnsi="仿宋" w:eastAsia="仿宋" w:cs="仿宋"/>
                <w:color w:val="1F1F1F"/>
                <w:spacing w:val="5"/>
                <w:sz w:val="21"/>
                <w:szCs w:val="21"/>
                <w:u w:val="single"/>
              </w:rPr>
              <w:t>90</w:t>
            </w:r>
            <w:r>
              <w:rPr>
                <w:rFonts w:hint="eastAsia" w:ascii="仿宋" w:hAnsi="仿宋" w:eastAsia="仿宋" w:cs="仿宋"/>
                <w:color w:val="1F1F1F"/>
                <w:spacing w:val="5"/>
                <w:sz w:val="21"/>
                <w:szCs w:val="21"/>
              </w:rPr>
              <w:t>日历天(从投标截止之日算起)</w:t>
            </w:r>
          </w:p>
        </w:tc>
      </w:tr>
      <w:tr w14:paraId="7A98AE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89" w:type="dxa"/>
            <w:shd w:val="clear" w:color="auto" w:fill="auto"/>
            <w:vAlign w:val="center"/>
          </w:tcPr>
          <w:p w14:paraId="637B9630">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color w:val="1F1F1F"/>
                <w:sz w:val="21"/>
                <w:szCs w:val="21"/>
                <w:lang w:val="en-US" w:eastAsia="zh-CN"/>
              </w:rPr>
            </w:pPr>
            <w:r>
              <w:rPr>
                <w:rFonts w:hint="eastAsia" w:ascii="仿宋" w:hAnsi="仿宋" w:eastAsia="仿宋" w:cs="仿宋"/>
                <w:color w:val="1F1F1F"/>
                <w:sz w:val="21"/>
                <w:szCs w:val="21"/>
                <w:lang w:val="en-US" w:eastAsia="zh-CN"/>
              </w:rPr>
              <w:t>23</w:t>
            </w:r>
          </w:p>
        </w:tc>
        <w:tc>
          <w:tcPr>
            <w:tcW w:w="1626" w:type="dxa"/>
            <w:shd w:val="clear" w:color="auto" w:fill="auto"/>
            <w:vAlign w:val="center"/>
          </w:tcPr>
          <w:p w14:paraId="34C929D8">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color w:val="1F1F1F"/>
                <w:spacing w:val="4"/>
                <w:sz w:val="21"/>
                <w:szCs w:val="21"/>
              </w:rPr>
            </w:pPr>
            <w:r>
              <w:rPr>
                <w:rFonts w:hint="eastAsia" w:ascii="仿宋" w:hAnsi="仿宋" w:eastAsia="仿宋" w:cs="仿宋"/>
                <w:color w:val="1F1F1F"/>
                <w:spacing w:val="4"/>
                <w:sz w:val="21"/>
                <w:szCs w:val="21"/>
              </w:rPr>
              <w:t>采购标的对应的中小企业划分标准所属企业</w:t>
            </w:r>
          </w:p>
        </w:tc>
        <w:tc>
          <w:tcPr>
            <w:tcW w:w="6766" w:type="dxa"/>
            <w:shd w:val="clear" w:color="auto" w:fill="auto"/>
            <w:vAlign w:val="center"/>
          </w:tcPr>
          <w:p w14:paraId="7891CE78">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5"/>
                <w:sz w:val="21"/>
                <w:szCs w:val="21"/>
              </w:rPr>
            </w:pPr>
            <w:r>
              <w:rPr>
                <w:rFonts w:hint="eastAsia" w:ascii="仿宋" w:hAnsi="仿宋" w:eastAsia="仿宋" w:cs="仿宋"/>
                <w:color w:val="1F1F1F"/>
                <w:spacing w:val="5"/>
                <w:sz w:val="21"/>
                <w:szCs w:val="21"/>
              </w:rPr>
              <w:t>标的名称：</w:t>
            </w:r>
            <w:r>
              <w:rPr>
                <w:rFonts w:hint="eastAsia" w:ascii="仿宋" w:hAnsi="仿宋" w:eastAsia="仿宋" w:cs="仿宋"/>
                <w:color w:val="1F1F1F"/>
                <w:spacing w:val="6"/>
                <w:sz w:val="21"/>
                <w:szCs w:val="21"/>
                <w:lang w:eastAsia="zh-CN"/>
              </w:rPr>
              <w:t>2024年和田地区策勒县沙海碧湖景区基础设施建设项目（全过程跟踪审计）</w:t>
            </w:r>
          </w:p>
          <w:p w14:paraId="51615E40">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5"/>
                <w:sz w:val="21"/>
                <w:szCs w:val="21"/>
                <w:lang w:val="en-US" w:eastAsia="zh-CN"/>
              </w:rPr>
            </w:pPr>
            <w:r>
              <w:rPr>
                <w:rFonts w:hint="eastAsia" w:ascii="仿宋" w:hAnsi="仿宋" w:eastAsia="仿宋" w:cs="仿宋"/>
                <w:color w:val="1F1F1F"/>
                <w:spacing w:val="5"/>
                <w:sz w:val="21"/>
                <w:szCs w:val="21"/>
              </w:rPr>
              <w:t>属于行业：</w:t>
            </w:r>
            <w:r>
              <w:rPr>
                <w:rFonts w:hint="eastAsia" w:ascii="仿宋" w:hAnsi="仿宋" w:eastAsia="仿宋" w:cs="仿宋"/>
                <w:color w:val="1F1F1F"/>
                <w:spacing w:val="5"/>
                <w:sz w:val="21"/>
                <w:szCs w:val="21"/>
                <w:lang w:val="en-US" w:eastAsia="zh-CN"/>
              </w:rPr>
              <w:t>其他未列明行业</w:t>
            </w:r>
          </w:p>
          <w:p w14:paraId="13338FCF">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5"/>
                <w:sz w:val="21"/>
                <w:szCs w:val="21"/>
                <w:lang w:eastAsia="zh-CN"/>
              </w:rPr>
            </w:pPr>
            <w:r>
              <w:rPr>
                <w:rFonts w:hint="eastAsia" w:ascii="仿宋" w:hAnsi="仿宋" w:eastAsia="仿宋" w:cs="仿宋"/>
                <w:color w:val="1F1F1F"/>
                <w:spacing w:val="5"/>
                <w:sz w:val="21"/>
                <w:szCs w:val="21"/>
              </w:rPr>
              <w:t>据新财购【2022】22号文件中关于“中小企业划型标准规定”，本项目对应的中小企业划分标准所属行业为：</w:t>
            </w:r>
            <w:r>
              <w:rPr>
                <w:rFonts w:hint="eastAsia" w:ascii="仿宋" w:hAnsi="仿宋" w:eastAsia="仿宋" w:cs="仿宋"/>
                <w:color w:val="1F1F1F"/>
                <w:spacing w:val="5"/>
                <w:sz w:val="21"/>
                <w:szCs w:val="21"/>
                <w:lang w:val="en-US" w:eastAsia="zh-CN"/>
              </w:rPr>
              <w:t>其他未列明行业</w:t>
            </w:r>
            <w:r>
              <w:rPr>
                <w:rFonts w:hint="eastAsia" w:ascii="仿宋" w:hAnsi="仿宋" w:eastAsia="仿宋" w:cs="仿宋"/>
                <w:color w:val="1F1F1F"/>
                <w:spacing w:val="5"/>
                <w:sz w:val="21"/>
                <w:szCs w:val="21"/>
              </w:rPr>
              <w:t>。本项目根据实际情况确定拟采购标的为</w:t>
            </w:r>
            <w:r>
              <w:rPr>
                <w:rFonts w:hint="eastAsia" w:ascii="仿宋" w:hAnsi="仿宋" w:eastAsia="仿宋" w:cs="仿宋"/>
                <w:color w:val="1F1F1F"/>
                <w:spacing w:val="5"/>
                <w:sz w:val="21"/>
                <w:szCs w:val="21"/>
                <w:lang w:val="en-US" w:eastAsia="zh-CN"/>
              </w:rPr>
              <w:t>服务</w:t>
            </w:r>
            <w:r>
              <w:rPr>
                <w:rFonts w:hint="eastAsia" w:ascii="仿宋" w:hAnsi="仿宋" w:eastAsia="仿宋" w:cs="仿宋"/>
                <w:color w:val="1F1F1F"/>
                <w:spacing w:val="5"/>
                <w:sz w:val="21"/>
                <w:szCs w:val="21"/>
              </w:rPr>
              <w:t>，在</w:t>
            </w:r>
            <w:r>
              <w:rPr>
                <w:rFonts w:hint="eastAsia" w:ascii="仿宋" w:hAnsi="仿宋" w:eastAsia="仿宋" w:cs="仿宋"/>
                <w:color w:val="1F1F1F"/>
                <w:spacing w:val="5"/>
                <w:sz w:val="21"/>
                <w:szCs w:val="21"/>
                <w:lang w:val="en-US" w:eastAsia="zh-CN"/>
              </w:rPr>
              <w:t>服务</w:t>
            </w:r>
            <w:r>
              <w:rPr>
                <w:rFonts w:hint="eastAsia" w:ascii="仿宋" w:hAnsi="仿宋" w:eastAsia="仿宋" w:cs="仿宋"/>
                <w:color w:val="1F1F1F"/>
                <w:spacing w:val="5"/>
                <w:sz w:val="21"/>
                <w:szCs w:val="21"/>
              </w:rPr>
              <w:t>采购项目中，则</w:t>
            </w:r>
            <w:r>
              <w:rPr>
                <w:rFonts w:hint="eastAsia" w:ascii="仿宋" w:hAnsi="仿宋" w:eastAsia="仿宋" w:cs="仿宋"/>
                <w:color w:val="1F1F1F"/>
                <w:spacing w:val="5"/>
                <w:sz w:val="21"/>
                <w:szCs w:val="21"/>
                <w:lang w:val="en-US" w:eastAsia="zh-CN"/>
              </w:rPr>
              <w:t>服务</w:t>
            </w:r>
            <w:r>
              <w:rPr>
                <w:rFonts w:hint="eastAsia" w:ascii="仿宋" w:hAnsi="仿宋" w:eastAsia="仿宋" w:cs="仿宋"/>
                <w:color w:val="1F1F1F"/>
                <w:spacing w:val="5"/>
                <w:sz w:val="21"/>
                <w:szCs w:val="21"/>
              </w:rPr>
              <w:t>应当</w:t>
            </w:r>
            <w:r>
              <w:rPr>
                <w:rFonts w:hint="eastAsia" w:ascii="仿宋" w:hAnsi="仿宋" w:eastAsia="仿宋" w:cs="仿宋"/>
                <w:color w:val="1F1F1F"/>
                <w:spacing w:val="5"/>
                <w:sz w:val="21"/>
                <w:szCs w:val="21"/>
                <w:lang w:val="en-US" w:eastAsia="zh-CN"/>
              </w:rPr>
              <w:t>全部</w:t>
            </w:r>
            <w:r>
              <w:rPr>
                <w:rFonts w:hint="eastAsia" w:ascii="仿宋" w:hAnsi="仿宋" w:eastAsia="仿宋" w:cs="仿宋"/>
                <w:color w:val="1F1F1F"/>
                <w:spacing w:val="5"/>
                <w:sz w:val="21"/>
                <w:szCs w:val="21"/>
              </w:rPr>
              <w:t>由中小企业承接</w:t>
            </w:r>
            <w:r>
              <w:rPr>
                <w:rFonts w:hint="eastAsia" w:ascii="仿宋" w:hAnsi="仿宋" w:eastAsia="仿宋" w:cs="仿宋"/>
                <w:color w:val="1F1F1F"/>
                <w:spacing w:val="5"/>
                <w:sz w:val="21"/>
                <w:szCs w:val="21"/>
                <w:lang w:eastAsia="zh-CN"/>
              </w:rPr>
              <w:t>（</w:t>
            </w:r>
            <w:r>
              <w:rPr>
                <w:rFonts w:hint="eastAsia" w:ascii="仿宋" w:hAnsi="仿宋" w:eastAsia="仿宋" w:cs="仿宋"/>
                <w:color w:val="1F1F1F"/>
                <w:spacing w:val="5"/>
                <w:sz w:val="21"/>
                <w:szCs w:val="21"/>
                <w:lang w:val="en-US" w:eastAsia="zh-CN"/>
              </w:rPr>
              <w:t>以联合体形式参加政府采购活动，联合体各方均为中小企业的，联合体视同中小企业。其中，联合体各方均为小微</w:t>
            </w:r>
          </w:p>
          <w:p w14:paraId="0EA8CB77">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1F1F1F"/>
                <w:spacing w:val="5"/>
                <w:sz w:val="21"/>
                <w:szCs w:val="21"/>
              </w:rPr>
            </w:pPr>
            <w:r>
              <w:rPr>
                <w:rFonts w:hint="eastAsia" w:ascii="仿宋" w:hAnsi="仿宋" w:eastAsia="仿宋" w:cs="仿宋"/>
                <w:color w:val="1F1F1F"/>
                <w:spacing w:val="5"/>
                <w:sz w:val="21"/>
                <w:szCs w:val="21"/>
                <w:lang w:val="en-US" w:eastAsia="zh-CN"/>
              </w:rPr>
              <w:t>企业的，联合体视同小微企业。</w:t>
            </w:r>
            <w:r>
              <w:rPr>
                <w:rFonts w:hint="eastAsia" w:ascii="仿宋" w:hAnsi="仿宋" w:eastAsia="仿宋" w:cs="仿宋"/>
                <w:color w:val="1F1F1F"/>
                <w:spacing w:val="5"/>
                <w:sz w:val="21"/>
                <w:szCs w:val="21"/>
                <w:lang w:eastAsia="zh-CN"/>
              </w:rPr>
              <w:t>）</w:t>
            </w:r>
          </w:p>
        </w:tc>
      </w:tr>
      <w:tr w14:paraId="17516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89" w:type="dxa"/>
            <w:tcBorders>
              <w:bottom w:val="single" w:color="auto" w:sz="4" w:space="0"/>
            </w:tcBorders>
            <w:shd w:val="clear" w:color="auto" w:fill="auto"/>
            <w:vAlign w:val="center"/>
          </w:tcPr>
          <w:p w14:paraId="38C2CD87">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default" w:eastAsia="仿宋"/>
                <w:color w:val="1F1F1F"/>
                <w:sz w:val="20"/>
                <w:szCs w:val="20"/>
                <w:lang w:val="en-US" w:eastAsia="zh-CN"/>
              </w:rPr>
            </w:pPr>
            <w:r>
              <w:rPr>
                <w:rFonts w:hint="eastAsia"/>
                <w:color w:val="1F1F1F"/>
                <w:sz w:val="20"/>
                <w:szCs w:val="20"/>
                <w:lang w:val="en-US" w:eastAsia="zh-CN"/>
              </w:rPr>
              <w:t>24</w:t>
            </w:r>
          </w:p>
        </w:tc>
        <w:tc>
          <w:tcPr>
            <w:tcW w:w="1626" w:type="dxa"/>
            <w:tcBorders>
              <w:bottom w:val="single" w:color="auto" w:sz="4" w:space="0"/>
            </w:tcBorders>
            <w:shd w:val="clear" w:color="auto" w:fill="auto"/>
            <w:vAlign w:val="center"/>
          </w:tcPr>
          <w:p w14:paraId="7505341B">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color w:val="1F1F1F"/>
                <w:spacing w:val="4"/>
                <w:sz w:val="21"/>
                <w:szCs w:val="21"/>
              </w:rPr>
            </w:pPr>
            <w:r>
              <w:rPr>
                <w:color w:val="1F1F1F"/>
                <w:spacing w:val="8"/>
                <w:sz w:val="20"/>
                <w:szCs w:val="20"/>
              </w:rPr>
              <w:t>★</w:t>
            </w:r>
            <w:r>
              <w:rPr>
                <w:rFonts w:hint="eastAsia" w:ascii="仿宋" w:hAnsi="仿宋" w:eastAsia="仿宋" w:cs="仿宋"/>
                <w:color w:val="1F1F1F"/>
                <w:spacing w:val="4"/>
                <w:sz w:val="21"/>
                <w:szCs w:val="21"/>
              </w:rPr>
              <w:t>磋商保证金</w:t>
            </w:r>
          </w:p>
        </w:tc>
        <w:tc>
          <w:tcPr>
            <w:tcW w:w="6766" w:type="dxa"/>
            <w:tcBorders>
              <w:bottom w:val="single" w:color="auto" w:sz="4" w:space="0"/>
            </w:tcBorders>
            <w:shd w:val="clear" w:color="auto" w:fill="auto"/>
            <w:vAlign w:val="center"/>
          </w:tcPr>
          <w:p w14:paraId="771125E1">
            <w:pPr>
              <w:pStyle w:val="46"/>
              <w:keepNext w:val="0"/>
              <w:keepLines/>
              <w:pageBreakBefore w:val="0"/>
              <w:widowControl w:val="0"/>
              <w:kinsoku/>
              <w:wordWrap w:val="0"/>
              <w:overflowPunct/>
              <w:topLinePunct/>
              <w:autoSpaceDE w:val="0"/>
              <w:autoSpaceDN w:val="0"/>
              <w:bidi w:val="0"/>
              <w:adjustRightInd w:val="0"/>
              <w:snapToGrid w:val="0"/>
              <w:spacing w:before="56" w:line="229" w:lineRule="auto"/>
              <w:ind w:left="37"/>
              <w:textAlignment w:val="baseline"/>
              <w:rPr>
                <w:rFonts w:hint="eastAsia" w:ascii="仿宋" w:hAnsi="仿宋" w:eastAsia="仿宋" w:cs="仿宋"/>
                <w:color w:val="auto"/>
                <w:sz w:val="21"/>
                <w:szCs w:val="21"/>
              </w:rPr>
            </w:pPr>
            <w:r>
              <w:rPr>
                <w:rFonts w:hint="eastAsia" w:ascii="仿宋" w:hAnsi="仿宋" w:eastAsia="仿宋" w:cs="仿宋"/>
                <w:color w:val="auto"/>
                <w:spacing w:val="6"/>
                <w:sz w:val="21"/>
                <w:szCs w:val="21"/>
              </w:rPr>
              <w:t>磋商保证金金额：</w:t>
            </w:r>
            <w:r>
              <w:rPr>
                <w:rFonts w:hint="eastAsia" w:ascii="仿宋" w:hAnsi="仿宋" w:eastAsia="仿宋" w:cs="仿宋"/>
                <w:color w:val="auto"/>
                <w:spacing w:val="6"/>
                <w:sz w:val="21"/>
                <w:szCs w:val="21"/>
                <w:lang w:val="en-US" w:eastAsia="zh-CN"/>
              </w:rPr>
              <w:t>7000.00元</w:t>
            </w:r>
            <w:r>
              <w:rPr>
                <w:rFonts w:hint="eastAsia" w:ascii="仿宋" w:hAnsi="仿宋" w:eastAsia="仿宋" w:cs="仿宋"/>
                <w:b/>
                <w:bCs/>
                <w:color w:val="auto"/>
                <w:spacing w:val="2"/>
                <w:sz w:val="21"/>
                <w:szCs w:val="21"/>
              </w:rPr>
              <w:t>（大写：</w:t>
            </w:r>
            <w:r>
              <w:rPr>
                <w:rFonts w:hint="eastAsia" w:ascii="仿宋" w:hAnsi="仿宋" w:eastAsia="仿宋" w:cs="仿宋"/>
                <w:b/>
                <w:bCs/>
                <w:color w:val="auto"/>
                <w:spacing w:val="2"/>
                <w:sz w:val="21"/>
                <w:szCs w:val="21"/>
                <w:lang w:val="en-US" w:eastAsia="zh-CN"/>
              </w:rPr>
              <w:t>柒仟元整</w:t>
            </w:r>
            <w:r>
              <w:rPr>
                <w:rFonts w:hint="eastAsia" w:ascii="仿宋" w:hAnsi="仿宋" w:eastAsia="仿宋" w:cs="仿宋"/>
                <w:b/>
                <w:bCs/>
                <w:color w:val="auto"/>
                <w:spacing w:val="2"/>
                <w:sz w:val="21"/>
                <w:szCs w:val="21"/>
              </w:rPr>
              <w:t>）</w:t>
            </w:r>
          </w:p>
          <w:p w14:paraId="3EF826EF">
            <w:pPr>
              <w:pStyle w:val="46"/>
              <w:keepNext w:val="0"/>
              <w:keepLines/>
              <w:pageBreakBefore w:val="0"/>
              <w:widowControl w:val="0"/>
              <w:kinsoku/>
              <w:wordWrap w:val="0"/>
              <w:overflowPunct/>
              <w:topLinePunct/>
              <w:autoSpaceDE w:val="0"/>
              <w:autoSpaceDN w:val="0"/>
              <w:bidi w:val="0"/>
              <w:adjustRightInd w:val="0"/>
              <w:snapToGrid w:val="0"/>
              <w:spacing w:before="68" w:line="227" w:lineRule="auto"/>
              <w:ind w:left="37"/>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rPr>
              <w:t>磋商保</w:t>
            </w:r>
            <w:r>
              <w:rPr>
                <w:rFonts w:hint="eastAsia" w:ascii="仿宋" w:hAnsi="仿宋" w:eastAsia="仿宋" w:cs="仿宋"/>
                <w:color w:val="auto"/>
                <w:spacing w:val="4"/>
                <w:sz w:val="21"/>
                <w:szCs w:val="21"/>
                <w:highlight w:val="none"/>
              </w:rPr>
              <w:t>证金的形式：转账、电汇、电子保函</w:t>
            </w:r>
          </w:p>
          <w:p w14:paraId="451C0D57">
            <w:pPr>
              <w:pStyle w:val="46"/>
              <w:keepNext w:val="0"/>
              <w:keepLines/>
              <w:pageBreakBefore w:val="0"/>
              <w:widowControl w:val="0"/>
              <w:kinsoku/>
              <w:wordWrap w:val="0"/>
              <w:overflowPunct/>
              <w:topLinePunct/>
              <w:autoSpaceDE w:val="0"/>
              <w:autoSpaceDN w:val="0"/>
              <w:bidi w:val="0"/>
              <w:adjustRightInd w:val="0"/>
              <w:snapToGrid w:val="0"/>
              <w:spacing w:before="71" w:line="229" w:lineRule="auto"/>
              <w:ind w:left="38"/>
              <w:textAlignment w:val="baseline"/>
              <w:rPr>
                <w:rFonts w:hint="eastAsia" w:ascii="仿宋" w:hAnsi="仿宋" w:eastAsia="仿宋" w:cs="仿宋"/>
                <w:color w:val="auto"/>
                <w:sz w:val="21"/>
                <w:szCs w:val="21"/>
                <w:highlight w:val="none"/>
              </w:rPr>
            </w:pPr>
            <w:r>
              <w:rPr>
                <w:rFonts w:hint="eastAsia" w:ascii="仿宋" w:hAnsi="仿宋" w:eastAsia="仿宋" w:cs="仿宋"/>
                <w:b/>
                <w:bCs/>
                <w:color w:val="auto"/>
                <w:spacing w:val="8"/>
                <w:sz w:val="21"/>
                <w:szCs w:val="21"/>
                <w:highlight w:val="none"/>
              </w:rPr>
              <w:t>开户名称：</w:t>
            </w:r>
            <w:r>
              <w:rPr>
                <w:rFonts w:hint="eastAsia" w:ascii="仿宋" w:hAnsi="仿宋" w:eastAsia="仿宋" w:cs="仿宋"/>
                <w:b/>
                <w:bCs/>
                <w:color w:val="auto"/>
                <w:spacing w:val="8"/>
                <w:sz w:val="21"/>
                <w:szCs w:val="21"/>
                <w:highlight w:val="none"/>
                <w:lang w:eastAsia="zh-CN"/>
              </w:rPr>
              <w:t>新疆福瑞通工程项目管理有限责任公司</w:t>
            </w:r>
          </w:p>
          <w:p w14:paraId="4D8FFD9F">
            <w:pPr>
              <w:pStyle w:val="46"/>
              <w:keepNext w:val="0"/>
              <w:keepLines/>
              <w:pageBreakBefore w:val="0"/>
              <w:widowControl w:val="0"/>
              <w:kinsoku/>
              <w:wordWrap w:val="0"/>
              <w:overflowPunct/>
              <w:topLinePunct/>
              <w:autoSpaceDE w:val="0"/>
              <w:autoSpaceDN w:val="0"/>
              <w:bidi w:val="0"/>
              <w:adjustRightInd w:val="0"/>
              <w:snapToGrid w:val="0"/>
              <w:spacing w:before="68" w:line="229" w:lineRule="auto"/>
              <w:ind w:left="38"/>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b/>
                <w:bCs/>
                <w:color w:val="auto"/>
                <w:spacing w:val="6"/>
                <w:sz w:val="21"/>
                <w:szCs w:val="21"/>
                <w:highlight w:val="none"/>
              </w:rPr>
              <w:t>开户银行：</w:t>
            </w:r>
            <w:r>
              <w:rPr>
                <w:rFonts w:hint="eastAsia" w:ascii="仿宋" w:hAnsi="仿宋" w:eastAsia="仿宋" w:cs="仿宋"/>
                <w:b/>
                <w:bCs/>
                <w:color w:val="auto"/>
                <w:spacing w:val="6"/>
                <w:sz w:val="21"/>
                <w:szCs w:val="21"/>
                <w:highlight w:val="none"/>
                <w:lang w:eastAsia="zh-CN"/>
              </w:rPr>
              <w:t>中国农业银行股份有限公司策勒县支行</w:t>
            </w:r>
          </w:p>
          <w:p w14:paraId="1F11B546">
            <w:pPr>
              <w:pStyle w:val="46"/>
              <w:keepNext w:val="0"/>
              <w:keepLines/>
              <w:pageBreakBefore w:val="0"/>
              <w:widowControl w:val="0"/>
              <w:kinsoku/>
              <w:wordWrap w:val="0"/>
              <w:overflowPunct/>
              <w:topLinePunct/>
              <w:autoSpaceDE w:val="0"/>
              <w:autoSpaceDN w:val="0"/>
              <w:bidi w:val="0"/>
              <w:adjustRightInd w:val="0"/>
              <w:snapToGrid w:val="0"/>
              <w:spacing w:before="69" w:line="232" w:lineRule="auto"/>
              <w:ind w:left="47"/>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b/>
                <w:bCs/>
                <w:color w:val="auto"/>
                <w:spacing w:val="2"/>
                <w:sz w:val="21"/>
                <w:szCs w:val="21"/>
                <w:highlight w:val="none"/>
              </w:rPr>
              <w:t>帐号：30581901040030252</w:t>
            </w:r>
          </w:p>
          <w:p w14:paraId="649D0ED1">
            <w:pPr>
              <w:pStyle w:val="46"/>
              <w:keepNext w:val="0"/>
              <w:keepLines/>
              <w:pageBreakBefore w:val="0"/>
              <w:widowControl w:val="0"/>
              <w:kinsoku/>
              <w:wordWrap w:val="0"/>
              <w:overflowPunct/>
              <w:topLinePunct/>
              <w:autoSpaceDE w:val="0"/>
              <w:autoSpaceDN w:val="0"/>
              <w:bidi w:val="0"/>
              <w:adjustRightInd w:val="0"/>
              <w:snapToGrid w:val="0"/>
              <w:spacing w:before="73" w:line="284" w:lineRule="auto"/>
              <w:ind w:left="38" w:right="29" w:firstLine="8"/>
              <w:textAlignment w:val="baseline"/>
              <w:rPr>
                <w:rFonts w:hint="eastAsia" w:ascii="仿宋" w:hAnsi="仿宋" w:eastAsia="仿宋" w:cs="仿宋"/>
                <w:sz w:val="21"/>
                <w:szCs w:val="21"/>
              </w:rPr>
            </w:pPr>
            <w:r>
              <w:rPr>
                <w:rFonts w:hint="eastAsia" w:ascii="仿宋" w:hAnsi="仿宋" w:eastAsia="仿宋" w:cs="仿宋"/>
                <w:color w:val="1F1F1F"/>
                <w:spacing w:val="5"/>
                <w:sz w:val="21"/>
                <w:szCs w:val="21"/>
                <w:highlight w:val="none"/>
              </w:rPr>
              <w:t>注：1.采用银行转账或电汇的方式的，由报</w:t>
            </w:r>
            <w:r>
              <w:rPr>
                <w:rFonts w:hint="eastAsia" w:ascii="仿宋" w:hAnsi="仿宋" w:eastAsia="仿宋" w:cs="仿宋"/>
                <w:color w:val="1F1F1F"/>
                <w:spacing w:val="4"/>
                <w:sz w:val="21"/>
                <w:szCs w:val="21"/>
                <w:highlight w:val="none"/>
              </w:rPr>
              <w:t>名单位基本账户于</w:t>
            </w:r>
            <w:r>
              <w:rPr>
                <w:rFonts w:hint="eastAsia" w:cs="仿宋"/>
                <w:color w:val="1F1F1F"/>
                <w:spacing w:val="4"/>
                <w:sz w:val="21"/>
                <w:szCs w:val="21"/>
                <w:highlight w:val="none"/>
                <w:lang w:eastAsia="zh-CN"/>
              </w:rPr>
              <w:t>2026年6月4日11：00</w:t>
            </w:r>
            <w:r>
              <w:rPr>
                <w:rFonts w:hint="eastAsia" w:ascii="仿宋" w:hAnsi="仿宋" w:eastAsia="仿宋" w:cs="仿宋"/>
                <w:color w:val="1F1F1F"/>
                <w:spacing w:val="8"/>
                <w:sz w:val="21"/>
                <w:szCs w:val="21"/>
                <w:highlight w:val="none"/>
              </w:rPr>
              <w:t>（北京时间）前汇至</w:t>
            </w:r>
            <w:r>
              <w:rPr>
                <w:rFonts w:hint="eastAsia" w:ascii="仿宋" w:hAnsi="仿宋" w:eastAsia="仿宋" w:cs="仿宋"/>
                <w:color w:val="1F1F1F"/>
                <w:spacing w:val="8"/>
                <w:sz w:val="21"/>
                <w:szCs w:val="21"/>
                <w:highlight w:val="none"/>
                <w:lang w:eastAsia="zh-CN"/>
              </w:rPr>
              <w:t>新疆福瑞通工程项目管理有限责任公司</w:t>
            </w:r>
            <w:r>
              <w:rPr>
                <w:rFonts w:hint="eastAsia" w:ascii="仿宋" w:hAnsi="仿宋" w:eastAsia="仿宋" w:cs="仿宋"/>
                <w:color w:val="1F1F1F"/>
                <w:spacing w:val="8"/>
                <w:sz w:val="21"/>
                <w:szCs w:val="21"/>
                <w:highlight w:val="none"/>
              </w:rPr>
              <w:t>专</w:t>
            </w:r>
            <w:r>
              <w:rPr>
                <w:rFonts w:hint="eastAsia" w:ascii="仿宋" w:hAnsi="仿宋" w:eastAsia="仿宋" w:cs="仿宋"/>
                <w:color w:val="1F1F1F"/>
                <w:spacing w:val="9"/>
                <w:sz w:val="21"/>
                <w:szCs w:val="21"/>
                <w:highlight w:val="none"/>
              </w:rPr>
              <w:t>用账户，不得以现金和其他形式缴纳，报名单位在缴纳保证金时，需在进账凭证上明确资金用途、项目名称或项目编号，以便查对核实。磋商保证金缴纳截止时</w:t>
            </w:r>
            <w:r>
              <w:rPr>
                <w:rFonts w:hint="eastAsia" w:ascii="仿宋" w:hAnsi="仿宋" w:eastAsia="仿宋" w:cs="仿宋"/>
                <w:color w:val="1F1F1F"/>
                <w:spacing w:val="8"/>
                <w:sz w:val="21"/>
                <w:szCs w:val="21"/>
                <w:highlight w:val="none"/>
              </w:rPr>
              <w:t>间为递交响应文件截止时间，无须换取收据</w:t>
            </w:r>
            <w:r>
              <w:rPr>
                <w:rFonts w:hint="eastAsia" w:ascii="仿宋" w:hAnsi="仿宋" w:eastAsia="仿宋" w:cs="仿宋"/>
                <w:color w:val="1F1F1F"/>
                <w:spacing w:val="8"/>
                <w:sz w:val="21"/>
                <w:szCs w:val="21"/>
              </w:rPr>
              <w:t>。</w:t>
            </w:r>
          </w:p>
          <w:p w14:paraId="58DFB490">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textAlignment w:val="baseline"/>
              <w:rPr>
                <w:rFonts w:hint="eastAsia" w:ascii="仿宋" w:hAnsi="仿宋" w:eastAsia="仿宋" w:cs="仿宋"/>
                <w:sz w:val="21"/>
                <w:szCs w:val="21"/>
              </w:rPr>
            </w:pPr>
            <w:r>
              <w:rPr>
                <w:rFonts w:hint="eastAsia" w:ascii="仿宋" w:hAnsi="仿宋" w:eastAsia="仿宋" w:cs="仿宋"/>
                <w:color w:val="1F1F1F"/>
                <w:spacing w:val="11"/>
                <w:sz w:val="21"/>
                <w:szCs w:val="21"/>
              </w:rPr>
              <w:t>2.电子保函使用方法：1、登录新疆自治区</w:t>
            </w:r>
            <w:r>
              <w:rPr>
                <w:rFonts w:hint="eastAsia" w:ascii="仿宋" w:hAnsi="仿宋" w:eastAsia="仿宋" w:cs="仿宋"/>
                <w:color w:val="1F1F1F"/>
                <w:spacing w:val="10"/>
                <w:sz w:val="21"/>
                <w:szCs w:val="21"/>
              </w:rPr>
              <w:t>政府采购网，首页点击“电子保函”直接进入新疆政府采购电子保函申请页，点击【立即申请】2、依次完善页</w:t>
            </w:r>
            <w:r>
              <w:rPr>
                <w:rFonts w:hint="eastAsia" w:ascii="仿宋" w:hAnsi="仿宋" w:eastAsia="仿宋" w:cs="仿宋"/>
                <w:color w:val="1F1F1F"/>
                <w:spacing w:val="9"/>
                <w:sz w:val="21"/>
                <w:szCs w:val="21"/>
              </w:rPr>
              <w:t>面显</w:t>
            </w:r>
            <w:r>
              <w:rPr>
                <w:rFonts w:hint="eastAsia" w:ascii="仿宋" w:hAnsi="仿宋" w:eastAsia="仿宋" w:cs="仿宋"/>
                <w:color w:val="1F1F1F"/>
                <w:spacing w:val="7"/>
                <w:sz w:val="21"/>
                <w:szCs w:val="21"/>
              </w:rPr>
              <w:t>示的投保人信息（投标人信息</w:t>
            </w:r>
            <w:r>
              <w:rPr>
                <w:rFonts w:hint="eastAsia" w:ascii="仿宋" w:hAnsi="仿宋" w:eastAsia="仿宋" w:cs="仿宋"/>
                <w:color w:val="1F1F1F"/>
                <w:spacing w:val="11"/>
                <w:sz w:val="21"/>
                <w:szCs w:val="21"/>
              </w:rPr>
              <w:t>），</w:t>
            </w:r>
            <w:r>
              <w:rPr>
                <w:rFonts w:hint="eastAsia" w:ascii="仿宋" w:hAnsi="仿宋" w:eastAsia="仿宋" w:cs="仿宋"/>
                <w:color w:val="1F1F1F"/>
                <w:spacing w:val="7"/>
                <w:sz w:val="21"/>
                <w:szCs w:val="21"/>
              </w:rPr>
              <w:t>确认您要投保的项目信息</w:t>
            </w:r>
            <w:r>
              <w:rPr>
                <w:rFonts w:hint="eastAsia" w:ascii="仿宋" w:hAnsi="仿宋" w:eastAsia="仿宋" w:cs="仿宋"/>
                <w:color w:val="1F1F1F"/>
                <w:spacing w:val="6"/>
                <w:sz w:val="21"/>
                <w:szCs w:val="21"/>
              </w:rPr>
              <w:t>，在投标项目选择页</w:t>
            </w:r>
            <w:r>
              <w:rPr>
                <w:rFonts w:hint="eastAsia" w:ascii="仿宋" w:hAnsi="仿宋" w:eastAsia="仿宋" w:cs="仿宋"/>
                <w:color w:val="1F1F1F"/>
                <w:spacing w:val="7"/>
                <w:sz w:val="21"/>
                <w:szCs w:val="21"/>
              </w:rPr>
              <w:t>面选择您需要投保的项目（可根据项目名称或项目保函进行搜</w:t>
            </w:r>
            <w:r>
              <w:rPr>
                <w:rFonts w:hint="eastAsia" w:ascii="仿宋" w:hAnsi="仿宋" w:eastAsia="仿宋" w:cs="仿宋"/>
                <w:color w:val="1F1F1F"/>
                <w:spacing w:val="6"/>
                <w:sz w:val="21"/>
                <w:szCs w:val="21"/>
              </w:rPr>
              <w:t>索</w:t>
            </w:r>
            <w:r>
              <w:rPr>
                <w:rFonts w:hint="eastAsia" w:ascii="仿宋" w:hAnsi="仿宋" w:eastAsia="仿宋" w:cs="仿宋"/>
                <w:color w:val="1F1F1F"/>
                <w:spacing w:val="11"/>
                <w:sz w:val="21"/>
                <w:szCs w:val="21"/>
              </w:rPr>
              <w:t>），</w:t>
            </w:r>
            <w:r>
              <w:rPr>
                <w:rFonts w:hint="eastAsia" w:ascii="仿宋" w:hAnsi="仿宋" w:eastAsia="仿宋" w:cs="仿宋"/>
                <w:color w:val="1F1F1F"/>
                <w:spacing w:val="6"/>
                <w:sz w:val="21"/>
                <w:szCs w:val="21"/>
              </w:rPr>
              <w:t>选择投保项目后填写被保险人信息及投保内容。服务热线:400-9039</w:t>
            </w:r>
            <w:r>
              <w:rPr>
                <w:rFonts w:hint="eastAsia" w:ascii="仿宋" w:hAnsi="仿宋" w:eastAsia="仿宋" w:cs="仿宋"/>
                <w:color w:val="1F1F1F"/>
                <w:spacing w:val="5"/>
                <w:sz w:val="21"/>
                <w:szCs w:val="21"/>
              </w:rPr>
              <w:t>583。</w:t>
            </w:r>
          </w:p>
          <w:p w14:paraId="784C3CD3">
            <w:pPr>
              <w:pStyle w:val="46"/>
              <w:keepNext w:val="0"/>
              <w:keepLines/>
              <w:pageBreakBefore w:val="0"/>
              <w:widowControl w:val="0"/>
              <w:kinsoku/>
              <w:wordWrap w:val="0"/>
              <w:overflowPunct/>
              <w:topLinePunct/>
              <w:autoSpaceDE w:val="0"/>
              <w:autoSpaceDN w:val="0"/>
              <w:bidi w:val="0"/>
              <w:adjustRightInd w:val="0"/>
              <w:snapToGrid w:val="0"/>
              <w:spacing w:before="36" w:line="229" w:lineRule="auto"/>
              <w:ind w:left="39"/>
              <w:textAlignment w:val="baseline"/>
              <w:rPr>
                <w:rFonts w:hint="eastAsia" w:ascii="仿宋" w:hAnsi="仿宋" w:eastAsia="仿宋" w:cs="仿宋"/>
                <w:sz w:val="21"/>
                <w:szCs w:val="21"/>
              </w:rPr>
            </w:pPr>
            <w:r>
              <w:rPr>
                <w:rFonts w:hint="eastAsia" w:ascii="仿宋" w:hAnsi="仿宋" w:eastAsia="仿宋" w:cs="仿宋"/>
                <w:color w:val="1F1F1F"/>
                <w:spacing w:val="3"/>
                <w:sz w:val="21"/>
                <w:szCs w:val="21"/>
              </w:rPr>
              <w:t>保函承保期限：90日历天</w:t>
            </w:r>
          </w:p>
          <w:p w14:paraId="595B294A">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eastAsia" w:ascii="仿宋" w:hAnsi="仿宋" w:eastAsia="仿宋" w:cs="仿宋"/>
                <w:color w:val="auto"/>
                <w:spacing w:val="-3"/>
                <w:sz w:val="21"/>
                <w:szCs w:val="21"/>
                <w:highlight w:val="none"/>
                <w:lang w:eastAsia="zh-CN"/>
              </w:rPr>
            </w:pPr>
            <w:r>
              <w:rPr>
                <w:rFonts w:hint="eastAsia" w:ascii="仿宋" w:hAnsi="仿宋" w:eastAsia="仿宋" w:cs="仿宋"/>
                <w:color w:val="1F1F1F"/>
                <w:spacing w:val="-3"/>
                <w:sz w:val="21"/>
                <w:szCs w:val="21"/>
              </w:rPr>
              <w:t>时间;</w:t>
            </w:r>
            <w:r>
              <w:rPr>
                <w:rFonts w:hint="eastAsia" w:ascii="仿宋" w:hAnsi="仿宋" w:eastAsia="仿宋" w:cs="仿宋"/>
                <w:color w:val="auto"/>
                <w:spacing w:val="-3"/>
                <w:sz w:val="21"/>
                <w:szCs w:val="21"/>
                <w:highlight w:val="none"/>
                <w:lang w:eastAsia="zh-CN"/>
              </w:rPr>
              <w:t>2026年</w:t>
            </w:r>
            <w:r>
              <w:rPr>
                <w:rFonts w:hint="eastAsia" w:ascii="仿宋" w:hAnsi="仿宋" w:eastAsia="仿宋" w:cs="仿宋"/>
                <w:color w:val="auto"/>
                <w:spacing w:val="-3"/>
                <w:sz w:val="21"/>
                <w:szCs w:val="21"/>
                <w:highlight w:val="none"/>
                <w:lang w:val="en-US" w:eastAsia="zh-CN"/>
              </w:rPr>
              <w:t>6</w:t>
            </w:r>
            <w:r>
              <w:rPr>
                <w:rFonts w:hint="eastAsia" w:ascii="仿宋" w:hAnsi="仿宋" w:eastAsia="仿宋" w:cs="仿宋"/>
                <w:color w:val="auto"/>
                <w:spacing w:val="-3"/>
                <w:sz w:val="21"/>
                <w:szCs w:val="21"/>
                <w:highlight w:val="none"/>
                <w:lang w:eastAsia="zh-CN"/>
              </w:rPr>
              <w:t>月</w:t>
            </w:r>
            <w:r>
              <w:rPr>
                <w:rFonts w:hint="eastAsia" w:cs="仿宋"/>
                <w:color w:val="auto"/>
                <w:spacing w:val="-3"/>
                <w:sz w:val="21"/>
                <w:szCs w:val="21"/>
                <w:highlight w:val="none"/>
                <w:lang w:val="en-US" w:eastAsia="zh-CN"/>
              </w:rPr>
              <w:t>4</w:t>
            </w:r>
            <w:r>
              <w:rPr>
                <w:rFonts w:hint="eastAsia" w:ascii="仿宋" w:hAnsi="仿宋" w:eastAsia="仿宋" w:cs="仿宋"/>
                <w:color w:val="auto"/>
                <w:spacing w:val="-3"/>
                <w:sz w:val="21"/>
                <w:szCs w:val="21"/>
                <w:highlight w:val="none"/>
                <w:lang w:eastAsia="zh-CN"/>
              </w:rPr>
              <w:t>日至2026年</w:t>
            </w:r>
            <w:r>
              <w:rPr>
                <w:rFonts w:hint="eastAsia" w:cs="仿宋"/>
                <w:color w:val="auto"/>
                <w:spacing w:val="-3"/>
                <w:sz w:val="21"/>
                <w:szCs w:val="21"/>
                <w:highlight w:val="none"/>
                <w:lang w:val="en-US" w:eastAsia="zh-CN"/>
              </w:rPr>
              <w:t>9</w:t>
            </w:r>
            <w:r>
              <w:rPr>
                <w:rFonts w:hint="eastAsia" w:ascii="仿宋" w:hAnsi="仿宋" w:eastAsia="仿宋" w:cs="仿宋"/>
                <w:color w:val="auto"/>
                <w:spacing w:val="-3"/>
                <w:sz w:val="21"/>
                <w:szCs w:val="21"/>
                <w:highlight w:val="none"/>
                <w:lang w:eastAsia="zh-CN"/>
              </w:rPr>
              <w:t>月</w:t>
            </w:r>
            <w:r>
              <w:rPr>
                <w:rFonts w:hint="eastAsia" w:cs="仿宋"/>
                <w:color w:val="auto"/>
                <w:spacing w:val="-3"/>
                <w:sz w:val="21"/>
                <w:szCs w:val="21"/>
                <w:highlight w:val="none"/>
                <w:lang w:val="en-US" w:eastAsia="zh-CN"/>
              </w:rPr>
              <w:t>2</w:t>
            </w:r>
            <w:r>
              <w:rPr>
                <w:rFonts w:hint="eastAsia" w:ascii="仿宋" w:hAnsi="仿宋" w:eastAsia="仿宋" w:cs="仿宋"/>
                <w:color w:val="auto"/>
                <w:spacing w:val="-3"/>
                <w:sz w:val="21"/>
                <w:szCs w:val="21"/>
                <w:highlight w:val="none"/>
                <w:lang w:eastAsia="zh-CN"/>
              </w:rPr>
              <w:t>日</w:t>
            </w:r>
          </w:p>
          <w:p w14:paraId="795C1F46">
            <w:pPr>
              <w:pStyle w:val="46"/>
              <w:keepNext w:val="0"/>
              <w:keepLines/>
              <w:pageBreakBefore w:val="0"/>
              <w:widowControl w:val="0"/>
              <w:kinsoku/>
              <w:wordWrap w:val="0"/>
              <w:overflowPunct/>
              <w:topLinePunct/>
              <w:autoSpaceDE w:val="0"/>
              <w:autoSpaceDN w:val="0"/>
              <w:bidi w:val="0"/>
              <w:adjustRightInd w:val="0"/>
              <w:snapToGrid w:val="0"/>
              <w:spacing w:before="99" w:line="232" w:lineRule="auto"/>
              <w:ind w:left="35" w:leftChars="0"/>
              <w:jc w:val="both"/>
              <w:textAlignment w:val="baseline"/>
              <w:rPr>
                <w:rFonts w:hint="default" w:ascii="仿宋" w:hAnsi="仿宋" w:eastAsia="仿宋" w:cs="仿宋"/>
                <w:color w:val="auto"/>
                <w:spacing w:val="-3"/>
                <w:sz w:val="21"/>
                <w:szCs w:val="21"/>
                <w:highlight w:val="yellow"/>
                <w:lang w:val="en-US" w:eastAsia="zh-CN"/>
              </w:rPr>
            </w:pPr>
            <w:r>
              <w:rPr>
                <w:rFonts w:hint="eastAsia" w:cs="仿宋"/>
                <w:color w:val="auto"/>
                <w:spacing w:val="-3"/>
                <w:sz w:val="21"/>
                <w:szCs w:val="21"/>
                <w:highlight w:val="none"/>
                <w:lang w:val="en-US" w:eastAsia="zh-CN"/>
              </w:rPr>
              <w:t>注：联合体投标时</w:t>
            </w:r>
            <w:r>
              <w:rPr>
                <w:rFonts w:hint="eastAsia" w:ascii="仿宋" w:hAnsi="仿宋" w:eastAsia="仿宋" w:cs="仿宋"/>
                <w:color w:val="auto"/>
                <w:spacing w:val="6"/>
                <w:sz w:val="21"/>
                <w:szCs w:val="21"/>
                <w:highlight w:val="none"/>
              </w:rPr>
              <w:t>磋商保证金</w:t>
            </w:r>
            <w:r>
              <w:rPr>
                <w:rFonts w:hint="eastAsia" w:cs="仿宋"/>
                <w:color w:val="auto"/>
                <w:spacing w:val="-3"/>
                <w:sz w:val="21"/>
                <w:szCs w:val="21"/>
                <w:highlight w:val="none"/>
                <w:lang w:val="en-US" w:eastAsia="zh-CN"/>
              </w:rPr>
              <w:t>由牵头单位缴纳；</w:t>
            </w:r>
          </w:p>
        </w:tc>
      </w:tr>
      <w:tr w14:paraId="1318BF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89" w:type="dxa"/>
            <w:tcBorders>
              <w:top w:val="single" w:color="auto" w:sz="4" w:space="0"/>
              <w:left w:val="single" w:color="auto" w:sz="4" w:space="0"/>
              <w:bottom w:val="single" w:color="auto" w:sz="4" w:space="0"/>
            </w:tcBorders>
            <w:shd w:val="clear" w:color="auto" w:fill="auto"/>
            <w:vAlign w:val="center"/>
          </w:tcPr>
          <w:p w14:paraId="5F6E1EA1">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default" w:eastAsia="仿宋"/>
                <w:color w:val="1F1F1F"/>
                <w:sz w:val="20"/>
                <w:szCs w:val="20"/>
                <w:lang w:val="en-US" w:eastAsia="zh-CN"/>
              </w:rPr>
            </w:pPr>
            <w:r>
              <w:rPr>
                <w:rFonts w:hint="eastAsia"/>
                <w:color w:val="1F1F1F"/>
                <w:sz w:val="20"/>
                <w:szCs w:val="20"/>
                <w:lang w:val="en-US" w:eastAsia="zh-CN"/>
              </w:rPr>
              <w:t>25</w:t>
            </w:r>
          </w:p>
        </w:tc>
        <w:tc>
          <w:tcPr>
            <w:tcW w:w="1626" w:type="dxa"/>
            <w:tcBorders>
              <w:top w:val="single" w:color="auto" w:sz="4" w:space="0"/>
              <w:bottom w:val="single" w:color="auto" w:sz="4" w:space="0"/>
            </w:tcBorders>
            <w:shd w:val="clear" w:color="auto" w:fill="auto"/>
            <w:vAlign w:val="center"/>
          </w:tcPr>
          <w:p w14:paraId="6D8EA7A2">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color w:val="1F1F1F"/>
                <w:spacing w:val="4"/>
                <w:sz w:val="21"/>
                <w:szCs w:val="21"/>
              </w:rPr>
            </w:pPr>
            <w:r>
              <w:rPr>
                <w:color w:val="1F1F1F"/>
                <w:spacing w:val="8"/>
                <w:sz w:val="20"/>
                <w:szCs w:val="20"/>
              </w:rPr>
              <w:t>★</w:t>
            </w:r>
            <w:r>
              <w:rPr>
                <w:rFonts w:hint="eastAsia" w:ascii="仿宋" w:hAnsi="仿宋" w:eastAsia="仿宋" w:cs="仿宋"/>
                <w:spacing w:val="-2"/>
                <w:sz w:val="21"/>
                <w:szCs w:val="21"/>
              </w:rPr>
              <w:t>信用情况</w:t>
            </w:r>
          </w:p>
        </w:tc>
        <w:tc>
          <w:tcPr>
            <w:tcW w:w="6766" w:type="dxa"/>
            <w:tcBorders>
              <w:top w:val="single" w:color="auto" w:sz="4" w:space="0"/>
              <w:bottom w:val="single" w:color="auto" w:sz="4" w:space="0"/>
              <w:right w:val="single" w:color="auto" w:sz="4" w:space="0"/>
            </w:tcBorders>
            <w:shd w:val="clear" w:color="auto" w:fill="auto"/>
            <w:vAlign w:val="center"/>
          </w:tcPr>
          <w:p w14:paraId="1B1B44B8">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textAlignment w:val="baseline"/>
              <w:rPr>
                <w:rFonts w:hint="eastAsia" w:ascii="仿宋" w:hAnsi="仿宋" w:eastAsia="仿宋" w:cs="仿宋"/>
                <w:color w:val="1F1F1F"/>
                <w:spacing w:val="10"/>
                <w:sz w:val="21"/>
                <w:szCs w:val="21"/>
              </w:rPr>
            </w:pPr>
            <w:r>
              <w:rPr>
                <w:rFonts w:hint="eastAsia" w:ascii="仿宋" w:hAnsi="仿宋" w:eastAsia="仿宋" w:cs="仿宋"/>
                <w:color w:val="1F1F1F"/>
                <w:spacing w:val="10"/>
                <w:sz w:val="21"/>
                <w:szCs w:val="21"/>
              </w:rPr>
              <w:t>1、信用记录查询时间及方式：</w:t>
            </w:r>
          </w:p>
          <w:p w14:paraId="57B56C12">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textAlignment w:val="baseline"/>
              <w:rPr>
                <w:rFonts w:hint="eastAsia" w:ascii="仿宋" w:hAnsi="仿宋" w:eastAsia="仿宋" w:cs="仿宋"/>
                <w:color w:val="1F1F1F"/>
                <w:spacing w:val="10"/>
                <w:sz w:val="21"/>
                <w:szCs w:val="21"/>
              </w:rPr>
            </w:pPr>
            <w:r>
              <w:rPr>
                <w:rFonts w:hint="eastAsia" w:ascii="仿宋" w:hAnsi="仿宋" w:eastAsia="仿宋" w:cs="仿宋"/>
                <w:color w:val="1F1F1F"/>
                <w:spacing w:val="10"/>
                <w:sz w:val="21"/>
                <w:szCs w:val="21"/>
              </w:rPr>
              <w:t>（1）查询时间：自磋商公告发布日期起至</w:t>
            </w:r>
            <w:r>
              <w:rPr>
                <w:rFonts w:hint="eastAsia" w:ascii="仿宋" w:hAnsi="仿宋" w:eastAsia="仿宋" w:cs="仿宋"/>
                <w:color w:val="1F1F1F"/>
                <w:spacing w:val="10"/>
                <w:sz w:val="21"/>
                <w:szCs w:val="21"/>
                <w:lang w:val="en-US" w:eastAsia="zh-CN"/>
              </w:rPr>
              <w:t>开标</w:t>
            </w:r>
            <w:r>
              <w:rPr>
                <w:rFonts w:hint="eastAsia" w:ascii="仿宋" w:hAnsi="仿宋" w:eastAsia="仿宋" w:cs="仿宋"/>
                <w:color w:val="1F1F1F"/>
                <w:spacing w:val="10"/>
                <w:sz w:val="21"/>
                <w:szCs w:val="21"/>
              </w:rPr>
              <w:t>日期止，超出此时间范围将被视为无效投标。</w:t>
            </w:r>
          </w:p>
          <w:p w14:paraId="197CE5FF">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textAlignment w:val="baseline"/>
              <w:rPr>
                <w:rFonts w:hint="eastAsia" w:ascii="仿宋" w:hAnsi="仿宋" w:eastAsia="仿宋" w:cs="仿宋"/>
                <w:color w:val="1F1F1F"/>
                <w:spacing w:val="10"/>
                <w:sz w:val="21"/>
                <w:szCs w:val="21"/>
              </w:rPr>
            </w:pPr>
            <w:r>
              <w:rPr>
                <w:rFonts w:hint="eastAsia" w:ascii="仿宋" w:hAnsi="仿宋" w:eastAsia="仿宋" w:cs="仿宋"/>
                <w:color w:val="1F1F1F"/>
                <w:spacing w:val="10"/>
                <w:sz w:val="21"/>
                <w:szCs w:val="21"/>
              </w:rPr>
              <w:t>（2）查询方式：供应商自行通过“信用中国”、“国家企业信用信息公示系统”及“中国政府采购网”查询，并按磋商文件要求提供网页材料。被列入被列入失信被执行人、企业经营异常名录、重大税收违法案件当事人名单、政府采购严重违法失信名单（尚在处罚期内的）,其他不符合《中华人民共和国政府采购法》第二十二条规定条件的供应商，其响应文件将被视为无效投标。未提供证明材料的视为不响应磋商文件。</w:t>
            </w:r>
          </w:p>
          <w:p w14:paraId="00BC7FE5">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textAlignment w:val="baseline"/>
              <w:rPr>
                <w:rFonts w:hint="eastAsia" w:ascii="仿宋" w:hAnsi="仿宋" w:eastAsia="仿宋" w:cs="仿宋"/>
                <w:color w:val="1F1F1F"/>
                <w:spacing w:val="10"/>
                <w:sz w:val="21"/>
                <w:szCs w:val="21"/>
              </w:rPr>
            </w:pPr>
            <w:r>
              <w:rPr>
                <w:rFonts w:hint="eastAsia" w:ascii="仿宋" w:hAnsi="仿宋" w:eastAsia="仿宋" w:cs="仿宋"/>
                <w:color w:val="1F1F1F"/>
                <w:spacing w:val="10"/>
                <w:sz w:val="21"/>
                <w:szCs w:val="21"/>
              </w:rPr>
              <w:t>（3）供应商参加政府采购活动时，应当就自己的诚信情况在响应性文件中进行承诺。</w:t>
            </w:r>
          </w:p>
          <w:p w14:paraId="5FA23587">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textAlignment w:val="baseline"/>
              <w:rPr>
                <w:rFonts w:hint="eastAsia" w:ascii="仿宋" w:hAnsi="仿宋" w:eastAsia="仿宋" w:cs="仿宋"/>
                <w:color w:val="1F1F1F"/>
                <w:spacing w:val="5"/>
                <w:sz w:val="21"/>
                <w:szCs w:val="21"/>
              </w:rPr>
            </w:pPr>
            <w:r>
              <w:rPr>
                <w:rFonts w:hint="eastAsia" w:ascii="仿宋" w:hAnsi="仿宋" w:eastAsia="仿宋" w:cs="仿宋"/>
                <w:color w:val="1F1F1F"/>
                <w:spacing w:val="10"/>
                <w:sz w:val="21"/>
                <w:szCs w:val="21"/>
              </w:rPr>
              <w:t>本项目不接受失信企业投标</w:t>
            </w:r>
            <w:r>
              <w:rPr>
                <w:rFonts w:hint="eastAsia" w:cs="仿宋"/>
                <w:color w:val="1F1F1F"/>
                <w:spacing w:val="10"/>
                <w:sz w:val="21"/>
                <w:szCs w:val="21"/>
                <w:lang w:eastAsia="zh-CN"/>
              </w:rPr>
              <w:t>（</w:t>
            </w:r>
            <w:r>
              <w:rPr>
                <w:rFonts w:hint="eastAsia" w:cs="仿宋"/>
                <w:color w:val="1F1F1F"/>
                <w:spacing w:val="10"/>
                <w:sz w:val="21"/>
                <w:szCs w:val="21"/>
                <w:lang w:val="en-US" w:eastAsia="zh-CN"/>
              </w:rPr>
              <w:t>联合体投标的均须响应以上条款</w:t>
            </w:r>
            <w:r>
              <w:rPr>
                <w:rFonts w:hint="eastAsia" w:cs="仿宋"/>
                <w:color w:val="1F1F1F"/>
                <w:spacing w:val="10"/>
                <w:sz w:val="21"/>
                <w:szCs w:val="21"/>
                <w:lang w:eastAsia="zh-CN"/>
              </w:rPr>
              <w:t>）</w:t>
            </w:r>
            <w:r>
              <w:rPr>
                <w:rFonts w:hint="eastAsia" w:ascii="仿宋" w:hAnsi="仿宋" w:eastAsia="仿宋" w:cs="仿宋"/>
                <w:color w:val="1F1F1F"/>
                <w:spacing w:val="10"/>
                <w:sz w:val="21"/>
                <w:szCs w:val="21"/>
              </w:rPr>
              <w:t>。</w:t>
            </w:r>
          </w:p>
        </w:tc>
      </w:tr>
      <w:tr w14:paraId="58B6E3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89" w:type="dxa"/>
            <w:tcBorders>
              <w:top w:val="single" w:color="auto" w:sz="4" w:space="0"/>
            </w:tcBorders>
            <w:shd w:val="clear" w:color="auto" w:fill="auto"/>
            <w:vAlign w:val="center"/>
          </w:tcPr>
          <w:p w14:paraId="64E6D098">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default" w:eastAsia="仿宋"/>
                <w:color w:val="1F1F1F"/>
                <w:sz w:val="20"/>
                <w:szCs w:val="20"/>
                <w:lang w:val="en-US" w:eastAsia="zh-CN"/>
              </w:rPr>
            </w:pPr>
            <w:r>
              <w:rPr>
                <w:rFonts w:hint="eastAsia"/>
                <w:color w:val="1F1F1F"/>
                <w:sz w:val="20"/>
                <w:szCs w:val="20"/>
                <w:lang w:val="en-US" w:eastAsia="zh-CN"/>
              </w:rPr>
              <w:t>26</w:t>
            </w:r>
          </w:p>
        </w:tc>
        <w:tc>
          <w:tcPr>
            <w:tcW w:w="1626" w:type="dxa"/>
            <w:tcBorders>
              <w:top w:val="single" w:color="auto" w:sz="4" w:space="0"/>
            </w:tcBorders>
            <w:shd w:val="clear" w:color="auto" w:fill="auto"/>
            <w:vAlign w:val="center"/>
          </w:tcPr>
          <w:p w14:paraId="726F8149">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2"/>
                <w:sz w:val="21"/>
                <w:szCs w:val="21"/>
              </w:rPr>
            </w:pPr>
            <w:r>
              <w:rPr>
                <w:rFonts w:hint="eastAsia" w:ascii="仿宋" w:hAnsi="仿宋" w:eastAsia="仿宋" w:cs="仿宋"/>
                <w:spacing w:val="-2"/>
                <w:sz w:val="21"/>
                <w:szCs w:val="21"/>
              </w:rPr>
              <w:t>签字盖章</w:t>
            </w:r>
          </w:p>
        </w:tc>
        <w:tc>
          <w:tcPr>
            <w:tcW w:w="6766" w:type="dxa"/>
            <w:tcBorders>
              <w:top w:val="single" w:color="auto" w:sz="4" w:space="0"/>
            </w:tcBorders>
            <w:shd w:val="clear" w:color="auto" w:fill="auto"/>
            <w:vAlign w:val="center"/>
          </w:tcPr>
          <w:p w14:paraId="06FF54B1">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textAlignment w:val="baseline"/>
              <w:rPr>
                <w:rFonts w:hint="eastAsia" w:ascii="仿宋" w:hAnsi="仿宋" w:eastAsia="仿宋" w:cs="仿宋"/>
                <w:color w:val="1F1F1F"/>
                <w:spacing w:val="10"/>
                <w:sz w:val="21"/>
                <w:szCs w:val="21"/>
              </w:rPr>
            </w:pPr>
            <w:r>
              <w:rPr>
                <w:rFonts w:hint="eastAsia" w:ascii="仿宋" w:hAnsi="仿宋" w:eastAsia="仿宋" w:cs="仿宋"/>
                <w:color w:val="1F1F1F"/>
                <w:spacing w:val="10"/>
                <w:sz w:val="21"/>
                <w:szCs w:val="21"/>
              </w:rPr>
              <w:t>供应商必须按照竞争性磋商文件的规定和要求进行签章。“电子签名”系指数据电文中以电子形式所含、所附用于识别签名人身份并表明签名人认可其中内容的数据；“公章”系指单位法定名称章。</w:t>
            </w:r>
          </w:p>
        </w:tc>
      </w:tr>
      <w:tr w14:paraId="0A80A2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89" w:type="dxa"/>
            <w:shd w:val="clear" w:color="auto" w:fill="auto"/>
            <w:vAlign w:val="center"/>
          </w:tcPr>
          <w:p w14:paraId="22D58725">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default" w:eastAsia="仿宋"/>
                <w:color w:val="1F1F1F"/>
                <w:sz w:val="20"/>
                <w:szCs w:val="20"/>
                <w:lang w:val="en-US" w:eastAsia="zh-CN"/>
              </w:rPr>
            </w:pPr>
            <w:r>
              <w:rPr>
                <w:rFonts w:hint="eastAsia"/>
                <w:color w:val="1F1F1F"/>
                <w:sz w:val="20"/>
                <w:szCs w:val="20"/>
                <w:lang w:val="en-US" w:eastAsia="zh-CN"/>
              </w:rPr>
              <w:t>27</w:t>
            </w:r>
          </w:p>
        </w:tc>
        <w:tc>
          <w:tcPr>
            <w:tcW w:w="1626" w:type="dxa"/>
            <w:shd w:val="clear" w:color="auto" w:fill="auto"/>
            <w:vAlign w:val="center"/>
          </w:tcPr>
          <w:p w14:paraId="5C82E130">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2"/>
                <w:sz w:val="21"/>
                <w:szCs w:val="21"/>
              </w:rPr>
            </w:pPr>
            <w:r>
              <w:rPr>
                <w:rFonts w:hint="eastAsia" w:ascii="仿宋" w:hAnsi="仿宋" w:eastAsia="仿宋" w:cs="仿宋"/>
                <w:spacing w:val="-2"/>
                <w:sz w:val="21"/>
                <w:szCs w:val="21"/>
              </w:rPr>
              <w:t>磋商响应文</w:t>
            </w:r>
            <w:r>
              <w:rPr>
                <w:rFonts w:hint="eastAsia" w:ascii="仿宋" w:hAnsi="仿宋" w:eastAsia="仿宋" w:cs="仿宋"/>
                <w:spacing w:val="-2"/>
                <w:sz w:val="21"/>
                <w:szCs w:val="21"/>
                <w:lang w:val="en-US" w:eastAsia="zh-CN"/>
              </w:rPr>
              <w:t>件</w:t>
            </w:r>
            <w:r>
              <w:rPr>
                <w:rFonts w:hint="eastAsia" w:ascii="仿宋" w:hAnsi="仿宋" w:eastAsia="仿宋" w:cs="仿宋"/>
                <w:spacing w:val="-2"/>
                <w:sz w:val="21"/>
                <w:szCs w:val="21"/>
              </w:rPr>
              <w:t>份数与装订</w:t>
            </w:r>
          </w:p>
        </w:tc>
        <w:tc>
          <w:tcPr>
            <w:tcW w:w="6766" w:type="dxa"/>
            <w:shd w:val="clear" w:color="auto" w:fill="auto"/>
            <w:vAlign w:val="center"/>
          </w:tcPr>
          <w:p w14:paraId="6F42FB23">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textAlignment w:val="baseline"/>
              <w:rPr>
                <w:rFonts w:hint="eastAsia" w:ascii="仿宋" w:hAnsi="仿宋" w:eastAsia="仿宋" w:cs="仿宋"/>
                <w:color w:val="1F1F1F"/>
                <w:spacing w:val="10"/>
                <w:sz w:val="21"/>
                <w:szCs w:val="21"/>
              </w:rPr>
            </w:pPr>
            <w:r>
              <w:rPr>
                <w:rFonts w:hint="eastAsia" w:ascii="仿宋" w:hAnsi="仿宋" w:eastAsia="仿宋" w:cs="仿宋"/>
                <w:color w:val="1F1F1F"/>
                <w:spacing w:val="10"/>
                <w:sz w:val="21"/>
                <w:szCs w:val="21"/>
              </w:rPr>
              <w:t>加密电子版响应文件供应商应在投标截止时间之前上传到“政采云”平台（</w:t>
            </w:r>
            <w:r>
              <w:rPr>
                <w:rFonts w:hint="eastAsia" w:ascii="仿宋" w:hAnsi="仿宋" w:eastAsia="仿宋" w:cs="仿宋"/>
                <w:color w:val="1F1F1F"/>
                <w:spacing w:val="10"/>
                <w:sz w:val="21"/>
                <w:szCs w:val="21"/>
              </w:rPr>
              <w:fldChar w:fldCharType="begin"/>
            </w:r>
            <w:r>
              <w:rPr>
                <w:rFonts w:hint="eastAsia" w:ascii="仿宋" w:hAnsi="仿宋" w:eastAsia="仿宋" w:cs="仿宋"/>
                <w:color w:val="1F1F1F"/>
                <w:spacing w:val="10"/>
                <w:sz w:val="21"/>
                <w:szCs w:val="21"/>
              </w:rPr>
              <w:instrText xml:space="preserve"> HYPERLINK "https://www.zcygov.cn" </w:instrText>
            </w:r>
            <w:r>
              <w:rPr>
                <w:rFonts w:hint="eastAsia" w:ascii="仿宋" w:hAnsi="仿宋" w:eastAsia="仿宋" w:cs="仿宋"/>
                <w:color w:val="1F1F1F"/>
                <w:spacing w:val="10"/>
                <w:sz w:val="21"/>
                <w:szCs w:val="21"/>
              </w:rPr>
              <w:fldChar w:fldCharType="separate"/>
            </w:r>
            <w:r>
              <w:rPr>
                <w:rFonts w:hint="eastAsia" w:ascii="仿宋" w:hAnsi="仿宋" w:eastAsia="仿宋" w:cs="仿宋"/>
                <w:color w:val="1F1F1F"/>
                <w:spacing w:val="10"/>
                <w:sz w:val="21"/>
                <w:szCs w:val="21"/>
              </w:rPr>
              <w:t>https://www.zcygov.cn</w:t>
            </w:r>
            <w:r>
              <w:rPr>
                <w:rFonts w:hint="eastAsia" w:ascii="仿宋" w:hAnsi="仿宋" w:eastAsia="仿宋" w:cs="仿宋"/>
                <w:color w:val="1F1F1F"/>
                <w:spacing w:val="10"/>
                <w:sz w:val="21"/>
                <w:szCs w:val="21"/>
              </w:rPr>
              <w:fldChar w:fldCharType="end"/>
            </w:r>
            <w:r>
              <w:rPr>
                <w:rFonts w:hint="eastAsia" w:ascii="仿宋" w:hAnsi="仿宋" w:eastAsia="仿宋" w:cs="仿宋"/>
                <w:color w:val="1F1F1F"/>
                <w:spacing w:val="10"/>
                <w:sz w:val="21"/>
                <w:szCs w:val="21"/>
              </w:rPr>
              <w:t>）；（</w:t>
            </w:r>
            <w:r>
              <w:rPr>
                <w:rFonts w:hint="eastAsia" w:ascii="仿宋" w:hAnsi="仿宋" w:eastAsia="仿宋" w:cs="仿宋"/>
                <w:color w:val="1F1F1F"/>
                <w:spacing w:val="10"/>
                <w:sz w:val="21"/>
                <w:szCs w:val="21"/>
                <w:lang w:val="en-US" w:eastAsia="zh-CN"/>
              </w:rPr>
              <w:t>供应商</w:t>
            </w:r>
            <w:r>
              <w:rPr>
                <w:rFonts w:hint="eastAsia" w:ascii="仿宋" w:hAnsi="仿宋" w:eastAsia="仿宋" w:cs="仿宋"/>
                <w:color w:val="1F1F1F"/>
                <w:spacing w:val="10"/>
                <w:sz w:val="21"/>
                <w:szCs w:val="21"/>
              </w:rPr>
              <w:t>无需提供纸质版投标文件）</w:t>
            </w:r>
          </w:p>
        </w:tc>
      </w:tr>
      <w:tr w14:paraId="29447D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89" w:type="dxa"/>
            <w:shd w:val="clear" w:color="auto" w:fill="auto"/>
            <w:vAlign w:val="center"/>
          </w:tcPr>
          <w:p w14:paraId="08831059">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default" w:eastAsia="仿宋"/>
                <w:color w:val="1F1F1F"/>
                <w:sz w:val="20"/>
                <w:szCs w:val="20"/>
                <w:lang w:val="en-US" w:eastAsia="zh-CN"/>
              </w:rPr>
            </w:pPr>
            <w:r>
              <w:rPr>
                <w:rFonts w:hint="eastAsia"/>
                <w:color w:val="1F1F1F"/>
                <w:sz w:val="20"/>
                <w:szCs w:val="20"/>
                <w:lang w:val="en-US" w:eastAsia="zh-CN"/>
              </w:rPr>
              <w:t>28</w:t>
            </w:r>
          </w:p>
        </w:tc>
        <w:tc>
          <w:tcPr>
            <w:tcW w:w="1626" w:type="dxa"/>
            <w:shd w:val="clear" w:color="auto" w:fill="auto"/>
            <w:vAlign w:val="center"/>
          </w:tcPr>
          <w:p w14:paraId="022ADCFA">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2"/>
                <w:sz w:val="21"/>
                <w:szCs w:val="21"/>
              </w:rPr>
            </w:pPr>
            <w:r>
              <w:rPr>
                <w:rFonts w:hint="eastAsia" w:ascii="仿宋" w:hAnsi="仿宋" w:eastAsia="仿宋" w:cs="仿宋"/>
                <w:spacing w:val="-2"/>
                <w:sz w:val="21"/>
                <w:szCs w:val="21"/>
              </w:rPr>
              <w:t>磋商响应文件递交地点及截止时间</w:t>
            </w:r>
          </w:p>
        </w:tc>
        <w:tc>
          <w:tcPr>
            <w:tcW w:w="6766" w:type="dxa"/>
            <w:shd w:val="clear" w:color="auto" w:fill="auto"/>
            <w:vAlign w:val="center"/>
          </w:tcPr>
          <w:p w14:paraId="7B7E5D78">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textAlignment w:val="baseline"/>
              <w:rPr>
                <w:rFonts w:hint="eastAsia" w:ascii="仿宋" w:hAnsi="仿宋" w:eastAsia="仿宋" w:cs="仿宋"/>
                <w:color w:val="1F1F1F"/>
                <w:spacing w:val="10"/>
                <w:sz w:val="21"/>
                <w:szCs w:val="21"/>
              </w:rPr>
            </w:pPr>
            <w:r>
              <w:rPr>
                <w:rFonts w:hint="eastAsia" w:ascii="仿宋" w:hAnsi="仿宋" w:eastAsia="仿宋" w:cs="仿宋"/>
                <w:color w:val="1F1F1F"/>
                <w:spacing w:val="10"/>
                <w:sz w:val="21"/>
                <w:szCs w:val="21"/>
              </w:rPr>
              <w:t>截止时间：</w:t>
            </w:r>
            <w:r>
              <w:rPr>
                <w:rFonts w:hint="eastAsia" w:cs="仿宋"/>
                <w:color w:val="1F1F1F"/>
                <w:spacing w:val="10"/>
                <w:sz w:val="21"/>
                <w:szCs w:val="21"/>
                <w:lang w:eastAsia="zh-CN"/>
              </w:rPr>
              <w:t>2026年6月4日11：00</w:t>
            </w:r>
            <w:r>
              <w:rPr>
                <w:rFonts w:hint="eastAsia" w:ascii="仿宋" w:hAnsi="仿宋" w:eastAsia="仿宋" w:cs="仿宋"/>
                <w:color w:val="1F1F1F"/>
                <w:spacing w:val="10"/>
                <w:sz w:val="21"/>
                <w:szCs w:val="21"/>
              </w:rPr>
              <w:t>前（北京时间）</w:t>
            </w:r>
          </w:p>
          <w:p w14:paraId="533AB2B2">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textAlignment w:val="baseline"/>
              <w:rPr>
                <w:rFonts w:hint="eastAsia" w:ascii="仿宋" w:hAnsi="仿宋" w:eastAsia="仿宋" w:cs="仿宋"/>
                <w:color w:val="1F1F1F"/>
                <w:spacing w:val="10"/>
                <w:sz w:val="21"/>
                <w:szCs w:val="21"/>
              </w:rPr>
            </w:pPr>
            <w:r>
              <w:rPr>
                <w:rFonts w:hint="eastAsia" w:ascii="仿宋" w:hAnsi="仿宋" w:eastAsia="仿宋" w:cs="仿宋"/>
                <w:color w:val="1F1F1F"/>
                <w:spacing w:val="10"/>
                <w:sz w:val="21"/>
                <w:szCs w:val="21"/>
              </w:rPr>
              <w:t>地点：加密电子版响应文件供应商应在投标截止时间之前上传到“政采云”平台（</w:t>
            </w:r>
            <w:r>
              <w:rPr>
                <w:rFonts w:hint="eastAsia" w:ascii="仿宋" w:hAnsi="仿宋" w:eastAsia="仿宋" w:cs="仿宋"/>
                <w:color w:val="1F1F1F"/>
                <w:spacing w:val="10"/>
                <w:sz w:val="21"/>
                <w:szCs w:val="21"/>
              </w:rPr>
              <w:fldChar w:fldCharType="begin"/>
            </w:r>
            <w:r>
              <w:rPr>
                <w:rFonts w:hint="eastAsia" w:ascii="仿宋" w:hAnsi="仿宋" w:eastAsia="仿宋" w:cs="仿宋"/>
                <w:color w:val="1F1F1F"/>
                <w:spacing w:val="10"/>
                <w:sz w:val="21"/>
                <w:szCs w:val="21"/>
              </w:rPr>
              <w:instrText xml:space="preserve"> HYPERLINK "https://www.zcygov.cn" </w:instrText>
            </w:r>
            <w:r>
              <w:rPr>
                <w:rFonts w:hint="eastAsia" w:ascii="仿宋" w:hAnsi="仿宋" w:eastAsia="仿宋" w:cs="仿宋"/>
                <w:color w:val="1F1F1F"/>
                <w:spacing w:val="10"/>
                <w:sz w:val="21"/>
                <w:szCs w:val="21"/>
              </w:rPr>
              <w:fldChar w:fldCharType="separate"/>
            </w:r>
            <w:r>
              <w:rPr>
                <w:rFonts w:hint="eastAsia" w:ascii="仿宋" w:hAnsi="仿宋" w:eastAsia="仿宋" w:cs="仿宋"/>
                <w:color w:val="1F1F1F"/>
                <w:spacing w:val="10"/>
                <w:sz w:val="21"/>
                <w:szCs w:val="21"/>
              </w:rPr>
              <w:t>https://www.zcygov.cn</w:t>
            </w:r>
            <w:r>
              <w:rPr>
                <w:rFonts w:hint="eastAsia" w:ascii="仿宋" w:hAnsi="仿宋" w:eastAsia="仿宋" w:cs="仿宋"/>
                <w:color w:val="1F1F1F"/>
                <w:spacing w:val="10"/>
                <w:sz w:val="21"/>
                <w:szCs w:val="21"/>
              </w:rPr>
              <w:fldChar w:fldCharType="end"/>
            </w:r>
            <w:r>
              <w:rPr>
                <w:rFonts w:hint="eastAsia" w:ascii="仿宋" w:hAnsi="仿宋" w:eastAsia="仿宋" w:cs="仿宋"/>
                <w:color w:val="1F1F1F"/>
                <w:spacing w:val="10"/>
                <w:sz w:val="21"/>
                <w:szCs w:val="21"/>
              </w:rPr>
              <w:t>）。</w:t>
            </w:r>
          </w:p>
          <w:p w14:paraId="0C18360C">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textAlignment w:val="baseline"/>
              <w:rPr>
                <w:rFonts w:hint="eastAsia" w:ascii="仿宋" w:hAnsi="仿宋" w:eastAsia="仿宋" w:cs="仿宋"/>
                <w:color w:val="1F1F1F"/>
                <w:spacing w:val="10"/>
                <w:sz w:val="21"/>
                <w:szCs w:val="21"/>
              </w:rPr>
            </w:pPr>
            <w:r>
              <w:rPr>
                <w:rFonts w:hint="eastAsia" w:ascii="仿宋" w:hAnsi="仿宋" w:eastAsia="仿宋" w:cs="仿宋"/>
                <w:color w:val="1F1F1F"/>
                <w:spacing w:val="10"/>
                <w:sz w:val="21"/>
                <w:szCs w:val="21"/>
              </w:rPr>
              <w:t>应按照本项目磋商文件和政采云平台的要求编制、并将电子版响应文件加密传输。</w:t>
            </w:r>
          </w:p>
          <w:p w14:paraId="2F78637E">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textAlignment w:val="baseline"/>
              <w:rPr>
                <w:rFonts w:hint="eastAsia" w:ascii="仿宋" w:hAnsi="仿宋" w:eastAsia="仿宋" w:cs="仿宋"/>
                <w:color w:val="1F1F1F"/>
                <w:spacing w:val="10"/>
                <w:sz w:val="21"/>
                <w:szCs w:val="21"/>
              </w:rPr>
            </w:pPr>
            <w:r>
              <w:rPr>
                <w:rFonts w:hint="eastAsia" w:ascii="仿宋" w:hAnsi="仿宋" w:eastAsia="仿宋" w:cs="仿宋"/>
                <w:color w:val="1F1F1F"/>
                <w:spacing w:val="10"/>
                <w:sz w:val="21"/>
                <w:szCs w:val="21"/>
              </w:rPr>
              <w:t>供应商在使用系统进行投标的过程中遇到涉及平台使用的任何问题，可致电“政采云”平台技术支持热线咨询，联系方式：95763。</w:t>
            </w:r>
          </w:p>
        </w:tc>
      </w:tr>
      <w:tr w14:paraId="71226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89" w:type="dxa"/>
            <w:shd w:val="clear" w:color="auto" w:fill="auto"/>
            <w:vAlign w:val="center"/>
          </w:tcPr>
          <w:p w14:paraId="61C03B0F">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default" w:eastAsia="仿宋"/>
                <w:color w:val="1F1F1F"/>
                <w:sz w:val="20"/>
                <w:szCs w:val="20"/>
                <w:lang w:val="en-US" w:eastAsia="zh-CN"/>
              </w:rPr>
            </w:pPr>
            <w:r>
              <w:rPr>
                <w:rFonts w:hint="eastAsia"/>
                <w:color w:val="1F1F1F"/>
                <w:sz w:val="20"/>
                <w:szCs w:val="20"/>
                <w:lang w:val="en-US" w:eastAsia="zh-CN"/>
              </w:rPr>
              <w:t>29</w:t>
            </w:r>
          </w:p>
        </w:tc>
        <w:tc>
          <w:tcPr>
            <w:tcW w:w="1626" w:type="dxa"/>
            <w:shd w:val="clear" w:color="auto" w:fill="auto"/>
            <w:vAlign w:val="center"/>
          </w:tcPr>
          <w:p w14:paraId="2F25E09B">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2"/>
                <w:sz w:val="21"/>
                <w:szCs w:val="21"/>
              </w:rPr>
            </w:pPr>
            <w:r>
              <w:rPr>
                <w:rFonts w:hint="eastAsia" w:ascii="仿宋" w:hAnsi="仿宋" w:eastAsia="仿宋" w:cs="仿宋"/>
                <w:spacing w:val="-2"/>
                <w:sz w:val="21"/>
                <w:szCs w:val="21"/>
              </w:rPr>
              <w:t>竞争性磋商小组的组建</w:t>
            </w:r>
          </w:p>
        </w:tc>
        <w:tc>
          <w:tcPr>
            <w:tcW w:w="6766" w:type="dxa"/>
            <w:shd w:val="clear" w:color="auto" w:fill="auto"/>
            <w:vAlign w:val="center"/>
          </w:tcPr>
          <w:p w14:paraId="07E3D422">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sz w:val="21"/>
                <w:szCs w:val="21"/>
              </w:rPr>
            </w:pPr>
            <w:r>
              <w:rPr>
                <w:rFonts w:hint="eastAsia" w:ascii="仿宋" w:hAnsi="仿宋" w:eastAsia="仿宋" w:cs="仿宋"/>
                <w:color w:val="1F1F1F"/>
                <w:spacing w:val="10"/>
                <w:sz w:val="21"/>
                <w:szCs w:val="21"/>
              </w:rPr>
              <w:t>竞争性磋商小组构成：</w:t>
            </w:r>
            <w:r>
              <w:rPr>
                <w:rFonts w:hint="eastAsia" w:ascii="仿宋" w:hAnsi="仿宋" w:eastAsia="仿宋" w:cs="仿宋"/>
                <w:color w:val="1F1F1F"/>
                <w:spacing w:val="10"/>
                <w:sz w:val="21"/>
                <w:szCs w:val="21"/>
                <w:lang w:val="en-US" w:eastAsia="zh-CN"/>
              </w:rPr>
              <w:t>3</w:t>
            </w:r>
            <w:r>
              <w:rPr>
                <w:rFonts w:hint="eastAsia" w:ascii="仿宋" w:hAnsi="仿宋" w:eastAsia="仿宋" w:cs="仿宋"/>
                <w:color w:val="1F1F1F"/>
                <w:spacing w:val="10"/>
                <w:sz w:val="21"/>
                <w:szCs w:val="21"/>
              </w:rPr>
              <w:t>人（其中：采购人代表人</w:t>
            </w:r>
            <w:r>
              <w:rPr>
                <w:rFonts w:hint="eastAsia" w:cs="仿宋"/>
                <w:color w:val="1F1F1F"/>
                <w:spacing w:val="10"/>
                <w:sz w:val="21"/>
                <w:szCs w:val="21"/>
                <w:lang w:val="en-US" w:eastAsia="zh-CN"/>
              </w:rPr>
              <w:t>1人</w:t>
            </w:r>
            <w:r>
              <w:rPr>
                <w:rFonts w:hint="eastAsia" w:ascii="仿宋" w:hAnsi="仿宋" w:eastAsia="仿宋" w:cs="仿宋"/>
                <w:color w:val="1F1F1F"/>
                <w:spacing w:val="10"/>
                <w:sz w:val="21"/>
                <w:szCs w:val="21"/>
              </w:rPr>
              <w:t>，专家库随机抽取</w:t>
            </w:r>
            <w:r>
              <w:rPr>
                <w:rFonts w:hint="eastAsia" w:ascii="仿宋" w:hAnsi="仿宋" w:eastAsia="仿宋" w:cs="仿宋"/>
                <w:color w:val="1F1F1F"/>
                <w:spacing w:val="10"/>
                <w:sz w:val="21"/>
                <w:szCs w:val="21"/>
                <w:lang w:val="en-US" w:eastAsia="zh-CN"/>
              </w:rPr>
              <w:t>2</w:t>
            </w:r>
            <w:r>
              <w:rPr>
                <w:rFonts w:hint="eastAsia" w:ascii="仿宋" w:hAnsi="仿宋" w:eastAsia="仿宋" w:cs="仿宋"/>
                <w:color w:val="1F1F1F"/>
                <w:spacing w:val="10"/>
                <w:sz w:val="21"/>
                <w:szCs w:val="21"/>
              </w:rPr>
              <w:t>人）；</w:t>
            </w:r>
          </w:p>
        </w:tc>
      </w:tr>
      <w:tr w14:paraId="7DBF0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89" w:type="dxa"/>
            <w:shd w:val="clear" w:color="auto" w:fill="auto"/>
            <w:vAlign w:val="center"/>
          </w:tcPr>
          <w:p w14:paraId="55277160">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default"/>
                <w:color w:val="1F1F1F"/>
                <w:sz w:val="20"/>
                <w:szCs w:val="20"/>
                <w:lang w:val="en-US" w:eastAsia="zh-CN"/>
              </w:rPr>
            </w:pPr>
            <w:r>
              <w:rPr>
                <w:rFonts w:hint="eastAsia"/>
                <w:color w:val="1F1F1F"/>
                <w:sz w:val="20"/>
                <w:szCs w:val="20"/>
                <w:lang w:val="en-US" w:eastAsia="zh-CN"/>
              </w:rPr>
              <w:t>30</w:t>
            </w:r>
          </w:p>
        </w:tc>
        <w:tc>
          <w:tcPr>
            <w:tcW w:w="1626" w:type="dxa"/>
            <w:shd w:val="clear" w:color="auto" w:fill="auto"/>
            <w:vAlign w:val="center"/>
          </w:tcPr>
          <w:p w14:paraId="336C3558">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2"/>
                <w:sz w:val="21"/>
                <w:szCs w:val="21"/>
                <w:lang w:val="en-US" w:eastAsia="en-US"/>
              </w:rPr>
            </w:pPr>
            <w:r>
              <w:rPr>
                <w:rFonts w:hint="eastAsia" w:ascii="仿宋" w:hAnsi="仿宋" w:eastAsia="仿宋" w:cs="仿宋"/>
                <w:spacing w:val="-2"/>
                <w:sz w:val="21"/>
                <w:szCs w:val="21"/>
              </w:rPr>
              <w:t>是否授权磋商小组确定中标人</w:t>
            </w:r>
          </w:p>
        </w:tc>
        <w:tc>
          <w:tcPr>
            <w:tcW w:w="6766" w:type="dxa"/>
            <w:shd w:val="clear" w:color="auto" w:fill="auto"/>
            <w:vAlign w:val="center"/>
          </w:tcPr>
          <w:p w14:paraId="18EA109A">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否，推荐的成交候选人数：三人</w:t>
            </w:r>
          </w:p>
        </w:tc>
      </w:tr>
      <w:tr w14:paraId="27154E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89" w:type="dxa"/>
            <w:shd w:val="clear" w:color="auto" w:fill="auto"/>
            <w:vAlign w:val="center"/>
          </w:tcPr>
          <w:p w14:paraId="63F33437">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default"/>
                <w:color w:val="1F1F1F"/>
                <w:sz w:val="20"/>
                <w:szCs w:val="20"/>
                <w:lang w:val="en-US" w:eastAsia="zh-CN"/>
              </w:rPr>
            </w:pPr>
            <w:r>
              <w:rPr>
                <w:rFonts w:hint="eastAsia"/>
                <w:color w:val="1F1F1F"/>
                <w:sz w:val="20"/>
                <w:szCs w:val="20"/>
                <w:lang w:val="en-US" w:eastAsia="zh-CN"/>
              </w:rPr>
              <w:t>31</w:t>
            </w:r>
          </w:p>
        </w:tc>
        <w:tc>
          <w:tcPr>
            <w:tcW w:w="1626" w:type="dxa"/>
            <w:shd w:val="clear" w:color="auto" w:fill="auto"/>
            <w:vAlign w:val="center"/>
          </w:tcPr>
          <w:p w14:paraId="6FA5FDB3">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2"/>
                <w:sz w:val="21"/>
                <w:szCs w:val="21"/>
                <w:lang w:val="en-US" w:eastAsia="en-US"/>
              </w:rPr>
            </w:pPr>
            <w:r>
              <w:rPr>
                <w:rFonts w:hint="eastAsia" w:ascii="仿宋" w:hAnsi="仿宋" w:eastAsia="仿宋" w:cs="仿宋"/>
                <w:spacing w:val="-2"/>
                <w:sz w:val="21"/>
                <w:szCs w:val="21"/>
              </w:rPr>
              <w:t>磋商时间及地点等要求</w:t>
            </w:r>
          </w:p>
        </w:tc>
        <w:tc>
          <w:tcPr>
            <w:tcW w:w="6766" w:type="dxa"/>
            <w:shd w:val="clear" w:color="auto" w:fill="auto"/>
            <w:vAlign w:val="center"/>
          </w:tcPr>
          <w:p w14:paraId="7B9FC825">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spacing w:val="-2"/>
                <w:sz w:val="21"/>
                <w:szCs w:val="21"/>
              </w:rPr>
              <w:t>磋商时间</w:t>
            </w:r>
            <w:r>
              <w:rPr>
                <w:rFonts w:hint="eastAsia" w:ascii="仿宋" w:hAnsi="仿宋" w:eastAsia="仿宋" w:cs="仿宋"/>
                <w:color w:val="1F1F1F"/>
                <w:spacing w:val="10"/>
                <w:kern w:val="2"/>
                <w:sz w:val="21"/>
                <w:szCs w:val="21"/>
                <w:lang w:val="en-US" w:eastAsia="en-US" w:bidi="ar-SA"/>
              </w:rPr>
              <w:t>：</w:t>
            </w:r>
            <w:r>
              <w:rPr>
                <w:rFonts w:hint="eastAsia" w:cs="仿宋"/>
                <w:color w:val="1F1F1F"/>
                <w:spacing w:val="10"/>
                <w:sz w:val="21"/>
                <w:szCs w:val="21"/>
                <w:lang w:eastAsia="zh-CN"/>
              </w:rPr>
              <w:t>2026年6月4日11：00</w:t>
            </w:r>
            <w:r>
              <w:rPr>
                <w:rFonts w:hint="eastAsia" w:ascii="仿宋" w:hAnsi="仿宋" w:eastAsia="仿宋" w:cs="仿宋"/>
                <w:color w:val="1F1F1F"/>
                <w:spacing w:val="10"/>
                <w:kern w:val="2"/>
                <w:sz w:val="21"/>
                <w:szCs w:val="21"/>
                <w:lang w:val="en-US" w:eastAsia="en-US" w:bidi="ar-SA"/>
              </w:rPr>
              <w:t>（北京时间）</w:t>
            </w:r>
          </w:p>
          <w:p w14:paraId="0CECD678">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default" w:ascii="仿宋" w:hAnsi="仿宋" w:eastAsia="仿宋" w:cs="仿宋"/>
                <w:color w:val="1F1F1F"/>
                <w:spacing w:val="10"/>
                <w:kern w:val="2"/>
                <w:sz w:val="21"/>
                <w:szCs w:val="21"/>
                <w:lang w:val="en-US" w:eastAsia="zh-CN" w:bidi="ar-SA"/>
              </w:rPr>
            </w:pPr>
            <w:r>
              <w:rPr>
                <w:rFonts w:hint="eastAsia" w:cs="仿宋"/>
                <w:color w:val="1F1F1F"/>
                <w:spacing w:val="10"/>
                <w:kern w:val="2"/>
                <w:sz w:val="21"/>
                <w:szCs w:val="21"/>
                <w:lang w:val="en-US" w:eastAsia="zh-CN" w:bidi="ar-SA"/>
              </w:rPr>
              <w:t>地点：投标人登录政采云平台https://www.zcygov.cn/，进入“项目采购-开标评标-右边选择对应项目点击“进入项目”进入开标大厅。</w:t>
            </w:r>
          </w:p>
          <w:p w14:paraId="6CB7EB01">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开标方式：使用政采云平台全流程不见面电子标</w:t>
            </w:r>
          </w:p>
        </w:tc>
      </w:tr>
      <w:tr w14:paraId="3845EE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89" w:type="dxa"/>
            <w:shd w:val="clear" w:color="auto" w:fill="auto"/>
            <w:vAlign w:val="center"/>
          </w:tcPr>
          <w:p w14:paraId="011D3B60">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default"/>
                <w:color w:val="1F1F1F"/>
                <w:sz w:val="20"/>
                <w:szCs w:val="20"/>
                <w:lang w:val="en-US" w:eastAsia="zh-CN"/>
              </w:rPr>
            </w:pPr>
            <w:r>
              <w:rPr>
                <w:rFonts w:hint="eastAsia"/>
                <w:color w:val="1F1F1F"/>
                <w:sz w:val="20"/>
                <w:szCs w:val="20"/>
                <w:lang w:val="en-US" w:eastAsia="zh-CN"/>
              </w:rPr>
              <w:t>32</w:t>
            </w:r>
          </w:p>
        </w:tc>
        <w:tc>
          <w:tcPr>
            <w:tcW w:w="1626" w:type="dxa"/>
            <w:shd w:val="clear" w:color="auto" w:fill="auto"/>
            <w:vAlign w:val="center"/>
          </w:tcPr>
          <w:p w14:paraId="5D4DB5D0">
            <w:pPr>
              <w:pStyle w:val="46"/>
              <w:spacing w:before="78" w:line="244" w:lineRule="auto"/>
              <w:ind w:right="44" w:rightChars="0"/>
              <w:jc w:val="center"/>
              <w:rPr>
                <w:rFonts w:hint="eastAsia" w:ascii="仿宋" w:hAnsi="仿宋" w:eastAsia="仿宋" w:cs="仿宋"/>
                <w:spacing w:val="-2"/>
                <w:kern w:val="2"/>
                <w:sz w:val="21"/>
                <w:szCs w:val="21"/>
                <w:lang w:val="en-US" w:eastAsia="en-US" w:bidi="ar-SA"/>
              </w:rPr>
            </w:pPr>
            <w:r>
              <w:rPr>
                <w:rFonts w:hint="eastAsia" w:ascii="仿宋" w:hAnsi="仿宋" w:eastAsia="仿宋" w:cs="仿宋"/>
                <w:spacing w:val="-2"/>
                <w:kern w:val="2"/>
                <w:sz w:val="21"/>
                <w:szCs w:val="21"/>
                <w:lang w:val="en-US" w:eastAsia="en-US" w:bidi="ar-SA"/>
              </w:rPr>
              <w:t>响应文件解密时间</w:t>
            </w:r>
          </w:p>
        </w:tc>
        <w:tc>
          <w:tcPr>
            <w:tcW w:w="6766" w:type="dxa"/>
            <w:shd w:val="clear" w:color="auto" w:fill="auto"/>
            <w:vAlign w:val="center"/>
          </w:tcPr>
          <w:p w14:paraId="48C6A733">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1、开标时间后60分钟内（</w:t>
            </w:r>
            <w:r>
              <w:rPr>
                <w:rFonts w:hint="eastAsia" w:cs="仿宋"/>
                <w:color w:val="1F1F1F"/>
                <w:spacing w:val="10"/>
                <w:kern w:val="2"/>
                <w:sz w:val="21"/>
                <w:szCs w:val="21"/>
                <w:lang w:val="en-US" w:eastAsia="zh-CN" w:bidi="ar-SA"/>
              </w:rPr>
              <w:t>2026年6月4日11：00</w:t>
            </w:r>
            <w:r>
              <w:rPr>
                <w:rFonts w:hint="eastAsia" w:ascii="仿宋" w:hAnsi="仿宋" w:eastAsia="仿宋" w:cs="仿宋"/>
                <w:color w:val="1F1F1F"/>
                <w:spacing w:val="10"/>
                <w:kern w:val="2"/>
                <w:sz w:val="21"/>
                <w:szCs w:val="21"/>
                <w:lang w:val="en-US" w:eastAsia="en-US" w:bidi="ar-SA"/>
              </w:rPr>
              <w:t>-</w:t>
            </w:r>
            <w:r>
              <w:rPr>
                <w:rFonts w:hint="eastAsia" w:cs="仿宋"/>
                <w:color w:val="1F1F1F"/>
                <w:spacing w:val="10"/>
                <w:kern w:val="2"/>
                <w:sz w:val="21"/>
                <w:szCs w:val="21"/>
                <w:lang w:val="en-US" w:eastAsia="zh-CN" w:bidi="ar-SA"/>
              </w:rPr>
              <w:t>12</w:t>
            </w:r>
            <w:r>
              <w:rPr>
                <w:rFonts w:hint="eastAsia" w:ascii="仿宋" w:hAnsi="仿宋" w:eastAsia="仿宋" w:cs="仿宋"/>
                <w:color w:val="1F1F1F"/>
                <w:spacing w:val="10"/>
                <w:kern w:val="2"/>
                <w:sz w:val="21"/>
                <w:szCs w:val="21"/>
                <w:lang w:val="en-US" w:eastAsia="en-US" w:bidi="ar-SA"/>
              </w:rPr>
              <w:t>：</w:t>
            </w:r>
            <w:r>
              <w:rPr>
                <w:rFonts w:hint="eastAsia" w:cs="仿宋"/>
                <w:color w:val="1F1F1F"/>
                <w:spacing w:val="10"/>
                <w:kern w:val="2"/>
                <w:sz w:val="21"/>
                <w:szCs w:val="21"/>
                <w:lang w:val="en-US" w:eastAsia="zh-CN" w:bidi="ar-SA"/>
              </w:rPr>
              <w:t>00</w:t>
            </w:r>
            <w:r>
              <w:rPr>
                <w:rFonts w:hint="eastAsia" w:ascii="仿宋" w:hAnsi="仿宋" w:eastAsia="仿宋" w:cs="仿宋"/>
                <w:color w:val="1F1F1F"/>
                <w:spacing w:val="10"/>
                <w:kern w:val="2"/>
                <w:sz w:val="21"/>
                <w:szCs w:val="21"/>
                <w:lang w:val="en-US" w:eastAsia="en-US" w:bidi="ar-SA"/>
              </w:rPr>
              <w:t>北京时间前）供应商可以登录“政采云”平台，用“项目采购-开标评标”功能进行解密响应文件。若供应商在规定时间内（</w:t>
            </w:r>
            <w:r>
              <w:rPr>
                <w:rFonts w:hint="eastAsia" w:cs="仿宋"/>
                <w:color w:val="1F1F1F"/>
                <w:spacing w:val="10"/>
                <w:kern w:val="2"/>
                <w:sz w:val="21"/>
                <w:szCs w:val="21"/>
                <w:lang w:val="en-US" w:eastAsia="zh-CN" w:bidi="ar-SA"/>
              </w:rPr>
              <w:t>2026年6月4日11：00</w:t>
            </w:r>
            <w:r>
              <w:rPr>
                <w:rFonts w:hint="eastAsia" w:ascii="仿宋" w:hAnsi="仿宋" w:eastAsia="仿宋" w:cs="仿宋"/>
                <w:color w:val="1F1F1F"/>
                <w:spacing w:val="10"/>
                <w:kern w:val="2"/>
                <w:sz w:val="21"/>
                <w:szCs w:val="21"/>
                <w:lang w:val="en-US" w:eastAsia="en-US" w:bidi="ar-SA"/>
              </w:rPr>
              <w:t>-</w:t>
            </w:r>
            <w:r>
              <w:rPr>
                <w:rFonts w:hint="eastAsia" w:cs="仿宋"/>
                <w:color w:val="1F1F1F"/>
                <w:spacing w:val="10"/>
                <w:kern w:val="2"/>
                <w:sz w:val="21"/>
                <w:szCs w:val="21"/>
                <w:lang w:val="en-US" w:eastAsia="zh-CN" w:bidi="ar-SA"/>
              </w:rPr>
              <w:t>12</w:t>
            </w:r>
            <w:r>
              <w:rPr>
                <w:rFonts w:hint="eastAsia" w:ascii="仿宋" w:hAnsi="仿宋" w:eastAsia="仿宋" w:cs="仿宋"/>
                <w:color w:val="1F1F1F"/>
                <w:spacing w:val="10"/>
                <w:kern w:val="2"/>
                <w:sz w:val="21"/>
                <w:szCs w:val="21"/>
                <w:lang w:val="en-US" w:eastAsia="en-US" w:bidi="ar-SA"/>
              </w:rPr>
              <w:t>：</w:t>
            </w:r>
            <w:r>
              <w:rPr>
                <w:rFonts w:hint="eastAsia" w:cs="仿宋"/>
                <w:color w:val="1F1F1F"/>
                <w:spacing w:val="10"/>
                <w:kern w:val="2"/>
                <w:sz w:val="21"/>
                <w:szCs w:val="21"/>
                <w:lang w:val="en-US" w:eastAsia="zh-CN" w:bidi="ar-SA"/>
              </w:rPr>
              <w:t>00</w:t>
            </w:r>
            <w:r>
              <w:rPr>
                <w:rFonts w:hint="eastAsia" w:ascii="仿宋" w:hAnsi="仿宋" w:eastAsia="仿宋" w:cs="仿宋"/>
                <w:color w:val="1F1F1F"/>
                <w:spacing w:val="10"/>
                <w:kern w:val="2"/>
                <w:sz w:val="21"/>
                <w:szCs w:val="21"/>
                <w:lang w:val="en-US" w:eastAsia="en-US" w:bidi="ar-SA"/>
              </w:rPr>
              <w:t>北京时间前）未按时解密的，视为投标无效。（具体开始解密时间以开标现场为准）</w:t>
            </w:r>
          </w:p>
          <w:p w14:paraId="068EEF9D">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2、因供应商自身原因导致解密失败的，将导致其投标被拒绝且响应文件被退回；</w:t>
            </w:r>
          </w:p>
        </w:tc>
      </w:tr>
      <w:tr w14:paraId="1EB19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89" w:type="dxa"/>
            <w:shd w:val="clear" w:color="auto" w:fill="auto"/>
            <w:vAlign w:val="center"/>
          </w:tcPr>
          <w:p w14:paraId="668E33A9">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default"/>
                <w:color w:val="1F1F1F"/>
                <w:sz w:val="20"/>
                <w:szCs w:val="20"/>
                <w:lang w:val="en-US" w:eastAsia="zh-CN"/>
              </w:rPr>
            </w:pPr>
            <w:r>
              <w:rPr>
                <w:rFonts w:hint="eastAsia"/>
                <w:color w:val="1F1F1F"/>
                <w:sz w:val="20"/>
                <w:szCs w:val="20"/>
                <w:lang w:val="en-US" w:eastAsia="zh-CN"/>
              </w:rPr>
              <w:t>33</w:t>
            </w:r>
          </w:p>
        </w:tc>
        <w:tc>
          <w:tcPr>
            <w:tcW w:w="1626" w:type="dxa"/>
            <w:shd w:val="clear" w:color="auto" w:fill="auto"/>
            <w:vAlign w:val="center"/>
          </w:tcPr>
          <w:p w14:paraId="6D92BFD8">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2"/>
                <w:kern w:val="2"/>
                <w:sz w:val="21"/>
                <w:szCs w:val="21"/>
                <w:lang w:val="en-US" w:eastAsia="en-US" w:bidi="ar-SA"/>
              </w:rPr>
            </w:pPr>
            <w:r>
              <w:rPr>
                <w:rFonts w:hint="eastAsia" w:ascii="仿宋" w:hAnsi="仿宋" w:eastAsia="仿宋" w:cs="仿宋"/>
                <w:spacing w:val="-2"/>
                <w:kern w:val="2"/>
                <w:sz w:val="21"/>
                <w:szCs w:val="21"/>
                <w:lang w:val="en-US" w:eastAsia="en-US" w:bidi="ar-SA"/>
              </w:rPr>
              <w:t>磋商轮次</w:t>
            </w:r>
          </w:p>
        </w:tc>
        <w:tc>
          <w:tcPr>
            <w:tcW w:w="6766" w:type="dxa"/>
            <w:shd w:val="clear" w:color="auto" w:fill="auto"/>
            <w:vAlign w:val="center"/>
          </w:tcPr>
          <w:p w14:paraId="68217127">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本项目共进行2轮或2轮以上磋商</w:t>
            </w:r>
          </w:p>
        </w:tc>
      </w:tr>
      <w:tr w14:paraId="10D3A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89" w:type="dxa"/>
            <w:shd w:val="clear" w:color="auto" w:fill="auto"/>
            <w:vAlign w:val="center"/>
          </w:tcPr>
          <w:p w14:paraId="4164D114">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default"/>
                <w:color w:val="1F1F1F"/>
                <w:sz w:val="20"/>
                <w:szCs w:val="20"/>
                <w:lang w:val="en-US" w:eastAsia="zh-CN"/>
              </w:rPr>
            </w:pPr>
            <w:r>
              <w:rPr>
                <w:rFonts w:hint="eastAsia"/>
                <w:color w:val="1F1F1F"/>
                <w:sz w:val="20"/>
                <w:szCs w:val="20"/>
                <w:lang w:val="en-US" w:eastAsia="zh-CN"/>
              </w:rPr>
              <w:t>34</w:t>
            </w:r>
          </w:p>
        </w:tc>
        <w:tc>
          <w:tcPr>
            <w:tcW w:w="1626" w:type="dxa"/>
            <w:shd w:val="clear" w:color="auto" w:fill="auto"/>
            <w:vAlign w:val="center"/>
          </w:tcPr>
          <w:p w14:paraId="35EE5F0F">
            <w:pPr>
              <w:pStyle w:val="46"/>
              <w:spacing w:before="78" w:line="219" w:lineRule="auto"/>
              <w:jc w:val="center"/>
              <w:rPr>
                <w:rFonts w:hint="eastAsia" w:ascii="仿宋" w:hAnsi="仿宋" w:eastAsia="仿宋" w:cs="仿宋"/>
                <w:spacing w:val="-2"/>
                <w:kern w:val="2"/>
                <w:sz w:val="21"/>
                <w:szCs w:val="21"/>
                <w:lang w:val="en-US" w:eastAsia="en-US" w:bidi="ar-SA"/>
              </w:rPr>
            </w:pPr>
            <w:r>
              <w:rPr>
                <w:rFonts w:hint="eastAsia" w:ascii="仿宋" w:hAnsi="仿宋" w:eastAsia="仿宋" w:cs="仿宋"/>
                <w:spacing w:val="-2"/>
                <w:kern w:val="2"/>
                <w:sz w:val="21"/>
                <w:szCs w:val="21"/>
                <w:lang w:val="en-US" w:eastAsia="en-US" w:bidi="ar-SA"/>
              </w:rPr>
              <w:t>中标公示</w:t>
            </w:r>
          </w:p>
        </w:tc>
        <w:tc>
          <w:tcPr>
            <w:tcW w:w="6766" w:type="dxa"/>
            <w:shd w:val="clear" w:color="auto" w:fill="auto"/>
            <w:vAlign w:val="center"/>
          </w:tcPr>
          <w:p w14:paraId="016E13EA">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中标公示期1个工作日</w:t>
            </w:r>
          </w:p>
        </w:tc>
      </w:tr>
      <w:tr w14:paraId="2DFE4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89" w:type="dxa"/>
            <w:shd w:val="clear" w:color="auto" w:fill="auto"/>
            <w:vAlign w:val="center"/>
          </w:tcPr>
          <w:p w14:paraId="6154BFE0">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default"/>
                <w:color w:val="1F1F1F"/>
                <w:sz w:val="20"/>
                <w:szCs w:val="20"/>
                <w:lang w:val="en-US" w:eastAsia="zh-CN"/>
              </w:rPr>
            </w:pPr>
            <w:r>
              <w:rPr>
                <w:rFonts w:hint="eastAsia"/>
                <w:color w:val="1F1F1F"/>
                <w:sz w:val="20"/>
                <w:szCs w:val="20"/>
                <w:lang w:val="en-US" w:eastAsia="zh-CN"/>
              </w:rPr>
              <w:t>35</w:t>
            </w:r>
          </w:p>
        </w:tc>
        <w:tc>
          <w:tcPr>
            <w:tcW w:w="1626" w:type="dxa"/>
            <w:shd w:val="clear" w:color="auto" w:fill="auto"/>
            <w:vAlign w:val="center"/>
          </w:tcPr>
          <w:p w14:paraId="55126532">
            <w:pPr>
              <w:pStyle w:val="46"/>
              <w:spacing w:before="78" w:line="219" w:lineRule="auto"/>
              <w:jc w:val="center"/>
              <w:rPr>
                <w:rFonts w:ascii="仿宋" w:hAnsi="仿宋" w:eastAsia="仿宋" w:cs="仿宋"/>
                <w:kern w:val="2"/>
                <w:sz w:val="24"/>
                <w:szCs w:val="24"/>
                <w:lang w:val="en-US" w:eastAsia="en-US" w:bidi="ar-SA"/>
              </w:rPr>
            </w:pPr>
            <w:r>
              <w:rPr>
                <w:rFonts w:hint="eastAsia" w:ascii="仿宋" w:hAnsi="仿宋" w:eastAsia="仿宋" w:cs="仿宋"/>
                <w:spacing w:val="-2"/>
                <w:kern w:val="2"/>
                <w:sz w:val="21"/>
                <w:szCs w:val="21"/>
                <w:lang w:val="en-US" w:eastAsia="en-US" w:bidi="ar-SA"/>
              </w:rPr>
              <w:t>签订合同期限</w:t>
            </w:r>
          </w:p>
        </w:tc>
        <w:tc>
          <w:tcPr>
            <w:tcW w:w="6766" w:type="dxa"/>
            <w:shd w:val="clear" w:color="auto" w:fill="auto"/>
            <w:vAlign w:val="center"/>
          </w:tcPr>
          <w:p w14:paraId="42FB9A32">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采购人与成交供应商应当在成交通知书发出之日起30日内，按照采购文件确定的合同文本以及采购标的、规格型号、采购金额、采购数量、技术和服务要求等事项签订政府采购合同。</w:t>
            </w:r>
          </w:p>
        </w:tc>
      </w:tr>
      <w:tr w14:paraId="455BB6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89" w:type="dxa"/>
            <w:shd w:val="clear" w:color="auto" w:fill="auto"/>
            <w:vAlign w:val="center"/>
          </w:tcPr>
          <w:p w14:paraId="4A06E30B">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default"/>
                <w:color w:val="1F1F1F"/>
                <w:sz w:val="20"/>
                <w:szCs w:val="20"/>
                <w:lang w:val="en-US" w:eastAsia="zh-CN"/>
              </w:rPr>
            </w:pPr>
            <w:r>
              <w:rPr>
                <w:rFonts w:hint="eastAsia"/>
                <w:color w:val="1F1F1F"/>
                <w:sz w:val="20"/>
                <w:szCs w:val="20"/>
                <w:lang w:val="en-US" w:eastAsia="zh-CN"/>
              </w:rPr>
              <w:t>36</w:t>
            </w:r>
          </w:p>
        </w:tc>
        <w:tc>
          <w:tcPr>
            <w:tcW w:w="1626" w:type="dxa"/>
            <w:shd w:val="clear" w:color="auto" w:fill="auto"/>
            <w:vAlign w:val="center"/>
          </w:tcPr>
          <w:p w14:paraId="4F0F651B">
            <w:pPr>
              <w:pStyle w:val="46"/>
              <w:spacing w:before="78" w:line="219" w:lineRule="auto"/>
              <w:jc w:val="center"/>
              <w:rPr>
                <w:rFonts w:hint="eastAsia" w:ascii="仿宋" w:hAnsi="仿宋" w:eastAsia="仿宋" w:cs="仿宋"/>
                <w:spacing w:val="-2"/>
                <w:kern w:val="2"/>
                <w:sz w:val="21"/>
                <w:szCs w:val="21"/>
                <w:lang w:val="en-US" w:eastAsia="en-US" w:bidi="ar-SA"/>
              </w:rPr>
            </w:pPr>
            <w:r>
              <w:rPr>
                <w:rFonts w:hint="eastAsia" w:ascii="仿宋" w:hAnsi="仿宋" w:eastAsia="仿宋" w:cs="仿宋"/>
                <w:spacing w:val="-2"/>
                <w:kern w:val="2"/>
                <w:sz w:val="21"/>
                <w:szCs w:val="21"/>
                <w:lang w:val="en-US" w:eastAsia="en-US" w:bidi="ar-SA"/>
              </w:rPr>
              <w:t>代理服务费方式</w:t>
            </w:r>
          </w:p>
        </w:tc>
        <w:tc>
          <w:tcPr>
            <w:tcW w:w="6766" w:type="dxa"/>
            <w:shd w:val="clear" w:color="auto" w:fill="auto"/>
            <w:vAlign w:val="center"/>
          </w:tcPr>
          <w:p w14:paraId="5D98F43F">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left"/>
              <w:textAlignment w:val="baseline"/>
              <w:rPr>
                <w:rFonts w:hint="eastAsia" w:cs="仿宋"/>
                <w:spacing w:val="-2"/>
                <w:kern w:val="2"/>
                <w:sz w:val="21"/>
                <w:szCs w:val="21"/>
                <w:lang w:val="en-US" w:eastAsia="zh-CN" w:bidi="ar-SA"/>
              </w:rPr>
            </w:pPr>
            <w:r>
              <w:rPr>
                <w:rFonts w:hint="eastAsia" w:ascii="仿宋" w:hAnsi="仿宋" w:eastAsia="仿宋" w:cs="仿宋"/>
                <w:spacing w:val="-2"/>
                <w:kern w:val="2"/>
                <w:sz w:val="21"/>
                <w:szCs w:val="21"/>
                <w:lang w:val="en-US" w:eastAsia="en-US" w:bidi="ar-SA"/>
              </w:rPr>
              <w:t>代理服务费</w:t>
            </w:r>
            <w:r>
              <w:rPr>
                <w:rFonts w:hint="eastAsia" w:cs="仿宋"/>
                <w:spacing w:val="-2"/>
                <w:kern w:val="2"/>
                <w:sz w:val="21"/>
                <w:szCs w:val="21"/>
                <w:lang w:val="en-US" w:eastAsia="zh-CN" w:bidi="ar-SA"/>
              </w:rPr>
              <w:t>由中标企业支付；</w:t>
            </w:r>
          </w:p>
          <w:p w14:paraId="07FA075A">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left"/>
              <w:textAlignment w:val="baseline"/>
              <w:rPr>
                <w:rFonts w:hint="eastAsia" w:ascii="仿宋" w:hAnsi="仿宋" w:eastAsia="仿宋" w:cs="仿宋"/>
                <w:color w:val="1F1F1F"/>
                <w:spacing w:val="10"/>
                <w:kern w:val="2"/>
                <w:sz w:val="21"/>
                <w:szCs w:val="21"/>
                <w:lang w:val="en-US" w:eastAsia="en-US" w:bidi="ar-SA"/>
              </w:rPr>
            </w:pPr>
            <w:r>
              <w:rPr>
                <w:rFonts w:hint="eastAsia" w:cs="仿宋"/>
                <w:color w:val="1F1F1F"/>
                <w:spacing w:val="10"/>
                <w:kern w:val="2"/>
                <w:sz w:val="21"/>
                <w:szCs w:val="21"/>
                <w:lang w:val="en-US" w:eastAsia="zh-CN" w:bidi="ar-SA"/>
              </w:rPr>
              <w:t>以中标价</w:t>
            </w:r>
            <w:r>
              <w:rPr>
                <w:rFonts w:hint="eastAsia" w:ascii="仿宋" w:hAnsi="仿宋" w:eastAsia="仿宋" w:cs="仿宋"/>
                <w:color w:val="1F1F1F"/>
                <w:spacing w:val="10"/>
                <w:kern w:val="2"/>
                <w:sz w:val="21"/>
                <w:szCs w:val="21"/>
                <w:lang w:val="en-US" w:eastAsia="en-US" w:bidi="ar-SA"/>
              </w:rPr>
              <w:t>参照（100万以下按1.</w:t>
            </w:r>
            <w:r>
              <w:rPr>
                <w:rFonts w:hint="eastAsia" w:cs="仿宋"/>
                <w:color w:val="1F1F1F"/>
                <w:spacing w:val="10"/>
                <w:kern w:val="2"/>
                <w:sz w:val="21"/>
                <w:szCs w:val="21"/>
                <w:lang w:val="en-US" w:eastAsia="zh-CN" w:bidi="ar-SA"/>
              </w:rPr>
              <w:t>5</w:t>
            </w:r>
            <w:r>
              <w:rPr>
                <w:rFonts w:hint="eastAsia" w:ascii="仿宋" w:hAnsi="仿宋" w:eastAsia="仿宋" w:cs="仿宋"/>
                <w:color w:val="1F1F1F"/>
                <w:spacing w:val="10"/>
                <w:kern w:val="2"/>
                <w:sz w:val="21"/>
                <w:szCs w:val="21"/>
                <w:lang w:val="en-US" w:eastAsia="en-US" w:bidi="ar-SA"/>
              </w:rPr>
              <w:t>%计取，按差额定率累进法计算）。</w:t>
            </w:r>
          </w:p>
        </w:tc>
      </w:tr>
      <w:tr w14:paraId="5222A3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89" w:type="dxa"/>
            <w:shd w:val="clear" w:color="auto" w:fill="auto"/>
            <w:vAlign w:val="center"/>
          </w:tcPr>
          <w:p w14:paraId="77A70C65">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default"/>
                <w:color w:val="1F1F1F"/>
                <w:sz w:val="20"/>
                <w:szCs w:val="20"/>
                <w:lang w:val="en-US" w:eastAsia="zh-CN"/>
              </w:rPr>
            </w:pPr>
            <w:r>
              <w:rPr>
                <w:rFonts w:hint="eastAsia"/>
                <w:color w:val="1F1F1F"/>
                <w:sz w:val="20"/>
                <w:szCs w:val="20"/>
                <w:lang w:val="en-US" w:eastAsia="zh-CN"/>
              </w:rPr>
              <w:t>37</w:t>
            </w:r>
          </w:p>
        </w:tc>
        <w:tc>
          <w:tcPr>
            <w:tcW w:w="1626" w:type="dxa"/>
            <w:shd w:val="clear" w:color="auto" w:fill="auto"/>
            <w:vAlign w:val="center"/>
          </w:tcPr>
          <w:p w14:paraId="06D9D337">
            <w:pPr>
              <w:pStyle w:val="46"/>
              <w:spacing w:before="78" w:line="219" w:lineRule="auto"/>
              <w:jc w:val="center"/>
              <w:rPr>
                <w:rFonts w:hint="eastAsia" w:ascii="仿宋" w:hAnsi="仿宋" w:eastAsia="仿宋" w:cs="仿宋"/>
                <w:spacing w:val="-2"/>
                <w:kern w:val="2"/>
                <w:sz w:val="21"/>
                <w:szCs w:val="21"/>
                <w:lang w:val="en-US" w:eastAsia="en-US" w:bidi="ar-SA"/>
              </w:rPr>
            </w:pPr>
            <w:r>
              <w:rPr>
                <w:rFonts w:hint="eastAsia" w:ascii="仿宋" w:hAnsi="仿宋" w:eastAsia="仿宋" w:cs="仿宋"/>
                <w:spacing w:val="-2"/>
                <w:kern w:val="2"/>
                <w:sz w:val="21"/>
                <w:szCs w:val="21"/>
                <w:lang w:val="en-US" w:eastAsia="en-US" w:bidi="ar-SA"/>
              </w:rPr>
              <w:t>履约保证金</w:t>
            </w:r>
          </w:p>
        </w:tc>
        <w:tc>
          <w:tcPr>
            <w:tcW w:w="6766" w:type="dxa"/>
            <w:shd w:val="clear" w:color="auto" w:fill="auto"/>
            <w:vAlign w:val="center"/>
          </w:tcPr>
          <w:p w14:paraId="20AE216C">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left"/>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1.金额：</w:t>
            </w:r>
          </w:p>
          <w:p w14:paraId="778CA8D2">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left"/>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□免收</w:t>
            </w:r>
          </w:p>
          <w:p w14:paraId="44B94A2E">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left"/>
              <w:textAlignment w:val="baseline"/>
              <w:rPr>
                <w:rFonts w:hint="eastAsia" w:ascii="仿宋" w:hAnsi="仿宋" w:eastAsia="仿宋" w:cs="仿宋"/>
                <w:color w:val="1F1F1F"/>
                <w:spacing w:val="10"/>
                <w:kern w:val="2"/>
                <w:sz w:val="21"/>
                <w:szCs w:val="21"/>
                <w:highlight w:val="none"/>
                <w:lang w:val="en-US" w:eastAsia="en-US" w:bidi="ar-SA"/>
              </w:rPr>
            </w:pPr>
            <w:r>
              <w:rPr>
                <w:rFonts w:hint="eastAsia" w:ascii="仿宋" w:hAnsi="仿宋" w:eastAsia="仿宋" w:cs="仿宋"/>
                <w:color w:val="1F1F1F"/>
                <w:spacing w:val="10"/>
                <w:kern w:val="2"/>
                <w:sz w:val="21"/>
                <w:szCs w:val="21"/>
                <w:lang w:val="en-US" w:eastAsia="en-US" w:bidi="ar-SA"/>
              </w:rPr>
              <w:t>☑</w:t>
            </w:r>
            <w:r>
              <w:rPr>
                <w:rFonts w:hint="eastAsia" w:ascii="仿宋" w:hAnsi="仿宋" w:eastAsia="仿宋" w:cs="仿宋"/>
                <w:color w:val="1F1F1F"/>
                <w:spacing w:val="10"/>
                <w:kern w:val="2"/>
                <w:sz w:val="21"/>
                <w:szCs w:val="21"/>
                <w:highlight w:val="none"/>
                <w:lang w:val="en-US" w:eastAsia="en-US" w:bidi="ar-SA"/>
              </w:rPr>
              <w:t>合同价的</w:t>
            </w:r>
            <w:r>
              <w:rPr>
                <w:rFonts w:hint="eastAsia" w:cs="仿宋"/>
                <w:color w:val="1F1F1F"/>
                <w:spacing w:val="10"/>
                <w:kern w:val="2"/>
                <w:sz w:val="21"/>
                <w:szCs w:val="21"/>
                <w:highlight w:val="none"/>
                <w:lang w:val="en-US" w:eastAsia="zh-CN" w:bidi="ar-SA"/>
              </w:rPr>
              <w:t>5</w:t>
            </w:r>
            <w:r>
              <w:rPr>
                <w:rFonts w:hint="eastAsia" w:ascii="仿宋" w:hAnsi="仿宋" w:eastAsia="仿宋" w:cs="仿宋"/>
                <w:color w:val="1F1F1F"/>
                <w:spacing w:val="10"/>
                <w:kern w:val="2"/>
                <w:sz w:val="21"/>
                <w:szCs w:val="21"/>
                <w:highlight w:val="none"/>
                <w:lang w:val="en-US" w:eastAsia="en-US" w:bidi="ar-SA"/>
              </w:rPr>
              <w:t>%</w:t>
            </w:r>
          </w:p>
          <w:p w14:paraId="3CB48D8E">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left"/>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□定额收取：人民币元</w:t>
            </w:r>
          </w:p>
          <w:p w14:paraId="731E3DEF">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left"/>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2.支付方式：</w:t>
            </w:r>
          </w:p>
          <w:p w14:paraId="588190D4">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left"/>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供应商可自主选择以支票、汇票、本票、电汇、转账、网银、保函等非现金形式缴纳或提交履约保证金。</w:t>
            </w:r>
          </w:p>
          <w:p w14:paraId="7833E4A8">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left"/>
              <w:textAlignment w:val="baseline"/>
              <w:rPr>
                <w:rFonts w:hint="eastAsia" w:ascii="仿宋" w:hAnsi="仿宋" w:eastAsia="仿宋" w:cs="仿宋"/>
                <w:color w:val="1F1F1F"/>
                <w:spacing w:val="10"/>
                <w:kern w:val="2"/>
                <w:sz w:val="21"/>
                <w:szCs w:val="21"/>
                <w:highlight w:val="none"/>
                <w:lang w:val="en-US" w:eastAsia="en-US" w:bidi="ar-SA"/>
              </w:rPr>
            </w:pPr>
            <w:r>
              <w:rPr>
                <w:rFonts w:hint="eastAsia" w:ascii="仿宋" w:hAnsi="仿宋" w:eastAsia="仿宋" w:cs="仿宋"/>
                <w:color w:val="1F1F1F"/>
                <w:spacing w:val="10"/>
                <w:kern w:val="2"/>
                <w:sz w:val="21"/>
                <w:szCs w:val="21"/>
                <w:highlight w:val="none"/>
                <w:lang w:val="en-US" w:eastAsia="en-US" w:bidi="ar-SA"/>
              </w:rPr>
              <w:t>3.收取单位：策勒县文化体育广播电视和旅游局</w:t>
            </w:r>
          </w:p>
          <w:p w14:paraId="52215983">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left"/>
              <w:textAlignment w:val="baseline"/>
              <w:rPr>
                <w:rFonts w:hint="eastAsia" w:ascii="仿宋" w:hAnsi="仿宋" w:eastAsia="仿宋" w:cs="仿宋"/>
                <w:color w:val="1F1F1F"/>
                <w:spacing w:val="10"/>
                <w:kern w:val="2"/>
                <w:sz w:val="21"/>
                <w:szCs w:val="21"/>
                <w:lang w:val="en-US" w:eastAsia="en-US" w:bidi="ar-SA"/>
              </w:rPr>
            </w:pPr>
            <w:r>
              <w:rPr>
                <w:rFonts w:hint="eastAsia" w:cs="仿宋"/>
                <w:color w:val="1F1F1F"/>
                <w:spacing w:val="10"/>
                <w:kern w:val="2"/>
                <w:sz w:val="21"/>
                <w:szCs w:val="21"/>
                <w:lang w:val="en-US" w:eastAsia="zh-CN" w:bidi="ar-SA"/>
              </w:rPr>
              <w:t>4</w:t>
            </w:r>
            <w:r>
              <w:rPr>
                <w:rFonts w:hint="eastAsia" w:ascii="仿宋" w:hAnsi="仿宋" w:eastAsia="仿宋" w:cs="仿宋"/>
                <w:color w:val="1F1F1F"/>
                <w:spacing w:val="10"/>
                <w:kern w:val="2"/>
                <w:sz w:val="21"/>
                <w:szCs w:val="21"/>
                <w:lang w:val="en-US" w:eastAsia="en-US" w:bidi="ar-SA"/>
              </w:rPr>
              <w:t>.退还时间：履约保证金（无息）将在乙方履行完成合同所有义务后凭乙方的收款收据在五天内退返乙方。</w:t>
            </w:r>
          </w:p>
          <w:p w14:paraId="2588A96A">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left"/>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注意事项：</w:t>
            </w:r>
          </w:p>
          <w:p w14:paraId="3C7CADF7">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left"/>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1.以上各类机构出具的以担保函、保证保险承担责任的方式均须满足无条件见索即付条件。</w:t>
            </w:r>
          </w:p>
          <w:p w14:paraId="44A4FC8F">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left"/>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2.以担保函、保证保险形式缴纳履约保证金的，受益人和收取单位须为采购人。</w:t>
            </w:r>
          </w:p>
        </w:tc>
      </w:tr>
      <w:tr w14:paraId="64D30D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89" w:type="dxa"/>
            <w:shd w:val="clear" w:color="auto" w:fill="auto"/>
            <w:vAlign w:val="center"/>
          </w:tcPr>
          <w:p w14:paraId="70069BEE">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default"/>
                <w:color w:val="1F1F1F"/>
                <w:sz w:val="20"/>
                <w:szCs w:val="20"/>
                <w:lang w:val="en-US" w:eastAsia="zh-CN"/>
              </w:rPr>
            </w:pPr>
            <w:r>
              <w:rPr>
                <w:rFonts w:hint="eastAsia"/>
                <w:color w:val="1F1F1F"/>
                <w:sz w:val="20"/>
                <w:szCs w:val="20"/>
                <w:lang w:val="en-US" w:eastAsia="zh-CN"/>
              </w:rPr>
              <w:t>38</w:t>
            </w:r>
          </w:p>
        </w:tc>
        <w:tc>
          <w:tcPr>
            <w:tcW w:w="1626" w:type="dxa"/>
            <w:shd w:val="clear" w:color="auto" w:fill="auto"/>
            <w:vAlign w:val="center"/>
          </w:tcPr>
          <w:p w14:paraId="6B1B876A">
            <w:pPr>
              <w:pStyle w:val="46"/>
              <w:spacing w:before="78" w:line="242" w:lineRule="auto"/>
              <w:ind w:right="135" w:rightChars="0"/>
              <w:jc w:val="center"/>
              <w:rPr>
                <w:rFonts w:hint="eastAsia" w:ascii="仿宋" w:hAnsi="仿宋" w:eastAsia="仿宋" w:cs="仿宋"/>
                <w:kern w:val="2"/>
                <w:sz w:val="24"/>
                <w:szCs w:val="24"/>
                <w:lang w:val="en-US" w:eastAsia="en-US" w:bidi="ar-SA"/>
              </w:rPr>
            </w:pPr>
            <w:r>
              <w:rPr>
                <w:rFonts w:hint="eastAsia" w:ascii="仿宋" w:hAnsi="仿宋" w:eastAsia="仿宋" w:cs="仿宋"/>
                <w:spacing w:val="-2"/>
                <w:kern w:val="2"/>
                <w:sz w:val="21"/>
                <w:szCs w:val="21"/>
                <w:lang w:val="en-US" w:eastAsia="en-US" w:bidi="ar-SA"/>
              </w:rPr>
              <w:t>不予退还</w:t>
            </w:r>
            <w:r>
              <w:rPr>
                <w:rFonts w:hint="eastAsia" w:cs="仿宋"/>
                <w:spacing w:val="-2"/>
                <w:kern w:val="2"/>
                <w:sz w:val="21"/>
                <w:szCs w:val="21"/>
                <w:lang w:val="en-US" w:eastAsia="zh-CN" w:bidi="ar-SA"/>
              </w:rPr>
              <w:t>磋商</w:t>
            </w:r>
            <w:r>
              <w:rPr>
                <w:rFonts w:hint="eastAsia" w:ascii="仿宋" w:hAnsi="仿宋" w:eastAsia="仿宋" w:cs="仿宋"/>
                <w:spacing w:val="-2"/>
                <w:kern w:val="2"/>
                <w:sz w:val="21"/>
                <w:szCs w:val="21"/>
                <w:lang w:val="en-US" w:eastAsia="en-US" w:bidi="ar-SA"/>
              </w:rPr>
              <w:t>保证金的情形</w:t>
            </w:r>
          </w:p>
        </w:tc>
        <w:tc>
          <w:tcPr>
            <w:tcW w:w="6766" w:type="dxa"/>
            <w:shd w:val="clear" w:color="auto" w:fill="auto"/>
            <w:vAlign w:val="center"/>
          </w:tcPr>
          <w:p w14:paraId="2B1A9BFC">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left"/>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有下列情形之一的，</w:t>
            </w:r>
            <w:r>
              <w:rPr>
                <w:rFonts w:hint="eastAsia" w:ascii="仿宋" w:hAnsi="仿宋" w:eastAsia="仿宋" w:cs="仿宋"/>
                <w:color w:val="1F1F1F"/>
                <w:spacing w:val="10"/>
                <w:kern w:val="2"/>
                <w:sz w:val="21"/>
                <w:szCs w:val="21"/>
                <w:lang w:val="en-US" w:eastAsia="zh-CN" w:bidi="ar-SA"/>
              </w:rPr>
              <w:t>磋商</w:t>
            </w:r>
            <w:r>
              <w:rPr>
                <w:rFonts w:hint="eastAsia" w:ascii="仿宋" w:hAnsi="仿宋" w:eastAsia="仿宋" w:cs="仿宋"/>
                <w:color w:val="1F1F1F"/>
                <w:spacing w:val="10"/>
                <w:kern w:val="2"/>
                <w:sz w:val="21"/>
                <w:szCs w:val="21"/>
                <w:lang w:val="en-US" w:eastAsia="en-US" w:bidi="ar-SA"/>
              </w:rPr>
              <w:t>保证金不予退还：</w:t>
            </w:r>
          </w:p>
          <w:p w14:paraId="16431EAF">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left"/>
              <w:textAlignment w:val="baseline"/>
              <w:rPr>
                <w:rFonts w:hint="eastAsia" w:ascii="仿宋" w:hAnsi="仿宋" w:eastAsia="仿宋" w:cs="仿宋"/>
                <w:color w:val="1F1F1F"/>
                <w:spacing w:val="10"/>
                <w:kern w:val="2"/>
                <w:sz w:val="21"/>
                <w:szCs w:val="21"/>
                <w:lang w:val="en-US" w:eastAsia="zh-CN" w:bidi="ar-SA"/>
              </w:rPr>
            </w:pPr>
            <w:r>
              <w:rPr>
                <w:rFonts w:hint="eastAsia" w:ascii="仿宋" w:hAnsi="仿宋" w:eastAsia="仿宋" w:cs="仿宋"/>
                <w:color w:val="1F1F1F"/>
                <w:spacing w:val="10"/>
                <w:kern w:val="2"/>
                <w:sz w:val="21"/>
                <w:szCs w:val="21"/>
                <w:lang w:val="en-US" w:eastAsia="zh-CN" w:bidi="ar-SA"/>
              </w:rPr>
              <w:t>（一）供应商在提交响应文件截止时间后撤回响应文件的；</w:t>
            </w:r>
          </w:p>
          <w:p w14:paraId="01146F3D">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left"/>
              <w:textAlignment w:val="baseline"/>
              <w:rPr>
                <w:rFonts w:hint="eastAsia" w:ascii="仿宋" w:hAnsi="仿宋" w:eastAsia="仿宋" w:cs="仿宋"/>
                <w:color w:val="1F1F1F"/>
                <w:spacing w:val="10"/>
                <w:kern w:val="2"/>
                <w:sz w:val="21"/>
                <w:szCs w:val="21"/>
                <w:lang w:val="en-US" w:eastAsia="zh-CN" w:bidi="ar-SA"/>
              </w:rPr>
            </w:pPr>
            <w:r>
              <w:rPr>
                <w:rFonts w:hint="eastAsia" w:ascii="仿宋" w:hAnsi="仿宋" w:eastAsia="仿宋" w:cs="仿宋"/>
                <w:color w:val="1F1F1F"/>
                <w:spacing w:val="10"/>
                <w:kern w:val="2"/>
                <w:sz w:val="21"/>
                <w:szCs w:val="21"/>
                <w:lang w:val="en-US" w:eastAsia="zh-CN" w:bidi="ar-SA"/>
              </w:rPr>
              <w:t>（二）供应商在响应文件中提供虚假材料的；</w:t>
            </w:r>
          </w:p>
          <w:p w14:paraId="540A09BE">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left"/>
              <w:textAlignment w:val="baseline"/>
              <w:rPr>
                <w:rFonts w:hint="eastAsia" w:ascii="仿宋" w:hAnsi="仿宋" w:eastAsia="仿宋" w:cs="仿宋"/>
                <w:color w:val="1F1F1F"/>
                <w:spacing w:val="10"/>
                <w:kern w:val="2"/>
                <w:sz w:val="21"/>
                <w:szCs w:val="21"/>
                <w:lang w:val="en-US" w:eastAsia="zh-CN" w:bidi="ar-SA"/>
              </w:rPr>
            </w:pPr>
            <w:r>
              <w:rPr>
                <w:rFonts w:hint="eastAsia" w:ascii="仿宋" w:hAnsi="仿宋" w:eastAsia="仿宋" w:cs="仿宋"/>
                <w:color w:val="1F1F1F"/>
                <w:spacing w:val="10"/>
                <w:kern w:val="2"/>
                <w:sz w:val="21"/>
                <w:szCs w:val="21"/>
                <w:lang w:val="en-US" w:eastAsia="zh-CN" w:bidi="ar-SA"/>
              </w:rPr>
              <w:t>（三）除因不可抗力或磋商文件认可的情形以外，成交供应商不与采购人签订合同的；</w:t>
            </w:r>
          </w:p>
          <w:p w14:paraId="483198D5">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left"/>
              <w:textAlignment w:val="baseline"/>
              <w:rPr>
                <w:rFonts w:hint="eastAsia" w:ascii="仿宋" w:hAnsi="仿宋" w:eastAsia="仿宋" w:cs="仿宋"/>
                <w:color w:val="1F1F1F"/>
                <w:spacing w:val="10"/>
                <w:kern w:val="2"/>
                <w:sz w:val="21"/>
                <w:szCs w:val="21"/>
                <w:lang w:val="en-US" w:eastAsia="zh-CN" w:bidi="ar-SA"/>
              </w:rPr>
            </w:pPr>
            <w:r>
              <w:rPr>
                <w:rFonts w:hint="eastAsia" w:ascii="仿宋" w:hAnsi="仿宋" w:eastAsia="仿宋" w:cs="仿宋"/>
                <w:color w:val="1F1F1F"/>
                <w:spacing w:val="10"/>
                <w:kern w:val="2"/>
                <w:sz w:val="21"/>
                <w:szCs w:val="21"/>
                <w:lang w:val="en-US" w:eastAsia="zh-CN" w:bidi="ar-SA"/>
              </w:rPr>
              <w:t>（四）供应商与采购人、其他供应商或者采购代理机构恶意串通的；</w:t>
            </w:r>
          </w:p>
          <w:p w14:paraId="30F253B3">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left"/>
              <w:textAlignment w:val="baseline"/>
              <w:rPr>
                <w:rFonts w:hint="eastAsia" w:ascii="仿宋" w:hAnsi="仿宋" w:eastAsia="仿宋" w:cs="仿宋"/>
                <w:color w:val="1F1F1F"/>
                <w:spacing w:val="10"/>
                <w:kern w:val="2"/>
                <w:sz w:val="21"/>
                <w:szCs w:val="21"/>
                <w:lang w:val="en-US" w:eastAsia="zh-CN" w:bidi="ar-SA"/>
              </w:rPr>
            </w:pPr>
            <w:r>
              <w:rPr>
                <w:rFonts w:hint="eastAsia" w:ascii="仿宋" w:hAnsi="仿宋" w:eastAsia="仿宋" w:cs="仿宋"/>
                <w:color w:val="1F1F1F"/>
                <w:spacing w:val="10"/>
                <w:kern w:val="2"/>
                <w:sz w:val="21"/>
                <w:szCs w:val="21"/>
                <w:lang w:val="en-US" w:eastAsia="zh-CN" w:bidi="ar-SA"/>
              </w:rPr>
              <w:t>（五）磋商文件规定的其他情形。</w:t>
            </w:r>
          </w:p>
        </w:tc>
      </w:tr>
      <w:tr w14:paraId="438A9B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789" w:type="dxa"/>
            <w:shd w:val="clear" w:color="auto" w:fill="auto"/>
            <w:vAlign w:val="center"/>
          </w:tcPr>
          <w:p w14:paraId="23501188">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default"/>
                <w:color w:val="1F1F1F"/>
                <w:sz w:val="20"/>
                <w:szCs w:val="20"/>
                <w:lang w:val="en-US" w:eastAsia="zh-CN"/>
              </w:rPr>
            </w:pPr>
            <w:r>
              <w:rPr>
                <w:rFonts w:hint="eastAsia"/>
                <w:color w:val="1F1F1F"/>
                <w:sz w:val="20"/>
                <w:szCs w:val="20"/>
                <w:lang w:val="en-US" w:eastAsia="zh-CN"/>
              </w:rPr>
              <w:t>39</w:t>
            </w:r>
          </w:p>
        </w:tc>
        <w:tc>
          <w:tcPr>
            <w:tcW w:w="1626" w:type="dxa"/>
            <w:shd w:val="clear" w:color="auto" w:fill="auto"/>
            <w:vAlign w:val="center"/>
          </w:tcPr>
          <w:p w14:paraId="0E38C3D2">
            <w:pPr>
              <w:pStyle w:val="46"/>
              <w:spacing w:before="78" w:line="219" w:lineRule="auto"/>
              <w:jc w:val="center"/>
              <w:rPr>
                <w:rFonts w:hint="eastAsia" w:ascii="仿宋" w:hAnsi="仿宋" w:eastAsia="仿宋" w:cs="仿宋"/>
                <w:spacing w:val="-2"/>
                <w:kern w:val="2"/>
                <w:sz w:val="21"/>
                <w:szCs w:val="21"/>
                <w:lang w:val="en-US" w:eastAsia="en-US" w:bidi="ar-SA"/>
              </w:rPr>
            </w:pPr>
            <w:r>
              <w:rPr>
                <w:rFonts w:hint="eastAsia" w:ascii="仿宋" w:hAnsi="仿宋" w:eastAsia="仿宋" w:cs="仿宋"/>
                <w:spacing w:val="-2"/>
                <w:kern w:val="2"/>
                <w:sz w:val="21"/>
                <w:szCs w:val="21"/>
                <w:lang w:val="en-US" w:eastAsia="en-US" w:bidi="ar-SA"/>
              </w:rPr>
              <w:t>采购项目需要落实的政府采购政策</w:t>
            </w:r>
          </w:p>
        </w:tc>
        <w:tc>
          <w:tcPr>
            <w:tcW w:w="6766" w:type="dxa"/>
            <w:shd w:val="clear" w:color="auto" w:fill="auto"/>
            <w:vAlign w:val="center"/>
          </w:tcPr>
          <w:p w14:paraId="76B428BA">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1、本项目专门面向中小微企业采购。</w:t>
            </w:r>
          </w:p>
          <w:p w14:paraId="6BB04E7F">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2、在政府采购活动中，JY企业视同小型、微型企业，享受预留份额、评审中价格扣除等政府采购促进中小企业发展的政府采购政策。向JY企业采购的金额，计入面向中小企业采购的统计数据。</w:t>
            </w:r>
          </w:p>
          <w:p w14:paraId="3ED4CCCE">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3、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9CB06CD">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注：供应商应当对《中小企业声明函》、JY企业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r>
      <w:tr w14:paraId="39D15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6" w:hRule="atLeast"/>
          <w:jc w:val="center"/>
        </w:trPr>
        <w:tc>
          <w:tcPr>
            <w:tcW w:w="789" w:type="dxa"/>
            <w:shd w:val="clear" w:color="auto" w:fill="auto"/>
            <w:vAlign w:val="center"/>
          </w:tcPr>
          <w:p w14:paraId="2F5C3252">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default"/>
                <w:color w:val="1F1F1F"/>
                <w:sz w:val="20"/>
                <w:szCs w:val="20"/>
                <w:lang w:val="en-US" w:eastAsia="zh-CN"/>
              </w:rPr>
            </w:pPr>
            <w:r>
              <w:rPr>
                <w:rFonts w:hint="eastAsia"/>
                <w:color w:val="1F1F1F"/>
                <w:sz w:val="20"/>
                <w:szCs w:val="20"/>
                <w:lang w:val="en-US" w:eastAsia="zh-CN"/>
              </w:rPr>
              <w:t>40</w:t>
            </w:r>
          </w:p>
        </w:tc>
        <w:tc>
          <w:tcPr>
            <w:tcW w:w="1626" w:type="dxa"/>
            <w:shd w:val="clear" w:color="auto" w:fill="auto"/>
            <w:vAlign w:val="center"/>
          </w:tcPr>
          <w:p w14:paraId="4CD20822">
            <w:pPr>
              <w:pStyle w:val="46"/>
              <w:spacing w:before="78" w:line="219" w:lineRule="auto"/>
              <w:jc w:val="center"/>
              <w:rPr>
                <w:rFonts w:hint="eastAsia" w:ascii="仿宋" w:hAnsi="仿宋" w:eastAsia="仿宋" w:cs="仿宋"/>
                <w:spacing w:val="-2"/>
                <w:kern w:val="2"/>
                <w:sz w:val="21"/>
                <w:szCs w:val="21"/>
                <w:highlight w:val="none"/>
                <w:lang w:val="en-US" w:eastAsia="en-US" w:bidi="ar-SA"/>
              </w:rPr>
            </w:pPr>
            <w:r>
              <w:rPr>
                <w:rFonts w:hint="eastAsia" w:ascii="仿宋" w:hAnsi="仿宋" w:eastAsia="仿宋" w:cs="仿宋"/>
                <w:spacing w:val="-2"/>
                <w:kern w:val="2"/>
                <w:sz w:val="21"/>
                <w:szCs w:val="21"/>
                <w:highlight w:val="none"/>
                <w:lang w:val="en-US" w:eastAsia="en-US" w:bidi="ar-SA"/>
              </w:rPr>
              <w:t>付款方式</w:t>
            </w:r>
          </w:p>
        </w:tc>
        <w:tc>
          <w:tcPr>
            <w:tcW w:w="6766" w:type="dxa"/>
            <w:shd w:val="clear" w:color="auto" w:fill="auto"/>
            <w:vAlign w:val="center"/>
          </w:tcPr>
          <w:p w14:paraId="66E4CF24">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highlight w:val="none"/>
                <w:lang w:val="en-US" w:eastAsia="en-US" w:bidi="ar-SA"/>
              </w:rPr>
            </w:pPr>
            <w:r>
              <w:rPr>
                <w:rFonts w:hint="eastAsia" w:cs="仿宋"/>
                <w:color w:val="1F1F1F"/>
                <w:spacing w:val="10"/>
                <w:kern w:val="2"/>
                <w:sz w:val="21"/>
                <w:szCs w:val="21"/>
                <w:highlight w:val="none"/>
                <w:lang w:val="en-US" w:eastAsia="zh-CN" w:bidi="ar-SA"/>
              </w:rPr>
              <w:t>1、</w:t>
            </w:r>
            <w:r>
              <w:rPr>
                <w:rFonts w:hint="eastAsia" w:ascii="仿宋" w:hAnsi="仿宋" w:eastAsia="仿宋" w:cs="仿宋"/>
                <w:color w:val="1F1F1F"/>
                <w:spacing w:val="10"/>
                <w:kern w:val="2"/>
                <w:sz w:val="21"/>
                <w:szCs w:val="21"/>
                <w:highlight w:val="none"/>
                <w:lang w:val="en-US" w:eastAsia="zh-CN" w:bidi="ar-SA"/>
              </w:rPr>
              <w:t>采购合同签订后支付合同价的30%；</w:t>
            </w:r>
          </w:p>
          <w:p w14:paraId="02EBA0F0">
            <w:pPr>
              <w:pStyle w:val="46"/>
              <w:keepNext w:val="0"/>
              <w:keepLines/>
              <w:pageBreakBefore w:val="0"/>
              <w:widowControl w:val="0"/>
              <w:kinsoku/>
              <w:wordWrap w:val="0"/>
              <w:overflowPunct/>
              <w:topLinePunct/>
              <w:autoSpaceDE w:val="0"/>
              <w:autoSpaceDN w:val="0"/>
              <w:bidi w:val="0"/>
              <w:adjustRightInd w:val="0"/>
              <w:snapToGrid w:val="0"/>
              <w:spacing w:before="36" w:line="286" w:lineRule="auto"/>
              <w:jc w:val="both"/>
              <w:textAlignment w:val="baseline"/>
              <w:rPr>
                <w:rFonts w:hint="eastAsia" w:ascii="仿宋" w:hAnsi="仿宋" w:eastAsia="仿宋" w:cs="仿宋"/>
                <w:color w:val="1F1F1F"/>
                <w:spacing w:val="10"/>
                <w:kern w:val="2"/>
                <w:sz w:val="21"/>
                <w:szCs w:val="21"/>
                <w:highlight w:val="none"/>
                <w:lang w:val="en-US" w:eastAsia="en-US" w:bidi="ar-SA"/>
              </w:rPr>
            </w:pPr>
            <w:r>
              <w:rPr>
                <w:rFonts w:hint="eastAsia" w:cs="仿宋"/>
                <w:color w:val="1F1F1F"/>
                <w:spacing w:val="10"/>
                <w:kern w:val="2"/>
                <w:sz w:val="21"/>
                <w:szCs w:val="21"/>
                <w:highlight w:val="none"/>
                <w:lang w:val="en-US" w:eastAsia="zh-CN" w:bidi="ar-SA"/>
              </w:rPr>
              <w:t>2、提交完整的、符合合同约定格式要求的审计成果，并经甲方书面确认</w:t>
            </w:r>
            <w:r>
              <w:rPr>
                <w:rFonts w:hint="eastAsia" w:ascii="仿宋" w:hAnsi="仿宋" w:eastAsia="仿宋" w:cs="仿宋"/>
                <w:color w:val="1F1F1F"/>
                <w:spacing w:val="10"/>
                <w:kern w:val="2"/>
                <w:sz w:val="21"/>
                <w:szCs w:val="21"/>
                <w:highlight w:val="none"/>
                <w:lang w:val="en-US" w:eastAsia="zh-CN" w:bidi="ar-SA"/>
              </w:rPr>
              <w:t>后支付合同价的</w:t>
            </w:r>
            <w:r>
              <w:rPr>
                <w:rFonts w:hint="eastAsia" w:cs="仿宋"/>
                <w:color w:val="1F1F1F"/>
                <w:spacing w:val="10"/>
                <w:kern w:val="2"/>
                <w:sz w:val="21"/>
                <w:szCs w:val="21"/>
                <w:highlight w:val="none"/>
                <w:lang w:val="en-US" w:eastAsia="zh-CN" w:bidi="ar-SA"/>
              </w:rPr>
              <w:t>40</w:t>
            </w:r>
            <w:r>
              <w:rPr>
                <w:rFonts w:hint="eastAsia" w:ascii="仿宋" w:hAnsi="仿宋" w:eastAsia="仿宋" w:cs="仿宋"/>
                <w:color w:val="1F1F1F"/>
                <w:spacing w:val="10"/>
                <w:kern w:val="2"/>
                <w:sz w:val="21"/>
                <w:szCs w:val="21"/>
                <w:highlight w:val="none"/>
                <w:lang w:val="en-US" w:eastAsia="zh-CN" w:bidi="ar-SA"/>
              </w:rPr>
              <w:t>%；</w:t>
            </w:r>
          </w:p>
          <w:p w14:paraId="1BD5367C">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highlight w:val="none"/>
                <w:lang w:val="en-US" w:eastAsia="en-US" w:bidi="ar-SA"/>
              </w:rPr>
            </w:pPr>
            <w:r>
              <w:rPr>
                <w:rFonts w:hint="eastAsia" w:cs="仿宋"/>
                <w:color w:val="1F1F1F"/>
                <w:spacing w:val="10"/>
                <w:kern w:val="2"/>
                <w:sz w:val="21"/>
                <w:szCs w:val="21"/>
                <w:highlight w:val="none"/>
                <w:lang w:val="en-US" w:eastAsia="zh-CN" w:bidi="ar-SA"/>
              </w:rPr>
              <w:t>3、工程</w:t>
            </w:r>
            <w:r>
              <w:rPr>
                <w:rFonts w:hint="eastAsia" w:ascii="仿宋" w:hAnsi="仿宋" w:eastAsia="仿宋" w:cs="仿宋"/>
                <w:color w:val="1F1F1F"/>
                <w:spacing w:val="10"/>
                <w:kern w:val="2"/>
                <w:sz w:val="21"/>
                <w:szCs w:val="21"/>
                <w:highlight w:val="none"/>
                <w:lang w:val="en-US" w:eastAsia="zh-CN" w:bidi="ar-SA"/>
              </w:rPr>
              <w:t>验收结束后支付合同价的</w:t>
            </w:r>
            <w:r>
              <w:rPr>
                <w:rFonts w:hint="eastAsia" w:cs="仿宋"/>
                <w:color w:val="1F1F1F"/>
                <w:spacing w:val="10"/>
                <w:kern w:val="2"/>
                <w:sz w:val="21"/>
                <w:szCs w:val="21"/>
                <w:highlight w:val="none"/>
                <w:lang w:val="en-US" w:eastAsia="zh-CN" w:bidi="ar-SA"/>
              </w:rPr>
              <w:t>30</w:t>
            </w:r>
            <w:r>
              <w:rPr>
                <w:rFonts w:hint="eastAsia" w:ascii="仿宋" w:hAnsi="仿宋" w:eastAsia="仿宋" w:cs="仿宋"/>
                <w:color w:val="1F1F1F"/>
                <w:spacing w:val="10"/>
                <w:kern w:val="2"/>
                <w:sz w:val="21"/>
                <w:szCs w:val="21"/>
                <w:highlight w:val="none"/>
                <w:lang w:val="en-US" w:eastAsia="zh-CN" w:bidi="ar-SA"/>
              </w:rPr>
              <w:t>%；</w:t>
            </w:r>
          </w:p>
          <w:p w14:paraId="02B51BEC">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highlight w:val="none"/>
                <w:lang w:val="en-US" w:eastAsia="en-US" w:bidi="ar-SA"/>
              </w:rPr>
            </w:pPr>
            <w:r>
              <w:rPr>
                <w:rFonts w:hint="eastAsia" w:ascii="仿宋" w:hAnsi="仿宋" w:eastAsia="仿宋" w:cs="仿宋"/>
                <w:color w:val="1F1F1F"/>
                <w:spacing w:val="10"/>
                <w:kern w:val="2"/>
                <w:sz w:val="21"/>
                <w:szCs w:val="21"/>
                <w:highlight w:val="none"/>
                <w:lang w:val="en-US" w:eastAsia="zh-CN" w:bidi="ar-SA"/>
              </w:rPr>
              <w:t>（具体内容以甲乙双方签订的合同为准）</w:t>
            </w:r>
          </w:p>
        </w:tc>
      </w:tr>
      <w:tr w14:paraId="2B8F8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89" w:type="dxa"/>
            <w:shd w:val="clear" w:color="auto" w:fill="auto"/>
            <w:vAlign w:val="center"/>
          </w:tcPr>
          <w:p w14:paraId="59E9D46F">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default"/>
                <w:color w:val="1F1F1F"/>
                <w:sz w:val="20"/>
                <w:szCs w:val="20"/>
                <w:lang w:val="en-US" w:eastAsia="zh-CN"/>
              </w:rPr>
            </w:pPr>
            <w:r>
              <w:rPr>
                <w:rFonts w:hint="eastAsia"/>
                <w:color w:val="1F1F1F"/>
                <w:sz w:val="20"/>
                <w:szCs w:val="20"/>
                <w:lang w:val="en-US" w:eastAsia="zh-CN"/>
              </w:rPr>
              <w:t>41</w:t>
            </w:r>
          </w:p>
        </w:tc>
        <w:tc>
          <w:tcPr>
            <w:tcW w:w="1626" w:type="dxa"/>
            <w:shd w:val="clear" w:color="auto" w:fill="auto"/>
            <w:vAlign w:val="center"/>
          </w:tcPr>
          <w:p w14:paraId="6FB7ACE6">
            <w:pPr>
              <w:pStyle w:val="46"/>
              <w:spacing w:before="78" w:line="219" w:lineRule="auto"/>
              <w:jc w:val="center"/>
              <w:rPr>
                <w:rFonts w:hint="eastAsia" w:ascii="仿宋" w:hAnsi="仿宋" w:eastAsia="仿宋" w:cs="仿宋"/>
                <w:spacing w:val="-2"/>
                <w:kern w:val="2"/>
                <w:sz w:val="21"/>
                <w:szCs w:val="21"/>
                <w:lang w:val="en-US" w:eastAsia="en-US" w:bidi="ar-SA"/>
              </w:rPr>
            </w:pPr>
            <w:r>
              <w:rPr>
                <w:rFonts w:hint="eastAsia" w:ascii="仿宋" w:hAnsi="仿宋" w:eastAsia="仿宋" w:cs="仿宋"/>
                <w:spacing w:val="-2"/>
                <w:kern w:val="2"/>
                <w:sz w:val="21"/>
                <w:szCs w:val="21"/>
                <w:lang w:val="en-US" w:eastAsia="en-US" w:bidi="ar-SA"/>
              </w:rPr>
              <w:t>质疑</w:t>
            </w:r>
          </w:p>
        </w:tc>
        <w:tc>
          <w:tcPr>
            <w:tcW w:w="6766" w:type="dxa"/>
            <w:shd w:val="clear" w:color="auto" w:fill="auto"/>
            <w:vAlign w:val="center"/>
          </w:tcPr>
          <w:p w14:paraId="2177F4B0">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（1）供应商认为磋商文件、磋商过程或成交结果使自己的合法权益受到损害的，可以在知道或者应知其权益受到损害之日起七个工作日内，以书面形式一次性向采购人或采购代理机构提出质疑。</w:t>
            </w:r>
          </w:p>
          <w:p w14:paraId="668DD7C8">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（2）采购人或采购代理机构应当在收到供应商的书面质疑后七个工作日内作出答复，并以书面形式通知质疑供应商和其他有关供应商，但答复的内容不得涉及商业秘密。</w:t>
            </w:r>
          </w:p>
          <w:p w14:paraId="586896F8">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注：根据《中华人民共和国政府采购法》的规定，供应商质疑不得超出磋商文件、开标过程及中标结果的范围及时效限制。提出质疑的供应商应当是参与所质疑项目采购活动的供应商。</w:t>
            </w:r>
          </w:p>
          <w:p w14:paraId="553140F6">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接收</w:t>
            </w:r>
            <w:r>
              <w:rPr>
                <w:rFonts w:hint="eastAsia" w:cs="仿宋"/>
                <w:color w:val="1F1F1F"/>
                <w:spacing w:val="10"/>
                <w:kern w:val="2"/>
                <w:sz w:val="21"/>
                <w:szCs w:val="21"/>
                <w:lang w:val="en-US" w:eastAsia="zh-CN" w:bidi="ar-SA"/>
              </w:rPr>
              <w:t>质疑单位</w:t>
            </w:r>
            <w:r>
              <w:rPr>
                <w:rFonts w:hint="eastAsia" w:ascii="仿宋" w:hAnsi="仿宋" w:eastAsia="仿宋" w:cs="仿宋"/>
                <w:color w:val="1F1F1F"/>
                <w:spacing w:val="10"/>
                <w:kern w:val="2"/>
                <w:sz w:val="21"/>
                <w:szCs w:val="21"/>
                <w:lang w:val="en-US" w:eastAsia="en-US" w:bidi="ar-SA"/>
              </w:rPr>
              <w:t>：新疆福瑞通工程项目管理有限责任公司</w:t>
            </w:r>
          </w:p>
          <w:p w14:paraId="12D8744C">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联系电话：</w:t>
            </w:r>
            <w:r>
              <w:rPr>
                <w:rFonts w:hint="eastAsia" w:ascii="仿宋" w:hAnsi="仿宋" w:eastAsia="仿宋" w:cs="仿宋"/>
                <w:color w:val="1F1F1F"/>
                <w:spacing w:val="10"/>
                <w:kern w:val="2"/>
                <w:sz w:val="21"/>
                <w:szCs w:val="21"/>
                <w:lang w:val="en-US" w:eastAsia="zh-CN" w:bidi="ar-SA"/>
              </w:rPr>
              <w:t>0903-2052532/18016908725</w:t>
            </w:r>
          </w:p>
          <w:p w14:paraId="1C3DC3ED">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邮箱：</w:t>
            </w:r>
            <w:r>
              <w:rPr>
                <w:rFonts w:hint="eastAsia" w:ascii="仿宋" w:hAnsi="仿宋" w:eastAsia="仿宋" w:cs="仿宋"/>
                <w:color w:val="1F1F1F"/>
                <w:spacing w:val="10"/>
                <w:kern w:val="2"/>
                <w:sz w:val="21"/>
                <w:szCs w:val="21"/>
                <w:lang w:val="en-US" w:eastAsia="zh-CN" w:bidi="ar-SA"/>
              </w:rPr>
              <w:t>460041585</w:t>
            </w:r>
            <w:r>
              <w:rPr>
                <w:rFonts w:hint="eastAsia" w:ascii="仿宋" w:hAnsi="仿宋" w:eastAsia="仿宋" w:cs="仿宋"/>
                <w:color w:val="1F1F1F"/>
                <w:spacing w:val="10"/>
                <w:kern w:val="2"/>
                <w:sz w:val="21"/>
                <w:szCs w:val="21"/>
                <w:lang w:val="en-US" w:eastAsia="en-US" w:bidi="ar-SA"/>
              </w:rPr>
              <w:t>@qq.com</w:t>
            </w:r>
          </w:p>
          <w:p w14:paraId="6D6428DE">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通讯地址：策勒县策勒镇渠勒村520-1号室</w:t>
            </w:r>
          </w:p>
          <w:p w14:paraId="5CDAEE18">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zh-CN" w:bidi="ar-SA"/>
              </w:rPr>
            </w:pPr>
            <w:r>
              <w:rPr>
                <w:rFonts w:hint="eastAsia" w:ascii="仿宋" w:hAnsi="仿宋" w:eastAsia="仿宋" w:cs="仿宋"/>
                <w:color w:val="1F1F1F"/>
                <w:spacing w:val="10"/>
                <w:kern w:val="2"/>
                <w:sz w:val="21"/>
                <w:szCs w:val="21"/>
                <w:lang w:val="en-US" w:eastAsia="en-US" w:bidi="ar-SA"/>
              </w:rPr>
              <w:t>联系人：</w:t>
            </w:r>
            <w:r>
              <w:rPr>
                <w:rFonts w:hint="eastAsia" w:cs="仿宋"/>
                <w:color w:val="1F1F1F"/>
                <w:spacing w:val="10"/>
                <w:kern w:val="2"/>
                <w:sz w:val="21"/>
                <w:szCs w:val="21"/>
                <w:lang w:val="en-US" w:eastAsia="zh-CN" w:bidi="ar-SA"/>
              </w:rPr>
              <w:t>李先生</w:t>
            </w:r>
          </w:p>
        </w:tc>
      </w:tr>
      <w:tr w14:paraId="40D2D7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89" w:type="dxa"/>
            <w:shd w:val="clear" w:color="auto" w:fill="auto"/>
            <w:vAlign w:val="center"/>
          </w:tcPr>
          <w:p w14:paraId="3960EB8E">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default"/>
                <w:color w:val="1F1F1F"/>
                <w:sz w:val="20"/>
                <w:szCs w:val="20"/>
                <w:lang w:val="en-US" w:eastAsia="zh-CN"/>
              </w:rPr>
            </w:pPr>
            <w:r>
              <w:rPr>
                <w:rFonts w:hint="eastAsia"/>
                <w:color w:val="1F1F1F"/>
                <w:sz w:val="20"/>
                <w:szCs w:val="20"/>
                <w:lang w:val="en-US" w:eastAsia="zh-CN"/>
              </w:rPr>
              <w:t>42</w:t>
            </w:r>
          </w:p>
        </w:tc>
        <w:tc>
          <w:tcPr>
            <w:tcW w:w="1626" w:type="dxa"/>
            <w:shd w:val="clear" w:color="auto" w:fill="auto"/>
            <w:vAlign w:val="center"/>
          </w:tcPr>
          <w:p w14:paraId="10F7E666">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center"/>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zh-CN" w:bidi="ar-SA"/>
              </w:rPr>
              <w:t>投诉</w:t>
            </w:r>
          </w:p>
        </w:tc>
        <w:tc>
          <w:tcPr>
            <w:tcW w:w="6766" w:type="dxa"/>
            <w:shd w:val="clear" w:color="auto" w:fill="auto"/>
            <w:vAlign w:val="center"/>
          </w:tcPr>
          <w:p w14:paraId="2AC73DCB">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zh-CN" w:bidi="ar-SA"/>
              </w:rPr>
            </w:pPr>
            <w:r>
              <w:rPr>
                <w:rFonts w:hint="eastAsia" w:ascii="仿宋" w:hAnsi="仿宋" w:eastAsia="仿宋" w:cs="仿宋"/>
                <w:color w:val="1F1F1F"/>
                <w:spacing w:val="10"/>
                <w:kern w:val="2"/>
                <w:sz w:val="21"/>
                <w:szCs w:val="21"/>
                <w:lang w:val="en-US" w:eastAsia="zh-CN" w:bidi="ar-SA"/>
              </w:rPr>
              <w:t>（1）质疑供应商对采购人、采购代理机构的答复不满意或者采购人、采购代理机构未在规定的时间内作出答复的，可以在答复期满后十五个工作日内向同级政府采购监督管理部门投诉。</w:t>
            </w:r>
          </w:p>
          <w:p w14:paraId="6F29AD99">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zh-CN" w:bidi="ar-SA"/>
              </w:rPr>
            </w:pPr>
            <w:r>
              <w:rPr>
                <w:rFonts w:hint="eastAsia" w:ascii="仿宋" w:hAnsi="仿宋" w:eastAsia="仿宋" w:cs="仿宋"/>
                <w:color w:val="1F1F1F"/>
                <w:spacing w:val="10"/>
                <w:kern w:val="2"/>
                <w:sz w:val="21"/>
                <w:szCs w:val="21"/>
                <w:lang w:val="en-US" w:eastAsia="zh-CN" w:bidi="ar-SA"/>
              </w:rPr>
              <w:t>（2）质疑、投诉应当采用书面形式，质疑书、投诉书均应明确阐述磋商文件、磋商过程或中标结果中使自己合法权益受到损害的实质性内容，提供相关事实、依据和证据及其来源或线索，便于有关单位调查、答复和处理。</w:t>
            </w:r>
          </w:p>
          <w:p w14:paraId="271946B0">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zh-CN" w:bidi="ar-SA"/>
              </w:rPr>
              <w:t>注：根据《中华人民共和国政府采购法实施条例》的规定，供应商投诉事项不得超出已质疑事项的范围。</w:t>
            </w:r>
          </w:p>
          <w:p w14:paraId="0FE19BDE">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zh-CN" w:bidi="ar-SA"/>
              </w:rPr>
            </w:pPr>
            <w:r>
              <w:rPr>
                <w:rFonts w:hint="eastAsia" w:ascii="仿宋" w:hAnsi="仿宋" w:eastAsia="仿宋" w:cs="仿宋"/>
                <w:color w:val="1F1F1F"/>
                <w:spacing w:val="10"/>
                <w:kern w:val="2"/>
                <w:sz w:val="21"/>
                <w:szCs w:val="21"/>
                <w:lang w:val="en-US" w:eastAsia="zh-CN" w:bidi="ar-SA"/>
              </w:rPr>
              <w:t>采购监管部门：策勒县财政局</w:t>
            </w:r>
          </w:p>
          <w:p w14:paraId="350F909A">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zh-CN" w:bidi="ar-SA"/>
              </w:rPr>
              <w:t>联系方式：0903-6712645</w:t>
            </w:r>
          </w:p>
        </w:tc>
      </w:tr>
      <w:tr w14:paraId="20E69E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89" w:type="dxa"/>
            <w:shd w:val="clear" w:color="auto" w:fill="auto"/>
            <w:vAlign w:val="center"/>
          </w:tcPr>
          <w:p w14:paraId="5C533313">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default"/>
                <w:color w:val="1F1F1F"/>
                <w:sz w:val="20"/>
                <w:szCs w:val="20"/>
                <w:lang w:val="en-US" w:eastAsia="zh-CN"/>
              </w:rPr>
            </w:pPr>
            <w:r>
              <w:rPr>
                <w:rFonts w:hint="eastAsia"/>
                <w:color w:val="1F1F1F"/>
                <w:sz w:val="20"/>
                <w:szCs w:val="20"/>
                <w:lang w:val="en-US" w:eastAsia="zh-CN"/>
              </w:rPr>
              <w:t>43</w:t>
            </w:r>
          </w:p>
        </w:tc>
        <w:tc>
          <w:tcPr>
            <w:tcW w:w="1626" w:type="dxa"/>
            <w:shd w:val="clear" w:color="auto" w:fill="auto"/>
            <w:vAlign w:val="center"/>
          </w:tcPr>
          <w:p w14:paraId="38786DF5">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center"/>
              <w:textAlignment w:val="baseline"/>
              <w:rPr>
                <w:rFonts w:hint="eastAsia" w:ascii="仿宋" w:hAnsi="仿宋" w:eastAsia="仿宋" w:cs="仿宋"/>
                <w:spacing w:val="-2"/>
                <w:kern w:val="2"/>
                <w:sz w:val="21"/>
                <w:szCs w:val="21"/>
                <w:lang w:val="en-US" w:eastAsia="en-US" w:bidi="ar-SA"/>
              </w:rPr>
            </w:pPr>
            <w:r>
              <w:rPr>
                <w:rFonts w:hint="eastAsia" w:ascii="仿宋" w:hAnsi="仿宋" w:eastAsia="仿宋" w:cs="仿宋"/>
                <w:color w:val="1F1F1F"/>
                <w:spacing w:val="10"/>
                <w:kern w:val="2"/>
                <w:sz w:val="21"/>
                <w:szCs w:val="21"/>
                <w:lang w:val="en-US" w:eastAsia="zh-CN" w:bidi="ar-SA"/>
              </w:rPr>
              <w:t>标前准备</w:t>
            </w:r>
          </w:p>
        </w:tc>
        <w:tc>
          <w:tcPr>
            <w:tcW w:w="6766" w:type="dxa"/>
            <w:shd w:val="clear" w:color="auto" w:fill="auto"/>
            <w:vAlign w:val="center"/>
          </w:tcPr>
          <w:p w14:paraId="3363062B">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1、本项目实行网上投标，采用电子响应文件。若供应商参与投标，自行承担投标一切费用。</w:t>
            </w:r>
          </w:p>
          <w:p w14:paraId="631BC9EE">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56A97119">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3、本项目为电子招投标，供应商需要使用CA加密设备，有意向参与新疆区域电子开评标的供应商，请访问新疆数字证书认证中心官方网站（</w:t>
            </w:r>
            <w:r>
              <w:rPr>
                <w:rFonts w:hint="eastAsia" w:ascii="仿宋" w:hAnsi="仿宋" w:eastAsia="仿宋" w:cs="仿宋"/>
                <w:color w:val="1F1F1F"/>
                <w:spacing w:val="10"/>
                <w:kern w:val="2"/>
                <w:sz w:val="21"/>
                <w:szCs w:val="21"/>
                <w:lang w:val="en-US" w:eastAsia="en-US" w:bidi="ar-SA"/>
              </w:rPr>
              <w:fldChar w:fldCharType="begin"/>
            </w:r>
            <w:r>
              <w:rPr>
                <w:rFonts w:hint="eastAsia" w:ascii="仿宋" w:hAnsi="仿宋" w:eastAsia="仿宋" w:cs="仿宋"/>
                <w:color w:val="1F1F1F"/>
                <w:spacing w:val="10"/>
                <w:kern w:val="2"/>
                <w:sz w:val="21"/>
                <w:szCs w:val="21"/>
                <w:lang w:val="en-US" w:eastAsia="en-US" w:bidi="ar-SA"/>
              </w:rPr>
              <w:instrText xml:space="preserve"> HYPERLINK "https://www.xjca.com.cn/" </w:instrText>
            </w:r>
            <w:r>
              <w:rPr>
                <w:rFonts w:hint="eastAsia" w:ascii="仿宋" w:hAnsi="仿宋" w:eastAsia="仿宋" w:cs="仿宋"/>
                <w:color w:val="1F1F1F"/>
                <w:spacing w:val="10"/>
                <w:kern w:val="2"/>
                <w:sz w:val="21"/>
                <w:szCs w:val="21"/>
                <w:lang w:val="en-US" w:eastAsia="en-US" w:bidi="ar-SA"/>
              </w:rPr>
              <w:fldChar w:fldCharType="separate"/>
            </w:r>
            <w:r>
              <w:rPr>
                <w:rFonts w:hint="eastAsia" w:ascii="仿宋" w:hAnsi="仿宋" w:eastAsia="仿宋" w:cs="仿宋"/>
                <w:color w:val="1F1F1F"/>
                <w:spacing w:val="10"/>
                <w:kern w:val="2"/>
                <w:sz w:val="21"/>
                <w:szCs w:val="21"/>
                <w:lang w:val="en-US" w:eastAsia="en-US" w:bidi="ar-SA"/>
              </w:rPr>
              <w:t>https://www.xjca.com.cn/</w:t>
            </w:r>
            <w:r>
              <w:rPr>
                <w:rFonts w:hint="eastAsia" w:ascii="仿宋" w:hAnsi="仿宋" w:eastAsia="仿宋" w:cs="仿宋"/>
                <w:color w:val="1F1F1F"/>
                <w:spacing w:val="10"/>
                <w:kern w:val="2"/>
                <w:sz w:val="21"/>
                <w:szCs w:val="21"/>
                <w:lang w:val="en-US" w:eastAsia="en-US" w:bidi="ar-SA"/>
              </w:rPr>
              <w:fldChar w:fldCharType="end"/>
            </w:r>
            <w:r>
              <w:rPr>
                <w:rFonts w:hint="eastAsia" w:ascii="仿宋" w:hAnsi="仿宋" w:eastAsia="仿宋" w:cs="仿宋"/>
                <w:color w:val="1F1F1F"/>
                <w:spacing w:val="10"/>
                <w:kern w:val="2"/>
                <w:sz w:val="21"/>
                <w:szCs w:val="21"/>
                <w:lang w:val="en-US" w:eastAsia="en-US" w:bidi="ar-SA"/>
              </w:rPr>
              <w:t>）下载或新疆政务通；APP自行进行申领。如需咨询，请联系新疆CA服务热线0991-28192904、供应商将政采云电子交易客户端下载、安装完成后，可通过账号密码或CA登录客户端进行响应文件制作。在使用“政采云”投标客户端时，建议使用WIN7及以上操作系统。客户端请至新疆政府采购网（</w:t>
            </w:r>
            <w:r>
              <w:rPr>
                <w:rFonts w:hint="eastAsia" w:ascii="仿宋" w:hAnsi="仿宋" w:eastAsia="仿宋" w:cs="仿宋"/>
                <w:color w:val="1F1F1F"/>
                <w:spacing w:val="10"/>
                <w:kern w:val="2"/>
                <w:sz w:val="21"/>
                <w:szCs w:val="21"/>
                <w:lang w:val="en-US" w:eastAsia="en-US" w:bidi="ar-SA"/>
              </w:rPr>
              <w:fldChar w:fldCharType="begin"/>
            </w:r>
            <w:r>
              <w:rPr>
                <w:rFonts w:hint="eastAsia" w:ascii="仿宋" w:hAnsi="仿宋" w:eastAsia="仿宋" w:cs="仿宋"/>
                <w:color w:val="1F1F1F"/>
                <w:spacing w:val="10"/>
                <w:kern w:val="2"/>
                <w:sz w:val="21"/>
                <w:szCs w:val="21"/>
                <w:lang w:val="en-US" w:eastAsia="en-US" w:bidi="ar-SA"/>
              </w:rPr>
              <w:instrText xml:space="preserve"> HYPERLINK "https://www.zcygov.cn/" </w:instrText>
            </w:r>
            <w:r>
              <w:rPr>
                <w:rFonts w:hint="eastAsia" w:ascii="仿宋" w:hAnsi="仿宋" w:eastAsia="仿宋" w:cs="仿宋"/>
                <w:color w:val="1F1F1F"/>
                <w:spacing w:val="10"/>
                <w:kern w:val="2"/>
                <w:sz w:val="21"/>
                <w:szCs w:val="21"/>
                <w:lang w:val="en-US" w:eastAsia="en-US" w:bidi="ar-SA"/>
              </w:rPr>
              <w:fldChar w:fldCharType="separate"/>
            </w:r>
            <w:r>
              <w:rPr>
                <w:rFonts w:hint="eastAsia" w:ascii="仿宋" w:hAnsi="仿宋" w:eastAsia="仿宋" w:cs="仿宋"/>
                <w:color w:val="1F1F1F"/>
                <w:spacing w:val="10"/>
                <w:kern w:val="2"/>
                <w:sz w:val="21"/>
                <w:szCs w:val="21"/>
                <w:lang w:val="en-US" w:eastAsia="en-US" w:bidi="ar-SA"/>
              </w:rPr>
              <w:t>https://www.zcygov.cn/</w:t>
            </w:r>
            <w:r>
              <w:rPr>
                <w:rFonts w:hint="eastAsia" w:ascii="仿宋" w:hAnsi="仿宋" w:eastAsia="仿宋" w:cs="仿宋"/>
                <w:color w:val="1F1F1F"/>
                <w:spacing w:val="10"/>
                <w:kern w:val="2"/>
                <w:sz w:val="21"/>
                <w:szCs w:val="21"/>
                <w:lang w:val="en-US" w:eastAsia="en-US" w:bidi="ar-SA"/>
              </w:rPr>
              <w:fldChar w:fldCharType="end"/>
            </w:r>
            <w:r>
              <w:rPr>
                <w:rFonts w:hint="eastAsia" w:ascii="仿宋" w:hAnsi="仿宋" w:eastAsia="仿宋" w:cs="仿宋"/>
                <w:color w:val="1F1F1F"/>
                <w:spacing w:val="10"/>
                <w:kern w:val="2"/>
                <w:sz w:val="21"/>
                <w:szCs w:val="21"/>
                <w:lang w:val="en-US" w:eastAsia="en-US" w:bidi="ar-SA"/>
              </w:rPr>
              <w:t>）下载专区查看，如有问题可拨打政采云客户服务热线95763进行咨询。</w:t>
            </w:r>
          </w:p>
          <w:p w14:paraId="675AA336">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4、响应文件存在下列情况之一的，视为无效投标：</w:t>
            </w:r>
          </w:p>
          <w:p w14:paraId="05F857A2">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（1）电子响应文件无法解密的；</w:t>
            </w:r>
          </w:p>
          <w:p w14:paraId="308C7728">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（2）响应文件未按时解密或无法成功导入的；</w:t>
            </w:r>
          </w:p>
          <w:p w14:paraId="7560D058">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（3）投标截止时间前未将“电子加密响应文件”成功上传至“政府采购云平台”的。</w:t>
            </w:r>
          </w:p>
          <w:p w14:paraId="7A11A47E">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5、请各投标单位在开标当天提前准备好能上网的电脑及生成投标文件的CA锁，以便于在开标时能顺利进行解密、二次报价等！</w:t>
            </w:r>
          </w:p>
          <w:p w14:paraId="1F1A9656">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6、政采云平台如对电子化开标及评审程序有调整的，按调整后的程序操作。</w:t>
            </w:r>
          </w:p>
        </w:tc>
      </w:tr>
      <w:tr w14:paraId="2559D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89" w:type="dxa"/>
            <w:shd w:val="clear" w:color="auto" w:fill="auto"/>
            <w:vAlign w:val="center"/>
          </w:tcPr>
          <w:p w14:paraId="2C864400">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default"/>
                <w:color w:val="1F1F1F"/>
                <w:sz w:val="20"/>
                <w:szCs w:val="20"/>
                <w:lang w:val="en-US" w:eastAsia="zh-CN"/>
              </w:rPr>
            </w:pPr>
            <w:r>
              <w:rPr>
                <w:rFonts w:hint="eastAsia"/>
                <w:color w:val="1F1F1F"/>
                <w:sz w:val="20"/>
                <w:szCs w:val="20"/>
                <w:lang w:val="en-US" w:eastAsia="zh-CN"/>
              </w:rPr>
              <w:t>44</w:t>
            </w:r>
          </w:p>
        </w:tc>
        <w:tc>
          <w:tcPr>
            <w:tcW w:w="1626" w:type="dxa"/>
            <w:shd w:val="clear" w:color="auto" w:fill="auto"/>
            <w:vAlign w:val="center"/>
          </w:tcPr>
          <w:p w14:paraId="5006FF36">
            <w:pPr>
              <w:pStyle w:val="46"/>
              <w:spacing w:before="78" w:line="219" w:lineRule="auto"/>
              <w:jc w:val="center"/>
              <w:rPr>
                <w:rFonts w:hint="eastAsia" w:ascii="仿宋" w:hAnsi="仿宋" w:eastAsia="仿宋" w:cs="仿宋"/>
                <w:spacing w:val="-2"/>
                <w:kern w:val="2"/>
                <w:sz w:val="21"/>
                <w:szCs w:val="21"/>
                <w:lang w:val="en-US" w:eastAsia="en-US" w:bidi="ar-SA"/>
              </w:rPr>
            </w:pPr>
            <w:r>
              <w:rPr>
                <w:rFonts w:hint="eastAsia" w:ascii="仿宋" w:hAnsi="仿宋" w:eastAsia="仿宋" w:cs="仿宋"/>
                <w:spacing w:val="-2"/>
                <w:kern w:val="2"/>
                <w:sz w:val="21"/>
                <w:szCs w:val="21"/>
                <w:lang w:val="en-US" w:eastAsia="en-US" w:bidi="ar-SA"/>
              </w:rPr>
              <w:t>政府采购异常低价审查</w:t>
            </w:r>
          </w:p>
        </w:tc>
        <w:tc>
          <w:tcPr>
            <w:tcW w:w="6766" w:type="dxa"/>
            <w:shd w:val="clear" w:color="auto" w:fill="auto"/>
            <w:vAlign w:val="center"/>
          </w:tcPr>
          <w:p w14:paraId="66665160">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（一）政府采购评审中出现下列情形之一的，评审委员会应当启动异常低价投标（响应）审查程序：</w:t>
            </w:r>
          </w:p>
          <w:p w14:paraId="7084D6EA">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1.投标（响应）报价低于全部通过符合性审查供应商投标（响应）报价平均值50%的，即投标（响应）报价&lt;全部通过符合性审查供应商投标（响应）报价平均值×50%；</w:t>
            </w:r>
          </w:p>
          <w:p w14:paraId="7DA3DBE2">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2.投标（响应）报价低于通过符合性审查的次低报价供应商投标（响应）报价50%的，即投标（响应）报价&lt;通过符合性审查的次低报价供应商投标（响应）报价×50%；</w:t>
            </w:r>
          </w:p>
          <w:p w14:paraId="79D5EC6E">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3.投标（响应）报价低于采购项目最高限价45%的，即投标（响应）报价&lt;采购项目最高限价×45%；</w:t>
            </w:r>
          </w:p>
          <w:p w14:paraId="73492CE0">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w:t>
            </w:r>
          </w:p>
          <w:p w14:paraId="2E784D2F">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相关法律法规对供应商报价有规定的，从其规定。</w:t>
            </w:r>
          </w:p>
          <w:p w14:paraId="667CF9F8">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AA30818">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6292A07">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6F317FF">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异常低价投标（响应）审查的启动原因、审查意见和审查结果应当在评审报告中记录，并随供应商提供的相关书面说明及证明材料，以及评审委员会有关互联网浏览、查询历史一并归档。</w:t>
            </w:r>
          </w:p>
          <w:p w14:paraId="2CCAFFA8">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三）各级财政部门应当加强对评审专家的指导和监管，进一步压实评审专家的责任。财政部门在投诉处理、监督检查中发现评审委员会未按规定对异常低价开展审查的，依法予以纠正并追究评审专家的法律责任。</w:t>
            </w:r>
          </w:p>
        </w:tc>
      </w:tr>
      <w:tr w14:paraId="55FD89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5" w:hRule="atLeast"/>
          <w:jc w:val="center"/>
        </w:trPr>
        <w:tc>
          <w:tcPr>
            <w:tcW w:w="789" w:type="dxa"/>
            <w:shd w:val="clear" w:color="auto" w:fill="auto"/>
            <w:vAlign w:val="center"/>
          </w:tcPr>
          <w:p w14:paraId="36953F49">
            <w:pPr>
              <w:pStyle w:val="46"/>
              <w:keepNext w:val="0"/>
              <w:keepLines/>
              <w:pageBreakBefore w:val="0"/>
              <w:widowControl w:val="0"/>
              <w:kinsoku/>
              <w:wordWrap w:val="0"/>
              <w:overflowPunct/>
              <w:topLinePunct/>
              <w:autoSpaceDE w:val="0"/>
              <w:autoSpaceDN w:val="0"/>
              <w:bidi w:val="0"/>
              <w:adjustRightInd w:val="0"/>
              <w:snapToGrid w:val="0"/>
              <w:spacing w:line="240" w:lineRule="auto"/>
              <w:ind w:left="0" w:leftChars="0"/>
              <w:jc w:val="center"/>
              <w:textAlignment w:val="baseline"/>
              <w:rPr>
                <w:rFonts w:hint="default"/>
                <w:color w:val="1F1F1F"/>
                <w:sz w:val="20"/>
                <w:szCs w:val="20"/>
                <w:lang w:val="en-US" w:eastAsia="zh-CN"/>
              </w:rPr>
            </w:pPr>
            <w:r>
              <w:rPr>
                <w:rFonts w:hint="eastAsia"/>
                <w:color w:val="1F1F1F"/>
                <w:sz w:val="20"/>
                <w:szCs w:val="20"/>
                <w:lang w:val="en-US" w:eastAsia="zh-CN"/>
              </w:rPr>
              <w:t>45</w:t>
            </w:r>
          </w:p>
        </w:tc>
        <w:tc>
          <w:tcPr>
            <w:tcW w:w="1626" w:type="dxa"/>
            <w:shd w:val="clear" w:color="auto" w:fill="auto"/>
            <w:vAlign w:val="center"/>
          </w:tcPr>
          <w:p w14:paraId="663AF972">
            <w:pPr>
              <w:pStyle w:val="46"/>
              <w:spacing w:before="78" w:line="219" w:lineRule="auto"/>
              <w:jc w:val="center"/>
              <w:rPr>
                <w:rFonts w:hint="eastAsia" w:ascii="仿宋" w:hAnsi="仿宋" w:eastAsia="仿宋" w:cs="仿宋"/>
                <w:spacing w:val="-2"/>
                <w:kern w:val="2"/>
                <w:sz w:val="21"/>
                <w:szCs w:val="21"/>
                <w:lang w:val="en-US" w:eastAsia="en-US" w:bidi="ar-SA"/>
              </w:rPr>
            </w:pPr>
            <w:r>
              <w:rPr>
                <w:rFonts w:hint="eastAsia" w:ascii="仿宋" w:hAnsi="仿宋" w:eastAsia="仿宋" w:cs="仿宋"/>
                <w:spacing w:val="-2"/>
                <w:kern w:val="2"/>
                <w:sz w:val="21"/>
                <w:szCs w:val="21"/>
                <w:lang w:val="en-US" w:eastAsia="en-US" w:bidi="ar-SA"/>
              </w:rPr>
              <w:t>其它补充说明</w:t>
            </w:r>
          </w:p>
        </w:tc>
        <w:tc>
          <w:tcPr>
            <w:tcW w:w="6766" w:type="dxa"/>
            <w:shd w:val="clear" w:color="auto" w:fill="auto"/>
            <w:vAlign w:val="center"/>
          </w:tcPr>
          <w:p w14:paraId="65CD3561">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1、本项目更正补充公告请自行登录新疆政府采购网查看下载，更正补充公告一经发布，视为以书面形式通知人所有人，因供应商自身原因导致未领取，自行承担由此带来的后果。</w:t>
            </w:r>
          </w:p>
          <w:p w14:paraId="21BEBEAC">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2、磋商文件中部分加粗、加★、加下划线、废标、无效标、投标被拒绝等字样的条款，为磋商的实质性要求和条件，着重提醒各投标人注意，并认真查看磋商文件中的每一个条款及要求，因误读磋商文件而造成的后果，招标人概不负责。</w:t>
            </w:r>
          </w:p>
          <w:p w14:paraId="2150BBA1">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cs="仿宋"/>
                <w:color w:val="1F1F1F"/>
                <w:spacing w:val="10"/>
                <w:kern w:val="2"/>
                <w:sz w:val="21"/>
                <w:szCs w:val="21"/>
                <w:lang w:val="en-US" w:eastAsia="zh-CN" w:bidi="ar-SA"/>
              </w:rPr>
              <w:t>3</w:t>
            </w:r>
            <w:r>
              <w:rPr>
                <w:rFonts w:hint="eastAsia" w:ascii="仿宋" w:hAnsi="仿宋" w:eastAsia="仿宋" w:cs="仿宋"/>
                <w:color w:val="1F1F1F"/>
                <w:spacing w:val="10"/>
                <w:kern w:val="2"/>
                <w:sz w:val="21"/>
                <w:szCs w:val="21"/>
                <w:lang w:val="en-US" w:eastAsia="en-US" w:bidi="ar-SA"/>
              </w:rPr>
              <w:t>、投标文件中有弄虚作假的内容，其投标文件作废（如假证书、假业绩、隐瞒不良行为记录、夸大荣誉、使用非本单位在职员工的相关证件及不符合磋商文件规定的条款等）；在签订合同之前，招标人如发现投标人的投标文件有弄虚作假内容，招标人可拒绝与其签订合同。并将其列入政府采购黑名单库（单独提供承诺）。</w:t>
            </w:r>
          </w:p>
          <w:p w14:paraId="0ABA4286">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cs="仿宋"/>
                <w:color w:val="1F1F1F"/>
                <w:spacing w:val="10"/>
                <w:kern w:val="2"/>
                <w:sz w:val="21"/>
                <w:szCs w:val="21"/>
                <w:lang w:val="en-US" w:eastAsia="zh-CN" w:bidi="ar-SA"/>
              </w:rPr>
              <w:t>4</w:t>
            </w:r>
            <w:r>
              <w:rPr>
                <w:rFonts w:hint="eastAsia" w:ascii="仿宋" w:hAnsi="仿宋" w:eastAsia="仿宋" w:cs="仿宋"/>
                <w:color w:val="1F1F1F"/>
                <w:spacing w:val="10"/>
                <w:kern w:val="2"/>
                <w:sz w:val="21"/>
                <w:szCs w:val="21"/>
                <w:lang w:val="en-US" w:eastAsia="en-US" w:bidi="ar-SA"/>
              </w:rPr>
              <w:t>、投标供应商制作投标文件的CA锁必须和开标解密的CA锁为同一把锁，在解密过程中因为CA锁不同而导致解密失败的，由投标供应商自行承担。</w:t>
            </w:r>
          </w:p>
          <w:p w14:paraId="3B4F989D">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cs="仿宋"/>
                <w:color w:val="1F1F1F"/>
                <w:spacing w:val="10"/>
                <w:kern w:val="2"/>
                <w:sz w:val="21"/>
                <w:szCs w:val="21"/>
                <w:lang w:val="en-US" w:eastAsia="zh-CN" w:bidi="ar-SA"/>
              </w:rPr>
              <w:t>5</w:t>
            </w:r>
            <w:r>
              <w:rPr>
                <w:rFonts w:hint="eastAsia" w:ascii="仿宋" w:hAnsi="仿宋" w:eastAsia="仿宋" w:cs="仿宋"/>
                <w:color w:val="1F1F1F"/>
                <w:spacing w:val="10"/>
                <w:kern w:val="2"/>
                <w:sz w:val="21"/>
                <w:szCs w:val="21"/>
                <w:lang w:val="en-US" w:eastAsia="en-US" w:bidi="ar-SA"/>
              </w:rPr>
              <w:t>、所有投标单位对磋商文件中所有条款如有疑问或异议请在法定期限内以书面形式提出，否则不予受理。</w:t>
            </w:r>
          </w:p>
          <w:p w14:paraId="2F02B072">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cs="仿宋"/>
                <w:color w:val="1F1F1F"/>
                <w:spacing w:val="10"/>
                <w:kern w:val="2"/>
                <w:sz w:val="21"/>
                <w:szCs w:val="21"/>
                <w:lang w:val="en-US" w:eastAsia="zh-CN" w:bidi="ar-SA"/>
              </w:rPr>
              <w:t>6、</w:t>
            </w:r>
            <w:r>
              <w:rPr>
                <w:rFonts w:hint="eastAsia" w:ascii="仿宋" w:hAnsi="仿宋" w:eastAsia="仿宋" w:cs="仿宋"/>
                <w:color w:val="1F1F1F"/>
                <w:spacing w:val="10"/>
                <w:kern w:val="2"/>
                <w:sz w:val="21"/>
                <w:szCs w:val="21"/>
                <w:highlight w:val="none"/>
                <w:lang w:val="en-US" w:eastAsia="en-US" w:bidi="ar-SA"/>
              </w:rPr>
              <w:t>提供驻场人员数量</w:t>
            </w:r>
            <w:r>
              <w:rPr>
                <w:rFonts w:hint="eastAsia" w:cs="仿宋"/>
                <w:color w:val="1F1F1F"/>
                <w:spacing w:val="10"/>
                <w:kern w:val="2"/>
                <w:sz w:val="21"/>
                <w:szCs w:val="21"/>
                <w:highlight w:val="none"/>
                <w:lang w:val="en-US" w:eastAsia="zh-CN" w:bidi="ar-SA"/>
              </w:rPr>
              <w:t>不低于2人（土建、安装专业至少各1人）的</w:t>
            </w:r>
            <w:r>
              <w:rPr>
                <w:rFonts w:hint="eastAsia" w:ascii="仿宋" w:hAnsi="仿宋" w:eastAsia="仿宋" w:cs="仿宋"/>
                <w:color w:val="1F1F1F"/>
                <w:spacing w:val="10"/>
                <w:kern w:val="2"/>
                <w:sz w:val="21"/>
                <w:szCs w:val="21"/>
                <w:highlight w:val="none"/>
                <w:lang w:val="en-US" w:eastAsia="en-US" w:bidi="ar-SA"/>
              </w:rPr>
              <w:t>人员驻场承诺</w:t>
            </w:r>
            <w:r>
              <w:rPr>
                <w:rFonts w:hint="eastAsia" w:cs="仿宋"/>
                <w:color w:val="1F1F1F"/>
                <w:spacing w:val="10"/>
                <w:kern w:val="2"/>
                <w:sz w:val="21"/>
                <w:szCs w:val="21"/>
                <w:highlight w:val="none"/>
                <w:lang w:val="en-US" w:eastAsia="zh-CN" w:bidi="ar-SA"/>
              </w:rPr>
              <w:t>，</w:t>
            </w:r>
            <w:r>
              <w:rPr>
                <w:rFonts w:hint="eastAsia" w:ascii="仿宋" w:hAnsi="仿宋" w:eastAsia="仿宋" w:cs="仿宋"/>
                <w:color w:val="1F1F1F"/>
                <w:spacing w:val="10"/>
                <w:kern w:val="2"/>
                <w:sz w:val="21"/>
                <w:szCs w:val="21"/>
                <w:highlight w:val="none"/>
                <w:lang w:val="en-US" w:eastAsia="en-US" w:bidi="ar-SA"/>
              </w:rPr>
              <w:t>未提供或内容不全将视为不满足磋商文件实质性要求。</w:t>
            </w:r>
          </w:p>
          <w:p w14:paraId="34BB66B9">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7、投标人应认真研读磋商文件，充分考虑磋商文件中的技术要求、商务要求和合同条款后编制投标文件。</w:t>
            </w:r>
          </w:p>
          <w:p w14:paraId="6976BEB4">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eastAsia" w:ascii="仿宋" w:hAnsi="仿宋" w:eastAsia="仿宋" w:cs="仿宋"/>
                <w:color w:val="1F1F1F"/>
                <w:spacing w:val="10"/>
                <w:kern w:val="2"/>
                <w:sz w:val="21"/>
                <w:szCs w:val="21"/>
                <w:lang w:val="en-US" w:eastAsia="en-US" w:bidi="ar-SA"/>
              </w:rPr>
            </w:pPr>
            <w:r>
              <w:rPr>
                <w:rFonts w:hint="eastAsia" w:ascii="仿宋" w:hAnsi="仿宋" w:eastAsia="仿宋" w:cs="仿宋"/>
                <w:color w:val="1F1F1F"/>
                <w:spacing w:val="10"/>
                <w:kern w:val="2"/>
                <w:sz w:val="21"/>
                <w:szCs w:val="21"/>
                <w:lang w:val="en-US" w:eastAsia="en-US" w:bidi="ar-SA"/>
              </w:rPr>
              <w:t>8、本项目资格审查模块由评审小组审查。</w:t>
            </w:r>
          </w:p>
          <w:p w14:paraId="5542DC60">
            <w:pPr>
              <w:pStyle w:val="46"/>
              <w:keepNext w:val="0"/>
              <w:keepLines/>
              <w:pageBreakBefore w:val="0"/>
              <w:widowControl w:val="0"/>
              <w:kinsoku/>
              <w:wordWrap w:val="0"/>
              <w:overflowPunct/>
              <w:topLinePunct/>
              <w:autoSpaceDE w:val="0"/>
              <w:autoSpaceDN w:val="0"/>
              <w:bidi w:val="0"/>
              <w:adjustRightInd w:val="0"/>
              <w:snapToGrid w:val="0"/>
              <w:spacing w:before="36" w:line="286" w:lineRule="auto"/>
              <w:ind w:left="37" w:hanging="3"/>
              <w:jc w:val="both"/>
              <w:textAlignment w:val="baseline"/>
              <w:rPr>
                <w:rFonts w:hint="default" w:ascii="仿宋" w:hAnsi="仿宋" w:eastAsia="仿宋" w:cs="仿宋"/>
                <w:color w:val="1F1F1F"/>
                <w:spacing w:val="10"/>
                <w:kern w:val="2"/>
                <w:sz w:val="21"/>
                <w:szCs w:val="21"/>
                <w:lang w:val="en-US" w:eastAsia="zh-CN" w:bidi="ar-SA"/>
              </w:rPr>
            </w:pPr>
            <w:r>
              <w:rPr>
                <w:rFonts w:hint="eastAsia" w:ascii="仿宋" w:hAnsi="仿宋" w:eastAsia="仿宋" w:cs="仿宋"/>
                <w:color w:val="1F1F1F"/>
                <w:spacing w:val="10"/>
                <w:kern w:val="2"/>
                <w:sz w:val="21"/>
                <w:szCs w:val="21"/>
                <w:lang w:val="en-US" w:eastAsia="en-US" w:bidi="ar-SA"/>
              </w:rPr>
              <w:t>9、供应商提供的各类资质、业绩、证书、方案，应清晰可见，提供的证明材料模糊不清，无法辨识导致磋商小组无法认定的，磋商小组将不予认定，敬请供应商注意。</w:t>
            </w:r>
          </w:p>
        </w:tc>
      </w:tr>
      <w:tr w14:paraId="60E5D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9181" w:type="dxa"/>
            <w:gridSpan w:val="3"/>
            <w:vAlign w:val="center"/>
          </w:tcPr>
          <w:p w14:paraId="140D639C">
            <w:pPr>
              <w:spacing w:beforeLines="0" w:afterLines="0" w:line="480" w:lineRule="exact"/>
              <w:rPr>
                <w:rFonts w:hint="default" w:ascii="Times New Roman" w:hAnsi="Times New Roman" w:cs="Times New Roman" w:eastAsiaTheme="minorEastAsia"/>
                <w:sz w:val="28"/>
                <w:szCs w:val="28"/>
              </w:rPr>
            </w:pPr>
            <w:r>
              <w:rPr>
                <w:rFonts w:hint="eastAsia" w:ascii="仿宋" w:hAnsi="仿宋" w:eastAsia="仿宋" w:cs="仿宋"/>
                <w:color w:val="1F1F1F"/>
                <w:spacing w:val="10"/>
                <w:kern w:val="2"/>
                <w:sz w:val="21"/>
                <w:szCs w:val="21"/>
                <w:lang w:val="en-US" w:eastAsia="en-US" w:bidi="ar-SA"/>
              </w:rPr>
              <w:t>注：磋商公告、磋商文件与</w:t>
            </w:r>
            <w:r>
              <w:rPr>
                <w:rFonts w:hint="default" w:ascii="仿宋" w:hAnsi="仿宋" w:eastAsia="仿宋" w:cs="仿宋"/>
                <w:color w:val="1F1F1F"/>
                <w:spacing w:val="10"/>
                <w:kern w:val="2"/>
                <w:sz w:val="21"/>
                <w:szCs w:val="21"/>
                <w:lang w:val="en-US" w:eastAsia="zh-CN" w:bidi="ar-SA"/>
              </w:rPr>
              <w:t>供应商须知前附表</w:t>
            </w:r>
            <w:r>
              <w:rPr>
                <w:rFonts w:hint="eastAsia" w:ascii="仿宋" w:hAnsi="仿宋" w:eastAsia="仿宋" w:cs="仿宋"/>
                <w:color w:val="1F1F1F"/>
                <w:spacing w:val="10"/>
                <w:kern w:val="2"/>
                <w:sz w:val="21"/>
                <w:szCs w:val="21"/>
                <w:lang w:val="en-US" w:eastAsia="en-US" w:bidi="ar-SA"/>
              </w:rPr>
              <w:t>不一致之处以</w:t>
            </w:r>
            <w:r>
              <w:rPr>
                <w:rFonts w:hint="default" w:ascii="仿宋" w:hAnsi="仿宋" w:eastAsia="仿宋" w:cs="仿宋"/>
                <w:color w:val="1F1F1F"/>
                <w:spacing w:val="10"/>
                <w:kern w:val="2"/>
                <w:sz w:val="21"/>
                <w:szCs w:val="21"/>
                <w:lang w:val="en-US" w:eastAsia="zh-CN" w:bidi="ar-SA"/>
              </w:rPr>
              <w:t>供应商须知前附表</w:t>
            </w:r>
            <w:r>
              <w:rPr>
                <w:rFonts w:hint="eastAsia" w:ascii="仿宋" w:hAnsi="仿宋" w:eastAsia="仿宋" w:cs="仿宋"/>
                <w:color w:val="1F1F1F"/>
                <w:spacing w:val="10"/>
                <w:kern w:val="2"/>
                <w:sz w:val="21"/>
                <w:szCs w:val="21"/>
                <w:lang w:val="en-US" w:eastAsia="en-US" w:bidi="ar-SA"/>
              </w:rPr>
              <w:t>为准。</w:t>
            </w:r>
          </w:p>
        </w:tc>
      </w:tr>
    </w:tbl>
    <w:p w14:paraId="4461BD27">
      <w:pPr>
        <w:ind w:left="0" w:leftChars="0" w:firstLine="0" w:firstLineChars="0"/>
        <w:rPr>
          <w:rFonts w:hint="default" w:ascii="Times New Roman" w:hAnsi="Times New Roman" w:cs="Times New Roman" w:eastAsiaTheme="minorEastAsia"/>
          <w:b/>
          <w:bCs/>
          <w:sz w:val="28"/>
          <w:szCs w:val="28"/>
          <w:lang w:eastAsia="zh-CN"/>
        </w:rPr>
      </w:pPr>
      <w:r>
        <w:rPr>
          <w:rFonts w:hint="default" w:ascii="Times New Roman" w:hAnsi="Times New Roman" w:cs="Times New Roman" w:eastAsiaTheme="minorEastAsia"/>
          <w:b/>
          <w:bCs/>
          <w:sz w:val="28"/>
          <w:szCs w:val="28"/>
          <w:lang w:eastAsia="zh-CN"/>
        </w:rPr>
        <w:br w:type="page"/>
      </w:r>
    </w:p>
    <w:p w14:paraId="175ADABB">
      <w:pPr>
        <w:pStyle w:val="12"/>
        <w:ind w:left="0" w:leftChars="0" w:firstLine="0" w:firstLineChars="0"/>
        <w:rPr>
          <w:rFonts w:hint="default" w:ascii="Times New Roman" w:hAnsi="Times New Roman" w:cs="Times New Roman" w:eastAsiaTheme="minorEastAsia"/>
          <w:b/>
          <w:bCs/>
          <w:sz w:val="28"/>
          <w:szCs w:val="28"/>
          <w:lang w:eastAsia="zh-CN"/>
        </w:rPr>
      </w:pPr>
      <w:r>
        <w:rPr>
          <w:rFonts w:hint="default" w:ascii="Times New Roman" w:hAnsi="Times New Roman" w:cs="Times New Roman" w:eastAsiaTheme="minorEastAsia"/>
          <w:b/>
          <w:bCs/>
          <w:sz w:val="28"/>
          <w:szCs w:val="28"/>
          <w:lang w:eastAsia="zh-CN"/>
        </w:rPr>
        <w:t>二、供应商须知</w:t>
      </w:r>
    </w:p>
    <w:p w14:paraId="3B0C810D">
      <w:pPr>
        <w:pStyle w:val="3"/>
        <w:keepNext/>
        <w:keepLines/>
        <w:pageBreakBefore w:val="0"/>
        <w:widowControl w:val="0"/>
        <w:numPr>
          <w:ilvl w:val="0"/>
          <w:numId w:val="0"/>
        </w:numPr>
        <w:kinsoku/>
        <w:wordWrap/>
        <w:overflowPunct/>
        <w:topLinePunct/>
        <w:autoSpaceDE/>
        <w:autoSpaceDN/>
        <w:bidi w:val="0"/>
        <w:adjustRightInd/>
        <w:snapToGrid/>
        <w:spacing w:before="80" w:after="80" w:line="360" w:lineRule="auto"/>
        <w:ind w:left="420" w:leftChars="0" w:hanging="420" w:firstLineChars="0"/>
        <w:jc w:val="center"/>
        <w:textAlignment w:val="auto"/>
        <w:rPr>
          <w:rFonts w:hint="eastAsia" w:eastAsia="宋体" w:asciiTheme="majorHAnsi" w:hAnsiTheme="majorHAnsi" w:cstheme="majorBidi"/>
          <w:b/>
          <w:bCs/>
          <w:color w:val="000000" w:themeColor="text1"/>
          <w:kern w:val="2"/>
          <w:sz w:val="28"/>
          <w:szCs w:val="28"/>
          <w:highlight w:val="none"/>
          <w:lang w:val="en-US" w:eastAsia="zh-CN" w:bidi="ar-SA"/>
          <w14:textFill>
            <w14:solidFill>
              <w14:schemeClr w14:val="tx1"/>
            </w14:solidFill>
          </w14:textFill>
        </w:rPr>
      </w:pPr>
      <w:r>
        <w:rPr>
          <w:rFonts w:hint="eastAsia" w:eastAsia="宋体" w:asciiTheme="majorHAnsi" w:hAnsiTheme="majorHAnsi" w:cstheme="majorBidi"/>
          <w:b/>
          <w:bCs/>
          <w:color w:val="000000" w:themeColor="text1"/>
          <w:kern w:val="2"/>
          <w:sz w:val="28"/>
          <w:szCs w:val="28"/>
          <w:highlight w:val="none"/>
          <w:lang w:val="en-US" w:eastAsia="zh-CN" w:bidi="ar-SA"/>
          <w14:textFill>
            <w14:solidFill>
              <w14:schemeClr w14:val="tx1"/>
            </w14:solidFill>
          </w14:textFill>
        </w:rPr>
        <w:t>二、供应商须知</w:t>
      </w:r>
    </w:p>
    <w:p w14:paraId="58C76502">
      <w:pPr>
        <w:pStyle w:val="4"/>
        <w:keepNext w:val="0"/>
        <w:keepLines w:val="0"/>
        <w:pageBreakBefore w:val="0"/>
        <w:widowControl w:val="0"/>
        <w:numPr>
          <w:ilvl w:val="0"/>
          <w:numId w:val="0"/>
        </w:numPr>
        <w:kinsoku/>
        <w:wordWrap/>
        <w:overflowPunct/>
        <w:topLinePunct/>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pPr>
      <w:bookmarkStart w:id="16" w:name="_Toc163493611"/>
      <w:bookmarkStart w:id="17" w:name="_Toc109900370"/>
      <w:bookmarkStart w:id="18" w:name="_Toc109897433"/>
      <w:bookmarkStart w:id="19" w:name="_Toc109899532"/>
      <w:bookmarkStart w:id="20" w:name="_Toc109899951"/>
      <w:bookmarkStart w:id="21" w:name="_Toc46771638"/>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（一）总则</w:t>
      </w:r>
      <w:bookmarkEnd w:id="16"/>
      <w:bookmarkEnd w:id="17"/>
      <w:bookmarkEnd w:id="18"/>
      <w:bookmarkEnd w:id="19"/>
      <w:bookmarkEnd w:id="20"/>
      <w:bookmarkEnd w:id="21"/>
    </w:p>
    <w:p w14:paraId="17FFF9A3">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22" w:name="_Toc52962726"/>
      <w:bookmarkStart w:id="23" w:name="_Toc51674210"/>
      <w:bookmarkStart w:id="24" w:name="_Toc109897434"/>
      <w:bookmarkStart w:id="25" w:name="_Toc52960552"/>
      <w:bookmarkStart w:id="26" w:name="_Toc48846108"/>
      <w:bookmarkStart w:id="27" w:name="_Toc27243"/>
      <w:bookmarkStart w:id="28" w:name="_Toc109900371"/>
      <w:bookmarkStart w:id="29" w:name="_Toc470172664"/>
      <w:bookmarkStart w:id="30" w:name="_Toc109899952"/>
      <w:bookmarkStart w:id="31" w:name="_Toc46772240"/>
      <w:bookmarkStart w:id="32" w:name="_Toc109899533"/>
      <w:bookmarkStart w:id="33" w:name="_Toc48688788"/>
      <w:bookmarkStart w:id="34" w:name="_Toc46771639"/>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1.适用范围</w:t>
      </w:r>
      <w:bookmarkEnd w:id="22"/>
      <w:bookmarkEnd w:id="23"/>
      <w:bookmarkEnd w:id="24"/>
      <w:bookmarkEnd w:id="25"/>
      <w:bookmarkEnd w:id="26"/>
      <w:bookmarkEnd w:id="27"/>
      <w:bookmarkEnd w:id="28"/>
      <w:bookmarkEnd w:id="29"/>
      <w:bookmarkEnd w:id="30"/>
      <w:bookmarkEnd w:id="31"/>
      <w:bookmarkEnd w:id="32"/>
      <w:bookmarkEnd w:id="33"/>
      <w:bookmarkEnd w:id="34"/>
    </w:p>
    <w:p w14:paraId="011503DB">
      <w:pPr>
        <w:pStyle w:val="48"/>
        <w:keepNext w:val="0"/>
        <w:keepLines w:val="0"/>
        <w:pageBreakBefore w:val="0"/>
        <w:widowControl w:val="0"/>
        <w:kinsoku/>
        <w:overflowPunct/>
        <w:topLinePunct/>
        <w:bidi w:val="0"/>
        <w:ind w:firstLine="480"/>
        <w:textAlignment w:val="auto"/>
        <w:rPr>
          <w:rFonts w:hint="eastAsia" w:ascii="宋体" w:hAnsi="宋体" w:eastAsia="宋体" w:cs="宋体"/>
          <w:i w:val="0"/>
          <w:iCs w:val="0"/>
          <w:snapToGrid w:val="0"/>
          <w:color w:val="000000" w:themeColor="text1"/>
          <w:highlight w:val="none"/>
          <w14:textFill>
            <w14:solidFill>
              <w14:schemeClr w14:val="tx1"/>
            </w14:solidFill>
          </w14:textFill>
        </w:rPr>
      </w:pPr>
      <w:r>
        <w:rPr>
          <w:rFonts w:hint="eastAsia" w:ascii="宋体" w:hAnsi="宋体" w:eastAsia="宋体" w:cs="宋体"/>
          <w:i w:val="0"/>
          <w:iCs w:val="0"/>
          <w:snapToGrid w:val="0"/>
          <w:color w:val="000000" w:themeColor="text1"/>
          <w:highlight w:val="none"/>
          <w14:textFill>
            <w14:solidFill>
              <w14:schemeClr w14:val="tx1"/>
            </w14:solidFill>
          </w14:textFill>
        </w:rPr>
        <w:t>1.1本竞争性磋商文件（也称磋商文件或采购文件）仅适用于本次竞争性磋商中所述项目的采购活动。</w:t>
      </w:r>
    </w:p>
    <w:p w14:paraId="1191F3A1">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35" w:name="_Toc163492824"/>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2.基本定义</w:t>
      </w:r>
      <w:bookmarkEnd w:id="35"/>
    </w:p>
    <w:p w14:paraId="6D85F927">
      <w:pPr>
        <w:pStyle w:val="48"/>
        <w:keepNext w:val="0"/>
        <w:keepLines w:val="0"/>
        <w:pageBreakBefore w:val="0"/>
        <w:widowControl w:val="0"/>
        <w:kinsoku/>
        <w:overflowPunct/>
        <w:topLinePunct/>
        <w:bidi w:val="0"/>
        <w:ind w:firstLine="480"/>
        <w:textAlignment w:val="auto"/>
        <w:rPr>
          <w:rFonts w:hint="eastAsia" w:eastAsia="宋体"/>
          <w:i w:val="0"/>
          <w:iCs w:val="0"/>
          <w:snapToGrid w:val="0"/>
          <w:color w:val="000000" w:themeColor="text1"/>
          <w:highlight w:val="none"/>
          <w14:textFill>
            <w14:solidFill>
              <w14:schemeClr w14:val="tx1"/>
            </w14:solidFill>
          </w14:textFill>
        </w:rPr>
      </w:pPr>
      <w:r>
        <w:rPr>
          <w:rFonts w:hint="eastAsia" w:eastAsia="宋体"/>
          <w:i w:val="0"/>
          <w:iCs w:val="0"/>
          <w:snapToGrid w:val="0"/>
          <w:color w:val="000000" w:themeColor="text1"/>
          <w:highlight w:val="none"/>
          <w14:textFill>
            <w14:solidFill>
              <w14:schemeClr w14:val="tx1"/>
            </w14:solidFill>
          </w14:textFill>
        </w:rPr>
        <w:t>2.1根据《中华人民共和国政府采购法》及其实施条例等有关法律、法规和规章的规定，制定本竞争性磋商文件。</w:t>
      </w:r>
    </w:p>
    <w:p w14:paraId="2AFD8F9C">
      <w:pPr>
        <w:pStyle w:val="48"/>
        <w:keepNext w:val="0"/>
        <w:keepLines w:val="0"/>
        <w:pageBreakBefore w:val="0"/>
        <w:widowControl w:val="0"/>
        <w:kinsoku/>
        <w:overflowPunct/>
        <w:topLinePunct/>
        <w:bidi w:val="0"/>
        <w:ind w:firstLine="480"/>
        <w:textAlignment w:val="auto"/>
        <w:rPr>
          <w:rFonts w:hint="eastAsia" w:eastAsia="宋体"/>
          <w:i w:val="0"/>
          <w:iCs w:val="0"/>
          <w:snapToGrid w:val="0"/>
          <w:color w:val="000000" w:themeColor="text1"/>
          <w:highlight w:val="none"/>
          <w14:textFill>
            <w14:solidFill>
              <w14:schemeClr w14:val="tx1"/>
            </w14:solidFill>
          </w14:textFill>
        </w:rPr>
      </w:pPr>
      <w:r>
        <w:rPr>
          <w:rFonts w:hint="eastAsia" w:eastAsia="宋体"/>
          <w:i w:val="0"/>
          <w:iCs w:val="0"/>
          <w:snapToGrid w:val="0"/>
          <w:color w:val="000000" w:themeColor="text1"/>
          <w:highlight w:val="none"/>
          <w14:textFill>
            <w14:solidFill>
              <w14:schemeClr w14:val="tx1"/>
            </w14:solidFill>
          </w14:textFill>
        </w:rPr>
        <w:t>2.2采购人：</w:t>
      </w:r>
      <w:r>
        <w:rPr>
          <w:rFonts w:hint="eastAsia" w:eastAsia="宋体"/>
          <w:i w:val="0"/>
          <w:iCs w:val="0"/>
          <w:snapToGrid w:val="0"/>
          <w:color w:val="000000" w:themeColor="text1"/>
          <w:highlight w:val="none"/>
          <w:lang w:val="en-US" w:eastAsia="zh-CN"/>
          <w14:textFill>
            <w14:solidFill>
              <w14:schemeClr w14:val="tx1"/>
            </w14:solidFill>
          </w14:textFill>
        </w:rPr>
        <w:t>指依法进行政府采购的国家机关、事业单位、团体组织</w:t>
      </w:r>
      <w:r>
        <w:rPr>
          <w:rFonts w:hint="eastAsia" w:eastAsia="宋体"/>
          <w:i w:val="0"/>
          <w:iCs w:val="0"/>
          <w:snapToGrid w:val="0"/>
          <w:color w:val="000000" w:themeColor="text1"/>
          <w:highlight w:val="none"/>
          <w14:textFill>
            <w14:solidFill>
              <w14:schemeClr w14:val="tx1"/>
            </w14:solidFill>
          </w14:textFill>
        </w:rPr>
        <w:t>。</w:t>
      </w:r>
    </w:p>
    <w:p w14:paraId="2FFC371C">
      <w:pPr>
        <w:pStyle w:val="48"/>
        <w:keepNext w:val="0"/>
        <w:keepLines w:val="0"/>
        <w:pageBreakBefore w:val="0"/>
        <w:widowControl w:val="0"/>
        <w:kinsoku/>
        <w:overflowPunct/>
        <w:topLinePunct/>
        <w:bidi w:val="0"/>
        <w:ind w:firstLine="480"/>
        <w:textAlignment w:val="auto"/>
        <w:rPr>
          <w:rFonts w:hint="eastAsia" w:eastAsia="宋体"/>
          <w:i w:val="0"/>
          <w:iCs w:val="0"/>
          <w:snapToGrid w:val="0"/>
          <w:color w:val="000000" w:themeColor="text1"/>
          <w:highlight w:val="none"/>
          <w14:textFill>
            <w14:solidFill>
              <w14:schemeClr w14:val="tx1"/>
            </w14:solidFill>
          </w14:textFill>
        </w:rPr>
      </w:pPr>
      <w:r>
        <w:rPr>
          <w:rFonts w:hint="eastAsia" w:eastAsia="宋体"/>
          <w:i w:val="0"/>
          <w:iCs w:val="0"/>
          <w:snapToGrid w:val="0"/>
          <w:color w:val="000000" w:themeColor="text1"/>
          <w:highlight w:val="none"/>
          <w14:textFill>
            <w14:solidFill>
              <w14:schemeClr w14:val="tx1"/>
            </w14:solidFill>
          </w14:textFill>
        </w:rPr>
        <w:t>2.3采购代理机构：</w:t>
      </w:r>
      <w:r>
        <w:rPr>
          <w:rFonts w:hint="eastAsia" w:eastAsia="宋体"/>
          <w:i w:val="0"/>
          <w:iCs w:val="0"/>
          <w:snapToGrid w:val="0"/>
          <w:color w:val="000000" w:themeColor="text1"/>
          <w:highlight w:val="none"/>
          <w:lang w:val="en-US" w:eastAsia="zh-CN"/>
          <w14:textFill>
            <w14:solidFill>
              <w14:schemeClr w14:val="tx1"/>
            </w14:solidFill>
          </w14:textFill>
        </w:rPr>
        <w:t>指依法进行政府采购的国家机关、事业单位、团体组织委托的采购代理机构</w:t>
      </w:r>
      <w:r>
        <w:rPr>
          <w:rFonts w:hint="eastAsia" w:eastAsia="宋体"/>
          <w:i w:val="0"/>
          <w:iCs w:val="0"/>
          <w:snapToGrid w:val="0"/>
          <w:color w:val="000000" w:themeColor="text1"/>
          <w:highlight w:val="none"/>
          <w14:textFill>
            <w14:solidFill>
              <w14:schemeClr w14:val="tx1"/>
            </w14:solidFill>
          </w14:textFill>
        </w:rPr>
        <w:t>。</w:t>
      </w:r>
    </w:p>
    <w:p w14:paraId="7301F109">
      <w:pPr>
        <w:pStyle w:val="48"/>
        <w:keepNext w:val="0"/>
        <w:keepLines w:val="0"/>
        <w:pageBreakBefore w:val="0"/>
        <w:widowControl w:val="0"/>
        <w:kinsoku/>
        <w:overflowPunct/>
        <w:topLinePunct/>
        <w:bidi w:val="0"/>
        <w:ind w:firstLine="480"/>
        <w:textAlignment w:val="auto"/>
        <w:rPr>
          <w:rFonts w:hint="eastAsia" w:eastAsia="宋体"/>
          <w:i w:val="0"/>
          <w:iCs w:val="0"/>
          <w:snapToGrid w:val="0"/>
          <w:color w:val="000000" w:themeColor="text1"/>
          <w:highlight w:val="none"/>
          <w14:textFill>
            <w14:solidFill>
              <w14:schemeClr w14:val="tx1"/>
            </w14:solidFill>
          </w14:textFill>
        </w:rPr>
      </w:pPr>
      <w:r>
        <w:rPr>
          <w:rFonts w:hint="eastAsia" w:eastAsia="宋体"/>
          <w:i w:val="0"/>
          <w:iCs w:val="0"/>
          <w:snapToGrid w:val="0"/>
          <w:color w:val="000000" w:themeColor="text1"/>
          <w:highlight w:val="none"/>
          <w14:textFill>
            <w14:solidFill>
              <w14:schemeClr w14:val="tx1"/>
            </w14:solidFill>
          </w14:textFill>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5340B73">
      <w:pPr>
        <w:pStyle w:val="48"/>
        <w:keepNext w:val="0"/>
        <w:keepLines w:val="0"/>
        <w:pageBreakBefore w:val="0"/>
        <w:widowControl w:val="0"/>
        <w:kinsoku/>
        <w:overflowPunct/>
        <w:topLinePunct/>
        <w:bidi w:val="0"/>
        <w:ind w:firstLine="480"/>
        <w:textAlignment w:val="auto"/>
        <w:rPr>
          <w:rFonts w:hint="eastAsia" w:eastAsia="宋体"/>
          <w:i w:val="0"/>
          <w:iCs w:val="0"/>
          <w:snapToGrid w:val="0"/>
          <w:color w:val="000000" w:themeColor="text1"/>
          <w:highlight w:val="none"/>
          <w14:textFill>
            <w14:solidFill>
              <w14:schemeClr w14:val="tx1"/>
            </w14:solidFill>
          </w14:textFill>
        </w:rPr>
      </w:pPr>
      <w:r>
        <w:rPr>
          <w:rFonts w:hint="eastAsia" w:eastAsia="宋体"/>
          <w:i w:val="0"/>
          <w:iCs w:val="0"/>
          <w:snapToGrid w:val="0"/>
          <w:color w:val="000000" w:themeColor="text1"/>
          <w:highlight w:val="none"/>
          <w:lang w:val="en-US" w:eastAsia="zh-CN"/>
          <w14:textFill>
            <w14:solidFill>
              <w14:schemeClr w14:val="tx1"/>
            </w14:solidFill>
          </w14:textFill>
        </w:rPr>
        <w:t>2.5供应商（也称“申请人”）：指向采购人提供货物、工程或者服务的法人、其他组织或者自然人。</w:t>
      </w:r>
      <w:r>
        <w:rPr>
          <w:rFonts w:hint="eastAsia" w:eastAsia="宋体"/>
          <w:i w:val="0"/>
          <w:iCs w:val="0"/>
          <w:snapToGrid w:val="0"/>
          <w:color w:val="000000" w:themeColor="text1"/>
          <w:highlight w:val="none"/>
          <w14:textFill>
            <w14:solidFill>
              <w14:schemeClr w14:val="tx1"/>
            </w14:solidFill>
          </w14:textFill>
        </w:rPr>
        <w:t>分支机构不得参加政府采购活动，但银行、保险、石油石化、电力、电信等</w:t>
      </w:r>
      <w:r>
        <w:rPr>
          <w:rFonts w:hint="eastAsia" w:eastAsia="宋体"/>
          <w:i w:val="0"/>
          <w:iCs w:val="0"/>
          <w:snapToGrid w:val="0"/>
          <w:color w:val="000000" w:themeColor="text1"/>
          <w:highlight w:val="none"/>
          <w:lang w:val="en-US" w:eastAsia="zh-CN"/>
          <w14:textFill>
            <w14:solidFill>
              <w14:schemeClr w14:val="tx1"/>
            </w14:solidFill>
          </w14:textFill>
        </w:rPr>
        <w:t>有</w:t>
      </w:r>
      <w:r>
        <w:rPr>
          <w:rFonts w:hint="eastAsia" w:eastAsia="宋体"/>
          <w:i w:val="0"/>
          <w:iCs w:val="0"/>
          <w:snapToGrid w:val="0"/>
          <w:color w:val="000000" w:themeColor="text1"/>
          <w:highlight w:val="none"/>
          <w14:textFill>
            <w14:solidFill>
              <w14:schemeClr w14:val="tx1"/>
            </w14:solidFill>
          </w14:textFill>
        </w:rPr>
        <w:t>行业特殊</w:t>
      </w:r>
      <w:r>
        <w:rPr>
          <w:rFonts w:hint="eastAsia" w:eastAsia="宋体"/>
          <w:i w:val="0"/>
          <w:iCs w:val="0"/>
          <w:snapToGrid w:val="0"/>
          <w:color w:val="000000" w:themeColor="text1"/>
          <w:highlight w:val="none"/>
          <w:lang w:val="en-US" w:eastAsia="zh-CN"/>
          <w14:textFill>
            <w14:solidFill>
              <w14:schemeClr w14:val="tx1"/>
            </w14:solidFill>
          </w14:textFill>
        </w:rPr>
        <w:t>情况的</w:t>
      </w:r>
      <w:r>
        <w:rPr>
          <w:rFonts w:hint="eastAsia" w:eastAsia="宋体"/>
          <w:i w:val="0"/>
          <w:iCs w:val="0"/>
          <w:snapToGrid w:val="0"/>
          <w:color w:val="000000" w:themeColor="text1"/>
          <w:highlight w:val="none"/>
          <w14:textFill>
            <w14:solidFill>
              <w14:schemeClr w14:val="tx1"/>
            </w14:solidFill>
          </w14:textFill>
        </w:rPr>
        <w:t>除外。本项目的</w:t>
      </w:r>
      <w:r>
        <w:rPr>
          <w:rFonts w:hint="eastAsia" w:eastAsia="宋体"/>
          <w:i w:val="0"/>
          <w:iCs w:val="0"/>
          <w:snapToGrid w:val="0"/>
          <w:color w:val="000000" w:themeColor="text1"/>
          <w:highlight w:val="none"/>
          <w:lang w:val="en-US" w:eastAsia="zh-CN"/>
          <w14:textFill>
            <w14:solidFill>
              <w14:schemeClr w14:val="tx1"/>
            </w14:solidFill>
          </w14:textFill>
        </w:rPr>
        <w:t>供应商</w:t>
      </w:r>
      <w:r>
        <w:rPr>
          <w:rFonts w:hint="eastAsia" w:eastAsia="宋体"/>
          <w:i w:val="0"/>
          <w:iCs w:val="0"/>
          <w:snapToGrid w:val="0"/>
          <w:color w:val="000000" w:themeColor="text1"/>
          <w:highlight w:val="none"/>
          <w14:textFill>
            <w14:solidFill>
              <w14:schemeClr w14:val="tx1"/>
            </w14:solidFill>
          </w14:textFill>
        </w:rPr>
        <w:t>须满足以下条件：</w:t>
      </w:r>
    </w:p>
    <w:p w14:paraId="5BA9E8BC">
      <w:pPr>
        <w:pStyle w:val="48"/>
        <w:keepNext w:val="0"/>
        <w:keepLines w:val="0"/>
        <w:pageBreakBefore w:val="0"/>
        <w:widowControl w:val="0"/>
        <w:kinsoku/>
        <w:overflowPunct/>
        <w:topLinePunct/>
        <w:bidi w:val="0"/>
        <w:ind w:firstLine="480"/>
        <w:textAlignment w:val="auto"/>
        <w:rPr>
          <w:rFonts w:hint="eastAsia" w:eastAsia="宋体"/>
          <w:i w:val="0"/>
          <w:iCs w:val="0"/>
          <w:snapToGrid w:val="0"/>
          <w:color w:val="000000" w:themeColor="text1"/>
          <w:highlight w:val="none"/>
          <w14:textFill>
            <w14:solidFill>
              <w14:schemeClr w14:val="tx1"/>
            </w14:solidFill>
          </w14:textFill>
        </w:rPr>
      </w:pPr>
      <w:r>
        <w:rPr>
          <w:rFonts w:hint="eastAsia" w:eastAsia="宋体"/>
          <w:i w:val="0"/>
          <w:iCs w:val="0"/>
          <w:snapToGrid w:val="0"/>
          <w:color w:val="000000" w:themeColor="text1"/>
          <w:highlight w:val="none"/>
          <w:lang w:val="en-US" w:eastAsia="zh-CN"/>
          <w14:textFill>
            <w14:solidFill>
              <w14:schemeClr w14:val="tx1"/>
            </w14:solidFill>
          </w14:textFill>
        </w:rPr>
        <w:t>2</w:t>
      </w:r>
      <w:r>
        <w:rPr>
          <w:rFonts w:hint="eastAsia" w:eastAsia="宋体"/>
          <w:i w:val="0"/>
          <w:iCs w:val="0"/>
          <w:snapToGrid w:val="0"/>
          <w:color w:val="000000" w:themeColor="text1"/>
          <w:highlight w:val="none"/>
          <w:lang w:eastAsia="zh-CN"/>
          <w14:textFill>
            <w14:solidFill>
              <w14:schemeClr w14:val="tx1"/>
            </w14:solidFill>
          </w14:textFill>
        </w:rPr>
        <w:t>.</w:t>
      </w:r>
      <w:r>
        <w:rPr>
          <w:rFonts w:hint="eastAsia" w:eastAsia="宋体"/>
          <w:i w:val="0"/>
          <w:iCs w:val="0"/>
          <w:snapToGrid w:val="0"/>
          <w:color w:val="000000" w:themeColor="text1"/>
          <w:highlight w:val="none"/>
          <w:lang w:val="en-US" w:eastAsia="zh-CN"/>
          <w14:textFill>
            <w14:solidFill>
              <w14:schemeClr w14:val="tx1"/>
            </w14:solidFill>
          </w14:textFill>
        </w:rPr>
        <w:t>5</w:t>
      </w:r>
      <w:r>
        <w:rPr>
          <w:rFonts w:hint="eastAsia" w:eastAsia="宋体"/>
          <w:i w:val="0"/>
          <w:iCs w:val="0"/>
          <w:snapToGrid w:val="0"/>
          <w:color w:val="000000" w:themeColor="text1"/>
          <w:highlight w:val="none"/>
          <w14:textFill>
            <w14:solidFill>
              <w14:schemeClr w14:val="tx1"/>
            </w14:solidFill>
          </w14:textFill>
        </w:rPr>
        <w:t>.</w:t>
      </w:r>
      <w:r>
        <w:rPr>
          <w:rFonts w:hint="eastAsia" w:eastAsia="宋体"/>
          <w:i w:val="0"/>
          <w:iCs w:val="0"/>
          <w:snapToGrid w:val="0"/>
          <w:color w:val="000000" w:themeColor="text1"/>
          <w:highlight w:val="none"/>
          <w:lang w:val="en-US" w:eastAsia="zh-CN"/>
          <w14:textFill>
            <w14:solidFill>
              <w14:schemeClr w14:val="tx1"/>
            </w14:solidFill>
          </w14:textFill>
        </w:rPr>
        <w:t>1</w:t>
      </w:r>
      <w:r>
        <w:rPr>
          <w:rFonts w:hint="eastAsia" w:eastAsia="宋体"/>
          <w:i w:val="0"/>
          <w:iCs w:val="0"/>
          <w:snapToGrid w:val="0"/>
          <w:color w:val="000000" w:themeColor="text1"/>
          <w:highlight w:val="none"/>
          <w14:textFill>
            <w14:solidFill>
              <w14:schemeClr w14:val="tx1"/>
            </w14:solidFill>
          </w14:textFill>
        </w:rPr>
        <w:t>具备《中华人民共和国政府采购法》第二十二条规定的</w:t>
      </w:r>
      <w:r>
        <w:rPr>
          <w:rFonts w:hint="eastAsia" w:eastAsia="宋体"/>
          <w:i w:val="0"/>
          <w:iCs w:val="0"/>
          <w:snapToGrid w:val="0"/>
          <w:color w:val="000000" w:themeColor="text1"/>
          <w:highlight w:val="none"/>
          <w:lang w:val="en-US" w:eastAsia="zh-CN"/>
          <w14:textFill>
            <w14:solidFill>
              <w14:schemeClr w14:val="tx1"/>
            </w14:solidFill>
          </w14:textFill>
        </w:rPr>
        <w:t>条件</w:t>
      </w:r>
      <w:r>
        <w:rPr>
          <w:rFonts w:hint="eastAsia" w:eastAsia="宋体"/>
          <w:i w:val="0"/>
          <w:iCs w:val="0"/>
          <w:snapToGrid w:val="0"/>
          <w:color w:val="000000" w:themeColor="text1"/>
          <w:highlight w:val="none"/>
          <w14:textFill>
            <w14:solidFill>
              <w14:schemeClr w14:val="tx1"/>
            </w14:solidFill>
          </w14:textFill>
        </w:rPr>
        <w:t>，遵守本项目采购人本级和上级财政部门政府采购的有关规定。</w:t>
      </w:r>
    </w:p>
    <w:p w14:paraId="514EE1C7">
      <w:pPr>
        <w:pStyle w:val="48"/>
        <w:keepNext w:val="0"/>
        <w:keepLines w:val="0"/>
        <w:pageBreakBefore w:val="0"/>
        <w:widowControl w:val="0"/>
        <w:kinsoku/>
        <w:overflowPunct/>
        <w:topLinePunct/>
        <w:bidi w:val="0"/>
        <w:ind w:firstLine="480"/>
        <w:textAlignment w:val="auto"/>
        <w:rPr>
          <w:rFonts w:hint="eastAsia" w:eastAsia="宋体"/>
          <w:i w:val="0"/>
          <w:iCs w:val="0"/>
          <w:snapToGrid w:val="0"/>
          <w:color w:val="000000" w:themeColor="text1"/>
          <w:highlight w:val="none"/>
          <w14:textFill>
            <w14:solidFill>
              <w14:schemeClr w14:val="tx1"/>
            </w14:solidFill>
          </w14:textFill>
        </w:rPr>
      </w:pPr>
      <w:r>
        <w:rPr>
          <w:rFonts w:hint="eastAsia" w:eastAsia="宋体"/>
          <w:i w:val="0"/>
          <w:iCs w:val="0"/>
          <w:snapToGrid w:val="0"/>
          <w:color w:val="000000" w:themeColor="text1"/>
          <w:highlight w:val="none"/>
          <w:lang w:val="en-US" w:eastAsia="zh-CN"/>
          <w14:textFill>
            <w14:solidFill>
              <w14:schemeClr w14:val="tx1"/>
            </w14:solidFill>
          </w14:textFill>
        </w:rPr>
        <w:t>2</w:t>
      </w:r>
      <w:r>
        <w:rPr>
          <w:rFonts w:hint="eastAsia" w:eastAsia="宋体"/>
          <w:i w:val="0"/>
          <w:iCs w:val="0"/>
          <w:snapToGrid w:val="0"/>
          <w:color w:val="000000" w:themeColor="text1"/>
          <w:highlight w:val="none"/>
          <w:lang w:eastAsia="zh-CN"/>
          <w14:textFill>
            <w14:solidFill>
              <w14:schemeClr w14:val="tx1"/>
            </w14:solidFill>
          </w14:textFill>
        </w:rPr>
        <w:t>.</w:t>
      </w:r>
      <w:r>
        <w:rPr>
          <w:rFonts w:hint="eastAsia" w:eastAsia="宋体"/>
          <w:i w:val="0"/>
          <w:iCs w:val="0"/>
          <w:snapToGrid w:val="0"/>
          <w:color w:val="000000" w:themeColor="text1"/>
          <w:highlight w:val="none"/>
          <w:lang w:val="en-US" w:eastAsia="zh-CN"/>
          <w14:textFill>
            <w14:solidFill>
              <w14:schemeClr w14:val="tx1"/>
            </w14:solidFill>
          </w14:textFill>
        </w:rPr>
        <w:t>5</w:t>
      </w:r>
      <w:r>
        <w:rPr>
          <w:rFonts w:hint="eastAsia" w:eastAsia="宋体"/>
          <w:i w:val="0"/>
          <w:iCs w:val="0"/>
          <w:snapToGrid w:val="0"/>
          <w:color w:val="000000" w:themeColor="text1"/>
          <w:highlight w:val="none"/>
          <w14:textFill>
            <w14:solidFill>
              <w14:schemeClr w14:val="tx1"/>
            </w14:solidFill>
          </w14:textFill>
        </w:rPr>
        <w:t>.</w:t>
      </w:r>
      <w:r>
        <w:rPr>
          <w:rFonts w:hint="eastAsia" w:eastAsia="宋体"/>
          <w:i w:val="0"/>
          <w:iCs w:val="0"/>
          <w:snapToGrid w:val="0"/>
          <w:color w:val="000000" w:themeColor="text1"/>
          <w:highlight w:val="none"/>
          <w:lang w:val="en-US" w:eastAsia="zh-CN"/>
          <w14:textFill>
            <w14:solidFill>
              <w14:schemeClr w14:val="tx1"/>
            </w14:solidFill>
          </w14:textFill>
        </w:rPr>
        <w:t>2</w:t>
      </w:r>
      <w:r>
        <w:rPr>
          <w:rFonts w:hint="eastAsia" w:eastAsia="宋体"/>
          <w:i w:val="0"/>
          <w:iCs w:val="0"/>
          <w:snapToGrid w:val="0"/>
          <w:color w:val="000000" w:themeColor="text1"/>
          <w:highlight w:val="none"/>
          <w14:textFill>
            <w14:solidFill>
              <w14:schemeClr w14:val="tx1"/>
            </w14:solidFill>
          </w14:textFill>
        </w:rPr>
        <w:t>以</w:t>
      </w:r>
      <w:r>
        <w:rPr>
          <w:rFonts w:hint="eastAsia" w:eastAsia="宋体"/>
          <w:i w:val="0"/>
          <w:iCs w:val="0"/>
          <w:snapToGrid w:val="0"/>
          <w:color w:val="000000" w:themeColor="text1"/>
          <w:highlight w:val="none"/>
          <w:lang w:val="en-US" w:eastAsia="zh-CN"/>
          <w14:textFill>
            <w14:solidFill>
              <w14:schemeClr w14:val="tx1"/>
            </w14:solidFill>
          </w14:textFill>
        </w:rPr>
        <w:t>竞争性磋商公告中发布</w:t>
      </w:r>
      <w:r>
        <w:rPr>
          <w:rFonts w:hint="eastAsia" w:eastAsia="宋体"/>
          <w:i w:val="0"/>
          <w:iCs w:val="0"/>
          <w:snapToGrid w:val="0"/>
          <w:color w:val="000000" w:themeColor="text1"/>
          <w:highlight w:val="none"/>
          <w14:textFill>
            <w14:solidFill>
              <w14:schemeClr w14:val="tx1"/>
            </w14:solidFill>
          </w14:textFill>
        </w:rPr>
        <w:t>的方式</w:t>
      </w:r>
      <w:r>
        <w:rPr>
          <w:rFonts w:hint="eastAsia" w:eastAsia="宋体"/>
          <w:i w:val="0"/>
          <w:iCs w:val="0"/>
          <w:snapToGrid w:val="0"/>
          <w:color w:val="000000" w:themeColor="text1"/>
          <w:highlight w:val="none"/>
          <w:lang w:eastAsia="zh-CN"/>
          <w14:textFill>
            <w14:solidFill>
              <w14:schemeClr w14:val="tx1"/>
            </w14:solidFill>
          </w14:textFill>
        </w:rPr>
        <w:t>依法</w:t>
      </w:r>
      <w:r>
        <w:rPr>
          <w:rFonts w:hint="eastAsia" w:eastAsia="宋体"/>
          <w:i w:val="0"/>
          <w:iCs w:val="0"/>
          <w:snapToGrid w:val="0"/>
          <w:color w:val="000000" w:themeColor="text1"/>
          <w:highlight w:val="none"/>
          <w14:textFill>
            <w14:solidFill>
              <w14:schemeClr w14:val="tx1"/>
            </w14:solidFill>
          </w14:textFill>
        </w:rPr>
        <w:t>获得了本项目的</w:t>
      </w:r>
      <w:r>
        <w:rPr>
          <w:rFonts w:hint="eastAsia" w:eastAsia="宋体"/>
          <w:i w:val="0"/>
          <w:iCs w:val="0"/>
          <w:snapToGrid w:val="0"/>
          <w:color w:val="000000" w:themeColor="text1"/>
          <w:highlight w:val="none"/>
          <w:lang w:val="en-US" w:eastAsia="zh-CN"/>
          <w14:textFill>
            <w14:solidFill>
              <w14:schemeClr w14:val="tx1"/>
            </w14:solidFill>
          </w14:textFill>
        </w:rPr>
        <w:t>竞争性磋商</w:t>
      </w:r>
      <w:r>
        <w:rPr>
          <w:rFonts w:hint="eastAsia" w:eastAsia="宋体"/>
          <w:i w:val="0"/>
          <w:iCs w:val="0"/>
          <w:snapToGrid w:val="0"/>
          <w:color w:val="000000" w:themeColor="text1"/>
          <w:highlight w:val="none"/>
          <w14:textFill>
            <w14:solidFill>
              <w14:schemeClr w14:val="tx1"/>
            </w14:solidFill>
          </w14:textFill>
        </w:rPr>
        <w:t>文件。</w:t>
      </w:r>
    </w:p>
    <w:p w14:paraId="0731A247">
      <w:pPr>
        <w:pStyle w:val="48"/>
        <w:keepNext w:val="0"/>
        <w:keepLines w:val="0"/>
        <w:pageBreakBefore w:val="0"/>
        <w:widowControl w:val="0"/>
        <w:kinsoku/>
        <w:overflowPunct/>
        <w:topLinePunct/>
        <w:bidi w:val="0"/>
        <w:ind w:firstLine="480"/>
        <w:textAlignment w:val="auto"/>
        <w:rPr>
          <w:rFonts w:hint="eastAsia" w:eastAsia="宋体"/>
          <w:i w:val="0"/>
          <w:iCs w:val="0"/>
          <w:snapToGrid w:val="0"/>
          <w:color w:val="000000" w:themeColor="text1"/>
          <w:highlight w:val="none"/>
          <w:lang w:val="en-US" w:eastAsia="zh-CN"/>
          <w14:textFill>
            <w14:solidFill>
              <w14:schemeClr w14:val="tx1"/>
            </w14:solidFill>
          </w14:textFill>
        </w:rPr>
      </w:pPr>
      <w:r>
        <w:rPr>
          <w:rFonts w:hint="eastAsia" w:eastAsia="宋体"/>
          <w:i w:val="0"/>
          <w:iCs w:val="0"/>
          <w:snapToGrid w:val="0"/>
          <w:color w:val="000000" w:themeColor="text1"/>
          <w:highlight w:val="none"/>
          <w:lang w:val="en-US" w:eastAsia="zh-CN"/>
          <w14:textFill>
            <w14:solidFill>
              <w14:schemeClr w14:val="tx1"/>
            </w14:solidFill>
          </w14:textFill>
        </w:rPr>
        <w:t>2.5.3符合本磋商文件规定并参加磋商的供应商。</w:t>
      </w:r>
    </w:p>
    <w:p w14:paraId="2C82329F">
      <w:pPr>
        <w:pStyle w:val="48"/>
        <w:keepNext w:val="0"/>
        <w:keepLines w:val="0"/>
        <w:pageBreakBefore w:val="0"/>
        <w:widowControl w:val="0"/>
        <w:kinsoku/>
        <w:overflowPunct/>
        <w:topLinePunct/>
        <w:bidi w:val="0"/>
        <w:ind w:firstLine="480"/>
        <w:textAlignment w:val="auto"/>
        <w:rPr>
          <w:rFonts w:hint="default" w:eastAsia="宋体"/>
          <w:i w:val="0"/>
          <w:iCs w:val="0"/>
          <w:snapToGrid w:val="0"/>
          <w:color w:val="000000" w:themeColor="text1"/>
          <w:highlight w:val="none"/>
          <w:lang w:val="en-US" w:eastAsia="zh-CN"/>
          <w14:textFill>
            <w14:solidFill>
              <w14:schemeClr w14:val="tx1"/>
            </w14:solidFill>
          </w14:textFill>
        </w:rPr>
      </w:pPr>
      <w:r>
        <w:rPr>
          <w:rFonts w:hint="eastAsia" w:eastAsia="宋体"/>
          <w:i w:val="0"/>
          <w:iCs w:val="0"/>
          <w:snapToGrid w:val="0"/>
          <w:color w:val="000000" w:themeColor="text1"/>
          <w:highlight w:val="none"/>
          <w:lang w:val="en-US" w:eastAsia="zh-CN"/>
          <w14:textFill>
            <w14:solidFill>
              <w14:schemeClr w14:val="tx1"/>
            </w14:solidFill>
          </w14:textFill>
        </w:rPr>
        <w:t>2.6</w:t>
      </w:r>
      <w:r>
        <w:rPr>
          <w:rFonts w:hint="eastAsia" w:eastAsia="宋体"/>
          <w:i w:val="0"/>
          <w:iCs w:val="0"/>
          <w:snapToGrid w:val="0"/>
          <w:color w:val="000000" w:themeColor="text1"/>
          <w:highlight w:val="none"/>
          <w14:textFill>
            <w14:solidFill>
              <w14:schemeClr w14:val="tx1"/>
            </w14:solidFill>
          </w14:textFill>
        </w:rPr>
        <w:t>潜在供应商</w:t>
      </w:r>
      <w:r>
        <w:rPr>
          <w:rFonts w:hint="eastAsia" w:eastAsia="宋体"/>
          <w:i w:val="0"/>
          <w:iCs w:val="0"/>
          <w:snapToGrid w:val="0"/>
          <w:color w:val="000000" w:themeColor="text1"/>
          <w:highlight w:val="none"/>
          <w:lang w:eastAsia="zh-CN"/>
          <w14:textFill>
            <w14:solidFill>
              <w14:schemeClr w14:val="tx1"/>
            </w14:solidFill>
          </w14:textFill>
        </w:rPr>
        <w:t>：</w:t>
      </w:r>
      <w:r>
        <w:rPr>
          <w:rFonts w:hint="eastAsia" w:eastAsia="宋体"/>
          <w:i w:val="0"/>
          <w:iCs w:val="0"/>
          <w:snapToGrid w:val="0"/>
          <w:color w:val="000000" w:themeColor="text1"/>
          <w:highlight w:val="none"/>
          <w:lang w:val="en-US" w:eastAsia="zh-CN"/>
          <w14:textFill>
            <w14:solidFill>
              <w14:schemeClr w14:val="tx1"/>
            </w14:solidFill>
          </w14:textFill>
        </w:rPr>
        <w:t>指符合本磋商文件规定的供应商</w:t>
      </w:r>
      <w:r>
        <w:rPr>
          <w:rFonts w:hint="eastAsia" w:eastAsia="宋体"/>
          <w:i w:val="0"/>
          <w:iCs w:val="0"/>
          <w:snapToGrid w:val="0"/>
          <w:color w:val="000000" w:themeColor="text1"/>
          <w:highlight w:val="none"/>
          <w14:textFill>
            <w14:solidFill>
              <w14:schemeClr w14:val="tx1"/>
            </w14:solidFill>
          </w14:textFill>
        </w:rPr>
        <w:t>。</w:t>
      </w:r>
    </w:p>
    <w:p w14:paraId="67392985">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36" w:name="_Toc46771642"/>
      <w:bookmarkStart w:id="37" w:name="_Toc109897437"/>
      <w:bookmarkStart w:id="38" w:name="_Toc109899536"/>
      <w:bookmarkStart w:id="39" w:name="_Toc52962729"/>
      <w:bookmarkStart w:id="40" w:name="_Toc109899955"/>
      <w:bookmarkStart w:id="41" w:name="_Toc9974"/>
      <w:bookmarkStart w:id="42" w:name="_Toc48688791"/>
      <w:bookmarkStart w:id="43" w:name="_Toc52960555"/>
      <w:bookmarkStart w:id="44" w:name="_Toc51674213"/>
      <w:bookmarkStart w:id="45" w:name="_Toc109900374"/>
      <w:bookmarkStart w:id="46" w:name="_Toc48846111"/>
      <w:bookmarkStart w:id="47" w:name="_Toc470172667"/>
      <w:bookmarkStart w:id="48" w:name="_Toc46772243"/>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3.资金来源</w:t>
      </w:r>
    </w:p>
    <w:p w14:paraId="32E1FB22">
      <w:pPr>
        <w:pStyle w:val="48"/>
        <w:keepNext w:val="0"/>
        <w:keepLines w:val="0"/>
        <w:pageBreakBefore w:val="0"/>
        <w:widowControl w:val="0"/>
        <w:kinsoku/>
        <w:overflowPunct/>
        <w:topLinePunct/>
        <w:bidi w:val="0"/>
        <w:ind w:firstLine="480"/>
        <w:textAlignment w:val="auto"/>
        <w:rPr>
          <w:i w:val="0"/>
          <w:iCs w:val="0"/>
          <w:color w:val="000000" w:themeColor="text1"/>
          <w:highlight w:val="none"/>
          <w14:textFill>
            <w14:solidFill>
              <w14:schemeClr w14:val="tx1"/>
            </w14:solidFill>
          </w14:textFill>
        </w:rPr>
      </w:pPr>
      <w:r>
        <w:rPr>
          <w:rFonts w:hint="eastAsia"/>
          <w:i w:val="0"/>
          <w:iCs w:val="0"/>
          <w:color w:val="000000" w:themeColor="text1"/>
          <w:highlight w:val="none"/>
          <w14:textFill>
            <w14:solidFill>
              <w14:schemeClr w14:val="tx1"/>
            </w14:solidFill>
          </w14:textFill>
        </w:rPr>
        <w:t>3.1资</w:t>
      </w:r>
      <w:r>
        <w:rPr>
          <w:rFonts w:hint="eastAsia" w:eastAsia="宋体"/>
          <w:i w:val="0"/>
          <w:iCs w:val="0"/>
          <w:color w:val="000000" w:themeColor="text1"/>
          <w:highlight w:val="none"/>
          <w14:textFill>
            <w14:solidFill>
              <w14:schemeClr w14:val="tx1"/>
            </w14:solidFill>
          </w14:textFill>
        </w:rPr>
        <w:t>金来源：</w:t>
      </w:r>
      <w:r>
        <w:rPr>
          <w:rFonts w:hint="eastAsia" w:eastAsia="宋体"/>
          <w:i w:val="0"/>
          <w:iCs w:val="0"/>
          <w:color w:val="000000" w:themeColor="text1"/>
          <w:highlight w:val="none"/>
          <w:lang w:eastAsia="zh-CN"/>
          <w14:textFill>
            <w14:solidFill>
              <w14:schemeClr w14:val="tx1"/>
            </w14:solidFill>
          </w14:textFill>
        </w:rPr>
        <w:t>地方政府专项债券资金及配套资金</w:t>
      </w:r>
      <w:r>
        <w:rPr>
          <w:rFonts w:hint="eastAsia" w:eastAsia="宋体"/>
          <w:i w:val="0"/>
          <w:iCs w:val="0"/>
          <w:color w:val="000000" w:themeColor="text1"/>
          <w:highlight w:val="none"/>
          <w14:textFill>
            <w14:solidFill>
              <w14:schemeClr w14:val="tx1"/>
            </w14:solidFill>
          </w14:textFill>
        </w:rPr>
        <w:t>。</w:t>
      </w:r>
    </w:p>
    <w:p w14:paraId="2F42A1F1">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4.供应商资格要求</w:t>
      </w:r>
    </w:p>
    <w:p w14:paraId="423690AF">
      <w:pPr>
        <w:pStyle w:val="48"/>
        <w:keepNext w:val="0"/>
        <w:keepLines w:val="0"/>
        <w:pageBreakBefore w:val="0"/>
        <w:widowControl w:val="0"/>
        <w:kinsoku/>
        <w:overflowPunct/>
        <w:topLinePunct/>
        <w:autoSpaceDE/>
        <w:autoSpaceDN/>
        <w:bidi w:val="0"/>
        <w:adjustRightInd/>
        <w:textAlignment w:val="auto"/>
        <w:rPr>
          <w:rFonts w:hint="eastAsia"/>
          <w:i w:val="0"/>
          <w:iCs w:val="0"/>
          <w:color w:val="000000" w:themeColor="text1"/>
          <w:highlight w:val="none"/>
          <w14:textFill>
            <w14:solidFill>
              <w14:schemeClr w14:val="tx1"/>
            </w14:solidFill>
          </w14:textFill>
        </w:rPr>
      </w:pPr>
      <w:r>
        <w:rPr>
          <w:rFonts w:hint="eastAsia"/>
          <w:i w:val="0"/>
          <w:iCs w:val="0"/>
          <w:color w:val="000000" w:themeColor="text1"/>
          <w:highlight w:val="none"/>
          <w14:textFill>
            <w14:solidFill>
              <w14:schemeClr w14:val="tx1"/>
            </w14:solidFill>
          </w14:textFill>
        </w:rPr>
        <w:t>4.1</w:t>
      </w:r>
      <w:r>
        <w:rPr>
          <w:rFonts w:hint="eastAsia"/>
          <w:i w:val="0"/>
          <w:iCs w:val="0"/>
          <w:color w:val="000000" w:themeColor="text1"/>
          <w:highlight w:val="none"/>
          <w:lang w:val="en-US" w:eastAsia="zh-CN"/>
          <w14:textFill>
            <w14:solidFill>
              <w14:schemeClr w14:val="tx1"/>
            </w14:solidFill>
          </w14:textFill>
        </w:rPr>
        <w:t>供应商</w:t>
      </w:r>
      <w:r>
        <w:rPr>
          <w:rFonts w:hint="eastAsia"/>
          <w:i w:val="0"/>
          <w:iCs w:val="0"/>
          <w:color w:val="000000" w:themeColor="text1"/>
          <w:highlight w:val="none"/>
          <w14:textFill>
            <w14:solidFill>
              <w14:schemeClr w14:val="tx1"/>
            </w14:solidFill>
          </w14:textFill>
        </w:rPr>
        <w:t>资格要求：见“</w:t>
      </w:r>
      <w:r>
        <w:rPr>
          <w:rFonts w:hint="eastAsia"/>
          <w:i w:val="0"/>
          <w:iCs w:val="0"/>
          <w:color w:val="000000" w:themeColor="text1"/>
          <w:highlight w:val="none"/>
          <w:lang w:val="en-US" w:eastAsia="zh-CN"/>
          <w14:textFill>
            <w14:solidFill>
              <w14:schemeClr w14:val="tx1"/>
            </w14:solidFill>
          </w14:textFill>
        </w:rPr>
        <w:t>第一章竞争性磋商公告</w:t>
      </w:r>
      <w:r>
        <w:rPr>
          <w:rFonts w:hint="eastAsia"/>
          <w:i w:val="0"/>
          <w:iCs w:val="0"/>
          <w:color w:val="000000" w:themeColor="text1"/>
          <w:highlight w:val="none"/>
          <w14:textFill>
            <w14:solidFill>
              <w14:schemeClr w14:val="tx1"/>
            </w14:solidFill>
          </w14:textFill>
        </w:rPr>
        <w:t>”；</w:t>
      </w:r>
    </w:p>
    <w:p w14:paraId="51D911DF">
      <w:pPr>
        <w:pStyle w:val="48"/>
        <w:keepNext w:val="0"/>
        <w:keepLines w:val="0"/>
        <w:pageBreakBefore w:val="0"/>
        <w:widowControl w:val="0"/>
        <w:kinsoku/>
        <w:overflowPunct/>
        <w:topLinePunct/>
        <w:autoSpaceDE/>
        <w:autoSpaceDN/>
        <w:bidi w:val="0"/>
        <w:adjustRightInd/>
        <w:textAlignment w:val="auto"/>
        <w:rPr>
          <w:rFonts w:hint="eastAsia" w:eastAsia="宋体"/>
          <w:i w:val="0"/>
          <w:iCs w:val="0"/>
          <w:color w:val="000000" w:themeColor="text1"/>
          <w:highlight w:val="none"/>
          <w:lang w:val="zh-CN" w:eastAsia="zh-CN"/>
          <w14:textFill>
            <w14:solidFill>
              <w14:schemeClr w14:val="tx1"/>
            </w14:solidFill>
          </w14:textFill>
        </w:rPr>
      </w:pPr>
      <w:r>
        <w:rPr>
          <w:rFonts w:hint="eastAsia"/>
          <w:i w:val="0"/>
          <w:iCs w:val="0"/>
          <w:color w:val="000000" w:themeColor="text1"/>
          <w:highlight w:val="none"/>
          <w:lang w:val="en-US" w:eastAsia="zh-CN"/>
          <w14:textFill>
            <w14:solidFill>
              <w14:schemeClr w14:val="tx1"/>
            </w14:solidFill>
          </w14:textFill>
        </w:rPr>
        <w:t>4</w:t>
      </w:r>
      <w:r>
        <w:rPr>
          <w:rFonts w:hint="eastAsia"/>
          <w:i w:val="0"/>
          <w:iCs w:val="0"/>
          <w:color w:val="000000" w:themeColor="text1"/>
          <w:highlight w:val="none"/>
          <w:lang w:val="zh-CN" w:eastAsia="zh-CN"/>
          <w14:textFill>
            <w14:solidFill>
              <w14:schemeClr w14:val="tx1"/>
            </w14:solidFill>
          </w14:textFill>
        </w:rPr>
        <w:t>.</w:t>
      </w:r>
      <w:r>
        <w:rPr>
          <w:rFonts w:hint="eastAsia"/>
          <w:i w:val="0"/>
          <w:iCs w:val="0"/>
          <w:color w:val="000000" w:themeColor="text1"/>
          <w:highlight w:val="none"/>
          <w:lang w:val="en-US" w:eastAsia="zh-CN"/>
          <w14:textFill>
            <w14:solidFill>
              <w14:schemeClr w14:val="tx1"/>
            </w14:solidFill>
          </w14:textFill>
        </w:rPr>
        <w:t>2</w:t>
      </w:r>
      <w:r>
        <w:rPr>
          <w:rFonts w:hint="eastAsia"/>
          <w:i w:val="0"/>
          <w:iCs w:val="0"/>
          <w:color w:val="000000" w:themeColor="text1"/>
          <w:highlight w:val="none"/>
          <w:lang w:val="zh-CN" w:eastAsia="zh-CN"/>
          <w14:textFill>
            <w14:solidFill>
              <w14:schemeClr w14:val="tx1"/>
            </w14:solidFill>
          </w14:textFill>
        </w:rPr>
        <w:t>“</w:t>
      </w:r>
      <w:r>
        <w:rPr>
          <w:rFonts w:hint="eastAsia"/>
          <w:i w:val="0"/>
          <w:iCs w:val="0"/>
          <w:color w:val="000000" w:themeColor="text1"/>
          <w:highlight w:val="none"/>
          <w:lang w:val="en-US" w:eastAsia="zh-CN"/>
          <w14:textFill>
            <w14:solidFill>
              <w14:schemeClr w14:val="tx1"/>
            </w14:solidFill>
          </w14:textFill>
        </w:rPr>
        <w:t>第一章竞争性磋</w:t>
      </w:r>
      <w:r>
        <w:rPr>
          <w:rFonts w:hint="eastAsia" w:eastAsia="宋体"/>
          <w:i w:val="0"/>
          <w:iCs w:val="0"/>
          <w:color w:val="000000" w:themeColor="text1"/>
          <w:highlight w:val="none"/>
          <w:lang w:val="en-US" w:eastAsia="zh-CN"/>
          <w14:textFill>
            <w14:solidFill>
              <w14:schemeClr w14:val="tx1"/>
            </w14:solidFill>
          </w14:textFill>
        </w:rPr>
        <w:t>商公告</w:t>
      </w:r>
      <w:r>
        <w:rPr>
          <w:rFonts w:hint="eastAsia" w:eastAsia="宋体"/>
          <w:i w:val="0"/>
          <w:iCs w:val="0"/>
          <w:color w:val="000000" w:themeColor="text1"/>
          <w:highlight w:val="none"/>
          <w:lang w:val="zh-CN" w:eastAsia="zh-CN"/>
          <w14:textFill>
            <w14:solidFill>
              <w14:schemeClr w14:val="tx1"/>
            </w14:solidFill>
          </w14:textFill>
        </w:rPr>
        <w:t>”规定接受联合体</w:t>
      </w:r>
      <w:r>
        <w:rPr>
          <w:rFonts w:hint="eastAsia" w:eastAsia="宋体"/>
          <w:i w:val="0"/>
          <w:iCs w:val="0"/>
          <w:color w:val="000000" w:themeColor="text1"/>
          <w:highlight w:val="none"/>
          <w:lang w:val="en-US" w:eastAsia="zh-CN"/>
          <w14:textFill>
            <w14:solidFill>
              <w14:schemeClr w14:val="tx1"/>
            </w14:solidFill>
          </w14:textFill>
        </w:rPr>
        <w:t>磋商</w:t>
      </w:r>
      <w:r>
        <w:rPr>
          <w:rFonts w:hint="eastAsia" w:eastAsia="宋体"/>
          <w:i w:val="0"/>
          <w:iCs w:val="0"/>
          <w:color w:val="000000" w:themeColor="text1"/>
          <w:highlight w:val="none"/>
          <w:lang w:val="zh-CN" w:eastAsia="zh-CN"/>
          <w14:textFill>
            <w14:solidFill>
              <w14:schemeClr w14:val="tx1"/>
            </w14:solidFill>
          </w14:textFill>
        </w:rPr>
        <w:t>的，还应遵守以下规定：</w:t>
      </w:r>
    </w:p>
    <w:p w14:paraId="4AD05CAB">
      <w:pPr>
        <w:pStyle w:val="48"/>
        <w:keepNext w:val="0"/>
        <w:keepLines w:val="0"/>
        <w:pageBreakBefore w:val="0"/>
        <w:widowControl w:val="0"/>
        <w:kinsoku/>
        <w:overflowPunct/>
        <w:topLinePunct/>
        <w:autoSpaceDE/>
        <w:autoSpaceDN/>
        <w:bidi w:val="0"/>
        <w:adjustRightInd/>
        <w:textAlignment w:val="auto"/>
        <w:rPr>
          <w:rFonts w:hint="eastAsia" w:eastAsia="宋体"/>
          <w:i w:val="0"/>
          <w:iCs w:val="0"/>
          <w:color w:val="000000" w:themeColor="text1"/>
          <w:highlight w:val="none"/>
          <w:lang w:val="zh-CN" w:eastAsia="zh-CN"/>
          <w14:textFill>
            <w14:solidFill>
              <w14:schemeClr w14:val="tx1"/>
            </w14:solidFill>
          </w14:textFill>
        </w:rPr>
      </w:pPr>
      <w:r>
        <w:rPr>
          <w:rFonts w:hint="eastAsia" w:eastAsia="宋体"/>
          <w:i w:val="0"/>
          <w:iCs w:val="0"/>
          <w:color w:val="000000" w:themeColor="text1"/>
          <w:highlight w:val="none"/>
          <w:lang w:val="en-US" w:eastAsia="zh-CN"/>
          <w14:textFill>
            <w14:solidFill>
              <w14:schemeClr w14:val="tx1"/>
            </w14:solidFill>
          </w14:textFill>
        </w:rPr>
        <w:t>4</w:t>
      </w:r>
      <w:r>
        <w:rPr>
          <w:rFonts w:hint="eastAsia" w:eastAsia="宋体"/>
          <w:i w:val="0"/>
          <w:iCs w:val="0"/>
          <w:color w:val="000000" w:themeColor="text1"/>
          <w:highlight w:val="none"/>
          <w:lang w:val="zh-CN" w:eastAsia="zh-CN"/>
          <w14:textFill>
            <w14:solidFill>
              <w14:schemeClr w14:val="tx1"/>
            </w14:solidFill>
          </w14:textFill>
        </w:rPr>
        <w:t>.</w:t>
      </w:r>
      <w:r>
        <w:rPr>
          <w:rFonts w:hint="eastAsia" w:eastAsia="宋体"/>
          <w:i w:val="0"/>
          <w:iCs w:val="0"/>
          <w:color w:val="000000" w:themeColor="text1"/>
          <w:highlight w:val="none"/>
          <w:lang w:val="en-US" w:eastAsia="zh-CN"/>
          <w14:textFill>
            <w14:solidFill>
              <w14:schemeClr w14:val="tx1"/>
            </w14:solidFill>
          </w14:textFill>
        </w:rPr>
        <w:t>2.</w:t>
      </w:r>
      <w:r>
        <w:rPr>
          <w:rFonts w:hint="eastAsia" w:eastAsia="宋体"/>
          <w:i w:val="0"/>
          <w:iCs w:val="0"/>
          <w:color w:val="000000" w:themeColor="text1"/>
          <w:highlight w:val="none"/>
          <w:lang w:val="zh-CN" w:eastAsia="zh-CN"/>
          <w14:textFill>
            <w14:solidFill>
              <w14:schemeClr w14:val="tx1"/>
            </w14:solidFill>
          </w14:textFill>
        </w:rPr>
        <w:t>1两个以上的自然人、法人或者其他组织可以组成一个联合体，以一个供应商的身份共同参加政府采购。以联合体形式进行政府采购的，参加联合体的供应商均应当具备《政府采购法》第二十二条规定的条件。</w:t>
      </w:r>
    </w:p>
    <w:p w14:paraId="358BF683">
      <w:pPr>
        <w:pStyle w:val="48"/>
        <w:keepNext w:val="0"/>
        <w:keepLines w:val="0"/>
        <w:pageBreakBefore w:val="0"/>
        <w:widowControl w:val="0"/>
        <w:kinsoku/>
        <w:overflowPunct/>
        <w:topLinePunct/>
        <w:autoSpaceDE/>
        <w:autoSpaceDN/>
        <w:bidi w:val="0"/>
        <w:adjustRightInd/>
        <w:textAlignment w:val="auto"/>
        <w:rPr>
          <w:rFonts w:hint="eastAsia" w:eastAsia="宋体"/>
          <w:i w:val="0"/>
          <w:iCs w:val="0"/>
          <w:color w:val="000000" w:themeColor="text1"/>
          <w:highlight w:val="none"/>
          <w:lang w:val="zh-CN" w:eastAsia="zh-CN"/>
          <w14:textFill>
            <w14:solidFill>
              <w14:schemeClr w14:val="tx1"/>
            </w14:solidFill>
          </w14:textFill>
        </w:rPr>
      </w:pPr>
      <w:r>
        <w:rPr>
          <w:rFonts w:hint="eastAsia" w:eastAsia="宋体"/>
          <w:i w:val="0"/>
          <w:iCs w:val="0"/>
          <w:color w:val="000000" w:themeColor="text1"/>
          <w:highlight w:val="none"/>
          <w:lang w:val="en-US" w:eastAsia="zh-CN"/>
          <w14:textFill>
            <w14:solidFill>
              <w14:schemeClr w14:val="tx1"/>
            </w14:solidFill>
          </w14:textFill>
        </w:rPr>
        <w:t>4</w:t>
      </w:r>
      <w:r>
        <w:rPr>
          <w:rFonts w:hint="eastAsia" w:eastAsia="宋体"/>
          <w:i w:val="0"/>
          <w:iCs w:val="0"/>
          <w:color w:val="000000" w:themeColor="text1"/>
          <w:highlight w:val="none"/>
          <w:lang w:val="zh-CN" w:eastAsia="zh-CN"/>
          <w14:textFill>
            <w14:solidFill>
              <w14:schemeClr w14:val="tx1"/>
            </w14:solidFill>
          </w14:textFill>
        </w:rPr>
        <w:t>.</w:t>
      </w:r>
      <w:r>
        <w:rPr>
          <w:rFonts w:hint="eastAsia" w:eastAsia="宋体"/>
          <w:i w:val="0"/>
          <w:iCs w:val="0"/>
          <w:color w:val="000000" w:themeColor="text1"/>
          <w:highlight w:val="none"/>
          <w:lang w:val="en-US" w:eastAsia="zh-CN"/>
          <w14:textFill>
            <w14:solidFill>
              <w14:schemeClr w14:val="tx1"/>
            </w14:solidFill>
          </w14:textFill>
        </w:rPr>
        <w:t>2.2</w:t>
      </w:r>
      <w:r>
        <w:rPr>
          <w:rFonts w:hint="eastAsia" w:eastAsia="宋体"/>
          <w:i w:val="0"/>
          <w:iCs w:val="0"/>
          <w:color w:val="000000" w:themeColor="text1"/>
          <w:highlight w:val="none"/>
          <w:lang w:val="zh-CN" w:eastAsia="zh-CN"/>
          <w14:textFill>
            <w14:solidFill>
              <w14:schemeClr w14:val="tx1"/>
            </w14:solidFill>
          </w14:textFill>
        </w:rPr>
        <w:t>联合体各方应按竞争性磋商文件提供的格式签订联合</w:t>
      </w:r>
      <w:r>
        <w:rPr>
          <w:rFonts w:hint="eastAsia" w:eastAsia="宋体"/>
          <w:i w:val="0"/>
          <w:iCs w:val="0"/>
          <w:color w:val="000000" w:themeColor="text1"/>
          <w:highlight w:val="none"/>
          <w:lang w:val="en-US" w:eastAsia="zh-CN"/>
          <w14:textFill>
            <w14:solidFill>
              <w14:schemeClr w14:val="tx1"/>
            </w14:solidFill>
          </w14:textFill>
        </w:rPr>
        <w:t>体</w:t>
      </w:r>
      <w:r>
        <w:rPr>
          <w:rFonts w:hint="eastAsia" w:eastAsia="宋体"/>
          <w:i w:val="0"/>
          <w:iCs w:val="0"/>
          <w:color w:val="000000" w:themeColor="text1"/>
          <w:highlight w:val="none"/>
          <w:lang w:val="zh-CN" w:eastAsia="zh-CN"/>
          <w14:textFill>
            <w14:solidFill>
              <w14:schemeClr w14:val="tx1"/>
            </w14:solidFill>
          </w14:textFill>
        </w:rPr>
        <w:t>协议</w:t>
      </w:r>
      <w:r>
        <w:rPr>
          <w:rFonts w:hint="eastAsia" w:eastAsia="宋体"/>
          <w:i w:val="0"/>
          <w:iCs w:val="0"/>
          <w:color w:val="000000" w:themeColor="text1"/>
          <w:highlight w:val="none"/>
          <w:lang w:val="en-US" w:eastAsia="zh-CN"/>
          <w14:textFill>
            <w14:solidFill>
              <w14:schemeClr w14:val="tx1"/>
            </w14:solidFill>
          </w14:textFill>
        </w:rPr>
        <w:t>书</w:t>
      </w:r>
      <w:r>
        <w:rPr>
          <w:rFonts w:hint="eastAsia" w:eastAsia="宋体"/>
          <w:i w:val="0"/>
          <w:iCs w:val="0"/>
          <w:color w:val="000000" w:themeColor="text1"/>
          <w:highlight w:val="none"/>
          <w:lang w:val="zh-CN" w:eastAsia="zh-CN"/>
          <w14:textFill>
            <w14:solidFill>
              <w14:schemeClr w14:val="tx1"/>
            </w14:solidFill>
          </w14:textFill>
        </w:rPr>
        <w:t>，明确约定联合体各方承担的工作和相应的责任，并将联合</w:t>
      </w:r>
      <w:r>
        <w:rPr>
          <w:rFonts w:hint="eastAsia" w:eastAsia="宋体"/>
          <w:i w:val="0"/>
          <w:iCs w:val="0"/>
          <w:color w:val="000000" w:themeColor="text1"/>
          <w:highlight w:val="none"/>
          <w:lang w:val="en-US" w:eastAsia="zh-CN"/>
          <w14:textFill>
            <w14:solidFill>
              <w14:schemeClr w14:val="tx1"/>
            </w14:solidFill>
          </w14:textFill>
        </w:rPr>
        <w:t>体</w:t>
      </w:r>
      <w:r>
        <w:rPr>
          <w:rFonts w:hint="eastAsia" w:eastAsia="宋体"/>
          <w:i w:val="0"/>
          <w:iCs w:val="0"/>
          <w:color w:val="000000" w:themeColor="text1"/>
          <w:highlight w:val="none"/>
          <w:lang w:val="zh-CN" w:eastAsia="zh-CN"/>
          <w14:textFill>
            <w14:solidFill>
              <w14:schemeClr w14:val="tx1"/>
            </w14:solidFill>
          </w14:textFill>
        </w:rPr>
        <w:t>协议</w:t>
      </w:r>
      <w:r>
        <w:rPr>
          <w:rFonts w:hint="eastAsia" w:eastAsia="宋体"/>
          <w:i w:val="0"/>
          <w:iCs w:val="0"/>
          <w:color w:val="000000" w:themeColor="text1"/>
          <w:highlight w:val="none"/>
          <w:lang w:val="en-US" w:eastAsia="zh-CN"/>
          <w14:textFill>
            <w14:solidFill>
              <w14:schemeClr w14:val="tx1"/>
            </w14:solidFill>
          </w14:textFill>
        </w:rPr>
        <w:t>书</w:t>
      </w:r>
      <w:r>
        <w:rPr>
          <w:rFonts w:hint="eastAsia" w:eastAsia="宋体"/>
          <w:i w:val="0"/>
          <w:iCs w:val="0"/>
          <w:color w:val="000000" w:themeColor="text1"/>
          <w:highlight w:val="none"/>
          <w:lang w:val="zh-CN" w:eastAsia="zh-CN"/>
          <w14:textFill>
            <w14:solidFill>
              <w14:schemeClr w14:val="tx1"/>
            </w14:solidFill>
          </w14:textFill>
        </w:rPr>
        <w:t>作为</w:t>
      </w:r>
      <w:r>
        <w:rPr>
          <w:rFonts w:hint="eastAsia" w:eastAsia="宋体"/>
          <w:i w:val="0"/>
          <w:iCs w:val="0"/>
          <w:color w:val="000000" w:themeColor="text1"/>
          <w:highlight w:val="none"/>
          <w:lang w:val="en-US" w:eastAsia="zh-CN"/>
          <w14:textFill>
            <w14:solidFill>
              <w14:schemeClr w14:val="tx1"/>
            </w14:solidFill>
          </w14:textFill>
        </w:rPr>
        <w:t>响应</w:t>
      </w:r>
      <w:r>
        <w:rPr>
          <w:rFonts w:hint="eastAsia" w:eastAsia="宋体"/>
          <w:i w:val="0"/>
          <w:iCs w:val="0"/>
          <w:color w:val="000000" w:themeColor="text1"/>
          <w:highlight w:val="none"/>
          <w:lang w:val="zh-CN" w:eastAsia="zh-CN"/>
          <w14:textFill>
            <w14:solidFill>
              <w14:schemeClr w14:val="tx1"/>
            </w14:solidFill>
          </w14:textFill>
        </w:rPr>
        <w:t>文件的一部分提交，该协议书对联合</w:t>
      </w:r>
      <w:r>
        <w:rPr>
          <w:rFonts w:hint="eastAsia" w:eastAsia="宋体"/>
          <w:i w:val="0"/>
          <w:iCs w:val="0"/>
          <w:color w:val="000000" w:themeColor="text1"/>
          <w:highlight w:val="none"/>
          <w:lang w:val="en-US" w:eastAsia="zh-CN"/>
          <w14:textFill>
            <w14:solidFill>
              <w14:schemeClr w14:val="tx1"/>
            </w14:solidFill>
          </w14:textFill>
        </w:rPr>
        <w:t>体所有成员</w:t>
      </w:r>
      <w:r>
        <w:rPr>
          <w:rFonts w:hint="eastAsia" w:eastAsia="宋体"/>
          <w:i w:val="0"/>
          <w:iCs w:val="0"/>
          <w:color w:val="000000" w:themeColor="text1"/>
          <w:highlight w:val="none"/>
          <w:lang w:val="zh-CN" w:eastAsia="zh-CN"/>
          <w14:textFill>
            <w14:solidFill>
              <w14:schemeClr w14:val="tx1"/>
            </w14:solidFill>
          </w14:textFill>
        </w:rPr>
        <w:t>均具有法律约束力。</w:t>
      </w:r>
    </w:p>
    <w:p w14:paraId="6BAFB3CF">
      <w:pPr>
        <w:pStyle w:val="48"/>
        <w:keepNext w:val="0"/>
        <w:keepLines w:val="0"/>
        <w:pageBreakBefore w:val="0"/>
        <w:widowControl w:val="0"/>
        <w:kinsoku/>
        <w:overflowPunct/>
        <w:topLinePunct/>
        <w:autoSpaceDE/>
        <w:autoSpaceDN/>
        <w:bidi w:val="0"/>
        <w:adjustRightInd/>
        <w:textAlignment w:val="auto"/>
        <w:rPr>
          <w:rFonts w:hint="eastAsia" w:eastAsia="宋体"/>
          <w:i w:val="0"/>
          <w:iCs w:val="0"/>
          <w:color w:val="000000" w:themeColor="text1"/>
          <w:highlight w:val="none"/>
          <w:lang w:val="zh-CN" w:eastAsia="zh-CN"/>
          <w14:textFill>
            <w14:solidFill>
              <w14:schemeClr w14:val="tx1"/>
            </w14:solidFill>
          </w14:textFill>
        </w:rPr>
      </w:pPr>
      <w:r>
        <w:rPr>
          <w:rFonts w:hint="eastAsia" w:eastAsia="宋体"/>
          <w:i w:val="0"/>
          <w:iCs w:val="0"/>
          <w:color w:val="000000" w:themeColor="text1"/>
          <w:highlight w:val="none"/>
          <w:lang w:val="en-US" w:eastAsia="zh-CN"/>
          <w14:textFill>
            <w14:solidFill>
              <w14:schemeClr w14:val="tx1"/>
            </w14:solidFill>
          </w14:textFill>
        </w:rPr>
        <w:t>4.2.3</w:t>
      </w:r>
      <w:r>
        <w:rPr>
          <w:rFonts w:hint="eastAsia" w:eastAsia="宋体"/>
          <w:i w:val="0"/>
          <w:iCs w:val="0"/>
          <w:color w:val="000000" w:themeColor="text1"/>
          <w:highlight w:val="none"/>
          <w:lang w:val="zh-CN" w:eastAsia="zh-CN"/>
          <w14:textFill>
            <w14:solidFill>
              <w14:schemeClr w14:val="tx1"/>
            </w14:solidFill>
          </w14:textFill>
        </w:rPr>
        <w:t>联合体中有同类资质的供应商按照联合体分工承担相同工作的，应当按照资质等级较低的供应商确定资质等级。</w:t>
      </w:r>
    </w:p>
    <w:p w14:paraId="72D8E994">
      <w:pPr>
        <w:pStyle w:val="48"/>
        <w:keepNext w:val="0"/>
        <w:keepLines w:val="0"/>
        <w:pageBreakBefore w:val="0"/>
        <w:widowControl w:val="0"/>
        <w:kinsoku/>
        <w:overflowPunct/>
        <w:topLinePunct/>
        <w:autoSpaceDE/>
        <w:autoSpaceDN/>
        <w:bidi w:val="0"/>
        <w:adjustRightInd/>
        <w:textAlignment w:val="auto"/>
        <w:rPr>
          <w:rFonts w:hint="eastAsia" w:eastAsia="宋体"/>
          <w:i w:val="0"/>
          <w:iCs w:val="0"/>
          <w:color w:val="000000" w:themeColor="text1"/>
          <w:highlight w:val="none"/>
          <w:lang w:val="zh-CN" w:eastAsia="zh-CN"/>
          <w14:textFill>
            <w14:solidFill>
              <w14:schemeClr w14:val="tx1"/>
            </w14:solidFill>
          </w14:textFill>
        </w:rPr>
      </w:pPr>
      <w:r>
        <w:rPr>
          <w:rFonts w:hint="eastAsia" w:eastAsia="宋体"/>
          <w:i w:val="0"/>
          <w:iCs w:val="0"/>
          <w:color w:val="000000" w:themeColor="text1"/>
          <w:highlight w:val="none"/>
          <w:lang w:val="en-US" w:eastAsia="zh-CN"/>
          <w14:textFill>
            <w14:solidFill>
              <w14:schemeClr w14:val="tx1"/>
            </w14:solidFill>
          </w14:textFill>
        </w:rPr>
        <w:t>4.2</w:t>
      </w:r>
      <w:r>
        <w:rPr>
          <w:rFonts w:hint="eastAsia" w:eastAsia="宋体"/>
          <w:i w:val="0"/>
          <w:iCs w:val="0"/>
          <w:color w:val="000000" w:themeColor="text1"/>
          <w:highlight w:val="none"/>
          <w:lang w:val="zh-CN" w:eastAsia="zh-CN"/>
          <w14:textFill>
            <w14:solidFill>
              <w14:schemeClr w14:val="tx1"/>
            </w14:solidFill>
          </w14:textFill>
        </w:rPr>
        <w:t>.</w:t>
      </w:r>
      <w:r>
        <w:rPr>
          <w:rFonts w:hint="eastAsia" w:eastAsia="宋体"/>
          <w:i w:val="0"/>
          <w:iCs w:val="0"/>
          <w:color w:val="000000" w:themeColor="text1"/>
          <w:highlight w:val="none"/>
          <w:lang w:val="en-US" w:eastAsia="zh-CN"/>
          <w14:textFill>
            <w14:solidFill>
              <w14:schemeClr w14:val="tx1"/>
            </w14:solidFill>
          </w14:textFill>
        </w:rPr>
        <w:t>4</w:t>
      </w:r>
      <w:r>
        <w:rPr>
          <w:rFonts w:hint="eastAsia" w:eastAsia="宋体"/>
          <w:i w:val="0"/>
          <w:iCs w:val="0"/>
          <w:color w:val="000000" w:themeColor="text1"/>
          <w:highlight w:val="none"/>
          <w:lang w:val="zh-CN" w:eastAsia="zh-CN"/>
          <w14:textFill>
            <w14:solidFill>
              <w14:schemeClr w14:val="tx1"/>
            </w14:solidFill>
          </w14:textFill>
        </w:rPr>
        <w:t>以联合体形式参加政府采购活动的，联合体各方不得再单独参加或者与其他供应商另外组成联合体参加</w:t>
      </w:r>
      <w:r>
        <w:rPr>
          <w:rFonts w:hint="eastAsia" w:eastAsia="宋体"/>
          <w:i w:val="0"/>
          <w:iCs w:val="0"/>
          <w:color w:val="000000" w:themeColor="text1"/>
          <w:highlight w:val="none"/>
          <w:lang w:val="en-US" w:eastAsia="zh-CN"/>
          <w14:textFill>
            <w14:solidFill>
              <w14:schemeClr w14:val="tx1"/>
            </w14:solidFill>
          </w14:textFill>
        </w:rPr>
        <w:t>同一合同项下的磋商</w:t>
      </w:r>
      <w:r>
        <w:rPr>
          <w:rFonts w:hint="eastAsia" w:eastAsia="宋体"/>
          <w:i w:val="0"/>
          <w:iCs w:val="0"/>
          <w:color w:val="000000" w:themeColor="text1"/>
          <w:highlight w:val="none"/>
          <w:lang w:val="zh-CN" w:eastAsia="zh-CN"/>
          <w14:textFill>
            <w14:solidFill>
              <w14:schemeClr w14:val="tx1"/>
            </w14:solidFill>
          </w14:textFill>
        </w:rPr>
        <w:t>，否则相关</w:t>
      </w:r>
      <w:r>
        <w:rPr>
          <w:rFonts w:hint="eastAsia" w:eastAsia="宋体"/>
          <w:i w:val="0"/>
          <w:iCs w:val="0"/>
          <w:color w:val="000000" w:themeColor="text1"/>
          <w:highlight w:val="none"/>
          <w:lang w:val="en-US" w:eastAsia="zh-CN"/>
          <w14:textFill>
            <w14:solidFill>
              <w14:schemeClr w14:val="tx1"/>
            </w14:solidFill>
          </w14:textFill>
        </w:rPr>
        <w:t>响应</w:t>
      </w:r>
      <w:r>
        <w:rPr>
          <w:rFonts w:hint="eastAsia" w:eastAsia="宋体"/>
          <w:i w:val="0"/>
          <w:iCs w:val="0"/>
          <w:color w:val="000000" w:themeColor="text1"/>
          <w:highlight w:val="none"/>
          <w:lang w:val="zh-CN" w:eastAsia="zh-CN"/>
          <w14:textFill>
            <w14:solidFill>
              <w14:schemeClr w14:val="tx1"/>
            </w14:solidFill>
          </w14:textFill>
        </w:rPr>
        <w:t>将被认定为</w:t>
      </w:r>
      <w:r>
        <w:rPr>
          <w:rFonts w:hint="eastAsia" w:eastAsia="宋体"/>
          <w:b/>
          <w:bCs/>
          <w:i w:val="0"/>
          <w:iCs w:val="0"/>
          <w:color w:val="000000" w:themeColor="text1"/>
          <w:highlight w:val="none"/>
          <w:lang w:val="en-US" w:eastAsia="zh-CN"/>
          <w14:textFill>
            <w14:solidFill>
              <w14:schemeClr w14:val="tx1"/>
            </w14:solidFill>
          </w14:textFill>
        </w:rPr>
        <w:t>响应</w:t>
      </w:r>
      <w:r>
        <w:rPr>
          <w:rFonts w:hint="eastAsia" w:eastAsia="宋体"/>
          <w:b/>
          <w:bCs/>
          <w:i w:val="0"/>
          <w:iCs w:val="0"/>
          <w:color w:val="000000" w:themeColor="text1"/>
          <w:highlight w:val="none"/>
          <w:lang w:val="zh-CN" w:eastAsia="zh-CN"/>
          <w14:textFill>
            <w14:solidFill>
              <w14:schemeClr w14:val="tx1"/>
            </w14:solidFill>
          </w14:textFill>
        </w:rPr>
        <w:t>无效</w:t>
      </w:r>
      <w:r>
        <w:rPr>
          <w:rFonts w:hint="eastAsia" w:eastAsia="宋体"/>
          <w:i w:val="0"/>
          <w:iCs w:val="0"/>
          <w:color w:val="000000" w:themeColor="text1"/>
          <w:highlight w:val="none"/>
          <w:lang w:val="zh-CN" w:eastAsia="zh-CN"/>
          <w14:textFill>
            <w14:solidFill>
              <w14:schemeClr w14:val="tx1"/>
            </w14:solidFill>
          </w14:textFill>
        </w:rPr>
        <w:t>。</w:t>
      </w:r>
    </w:p>
    <w:p w14:paraId="5529EEF0">
      <w:pPr>
        <w:pStyle w:val="48"/>
        <w:keepNext w:val="0"/>
        <w:keepLines w:val="0"/>
        <w:pageBreakBefore w:val="0"/>
        <w:widowControl w:val="0"/>
        <w:kinsoku/>
        <w:overflowPunct/>
        <w:topLinePunct/>
        <w:autoSpaceDE/>
        <w:autoSpaceDN/>
        <w:bidi w:val="0"/>
        <w:adjustRightInd/>
        <w:textAlignment w:val="auto"/>
        <w:rPr>
          <w:rFonts w:hint="eastAsia" w:eastAsia="宋体"/>
          <w:i w:val="0"/>
          <w:iCs w:val="0"/>
          <w:color w:val="000000" w:themeColor="text1"/>
          <w:highlight w:val="none"/>
          <w:lang w:val="zh-CN" w:eastAsia="zh-CN"/>
          <w14:textFill>
            <w14:solidFill>
              <w14:schemeClr w14:val="tx1"/>
            </w14:solidFill>
          </w14:textFill>
        </w:rPr>
      </w:pPr>
      <w:r>
        <w:rPr>
          <w:rFonts w:hint="eastAsia" w:eastAsia="宋体"/>
          <w:i w:val="0"/>
          <w:iCs w:val="0"/>
          <w:color w:val="000000" w:themeColor="text1"/>
          <w:highlight w:val="none"/>
          <w:lang w:val="en-US" w:eastAsia="zh-CN"/>
          <w14:textFill>
            <w14:solidFill>
              <w14:schemeClr w14:val="tx1"/>
            </w14:solidFill>
          </w14:textFill>
        </w:rPr>
        <w:t>4.2</w:t>
      </w:r>
      <w:r>
        <w:rPr>
          <w:rFonts w:hint="eastAsia" w:eastAsia="宋体"/>
          <w:i w:val="0"/>
          <w:iCs w:val="0"/>
          <w:color w:val="000000" w:themeColor="text1"/>
          <w:highlight w:val="none"/>
          <w:lang w:val="zh-CN" w:eastAsia="zh-CN"/>
          <w14:textFill>
            <w14:solidFill>
              <w14:schemeClr w14:val="tx1"/>
            </w14:solidFill>
          </w14:textFill>
        </w:rPr>
        <w:t>.5大中型企业、其他自然人、法人或者非法人组织与小型、微型企业组成联合体共同参加</w:t>
      </w:r>
      <w:r>
        <w:rPr>
          <w:rFonts w:hint="eastAsia" w:eastAsia="宋体"/>
          <w:i w:val="0"/>
          <w:iCs w:val="0"/>
          <w:color w:val="000000" w:themeColor="text1"/>
          <w:highlight w:val="none"/>
          <w:lang w:val="en-US" w:eastAsia="zh-CN"/>
          <w14:textFill>
            <w14:solidFill>
              <w14:schemeClr w14:val="tx1"/>
            </w14:solidFill>
          </w14:textFill>
        </w:rPr>
        <w:t>磋商的</w:t>
      </w:r>
      <w:r>
        <w:rPr>
          <w:rFonts w:hint="eastAsia" w:eastAsia="宋体"/>
          <w:i w:val="0"/>
          <w:iCs w:val="0"/>
          <w:color w:val="000000" w:themeColor="text1"/>
          <w:highlight w:val="none"/>
          <w:lang w:val="zh-CN" w:eastAsia="zh-CN"/>
          <w14:textFill>
            <w14:solidFill>
              <w14:schemeClr w14:val="tx1"/>
            </w14:solidFill>
          </w14:textFill>
        </w:rPr>
        <w:t>，联合</w:t>
      </w:r>
      <w:r>
        <w:rPr>
          <w:rFonts w:hint="eastAsia" w:eastAsia="宋体"/>
          <w:i w:val="0"/>
          <w:iCs w:val="0"/>
          <w:color w:val="000000" w:themeColor="text1"/>
          <w:highlight w:val="none"/>
          <w:lang w:val="en-US" w:eastAsia="zh-CN"/>
          <w14:textFill>
            <w14:solidFill>
              <w14:schemeClr w14:val="tx1"/>
            </w14:solidFill>
          </w14:textFill>
        </w:rPr>
        <w:t>体</w:t>
      </w:r>
      <w:r>
        <w:rPr>
          <w:rFonts w:hint="eastAsia" w:eastAsia="宋体"/>
          <w:i w:val="0"/>
          <w:iCs w:val="0"/>
          <w:color w:val="000000" w:themeColor="text1"/>
          <w:highlight w:val="none"/>
          <w:lang w:val="zh-CN" w:eastAsia="zh-CN"/>
          <w14:textFill>
            <w14:solidFill>
              <w14:schemeClr w14:val="tx1"/>
            </w14:solidFill>
          </w14:textFill>
        </w:rPr>
        <w:t>协议</w:t>
      </w:r>
      <w:r>
        <w:rPr>
          <w:rFonts w:hint="eastAsia" w:eastAsia="宋体"/>
          <w:i w:val="0"/>
          <w:iCs w:val="0"/>
          <w:color w:val="000000" w:themeColor="text1"/>
          <w:highlight w:val="none"/>
          <w:lang w:val="en-US" w:eastAsia="zh-CN"/>
          <w14:textFill>
            <w14:solidFill>
              <w14:schemeClr w14:val="tx1"/>
            </w14:solidFill>
          </w14:textFill>
        </w:rPr>
        <w:t>书</w:t>
      </w:r>
      <w:r>
        <w:rPr>
          <w:rFonts w:hint="eastAsia" w:eastAsia="宋体"/>
          <w:i w:val="0"/>
          <w:iCs w:val="0"/>
          <w:color w:val="000000" w:themeColor="text1"/>
          <w:highlight w:val="none"/>
          <w:lang w:val="zh-CN" w:eastAsia="zh-CN"/>
          <w14:textFill>
            <w14:solidFill>
              <w14:schemeClr w14:val="tx1"/>
            </w14:solidFill>
          </w14:textFill>
        </w:rPr>
        <w:t>中应写明小型、微型企业的合同金额占到联合</w:t>
      </w:r>
      <w:r>
        <w:rPr>
          <w:rFonts w:hint="eastAsia" w:eastAsia="宋体"/>
          <w:i w:val="0"/>
          <w:iCs w:val="0"/>
          <w:color w:val="000000" w:themeColor="text1"/>
          <w:highlight w:val="none"/>
          <w:lang w:val="en-US" w:eastAsia="zh-CN"/>
          <w14:textFill>
            <w14:solidFill>
              <w14:schemeClr w14:val="tx1"/>
            </w14:solidFill>
          </w14:textFill>
        </w:rPr>
        <w:t>体磋商合同</w:t>
      </w:r>
      <w:r>
        <w:rPr>
          <w:rFonts w:hint="eastAsia" w:eastAsia="宋体"/>
          <w:i w:val="0"/>
          <w:iCs w:val="0"/>
          <w:color w:val="000000" w:themeColor="text1"/>
          <w:highlight w:val="none"/>
          <w:lang w:val="zh-CN" w:eastAsia="zh-CN"/>
          <w14:textFill>
            <w14:solidFill>
              <w14:schemeClr w14:val="tx1"/>
            </w14:solidFill>
          </w14:textFill>
        </w:rPr>
        <w:t>总金额的比例。</w:t>
      </w:r>
    </w:p>
    <w:p w14:paraId="322A93AC">
      <w:pPr>
        <w:pStyle w:val="48"/>
        <w:keepNext w:val="0"/>
        <w:keepLines w:val="0"/>
        <w:pageBreakBefore w:val="0"/>
        <w:widowControl w:val="0"/>
        <w:kinsoku/>
        <w:overflowPunct/>
        <w:topLinePunct/>
        <w:autoSpaceDE/>
        <w:autoSpaceDN/>
        <w:bidi w:val="0"/>
        <w:adjustRightInd/>
        <w:textAlignment w:val="auto"/>
        <w:rPr>
          <w:rFonts w:hint="eastAsia" w:eastAsia="宋体"/>
          <w:i w:val="0"/>
          <w:iCs w:val="0"/>
          <w:color w:val="000000" w:themeColor="text1"/>
          <w:highlight w:val="none"/>
          <w:lang w:val="zh-CN" w:eastAsia="zh-CN"/>
          <w14:textFill>
            <w14:solidFill>
              <w14:schemeClr w14:val="tx1"/>
            </w14:solidFill>
          </w14:textFill>
        </w:rPr>
      </w:pPr>
      <w:r>
        <w:rPr>
          <w:rFonts w:hint="eastAsia" w:eastAsia="宋体"/>
          <w:i w:val="0"/>
          <w:iCs w:val="0"/>
          <w:color w:val="000000" w:themeColor="text1"/>
          <w:highlight w:val="none"/>
          <w:lang w:val="zh-CN" w:eastAsia="zh-CN"/>
          <w14:textFill>
            <w14:solidFill>
              <w14:schemeClr w14:val="tx1"/>
            </w14:solidFill>
          </w14:textFill>
        </w:rPr>
        <w:t>4.2</w:t>
      </w:r>
      <w:r>
        <w:rPr>
          <w:rFonts w:hint="eastAsia" w:eastAsia="宋体"/>
          <w:i w:val="0"/>
          <w:iCs w:val="0"/>
          <w:color w:val="000000" w:themeColor="text1"/>
          <w:highlight w:val="none"/>
          <w:lang w:val="en-US" w:eastAsia="zh-CN"/>
          <w14:textFill>
            <w14:solidFill>
              <w14:schemeClr w14:val="tx1"/>
            </w14:solidFill>
          </w14:textFill>
        </w:rPr>
        <w:t>.6</w:t>
      </w:r>
      <w:r>
        <w:rPr>
          <w:rFonts w:hint="eastAsia" w:eastAsia="宋体"/>
          <w:i w:val="0"/>
          <w:iCs w:val="0"/>
          <w:color w:val="000000" w:themeColor="text1"/>
          <w:highlight w:val="none"/>
          <w:lang w:val="zh-CN" w:eastAsia="zh-CN"/>
          <w14:textFill>
            <w14:solidFill>
              <w14:schemeClr w14:val="tx1"/>
            </w14:solidFill>
          </w14:textFill>
        </w:rPr>
        <w:t>联合体</w:t>
      </w:r>
      <w:r>
        <w:rPr>
          <w:rFonts w:hint="eastAsia" w:eastAsia="宋体"/>
          <w:i w:val="0"/>
          <w:iCs w:val="0"/>
          <w:color w:val="000000" w:themeColor="text1"/>
          <w:highlight w:val="none"/>
          <w:lang w:val="en-US" w:eastAsia="zh-CN"/>
          <w14:textFill>
            <w14:solidFill>
              <w14:schemeClr w14:val="tx1"/>
            </w14:solidFill>
          </w14:textFill>
        </w:rPr>
        <w:t>成交的</w:t>
      </w:r>
      <w:r>
        <w:rPr>
          <w:rFonts w:hint="eastAsia" w:eastAsia="宋体"/>
          <w:i w:val="0"/>
          <w:iCs w:val="0"/>
          <w:color w:val="000000" w:themeColor="text1"/>
          <w:highlight w:val="none"/>
          <w:lang w:val="zh-CN" w:eastAsia="zh-CN"/>
          <w14:textFill>
            <w14:solidFill>
              <w14:schemeClr w14:val="tx1"/>
            </w14:solidFill>
          </w14:textFill>
        </w:rPr>
        <w:t>，</w:t>
      </w:r>
      <w:r>
        <w:rPr>
          <w:rFonts w:hint="eastAsia" w:eastAsia="宋体"/>
          <w:i w:val="0"/>
          <w:iCs w:val="0"/>
          <w:color w:val="000000" w:themeColor="text1"/>
          <w:highlight w:val="none"/>
          <w:lang w:val="en-US" w:eastAsia="zh-CN"/>
          <w14:textFill>
            <w14:solidFill>
              <w14:schemeClr w14:val="tx1"/>
            </w14:solidFill>
          </w14:textFill>
        </w:rPr>
        <w:t>采购</w:t>
      </w:r>
      <w:r>
        <w:rPr>
          <w:rFonts w:hint="eastAsia" w:eastAsia="宋体"/>
          <w:i w:val="0"/>
          <w:iCs w:val="0"/>
          <w:color w:val="000000" w:themeColor="text1"/>
          <w:highlight w:val="none"/>
          <w:lang w:val="zh-CN" w:eastAsia="zh-CN"/>
          <w14:textFill>
            <w14:solidFill>
              <w14:schemeClr w14:val="tx1"/>
            </w14:solidFill>
          </w14:textFill>
        </w:rPr>
        <w:t>合同应由</w:t>
      </w:r>
      <w:r>
        <w:rPr>
          <w:rFonts w:hint="eastAsia" w:eastAsia="宋体"/>
          <w:i w:val="0"/>
          <w:iCs w:val="0"/>
          <w:color w:val="000000" w:themeColor="text1"/>
          <w:highlight w:val="none"/>
          <w:lang w:val="en-US" w:eastAsia="zh-CN"/>
          <w14:textFill>
            <w14:solidFill>
              <w14:schemeClr w14:val="tx1"/>
            </w14:solidFill>
          </w14:textFill>
        </w:rPr>
        <w:t>联合体</w:t>
      </w:r>
      <w:r>
        <w:rPr>
          <w:rFonts w:hint="eastAsia" w:eastAsia="宋体"/>
          <w:i w:val="0"/>
          <w:iCs w:val="0"/>
          <w:color w:val="000000" w:themeColor="text1"/>
          <w:highlight w:val="none"/>
          <w:lang w:val="zh-CN" w:eastAsia="zh-CN"/>
          <w14:textFill>
            <w14:solidFill>
              <w14:schemeClr w14:val="tx1"/>
            </w14:solidFill>
          </w14:textFill>
        </w:rPr>
        <w:t>各成员的合法授权代表签字</w:t>
      </w:r>
      <w:r>
        <w:rPr>
          <w:rFonts w:hint="eastAsia" w:eastAsia="宋体"/>
          <w:i w:val="0"/>
          <w:iCs w:val="0"/>
          <w:color w:val="000000" w:themeColor="text1"/>
          <w:highlight w:val="none"/>
          <w:lang w:val="en-US" w:eastAsia="zh-CN"/>
          <w14:textFill>
            <w14:solidFill>
              <w14:schemeClr w14:val="tx1"/>
            </w14:solidFill>
          </w14:textFill>
        </w:rPr>
        <w:t>及</w:t>
      </w:r>
      <w:r>
        <w:rPr>
          <w:rFonts w:hint="eastAsia" w:eastAsia="宋体"/>
          <w:i w:val="0"/>
          <w:iCs w:val="0"/>
          <w:color w:val="000000" w:themeColor="text1"/>
          <w:highlight w:val="none"/>
          <w:lang w:val="zh-CN" w:eastAsia="zh-CN"/>
          <w14:textFill>
            <w14:solidFill>
              <w14:schemeClr w14:val="tx1"/>
            </w14:solidFill>
          </w14:textFill>
        </w:rPr>
        <w:t>加盖</w:t>
      </w:r>
      <w:r>
        <w:rPr>
          <w:rFonts w:hint="eastAsia" w:eastAsia="宋体"/>
          <w:i w:val="0"/>
          <w:iCs w:val="0"/>
          <w:color w:val="000000" w:themeColor="text1"/>
          <w:highlight w:val="none"/>
          <w:lang w:val="en-US" w:eastAsia="zh-CN"/>
          <w14:textFill>
            <w14:solidFill>
              <w14:schemeClr w14:val="tx1"/>
            </w14:solidFill>
          </w14:textFill>
        </w:rPr>
        <w:t>联合体</w:t>
      </w:r>
      <w:r>
        <w:rPr>
          <w:rFonts w:hint="eastAsia" w:eastAsia="宋体"/>
          <w:i w:val="0"/>
          <w:iCs w:val="0"/>
          <w:color w:val="000000" w:themeColor="text1"/>
          <w:highlight w:val="none"/>
          <w:lang w:val="zh-CN" w:eastAsia="zh-CN"/>
          <w14:textFill>
            <w14:solidFill>
              <w14:schemeClr w14:val="tx1"/>
            </w14:solidFill>
          </w14:textFill>
        </w:rPr>
        <w:t>各成员公章，</w:t>
      </w:r>
      <w:r>
        <w:rPr>
          <w:rFonts w:hint="eastAsia" w:eastAsia="宋体"/>
          <w:i w:val="0"/>
          <w:iCs w:val="0"/>
          <w:color w:val="000000" w:themeColor="text1"/>
          <w:highlight w:val="none"/>
          <w:lang w:val="en-US" w:eastAsia="zh-CN"/>
          <w14:textFill>
            <w14:solidFill>
              <w14:schemeClr w14:val="tx1"/>
            </w14:solidFill>
          </w14:textFill>
        </w:rPr>
        <w:t>并</w:t>
      </w:r>
      <w:r>
        <w:rPr>
          <w:rFonts w:hint="eastAsia" w:eastAsia="宋体"/>
          <w:i w:val="0"/>
          <w:iCs w:val="0"/>
          <w:color w:val="000000" w:themeColor="text1"/>
          <w:highlight w:val="none"/>
          <w:lang w:val="zh-CN" w:eastAsia="zh-CN"/>
          <w14:textFill>
            <w14:solidFill>
              <w14:schemeClr w14:val="tx1"/>
            </w14:solidFill>
          </w14:textFill>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002429ED">
      <w:pPr>
        <w:pStyle w:val="48"/>
        <w:keepNext w:val="0"/>
        <w:keepLines w:val="0"/>
        <w:pageBreakBefore w:val="0"/>
        <w:widowControl w:val="0"/>
        <w:kinsoku/>
        <w:overflowPunct/>
        <w:topLinePunct/>
        <w:autoSpaceDE/>
        <w:autoSpaceDN/>
        <w:bidi w:val="0"/>
        <w:adjustRightInd/>
        <w:textAlignment w:val="auto"/>
        <w:rPr>
          <w:rFonts w:hint="eastAsia" w:eastAsia="宋体"/>
          <w:i w:val="0"/>
          <w:iCs w:val="0"/>
          <w:color w:val="000000" w:themeColor="text1"/>
          <w:highlight w:val="none"/>
          <w:lang w:val="zh-CN" w:eastAsia="zh-CN"/>
          <w14:textFill>
            <w14:solidFill>
              <w14:schemeClr w14:val="tx1"/>
            </w14:solidFill>
          </w14:textFill>
        </w:rPr>
      </w:pPr>
      <w:r>
        <w:rPr>
          <w:rFonts w:hint="eastAsia" w:eastAsia="宋体"/>
          <w:i w:val="0"/>
          <w:iCs w:val="0"/>
          <w:color w:val="000000" w:themeColor="text1"/>
          <w:highlight w:val="none"/>
          <w:lang w:val="zh-CN" w:eastAsia="zh-CN"/>
          <w14:textFill>
            <w14:solidFill>
              <w14:schemeClr w14:val="tx1"/>
            </w14:solidFill>
          </w14:textFill>
        </w:rPr>
        <w:t>4.2</w:t>
      </w:r>
      <w:r>
        <w:rPr>
          <w:rFonts w:hint="eastAsia" w:eastAsia="宋体"/>
          <w:i w:val="0"/>
          <w:iCs w:val="0"/>
          <w:color w:val="000000" w:themeColor="text1"/>
          <w:highlight w:val="none"/>
          <w:lang w:val="en-US" w:eastAsia="zh-CN"/>
          <w14:textFill>
            <w14:solidFill>
              <w14:schemeClr w14:val="tx1"/>
            </w14:solidFill>
          </w14:textFill>
        </w:rPr>
        <w:t>.7</w:t>
      </w:r>
      <w:r>
        <w:rPr>
          <w:rFonts w:hint="eastAsia" w:eastAsia="宋体"/>
          <w:i w:val="0"/>
          <w:iCs w:val="0"/>
          <w:color w:val="000000" w:themeColor="text1"/>
          <w:highlight w:val="none"/>
          <w:lang w:val="zh-CN" w:eastAsia="zh-CN"/>
          <w14:textFill>
            <w14:solidFill>
              <w14:schemeClr w14:val="tx1"/>
            </w14:solidFill>
          </w14:textFill>
        </w:rPr>
        <w:t>联合体或其成员不得将其在合同项下的权利或义务全部或部分转让给第三人，有关分包事项须事先取得采购</w:t>
      </w:r>
      <w:r>
        <w:rPr>
          <w:rFonts w:hint="eastAsia" w:eastAsia="宋体"/>
          <w:i w:val="0"/>
          <w:iCs w:val="0"/>
          <w:color w:val="000000" w:themeColor="text1"/>
          <w:highlight w:val="none"/>
          <w:lang w:val="en-US" w:eastAsia="zh-CN"/>
          <w14:textFill>
            <w14:solidFill>
              <w14:schemeClr w14:val="tx1"/>
            </w14:solidFill>
          </w14:textFill>
        </w:rPr>
        <w:t>人</w:t>
      </w:r>
      <w:r>
        <w:rPr>
          <w:rFonts w:hint="eastAsia" w:eastAsia="宋体"/>
          <w:i w:val="0"/>
          <w:iCs w:val="0"/>
          <w:color w:val="000000" w:themeColor="text1"/>
          <w:highlight w:val="none"/>
          <w:lang w:val="zh-CN" w:eastAsia="zh-CN"/>
          <w14:textFill>
            <w14:solidFill>
              <w14:schemeClr w14:val="tx1"/>
            </w14:solidFill>
          </w14:textFill>
        </w:rPr>
        <w:t>书面同意并且须遵守相关法律、法规、本次</w:t>
      </w:r>
      <w:r>
        <w:rPr>
          <w:rFonts w:hint="eastAsia" w:eastAsia="宋体"/>
          <w:i w:val="0"/>
          <w:iCs w:val="0"/>
          <w:color w:val="000000" w:themeColor="text1"/>
          <w:highlight w:val="none"/>
          <w:lang w:val="en-US" w:eastAsia="zh-CN"/>
          <w14:textFill>
            <w14:solidFill>
              <w14:schemeClr w14:val="tx1"/>
            </w14:solidFill>
          </w14:textFill>
        </w:rPr>
        <w:t>磋商</w:t>
      </w:r>
      <w:r>
        <w:rPr>
          <w:rFonts w:hint="eastAsia" w:eastAsia="宋体"/>
          <w:i w:val="0"/>
          <w:iCs w:val="0"/>
          <w:color w:val="000000" w:themeColor="text1"/>
          <w:highlight w:val="none"/>
          <w:lang w:val="zh-CN" w:eastAsia="zh-CN"/>
          <w14:textFill>
            <w14:solidFill>
              <w14:schemeClr w14:val="tx1"/>
            </w14:solidFill>
          </w14:textFill>
        </w:rPr>
        <w:t>的全部相关规定。</w:t>
      </w:r>
    </w:p>
    <w:p w14:paraId="0ACD1160">
      <w:pPr>
        <w:pStyle w:val="48"/>
        <w:keepNext w:val="0"/>
        <w:keepLines w:val="0"/>
        <w:pageBreakBefore w:val="0"/>
        <w:widowControl w:val="0"/>
        <w:kinsoku/>
        <w:overflowPunct/>
        <w:topLinePunct/>
        <w:autoSpaceDE/>
        <w:autoSpaceDN/>
        <w:bidi w:val="0"/>
        <w:adjustRightInd/>
        <w:textAlignment w:val="auto"/>
        <w:rPr>
          <w:rFonts w:hint="eastAsia" w:eastAsia="宋体"/>
          <w:i w:val="0"/>
          <w:iCs w:val="0"/>
          <w:color w:val="000000" w:themeColor="text1"/>
          <w:highlight w:val="none"/>
          <w:lang w:val="zh-CN" w:eastAsia="zh-CN"/>
          <w14:textFill>
            <w14:solidFill>
              <w14:schemeClr w14:val="tx1"/>
            </w14:solidFill>
          </w14:textFill>
        </w:rPr>
      </w:pPr>
      <w:r>
        <w:rPr>
          <w:rFonts w:hint="eastAsia" w:eastAsia="宋体"/>
          <w:i w:val="0"/>
          <w:iCs w:val="0"/>
          <w:color w:val="000000" w:themeColor="text1"/>
          <w:highlight w:val="none"/>
          <w:lang w:val="en-US" w:eastAsia="zh-CN"/>
          <w14:textFill>
            <w14:solidFill>
              <w14:schemeClr w14:val="tx1"/>
            </w14:solidFill>
          </w14:textFill>
        </w:rPr>
        <w:t>4.2</w:t>
      </w:r>
      <w:r>
        <w:rPr>
          <w:rFonts w:hint="eastAsia" w:eastAsia="宋体"/>
          <w:i w:val="0"/>
          <w:iCs w:val="0"/>
          <w:color w:val="000000" w:themeColor="text1"/>
          <w:highlight w:val="none"/>
          <w:lang w:val="zh-CN" w:eastAsia="zh-CN"/>
          <w14:textFill>
            <w14:solidFill>
              <w14:schemeClr w14:val="tx1"/>
            </w14:solidFill>
          </w14:textFill>
        </w:rPr>
        <w:t>.</w:t>
      </w:r>
      <w:r>
        <w:rPr>
          <w:rFonts w:hint="eastAsia" w:eastAsia="宋体"/>
          <w:i w:val="0"/>
          <w:iCs w:val="0"/>
          <w:color w:val="000000" w:themeColor="text1"/>
          <w:highlight w:val="none"/>
          <w:lang w:val="en-US" w:eastAsia="zh-CN"/>
          <w14:textFill>
            <w14:solidFill>
              <w14:schemeClr w14:val="tx1"/>
            </w14:solidFill>
          </w14:textFill>
        </w:rPr>
        <w:t>8</w:t>
      </w:r>
      <w:r>
        <w:rPr>
          <w:rFonts w:hint="eastAsia" w:eastAsia="宋体"/>
          <w:i w:val="0"/>
          <w:iCs w:val="0"/>
          <w:color w:val="000000" w:themeColor="text1"/>
          <w:highlight w:val="none"/>
          <w:lang w:val="zh-CN" w:eastAsia="zh-CN"/>
          <w14:textFill>
            <w14:solidFill>
              <w14:schemeClr w14:val="tx1"/>
            </w14:solidFill>
          </w14:textFill>
        </w:rPr>
        <w:t>对联合体</w:t>
      </w:r>
      <w:r>
        <w:rPr>
          <w:rFonts w:hint="eastAsia" w:eastAsia="宋体"/>
          <w:i w:val="0"/>
          <w:iCs w:val="0"/>
          <w:color w:val="000000" w:themeColor="text1"/>
          <w:highlight w:val="none"/>
          <w:lang w:val="en-US" w:eastAsia="zh-CN"/>
          <w14:textFill>
            <w14:solidFill>
              <w14:schemeClr w14:val="tx1"/>
            </w14:solidFill>
          </w14:textFill>
        </w:rPr>
        <w:t>磋商</w:t>
      </w:r>
      <w:r>
        <w:rPr>
          <w:rFonts w:hint="eastAsia" w:eastAsia="宋体"/>
          <w:i w:val="0"/>
          <w:iCs w:val="0"/>
          <w:color w:val="000000" w:themeColor="text1"/>
          <w:highlight w:val="none"/>
          <w:lang w:val="zh-CN" w:eastAsia="zh-CN"/>
          <w14:textFill>
            <w14:solidFill>
              <w14:schemeClr w14:val="tx1"/>
            </w14:solidFill>
          </w14:textFill>
        </w:rPr>
        <w:t>的其他资格要求见“</w:t>
      </w:r>
      <w:r>
        <w:rPr>
          <w:rFonts w:hint="eastAsia" w:eastAsia="宋体"/>
          <w:i w:val="0"/>
          <w:iCs w:val="0"/>
          <w:color w:val="000000" w:themeColor="text1"/>
          <w:highlight w:val="none"/>
          <w:lang w:val="en-US" w:eastAsia="zh-CN"/>
          <w14:textFill>
            <w14:solidFill>
              <w14:schemeClr w14:val="tx1"/>
            </w14:solidFill>
          </w14:textFill>
        </w:rPr>
        <w:t>第一章竞争性磋商公告</w:t>
      </w:r>
      <w:r>
        <w:rPr>
          <w:rFonts w:hint="eastAsia" w:eastAsia="宋体"/>
          <w:i w:val="0"/>
          <w:iCs w:val="0"/>
          <w:color w:val="000000" w:themeColor="text1"/>
          <w:highlight w:val="none"/>
          <w:lang w:val="zh-CN" w:eastAsia="zh-CN"/>
          <w14:textFill>
            <w14:solidFill>
              <w14:schemeClr w14:val="tx1"/>
            </w14:solidFill>
          </w14:textFill>
        </w:rPr>
        <w:t>”</w:t>
      </w:r>
      <w:r>
        <w:rPr>
          <w:rFonts w:hint="eastAsia" w:eastAsia="宋体"/>
          <w:i w:val="0"/>
          <w:iCs w:val="0"/>
          <w:color w:val="000000" w:themeColor="text1"/>
          <w:highlight w:val="none"/>
          <w:lang w:val="en-US" w:eastAsia="zh-CN"/>
          <w14:textFill>
            <w14:solidFill>
              <w14:schemeClr w14:val="tx1"/>
            </w14:solidFill>
          </w14:textFill>
        </w:rPr>
        <w:t>中的“二、供应商的</w:t>
      </w:r>
      <w:r>
        <w:rPr>
          <w:rFonts w:hint="eastAsia" w:eastAsia="宋体"/>
          <w:i w:val="0"/>
          <w:iCs w:val="0"/>
          <w:color w:val="000000" w:themeColor="text1"/>
          <w:highlight w:val="none"/>
          <w:lang w:val="zh-CN" w:eastAsia="zh-CN"/>
          <w14:textFill>
            <w14:solidFill>
              <w14:schemeClr w14:val="tx1"/>
            </w14:solidFill>
          </w14:textFill>
        </w:rPr>
        <w:t>资格</w:t>
      </w:r>
      <w:r>
        <w:rPr>
          <w:rFonts w:hint="eastAsia" w:eastAsia="宋体"/>
          <w:i w:val="0"/>
          <w:iCs w:val="0"/>
          <w:color w:val="000000" w:themeColor="text1"/>
          <w:highlight w:val="none"/>
          <w:lang w:val="en-US" w:eastAsia="zh-CN"/>
          <w14:textFill>
            <w14:solidFill>
              <w14:schemeClr w14:val="tx1"/>
            </w14:solidFill>
          </w14:textFill>
        </w:rPr>
        <w:t>要求”</w:t>
      </w:r>
      <w:r>
        <w:rPr>
          <w:rFonts w:hint="eastAsia" w:eastAsia="宋体"/>
          <w:i w:val="0"/>
          <w:iCs w:val="0"/>
          <w:color w:val="000000" w:themeColor="text1"/>
          <w:highlight w:val="none"/>
          <w:lang w:val="zh-CN" w:eastAsia="zh-CN"/>
          <w14:textFill>
            <w14:solidFill>
              <w14:schemeClr w14:val="tx1"/>
            </w14:solidFill>
          </w14:textFill>
        </w:rPr>
        <w:t>。</w:t>
      </w:r>
    </w:p>
    <w:p w14:paraId="4936D1F5">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5.费用</w:t>
      </w:r>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承担</w:t>
      </w:r>
    </w:p>
    <w:p w14:paraId="1E3482B5">
      <w:pPr>
        <w:pStyle w:val="48"/>
        <w:keepNext w:val="0"/>
        <w:keepLines w:val="0"/>
        <w:pageBreakBefore w:val="0"/>
        <w:widowControl w:val="0"/>
        <w:kinsoku/>
        <w:overflowPunct/>
        <w:topLinePunct/>
        <w:bidi w:val="0"/>
        <w:ind w:firstLine="480"/>
        <w:textAlignment w:val="auto"/>
        <w:rPr>
          <w:rFonts w:hint="eastAsia"/>
          <w:i w:val="0"/>
          <w:iCs w:val="0"/>
          <w:snapToGrid w:val="0"/>
          <w:color w:val="000000" w:themeColor="text1"/>
          <w:highlight w:val="none"/>
          <w:lang w:val="zh-CN"/>
          <w14:textFill>
            <w14:solidFill>
              <w14:schemeClr w14:val="tx1"/>
            </w14:solidFill>
          </w14:textFill>
        </w:rPr>
      </w:pPr>
      <w:r>
        <w:rPr>
          <w:rFonts w:hint="eastAsia"/>
          <w:i w:val="0"/>
          <w:iCs w:val="0"/>
          <w:snapToGrid w:val="0"/>
          <w:color w:val="000000" w:themeColor="text1"/>
          <w:highlight w:val="none"/>
          <w:lang w:val="zh-CN"/>
          <w14:textFill>
            <w14:solidFill>
              <w14:schemeClr w14:val="tx1"/>
            </w14:solidFill>
          </w14:textFill>
        </w:rPr>
        <w:t>5.1</w:t>
      </w:r>
      <w:r>
        <w:rPr>
          <w:rFonts w:hint="eastAsia"/>
          <w:i w:val="0"/>
          <w:iCs w:val="0"/>
          <w:snapToGrid w:val="0"/>
          <w:color w:val="000000" w:themeColor="text1"/>
          <w:highlight w:val="none"/>
          <w:lang w:val="zh-CN" w:eastAsia="zh-CN"/>
          <w14:textFill>
            <w14:solidFill>
              <w14:schemeClr w14:val="tx1"/>
            </w14:solidFill>
          </w14:textFill>
        </w:rPr>
        <w:t>不论</w:t>
      </w:r>
      <w:r>
        <w:rPr>
          <w:rFonts w:hint="eastAsia"/>
          <w:i w:val="0"/>
          <w:iCs w:val="0"/>
          <w:snapToGrid w:val="0"/>
          <w:color w:val="000000" w:themeColor="text1"/>
          <w:highlight w:val="none"/>
          <w:lang w:val="en-US" w:eastAsia="zh-CN"/>
          <w14:textFill>
            <w14:solidFill>
              <w14:schemeClr w14:val="tx1"/>
            </w14:solidFill>
          </w14:textFill>
        </w:rPr>
        <w:t>磋商</w:t>
      </w:r>
      <w:r>
        <w:rPr>
          <w:rFonts w:hint="eastAsia"/>
          <w:i w:val="0"/>
          <w:iCs w:val="0"/>
          <w:snapToGrid w:val="0"/>
          <w:color w:val="000000" w:themeColor="text1"/>
          <w:highlight w:val="none"/>
          <w:lang w:val="zh-CN" w:eastAsia="zh-CN"/>
          <w14:textFill>
            <w14:solidFill>
              <w14:schemeClr w14:val="tx1"/>
            </w14:solidFill>
          </w14:textFill>
        </w:rPr>
        <w:t>的结果如何，</w:t>
      </w:r>
      <w:r>
        <w:rPr>
          <w:rFonts w:hint="eastAsia"/>
          <w:i w:val="0"/>
          <w:iCs w:val="0"/>
          <w:snapToGrid w:val="0"/>
          <w:color w:val="000000" w:themeColor="text1"/>
          <w:highlight w:val="none"/>
          <w:lang w:val="en-US" w:eastAsia="zh-CN"/>
          <w14:textFill>
            <w14:solidFill>
              <w14:schemeClr w14:val="tx1"/>
            </w14:solidFill>
          </w14:textFill>
        </w:rPr>
        <w:t>供应商</w:t>
      </w:r>
      <w:r>
        <w:rPr>
          <w:rFonts w:hint="eastAsia"/>
          <w:i w:val="0"/>
          <w:iCs w:val="0"/>
          <w:snapToGrid w:val="0"/>
          <w:color w:val="000000" w:themeColor="text1"/>
          <w:highlight w:val="none"/>
          <w:lang w:val="zh-CN" w:eastAsia="zh-CN"/>
          <w14:textFill>
            <w14:solidFill>
              <w14:schemeClr w14:val="tx1"/>
            </w14:solidFill>
          </w14:textFill>
        </w:rPr>
        <w:t>应承担所有与准备和参加</w:t>
      </w:r>
      <w:r>
        <w:rPr>
          <w:rFonts w:hint="eastAsia"/>
          <w:i w:val="0"/>
          <w:iCs w:val="0"/>
          <w:snapToGrid w:val="0"/>
          <w:color w:val="000000" w:themeColor="text1"/>
          <w:highlight w:val="none"/>
          <w:lang w:val="en-US" w:eastAsia="zh-CN"/>
          <w14:textFill>
            <w14:solidFill>
              <w14:schemeClr w14:val="tx1"/>
            </w14:solidFill>
          </w14:textFill>
        </w:rPr>
        <w:t>磋商</w:t>
      </w:r>
      <w:r>
        <w:rPr>
          <w:rFonts w:hint="eastAsia"/>
          <w:i w:val="0"/>
          <w:iCs w:val="0"/>
          <w:snapToGrid w:val="0"/>
          <w:color w:val="000000" w:themeColor="text1"/>
          <w:highlight w:val="none"/>
          <w:lang w:val="zh-CN" w:eastAsia="zh-CN"/>
          <w14:textFill>
            <w14:solidFill>
              <w14:schemeClr w14:val="tx1"/>
            </w14:solidFill>
          </w14:textFill>
        </w:rPr>
        <w:t>有关的费用。</w:t>
      </w:r>
    </w:p>
    <w:p w14:paraId="36C28498">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49" w:name="_Toc140132761"/>
      <w:bookmarkStart w:id="50" w:name="_Toc161600293"/>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6.保密</w:t>
      </w:r>
      <w:bookmarkEnd w:id="49"/>
      <w:bookmarkEnd w:id="50"/>
    </w:p>
    <w:p w14:paraId="1F4A4DCF">
      <w:pPr>
        <w:pStyle w:val="48"/>
        <w:keepNext w:val="0"/>
        <w:keepLines w:val="0"/>
        <w:pageBreakBefore w:val="0"/>
        <w:widowControl w:val="0"/>
        <w:kinsoku/>
        <w:overflowPunct/>
        <w:topLinePunct/>
        <w:bidi w:val="0"/>
        <w:ind w:firstLine="480"/>
        <w:textAlignment w:val="auto"/>
        <w:rPr>
          <w:rFonts w:hint="eastAsia" w:eastAsia="宋体"/>
          <w:i w:val="0"/>
          <w:iCs w:val="0"/>
          <w:color w:val="000000" w:themeColor="text1"/>
          <w:highlight w:val="none"/>
          <w14:textFill>
            <w14:solidFill>
              <w14:schemeClr w14:val="tx1"/>
            </w14:solidFill>
          </w14:textFill>
        </w:rPr>
      </w:pPr>
      <w:r>
        <w:rPr>
          <w:rFonts w:hint="eastAsia"/>
          <w:i w:val="0"/>
          <w:iCs w:val="0"/>
          <w:color w:val="000000" w:themeColor="text1"/>
          <w:highlight w:val="none"/>
          <w14:textFill>
            <w14:solidFill>
              <w14:schemeClr w14:val="tx1"/>
            </w14:solidFill>
          </w14:textFill>
        </w:rPr>
        <w:t>6.1参</w:t>
      </w:r>
      <w:r>
        <w:rPr>
          <w:rFonts w:hint="eastAsia" w:eastAsia="宋体"/>
          <w:i w:val="0"/>
          <w:iCs w:val="0"/>
          <w:color w:val="000000" w:themeColor="text1"/>
          <w:highlight w:val="none"/>
          <w14:textFill>
            <w14:solidFill>
              <w14:schemeClr w14:val="tx1"/>
            </w14:solidFill>
          </w14:textFill>
        </w:rPr>
        <w:t>与磋商活动的各方应对竞争</w:t>
      </w:r>
      <w:r>
        <w:rPr>
          <w:rFonts w:hint="eastAsia" w:eastAsia="宋体"/>
          <w:i w:val="0"/>
          <w:iCs w:val="0"/>
          <w:color w:val="000000" w:themeColor="text1"/>
          <w:highlight w:val="none"/>
          <w:lang w:val="en-US" w:eastAsia="zh-CN"/>
          <w14:textFill>
            <w14:solidFill>
              <w14:schemeClr w14:val="tx1"/>
            </w14:solidFill>
          </w14:textFill>
        </w:rPr>
        <w:t>性</w:t>
      </w:r>
      <w:r>
        <w:rPr>
          <w:rFonts w:hint="eastAsia" w:eastAsia="宋体"/>
          <w:i w:val="0"/>
          <w:iCs w:val="0"/>
          <w:color w:val="000000" w:themeColor="text1"/>
          <w:highlight w:val="none"/>
          <w14:textFill>
            <w14:solidFill>
              <w14:schemeClr w14:val="tx1"/>
            </w14:solidFill>
          </w14:textFill>
        </w:rPr>
        <w:t>磋商文件和响应文件中的商业和技术等秘密保密，否则应承担相应的法律责任。</w:t>
      </w:r>
    </w:p>
    <w:p w14:paraId="615E2164">
      <w:pPr>
        <w:pStyle w:val="48"/>
        <w:keepNext w:val="0"/>
        <w:keepLines w:val="0"/>
        <w:pageBreakBefore w:val="0"/>
        <w:widowControl w:val="0"/>
        <w:kinsoku/>
        <w:overflowPunct/>
        <w:topLinePunct/>
        <w:bidi w:val="0"/>
        <w:ind w:firstLine="480"/>
        <w:textAlignment w:val="auto"/>
        <w:rPr>
          <w:rFonts w:hint="eastAsia" w:eastAsia="宋体"/>
          <w:i w:val="0"/>
          <w:iCs w:val="0"/>
          <w:color w:val="000000" w:themeColor="text1"/>
          <w:highlight w:val="none"/>
          <w14:textFill>
            <w14:solidFill>
              <w14:schemeClr w14:val="tx1"/>
            </w14:solidFill>
          </w14:textFill>
        </w:rPr>
      </w:pPr>
      <w:r>
        <w:rPr>
          <w:rFonts w:hint="eastAsia" w:eastAsia="宋体"/>
          <w:i w:val="0"/>
          <w:iCs w:val="0"/>
          <w:color w:val="000000" w:themeColor="text1"/>
          <w:highlight w:val="none"/>
          <w:lang w:val="en-US" w:eastAsia="zh-CN"/>
          <w14:textFill>
            <w14:solidFill>
              <w14:schemeClr w14:val="tx1"/>
            </w14:solidFill>
          </w14:textFill>
        </w:rPr>
        <w:t>6</w:t>
      </w:r>
      <w:r>
        <w:rPr>
          <w:rFonts w:hint="eastAsia" w:eastAsia="宋体"/>
          <w:i w:val="0"/>
          <w:iCs w:val="0"/>
          <w:color w:val="000000" w:themeColor="text1"/>
          <w:highlight w:val="none"/>
          <w14:textFill>
            <w14:solidFill>
              <w14:schemeClr w14:val="tx1"/>
            </w14:solidFill>
          </w14:textFill>
        </w:rPr>
        <w:t>.</w:t>
      </w:r>
      <w:r>
        <w:rPr>
          <w:rFonts w:hint="eastAsia" w:eastAsia="宋体"/>
          <w:i w:val="0"/>
          <w:iCs w:val="0"/>
          <w:color w:val="000000" w:themeColor="text1"/>
          <w:highlight w:val="none"/>
          <w:lang w:val="en-US" w:eastAsia="zh-CN"/>
          <w14:textFill>
            <w14:solidFill>
              <w14:schemeClr w14:val="tx1"/>
            </w14:solidFill>
          </w14:textFill>
        </w:rPr>
        <w:t>2供应商</w:t>
      </w:r>
      <w:r>
        <w:rPr>
          <w:rFonts w:hint="eastAsia" w:eastAsia="宋体"/>
          <w:i w:val="0"/>
          <w:iCs w:val="0"/>
          <w:color w:val="000000" w:themeColor="text1"/>
          <w:highlight w:val="none"/>
          <w14:textFill>
            <w14:solidFill>
              <w14:schemeClr w14:val="tx1"/>
            </w14:solidFill>
          </w14:textFill>
        </w:rPr>
        <w:t>自领取竞争</w:t>
      </w:r>
      <w:r>
        <w:rPr>
          <w:rFonts w:hint="eastAsia" w:eastAsia="宋体"/>
          <w:i w:val="0"/>
          <w:iCs w:val="0"/>
          <w:color w:val="000000" w:themeColor="text1"/>
          <w:highlight w:val="none"/>
          <w:lang w:val="en-US" w:eastAsia="zh-CN"/>
          <w14:textFill>
            <w14:solidFill>
              <w14:schemeClr w14:val="tx1"/>
            </w14:solidFill>
          </w14:textFill>
        </w:rPr>
        <w:t>性</w:t>
      </w:r>
      <w:r>
        <w:rPr>
          <w:rFonts w:hint="eastAsia" w:eastAsia="宋体"/>
          <w:i w:val="0"/>
          <w:iCs w:val="0"/>
          <w:color w:val="000000" w:themeColor="text1"/>
          <w:highlight w:val="none"/>
          <w14:textFill>
            <w14:solidFill>
              <w14:schemeClr w14:val="tx1"/>
            </w14:solidFill>
          </w14:textFill>
        </w:rPr>
        <w:t>磋商文件之日起，须承担本竞争</w:t>
      </w:r>
      <w:r>
        <w:rPr>
          <w:rFonts w:hint="eastAsia" w:eastAsia="宋体"/>
          <w:i w:val="0"/>
          <w:iCs w:val="0"/>
          <w:color w:val="000000" w:themeColor="text1"/>
          <w:highlight w:val="none"/>
          <w:lang w:val="en-US" w:eastAsia="zh-CN"/>
          <w14:textFill>
            <w14:solidFill>
              <w14:schemeClr w14:val="tx1"/>
            </w14:solidFill>
          </w14:textFill>
        </w:rPr>
        <w:t>性</w:t>
      </w:r>
      <w:r>
        <w:rPr>
          <w:rFonts w:hint="eastAsia" w:eastAsia="宋体"/>
          <w:i w:val="0"/>
          <w:iCs w:val="0"/>
          <w:color w:val="000000" w:themeColor="text1"/>
          <w:highlight w:val="none"/>
          <w14:textFill>
            <w14:solidFill>
              <w14:schemeClr w14:val="tx1"/>
            </w14:solidFill>
          </w14:textFill>
        </w:rPr>
        <w:t>磋商项目保密义务，不得将因本次竞争</w:t>
      </w:r>
      <w:r>
        <w:rPr>
          <w:rFonts w:hint="eastAsia" w:eastAsia="宋体"/>
          <w:i w:val="0"/>
          <w:iCs w:val="0"/>
          <w:color w:val="000000" w:themeColor="text1"/>
          <w:highlight w:val="none"/>
          <w:lang w:val="en-US" w:eastAsia="zh-CN"/>
          <w14:textFill>
            <w14:solidFill>
              <w14:schemeClr w14:val="tx1"/>
            </w14:solidFill>
          </w14:textFill>
        </w:rPr>
        <w:t>性</w:t>
      </w:r>
      <w:r>
        <w:rPr>
          <w:rFonts w:hint="eastAsia" w:eastAsia="宋体"/>
          <w:i w:val="0"/>
          <w:iCs w:val="0"/>
          <w:color w:val="000000" w:themeColor="text1"/>
          <w:highlight w:val="none"/>
          <w14:textFill>
            <w14:solidFill>
              <w14:schemeClr w14:val="tx1"/>
            </w14:solidFill>
          </w14:textFill>
        </w:rPr>
        <w:t>磋商获得的信息向第三人外传。由采购人向</w:t>
      </w:r>
      <w:r>
        <w:rPr>
          <w:rFonts w:hint="eastAsia" w:eastAsia="宋体"/>
          <w:i w:val="0"/>
          <w:iCs w:val="0"/>
          <w:color w:val="000000" w:themeColor="text1"/>
          <w:highlight w:val="none"/>
          <w:lang w:val="en-US" w:eastAsia="zh-CN"/>
          <w14:textFill>
            <w14:solidFill>
              <w14:schemeClr w14:val="tx1"/>
            </w14:solidFill>
          </w14:textFill>
        </w:rPr>
        <w:t>供应商</w:t>
      </w:r>
      <w:r>
        <w:rPr>
          <w:rFonts w:hint="eastAsia" w:eastAsia="宋体"/>
          <w:i w:val="0"/>
          <w:iCs w:val="0"/>
          <w:color w:val="000000" w:themeColor="text1"/>
          <w:highlight w:val="none"/>
          <w14:textFill>
            <w14:solidFill>
              <w14:schemeClr w14:val="tx1"/>
            </w14:solidFill>
          </w14:textFill>
        </w:rPr>
        <w:t>提供的图纸、详细资料、样品、模型、模件和所有其它资料，被视为保密资料，仅被用于它所规定的用途。除非得到采购人的同意，不能向任何第三方透露。竞争</w:t>
      </w:r>
      <w:r>
        <w:rPr>
          <w:rFonts w:hint="eastAsia" w:eastAsia="宋体"/>
          <w:i w:val="0"/>
          <w:iCs w:val="0"/>
          <w:color w:val="000000" w:themeColor="text1"/>
          <w:highlight w:val="none"/>
          <w:lang w:val="en-US" w:eastAsia="zh-CN"/>
          <w14:textFill>
            <w14:solidFill>
              <w14:schemeClr w14:val="tx1"/>
            </w14:solidFill>
          </w14:textFill>
        </w:rPr>
        <w:t>性</w:t>
      </w:r>
      <w:r>
        <w:rPr>
          <w:rFonts w:hint="eastAsia" w:eastAsia="宋体"/>
          <w:i w:val="0"/>
          <w:iCs w:val="0"/>
          <w:color w:val="000000" w:themeColor="text1"/>
          <w:highlight w:val="none"/>
          <w14:textFill>
            <w14:solidFill>
              <w14:schemeClr w14:val="tx1"/>
            </w14:solidFill>
          </w14:textFill>
        </w:rPr>
        <w:t>磋商结束后，应采购人要求，</w:t>
      </w:r>
      <w:r>
        <w:rPr>
          <w:rFonts w:hint="eastAsia" w:eastAsia="宋体"/>
          <w:i w:val="0"/>
          <w:iCs w:val="0"/>
          <w:color w:val="000000" w:themeColor="text1"/>
          <w:highlight w:val="none"/>
          <w:lang w:val="en-US" w:eastAsia="zh-CN"/>
          <w14:textFill>
            <w14:solidFill>
              <w14:schemeClr w14:val="tx1"/>
            </w14:solidFill>
          </w14:textFill>
        </w:rPr>
        <w:t>供应商</w:t>
      </w:r>
      <w:r>
        <w:rPr>
          <w:rFonts w:hint="eastAsia" w:eastAsia="宋体"/>
          <w:i w:val="0"/>
          <w:iCs w:val="0"/>
          <w:color w:val="000000" w:themeColor="text1"/>
          <w:highlight w:val="none"/>
          <w14:textFill>
            <w14:solidFill>
              <w14:schemeClr w14:val="tx1"/>
            </w14:solidFill>
          </w14:textFill>
        </w:rPr>
        <w:t>应归还所有从采购人处获得的保密资料。</w:t>
      </w:r>
    </w:p>
    <w:p w14:paraId="0FBBF2DE">
      <w:pPr>
        <w:pStyle w:val="48"/>
        <w:keepNext w:val="0"/>
        <w:keepLines w:val="0"/>
        <w:pageBreakBefore w:val="0"/>
        <w:widowControl w:val="0"/>
        <w:kinsoku/>
        <w:overflowPunct/>
        <w:topLinePunct/>
        <w:bidi w:val="0"/>
        <w:ind w:firstLine="480"/>
        <w:textAlignment w:val="auto"/>
        <w:rPr>
          <w:rFonts w:hint="eastAsia" w:eastAsia="宋体"/>
          <w:i w:val="0"/>
          <w:iCs w:val="0"/>
          <w:color w:val="000000" w:themeColor="text1"/>
          <w:highlight w:val="none"/>
          <w14:textFill>
            <w14:solidFill>
              <w14:schemeClr w14:val="tx1"/>
            </w14:solidFill>
          </w14:textFill>
        </w:rPr>
      </w:pPr>
      <w:r>
        <w:rPr>
          <w:rFonts w:hint="eastAsia" w:eastAsia="宋体"/>
          <w:i w:val="0"/>
          <w:iCs w:val="0"/>
          <w:color w:val="000000" w:themeColor="text1"/>
          <w:highlight w:val="none"/>
          <w:lang w:val="en-US" w:eastAsia="zh-CN"/>
          <w14:textFill>
            <w14:solidFill>
              <w14:schemeClr w14:val="tx1"/>
            </w14:solidFill>
          </w14:textFill>
        </w:rPr>
        <w:t>6</w:t>
      </w:r>
      <w:r>
        <w:rPr>
          <w:rFonts w:hint="eastAsia" w:eastAsia="宋体"/>
          <w:i w:val="0"/>
          <w:iCs w:val="0"/>
          <w:color w:val="000000" w:themeColor="text1"/>
          <w:highlight w:val="none"/>
          <w14:textFill>
            <w14:solidFill>
              <w14:schemeClr w14:val="tx1"/>
            </w14:solidFill>
          </w14:textFill>
        </w:rPr>
        <w:t>.</w:t>
      </w:r>
      <w:r>
        <w:rPr>
          <w:rFonts w:hint="eastAsia" w:eastAsia="宋体"/>
          <w:i w:val="0"/>
          <w:iCs w:val="0"/>
          <w:color w:val="000000" w:themeColor="text1"/>
          <w:highlight w:val="none"/>
          <w:lang w:val="en-US" w:eastAsia="zh-CN"/>
          <w14:textFill>
            <w14:solidFill>
              <w14:schemeClr w14:val="tx1"/>
            </w14:solidFill>
          </w14:textFill>
        </w:rPr>
        <w:t>3</w:t>
      </w:r>
      <w:r>
        <w:rPr>
          <w:rFonts w:hint="eastAsia" w:eastAsia="宋体"/>
          <w:i w:val="0"/>
          <w:iCs w:val="0"/>
          <w:color w:val="000000" w:themeColor="text1"/>
          <w:highlight w:val="none"/>
          <w14:textFill>
            <w14:solidFill>
              <w14:schemeClr w14:val="tx1"/>
            </w14:solidFill>
          </w14:textFill>
        </w:rPr>
        <w:t>采购代理机构有权将</w:t>
      </w:r>
      <w:r>
        <w:rPr>
          <w:rFonts w:hint="eastAsia" w:eastAsia="宋体"/>
          <w:i w:val="0"/>
          <w:iCs w:val="0"/>
          <w:color w:val="000000" w:themeColor="text1"/>
          <w:highlight w:val="none"/>
          <w:lang w:val="en-US" w:eastAsia="zh-CN"/>
          <w14:textFill>
            <w14:solidFill>
              <w14:schemeClr w14:val="tx1"/>
            </w14:solidFill>
          </w14:textFill>
        </w:rPr>
        <w:t>供应商</w:t>
      </w:r>
      <w:r>
        <w:rPr>
          <w:rFonts w:hint="eastAsia" w:eastAsia="宋体"/>
          <w:i w:val="0"/>
          <w:iCs w:val="0"/>
          <w:color w:val="000000" w:themeColor="text1"/>
          <w:highlight w:val="none"/>
          <w14:textFill>
            <w14:solidFill>
              <w14:schemeClr w14:val="tx1"/>
            </w14:solidFill>
          </w14:textFill>
        </w:rPr>
        <w:t>提供的所有资料向有关政府部门或竞争</w:t>
      </w:r>
      <w:r>
        <w:rPr>
          <w:rFonts w:hint="eastAsia" w:eastAsia="宋体"/>
          <w:i w:val="0"/>
          <w:iCs w:val="0"/>
          <w:color w:val="000000" w:themeColor="text1"/>
          <w:highlight w:val="none"/>
          <w:lang w:val="en-US" w:eastAsia="zh-CN"/>
          <w14:textFill>
            <w14:solidFill>
              <w14:schemeClr w14:val="tx1"/>
            </w14:solidFill>
          </w14:textFill>
        </w:rPr>
        <w:t>性</w:t>
      </w:r>
      <w:r>
        <w:rPr>
          <w:rFonts w:hint="eastAsia" w:eastAsia="宋体"/>
          <w:i w:val="0"/>
          <w:iCs w:val="0"/>
          <w:color w:val="000000" w:themeColor="text1"/>
          <w:highlight w:val="none"/>
          <w14:textFill>
            <w14:solidFill>
              <w14:schemeClr w14:val="tx1"/>
            </w14:solidFill>
          </w14:textFill>
        </w:rPr>
        <w:t>磋商的有关人员披露。</w:t>
      </w:r>
    </w:p>
    <w:p w14:paraId="2C7BABF9">
      <w:pPr>
        <w:pStyle w:val="48"/>
        <w:keepNext w:val="0"/>
        <w:keepLines w:val="0"/>
        <w:pageBreakBefore w:val="0"/>
        <w:widowControl w:val="0"/>
        <w:kinsoku/>
        <w:overflowPunct/>
        <w:topLinePunct/>
        <w:bidi w:val="0"/>
        <w:ind w:firstLine="480"/>
        <w:textAlignment w:val="auto"/>
        <w:rPr>
          <w:rFonts w:hint="eastAsia" w:eastAsia="宋体"/>
          <w:i w:val="0"/>
          <w:iCs w:val="0"/>
          <w:color w:val="000000" w:themeColor="text1"/>
          <w:highlight w:val="none"/>
          <w:lang w:eastAsia="zh-CN"/>
          <w14:textFill>
            <w14:solidFill>
              <w14:schemeClr w14:val="tx1"/>
            </w14:solidFill>
          </w14:textFill>
        </w:rPr>
      </w:pPr>
      <w:r>
        <w:rPr>
          <w:rFonts w:hint="eastAsia" w:eastAsia="宋体"/>
          <w:i w:val="0"/>
          <w:iCs w:val="0"/>
          <w:color w:val="000000" w:themeColor="text1"/>
          <w:highlight w:val="none"/>
          <w:lang w:val="en-US" w:eastAsia="zh-CN"/>
          <w14:textFill>
            <w14:solidFill>
              <w14:schemeClr w14:val="tx1"/>
            </w14:solidFill>
          </w14:textFill>
        </w:rPr>
        <w:t>6</w:t>
      </w:r>
      <w:r>
        <w:rPr>
          <w:rFonts w:hint="eastAsia" w:eastAsia="宋体"/>
          <w:i w:val="0"/>
          <w:iCs w:val="0"/>
          <w:color w:val="000000" w:themeColor="text1"/>
          <w:highlight w:val="none"/>
          <w14:textFill>
            <w14:solidFill>
              <w14:schemeClr w14:val="tx1"/>
            </w14:solidFill>
          </w14:textFill>
        </w:rPr>
        <w:t>.</w:t>
      </w:r>
      <w:r>
        <w:rPr>
          <w:rFonts w:hint="eastAsia" w:eastAsia="宋体"/>
          <w:i w:val="0"/>
          <w:iCs w:val="0"/>
          <w:color w:val="000000" w:themeColor="text1"/>
          <w:highlight w:val="none"/>
          <w:lang w:val="en-US" w:eastAsia="zh-CN"/>
          <w14:textFill>
            <w14:solidFill>
              <w14:schemeClr w14:val="tx1"/>
            </w14:solidFill>
          </w14:textFill>
        </w:rPr>
        <w:t>4各级人民政府财政部门对政府采购活动进行监督检查，有权查阅、复制有关文件、资料，相关单位和人员应当予以配合</w:t>
      </w:r>
      <w:r>
        <w:rPr>
          <w:rFonts w:hint="eastAsia" w:eastAsia="宋体"/>
          <w:i w:val="0"/>
          <w:iCs w:val="0"/>
          <w:color w:val="000000" w:themeColor="text1"/>
          <w:highlight w:val="none"/>
          <w14:textFill>
            <w14:solidFill>
              <w14:schemeClr w14:val="tx1"/>
            </w14:solidFill>
          </w14:textFill>
        </w:rPr>
        <w:t>。</w:t>
      </w:r>
    </w:p>
    <w:p w14:paraId="77EDD880">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51" w:name="_Toc161600294"/>
      <w:bookmarkStart w:id="52" w:name="_Toc140132762"/>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7.语言文字</w:t>
      </w:r>
      <w:bookmarkEnd w:id="51"/>
      <w:bookmarkEnd w:id="52"/>
    </w:p>
    <w:p w14:paraId="64ADF317">
      <w:pPr>
        <w:pStyle w:val="48"/>
        <w:keepNext w:val="0"/>
        <w:keepLines w:val="0"/>
        <w:pageBreakBefore w:val="0"/>
        <w:widowControl w:val="0"/>
        <w:kinsoku/>
        <w:overflowPunct/>
        <w:topLinePunct/>
        <w:bidi w:val="0"/>
        <w:ind w:firstLine="480"/>
        <w:textAlignment w:val="auto"/>
        <w:rPr>
          <w:i w:val="0"/>
          <w:iCs w:val="0"/>
          <w:color w:val="000000" w:themeColor="text1"/>
          <w:highlight w:val="none"/>
          <w14:textFill>
            <w14:solidFill>
              <w14:schemeClr w14:val="tx1"/>
            </w14:solidFill>
          </w14:textFill>
        </w:rPr>
      </w:pPr>
      <w:r>
        <w:rPr>
          <w:rFonts w:hint="eastAsia"/>
          <w:i w:val="0"/>
          <w:iCs w:val="0"/>
          <w:color w:val="000000" w:themeColor="text1"/>
          <w:highlight w:val="none"/>
          <w14:textFill>
            <w14:solidFill>
              <w14:schemeClr w14:val="tx1"/>
            </w14:solidFill>
          </w14:textFill>
        </w:rPr>
        <w:t>7.1竞争</w:t>
      </w:r>
      <w:r>
        <w:rPr>
          <w:rFonts w:hint="eastAsia"/>
          <w:i w:val="0"/>
          <w:iCs w:val="0"/>
          <w:color w:val="000000" w:themeColor="text1"/>
          <w:highlight w:val="none"/>
          <w:lang w:val="en-US" w:eastAsia="zh-CN"/>
          <w14:textFill>
            <w14:solidFill>
              <w14:schemeClr w14:val="tx1"/>
            </w14:solidFill>
          </w14:textFill>
        </w:rPr>
        <w:t>性</w:t>
      </w:r>
      <w:r>
        <w:rPr>
          <w:rFonts w:hint="eastAsia"/>
          <w:i w:val="0"/>
          <w:iCs w:val="0"/>
          <w:color w:val="000000" w:themeColor="text1"/>
          <w:highlight w:val="none"/>
          <w14:textFill>
            <w14:solidFill>
              <w14:schemeClr w14:val="tx1"/>
            </w14:solidFill>
          </w14:textFill>
        </w:rPr>
        <w:t>磋商</w:t>
      </w:r>
      <w:r>
        <w:rPr>
          <w:rFonts w:hint="eastAsia"/>
          <w:i w:val="0"/>
          <w:iCs w:val="0"/>
          <w:color w:val="000000" w:themeColor="text1"/>
          <w:highlight w:val="none"/>
          <w:lang w:val="en-US" w:eastAsia="zh-CN"/>
          <w14:textFill>
            <w14:solidFill>
              <w14:schemeClr w14:val="tx1"/>
            </w14:solidFill>
          </w14:textFill>
        </w:rPr>
        <w:t>文件及响应</w:t>
      </w:r>
      <w:r>
        <w:rPr>
          <w:rFonts w:hint="eastAsia"/>
          <w:i w:val="0"/>
          <w:iCs w:val="0"/>
          <w:color w:val="000000" w:themeColor="text1"/>
          <w:highlight w:val="none"/>
          <w14:textFill>
            <w14:solidFill>
              <w14:schemeClr w14:val="tx1"/>
            </w14:solidFill>
          </w14:textFill>
        </w:rPr>
        <w:t>文件使用的语言文字为中文。专用术语使用外文的，应附有中文注释。</w:t>
      </w:r>
      <w:r>
        <w:rPr>
          <w:rFonts w:hint="eastAsia"/>
          <w:i w:val="0"/>
          <w:iCs w:val="0"/>
          <w:color w:val="000000" w:themeColor="text1"/>
          <w:highlight w:val="none"/>
          <w:lang w:val="en-US" w:eastAsia="zh-CN"/>
          <w14:textFill>
            <w14:solidFill>
              <w14:schemeClr w14:val="tx1"/>
            </w14:solidFill>
          </w14:textFill>
        </w:rPr>
        <w:t>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F542ECA">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53" w:name="_Toc161600295"/>
      <w:bookmarkStart w:id="54" w:name="_Toc140132763"/>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8.计量单位</w:t>
      </w:r>
      <w:bookmarkEnd w:id="53"/>
      <w:bookmarkEnd w:id="54"/>
    </w:p>
    <w:p w14:paraId="3215A9C9">
      <w:pPr>
        <w:pStyle w:val="48"/>
        <w:keepNext w:val="0"/>
        <w:keepLines w:val="0"/>
        <w:pageBreakBefore w:val="0"/>
        <w:widowControl w:val="0"/>
        <w:kinsoku/>
        <w:overflowPunct/>
        <w:topLinePunct/>
        <w:bidi w:val="0"/>
        <w:ind w:firstLine="480"/>
        <w:textAlignment w:val="auto"/>
        <w:rPr>
          <w:i w:val="0"/>
          <w:iCs w:val="0"/>
          <w:color w:val="000000" w:themeColor="text1"/>
          <w:highlight w:val="none"/>
          <w14:textFill>
            <w14:solidFill>
              <w14:schemeClr w14:val="tx1"/>
            </w14:solidFill>
          </w14:textFill>
        </w:rPr>
      </w:pPr>
      <w:r>
        <w:rPr>
          <w:rFonts w:hint="eastAsia"/>
          <w:i w:val="0"/>
          <w:iCs w:val="0"/>
          <w:color w:val="000000" w:themeColor="text1"/>
          <w:highlight w:val="none"/>
          <w14:textFill>
            <w14:solidFill>
              <w14:schemeClr w14:val="tx1"/>
            </w14:solidFill>
          </w14:textFill>
        </w:rPr>
        <w:t>8.1所有计量均采用中华人民共和国法定计量单位。</w:t>
      </w:r>
    </w:p>
    <w:p w14:paraId="3538784A">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55" w:name="_Toc140132764"/>
      <w:bookmarkStart w:id="56" w:name="_Toc161600296"/>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9.现场考察和答疑会</w:t>
      </w:r>
      <w:bookmarkEnd w:id="55"/>
      <w:bookmarkEnd w:id="56"/>
    </w:p>
    <w:p w14:paraId="55358FC7">
      <w:pPr>
        <w:pStyle w:val="48"/>
        <w:keepNext w:val="0"/>
        <w:keepLines w:val="0"/>
        <w:pageBreakBefore w:val="0"/>
        <w:widowControl w:val="0"/>
        <w:kinsoku/>
        <w:overflowPunct/>
        <w:topLinePunct/>
        <w:bidi w:val="0"/>
        <w:ind w:firstLine="480"/>
        <w:textAlignment w:val="auto"/>
        <w:rPr>
          <w:rFonts w:hint="eastAsia" w:eastAsia="宋体"/>
          <w:i w:val="0"/>
          <w:iCs w:val="0"/>
          <w:color w:val="000000" w:themeColor="text1"/>
          <w:highlight w:val="none"/>
          <w:lang w:eastAsia="zh-CN"/>
          <w14:textFill>
            <w14:solidFill>
              <w14:schemeClr w14:val="tx1"/>
            </w14:solidFill>
          </w14:textFill>
        </w:rPr>
      </w:pPr>
      <w:bookmarkStart w:id="57" w:name="_Hlk143529198"/>
      <w:r>
        <w:rPr>
          <w:rFonts w:hint="eastAsia"/>
          <w:i w:val="0"/>
          <w:iCs w:val="0"/>
          <w:color w:val="000000" w:themeColor="text1"/>
          <w:highlight w:val="none"/>
          <w14:textFill>
            <w14:solidFill>
              <w14:schemeClr w14:val="tx1"/>
            </w14:solidFill>
          </w14:textFill>
        </w:rPr>
        <w:t>9.1“供应商须知前附表”规定组织现场考察的，采购代理机构按“供应商须知前附表”规定的时间、地点组织供应商项目现场考察。</w:t>
      </w:r>
    </w:p>
    <w:p w14:paraId="2D59BCA2">
      <w:pPr>
        <w:pStyle w:val="48"/>
        <w:keepNext w:val="0"/>
        <w:keepLines w:val="0"/>
        <w:pageBreakBefore w:val="0"/>
        <w:widowControl w:val="0"/>
        <w:kinsoku/>
        <w:overflowPunct/>
        <w:topLinePunct/>
        <w:bidi w:val="0"/>
        <w:ind w:firstLine="480"/>
        <w:textAlignment w:val="auto"/>
        <w:rPr>
          <w:i w:val="0"/>
          <w:iCs w:val="0"/>
          <w:color w:val="000000" w:themeColor="text1"/>
          <w:highlight w:val="none"/>
          <w14:textFill>
            <w14:solidFill>
              <w14:schemeClr w14:val="tx1"/>
            </w14:solidFill>
          </w14:textFill>
        </w:rPr>
      </w:pPr>
      <w:r>
        <w:rPr>
          <w:rFonts w:hint="eastAsia"/>
          <w:i w:val="0"/>
          <w:iCs w:val="0"/>
          <w:color w:val="000000" w:themeColor="text1"/>
          <w:highlight w:val="none"/>
          <w14:textFill>
            <w14:solidFill>
              <w14:schemeClr w14:val="tx1"/>
            </w14:solidFill>
          </w14:textFill>
        </w:rPr>
        <w:t>9.2供应商现场考察发生的费用自理。</w:t>
      </w:r>
    </w:p>
    <w:p w14:paraId="1246D748">
      <w:pPr>
        <w:pStyle w:val="48"/>
        <w:keepNext w:val="0"/>
        <w:keepLines w:val="0"/>
        <w:pageBreakBefore w:val="0"/>
        <w:widowControl w:val="0"/>
        <w:kinsoku/>
        <w:overflowPunct/>
        <w:topLinePunct/>
        <w:bidi w:val="0"/>
        <w:ind w:firstLine="480"/>
        <w:textAlignment w:val="auto"/>
        <w:rPr>
          <w:i w:val="0"/>
          <w:iCs w:val="0"/>
          <w:color w:val="000000" w:themeColor="text1"/>
          <w:highlight w:val="none"/>
          <w14:textFill>
            <w14:solidFill>
              <w14:schemeClr w14:val="tx1"/>
            </w14:solidFill>
          </w14:textFill>
        </w:rPr>
      </w:pPr>
      <w:r>
        <w:rPr>
          <w:rFonts w:hint="eastAsia"/>
          <w:i w:val="0"/>
          <w:iCs w:val="0"/>
          <w:color w:val="000000" w:themeColor="text1"/>
          <w:highlight w:val="none"/>
          <w14:textFill>
            <w14:solidFill>
              <w14:schemeClr w14:val="tx1"/>
            </w14:solidFill>
          </w14:textFill>
        </w:rPr>
        <w:t>9.3在现场考察中，因供应商自身原因发生的人员伤亡和财产损失，由供应商自行负责。</w:t>
      </w:r>
    </w:p>
    <w:p w14:paraId="56715AFE">
      <w:pPr>
        <w:pStyle w:val="48"/>
        <w:keepNext w:val="0"/>
        <w:keepLines w:val="0"/>
        <w:pageBreakBefore w:val="0"/>
        <w:widowControl w:val="0"/>
        <w:kinsoku/>
        <w:overflowPunct/>
        <w:topLinePunct/>
        <w:bidi w:val="0"/>
        <w:ind w:firstLine="480"/>
        <w:textAlignment w:val="auto"/>
        <w:rPr>
          <w:i w:val="0"/>
          <w:iCs w:val="0"/>
          <w:color w:val="000000" w:themeColor="text1"/>
          <w:highlight w:val="none"/>
          <w14:textFill>
            <w14:solidFill>
              <w14:schemeClr w14:val="tx1"/>
            </w14:solidFill>
          </w14:textFill>
        </w:rPr>
      </w:pPr>
      <w:r>
        <w:rPr>
          <w:rFonts w:hint="eastAsia"/>
          <w:i w:val="0"/>
          <w:iCs w:val="0"/>
          <w:color w:val="000000" w:themeColor="text1"/>
          <w:highlight w:val="none"/>
          <w14:textFill>
            <w14:solidFill>
              <w14:schemeClr w14:val="tx1"/>
            </w14:solidFill>
          </w14:textFill>
        </w:rPr>
        <w:t>9.4采购人在现场考察中介绍的项目场地和相关的周边环境情况，仅供供应商在编制响应文件时参考，采购人和采购代理机构不对供应商据此作出的判断和决策负责。</w:t>
      </w:r>
    </w:p>
    <w:p w14:paraId="5768FCC2">
      <w:pPr>
        <w:pStyle w:val="48"/>
        <w:keepNext w:val="0"/>
        <w:keepLines w:val="0"/>
        <w:pageBreakBefore w:val="0"/>
        <w:widowControl w:val="0"/>
        <w:kinsoku/>
        <w:overflowPunct/>
        <w:topLinePunct/>
        <w:bidi w:val="0"/>
        <w:ind w:firstLine="480"/>
        <w:textAlignment w:val="auto"/>
        <w:rPr>
          <w:rFonts w:hint="eastAsia"/>
          <w:i w:val="0"/>
          <w:iCs w:val="0"/>
          <w:color w:val="000000" w:themeColor="text1"/>
          <w:highlight w:val="none"/>
          <w14:textFill>
            <w14:solidFill>
              <w14:schemeClr w14:val="tx1"/>
            </w14:solidFill>
          </w14:textFill>
        </w:rPr>
      </w:pPr>
      <w:r>
        <w:rPr>
          <w:rFonts w:hint="eastAsia"/>
          <w:i w:val="0"/>
          <w:iCs w:val="0"/>
          <w:color w:val="000000" w:themeColor="text1"/>
          <w:highlight w:val="none"/>
          <w14:textFill>
            <w14:solidFill>
              <w14:schemeClr w14:val="tx1"/>
            </w14:solidFill>
          </w14:textFill>
        </w:rPr>
        <w:t>9.5“供应商须知前附表”规定召开答疑会的，采购代理机构按“供应商须知前附表”规定的时间和地点召开答疑会，澄清供应商提出的问题。</w:t>
      </w:r>
    </w:p>
    <w:p w14:paraId="4FDFDE56">
      <w:pPr>
        <w:pStyle w:val="48"/>
        <w:keepNext w:val="0"/>
        <w:keepLines w:val="0"/>
        <w:pageBreakBefore w:val="0"/>
        <w:widowControl w:val="0"/>
        <w:kinsoku/>
        <w:overflowPunct/>
        <w:topLinePunct/>
        <w:autoSpaceDE/>
        <w:autoSpaceDN/>
        <w:bidi w:val="0"/>
        <w:adjustRightInd/>
        <w:textAlignment w:val="auto"/>
        <w:rPr>
          <w:rFonts w:hint="default" w:eastAsia="宋体"/>
          <w:i w:val="0"/>
          <w:iCs w:val="0"/>
          <w:color w:val="000000" w:themeColor="text1"/>
          <w:highlight w:val="none"/>
          <w:lang w:val="en-US" w:eastAsia="zh-CN"/>
          <w14:textFill>
            <w14:solidFill>
              <w14:schemeClr w14:val="tx1"/>
            </w14:solidFill>
          </w14:textFill>
        </w:rPr>
      </w:pPr>
      <w:r>
        <w:rPr>
          <w:rFonts w:hint="eastAsia"/>
          <w:i w:val="0"/>
          <w:iCs w:val="0"/>
          <w:color w:val="000000" w:themeColor="text1"/>
          <w:highlight w:val="none"/>
          <w:lang w:val="en-US" w:eastAsia="zh-CN"/>
          <w14:textFill>
            <w14:solidFill>
              <w14:schemeClr w14:val="tx1"/>
            </w14:solidFill>
          </w14:textFill>
        </w:rPr>
        <w:t>9.6由于未参加现场考察或未参加答疑会而导致对项目实际情况不了解，影响响应文件编制、磋商报价准确性、综合因素响应不全面等问题的，由供应商自行承担不利评审后果。</w:t>
      </w:r>
    </w:p>
    <w:bookmarkEnd w:id="57"/>
    <w:p w14:paraId="6F171B94">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58" w:name="_Toc161600298"/>
      <w:bookmarkStart w:id="59" w:name="_Toc155185858"/>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10.电子标说明</w:t>
      </w:r>
      <w:bookmarkEnd w:id="58"/>
      <w:bookmarkEnd w:id="59"/>
    </w:p>
    <w:p w14:paraId="304A95AF">
      <w:pPr>
        <w:pStyle w:val="48"/>
        <w:keepNext w:val="0"/>
        <w:keepLines w:val="0"/>
        <w:pageBreakBefore w:val="0"/>
        <w:widowControl w:val="0"/>
        <w:kinsoku/>
        <w:overflowPunct/>
        <w:topLinePunct/>
        <w:bidi w:val="0"/>
        <w:ind w:firstLine="480"/>
        <w:textAlignment w:val="auto"/>
        <w:rPr>
          <w:rFonts w:hint="eastAsia" w:ascii="宋体" w:hAnsi="宋体" w:eastAsia="宋体"/>
          <w:i w:val="0"/>
          <w:iCs w:val="0"/>
          <w:color w:val="000000" w:themeColor="text1"/>
          <w:highlight w:val="none"/>
          <w:lang w:val="en-US" w:eastAsia="zh-CN"/>
          <w14:textFill>
            <w14:solidFill>
              <w14:schemeClr w14:val="tx1"/>
            </w14:solidFill>
          </w14:textFill>
        </w:rPr>
      </w:pPr>
      <w:r>
        <w:rPr>
          <w:rFonts w:hint="eastAsia" w:ascii="宋体" w:hAnsi="宋体" w:eastAsia="宋体"/>
          <w:i w:val="0"/>
          <w:iCs w:val="0"/>
          <w:color w:val="000000" w:themeColor="text1"/>
          <w:highlight w:val="none"/>
          <w:lang w:val="en-US" w:eastAsia="zh-CN"/>
          <w14:textFill>
            <w14:solidFill>
              <w14:schemeClr w14:val="tx1"/>
            </w14:solidFill>
          </w14:textFill>
        </w:rPr>
        <w:t>10.1本次采购采用电子交易方式，电子交易平台为</w:t>
      </w:r>
      <w:r>
        <w:rPr>
          <w:rFonts w:hint="eastAsia"/>
          <w:i w:val="0"/>
          <w:iCs w:val="0"/>
          <w:color w:val="000000" w:themeColor="text1"/>
          <w:highlight w:val="none"/>
          <w:lang w:val="en-US" w:eastAsia="zh-CN"/>
          <w14:textFill>
            <w14:solidFill>
              <w14:schemeClr w14:val="tx1"/>
            </w14:solidFill>
          </w14:textFill>
        </w:rPr>
        <w:t>新疆政府采购网（http://www.ccgp-xinjiang.gov.cn/）</w:t>
      </w:r>
      <w:r>
        <w:rPr>
          <w:rFonts w:hint="eastAsia" w:ascii="宋体" w:hAnsi="宋体" w:eastAsia="宋体"/>
          <w:i w:val="0"/>
          <w:iCs w:val="0"/>
          <w:color w:val="000000" w:themeColor="text1"/>
          <w:highlight w:val="none"/>
          <w:lang w:val="en-US" w:eastAsia="zh-CN"/>
          <w14:textFill>
            <w14:solidFill>
              <w14:schemeClr w14:val="tx1"/>
            </w14:solidFill>
          </w14:textFill>
        </w:rPr>
        <w:t>。</w:t>
      </w:r>
      <w:r>
        <w:rPr>
          <w:rFonts w:hint="eastAsia"/>
          <w:i w:val="0"/>
          <w:iCs w:val="0"/>
          <w:color w:val="000000" w:themeColor="text1"/>
          <w:highlight w:val="none"/>
          <w:lang w:val="en-US" w:eastAsia="zh-CN"/>
          <w14:textFill>
            <w14:solidFill>
              <w14:schemeClr w14:val="tx1"/>
            </w14:solidFill>
          </w14:textFill>
        </w:rPr>
        <w:t>供应商</w:t>
      </w:r>
      <w:r>
        <w:rPr>
          <w:rFonts w:hint="eastAsia" w:ascii="宋体" w:hAnsi="宋体" w:eastAsia="宋体"/>
          <w:i w:val="0"/>
          <w:iCs w:val="0"/>
          <w:color w:val="000000" w:themeColor="text1"/>
          <w:highlight w:val="none"/>
          <w:lang w:val="en-US" w:eastAsia="zh-CN"/>
          <w14:textFill>
            <w14:solidFill>
              <w14:schemeClr w14:val="tx1"/>
            </w14:solidFill>
          </w14:textFill>
        </w:rPr>
        <w:t>参与本项目电子交易活动前，</w:t>
      </w:r>
      <w:r>
        <w:rPr>
          <w:rFonts w:hint="eastAsia" w:ascii="宋体" w:hAnsi="宋体" w:eastAsia="宋体"/>
          <w:i w:val="0"/>
          <w:iCs w:val="0"/>
          <w:color w:val="000000" w:themeColor="text1"/>
          <w:highlight w:val="none"/>
          <w14:textFill>
            <w14:solidFill>
              <w14:schemeClr w14:val="tx1"/>
            </w14:solidFill>
          </w14:textFill>
        </w:rPr>
        <w:t>应</w:t>
      </w:r>
      <w:r>
        <w:rPr>
          <w:rFonts w:hint="eastAsia"/>
          <w:i w:val="0"/>
          <w:iCs w:val="0"/>
          <w:color w:val="000000" w:themeColor="text1"/>
          <w:highlight w:val="none"/>
          <w:lang w:val="en-US" w:eastAsia="zh-CN"/>
          <w14:textFill>
            <w14:solidFill>
              <w14:schemeClr w14:val="tx1"/>
            </w14:solidFill>
          </w14:textFill>
        </w:rPr>
        <w:t>在</w:t>
      </w:r>
      <w:r>
        <w:rPr>
          <w:rFonts w:hint="eastAsia" w:ascii="宋体" w:hAnsi="宋体" w:eastAsia="宋体"/>
          <w:i w:val="0"/>
          <w:iCs w:val="0"/>
          <w:color w:val="000000" w:themeColor="text1"/>
          <w:highlight w:val="none"/>
          <w14:textFill>
            <w14:solidFill>
              <w14:schemeClr w14:val="tx1"/>
            </w14:solidFill>
          </w14:textFill>
        </w:rPr>
        <w:t>政</w:t>
      </w:r>
      <w:r>
        <w:rPr>
          <w:rFonts w:hint="eastAsia"/>
          <w:i w:val="0"/>
          <w:iCs w:val="0"/>
          <w:color w:val="000000" w:themeColor="text1"/>
          <w:highlight w:val="none"/>
          <w:lang w:val="en-US" w:eastAsia="zh-CN"/>
          <w14:textFill>
            <w14:solidFill>
              <w14:schemeClr w14:val="tx1"/>
            </w14:solidFill>
          </w14:textFill>
        </w:rPr>
        <w:t>采</w:t>
      </w:r>
      <w:r>
        <w:rPr>
          <w:rFonts w:hint="eastAsia" w:ascii="宋体" w:hAnsi="宋体" w:eastAsia="宋体"/>
          <w:i w:val="0"/>
          <w:iCs w:val="0"/>
          <w:color w:val="000000" w:themeColor="text1"/>
          <w:highlight w:val="none"/>
          <w:lang w:val="en-US"/>
          <w14:textFill>
            <w14:solidFill>
              <w14:schemeClr w14:val="tx1"/>
            </w14:solidFill>
          </w14:textFill>
        </w:rPr>
        <w:t>云</w:t>
      </w:r>
      <w:r>
        <w:rPr>
          <w:rFonts w:hint="eastAsia" w:ascii="宋体" w:hAnsi="宋体" w:eastAsia="宋体"/>
          <w:i w:val="0"/>
          <w:iCs w:val="0"/>
          <w:color w:val="000000" w:themeColor="text1"/>
          <w:highlight w:val="none"/>
          <w14:textFill>
            <w14:solidFill>
              <w14:schemeClr w14:val="tx1"/>
            </w14:solidFill>
          </w14:textFill>
        </w:rPr>
        <w:t>平台</w:t>
      </w:r>
      <w:r>
        <w:rPr>
          <w:rFonts w:hint="eastAsia"/>
          <w:i w:val="0"/>
          <w:iCs w:val="0"/>
          <w:color w:val="000000" w:themeColor="text1"/>
          <w:highlight w:val="none"/>
          <w:lang w:val="en-US" w:eastAsia="zh-CN"/>
          <w14:textFill>
            <w14:solidFill>
              <w14:schemeClr w14:val="tx1"/>
            </w14:solidFill>
          </w14:textFill>
        </w:rPr>
        <w:t>上</w:t>
      </w:r>
      <w:r>
        <w:rPr>
          <w:rFonts w:hint="eastAsia" w:ascii="宋体" w:hAnsi="宋体" w:eastAsia="宋体"/>
          <w:i w:val="0"/>
          <w:iCs w:val="0"/>
          <w:color w:val="000000" w:themeColor="text1"/>
          <w:highlight w:val="none"/>
          <w14:textFill>
            <w14:solidFill>
              <w14:schemeClr w14:val="tx1"/>
            </w14:solidFill>
          </w14:textFill>
        </w:rPr>
        <w:t>注册</w:t>
      </w:r>
      <w:r>
        <w:rPr>
          <w:rFonts w:hint="eastAsia"/>
          <w:i w:val="0"/>
          <w:iCs w:val="0"/>
          <w:color w:val="000000" w:themeColor="text1"/>
          <w:highlight w:val="none"/>
          <w:lang w:val="en-US" w:eastAsia="zh-CN"/>
          <w14:textFill>
            <w14:solidFill>
              <w14:schemeClr w14:val="tx1"/>
            </w14:solidFill>
          </w14:textFill>
        </w:rPr>
        <w:t>供应商账号</w:t>
      </w:r>
      <w:r>
        <w:rPr>
          <w:rFonts w:hint="eastAsia" w:ascii="宋体" w:hAnsi="宋体" w:eastAsia="宋体"/>
          <w:i w:val="0"/>
          <w:iCs w:val="0"/>
          <w:color w:val="000000" w:themeColor="text1"/>
          <w:highlight w:val="none"/>
          <w14:textFill>
            <w14:solidFill>
              <w14:schemeClr w14:val="tx1"/>
            </w14:solidFill>
          </w14:textFill>
        </w:rPr>
        <w:t>。</w:t>
      </w:r>
      <w:r>
        <w:rPr>
          <w:rFonts w:hint="eastAsia" w:ascii="宋体" w:hAnsi="宋体" w:eastAsia="宋体"/>
          <w:i w:val="0"/>
          <w:iCs w:val="0"/>
          <w:color w:val="000000" w:themeColor="text1"/>
          <w:highlight w:val="none"/>
          <w:lang w:val="en-US" w:eastAsia="zh-CN"/>
          <w14:textFill>
            <w14:solidFill>
              <w14:schemeClr w14:val="tx1"/>
            </w14:solidFill>
          </w14:textFill>
        </w:rPr>
        <w:t>编制电子</w:t>
      </w:r>
      <w:r>
        <w:rPr>
          <w:rFonts w:hint="eastAsia"/>
          <w:i w:val="0"/>
          <w:iCs w:val="0"/>
          <w:color w:val="000000" w:themeColor="text1"/>
          <w:highlight w:val="none"/>
          <w:lang w:val="en-US" w:eastAsia="zh-CN"/>
          <w14:textFill>
            <w14:solidFill>
              <w14:schemeClr w14:val="tx1"/>
            </w14:solidFill>
          </w14:textFill>
        </w:rPr>
        <w:t>响应</w:t>
      </w:r>
      <w:r>
        <w:rPr>
          <w:rFonts w:hint="eastAsia" w:ascii="宋体" w:hAnsi="宋体" w:eastAsia="宋体"/>
          <w:i w:val="0"/>
          <w:iCs w:val="0"/>
          <w:color w:val="000000" w:themeColor="text1"/>
          <w:highlight w:val="none"/>
          <w:lang w:val="en-US" w:eastAsia="zh-CN"/>
          <w14:textFill>
            <w14:solidFill>
              <w14:schemeClr w14:val="tx1"/>
            </w14:solidFill>
          </w14:textFill>
        </w:rPr>
        <w:t>文件前还需申领CA证书并绑定帐号。</w:t>
      </w:r>
      <w:r>
        <w:rPr>
          <w:rFonts w:hint="eastAsia"/>
          <w:i w:val="0"/>
          <w:iCs w:val="0"/>
          <w:color w:val="000000" w:themeColor="text1"/>
          <w:highlight w:val="none"/>
          <w:lang w:val="en-US" w:eastAsia="zh-CN"/>
          <w14:textFill>
            <w14:solidFill>
              <w14:schemeClr w14:val="tx1"/>
            </w14:solidFill>
          </w14:textFill>
        </w:rPr>
        <w:t>供应商</w:t>
      </w:r>
      <w:r>
        <w:rPr>
          <w:rFonts w:hint="eastAsia" w:ascii="宋体" w:hAnsi="宋体" w:eastAsia="宋体"/>
          <w:i w:val="0"/>
          <w:iCs w:val="0"/>
          <w:color w:val="000000" w:themeColor="text1"/>
          <w:highlight w:val="none"/>
          <w:lang w:val="en-US" w:eastAsia="zh-CN"/>
          <w14:textFill>
            <w14:solidFill>
              <w14:schemeClr w14:val="tx1"/>
            </w14:solidFill>
          </w14:textFill>
        </w:rPr>
        <w:t>应充分考虑完成平台注册、申领CA证书等所需的时间。潜在</w:t>
      </w:r>
      <w:r>
        <w:rPr>
          <w:rFonts w:hint="eastAsia"/>
          <w:i w:val="0"/>
          <w:iCs w:val="0"/>
          <w:color w:val="000000" w:themeColor="text1"/>
          <w:highlight w:val="none"/>
          <w:lang w:val="en-US" w:eastAsia="zh-CN"/>
          <w14:textFill>
            <w14:solidFill>
              <w14:schemeClr w14:val="tx1"/>
            </w14:solidFill>
          </w14:textFill>
        </w:rPr>
        <w:t>供应商</w:t>
      </w:r>
      <w:r>
        <w:rPr>
          <w:rFonts w:hint="eastAsia" w:ascii="宋体" w:hAnsi="宋体" w:eastAsia="宋体"/>
          <w:i w:val="0"/>
          <w:iCs w:val="0"/>
          <w:color w:val="000000" w:themeColor="text1"/>
          <w:highlight w:val="none"/>
          <w:lang w:val="en-US" w:eastAsia="zh-CN"/>
          <w14:textFill>
            <w14:solidFill>
              <w14:schemeClr w14:val="tx1"/>
            </w14:solidFill>
          </w14:textFill>
        </w:rPr>
        <w:t>领取文件须提前完成注册、CA证书和电子签章申领和绑定、下载投标客户端。因未办理CA数字证书、CA证书故障、操作不当等原因造成无法</w:t>
      </w:r>
      <w:r>
        <w:rPr>
          <w:rFonts w:hint="eastAsia"/>
          <w:i w:val="0"/>
          <w:iCs w:val="0"/>
          <w:color w:val="000000" w:themeColor="text1"/>
          <w:highlight w:val="none"/>
          <w:lang w:val="en-US" w:eastAsia="zh-CN"/>
          <w14:textFill>
            <w14:solidFill>
              <w14:schemeClr w14:val="tx1"/>
            </w14:solidFill>
          </w14:textFill>
        </w:rPr>
        <w:t>磋商</w:t>
      </w:r>
      <w:r>
        <w:rPr>
          <w:rFonts w:hint="eastAsia" w:ascii="宋体" w:hAnsi="宋体" w:eastAsia="宋体"/>
          <w:i w:val="0"/>
          <w:iCs w:val="0"/>
          <w:color w:val="000000" w:themeColor="text1"/>
          <w:highlight w:val="none"/>
          <w:lang w:val="en-US" w:eastAsia="zh-CN"/>
          <w14:textFill>
            <w14:solidFill>
              <w14:schemeClr w14:val="tx1"/>
            </w14:solidFill>
          </w14:textFill>
        </w:rPr>
        <w:t>或</w:t>
      </w:r>
      <w:r>
        <w:rPr>
          <w:rFonts w:hint="eastAsia"/>
          <w:i w:val="0"/>
          <w:iCs w:val="0"/>
          <w:color w:val="000000" w:themeColor="text1"/>
          <w:highlight w:val="none"/>
          <w:lang w:val="en-US" w:eastAsia="zh-CN"/>
          <w14:textFill>
            <w14:solidFill>
              <w14:schemeClr w14:val="tx1"/>
            </w14:solidFill>
          </w14:textFill>
        </w:rPr>
        <w:t>磋商</w:t>
      </w:r>
      <w:r>
        <w:rPr>
          <w:rFonts w:hint="eastAsia" w:ascii="宋体" w:hAnsi="宋体" w:eastAsia="宋体"/>
          <w:i w:val="0"/>
          <w:iCs w:val="0"/>
          <w:color w:val="000000" w:themeColor="text1"/>
          <w:highlight w:val="none"/>
          <w:lang w:val="en-US" w:eastAsia="zh-CN"/>
          <w14:textFill>
            <w14:solidFill>
              <w14:schemeClr w14:val="tx1"/>
            </w14:solidFill>
          </w14:textFill>
        </w:rPr>
        <w:t>失败等后果由</w:t>
      </w:r>
      <w:r>
        <w:rPr>
          <w:rFonts w:hint="eastAsia"/>
          <w:i w:val="0"/>
          <w:iCs w:val="0"/>
          <w:color w:val="000000" w:themeColor="text1"/>
          <w:highlight w:val="none"/>
          <w:lang w:val="en-US" w:eastAsia="zh-CN"/>
          <w14:textFill>
            <w14:solidFill>
              <w14:schemeClr w14:val="tx1"/>
            </w14:solidFill>
          </w14:textFill>
        </w:rPr>
        <w:t>供应商</w:t>
      </w:r>
      <w:r>
        <w:rPr>
          <w:rFonts w:hint="eastAsia" w:ascii="宋体" w:hAnsi="宋体" w:eastAsia="宋体"/>
          <w:i w:val="0"/>
          <w:iCs w:val="0"/>
          <w:color w:val="000000" w:themeColor="text1"/>
          <w:highlight w:val="none"/>
          <w:lang w:val="en-US" w:eastAsia="zh-CN"/>
          <w14:textFill>
            <w14:solidFill>
              <w14:schemeClr w14:val="tx1"/>
            </w14:solidFill>
          </w14:textFill>
        </w:rPr>
        <w:t>自行承担。供应商登录</w:t>
      </w:r>
      <w:r>
        <w:rPr>
          <w:rFonts w:hint="eastAsia"/>
          <w:i w:val="0"/>
          <w:iCs w:val="0"/>
          <w:color w:val="000000" w:themeColor="text1"/>
          <w:highlight w:val="none"/>
          <w:lang w:val="en-US" w:eastAsia="zh-CN"/>
          <w14:textFill>
            <w14:solidFill>
              <w14:schemeClr w14:val="tx1"/>
            </w14:solidFill>
          </w14:textFill>
        </w:rPr>
        <w:t>新疆政府采购网</w:t>
      </w:r>
      <w:r>
        <w:rPr>
          <w:rFonts w:hint="eastAsia" w:ascii="宋体" w:hAnsi="宋体" w:eastAsia="宋体"/>
          <w:i w:val="0"/>
          <w:iCs w:val="0"/>
          <w:color w:val="000000" w:themeColor="text1"/>
          <w:highlight w:val="none"/>
          <w:lang w:val="en-US" w:eastAsia="zh-CN"/>
          <w14:textFill>
            <w14:solidFill>
              <w14:schemeClr w14:val="tx1"/>
            </w14:solidFill>
          </w14:textFill>
        </w:rPr>
        <w:t>“供应商注册”—“</w:t>
      </w:r>
      <w:r>
        <w:rPr>
          <w:rFonts w:hint="eastAsia"/>
          <w:i w:val="0"/>
          <w:iCs w:val="0"/>
          <w:color w:val="000000" w:themeColor="text1"/>
          <w:highlight w:val="none"/>
          <w:lang w:val="en-US" w:eastAsia="zh-CN"/>
          <w14:textFill>
            <w14:solidFill>
              <w14:schemeClr w14:val="tx1"/>
            </w14:solidFill>
          </w14:textFill>
        </w:rPr>
        <w:t>新疆政府采购网</w:t>
      </w:r>
      <w:r>
        <w:rPr>
          <w:rFonts w:hint="eastAsia" w:ascii="宋体" w:hAnsi="宋体" w:eastAsia="宋体"/>
          <w:i w:val="0"/>
          <w:iCs w:val="0"/>
          <w:color w:val="000000" w:themeColor="text1"/>
          <w:highlight w:val="none"/>
          <w:lang w:val="en-US" w:eastAsia="zh-CN"/>
          <w14:textFill>
            <w14:solidFill>
              <w14:schemeClr w14:val="tx1"/>
            </w14:solidFill>
          </w14:textFill>
        </w:rPr>
        <w:t>供应商入驻登记”—“立即登记”进行自助注册绑定。</w:t>
      </w:r>
    </w:p>
    <w:p w14:paraId="3175B317">
      <w:pPr>
        <w:pStyle w:val="48"/>
        <w:keepNext w:val="0"/>
        <w:keepLines w:val="0"/>
        <w:pageBreakBefore w:val="0"/>
        <w:widowControl w:val="0"/>
        <w:kinsoku/>
        <w:overflowPunct/>
        <w:topLinePunct/>
        <w:bidi w:val="0"/>
        <w:ind w:firstLine="480"/>
        <w:textAlignment w:val="auto"/>
        <w:rPr>
          <w:rFonts w:hint="eastAsia" w:ascii="宋体" w:hAnsi="宋体" w:eastAsia="宋体"/>
          <w:i w:val="0"/>
          <w:iCs w:val="0"/>
          <w:color w:val="000000" w:themeColor="text1"/>
          <w:highlight w:val="none"/>
          <w:lang w:val="en-US" w:eastAsia="zh-CN"/>
          <w14:textFill>
            <w14:solidFill>
              <w14:schemeClr w14:val="tx1"/>
            </w14:solidFill>
          </w14:textFill>
        </w:rPr>
      </w:pPr>
      <w:r>
        <w:rPr>
          <w:rFonts w:hint="eastAsia" w:ascii="宋体" w:hAnsi="宋体" w:eastAsia="宋体"/>
          <w:i w:val="0"/>
          <w:iCs w:val="0"/>
          <w:color w:val="000000" w:themeColor="text1"/>
          <w:highlight w:val="none"/>
          <w:lang w:val="en-US" w:eastAsia="zh-CN"/>
          <w14:textFill>
            <w14:solidFill>
              <w14:schemeClr w14:val="tx1"/>
            </w14:solidFill>
          </w14:textFill>
        </w:rPr>
        <w:t>10.2</w:t>
      </w:r>
      <w:r>
        <w:rPr>
          <w:rFonts w:hint="eastAsia"/>
          <w:i w:val="0"/>
          <w:iCs w:val="0"/>
          <w:color w:val="000000" w:themeColor="text1"/>
          <w:highlight w:val="none"/>
          <w:lang w:val="en-US" w:eastAsia="zh-CN"/>
          <w14:textFill>
            <w14:solidFill>
              <w14:schemeClr w14:val="tx1"/>
            </w14:solidFill>
          </w14:textFill>
        </w:rPr>
        <w:t>供应商</w:t>
      </w:r>
      <w:r>
        <w:rPr>
          <w:rFonts w:hint="eastAsia" w:ascii="宋体" w:hAnsi="宋体" w:eastAsia="宋体"/>
          <w:i w:val="0"/>
          <w:iCs w:val="0"/>
          <w:color w:val="000000" w:themeColor="text1"/>
          <w:highlight w:val="none"/>
          <w:lang w:val="en-US" w:eastAsia="zh-CN"/>
          <w14:textFill>
            <w14:solidFill>
              <w14:schemeClr w14:val="tx1"/>
            </w14:solidFill>
          </w14:textFill>
        </w:rPr>
        <w:t>将</w:t>
      </w:r>
      <w:r>
        <w:rPr>
          <w:rFonts w:hint="eastAsia"/>
          <w:i w:val="0"/>
          <w:iCs w:val="0"/>
          <w:color w:val="000000" w:themeColor="text1"/>
          <w:highlight w:val="none"/>
          <w:lang w:val="en-US" w:eastAsia="zh-CN"/>
          <w14:textFill>
            <w14:solidFill>
              <w14:schemeClr w14:val="tx1"/>
            </w14:solidFill>
          </w14:textFill>
        </w:rPr>
        <w:t>新疆政府采购网</w:t>
      </w:r>
      <w:r>
        <w:rPr>
          <w:rFonts w:hint="eastAsia" w:ascii="宋体" w:hAnsi="宋体" w:eastAsia="宋体"/>
          <w:i w:val="0"/>
          <w:iCs w:val="0"/>
          <w:color w:val="000000" w:themeColor="text1"/>
          <w:highlight w:val="none"/>
          <w:lang w:val="en-US" w:eastAsia="zh-CN"/>
          <w14:textFill>
            <w14:solidFill>
              <w14:schemeClr w14:val="tx1"/>
            </w14:solidFill>
          </w14:textFill>
        </w:rPr>
        <w:t>电子交易客户端下载、安装完成后，可通过账号密码或CA登录客户端进行</w:t>
      </w:r>
      <w:r>
        <w:rPr>
          <w:rFonts w:hint="eastAsia"/>
          <w:i w:val="0"/>
          <w:iCs w:val="0"/>
          <w:color w:val="000000" w:themeColor="text1"/>
          <w:highlight w:val="none"/>
          <w:lang w:val="en-US" w:eastAsia="zh-CN"/>
          <w14:textFill>
            <w14:solidFill>
              <w14:schemeClr w14:val="tx1"/>
            </w14:solidFill>
          </w14:textFill>
        </w:rPr>
        <w:t>响应</w:t>
      </w:r>
      <w:r>
        <w:rPr>
          <w:rFonts w:hint="eastAsia" w:ascii="宋体" w:hAnsi="宋体" w:eastAsia="宋体"/>
          <w:i w:val="0"/>
          <w:iCs w:val="0"/>
          <w:color w:val="000000" w:themeColor="text1"/>
          <w:highlight w:val="none"/>
          <w:lang w:val="en-US" w:eastAsia="zh-CN"/>
          <w14:textFill>
            <w14:solidFill>
              <w14:schemeClr w14:val="tx1"/>
            </w14:solidFill>
          </w14:textFill>
        </w:rPr>
        <w:t>文件制作。在使用政采云投标客户端时，建议使用WIN7及以上操作系统。供应商登录</w:t>
      </w:r>
      <w:r>
        <w:rPr>
          <w:rFonts w:hint="eastAsia"/>
          <w:i w:val="0"/>
          <w:iCs w:val="0"/>
          <w:color w:val="000000" w:themeColor="text1"/>
          <w:highlight w:val="none"/>
          <w:lang w:val="en-US" w:eastAsia="zh-CN"/>
          <w14:textFill>
            <w14:solidFill>
              <w14:schemeClr w14:val="tx1"/>
            </w14:solidFill>
          </w14:textFill>
        </w:rPr>
        <w:t>新疆政府采购网</w:t>
      </w:r>
      <w:r>
        <w:rPr>
          <w:rFonts w:hint="eastAsia" w:ascii="宋体" w:hAnsi="宋体" w:eastAsia="宋体"/>
          <w:i w:val="0"/>
          <w:iCs w:val="0"/>
          <w:color w:val="000000" w:themeColor="text1"/>
          <w:highlight w:val="none"/>
          <w:lang w:val="en-US" w:eastAsia="zh-CN"/>
          <w14:textFill>
            <w14:solidFill>
              <w14:schemeClr w14:val="tx1"/>
            </w14:solidFill>
          </w14:textFill>
        </w:rPr>
        <w:t>“下载专区”—“电子招投标客户端下载”下载相关客户端，如有问题可拨打政采云客户服务热线95763进行咨询。</w:t>
      </w:r>
    </w:p>
    <w:p w14:paraId="05BED783">
      <w:pPr>
        <w:pStyle w:val="48"/>
        <w:keepNext w:val="0"/>
        <w:keepLines w:val="0"/>
        <w:pageBreakBefore w:val="0"/>
        <w:widowControl w:val="0"/>
        <w:kinsoku/>
        <w:overflowPunct/>
        <w:topLinePunct/>
        <w:bidi w:val="0"/>
        <w:ind w:firstLine="480"/>
        <w:textAlignment w:val="auto"/>
        <w:rPr>
          <w:rFonts w:hint="eastAsia" w:ascii="宋体" w:hAnsi="宋体" w:eastAsia="宋体"/>
          <w:i w:val="0"/>
          <w:iCs w:val="0"/>
          <w:color w:val="000000" w:themeColor="text1"/>
          <w:highlight w:val="none"/>
          <w:lang w:val="en-US" w:eastAsia="zh-CN"/>
          <w14:textFill>
            <w14:solidFill>
              <w14:schemeClr w14:val="tx1"/>
            </w14:solidFill>
          </w14:textFill>
        </w:rPr>
      </w:pPr>
      <w:r>
        <w:rPr>
          <w:rFonts w:hint="eastAsia" w:ascii="宋体" w:hAnsi="宋体" w:eastAsia="宋体"/>
          <w:i w:val="0"/>
          <w:iCs w:val="0"/>
          <w:color w:val="000000" w:themeColor="text1"/>
          <w:highlight w:val="none"/>
          <w:lang w:val="en-US" w:eastAsia="zh-CN"/>
          <w14:textFill>
            <w14:solidFill>
              <w14:schemeClr w14:val="tx1"/>
            </w14:solidFill>
          </w14:textFill>
        </w:rPr>
        <w:t>10.3加密的电子</w:t>
      </w:r>
      <w:r>
        <w:rPr>
          <w:rFonts w:hint="eastAsia"/>
          <w:i w:val="0"/>
          <w:iCs w:val="0"/>
          <w:color w:val="000000" w:themeColor="text1"/>
          <w:highlight w:val="none"/>
          <w:lang w:val="en-US" w:eastAsia="zh-CN"/>
          <w14:textFill>
            <w14:solidFill>
              <w14:schemeClr w14:val="tx1"/>
            </w14:solidFill>
          </w14:textFill>
        </w:rPr>
        <w:t>响应</w:t>
      </w:r>
      <w:r>
        <w:rPr>
          <w:rFonts w:hint="eastAsia" w:ascii="宋体" w:hAnsi="宋体" w:eastAsia="宋体"/>
          <w:i w:val="0"/>
          <w:iCs w:val="0"/>
          <w:color w:val="000000" w:themeColor="text1"/>
          <w:highlight w:val="none"/>
          <w:lang w:val="en-US" w:eastAsia="zh-CN"/>
          <w14:textFill>
            <w14:solidFill>
              <w14:schemeClr w14:val="tx1"/>
            </w14:solidFill>
          </w14:textFill>
        </w:rPr>
        <w:t>文件应在</w:t>
      </w:r>
      <w:r>
        <w:rPr>
          <w:rFonts w:hint="eastAsia"/>
          <w:i w:val="0"/>
          <w:iCs w:val="0"/>
          <w:color w:val="000000" w:themeColor="text1"/>
          <w:highlight w:val="none"/>
          <w:lang w:val="en-US" w:eastAsia="zh-CN"/>
          <w14:textFill>
            <w14:solidFill>
              <w14:schemeClr w14:val="tx1"/>
            </w14:solidFill>
          </w14:textFill>
        </w:rPr>
        <w:t>响应</w:t>
      </w:r>
      <w:r>
        <w:rPr>
          <w:rFonts w:hint="eastAsia" w:ascii="宋体" w:hAnsi="宋体" w:eastAsia="宋体"/>
          <w:i w:val="0"/>
          <w:iCs w:val="0"/>
          <w:color w:val="000000" w:themeColor="text1"/>
          <w:highlight w:val="none"/>
          <w:lang w:val="en-US" w:eastAsia="zh-CN"/>
          <w14:textFill>
            <w14:solidFill>
              <w14:schemeClr w14:val="tx1"/>
            </w14:solidFill>
          </w14:textFill>
        </w:rPr>
        <w:t>文件递交截止时间前通过政采云平台上传完成。逾期上传或者未上传指定地点的</w:t>
      </w:r>
      <w:r>
        <w:rPr>
          <w:rFonts w:hint="eastAsia"/>
          <w:i w:val="0"/>
          <w:iCs w:val="0"/>
          <w:color w:val="000000" w:themeColor="text1"/>
          <w:highlight w:val="none"/>
          <w:lang w:val="en-US" w:eastAsia="zh-CN"/>
          <w14:textFill>
            <w14:solidFill>
              <w14:schemeClr w14:val="tx1"/>
            </w14:solidFill>
          </w14:textFill>
        </w:rPr>
        <w:t>响应</w:t>
      </w:r>
      <w:r>
        <w:rPr>
          <w:rFonts w:hint="eastAsia" w:ascii="宋体" w:hAnsi="宋体" w:eastAsia="宋体"/>
          <w:i w:val="0"/>
          <w:iCs w:val="0"/>
          <w:color w:val="000000" w:themeColor="text1"/>
          <w:highlight w:val="none"/>
          <w:lang w:val="en-US" w:eastAsia="zh-CN"/>
          <w14:textFill>
            <w14:solidFill>
              <w14:schemeClr w14:val="tx1"/>
            </w14:solidFill>
          </w14:textFill>
        </w:rPr>
        <w:t>文件，不予受理。</w:t>
      </w:r>
    </w:p>
    <w:p w14:paraId="7DAAD123">
      <w:pPr>
        <w:pStyle w:val="48"/>
        <w:keepNext w:val="0"/>
        <w:keepLines w:val="0"/>
        <w:pageBreakBefore w:val="0"/>
        <w:widowControl w:val="0"/>
        <w:kinsoku/>
        <w:overflowPunct/>
        <w:topLinePunct/>
        <w:bidi w:val="0"/>
        <w:ind w:firstLine="480"/>
        <w:textAlignment w:val="auto"/>
        <w:rPr>
          <w:rFonts w:hint="eastAsia" w:ascii="宋体" w:hAnsi="宋体" w:eastAsia="宋体"/>
          <w:i w:val="0"/>
          <w:iCs w:val="0"/>
          <w:color w:val="000000" w:themeColor="text1"/>
          <w:highlight w:val="none"/>
          <w:lang w:val="en-US" w:eastAsia="zh-CN"/>
          <w14:textFill>
            <w14:solidFill>
              <w14:schemeClr w14:val="tx1"/>
            </w14:solidFill>
          </w14:textFill>
        </w:rPr>
      </w:pPr>
      <w:r>
        <w:rPr>
          <w:rFonts w:hint="eastAsia" w:ascii="宋体" w:hAnsi="宋体" w:eastAsia="宋体"/>
          <w:i w:val="0"/>
          <w:iCs w:val="0"/>
          <w:color w:val="000000" w:themeColor="text1"/>
          <w:highlight w:val="none"/>
          <w:lang w:val="en-US" w:eastAsia="zh-CN"/>
          <w14:textFill>
            <w14:solidFill>
              <w14:schemeClr w14:val="tx1"/>
            </w14:solidFill>
          </w14:textFill>
        </w:rPr>
        <w:t>10.4</w:t>
      </w:r>
      <w:r>
        <w:rPr>
          <w:rFonts w:hint="eastAsia"/>
          <w:i w:val="0"/>
          <w:iCs w:val="0"/>
          <w:color w:val="000000" w:themeColor="text1"/>
          <w:highlight w:val="none"/>
          <w:lang w:val="en-US" w:eastAsia="zh-CN"/>
          <w14:textFill>
            <w14:solidFill>
              <w14:schemeClr w14:val="tx1"/>
            </w14:solidFill>
          </w14:textFill>
        </w:rPr>
        <w:t>供应商</w:t>
      </w:r>
      <w:r>
        <w:rPr>
          <w:rFonts w:hint="eastAsia" w:ascii="宋体" w:hAnsi="宋体" w:eastAsia="宋体"/>
          <w:i w:val="0"/>
          <w:iCs w:val="0"/>
          <w:color w:val="000000" w:themeColor="text1"/>
          <w:highlight w:val="none"/>
          <w:lang w:val="en-US" w:eastAsia="zh-CN"/>
          <w14:textFill>
            <w14:solidFill>
              <w14:schemeClr w14:val="tx1"/>
            </w14:solidFill>
          </w14:textFill>
        </w:rPr>
        <w:t>在</w:t>
      </w:r>
      <w:r>
        <w:rPr>
          <w:rFonts w:hint="eastAsia"/>
          <w:i w:val="0"/>
          <w:iCs w:val="0"/>
          <w:color w:val="000000" w:themeColor="text1"/>
          <w:highlight w:val="none"/>
          <w:lang w:val="en-US" w:eastAsia="zh-CN"/>
          <w14:textFill>
            <w14:solidFill>
              <w14:schemeClr w14:val="tx1"/>
            </w14:solidFill>
          </w14:textFill>
        </w:rPr>
        <w:t>磋商</w:t>
      </w:r>
      <w:r>
        <w:rPr>
          <w:rFonts w:hint="eastAsia" w:ascii="宋体" w:hAnsi="宋体" w:eastAsia="宋体"/>
          <w:i w:val="0"/>
          <w:iCs w:val="0"/>
          <w:color w:val="000000" w:themeColor="text1"/>
          <w:highlight w:val="none"/>
          <w:lang w:val="en-US" w:eastAsia="zh-CN"/>
          <w14:textFill>
            <w14:solidFill>
              <w14:schemeClr w14:val="tx1"/>
            </w14:solidFill>
          </w14:textFill>
        </w:rPr>
        <w:t>前须提前配置好电脑</w:t>
      </w:r>
      <w:r>
        <w:rPr>
          <w:rFonts w:hint="eastAsia"/>
          <w:i w:val="0"/>
          <w:iCs w:val="0"/>
          <w:color w:val="000000" w:themeColor="text1"/>
          <w:highlight w:val="none"/>
          <w:lang w:val="en-US" w:eastAsia="zh-CN"/>
          <w14:textFill>
            <w14:solidFill>
              <w14:schemeClr w14:val="tx1"/>
            </w14:solidFill>
          </w14:textFill>
        </w:rPr>
        <w:t>及</w:t>
      </w:r>
      <w:r>
        <w:rPr>
          <w:rFonts w:hint="eastAsia" w:ascii="宋体" w:hAnsi="宋体" w:eastAsia="宋体"/>
          <w:i w:val="0"/>
          <w:iCs w:val="0"/>
          <w:color w:val="000000" w:themeColor="text1"/>
          <w:highlight w:val="none"/>
          <w:lang w:val="en-US" w:eastAsia="zh-CN"/>
          <w14:textFill>
            <w14:solidFill>
              <w14:schemeClr w14:val="tx1"/>
            </w14:solidFill>
          </w14:textFill>
        </w:rPr>
        <w:t>浏览器，</w:t>
      </w:r>
      <w:r>
        <w:rPr>
          <w:rFonts w:hint="eastAsia"/>
          <w:i w:val="0"/>
          <w:iCs w:val="0"/>
          <w:color w:val="000000" w:themeColor="text1"/>
          <w:highlight w:val="none"/>
          <w:lang w:val="en-US" w:eastAsia="zh-CN"/>
          <w14:textFill>
            <w14:solidFill>
              <w14:schemeClr w14:val="tx1"/>
            </w14:solidFill>
          </w14:textFill>
        </w:rPr>
        <w:t>磋商</w:t>
      </w:r>
      <w:r>
        <w:rPr>
          <w:rFonts w:hint="eastAsia" w:ascii="宋体" w:hAnsi="宋体" w:eastAsia="宋体"/>
          <w:i w:val="0"/>
          <w:iCs w:val="0"/>
          <w:color w:val="000000" w:themeColor="text1"/>
          <w:highlight w:val="none"/>
          <w:lang w:val="en-US" w:eastAsia="zh-CN"/>
          <w14:textFill>
            <w14:solidFill>
              <w14:schemeClr w14:val="tx1"/>
            </w14:solidFill>
          </w14:textFill>
        </w:rPr>
        <w:t>时请使用制作加密电子</w:t>
      </w:r>
      <w:r>
        <w:rPr>
          <w:rFonts w:hint="eastAsia"/>
          <w:i w:val="0"/>
          <w:iCs w:val="0"/>
          <w:color w:val="000000" w:themeColor="text1"/>
          <w:highlight w:val="none"/>
          <w:lang w:val="en-US" w:eastAsia="zh-CN"/>
          <w14:textFill>
            <w14:solidFill>
              <w14:schemeClr w14:val="tx1"/>
            </w14:solidFill>
          </w14:textFill>
        </w:rPr>
        <w:t>响应</w:t>
      </w:r>
      <w:r>
        <w:rPr>
          <w:rFonts w:hint="eastAsia" w:ascii="宋体" w:hAnsi="宋体" w:eastAsia="宋体"/>
          <w:i w:val="0"/>
          <w:iCs w:val="0"/>
          <w:color w:val="000000" w:themeColor="text1"/>
          <w:highlight w:val="none"/>
          <w:lang w:val="en-US" w:eastAsia="zh-CN"/>
          <w14:textFill>
            <w14:solidFill>
              <w14:schemeClr w14:val="tx1"/>
            </w14:solidFill>
          </w14:textFill>
        </w:rPr>
        <w:t>文件的CA锁进行解密及报价确认。本项目</w:t>
      </w:r>
      <w:r>
        <w:rPr>
          <w:rFonts w:hint="eastAsia"/>
          <w:i w:val="0"/>
          <w:iCs w:val="0"/>
          <w:color w:val="000000" w:themeColor="text1"/>
          <w:highlight w:val="none"/>
          <w:lang w:val="en-US" w:eastAsia="zh-CN"/>
          <w14:textFill>
            <w14:solidFill>
              <w14:schemeClr w14:val="tx1"/>
            </w14:solidFill>
          </w14:textFill>
        </w:rPr>
        <w:t>响应</w:t>
      </w:r>
      <w:r>
        <w:rPr>
          <w:rFonts w:hint="eastAsia" w:ascii="宋体" w:hAnsi="宋体" w:eastAsia="宋体"/>
          <w:i w:val="0"/>
          <w:iCs w:val="0"/>
          <w:color w:val="000000" w:themeColor="text1"/>
          <w:highlight w:val="none"/>
          <w:lang w:val="en-US" w:eastAsia="zh-CN"/>
          <w14:textFill>
            <w14:solidFill>
              <w14:schemeClr w14:val="tx1"/>
            </w14:solidFill>
          </w14:textFill>
        </w:rPr>
        <w:t>文件解密时间详“</w:t>
      </w:r>
      <w:r>
        <w:rPr>
          <w:rFonts w:hint="eastAsia"/>
          <w:i w:val="0"/>
          <w:iCs w:val="0"/>
          <w:color w:val="000000" w:themeColor="text1"/>
          <w:highlight w:val="none"/>
          <w:lang w:val="en-US" w:eastAsia="zh-CN"/>
          <w14:textFill>
            <w14:solidFill>
              <w14:schemeClr w14:val="tx1"/>
            </w14:solidFill>
          </w14:textFill>
        </w:rPr>
        <w:t>供应商</w:t>
      </w:r>
      <w:r>
        <w:rPr>
          <w:rFonts w:hint="eastAsia" w:ascii="宋体" w:hAnsi="宋体" w:eastAsia="宋体"/>
          <w:i w:val="0"/>
          <w:iCs w:val="0"/>
          <w:color w:val="000000" w:themeColor="text1"/>
          <w:highlight w:val="none"/>
          <w:lang w:val="en-US" w:eastAsia="zh-CN"/>
          <w14:textFill>
            <w14:solidFill>
              <w14:schemeClr w14:val="tx1"/>
            </w14:solidFill>
          </w14:textFill>
        </w:rPr>
        <w:t>须知前附表”，如因自身原因导致无法正常解密，后果由</w:t>
      </w:r>
      <w:r>
        <w:rPr>
          <w:rFonts w:hint="eastAsia"/>
          <w:i w:val="0"/>
          <w:iCs w:val="0"/>
          <w:color w:val="000000" w:themeColor="text1"/>
          <w:highlight w:val="none"/>
          <w:lang w:val="en-US" w:eastAsia="zh-CN"/>
          <w14:textFill>
            <w14:solidFill>
              <w14:schemeClr w14:val="tx1"/>
            </w14:solidFill>
          </w14:textFill>
        </w:rPr>
        <w:t>供应商</w:t>
      </w:r>
      <w:r>
        <w:rPr>
          <w:rFonts w:hint="eastAsia" w:ascii="宋体" w:hAnsi="宋体" w:eastAsia="宋体"/>
          <w:i w:val="0"/>
          <w:iCs w:val="0"/>
          <w:color w:val="000000" w:themeColor="text1"/>
          <w:highlight w:val="none"/>
          <w:lang w:val="en-US" w:eastAsia="zh-CN"/>
          <w14:textFill>
            <w14:solidFill>
              <w14:schemeClr w14:val="tx1"/>
            </w14:solidFill>
          </w14:textFill>
        </w:rPr>
        <w:t>自行承担。</w:t>
      </w:r>
    </w:p>
    <w:p w14:paraId="49D4B3FF">
      <w:pPr>
        <w:pStyle w:val="48"/>
        <w:keepNext w:val="0"/>
        <w:keepLines w:val="0"/>
        <w:pageBreakBefore w:val="0"/>
        <w:widowControl w:val="0"/>
        <w:kinsoku/>
        <w:overflowPunct/>
        <w:topLinePunct/>
        <w:bidi w:val="0"/>
        <w:ind w:firstLine="480"/>
        <w:textAlignment w:val="auto"/>
        <w:rPr>
          <w:rFonts w:hint="eastAsia" w:ascii="宋体" w:hAnsi="宋体" w:eastAsia="宋体"/>
          <w:i w:val="0"/>
          <w:iCs w:val="0"/>
          <w:color w:val="000000" w:themeColor="text1"/>
          <w:highlight w:val="none"/>
          <w:lang w:val="en-US" w:eastAsia="zh-CN"/>
          <w14:textFill>
            <w14:solidFill>
              <w14:schemeClr w14:val="tx1"/>
            </w14:solidFill>
          </w14:textFill>
        </w:rPr>
      </w:pPr>
      <w:r>
        <w:rPr>
          <w:rFonts w:hint="eastAsia" w:ascii="宋体" w:hAnsi="宋体" w:eastAsia="宋体"/>
          <w:i w:val="0"/>
          <w:iCs w:val="0"/>
          <w:color w:val="000000" w:themeColor="text1"/>
          <w:highlight w:val="none"/>
          <w:lang w:val="en-US" w:eastAsia="zh-CN"/>
          <w14:textFill>
            <w14:solidFill>
              <w14:schemeClr w14:val="tx1"/>
            </w14:solidFill>
          </w14:textFill>
        </w:rPr>
        <w:t>10.5如遇“</w:t>
      </w:r>
      <w:r>
        <w:rPr>
          <w:rFonts w:hint="eastAsia"/>
          <w:i w:val="0"/>
          <w:iCs w:val="0"/>
          <w:color w:val="000000" w:themeColor="text1"/>
          <w:highlight w:val="none"/>
          <w:lang w:val="en-US" w:eastAsia="zh-CN"/>
          <w14:textFill>
            <w14:solidFill>
              <w14:schemeClr w14:val="tx1"/>
            </w14:solidFill>
          </w14:textFill>
        </w:rPr>
        <w:t>新疆政府采购网（http://www.ccgp-xinjiang.gov.cn/）</w:t>
      </w:r>
      <w:r>
        <w:rPr>
          <w:rFonts w:hint="eastAsia" w:ascii="宋体" w:hAnsi="宋体" w:eastAsia="宋体"/>
          <w:i w:val="0"/>
          <w:iCs w:val="0"/>
          <w:color w:val="000000" w:themeColor="text1"/>
          <w:highlight w:val="none"/>
          <w:lang w:val="en-US" w:eastAsia="zh-CN"/>
          <w14:textFill>
            <w14:solidFill>
              <w14:schemeClr w14:val="tx1"/>
            </w14:solidFill>
          </w14:textFill>
        </w:rPr>
        <w:t>”电子交易规则调整，以最新要求为准。</w:t>
      </w:r>
    </w:p>
    <w:p w14:paraId="095E3F6E">
      <w:pPr>
        <w:pStyle w:val="48"/>
        <w:keepNext w:val="0"/>
        <w:keepLines w:val="0"/>
        <w:pageBreakBefore w:val="0"/>
        <w:widowControl w:val="0"/>
        <w:kinsoku/>
        <w:overflowPunct/>
        <w:topLinePunct/>
        <w:bidi w:val="0"/>
        <w:ind w:firstLine="480"/>
        <w:textAlignment w:val="auto"/>
        <w:rPr>
          <w:rFonts w:hint="eastAsia" w:ascii="宋体" w:hAnsi="宋体" w:eastAsia="宋体"/>
          <w:i w:val="0"/>
          <w:iCs w:val="0"/>
          <w:color w:val="000000" w:themeColor="text1"/>
          <w:highlight w:val="none"/>
          <w:lang w:val="en-US" w:eastAsia="zh-CN"/>
          <w14:textFill>
            <w14:solidFill>
              <w14:schemeClr w14:val="tx1"/>
            </w14:solidFill>
          </w14:textFill>
        </w:rPr>
      </w:pPr>
      <w:r>
        <w:rPr>
          <w:rFonts w:hint="eastAsia" w:ascii="宋体" w:hAnsi="宋体" w:eastAsia="宋体"/>
          <w:i w:val="0"/>
          <w:iCs w:val="0"/>
          <w:color w:val="000000" w:themeColor="text1"/>
          <w:highlight w:val="none"/>
          <w:lang w:val="en-US" w:eastAsia="zh-CN"/>
          <w14:textFill>
            <w14:solidFill>
              <w14:schemeClr w14:val="tx1"/>
            </w14:solidFill>
          </w14:textFill>
        </w:rPr>
        <w:t>10.6电子交易系统咨询：</w:t>
      </w:r>
      <w:r>
        <w:rPr>
          <w:rFonts w:hint="eastAsia"/>
          <w:i w:val="0"/>
          <w:iCs w:val="0"/>
          <w:color w:val="000000" w:themeColor="text1"/>
          <w:highlight w:val="none"/>
          <w:lang w:val="en-US" w:eastAsia="zh-CN"/>
          <w14:textFill>
            <w14:solidFill>
              <w14:schemeClr w14:val="tx1"/>
            </w14:solidFill>
          </w14:textFill>
        </w:rPr>
        <w:t>供应商</w:t>
      </w:r>
      <w:r>
        <w:rPr>
          <w:rFonts w:hint="eastAsia" w:ascii="宋体" w:hAnsi="宋体" w:eastAsia="宋体"/>
          <w:i w:val="0"/>
          <w:iCs w:val="0"/>
          <w:color w:val="000000" w:themeColor="text1"/>
          <w:highlight w:val="none"/>
          <w:lang w:val="en-US" w:eastAsia="zh-CN"/>
          <w14:textFill>
            <w14:solidFill>
              <w14:schemeClr w14:val="tx1"/>
            </w14:solidFill>
          </w14:textFill>
        </w:rPr>
        <w:t>应当充分考虑到电子</w:t>
      </w:r>
      <w:r>
        <w:rPr>
          <w:rFonts w:hint="eastAsia"/>
          <w:i w:val="0"/>
          <w:iCs w:val="0"/>
          <w:color w:val="000000" w:themeColor="text1"/>
          <w:highlight w:val="none"/>
          <w:lang w:val="en-US" w:eastAsia="zh-CN"/>
          <w14:textFill>
            <w14:solidFill>
              <w14:schemeClr w14:val="tx1"/>
            </w14:solidFill>
          </w14:textFill>
        </w:rPr>
        <w:t>响应</w:t>
      </w:r>
      <w:r>
        <w:rPr>
          <w:rFonts w:hint="eastAsia" w:ascii="宋体" w:hAnsi="宋体" w:eastAsia="宋体"/>
          <w:i w:val="0"/>
          <w:iCs w:val="0"/>
          <w:color w:val="000000" w:themeColor="text1"/>
          <w:highlight w:val="none"/>
          <w:lang w:val="en-US" w:eastAsia="zh-CN"/>
          <w14:textFill>
            <w14:solidFill>
              <w14:schemeClr w14:val="tx1"/>
            </w14:solidFill>
          </w14:textFill>
        </w:rPr>
        <w:t>可能会发生的各种问题和风险，特别是</w:t>
      </w:r>
      <w:r>
        <w:rPr>
          <w:rFonts w:hint="eastAsia"/>
          <w:i w:val="0"/>
          <w:iCs w:val="0"/>
          <w:color w:val="000000" w:themeColor="text1"/>
          <w:highlight w:val="none"/>
          <w:lang w:val="en-US" w:eastAsia="zh-CN"/>
          <w14:textFill>
            <w14:solidFill>
              <w14:schemeClr w14:val="tx1"/>
            </w14:solidFill>
          </w14:textFill>
        </w:rPr>
        <w:t>响应</w:t>
      </w:r>
      <w:r>
        <w:rPr>
          <w:rFonts w:hint="eastAsia" w:ascii="宋体" w:hAnsi="宋体" w:eastAsia="宋体"/>
          <w:i w:val="0"/>
          <w:iCs w:val="0"/>
          <w:color w:val="000000" w:themeColor="text1"/>
          <w:highlight w:val="none"/>
          <w:lang w:val="en-US" w:eastAsia="zh-CN"/>
          <w14:textFill>
            <w14:solidFill>
              <w14:schemeClr w14:val="tx1"/>
            </w14:solidFill>
          </w14:textFill>
        </w:rPr>
        <w:t>文件签署、提交等问题，可按照“第一章</w:t>
      </w:r>
      <w:r>
        <w:rPr>
          <w:rFonts w:hint="eastAsia"/>
          <w:i w:val="0"/>
          <w:iCs w:val="0"/>
          <w:color w:val="000000" w:themeColor="text1"/>
          <w:highlight w:val="none"/>
          <w:lang w:val="en-US" w:eastAsia="zh-CN"/>
          <w14:textFill>
            <w14:solidFill>
              <w14:schemeClr w14:val="tx1"/>
            </w14:solidFill>
          </w14:textFill>
        </w:rPr>
        <w:t>竞争性磋商</w:t>
      </w:r>
      <w:r>
        <w:rPr>
          <w:rFonts w:hint="eastAsia" w:ascii="宋体" w:hAnsi="宋体" w:eastAsia="宋体"/>
          <w:i w:val="0"/>
          <w:iCs w:val="0"/>
          <w:color w:val="000000" w:themeColor="text1"/>
          <w:highlight w:val="none"/>
          <w:lang w:val="en-US" w:eastAsia="zh-CN"/>
          <w14:textFill>
            <w14:solidFill>
              <w14:schemeClr w14:val="tx1"/>
            </w14:solidFill>
          </w14:textFill>
        </w:rPr>
        <w:t>公告”的联系方式咨询相关人员。</w:t>
      </w:r>
    </w:p>
    <w:p w14:paraId="6C76241B">
      <w:pPr>
        <w:pStyle w:val="48"/>
        <w:keepNext w:val="0"/>
        <w:keepLines w:val="0"/>
        <w:pageBreakBefore w:val="0"/>
        <w:widowControl w:val="0"/>
        <w:kinsoku/>
        <w:overflowPunct/>
        <w:topLinePunct/>
        <w:bidi w:val="0"/>
        <w:ind w:firstLine="480"/>
        <w:textAlignment w:val="auto"/>
        <w:rPr>
          <w:rFonts w:hint="eastAsia"/>
          <w:i w:val="0"/>
          <w:iCs w:val="0"/>
          <w:color w:val="000000" w:themeColor="text1"/>
          <w:highlight w:val="none"/>
          <w14:textFill>
            <w14:solidFill>
              <w14:schemeClr w14:val="tx1"/>
            </w14:solidFill>
          </w14:textFill>
        </w:rPr>
      </w:pPr>
      <w:r>
        <w:rPr>
          <w:rFonts w:hint="eastAsia" w:ascii="宋体" w:hAnsi="宋体" w:eastAsia="宋体"/>
          <w:i w:val="0"/>
          <w:iCs w:val="0"/>
          <w:color w:val="000000" w:themeColor="text1"/>
          <w:highlight w:val="none"/>
          <w:lang w:val="en-US" w:eastAsia="zh-CN"/>
          <w14:textFill>
            <w14:solidFill>
              <w14:schemeClr w14:val="tx1"/>
            </w14:solidFill>
          </w14:textFill>
        </w:rPr>
        <w:t>10.7由于本项目采用电子</w:t>
      </w:r>
      <w:r>
        <w:rPr>
          <w:rFonts w:hint="eastAsia"/>
          <w:i w:val="0"/>
          <w:iCs w:val="0"/>
          <w:color w:val="000000" w:themeColor="text1"/>
          <w:highlight w:val="none"/>
          <w:lang w:val="en-US" w:eastAsia="zh-CN"/>
          <w14:textFill>
            <w14:solidFill>
              <w14:schemeClr w14:val="tx1"/>
            </w14:solidFill>
          </w14:textFill>
        </w:rPr>
        <w:t>磋商</w:t>
      </w:r>
      <w:r>
        <w:rPr>
          <w:rFonts w:hint="eastAsia" w:ascii="宋体" w:hAnsi="宋体" w:eastAsia="宋体"/>
          <w:i w:val="0"/>
          <w:iCs w:val="0"/>
          <w:color w:val="000000" w:themeColor="text1"/>
          <w:highlight w:val="none"/>
          <w:lang w:val="en-US" w:eastAsia="zh-CN"/>
          <w14:textFill>
            <w14:solidFill>
              <w14:schemeClr w14:val="tx1"/>
            </w14:solidFill>
          </w14:textFill>
        </w:rPr>
        <w:t>方式，潜在</w:t>
      </w:r>
      <w:r>
        <w:rPr>
          <w:rFonts w:hint="eastAsia"/>
          <w:i w:val="0"/>
          <w:iCs w:val="0"/>
          <w:color w:val="000000" w:themeColor="text1"/>
          <w:highlight w:val="none"/>
          <w:lang w:val="en-US" w:eastAsia="zh-CN"/>
          <w14:textFill>
            <w14:solidFill>
              <w14:schemeClr w14:val="tx1"/>
            </w14:solidFill>
          </w14:textFill>
        </w:rPr>
        <w:t>供应商</w:t>
      </w:r>
      <w:r>
        <w:rPr>
          <w:rFonts w:hint="eastAsia" w:ascii="宋体" w:hAnsi="宋体" w:eastAsia="宋体"/>
          <w:i w:val="0"/>
          <w:iCs w:val="0"/>
          <w:color w:val="000000" w:themeColor="text1"/>
          <w:highlight w:val="none"/>
          <w:lang w:val="en-US" w:eastAsia="zh-CN"/>
          <w14:textFill>
            <w14:solidFill>
              <w14:schemeClr w14:val="tx1"/>
            </w14:solidFill>
          </w14:textFill>
        </w:rPr>
        <w:t>的名单将在</w:t>
      </w:r>
      <w:r>
        <w:rPr>
          <w:rFonts w:hint="eastAsia"/>
          <w:i w:val="0"/>
          <w:iCs w:val="0"/>
          <w:color w:val="000000" w:themeColor="text1"/>
          <w:highlight w:val="none"/>
          <w:lang w:val="en-US" w:eastAsia="zh-CN"/>
          <w14:textFill>
            <w14:solidFill>
              <w14:schemeClr w14:val="tx1"/>
            </w14:solidFill>
          </w14:textFill>
        </w:rPr>
        <w:t>递交响应</w:t>
      </w:r>
      <w:r>
        <w:rPr>
          <w:rFonts w:hint="eastAsia" w:ascii="宋体" w:hAnsi="宋体" w:eastAsia="宋体"/>
          <w:i w:val="0"/>
          <w:iCs w:val="0"/>
          <w:color w:val="000000" w:themeColor="text1"/>
          <w:highlight w:val="none"/>
          <w:lang w:val="en-US" w:eastAsia="zh-CN"/>
          <w14:textFill>
            <w14:solidFill>
              <w14:schemeClr w14:val="tx1"/>
            </w14:solidFill>
          </w14:textFill>
        </w:rPr>
        <w:t>文件截止时间后才会解密。因此，采购人或采购代理机构无法通过传统的传真或邮件方式，将</w:t>
      </w:r>
      <w:r>
        <w:rPr>
          <w:rFonts w:hint="eastAsia"/>
          <w:i w:val="0"/>
          <w:iCs w:val="0"/>
          <w:color w:val="000000" w:themeColor="text1"/>
          <w:highlight w:val="none"/>
          <w:lang w:val="en-US" w:eastAsia="zh-CN"/>
          <w14:textFill>
            <w14:solidFill>
              <w14:schemeClr w14:val="tx1"/>
            </w14:solidFill>
          </w14:textFill>
        </w:rPr>
        <w:t>竞争性磋商</w:t>
      </w:r>
      <w:r>
        <w:rPr>
          <w:rFonts w:hint="eastAsia" w:ascii="宋体" w:hAnsi="宋体" w:eastAsia="宋体"/>
          <w:i w:val="0"/>
          <w:iCs w:val="0"/>
          <w:color w:val="000000" w:themeColor="text1"/>
          <w:highlight w:val="none"/>
          <w:lang w:val="en-US" w:eastAsia="zh-CN"/>
          <w14:textFill>
            <w14:solidFill>
              <w14:schemeClr w14:val="tx1"/>
            </w14:solidFill>
          </w14:textFill>
        </w:rPr>
        <w:t>文件的澄清或修改内容逐一通知到每位已获取</w:t>
      </w:r>
      <w:r>
        <w:rPr>
          <w:rFonts w:hint="eastAsia"/>
          <w:i w:val="0"/>
          <w:iCs w:val="0"/>
          <w:color w:val="000000" w:themeColor="text1"/>
          <w:highlight w:val="none"/>
          <w:lang w:val="en-US" w:eastAsia="zh-CN"/>
          <w14:textFill>
            <w14:solidFill>
              <w14:schemeClr w14:val="tx1"/>
            </w14:solidFill>
          </w14:textFill>
        </w:rPr>
        <w:t>竞争性磋商</w:t>
      </w:r>
      <w:r>
        <w:rPr>
          <w:rFonts w:hint="eastAsia" w:ascii="宋体" w:hAnsi="宋体" w:eastAsia="宋体"/>
          <w:i w:val="0"/>
          <w:iCs w:val="0"/>
          <w:color w:val="000000" w:themeColor="text1"/>
          <w:highlight w:val="none"/>
          <w:lang w:val="en-US" w:eastAsia="zh-CN"/>
          <w14:textFill>
            <w14:solidFill>
              <w14:schemeClr w14:val="tx1"/>
            </w14:solidFill>
          </w14:textFill>
        </w:rPr>
        <w:t>文件的潜在</w:t>
      </w:r>
      <w:r>
        <w:rPr>
          <w:rFonts w:hint="eastAsia"/>
          <w:i w:val="0"/>
          <w:iCs w:val="0"/>
          <w:color w:val="000000" w:themeColor="text1"/>
          <w:highlight w:val="none"/>
          <w:lang w:val="en-US" w:eastAsia="zh-CN"/>
          <w14:textFill>
            <w14:solidFill>
              <w14:schemeClr w14:val="tx1"/>
            </w14:solidFill>
          </w14:textFill>
        </w:rPr>
        <w:t>供应商</w:t>
      </w:r>
      <w:r>
        <w:rPr>
          <w:rFonts w:hint="eastAsia" w:ascii="宋体" w:hAnsi="宋体" w:eastAsia="宋体"/>
          <w:i w:val="0"/>
          <w:iCs w:val="0"/>
          <w:color w:val="000000" w:themeColor="text1"/>
          <w:highlight w:val="none"/>
          <w:lang w:val="en-US" w:eastAsia="zh-CN"/>
          <w14:textFill>
            <w14:solidFill>
              <w14:schemeClr w14:val="tx1"/>
            </w14:solidFill>
          </w14:textFill>
        </w:rPr>
        <w:t>。为确保信息的及时性和准确性，澄清或修改的内容将仅在政采云平台以更正公告的形式发布。潜在</w:t>
      </w:r>
      <w:r>
        <w:rPr>
          <w:rFonts w:hint="eastAsia"/>
          <w:i w:val="0"/>
          <w:iCs w:val="0"/>
          <w:color w:val="000000" w:themeColor="text1"/>
          <w:highlight w:val="none"/>
          <w:lang w:val="en-US" w:eastAsia="zh-CN"/>
          <w14:textFill>
            <w14:solidFill>
              <w14:schemeClr w14:val="tx1"/>
            </w14:solidFill>
          </w14:textFill>
        </w:rPr>
        <w:t>供应商</w:t>
      </w:r>
      <w:r>
        <w:rPr>
          <w:rFonts w:hint="eastAsia" w:ascii="宋体" w:hAnsi="宋体" w:eastAsia="宋体"/>
          <w:i w:val="0"/>
          <w:iCs w:val="0"/>
          <w:color w:val="000000" w:themeColor="text1"/>
          <w:highlight w:val="none"/>
          <w:lang w:val="en-US" w:eastAsia="zh-CN"/>
          <w14:textFill>
            <w14:solidFill>
              <w14:schemeClr w14:val="tx1"/>
            </w14:solidFill>
          </w14:textFill>
        </w:rPr>
        <w:t>需密切关注该网站，及时查看并下载相关更正公告。若因潜在</w:t>
      </w:r>
      <w:r>
        <w:rPr>
          <w:rFonts w:hint="eastAsia"/>
          <w:i w:val="0"/>
          <w:iCs w:val="0"/>
          <w:color w:val="000000" w:themeColor="text1"/>
          <w:highlight w:val="none"/>
          <w:lang w:val="en-US" w:eastAsia="zh-CN"/>
          <w14:textFill>
            <w14:solidFill>
              <w14:schemeClr w14:val="tx1"/>
            </w14:solidFill>
          </w14:textFill>
        </w:rPr>
        <w:t>供应商</w:t>
      </w:r>
      <w:r>
        <w:rPr>
          <w:rFonts w:hint="eastAsia" w:ascii="宋体" w:hAnsi="宋体" w:eastAsia="宋体"/>
          <w:i w:val="0"/>
          <w:iCs w:val="0"/>
          <w:color w:val="000000" w:themeColor="text1"/>
          <w:highlight w:val="none"/>
          <w:lang w:val="en-US" w:eastAsia="zh-CN"/>
          <w14:textFill>
            <w14:solidFill>
              <w14:schemeClr w14:val="tx1"/>
            </w14:solidFill>
          </w14:textFill>
        </w:rPr>
        <w:t>未能及时查看或下载相关更正公告，而导致的一切后果，将由潜在</w:t>
      </w:r>
      <w:r>
        <w:rPr>
          <w:rFonts w:hint="eastAsia"/>
          <w:i w:val="0"/>
          <w:iCs w:val="0"/>
          <w:color w:val="000000" w:themeColor="text1"/>
          <w:highlight w:val="none"/>
          <w:lang w:val="en-US" w:eastAsia="zh-CN"/>
          <w14:textFill>
            <w14:solidFill>
              <w14:schemeClr w14:val="tx1"/>
            </w14:solidFill>
          </w14:textFill>
        </w:rPr>
        <w:t>供应商</w:t>
      </w:r>
      <w:r>
        <w:rPr>
          <w:rFonts w:hint="eastAsia" w:ascii="宋体" w:hAnsi="宋体" w:eastAsia="宋体"/>
          <w:i w:val="0"/>
          <w:iCs w:val="0"/>
          <w:color w:val="000000" w:themeColor="text1"/>
          <w:highlight w:val="none"/>
          <w:lang w:val="en-US" w:eastAsia="zh-CN"/>
          <w14:textFill>
            <w14:solidFill>
              <w14:schemeClr w14:val="tx1"/>
            </w14:solidFill>
          </w14:textFill>
        </w:rPr>
        <w:t>自行承担。</w:t>
      </w:r>
    </w:p>
    <w:p w14:paraId="3D417F2D">
      <w:pPr>
        <w:pStyle w:val="4"/>
        <w:keepNext w:val="0"/>
        <w:keepLines w:val="0"/>
        <w:pageBreakBefore w:val="0"/>
        <w:widowControl w:val="0"/>
        <w:numPr>
          <w:ilvl w:val="0"/>
          <w:numId w:val="0"/>
        </w:numPr>
        <w:kinsoku/>
        <w:wordWrap/>
        <w:overflowPunct/>
        <w:topLinePunct/>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60" w:name="_Toc163493612"/>
      <w:bookmarkStart w:id="61" w:name="_Toc46771643"/>
      <w:bookmarkStart w:id="62" w:name="_Toc470172668"/>
      <w:bookmarkStart w:id="63" w:name="_Toc109897438"/>
      <w:bookmarkStart w:id="64" w:name="_Toc109899537"/>
      <w:bookmarkStart w:id="65" w:name="_Toc109900375"/>
      <w:bookmarkStart w:id="66" w:name="_Toc109899956"/>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（二）磋商文件</w:t>
      </w:r>
      <w:bookmarkEnd w:id="60"/>
      <w:bookmarkEnd w:id="61"/>
      <w:bookmarkEnd w:id="62"/>
      <w:bookmarkEnd w:id="63"/>
      <w:bookmarkEnd w:id="64"/>
      <w:bookmarkEnd w:id="65"/>
      <w:bookmarkEnd w:id="66"/>
    </w:p>
    <w:p w14:paraId="5B37643F">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67" w:name="_Toc109899957"/>
      <w:bookmarkStart w:id="68" w:name="_Toc51674215"/>
      <w:bookmarkStart w:id="69" w:name="_Toc4547"/>
      <w:bookmarkStart w:id="70" w:name="_Toc109899538"/>
      <w:bookmarkStart w:id="71" w:name="_Toc109900376"/>
      <w:bookmarkStart w:id="72" w:name="_Toc52960557"/>
      <w:bookmarkStart w:id="73" w:name="_Toc470172669"/>
      <w:bookmarkStart w:id="74" w:name="_Toc46772245"/>
      <w:bookmarkStart w:id="75" w:name="_Toc48688793"/>
      <w:bookmarkStart w:id="76" w:name="_Toc52962731"/>
      <w:bookmarkStart w:id="77" w:name="_Toc46771644"/>
      <w:bookmarkStart w:id="78" w:name="_Toc109897439"/>
      <w:bookmarkStart w:id="79" w:name="_Toc48846113"/>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11.磋商文件的构成</w:t>
      </w:r>
      <w:bookmarkEnd w:id="67"/>
      <w:bookmarkEnd w:id="68"/>
      <w:bookmarkEnd w:id="69"/>
      <w:bookmarkEnd w:id="70"/>
      <w:bookmarkEnd w:id="71"/>
      <w:bookmarkEnd w:id="72"/>
      <w:bookmarkEnd w:id="73"/>
      <w:bookmarkEnd w:id="74"/>
      <w:bookmarkEnd w:id="75"/>
      <w:bookmarkEnd w:id="76"/>
      <w:bookmarkEnd w:id="77"/>
      <w:bookmarkEnd w:id="78"/>
      <w:bookmarkEnd w:id="79"/>
    </w:p>
    <w:p w14:paraId="694E3607">
      <w:pPr>
        <w:keepNext w:val="0"/>
        <w:keepLines w:val="0"/>
        <w:pageBreakBefore w:val="0"/>
        <w:widowControl w:val="0"/>
        <w:kinsoku/>
        <w:overflowPunct/>
        <w:topLinePunct/>
        <w:bidi w:val="0"/>
        <w:ind w:firstLine="420" w:firstLineChars="200"/>
        <w:textAlignment w:val="auto"/>
        <w:rPr>
          <w:rFonts w:hint="eastAsia" w:eastAsia="宋体" w:cs="仿宋_GB2312"/>
          <w:i w:val="0"/>
          <w:iCs w:val="0"/>
          <w:color w:val="000000" w:themeColor="text1"/>
          <w:szCs w:val="24"/>
          <w:highlight w:val="none"/>
          <w:lang w:eastAsia="zh-CN"/>
          <w14:textFill>
            <w14:solidFill>
              <w14:schemeClr w14:val="tx1"/>
            </w14:solidFill>
          </w14:textFill>
        </w:rPr>
      </w:pPr>
      <w:bookmarkStart w:id="80" w:name="_Toc109900377"/>
      <w:bookmarkStart w:id="81" w:name="_Toc48846114"/>
      <w:bookmarkStart w:id="82" w:name="_Toc46771645"/>
      <w:bookmarkStart w:id="83" w:name="_Toc109897440"/>
      <w:bookmarkStart w:id="84" w:name="_Toc52960558"/>
      <w:bookmarkStart w:id="85" w:name="_Toc46772246"/>
      <w:bookmarkStart w:id="86" w:name="_Toc52962732"/>
      <w:bookmarkStart w:id="87" w:name="_Toc109899539"/>
      <w:bookmarkStart w:id="88" w:name="_Toc51674216"/>
      <w:bookmarkStart w:id="89" w:name="_Toc109899958"/>
      <w:bookmarkStart w:id="90" w:name="_Toc48688794"/>
      <w:bookmarkStart w:id="91" w:name="_Toc478415174"/>
      <w:r>
        <w:rPr>
          <w:rFonts w:hint="eastAsia" w:cs="仿宋_GB2312"/>
          <w:i w:val="0"/>
          <w:iCs w:val="0"/>
          <w:color w:val="000000" w:themeColor="text1"/>
          <w:szCs w:val="24"/>
          <w:highlight w:val="none"/>
          <w14:textFill>
            <w14:solidFill>
              <w14:schemeClr w14:val="tx1"/>
            </w14:solidFill>
          </w14:textFill>
        </w:rPr>
        <w:t>第一章竞争性磋商</w:t>
      </w:r>
      <w:r>
        <w:rPr>
          <w:rFonts w:hint="eastAsia" w:cs="仿宋_GB2312"/>
          <w:i w:val="0"/>
          <w:iCs w:val="0"/>
          <w:color w:val="000000" w:themeColor="text1"/>
          <w:szCs w:val="24"/>
          <w:highlight w:val="none"/>
          <w:lang w:val="en-US" w:eastAsia="zh-CN"/>
          <w14:textFill>
            <w14:solidFill>
              <w14:schemeClr w14:val="tx1"/>
            </w14:solidFill>
          </w14:textFill>
        </w:rPr>
        <w:t>公告</w:t>
      </w:r>
    </w:p>
    <w:p w14:paraId="6FEBBAA8">
      <w:pPr>
        <w:keepNext w:val="0"/>
        <w:keepLines w:val="0"/>
        <w:pageBreakBefore w:val="0"/>
        <w:widowControl w:val="0"/>
        <w:kinsoku/>
        <w:overflowPunct/>
        <w:topLinePunct/>
        <w:bidi w:val="0"/>
        <w:ind w:firstLine="420" w:firstLineChars="200"/>
        <w:textAlignment w:val="auto"/>
        <w:rPr>
          <w:rFonts w:cs="仿宋_GB2312"/>
          <w:i w:val="0"/>
          <w:iCs w:val="0"/>
          <w:color w:val="000000" w:themeColor="text1"/>
          <w:szCs w:val="24"/>
          <w:highlight w:val="none"/>
          <w14:textFill>
            <w14:solidFill>
              <w14:schemeClr w14:val="tx1"/>
            </w14:solidFill>
          </w14:textFill>
        </w:rPr>
      </w:pPr>
      <w:r>
        <w:rPr>
          <w:rFonts w:hint="eastAsia" w:cs="仿宋_GB2312"/>
          <w:i w:val="0"/>
          <w:iCs w:val="0"/>
          <w:color w:val="000000" w:themeColor="text1"/>
          <w:szCs w:val="24"/>
          <w:highlight w:val="none"/>
          <w14:textFill>
            <w14:solidFill>
              <w14:schemeClr w14:val="tx1"/>
            </w14:solidFill>
          </w14:textFill>
        </w:rPr>
        <w:t>第二章供应商须知</w:t>
      </w:r>
    </w:p>
    <w:p w14:paraId="3FA05115">
      <w:pPr>
        <w:keepNext w:val="0"/>
        <w:keepLines w:val="0"/>
        <w:pageBreakBefore w:val="0"/>
        <w:widowControl w:val="0"/>
        <w:kinsoku/>
        <w:overflowPunct/>
        <w:topLinePunct/>
        <w:bidi w:val="0"/>
        <w:ind w:firstLine="420" w:firstLineChars="200"/>
        <w:textAlignment w:val="auto"/>
        <w:rPr>
          <w:rFonts w:cs="仿宋_GB2312"/>
          <w:i w:val="0"/>
          <w:iCs w:val="0"/>
          <w:color w:val="000000" w:themeColor="text1"/>
          <w:szCs w:val="24"/>
          <w:highlight w:val="none"/>
          <w14:textFill>
            <w14:solidFill>
              <w14:schemeClr w14:val="tx1"/>
            </w14:solidFill>
          </w14:textFill>
        </w:rPr>
      </w:pPr>
      <w:r>
        <w:rPr>
          <w:rFonts w:hint="eastAsia" w:cs="仿宋_GB2312"/>
          <w:i w:val="0"/>
          <w:iCs w:val="0"/>
          <w:color w:val="000000" w:themeColor="text1"/>
          <w:szCs w:val="24"/>
          <w:highlight w:val="none"/>
          <w14:textFill>
            <w14:solidFill>
              <w14:schemeClr w14:val="tx1"/>
            </w14:solidFill>
          </w14:textFill>
        </w:rPr>
        <w:t>第三章</w:t>
      </w:r>
      <w:r>
        <w:rPr>
          <w:rFonts w:hint="eastAsia" w:cs="仿宋_GB2312"/>
          <w:i w:val="0"/>
          <w:iCs w:val="0"/>
          <w:color w:val="000000" w:themeColor="text1"/>
          <w:szCs w:val="24"/>
          <w:highlight w:val="none"/>
          <w:lang w:val="en-US" w:eastAsia="zh-CN"/>
          <w14:textFill>
            <w14:solidFill>
              <w14:schemeClr w14:val="tx1"/>
            </w14:solidFill>
          </w14:textFill>
        </w:rPr>
        <w:t>项目</w:t>
      </w:r>
      <w:r>
        <w:rPr>
          <w:rFonts w:hint="eastAsia" w:cs="仿宋_GB2312"/>
          <w:i w:val="0"/>
          <w:iCs w:val="0"/>
          <w:color w:val="000000" w:themeColor="text1"/>
          <w:szCs w:val="24"/>
          <w:highlight w:val="none"/>
          <w14:textFill>
            <w14:solidFill>
              <w14:schemeClr w14:val="tx1"/>
            </w14:solidFill>
          </w14:textFill>
        </w:rPr>
        <w:t>采购需求</w:t>
      </w:r>
    </w:p>
    <w:p w14:paraId="3FE5D2F1">
      <w:pPr>
        <w:keepNext w:val="0"/>
        <w:keepLines w:val="0"/>
        <w:pageBreakBefore w:val="0"/>
        <w:widowControl w:val="0"/>
        <w:kinsoku/>
        <w:overflowPunct/>
        <w:topLinePunct/>
        <w:bidi w:val="0"/>
        <w:ind w:firstLine="420" w:firstLineChars="200"/>
        <w:textAlignment w:val="auto"/>
        <w:rPr>
          <w:rFonts w:cs="仿宋_GB2312"/>
          <w:i w:val="0"/>
          <w:iCs w:val="0"/>
          <w:color w:val="000000" w:themeColor="text1"/>
          <w:szCs w:val="24"/>
          <w:highlight w:val="none"/>
          <w14:textFill>
            <w14:solidFill>
              <w14:schemeClr w14:val="tx1"/>
            </w14:solidFill>
          </w14:textFill>
        </w:rPr>
      </w:pPr>
      <w:r>
        <w:rPr>
          <w:rFonts w:hint="eastAsia" w:cs="仿宋_GB2312"/>
          <w:i w:val="0"/>
          <w:iCs w:val="0"/>
          <w:color w:val="000000" w:themeColor="text1"/>
          <w:szCs w:val="24"/>
          <w:highlight w:val="none"/>
          <w14:textFill>
            <w14:solidFill>
              <w14:schemeClr w14:val="tx1"/>
            </w14:solidFill>
          </w14:textFill>
        </w:rPr>
        <w:t>第四章评审</w:t>
      </w:r>
      <w:r>
        <w:rPr>
          <w:rFonts w:hint="eastAsia" w:cs="仿宋_GB2312"/>
          <w:i w:val="0"/>
          <w:iCs w:val="0"/>
          <w:color w:val="000000" w:themeColor="text1"/>
          <w:szCs w:val="24"/>
          <w:highlight w:val="none"/>
          <w:lang w:val="en-US" w:eastAsia="zh-CN"/>
          <w14:textFill>
            <w14:solidFill>
              <w14:schemeClr w14:val="tx1"/>
            </w14:solidFill>
          </w14:textFill>
        </w:rPr>
        <w:t>方</w:t>
      </w:r>
      <w:r>
        <w:rPr>
          <w:rFonts w:hint="eastAsia" w:cs="仿宋_GB2312"/>
          <w:i w:val="0"/>
          <w:iCs w:val="0"/>
          <w:color w:val="000000" w:themeColor="text1"/>
          <w:szCs w:val="24"/>
          <w:highlight w:val="none"/>
          <w14:textFill>
            <w14:solidFill>
              <w14:schemeClr w14:val="tx1"/>
            </w14:solidFill>
          </w14:textFill>
        </w:rPr>
        <w:t>法及标准</w:t>
      </w:r>
    </w:p>
    <w:p w14:paraId="65697165">
      <w:pPr>
        <w:keepNext w:val="0"/>
        <w:keepLines w:val="0"/>
        <w:pageBreakBefore w:val="0"/>
        <w:widowControl w:val="0"/>
        <w:kinsoku/>
        <w:overflowPunct/>
        <w:topLinePunct/>
        <w:bidi w:val="0"/>
        <w:ind w:firstLine="420" w:firstLineChars="200"/>
        <w:textAlignment w:val="auto"/>
        <w:rPr>
          <w:rFonts w:cs="仿宋_GB2312"/>
          <w:i w:val="0"/>
          <w:iCs w:val="0"/>
          <w:color w:val="000000" w:themeColor="text1"/>
          <w:szCs w:val="24"/>
          <w:highlight w:val="none"/>
          <w14:textFill>
            <w14:solidFill>
              <w14:schemeClr w14:val="tx1"/>
            </w14:solidFill>
          </w14:textFill>
        </w:rPr>
      </w:pPr>
      <w:r>
        <w:rPr>
          <w:rFonts w:hint="eastAsia" w:cs="仿宋_GB2312"/>
          <w:i w:val="0"/>
          <w:iCs w:val="0"/>
          <w:color w:val="000000" w:themeColor="text1"/>
          <w:szCs w:val="24"/>
          <w:highlight w:val="none"/>
          <w14:textFill>
            <w14:solidFill>
              <w14:schemeClr w14:val="tx1"/>
            </w14:solidFill>
          </w14:textFill>
        </w:rPr>
        <w:t>第五章合同草案</w:t>
      </w:r>
    </w:p>
    <w:p w14:paraId="1FB88470">
      <w:pPr>
        <w:keepNext w:val="0"/>
        <w:keepLines w:val="0"/>
        <w:pageBreakBefore w:val="0"/>
        <w:widowControl w:val="0"/>
        <w:kinsoku/>
        <w:overflowPunct/>
        <w:topLinePunct/>
        <w:bidi w:val="0"/>
        <w:ind w:firstLine="420" w:firstLineChars="200"/>
        <w:textAlignment w:val="auto"/>
        <w:rPr>
          <w:rFonts w:cs="仿宋_GB2312"/>
          <w:i w:val="0"/>
          <w:iCs w:val="0"/>
          <w:color w:val="000000" w:themeColor="text1"/>
          <w:szCs w:val="24"/>
          <w:highlight w:val="none"/>
          <w14:textFill>
            <w14:solidFill>
              <w14:schemeClr w14:val="tx1"/>
            </w14:solidFill>
          </w14:textFill>
        </w:rPr>
      </w:pPr>
      <w:r>
        <w:rPr>
          <w:rFonts w:hint="eastAsia" w:cs="仿宋_GB2312"/>
          <w:i w:val="0"/>
          <w:iCs w:val="0"/>
          <w:color w:val="000000" w:themeColor="text1"/>
          <w:szCs w:val="24"/>
          <w:highlight w:val="none"/>
          <w14:textFill>
            <w14:solidFill>
              <w14:schemeClr w14:val="tx1"/>
            </w14:solidFill>
          </w14:textFill>
        </w:rPr>
        <w:t>第六章响应文件的格式</w:t>
      </w:r>
    </w:p>
    <w:p w14:paraId="43E57A83">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12.磋商文件的澄清或修改</w:t>
      </w:r>
      <w:bookmarkEnd w:id="80"/>
      <w:bookmarkEnd w:id="81"/>
      <w:bookmarkEnd w:id="82"/>
      <w:bookmarkEnd w:id="83"/>
      <w:bookmarkEnd w:id="84"/>
      <w:bookmarkEnd w:id="85"/>
      <w:bookmarkEnd w:id="86"/>
      <w:bookmarkEnd w:id="87"/>
      <w:bookmarkEnd w:id="88"/>
      <w:bookmarkEnd w:id="89"/>
      <w:bookmarkEnd w:id="90"/>
      <w:bookmarkEnd w:id="91"/>
    </w:p>
    <w:p w14:paraId="3A89506F">
      <w:pPr>
        <w:pStyle w:val="48"/>
        <w:keepNext w:val="0"/>
        <w:keepLines w:val="0"/>
        <w:pageBreakBefore w:val="0"/>
        <w:widowControl w:val="0"/>
        <w:kinsoku/>
        <w:overflowPunct/>
        <w:topLinePunct/>
        <w:bidi w:val="0"/>
        <w:ind w:firstLine="480"/>
        <w:textAlignment w:val="auto"/>
        <w:rPr>
          <w:rFonts w:hint="eastAsia" w:eastAsia="宋体"/>
          <w:i w:val="0"/>
          <w:iCs w:val="0"/>
          <w:color w:val="000000" w:themeColor="text1"/>
          <w:highlight w:val="none"/>
          <w14:textFill>
            <w14:solidFill>
              <w14:schemeClr w14:val="tx1"/>
            </w14:solidFill>
          </w14:textFill>
        </w:rPr>
      </w:pPr>
      <w:r>
        <w:rPr>
          <w:rFonts w:hint="eastAsia" w:eastAsia="宋体"/>
          <w:i w:val="0"/>
          <w:iCs w:val="0"/>
          <w:color w:val="000000" w:themeColor="text1"/>
          <w:highlight w:val="none"/>
          <w:lang w:val="en-US" w:eastAsia="zh-CN"/>
          <w14:textFill>
            <w14:solidFill>
              <w14:schemeClr w14:val="tx1"/>
            </w14:solidFill>
          </w14:textFill>
        </w:rPr>
        <w:t>12</w:t>
      </w:r>
      <w:r>
        <w:rPr>
          <w:rFonts w:hint="eastAsia" w:eastAsia="宋体"/>
          <w:i w:val="0"/>
          <w:iCs w:val="0"/>
          <w:color w:val="000000" w:themeColor="text1"/>
          <w:highlight w:val="none"/>
          <w14:textFill>
            <w14:solidFill>
              <w14:schemeClr w14:val="tx1"/>
            </w14:solidFill>
          </w14:textFill>
        </w:rPr>
        <w:t>.1供应商如对竞争性</w:t>
      </w:r>
      <w:r>
        <w:rPr>
          <w:rFonts w:hint="eastAsia" w:eastAsia="宋体"/>
          <w:i w:val="0"/>
          <w:iCs w:val="0"/>
          <w:color w:val="000000" w:themeColor="text1"/>
          <w:highlight w:val="none"/>
          <w:lang w:val="en-US" w:eastAsia="zh-CN"/>
          <w14:textFill>
            <w14:solidFill>
              <w14:schemeClr w14:val="tx1"/>
            </w14:solidFill>
          </w14:textFill>
        </w:rPr>
        <w:t>磋商</w:t>
      </w:r>
      <w:r>
        <w:rPr>
          <w:rFonts w:hint="eastAsia" w:eastAsia="宋体"/>
          <w:i w:val="0"/>
          <w:iCs w:val="0"/>
          <w:color w:val="000000" w:themeColor="text1"/>
          <w:highlight w:val="none"/>
          <w14:textFill>
            <w14:solidFill>
              <w14:schemeClr w14:val="tx1"/>
            </w14:solidFill>
          </w14:textFill>
        </w:rPr>
        <w:t>文件内容有疑问，须在</w:t>
      </w:r>
      <w:r>
        <w:rPr>
          <w:rFonts w:hint="eastAsia" w:eastAsia="宋体"/>
          <w:i w:val="0"/>
          <w:iCs w:val="0"/>
          <w:color w:val="000000" w:themeColor="text1"/>
          <w:highlight w:val="none"/>
          <w:lang w:eastAsia="zh-CN"/>
          <w14:textFill>
            <w14:solidFill>
              <w14:schemeClr w14:val="tx1"/>
            </w14:solidFill>
          </w14:textFill>
        </w:rPr>
        <w:t>“</w:t>
      </w:r>
      <w:r>
        <w:rPr>
          <w:rFonts w:hint="eastAsia" w:eastAsia="宋体"/>
          <w:i w:val="0"/>
          <w:iCs w:val="0"/>
          <w:color w:val="000000" w:themeColor="text1"/>
          <w:highlight w:val="none"/>
          <w14:textFill>
            <w14:solidFill>
              <w14:schemeClr w14:val="tx1"/>
            </w14:solidFill>
          </w14:textFill>
        </w:rPr>
        <w:t>供应商须知前附表</w:t>
      </w:r>
      <w:r>
        <w:rPr>
          <w:rFonts w:hint="eastAsia" w:eastAsia="宋体"/>
          <w:i w:val="0"/>
          <w:iCs w:val="0"/>
          <w:color w:val="000000" w:themeColor="text1"/>
          <w:highlight w:val="none"/>
          <w:lang w:eastAsia="zh-CN"/>
          <w14:textFill>
            <w14:solidFill>
              <w14:schemeClr w14:val="tx1"/>
            </w14:solidFill>
          </w14:textFill>
        </w:rPr>
        <w:t>”</w:t>
      </w:r>
      <w:r>
        <w:rPr>
          <w:rFonts w:hint="eastAsia" w:eastAsia="宋体"/>
          <w:i w:val="0"/>
          <w:iCs w:val="0"/>
          <w:color w:val="000000" w:themeColor="text1"/>
          <w:highlight w:val="none"/>
          <w14:textFill>
            <w14:solidFill>
              <w14:schemeClr w14:val="tx1"/>
            </w14:solidFill>
          </w14:textFill>
        </w:rPr>
        <w:t>规定的询问</w:t>
      </w:r>
      <w:r>
        <w:rPr>
          <w:rFonts w:hint="eastAsia" w:eastAsia="宋体"/>
          <w:i w:val="0"/>
          <w:iCs w:val="0"/>
          <w:color w:val="000000" w:themeColor="text1"/>
          <w:highlight w:val="none"/>
          <w:lang w:val="en-US" w:eastAsia="zh-CN"/>
          <w14:textFill>
            <w14:solidFill>
              <w14:schemeClr w14:val="tx1"/>
            </w14:solidFill>
          </w14:textFill>
        </w:rPr>
        <w:t>方式和</w:t>
      </w:r>
      <w:r>
        <w:rPr>
          <w:rFonts w:hint="eastAsia" w:eastAsia="宋体"/>
          <w:i w:val="0"/>
          <w:iCs w:val="0"/>
          <w:color w:val="000000" w:themeColor="text1"/>
          <w:highlight w:val="none"/>
          <w14:textFill>
            <w14:solidFill>
              <w14:schemeClr w14:val="tx1"/>
            </w14:solidFill>
          </w14:textFill>
        </w:rPr>
        <w:t>时间提交给</w:t>
      </w:r>
      <w:r>
        <w:rPr>
          <w:rFonts w:hint="eastAsia" w:eastAsia="宋体"/>
          <w:i w:val="0"/>
          <w:iCs w:val="0"/>
          <w:color w:val="000000" w:themeColor="text1"/>
          <w:highlight w:val="none"/>
          <w:lang w:val="en-US" w:eastAsia="zh-CN"/>
          <w14:textFill>
            <w14:solidFill>
              <w14:schemeClr w14:val="tx1"/>
            </w14:solidFill>
          </w14:textFill>
        </w:rPr>
        <w:t>采购人或</w:t>
      </w:r>
      <w:r>
        <w:rPr>
          <w:rFonts w:hint="eastAsia" w:eastAsia="宋体"/>
          <w:i w:val="0"/>
          <w:iCs w:val="0"/>
          <w:color w:val="000000" w:themeColor="text1"/>
          <w:highlight w:val="none"/>
          <w14:textFill>
            <w14:solidFill>
              <w14:schemeClr w14:val="tx1"/>
            </w14:solidFill>
          </w14:textFill>
        </w:rPr>
        <w:t>采购代理机构。</w:t>
      </w:r>
    </w:p>
    <w:p w14:paraId="62245F4C">
      <w:pPr>
        <w:pStyle w:val="48"/>
        <w:keepNext w:val="0"/>
        <w:keepLines w:val="0"/>
        <w:pageBreakBefore w:val="0"/>
        <w:widowControl w:val="0"/>
        <w:kinsoku/>
        <w:overflowPunct/>
        <w:topLinePunct/>
        <w:bidi w:val="0"/>
        <w:ind w:firstLine="480"/>
        <w:textAlignment w:val="auto"/>
        <w:rPr>
          <w:rFonts w:hint="eastAsia" w:eastAsia="宋体"/>
          <w:i w:val="0"/>
          <w:iCs w:val="0"/>
          <w:color w:val="000000" w:themeColor="text1"/>
          <w:highlight w:val="none"/>
          <w14:textFill>
            <w14:solidFill>
              <w14:schemeClr w14:val="tx1"/>
            </w14:solidFill>
          </w14:textFill>
        </w:rPr>
      </w:pPr>
      <w:r>
        <w:rPr>
          <w:rFonts w:hint="eastAsia" w:eastAsia="宋体"/>
          <w:i w:val="0"/>
          <w:iCs w:val="0"/>
          <w:color w:val="000000" w:themeColor="text1"/>
          <w:highlight w:val="none"/>
          <w:lang w:val="en-US" w:eastAsia="zh-CN"/>
          <w14:textFill>
            <w14:solidFill>
              <w14:schemeClr w14:val="tx1"/>
            </w14:solidFill>
          </w14:textFill>
        </w:rPr>
        <w:t>12</w:t>
      </w:r>
      <w:r>
        <w:rPr>
          <w:rFonts w:hint="eastAsia" w:eastAsia="宋体"/>
          <w:i w:val="0"/>
          <w:iCs w:val="0"/>
          <w:color w:val="000000" w:themeColor="text1"/>
          <w:highlight w:val="none"/>
          <w14:textFill>
            <w14:solidFill>
              <w14:schemeClr w14:val="tx1"/>
            </w14:solidFill>
          </w14:textFill>
        </w:rPr>
        <w:t>.2采购人可主动地或在</w:t>
      </w:r>
      <w:r>
        <w:rPr>
          <w:rFonts w:hint="eastAsia" w:eastAsia="宋体"/>
          <w:i w:val="0"/>
          <w:iCs w:val="0"/>
          <w:color w:val="000000" w:themeColor="text1"/>
          <w:highlight w:val="none"/>
          <w:lang w:val="en-US" w:eastAsia="zh-CN"/>
          <w14:textFill>
            <w14:solidFill>
              <w14:schemeClr w14:val="tx1"/>
            </w14:solidFill>
          </w14:textFill>
        </w:rPr>
        <w:t>答复</w:t>
      </w:r>
      <w:r>
        <w:rPr>
          <w:rFonts w:hint="eastAsia" w:eastAsia="宋体"/>
          <w:i w:val="0"/>
          <w:iCs w:val="0"/>
          <w:color w:val="000000" w:themeColor="text1"/>
          <w:highlight w:val="none"/>
          <w14:textFill>
            <w14:solidFill>
              <w14:schemeClr w14:val="tx1"/>
            </w14:solidFill>
          </w14:textFill>
        </w:rPr>
        <w:t>供应商提出的</w:t>
      </w:r>
      <w:r>
        <w:rPr>
          <w:rFonts w:hint="eastAsia" w:eastAsia="宋体"/>
          <w:i w:val="0"/>
          <w:iCs w:val="0"/>
          <w:color w:val="000000" w:themeColor="text1"/>
          <w:highlight w:val="none"/>
          <w:lang w:val="en-US" w:eastAsia="zh-CN"/>
          <w14:textFill>
            <w14:solidFill>
              <w14:schemeClr w14:val="tx1"/>
            </w14:solidFill>
          </w14:textFill>
        </w:rPr>
        <w:t>询问</w:t>
      </w:r>
      <w:r>
        <w:rPr>
          <w:rFonts w:hint="eastAsia" w:eastAsia="宋体"/>
          <w:i w:val="0"/>
          <w:iCs w:val="0"/>
          <w:color w:val="000000" w:themeColor="text1"/>
          <w:highlight w:val="none"/>
          <w14:textFill>
            <w14:solidFill>
              <w14:schemeClr w14:val="tx1"/>
            </w14:solidFill>
          </w14:textFill>
        </w:rPr>
        <w:t>时对竞争性</w:t>
      </w:r>
      <w:r>
        <w:rPr>
          <w:rFonts w:hint="eastAsia" w:eastAsia="宋体"/>
          <w:i w:val="0"/>
          <w:iCs w:val="0"/>
          <w:color w:val="000000" w:themeColor="text1"/>
          <w:highlight w:val="none"/>
          <w:lang w:val="en-US" w:eastAsia="zh-CN"/>
          <w14:textFill>
            <w14:solidFill>
              <w14:schemeClr w14:val="tx1"/>
            </w14:solidFill>
          </w14:textFill>
        </w:rPr>
        <w:t>磋商</w:t>
      </w:r>
      <w:r>
        <w:rPr>
          <w:rFonts w:hint="eastAsia" w:eastAsia="宋体"/>
          <w:i w:val="0"/>
          <w:iCs w:val="0"/>
          <w:color w:val="000000" w:themeColor="text1"/>
          <w:highlight w:val="none"/>
          <w14:textFill>
            <w14:solidFill>
              <w14:schemeClr w14:val="tx1"/>
            </w14:solidFill>
          </w14:textFill>
        </w:rPr>
        <w:t>文件进行澄清与修改。采购代理机构将在</w:t>
      </w:r>
      <w:r>
        <w:rPr>
          <w:rFonts w:hint="eastAsia" w:eastAsia="宋体"/>
          <w:i w:val="0"/>
          <w:iCs w:val="0"/>
          <w:color w:val="000000" w:themeColor="text1"/>
          <w:highlight w:val="none"/>
          <w:lang w:val="en-US" w:eastAsia="zh-CN"/>
          <w14:textFill>
            <w14:solidFill>
              <w14:schemeClr w14:val="tx1"/>
            </w14:solidFill>
          </w14:textFill>
        </w:rPr>
        <w:t>新疆政府采购网</w:t>
      </w:r>
      <w:r>
        <w:rPr>
          <w:rFonts w:hint="eastAsia" w:eastAsia="宋体"/>
          <w:i w:val="0"/>
          <w:iCs w:val="0"/>
          <w:color w:val="000000" w:themeColor="text1"/>
          <w:highlight w:val="none"/>
          <w14:textFill>
            <w14:solidFill>
              <w14:schemeClr w14:val="tx1"/>
            </w14:solidFill>
          </w14:textFill>
        </w:rPr>
        <w:t>以发布更正公告的方式澄清或修改竞争性</w:t>
      </w:r>
      <w:r>
        <w:rPr>
          <w:rFonts w:hint="eastAsia" w:eastAsia="宋体"/>
          <w:i w:val="0"/>
          <w:iCs w:val="0"/>
          <w:color w:val="000000" w:themeColor="text1"/>
          <w:highlight w:val="none"/>
          <w:lang w:val="en-US" w:eastAsia="zh-CN"/>
          <w14:textFill>
            <w14:solidFill>
              <w14:schemeClr w14:val="tx1"/>
            </w14:solidFill>
          </w14:textFill>
        </w:rPr>
        <w:t>磋商</w:t>
      </w:r>
      <w:r>
        <w:rPr>
          <w:rFonts w:hint="eastAsia" w:eastAsia="宋体"/>
          <w:i w:val="0"/>
          <w:iCs w:val="0"/>
          <w:color w:val="000000" w:themeColor="text1"/>
          <w:highlight w:val="none"/>
          <w14:textFill>
            <w14:solidFill>
              <w14:schemeClr w14:val="tx1"/>
            </w14:solidFill>
          </w14:textFill>
        </w:rPr>
        <w:t>文件，更正公告的内容作为竞争性</w:t>
      </w:r>
      <w:r>
        <w:rPr>
          <w:rFonts w:hint="eastAsia" w:eastAsia="宋体"/>
          <w:i w:val="0"/>
          <w:iCs w:val="0"/>
          <w:color w:val="000000" w:themeColor="text1"/>
          <w:highlight w:val="none"/>
          <w:lang w:val="en-US" w:eastAsia="zh-CN"/>
          <w14:textFill>
            <w14:solidFill>
              <w14:schemeClr w14:val="tx1"/>
            </w14:solidFill>
          </w14:textFill>
        </w:rPr>
        <w:t>磋商</w:t>
      </w:r>
      <w:r>
        <w:rPr>
          <w:rFonts w:hint="eastAsia" w:eastAsia="宋体"/>
          <w:i w:val="0"/>
          <w:iCs w:val="0"/>
          <w:color w:val="000000" w:themeColor="text1"/>
          <w:highlight w:val="none"/>
          <w14:textFill>
            <w14:solidFill>
              <w14:schemeClr w14:val="tx1"/>
            </w14:solidFill>
          </w14:textFill>
        </w:rPr>
        <w:t>文件的组成部分，对供应商起约束作用。供应商应主动上网查询。采购代理机构不承担供应商未及时关注相关信息引发的相关责任。</w:t>
      </w:r>
    </w:p>
    <w:p w14:paraId="6B5F48F4">
      <w:pPr>
        <w:pStyle w:val="48"/>
        <w:keepNext w:val="0"/>
        <w:keepLines w:val="0"/>
        <w:pageBreakBefore w:val="0"/>
        <w:widowControl w:val="0"/>
        <w:kinsoku/>
        <w:overflowPunct/>
        <w:topLinePunct/>
        <w:bidi w:val="0"/>
        <w:ind w:firstLine="480"/>
        <w:textAlignment w:val="auto"/>
        <w:rPr>
          <w:rFonts w:hint="eastAsia" w:eastAsia="宋体"/>
          <w:i w:val="0"/>
          <w:iCs w:val="0"/>
          <w:color w:val="000000" w:themeColor="text1"/>
          <w:highlight w:val="none"/>
          <w14:textFill>
            <w14:solidFill>
              <w14:schemeClr w14:val="tx1"/>
            </w14:solidFill>
          </w14:textFill>
        </w:rPr>
      </w:pPr>
      <w:r>
        <w:rPr>
          <w:rFonts w:hint="eastAsia" w:eastAsia="宋体"/>
          <w:i w:val="0"/>
          <w:iCs w:val="0"/>
          <w:color w:val="000000" w:themeColor="text1"/>
          <w:highlight w:val="none"/>
          <w14:textFill>
            <w14:solidFill>
              <w14:schemeClr w14:val="tx1"/>
            </w14:solidFill>
          </w14:textFill>
        </w:rPr>
        <w:t>1</w:t>
      </w:r>
      <w:r>
        <w:rPr>
          <w:rFonts w:hint="eastAsia" w:eastAsia="宋体"/>
          <w:i w:val="0"/>
          <w:iCs w:val="0"/>
          <w:color w:val="000000" w:themeColor="text1"/>
          <w:highlight w:val="none"/>
          <w:lang w:val="en-US" w:eastAsia="zh-CN"/>
          <w14:textFill>
            <w14:solidFill>
              <w14:schemeClr w14:val="tx1"/>
            </w14:solidFill>
          </w14:textFill>
        </w:rPr>
        <w:t>2</w:t>
      </w:r>
      <w:r>
        <w:rPr>
          <w:rFonts w:hint="eastAsia" w:eastAsia="宋体"/>
          <w:i w:val="0"/>
          <w:iCs w:val="0"/>
          <w:color w:val="000000" w:themeColor="text1"/>
          <w:highlight w:val="none"/>
          <w14:textFill>
            <w14:solidFill>
              <w14:schemeClr w14:val="tx1"/>
            </w14:solidFill>
          </w14:textFill>
        </w:rPr>
        <w:t>.3竞争性</w:t>
      </w:r>
      <w:r>
        <w:rPr>
          <w:rFonts w:hint="eastAsia" w:eastAsia="宋体"/>
          <w:i w:val="0"/>
          <w:iCs w:val="0"/>
          <w:color w:val="000000" w:themeColor="text1"/>
          <w:highlight w:val="none"/>
          <w:lang w:val="en-US" w:eastAsia="zh-CN"/>
          <w14:textFill>
            <w14:solidFill>
              <w14:schemeClr w14:val="tx1"/>
            </w14:solidFill>
          </w14:textFill>
        </w:rPr>
        <w:t>磋商</w:t>
      </w:r>
      <w:r>
        <w:rPr>
          <w:rFonts w:hint="eastAsia" w:eastAsia="宋体"/>
          <w:i w:val="0"/>
          <w:iCs w:val="0"/>
          <w:color w:val="000000" w:themeColor="text1"/>
          <w:highlight w:val="none"/>
          <w14:textFill>
            <w14:solidFill>
              <w14:schemeClr w14:val="tx1"/>
            </w14:solidFill>
          </w14:textFill>
        </w:rPr>
        <w:t>文件的澄清或者修改的内容可能影响</w:t>
      </w:r>
      <w:r>
        <w:rPr>
          <w:rFonts w:hint="eastAsia" w:eastAsia="宋体"/>
          <w:i w:val="0"/>
          <w:iCs w:val="0"/>
          <w:color w:val="000000" w:themeColor="text1"/>
          <w:highlight w:val="none"/>
          <w:lang w:val="en-US" w:eastAsia="zh-CN"/>
          <w14:textFill>
            <w14:solidFill>
              <w14:schemeClr w14:val="tx1"/>
            </w14:solidFill>
          </w14:textFill>
        </w:rPr>
        <w:t>响应</w:t>
      </w:r>
      <w:r>
        <w:rPr>
          <w:rFonts w:hint="eastAsia" w:eastAsia="宋体"/>
          <w:i w:val="0"/>
          <w:iCs w:val="0"/>
          <w:color w:val="000000" w:themeColor="text1"/>
          <w:highlight w:val="none"/>
          <w14:textFill>
            <w14:solidFill>
              <w14:schemeClr w14:val="tx1"/>
            </w14:solidFill>
          </w14:textFill>
        </w:rPr>
        <w:t>文件编制的，</w:t>
      </w:r>
      <w:r>
        <w:rPr>
          <w:rFonts w:hint="eastAsia" w:eastAsia="宋体"/>
          <w:i w:val="0"/>
          <w:iCs w:val="0"/>
          <w:color w:val="000000" w:themeColor="text1"/>
          <w:highlight w:val="none"/>
          <w:lang w:val="zh-CN"/>
          <w14:textFill>
            <w14:solidFill>
              <w14:schemeClr w14:val="tx1"/>
            </w14:solidFill>
          </w14:textFill>
        </w:rPr>
        <w:t>采购人、采购代理机构或者磋商小组应当在提交首次响应文件截止之日5日前，以书面形式通知所有接收</w:t>
      </w:r>
      <w:r>
        <w:rPr>
          <w:rFonts w:hint="eastAsia" w:eastAsia="宋体"/>
          <w:i w:val="0"/>
          <w:iCs w:val="0"/>
          <w:color w:val="000000" w:themeColor="text1"/>
          <w:highlight w:val="none"/>
          <w14:textFill>
            <w14:solidFill>
              <w14:schemeClr w14:val="tx1"/>
            </w14:solidFill>
          </w14:textFill>
        </w:rPr>
        <w:t>竞争性</w:t>
      </w:r>
      <w:r>
        <w:rPr>
          <w:rFonts w:hint="eastAsia" w:eastAsia="宋体"/>
          <w:i w:val="0"/>
          <w:iCs w:val="0"/>
          <w:color w:val="000000" w:themeColor="text1"/>
          <w:highlight w:val="none"/>
          <w:lang w:val="zh-CN"/>
          <w14:textFill>
            <w14:solidFill>
              <w14:schemeClr w14:val="tx1"/>
            </w14:solidFill>
          </w14:textFill>
        </w:rPr>
        <w:t>磋商文件的供应商，不足5日的，应当顺延提交首次响应文件</w:t>
      </w:r>
      <w:r>
        <w:rPr>
          <w:rFonts w:hint="eastAsia" w:eastAsia="宋体"/>
          <w:i w:val="0"/>
          <w:iCs w:val="0"/>
          <w:color w:val="000000" w:themeColor="text1"/>
          <w:highlight w:val="none"/>
          <w:lang w:val="en-US" w:eastAsia="zh-CN"/>
          <w14:textFill>
            <w14:solidFill>
              <w14:schemeClr w14:val="tx1"/>
            </w14:solidFill>
          </w14:textFill>
        </w:rPr>
        <w:t>的</w:t>
      </w:r>
      <w:r>
        <w:rPr>
          <w:rFonts w:hint="eastAsia" w:eastAsia="宋体"/>
          <w:i w:val="0"/>
          <w:iCs w:val="0"/>
          <w:color w:val="000000" w:themeColor="text1"/>
          <w:highlight w:val="none"/>
          <w:lang w:val="zh-CN"/>
          <w14:textFill>
            <w14:solidFill>
              <w14:schemeClr w14:val="tx1"/>
            </w14:solidFill>
          </w14:textFill>
        </w:rPr>
        <w:t>截止时间</w:t>
      </w:r>
      <w:r>
        <w:rPr>
          <w:rFonts w:hint="eastAsia" w:eastAsia="宋体"/>
          <w:i w:val="0"/>
          <w:iCs w:val="0"/>
          <w:color w:val="000000" w:themeColor="text1"/>
          <w:highlight w:val="none"/>
          <w14:textFill>
            <w14:solidFill>
              <w14:schemeClr w14:val="tx1"/>
            </w14:solidFill>
          </w14:textFill>
        </w:rPr>
        <w:t>。</w:t>
      </w:r>
    </w:p>
    <w:p w14:paraId="1C8A5FD3">
      <w:pPr>
        <w:pStyle w:val="48"/>
        <w:keepNext w:val="0"/>
        <w:keepLines w:val="0"/>
        <w:pageBreakBefore w:val="0"/>
        <w:widowControl w:val="0"/>
        <w:kinsoku/>
        <w:overflowPunct/>
        <w:topLinePunct/>
        <w:bidi w:val="0"/>
        <w:ind w:firstLine="480"/>
        <w:textAlignment w:val="auto"/>
        <w:rPr>
          <w:rFonts w:hint="eastAsia" w:eastAsia="宋体"/>
          <w:i w:val="0"/>
          <w:iCs w:val="0"/>
          <w:color w:val="000000" w:themeColor="text1"/>
          <w:highlight w:val="none"/>
          <w14:textFill>
            <w14:solidFill>
              <w14:schemeClr w14:val="tx1"/>
            </w14:solidFill>
          </w14:textFill>
        </w:rPr>
      </w:pPr>
      <w:r>
        <w:rPr>
          <w:rFonts w:hint="eastAsia" w:eastAsia="宋体"/>
          <w:i w:val="0"/>
          <w:iCs w:val="0"/>
          <w:color w:val="000000" w:themeColor="text1"/>
          <w:highlight w:val="none"/>
          <w:lang w:val="en-US" w:eastAsia="zh-CN"/>
          <w14:textFill>
            <w14:solidFill>
              <w14:schemeClr w14:val="tx1"/>
            </w14:solidFill>
          </w14:textFill>
        </w:rPr>
        <w:t>12</w:t>
      </w:r>
      <w:r>
        <w:rPr>
          <w:rFonts w:hint="eastAsia" w:eastAsia="宋体"/>
          <w:i w:val="0"/>
          <w:iCs w:val="0"/>
          <w:color w:val="000000" w:themeColor="text1"/>
          <w:highlight w:val="none"/>
          <w14:textFill>
            <w14:solidFill>
              <w14:schemeClr w14:val="tx1"/>
            </w14:solidFill>
          </w14:textFill>
        </w:rPr>
        <w:t>.</w:t>
      </w:r>
      <w:r>
        <w:rPr>
          <w:rFonts w:hint="eastAsia" w:eastAsia="宋体"/>
          <w:i w:val="0"/>
          <w:iCs w:val="0"/>
          <w:color w:val="000000" w:themeColor="text1"/>
          <w:highlight w:val="none"/>
          <w:lang w:val="en-US" w:eastAsia="zh-CN"/>
          <w14:textFill>
            <w14:solidFill>
              <w14:schemeClr w14:val="tx1"/>
            </w14:solidFill>
          </w14:textFill>
        </w:rPr>
        <w:t>4</w:t>
      </w:r>
      <w:r>
        <w:rPr>
          <w:rFonts w:hint="eastAsia" w:eastAsia="宋体"/>
          <w:i w:val="0"/>
          <w:iCs w:val="0"/>
          <w:color w:val="000000" w:themeColor="text1"/>
          <w:highlight w:val="none"/>
          <w14:textFill>
            <w14:solidFill>
              <w14:schemeClr w14:val="tx1"/>
            </w14:solidFill>
          </w14:textFill>
        </w:rPr>
        <w:t>任何人或任何组织向</w:t>
      </w:r>
      <w:r>
        <w:rPr>
          <w:rFonts w:hint="eastAsia" w:eastAsia="宋体"/>
          <w:i w:val="0"/>
          <w:iCs w:val="0"/>
          <w:color w:val="000000" w:themeColor="text1"/>
          <w:highlight w:val="none"/>
          <w:lang w:val="en-US" w:eastAsia="zh-CN"/>
          <w14:textFill>
            <w14:solidFill>
              <w14:schemeClr w14:val="tx1"/>
            </w14:solidFill>
          </w14:textFill>
        </w:rPr>
        <w:t>供应商</w:t>
      </w:r>
      <w:r>
        <w:rPr>
          <w:rFonts w:hint="eastAsia" w:eastAsia="宋体"/>
          <w:i w:val="0"/>
          <w:iCs w:val="0"/>
          <w:color w:val="000000" w:themeColor="text1"/>
          <w:highlight w:val="none"/>
          <w14:textFill>
            <w14:solidFill>
              <w14:schemeClr w14:val="tx1"/>
            </w14:solidFill>
          </w14:textFill>
        </w:rPr>
        <w:t>提供的任何书面或口头资料，未经采购代理机构在网上发布或书面通知，均作无效处理，不得作为竞争性</w:t>
      </w:r>
      <w:r>
        <w:rPr>
          <w:rFonts w:hint="eastAsia" w:eastAsia="宋体"/>
          <w:i w:val="0"/>
          <w:iCs w:val="0"/>
          <w:color w:val="000000" w:themeColor="text1"/>
          <w:highlight w:val="none"/>
          <w:lang w:val="en-US" w:eastAsia="zh-CN"/>
          <w14:textFill>
            <w14:solidFill>
              <w14:schemeClr w14:val="tx1"/>
            </w14:solidFill>
          </w14:textFill>
        </w:rPr>
        <w:t>磋商</w:t>
      </w:r>
      <w:r>
        <w:rPr>
          <w:rFonts w:hint="eastAsia" w:eastAsia="宋体"/>
          <w:i w:val="0"/>
          <w:iCs w:val="0"/>
          <w:color w:val="000000" w:themeColor="text1"/>
          <w:highlight w:val="none"/>
          <w14:textFill>
            <w14:solidFill>
              <w14:schemeClr w14:val="tx1"/>
            </w14:solidFill>
          </w14:textFill>
        </w:rPr>
        <w:t>文件的组成部分。采购代理机构对</w:t>
      </w:r>
      <w:r>
        <w:rPr>
          <w:rFonts w:hint="eastAsia" w:eastAsia="宋体"/>
          <w:i w:val="0"/>
          <w:iCs w:val="0"/>
          <w:color w:val="000000" w:themeColor="text1"/>
          <w:highlight w:val="none"/>
          <w:lang w:val="en-US" w:eastAsia="zh-CN"/>
          <w14:textFill>
            <w14:solidFill>
              <w14:schemeClr w14:val="tx1"/>
            </w14:solidFill>
          </w14:textFill>
        </w:rPr>
        <w:t>供应商</w:t>
      </w:r>
      <w:r>
        <w:rPr>
          <w:rFonts w:hint="eastAsia" w:eastAsia="宋体"/>
          <w:i w:val="0"/>
          <w:iCs w:val="0"/>
          <w:color w:val="000000" w:themeColor="text1"/>
          <w:highlight w:val="none"/>
          <w14:textFill>
            <w14:solidFill>
              <w14:schemeClr w14:val="tx1"/>
            </w14:solidFill>
          </w14:textFill>
        </w:rPr>
        <w:t>由此而做出的推论、理解和结论概不负责。</w:t>
      </w:r>
    </w:p>
    <w:p w14:paraId="6391E3D8">
      <w:pPr>
        <w:pStyle w:val="48"/>
        <w:keepNext w:val="0"/>
        <w:keepLines w:val="0"/>
        <w:pageBreakBefore w:val="0"/>
        <w:widowControl w:val="0"/>
        <w:kinsoku/>
        <w:overflowPunct/>
        <w:topLinePunct/>
        <w:bidi w:val="0"/>
        <w:ind w:firstLine="480"/>
        <w:textAlignment w:val="auto"/>
        <w:rPr>
          <w:rFonts w:hint="eastAsia" w:eastAsia="宋体"/>
          <w:i w:val="0"/>
          <w:iCs w:val="0"/>
          <w:color w:val="000000" w:themeColor="text1"/>
          <w:highlight w:val="none"/>
          <w14:textFill>
            <w14:solidFill>
              <w14:schemeClr w14:val="tx1"/>
            </w14:solidFill>
          </w14:textFill>
        </w:rPr>
      </w:pPr>
      <w:r>
        <w:rPr>
          <w:rFonts w:hint="eastAsia" w:eastAsia="宋体"/>
          <w:i w:val="0"/>
          <w:iCs w:val="0"/>
          <w:color w:val="000000" w:themeColor="text1"/>
          <w:highlight w:val="none"/>
          <w:lang w:val="en-US" w:eastAsia="zh-CN"/>
          <w14:textFill>
            <w14:solidFill>
              <w14:schemeClr w14:val="tx1"/>
            </w14:solidFill>
          </w14:textFill>
        </w:rPr>
        <w:t>12.5</w:t>
      </w:r>
      <w:r>
        <w:rPr>
          <w:rFonts w:hint="eastAsia" w:eastAsia="宋体"/>
          <w:i w:val="0"/>
          <w:iCs w:val="0"/>
          <w:color w:val="000000" w:themeColor="text1"/>
          <w:highlight w:val="none"/>
          <w14:textFill>
            <w14:solidFill>
              <w14:schemeClr w14:val="tx1"/>
            </w14:solidFill>
          </w14:textFill>
        </w:rPr>
        <w:t>对于没有提出疑问又参与了本项目</w:t>
      </w:r>
      <w:r>
        <w:rPr>
          <w:rFonts w:hint="eastAsia" w:eastAsia="宋体"/>
          <w:i w:val="0"/>
          <w:iCs w:val="0"/>
          <w:color w:val="000000" w:themeColor="text1"/>
          <w:highlight w:val="none"/>
          <w:lang w:val="en-US" w:eastAsia="zh-CN"/>
          <w14:textFill>
            <w14:solidFill>
              <w14:schemeClr w14:val="tx1"/>
            </w14:solidFill>
          </w14:textFill>
        </w:rPr>
        <w:t>磋商</w:t>
      </w:r>
      <w:r>
        <w:rPr>
          <w:rFonts w:hint="eastAsia" w:eastAsia="宋体"/>
          <w:i w:val="0"/>
          <w:iCs w:val="0"/>
          <w:color w:val="000000" w:themeColor="text1"/>
          <w:highlight w:val="none"/>
          <w14:textFill>
            <w14:solidFill>
              <w14:schemeClr w14:val="tx1"/>
            </w14:solidFill>
          </w14:textFill>
        </w:rPr>
        <w:t>的供应商将被视为完全认同本竞争性</w:t>
      </w:r>
      <w:r>
        <w:rPr>
          <w:rFonts w:hint="eastAsia" w:eastAsia="宋体"/>
          <w:i w:val="0"/>
          <w:iCs w:val="0"/>
          <w:color w:val="000000" w:themeColor="text1"/>
          <w:highlight w:val="none"/>
          <w:lang w:val="en-US" w:eastAsia="zh-CN"/>
          <w14:textFill>
            <w14:solidFill>
              <w14:schemeClr w14:val="tx1"/>
            </w14:solidFill>
          </w14:textFill>
        </w:rPr>
        <w:t>磋商</w:t>
      </w:r>
      <w:r>
        <w:rPr>
          <w:rFonts w:hint="eastAsia" w:eastAsia="宋体"/>
          <w:i w:val="0"/>
          <w:iCs w:val="0"/>
          <w:color w:val="000000" w:themeColor="text1"/>
          <w:highlight w:val="none"/>
          <w14:textFill>
            <w14:solidFill>
              <w14:schemeClr w14:val="tx1"/>
            </w14:solidFill>
          </w14:textFill>
        </w:rPr>
        <w:t>文件（含更正公告的内容）。</w:t>
      </w:r>
    </w:p>
    <w:p w14:paraId="391788B6">
      <w:pPr>
        <w:pStyle w:val="48"/>
        <w:keepNext w:val="0"/>
        <w:keepLines w:val="0"/>
        <w:pageBreakBefore w:val="0"/>
        <w:widowControl w:val="0"/>
        <w:kinsoku/>
        <w:overflowPunct/>
        <w:topLinePunct/>
        <w:bidi w:val="0"/>
        <w:ind w:firstLine="480"/>
        <w:textAlignment w:val="auto"/>
        <w:rPr>
          <w:rFonts w:hint="eastAsia" w:eastAsia="宋体"/>
          <w:i w:val="0"/>
          <w:iCs w:val="0"/>
          <w:color w:val="000000" w:themeColor="text1"/>
          <w:highlight w:val="none"/>
          <w14:textFill>
            <w14:solidFill>
              <w14:schemeClr w14:val="tx1"/>
            </w14:solidFill>
          </w14:textFill>
        </w:rPr>
      </w:pPr>
      <w:r>
        <w:rPr>
          <w:rFonts w:hint="eastAsia" w:eastAsia="宋体"/>
          <w:i w:val="0"/>
          <w:iCs w:val="0"/>
          <w:color w:val="000000" w:themeColor="text1"/>
          <w:highlight w:val="none"/>
          <w14:textFill>
            <w14:solidFill>
              <w14:schemeClr w14:val="tx1"/>
            </w14:solidFill>
          </w14:textFill>
        </w:rPr>
        <w:t>1</w:t>
      </w:r>
      <w:r>
        <w:rPr>
          <w:rFonts w:hint="eastAsia" w:eastAsia="宋体"/>
          <w:i w:val="0"/>
          <w:iCs w:val="0"/>
          <w:color w:val="000000" w:themeColor="text1"/>
          <w:highlight w:val="none"/>
          <w:lang w:val="en-US" w:eastAsia="zh-CN"/>
          <w14:textFill>
            <w14:solidFill>
              <w14:schemeClr w14:val="tx1"/>
            </w14:solidFill>
          </w14:textFill>
        </w:rPr>
        <w:t>2</w:t>
      </w:r>
      <w:r>
        <w:rPr>
          <w:rFonts w:hint="eastAsia" w:eastAsia="宋体"/>
          <w:i w:val="0"/>
          <w:iCs w:val="0"/>
          <w:color w:val="000000" w:themeColor="text1"/>
          <w:highlight w:val="none"/>
          <w14:textFill>
            <w14:solidFill>
              <w14:schemeClr w14:val="tx1"/>
            </w14:solidFill>
          </w14:textFill>
        </w:rPr>
        <w:t>.</w:t>
      </w:r>
      <w:r>
        <w:rPr>
          <w:rFonts w:hint="eastAsia" w:eastAsia="宋体"/>
          <w:i w:val="0"/>
          <w:iCs w:val="0"/>
          <w:color w:val="000000" w:themeColor="text1"/>
          <w:highlight w:val="none"/>
          <w:lang w:val="en-US" w:eastAsia="zh-CN"/>
          <w14:textFill>
            <w14:solidFill>
              <w14:schemeClr w14:val="tx1"/>
            </w14:solidFill>
          </w14:textFill>
        </w:rPr>
        <w:t>6“</w:t>
      </w:r>
      <w:r>
        <w:rPr>
          <w:rFonts w:hint="eastAsia" w:eastAsia="宋体"/>
          <w:i w:val="0"/>
          <w:iCs w:val="0"/>
          <w:color w:val="000000" w:themeColor="text1"/>
          <w:highlight w:val="none"/>
          <w14:textFill>
            <w14:solidFill>
              <w14:schemeClr w14:val="tx1"/>
            </w14:solidFill>
          </w14:textFill>
        </w:rPr>
        <w:t>供应商须知”所称“书面形式”包括系统消息、政府采购</w:t>
      </w:r>
      <w:r>
        <w:rPr>
          <w:rFonts w:hint="eastAsia" w:eastAsia="宋体"/>
          <w:i w:val="0"/>
          <w:iCs w:val="0"/>
          <w:color w:val="000000" w:themeColor="text1"/>
          <w:highlight w:val="none"/>
          <w:lang w:val="en-US" w:eastAsia="zh-CN"/>
          <w14:textFill>
            <w14:solidFill>
              <w14:schemeClr w14:val="tx1"/>
            </w14:solidFill>
          </w14:textFill>
        </w:rPr>
        <w:t>云平台</w:t>
      </w:r>
      <w:r>
        <w:rPr>
          <w:rFonts w:hint="eastAsia" w:eastAsia="宋体"/>
          <w:i w:val="0"/>
          <w:iCs w:val="0"/>
          <w:color w:val="000000" w:themeColor="text1"/>
          <w:highlight w:val="none"/>
          <w14:textFill>
            <w14:solidFill>
              <w14:schemeClr w14:val="tx1"/>
            </w14:solidFill>
          </w14:textFill>
        </w:rPr>
        <w:t>发布的公告。</w:t>
      </w:r>
    </w:p>
    <w:p w14:paraId="03C33AE7">
      <w:pPr>
        <w:pStyle w:val="48"/>
        <w:keepNext w:val="0"/>
        <w:keepLines w:val="0"/>
        <w:pageBreakBefore w:val="0"/>
        <w:widowControl w:val="0"/>
        <w:kinsoku/>
        <w:overflowPunct/>
        <w:topLinePunct/>
        <w:bidi w:val="0"/>
        <w:ind w:firstLine="480"/>
        <w:textAlignment w:val="auto"/>
        <w:rPr>
          <w:rFonts w:hint="eastAsia" w:ascii="宋体" w:hAnsi="宋体" w:eastAsia="宋体" w:cs="宋体"/>
          <w:i w:val="0"/>
          <w:iCs w:val="0"/>
          <w:color w:val="000000" w:themeColor="text1"/>
          <w:kern w:val="2"/>
          <w:sz w:val="24"/>
          <w:szCs w:val="22"/>
          <w:highlight w:val="none"/>
          <w14:textFill>
            <w14:solidFill>
              <w14:schemeClr w14:val="tx1"/>
            </w14:solidFill>
          </w14:textFill>
        </w:rPr>
      </w:pPr>
      <w:r>
        <w:rPr>
          <w:rFonts w:hint="eastAsia" w:eastAsia="宋体"/>
          <w:i w:val="0"/>
          <w:iCs w:val="0"/>
          <w:color w:val="000000" w:themeColor="text1"/>
          <w:highlight w:val="none"/>
          <w:lang w:val="en-US" w:eastAsia="zh-CN"/>
          <w14:textFill>
            <w14:solidFill>
              <w14:schemeClr w14:val="tx1"/>
            </w14:solidFill>
          </w14:textFill>
        </w:rPr>
        <w:t>12.7</w:t>
      </w:r>
      <w:r>
        <w:rPr>
          <w:rFonts w:hint="eastAsia" w:eastAsia="宋体"/>
          <w:i w:val="0"/>
          <w:iCs w:val="0"/>
          <w:color w:val="000000" w:themeColor="text1"/>
          <w:highlight w:val="none"/>
          <w14:textFill>
            <w14:solidFill>
              <w14:schemeClr w14:val="tx1"/>
            </w14:solidFill>
          </w14:textFill>
        </w:rPr>
        <w:t>当竞争性</w:t>
      </w:r>
      <w:r>
        <w:rPr>
          <w:rFonts w:hint="eastAsia" w:eastAsia="宋体"/>
          <w:i w:val="0"/>
          <w:iCs w:val="0"/>
          <w:color w:val="000000" w:themeColor="text1"/>
          <w:highlight w:val="none"/>
          <w:lang w:val="en-US" w:eastAsia="zh-CN"/>
          <w14:textFill>
            <w14:solidFill>
              <w14:schemeClr w14:val="tx1"/>
            </w14:solidFill>
          </w14:textFill>
        </w:rPr>
        <w:t>磋商</w:t>
      </w:r>
      <w:r>
        <w:rPr>
          <w:rFonts w:hint="eastAsia" w:eastAsia="宋体"/>
          <w:i w:val="0"/>
          <w:iCs w:val="0"/>
          <w:color w:val="000000" w:themeColor="text1"/>
          <w:highlight w:val="none"/>
          <w14:textFill>
            <w14:solidFill>
              <w14:schemeClr w14:val="tx1"/>
            </w14:solidFill>
          </w14:textFill>
        </w:rPr>
        <w:t>文件的澄清、修改及其他答复等就同一内容的表述不一致时，以最后发布的内容为准。</w:t>
      </w:r>
    </w:p>
    <w:p w14:paraId="49A78363">
      <w:pPr>
        <w:pStyle w:val="4"/>
        <w:keepNext w:val="0"/>
        <w:keepLines w:val="0"/>
        <w:pageBreakBefore w:val="0"/>
        <w:widowControl w:val="0"/>
        <w:numPr>
          <w:ilvl w:val="0"/>
          <w:numId w:val="0"/>
        </w:numPr>
        <w:kinsoku/>
        <w:wordWrap/>
        <w:overflowPunct/>
        <w:topLinePunct/>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u w:val="single"/>
          <w:lang w:val="en-US" w:eastAsia="zh-CN" w:bidi="ar-SA"/>
          <w14:textFill>
            <w14:solidFill>
              <w14:schemeClr w14:val="tx1"/>
            </w14:solidFill>
          </w14:textFill>
        </w:rPr>
      </w:pPr>
      <w:bookmarkStart w:id="92" w:name="_Toc109900379"/>
      <w:bookmarkStart w:id="93" w:name="_Toc109899541"/>
      <w:bookmarkStart w:id="94" w:name="_Toc46771647"/>
      <w:bookmarkStart w:id="95" w:name="_Toc470172672"/>
      <w:bookmarkStart w:id="96" w:name="_Toc163493613"/>
      <w:bookmarkStart w:id="97" w:name="_Toc109899960"/>
      <w:bookmarkStart w:id="98" w:name="_Toc109897442"/>
      <w:r>
        <w:rPr>
          <w:rFonts w:hint="eastAsia" w:ascii="宋体" w:hAnsi="宋体" w:eastAsia="宋体" w:cs="宋体"/>
          <w:b/>
          <w:bCs/>
          <w:color w:val="000000" w:themeColor="text1"/>
          <w:kern w:val="2"/>
          <w:sz w:val="24"/>
          <w:szCs w:val="24"/>
          <w:highlight w:val="none"/>
          <w:u w:val="single"/>
          <w:lang w:val="en-US" w:eastAsia="zh-CN" w:bidi="ar-SA"/>
          <w14:textFill>
            <w14:solidFill>
              <w14:schemeClr w14:val="tx1"/>
            </w14:solidFill>
          </w14:textFill>
        </w:rPr>
        <w:t>（三）响应文件</w:t>
      </w:r>
      <w:bookmarkEnd w:id="92"/>
      <w:bookmarkEnd w:id="93"/>
      <w:bookmarkEnd w:id="94"/>
      <w:bookmarkEnd w:id="95"/>
      <w:bookmarkEnd w:id="96"/>
      <w:bookmarkEnd w:id="97"/>
      <w:bookmarkEnd w:id="98"/>
    </w:p>
    <w:p w14:paraId="5D245B6F">
      <w:pPr>
        <w:pStyle w:val="48"/>
        <w:keepNext w:val="0"/>
        <w:keepLines w:val="0"/>
        <w:pageBreakBefore w:val="0"/>
        <w:widowControl w:val="0"/>
        <w:kinsoku/>
        <w:overflowPunct/>
        <w:topLinePunct/>
        <w:bidi w:val="0"/>
        <w:ind w:firstLine="480"/>
        <w:textAlignment w:val="auto"/>
        <w:rPr>
          <w:rFonts w:hint="eastAsia" w:eastAsia="宋体"/>
          <w:i w:val="0"/>
          <w:iCs w:val="0"/>
          <w:color w:val="000000" w:themeColor="text1"/>
          <w:highlight w:val="none"/>
          <w:lang w:val="en-US" w:eastAsia="zh-CN"/>
          <w14:textFill>
            <w14:solidFill>
              <w14:schemeClr w14:val="tx1"/>
            </w14:solidFill>
          </w14:textFill>
        </w:rPr>
      </w:pPr>
      <w:bookmarkStart w:id="99" w:name="_Toc52960562"/>
      <w:bookmarkStart w:id="100" w:name="_Toc51674220"/>
      <w:bookmarkStart w:id="101" w:name="_Toc470172674"/>
      <w:bookmarkStart w:id="102" w:name="_Toc109899543"/>
      <w:bookmarkStart w:id="103" w:name="_Toc46772250"/>
      <w:bookmarkStart w:id="104" w:name="_Toc109899962"/>
      <w:bookmarkStart w:id="105" w:name="_Toc48688798"/>
      <w:bookmarkStart w:id="106" w:name="_Toc48846118"/>
      <w:bookmarkStart w:id="107" w:name="_Toc46771649"/>
      <w:bookmarkStart w:id="108" w:name="_Toc32272"/>
      <w:bookmarkStart w:id="109" w:name="_Toc52962736"/>
      <w:bookmarkStart w:id="110" w:name="_Toc109897444"/>
      <w:bookmarkStart w:id="111" w:name="_Toc109900381"/>
      <w:r>
        <w:rPr>
          <w:rFonts w:hint="eastAsia" w:eastAsia="宋体"/>
          <w:i w:val="0"/>
          <w:iCs w:val="0"/>
          <w:color w:val="000000" w:themeColor="text1"/>
          <w:highlight w:val="none"/>
          <w:lang w:val="en-US" w:eastAsia="zh-CN"/>
          <w14:textFill>
            <w14:solidFill>
              <w14:schemeClr w14:val="tx1"/>
            </w14:solidFill>
          </w14:textFill>
        </w:rPr>
        <w:t>13.响应文件的</w:t>
      </w:r>
      <w:bookmarkEnd w:id="99"/>
      <w:bookmarkEnd w:id="100"/>
      <w:bookmarkEnd w:id="101"/>
      <w:bookmarkEnd w:id="102"/>
      <w:bookmarkEnd w:id="103"/>
      <w:bookmarkEnd w:id="104"/>
      <w:bookmarkEnd w:id="105"/>
      <w:bookmarkEnd w:id="106"/>
      <w:bookmarkEnd w:id="107"/>
      <w:bookmarkEnd w:id="108"/>
      <w:bookmarkEnd w:id="109"/>
      <w:bookmarkEnd w:id="110"/>
      <w:bookmarkEnd w:id="111"/>
      <w:r>
        <w:rPr>
          <w:rFonts w:hint="eastAsia" w:eastAsia="宋体"/>
          <w:i w:val="0"/>
          <w:iCs w:val="0"/>
          <w:color w:val="000000" w:themeColor="text1"/>
          <w:highlight w:val="none"/>
          <w:lang w:val="en-US" w:eastAsia="zh-CN"/>
          <w14:textFill>
            <w14:solidFill>
              <w14:schemeClr w14:val="tx1"/>
            </w14:solidFill>
          </w14:textFill>
        </w:rPr>
        <w:t>组成</w:t>
      </w:r>
    </w:p>
    <w:p w14:paraId="0474227B">
      <w:pPr>
        <w:pStyle w:val="48"/>
        <w:keepNext w:val="0"/>
        <w:keepLines w:val="0"/>
        <w:pageBreakBefore w:val="0"/>
        <w:widowControl w:val="0"/>
        <w:kinsoku/>
        <w:overflowPunct/>
        <w:topLinePunct/>
        <w:bidi w:val="0"/>
        <w:ind w:firstLine="480"/>
        <w:textAlignment w:val="auto"/>
        <w:rPr>
          <w:rFonts w:hint="eastAsia" w:eastAsia="宋体"/>
          <w:i w:val="0"/>
          <w:iCs w:val="0"/>
          <w:color w:val="000000" w:themeColor="text1"/>
          <w:highlight w:val="none"/>
          <w:lang w:val="en-US" w:eastAsia="zh-CN"/>
          <w14:textFill>
            <w14:solidFill>
              <w14:schemeClr w14:val="tx1"/>
            </w14:solidFill>
          </w14:textFill>
        </w:rPr>
      </w:pPr>
      <w:r>
        <w:rPr>
          <w:rFonts w:hint="eastAsia" w:eastAsia="宋体"/>
          <w:i w:val="0"/>
          <w:iCs w:val="0"/>
          <w:color w:val="000000" w:themeColor="text1"/>
          <w:highlight w:val="none"/>
          <w:lang w:val="en-US" w:eastAsia="zh-CN"/>
          <w14:textFill>
            <w14:solidFill>
              <w14:schemeClr w14:val="tx1"/>
            </w14:solidFill>
          </w14:textFill>
        </w:rPr>
        <w:t>13.1供应商应完整地按竞争性</w:t>
      </w:r>
      <w:r>
        <w:rPr>
          <w:rFonts w:hint="eastAsia" w:eastAsia="宋体"/>
          <w:i w:val="0"/>
          <w:iCs w:val="0"/>
          <w:color w:val="000000" w:themeColor="text1"/>
          <w:highlight w:val="none"/>
          <w:lang w:val="zh-CN" w:eastAsia="zh-CN"/>
          <w14:textFill>
            <w14:solidFill>
              <w14:schemeClr w14:val="tx1"/>
            </w14:solidFill>
          </w14:textFill>
        </w:rPr>
        <w:t>磋商</w:t>
      </w:r>
      <w:r>
        <w:rPr>
          <w:rFonts w:hint="eastAsia" w:eastAsia="宋体"/>
          <w:i w:val="0"/>
          <w:iCs w:val="0"/>
          <w:color w:val="000000" w:themeColor="text1"/>
          <w:highlight w:val="none"/>
          <w:lang w:val="en-US" w:eastAsia="zh-CN"/>
          <w14:textFill>
            <w14:solidFill>
              <w14:schemeClr w14:val="tx1"/>
            </w14:solidFill>
          </w14:textFill>
        </w:rPr>
        <w:t>文件提供的响应文件格式及要求编写响应文件，具体内容详见“第六章响应文件的格式”的相关内容。</w:t>
      </w:r>
    </w:p>
    <w:p w14:paraId="4B856B39">
      <w:pPr>
        <w:pStyle w:val="48"/>
        <w:keepNext w:val="0"/>
        <w:keepLines w:val="0"/>
        <w:pageBreakBefore w:val="0"/>
        <w:widowControl w:val="0"/>
        <w:kinsoku/>
        <w:overflowPunct/>
        <w:topLinePunct/>
        <w:bidi w:val="0"/>
        <w:ind w:firstLine="480"/>
        <w:textAlignment w:val="auto"/>
        <w:rPr>
          <w:rFonts w:hint="eastAsia" w:eastAsia="宋体"/>
          <w:i w:val="0"/>
          <w:iCs w:val="0"/>
          <w:color w:val="000000" w:themeColor="text1"/>
          <w:highlight w:val="none"/>
          <w:lang w:val="en-US" w:eastAsia="zh-CN"/>
          <w14:textFill>
            <w14:solidFill>
              <w14:schemeClr w14:val="tx1"/>
            </w14:solidFill>
          </w14:textFill>
        </w:rPr>
      </w:pPr>
      <w:r>
        <w:rPr>
          <w:rFonts w:hint="eastAsia" w:eastAsia="宋体"/>
          <w:i w:val="0"/>
          <w:iCs w:val="0"/>
          <w:color w:val="000000" w:themeColor="text1"/>
          <w:highlight w:val="none"/>
          <w:lang w:val="en-US" w:eastAsia="zh-CN"/>
          <w14:textFill>
            <w14:solidFill>
              <w14:schemeClr w14:val="tx1"/>
            </w14:solidFill>
          </w14:textFill>
        </w:rPr>
        <w:t>13.2供应商应提交竞争性</w:t>
      </w:r>
      <w:r>
        <w:rPr>
          <w:rFonts w:hint="eastAsia" w:eastAsia="宋体"/>
          <w:i w:val="0"/>
          <w:iCs w:val="0"/>
          <w:color w:val="000000" w:themeColor="text1"/>
          <w:highlight w:val="none"/>
          <w:lang w:val="zh-CN" w:eastAsia="zh-CN"/>
          <w14:textFill>
            <w14:solidFill>
              <w14:schemeClr w14:val="tx1"/>
            </w14:solidFill>
          </w14:textFill>
        </w:rPr>
        <w:t>磋商</w:t>
      </w:r>
      <w:r>
        <w:rPr>
          <w:rFonts w:hint="eastAsia" w:eastAsia="宋体"/>
          <w:i w:val="0"/>
          <w:iCs w:val="0"/>
          <w:color w:val="000000" w:themeColor="text1"/>
          <w:highlight w:val="none"/>
          <w:lang w:val="en-US" w:eastAsia="zh-CN"/>
          <w14:textFill>
            <w14:solidFill>
              <w14:schemeClr w14:val="tx1"/>
            </w14:solidFill>
          </w14:textFill>
        </w:rPr>
        <w:t>文件要求的证明文件，证明其响应内容符合竞争性</w:t>
      </w:r>
      <w:r>
        <w:rPr>
          <w:rFonts w:hint="eastAsia" w:eastAsia="宋体"/>
          <w:i w:val="0"/>
          <w:iCs w:val="0"/>
          <w:color w:val="000000" w:themeColor="text1"/>
          <w:highlight w:val="none"/>
          <w:lang w:val="zh-CN" w:eastAsia="zh-CN"/>
          <w14:textFill>
            <w14:solidFill>
              <w14:schemeClr w14:val="tx1"/>
            </w14:solidFill>
          </w14:textFill>
        </w:rPr>
        <w:t>磋商</w:t>
      </w:r>
      <w:r>
        <w:rPr>
          <w:rFonts w:hint="eastAsia" w:eastAsia="宋体"/>
          <w:i w:val="0"/>
          <w:iCs w:val="0"/>
          <w:color w:val="000000" w:themeColor="text1"/>
          <w:highlight w:val="none"/>
          <w:lang w:val="en-US" w:eastAsia="zh-CN"/>
          <w14:textFill>
            <w14:solidFill>
              <w14:schemeClr w14:val="tx1"/>
            </w14:solidFill>
          </w14:textFill>
        </w:rPr>
        <w:t>文件规定，该证明文件是响应文件的一部分。证明文件形式可以是文字资料、图纸和数据</w:t>
      </w:r>
      <w:bookmarkStart w:id="112" w:name="_Hlk11703583"/>
      <w:r>
        <w:rPr>
          <w:rFonts w:hint="eastAsia" w:eastAsia="宋体"/>
          <w:i w:val="0"/>
          <w:iCs w:val="0"/>
          <w:color w:val="000000" w:themeColor="text1"/>
          <w:highlight w:val="none"/>
          <w:lang w:val="en-US" w:eastAsia="zh-CN"/>
          <w14:textFill>
            <w14:solidFill>
              <w14:schemeClr w14:val="tx1"/>
            </w14:solidFill>
          </w14:textFill>
        </w:rPr>
        <w:t>等。</w:t>
      </w:r>
    </w:p>
    <w:bookmarkEnd w:id="112"/>
    <w:p w14:paraId="49559DCF">
      <w:pPr>
        <w:pStyle w:val="48"/>
        <w:keepNext w:val="0"/>
        <w:keepLines w:val="0"/>
        <w:pageBreakBefore w:val="0"/>
        <w:widowControl w:val="0"/>
        <w:kinsoku/>
        <w:overflowPunct/>
        <w:topLinePunct/>
        <w:bidi w:val="0"/>
        <w:ind w:firstLine="480"/>
        <w:textAlignment w:val="auto"/>
        <w:rPr>
          <w:rFonts w:hint="eastAsia" w:eastAsia="宋体"/>
          <w:i w:val="0"/>
          <w:iCs w:val="0"/>
          <w:color w:val="000000" w:themeColor="text1"/>
          <w:highlight w:val="none"/>
          <w:lang w:val="en-US" w:eastAsia="zh-CN"/>
          <w14:textFill>
            <w14:solidFill>
              <w14:schemeClr w14:val="tx1"/>
            </w14:solidFill>
          </w14:textFill>
        </w:rPr>
      </w:pPr>
      <w:r>
        <w:rPr>
          <w:rFonts w:hint="eastAsia" w:eastAsia="宋体"/>
          <w:i w:val="0"/>
          <w:iCs w:val="0"/>
          <w:color w:val="000000" w:themeColor="text1"/>
          <w:highlight w:val="none"/>
          <w:lang w:val="en-US" w:eastAsia="zh-CN"/>
          <w14:textFill>
            <w14:solidFill>
              <w14:schemeClr w14:val="tx1"/>
            </w14:solidFill>
          </w14:textFill>
        </w:rPr>
        <w:t>13.3为保证公平公正，除非本磋商文件另有规定或说明，供应商对同一项目响应时，不得同时提供备选响应方案。</w:t>
      </w:r>
    </w:p>
    <w:p w14:paraId="40DBEB78">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113" w:name="_Toc46772252"/>
      <w:bookmarkStart w:id="114" w:name="_Toc51674222"/>
      <w:bookmarkStart w:id="115" w:name="_Toc46771651"/>
      <w:bookmarkStart w:id="116" w:name="_Toc52960564"/>
      <w:bookmarkStart w:id="117" w:name="_Toc109899964"/>
      <w:bookmarkStart w:id="118" w:name="_Toc109899545"/>
      <w:bookmarkStart w:id="119" w:name="_Toc109900383"/>
      <w:bookmarkStart w:id="120" w:name="_Toc48688800"/>
      <w:bookmarkStart w:id="121" w:name="_Toc109897446"/>
      <w:bookmarkStart w:id="122" w:name="_Toc24544"/>
      <w:bookmarkStart w:id="123" w:name="_Toc470172676"/>
      <w:bookmarkStart w:id="124" w:name="_Toc52962738"/>
      <w:bookmarkStart w:id="125" w:name="_Toc48846120"/>
      <w:bookmarkStart w:id="126" w:name="_Toc109899544"/>
      <w:bookmarkStart w:id="127" w:name="_Toc48846119"/>
      <w:bookmarkStart w:id="128" w:name="_Toc52962737"/>
      <w:bookmarkStart w:id="129" w:name="_Toc46772251"/>
      <w:bookmarkStart w:id="130" w:name="_Toc109899963"/>
      <w:bookmarkStart w:id="131" w:name="_Toc48688799"/>
      <w:bookmarkStart w:id="132" w:name="_Toc470172675"/>
      <w:bookmarkStart w:id="133" w:name="_Toc51674221"/>
      <w:bookmarkStart w:id="134" w:name="_Toc109900382"/>
      <w:bookmarkStart w:id="135" w:name="_Toc25217"/>
      <w:bookmarkStart w:id="136" w:name="_Toc46771650"/>
      <w:bookmarkStart w:id="137" w:name="_Toc109897445"/>
      <w:bookmarkStart w:id="138" w:name="_Toc52960563"/>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14.磋商报价</w:t>
      </w:r>
      <w:bookmarkEnd w:id="113"/>
      <w:bookmarkEnd w:id="114"/>
      <w:bookmarkEnd w:id="115"/>
      <w:bookmarkEnd w:id="116"/>
      <w:bookmarkEnd w:id="117"/>
      <w:bookmarkEnd w:id="118"/>
      <w:bookmarkEnd w:id="119"/>
      <w:bookmarkEnd w:id="120"/>
      <w:bookmarkEnd w:id="121"/>
      <w:bookmarkEnd w:id="122"/>
      <w:bookmarkEnd w:id="123"/>
      <w:bookmarkEnd w:id="124"/>
      <w:bookmarkEnd w:id="125"/>
    </w:p>
    <w:p w14:paraId="40E13784">
      <w:pPr>
        <w:pStyle w:val="48"/>
        <w:keepNext w:val="0"/>
        <w:keepLines w:val="0"/>
        <w:pageBreakBefore w:val="0"/>
        <w:widowControl w:val="0"/>
        <w:kinsoku/>
        <w:overflowPunct/>
        <w:topLinePunct/>
        <w:bidi w:val="0"/>
        <w:ind w:firstLine="480"/>
        <w:textAlignment w:val="auto"/>
        <w:rPr>
          <w:i w:val="0"/>
          <w:iCs w:val="0"/>
          <w:snapToGrid w:val="0"/>
          <w:color w:val="000000" w:themeColor="text1"/>
          <w:highlight w:val="none"/>
          <w:lang w:val="zh-CN"/>
          <w14:textFill>
            <w14:solidFill>
              <w14:schemeClr w14:val="tx1"/>
            </w14:solidFill>
          </w14:textFill>
        </w:rPr>
      </w:pPr>
      <w:r>
        <w:rPr>
          <w:i w:val="0"/>
          <w:iCs w:val="0"/>
          <w:snapToGrid w:val="0"/>
          <w:color w:val="000000" w:themeColor="text1"/>
          <w:highlight w:val="none"/>
          <w:lang w:val="zh-CN"/>
          <w14:textFill>
            <w14:solidFill>
              <w14:schemeClr w14:val="tx1"/>
            </w14:solidFill>
          </w14:textFill>
        </w:rPr>
        <w:t>1</w:t>
      </w:r>
      <w:r>
        <w:rPr>
          <w:rFonts w:hint="eastAsia"/>
          <w:i w:val="0"/>
          <w:iCs w:val="0"/>
          <w:snapToGrid w:val="0"/>
          <w:color w:val="000000" w:themeColor="text1"/>
          <w:highlight w:val="none"/>
          <w:lang w:val="en-US" w:eastAsia="zh-CN"/>
          <w14:textFill>
            <w14:solidFill>
              <w14:schemeClr w14:val="tx1"/>
            </w14:solidFill>
          </w14:textFill>
        </w:rPr>
        <w:t>4</w:t>
      </w:r>
      <w:r>
        <w:rPr>
          <w:rFonts w:hint="eastAsia"/>
          <w:i w:val="0"/>
          <w:iCs w:val="0"/>
          <w:snapToGrid w:val="0"/>
          <w:color w:val="000000" w:themeColor="text1"/>
          <w:highlight w:val="none"/>
          <w:lang w:val="zh-CN"/>
          <w14:textFill>
            <w14:solidFill>
              <w14:schemeClr w14:val="tx1"/>
            </w14:solidFill>
          </w14:textFill>
        </w:rPr>
        <w:t>.1磋商供应商的报价均应以人民币报价。磋商报价包括磋商供应商在首次提交的响应文件中的报价、磋商过程中的报价和最后报价，</w:t>
      </w:r>
      <w:r>
        <w:rPr>
          <w:rFonts w:hint="eastAsia"/>
          <w:i w:val="0"/>
          <w:iCs w:val="0"/>
          <w:snapToGrid w:val="0"/>
          <w:color w:val="000000" w:themeColor="text1"/>
          <w:highlight w:val="none"/>
          <w:lang w:val="en-US" w:eastAsia="zh-CN"/>
          <w14:textFill>
            <w14:solidFill>
              <w14:schemeClr w14:val="tx1"/>
            </w14:solidFill>
          </w14:textFill>
        </w:rPr>
        <w:t>且均</w:t>
      </w:r>
      <w:r>
        <w:rPr>
          <w:rFonts w:hint="eastAsia"/>
          <w:i w:val="0"/>
          <w:iCs w:val="0"/>
          <w:snapToGrid w:val="0"/>
          <w:color w:val="000000" w:themeColor="text1"/>
          <w:highlight w:val="none"/>
          <w:lang w:val="zh-CN"/>
          <w14:textFill>
            <w14:solidFill>
              <w14:schemeClr w14:val="tx1"/>
            </w14:solidFill>
          </w14:textFill>
        </w:rPr>
        <w:t>不得超过</w:t>
      </w:r>
      <w:bookmarkStart w:id="139" w:name="_Hlk161703672"/>
      <w:r>
        <w:rPr>
          <w:rFonts w:hint="eastAsia"/>
          <w:i w:val="0"/>
          <w:iCs w:val="0"/>
          <w:snapToGrid w:val="0"/>
          <w:color w:val="000000" w:themeColor="text1"/>
          <w:highlight w:val="none"/>
          <w:lang w:val="zh-CN"/>
          <w14:textFill>
            <w14:solidFill>
              <w14:schemeClr w14:val="tx1"/>
            </w14:solidFill>
          </w14:textFill>
        </w:rPr>
        <w:t>“</w:t>
      </w:r>
      <w:r>
        <w:rPr>
          <w:rFonts w:hint="eastAsia"/>
          <w:i w:val="0"/>
          <w:iCs w:val="0"/>
          <w:snapToGrid w:val="0"/>
          <w:color w:val="000000" w:themeColor="text1"/>
          <w:highlight w:val="none"/>
          <w:lang w:val="en-US" w:eastAsia="zh-CN"/>
          <w14:textFill>
            <w14:solidFill>
              <w14:schemeClr w14:val="tx1"/>
            </w14:solidFill>
          </w14:textFill>
        </w:rPr>
        <w:t>第二章供应商须知前附表</w:t>
      </w:r>
      <w:r>
        <w:rPr>
          <w:rFonts w:hint="eastAsia"/>
          <w:i w:val="0"/>
          <w:iCs w:val="0"/>
          <w:snapToGrid w:val="0"/>
          <w:color w:val="000000" w:themeColor="text1"/>
          <w:highlight w:val="none"/>
          <w:lang w:val="zh-CN"/>
          <w14:textFill>
            <w14:solidFill>
              <w14:schemeClr w14:val="tx1"/>
            </w14:solidFill>
          </w14:textFill>
        </w:rPr>
        <w:t>”中规定</w:t>
      </w:r>
      <w:bookmarkEnd w:id="139"/>
      <w:r>
        <w:rPr>
          <w:rFonts w:hint="eastAsia"/>
          <w:i w:val="0"/>
          <w:iCs w:val="0"/>
          <w:snapToGrid w:val="0"/>
          <w:color w:val="000000" w:themeColor="text1"/>
          <w:highlight w:val="none"/>
          <w:lang w:val="zh-CN"/>
          <w14:textFill>
            <w14:solidFill>
              <w14:schemeClr w14:val="tx1"/>
            </w14:solidFill>
          </w14:textFill>
        </w:rPr>
        <w:t>的</w:t>
      </w:r>
      <w:r>
        <w:rPr>
          <w:rFonts w:hint="eastAsia"/>
          <w:i w:val="0"/>
          <w:iCs w:val="0"/>
          <w:snapToGrid w:val="0"/>
          <w:color w:val="000000" w:themeColor="text1"/>
          <w:highlight w:val="none"/>
          <w:lang w:val="zh-CN" w:eastAsia="zh-CN"/>
          <w14:textFill>
            <w14:solidFill>
              <w14:schemeClr w14:val="tx1"/>
            </w14:solidFill>
          </w14:textFill>
        </w:rPr>
        <w:t>最高限价或者预算金额</w:t>
      </w:r>
      <w:r>
        <w:rPr>
          <w:rFonts w:hint="eastAsia"/>
          <w:i w:val="0"/>
          <w:iCs w:val="0"/>
          <w:snapToGrid w:val="0"/>
          <w:color w:val="000000" w:themeColor="text1"/>
          <w:highlight w:val="none"/>
          <w:lang w:val="zh-CN"/>
          <w14:textFill>
            <w14:solidFill>
              <w14:schemeClr w14:val="tx1"/>
            </w14:solidFill>
          </w14:textFill>
        </w:rPr>
        <w:t>，否则其响应文件将被视为</w:t>
      </w:r>
      <w:r>
        <w:rPr>
          <w:rFonts w:hint="eastAsia"/>
          <w:b/>
          <w:bCs/>
          <w:i w:val="0"/>
          <w:iCs w:val="0"/>
          <w:snapToGrid w:val="0"/>
          <w:color w:val="000000" w:themeColor="text1"/>
          <w:highlight w:val="none"/>
          <w:lang w:val="zh-CN"/>
          <w14:textFill>
            <w14:solidFill>
              <w14:schemeClr w14:val="tx1"/>
            </w14:solidFill>
          </w14:textFill>
        </w:rPr>
        <w:t>无效文件</w:t>
      </w:r>
      <w:r>
        <w:rPr>
          <w:rFonts w:hint="eastAsia"/>
          <w:i w:val="0"/>
          <w:iCs w:val="0"/>
          <w:snapToGrid w:val="0"/>
          <w:color w:val="000000" w:themeColor="text1"/>
          <w:highlight w:val="none"/>
          <w:lang w:val="zh-CN"/>
          <w14:textFill>
            <w14:solidFill>
              <w14:schemeClr w14:val="tx1"/>
            </w14:solidFill>
          </w14:textFill>
        </w:rPr>
        <w:t>。</w:t>
      </w:r>
    </w:p>
    <w:p w14:paraId="2CB473F6">
      <w:pPr>
        <w:pStyle w:val="48"/>
        <w:keepNext w:val="0"/>
        <w:keepLines w:val="0"/>
        <w:pageBreakBefore w:val="0"/>
        <w:widowControl w:val="0"/>
        <w:kinsoku/>
        <w:overflowPunct/>
        <w:topLinePunct/>
        <w:bidi w:val="0"/>
        <w:ind w:firstLine="480"/>
        <w:textAlignment w:val="auto"/>
        <w:rPr>
          <w:rFonts w:hint="eastAsia"/>
          <w:i w:val="0"/>
          <w:iCs w:val="0"/>
          <w:snapToGrid w:val="0"/>
          <w:color w:val="000000" w:themeColor="text1"/>
          <w:highlight w:val="none"/>
          <w:lang w:val="zh-CN"/>
          <w14:textFill>
            <w14:solidFill>
              <w14:schemeClr w14:val="tx1"/>
            </w14:solidFill>
          </w14:textFill>
        </w:rPr>
      </w:pPr>
      <w:r>
        <w:rPr>
          <w:i w:val="0"/>
          <w:iCs w:val="0"/>
          <w:snapToGrid w:val="0"/>
          <w:color w:val="000000" w:themeColor="text1"/>
          <w:highlight w:val="none"/>
          <w:lang w:val="zh-CN"/>
          <w14:textFill>
            <w14:solidFill>
              <w14:schemeClr w14:val="tx1"/>
            </w14:solidFill>
          </w14:textFill>
        </w:rPr>
        <w:t>1</w:t>
      </w:r>
      <w:r>
        <w:rPr>
          <w:rFonts w:hint="eastAsia"/>
          <w:i w:val="0"/>
          <w:iCs w:val="0"/>
          <w:snapToGrid w:val="0"/>
          <w:color w:val="000000" w:themeColor="text1"/>
          <w:highlight w:val="none"/>
          <w:lang w:val="en-US" w:eastAsia="zh-CN"/>
          <w14:textFill>
            <w14:solidFill>
              <w14:schemeClr w14:val="tx1"/>
            </w14:solidFill>
          </w14:textFill>
        </w:rPr>
        <w:t>4</w:t>
      </w:r>
      <w:r>
        <w:rPr>
          <w:rFonts w:hint="eastAsia"/>
          <w:i w:val="0"/>
          <w:iCs w:val="0"/>
          <w:snapToGrid w:val="0"/>
          <w:color w:val="000000" w:themeColor="text1"/>
          <w:highlight w:val="none"/>
          <w:lang w:val="zh-CN"/>
          <w14:textFill>
            <w14:solidFill>
              <w14:schemeClr w14:val="tx1"/>
            </w14:solidFill>
          </w14:textFill>
        </w:rPr>
        <w:t>.2供应商应按照本磋商文件规定的采购需求及合同条款进行报价，并按磋商文件确定的格式报出。</w:t>
      </w:r>
    </w:p>
    <w:p w14:paraId="302D2326">
      <w:pPr>
        <w:keepNext w:val="0"/>
        <w:keepLines w:val="0"/>
        <w:pageBreakBefore w:val="0"/>
        <w:widowControl w:val="0"/>
        <w:kinsoku/>
        <w:overflowPunct/>
        <w:topLinePunct/>
        <w:autoSpaceDE/>
        <w:autoSpaceDN/>
        <w:bidi w:val="0"/>
        <w:adjustRightInd/>
        <w:ind w:firstLine="420" w:firstLineChars="200"/>
        <w:textAlignment w:val="auto"/>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供应商</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的报价应包括为完成本项目所发生的一切费用和税费，采购人将不再支付报价以外的任何费用。</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只要投报了一个确定数额的总价，无论分项价格是否全部填报了相应的金额或免费字样，</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该报价应被视为已包含但不限于</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各</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分</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项</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工程费用及</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购买货物及其运送、安装、调试、验收、保险和相关服务等的费用和所需缴纳的所有价格、税、费。在其他情况下，由于</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已标价工程量清单</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填报不完整、不清楚或存在其他任何失误，所导致的任何不利后果均应当由供应商自行承担。</w:t>
      </w:r>
    </w:p>
    <w:p w14:paraId="3C260330">
      <w:pPr>
        <w:pStyle w:val="6"/>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供应商</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的报价应包括但不限于下列内容：</w:t>
      </w:r>
    </w:p>
    <w:p w14:paraId="5B221F4B">
      <w:pPr>
        <w:pStyle w:val="6"/>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14.2.1磋商工程费用及相关货物（含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A346DFD">
      <w:pPr>
        <w:pStyle w:val="48"/>
        <w:keepNext w:val="0"/>
        <w:keepLines w:val="0"/>
        <w:pageBreakBefore w:val="0"/>
        <w:widowControl w:val="0"/>
        <w:kinsoku/>
        <w:overflowPunct/>
        <w:topLinePunct/>
        <w:bidi w:val="0"/>
        <w:ind w:firstLine="480"/>
        <w:textAlignment w:val="auto"/>
        <w:rPr>
          <w:rFonts w:hint="eastAsia" w:ascii="宋体" w:hAnsi="宋体" w:eastAsia="宋体" w:cs="宋体"/>
          <w:i w:val="0"/>
          <w:iCs w:val="0"/>
          <w:snapToGrid w:val="0"/>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14.2.2按照磋商文件要求完成本项目的全部相关费用。</w:t>
      </w:r>
    </w:p>
    <w:p w14:paraId="6113D8C0">
      <w:pPr>
        <w:pStyle w:val="48"/>
        <w:keepNext w:val="0"/>
        <w:keepLines w:val="0"/>
        <w:pageBreakBefore w:val="0"/>
        <w:widowControl w:val="0"/>
        <w:kinsoku/>
        <w:overflowPunct/>
        <w:topLinePunct/>
        <w:bidi w:val="0"/>
        <w:ind w:firstLine="480"/>
        <w:textAlignment w:val="auto"/>
        <w:rPr>
          <w:rFonts w:hint="eastAsia" w:ascii="宋体" w:hAnsi="宋体" w:eastAsia="宋体" w:cs="宋体"/>
          <w:i w:val="0"/>
          <w:iCs w:val="0"/>
          <w:snapToGrid w:val="0"/>
          <w:color w:val="000000" w:themeColor="text1"/>
          <w:sz w:val="21"/>
          <w:szCs w:val="21"/>
          <w:highlight w:val="none"/>
          <w:lang w:val="zh-CN"/>
          <w14:textFill>
            <w14:solidFill>
              <w14:schemeClr w14:val="tx1"/>
            </w14:solidFill>
          </w14:textFill>
        </w:rPr>
      </w:pPr>
      <w:r>
        <w:rPr>
          <w:rFonts w:hint="eastAsia" w:ascii="宋体" w:hAnsi="宋体" w:eastAsia="宋体" w:cs="宋体"/>
          <w:i w:val="0"/>
          <w:iCs w:val="0"/>
          <w:snapToGrid w:val="0"/>
          <w:color w:val="000000" w:themeColor="text1"/>
          <w:sz w:val="21"/>
          <w:szCs w:val="21"/>
          <w:highlight w:val="none"/>
          <w:lang w:val="zh-CN"/>
          <w14:textFill>
            <w14:solidFill>
              <w14:schemeClr w14:val="tx1"/>
            </w14:solidFill>
          </w14:textFill>
        </w:rPr>
        <w:t>1</w:t>
      </w:r>
      <w:r>
        <w:rPr>
          <w:rFonts w:hint="eastAsia" w:ascii="宋体" w:hAnsi="宋体" w:eastAsia="宋体" w:cs="宋体"/>
          <w:i w:val="0"/>
          <w:iCs w:val="0"/>
          <w:snapToGrid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i w:val="0"/>
          <w:iCs w:val="0"/>
          <w:snapToGrid w:val="0"/>
          <w:color w:val="000000" w:themeColor="text1"/>
          <w:sz w:val="21"/>
          <w:szCs w:val="21"/>
          <w:highlight w:val="none"/>
          <w:lang w:val="zh-CN"/>
          <w14:textFill>
            <w14:solidFill>
              <w14:schemeClr w14:val="tx1"/>
            </w14:solidFill>
          </w14:textFill>
        </w:rPr>
        <w:t>.3</w:t>
      </w:r>
      <w:r>
        <w:rPr>
          <w:rFonts w:hint="eastAsia" w:ascii="宋体" w:hAnsi="宋体" w:eastAsia="宋体" w:cs="宋体"/>
          <w:i w:val="0"/>
          <w:iCs w:val="0"/>
          <w:snapToGrid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i w:val="0"/>
          <w:iCs w:val="0"/>
          <w:snapToGrid w:val="0"/>
          <w:color w:val="000000" w:themeColor="text1"/>
          <w:sz w:val="21"/>
          <w:szCs w:val="21"/>
          <w:highlight w:val="none"/>
          <w:lang w:val="zh-CN"/>
          <w14:textFill>
            <w14:solidFill>
              <w14:schemeClr w14:val="tx1"/>
            </w14:solidFill>
          </w14:textFill>
        </w:rPr>
        <w:t>须严格按照</w:t>
      </w:r>
      <w:r>
        <w:rPr>
          <w:rFonts w:hint="eastAsia" w:ascii="宋体" w:hAnsi="宋体" w:eastAsia="宋体" w:cs="宋体"/>
          <w:i w:val="0"/>
          <w:iCs w:val="0"/>
          <w:snapToGrid w:val="0"/>
          <w:color w:val="000000" w:themeColor="text1"/>
          <w:sz w:val="21"/>
          <w:szCs w:val="21"/>
          <w:highlight w:val="none"/>
          <w:lang w:val="en-US" w:eastAsia="zh-CN"/>
          <w14:textFill>
            <w14:solidFill>
              <w14:schemeClr w14:val="tx1"/>
            </w14:solidFill>
          </w14:textFill>
        </w:rPr>
        <w:t>工程量清单</w:t>
      </w:r>
      <w:r>
        <w:rPr>
          <w:rFonts w:hint="eastAsia" w:ascii="宋体" w:hAnsi="宋体" w:eastAsia="宋体" w:cs="宋体"/>
          <w:i w:val="0"/>
          <w:iCs w:val="0"/>
          <w:snapToGrid w:val="0"/>
          <w:color w:val="000000" w:themeColor="text1"/>
          <w:sz w:val="21"/>
          <w:szCs w:val="21"/>
          <w:highlight w:val="none"/>
          <w:lang w:val="zh-CN"/>
          <w14:textFill>
            <w14:solidFill>
              <w14:schemeClr w14:val="tx1"/>
            </w14:solidFill>
          </w14:textFill>
        </w:rPr>
        <w:t>规定的内容填写单价、</w:t>
      </w:r>
      <w:r>
        <w:rPr>
          <w:rFonts w:hint="eastAsia" w:ascii="宋体" w:hAnsi="宋体" w:eastAsia="宋体" w:cs="宋体"/>
          <w:i w:val="0"/>
          <w:iCs w:val="0"/>
          <w:snapToGrid w:val="0"/>
          <w:color w:val="000000" w:themeColor="text1"/>
          <w:sz w:val="21"/>
          <w:szCs w:val="21"/>
          <w:highlight w:val="none"/>
          <w:lang w:val="en-US" w:eastAsia="zh-CN"/>
          <w14:textFill>
            <w14:solidFill>
              <w14:schemeClr w14:val="tx1"/>
            </w14:solidFill>
          </w14:textFill>
        </w:rPr>
        <w:t>合价</w:t>
      </w:r>
      <w:r>
        <w:rPr>
          <w:rFonts w:hint="eastAsia" w:ascii="宋体" w:hAnsi="宋体" w:eastAsia="宋体" w:cs="宋体"/>
          <w:i w:val="0"/>
          <w:iCs w:val="0"/>
          <w:snapToGrid w:val="0"/>
          <w:color w:val="000000" w:themeColor="text1"/>
          <w:sz w:val="21"/>
          <w:szCs w:val="21"/>
          <w:highlight w:val="none"/>
          <w:lang w:val="zh-CN"/>
          <w14:textFill>
            <w14:solidFill>
              <w14:schemeClr w14:val="tx1"/>
            </w14:solidFill>
          </w14:textFill>
        </w:rPr>
        <w:t>以及其他事项。供应商应根据本磋商文件的规定和要求、市场价格水平及其走势、磋商供应商的管理水平、磋商供应商的方案和由这些因素决定的磋商供应商之于本项目的成本水平等提出自己的报价。报价应合理，并包含完成本磋商文件采购需求全部内容的所有费用，所有根据本磋商文件或其它原因应由磋商供应商支付的税款和其他应交纳的费用都应包括在报价中。</w:t>
      </w:r>
    </w:p>
    <w:p w14:paraId="1FA5A5D0">
      <w:pPr>
        <w:keepNext w:val="0"/>
        <w:keepLines w:val="0"/>
        <w:pageBreakBefore w:val="0"/>
        <w:widowControl w:val="0"/>
        <w:kinsoku/>
        <w:overflowPunct/>
        <w:topLinePunct/>
        <w:autoSpaceDE/>
        <w:autoSpaceDN/>
        <w:bidi w:val="0"/>
        <w:adjustRightInd/>
        <w:ind w:firstLine="420" w:firstLineChars="200"/>
        <w:textAlignment w:val="auto"/>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1</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.4供应商在响应文件中注明免费的项目将视为包含在报价中。</w:t>
      </w:r>
    </w:p>
    <w:p w14:paraId="20108707">
      <w:pPr>
        <w:keepNext w:val="0"/>
        <w:keepLines w:val="0"/>
        <w:pageBreakBefore w:val="0"/>
        <w:widowControl w:val="0"/>
        <w:kinsoku/>
        <w:overflowPunct/>
        <w:topLinePunct/>
        <w:autoSpaceDE/>
        <w:autoSpaceDN/>
        <w:bidi w:val="0"/>
        <w:adjustRightInd/>
        <w:ind w:firstLine="420" w:firstLineChars="200"/>
        <w:textAlignment w:val="auto"/>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1</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.5每一种采购内容只允许有一个报价，否则其响应文件将被视为</w:t>
      </w:r>
      <w:r>
        <w:rPr>
          <w:rFonts w:hint="eastAsia" w:ascii="宋体" w:hAnsi="宋体" w:eastAsia="宋体" w:cs="宋体"/>
          <w:b/>
          <w:bCs/>
          <w:i w:val="0"/>
          <w:iCs w:val="0"/>
          <w:color w:val="000000" w:themeColor="text1"/>
          <w:kern w:val="2"/>
          <w:sz w:val="21"/>
          <w:szCs w:val="21"/>
          <w:highlight w:val="none"/>
          <w:lang w:val="zh-CN" w:eastAsia="zh-CN" w:bidi="ar-SA"/>
          <w14:textFill>
            <w14:solidFill>
              <w14:schemeClr w14:val="tx1"/>
            </w14:solidFill>
          </w14:textFill>
        </w:rPr>
        <w:t>无效文件</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除非磋商文件另有规定，不接受可选择或可调整的磋商方案和报价，任何有选择的或可调整的磋商方案和报价将被视为非响应性磋商而</w:t>
      </w:r>
      <w:r>
        <w:rPr>
          <w:rFonts w:hint="eastAsia" w:ascii="宋体" w:hAnsi="宋体" w:eastAsia="宋体" w:cs="宋体"/>
          <w:b/>
          <w:bCs/>
          <w:i w:val="0"/>
          <w:iCs w:val="0"/>
          <w:color w:val="000000" w:themeColor="text1"/>
          <w:kern w:val="2"/>
          <w:sz w:val="21"/>
          <w:szCs w:val="21"/>
          <w:highlight w:val="none"/>
          <w:lang w:val="en-US" w:eastAsia="zh-CN" w:bidi="ar-SA"/>
          <w14:textFill>
            <w14:solidFill>
              <w14:schemeClr w14:val="tx1"/>
            </w14:solidFill>
          </w14:textFill>
        </w:rPr>
        <w:t>被拒绝</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w:t>
      </w:r>
    </w:p>
    <w:p w14:paraId="7FF49C6B">
      <w:pPr>
        <w:keepNext w:val="0"/>
        <w:keepLines w:val="0"/>
        <w:pageBreakBefore w:val="0"/>
        <w:widowControl w:val="0"/>
        <w:kinsoku/>
        <w:overflowPunct/>
        <w:topLinePunct/>
        <w:autoSpaceDE/>
        <w:autoSpaceDN/>
        <w:bidi w:val="0"/>
        <w:adjustRightInd/>
        <w:ind w:firstLine="420" w:firstLineChars="200"/>
        <w:textAlignment w:val="auto"/>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14.6</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供应商</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对磋商报价若有说明应在响应文件中显著处注明。</w:t>
      </w:r>
    </w:p>
    <w:p w14:paraId="5E2CC525">
      <w:pPr>
        <w:keepNext w:val="0"/>
        <w:keepLines w:val="0"/>
        <w:pageBreakBefore w:val="0"/>
        <w:widowControl w:val="0"/>
        <w:kinsoku/>
        <w:overflowPunct/>
        <w:topLinePunct/>
        <w:autoSpaceDE/>
        <w:autoSpaceDN/>
        <w:bidi w:val="0"/>
        <w:adjustRightInd/>
        <w:ind w:firstLine="420" w:firstLineChars="200"/>
        <w:textAlignment w:val="auto"/>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除政策性文件规定以外，</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供应商</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所报价格在合同实施期间不因市场变化因素而变动。</w:t>
      </w:r>
    </w:p>
    <w:p w14:paraId="0989B31E">
      <w:pPr>
        <w:keepNext w:val="0"/>
        <w:keepLines w:val="0"/>
        <w:pageBreakBefore w:val="0"/>
        <w:widowControl w:val="0"/>
        <w:kinsoku/>
        <w:overflowPunct/>
        <w:topLinePunct/>
        <w:autoSpaceDE/>
        <w:autoSpaceDN/>
        <w:bidi w:val="0"/>
        <w:adjustRightInd/>
        <w:ind w:firstLine="420" w:firstLineChars="200"/>
        <w:textAlignment w:val="auto"/>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14.7对于有配件、耗材、选件、备件和特殊工具的货物，还应填报磋商货物配件、耗材、选件表和备件及特殊工具清单，注明品牌、型号、产地、功能、单价、批量折扣等内容，该表格格式由</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供应商</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自行设计。</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供应商</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按照上述要求分类报价，其目的是便于评审，但在任何情况下并不限制采购人以其他条款签订合同的权利。</w:t>
      </w:r>
    </w:p>
    <w:p w14:paraId="44B68452">
      <w:pPr>
        <w:keepNext w:val="0"/>
        <w:keepLines w:val="0"/>
        <w:pageBreakBefore w:val="0"/>
        <w:widowControl w:val="0"/>
        <w:kinsoku/>
        <w:overflowPunct/>
        <w:topLinePunct/>
        <w:autoSpaceDE/>
        <w:autoSpaceDN/>
        <w:bidi w:val="0"/>
        <w:adjustRightInd/>
        <w:ind w:firstLine="420" w:firstLineChars="200"/>
        <w:textAlignment w:val="auto"/>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14.8最低报价不能作为成交的保证。</w:t>
      </w:r>
    </w:p>
    <w:p w14:paraId="47EBDC0D">
      <w:pPr>
        <w:keepNext w:val="0"/>
        <w:keepLines w:val="0"/>
        <w:pageBreakBefore w:val="0"/>
        <w:widowControl w:val="0"/>
        <w:kinsoku/>
        <w:overflowPunct/>
        <w:topLinePunct/>
        <w:autoSpaceDE/>
        <w:autoSpaceDN/>
        <w:bidi w:val="0"/>
        <w:adjustRightInd/>
        <w:ind w:firstLine="420" w:firstLineChars="200"/>
        <w:textAlignment w:val="auto"/>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14.9供应商不能提供任何有选择性或可调整的报价（磋商文件另有规定的除外），否则其</w:t>
      </w:r>
      <w:r>
        <w:rPr>
          <w:rFonts w:hint="eastAsia" w:ascii="宋体" w:hAnsi="宋体" w:eastAsia="宋体" w:cs="宋体"/>
          <w:b/>
          <w:bCs/>
          <w:i w:val="0"/>
          <w:iCs w:val="0"/>
          <w:color w:val="000000" w:themeColor="text1"/>
          <w:kern w:val="2"/>
          <w:sz w:val="21"/>
          <w:szCs w:val="21"/>
          <w:highlight w:val="none"/>
          <w:lang w:val="en-US" w:eastAsia="zh-CN" w:bidi="ar-SA"/>
          <w14:textFill>
            <w14:solidFill>
              <w14:schemeClr w14:val="tx1"/>
            </w14:solidFill>
          </w14:textFill>
        </w:rPr>
        <w:t>响应无效</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w:t>
      </w:r>
    </w:p>
    <w:p w14:paraId="528DA440">
      <w:pPr>
        <w:keepNext w:val="0"/>
        <w:keepLines w:val="0"/>
        <w:pageBreakBefore w:val="0"/>
        <w:widowControl w:val="0"/>
        <w:kinsoku/>
        <w:overflowPunct/>
        <w:topLinePunct/>
        <w:autoSpaceDE/>
        <w:autoSpaceDN/>
        <w:bidi w:val="0"/>
        <w:adjustRightInd/>
        <w:ind w:firstLine="420" w:firstLineChars="200"/>
        <w:textAlignment w:val="auto"/>
        <w:rPr>
          <w:rFonts w:hint="eastAsia" w:ascii="Times New Roman" w:hAnsi="Times New Roman" w:eastAsia="宋体" w:cs="Times New Roman"/>
          <w:i w:val="0"/>
          <w:i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14.10采购人不得向供应商索要或者接受其给予的赠品、回扣或者与采购无关的其他商品、服务。</w:t>
      </w:r>
    </w:p>
    <w:p w14:paraId="7ED266AC">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140" w:name="_Toc52962744"/>
      <w:bookmarkStart w:id="141" w:name="_Toc46771657"/>
      <w:bookmarkStart w:id="142" w:name="_Toc109897451"/>
      <w:bookmarkStart w:id="143" w:name="_Toc5668"/>
      <w:bookmarkStart w:id="144" w:name="_Toc51674228"/>
      <w:bookmarkStart w:id="145" w:name="_Toc52960570"/>
      <w:bookmarkStart w:id="146" w:name="_Toc470172682"/>
      <w:bookmarkStart w:id="147" w:name="_Toc46772258"/>
      <w:bookmarkStart w:id="148" w:name="_Toc109900388"/>
      <w:bookmarkStart w:id="149" w:name="_Toc109899969"/>
      <w:bookmarkStart w:id="150" w:name="_Toc48688806"/>
      <w:bookmarkStart w:id="151" w:name="_Toc48846126"/>
      <w:bookmarkStart w:id="152" w:name="_Toc109899550"/>
      <w:bookmarkStart w:id="153" w:name="_Toc3324"/>
      <w:bookmarkStart w:id="154" w:name="_Toc52960566"/>
      <w:bookmarkStart w:id="155" w:name="_Toc109897448"/>
      <w:bookmarkStart w:id="156" w:name="_Toc109900385"/>
      <w:bookmarkStart w:id="157" w:name="_Toc46772254"/>
      <w:bookmarkStart w:id="158" w:name="_Toc109899547"/>
      <w:bookmarkStart w:id="159" w:name="_Toc48846122"/>
      <w:bookmarkStart w:id="160" w:name="_Toc470172678"/>
      <w:bookmarkStart w:id="161" w:name="_Toc48688802"/>
      <w:bookmarkStart w:id="162" w:name="_Toc51674224"/>
      <w:bookmarkStart w:id="163" w:name="_Toc46771653"/>
      <w:bookmarkStart w:id="164" w:name="_Toc52962740"/>
      <w:bookmarkStart w:id="165" w:name="_Toc109899966"/>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15.响应文件有效期</w:t>
      </w:r>
      <w:bookmarkEnd w:id="140"/>
      <w:bookmarkEnd w:id="141"/>
      <w:bookmarkEnd w:id="142"/>
      <w:bookmarkEnd w:id="143"/>
      <w:bookmarkEnd w:id="144"/>
      <w:bookmarkEnd w:id="145"/>
      <w:bookmarkEnd w:id="146"/>
      <w:bookmarkEnd w:id="147"/>
      <w:bookmarkEnd w:id="148"/>
      <w:bookmarkEnd w:id="149"/>
      <w:bookmarkEnd w:id="150"/>
      <w:bookmarkEnd w:id="151"/>
      <w:bookmarkEnd w:id="152"/>
    </w:p>
    <w:p w14:paraId="0A7D9E7C">
      <w:pPr>
        <w:keepNext w:val="0"/>
        <w:keepLines w:val="0"/>
        <w:pageBreakBefore w:val="0"/>
        <w:widowControl w:val="0"/>
        <w:kinsoku/>
        <w:overflowPunct/>
        <w:topLinePunct/>
        <w:autoSpaceDE/>
        <w:autoSpaceDN/>
        <w:bidi w:val="0"/>
        <w:adjustRightInd/>
        <w:ind w:firstLine="420" w:firstLineChars="200"/>
        <w:textAlignment w:val="auto"/>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1</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.1</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供应商提交的</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响应文件有效期见“供应商须知前附表”，磋商供应商承诺的响应文件有效期少于</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磋商</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文件规定期限的，其</w:t>
      </w:r>
      <w:r>
        <w:rPr>
          <w:rFonts w:hint="eastAsia" w:ascii="宋体" w:hAnsi="宋体" w:eastAsia="宋体" w:cs="宋体"/>
          <w:b/>
          <w:bCs/>
          <w:i w:val="0"/>
          <w:iCs w:val="0"/>
          <w:color w:val="000000" w:themeColor="text1"/>
          <w:kern w:val="2"/>
          <w:sz w:val="21"/>
          <w:szCs w:val="21"/>
          <w:highlight w:val="none"/>
          <w:lang w:val="en-US" w:eastAsia="zh-CN" w:bidi="ar-SA"/>
          <w14:textFill>
            <w14:solidFill>
              <w14:schemeClr w14:val="tx1"/>
            </w14:solidFill>
          </w14:textFill>
        </w:rPr>
        <w:t>响应</w:t>
      </w:r>
      <w:r>
        <w:rPr>
          <w:rFonts w:hint="eastAsia" w:ascii="宋体" w:hAnsi="宋体" w:eastAsia="宋体" w:cs="宋体"/>
          <w:b/>
          <w:bCs/>
          <w:i w:val="0"/>
          <w:iCs w:val="0"/>
          <w:color w:val="000000" w:themeColor="text1"/>
          <w:kern w:val="2"/>
          <w:sz w:val="21"/>
          <w:szCs w:val="21"/>
          <w:highlight w:val="none"/>
          <w:lang w:val="zh-CN" w:eastAsia="zh-CN" w:bidi="ar-SA"/>
          <w14:textFill>
            <w14:solidFill>
              <w14:schemeClr w14:val="tx1"/>
            </w14:solidFill>
          </w14:textFill>
        </w:rPr>
        <w:t>无效</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w:t>
      </w:r>
    </w:p>
    <w:p w14:paraId="73B98A50">
      <w:pPr>
        <w:keepNext w:val="0"/>
        <w:keepLines w:val="0"/>
        <w:pageBreakBefore w:val="0"/>
        <w:widowControl w:val="0"/>
        <w:kinsoku/>
        <w:overflowPunct/>
        <w:topLinePunct/>
        <w:autoSpaceDE/>
        <w:autoSpaceDN/>
        <w:bidi w:val="0"/>
        <w:adjustRightInd/>
        <w:ind w:firstLine="420" w:firstLineChars="200"/>
        <w:textAlignment w:val="auto"/>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15.2响应文件有效期从递交响应文件的截止之日起算。响应文件中承诺的有效期应当不少于竞争性磋商文件中载明的响应文件有效期。响应文件有效期内供应商撤销响应文件的，采购人或者采购代理机构可以不退还磋商保证金。</w:t>
      </w:r>
    </w:p>
    <w:p w14:paraId="43F5F609">
      <w:pPr>
        <w:keepNext w:val="0"/>
        <w:keepLines w:val="0"/>
        <w:pageBreakBefore w:val="0"/>
        <w:widowControl w:val="0"/>
        <w:kinsoku/>
        <w:overflowPunct/>
        <w:topLinePunct/>
        <w:autoSpaceDE/>
        <w:autoSpaceDN/>
        <w:bidi w:val="0"/>
        <w:adjustRightInd/>
        <w:ind w:firstLine="420" w:firstLineChars="200"/>
        <w:textAlignment w:val="auto"/>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1</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特殊情况下，在原响应文件有效期截止之前，采购代理机构或采购人可要求供应商延长响应文件有效期。需要延长响应文件有效期时，采购代理机构或采购人将以书面形式通知所有磋商供应商，供应商应以书面形式答复是否同意延长响应文件有效期。</w:t>
      </w:r>
    </w:p>
    <w:p w14:paraId="6645996C">
      <w:pPr>
        <w:keepNext w:val="0"/>
        <w:keepLines w:val="0"/>
        <w:pageBreakBefore w:val="0"/>
        <w:widowControl w:val="0"/>
        <w:kinsoku/>
        <w:overflowPunct/>
        <w:topLinePunct/>
        <w:autoSpaceDE/>
        <w:autoSpaceDN/>
        <w:bidi w:val="0"/>
        <w:adjustRightInd/>
        <w:ind w:firstLine="420" w:firstLineChars="200"/>
        <w:textAlignment w:val="auto"/>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1</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供应商同意延长的，</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其磋商</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保证金的有效期也相应延长，不得要求或被允许修改或撤销其响应文件；供应商拒绝延长的，其响应文件在原响应文件有效期满后将不再有效</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，但其提交的磋商保证金可予以退还</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w:t>
      </w:r>
    </w:p>
    <w:bookmarkEnd w:id="153"/>
    <w:bookmarkEnd w:id="154"/>
    <w:bookmarkEnd w:id="155"/>
    <w:bookmarkEnd w:id="156"/>
    <w:bookmarkEnd w:id="157"/>
    <w:bookmarkEnd w:id="158"/>
    <w:bookmarkEnd w:id="159"/>
    <w:bookmarkEnd w:id="160"/>
    <w:bookmarkEnd w:id="161"/>
    <w:bookmarkEnd w:id="162"/>
    <w:bookmarkEnd w:id="163"/>
    <w:bookmarkEnd w:id="164"/>
    <w:bookmarkEnd w:id="165"/>
    <w:p w14:paraId="23EF1D62">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16.响应文件的编制</w:t>
      </w:r>
      <w:bookmarkEnd w:id="126"/>
      <w:bookmarkEnd w:id="127"/>
      <w:bookmarkEnd w:id="128"/>
      <w:bookmarkEnd w:id="129"/>
      <w:bookmarkEnd w:id="130"/>
      <w:bookmarkEnd w:id="131"/>
      <w:bookmarkEnd w:id="132"/>
      <w:bookmarkEnd w:id="133"/>
      <w:bookmarkEnd w:id="134"/>
      <w:bookmarkEnd w:id="135"/>
      <w:bookmarkEnd w:id="136"/>
      <w:bookmarkEnd w:id="137"/>
      <w:bookmarkEnd w:id="138"/>
    </w:p>
    <w:p w14:paraId="0BD6E0C3">
      <w:pPr>
        <w:keepNext w:val="0"/>
        <w:keepLines w:val="0"/>
        <w:pageBreakBefore w:val="0"/>
        <w:widowControl w:val="0"/>
        <w:kinsoku/>
        <w:overflowPunct/>
        <w:topLinePunct/>
        <w:autoSpaceDE/>
        <w:autoSpaceDN/>
        <w:bidi w:val="0"/>
        <w:adjustRightInd/>
        <w:ind w:firstLine="420" w:firstLineChars="200"/>
        <w:textAlignment w:val="auto"/>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1</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.1</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响应</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文件应在“</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投标</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客户端”中进行编制，在</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响应</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文件中要求加盖印章的，除有特殊说明之外，</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可</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使用电子签章签署。</w:t>
      </w:r>
    </w:p>
    <w:p w14:paraId="3E27AADC">
      <w:pPr>
        <w:keepNext w:val="0"/>
        <w:keepLines w:val="0"/>
        <w:pageBreakBefore w:val="0"/>
        <w:widowControl w:val="0"/>
        <w:kinsoku/>
        <w:overflowPunct/>
        <w:topLinePunct/>
        <w:autoSpaceDE/>
        <w:autoSpaceDN/>
        <w:bidi w:val="0"/>
        <w:adjustRightInd/>
        <w:ind w:firstLine="420" w:firstLineChars="200"/>
        <w:textAlignment w:val="auto"/>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1</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.2</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供应商</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在“</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投标</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客户端”中按照“</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投标</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客户端”中的格式要求填写响应内容后，生成</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响应</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文件。</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供应商</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须按照</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竞争性磋商</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文件的要求对要求加盖印章的部分逐一进行签章。</w:t>
      </w:r>
    </w:p>
    <w:p w14:paraId="5D5315A6">
      <w:pPr>
        <w:keepNext w:val="0"/>
        <w:keepLines w:val="0"/>
        <w:pageBreakBefore w:val="0"/>
        <w:widowControl w:val="0"/>
        <w:kinsoku/>
        <w:overflowPunct/>
        <w:topLinePunct/>
        <w:autoSpaceDE/>
        <w:autoSpaceDN/>
        <w:bidi w:val="0"/>
        <w:adjustRightInd/>
        <w:ind w:firstLine="420" w:firstLineChars="200"/>
        <w:textAlignment w:val="auto"/>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1</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3供应商</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应详细阅读</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竞争性磋商</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文件的全部内容。</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响应</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文件须对</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竞争性磋商</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文件中的内容作出实质性和完整的响应，如果</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响应</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文件填报的内容不详，或没有提供</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竞争性磋商</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文件中所要求的全部资料及数据，将可能导致</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其</w:t>
      </w:r>
      <w:r>
        <w:rPr>
          <w:rFonts w:hint="eastAsia" w:ascii="宋体" w:hAnsi="宋体" w:eastAsia="宋体" w:cs="宋体"/>
          <w:b/>
          <w:bCs/>
          <w:i w:val="0"/>
          <w:iCs w:val="0"/>
          <w:color w:val="000000" w:themeColor="text1"/>
          <w:kern w:val="2"/>
          <w:sz w:val="21"/>
          <w:szCs w:val="21"/>
          <w:highlight w:val="none"/>
          <w:lang w:val="zh-CN" w:eastAsia="zh-CN" w:bidi="ar-SA"/>
          <w14:textFill>
            <w14:solidFill>
              <w14:schemeClr w14:val="tx1"/>
            </w14:solidFill>
          </w14:textFill>
        </w:rPr>
        <w:t>响应</w:t>
      </w:r>
      <w:r>
        <w:rPr>
          <w:rFonts w:hint="eastAsia" w:ascii="宋体" w:hAnsi="宋体" w:eastAsia="宋体" w:cs="宋体"/>
          <w:b/>
          <w:bCs/>
          <w:i w:val="0"/>
          <w:iCs w:val="0"/>
          <w:color w:val="000000" w:themeColor="text1"/>
          <w:kern w:val="2"/>
          <w:sz w:val="21"/>
          <w:szCs w:val="21"/>
          <w:highlight w:val="none"/>
          <w:lang w:val="en-US" w:eastAsia="zh-CN" w:bidi="ar-SA"/>
          <w14:textFill>
            <w14:solidFill>
              <w14:schemeClr w14:val="tx1"/>
            </w14:solidFill>
          </w14:textFill>
        </w:rPr>
        <w:t>无效</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w:t>
      </w:r>
    </w:p>
    <w:p w14:paraId="1941961B">
      <w:pPr>
        <w:keepNext w:val="0"/>
        <w:keepLines w:val="0"/>
        <w:pageBreakBefore w:val="0"/>
        <w:widowControl w:val="0"/>
        <w:kinsoku/>
        <w:overflowPunct/>
        <w:topLinePunct/>
        <w:autoSpaceDE/>
        <w:autoSpaceDN/>
        <w:bidi w:val="0"/>
        <w:adjustRightInd/>
        <w:ind w:firstLine="420" w:firstLineChars="200"/>
        <w:textAlignment w:val="auto"/>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1</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4响应</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文件须严格按照</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本竞争性磋商</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文件第</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六章</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规定的格式提交，并按规定的统一格式逐项填写，不准有空项；无相应内容可填的项，应填写“无”、“未测试”、“没有相应指标”等明确的回答文字。由于编排混乱导致</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响应</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文件被误读或查找不到，其责任由</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供应商</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承担。</w:t>
      </w:r>
    </w:p>
    <w:p w14:paraId="2BDBE52D">
      <w:pPr>
        <w:keepNext w:val="0"/>
        <w:keepLines w:val="0"/>
        <w:pageBreakBefore w:val="0"/>
        <w:widowControl w:val="0"/>
        <w:kinsoku/>
        <w:overflowPunct/>
        <w:topLinePunct/>
        <w:autoSpaceDE/>
        <w:autoSpaceDN/>
        <w:bidi w:val="0"/>
        <w:adjustRightInd/>
        <w:ind w:firstLine="420" w:firstLineChars="200"/>
        <w:textAlignment w:val="auto"/>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1</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5供应商</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须注意：为合理节约政府采购评审成本，提倡诚实信用的</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磋商</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行为，特别要求</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供应商</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应本着诚信精神，在本次</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响应</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文件的偏离表中，均以审慎的态度明确、清楚地披露各项偏离。若</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供应商</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对某一事项是否存在或是否属于偏离不能确定，亦必须在偏离表中清楚地表明该偏离事项，并可以注明不能确定的字样。任何情况下，对于</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供应商</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没有在偏离表中明确、清楚地披露的事项，包括可能属于被</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供应商</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在偏离表中遗漏披露的事项，一旦在评审中被发现存在偏离或被认定为属于偏离，则评</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审</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委员会有权视具体情形评审时予以处理，将可能导致</w:t>
      </w:r>
      <w:r>
        <w:rPr>
          <w:rFonts w:hint="eastAsia" w:ascii="宋体" w:hAnsi="宋体" w:eastAsia="宋体" w:cs="宋体"/>
          <w:b/>
          <w:bCs/>
          <w:i w:val="0"/>
          <w:iCs w:val="0"/>
          <w:color w:val="000000" w:themeColor="text1"/>
          <w:kern w:val="2"/>
          <w:sz w:val="21"/>
          <w:szCs w:val="21"/>
          <w:highlight w:val="none"/>
          <w:lang w:val="zh-CN" w:eastAsia="zh-CN" w:bidi="ar-SA"/>
          <w14:textFill>
            <w14:solidFill>
              <w14:schemeClr w14:val="tx1"/>
            </w14:solidFill>
          </w14:textFill>
        </w:rPr>
        <w:t>响应</w:t>
      </w:r>
      <w:r>
        <w:rPr>
          <w:rFonts w:hint="eastAsia" w:ascii="宋体" w:hAnsi="宋体" w:eastAsia="宋体" w:cs="宋体"/>
          <w:b/>
          <w:bCs/>
          <w:i w:val="0"/>
          <w:iCs w:val="0"/>
          <w:color w:val="000000" w:themeColor="text1"/>
          <w:kern w:val="2"/>
          <w:sz w:val="21"/>
          <w:szCs w:val="21"/>
          <w:highlight w:val="none"/>
          <w:lang w:val="en-US" w:eastAsia="zh-CN" w:bidi="ar-SA"/>
          <w14:textFill>
            <w14:solidFill>
              <w14:schemeClr w14:val="tx1"/>
            </w14:solidFill>
          </w14:textFill>
        </w:rPr>
        <w:t>无效</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w:t>
      </w:r>
    </w:p>
    <w:p w14:paraId="6D33FFDC">
      <w:pPr>
        <w:keepNext w:val="0"/>
        <w:keepLines w:val="0"/>
        <w:pageBreakBefore w:val="0"/>
        <w:widowControl w:val="0"/>
        <w:kinsoku/>
        <w:overflowPunct/>
        <w:topLinePunct/>
        <w:autoSpaceDE/>
        <w:autoSpaceDN/>
        <w:bidi w:val="0"/>
        <w:adjustRightInd/>
        <w:ind w:firstLine="420" w:firstLineChars="200"/>
        <w:textAlignment w:val="auto"/>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1</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6供应商</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必须保证</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响应</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文件所提供的全部资料合法、真实可靠，并接受采购</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人、采购</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代理机构或评</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审</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委员会对其中任何资料进一步审查的要求。</w:t>
      </w:r>
    </w:p>
    <w:p w14:paraId="317833F9">
      <w:pPr>
        <w:keepNext w:val="0"/>
        <w:keepLines w:val="0"/>
        <w:pageBreakBefore w:val="0"/>
        <w:widowControl w:val="0"/>
        <w:kinsoku/>
        <w:overflowPunct/>
        <w:topLinePunct/>
        <w:autoSpaceDE/>
        <w:autoSpaceDN/>
        <w:bidi w:val="0"/>
        <w:adjustRightInd/>
        <w:ind w:firstLine="420" w:firstLineChars="200"/>
        <w:textAlignment w:val="auto"/>
        <w:rPr>
          <w:rFonts w:hint="eastAsia" w:ascii="宋体" w:hAnsi="宋体" w:eastAsia="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1</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7供应商</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在</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响应</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文件及相关文件的签订、履行、通知等事项的文件中的单位盖章、印章、公章等处均指与当事人全称相一致的标准公章，不得使用其他形式（如带有“专用章”等字样的印章）。不符合本条规定的</w:t>
      </w:r>
      <w:r>
        <w:rPr>
          <w:rFonts w:hint="eastAsia" w:ascii="宋体" w:hAnsi="宋体" w:eastAsia="宋体" w:cs="宋体"/>
          <w:b/>
          <w:bCs/>
          <w:i w:val="0"/>
          <w:iCs w:val="0"/>
          <w:color w:val="000000" w:themeColor="text1"/>
          <w:kern w:val="2"/>
          <w:sz w:val="21"/>
          <w:szCs w:val="21"/>
          <w:highlight w:val="none"/>
          <w:lang w:val="zh-CN" w:eastAsia="zh-CN" w:bidi="ar-SA"/>
          <w14:textFill>
            <w14:solidFill>
              <w14:schemeClr w14:val="tx1"/>
            </w14:solidFill>
          </w14:textFill>
        </w:rPr>
        <w:t>按无效</w:t>
      </w:r>
      <w:r>
        <w:rPr>
          <w:rFonts w:hint="eastAsia" w:ascii="宋体" w:hAnsi="宋体" w:eastAsia="宋体" w:cs="宋体"/>
          <w:b/>
          <w:bCs/>
          <w:i w:val="0"/>
          <w:iCs w:val="0"/>
          <w:color w:val="000000" w:themeColor="text1"/>
          <w:kern w:val="2"/>
          <w:sz w:val="21"/>
          <w:szCs w:val="21"/>
          <w:highlight w:val="none"/>
          <w:lang w:val="en-US" w:eastAsia="zh-CN" w:bidi="ar-SA"/>
          <w14:textFill>
            <w14:solidFill>
              <w14:schemeClr w14:val="tx1"/>
            </w14:solidFill>
          </w14:textFill>
        </w:rPr>
        <w:t>响应</w:t>
      </w:r>
      <w:r>
        <w:rPr>
          <w:rFonts w:hint="eastAsia" w:ascii="宋体" w:hAnsi="宋体" w:eastAsia="宋体" w:cs="宋体"/>
          <w:b/>
          <w:bCs/>
          <w:i w:val="0"/>
          <w:iCs w:val="0"/>
          <w:color w:val="000000" w:themeColor="text1"/>
          <w:kern w:val="2"/>
          <w:sz w:val="21"/>
          <w:szCs w:val="21"/>
          <w:highlight w:val="none"/>
          <w:lang w:val="zh-CN" w:eastAsia="zh-CN" w:bidi="ar-SA"/>
          <w14:textFill>
            <w14:solidFill>
              <w14:schemeClr w14:val="tx1"/>
            </w14:solidFill>
          </w14:textFill>
        </w:rPr>
        <w:t>处理</w:t>
      </w: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w:t>
      </w:r>
    </w:p>
    <w:p w14:paraId="6E0F191B">
      <w:pPr>
        <w:pStyle w:val="49"/>
        <w:keepNext w:val="0"/>
        <w:keepLines w:val="0"/>
        <w:pageBreakBefore w:val="0"/>
        <w:widowControl w:val="0"/>
        <w:shd w:val="clear" w:color="auto" w:fill="auto"/>
        <w:kinsoku/>
        <w:wordWrap/>
        <w:overflowPunct/>
        <w:topLinePunct/>
        <w:autoSpaceDE/>
        <w:autoSpaceDN/>
        <w:bidi w:val="0"/>
        <w:adjustRightInd/>
        <w:spacing w:line="240" w:lineRule="auto"/>
        <w:ind w:firstLine="420" w:firstLineChars="200"/>
        <w:textAlignment w:val="auto"/>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t>16.8电子响应文件的编制</w:t>
      </w:r>
    </w:p>
    <w:p w14:paraId="75377045">
      <w:pPr>
        <w:pStyle w:val="49"/>
        <w:keepNext w:val="0"/>
        <w:keepLines w:val="0"/>
        <w:pageBreakBefore w:val="0"/>
        <w:widowControl w:val="0"/>
        <w:shd w:val="clear" w:color="auto" w:fill="auto"/>
        <w:kinsoku/>
        <w:wordWrap/>
        <w:overflowPunct/>
        <w:topLinePunct/>
        <w:autoSpaceDE/>
        <w:autoSpaceDN/>
        <w:bidi w:val="0"/>
        <w:adjustRightInd/>
        <w:spacing w:line="240" w:lineRule="auto"/>
        <w:ind w:firstLine="420" w:firstLineChars="200"/>
        <w:textAlignment w:val="auto"/>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t>16.8.1电子响应文件需按竞争性磋商文件要求进行制作编制。响应文件制作时，不同内容按标签提示制作导入，按照竞争性磋商文件中明确的响应文件目录和格式进行编制，保证目录清晰、内容完整。</w:t>
      </w:r>
    </w:p>
    <w:p w14:paraId="77739888">
      <w:pPr>
        <w:keepNext w:val="0"/>
        <w:keepLines w:val="0"/>
        <w:pageBreakBefore w:val="0"/>
        <w:widowControl w:val="0"/>
        <w:kinsoku/>
        <w:overflowPunct/>
        <w:topLinePunct/>
        <w:bidi w:val="0"/>
        <w:spacing w:line="240" w:lineRule="auto"/>
        <w:ind w:firstLine="420" w:firstLineChars="200"/>
        <w:textAlignment w:val="auto"/>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t>16.8.2电子磋商文件及响应文件具有法律效力，与其他形式的磋商文件及响应文件在内容和格式上等同，若响应文件与竞争性磋商文件要求不一致，其内容影响成交结果时，责任由供应商自行承担。供应商递交的电子响应文件因供应商自身原因而导致无法导入电子辅助评标系统，该响应文件被视为无效响应文件，</w:t>
      </w:r>
      <w:r>
        <w:rPr>
          <w:rFonts w:hint="eastAsia" w:ascii="宋体" w:hAnsi="宋体" w:eastAsia="宋体" w:cs="宋体"/>
          <w:b/>
          <w:bCs/>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t>其响应无效</w:t>
      </w:r>
      <w:r>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t>。</w:t>
      </w:r>
    </w:p>
    <w:p w14:paraId="59447687">
      <w:pPr>
        <w:pStyle w:val="4"/>
        <w:keepNext w:val="0"/>
        <w:keepLines w:val="0"/>
        <w:pageBreakBefore w:val="0"/>
        <w:widowControl w:val="0"/>
        <w:numPr>
          <w:ilvl w:val="0"/>
          <w:numId w:val="0"/>
        </w:numPr>
        <w:kinsoku/>
        <w:wordWrap/>
        <w:overflowPunct/>
        <w:topLinePunct/>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pPr>
      <w:bookmarkStart w:id="166" w:name="_Toc109900390"/>
      <w:bookmarkStart w:id="167" w:name="_Toc109899971"/>
      <w:bookmarkStart w:id="168" w:name="_Toc109897453"/>
      <w:bookmarkStart w:id="169" w:name="_Toc470172684"/>
      <w:bookmarkStart w:id="170" w:name="_Toc109899552"/>
      <w:bookmarkStart w:id="171" w:name="_Toc46771659"/>
      <w:bookmarkStart w:id="172" w:name="_Toc163493614"/>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（四）响应文件的</w:t>
      </w:r>
      <w:bookmarkEnd w:id="166"/>
      <w:bookmarkEnd w:id="167"/>
      <w:bookmarkEnd w:id="168"/>
      <w:bookmarkEnd w:id="169"/>
      <w:bookmarkEnd w:id="170"/>
      <w:bookmarkEnd w:id="171"/>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递交</w:t>
      </w:r>
      <w:bookmarkEnd w:id="172"/>
    </w:p>
    <w:p w14:paraId="1DF3FBC8">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173" w:name="_Toc109900489"/>
      <w:bookmarkStart w:id="174" w:name="_Toc109899651"/>
      <w:bookmarkStart w:id="175" w:name="_Toc109900070"/>
      <w:bookmarkStart w:id="176" w:name="_Toc109897552"/>
      <w:bookmarkStart w:id="177" w:name="_Toc155095707"/>
      <w:bookmarkStart w:id="178" w:name="_Toc156490296"/>
      <w:bookmarkStart w:id="179" w:name="_Toc109899652"/>
      <w:bookmarkStart w:id="180" w:name="_Toc109897553"/>
      <w:bookmarkStart w:id="181" w:name="_Toc109900071"/>
      <w:bookmarkStart w:id="182" w:name="_Toc109900490"/>
      <w:bookmarkStart w:id="183" w:name="_Toc155095708"/>
      <w:bookmarkStart w:id="184" w:name="_Toc156490297"/>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17.磋商保证金</w:t>
      </w:r>
    </w:p>
    <w:p w14:paraId="0095FF24">
      <w:pPr>
        <w:pStyle w:val="49"/>
        <w:keepNext w:val="0"/>
        <w:keepLines w:val="0"/>
        <w:pageBreakBefore w:val="0"/>
        <w:widowControl w:val="0"/>
        <w:shd w:val="clear" w:color="auto" w:fill="auto"/>
        <w:kinsoku/>
        <w:wordWrap/>
        <w:overflowPunct/>
        <w:topLinePunct/>
        <w:autoSpaceDE/>
        <w:autoSpaceDN/>
        <w:bidi w:val="0"/>
        <w:adjustRightInd/>
        <w:spacing w:line="240" w:lineRule="auto"/>
        <w:ind w:firstLine="420" w:firstLineChars="200"/>
        <w:textAlignment w:val="auto"/>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t>17.1供应商应按照竞争性磋商文件“供应商须知前附表”规定的金额及要求交纳磋商保证金。供应商自愿超额缴纳磋商保证金的，响应文件不做无效处理。</w:t>
      </w:r>
    </w:p>
    <w:p w14:paraId="060B2106">
      <w:pPr>
        <w:keepNext w:val="0"/>
        <w:keepLines w:val="0"/>
        <w:pageBreakBefore w:val="0"/>
        <w:widowControl w:val="0"/>
        <w:suppressLineNumbers w:val="0"/>
        <w:kinsoku/>
        <w:overflowPunct/>
        <w:topLinePunct/>
        <w:autoSpaceDE/>
        <w:autoSpaceDN/>
        <w:bidi w:val="0"/>
        <w:adjustRightInd/>
        <w:spacing w:line="240" w:lineRule="auto"/>
        <w:ind w:firstLine="420" w:firstLineChars="200"/>
        <w:jc w:val="left"/>
        <w:textAlignment w:val="auto"/>
        <w:rPr>
          <w:rFonts w:hint="eastAsia" w:ascii="宋体" w:hAnsi="宋体" w:eastAsia="宋体" w:cs="宋体"/>
          <w:b/>
          <w:bCs/>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t>17.2交纳磋商保证金可采用的形式：政府采购法律法规接受的支票、汇票、本票、网上银行支付或者金融机构、担保机构出具的保函等非现金形式。未按磋商文件要求提交磋商保证金的，其</w:t>
      </w:r>
      <w:r>
        <w:rPr>
          <w:rFonts w:hint="eastAsia" w:ascii="宋体" w:hAnsi="宋体" w:eastAsia="宋体" w:cs="宋体"/>
          <w:b/>
          <w:bCs/>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t>响应无效。</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磋商保证金有效期同响应文件有效期。</w:t>
      </w:r>
    </w:p>
    <w:p w14:paraId="4686C2C2">
      <w:pPr>
        <w:pStyle w:val="6"/>
        <w:keepNext w:val="0"/>
        <w:keepLines w:val="0"/>
        <w:pageBreakBefore w:val="0"/>
        <w:widowControl w:val="0"/>
        <w:kinsoku/>
        <w:overflowPunct/>
        <w:topLinePunct/>
        <w:autoSpaceDE/>
        <w:autoSpaceDN/>
        <w:bidi w:val="0"/>
        <w:adjustRightInd/>
        <w:spacing w:line="240" w:lineRule="auto"/>
        <w:textAlignment w:val="auto"/>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t>17.3磋商保证金到账（保函提交）截止时间同响应文件递交截止时间。以支票、汇票、本票、网上银行支付等形式提交磋商保证金的，应在响应文件递交截止时间前到账；以金融机构、担保机构出具的保函等形式提交磋商保证金的，应在响应文件递交截止时间前将磋商保证金支付件扫描后作为响应文件的组成部分与响应文件一起上传。由于到账时间晚于响应文件递交截止时间，或者票据错误、印鉴不清等原因导致不能到账的</w:t>
      </w:r>
      <w:r>
        <w:rPr>
          <w:rFonts w:hint="eastAsia" w:ascii="宋体" w:hAnsi="宋体" w:eastAsia="宋体" w:cs="宋体"/>
          <w:b w:val="0"/>
          <w:bCs w:val="0"/>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t>，</w:t>
      </w:r>
      <w:r>
        <w:rPr>
          <w:rFonts w:hint="eastAsia" w:ascii="宋体" w:hAnsi="宋体" w:eastAsia="宋体" w:cs="宋体"/>
          <w:b/>
          <w:bCs/>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t>其响应无效。</w:t>
      </w:r>
    </w:p>
    <w:p w14:paraId="297E88A0">
      <w:pPr>
        <w:pStyle w:val="49"/>
        <w:keepNext w:val="0"/>
        <w:keepLines w:val="0"/>
        <w:pageBreakBefore w:val="0"/>
        <w:widowControl w:val="0"/>
        <w:shd w:val="clear" w:color="auto" w:fill="auto"/>
        <w:kinsoku/>
        <w:wordWrap/>
        <w:overflowPunct/>
        <w:topLinePunct/>
        <w:autoSpaceDE/>
        <w:autoSpaceDN/>
        <w:bidi w:val="0"/>
        <w:adjustRightInd/>
        <w:spacing w:line="240" w:lineRule="auto"/>
        <w:ind w:firstLine="420" w:firstLineChars="200"/>
        <w:textAlignment w:val="auto"/>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t>17.4供应商为联合体的，可以由联合体中的一方或者多方共同交纳磋商保证金，其交纳的磋商保证金对联合体各方均具有约束力。</w:t>
      </w:r>
    </w:p>
    <w:p w14:paraId="67EBD3BA">
      <w:pPr>
        <w:pStyle w:val="49"/>
        <w:keepNext w:val="0"/>
        <w:keepLines w:val="0"/>
        <w:pageBreakBefore w:val="0"/>
        <w:widowControl w:val="0"/>
        <w:shd w:val="clear" w:color="auto" w:fill="auto"/>
        <w:kinsoku/>
        <w:wordWrap/>
        <w:overflowPunct/>
        <w:topLinePunct/>
        <w:autoSpaceDE/>
        <w:autoSpaceDN/>
        <w:bidi w:val="0"/>
        <w:adjustRightInd/>
        <w:spacing w:line="240" w:lineRule="auto"/>
        <w:ind w:firstLine="420" w:firstLineChars="200"/>
        <w:textAlignment w:val="auto"/>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t>17.5采购人或者采购代理机构应当在采购活动结束后及时退还供应商的磋商保证金，采用银行保函、担保机构担保函等形式递交的磋商保证金，经供应商同意后采购人、采购代理机构可以不再退还，但因供应商自身原因导致无法及时退还的除外。未成交供应商的磋商保证金应当自成交通知书发出之日起5个工作日内退还，成交供应商的磋商保证金应当自采购合同签订之日起5个工作日内退还。</w:t>
      </w:r>
    </w:p>
    <w:p w14:paraId="778CEFAE">
      <w:pPr>
        <w:pStyle w:val="49"/>
        <w:keepNext w:val="0"/>
        <w:keepLines w:val="0"/>
        <w:pageBreakBefore w:val="0"/>
        <w:widowControl w:val="0"/>
        <w:shd w:val="clear" w:color="auto" w:fill="auto"/>
        <w:kinsoku/>
        <w:wordWrap/>
        <w:overflowPunct/>
        <w:topLinePunct/>
        <w:autoSpaceDE/>
        <w:autoSpaceDN/>
        <w:bidi w:val="0"/>
        <w:adjustRightInd/>
        <w:spacing w:line="240" w:lineRule="auto"/>
        <w:ind w:firstLine="420" w:firstLineChars="200"/>
        <w:textAlignment w:val="auto"/>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t>17.6供应商在响应文件递交截止时间前撤回已提交的响应文件的，自收到供应商书面撤回通知之日起5个工作日内，退还已收取的磋商保证金，但因供应商自身原因导致无法及时退还的除外。</w:t>
      </w:r>
    </w:p>
    <w:p w14:paraId="5778F7F5">
      <w:pPr>
        <w:pStyle w:val="49"/>
        <w:keepNext w:val="0"/>
        <w:keepLines w:val="0"/>
        <w:pageBreakBefore w:val="0"/>
        <w:widowControl w:val="0"/>
        <w:shd w:val="clear" w:color="auto" w:fill="auto"/>
        <w:kinsoku/>
        <w:wordWrap/>
        <w:overflowPunct/>
        <w:topLinePunct/>
        <w:autoSpaceDE/>
        <w:autoSpaceDN/>
        <w:bidi w:val="0"/>
        <w:adjustRightInd/>
        <w:spacing w:line="240" w:lineRule="auto"/>
        <w:ind w:firstLine="420" w:firstLineChars="200"/>
        <w:textAlignment w:val="auto"/>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t>17.7终止磋商的项目已经收取磋商保证金的，自终止采购活动后5个工作日内退还已收取的磋商保证金及其在银行产生的孳息。</w:t>
      </w:r>
    </w:p>
    <w:p w14:paraId="087C92CE">
      <w:pPr>
        <w:pStyle w:val="49"/>
        <w:keepNext w:val="0"/>
        <w:keepLines w:val="0"/>
        <w:pageBreakBefore w:val="0"/>
        <w:widowControl w:val="0"/>
        <w:shd w:val="clear" w:color="auto" w:fill="auto"/>
        <w:kinsoku/>
        <w:wordWrap/>
        <w:overflowPunct/>
        <w:topLinePunct/>
        <w:autoSpaceDE/>
        <w:autoSpaceDN/>
        <w:bidi w:val="0"/>
        <w:adjustRightInd/>
        <w:spacing w:line="240" w:lineRule="auto"/>
        <w:ind w:firstLine="420" w:firstLineChars="200"/>
        <w:textAlignment w:val="auto"/>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t>17.8有下列情形之一的，磋商保证金不予退还,</w:t>
      </w:r>
      <w:r>
        <w:rPr>
          <w:rFonts w:hint="eastAsia" w:ascii="宋体" w:hAnsi="宋体" w:eastAsia="宋体" w:cs="宋体"/>
          <w:i w:val="0"/>
          <w:iCs w:val="0"/>
          <w:color w:val="000000" w:themeColor="text1"/>
          <w:kern w:val="2"/>
          <w:sz w:val="21"/>
          <w:szCs w:val="21"/>
          <w:highlight w:val="none"/>
          <w14:textFill>
            <w14:solidFill>
              <w14:schemeClr w14:val="tx1"/>
            </w14:solidFill>
          </w14:textFill>
        </w:rPr>
        <w:t>情节严重的将其列入不良记录名单</w:t>
      </w:r>
      <w:r>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t>：</w:t>
      </w:r>
    </w:p>
    <w:p w14:paraId="0414BF6F">
      <w:pPr>
        <w:pStyle w:val="49"/>
        <w:keepNext w:val="0"/>
        <w:keepLines w:val="0"/>
        <w:pageBreakBefore w:val="0"/>
        <w:widowControl w:val="0"/>
        <w:shd w:val="clear" w:color="auto" w:fill="auto"/>
        <w:kinsoku/>
        <w:wordWrap/>
        <w:overflowPunct/>
        <w:topLinePunct/>
        <w:autoSpaceDE/>
        <w:autoSpaceDN/>
        <w:bidi w:val="0"/>
        <w:adjustRightInd/>
        <w:spacing w:line="240" w:lineRule="auto"/>
        <w:ind w:firstLine="420" w:firstLineChars="200"/>
        <w:textAlignment w:val="auto"/>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t>17.8.1供应商在提交响应文件截止时间后撤回响应文件的；</w:t>
      </w:r>
    </w:p>
    <w:p w14:paraId="12DB7EBF">
      <w:pPr>
        <w:pStyle w:val="49"/>
        <w:keepNext w:val="0"/>
        <w:keepLines w:val="0"/>
        <w:pageBreakBefore w:val="0"/>
        <w:widowControl w:val="0"/>
        <w:shd w:val="clear" w:color="auto" w:fill="auto"/>
        <w:kinsoku/>
        <w:wordWrap/>
        <w:overflowPunct/>
        <w:topLinePunct/>
        <w:autoSpaceDE/>
        <w:autoSpaceDN/>
        <w:bidi w:val="0"/>
        <w:adjustRightInd/>
        <w:spacing w:line="240" w:lineRule="auto"/>
        <w:ind w:firstLine="420" w:firstLineChars="200"/>
        <w:textAlignment w:val="auto"/>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t>17.8.2供应商在响应文件中提供虚假材料的；</w:t>
      </w:r>
    </w:p>
    <w:p w14:paraId="5B8726F8">
      <w:pPr>
        <w:pStyle w:val="49"/>
        <w:keepNext w:val="0"/>
        <w:keepLines w:val="0"/>
        <w:pageBreakBefore w:val="0"/>
        <w:widowControl w:val="0"/>
        <w:shd w:val="clear" w:color="auto" w:fill="auto"/>
        <w:kinsoku/>
        <w:wordWrap/>
        <w:overflowPunct/>
        <w:topLinePunct/>
        <w:autoSpaceDE/>
        <w:autoSpaceDN/>
        <w:bidi w:val="0"/>
        <w:adjustRightInd/>
        <w:spacing w:line="240" w:lineRule="auto"/>
        <w:ind w:firstLine="420" w:firstLineChars="200"/>
        <w:textAlignment w:val="auto"/>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t>17.8.3除因不可抗力或磋商文件认可的情形以外，成交供应商不与采购人签订合同的；</w:t>
      </w:r>
    </w:p>
    <w:p w14:paraId="0CF0A168">
      <w:pPr>
        <w:pStyle w:val="49"/>
        <w:keepNext w:val="0"/>
        <w:keepLines w:val="0"/>
        <w:pageBreakBefore w:val="0"/>
        <w:widowControl w:val="0"/>
        <w:shd w:val="clear" w:color="auto" w:fill="auto"/>
        <w:kinsoku/>
        <w:wordWrap/>
        <w:overflowPunct/>
        <w:topLinePunct/>
        <w:autoSpaceDE/>
        <w:autoSpaceDN/>
        <w:bidi w:val="0"/>
        <w:adjustRightInd/>
        <w:spacing w:line="240" w:lineRule="auto"/>
        <w:ind w:firstLine="420" w:firstLineChars="200"/>
        <w:textAlignment w:val="auto"/>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t>17.8.4供应商与采购人、其他供应商或者采购代理机构恶意串通的；</w:t>
      </w:r>
    </w:p>
    <w:p w14:paraId="1C9A1759">
      <w:pPr>
        <w:pStyle w:val="49"/>
        <w:keepNext w:val="0"/>
        <w:keepLines w:val="0"/>
        <w:pageBreakBefore w:val="0"/>
        <w:widowControl w:val="0"/>
        <w:shd w:val="clear" w:color="auto" w:fill="auto"/>
        <w:kinsoku/>
        <w:wordWrap/>
        <w:overflowPunct/>
        <w:topLinePunct/>
        <w:autoSpaceDE/>
        <w:autoSpaceDN/>
        <w:bidi w:val="0"/>
        <w:adjustRightInd/>
        <w:spacing w:line="240" w:lineRule="auto"/>
        <w:ind w:firstLine="420" w:firstLineChars="200"/>
        <w:textAlignment w:val="auto"/>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t>17.8.5磋商文件规定的其他情形。</w:t>
      </w:r>
    </w:p>
    <w:p w14:paraId="1CAEDE8C">
      <w:pPr>
        <w:pStyle w:val="49"/>
        <w:keepNext w:val="0"/>
        <w:keepLines w:val="0"/>
        <w:pageBreakBefore w:val="0"/>
        <w:widowControl w:val="0"/>
        <w:shd w:val="clear" w:color="auto" w:fill="auto"/>
        <w:kinsoku/>
        <w:wordWrap/>
        <w:overflowPunct/>
        <w:topLinePunct/>
        <w:autoSpaceDE/>
        <w:autoSpaceDN/>
        <w:bidi w:val="0"/>
        <w:adjustRightInd/>
        <w:spacing w:line="240" w:lineRule="auto"/>
        <w:ind w:firstLine="420" w:firstLineChars="200"/>
        <w:textAlignment w:val="auto"/>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t>17.9如开启时供应商对本单位磋商保证金缴纳情况有疑义，供应商应在开启结束前向采购人提交书面申请核实保证金缴纳情况。由银行或保险公司核实后出具书面材料予以答复。</w:t>
      </w:r>
    </w:p>
    <w:p w14:paraId="5BB3345C">
      <w:pPr>
        <w:pStyle w:val="49"/>
        <w:keepNext w:val="0"/>
        <w:keepLines w:val="0"/>
        <w:pageBreakBefore w:val="0"/>
        <w:widowControl w:val="0"/>
        <w:shd w:val="clear" w:color="auto" w:fill="auto"/>
        <w:kinsoku/>
        <w:wordWrap/>
        <w:overflowPunct/>
        <w:topLinePunct/>
        <w:autoSpaceDE/>
        <w:autoSpaceDN/>
        <w:bidi w:val="0"/>
        <w:adjustRightInd/>
        <w:spacing w:line="240" w:lineRule="auto"/>
        <w:ind w:firstLine="420" w:firstLineChars="200"/>
        <w:textAlignment w:val="auto"/>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t>17.10为支持和促进中小企业发展，进一步发挥政府采购政策功能，鼓励供应商使用电子保函代替现金缴纳磋商保证金，在线完成保函的申请、审核、开票、出函等环节，供应商企业注意区分办理保函类型，并确认响应文件有效期，如采用政采云电子保函，可登录“新疆政府采购网”—顶部通栏“信用融资”或者“新疆政府采购网”首页“政采贷｜电子保函”快捷模块查看：</w:t>
      </w:r>
    </w:p>
    <w:p w14:paraId="0EBEA599">
      <w:pPr>
        <w:pStyle w:val="49"/>
        <w:keepNext w:val="0"/>
        <w:keepLines w:val="0"/>
        <w:pageBreakBefore w:val="0"/>
        <w:widowControl w:val="0"/>
        <w:shd w:val="clear" w:color="auto" w:fill="auto"/>
        <w:kinsoku/>
        <w:wordWrap/>
        <w:overflowPunct/>
        <w:topLinePunct/>
        <w:autoSpaceDE/>
        <w:autoSpaceDN/>
        <w:bidi w:val="0"/>
        <w:adjustRightInd/>
        <w:spacing w:line="240" w:lineRule="auto"/>
        <w:ind w:firstLine="420" w:firstLineChars="200"/>
        <w:textAlignment w:val="auto"/>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t>直达链接（电子保函）：</w:t>
      </w:r>
    </w:p>
    <w:p w14:paraId="39415EA7">
      <w:pPr>
        <w:pStyle w:val="49"/>
        <w:keepNext w:val="0"/>
        <w:keepLines w:val="0"/>
        <w:pageBreakBefore w:val="0"/>
        <w:widowControl w:val="0"/>
        <w:shd w:val="clear" w:color="auto" w:fill="auto"/>
        <w:kinsoku/>
        <w:wordWrap/>
        <w:overflowPunct/>
        <w:topLinePunct/>
        <w:autoSpaceDE/>
        <w:autoSpaceDN/>
        <w:bidi w:val="0"/>
        <w:adjustRightInd/>
        <w:spacing w:line="240" w:lineRule="auto"/>
        <w:ind w:firstLine="420" w:firstLineChars="200"/>
        <w:textAlignment w:val="auto"/>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fldChar w:fldCharType="begin"/>
      </w:r>
      <w:r>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instrText xml:space="preserve"> HYPERLINK "https://jinrong.zcygov.cn/luban/finance/loan/xinjiang?pageModelFlag=650000&amp;utm=site.site-PC-42166.1718-block_comp_1709189989843012.7.ac29efd007c411f180ff0749b54be549" </w:instrText>
      </w:r>
      <w:r>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fldChar w:fldCharType="separate"/>
      </w:r>
      <w:r>
        <w:rPr>
          <w:rStyle w:val="33"/>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t>https://jinrong.zcygov.cn/luban/finance/loan/xinjiang?pageModelFlag=650000&amp;utm=site.site-PC-42166.1718-block_comp_1709189989843012.7.ac29efd007c411f180ff0749b54be549</w:t>
      </w:r>
      <w:r>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fldChar w:fldCharType="end"/>
      </w:r>
    </w:p>
    <w:p w14:paraId="2312A032">
      <w:pPr>
        <w:pStyle w:val="49"/>
        <w:keepNext w:val="0"/>
        <w:keepLines w:val="0"/>
        <w:pageBreakBefore w:val="0"/>
        <w:widowControl w:val="0"/>
        <w:shd w:val="clear" w:color="auto" w:fill="auto"/>
        <w:kinsoku/>
        <w:wordWrap/>
        <w:overflowPunct/>
        <w:topLinePunct/>
        <w:autoSpaceDE/>
        <w:autoSpaceDN/>
        <w:bidi w:val="0"/>
        <w:adjustRightInd/>
        <w:spacing w:line="240" w:lineRule="auto"/>
        <w:ind w:firstLine="420" w:firstLineChars="200"/>
        <w:textAlignment w:val="auto"/>
        <w:rPr>
          <w:rFonts w:hint="eastAsia" w:ascii="宋体" w:hAnsi="宋体" w:eastAsia="宋体" w:cs="宋体"/>
          <w:i w:val="0"/>
          <w:iCs w:val="0"/>
          <w:color w:val="000000" w:themeColor="text1"/>
          <w:kern w:val="2"/>
          <w:sz w:val="21"/>
          <w:szCs w:val="21"/>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iCs/>
          <w:color w:val="000000" w:themeColor="text1"/>
          <w:kern w:val="2"/>
          <w:sz w:val="21"/>
          <w:szCs w:val="21"/>
          <w:highlight w:val="none"/>
          <w:shd w:val="clear" w:color="auto" w:fill="FFFFFF" w:themeFill="background1"/>
          <w:lang w:val="en-US" w:eastAsia="zh-CN" w:bidi="ar-SA"/>
          <w14:textFill>
            <w14:solidFill>
              <w14:schemeClr w14:val="tx1"/>
            </w14:solidFill>
          </w14:textFill>
        </w:rPr>
        <w:t>金融服务支撑热线：</w:t>
      </w:r>
      <w:r>
        <w:rPr>
          <w:rFonts w:hint="eastAsia" w:ascii="宋体" w:hAnsi="宋体" w:eastAsia="宋体" w:cs="宋体"/>
          <w:b/>
          <w:bCs/>
          <w:iCs/>
          <w:color w:val="000000" w:themeColor="text1"/>
          <w:kern w:val="2"/>
          <w:sz w:val="21"/>
          <w:szCs w:val="21"/>
          <w:highlight w:val="none"/>
          <w:shd w:val="clear" w:color="auto" w:fill="FFFFFF" w:themeFill="background1"/>
          <w:lang w:val="en-US" w:eastAsia="zh-CN" w:bidi="ar-SA"/>
          <w14:textFill>
            <w14:solidFill>
              <w14:schemeClr w14:val="tx1"/>
            </w14:solidFill>
          </w14:textFill>
        </w:rPr>
        <w:t>95763</w:t>
      </w:r>
    </w:p>
    <w:p w14:paraId="2D0BE524">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18.响应文件的</w:t>
      </w:r>
      <w:bookmarkEnd w:id="173"/>
      <w:bookmarkEnd w:id="174"/>
      <w:bookmarkEnd w:id="175"/>
      <w:bookmarkEnd w:id="176"/>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加密</w:t>
      </w:r>
      <w:bookmarkEnd w:id="177"/>
      <w:bookmarkEnd w:id="178"/>
    </w:p>
    <w:p w14:paraId="320FC496">
      <w:pPr>
        <w:pStyle w:val="48"/>
        <w:keepNext w:val="0"/>
        <w:keepLines w:val="0"/>
        <w:pageBreakBefore w:val="0"/>
        <w:widowControl w:val="0"/>
        <w:kinsoku/>
        <w:overflowPunct/>
        <w:topLinePunct/>
        <w:bidi w:val="0"/>
        <w:ind w:firstLine="480"/>
        <w:textAlignment w:val="auto"/>
        <w:rPr>
          <w:rFonts w:hint="eastAsia" w:ascii="宋体" w:hAnsi="宋体" w:eastAsia="宋体" w:cs="宋体"/>
          <w:i w:val="0"/>
          <w:iCs w:val="0"/>
          <w:snapToGrid w:val="0"/>
          <w:color w:val="000000" w:themeColor="text1"/>
          <w:sz w:val="21"/>
          <w:szCs w:val="21"/>
          <w:highlight w:val="none"/>
          <w:lang w:val="zh-CN"/>
          <w14:textFill>
            <w14:solidFill>
              <w14:schemeClr w14:val="tx1"/>
            </w14:solidFill>
          </w14:textFill>
        </w:rPr>
      </w:pPr>
      <w:r>
        <w:rPr>
          <w:rFonts w:hint="eastAsia" w:ascii="宋体" w:hAnsi="宋体" w:eastAsia="宋体" w:cs="宋体"/>
          <w:i w:val="0"/>
          <w:iCs w:val="0"/>
          <w:snapToGrid w:val="0"/>
          <w:color w:val="000000" w:themeColor="text1"/>
          <w:sz w:val="21"/>
          <w:szCs w:val="21"/>
          <w:highlight w:val="none"/>
          <w:lang w:val="zh-CN"/>
          <w14:textFill>
            <w14:solidFill>
              <w14:schemeClr w14:val="tx1"/>
            </w14:solidFill>
          </w14:textFill>
        </w:rPr>
        <w:t>18.1供应商在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客户端</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i w:val="0"/>
          <w:iCs w:val="0"/>
          <w:snapToGrid w:val="0"/>
          <w:color w:val="000000" w:themeColor="text1"/>
          <w:sz w:val="21"/>
          <w:szCs w:val="21"/>
          <w:highlight w:val="none"/>
          <w:lang w:val="zh-CN"/>
          <w14:textFill>
            <w14:solidFill>
              <w14:schemeClr w14:val="tx1"/>
            </w14:solidFill>
          </w14:textFill>
        </w:rPr>
        <w:t>中生成响应文件并完成签章之后，使用CA证书在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客户端</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i w:val="0"/>
          <w:iCs w:val="0"/>
          <w:snapToGrid w:val="0"/>
          <w:color w:val="000000" w:themeColor="text1"/>
          <w:sz w:val="21"/>
          <w:szCs w:val="21"/>
          <w:highlight w:val="none"/>
          <w:lang w:val="zh-CN"/>
          <w14:textFill>
            <w14:solidFill>
              <w14:schemeClr w14:val="tx1"/>
            </w14:solidFill>
          </w14:textFill>
        </w:rPr>
        <w:t>中对响应文件进行加密。</w:t>
      </w:r>
    </w:p>
    <w:p w14:paraId="480680BF">
      <w:pPr>
        <w:pStyle w:val="48"/>
        <w:keepNext w:val="0"/>
        <w:keepLines w:val="0"/>
        <w:pageBreakBefore w:val="0"/>
        <w:widowControl w:val="0"/>
        <w:kinsoku/>
        <w:overflowPunct/>
        <w:topLinePunct/>
        <w:bidi w:val="0"/>
        <w:ind w:firstLine="480"/>
        <w:textAlignment w:val="auto"/>
        <w:rPr>
          <w:rFonts w:hint="eastAsia" w:ascii="宋体" w:hAnsi="宋体" w:eastAsia="宋体" w:cs="宋体"/>
          <w:i w:val="0"/>
          <w:iCs w:val="0"/>
          <w:snapToGrid w:val="0"/>
          <w:color w:val="000000" w:themeColor="text1"/>
          <w:sz w:val="21"/>
          <w:szCs w:val="21"/>
          <w:highlight w:val="none"/>
          <w:lang w:val="zh-CN"/>
          <w14:textFill>
            <w14:solidFill>
              <w14:schemeClr w14:val="tx1"/>
            </w14:solidFill>
          </w14:textFill>
        </w:rPr>
      </w:pPr>
      <w:r>
        <w:rPr>
          <w:rFonts w:hint="eastAsia" w:ascii="宋体" w:hAnsi="宋体" w:eastAsia="宋体" w:cs="宋体"/>
          <w:i w:val="0"/>
          <w:iCs w:val="0"/>
          <w:snapToGrid w:val="0"/>
          <w:color w:val="000000" w:themeColor="text1"/>
          <w:sz w:val="21"/>
          <w:szCs w:val="21"/>
          <w:highlight w:val="none"/>
          <w:lang w:val="zh-CN"/>
          <w14:textFill>
            <w14:solidFill>
              <w14:schemeClr w14:val="tx1"/>
            </w14:solidFill>
          </w14:textFill>
        </w:rPr>
        <w:t>18.2供应商应在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客户端</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i w:val="0"/>
          <w:iCs w:val="0"/>
          <w:snapToGrid w:val="0"/>
          <w:color w:val="000000" w:themeColor="text1"/>
          <w:sz w:val="21"/>
          <w:szCs w:val="21"/>
          <w:highlight w:val="none"/>
          <w:lang w:val="zh-CN"/>
          <w14:textFill>
            <w14:solidFill>
              <w14:schemeClr w14:val="tx1"/>
            </w14:solidFill>
          </w14:textFill>
        </w:rPr>
        <w:t>中对加密的响应文件进行解密验证，以防止响应文件加密异常，在开启时无法解密。</w:t>
      </w:r>
    </w:p>
    <w:p w14:paraId="3395812B">
      <w:pPr>
        <w:pStyle w:val="48"/>
        <w:keepNext w:val="0"/>
        <w:keepLines w:val="0"/>
        <w:pageBreakBefore w:val="0"/>
        <w:widowControl w:val="0"/>
        <w:kinsoku/>
        <w:overflowPunct/>
        <w:topLinePunct/>
        <w:bidi w:val="0"/>
        <w:ind w:firstLine="480"/>
        <w:textAlignment w:val="auto"/>
        <w:rPr>
          <w:rFonts w:hint="eastAsia" w:ascii="宋体" w:hAnsi="宋体" w:eastAsia="宋体" w:cs="宋体"/>
          <w:i w:val="0"/>
          <w:iCs w:val="0"/>
          <w:snapToGrid w:val="0"/>
          <w:color w:val="000000" w:themeColor="text1"/>
          <w:sz w:val="21"/>
          <w:szCs w:val="21"/>
          <w:highlight w:val="none"/>
          <w:lang w:val="zh-CN"/>
          <w14:textFill>
            <w14:solidFill>
              <w14:schemeClr w14:val="tx1"/>
            </w14:solidFill>
          </w14:textFill>
        </w:rPr>
      </w:pPr>
      <w:r>
        <w:rPr>
          <w:rFonts w:hint="eastAsia" w:ascii="宋体" w:hAnsi="宋体" w:eastAsia="宋体" w:cs="宋体"/>
          <w:i w:val="0"/>
          <w:iCs w:val="0"/>
          <w:snapToGrid w:val="0"/>
          <w:color w:val="000000" w:themeColor="text1"/>
          <w:sz w:val="21"/>
          <w:szCs w:val="21"/>
          <w:highlight w:val="none"/>
          <w:lang w:val="zh-CN"/>
          <w14:textFill>
            <w14:solidFill>
              <w14:schemeClr w14:val="tx1"/>
            </w14:solidFill>
          </w14:textFill>
        </w:rPr>
        <w:t>18.3供应商应保证加密响应文件的CA证书有效期在开启时间之前。若CA证书有效期临近开启时间，建议供应商提前办理CA证书续期，以免开启时无法进行解密。</w:t>
      </w:r>
    </w:p>
    <w:p w14:paraId="288806DD">
      <w:pPr>
        <w:keepNext w:val="0"/>
        <w:keepLines w:val="0"/>
        <w:pageBreakBefore w:val="0"/>
        <w:widowControl w:val="0"/>
        <w:kinsoku/>
        <w:wordWrap w:val="0"/>
        <w:overflowPunct/>
        <w:topLinePunct/>
        <w:autoSpaceDE/>
        <w:autoSpaceDN/>
        <w:bidi w:val="0"/>
        <w:adjustRightInd/>
        <w:snapToGrid/>
        <w:ind w:firstLine="420" w:firstLineChars="200"/>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1</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8</w:t>
      </w:r>
      <w:r>
        <w:rPr>
          <w:rFonts w:hint="eastAsia" w:ascii="宋体" w:hAnsi="宋体" w:eastAsia="宋体" w:cs="宋体"/>
          <w:i w:val="0"/>
          <w:iCs w:val="0"/>
          <w:color w:val="000000" w:themeColor="text1"/>
          <w:sz w:val="21"/>
          <w:szCs w:val="21"/>
          <w:highlight w:val="none"/>
          <w14:textFill>
            <w14:solidFill>
              <w14:schemeClr w14:val="tx1"/>
            </w14:solidFill>
          </w14:textFill>
        </w:rPr>
        <w:t>.</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i w:val="0"/>
          <w:iCs w:val="0"/>
          <w:snapToGrid w:val="0"/>
          <w:color w:val="000000" w:themeColor="text1"/>
          <w:sz w:val="21"/>
          <w:szCs w:val="21"/>
          <w:highlight w:val="none"/>
          <w:lang w:val="zh-CN"/>
          <w14:textFill>
            <w14:solidFill>
              <w14:schemeClr w14:val="tx1"/>
            </w14:solidFill>
          </w14:textFill>
        </w:rPr>
        <w:t>供应商</w:t>
      </w:r>
      <w:r>
        <w:rPr>
          <w:rFonts w:hint="eastAsia" w:ascii="宋体" w:hAnsi="宋体" w:eastAsia="宋体" w:cs="宋体"/>
          <w:i w:val="0"/>
          <w:iCs w:val="0"/>
          <w:color w:val="000000" w:themeColor="text1"/>
          <w:sz w:val="21"/>
          <w:szCs w:val="21"/>
          <w:highlight w:val="none"/>
          <w14:textFill>
            <w14:solidFill>
              <w14:schemeClr w14:val="tx1"/>
            </w14:solidFill>
          </w14:textFill>
        </w:rPr>
        <w:t>在</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文件</w:t>
      </w:r>
      <w:r>
        <w:rPr>
          <w:rFonts w:hint="eastAsia" w:ascii="宋体" w:hAnsi="宋体" w:eastAsia="宋体" w:cs="宋体"/>
          <w:i w:val="0"/>
          <w:iCs w:val="0"/>
          <w:color w:val="000000" w:themeColor="text1"/>
          <w:sz w:val="21"/>
          <w:szCs w:val="21"/>
          <w:highlight w:val="none"/>
          <w14:textFill>
            <w14:solidFill>
              <w14:schemeClr w14:val="tx1"/>
            </w14:solidFill>
          </w14:textFill>
        </w:rPr>
        <w:t>递交截</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止</w:t>
      </w:r>
      <w:r>
        <w:rPr>
          <w:rFonts w:hint="eastAsia" w:ascii="宋体" w:hAnsi="宋体" w:eastAsia="宋体" w:cs="宋体"/>
          <w:i w:val="0"/>
          <w:iCs w:val="0"/>
          <w:color w:val="000000" w:themeColor="text1"/>
          <w:sz w:val="21"/>
          <w:szCs w:val="21"/>
          <w:highlight w:val="none"/>
          <w14:textFill>
            <w14:solidFill>
              <w14:schemeClr w14:val="tx1"/>
            </w14:solidFill>
          </w14:textFill>
        </w:rPr>
        <w:t>时间前通过</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新疆政府采购网</w:t>
      </w:r>
      <w:r>
        <w:rPr>
          <w:rFonts w:hint="eastAsia" w:ascii="宋体" w:hAnsi="宋体" w:eastAsia="宋体" w:cs="宋体"/>
          <w:i w:val="0"/>
          <w:iCs w:val="0"/>
          <w:color w:val="000000" w:themeColor="text1"/>
          <w:sz w:val="21"/>
          <w:szCs w:val="21"/>
          <w:highlight w:val="none"/>
          <w14:textFill>
            <w14:solidFill>
              <w14:schemeClr w14:val="tx1"/>
            </w14:solidFill>
          </w14:textFill>
        </w:rPr>
        <w:t>（http://ccgp-bingtuan.gov.cn/）的”政采云登录入口”登录后，将加密电子</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文件</w:t>
      </w:r>
      <w:r>
        <w:rPr>
          <w:rFonts w:hint="eastAsia" w:ascii="宋体" w:hAnsi="宋体" w:eastAsia="宋体" w:cs="宋体"/>
          <w:i w:val="0"/>
          <w:iCs w:val="0"/>
          <w:color w:val="000000" w:themeColor="text1"/>
          <w:sz w:val="21"/>
          <w:szCs w:val="21"/>
          <w:highlight w:val="none"/>
          <w14:textFill>
            <w14:solidFill>
              <w14:schemeClr w14:val="tx1"/>
            </w14:solidFill>
          </w14:textFill>
        </w:rPr>
        <w:t>（为.jmbs后缀格式）上传到对应项目的指定位置</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i w:val="0"/>
          <w:iCs w:val="0"/>
          <w:color w:val="000000" w:themeColor="text1"/>
          <w:sz w:val="21"/>
          <w:szCs w:val="21"/>
          <w:highlight w:val="none"/>
          <w14:textFill>
            <w14:solidFill>
              <w14:schemeClr w14:val="tx1"/>
            </w14:solidFill>
          </w14:textFill>
        </w:rPr>
        <w:t>认为有必要提交的其他资料请于</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文件</w:t>
      </w:r>
      <w:r>
        <w:rPr>
          <w:rFonts w:hint="eastAsia" w:ascii="宋体" w:hAnsi="宋体" w:eastAsia="宋体" w:cs="宋体"/>
          <w:i w:val="0"/>
          <w:iCs w:val="0"/>
          <w:color w:val="000000" w:themeColor="text1"/>
          <w:sz w:val="21"/>
          <w:szCs w:val="21"/>
          <w:highlight w:val="none"/>
          <w14:textFill>
            <w14:solidFill>
              <w14:schemeClr w14:val="tx1"/>
            </w14:solidFill>
          </w14:textFill>
        </w:rPr>
        <w:t>递交截止时间前一并提交。</w:t>
      </w:r>
    </w:p>
    <w:p w14:paraId="267905FA">
      <w:pPr>
        <w:keepNext w:val="0"/>
        <w:keepLines w:val="0"/>
        <w:pageBreakBefore w:val="0"/>
        <w:widowControl w:val="0"/>
        <w:kinsoku/>
        <w:overflowPunct/>
        <w:topLinePunct/>
        <w:autoSpaceDE/>
        <w:autoSpaceDN/>
        <w:bidi w:val="0"/>
        <w:adjustRightInd/>
        <w:ind w:firstLine="420" w:firstLineChars="200"/>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1</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8</w:t>
      </w:r>
      <w:r>
        <w:rPr>
          <w:rFonts w:hint="eastAsia" w:ascii="宋体" w:hAnsi="宋体" w:eastAsia="宋体" w:cs="宋体"/>
          <w:i w:val="0"/>
          <w:iCs w:val="0"/>
          <w:color w:val="000000" w:themeColor="text1"/>
          <w:sz w:val="21"/>
          <w:szCs w:val="21"/>
          <w:highlight w:val="none"/>
          <w14:textFill>
            <w14:solidFill>
              <w14:schemeClr w14:val="tx1"/>
            </w14:solidFill>
          </w14:textFill>
        </w:rPr>
        <w:t>.</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i w:val="0"/>
          <w:iCs w:val="0"/>
          <w:color w:val="000000" w:themeColor="text1"/>
          <w:sz w:val="21"/>
          <w:szCs w:val="21"/>
          <w:highlight w:val="none"/>
          <w14:textFill>
            <w14:solidFill>
              <w14:schemeClr w14:val="tx1"/>
            </w14:solidFill>
          </w14:textFill>
        </w:rPr>
        <w:t>如果</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i w:val="0"/>
          <w:iCs w:val="0"/>
          <w:color w:val="000000" w:themeColor="text1"/>
          <w:sz w:val="21"/>
          <w:szCs w:val="21"/>
          <w:highlight w:val="none"/>
          <w14:textFill>
            <w14:solidFill>
              <w14:schemeClr w14:val="tx1"/>
            </w14:solidFill>
          </w14:textFill>
        </w:rPr>
        <w:t>未按上述要求</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加密并上传</w:t>
      </w:r>
      <w:r>
        <w:rPr>
          <w:rFonts w:hint="eastAsia" w:ascii="宋体" w:hAnsi="宋体" w:eastAsia="宋体" w:cs="宋体"/>
          <w:i w:val="0"/>
          <w:iCs w:val="0"/>
          <w:color w:val="000000" w:themeColor="text1"/>
          <w:sz w:val="21"/>
          <w:szCs w:val="21"/>
          <w:highlight w:val="none"/>
          <w14:textFill>
            <w14:solidFill>
              <w14:schemeClr w14:val="tx1"/>
            </w14:solidFill>
          </w14:textFill>
        </w:rPr>
        <w:t>，采购代理机构对</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i w:val="0"/>
          <w:iCs w:val="0"/>
          <w:color w:val="000000" w:themeColor="text1"/>
          <w:sz w:val="21"/>
          <w:szCs w:val="21"/>
          <w:highlight w:val="none"/>
          <w14:textFill>
            <w14:solidFill>
              <w14:schemeClr w14:val="tx1"/>
            </w14:solidFill>
          </w14:textFill>
        </w:rPr>
        <w:t>文件的误投</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无法解密、传输错误等问题</w:t>
      </w:r>
      <w:r>
        <w:rPr>
          <w:rFonts w:hint="eastAsia" w:ascii="宋体" w:hAnsi="宋体" w:eastAsia="宋体" w:cs="宋体"/>
          <w:i w:val="0"/>
          <w:iCs w:val="0"/>
          <w:color w:val="000000" w:themeColor="text1"/>
          <w:sz w:val="21"/>
          <w:szCs w:val="21"/>
          <w:highlight w:val="none"/>
          <w14:textFill>
            <w14:solidFill>
              <w14:schemeClr w14:val="tx1"/>
            </w14:solidFill>
          </w14:textFill>
        </w:rPr>
        <w:t>概不负责。对由此造成</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无法正常开启</w:t>
      </w:r>
      <w:r>
        <w:rPr>
          <w:rFonts w:hint="eastAsia" w:ascii="宋体" w:hAnsi="宋体" w:eastAsia="宋体" w:cs="宋体"/>
          <w:i w:val="0"/>
          <w:iCs w:val="0"/>
          <w:color w:val="000000" w:themeColor="text1"/>
          <w:sz w:val="21"/>
          <w:szCs w:val="21"/>
          <w:highlight w:val="none"/>
          <w14:textFill>
            <w14:solidFill>
              <w14:schemeClr w14:val="tx1"/>
            </w14:solidFill>
          </w14:textFill>
        </w:rPr>
        <w:t>的</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i w:val="0"/>
          <w:iCs w:val="0"/>
          <w:color w:val="000000" w:themeColor="text1"/>
          <w:sz w:val="21"/>
          <w:szCs w:val="21"/>
          <w:highlight w:val="none"/>
          <w14:textFill>
            <w14:solidFill>
              <w14:schemeClr w14:val="tx1"/>
            </w14:solidFill>
          </w14:textFill>
        </w:rPr>
        <w:t>文件，采购代理机构有权予以拒绝，并退回</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i w:val="0"/>
          <w:iCs w:val="0"/>
          <w:color w:val="000000" w:themeColor="text1"/>
          <w:sz w:val="21"/>
          <w:szCs w:val="21"/>
          <w:highlight w:val="none"/>
          <w14:textFill>
            <w14:solidFill>
              <w14:schemeClr w14:val="tx1"/>
            </w14:solidFill>
          </w14:textFill>
        </w:rPr>
        <w:t>。</w:t>
      </w:r>
    </w:p>
    <w:p w14:paraId="66658202">
      <w:pPr>
        <w:pStyle w:val="48"/>
        <w:keepNext w:val="0"/>
        <w:keepLines w:val="0"/>
        <w:pageBreakBefore w:val="0"/>
        <w:widowControl w:val="0"/>
        <w:kinsoku/>
        <w:overflowPunct/>
        <w:topLinePunct/>
        <w:bidi w:val="0"/>
        <w:ind w:firstLine="480"/>
        <w:textAlignment w:val="auto"/>
        <w:rPr>
          <w:rFonts w:hint="eastAsia" w:cs="仿宋_GB2312"/>
          <w:i w:val="0"/>
          <w:iCs w:val="0"/>
          <w:color w:val="000000" w:themeColor="text1"/>
          <w:szCs w:val="24"/>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1</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8</w:t>
      </w:r>
      <w:r>
        <w:rPr>
          <w:rFonts w:hint="eastAsia" w:ascii="宋体" w:hAnsi="宋体" w:eastAsia="宋体" w:cs="宋体"/>
          <w:i w:val="0"/>
          <w:iCs w:val="0"/>
          <w:color w:val="000000" w:themeColor="text1"/>
          <w:sz w:val="21"/>
          <w:szCs w:val="21"/>
          <w:highlight w:val="none"/>
          <w14:textFill>
            <w14:solidFill>
              <w14:schemeClr w14:val="tx1"/>
            </w14:solidFill>
          </w14:textFill>
        </w:rPr>
        <w:t>.</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i w:val="0"/>
          <w:iCs w:val="0"/>
          <w:color w:val="000000" w:themeColor="text1"/>
          <w:sz w:val="21"/>
          <w:szCs w:val="21"/>
          <w:highlight w:val="none"/>
          <w14:textFill>
            <w14:solidFill>
              <w14:schemeClr w14:val="tx1"/>
            </w14:solidFill>
          </w14:textFill>
        </w:rPr>
        <w:t>本项目采用不见面开</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启</w:t>
      </w:r>
      <w:r>
        <w:rPr>
          <w:rFonts w:hint="eastAsia" w:ascii="宋体" w:hAnsi="宋体" w:eastAsia="宋体" w:cs="宋体"/>
          <w:i w:val="0"/>
          <w:iCs w:val="0"/>
          <w:color w:val="000000" w:themeColor="text1"/>
          <w:sz w:val="21"/>
          <w:szCs w:val="21"/>
          <w:highlight w:val="none"/>
          <w14:textFill>
            <w14:solidFill>
              <w14:schemeClr w14:val="tx1"/>
            </w14:solidFill>
          </w14:textFill>
        </w:rPr>
        <w:t>方式，无需提供电子</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i w:val="0"/>
          <w:iCs w:val="0"/>
          <w:color w:val="000000" w:themeColor="text1"/>
          <w:sz w:val="21"/>
          <w:szCs w:val="21"/>
          <w:highlight w:val="none"/>
          <w14:textFill>
            <w14:solidFill>
              <w14:schemeClr w14:val="tx1"/>
            </w14:solidFill>
          </w14:textFill>
        </w:rPr>
        <w:t>文件U盘。</w:t>
      </w:r>
    </w:p>
    <w:p w14:paraId="5042D1CC">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19.响应文件的</w:t>
      </w:r>
      <w:bookmarkEnd w:id="179"/>
      <w:bookmarkEnd w:id="180"/>
      <w:bookmarkEnd w:id="181"/>
      <w:bookmarkEnd w:id="182"/>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递交</w:t>
      </w:r>
      <w:bookmarkEnd w:id="183"/>
      <w:bookmarkEnd w:id="184"/>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（上传）</w:t>
      </w:r>
    </w:p>
    <w:p w14:paraId="29EE33F2">
      <w:pPr>
        <w:keepNext w:val="0"/>
        <w:keepLines w:val="0"/>
        <w:pageBreakBefore w:val="0"/>
        <w:widowControl w:val="0"/>
        <w:kinsoku/>
        <w:overflowPunct/>
        <w:topLinePunct/>
        <w:bidi w:val="0"/>
        <w:ind w:firstLine="420" w:firstLineChars="200"/>
        <w:textAlignment w:val="auto"/>
        <w:rPr>
          <w:rFonts w:cs="仿宋_GB2312"/>
          <w:i w:val="0"/>
          <w:iCs w:val="0"/>
          <w:color w:val="000000" w:themeColor="text1"/>
          <w:szCs w:val="24"/>
          <w:highlight w:val="none"/>
          <w14:textFill>
            <w14:solidFill>
              <w14:schemeClr w14:val="tx1"/>
            </w14:solidFill>
          </w14:textFill>
        </w:rPr>
      </w:pPr>
      <w:r>
        <w:rPr>
          <w:rFonts w:hint="eastAsia" w:cs="仿宋_GB2312"/>
          <w:i w:val="0"/>
          <w:iCs w:val="0"/>
          <w:color w:val="000000" w:themeColor="text1"/>
          <w:szCs w:val="24"/>
          <w:highlight w:val="none"/>
          <w14:textFill>
            <w14:solidFill>
              <w14:schemeClr w14:val="tx1"/>
            </w14:solidFill>
          </w14:textFill>
        </w:rPr>
        <w:t>19.1供应商应在“</w:t>
      </w:r>
      <w:r>
        <w:rPr>
          <w:rFonts w:hint="eastAsia" w:cs="仿宋_GB2312"/>
          <w:i w:val="0"/>
          <w:iCs w:val="0"/>
          <w:color w:val="000000" w:themeColor="text1"/>
          <w:szCs w:val="24"/>
          <w:highlight w:val="none"/>
          <w:lang w:val="en-US" w:eastAsia="zh-CN"/>
          <w14:textFill>
            <w14:solidFill>
              <w14:schemeClr w14:val="tx1"/>
            </w14:solidFill>
          </w14:textFill>
        </w:rPr>
        <w:t>第一章竞争性磋商公告</w:t>
      </w:r>
      <w:r>
        <w:rPr>
          <w:rFonts w:hint="eastAsia" w:cs="仿宋_GB2312"/>
          <w:i w:val="0"/>
          <w:iCs w:val="0"/>
          <w:color w:val="000000" w:themeColor="text1"/>
          <w:szCs w:val="24"/>
          <w:highlight w:val="none"/>
          <w14:textFill>
            <w14:solidFill>
              <w14:schemeClr w14:val="tx1"/>
            </w14:solidFill>
          </w14:textFill>
        </w:rPr>
        <w:t>”规定的响应文件递交截止时间前递交（上传）响应文件。</w:t>
      </w:r>
    </w:p>
    <w:p w14:paraId="76559204">
      <w:pPr>
        <w:keepNext w:val="0"/>
        <w:keepLines w:val="0"/>
        <w:pageBreakBefore w:val="0"/>
        <w:widowControl w:val="0"/>
        <w:kinsoku/>
        <w:overflowPunct/>
        <w:topLinePunct/>
        <w:bidi w:val="0"/>
        <w:ind w:firstLine="420" w:firstLineChars="200"/>
        <w:textAlignment w:val="auto"/>
        <w:rPr>
          <w:rFonts w:cs="仿宋_GB2312"/>
          <w:i w:val="0"/>
          <w:iCs w:val="0"/>
          <w:color w:val="000000" w:themeColor="text1"/>
          <w:szCs w:val="24"/>
          <w:highlight w:val="none"/>
          <w14:textFill>
            <w14:solidFill>
              <w14:schemeClr w14:val="tx1"/>
            </w14:solidFill>
          </w14:textFill>
        </w:rPr>
      </w:pPr>
      <w:r>
        <w:rPr>
          <w:rFonts w:hint="eastAsia" w:cs="仿宋_GB2312"/>
          <w:i w:val="0"/>
          <w:iCs w:val="0"/>
          <w:color w:val="000000" w:themeColor="text1"/>
          <w:szCs w:val="24"/>
          <w:highlight w:val="none"/>
          <w14:textFill>
            <w14:solidFill>
              <w14:schemeClr w14:val="tx1"/>
            </w14:solidFill>
          </w14:textFill>
        </w:rPr>
        <w:t>19.2供应商递交（上传）响应文件的地点见“</w:t>
      </w:r>
      <w:r>
        <w:rPr>
          <w:rFonts w:hint="eastAsia" w:cs="仿宋_GB2312"/>
          <w:i w:val="0"/>
          <w:iCs w:val="0"/>
          <w:color w:val="000000" w:themeColor="text1"/>
          <w:szCs w:val="24"/>
          <w:highlight w:val="none"/>
          <w:lang w:val="en-US" w:eastAsia="zh-CN"/>
          <w14:textFill>
            <w14:solidFill>
              <w14:schemeClr w14:val="tx1"/>
            </w14:solidFill>
          </w14:textFill>
        </w:rPr>
        <w:t>第一章竞争性磋商公告</w:t>
      </w:r>
      <w:r>
        <w:rPr>
          <w:rFonts w:hint="eastAsia" w:cs="仿宋_GB2312"/>
          <w:i w:val="0"/>
          <w:iCs w:val="0"/>
          <w:color w:val="000000" w:themeColor="text1"/>
          <w:szCs w:val="24"/>
          <w:highlight w:val="none"/>
          <w14:textFill>
            <w14:solidFill>
              <w14:schemeClr w14:val="tx1"/>
            </w14:solidFill>
          </w14:textFill>
        </w:rPr>
        <w:t>”。</w:t>
      </w:r>
    </w:p>
    <w:p w14:paraId="3062C279">
      <w:pPr>
        <w:keepNext w:val="0"/>
        <w:keepLines w:val="0"/>
        <w:pageBreakBefore w:val="0"/>
        <w:widowControl w:val="0"/>
        <w:kinsoku/>
        <w:overflowPunct/>
        <w:topLinePunct/>
        <w:bidi w:val="0"/>
        <w:ind w:firstLine="420" w:firstLineChars="200"/>
        <w:textAlignment w:val="auto"/>
        <w:rPr>
          <w:rFonts w:cs="仿宋_GB2312"/>
          <w:i w:val="0"/>
          <w:iCs w:val="0"/>
          <w:color w:val="000000" w:themeColor="text1"/>
          <w:szCs w:val="24"/>
          <w:highlight w:val="none"/>
          <w14:textFill>
            <w14:solidFill>
              <w14:schemeClr w14:val="tx1"/>
            </w14:solidFill>
          </w14:textFill>
        </w:rPr>
      </w:pPr>
      <w:r>
        <w:rPr>
          <w:rFonts w:hint="eastAsia" w:cs="仿宋_GB2312"/>
          <w:i w:val="0"/>
          <w:iCs w:val="0"/>
          <w:color w:val="000000" w:themeColor="text1"/>
          <w:szCs w:val="24"/>
          <w:highlight w:val="none"/>
          <w14:textFill>
            <w14:solidFill>
              <w14:schemeClr w14:val="tx1"/>
            </w14:solidFill>
          </w14:textFill>
        </w:rPr>
        <w:t>19.3供应商应充分评估集中同时递交响应文件带来的网络影响，尽量避开递交响应文件高峰时间，错峰进行递交。供应商递交全部的响应文件后可在政采云平台（项目采购</w:t>
      </w:r>
      <w:r>
        <w:rPr>
          <w:rFonts w:hint="eastAsia" w:cs="仿宋_GB2312"/>
          <w:i w:val="0"/>
          <w:iCs w:val="0"/>
          <w:color w:val="000000" w:themeColor="text1"/>
          <w:szCs w:val="24"/>
          <w:highlight w:val="none"/>
          <w:lang w:eastAsia="zh-CN"/>
          <w14:textFill>
            <w14:solidFill>
              <w14:schemeClr w14:val="tx1"/>
            </w14:solidFill>
          </w14:textFill>
        </w:rPr>
        <w:t>—</w:t>
      </w:r>
      <w:r>
        <w:rPr>
          <w:rFonts w:hint="eastAsia" w:cs="仿宋_GB2312"/>
          <w:i w:val="0"/>
          <w:iCs w:val="0"/>
          <w:color w:val="000000" w:themeColor="text1"/>
          <w:szCs w:val="24"/>
          <w:highlight w:val="none"/>
          <w14:textFill>
            <w14:solidFill>
              <w14:schemeClr w14:val="tx1"/>
            </w14:solidFill>
          </w14:textFill>
        </w:rPr>
        <w:t>投标文件上传）中获取响应文件递交回执单。</w:t>
      </w:r>
    </w:p>
    <w:p w14:paraId="458B28A3">
      <w:pPr>
        <w:keepNext w:val="0"/>
        <w:keepLines w:val="0"/>
        <w:pageBreakBefore w:val="0"/>
        <w:widowControl w:val="0"/>
        <w:kinsoku/>
        <w:overflowPunct/>
        <w:topLinePunct/>
        <w:bidi w:val="0"/>
        <w:ind w:firstLine="420" w:firstLineChars="200"/>
        <w:textAlignment w:val="auto"/>
        <w:rPr>
          <w:rFonts w:cs="仿宋_GB2312"/>
          <w:i w:val="0"/>
          <w:iCs w:val="0"/>
          <w:color w:val="000000" w:themeColor="text1"/>
          <w:szCs w:val="24"/>
          <w:highlight w:val="none"/>
          <w14:textFill>
            <w14:solidFill>
              <w14:schemeClr w14:val="tx1"/>
            </w14:solidFill>
          </w14:textFill>
        </w:rPr>
      </w:pPr>
      <w:r>
        <w:rPr>
          <w:rFonts w:hint="eastAsia" w:cs="仿宋_GB2312"/>
          <w:i w:val="0"/>
          <w:iCs w:val="0"/>
          <w:color w:val="000000" w:themeColor="text1"/>
          <w:szCs w:val="24"/>
          <w:highlight w:val="none"/>
          <w14:textFill>
            <w14:solidFill>
              <w14:schemeClr w14:val="tx1"/>
            </w14:solidFill>
          </w14:textFill>
        </w:rPr>
        <w:t>19.4供应商应在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客户端</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14:textFill>
            <w14:solidFill>
              <w14:schemeClr w14:val="tx1"/>
            </w14:solidFill>
          </w14:textFill>
        </w:rPr>
        <w:t>中下</w:t>
      </w:r>
      <w:r>
        <w:rPr>
          <w:rFonts w:hint="eastAsia" w:cs="仿宋_GB2312"/>
          <w:i w:val="0"/>
          <w:iCs w:val="0"/>
          <w:color w:val="000000" w:themeColor="text1"/>
          <w:szCs w:val="24"/>
          <w:highlight w:val="none"/>
          <w14:textFill>
            <w14:solidFill>
              <w14:schemeClr w14:val="tx1"/>
            </w14:solidFill>
          </w14:textFill>
        </w:rPr>
        <w:t>载未加密且完成签章的响应文件妥善保存，以便启动应急开启程序时使用。</w:t>
      </w:r>
    </w:p>
    <w:p w14:paraId="5253DE6E">
      <w:pPr>
        <w:keepNext w:val="0"/>
        <w:keepLines w:val="0"/>
        <w:pageBreakBefore w:val="0"/>
        <w:widowControl w:val="0"/>
        <w:kinsoku/>
        <w:overflowPunct/>
        <w:topLinePunct/>
        <w:bidi w:val="0"/>
        <w:ind w:firstLine="420" w:firstLineChars="200"/>
        <w:textAlignment w:val="auto"/>
        <w:rPr>
          <w:rFonts w:hint="eastAsia" w:cs="仿宋_GB2312"/>
          <w:i w:val="0"/>
          <w:iCs w:val="0"/>
          <w:color w:val="000000" w:themeColor="text1"/>
          <w:szCs w:val="24"/>
          <w:highlight w:val="none"/>
          <w14:textFill>
            <w14:solidFill>
              <w14:schemeClr w14:val="tx1"/>
            </w14:solidFill>
          </w14:textFill>
        </w:rPr>
      </w:pPr>
      <w:r>
        <w:rPr>
          <w:rFonts w:hint="eastAsia" w:cs="仿宋_GB2312"/>
          <w:i w:val="0"/>
          <w:iCs w:val="0"/>
          <w:color w:val="000000" w:themeColor="text1"/>
          <w:szCs w:val="24"/>
          <w:highlight w:val="none"/>
          <w14:textFill>
            <w14:solidFill>
              <w14:schemeClr w14:val="tx1"/>
            </w14:solidFill>
          </w14:textFill>
        </w:rPr>
        <w:t>19.5供应商所递交的响应文件不予退还。</w:t>
      </w:r>
    </w:p>
    <w:p w14:paraId="521BF6EF">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185" w:name="_Toc155095709"/>
      <w:bookmarkStart w:id="186" w:name="_Toc156490298"/>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20.拒收</w:t>
      </w:r>
      <w:bookmarkEnd w:id="185"/>
      <w:bookmarkEnd w:id="186"/>
    </w:p>
    <w:p w14:paraId="3921762F">
      <w:pPr>
        <w:pStyle w:val="48"/>
        <w:keepNext w:val="0"/>
        <w:keepLines w:val="0"/>
        <w:pageBreakBefore w:val="0"/>
        <w:widowControl w:val="0"/>
        <w:kinsoku/>
        <w:overflowPunct/>
        <w:topLinePunct/>
        <w:bidi w:val="0"/>
        <w:ind w:firstLine="480"/>
        <w:textAlignment w:val="auto"/>
        <w:rPr>
          <w:rFonts w:hint="eastAsia" w:ascii="宋体" w:hAnsi="宋体" w:eastAsia="宋体" w:cs="宋体"/>
          <w:i w:val="0"/>
          <w:iCs w:val="0"/>
          <w:snapToGrid w:val="0"/>
          <w:color w:val="000000" w:themeColor="text1"/>
          <w:highlight w:val="none"/>
          <w:lang w:val="zh-CN"/>
          <w14:textFill>
            <w14:solidFill>
              <w14:schemeClr w14:val="tx1"/>
            </w14:solidFill>
          </w14:textFill>
        </w:rPr>
      </w:pPr>
      <w:r>
        <w:rPr>
          <w:rFonts w:hint="eastAsia" w:ascii="宋体" w:hAnsi="宋体" w:eastAsia="宋体" w:cs="宋体"/>
          <w:i w:val="0"/>
          <w:iCs w:val="0"/>
          <w:snapToGrid w:val="0"/>
          <w:color w:val="000000" w:themeColor="text1"/>
          <w:highlight w:val="none"/>
          <w:lang w:val="zh-CN"/>
          <w14:textFill>
            <w14:solidFill>
              <w14:schemeClr w14:val="tx1"/>
            </w14:solidFill>
          </w14:textFill>
        </w:rPr>
        <w:t>20.1超过递交响应文件的截止时间或者不按照本章要求加密的响应文件，交易系统应当拒收。</w:t>
      </w:r>
    </w:p>
    <w:p w14:paraId="4F78446F">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187" w:name="_Toc156490299"/>
      <w:bookmarkStart w:id="188" w:name="_Toc109899654"/>
      <w:bookmarkStart w:id="189" w:name="_Toc155095710"/>
      <w:bookmarkStart w:id="190" w:name="_Toc109897555"/>
      <w:bookmarkStart w:id="191" w:name="_Toc109900073"/>
      <w:bookmarkStart w:id="192" w:name="_Toc109900492"/>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21.响应文件的修改与撤回</w:t>
      </w:r>
      <w:bookmarkEnd w:id="187"/>
      <w:bookmarkEnd w:id="188"/>
      <w:bookmarkEnd w:id="189"/>
      <w:bookmarkEnd w:id="190"/>
      <w:bookmarkEnd w:id="191"/>
      <w:bookmarkEnd w:id="192"/>
    </w:p>
    <w:p w14:paraId="0B33BE42">
      <w:pPr>
        <w:pStyle w:val="48"/>
        <w:keepNext w:val="0"/>
        <w:keepLines w:val="0"/>
        <w:pageBreakBefore w:val="0"/>
        <w:widowControl w:val="0"/>
        <w:kinsoku/>
        <w:overflowPunct/>
        <w:topLinePunct/>
        <w:bidi w:val="0"/>
        <w:ind w:firstLine="480"/>
        <w:textAlignment w:val="auto"/>
        <w:rPr>
          <w:rFonts w:hint="eastAsia" w:ascii="宋体" w:hAnsi="宋体" w:eastAsia="宋体" w:cs="宋体"/>
          <w:i w:val="0"/>
          <w:iCs w:val="0"/>
          <w:snapToGrid w:val="0"/>
          <w:color w:val="000000" w:themeColor="text1"/>
          <w:highlight w:val="none"/>
          <w:lang w:val="zh-CN"/>
          <w14:textFill>
            <w14:solidFill>
              <w14:schemeClr w14:val="tx1"/>
            </w14:solidFill>
          </w14:textFill>
        </w:rPr>
      </w:pPr>
      <w:r>
        <w:rPr>
          <w:rFonts w:hint="eastAsia" w:ascii="宋体" w:hAnsi="宋体" w:eastAsia="宋体" w:cs="宋体"/>
          <w:i w:val="0"/>
          <w:iCs w:val="0"/>
          <w:snapToGrid w:val="0"/>
          <w:color w:val="000000" w:themeColor="text1"/>
          <w:highlight w:val="none"/>
          <w:lang w:val="zh-CN"/>
          <w14:textFill>
            <w14:solidFill>
              <w14:schemeClr w14:val="tx1"/>
            </w14:solidFill>
          </w14:textFill>
        </w:rPr>
        <w:t>2</w:t>
      </w:r>
      <w:r>
        <w:rPr>
          <w:rFonts w:hint="eastAsia" w:ascii="宋体" w:hAnsi="宋体" w:eastAsia="宋体" w:cs="宋体"/>
          <w:i w:val="0"/>
          <w:iCs w:val="0"/>
          <w:snapToGrid w:val="0"/>
          <w:color w:val="000000" w:themeColor="text1"/>
          <w:highlight w:val="none"/>
          <w:lang w:val="zh-CN" w:eastAsia="zh-CN"/>
          <w14:textFill>
            <w14:solidFill>
              <w14:schemeClr w14:val="tx1"/>
            </w14:solidFill>
          </w14:textFill>
        </w:rPr>
        <w:t>1</w:t>
      </w:r>
      <w:r>
        <w:rPr>
          <w:rFonts w:hint="eastAsia" w:ascii="宋体" w:hAnsi="宋体" w:eastAsia="宋体" w:cs="宋体"/>
          <w:i w:val="0"/>
          <w:iCs w:val="0"/>
          <w:snapToGrid w:val="0"/>
          <w:color w:val="000000" w:themeColor="text1"/>
          <w:highlight w:val="none"/>
          <w:lang w:val="zh-CN"/>
          <w14:textFill>
            <w14:solidFill>
              <w14:schemeClr w14:val="tx1"/>
            </w14:solidFill>
          </w14:textFill>
        </w:rPr>
        <w:t>.1</w:t>
      </w:r>
      <w:bookmarkStart w:id="193" w:name="_Hlk143532466"/>
      <w:r>
        <w:rPr>
          <w:rFonts w:hint="eastAsia" w:ascii="宋体" w:hAnsi="宋体" w:eastAsia="宋体" w:cs="宋体"/>
          <w:i w:val="0"/>
          <w:iCs w:val="0"/>
          <w:snapToGrid w:val="0"/>
          <w:color w:val="000000" w:themeColor="text1"/>
          <w:highlight w:val="none"/>
          <w:lang w:val="zh-CN" w:eastAsia="zh-CN"/>
          <w14:textFill>
            <w14:solidFill>
              <w14:schemeClr w14:val="tx1"/>
            </w14:solidFill>
          </w14:textFill>
        </w:rPr>
        <w:t>供应商</w:t>
      </w:r>
      <w:r>
        <w:rPr>
          <w:rFonts w:hint="eastAsia" w:ascii="宋体" w:hAnsi="宋体" w:eastAsia="宋体" w:cs="宋体"/>
          <w:i w:val="0"/>
          <w:iCs w:val="0"/>
          <w:snapToGrid w:val="0"/>
          <w:color w:val="000000" w:themeColor="text1"/>
          <w:highlight w:val="none"/>
          <w:lang w:val="zh-CN"/>
          <w14:textFill>
            <w14:solidFill>
              <w14:schemeClr w14:val="tx1"/>
            </w14:solidFill>
          </w14:textFill>
        </w:rPr>
        <w:t>在</w:t>
      </w:r>
      <w:r>
        <w:rPr>
          <w:rFonts w:hint="eastAsia" w:ascii="宋体" w:hAnsi="宋体" w:eastAsia="宋体" w:cs="宋体"/>
          <w:i w:val="0"/>
          <w:iCs w:val="0"/>
          <w:snapToGrid w:val="0"/>
          <w:color w:val="000000" w:themeColor="text1"/>
          <w:highlight w:val="none"/>
          <w:lang w:val="zh-CN" w:eastAsia="zh-CN"/>
          <w14:textFill>
            <w14:solidFill>
              <w14:schemeClr w14:val="tx1"/>
            </w14:solidFill>
          </w14:textFill>
        </w:rPr>
        <w:t>“</w:t>
      </w:r>
      <w:r>
        <w:rPr>
          <w:rFonts w:hint="eastAsia" w:ascii="宋体" w:hAnsi="宋体" w:eastAsia="宋体" w:cs="宋体"/>
          <w:i w:val="0"/>
          <w:iCs w:val="0"/>
          <w:color w:val="000000" w:themeColor="text1"/>
          <w:szCs w:val="24"/>
          <w:highlight w:val="none"/>
          <w:lang w:val="en-US" w:eastAsia="zh-CN"/>
          <w14:textFill>
            <w14:solidFill>
              <w14:schemeClr w14:val="tx1"/>
            </w14:solidFill>
          </w14:textFill>
        </w:rPr>
        <w:t>第一章竞争性磋商公告</w:t>
      </w:r>
      <w:r>
        <w:rPr>
          <w:rFonts w:hint="eastAsia" w:ascii="宋体" w:hAnsi="宋体" w:eastAsia="宋体" w:cs="宋体"/>
          <w:i w:val="0"/>
          <w:iCs w:val="0"/>
          <w:snapToGrid w:val="0"/>
          <w:color w:val="000000" w:themeColor="text1"/>
          <w:highlight w:val="none"/>
          <w:lang w:val="zh-CN" w:eastAsia="zh-CN"/>
          <w14:textFill>
            <w14:solidFill>
              <w14:schemeClr w14:val="tx1"/>
            </w14:solidFill>
          </w14:textFill>
        </w:rPr>
        <w:t>”</w:t>
      </w:r>
      <w:r>
        <w:rPr>
          <w:rFonts w:hint="eastAsia" w:ascii="宋体" w:hAnsi="宋体" w:eastAsia="宋体" w:cs="宋体"/>
          <w:i w:val="0"/>
          <w:iCs w:val="0"/>
          <w:snapToGrid w:val="0"/>
          <w:color w:val="000000" w:themeColor="text1"/>
          <w:highlight w:val="none"/>
          <w:lang w:val="zh-CN"/>
          <w14:textFill>
            <w14:solidFill>
              <w14:schemeClr w14:val="tx1"/>
            </w14:solidFill>
          </w14:textFill>
        </w:rPr>
        <w:t>规定的</w:t>
      </w: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响应</w:t>
      </w:r>
      <w:r>
        <w:rPr>
          <w:rFonts w:hint="eastAsia" w:ascii="宋体" w:hAnsi="宋体" w:eastAsia="宋体" w:cs="宋体"/>
          <w:i w:val="0"/>
          <w:iCs w:val="0"/>
          <w:snapToGrid w:val="0"/>
          <w:color w:val="000000" w:themeColor="text1"/>
          <w:highlight w:val="none"/>
          <w:lang w:val="zh-CN" w:eastAsia="zh-CN"/>
          <w14:textFill>
            <w14:solidFill>
              <w14:schemeClr w14:val="tx1"/>
            </w14:solidFill>
          </w14:textFill>
        </w:rPr>
        <w:t>文件</w:t>
      </w:r>
      <w:r>
        <w:rPr>
          <w:rFonts w:hint="eastAsia" w:ascii="宋体" w:hAnsi="宋体" w:eastAsia="宋体" w:cs="宋体"/>
          <w:i w:val="0"/>
          <w:iCs w:val="0"/>
          <w:snapToGrid w:val="0"/>
          <w:color w:val="000000" w:themeColor="text1"/>
          <w:highlight w:val="none"/>
          <w:lang w:val="zh-CN"/>
          <w14:textFill>
            <w14:solidFill>
              <w14:schemeClr w14:val="tx1"/>
            </w14:solidFill>
          </w14:textFill>
        </w:rPr>
        <w:t>递交截止时间之前，可在新疆政府采购网上随时撤回已上传的电子</w:t>
      </w: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响应</w:t>
      </w:r>
      <w:r>
        <w:rPr>
          <w:rFonts w:hint="eastAsia" w:ascii="宋体" w:hAnsi="宋体" w:eastAsia="宋体" w:cs="宋体"/>
          <w:i w:val="0"/>
          <w:iCs w:val="0"/>
          <w:snapToGrid w:val="0"/>
          <w:color w:val="000000" w:themeColor="text1"/>
          <w:highlight w:val="none"/>
          <w:lang w:val="zh-CN" w:eastAsia="zh-CN"/>
          <w14:textFill>
            <w14:solidFill>
              <w14:schemeClr w14:val="tx1"/>
            </w14:solidFill>
          </w14:textFill>
        </w:rPr>
        <w:t>文件</w:t>
      </w:r>
      <w:r>
        <w:rPr>
          <w:rFonts w:hint="eastAsia" w:ascii="宋体" w:hAnsi="宋体" w:eastAsia="宋体" w:cs="宋体"/>
          <w:i w:val="0"/>
          <w:iCs w:val="0"/>
          <w:snapToGrid w:val="0"/>
          <w:color w:val="000000" w:themeColor="text1"/>
          <w:highlight w:val="none"/>
          <w:lang w:val="zh-CN"/>
          <w14:textFill>
            <w14:solidFill>
              <w14:schemeClr w14:val="tx1"/>
            </w14:solidFill>
          </w14:textFill>
        </w:rPr>
        <w:t>，将修改好的电子</w:t>
      </w: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响应</w:t>
      </w:r>
      <w:r>
        <w:rPr>
          <w:rFonts w:hint="eastAsia" w:ascii="宋体" w:hAnsi="宋体" w:eastAsia="宋体" w:cs="宋体"/>
          <w:i w:val="0"/>
          <w:iCs w:val="0"/>
          <w:snapToGrid w:val="0"/>
          <w:color w:val="000000" w:themeColor="text1"/>
          <w:highlight w:val="none"/>
          <w:lang w:val="zh-CN" w:eastAsia="zh-CN"/>
          <w14:textFill>
            <w14:solidFill>
              <w14:schemeClr w14:val="tx1"/>
            </w14:solidFill>
          </w14:textFill>
        </w:rPr>
        <w:t>文件</w:t>
      </w:r>
      <w:r>
        <w:rPr>
          <w:rFonts w:hint="eastAsia" w:ascii="宋体" w:hAnsi="宋体" w:eastAsia="宋体" w:cs="宋体"/>
          <w:i w:val="0"/>
          <w:iCs w:val="0"/>
          <w:snapToGrid w:val="0"/>
          <w:color w:val="000000" w:themeColor="text1"/>
          <w:highlight w:val="none"/>
          <w:lang w:val="zh-CN"/>
          <w14:textFill>
            <w14:solidFill>
              <w14:schemeClr w14:val="tx1"/>
            </w14:solidFill>
          </w14:textFill>
        </w:rPr>
        <w:t>在</w:t>
      </w: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响应</w:t>
      </w:r>
      <w:r>
        <w:rPr>
          <w:rFonts w:hint="eastAsia" w:ascii="宋体" w:hAnsi="宋体" w:eastAsia="宋体" w:cs="宋体"/>
          <w:i w:val="0"/>
          <w:iCs w:val="0"/>
          <w:snapToGrid w:val="0"/>
          <w:color w:val="000000" w:themeColor="text1"/>
          <w:highlight w:val="none"/>
          <w:lang w:val="zh-CN" w:eastAsia="zh-CN"/>
          <w14:textFill>
            <w14:solidFill>
              <w14:schemeClr w14:val="tx1"/>
            </w14:solidFill>
          </w14:textFill>
        </w:rPr>
        <w:t>文件</w:t>
      </w:r>
      <w:r>
        <w:rPr>
          <w:rFonts w:hint="eastAsia" w:ascii="宋体" w:hAnsi="宋体" w:eastAsia="宋体" w:cs="宋体"/>
          <w:i w:val="0"/>
          <w:iCs w:val="0"/>
          <w:snapToGrid w:val="0"/>
          <w:color w:val="000000" w:themeColor="text1"/>
          <w:highlight w:val="none"/>
          <w:lang w:val="zh-CN"/>
          <w14:textFill>
            <w14:solidFill>
              <w14:schemeClr w14:val="tx1"/>
            </w14:solidFill>
          </w14:textFill>
        </w:rPr>
        <w:t>递交截止时间前重新上传到新疆政府采购网的</w:t>
      </w:r>
      <w:r>
        <w:rPr>
          <w:rFonts w:hint="eastAsia" w:ascii="宋体" w:hAnsi="宋体" w:eastAsia="宋体" w:cs="宋体"/>
          <w:i w:val="0"/>
          <w:iCs w:val="0"/>
          <w:snapToGrid w:val="0"/>
          <w:color w:val="000000" w:themeColor="text1"/>
          <w:highlight w:val="none"/>
          <w:lang w:val="zh-CN" w:eastAsia="zh-CN"/>
          <w14:textFill>
            <w14:solidFill>
              <w14:schemeClr w14:val="tx1"/>
            </w14:solidFill>
          </w14:textFill>
        </w:rPr>
        <w:t>指</w:t>
      </w:r>
      <w:r>
        <w:rPr>
          <w:rFonts w:hint="eastAsia" w:ascii="宋体" w:hAnsi="宋体" w:eastAsia="宋体" w:cs="宋体"/>
          <w:i w:val="0"/>
          <w:iCs w:val="0"/>
          <w:snapToGrid w:val="0"/>
          <w:color w:val="000000" w:themeColor="text1"/>
          <w:highlight w:val="none"/>
          <w:lang w:val="zh-CN"/>
          <w14:textFill>
            <w14:solidFill>
              <w14:schemeClr w14:val="tx1"/>
            </w14:solidFill>
          </w14:textFill>
        </w:rPr>
        <w:t>定位置。</w:t>
      </w:r>
    </w:p>
    <w:bookmarkEnd w:id="193"/>
    <w:p w14:paraId="11C93E15">
      <w:pPr>
        <w:pStyle w:val="4"/>
        <w:keepNext w:val="0"/>
        <w:keepLines w:val="0"/>
        <w:pageBreakBefore w:val="0"/>
        <w:widowControl w:val="0"/>
        <w:numPr>
          <w:ilvl w:val="0"/>
          <w:numId w:val="0"/>
        </w:numPr>
        <w:kinsoku/>
        <w:wordWrap/>
        <w:overflowPunct/>
        <w:topLinePunct/>
        <w:autoSpaceDE/>
        <w:autoSpaceDN/>
        <w:bidi w:val="0"/>
        <w:adjustRightInd/>
        <w:snapToGrid/>
        <w:spacing w:before="140" w:after="140" w:line="240" w:lineRule="auto"/>
        <w:ind w:left="420" w:leftChars="0" w:hanging="420" w:firstLineChars="0"/>
        <w:textAlignment w:val="auto"/>
        <w:rPr>
          <w:rFonts w:hint="default"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194" w:name="_Toc163493615"/>
      <w:bookmarkStart w:id="195" w:name="_Toc109897458"/>
      <w:bookmarkStart w:id="196" w:name="_Toc46771664"/>
      <w:bookmarkStart w:id="197" w:name="_Toc109899976"/>
      <w:bookmarkStart w:id="198" w:name="_Toc109899557"/>
      <w:bookmarkStart w:id="199" w:name="_Toc470172689"/>
      <w:bookmarkStart w:id="200" w:name="_Toc109900395"/>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（五）</w:t>
      </w:r>
      <w:bookmarkEnd w:id="194"/>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响应文件开启</w:t>
      </w:r>
    </w:p>
    <w:p w14:paraId="16435CB1">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201" w:name="_Hlk161704700"/>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22.响应文件开启</w:t>
      </w:r>
    </w:p>
    <w:p w14:paraId="4EDC9E07">
      <w:pPr>
        <w:keepNext w:val="0"/>
        <w:keepLines w:val="0"/>
        <w:pageBreakBefore w:val="0"/>
        <w:widowControl w:val="0"/>
        <w:kinsoku/>
        <w:overflowPunct/>
        <w:topLinePunct/>
        <w:bidi w:val="0"/>
        <w:ind w:firstLine="420" w:firstLineChars="200"/>
        <w:textAlignment w:val="auto"/>
        <w:rPr>
          <w:rFonts w:hint="eastAsia" w:ascii="宋体" w:hAnsi="宋体" w:eastAsia="宋体" w:cs="宋体"/>
          <w:bCs/>
          <w:i w:val="0"/>
          <w:iCs w:val="0"/>
          <w:color w:val="000000" w:themeColor="text1"/>
          <w:szCs w:val="24"/>
          <w:highlight w:val="none"/>
          <w14:textFill>
            <w14:solidFill>
              <w14:schemeClr w14:val="tx1"/>
            </w14:solidFill>
          </w14:textFill>
        </w:rPr>
      </w:pPr>
      <w:bookmarkStart w:id="202" w:name="_Toc140132781"/>
      <w:r>
        <w:rPr>
          <w:rFonts w:hint="eastAsia" w:ascii="宋体" w:hAnsi="宋体" w:eastAsia="宋体" w:cs="宋体"/>
          <w:i w:val="0"/>
          <w:iCs w:val="0"/>
          <w:color w:val="000000" w:themeColor="text1"/>
          <w:szCs w:val="24"/>
          <w:highlight w:val="none"/>
          <w14:textFill>
            <w14:solidFill>
              <w14:schemeClr w14:val="tx1"/>
            </w14:solidFill>
          </w14:textFill>
        </w:rPr>
        <w:t>2</w:t>
      </w:r>
      <w:r>
        <w:rPr>
          <w:rFonts w:hint="eastAsia" w:ascii="宋体" w:hAnsi="宋体" w:eastAsia="宋体" w:cs="宋体"/>
          <w:i w:val="0"/>
          <w:iCs w:val="0"/>
          <w:color w:val="000000" w:themeColor="text1"/>
          <w:szCs w:val="24"/>
          <w:highlight w:val="none"/>
          <w:lang w:val="en-US" w:eastAsia="zh-CN"/>
          <w14:textFill>
            <w14:solidFill>
              <w14:schemeClr w14:val="tx1"/>
            </w14:solidFill>
          </w14:textFill>
        </w:rPr>
        <w:t>2</w:t>
      </w:r>
      <w:r>
        <w:rPr>
          <w:rFonts w:hint="eastAsia" w:ascii="宋体" w:hAnsi="宋体" w:eastAsia="宋体" w:cs="宋体"/>
          <w:i w:val="0"/>
          <w:iCs w:val="0"/>
          <w:color w:val="000000" w:themeColor="text1"/>
          <w:szCs w:val="24"/>
          <w:highlight w:val="none"/>
          <w14:textFill>
            <w14:solidFill>
              <w14:schemeClr w14:val="tx1"/>
            </w14:solidFill>
          </w14:textFill>
        </w:rPr>
        <w:t>.1供应商应按照“</w:t>
      </w:r>
      <w:r>
        <w:rPr>
          <w:rFonts w:hint="eastAsia" w:ascii="宋体" w:hAnsi="宋体" w:eastAsia="宋体" w:cs="宋体"/>
          <w:i w:val="0"/>
          <w:iCs w:val="0"/>
          <w:color w:val="000000" w:themeColor="text1"/>
          <w:szCs w:val="24"/>
          <w:highlight w:val="none"/>
          <w:lang w:val="en-US" w:eastAsia="zh-CN"/>
          <w14:textFill>
            <w14:solidFill>
              <w14:schemeClr w14:val="tx1"/>
            </w14:solidFill>
          </w14:textFill>
        </w:rPr>
        <w:t>第一章竞争性磋商公告</w:t>
      </w:r>
      <w:r>
        <w:rPr>
          <w:rFonts w:hint="eastAsia" w:ascii="宋体" w:hAnsi="宋体" w:eastAsia="宋体" w:cs="宋体"/>
          <w:i w:val="0"/>
          <w:iCs w:val="0"/>
          <w:color w:val="000000" w:themeColor="text1"/>
          <w:szCs w:val="24"/>
          <w:highlight w:val="none"/>
          <w14:textFill>
            <w14:solidFill>
              <w14:schemeClr w14:val="tx1"/>
            </w14:solidFill>
          </w14:textFill>
        </w:rPr>
        <w:t>”中的要求参与开启。</w:t>
      </w:r>
      <w:bookmarkEnd w:id="202"/>
    </w:p>
    <w:p w14:paraId="24B4F937">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203" w:name="_Toc140132782"/>
      <w:bookmarkStart w:id="204" w:name="_Toc161600316"/>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23.开启时间和地点</w:t>
      </w:r>
      <w:bookmarkEnd w:id="203"/>
      <w:bookmarkEnd w:id="204"/>
    </w:p>
    <w:p w14:paraId="2E974CE9">
      <w:pPr>
        <w:keepNext w:val="0"/>
        <w:keepLines w:val="0"/>
        <w:pageBreakBefore w:val="0"/>
        <w:widowControl w:val="0"/>
        <w:kinsoku/>
        <w:overflowPunct/>
        <w:topLinePunct/>
        <w:bidi w:val="0"/>
        <w:ind w:firstLine="420" w:firstLineChars="200"/>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2</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i w:val="0"/>
          <w:iCs w:val="0"/>
          <w:color w:val="000000" w:themeColor="text1"/>
          <w:sz w:val="21"/>
          <w:szCs w:val="21"/>
          <w:highlight w:val="none"/>
          <w14:textFill>
            <w14:solidFill>
              <w14:schemeClr w14:val="tx1"/>
            </w14:solidFill>
          </w14:textFill>
        </w:rPr>
        <w:t>.1开启时间和地点</w:t>
      </w:r>
    </w:p>
    <w:p w14:paraId="67E0CAC1">
      <w:pPr>
        <w:keepNext w:val="0"/>
        <w:keepLines w:val="0"/>
        <w:pageBreakBefore w:val="0"/>
        <w:widowControl w:val="0"/>
        <w:kinsoku/>
        <w:overflowPunct/>
        <w:topLinePunct/>
        <w:bidi w:val="0"/>
        <w:ind w:firstLine="420" w:firstLineChars="200"/>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（1）</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递交</w:t>
      </w:r>
      <w:r>
        <w:rPr>
          <w:rFonts w:hint="eastAsia" w:ascii="宋体" w:hAnsi="宋体" w:eastAsia="宋体" w:cs="宋体"/>
          <w:i w:val="0"/>
          <w:iCs w:val="0"/>
          <w:color w:val="000000" w:themeColor="text1"/>
          <w:sz w:val="21"/>
          <w:szCs w:val="21"/>
          <w:highlight w:val="none"/>
          <w14:textFill>
            <w14:solidFill>
              <w14:schemeClr w14:val="tx1"/>
            </w14:solidFill>
          </w14:textFill>
        </w:rPr>
        <w:t>响应文件截止时间前，供应商登录</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客户端</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14:textFill>
            <w14:solidFill>
              <w14:schemeClr w14:val="tx1"/>
            </w14:solidFill>
          </w14:textFill>
        </w:rPr>
        <w:t>，</w:t>
      </w:r>
      <w:r>
        <w:rPr>
          <w:rFonts w:hint="eastAsia" w:ascii="宋体" w:hAnsi="宋体" w:eastAsia="宋体" w:cs="宋体"/>
          <w:i w:val="0"/>
          <w:iCs w:val="0"/>
          <w:snapToGrid w:val="0"/>
          <w:color w:val="000000" w:themeColor="text1"/>
          <w:sz w:val="21"/>
          <w:szCs w:val="21"/>
          <w:highlight w:val="none"/>
          <w:lang w:val="zh-CN"/>
          <w14:textFill>
            <w14:solidFill>
              <w14:schemeClr w14:val="tx1"/>
            </w14:solidFill>
          </w14:textFill>
        </w:rPr>
        <w:t>通过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客户端</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i w:val="0"/>
          <w:iCs w:val="0"/>
          <w:snapToGrid w:val="0"/>
          <w:color w:val="000000" w:themeColor="text1"/>
          <w:sz w:val="21"/>
          <w:szCs w:val="21"/>
          <w:highlight w:val="none"/>
          <w:lang w:val="zh-CN"/>
          <w14:textFill>
            <w14:solidFill>
              <w14:schemeClr w14:val="tx1"/>
            </w14:solidFill>
          </w14:textFill>
        </w:rPr>
        <w:t>进入交易系统</w:t>
      </w:r>
      <w:r>
        <w:rPr>
          <w:rFonts w:hint="eastAsia" w:ascii="宋体" w:hAnsi="宋体" w:eastAsia="宋体" w:cs="宋体"/>
          <w:i w:val="0"/>
          <w:iCs w:val="0"/>
          <w:color w:val="000000" w:themeColor="text1"/>
          <w:sz w:val="21"/>
          <w:szCs w:val="21"/>
          <w:highlight w:val="none"/>
          <w14:textFill>
            <w14:solidFill>
              <w14:schemeClr w14:val="tx1"/>
            </w14:solidFill>
          </w14:textFill>
        </w:rPr>
        <w:t>“开标大厅”选择所投项目（或采购包）完成项目签到工作。</w:t>
      </w:r>
    </w:p>
    <w:p w14:paraId="0F488041">
      <w:pPr>
        <w:keepNext w:val="0"/>
        <w:keepLines w:val="0"/>
        <w:pageBreakBefore w:val="0"/>
        <w:widowControl w:val="0"/>
        <w:kinsoku/>
        <w:overflowPunct/>
        <w:topLinePunct/>
        <w:bidi w:val="0"/>
        <w:ind w:firstLine="420" w:firstLineChars="200"/>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t>（2）在</w:t>
      </w:r>
      <w:r>
        <w:rPr>
          <w:rFonts w:hint="eastAsia" w:ascii="宋体" w:hAnsi="宋体" w:eastAsia="宋体" w:cs="宋体"/>
          <w:i w:val="0"/>
          <w:iCs w:val="0"/>
          <w:color w:val="000000" w:themeColor="text1"/>
          <w:sz w:val="21"/>
          <w:szCs w:val="21"/>
          <w:highlight w:val="none"/>
          <w14:textFill>
            <w14:solidFill>
              <w14:schemeClr w14:val="tx1"/>
            </w14:solidFill>
          </w14:textFill>
        </w:rPr>
        <w:t>“</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第一章竞争性磋商公告</w:t>
      </w:r>
      <w:r>
        <w:rPr>
          <w:rFonts w:hint="eastAsia" w:ascii="宋体" w:hAnsi="宋体" w:eastAsia="宋体" w:cs="宋体"/>
          <w:i w:val="0"/>
          <w:iCs w:val="0"/>
          <w:color w:val="000000" w:themeColor="text1"/>
          <w:sz w:val="21"/>
          <w:szCs w:val="21"/>
          <w:highlight w:val="none"/>
          <w14:textFill>
            <w14:solidFill>
              <w14:schemeClr w14:val="tx1"/>
            </w14:solidFill>
          </w14:textFill>
        </w:rPr>
        <w:t>”</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规</w: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t>定的</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递交</w: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t>响应文件截止时间、开启时间及地点，采购代理机构通过</w:t>
      </w:r>
      <w:r>
        <w:rPr>
          <w:rFonts w:hint="eastAsia" w:ascii="宋体" w:hAnsi="宋体" w:eastAsia="宋体" w:cs="宋体"/>
          <w:i w:val="0"/>
          <w:iCs w:val="0"/>
          <w:color w:val="000000" w:themeColor="text1"/>
          <w:sz w:val="21"/>
          <w:szCs w:val="21"/>
          <w:highlight w:val="none"/>
          <w:lang w:val="zh-CN" w:eastAsia="zh-CN"/>
          <w14:textFill>
            <w14:solidFill>
              <w14:schemeClr w14:val="tx1"/>
            </w14:solidFill>
          </w14:textFill>
        </w:rPr>
        <w:t>新疆政府采购网</w:t>
      </w:r>
      <w:r>
        <w:rPr>
          <w:rFonts w:hint="eastAsia" w:ascii="宋体" w:hAnsi="宋体" w:eastAsia="宋体" w:cs="宋体"/>
          <w:i w:val="0"/>
          <w:iCs w:val="0"/>
          <w:color w:val="000000" w:themeColor="text1"/>
          <w:kern w:val="2"/>
          <w:sz w:val="21"/>
          <w:szCs w:val="21"/>
          <w:highlight w:val="none"/>
          <w14:textFill>
            <w14:solidFill>
              <w14:schemeClr w14:val="tx1"/>
            </w14:solidFill>
          </w14:textFill>
        </w:rPr>
        <w:t>的“政采云远程开标大厅”</w: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t>组织响应文件开启工作。</w:t>
      </w:r>
    </w:p>
    <w:p w14:paraId="4AC5CB8D">
      <w:pPr>
        <w:pStyle w:val="48"/>
        <w:keepNext w:val="0"/>
        <w:keepLines w:val="0"/>
        <w:pageBreakBefore w:val="0"/>
        <w:widowControl w:val="0"/>
        <w:kinsoku/>
        <w:overflowPunct/>
        <w:topLinePunct/>
        <w:bidi w:val="0"/>
        <w:ind w:firstLine="480"/>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2</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i w:val="0"/>
          <w:iCs w:val="0"/>
          <w:color w:val="000000" w:themeColor="text1"/>
          <w:sz w:val="21"/>
          <w:szCs w:val="21"/>
          <w:highlight w:val="none"/>
          <w14:textFill>
            <w14:solidFill>
              <w14:schemeClr w14:val="tx1"/>
            </w14:solidFill>
          </w14:textFill>
        </w:rPr>
        <w:t>.2响应文件开启：</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递交</w:t>
      </w:r>
      <w:r>
        <w:rPr>
          <w:rFonts w:hint="eastAsia" w:ascii="宋体" w:hAnsi="宋体" w:eastAsia="宋体" w:cs="宋体"/>
          <w:i w:val="0"/>
          <w:iCs w:val="0"/>
          <w:color w:val="000000" w:themeColor="text1"/>
          <w:sz w:val="21"/>
          <w:szCs w:val="21"/>
          <w:highlight w:val="none"/>
          <w14:textFill>
            <w14:solidFill>
              <w14:schemeClr w14:val="tx1"/>
            </w14:solidFill>
          </w14:textFill>
        </w:rPr>
        <w:t>响应文件截止时间到后，工作人员启动开始解密指令，供应商应当按照“供应商须知前附表”规定及时进行响应文件解密，完成响应文件开启工作。</w:t>
      </w:r>
    </w:p>
    <w:p w14:paraId="7E50AA1D">
      <w:pPr>
        <w:pStyle w:val="48"/>
        <w:keepNext w:val="0"/>
        <w:keepLines w:val="0"/>
        <w:pageBreakBefore w:val="0"/>
        <w:widowControl w:val="0"/>
        <w:kinsoku/>
        <w:overflowPunct/>
        <w:topLinePunct/>
        <w:bidi w:val="0"/>
        <w:ind w:firstLine="480"/>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2</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i w:val="0"/>
          <w:iCs w:val="0"/>
          <w:color w:val="000000" w:themeColor="text1"/>
          <w:sz w:val="21"/>
          <w:szCs w:val="21"/>
          <w:highlight w:val="none"/>
          <w14:textFill>
            <w14:solidFill>
              <w14:schemeClr w14:val="tx1"/>
            </w14:solidFill>
          </w14:textFill>
        </w:rPr>
        <w:t>.3规定的时间内，非因</w:t>
      </w:r>
      <w:r>
        <w:rPr>
          <w:rFonts w:hint="eastAsia" w:ascii="宋体" w:hAnsi="宋体" w:eastAsia="宋体" w:cs="宋体"/>
          <w:i w:val="0"/>
          <w:iCs w:val="0"/>
          <w:color w:val="000000" w:themeColor="text1"/>
          <w:sz w:val="21"/>
          <w:szCs w:val="21"/>
          <w:highlight w:val="none"/>
          <w:lang w:val="zh-CN" w:eastAsia="zh-CN"/>
          <w14:textFill>
            <w14:solidFill>
              <w14:schemeClr w14:val="tx1"/>
            </w14:solidFill>
          </w14:textFill>
        </w:rPr>
        <w:t>新疆政府采购网</w:t>
      </w:r>
      <w:r>
        <w:rPr>
          <w:rFonts w:hint="eastAsia" w:ascii="宋体" w:hAnsi="宋体" w:eastAsia="宋体" w:cs="宋体"/>
          <w:i w:val="0"/>
          <w:iCs w:val="0"/>
          <w:color w:val="000000" w:themeColor="text1"/>
          <w:sz w:val="21"/>
          <w:szCs w:val="21"/>
          <w:highlight w:val="none"/>
          <w14:textFill>
            <w14:solidFill>
              <w14:schemeClr w14:val="tx1"/>
            </w14:solidFill>
          </w14:textFill>
        </w:rPr>
        <w:t>原因造成响应文件未解密的，视为供应商撤回响应文件。停止解密后，已解密开启的响应文件不足3家的，应当终止采购活动。</w:t>
      </w:r>
    </w:p>
    <w:p w14:paraId="2A18BD55">
      <w:pPr>
        <w:pStyle w:val="48"/>
        <w:keepNext w:val="0"/>
        <w:keepLines w:val="0"/>
        <w:pageBreakBefore w:val="0"/>
        <w:widowControl w:val="0"/>
        <w:kinsoku/>
        <w:overflowPunct/>
        <w:topLinePunct/>
        <w:bidi w:val="0"/>
        <w:ind w:firstLine="480"/>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2</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i w:val="0"/>
          <w:iCs w:val="0"/>
          <w:color w:val="000000" w:themeColor="text1"/>
          <w:sz w:val="21"/>
          <w:szCs w:val="21"/>
          <w:highlight w:val="none"/>
          <w14:textFill>
            <w14:solidFill>
              <w14:schemeClr w14:val="tx1"/>
            </w14:solidFill>
          </w14:textFill>
        </w:rPr>
        <w:t>.4供应商或其授权代表对响应文件开启过程有疑义的，以及认为采购人、采购代理机构相关工作人员有需要回避的情形的，应在开</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启</w:t>
      </w:r>
      <w:r>
        <w:rPr>
          <w:rFonts w:hint="eastAsia" w:ascii="宋体" w:hAnsi="宋体" w:eastAsia="宋体" w:cs="宋体"/>
          <w:i w:val="0"/>
          <w:iCs w:val="0"/>
          <w:color w:val="000000" w:themeColor="text1"/>
          <w:sz w:val="21"/>
          <w:szCs w:val="21"/>
          <w:highlight w:val="none"/>
          <w14:textFill>
            <w14:solidFill>
              <w14:schemeClr w14:val="tx1"/>
            </w14:solidFill>
          </w14:textFill>
        </w:rPr>
        <w:t>会议中提出询问或者回避申请。采购人、采购代理机构对</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i w:val="0"/>
          <w:iCs w:val="0"/>
          <w:color w:val="000000" w:themeColor="text1"/>
          <w:sz w:val="21"/>
          <w:szCs w:val="21"/>
          <w:highlight w:val="none"/>
          <w14:textFill>
            <w14:solidFill>
              <w14:schemeClr w14:val="tx1"/>
            </w14:solidFill>
          </w14:textFill>
        </w:rPr>
        <w:t>授权代表提出的询问或者回避申请应当及时处理。</w:t>
      </w:r>
    </w:p>
    <w:p w14:paraId="05C36C8B">
      <w:pPr>
        <w:pStyle w:val="48"/>
        <w:keepNext w:val="0"/>
        <w:keepLines w:val="0"/>
        <w:pageBreakBefore w:val="0"/>
        <w:widowControl w:val="0"/>
        <w:kinsoku/>
        <w:overflowPunct/>
        <w:topLinePunct/>
        <w:bidi w:val="0"/>
        <w:ind w:firstLine="480"/>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2</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i w:val="0"/>
          <w:iCs w:val="0"/>
          <w:color w:val="000000" w:themeColor="text1"/>
          <w:sz w:val="21"/>
          <w:szCs w:val="21"/>
          <w:highlight w:val="none"/>
          <w14:textFill>
            <w14:solidFill>
              <w14:schemeClr w14:val="tx1"/>
            </w14:solidFill>
          </w14:textFill>
        </w:rPr>
        <w:t>.</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5供应商</w:t>
      </w:r>
      <w:r>
        <w:rPr>
          <w:rFonts w:hint="eastAsia" w:ascii="宋体" w:hAnsi="宋体" w:eastAsia="宋体" w:cs="宋体"/>
          <w:i w:val="0"/>
          <w:iCs w:val="0"/>
          <w:color w:val="000000" w:themeColor="text1"/>
          <w:sz w:val="21"/>
          <w:szCs w:val="21"/>
          <w:highlight w:val="none"/>
          <w14:textFill>
            <w14:solidFill>
              <w14:schemeClr w14:val="tx1"/>
            </w14:solidFill>
          </w14:textFill>
        </w:rPr>
        <w:t>未参加开</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启</w:t>
      </w:r>
      <w:r>
        <w:rPr>
          <w:rFonts w:hint="eastAsia" w:ascii="宋体" w:hAnsi="宋体" w:eastAsia="宋体" w:cs="宋体"/>
          <w:i w:val="0"/>
          <w:iCs w:val="0"/>
          <w:color w:val="000000" w:themeColor="text1"/>
          <w:sz w:val="21"/>
          <w:szCs w:val="21"/>
          <w:highlight w:val="none"/>
          <w14:textFill>
            <w14:solidFill>
              <w14:schemeClr w14:val="tx1"/>
            </w14:solidFill>
          </w14:textFill>
        </w:rPr>
        <w:t>的，视同认可开</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启</w:t>
      </w:r>
      <w:r>
        <w:rPr>
          <w:rFonts w:hint="eastAsia" w:ascii="宋体" w:hAnsi="宋体" w:eastAsia="宋体" w:cs="宋体"/>
          <w:i w:val="0"/>
          <w:iCs w:val="0"/>
          <w:color w:val="000000" w:themeColor="text1"/>
          <w:sz w:val="21"/>
          <w:szCs w:val="21"/>
          <w:highlight w:val="none"/>
          <w14:textFill>
            <w14:solidFill>
              <w14:schemeClr w14:val="tx1"/>
            </w14:solidFill>
          </w14:textFill>
        </w:rPr>
        <w:t>结果。</w:t>
      </w:r>
    </w:p>
    <w:bookmarkEnd w:id="195"/>
    <w:bookmarkEnd w:id="196"/>
    <w:bookmarkEnd w:id="197"/>
    <w:bookmarkEnd w:id="198"/>
    <w:bookmarkEnd w:id="199"/>
    <w:bookmarkEnd w:id="200"/>
    <w:bookmarkEnd w:id="201"/>
    <w:p w14:paraId="250AFBFE">
      <w:pPr>
        <w:pStyle w:val="4"/>
        <w:keepNext w:val="0"/>
        <w:keepLines w:val="0"/>
        <w:pageBreakBefore w:val="0"/>
        <w:widowControl w:val="0"/>
        <w:numPr>
          <w:ilvl w:val="0"/>
          <w:numId w:val="0"/>
        </w:numPr>
        <w:kinsoku/>
        <w:wordWrap/>
        <w:overflowPunct/>
        <w:topLinePunct/>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205" w:name="_Toc163492854"/>
      <w:bookmarkStart w:id="206" w:name="_Toc155185877"/>
      <w:bookmarkStart w:id="207" w:name="_Toc140132785"/>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（六）资格审查</w:t>
      </w:r>
      <w:bookmarkEnd w:id="205"/>
      <w:bookmarkEnd w:id="206"/>
      <w:bookmarkEnd w:id="207"/>
    </w:p>
    <w:p w14:paraId="5ACFC955">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208" w:name="_Toc163492855"/>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24.资格审查及审查主体</w:t>
      </w:r>
      <w:bookmarkEnd w:id="208"/>
    </w:p>
    <w:p w14:paraId="64DA9916">
      <w:pPr>
        <w:pStyle w:val="48"/>
        <w:keepNext w:val="0"/>
        <w:keepLines w:val="0"/>
        <w:pageBreakBefore w:val="0"/>
        <w:widowControl w:val="0"/>
        <w:kinsoku/>
        <w:overflowPunct/>
        <w:topLinePunct/>
        <w:bidi w:val="0"/>
        <w:ind w:firstLine="480"/>
        <w:textAlignment w:val="auto"/>
        <w:rPr>
          <w:rFonts w:hint="eastAsia" w:ascii="宋体" w:hAnsi="宋体" w:eastAsia="宋体" w:cs="宋体"/>
          <w:i w:val="0"/>
          <w:iCs w:val="0"/>
          <w:color w:val="000000" w:themeColor="text1"/>
          <w:highlight w:val="none"/>
          <w14:textFill>
            <w14:solidFill>
              <w14:schemeClr w14:val="tx1"/>
            </w14:solidFill>
          </w14:textFill>
        </w:rPr>
      </w:pPr>
      <w:bookmarkStart w:id="209" w:name="_Toc140132786"/>
      <w:r>
        <w:rPr>
          <w:rFonts w:hint="eastAsia" w:ascii="宋体" w:hAnsi="宋体" w:eastAsia="宋体" w:cs="宋体"/>
          <w:i w:val="0"/>
          <w:iCs w:val="0"/>
          <w:color w:val="000000" w:themeColor="text1"/>
          <w:highlight w:val="none"/>
          <w14:textFill>
            <w14:solidFill>
              <w14:schemeClr w14:val="tx1"/>
            </w14:solidFill>
          </w14:textFill>
        </w:rPr>
        <w:t>2</w:t>
      </w:r>
      <w:r>
        <w:rPr>
          <w:rFonts w:hint="eastAsia" w:ascii="宋体" w:hAnsi="宋体" w:eastAsia="宋体" w:cs="宋体"/>
          <w:i w:val="0"/>
          <w:iCs w:val="0"/>
          <w:color w:val="000000" w:themeColor="text1"/>
          <w:highlight w:val="none"/>
          <w:lang w:val="en-US" w:eastAsia="zh-CN"/>
          <w14:textFill>
            <w14:solidFill>
              <w14:schemeClr w14:val="tx1"/>
            </w14:solidFill>
          </w14:textFill>
        </w:rPr>
        <w:t>4</w:t>
      </w:r>
      <w:r>
        <w:rPr>
          <w:rFonts w:hint="eastAsia" w:ascii="宋体" w:hAnsi="宋体" w:eastAsia="宋体" w:cs="宋体"/>
          <w:i w:val="0"/>
          <w:iCs w:val="0"/>
          <w:color w:val="000000" w:themeColor="text1"/>
          <w:highlight w:val="none"/>
          <w14:textFill>
            <w14:solidFill>
              <w14:schemeClr w14:val="tx1"/>
            </w14:solidFill>
          </w14:textFill>
        </w:rPr>
        <w:t>.1开</w:t>
      </w:r>
      <w:r>
        <w:rPr>
          <w:rFonts w:hint="eastAsia" w:ascii="宋体" w:hAnsi="宋体" w:eastAsia="宋体" w:cs="宋体"/>
          <w:i w:val="0"/>
          <w:iCs w:val="0"/>
          <w:color w:val="000000" w:themeColor="text1"/>
          <w:highlight w:val="none"/>
          <w:lang w:val="en-US" w:eastAsia="zh-CN"/>
          <w14:textFill>
            <w14:solidFill>
              <w14:schemeClr w14:val="tx1"/>
            </w14:solidFill>
          </w14:textFill>
        </w:rPr>
        <w:t>启</w:t>
      </w:r>
      <w:r>
        <w:rPr>
          <w:rFonts w:hint="eastAsia" w:ascii="宋体" w:hAnsi="宋体" w:eastAsia="宋体" w:cs="宋体"/>
          <w:i w:val="0"/>
          <w:iCs w:val="0"/>
          <w:color w:val="000000" w:themeColor="text1"/>
          <w:highlight w:val="none"/>
          <w14:textFill>
            <w14:solidFill>
              <w14:schemeClr w14:val="tx1"/>
            </w14:solidFill>
          </w14:textFill>
        </w:rPr>
        <w:t>结束后，</w:t>
      </w:r>
      <w:r>
        <w:rPr>
          <w:rFonts w:hint="eastAsia" w:ascii="宋体" w:hAnsi="宋体" w:eastAsia="宋体" w:cs="宋体"/>
          <w:i w:val="0"/>
          <w:iCs w:val="0"/>
          <w:color w:val="000000" w:themeColor="text1"/>
          <w:highlight w:val="none"/>
          <w:lang w:val="en-US" w:eastAsia="zh-CN"/>
          <w14:textFill>
            <w14:solidFill>
              <w14:schemeClr w14:val="tx1"/>
            </w14:solidFill>
          </w14:textFill>
        </w:rPr>
        <w:t>磋商小组</w:t>
      </w:r>
      <w:r>
        <w:rPr>
          <w:rFonts w:hint="eastAsia" w:ascii="宋体" w:hAnsi="宋体" w:eastAsia="宋体" w:cs="宋体"/>
          <w:i w:val="0"/>
          <w:iCs w:val="0"/>
          <w:color w:val="000000" w:themeColor="text1"/>
          <w:highlight w:val="none"/>
          <w14:textFill>
            <w14:solidFill>
              <w14:schemeClr w14:val="tx1"/>
            </w14:solidFill>
          </w14:textFill>
        </w:rPr>
        <w:t>依据法律法规和本</w:t>
      </w:r>
      <w:r>
        <w:rPr>
          <w:rFonts w:hint="eastAsia" w:ascii="宋体" w:hAnsi="宋体" w:eastAsia="宋体" w:cs="宋体"/>
          <w:i w:val="0"/>
          <w:iCs w:val="0"/>
          <w:color w:val="000000" w:themeColor="text1"/>
          <w:highlight w:val="none"/>
          <w:lang w:val="en-US" w:eastAsia="zh-CN"/>
          <w14:textFill>
            <w14:solidFill>
              <w14:schemeClr w14:val="tx1"/>
            </w14:solidFill>
          </w14:textFill>
        </w:rPr>
        <w:t>竞争性磋商</w:t>
      </w:r>
      <w:r>
        <w:rPr>
          <w:rFonts w:hint="eastAsia" w:ascii="宋体" w:hAnsi="宋体" w:eastAsia="宋体" w:cs="宋体"/>
          <w:i w:val="0"/>
          <w:iCs w:val="0"/>
          <w:color w:val="000000" w:themeColor="text1"/>
          <w:highlight w:val="none"/>
          <w14:textFill>
            <w14:solidFill>
              <w14:schemeClr w14:val="tx1"/>
            </w14:solidFill>
          </w14:textFill>
        </w:rPr>
        <w:t>文件的规定，依法对</w:t>
      </w:r>
      <w:r>
        <w:rPr>
          <w:rFonts w:hint="eastAsia" w:ascii="宋体" w:hAnsi="宋体" w:eastAsia="宋体" w:cs="宋体"/>
          <w:i w:val="0"/>
          <w:iCs w:val="0"/>
          <w:color w:val="000000" w:themeColor="text1"/>
          <w:highlight w:val="none"/>
          <w:lang w:val="en-US" w:eastAsia="zh-CN"/>
          <w14:textFill>
            <w14:solidFill>
              <w14:schemeClr w14:val="tx1"/>
            </w14:solidFill>
          </w14:textFill>
        </w:rPr>
        <w:t>供应商</w:t>
      </w:r>
      <w:r>
        <w:rPr>
          <w:rFonts w:hint="eastAsia" w:ascii="宋体" w:hAnsi="宋体" w:eastAsia="宋体" w:cs="宋体"/>
          <w:i w:val="0"/>
          <w:iCs w:val="0"/>
          <w:color w:val="000000" w:themeColor="text1"/>
          <w:highlight w:val="none"/>
          <w14:textFill>
            <w14:solidFill>
              <w14:schemeClr w14:val="tx1"/>
            </w14:solidFill>
          </w14:textFill>
        </w:rPr>
        <w:t>资格进行审查，以确定</w:t>
      </w:r>
      <w:r>
        <w:rPr>
          <w:rFonts w:hint="eastAsia" w:ascii="宋体" w:hAnsi="宋体" w:eastAsia="宋体" w:cs="宋体"/>
          <w:i w:val="0"/>
          <w:iCs w:val="0"/>
          <w:color w:val="000000" w:themeColor="text1"/>
          <w:highlight w:val="none"/>
          <w:lang w:val="en-US" w:eastAsia="zh-CN"/>
          <w14:textFill>
            <w14:solidFill>
              <w14:schemeClr w14:val="tx1"/>
            </w14:solidFill>
          </w14:textFill>
        </w:rPr>
        <w:t>供应商</w:t>
      </w:r>
      <w:r>
        <w:rPr>
          <w:rFonts w:hint="eastAsia" w:ascii="宋体" w:hAnsi="宋体" w:eastAsia="宋体" w:cs="宋体"/>
          <w:i w:val="0"/>
          <w:iCs w:val="0"/>
          <w:color w:val="000000" w:themeColor="text1"/>
          <w:highlight w:val="none"/>
          <w14:textFill>
            <w14:solidFill>
              <w14:schemeClr w14:val="tx1"/>
            </w14:solidFill>
          </w14:textFill>
        </w:rPr>
        <w:t>是否具备</w:t>
      </w:r>
      <w:r>
        <w:rPr>
          <w:rFonts w:hint="eastAsia" w:ascii="宋体" w:hAnsi="宋体" w:eastAsia="宋体" w:cs="宋体"/>
          <w:i w:val="0"/>
          <w:iCs w:val="0"/>
          <w:color w:val="000000" w:themeColor="text1"/>
          <w:highlight w:val="none"/>
          <w:lang w:val="en-US" w:eastAsia="zh-CN"/>
          <w14:textFill>
            <w14:solidFill>
              <w14:schemeClr w14:val="tx1"/>
            </w14:solidFill>
          </w14:textFill>
        </w:rPr>
        <w:t>磋商</w:t>
      </w:r>
      <w:r>
        <w:rPr>
          <w:rFonts w:hint="eastAsia" w:ascii="宋体" w:hAnsi="宋体" w:eastAsia="宋体" w:cs="宋体"/>
          <w:i w:val="0"/>
          <w:iCs w:val="0"/>
          <w:color w:val="000000" w:themeColor="text1"/>
          <w:highlight w:val="none"/>
          <w14:textFill>
            <w14:solidFill>
              <w14:schemeClr w14:val="tx1"/>
            </w14:solidFill>
          </w14:textFill>
        </w:rPr>
        <w:t>资格。</w:t>
      </w:r>
      <w:bookmarkEnd w:id="209"/>
    </w:p>
    <w:p w14:paraId="2F8C0CF9">
      <w:pPr>
        <w:pStyle w:val="48"/>
        <w:keepNext w:val="0"/>
        <w:keepLines w:val="0"/>
        <w:pageBreakBefore w:val="0"/>
        <w:widowControl w:val="0"/>
        <w:kinsoku/>
        <w:overflowPunct/>
        <w:topLinePunct/>
        <w:bidi w:val="0"/>
        <w:ind w:firstLine="480"/>
        <w:textAlignment w:val="auto"/>
        <w:rPr>
          <w:rFonts w:hint="eastAsia" w:ascii="宋体" w:hAnsi="宋体" w:eastAsia="宋体" w:cs="宋体"/>
          <w:i w:val="0"/>
          <w:iCs w:val="0"/>
          <w:color w:val="000000" w:themeColor="text1"/>
          <w:highlight w:val="none"/>
          <w14:textFill>
            <w14:solidFill>
              <w14:schemeClr w14:val="tx1"/>
            </w14:solidFill>
          </w14:textFill>
        </w:rPr>
      </w:pPr>
      <w:bookmarkStart w:id="210" w:name="_Toc140132787"/>
      <w:r>
        <w:rPr>
          <w:rFonts w:hint="eastAsia" w:ascii="宋体" w:hAnsi="宋体" w:eastAsia="宋体" w:cs="宋体"/>
          <w:i w:val="0"/>
          <w:iCs w:val="0"/>
          <w:color w:val="000000" w:themeColor="text1"/>
          <w:highlight w:val="none"/>
          <w14:textFill>
            <w14:solidFill>
              <w14:schemeClr w14:val="tx1"/>
            </w14:solidFill>
          </w14:textFill>
        </w:rPr>
        <w:t>2</w:t>
      </w:r>
      <w:r>
        <w:rPr>
          <w:rFonts w:hint="eastAsia" w:ascii="宋体" w:hAnsi="宋体" w:eastAsia="宋体" w:cs="宋体"/>
          <w:i w:val="0"/>
          <w:iCs w:val="0"/>
          <w:color w:val="000000" w:themeColor="text1"/>
          <w:highlight w:val="none"/>
          <w:lang w:val="en-US" w:eastAsia="zh-CN"/>
          <w14:textFill>
            <w14:solidFill>
              <w14:schemeClr w14:val="tx1"/>
            </w14:solidFill>
          </w14:textFill>
        </w:rPr>
        <w:t>4</w:t>
      </w:r>
      <w:r>
        <w:rPr>
          <w:rFonts w:hint="eastAsia" w:ascii="宋体" w:hAnsi="宋体" w:eastAsia="宋体" w:cs="宋体"/>
          <w:i w:val="0"/>
          <w:iCs w:val="0"/>
          <w:color w:val="000000" w:themeColor="text1"/>
          <w:highlight w:val="none"/>
          <w14:textFill>
            <w14:solidFill>
              <w14:schemeClr w14:val="tx1"/>
            </w14:solidFill>
          </w14:textFill>
        </w:rPr>
        <w:t>.2资格审查按“第四章</w:t>
      </w:r>
      <w:r>
        <w:rPr>
          <w:rFonts w:hint="eastAsia" w:ascii="宋体" w:hAnsi="宋体" w:eastAsia="宋体" w:cs="宋体"/>
          <w:i w:val="0"/>
          <w:iCs w:val="0"/>
          <w:snapToGrid w:val="0"/>
          <w:color w:val="000000" w:themeColor="text1"/>
          <w:highlight w:val="none"/>
          <w:lang w:val="zh-CN"/>
          <w14:textFill>
            <w14:solidFill>
              <w14:schemeClr w14:val="tx1"/>
            </w14:solidFill>
          </w14:textFill>
        </w:rPr>
        <w:t>评审</w:t>
      </w: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方</w:t>
      </w:r>
      <w:r>
        <w:rPr>
          <w:rFonts w:hint="eastAsia" w:ascii="宋体" w:hAnsi="宋体" w:eastAsia="宋体" w:cs="宋体"/>
          <w:i w:val="0"/>
          <w:iCs w:val="0"/>
          <w:snapToGrid w:val="0"/>
          <w:color w:val="000000" w:themeColor="text1"/>
          <w:highlight w:val="none"/>
          <w:lang w:val="zh-CN"/>
          <w14:textFill>
            <w14:solidFill>
              <w14:schemeClr w14:val="tx1"/>
            </w14:solidFill>
          </w14:textFill>
        </w:rPr>
        <w:t>法及标准</w:t>
      </w:r>
      <w:r>
        <w:rPr>
          <w:rFonts w:hint="eastAsia" w:ascii="宋体" w:hAnsi="宋体" w:eastAsia="宋体" w:cs="宋体"/>
          <w:i w:val="0"/>
          <w:iCs w:val="0"/>
          <w:color w:val="000000" w:themeColor="text1"/>
          <w:highlight w:val="none"/>
          <w14:textFill>
            <w14:solidFill>
              <w14:schemeClr w14:val="tx1"/>
            </w14:solidFill>
          </w14:textFill>
        </w:rPr>
        <w:t>”的规定进行。</w:t>
      </w:r>
      <w:bookmarkEnd w:id="210"/>
    </w:p>
    <w:p w14:paraId="3F2F869B">
      <w:pPr>
        <w:pStyle w:val="48"/>
        <w:keepNext w:val="0"/>
        <w:keepLines w:val="0"/>
        <w:pageBreakBefore w:val="0"/>
        <w:widowControl w:val="0"/>
        <w:kinsoku/>
        <w:overflowPunct/>
        <w:topLinePunct/>
        <w:bidi w:val="0"/>
        <w:ind w:firstLine="480"/>
        <w:textAlignment w:val="auto"/>
        <w:rPr>
          <w:rFonts w:hint="eastAsia" w:ascii="宋体" w:hAnsi="宋体" w:eastAsia="宋体" w:cs="宋体"/>
          <w:i w:val="0"/>
          <w:iCs w:val="0"/>
          <w:color w:val="000000" w:themeColor="text1"/>
          <w:highlight w:val="none"/>
          <w14:textFill>
            <w14:solidFill>
              <w14:schemeClr w14:val="tx1"/>
            </w14:solidFill>
          </w14:textFill>
        </w:rPr>
      </w:pPr>
      <w:bookmarkStart w:id="211" w:name="_Toc140132788"/>
      <w:r>
        <w:rPr>
          <w:rFonts w:hint="eastAsia" w:ascii="宋体" w:hAnsi="宋体" w:eastAsia="宋体" w:cs="宋体"/>
          <w:i w:val="0"/>
          <w:iCs w:val="0"/>
          <w:color w:val="000000" w:themeColor="text1"/>
          <w:highlight w:val="none"/>
          <w14:textFill>
            <w14:solidFill>
              <w14:schemeClr w14:val="tx1"/>
            </w14:solidFill>
          </w14:textFill>
        </w:rPr>
        <w:t>2</w:t>
      </w:r>
      <w:r>
        <w:rPr>
          <w:rFonts w:hint="eastAsia" w:ascii="宋体" w:hAnsi="宋体" w:eastAsia="宋体" w:cs="宋体"/>
          <w:i w:val="0"/>
          <w:iCs w:val="0"/>
          <w:color w:val="000000" w:themeColor="text1"/>
          <w:highlight w:val="none"/>
          <w:lang w:val="en-US" w:eastAsia="zh-CN"/>
          <w14:textFill>
            <w14:solidFill>
              <w14:schemeClr w14:val="tx1"/>
            </w14:solidFill>
          </w14:textFill>
        </w:rPr>
        <w:t>4</w:t>
      </w:r>
      <w:r>
        <w:rPr>
          <w:rFonts w:hint="eastAsia" w:ascii="宋体" w:hAnsi="宋体" w:eastAsia="宋体" w:cs="宋体"/>
          <w:i w:val="0"/>
          <w:iCs w:val="0"/>
          <w:color w:val="000000" w:themeColor="text1"/>
          <w:highlight w:val="none"/>
          <w14:textFill>
            <w14:solidFill>
              <w14:schemeClr w14:val="tx1"/>
            </w14:solidFill>
          </w14:textFill>
        </w:rPr>
        <w:t>.3资格审查结束后，应及时对资格审查结果进行复核，对资格审查错误进行及时纠正并记录。</w:t>
      </w:r>
      <w:bookmarkEnd w:id="211"/>
    </w:p>
    <w:p w14:paraId="5DA03484">
      <w:pPr>
        <w:pStyle w:val="48"/>
        <w:keepNext w:val="0"/>
        <w:keepLines w:val="0"/>
        <w:pageBreakBefore w:val="0"/>
        <w:widowControl w:val="0"/>
        <w:kinsoku/>
        <w:overflowPunct/>
        <w:topLinePunct/>
        <w:bidi w:val="0"/>
        <w:ind w:firstLine="480"/>
        <w:textAlignment w:val="auto"/>
        <w:rPr>
          <w:rFonts w:hint="eastAsia" w:ascii="宋体" w:hAnsi="宋体" w:eastAsia="宋体" w:cs="宋体"/>
          <w:i w:val="0"/>
          <w:iCs w:val="0"/>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24.4</w:t>
      </w:r>
      <w:r>
        <w:rPr>
          <w:rFonts w:hint="eastAsia" w:ascii="宋体" w:hAnsi="宋体" w:eastAsia="宋体" w:cs="宋体"/>
          <w:i w:val="0"/>
          <w:iCs w:val="0"/>
          <w:color w:val="000000" w:themeColor="text1"/>
          <w:highlight w:val="none"/>
          <w14:textFill>
            <w14:solidFill>
              <w14:schemeClr w14:val="tx1"/>
            </w14:solidFill>
          </w14:textFill>
        </w:rPr>
        <w:t>资格审查合格</w:t>
      </w:r>
      <w:r>
        <w:rPr>
          <w:rFonts w:hint="eastAsia" w:ascii="宋体" w:hAnsi="宋体" w:eastAsia="宋体" w:cs="宋体"/>
          <w:i w:val="0"/>
          <w:iCs w:val="0"/>
          <w:color w:val="000000" w:themeColor="text1"/>
          <w:highlight w:val="none"/>
          <w:lang w:val="en-US" w:eastAsia="zh-CN"/>
          <w14:textFill>
            <w14:solidFill>
              <w14:schemeClr w14:val="tx1"/>
            </w14:solidFill>
          </w14:textFill>
        </w:rPr>
        <w:t>供应商</w:t>
      </w:r>
      <w:r>
        <w:rPr>
          <w:rFonts w:hint="eastAsia" w:ascii="宋体" w:hAnsi="宋体" w:eastAsia="宋体" w:cs="宋体"/>
          <w:i w:val="0"/>
          <w:iCs w:val="0"/>
          <w:color w:val="000000" w:themeColor="text1"/>
          <w:highlight w:val="none"/>
          <w14:textFill>
            <w14:solidFill>
              <w14:schemeClr w14:val="tx1"/>
            </w14:solidFill>
          </w14:textFill>
        </w:rPr>
        <w:t>不足3家的，不得评</w:t>
      </w:r>
      <w:r>
        <w:rPr>
          <w:rFonts w:hint="eastAsia" w:ascii="宋体" w:hAnsi="宋体" w:eastAsia="宋体" w:cs="宋体"/>
          <w:i w:val="0"/>
          <w:iCs w:val="0"/>
          <w:color w:val="000000" w:themeColor="text1"/>
          <w:highlight w:val="none"/>
          <w:lang w:val="en-US" w:eastAsia="zh-CN"/>
          <w14:textFill>
            <w14:solidFill>
              <w14:schemeClr w14:val="tx1"/>
            </w14:solidFill>
          </w14:textFill>
        </w:rPr>
        <w:t>审</w:t>
      </w:r>
      <w:r>
        <w:rPr>
          <w:rFonts w:hint="eastAsia" w:ascii="宋体" w:hAnsi="宋体" w:eastAsia="宋体" w:cs="宋体"/>
          <w:i w:val="0"/>
          <w:iCs w:val="0"/>
          <w:color w:val="000000" w:themeColor="text1"/>
          <w:highlight w:val="none"/>
          <w14:textFill>
            <w14:solidFill>
              <w14:schemeClr w14:val="tx1"/>
            </w14:solidFill>
          </w14:textFill>
        </w:rPr>
        <w:t>。</w:t>
      </w:r>
    </w:p>
    <w:p w14:paraId="28A140A6">
      <w:pPr>
        <w:pStyle w:val="4"/>
        <w:keepNext w:val="0"/>
        <w:keepLines w:val="0"/>
        <w:pageBreakBefore w:val="0"/>
        <w:widowControl w:val="0"/>
        <w:numPr>
          <w:ilvl w:val="0"/>
          <w:numId w:val="0"/>
        </w:numPr>
        <w:kinsoku/>
        <w:wordWrap/>
        <w:overflowPunct/>
        <w:topLinePunct/>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212" w:name="_Toc155185878"/>
      <w:bookmarkStart w:id="213" w:name="_Toc140132789"/>
      <w:bookmarkStart w:id="214" w:name="_Toc163492856"/>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（七）项目评</w:t>
      </w:r>
      <w:bookmarkEnd w:id="212"/>
      <w:bookmarkEnd w:id="213"/>
      <w:bookmarkEnd w:id="214"/>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审</w:t>
      </w:r>
    </w:p>
    <w:p w14:paraId="0F0AA552">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25.评审方法、程序及标准</w:t>
      </w:r>
    </w:p>
    <w:p w14:paraId="21AFD9D0">
      <w:pPr>
        <w:keepNext w:val="0"/>
        <w:keepLines w:val="0"/>
        <w:pageBreakBefore w:val="0"/>
        <w:widowControl w:val="0"/>
        <w:tabs>
          <w:tab w:val="left" w:pos="426"/>
        </w:tabs>
        <w:kinsoku/>
        <w:overflowPunct/>
        <w:topLinePunct/>
        <w:autoSpaceDE w:val="0"/>
        <w:autoSpaceDN w:val="0"/>
        <w:bidi w:val="0"/>
        <w:adjustRightInd w:val="0"/>
        <w:snapToGrid w:val="0"/>
        <w:ind w:firstLine="420" w:firstLineChars="200"/>
        <w:textAlignment w:val="auto"/>
        <w:rPr>
          <w:rFonts w:hint="eastAsia" w:ascii="宋体" w:hAnsi="宋体" w:eastAsia="宋体" w:cs="宋体"/>
          <w:i w:val="0"/>
          <w:iCs w:val="0"/>
          <w:snapToGrid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snapToGrid w:val="0"/>
          <w:color w:val="000000" w:themeColor="text1"/>
          <w:sz w:val="21"/>
          <w:szCs w:val="21"/>
          <w:highlight w:val="none"/>
          <w:lang w:val="zh-CN"/>
          <w14:textFill>
            <w14:solidFill>
              <w14:schemeClr w14:val="tx1"/>
            </w14:solidFill>
          </w14:textFill>
        </w:rPr>
        <w:t>2</w:t>
      </w:r>
      <w:r>
        <w:rPr>
          <w:rFonts w:hint="eastAsia" w:ascii="宋体" w:hAnsi="宋体" w:eastAsia="宋体" w:cs="宋体"/>
          <w:i w:val="0"/>
          <w:iCs w:val="0"/>
          <w:snapToGrid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i w:val="0"/>
          <w:iCs w:val="0"/>
          <w:snapToGrid w:val="0"/>
          <w:color w:val="000000" w:themeColor="text1"/>
          <w:sz w:val="21"/>
          <w:szCs w:val="21"/>
          <w:highlight w:val="none"/>
          <w:lang w:val="zh-CN"/>
          <w14:textFill>
            <w14:solidFill>
              <w14:schemeClr w14:val="tx1"/>
            </w14:solidFill>
          </w14:textFill>
        </w:rPr>
        <w:t>.1</w:t>
      </w:r>
      <w:r>
        <w:rPr>
          <w:rFonts w:hint="eastAsia" w:ascii="宋体" w:hAnsi="宋体" w:eastAsia="宋体" w:cs="宋体"/>
          <w:i w:val="0"/>
          <w:iCs w:val="0"/>
          <w:snapToGrid w:val="0"/>
          <w:color w:val="000000" w:themeColor="text1"/>
          <w:sz w:val="21"/>
          <w:szCs w:val="21"/>
          <w:highlight w:val="none"/>
          <w:lang w:val="en-US" w:eastAsia="zh-CN"/>
          <w14:textFill>
            <w14:solidFill>
              <w14:schemeClr w14:val="tx1"/>
            </w14:solidFill>
          </w14:textFill>
        </w:rPr>
        <w:t>评审方法：综合评分法。</w:t>
      </w:r>
    </w:p>
    <w:p w14:paraId="199C2665">
      <w:pPr>
        <w:keepNext w:val="0"/>
        <w:keepLines w:val="0"/>
        <w:pageBreakBefore w:val="0"/>
        <w:widowControl w:val="0"/>
        <w:tabs>
          <w:tab w:val="left" w:pos="426"/>
        </w:tabs>
        <w:kinsoku/>
        <w:overflowPunct/>
        <w:topLinePunct/>
        <w:autoSpaceDE w:val="0"/>
        <w:autoSpaceDN w:val="0"/>
        <w:bidi w:val="0"/>
        <w:adjustRightInd w:val="0"/>
        <w:snapToGrid w:val="0"/>
        <w:ind w:firstLine="420" w:firstLineChars="200"/>
        <w:textAlignment w:val="auto"/>
        <w:rPr>
          <w:rFonts w:hint="eastAsia" w:ascii="宋体" w:hAnsi="宋体" w:eastAsia="宋体" w:cs="宋体"/>
          <w:i w:val="0"/>
          <w:iCs w:val="0"/>
          <w:snapToGrid w:val="0"/>
          <w:color w:val="000000" w:themeColor="text1"/>
          <w:sz w:val="21"/>
          <w:szCs w:val="21"/>
          <w:highlight w:val="none"/>
          <w:lang w:val="zh-CN"/>
          <w14:textFill>
            <w14:solidFill>
              <w14:schemeClr w14:val="tx1"/>
            </w14:solidFill>
          </w14:textFill>
        </w:rPr>
      </w:pPr>
      <w:r>
        <w:rPr>
          <w:rFonts w:hint="eastAsia" w:ascii="宋体" w:hAnsi="宋体" w:eastAsia="宋体" w:cs="宋体"/>
          <w:i w:val="0"/>
          <w:iCs w:val="0"/>
          <w:snapToGrid w:val="0"/>
          <w:color w:val="000000" w:themeColor="text1"/>
          <w:sz w:val="21"/>
          <w:szCs w:val="21"/>
          <w:highlight w:val="none"/>
          <w:lang w:val="zh-CN" w:eastAsia="zh-CN"/>
          <w14:textFill>
            <w14:solidFill>
              <w14:schemeClr w14:val="tx1"/>
            </w14:solidFill>
          </w14:textFill>
        </w:rPr>
        <w:t>综合评分法，是指响应文件满足磋商文件全部实质性要求且按评审因素的量化指标评审得分最高的供应商为成交候选供应商的评审方法。</w:t>
      </w:r>
    </w:p>
    <w:p w14:paraId="66490CE6">
      <w:pPr>
        <w:keepNext w:val="0"/>
        <w:keepLines w:val="0"/>
        <w:pageBreakBefore w:val="0"/>
        <w:widowControl w:val="0"/>
        <w:tabs>
          <w:tab w:val="left" w:pos="426"/>
        </w:tabs>
        <w:kinsoku/>
        <w:overflowPunct/>
        <w:topLinePunct/>
        <w:autoSpaceDE w:val="0"/>
        <w:autoSpaceDN w:val="0"/>
        <w:bidi w:val="0"/>
        <w:adjustRightInd w:val="0"/>
        <w:snapToGrid w:val="0"/>
        <w:ind w:firstLine="420" w:firstLineChars="200"/>
        <w:textAlignment w:val="auto"/>
        <w:rPr>
          <w:rFonts w:hint="eastAsia" w:ascii="宋体" w:hAnsi="宋体" w:eastAsia="宋体" w:cs="宋体"/>
          <w:i w:val="0"/>
          <w:iCs w:val="0"/>
          <w:snapToGrid w:val="0"/>
          <w:color w:val="000000" w:themeColor="text1"/>
          <w:sz w:val="21"/>
          <w:szCs w:val="21"/>
          <w:highlight w:val="none"/>
          <w:lang w:val="zh-CN"/>
          <w14:textFill>
            <w14:solidFill>
              <w14:schemeClr w14:val="tx1"/>
            </w14:solidFill>
          </w14:textFill>
        </w:rPr>
      </w:pPr>
      <w:r>
        <w:rPr>
          <w:rFonts w:hint="eastAsia" w:ascii="宋体" w:hAnsi="宋体" w:eastAsia="宋体" w:cs="宋体"/>
          <w:i w:val="0"/>
          <w:iCs w:val="0"/>
          <w:snapToGrid w:val="0"/>
          <w:color w:val="000000" w:themeColor="text1"/>
          <w:sz w:val="21"/>
          <w:szCs w:val="21"/>
          <w:highlight w:val="none"/>
          <w:lang w:val="en-US" w:eastAsia="zh-CN"/>
          <w14:textFill>
            <w14:solidFill>
              <w14:schemeClr w14:val="tx1"/>
            </w14:solidFill>
          </w14:textFill>
        </w:rPr>
        <w:t>本</w:t>
      </w:r>
      <w:r>
        <w:rPr>
          <w:rFonts w:hint="eastAsia" w:ascii="宋体" w:hAnsi="宋体" w:eastAsia="宋体" w:cs="宋体"/>
          <w:i w:val="0"/>
          <w:iCs w:val="0"/>
          <w:snapToGrid w:val="0"/>
          <w:color w:val="000000" w:themeColor="text1"/>
          <w:sz w:val="21"/>
          <w:szCs w:val="21"/>
          <w:highlight w:val="none"/>
          <w:lang w:val="zh-CN"/>
          <w14:textFill>
            <w14:solidFill>
              <w14:schemeClr w14:val="tx1"/>
            </w14:solidFill>
          </w14:textFill>
        </w:rPr>
        <w:t>项目评审方法、程序及标准详见“第</w:t>
      </w:r>
      <w:r>
        <w:rPr>
          <w:rFonts w:hint="eastAsia" w:ascii="宋体" w:hAnsi="宋体" w:eastAsia="宋体" w:cs="宋体"/>
          <w:i w:val="0"/>
          <w:iCs w:val="0"/>
          <w:snapToGrid w:val="0"/>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i w:val="0"/>
          <w:iCs w:val="0"/>
          <w:snapToGrid w:val="0"/>
          <w:color w:val="000000" w:themeColor="text1"/>
          <w:sz w:val="21"/>
          <w:szCs w:val="21"/>
          <w:highlight w:val="none"/>
          <w:lang w:val="zh-CN"/>
          <w14:textFill>
            <w14:solidFill>
              <w14:schemeClr w14:val="tx1"/>
            </w14:solidFill>
          </w14:textFill>
        </w:rPr>
        <w:t>章评审</w:t>
      </w:r>
      <w:r>
        <w:rPr>
          <w:rFonts w:hint="eastAsia" w:ascii="宋体" w:hAnsi="宋体" w:eastAsia="宋体" w:cs="宋体"/>
          <w:i w:val="0"/>
          <w:iCs w:val="0"/>
          <w:snapToGrid w:val="0"/>
          <w:color w:val="000000" w:themeColor="text1"/>
          <w:sz w:val="21"/>
          <w:szCs w:val="21"/>
          <w:highlight w:val="none"/>
          <w:lang w:val="en-US" w:eastAsia="zh-CN"/>
          <w14:textFill>
            <w14:solidFill>
              <w14:schemeClr w14:val="tx1"/>
            </w14:solidFill>
          </w14:textFill>
        </w:rPr>
        <w:t>方</w:t>
      </w:r>
      <w:r>
        <w:rPr>
          <w:rFonts w:hint="eastAsia" w:ascii="宋体" w:hAnsi="宋体" w:eastAsia="宋体" w:cs="宋体"/>
          <w:i w:val="0"/>
          <w:iCs w:val="0"/>
          <w:snapToGrid w:val="0"/>
          <w:color w:val="000000" w:themeColor="text1"/>
          <w:sz w:val="21"/>
          <w:szCs w:val="21"/>
          <w:highlight w:val="none"/>
          <w:lang w:val="zh-CN"/>
          <w14:textFill>
            <w14:solidFill>
              <w14:schemeClr w14:val="tx1"/>
            </w14:solidFill>
          </w14:textFill>
        </w:rPr>
        <w:t>法及标准”。</w:t>
      </w:r>
    </w:p>
    <w:p w14:paraId="4010F012">
      <w:pPr>
        <w:keepNext w:val="0"/>
        <w:keepLines w:val="0"/>
        <w:pageBreakBefore w:val="0"/>
        <w:widowControl w:val="0"/>
        <w:tabs>
          <w:tab w:val="left" w:pos="426"/>
        </w:tabs>
        <w:kinsoku/>
        <w:overflowPunct/>
        <w:topLinePunct/>
        <w:autoSpaceDE w:val="0"/>
        <w:autoSpaceDN w:val="0"/>
        <w:bidi w:val="0"/>
        <w:adjustRightInd w:val="0"/>
        <w:snapToGrid w:val="0"/>
        <w:ind w:firstLine="420" w:firstLineChars="200"/>
        <w:textAlignment w:val="auto"/>
        <w:rPr>
          <w:rFonts w:hint="eastAsia" w:ascii="宋体" w:hAnsi="宋体" w:eastAsia="宋体" w:cs="宋体"/>
          <w:i w:val="0"/>
          <w:iCs w:val="0"/>
          <w:snapToGrid w:val="0"/>
          <w:color w:val="000000" w:themeColor="text1"/>
          <w:sz w:val="21"/>
          <w:szCs w:val="21"/>
          <w:highlight w:val="none"/>
          <w:lang w:val="zh-CN"/>
          <w14:textFill>
            <w14:solidFill>
              <w14:schemeClr w14:val="tx1"/>
            </w14:solidFill>
          </w14:textFill>
        </w:rPr>
      </w:pPr>
      <w:r>
        <w:rPr>
          <w:rFonts w:hint="eastAsia" w:ascii="宋体" w:hAnsi="宋体" w:eastAsia="宋体" w:cs="宋体"/>
          <w:i w:val="0"/>
          <w:iCs w:val="0"/>
          <w:snapToGrid w:val="0"/>
          <w:color w:val="000000" w:themeColor="text1"/>
          <w:sz w:val="21"/>
          <w:szCs w:val="21"/>
          <w:highlight w:val="none"/>
          <w:lang w:val="zh-CN"/>
          <w14:textFill>
            <w14:solidFill>
              <w14:schemeClr w14:val="tx1"/>
            </w14:solidFill>
          </w14:textFill>
        </w:rPr>
        <w:t>2</w:t>
      </w:r>
      <w:r>
        <w:rPr>
          <w:rFonts w:hint="eastAsia" w:ascii="宋体" w:hAnsi="宋体" w:eastAsia="宋体" w:cs="宋体"/>
          <w:i w:val="0"/>
          <w:iCs w:val="0"/>
          <w:snapToGrid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i w:val="0"/>
          <w:iCs w:val="0"/>
          <w:snapToGrid w:val="0"/>
          <w:color w:val="000000" w:themeColor="text1"/>
          <w:sz w:val="21"/>
          <w:szCs w:val="21"/>
          <w:highlight w:val="none"/>
          <w:lang w:val="zh-CN"/>
          <w14:textFill>
            <w14:solidFill>
              <w14:schemeClr w14:val="tx1"/>
            </w14:solidFill>
          </w14:textFill>
        </w:rPr>
        <w:t>.2磋商准备：供应商应当按照“</w:t>
      </w:r>
      <w:r>
        <w:rPr>
          <w:rFonts w:hint="eastAsia" w:ascii="宋体" w:hAnsi="宋体" w:eastAsia="宋体" w:cs="宋体"/>
          <w:i w:val="0"/>
          <w:iCs w:val="0"/>
          <w:snapToGrid w:val="0"/>
          <w:color w:val="000000" w:themeColor="text1"/>
          <w:sz w:val="21"/>
          <w:szCs w:val="21"/>
          <w:highlight w:val="none"/>
          <w:lang w:val="zh-CN" w:eastAsia="zh-CN"/>
          <w14:textFill>
            <w14:solidFill>
              <w14:schemeClr w14:val="tx1"/>
            </w14:solidFill>
          </w14:textFill>
        </w:rPr>
        <w:t>第</w:t>
      </w:r>
      <w:r>
        <w:rPr>
          <w:rFonts w:hint="eastAsia" w:ascii="宋体" w:hAnsi="宋体" w:eastAsia="宋体" w:cs="宋体"/>
          <w:i w:val="0"/>
          <w:iCs w:val="0"/>
          <w:snapToGrid w:val="0"/>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i w:val="0"/>
          <w:iCs w:val="0"/>
          <w:snapToGrid w:val="0"/>
          <w:color w:val="000000" w:themeColor="text1"/>
          <w:sz w:val="21"/>
          <w:szCs w:val="21"/>
          <w:highlight w:val="none"/>
          <w:lang w:val="zh-CN" w:eastAsia="zh-CN"/>
          <w14:textFill>
            <w14:solidFill>
              <w14:schemeClr w14:val="tx1"/>
            </w14:solidFill>
          </w14:textFill>
        </w:rPr>
        <w:t>章</w:t>
      </w:r>
      <w:r>
        <w:rPr>
          <w:rFonts w:hint="eastAsia" w:ascii="宋体" w:hAnsi="宋体" w:eastAsia="宋体" w:cs="宋体"/>
          <w:i w:val="0"/>
          <w:iCs w:val="0"/>
          <w:snapToGrid w:val="0"/>
          <w:color w:val="000000" w:themeColor="text1"/>
          <w:sz w:val="21"/>
          <w:szCs w:val="21"/>
          <w:highlight w:val="none"/>
          <w:lang w:val="en-US" w:eastAsia="zh-CN"/>
          <w14:textFill>
            <w14:solidFill>
              <w14:schemeClr w14:val="tx1"/>
            </w14:solidFill>
          </w14:textFill>
        </w:rPr>
        <w:t>供应商须知</w:t>
      </w:r>
      <w:r>
        <w:rPr>
          <w:rFonts w:hint="eastAsia" w:ascii="宋体" w:hAnsi="宋体" w:eastAsia="宋体" w:cs="宋体"/>
          <w:i w:val="0"/>
          <w:iCs w:val="0"/>
          <w:snapToGrid w:val="0"/>
          <w:color w:val="000000" w:themeColor="text1"/>
          <w:sz w:val="21"/>
          <w:szCs w:val="21"/>
          <w:highlight w:val="none"/>
          <w:lang w:val="zh-CN"/>
          <w14:textFill>
            <w14:solidFill>
              <w14:schemeClr w14:val="tx1"/>
            </w14:solidFill>
          </w14:textFill>
        </w:rPr>
        <w:t>”</w:t>
      </w:r>
      <w:r>
        <w:rPr>
          <w:rFonts w:hint="eastAsia" w:ascii="宋体" w:hAnsi="宋体" w:eastAsia="宋体" w:cs="宋体"/>
          <w:i w:val="0"/>
          <w:iCs w:val="0"/>
          <w:snapToGrid w:val="0"/>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i w:val="0"/>
          <w:iCs w:val="0"/>
          <w:snapToGrid w:val="0"/>
          <w:color w:val="000000" w:themeColor="text1"/>
          <w:sz w:val="21"/>
          <w:szCs w:val="21"/>
          <w:highlight w:val="none"/>
          <w:lang w:val="zh-CN"/>
          <w14:textFill>
            <w14:solidFill>
              <w14:schemeClr w14:val="tx1"/>
            </w14:solidFill>
          </w14:textFill>
        </w:rPr>
        <w:t>要求提前准备好磋商所需的设备，确保设备稳定可靠、互联网畅通。</w:t>
      </w:r>
      <w:r>
        <w:rPr>
          <w:rFonts w:hint="eastAsia" w:ascii="宋体" w:hAnsi="宋体" w:eastAsia="宋体" w:cs="宋体"/>
          <w:i w:val="0"/>
          <w:iCs w:val="0"/>
          <w:color w:val="000000" w:themeColor="text1"/>
          <w:sz w:val="21"/>
          <w:szCs w:val="21"/>
          <w:highlight w:val="none"/>
          <w14:textFill>
            <w14:solidFill>
              <w14:schemeClr w14:val="tx1"/>
            </w14:solidFill>
          </w14:textFill>
        </w:rPr>
        <w:t>供应商登录</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客户端</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14:textFill>
            <w14:solidFill>
              <w14:schemeClr w14:val="tx1"/>
            </w14:solidFill>
          </w14:textFill>
        </w:rPr>
        <w:t>，</w:t>
      </w:r>
      <w:r>
        <w:rPr>
          <w:rFonts w:hint="eastAsia" w:ascii="宋体" w:hAnsi="宋体" w:eastAsia="宋体" w:cs="宋体"/>
          <w:i w:val="0"/>
          <w:iCs w:val="0"/>
          <w:snapToGrid w:val="0"/>
          <w:color w:val="000000" w:themeColor="text1"/>
          <w:sz w:val="21"/>
          <w:szCs w:val="21"/>
          <w:highlight w:val="none"/>
          <w:lang w:val="zh-CN"/>
          <w14:textFill>
            <w14:solidFill>
              <w14:schemeClr w14:val="tx1"/>
            </w14:solidFill>
          </w14:textFill>
        </w:rPr>
        <w:t>通过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客户端</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i w:val="0"/>
          <w:iCs w:val="0"/>
          <w:snapToGrid w:val="0"/>
          <w:color w:val="000000" w:themeColor="text1"/>
          <w:sz w:val="21"/>
          <w:szCs w:val="21"/>
          <w:highlight w:val="none"/>
          <w:lang w:val="zh-CN"/>
          <w14:textFill>
            <w14:solidFill>
              <w14:schemeClr w14:val="tx1"/>
            </w14:solidFill>
          </w14:textFill>
        </w:rPr>
        <w:t>进入交易系统“</w:t>
      </w:r>
      <w:r>
        <w:rPr>
          <w:rFonts w:hint="eastAsia" w:ascii="宋体" w:hAnsi="宋体" w:eastAsia="宋体" w:cs="宋体"/>
          <w:i w:val="0"/>
          <w:iCs w:val="0"/>
          <w:snapToGrid w:val="0"/>
          <w:color w:val="000000" w:themeColor="text1"/>
          <w:sz w:val="21"/>
          <w:szCs w:val="21"/>
          <w:highlight w:val="none"/>
          <w:lang w:val="en-US" w:eastAsia="zh-CN"/>
          <w14:textFill>
            <w14:solidFill>
              <w14:schemeClr w14:val="tx1"/>
            </w14:solidFill>
          </w14:textFill>
        </w:rPr>
        <w:t>开</w:t>
      </w:r>
      <w:r>
        <w:rPr>
          <w:rFonts w:hint="eastAsia" w:ascii="宋体" w:hAnsi="宋体" w:eastAsia="宋体" w:cs="宋体"/>
          <w:i w:val="0"/>
          <w:iCs w:val="0"/>
          <w:snapToGrid w:val="0"/>
          <w:color w:val="000000" w:themeColor="text1"/>
          <w:sz w:val="21"/>
          <w:szCs w:val="21"/>
          <w:highlight w:val="none"/>
          <w:lang w:val="zh-CN"/>
          <w14:textFill>
            <w14:solidFill>
              <w14:schemeClr w14:val="tx1"/>
            </w14:solidFill>
          </w14:textFill>
        </w:rPr>
        <w:t>标大厅”，准时参加在线磋商，按照工作人员提示进行相关操作。未按上述要求进行的，导致的后果由供应商自行承担。</w:t>
      </w:r>
    </w:p>
    <w:p w14:paraId="2A77D309">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default"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215" w:name="_Toc140132790"/>
      <w:bookmarkStart w:id="216" w:name="_Toc163492857"/>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26.</w:t>
      </w:r>
      <w:bookmarkEnd w:id="215"/>
      <w:bookmarkEnd w:id="216"/>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磋商小组</w:t>
      </w:r>
    </w:p>
    <w:p w14:paraId="38BE572E">
      <w:pPr>
        <w:pStyle w:val="48"/>
        <w:keepNext w:val="0"/>
        <w:keepLines w:val="0"/>
        <w:pageBreakBefore w:val="0"/>
        <w:widowControl w:val="0"/>
        <w:kinsoku/>
        <w:overflowPunct/>
        <w:topLinePunct/>
        <w:autoSpaceDE/>
        <w:autoSpaceDN/>
        <w:bidi w:val="0"/>
        <w:adjustRightInd/>
        <w:textAlignment w:val="auto"/>
        <w:rPr>
          <w:rFonts w:hint="eastAsia"/>
          <w:i w:val="0"/>
          <w:iCs w:val="0"/>
          <w:color w:val="000000" w:themeColor="text1"/>
          <w:highlight w:val="none"/>
          <w14:textFill>
            <w14:solidFill>
              <w14:schemeClr w14:val="tx1"/>
            </w14:solidFill>
          </w14:textFill>
        </w:rPr>
      </w:pPr>
      <w:r>
        <w:rPr>
          <w:i w:val="0"/>
          <w:iCs w:val="0"/>
          <w:color w:val="000000" w:themeColor="text1"/>
          <w:highlight w:val="none"/>
          <w14:textFill>
            <w14:solidFill>
              <w14:schemeClr w14:val="tx1"/>
            </w14:solidFill>
          </w14:textFill>
        </w:rPr>
        <w:t>2</w:t>
      </w:r>
      <w:r>
        <w:rPr>
          <w:rFonts w:hint="eastAsia"/>
          <w:i w:val="0"/>
          <w:iCs w:val="0"/>
          <w:color w:val="000000" w:themeColor="text1"/>
          <w:highlight w:val="none"/>
          <w:lang w:val="en-US" w:eastAsia="zh-CN"/>
          <w14:textFill>
            <w14:solidFill>
              <w14:schemeClr w14:val="tx1"/>
            </w14:solidFill>
          </w14:textFill>
        </w:rPr>
        <w:t>6</w:t>
      </w:r>
      <w:r>
        <w:rPr>
          <w:rFonts w:hint="eastAsia"/>
          <w:i w:val="0"/>
          <w:iCs w:val="0"/>
          <w:color w:val="000000" w:themeColor="text1"/>
          <w:highlight w:val="none"/>
          <w14:textFill>
            <w14:solidFill>
              <w14:schemeClr w14:val="tx1"/>
            </w14:solidFill>
          </w14:textFill>
        </w:rPr>
        <w:t>.1磋商小组由采购人代表和评审专家共</w:t>
      </w:r>
      <w:r>
        <w:rPr>
          <w:rFonts w:hint="eastAsia"/>
          <w:i w:val="0"/>
          <w:iCs w:val="0"/>
          <w:color w:val="000000" w:themeColor="text1"/>
          <w:highlight w:val="none"/>
          <w:lang w:val="en-US" w:eastAsia="zh-CN"/>
          <w14:textFill>
            <w14:solidFill>
              <w14:schemeClr w14:val="tx1"/>
            </w14:solidFill>
          </w14:textFill>
        </w:rPr>
        <w:t>3</w:t>
      </w:r>
      <w:r>
        <w:rPr>
          <w:rFonts w:hint="eastAsia"/>
          <w:i w:val="0"/>
          <w:iCs w:val="0"/>
          <w:color w:val="000000" w:themeColor="text1"/>
          <w:highlight w:val="none"/>
          <w14:textFill>
            <w14:solidFill>
              <w14:schemeClr w14:val="tx1"/>
            </w14:solidFill>
          </w14:textFill>
        </w:rPr>
        <w:t>人以上单数组成，其中评审专家人数不得少于磋商小组成员总数的2/3。采购人代表不得以评审专家身份参加本部门或本单位采购项目的评审。采购代理机构人员不得参加本机构代理的采购项目的评审。</w:t>
      </w:r>
    </w:p>
    <w:p w14:paraId="1CB77CF8">
      <w:pPr>
        <w:pStyle w:val="48"/>
        <w:keepNext w:val="0"/>
        <w:keepLines w:val="0"/>
        <w:pageBreakBefore w:val="0"/>
        <w:widowControl w:val="0"/>
        <w:kinsoku/>
        <w:overflowPunct/>
        <w:topLinePunct/>
        <w:autoSpaceDE/>
        <w:autoSpaceDN/>
        <w:bidi w:val="0"/>
        <w:adjustRightInd/>
        <w:textAlignment w:val="auto"/>
        <w:rPr>
          <w:i w:val="0"/>
          <w:iCs w:val="0"/>
          <w:color w:val="000000" w:themeColor="text1"/>
          <w:highlight w:val="none"/>
          <w14:textFill>
            <w14:solidFill>
              <w14:schemeClr w14:val="tx1"/>
            </w14:solidFill>
          </w14:textFill>
        </w:rPr>
      </w:pPr>
      <w:r>
        <w:rPr>
          <w:i w:val="0"/>
          <w:iCs w:val="0"/>
          <w:color w:val="000000" w:themeColor="text1"/>
          <w:highlight w:val="none"/>
          <w14:textFill>
            <w14:solidFill>
              <w14:schemeClr w14:val="tx1"/>
            </w14:solidFill>
          </w14:textFill>
        </w:rPr>
        <w:t>2</w:t>
      </w:r>
      <w:r>
        <w:rPr>
          <w:rFonts w:hint="eastAsia"/>
          <w:i w:val="0"/>
          <w:iCs w:val="0"/>
          <w:color w:val="000000" w:themeColor="text1"/>
          <w:highlight w:val="none"/>
          <w:lang w:val="en-US" w:eastAsia="zh-CN"/>
          <w14:textFill>
            <w14:solidFill>
              <w14:schemeClr w14:val="tx1"/>
            </w14:solidFill>
          </w14:textFill>
        </w:rPr>
        <w:t>6</w:t>
      </w:r>
      <w:r>
        <w:rPr>
          <w:rFonts w:hint="eastAsia"/>
          <w:i w:val="0"/>
          <w:iCs w:val="0"/>
          <w:color w:val="000000" w:themeColor="text1"/>
          <w:highlight w:val="none"/>
          <w14:textFill>
            <w14:solidFill>
              <w14:schemeClr w14:val="tx1"/>
            </w14:solidFill>
          </w14:textFill>
        </w:rPr>
        <w:t>.2磋商小组成员有下列情形之一的，应当回避：</w:t>
      </w:r>
    </w:p>
    <w:p w14:paraId="6854912B">
      <w:pPr>
        <w:pStyle w:val="48"/>
        <w:keepNext w:val="0"/>
        <w:keepLines w:val="0"/>
        <w:pageBreakBefore w:val="0"/>
        <w:widowControl w:val="0"/>
        <w:kinsoku/>
        <w:overflowPunct/>
        <w:topLinePunct/>
        <w:autoSpaceDE/>
        <w:autoSpaceDN/>
        <w:bidi w:val="0"/>
        <w:adjustRightInd/>
        <w:textAlignment w:val="auto"/>
        <w:rPr>
          <w:i w:val="0"/>
          <w:iCs w:val="0"/>
          <w:color w:val="000000" w:themeColor="text1"/>
          <w:highlight w:val="none"/>
          <w14:textFill>
            <w14:solidFill>
              <w14:schemeClr w14:val="tx1"/>
            </w14:solidFill>
          </w14:textFill>
        </w:rPr>
      </w:pPr>
      <w:r>
        <w:rPr>
          <w:rFonts w:hint="eastAsia"/>
          <w:i w:val="0"/>
          <w:iCs w:val="0"/>
          <w:color w:val="000000" w:themeColor="text1"/>
          <w:highlight w:val="none"/>
          <w14:textFill>
            <w14:solidFill>
              <w14:schemeClr w14:val="tx1"/>
            </w14:solidFill>
          </w14:textFill>
        </w:rPr>
        <w:t>（1）参加采购活动前3年内与</w:t>
      </w:r>
      <w:r>
        <w:rPr>
          <w:rFonts w:hint="eastAsia"/>
          <w:i w:val="0"/>
          <w:iCs w:val="0"/>
          <w:color w:val="000000" w:themeColor="text1"/>
          <w:highlight w:val="none"/>
          <w:lang w:val="en-US" w:eastAsia="zh-CN"/>
          <w14:textFill>
            <w14:solidFill>
              <w14:schemeClr w14:val="tx1"/>
            </w14:solidFill>
          </w14:textFill>
        </w:rPr>
        <w:t>磋商供应商</w:t>
      </w:r>
      <w:r>
        <w:rPr>
          <w:rFonts w:hint="eastAsia"/>
          <w:i w:val="0"/>
          <w:iCs w:val="0"/>
          <w:color w:val="000000" w:themeColor="text1"/>
          <w:highlight w:val="none"/>
          <w14:textFill>
            <w14:solidFill>
              <w14:schemeClr w14:val="tx1"/>
            </w14:solidFill>
          </w14:textFill>
        </w:rPr>
        <w:t>存在劳动关系；</w:t>
      </w:r>
    </w:p>
    <w:p w14:paraId="5794BADC">
      <w:pPr>
        <w:pStyle w:val="48"/>
        <w:keepNext w:val="0"/>
        <w:keepLines w:val="0"/>
        <w:pageBreakBefore w:val="0"/>
        <w:widowControl w:val="0"/>
        <w:kinsoku/>
        <w:overflowPunct/>
        <w:topLinePunct/>
        <w:autoSpaceDE/>
        <w:autoSpaceDN/>
        <w:bidi w:val="0"/>
        <w:adjustRightInd/>
        <w:textAlignment w:val="auto"/>
        <w:rPr>
          <w:i w:val="0"/>
          <w:iCs w:val="0"/>
          <w:color w:val="000000" w:themeColor="text1"/>
          <w:highlight w:val="none"/>
          <w14:textFill>
            <w14:solidFill>
              <w14:schemeClr w14:val="tx1"/>
            </w14:solidFill>
          </w14:textFill>
        </w:rPr>
      </w:pPr>
      <w:r>
        <w:rPr>
          <w:rFonts w:hint="eastAsia"/>
          <w:i w:val="0"/>
          <w:iCs w:val="0"/>
          <w:color w:val="000000" w:themeColor="text1"/>
          <w:highlight w:val="none"/>
          <w14:textFill>
            <w14:solidFill>
              <w14:schemeClr w14:val="tx1"/>
            </w14:solidFill>
          </w14:textFill>
        </w:rPr>
        <w:t>（2）参加采购活动前3年内担任</w:t>
      </w:r>
      <w:r>
        <w:rPr>
          <w:rFonts w:hint="eastAsia"/>
          <w:i w:val="0"/>
          <w:iCs w:val="0"/>
          <w:color w:val="000000" w:themeColor="text1"/>
          <w:highlight w:val="none"/>
          <w:lang w:val="en-US" w:eastAsia="zh-CN"/>
          <w14:textFill>
            <w14:solidFill>
              <w14:schemeClr w14:val="tx1"/>
            </w14:solidFill>
          </w14:textFill>
        </w:rPr>
        <w:t>磋商供应商</w:t>
      </w:r>
      <w:r>
        <w:rPr>
          <w:rFonts w:hint="eastAsia"/>
          <w:i w:val="0"/>
          <w:iCs w:val="0"/>
          <w:color w:val="000000" w:themeColor="text1"/>
          <w:highlight w:val="none"/>
          <w14:textFill>
            <w14:solidFill>
              <w14:schemeClr w14:val="tx1"/>
            </w14:solidFill>
          </w14:textFill>
        </w:rPr>
        <w:t>的董事、监事；</w:t>
      </w:r>
    </w:p>
    <w:p w14:paraId="4C61E1CA">
      <w:pPr>
        <w:pStyle w:val="48"/>
        <w:keepNext w:val="0"/>
        <w:keepLines w:val="0"/>
        <w:pageBreakBefore w:val="0"/>
        <w:widowControl w:val="0"/>
        <w:kinsoku/>
        <w:overflowPunct/>
        <w:topLinePunct/>
        <w:autoSpaceDE/>
        <w:autoSpaceDN/>
        <w:bidi w:val="0"/>
        <w:adjustRightInd/>
        <w:textAlignment w:val="auto"/>
        <w:rPr>
          <w:i w:val="0"/>
          <w:iCs w:val="0"/>
          <w:color w:val="000000" w:themeColor="text1"/>
          <w:highlight w:val="none"/>
          <w14:textFill>
            <w14:solidFill>
              <w14:schemeClr w14:val="tx1"/>
            </w14:solidFill>
          </w14:textFill>
        </w:rPr>
      </w:pPr>
      <w:r>
        <w:rPr>
          <w:rFonts w:hint="eastAsia"/>
          <w:i w:val="0"/>
          <w:iCs w:val="0"/>
          <w:color w:val="000000" w:themeColor="text1"/>
          <w:highlight w:val="none"/>
          <w14:textFill>
            <w14:solidFill>
              <w14:schemeClr w14:val="tx1"/>
            </w14:solidFill>
          </w14:textFill>
        </w:rPr>
        <w:t>（3）参加采购活动前3年内是</w:t>
      </w:r>
      <w:r>
        <w:rPr>
          <w:rFonts w:hint="eastAsia"/>
          <w:i w:val="0"/>
          <w:iCs w:val="0"/>
          <w:color w:val="000000" w:themeColor="text1"/>
          <w:highlight w:val="none"/>
          <w:lang w:val="en-US" w:eastAsia="zh-CN"/>
          <w14:textFill>
            <w14:solidFill>
              <w14:schemeClr w14:val="tx1"/>
            </w14:solidFill>
          </w14:textFill>
        </w:rPr>
        <w:t>磋商供应商</w:t>
      </w:r>
      <w:r>
        <w:rPr>
          <w:rFonts w:hint="eastAsia"/>
          <w:i w:val="0"/>
          <w:iCs w:val="0"/>
          <w:color w:val="000000" w:themeColor="text1"/>
          <w:highlight w:val="none"/>
          <w14:textFill>
            <w14:solidFill>
              <w14:schemeClr w14:val="tx1"/>
            </w14:solidFill>
          </w14:textFill>
        </w:rPr>
        <w:t>的控股股东或者实际控制人；</w:t>
      </w:r>
    </w:p>
    <w:p w14:paraId="06B1EAB6">
      <w:pPr>
        <w:pStyle w:val="48"/>
        <w:keepNext w:val="0"/>
        <w:keepLines w:val="0"/>
        <w:pageBreakBefore w:val="0"/>
        <w:widowControl w:val="0"/>
        <w:kinsoku/>
        <w:overflowPunct/>
        <w:topLinePunct/>
        <w:autoSpaceDE/>
        <w:autoSpaceDN/>
        <w:bidi w:val="0"/>
        <w:adjustRightInd/>
        <w:textAlignment w:val="auto"/>
        <w:rPr>
          <w:i w:val="0"/>
          <w:iCs w:val="0"/>
          <w:color w:val="000000" w:themeColor="text1"/>
          <w:highlight w:val="none"/>
          <w14:textFill>
            <w14:solidFill>
              <w14:schemeClr w14:val="tx1"/>
            </w14:solidFill>
          </w14:textFill>
        </w:rPr>
      </w:pPr>
      <w:r>
        <w:rPr>
          <w:rFonts w:hint="eastAsia"/>
          <w:i w:val="0"/>
          <w:iCs w:val="0"/>
          <w:color w:val="000000" w:themeColor="text1"/>
          <w:highlight w:val="none"/>
          <w14:textFill>
            <w14:solidFill>
              <w14:schemeClr w14:val="tx1"/>
            </w14:solidFill>
          </w14:textFill>
        </w:rPr>
        <w:t>（4）与</w:t>
      </w:r>
      <w:r>
        <w:rPr>
          <w:rFonts w:hint="eastAsia"/>
          <w:i w:val="0"/>
          <w:iCs w:val="0"/>
          <w:color w:val="000000" w:themeColor="text1"/>
          <w:highlight w:val="none"/>
          <w:lang w:val="en-US" w:eastAsia="zh-CN"/>
          <w14:textFill>
            <w14:solidFill>
              <w14:schemeClr w14:val="tx1"/>
            </w14:solidFill>
          </w14:textFill>
        </w:rPr>
        <w:t>磋商供应商</w:t>
      </w:r>
      <w:r>
        <w:rPr>
          <w:rFonts w:hint="eastAsia"/>
          <w:i w:val="0"/>
          <w:iCs w:val="0"/>
          <w:color w:val="000000" w:themeColor="text1"/>
          <w:highlight w:val="none"/>
          <w14:textFill>
            <w14:solidFill>
              <w14:schemeClr w14:val="tx1"/>
            </w14:solidFill>
          </w14:textFill>
        </w:rPr>
        <w:t>的法定代表人或者负责人有夫妻、直系血亲、三代以内旁系血亲或者近姻亲关系；</w:t>
      </w:r>
    </w:p>
    <w:p w14:paraId="760569AF">
      <w:pPr>
        <w:pStyle w:val="48"/>
        <w:keepNext w:val="0"/>
        <w:keepLines w:val="0"/>
        <w:pageBreakBefore w:val="0"/>
        <w:widowControl w:val="0"/>
        <w:kinsoku/>
        <w:overflowPunct/>
        <w:topLinePunct/>
        <w:autoSpaceDE/>
        <w:autoSpaceDN/>
        <w:bidi w:val="0"/>
        <w:adjustRightInd/>
        <w:textAlignment w:val="auto"/>
        <w:rPr>
          <w:i w:val="0"/>
          <w:iCs w:val="0"/>
          <w:color w:val="000000" w:themeColor="text1"/>
          <w:highlight w:val="none"/>
          <w14:textFill>
            <w14:solidFill>
              <w14:schemeClr w14:val="tx1"/>
            </w14:solidFill>
          </w14:textFill>
        </w:rPr>
      </w:pPr>
      <w:r>
        <w:rPr>
          <w:rFonts w:hint="eastAsia"/>
          <w:i w:val="0"/>
          <w:iCs w:val="0"/>
          <w:color w:val="000000" w:themeColor="text1"/>
          <w:highlight w:val="none"/>
          <w14:textFill>
            <w14:solidFill>
              <w14:schemeClr w14:val="tx1"/>
            </w14:solidFill>
          </w14:textFill>
        </w:rPr>
        <w:t>（5）与</w:t>
      </w:r>
      <w:r>
        <w:rPr>
          <w:rFonts w:hint="eastAsia"/>
          <w:i w:val="0"/>
          <w:iCs w:val="0"/>
          <w:color w:val="000000" w:themeColor="text1"/>
          <w:highlight w:val="none"/>
          <w:lang w:val="en-US" w:eastAsia="zh-CN"/>
          <w14:textFill>
            <w14:solidFill>
              <w14:schemeClr w14:val="tx1"/>
            </w14:solidFill>
          </w14:textFill>
        </w:rPr>
        <w:t>磋商供应商</w:t>
      </w:r>
      <w:r>
        <w:rPr>
          <w:rFonts w:hint="eastAsia"/>
          <w:i w:val="0"/>
          <w:iCs w:val="0"/>
          <w:color w:val="000000" w:themeColor="text1"/>
          <w:highlight w:val="none"/>
          <w14:textFill>
            <w14:solidFill>
              <w14:schemeClr w14:val="tx1"/>
            </w14:solidFill>
          </w14:textFill>
        </w:rPr>
        <w:t>有其他可能影响采购活动公平、公正进行的关系。</w:t>
      </w:r>
    </w:p>
    <w:p w14:paraId="60EAED1E">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217" w:name="_Toc163492858"/>
      <w:bookmarkStart w:id="218" w:name="_Toc140132791"/>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27.</w:t>
      </w:r>
      <w:bookmarkEnd w:id="217"/>
      <w:bookmarkEnd w:id="218"/>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评审</w:t>
      </w:r>
    </w:p>
    <w:p w14:paraId="7672898A">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27</w:t>
      </w:r>
      <w:r>
        <w:rPr>
          <w:rFonts w:hint="eastAsia" w:ascii="宋体" w:hAnsi="宋体" w:eastAsia="宋体" w:cs="宋体"/>
          <w:i w:val="0"/>
          <w:iCs w:val="0"/>
          <w:color w:val="000000" w:themeColor="text1"/>
          <w:sz w:val="21"/>
          <w:szCs w:val="21"/>
          <w:highlight w:val="none"/>
          <w14:textFill>
            <w14:solidFill>
              <w14:schemeClr w14:val="tx1"/>
            </w14:solidFill>
          </w14:textFill>
        </w:rPr>
        <w:t>.</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i w:val="0"/>
          <w:iCs w:val="0"/>
          <w:color w:val="000000" w:themeColor="text1"/>
          <w:sz w:val="21"/>
          <w:szCs w:val="21"/>
          <w:highlight w:val="none"/>
          <w14:textFill>
            <w14:solidFill>
              <w14:schemeClr w14:val="tx1"/>
            </w14:solidFill>
          </w14:textFill>
        </w:rPr>
        <w:t>磋商小组按照“第</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i w:val="0"/>
          <w:iCs w:val="0"/>
          <w:color w:val="000000" w:themeColor="text1"/>
          <w:sz w:val="21"/>
          <w:szCs w:val="21"/>
          <w:highlight w:val="none"/>
          <w14:textFill>
            <w14:solidFill>
              <w14:schemeClr w14:val="tx1"/>
            </w14:solidFill>
          </w14:textFill>
        </w:rPr>
        <w:t>章评</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审</w:t>
      </w:r>
      <w:r>
        <w:rPr>
          <w:rFonts w:hint="eastAsia" w:ascii="宋体" w:hAnsi="宋体" w:eastAsia="宋体" w:cs="宋体"/>
          <w:i w:val="0"/>
          <w:iCs w:val="0"/>
          <w:color w:val="000000" w:themeColor="text1"/>
          <w:sz w:val="21"/>
          <w:szCs w:val="21"/>
          <w:highlight w:val="none"/>
          <w14:textFill>
            <w14:solidFill>
              <w14:schemeClr w14:val="tx1"/>
            </w14:solidFill>
          </w14:textFill>
        </w:rPr>
        <w:t>方法及标准”</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i w:val="0"/>
          <w:iCs w:val="0"/>
          <w:color w:val="000000" w:themeColor="text1"/>
          <w:sz w:val="21"/>
          <w:szCs w:val="21"/>
          <w:highlight w:val="none"/>
          <w14:textFill>
            <w14:solidFill>
              <w14:schemeClr w14:val="tx1"/>
            </w14:solidFill>
          </w14:textFill>
        </w:rPr>
        <w:t>规定对</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i w:val="0"/>
          <w:iCs w:val="0"/>
          <w:color w:val="000000" w:themeColor="text1"/>
          <w:sz w:val="21"/>
          <w:szCs w:val="21"/>
          <w:highlight w:val="none"/>
          <w14:textFill>
            <w14:solidFill>
              <w14:schemeClr w14:val="tx1"/>
            </w14:solidFill>
          </w14:textFill>
        </w:rPr>
        <w:t>文件进行评审。“第</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i w:val="0"/>
          <w:iCs w:val="0"/>
          <w:color w:val="000000" w:themeColor="text1"/>
          <w:sz w:val="21"/>
          <w:szCs w:val="21"/>
          <w:highlight w:val="none"/>
          <w14:textFill>
            <w14:solidFill>
              <w14:schemeClr w14:val="tx1"/>
            </w14:solidFill>
          </w14:textFill>
        </w:rPr>
        <w:t>章评</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审</w:t>
      </w:r>
      <w:r>
        <w:rPr>
          <w:rFonts w:hint="eastAsia" w:ascii="宋体" w:hAnsi="宋体" w:eastAsia="宋体" w:cs="宋体"/>
          <w:i w:val="0"/>
          <w:iCs w:val="0"/>
          <w:color w:val="000000" w:themeColor="text1"/>
          <w:sz w:val="21"/>
          <w:szCs w:val="21"/>
          <w:highlight w:val="none"/>
          <w14:textFill>
            <w14:solidFill>
              <w14:schemeClr w14:val="tx1"/>
            </w14:solidFill>
          </w14:textFill>
        </w:rPr>
        <w:t>方法及标准”没有规定的方法、评审因素和标准，不作为评</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审</w:t>
      </w:r>
      <w:r>
        <w:rPr>
          <w:rFonts w:hint="eastAsia" w:ascii="宋体" w:hAnsi="宋体" w:eastAsia="宋体" w:cs="宋体"/>
          <w:i w:val="0"/>
          <w:iCs w:val="0"/>
          <w:color w:val="000000" w:themeColor="text1"/>
          <w:sz w:val="21"/>
          <w:szCs w:val="21"/>
          <w:highlight w:val="none"/>
          <w14:textFill>
            <w14:solidFill>
              <w14:schemeClr w14:val="tx1"/>
            </w14:solidFill>
          </w14:textFill>
        </w:rPr>
        <w:t>依据。</w:t>
      </w: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本项目磋商轮次及磋商顺序详“供应商须知前附表”。</w:t>
      </w:r>
    </w:p>
    <w:p w14:paraId="3D837A16">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27</w:t>
      </w:r>
      <w:r>
        <w:rPr>
          <w:rFonts w:hint="eastAsia" w:ascii="宋体" w:hAnsi="宋体" w:eastAsia="宋体" w:cs="宋体"/>
          <w:i w:val="0"/>
          <w:iCs w:val="0"/>
          <w:color w:val="000000" w:themeColor="text1"/>
          <w:sz w:val="21"/>
          <w:szCs w:val="21"/>
          <w:highlight w:val="none"/>
          <w14:textFill>
            <w14:solidFill>
              <w14:schemeClr w14:val="tx1"/>
            </w14:solidFill>
          </w14:textFill>
        </w:rPr>
        <w:t>.</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i w:val="0"/>
          <w:iCs w:val="0"/>
          <w:color w:val="000000" w:themeColor="text1"/>
          <w:sz w:val="21"/>
          <w:szCs w:val="21"/>
          <w:highlight w:val="none"/>
          <w14:textFill>
            <w14:solidFill>
              <w14:schemeClr w14:val="tx1"/>
            </w14:solidFill>
          </w14:textFill>
        </w:rPr>
        <w:t>磋商小组按“</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i w:val="0"/>
          <w:iCs w:val="0"/>
          <w:color w:val="000000" w:themeColor="text1"/>
          <w:sz w:val="21"/>
          <w:szCs w:val="21"/>
          <w:highlight w:val="none"/>
          <w14:textFill>
            <w14:solidFill>
              <w14:schemeClr w14:val="tx1"/>
            </w14:solidFill>
          </w14:textFill>
        </w:rPr>
        <w:t>须知前附表”规定的</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i w:val="0"/>
          <w:iCs w:val="0"/>
          <w:color w:val="000000" w:themeColor="text1"/>
          <w:sz w:val="21"/>
          <w:szCs w:val="21"/>
          <w:highlight w:val="none"/>
          <w14:textFill>
            <w14:solidFill>
              <w14:schemeClr w14:val="tx1"/>
            </w14:solidFill>
          </w14:textFill>
        </w:rPr>
        <w:t>候选人数量在评</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审</w:t>
      </w:r>
      <w:r>
        <w:rPr>
          <w:rFonts w:hint="eastAsia" w:ascii="宋体" w:hAnsi="宋体" w:eastAsia="宋体" w:cs="宋体"/>
          <w:i w:val="0"/>
          <w:iCs w:val="0"/>
          <w:color w:val="000000" w:themeColor="text1"/>
          <w:sz w:val="21"/>
          <w:szCs w:val="21"/>
          <w:highlight w:val="none"/>
          <w14:textFill>
            <w14:solidFill>
              <w14:schemeClr w14:val="tx1"/>
            </w14:solidFill>
          </w14:textFill>
        </w:rPr>
        <w:t>报告中向采购人推荐</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i w:val="0"/>
          <w:iCs w:val="0"/>
          <w:color w:val="000000" w:themeColor="text1"/>
          <w:sz w:val="21"/>
          <w:szCs w:val="21"/>
          <w:highlight w:val="none"/>
          <w14:textFill>
            <w14:solidFill>
              <w14:schemeClr w14:val="tx1"/>
            </w14:solidFill>
          </w14:textFill>
        </w:rPr>
        <w:t>候选人。</w:t>
      </w:r>
    </w:p>
    <w:p w14:paraId="725875C6">
      <w:pPr>
        <w:pStyle w:val="48"/>
        <w:keepNext w:val="0"/>
        <w:keepLines w:val="0"/>
        <w:pageBreakBefore w:val="0"/>
        <w:widowControl w:val="0"/>
        <w:kinsoku/>
        <w:overflowPunct/>
        <w:topLinePunct/>
        <w:autoSpaceDE/>
        <w:autoSpaceDN/>
        <w:bidi w:val="0"/>
        <w:adjustRightInd/>
        <w:textAlignment w:val="auto"/>
        <w:rPr>
          <w:rFonts w:hint="eastAsia"/>
          <w:i w:val="0"/>
          <w:iCs w:val="0"/>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27.3开启之后，直到签订合同止，凡是属于审查、澄清、评价和比较磋商的有关资料以及确定成交意向等，均不得向供应商或者其</w:t>
      </w:r>
      <w:r>
        <w:rPr>
          <w:rFonts w:hint="eastAsia"/>
          <w:i w:val="0"/>
          <w:iCs w:val="0"/>
          <w:color w:val="000000" w:themeColor="text1"/>
          <w:highlight w:val="none"/>
          <w:lang w:val="en-US" w:eastAsia="zh-CN"/>
          <w14:textFill>
            <w14:solidFill>
              <w14:schemeClr w14:val="tx1"/>
            </w14:solidFill>
          </w14:textFill>
        </w:rPr>
        <w:t>他与评审无关的人员透露。</w:t>
      </w:r>
    </w:p>
    <w:p w14:paraId="3A785E74">
      <w:pPr>
        <w:pStyle w:val="48"/>
        <w:keepNext w:val="0"/>
        <w:keepLines w:val="0"/>
        <w:pageBreakBefore w:val="0"/>
        <w:widowControl w:val="0"/>
        <w:kinsoku/>
        <w:overflowPunct/>
        <w:topLinePunct/>
        <w:autoSpaceDE/>
        <w:autoSpaceDN/>
        <w:bidi w:val="0"/>
        <w:adjustRightInd/>
        <w:textAlignment w:val="auto"/>
        <w:rPr>
          <w:rFonts w:hint="eastAsia"/>
          <w:i w:val="0"/>
          <w:iCs w:val="0"/>
          <w:color w:val="000000" w:themeColor="text1"/>
          <w:highlight w:val="none"/>
          <w:lang w:val="en-US" w:eastAsia="zh-CN"/>
          <w14:textFill>
            <w14:solidFill>
              <w14:schemeClr w14:val="tx1"/>
            </w14:solidFill>
          </w14:textFill>
        </w:rPr>
      </w:pPr>
      <w:r>
        <w:rPr>
          <w:rFonts w:hint="eastAsia"/>
          <w:i w:val="0"/>
          <w:iCs w:val="0"/>
          <w:color w:val="000000" w:themeColor="text1"/>
          <w:highlight w:val="none"/>
          <w:lang w:val="en-US" w:eastAsia="zh-CN"/>
          <w14:textFill>
            <w14:solidFill>
              <w14:schemeClr w14:val="tx1"/>
            </w14:solidFill>
          </w14:textFill>
        </w:rPr>
        <w:t>27.4在确定成交人之前，供应商试图在响应文件审查、澄清、比较和评审时对</w:t>
      </w:r>
      <w:r>
        <w:rPr>
          <w:rFonts w:hint="eastAsia"/>
          <w:i w:val="0"/>
          <w:iCs w:val="0"/>
          <w:color w:val="000000" w:themeColor="text1"/>
          <w:highlight w:val="none"/>
          <w14:textFill>
            <w14:solidFill>
              <w14:schemeClr w14:val="tx1"/>
            </w14:solidFill>
          </w14:textFill>
        </w:rPr>
        <w:t>磋商小组</w:t>
      </w:r>
      <w:r>
        <w:rPr>
          <w:rFonts w:hint="eastAsia"/>
          <w:i w:val="0"/>
          <w:iCs w:val="0"/>
          <w:color w:val="000000" w:themeColor="text1"/>
          <w:highlight w:val="none"/>
          <w:lang w:val="en-US" w:eastAsia="zh-CN"/>
          <w14:textFill>
            <w14:solidFill>
              <w14:schemeClr w14:val="tx1"/>
            </w14:solidFill>
          </w14:textFill>
        </w:rPr>
        <w:t>、采购人和采购代理机构施加任何影响都可能导致其</w:t>
      </w:r>
      <w:r>
        <w:rPr>
          <w:rFonts w:hint="eastAsia"/>
          <w:b/>
          <w:bCs/>
          <w:i w:val="0"/>
          <w:iCs w:val="0"/>
          <w:color w:val="000000" w:themeColor="text1"/>
          <w:highlight w:val="none"/>
          <w:lang w:val="en-US" w:eastAsia="zh-CN"/>
          <w14:textFill>
            <w14:solidFill>
              <w14:schemeClr w14:val="tx1"/>
            </w14:solidFill>
          </w14:textFill>
        </w:rPr>
        <w:t>响应无效</w:t>
      </w:r>
      <w:r>
        <w:rPr>
          <w:rFonts w:hint="eastAsia"/>
          <w:i w:val="0"/>
          <w:iCs w:val="0"/>
          <w:color w:val="000000" w:themeColor="text1"/>
          <w:highlight w:val="none"/>
          <w:lang w:val="en-US" w:eastAsia="zh-CN"/>
          <w14:textFill>
            <w14:solidFill>
              <w14:schemeClr w14:val="tx1"/>
            </w14:solidFill>
          </w14:textFill>
        </w:rPr>
        <w:t>。</w:t>
      </w:r>
    </w:p>
    <w:p w14:paraId="7D92302E">
      <w:pPr>
        <w:pStyle w:val="48"/>
        <w:keepNext w:val="0"/>
        <w:keepLines w:val="0"/>
        <w:pageBreakBefore w:val="0"/>
        <w:widowControl w:val="0"/>
        <w:kinsoku/>
        <w:overflowPunct/>
        <w:topLinePunct/>
        <w:autoSpaceDE/>
        <w:autoSpaceDN/>
        <w:bidi w:val="0"/>
        <w:adjustRightInd/>
        <w:textAlignment w:val="auto"/>
        <w:rPr>
          <w:rFonts w:hint="eastAsia"/>
          <w:i w:val="0"/>
          <w:iCs w:val="0"/>
          <w:color w:val="000000" w:themeColor="text1"/>
          <w:highlight w:val="none"/>
          <w:lang w:val="en-US" w:eastAsia="zh-CN"/>
          <w14:textFill>
            <w14:solidFill>
              <w14:schemeClr w14:val="tx1"/>
            </w14:solidFill>
          </w14:textFill>
        </w:rPr>
      </w:pPr>
      <w:r>
        <w:rPr>
          <w:rFonts w:hint="eastAsia"/>
          <w:i w:val="0"/>
          <w:iCs w:val="0"/>
          <w:color w:val="000000" w:themeColor="text1"/>
          <w:highlight w:val="none"/>
          <w:lang w:val="en-US" w:eastAsia="zh-CN"/>
          <w14:textFill>
            <w14:solidFill>
              <w14:schemeClr w14:val="tx1"/>
            </w14:solidFill>
          </w14:textFill>
        </w:rPr>
        <w:t>27.5电子招投标的应急措施</w:t>
      </w:r>
    </w:p>
    <w:p w14:paraId="4BCEEA6B">
      <w:pPr>
        <w:pStyle w:val="48"/>
        <w:keepNext w:val="0"/>
        <w:keepLines w:val="0"/>
        <w:pageBreakBefore w:val="0"/>
        <w:widowControl w:val="0"/>
        <w:kinsoku/>
        <w:overflowPunct/>
        <w:topLinePunct/>
        <w:autoSpaceDE/>
        <w:autoSpaceDN/>
        <w:bidi w:val="0"/>
        <w:adjustRightInd/>
        <w:textAlignment w:val="auto"/>
        <w:rPr>
          <w:rFonts w:hint="eastAsia"/>
          <w:i w:val="0"/>
          <w:iCs w:val="0"/>
          <w:color w:val="000000" w:themeColor="text1"/>
          <w:highlight w:val="none"/>
          <w:lang w:val="en-US" w:eastAsia="zh-CN"/>
          <w14:textFill>
            <w14:solidFill>
              <w14:schemeClr w14:val="tx1"/>
            </w14:solidFill>
          </w14:textFill>
        </w:rPr>
      </w:pPr>
      <w:r>
        <w:rPr>
          <w:rFonts w:hint="eastAsia"/>
          <w:i w:val="0"/>
          <w:iCs w:val="0"/>
          <w:color w:val="000000" w:themeColor="text1"/>
          <w:highlight w:val="none"/>
          <w:lang w:val="en-US" w:eastAsia="zh-CN"/>
          <w14:textFill>
            <w14:solidFill>
              <w14:schemeClr w14:val="tx1"/>
            </w14:solidFill>
          </w14:textFill>
        </w:rPr>
        <w:t>27.5.1电子开启、评审如出现下列原因，导致系统无法正常运行或无法正常评审时，应采取应急措施。</w:t>
      </w:r>
    </w:p>
    <w:p w14:paraId="37076324">
      <w:pPr>
        <w:pStyle w:val="48"/>
        <w:keepNext w:val="0"/>
        <w:keepLines w:val="0"/>
        <w:pageBreakBefore w:val="0"/>
        <w:widowControl w:val="0"/>
        <w:kinsoku/>
        <w:overflowPunct/>
        <w:topLinePunct/>
        <w:autoSpaceDE/>
        <w:autoSpaceDN/>
        <w:bidi w:val="0"/>
        <w:adjustRightInd/>
        <w:textAlignment w:val="auto"/>
        <w:rPr>
          <w:rFonts w:hint="eastAsia"/>
          <w:i w:val="0"/>
          <w:iCs w:val="0"/>
          <w:color w:val="000000" w:themeColor="text1"/>
          <w:highlight w:val="none"/>
          <w:lang w:val="en-US" w:eastAsia="zh-CN"/>
          <w14:textFill>
            <w14:solidFill>
              <w14:schemeClr w14:val="tx1"/>
            </w14:solidFill>
          </w14:textFill>
        </w:rPr>
      </w:pPr>
      <w:r>
        <w:rPr>
          <w:rFonts w:hint="eastAsia"/>
          <w:i w:val="0"/>
          <w:iCs w:val="0"/>
          <w:color w:val="000000" w:themeColor="text1"/>
          <w:highlight w:val="none"/>
          <w:lang w:val="en-US" w:eastAsia="zh-CN"/>
          <w14:textFill>
            <w14:solidFill>
              <w14:schemeClr w14:val="tx1"/>
            </w14:solidFill>
          </w14:textFill>
        </w:rPr>
        <w:t>（1）系统服务器发生故障，无法访问或无法使用系统；</w:t>
      </w:r>
    </w:p>
    <w:p w14:paraId="66772C66">
      <w:pPr>
        <w:pStyle w:val="48"/>
        <w:keepNext w:val="0"/>
        <w:keepLines w:val="0"/>
        <w:pageBreakBefore w:val="0"/>
        <w:widowControl w:val="0"/>
        <w:kinsoku/>
        <w:overflowPunct/>
        <w:topLinePunct/>
        <w:autoSpaceDE/>
        <w:autoSpaceDN/>
        <w:bidi w:val="0"/>
        <w:adjustRightInd/>
        <w:textAlignment w:val="auto"/>
        <w:rPr>
          <w:rFonts w:hint="eastAsia"/>
          <w:i w:val="0"/>
          <w:iCs w:val="0"/>
          <w:color w:val="000000" w:themeColor="text1"/>
          <w:highlight w:val="none"/>
          <w:lang w:val="en-US" w:eastAsia="zh-CN"/>
          <w14:textFill>
            <w14:solidFill>
              <w14:schemeClr w14:val="tx1"/>
            </w14:solidFill>
          </w14:textFill>
        </w:rPr>
      </w:pPr>
      <w:r>
        <w:rPr>
          <w:rFonts w:hint="eastAsia"/>
          <w:i w:val="0"/>
          <w:iCs w:val="0"/>
          <w:color w:val="000000" w:themeColor="text1"/>
          <w:highlight w:val="none"/>
          <w:lang w:val="en-US" w:eastAsia="zh-CN"/>
          <w14:textFill>
            <w14:solidFill>
              <w14:schemeClr w14:val="tx1"/>
            </w14:solidFill>
          </w14:textFill>
        </w:rPr>
        <w:t>（2）系统的软件或数据库出现错误，不能进行正常操作；</w:t>
      </w:r>
    </w:p>
    <w:p w14:paraId="1848CDA2">
      <w:pPr>
        <w:pStyle w:val="48"/>
        <w:keepNext w:val="0"/>
        <w:keepLines w:val="0"/>
        <w:pageBreakBefore w:val="0"/>
        <w:widowControl w:val="0"/>
        <w:kinsoku/>
        <w:overflowPunct/>
        <w:topLinePunct/>
        <w:autoSpaceDE/>
        <w:autoSpaceDN/>
        <w:bidi w:val="0"/>
        <w:adjustRightInd/>
        <w:textAlignment w:val="auto"/>
        <w:rPr>
          <w:rFonts w:hint="eastAsia"/>
          <w:i w:val="0"/>
          <w:iCs w:val="0"/>
          <w:color w:val="000000" w:themeColor="text1"/>
          <w:highlight w:val="none"/>
          <w:lang w:val="en-US" w:eastAsia="zh-CN"/>
          <w14:textFill>
            <w14:solidFill>
              <w14:schemeClr w14:val="tx1"/>
            </w14:solidFill>
          </w14:textFill>
        </w:rPr>
      </w:pPr>
      <w:r>
        <w:rPr>
          <w:rFonts w:hint="eastAsia"/>
          <w:i w:val="0"/>
          <w:iCs w:val="0"/>
          <w:color w:val="000000" w:themeColor="text1"/>
          <w:highlight w:val="none"/>
          <w:lang w:val="en-US" w:eastAsia="zh-CN"/>
          <w14:textFill>
            <w14:solidFill>
              <w14:schemeClr w14:val="tx1"/>
            </w14:solidFill>
          </w14:textFill>
        </w:rPr>
        <w:t>（3）系统发现有安全漏洞，有潜在的泄密危险；</w:t>
      </w:r>
    </w:p>
    <w:p w14:paraId="4C5BF226">
      <w:pPr>
        <w:pStyle w:val="48"/>
        <w:keepNext w:val="0"/>
        <w:keepLines w:val="0"/>
        <w:pageBreakBefore w:val="0"/>
        <w:widowControl w:val="0"/>
        <w:kinsoku/>
        <w:overflowPunct/>
        <w:topLinePunct/>
        <w:autoSpaceDE/>
        <w:autoSpaceDN/>
        <w:bidi w:val="0"/>
        <w:adjustRightInd/>
        <w:textAlignment w:val="auto"/>
        <w:rPr>
          <w:rFonts w:hint="eastAsia"/>
          <w:i w:val="0"/>
          <w:iCs w:val="0"/>
          <w:color w:val="000000" w:themeColor="text1"/>
          <w:highlight w:val="none"/>
          <w:lang w:val="en-US" w:eastAsia="zh-CN"/>
          <w14:textFill>
            <w14:solidFill>
              <w14:schemeClr w14:val="tx1"/>
            </w14:solidFill>
          </w14:textFill>
        </w:rPr>
      </w:pPr>
      <w:r>
        <w:rPr>
          <w:rFonts w:hint="eastAsia"/>
          <w:i w:val="0"/>
          <w:iCs w:val="0"/>
          <w:color w:val="000000" w:themeColor="text1"/>
          <w:highlight w:val="none"/>
          <w:lang w:val="en-US" w:eastAsia="zh-CN"/>
          <w14:textFill>
            <w14:solidFill>
              <w14:schemeClr w14:val="tx1"/>
            </w14:solidFill>
          </w14:textFill>
        </w:rPr>
        <w:t>（4）病毒发作或受到外来病毒的攻击；</w:t>
      </w:r>
    </w:p>
    <w:p w14:paraId="2B5FB517">
      <w:pPr>
        <w:pStyle w:val="48"/>
        <w:keepNext w:val="0"/>
        <w:keepLines w:val="0"/>
        <w:pageBreakBefore w:val="0"/>
        <w:widowControl w:val="0"/>
        <w:kinsoku/>
        <w:overflowPunct/>
        <w:topLinePunct/>
        <w:autoSpaceDE/>
        <w:autoSpaceDN/>
        <w:bidi w:val="0"/>
        <w:adjustRightInd/>
        <w:textAlignment w:val="auto"/>
        <w:rPr>
          <w:rFonts w:hint="eastAsia"/>
          <w:i w:val="0"/>
          <w:iCs w:val="0"/>
          <w:color w:val="000000" w:themeColor="text1"/>
          <w:highlight w:val="none"/>
          <w:lang w:val="en-US" w:eastAsia="zh-CN"/>
          <w14:textFill>
            <w14:solidFill>
              <w14:schemeClr w14:val="tx1"/>
            </w14:solidFill>
          </w14:textFill>
        </w:rPr>
      </w:pPr>
      <w:r>
        <w:rPr>
          <w:rFonts w:hint="eastAsia"/>
          <w:i w:val="0"/>
          <w:iCs w:val="0"/>
          <w:color w:val="000000" w:themeColor="text1"/>
          <w:highlight w:val="none"/>
          <w:lang w:val="en-US" w:eastAsia="zh-CN"/>
          <w14:textFill>
            <w14:solidFill>
              <w14:schemeClr w14:val="tx1"/>
            </w14:solidFill>
          </w14:textFill>
        </w:rPr>
        <w:t>（5）出现其他不可抗拒的客观原因造成开评标系统无法正常使用。</w:t>
      </w:r>
    </w:p>
    <w:p w14:paraId="37372657">
      <w:pPr>
        <w:pStyle w:val="48"/>
        <w:keepNext w:val="0"/>
        <w:keepLines w:val="0"/>
        <w:pageBreakBefore w:val="0"/>
        <w:widowControl w:val="0"/>
        <w:kinsoku/>
        <w:overflowPunct/>
        <w:topLinePunct/>
        <w:autoSpaceDE/>
        <w:autoSpaceDN/>
        <w:bidi w:val="0"/>
        <w:adjustRightInd/>
        <w:textAlignment w:val="auto"/>
        <w:rPr>
          <w:rFonts w:hint="eastAsia"/>
          <w:i w:val="0"/>
          <w:iCs w:val="0"/>
          <w:color w:val="000000" w:themeColor="text1"/>
          <w:highlight w:val="none"/>
          <w:lang w:val="en-US" w:eastAsia="zh-CN"/>
          <w14:textFill>
            <w14:solidFill>
              <w14:schemeClr w14:val="tx1"/>
            </w14:solidFill>
          </w14:textFill>
        </w:rPr>
      </w:pPr>
      <w:r>
        <w:rPr>
          <w:rFonts w:hint="eastAsia"/>
          <w:i w:val="0"/>
          <w:iCs w:val="0"/>
          <w:color w:val="000000" w:themeColor="text1"/>
          <w:highlight w:val="none"/>
          <w:lang w:val="en-US" w:eastAsia="zh-CN"/>
          <w14:textFill>
            <w14:solidFill>
              <w14:schemeClr w14:val="tx1"/>
            </w14:solidFill>
          </w14:textFill>
        </w:rPr>
        <w:t>出现上述情况时，应对未开启的暂停开启。已在系统内开启、评审的立即停止。采取应急措施时，必须对原有资料及信息作出妥善保密处理。</w:t>
      </w:r>
    </w:p>
    <w:p w14:paraId="3A6E99DB">
      <w:pPr>
        <w:pStyle w:val="48"/>
        <w:keepNext w:val="0"/>
        <w:keepLines w:val="0"/>
        <w:pageBreakBefore w:val="0"/>
        <w:widowControl w:val="0"/>
        <w:kinsoku/>
        <w:overflowPunct/>
        <w:topLinePunct/>
        <w:autoSpaceDE/>
        <w:autoSpaceDN/>
        <w:bidi w:val="0"/>
        <w:adjustRightInd/>
        <w:textAlignment w:val="auto"/>
        <w:rPr>
          <w:rFonts w:hint="eastAsia"/>
          <w:i w:val="0"/>
          <w:iCs w:val="0"/>
          <w:color w:val="000000" w:themeColor="text1"/>
          <w:highlight w:val="none"/>
          <w:lang w:val="en-US" w:eastAsia="zh-CN"/>
          <w14:textFill>
            <w14:solidFill>
              <w14:schemeClr w14:val="tx1"/>
            </w14:solidFill>
          </w14:textFill>
        </w:rPr>
      </w:pPr>
      <w:r>
        <w:rPr>
          <w:rFonts w:hint="eastAsia"/>
          <w:i w:val="0"/>
          <w:iCs w:val="0"/>
          <w:color w:val="000000" w:themeColor="text1"/>
          <w:highlight w:val="none"/>
          <w:lang w:val="en-US" w:eastAsia="zh-CN"/>
          <w14:textFill>
            <w14:solidFill>
              <w14:schemeClr w14:val="tx1"/>
            </w14:solidFill>
          </w14:textFill>
        </w:rPr>
        <w:t>27.5.2因系统原因导致供应商均无法解密电子响应文件时，采购代理机构可在开启现场直接导入供应商在递交响应文件截止时间前递交的未加密的电子响应文件进行开启、评审。</w:t>
      </w:r>
    </w:p>
    <w:p w14:paraId="05A7E12B">
      <w:pPr>
        <w:pStyle w:val="48"/>
        <w:keepNext w:val="0"/>
        <w:keepLines w:val="0"/>
        <w:pageBreakBefore w:val="0"/>
        <w:widowControl w:val="0"/>
        <w:kinsoku/>
        <w:overflowPunct/>
        <w:topLinePunct/>
        <w:autoSpaceDE/>
        <w:autoSpaceDN/>
        <w:bidi w:val="0"/>
        <w:adjustRightInd/>
        <w:textAlignment w:val="auto"/>
        <w:rPr>
          <w:rFonts w:hint="eastAsia"/>
          <w:i w:val="0"/>
          <w:iCs w:val="0"/>
          <w:color w:val="000000" w:themeColor="text1"/>
          <w:highlight w:val="none"/>
          <w:lang w:val="en-US" w:eastAsia="zh-CN"/>
          <w14:textFill>
            <w14:solidFill>
              <w14:schemeClr w14:val="tx1"/>
            </w14:solidFill>
          </w14:textFill>
        </w:rPr>
      </w:pPr>
      <w:r>
        <w:rPr>
          <w:rFonts w:hint="eastAsia"/>
          <w:i w:val="0"/>
          <w:iCs w:val="0"/>
          <w:color w:val="000000" w:themeColor="text1"/>
          <w:highlight w:val="none"/>
          <w:lang w:val="en-US" w:eastAsia="zh-CN"/>
          <w14:textFill>
            <w14:solidFill>
              <w14:schemeClr w14:val="tx1"/>
            </w14:solidFill>
          </w14:textFill>
        </w:rPr>
        <w:t>27.6供应商瑕疵滞后发现的处理规则</w:t>
      </w:r>
    </w:p>
    <w:p w14:paraId="0F1D1D34">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i w:val="0"/>
          <w:iCs w:val="0"/>
          <w:color w:val="000000" w:themeColor="text1"/>
          <w:highlight w:val="none"/>
          <w:lang w:val="en-US" w:eastAsia="zh-CN"/>
          <w14:textFill>
            <w14:solidFill>
              <w14:schemeClr w14:val="tx1"/>
            </w14:solidFill>
          </w14:textFill>
        </w:rPr>
      </w:pPr>
      <w:r>
        <w:rPr>
          <w:rFonts w:hint="eastAsia"/>
          <w:i w:val="0"/>
          <w:iCs w:val="0"/>
          <w:color w:val="000000" w:themeColor="text1"/>
          <w:highlight w:val="none"/>
          <w:lang w:val="en-US" w:eastAsia="zh-CN"/>
          <w14:textFill>
            <w14:solidFill>
              <w14:schemeClr w14:val="tx1"/>
            </w14:solidFill>
          </w14:textFill>
        </w:rPr>
        <w:t>27.6.1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w:t>
      </w:r>
      <w:r>
        <w:rPr>
          <w:rFonts w:hint="eastAsia" w:ascii="宋体" w:hAnsi="宋体" w:eastAsia="宋体"/>
          <w:i w:val="0"/>
          <w:iCs w:val="0"/>
          <w:color w:val="000000" w:themeColor="text1"/>
          <w:highlight w:val="none"/>
          <w:lang w:val="en-US" w:eastAsia="zh-CN"/>
          <w14:textFill>
            <w14:solidFill>
              <w14:schemeClr w14:val="tx1"/>
            </w14:solidFill>
          </w14:textFill>
        </w:rPr>
        <w:t>承担。</w:t>
      </w:r>
    </w:p>
    <w:p w14:paraId="1CF2068E">
      <w:pPr>
        <w:pStyle w:val="4"/>
        <w:keepNext w:val="0"/>
        <w:keepLines w:val="0"/>
        <w:pageBreakBefore w:val="0"/>
        <w:widowControl w:val="0"/>
        <w:numPr>
          <w:ilvl w:val="0"/>
          <w:numId w:val="0"/>
        </w:numPr>
        <w:kinsoku/>
        <w:wordWrap/>
        <w:overflowPunct/>
        <w:topLinePunct/>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219" w:name="_Toc109900401"/>
      <w:bookmarkStart w:id="220" w:name="_Toc46771670"/>
      <w:bookmarkStart w:id="221" w:name="_Toc163493616"/>
      <w:bookmarkStart w:id="222" w:name="_Toc470172692"/>
      <w:bookmarkStart w:id="223" w:name="_Toc109899563"/>
      <w:bookmarkStart w:id="224" w:name="_Toc109897464"/>
      <w:bookmarkStart w:id="225" w:name="_Toc109899982"/>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（八）成交</w:t>
      </w:r>
      <w:bookmarkEnd w:id="219"/>
      <w:bookmarkEnd w:id="220"/>
      <w:bookmarkEnd w:id="221"/>
      <w:bookmarkEnd w:id="222"/>
      <w:bookmarkEnd w:id="223"/>
      <w:bookmarkEnd w:id="224"/>
      <w:bookmarkEnd w:id="225"/>
    </w:p>
    <w:p w14:paraId="54FC1433">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226" w:name="_Toc48688820"/>
      <w:bookmarkStart w:id="227" w:name="_Toc52960584"/>
      <w:bookmarkStart w:id="228" w:name="_Toc109900402"/>
      <w:bookmarkStart w:id="229" w:name="_Toc48846140"/>
      <w:bookmarkStart w:id="230" w:name="_Toc46772272"/>
      <w:bookmarkStart w:id="231" w:name="_Toc51674242"/>
      <w:bookmarkStart w:id="232" w:name="_Toc109897465"/>
      <w:bookmarkStart w:id="233" w:name="_Toc109899564"/>
      <w:bookmarkStart w:id="234" w:name="_Toc46771671"/>
      <w:bookmarkStart w:id="235" w:name="_Toc109899983"/>
      <w:bookmarkStart w:id="236" w:name="_Toc52962758"/>
      <w:bookmarkStart w:id="237" w:name="_Hlk143533953"/>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28.确定成交供应商</w:t>
      </w:r>
      <w:bookmarkEnd w:id="226"/>
      <w:bookmarkEnd w:id="227"/>
      <w:bookmarkEnd w:id="228"/>
      <w:bookmarkEnd w:id="229"/>
      <w:bookmarkEnd w:id="230"/>
      <w:bookmarkEnd w:id="231"/>
      <w:bookmarkEnd w:id="232"/>
      <w:bookmarkEnd w:id="233"/>
      <w:bookmarkEnd w:id="234"/>
      <w:bookmarkEnd w:id="235"/>
      <w:bookmarkEnd w:id="236"/>
    </w:p>
    <w:p w14:paraId="7EDBEFC6">
      <w:pPr>
        <w:keepNext w:val="0"/>
        <w:keepLines w:val="0"/>
        <w:pageBreakBefore w:val="0"/>
        <w:widowControl w:val="0"/>
        <w:tabs>
          <w:tab w:val="left" w:pos="426"/>
        </w:tabs>
        <w:kinsoku/>
        <w:overflowPunct/>
        <w:topLinePunct/>
        <w:autoSpaceDE w:val="0"/>
        <w:autoSpaceDN w:val="0"/>
        <w:bidi w:val="0"/>
        <w:adjustRightInd w:val="0"/>
        <w:snapToGrid w:val="0"/>
        <w:ind w:firstLine="420" w:firstLineChars="200"/>
        <w:textAlignment w:val="auto"/>
        <w:rPr>
          <w:i w:val="0"/>
          <w:iCs w:val="0"/>
          <w:snapToGrid w:val="0"/>
          <w:color w:val="000000" w:themeColor="text1"/>
          <w:highlight w:val="none"/>
          <w:lang w:val="zh-CN"/>
          <w14:textFill>
            <w14:solidFill>
              <w14:schemeClr w14:val="tx1"/>
            </w14:solidFill>
          </w14:textFill>
        </w:rPr>
      </w:pPr>
      <w:r>
        <w:rPr>
          <w:rFonts w:hint="eastAsia" w:cs="仿宋_GB2312"/>
          <w:i w:val="0"/>
          <w:iCs w:val="0"/>
          <w:snapToGrid w:val="0"/>
          <w:color w:val="000000" w:themeColor="text1"/>
          <w:highlight w:val="none"/>
          <w:lang w:val="en-US" w:eastAsia="zh-CN"/>
          <w14:textFill>
            <w14:solidFill>
              <w14:schemeClr w14:val="tx1"/>
            </w14:solidFill>
          </w14:textFill>
        </w:rPr>
        <w:t>28</w:t>
      </w:r>
      <w:r>
        <w:rPr>
          <w:rFonts w:hint="eastAsia" w:cs="仿宋_GB2312"/>
          <w:i w:val="0"/>
          <w:iCs w:val="0"/>
          <w:snapToGrid w:val="0"/>
          <w:color w:val="000000" w:themeColor="text1"/>
          <w:highlight w:val="none"/>
          <w:lang w:val="zh-CN"/>
          <w14:textFill>
            <w14:solidFill>
              <w14:schemeClr w14:val="tx1"/>
            </w14:solidFill>
          </w14:textFill>
        </w:rPr>
        <w:t>.1</w:t>
      </w:r>
      <w:r>
        <w:rPr>
          <w:rFonts w:hint="eastAsia"/>
          <w:i w:val="0"/>
          <w:iCs w:val="0"/>
          <w:snapToGrid w:val="0"/>
          <w:color w:val="000000" w:themeColor="text1"/>
          <w:highlight w:val="none"/>
          <w:lang w:val="zh-CN"/>
          <w14:textFill>
            <w14:solidFill>
              <w14:schemeClr w14:val="tx1"/>
            </w14:solidFill>
          </w14:textFill>
        </w:rPr>
        <w:t>确定成交供应商详见“供应商须知前附表”。</w:t>
      </w:r>
    </w:p>
    <w:p w14:paraId="32ED28BE">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29.成交结果公告</w:t>
      </w:r>
    </w:p>
    <w:p w14:paraId="5721C20B">
      <w:pPr>
        <w:pStyle w:val="48"/>
        <w:keepNext w:val="0"/>
        <w:keepLines w:val="0"/>
        <w:pageBreakBefore w:val="0"/>
        <w:widowControl w:val="0"/>
        <w:kinsoku/>
        <w:overflowPunct/>
        <w:topLinePunct/>
        <w:bidi w:val="0"/>
        <w:ind w:firstLine="480"/>
        <w:textAlignment w:val="auto"/>
        <w:rPr>
          <w:i w:val="0"/>
          <w:iCs w:val="0"/>
          <w:color w:val="000000" w:themeColor="text1"/>
          <w:highlight w:val="none"/>
          <w:lang w:bidi="ar"/>
          <w14:textFill>
            <w14:solidFill>
              <w14:schemeClr w14:val="tx1"/>
            </w14:solidFill>
          </w14:textFill>
        </w:rPr>
      </w:pPr>
      <w:r>
        <w:rPr>
          <w:rFonts w:hint="eastAsia" w:cs="仿宋_GB2312"/>
          <w:i w:val="0"/>
          <w:iCs w:val="0"/>
          <w:snapToGrid w:val="0"/>
          <w:color w:val="000000" w:themeColor="text1"/>
          <w:highlight w:val="none"/>
          <w:lang w:val="en-US" w:eastAsia="zh-CN"/>
          <w14:textFill>
            <w14:solidFill>
              <w14:schemeClr w14:val="tx1"/>
            </w14:solidFill>
          </w14:textFill>
        </w:rPr>
        <w:t>29</w:t>
      </w:r>
      <w:r>
        <w:rPr>
          <w:rFonts w:hint="eastAsia" w:cs="仿宋_GB2312"/>
          <w:i w:val="0"/>
          <w:iCs w:val="0"/>
          <w:snapToGrid w:val="0"/>
          <w:color w:val="000000" w:themeColor="text1"/>
          <w:highlight w:val="none"/>
          <w:lang w:val="zh-CN"/>
          <w14:textFill>
            <w14:solidFill>
              <w14:schemeClr w14:val="tx1"/>
            </w14:solidFill>
          </w14:textFill>
        </w:rPr>
        <w:t>.</w:t>
      </w:r>
      <w:r>
        <w:rPr>
          <w:rFonts w:cs="仿宋_GB2312"/>
          <w:i w:val="0"/>
          <w:iCs w:val="0"/>
          <w:snapToGrid w:val="0"/>
          <w:color w:val="000000" w:themeColor="text1"/>
          <w:highlight w:val="none"/>
          <w:lang w:val="zh-CN"/>
          <w14:textFill>
            <w14:solidFill>
              <w14:schemeClr w14:val="tx1"/>
            </w14:solidFill>
          </w14:textFill>
        </w:rPr>
        <w:t>1</w:t>
      </w:r>
      <w:r>
        <w:rPr>
          <w:i w:val="0"/>
          <w:iCs w:val="0"/>
          <w:color w:val="000000" w:themeColor="text1"/>
          <w:highlight w:val="none"/>
          <w:lang w:bidi="ar"/>
          <w14:textFill>
            <w14:solidFill>
              <w14:schemeClr w14:val="tx1"/>
            </w14:solidFill>
          </w14:textFill>
        </w:rPr>
        <w:t>采购人或者采购代理机构应当在成交供应商确定后2个工作日内，在省级以上财政部门指定的政府采购信息发布媒体上公告成交结果，磋商文件</w:t>
      </w:r>
      <w:r>
        <w:rPr>
          <w:rFonts w:hint="eastAsia"/>
          <w:i w:val="0"/>
          <w:iCs w:val="0"/>
          <w:color w:val="000000" w:themeColor="text1"/>
          <w:highlight w:val="none"/>
          <w:lang w:eastAsia="zh-CN" w:bidi="ar"/>
          <w14:textFill>
            <w14:solidFill>
              <w14:schemeClr w14:val="tx1"/>
            </w14:solidFill>
          </w14:textFill>
        </w:rPr>
        <w:t>、</w:t>
      </w:r>
      <w:r>
        <w:rPr>
          <w:rFonts w:hint="eastAsia"/>
          <w:bCs/>
          <w:i w:val="0"/>
          <w:iCs w:val="0"/>
          <w:color w:val="000000" w:themeColor="text1"/>
          <w:highlight w:val="none"/>
          <w:lang w:eastAsia="zh-CN"/>
          <w14:textFill>
            <w14:solidFill>
              <w14:schemeClr w14:val="tx1"/>
            </w14:solidFill>
          </w14:textFill>
        </w:rPr>
        <w:t>成交</w:t>
      </w:r>
      <w:r>
        <w:rPr>
          <w:rFonts w:hint="eastAsia"/>
          <w:bCs/>
          <w:i w:val="0"/>
          <w:iCs w:val="0"/>
          <w:color w:val="000000" w:themeColor="text1"/>
          <w:highlight w:val="none"/>
          <w:lang w:val="en-US" w:eastAsia="zh-CN"/>
          <w14:textFill>
            <w14:solidFill>
              <w14:schemeClr w14:val="tx1"/>
            </w14:solidFill>
          </w14:textFill>
        </w:rPr>
        <w:t>供应商</w:t>
      </w:r>
      <w:r>
        <w:rPr>
          <w:rFonts w:hint="eastAsia" w:ascii="宋体" w:hAnsi="宋体" w:eastAsia="宋体"/>
          <w:bCs/>
          <w:i w:val="0"/>
          <w:iCs w:val="0"/>
          <w:color w:val="000000" w:themeColor="text1"/>
          <w:highlight w:val="none"/>
          <w:lang w:val="en-US" w:eastAsia="zh-CN"/>
          <w14:textFill>
            <w14:solidFill>
              <w14:schemeClr w14:val="tx1"/>
            </w14:solidFill>
          </w14:textFill>
        </w:rPr>
        <w:t>的评审总得分</w:t>
      </w:r>
      <w:r>
        <w:rPr>
          <w:i w:val="0"/>
          <w:iCs w:val="0"/>
          <w:color w:val="000000" w:themeColor="text1"/>
          <w:highlight w:val="none"/>
          <w:lang w:bidi="ar"/>
          <w14:textFill>
            <w14:solidFill>
              <w14:schemeClr w14:val="tx1"/>
            </w14:solidFill>
          </w14:textFill>
        </w:rPr>
        <w:t>随成交结果同时公告。</w:t>
      </w:r>
    </w:p>
    <w:p w14:paraId="71A8D11B">
      <w:pPr>
        <w:pStyle w:val="48"/>
        <w:keepNext w:val="0"/>
        <w:keepLines w:val="0"/>
        <w:pageBreakBefore w:val="0"/>
        <w:widowControl w:val="0"/>
        <w:kinsoku/>
        <w:overflowPunct/>
        <w:topLinePunct/>
        <w:bidi w:val="0"/>
        <w:ind w:firstLine="480"/>
        <w:textAlignment w:val="auto"/>
        <w:rPr>
          <w:i w:val="0"/>
          <w:iCs w:val="0"/>
          <w:color w:val="000000" w:themeColor="text1"/>
          <w:highlight w:val="none"/>
          <w:lang w:bidi="ar"/>
          <w14:textFill>
            <w14:solidFill>
              <w14:schemeClr w14:val="tx1"/>
            </w14:solidFill>
          </w14:textFill>
        </w:rPr>
      </w:pPr>
      <w:r>
        <w:rPr>
          <w:rFonts w:hint="eastAsia"/>
          <w:bCs/>
          <w:i w:val="0"/>
          <w:iCs w:val="0"/>
          <w:color w:val="000000" w:themeColor="text1"/>
          <w:highlight w:val="none"/>
          <w:lang w:val="en-US" w:eastAsia="zh-CN"/>
          <w14:textFill>
            <w14:solidFill>
              <w14:schemeClr w14:val="tx1"/>
            </w14:solidFill>
          </w14:textFill>
        </w:rPr>
        <w:t>29</w:t>
      </w:r>
      <w:r>
        <w:rPr>
          <w:bCs/>
          <w:i w:val="0"/>
          <w:iCs w:val="0"/>
          <w:color w:val="000000" w:themeColor="text1"/>
          <w:highlight w:val="none"/>
          <w14:textFill>
            <w14:solidFill>
              <w14:schemeClr w14:val="tx1"/>
            </w14:solidFill>
          </w14:textFill>
        </w:rPr>
        <w:t>.2</w:t>
      </w:r>
      <w:r>
        <w:rPr>
          <w:rFonts w:hint="eastAsia"/>
          <w:bCs/>
          <w:i w:val="0"/>
          <w:iCs w:val="0"/>
          <w:color w:val="000000" w:themeColor="text1"/>
          <w:highlight w:val="none"/>
          <w:lang w:eastAsia="zh-CN"/>
          <w14:textFill>
            <w14:solidFill>
              <w14:schemeClr w14:val="tx1"/>
            </w14:solidFill>
          </w14:textFill>
        </w:rPr>
        <w:t>成交</w:t>
      </w:r>
      <w:r>
        <w:rPr>
          <w:rFonts w:hint="eastAsia"/>
          <w:bCs/>
          <w:i w:val="0"/>
          <w:iCs w:val="0"/>
          <w:color w:val="000000" w:themeColor="text1"/>
          <w:highlight w:val="none"/>
          <w:lang w:val="en-US" w:eastAsia="zh-CN"/>
          <w14:textFill>
            <w14:solidFill>
              <w14:schemeClr w14:val="tx1"/>
            </w14:solidFill>
          </w14:textFill>
        </w:rPr>
        <w:t>人</w:t>
      </w:r>
      <w:r>
        <w:rPr>
          <w:rFonts w:hint="eastAsia"/>
          <w:bCs/>
          <w:i w:val="0"/>
          <w:iCs w:val="0"/>
          <w:color w:val="000000" w:themeColor="text1"/>
          <w:highlight w:val="none"/>
          <w:lang w:eastAsia="zh-CN"/>
          <w14:textFill>
            <w14:solidFill>
              <w14:schemeClr w14:val="tx1"/>
            </w14:solidFill>
          </w14:textFill>
        </w:rPr>
        <w:t>为中小企业</w:t>
      </w:r>
      <w:r>
        <w:rPr>
          <w:rFonts w:hint="eastAsia"/>
          <w:bCs/>
          <w:i w:val="0"/>
          <w:iCs w:val="0"/>
          <w:color w:val="000000" w:themeColor="text1"/>
          <w:highlight w:val="none"/>
          <w:lang w:val="en-US" w:eastAsia="zh-CN"/>
          <w14:textFill>
            <w14:solidFill>
              <w14:schemeClr w14:val="tx1"/>
            </w14:solidFill>
          </w14:textFill>
        </w:rPr>
        <w:t>享受中小企业扶持政策的</w:t>
      </w:r>
      <w:r>
        <w:rPr>
          <w:rFonts w:hint="eastAsia"/>
          <w:bCs/>
          <w:i w:val="0"/>
          <w:iCs w:val="0"/>
          <w:color w:val="000000" w:themeColor="text1"/>
          <w:highlight w:val="none"/>
          <w:lang w:eastAsia="zh-CN"/>
          <w14:textFill>
            <w14:solidFill>
              <w14:schemeClr w14:val="tx1"/>
            </w14:solidFill>
          </w14:textFill>
        </w:rPr>
        <w:t>，其“中小企业声明函”随成交结果同时公告。成交</w:t>
      </w:r>
      <w:r>
        <w:rPr>
          <w:rFonts w:hint="eastAsia"/>
          <w:bCs/>
          <w:i w:val="0"/>
          <w:iCs w:val="0"/>
          <w:color w:val="000000" w:themeColor="text1"/>
          <w:highlight w:val="none"/>
          <w:lang w:val="en-US" w:eastAsia="zh-CN"/>
          <w14:textFill>
            <w14:solidFill>
              <w14:schemeClr w14:val="tx1"/>
            </w14:solidFill>
          </w14:textFill>
        </w:rPr>
        <w:t>人</w:t>
      </w:r>
      <w:r>
        <w:rPr>
          <w:rFonts w:hint="eastAsia"/>
          <w:bCs/>
          <w:i w:val="0"/>
          <w:iCs w:val="0"/>
          <w:color w:val="000000" w:themeColor="text1"/>
          <w:highlight w:val="none"/>
          <w:lang w:eastAsia="zh-CN"/>
          <w14:textFill>
            <w14:solidFill>
              <w14:schemeClr w14:val="tx1"/>
            </w14:solidFill>
          </w14:textFill>
        </w:rPr>
        <w:t>为残疾人福利性单位的</w:t>
      </w:r>
      <w:r>
        <w:rPr>
          <w:rFonts w:hint="eastAsia" w:ascii="宋体" w:hAnsi="宋体" w:eastAsia="宋体"/>
          <w:bCs/>
          <w:i w:val="0"/>
          <w:iCs w:val="0"/>
          <w:color w:val="000000" w:themeColor="text1"/>
          <w:highlight w:val="none"/>
          <w:lang w:eastAsia="zh-CN"/>
          <w14:textFill>
            <w14:solidFill>
              <w14:schemeClr w14:val="tx1"/>
            </w14:solidFill>
          </w14:textFill>
        </w:rPr>
        <w:t>，其</w:t>
      </w:r>
      <w:r>
        <w:rPr>
          <w:rFonts w:hint="eastAsia"/>
          <w:bCs/>
          <w:i w:val="0"/>
          <w:iCs w:val="0"/>
          <w:color w:val="000000" w:themeColor="text1"/>
          <w:highlight w:val="none"/>
          <w:lang w:eastAsia="zh-CN"/>
          <w14:textFill>
            <w14:solidFill>
              <w14:schemeClr w14:val="tx1"/>
            </w14:solidFill>
          </w14:textFill>
        </w:rPr>
        <w:t>“</w:t>
      </w:r>
      <w:r>
        <w:rPr>
          <w:rFonts w:hint="eastAsia" w:ascii="宋体" w:hAnsi="宋体" w:eastAsia="宋体"/>
          <w:bCs/>
          <w:i w:val="0"/>
          <w:iCs w:val="0"/>
          <w:color w:val="000000" w:themeColor="text1"/>
          <w:highlight w:val="none"/>
          <w:lang w:eastAsia="zh-CN"/>
          <w14:textFill>
            <w14:solidFill>
              <w14:schemeClr w14:val="tx1"/>
            </w14:solidFill>
          </w14:textFill>
        </w:rPr>
        <w:t>残疾人福利性单位声明函</w:t>
      </w:r>
      <w:r>
        <w:rPr>
          <w:rFonts w:hint="eastAsia"/>
          <w:bCs/>
          <w:i w:val="0"/>
          <w:iCs w:val="0"/>
          <w:color w:val="000000" w:themeColor="text1"/>
          <w:highlight w:val="none"/>
          <w:lang w:eastAsia="zh-CN"/>
          <w14:textFill>
            <w14:solidFill>
              <w14:schemeClr w14:val="tx1"/>
            </w14:solidFill>
          </w14:textFill>
        </w:rPr>
        <w:t>”</w:t>
      </w:r>
      <w:r>
        <w:rPr>
          <w:rFonts w:hint="eastAsia" w:ascii="宋体" w:hAnsi="宋体" w:eastAsia="宋体"/>
          <w:bCs/>
          <w:i w:val="0"/>
          <w:iCs w:val="0"/>
          <w:color w:val="000000" w:themeColor="text1"/>
          <w:highlight w:val="none"/>
          <w:lang w:eastAsia="zh-CN"/>
          <w14:textFill>
            <w14:solidFill>
              <w14:schemeClr w14:val="tx1"/>
            </w14:solidFill>
          </w14:textFill>
        </w:rPr>
        <w:t>随成交结果同时公告</w:t>
      </w:r>
      <w:r>
        <w:rPr>
          <w:rFonts w:hint="eastAsia"/>
          <w:i w:val="0"/>
          <w:iCs w:val="0"/>
          <w:color w:val="000000" w:themeColor="text1"/>
          <w:highlight w:val="none"/>
          <w:lang w:bidi="ar"/>
          <w14:textFill>
            <w14:solidFill>
              <w14:schemeClr w14:val="tx1"/>
            </w14:solidFill>
          </w14:textFill>
        </w:rPr>
        <w:t>。</w:t>
      </w:r>
    </w:p>
    <w:p w14:paraId="04D17B05">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30.成交通知书</w:t>
      </w:r>
    </w:p>
    <w:p w14:paraId="1567D014">
      <w:pPr>
        <w:pStyle w:val="48"/>
        <w:keepNext w:val="0"/>
        <w:keepLines w:val="0"/>
        <w:pageBreakBefore w:val="0"/>
        <w:widowControl w:val="0"/>
        <w:kinsoku/>
        <w:overflowPunct/>
        <w:topLinePunct/>
        <w:bidi w:val="0"/>
        <w:ind w:firstLine="480"/>
        <w:textAlignment w:val="auto"/>
        <w:rPr>
          <w:rFonts w:hint="eastAsia" w:ascii="宋体" w:hAnsi="宋体" w:eastAsia="宋体" w:cs="宋体"/>
          <w:i w:val="0"/>
          <w:iCs w:val="0"/>
          <w:snapToGrid w:val="0"/>
          <w:color w:val="000000" w:themeColor="text1"/>
          <w:highlight w:val="none"/>
          <w:lang w:val="zh-CN"/>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30</w:t>
      </w:r>
      <w:r>
        <w:rPr>
          <w:rFonts w:hint="eastAsia" w:ascii="宋体" w:hAnsi="宋体" w:eastAsia="宋体" w:cs="宋体"/>
          <w:i w:val="0"/>
          <w:iCs w:val="0"/>
          <w:snapToGrid w:val="0"/>
          <w:color w:val="000000" w:themeColor="text1"/>
          <w:highlight w:val="none"/>
          <w:lang w:val="zh-CN"/>
          <w14:textFill>
            <w14:solidFill>
              <w14:schemeClr w14:val="tx1"/>
            </w14:solidFill>
          </w14:textFill>
        </w:rPr>
        <w:t>.1发布成交结果公告同时向成交供应商发出成交通知书。成交通知书是合同的组成部分,对成交供应商和采购人具有同等法律效力。</w:t>
      </w:r>
    </w:p>
    <w:p w14:paraId="045556F0">
      <w:pPr>
        <w:pStyle w:val="4"/>
        <w:keepNext w:val="0"/>
        <w:keepLines w:val="0"/>
        <w:pageBreakBefore w:val="0"/>
        <w:widowControl w:val="0"/>
        <w:numPr>
          <w:ilvl w:val="0"/>
          <w:numId w:val="0"/>
        </w:numPr>
        <w:kinsoku/>
        <w:wordWrap/>
        <w:overflowPunct/>
        <w:topLinePunct/>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238" w:name="_Toc163493617"/>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（九）签订合同</w:t>
      </w:r>
      <w:bookmarkEnd w:id="238"/>
    </w:p>
    <w:p w14:paraId="49E3CFDD">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239" w:name="_Toc109900403"/>
      <w:bookmarkStart w:id="240" w:name="_Toc109899984"/>
      <w:bookmarkStart w:id="241" w:name="_Toc109899565"/>
      <w:bookmarkStart w:id="242" w:name="_Toc46771672"/>
      <w:bookmarkStart w:id="243" w:name="_Toc48688821"/>
      <w:bookmarkStart w:id="244" w:name="_Toc46772273"/>
      <w:bookmarkStart w:id="245" w:name="_Toc51674243"/>
      <w:bookmarkStart w:id="246" w:name="_Toc109897466"/>
      <w:bookmarkStart w:id="247" w:name="_Toc52960585"/>
      <w:bookmarkStart w:id="248" w:name="_Toc52962759"/>
      <w:bookmarkStart w:id="249" w:name="_Toc48846141"/>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31.履约保证金</w:t>
      </w:r>
    </w:p>
    <w:p w14:paraId="2F6B9C0E">
      <w:pPr>
        <w:pStyle w:val="48"/>
        <w:keepNext w:val="0"/>
        <w:keepLines w:val="0"/>
        <w:pageBreakBefore w:val="0"/>
        <w:widowControl w:val="0"/>
        <w:kinsoku/>
        <w:overflowPunct/>
        <w:topLinePunct/>
        <w:bidi w:val="0"/>
        <w:ind w:firstLine="480"/>
        <w:textAlignment w:val="auto"/>
        <w:rPr>
          <w:i w:val="0"/>
          <w:iCs w:val="0"/>
          <w:color w:val="000000" w:themeColor="text1"/>
          <w:highlight w:val="none"/>
          <w14:textFill>
            <w14:solidFill>
              <w14:schemeClr w14:val="tx1"/>
            </w14:solidFill>
          </w14:textFill>
        </w:rPr>
      </w:pPr>
      <w:r>
        <w:rPr>
          <w:i w:val="0"/>
          <w:iCs w:val="0"/>
          <w:color w:val="000000" w:themeColor="text1"/>
          <w:highlight w:val="none"/>
          <w14:textFill>
            <w14:solidFill>
              <w14:schemeClr w14:val="tx1"/>
            </w14:solidFill>
          </w14:textFill>
        </w:rPr>
        <w:t>3</w:t>
      </w:r>
      <w:r>
        <w:rPr>
          <w:rFonts w:hint="eastAsia"/>
          <w:i w:val="0"/>
          <w:iCs w:val="0"/>
          <w:color w:val="000000" w:themeColor="text1"/>
          <w:highlight w:val="none"/>
          <w:lang w:val="en-US" w:eastAsia="zh-CN"/>
          <w14:textFill>
            <w14:solidFill>
              <w14:schemeClr w14:val="tx1"/>
            </w14:solidFill>
          </w14:textFill>
        </w:rPr>
        <w:t>1</w:t>
      </w:r>
      <w:r>
        <w:rPr>
          <w:i w:val="0"/>
          <w:iCs w:val="0"/>
          <w:color w:val="000000" w:themeColor="text1"/>
          <w:highlight w:val="none"/>
          <w14:textFill>
            <w14:solidFill>
              <w14:schemeClr w14:val="tx1"/>
            </w14:solidFill>
          </w14:textFill>
        </w:rPr>
        <w:t>.1在签订合同前，</w:t>
      </w:r>
      <w:r>
        <w:rPr>
          <w:rFonts w:hint="eastAsia"/>
          <w:i w:val="0"/>
          <w:iCs w:val="0"/>
          <w:color w:val="000000" w:themeColor="text1"/>
          <w:highlight w:val="none"/>
          <w14:textFill>
            <w14:solidFill>
              <w14:schemeClr w14:val="tx1"/>
            </w14:solidFill>
          </w14:textFill>
        </w:rPr>
        <w:t>成交供应商</w:t>
      </w:r>
      <w:r>
        <w:rPr>
          <w:i w:val="0"/>
          <w:iCs w:val="0"/>
          <w:color w:val="000000" w:themeColor="text1"/>
          <w:highlight w:val="none"/>
          <w14:textFill>
            <w14:solidFill>
              <w14:schemeClr w14:val="tx1"/>
            </w14:solidFill>
          </w14:textFill>
        </w:rPr>
        <w:t>应按“</w:t>
      </w:r>
      <w:r>
        <w:rPr>
          <w:rFonts w:hint="eastAsia"/>
          <w:i w:val="0"/>
          <w:iCs w:val="0"/>
          <w:color w:val="000000" w:themeColor="text1"/>
          <w:highlight w:val="none"/>
          <w14:textFill>
            <w14:solidFill>
              <w14:schemeClr w14:val="tx1"/>
            </w14:solidFill>
          </w14:textFill>
        </w:rPr>
        <w:t>供应商</w:t>
      </w:r>
      <w:r>
        <w:rPr>
          <w:i w:val="0"/>
          <w:iCs w:val="0"/>
          <w:color w:val="000000" w:themeColor="text1"/>
          <w:highlight w:val="none"/>
          <w14:textFill>
            <w14:solidFill>
              <w14:schemeClr w14:val="tx1"/>
            </w14:solidFill>
          </w14:textFill>
        </w:rPr>
        <w:t>须知前附表”规定的金额、担保形式和采购人认可的履约担保格式向采购人提交履约保证金。</w:t>
      </w:r>
    </w:p>
    <w:p w14:paraId="64F5E548">
      <w:pPr>
        <w:pStyle w:val="48"/>
        <w:keepNext w:val="0"/>
        <w:keepLines w:val="0"/>
        <w:pageBreakBefore w:val="0"/>
        <w:widowControl w:val="0"/>
        <w:kinsoku/>
        <w:overflowPunct/>
        <w:topLinePunct/>
        <w:bidi w:val="0"/>
        <w:ind w:firstLine="480"/>
        <w:textAlignment w:val="auto"/>
        <w:rPr>
          <w:i w:val="0"/>
          <w:iCs w:val="0"/>
          <w:color w:val="000000" w:themeColor="text1"/>
          <w:highlight w:val="none"/>
          <w14:textFill>
            <w14:solidFill>
              <w14:schemeClr w14:val="tx1"/>
            </w14:solidFill>
          </w14:textFill>
        </w:rPr>
      </w:pPr>
      <w:r>
        <w:rPr>
          <w:i w:val="0"/>
          <w:iCs w:val="0"/>
          <w:color w:val="000000" w:themeColor="text1"/>
          <w:highlight w:val="none"/>
          <w14:textFill>
            <w14:solidFill>
              <w14:schemeClr w14:val="tx1"/>
            </w14:solidFill>
          </w14:textFill>
        </w:rPr>
        <w:t>3</w:t>
      </w:r>
      <w:r>
        <w:rPr>
          <w:rFonts w:hint="eastAsia"/>
          <w:i w:val="0"/>
          <w:iCs w:val="0"/>
          <w:color w:val="000000" w:themeColor="text1"/>
          <w:highlight w:val="none"/>
          <w:lang w:val="en-US" w:eastAsia="zh-CN"/>
          <w14:textFill>
            <w14:solidFill>
              <w14:schemeClr w14:val="tx1"/>
            </w14:solidFill>
          </w14:textFill>
        </w:rPr>
        <w:t>1</w:t>
      </w:r>
      <w:r>
        <w:rPr>
          <w:i w:val="0"/>
          <w:iCs w:val="0"/>
          <w:color w:val="000000" w:themeColor="text1"/>
          <w:highlight w:val="none"/>
          <w14:textFill>
            <w14:solidFill>
              <w14:schemeClr w14:val="tx1"/>
            </w14:solidFill>
          </w14:textFill>
        </w:rPr>
        <w:t>.2</w:t>
      </w:r>
      <w:r>
        <w:rPr>
          <w:rFonts w:hint="eastAsia"/>
          <w:i w:val="0"/>
          <w:iCs w:val="0"/>
          <w:color w:val="000000" w:themeColor="text1"/>
          <w:highlight w:val="none"/>
          <w14:textFill>
            <w14:solidFill>
              <w14:schemeClr w14:val="tx1"/>
            </w14:solidFill>
          </w14:textFill>
        </w:rPr>
        <w:t>成交供应商</w:t>
      </w:r>
      <w:r>
        <w:rPr>
          <w:i w:val="0"/>
          <w:iCs w:val="0"/>
          <w:color w:val="000000" w:themeColor="text1"/>
          <w:highlight w:val="none"/>
          <w14:textFill>
            <w14:solidFill>
              <w14:schemeClr w14:val="tx1"/>
            </w14:solidFill>
          </w14:textFill>
        </w:rPr>
        <w:t>不能按本章第3</w:t>
      </w:r>
      <w:r>
        <w:rPr>
          <w:rFonts w:hint="eastAsia"/>
          <w:i w:val="0"/>
          <w:iCs w:val="0"/>
          <w:color w:val="000000" w:themeColor="text1"/>
          <w:highlight w:val="none"/>
          <w:lang w:val="en-US" w:eastAsia="zh-CN"/>
          <w14:textFill>
            <w14:solidFill>
              <w14:schemeClr w14:val="tx1"/>
            </w14:solidFill>
          </w14:textFill>
        </w:rPr>
        <w:t>1</w:t>
      </w:r>
      <w:r>
        <w:rPr>
          <w:i w:val="0"/>
          <w:iCs w:val="0"/>
          <w:color w:val="000000" w:themeColor="text1"/>
          <w:highlight w:val="none"/>
          <w14:textFill>
            <w14:solidFill>
              <w14:schemeClr w14:val="tx1"/>
            </w14:solidFill>
          </w14:textFill>
        </w:rPr>
        <w:t>.1项要求提交履约担保的，视为放弃</w:t>
      </w:r>
      <w:r>
        <w:rPr>
          <w:rFonts w:hint="eastAsia"/>
          <w:i w:val="0"/>
          <w:iCs w:val="0"/>
          <w:color w:val="000000" w:themeColor="text1"/>
          <w:highlight w:val="none"/>
          <w14:textFill>
            <w14:solidFill>
              <w14:schemeClr w14:val="tx1"/>
            </w14:solidFill>
          </w14:textFill>
        </w:rPr>
        <w:t>成交</w:t>
      </w:r>
      <w:r>
        <w:rPr>
          <w:i w:val="0"/>
          <w:iCs w:val="0"/>
          <w:color w:val="000000" w:themeColor="text1"/>
          <w:highlight w:val="none"/>
          <w14:textFill>
            <w14:solidFill>
              <w14:schemeClr w14:val="tx1"/>
            </w14:solidFill>
          </w14:textFill>
        </w:rPr>
        <w:t>，给采购人造成损失的，</w:t>
      </w:r>
      <w:r>
        <w:rPr>
          <w:rFonts w:hint="eastAsia"/>
          <w:i w:val="0"/>
          <w:iCs w:val="0"/>
          <w:color w:val="000000" w:themeColor="text1"/>
          <w:highlight w:val="none"/>
          <w14:textFill>
            <w14:solidFill>
              <w14:schemeClr w14:val="tx1"/>
            </w14:solidFill>
          </w14:textFill>
        </w:rPr>
        <w:t>成交供应商</w:t>
      </w:r>
      <w:r>
        <w:rPr>
          <w:i w:val="0"/>
          <w:iCs w:val="0"/>
          <w:color w:val="000000" w:themeColor="text1"/>
          <w:highlight w:val="none"/>
          <w14:textFill>
            <w14:solidFill>
              <w14:schemeClr w14:val="tx1"/>
            </w14:solidFill>
          </w14:textFill>
        </w:rPr>
        <w:t>还应当承担民事责任。</w:t>
      </w:r>
    </w:p>
    <w:p w14:paraId="4751C73A">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32.签订合同</w:t>
      </w:r>
      <w:bookmarkEnd w:id="239"/>
      <w:bookmarkEnd w:id="240"/>
      <w:bookmarkEnd w:id="241"/>
      <w:bookmarkEnd w:id="242"/>
      <w:bookmarkEnd w:id="243"/>
      <w:bookmarkEnd w:id="244"/>
      <w:bookmarkEnd w:id="245"/>
      <w:bookmarkEnd w:id="246"/>
      <w:bookmarkEnd w:id="247"/>
      <w:bookmarkEnd w:id="248"/>
      <w:bookmarkEnd w:id="249"/>
    </w:p>
    <w:p w14:paraId="79B90926">
      <w:pPr>
        <w:pStyle w:val="48"/>
        <w:keepNext w:val="0"/>
        <w:keepLines w:val="0"/>
        <w:pageBreakBefore w:val="0"/>
        <w:widowControl w:val="0"/>
        <w:kinsoku/>
        <w:overflowPunct/>
        <w:topLinePunct/>
        <w:bidi w:val="0"/>
        <w:ind w:firstLine="480"/>
        <w:textAlignment w:val="auto"/>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snapToGrid w:val="0"/>
          <w:color w:val="000000" w:themeColor="text1"/>
          <w:highlight w:val="none"/>
          <w:lang w:val="zh-CN"/>
          <w14:textFill>
            <w14:solidFill>
              <w14:schemeClr w14:val="tx1"/>
            </w14:solidFill>
          </w14:textFill>
        </w:rPr>
        <w:t>3</w:t>
      </w: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2</w:t>
      </w:r>
      <w:r>
        <w:rPr>
          <w:rFonts w:hint="eastAsia" w:ascii="宋体" w:hAnsi="宋体" w:eastAsia="宋体" w:cs="宋体"/>
          <w:i w:val="0"/>
          <w:iCs w:val="0"/>
          <w:snapToGrid w:val="0"/>
          <w:color w:val="000000" w:themeColor="text1"/>
          <w:highlight w:val="none"/>
          <w:lang w:val="zh-CN"/>
          <w14:textFill>
            <w14:solidFill>
              <w14:schemeClr w14:val="tx1"/>
            </w14:solidFill>
          </w14:textFill>
        </w:rPr>
        <w:t>.1采购人与成交供应商应当在成交通知书发出之日起</w:t>
      </w: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30</w:t>
      </w:r>
      <w:r>
        <w:rPr>
          <w:rFonts w:hint="eastAsia" w:ascii="宋体" w:hAnsi="宋体" w:eastAsia="宋体" w:cs="宋体"/>
          <w:i w:val="0"/>
          <w:iCs w:val="0"/>
          <w:snapToGrid w:val="0"/>
          <w:color w:val="000000" w:themeColor="text1"/>
          <w:highlight w:val="none"/>
          <w:lang w:val="zh-CN"/>
          <w14:textFill>
            <w14:solidFill>
              <w14:schemeClr w14:val="tx1"/>
            </w14:solidFill>
          </w14:textFill>
        </w:rPr>
        <w:t>日内，按照磋商文件确定的合同文本以及采购标的、规格型号、采购金额、采购数量、技术和服务要求等事项签订政府采购合同。</w:t>
      </w:r>
      <w:r>
        <w:rPr>
          <w:rFonts w:hint="eastAsia" w:ascii="宋体" w:hAnsi="宋体" w:eastAsia="宋体" w:cs="宋体"/>
          <w:i w:val="0"/>
          <w:iCs w:val="0"/>
          <w:color w:val="000000" w:themeColor="text1"/>
          <w:highlight w:val="none"/>
          <w14:textFill>
            <w14:solidFill>
              <w14:schemeClr w14:val="tx1"/>
            </w14:solidFill>
          </w14:textFill>
        </w:rPr>
        <w:t>采购人因不可抗力原因迟延签订合同的，应当自不可抗力事由消除之日起7日内完成合同签订事宜。所签订的合同不得对</w:t>
      </w:r>
      <w:r>
        <w:rPr>
          <w:rFonts w:hint="eastAsia" w:ascii="宋体" w:hAnsi="宋体" w:eastAsia="宋体" w:cs="宋体"/>
          <w:i w:val="0"/>
          <w:iCs w:val="0"/>
          <w:color w:val="000000" w:themeColor="text1"/>
          <w:highlight w:val="none"/>
          <w:lang w:val="en-US" w:eastAsia="zh-CN"/>
          <w14:textFill>
            <w14:solidFill>
              <w14:schemeClr w14:val="tx1"/>
            </w14:solidFill>
          </w14:textFill>
        </w:rPr>
        <w:t>磋商</w:t>
      </w:r>
      <w:r>
        <w:rPr>
          <w:rFonts w:hint="eastAsia" w:ascii="宋体" w:hAnsi="宋体" w:eastAsia="宋体" w:cs="宋体"/>
          <w:i w:val="0"/>
          <w:iCs w:val="0"/>
          <w:color w:val="000000" w:themeColor="text1"/>
          <w:highlight w:val="none"/>
          <w14:textFill>
            <w14:solidFill>
              <w14:schemeClr w14:val="tx1"/>
            </w14:solidFill>
          </w14:textFill>
        </w:rPr>
        <w:t>文件和</w:t>
      </w:r>
      <w:r>
        <w:rPr>
          <w:rFonts w:hint="eastAsia" w:ascii="宋体" w:hAnsi="宋体" w:eastAsia="宋体" w:cs="宋体"/>
          <w:i w:val="0"/>
          <w:iCs w:val="0"/>
          <w:color w:val="000000" w:themeColor="text1"/>
          <w:highlight w:val="none"/>
          <w:lang w:val="en-US" w:eastAsia="zh-CN"/>
          <w14:textFill>
            <w14:solidFill>
              <w14:schemeClr w14:val="tx1"/>
            </w14:solidFill>
          </w14:textFill>
        </w:rPr>
        <w:t>成交供应商响应</w:t>
      </w:r>
      <w:r>
        <w:rPr>
          <w:rFonts w:hint="eastAsia" w:ascii="宋体" w:hAnsi="宋体" w:eastAsia="宋体" w:cs="宋体"/>
          <w:i w:val="0"/>
          <w:iCs w:val="0"/>
          <w:color w:val="000000" w:themeColor="text1"/>
          <w:highlight w:val="none"/>
          <w14:textFill>
            <w14:solidFill>
              <w14:schemeClr w14:val="tx1"/>
            </w14:solidFill>
          </w14:textFill>
        </w:rPr>
        <w:t>文件作实质性修改。</w:t>
      </w:r>
      <w:r>
        <w:rPr>
          <w:rFonts w:hint="eastAsia" w:ascii="宋体" w:hAnsi="宋体" w:eastAsia="宋体" w:cs="宋体"/>
          <w:i w:val="0"/>
          <w:iCs w:val="0"/>
          <w:color w:val="000000" w:themeColor="text1"/>
          <w:highlight w:val="none"/>
          <w:lang w:val="en-US" w:eastAsia="zh-CN"/>
          <w14:textFill>
            <w14:solidFill>
              <w14:schemeClr w14:val="tx1"/>
            </w14:solidFill>
          </w14:textFill>
        </w:rPr>
        <w:t>成交</w:t>
      </w:r>
      <w:r>
        <w:rPr>
          <w:rFonts w:hint="eastAsia" w:ascii="宋体" w:hAnsi="宋体" w:eastAsia="宋体" w:cs="宋体"/>
          <w:i w:val="0"/>
          <w:iCs w:val="0"/>
          <w:color w:val="000000" w:themeColor="text1"/>
          <w:highlight w:val="none"/>
          <w14:textFill>
            <w14:solidFill>
              <w14:schemeClr w14:val="tx1"/>
            </w14:solidFill>
          </w14:textFill>
        </w:rPr>
        <w:t>人无正当理由拒签合同，给采购人造成损失的，</w:t>
      </w:r>
      <w:r>
        <w:rPr>
          <w:rFonts w:hint="eastAsia" w:ascii="宋体" w:hAnsi="宋体" w:eastAsia="宋体" w:cs="宋体"/>
          <w:i w:val="0"/>
          <w:iCs w:val="0"/>
          <w:color w:val="000000" w:themeColor="text1"/>
          <w:highlight w:val="none"/>
          <w:lang w:val="en-US" w:eastAsia="zh-CN"/>
          <w14:textFill>
            <w14:solidFill>
              <w14:schemeClr w14:val="tx1"/>
            </w14:solidFill>
          </w14:textFill>
        </w:rPr>
        <w:t>成交</w:t>
      </w:r>
      <w:r>
        <w:rPr>
          <w:rFonts w:hint="eastAsia" w:ascii="宋体" w:hAnsi="宋体" w:eastAsia="宋体" w:cs="宋体"/>
          <w:i w:val="0"/>
          <w:iCs w:val="0"/>
          <w:color w:val="000000" w:themeColor="text1"/>
          <w:highlight w:val="none"/>
          <w14:textFill>
            <w14:solidFill>
              <w14:schemeClr w14:val="tx1"/>
            </w14:solidFill>
          </w14:textFill>
        </w:rPr>
        <w:t>人还应当承担民事责任。</w:t>
      </w:r>
    </w:p>
    <w:p w14:paraId="52BC97A5">
      <w:pPr>
        <w:pStyle w:val="48"/>
        <w:keepNext w:val="0"/>
        <w:keepLines w:val="0"/>
        <w:pageBreakBefore w:val="0"/>
        <w:widowControl w:val="0"/>
        <w:kinsoku/>
        <w:overflowPunct/>
        <w:topLinePunct/>
        <w:bidi w:val="0"/>
        <w:ind w:firstLine="480"/>
        <w:textAlignment w:val="auto"/>
        <w:rPr>
          <w:rFonts w:hint="eastAsia" w:ascii="宋体" w:hAnsi="宋体" w:eastAsia="宋体" w:cs="宋体"/>
          <w:i w:val="0"/>
          <w:iCs w:val="0"/>
          <w:color w:val="000000" w:themeColor="text1"/>
          <w:highlight w:val="none"/>
          <w:lang w:val="zh-CN"/>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3</w:t>
      </w:r>
      <w:r>
        <w:rPr>
          <w:rFonts w:hint="eastAsia" w:ascii="宋体" w:hAnsi="宋体" w:eastAsia="宋体" w:cs="宋体"/>
          <w:i w:val="0"/>
          <w:iCs w:val="0"/>
          <w:color w:val="000000" w:themeColor="text1"/>
          <w:highlight w:val="none"/>
          <w:lang w:val="en-US" w:eastAsia="zh-CN"/>
          <w14:textFill>
            <w14:solidFill>
              <w14:schemeClr w14:val="tx1"/>
            </w14:solidFill>
          </w14:textFill>
        </w:rPr>
        <w:t>2</w:t>
      </w:r>
      <w:r>
        <w:rPr>
          <w:rFonts w:hint="eastAsia" w:ascii="宋体" w:hAnsi="宋体" w:eastAsia="宋体" w:cs="宋体"/>
          <w:i w:val="0"/>
          <w:iCs w:val="0"/>
          <w:color w:val="000000" w:themeColor="text1"/>
          <w:highlight w:val="none"/>
          <w14:textFill>
            <w14:solidFill>
              <w14:schemeClr w14:val="tx1"/>
            </w14:solidFill>
          </w14:textFill>
        </w:rPr>
        <w:t>.2</w:t>
      </w:r>
      <w:r>
        <w:rPr>
          <w:rFonts w:hint="eastAsia" w:ascii="宋体" w:hAnsi="宋体" w:eastAsia="宋体" w:cs="宋体"/>
          <w:i w:val="0"/>
          <w:iCs w:val="0"/>
          <w:color w:val="000000" w:themeColor="text1"/>
          <w:highlight w:val="none"/>
          <w:lang w:val="zh-CN"/>
          <w14:textFill>
            <w14:solidFill>
              <w14:schemeClr w14:val="tx1"/>
            </w14:solidFill>
          </w14:textFill>
        </w:rPr>
        <w:t>成交供应商拒绝签订政府采购合同的，采购人可以</w:t>
      </w:r>
      <w:r>
        <w:rPr>
          <w:rFonts w:hint="eastAsia" w:ascii="宋体" w:hAnsi="宋体" w:eastAsia="宋体" w:cs="宋体"/>
          <w:i w:val="0"/>
          <w:iCs w:val="0"/>
          <w:color w:val="000000" w:themeColor="text1"/>
          <w:highlight w:val="none"/>
          <w:lang w:val="en-US" w:eastAsia="zh-CN"/>
          <w14:textFill>
            <w14:solidFill>
              <w14:schemeClr w14:val="tx1"/>
            </w14:solidFill>
          </w14:textFill>
        </w:rPr>
        <w:t>按照</w:t>
      </w:r>
      <w:r>
        <w:rPr>
          <w:rFonts w:hint="eastAsia" w:ascii="宋体" w:hAnsi="宋体" w:eastAsia="宋体" w:cs="宋体"/>
          <w:i w:val="0"/>
          <w:iCs w:val="0"/>
          <w:color w:val="000000" w:themeColor="text1"/>
          <w:highlight w:val="none"/>
          <w:lang w:val="zh-CN"/>
          <w14:textFill>
            <w14:solidFill>
              <w14:schemeClr w14:val="tx1"/>
            </w14:solidFill>
          </w14:textFill>
        </w:rPr>
        <w:t>《政府采购竞争性磋商采购方式管理暂行办法》（财库〔2014〕214号）第二十八条第二款的规定确定其他供应商作为成交供应商并签订政府采购合同，也可以重新开展采购活动。拒绝签订政府采购合同的成交供应商不得参加对该项目重新开展的采购活动。</w:t>
      </w:r>
    </w:p>
    <w:p w14:paraId="62938D85">
      <w:pPr>
        <w:pStyle w:val="48"/>
        <w:keepNext w:val="0"/>
        <w:keepLines w:val="0"/>
        <w:pageBreakBefore w:val="0"/>
        <w:widowControl w:val="0"/>
        <w:kinsoku/>
        <w:overflowPunct/>
        <w:topLinePunct/>
        <w:bidi w:val="0"/>
        <w:ind w:firstLine="480"/>
        <w:textAlignment w:val="auto"/>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bCs/>
          <w:i w:val="0"/>
          <w:iCs w:val="0"/>
          <w:color w:val="000000" w:themeColor="text1"/>
          <w:highlight w:val="none"/>
          <w14:textFill>
            <w14:solidFill>
              <w14:schemeClr w14:val="tx1"/>
            </w14:solidFill>
          </w14:textFill>
        </w:rPr>
        <w:t>3</w:t>
      </w:r>
      <w:r>
        <w:rPr>
          <w:rFonts w:hint="eastAsia" w:ascii="宋体" w:hAnsi="宋体" w:eastAsia="宋体" w:cs="宋体"/>
          <w:bCs/>
          <w:i w:val="0"/>
          <w:iCs w:val="0"/>
          <w:color w:val="000000" w:themeColor="text1"/>
          <w:highlight w:val="none"/>
          <w:lang w:val="en-US" w:eastAsia="zh-CN"/>
          <w14:textFill>
            <w14:solidFill>
              <w14:schemeClr w14:val="tx1"/>
            </w14:solidFill>
          </w14:textFill>
        </w:rPr>
        <w:t>2</w:t>
      </w:r>
      <w:r>
        <w:rPr>
          <w:rFonts w:hint="eastAsia" w:ascii="宋体" w:hAnsi="宋体" w:eastAsia="宋体" w:cs="宋体"/>
          <w:bCs/>
          <w:i w:val="0"/>
          <w:iCs w:val="0"/>
          <w:color w:val="000000" w:themeColor="text1"/>
          <w:highlight w:val="none"/>
          <w14:textFill>
            <w14:solidFill>
              <w14:schemeClr w14:val="tx1"/>
            </w14:solidFill>
          </w14:textFill>
        </w:rPr>
        <w:t>.3</w:t>
      </w:r>
      <w:r>
        <w:rPr>
          <w:rFonts w:hint="eastAsia" w:ascii="宋体" w:hAnsi="宋体" w:eastAsia="宋体" w:cs="宋体"/>
          <w:i w:val="0"/>
          <w:iCs w:val="0"/>
          <w:color w:val="000000" w:themeColor="text1"/>
          <w:highlight w:val="none"/>
          <w14:textFill>
            <w14:solidFill>
              <w14:schemeClr w14:val="tx1"/>
            </w14:solidFill>
          </w14:textFill>
        </w:rPr>
        <w:t>采购人和</w:t>
      </w:r>
      <w:r>
        <w:rPr>
          <w:rFonts w:hint="eastAsia" w:ascii="宋体" w:hAnsi="宋体" w:eastAsia="宋体" w:cs="宋体"/>
          <w:i w:val="0"/>
          <w:iCs w:val="0"/>
          <w:color w:val="000000" w:themeColor="text1"/>
          <w:highlight w:val="none"/>
          <w:lang w:val="en-US" w:eastAsia="zh-CN"/>
          <w14:textFill>
            <w14:solidFill>
              <w14:schemeClr w14:val="tx1"/>
            </w14:solidFill>
          </w14:textFill>
        </w:rPr>
        <w:t>成交</w:t>
      </w:r>
      <w:r>
        <w:rPr>
          <w:rFonts w:hint="eastAsia" w:ascii="宋体" w:hAnsi="宋体" w:eastAsia="宋体" w:cs="宋体"/>
          <w:i w:val="0"/>
          <w:iCs w:val="0"/>
          <w:color w:val="000000" w:themeColor="text1"/>
          <w:highlight w:val="none"/>
          <w14:textFill>
            <w14:solidFill>
              <w14:schemeClr w14:val="tx1"/>
            </w14:solidFill>
          </w14:textFill>
        </w:rPr>
        <w:t>供应商不得向对方提出任何不合理的要求，作为签订合同的条件，双方不得私下订立背离合同实质性内容的协议。</w:t>
      </w:r>
    </w:p>
    <w:p w14:paraId="628C027C">
      <w:pPr>
        <w:pStyle w:val="48"/>
        <w:keepNext w:val="0"/>
        <w:keepLines w:val="0"/>
        <w:pageBreakBefore w:val="0"/>
        <w:widowControl w:val="0"/>
        <w:kinsoku/>
        <w:overflowPunct/>
        <w:topLinePunct/>
        <w:bidi w:val="0"/>
        <w:ind w:firstLine="480"/>
        <w:textAlignment w:val="auto"/>
        <w:rPr>
          <w:rFonts w:hint="eastAsia" w:ascii="宋体" w:hAnsi="宋体" w:eastAsia="宋体" w:cs="宋体"/>
          <w:i w:val="0"/>
          <w:iCs w:val="0"/>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32.4联合体成交的，联合体各方应当共同与采购人签订合同，就采购合同约定的事项向采购人承担连带责任。</w:t>
      </w:r>
    </w:p>
    <w:p w14:paraId="45ADB012">
      <w:pPr>
        <w:pStyle w:val="48"/>
        <w:keepNext w:val="0"/>
        <w:keepLines w:val="0"/>
        <w:pageBreakBefore w:val="0"/>
        <w:widowControl w:val="0"/>
        <w:kinsoku/>
        <w:overflowPunct/>
        <w:topLinePunct/>
        <w:bidi w:val="0"/>
        <w:ind w:firstLine="480"/>
        <w:textAlignment w:val="auto"/>
        <w:rPr>
          <w:rFonts w:hint="eastAsia" w:ascii="宋体" w:hAnsi="宋体" w:eastAsia="宋体" w:cs="宋体"/>
          <w:b/>
          <w:bCs/>
          <w:i w:val="0"/>
          <w:iCs w:val="0"/>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32.5本项目的非主体、非关键性工作是否允许分包，见“供应商须知前附表”。</w:t>
      </w:r>
      <w:r>
        <w:rPr>
          <w:rFonts w:hint="eastAsia" w:ascii="宋体" w:hAnsi="宋体" w:eastAsia="宋体" w:cs="宋体"/>
          <w:i w:val="0"/>
          <w:iCs w:val="0"/>
          <w:color w:val="000000" w:themeColor="text1"/>
          <w:highlight w:val="none"/>
          <w14:textFill>
            <w14:solidFill>
              <w14:schemeClr w14:val="tx1"/>
            </w14:solidFill>
          </w14:textFill>
        </w:rPr>
        <w:t>供应商未遵守竞争性磋商文件分包规定的，其</w:t>
      </w:r>
      <w:r>
        <w:rPr>
          <w:rFonts w:hint="eastAsia" w:ascii="宋体" w:hAnsi="宋体" w:eastAsia="宋体" w:cs="宋体"/>
          <w:b/>
          <w:bCs/>
          <w:i w:val="0"/>
          <w:iCs w:val="0"/>
          <w:color w:val="000000" w:themeColor="text1"/>
          <w:highlight w:val="none"/>
          <w14:textFill>
            <w14:solidFill>
              <w14:schemeClr w14:val="tx1"/>
            </w14:solidFill>
          </w14:textFill>
        </w:rPr>
        <w:t>响应无效</w:t>
      </w:r>
      <w:r>
        <w:rPr>
          <w:rFonts w:hint="eastAsia" w:ascii="宋体" w:hAnsi="宋体" w:eastAsia="宋体" w:cs="宋体"/>
          <w:i w:val="0"/>
          <w:iCs w:val="0"/>
          <w:color w:val="000000" w:themeColor="text1"/>
          <w:highlight w:val="none"/>
          <w14:textFill>
            <w14:solidFill>
              <w14:schemeClr w14:val="tx1"/>
            </w14:solidFill>
          </w14:textFill>
        </w:rPr>
        <w:t>。</w:t>
      </w:r>
      <w:r>
        <w:rPr>
          <w:rFonts w:hint="eastAsia" w:ascii="宋体" w:hAnsi="宋体" w:eastAsia="宋体" w:cs="宋体"/>
          <w:i w:val="0"/>
          <w:iCs w:val="0"/>
          <w:color w:val="000000" w:themeColor="text1"/>
          <w:highlight w:val="none"/>
          <w:lang w:val="en-US" w:eastAsia="zh-CN"/>
          <w14:textFill>
            <w14:solidFill>
              <w14:schemeClr w14:val="tx1"/>
            </w14:solidFill>
          </w14:textFill>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eastAsia" w:ascii="宋体" w:hAnsi="宋体" w:eastAsia="宋体" w:cs="宋体"/>
          <w:b/>
          <w:bCs/>
          <w:i w:val="0"/>
          <w:iCs w:val="0"/>
          <w:color w:val="000000" w:themeColor="text1"/>
          <w:highlight w:val="none"/>
          <w:lang w:val="en-US" w:eastAsia="zh-CN"/>
          <w14:textFill>
            <w14:solidFill>
              <w14:schemeClr w14:val="tx1"/>
            </w14:solidFill>
          </w14:textFill>
        </w:rPr>
        <w:t>成交无效</w:t>
      </w:r>
      <w:r>
        <w:rPr>
          <w:rFonts w:hint="eastAsia" w:ascii="宋体" w:hAnsi="宋体" w:eastAsia="宋体" w:cs="宋体"/>
          <w:i w:val="0"/>
          <w:iCs w:val="0"/>
          <w:color w:val="000000" w:themeColor="text1"/>
          <w:highlight w:val="none"/>
          <w:lang w:val="en-US" w:eastAsia="zh-CN"/>
          <w14:textFill>
            <w14:solidFill>
              <w14:schemeClr w14:val="tx1"/>
            </w14:solidFill>
          </w14:textFill>
        </w:rPr>
        <w:t>。成交供应商就采购项目和分包项目向采购人负责，中标人对采购人承担全部合同责任，不因工程分包而免除，分包供应商就分包项目承担连带责任。</w:t>
      </w:r>
      <w:r>
        <w:rPr>
          <w:rFonts w:hint="eastAsia" w:ascii="宋体" w:hAnsi="宋体" w:eastAsia="宋体" w:cs="宋体"/>
          <w:b/>
          <w:bCs/>
          <w:i w:val="0"/>
          <w:iCs w:val="0"/>
          <w:color w:val="000000" w:themeColor="text1"/>
          <w:highlight w:val="none"/>
          <w:lang w:val="en-US" w:eastAsia="zh-CN"/>
          <w14:textFill>
            <w14:solidFill>
              <w14:schemeClr w14:val="tx1"/>
            </w14:solidFill>
          </w14:textFill>
        </w:rPr>
        <w:t>政府采购合同不能转包。</w:t>
      </w:r>
    </w:p>
    <w:p w14:paraId="7E8E6462">
      <w:pPr>
        <w:pStyle w:val="48"/>
        <w:keepNext w:val="0"/>
        <w:keepLines w:val="0"/>
        <w:pageBreakBefore w:val="0"/>
        <w:widowControl w:val="0"/>
        <w:kinsoku/>
        <w:overflowPunct/>
        <w:topLinePunct/>
        <w:bidi w:val="0"/>
        <w:ind w:firstLine="480"/>
        <w:textAlignment w:val="auto"/>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bCs/>
          <w:i w:val="0"/>
          <w:iCs w:val="0"/>
          <w:color w:val="000000" w:themeColor="text1"/>
          <w:highlight w:val="none"/>
          <w14:textFill>
            <w14:solidFill>
              <w14:schemeClr w14:val="tx1"/>
            </w14:solidFill>
          </w14:textFill>
        </w:rPr>
        <w:t>3</w:t>
      </w:r>
      <w:r>
        <w:rPr>
          <w:rFonts w:hint="eastAsia" w:ascii="宋体" w:hAnsi="宋体" w:eastAsia="宋体" w:cs="宋体"/>
          <w:bCs/>
          <w:i w:val="0"/>
          <w:iCs w:val="0"/>
          <w:color w:val="000000" w:themeColor="text1"/>
          <w:highlight w:val="none"/>
          <w:lang w:val="en-US" w:eastAsia="zh-CN"/>
          <w14:textFill>
            <w14:solidFill>
              <w14:schemeClr w14:val="tx1"/>
            </w14:solidFill>
          </w14:textFill>
        </w:rPr>
        <w:t>2</w:t>
      </w:r>
      <w:r>
        <w:rPr>
          <w:rFonts w:hint="eastAsia" w:ascii="宋体" w:hAnsi="宋体" w:eastAsia="宋体" w:cs="宋体"/>
          <w:i w:val="0"/>
          <w:iCs w:val="0"/>
          <w:color w:val="000000" w:themeColor="text1"/>
          <w:highlight w:val="none"/>
          <w14:textFill>
            <w14:solidFill>
              <w14:schemeClr w14:val="tx1"/>
            </w14:solidFill>
          </w14:textFill>
        </w:rPr>
        <w:t>.</w:t>
      </w:r>
      <w:r>
        <w:rPr>
          <w:rFonts w:hint="eastAsia" w:ascii="宋体" w:hAnsi="宋体" w:eastAsia="宋体" w:cs="宋体"/>
          <w:i w:val="0"/>
          <w:iCs w:val="0"/>
          <w:color w:val="000000" w:themeColor="text1"/>
          <w:highlight w:val="none"/>
          <w:lang w:val="en-US" w:eastAsia="zh-CN"/>
          <w14:textFill>
            <w14:solidFill>
              <w14:schemeClr w14:val="tx1"/>
            </w14:solidFill>
          </w14:textFill>
        </w:rPr>
        <w:t>6</w:t>
      </w:r>
      <w:r>
        <w:rPr>
          <w:rFonts w:hint="eastAsia" w:ascii="宋体" w:hAnsi="宋体" w:eastAsia="宋体" w:cs="宋体"/>
          <w:i w:val="0"/>
          <w:iCs w:val="0"/>
          <w:color w:val="000000" w:themeColor="text1"/>
          <w:highlight w:val="none"/>
          <w14:textFill>
            <w14:solidFill>
              <w14:schemeClr w14:val="tx1"/>
            </w14:solidFill>
          </w14:textFill>
        </w:rPr>
        <w:t>采购合同履行中，采购人需追加与合同标的相同的</w:t>
      </w:r>
      <w:r>
        <w:rPr>
          <w:rFonts w:hint="eastAsia" w:ascii="宋体" w:hAnsi="宋体" w:eastAsia="宋体" w:cs="宋体"/>
          <w:i w:val="0"/>
          <w:iCs w:val="0"/>
          <w:color w:val="000000" w:themeColor="text1"/>
          <w:highlight w:val="none"/>
          <w:lang w:val="en-US" w:eastAsia="zh-CN"/>
          <w14:textFill>
            <w14:solidFill>
              <w14:schemeClr w14:val="tx1"/>
            </w14:solidFill>
          </w14:textFill>
        </w:rPr>
        <w:t>货物、工程或者服务</w:t>
      </w:r>
      <w:r>
        <w:rPr>
          <w:rFonts w:hint="eastAsia" w:ascii="宋体" w:hAnsi="宋体" w:eastAsia="宋体" w:cs="宋体"/>
          <w:i w:val="0"/>
          <w:iCs w:val="0"/>
          <w:color w:val="000000" w:themeColor="text1"/>
          <w:highlight w:val="none"/>
          <w14:textFill>
            <w14:solidFill>
              <w14:schemeClr w14:val="tx1"/>
            </w14:solidFill>
          </w14:textFill>
        </w:rPr>
        <w:t>的，在不改变合同其他条款的前提下，可以与成交供应商协商签订补充合同，但所有补充合同的采购金额不得超过原合同采购金额的百分之十。</w:t>
      </w:r>
    </w:p>
    <w:p w14:paraId="4150A2AE">
      <w:pPr>
        <w:pStyle w:val="48"/>
        <w:keepNext w:val="0"/>
        <w:keepLines w:val="0"/>
        <w:pageBreakBefore w:val="0"/>
        <w:widowControl w:val="0"/>
        <w:kinsoku/>
        <w:overflowPunct/>
        <w:topLinePunct/>
        <w:bidi w:val="0"/>
        <w:ind w:firstLine="480"/>
        <w:textAlignment w:val="auto"/>
        <w:rPr>
          <w:rFonts w:hint="default" w:eastAsia="宋体"/>
          <w:i w:val="0"/>
          <w:iCs w:val="0"/>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32.7采购人应于签订合同之日起2个工作日内在政采云平台备案公示。</w:t>
      </w:r>
    </w:p>
    <w:bookmarkEnd w:id="237"/>
    <w:p w14:paraId="660BAA04">
      <w:pPr>
        <w:pStyle w:val="4"/>
        <w:keepNext w:val="0"/>
        <w:keepLines w:val="0"/>
        <w:pageBreakBefore w:val="0"/>
        <w:widowControl w:val="0"/>
        <w:numPr>
          <w:ilvl w:val="0"/>
          <w:numId w:val="0"/>
        </w:numPr>
        <w:kinsoku/>
        <w:wordWrap/>
        <w:overflowPunct/>
        <w:topLinePunct/>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250" w:name="_Toc109897467"/>
      <w:bookmarkStart w:id="251" w:name="_Toc109900404"/>
      <w:bookmarkStart w:id="252" w:name="_Toc163493618"/>
      <w:bookmarkStart w:id="253" w:name="_Toc109899566"/>
      <w:bookmarkStart w:id="254" w:name="_Toc109899985"/>
      <w:bookmarkStart w:id="255" w:name="_Toc46771673"/>
      <w:bookmarkStart w:id="256" w:name="_Toc470172693"/>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（十）质疑和投诉</w:t>
      </w:r>
      <w:bookmarkEnd w:id="250"/>
      <w:bookmarkEnd w:id="251"/>
      <w:bookmarkEnd w:id="252"/>
      <w:bookmarkEnd w:id="253"/>
      <w:bookmarkEnd w:id="254"/>
      <w:bookmarkEnd w:id="255"/>
    </w:p>
    <w:p w14:paraId="3084C8C0">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257" w:name="_Toc52960587"/>
      <w:bookmarkStart w:id="258" w:name="_Toc46772275"/>
      <w:bookmarkStart w:id="259" w:name="_Toc109900405"/>
      <w:bookmarkStart w:id="260" w:name="_Toc52962761"/>
      <w:bookmarkStart w:id="261" w:name="_Toc109899567"/>
      <w:bookmarkStart w:id="262" w:name="_Toc51674245"/>
      <w:bookmarkStart w:id="263" w:name="_Toc48846143"/>
      <w:bookmarkStart w:id="264" w:name="_Toc48688823"/>
      <w:bookmarkStart w:id="265" w:name="_Toc109899986"/>
      <w:bookmarkStart w:id="266" w:name="_Toc46771674"/>
      <w:bookmarkStart w:id="267" w:name="_Toc109897468"/>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33.质疑</w:t>
      </w:r>
      <w:bookmarkEnd w:id="257"/>
      <w:bookmarkEnd w:id="258"/>
      <w:bookmarkEnd w:id="259"/>
      <w:bookmarkEnd w:id="260"/>
      <w:bookmarkEnd w:id="261"/>
      <w:bookmarkEnd w:id="262"/>
      <w:bookmarkEnd w:id="263"/>
      <w:bookmarkEnd w:id="264"/>
      <w:bookmarkEnd w:id="265"/>
      <w:bookmarkEnd w:id="266"/>
      <w:bookmarkEnd w:id="267"/>
    </w:p>
    <w:p w14:paraId="377B6DEF">
      <w:pPr>
        <w:pStyle w:val="48"/>
        <w:keepNext w:val="0"/>
        <w:keepLines w:val="0"/>
        <w:pageBreakBefore w:val="0"/>
        <w:widowControl w:val="0"/>
        <w:kinsoku/>
        <w:overflowPunct/>
        <w:topLinePunct/>
        <w:autoSpaceDE/>
        <w:autoSpaceDN/>
        <w:bidi w:val="0"/>
        <w:adjustRightInd/>
        <w:textAlignment w:val="auto"/>
        <w:rPr>
          <w:rFonts w:hint="default"/>
          <w:i w:val="0"/>
          <w:iCs w:val="0"/>
          <w:color w:val="000000" w:themeColor="text1"/>
          <w:highlight w:val="none"/>
          <w:lang w:val="en-US" w:eastAsia="zh-CN"/>
          <w14:textFill>
            <w14:solidFill>
              <w14:schemeClr w14:val="tx1"/>
            </w14:solidFill>
          </w14:textFill>
        </w:rPr>
      </w:pPr>
      <w:r>
        <w:rPr>
          <w:i w:val="0"/>
          <w:iCs w:val="0"/>
          <w:snapToGrid w:val="0"/>
          <w:color w:val="000000" w:themeColor="text1"/>
          <w:highlight w:val="none"/>
          <w14:textFill>
            <w14:solidFill>
              <w14:schemeClr w14:val="tx1"/>
            </w14:solidFill>
          </w14:textFill>
        </w:rPr>
        <w:t>3</w:t>
      </w:r>
      <w:r>
        <w:rPr>
          <w:rFonts w:hint="eastAsia"/>
          <w:i w:val="0"/>
          <w:iCs w:val="0"/>
          <w:snapToGrid w:val="0"/>
          <w:color w:val="000000" w:themeColor="text1"/>
          <w:highlight w:val="none"/>
          <w:lang w:val="en-US" w:eastAsia="zh-CN"/>
          <w14:textFill>
            <w14:solidFill>
              <w14:schemeClr w14:val="tx1"/>
            </w14:solidFill>
          </w14:textFill>
        </w:rPr>
        <w:t>3</w:t>
      </w:r>
      <w:r>
        <w:rPr>
          <w:rFonts w:hint="eastAsia"/>
          <w:i w:val="0"/>
          <w:iCs w:val="0"/>
          <w:snapToGrid w:val="0"/>
          <w:color w:val="000000" w:themeColor="text1"/>
          <w:highlight w:val="none"/>
          <w:lang w:val="zh-CN"/>
          <w14:textFill>
            <w14:solidFill>
              <w14:schemeClr w14:val="tx1"/>
            </w14:solidFill>
          </w14:textFill>
        </w:rPr>
        <w:t>.1</w:t>
      </w:r>
      <w:r>
        <w:rPr>
          <w:rFonts w:hint="eastAsia"/>
          <w:i w:val="0"/>
          <w:iCs w:val="0"/>
          <w:color w:val="000000" w:themeColor="text1"/>
          <w:highlight w:val="none"/>
          <w14:textFill>
            <w14:solidFill>
              <w14:schemeClr w14:val="tx1"/>
            </w14:solidFill>
          </w14:textFill>
        </w:rPr>
        <w:t>供应商认为</w:t>
      </w:r>
      <w:r>
        <w:rPr>
          <w:rFonts w:hint="eastAsia"/>
          <w:i w:val="0"/>
          <w:iCs w:val="0"/>
          <w:color w:val="000000" w:themeColor="text1"/>
          <w:highlight w:val="none"/>
          <w:lang w:eastAsia="zh-CN"/>
          <w14:textFill>
            <w14:solidFill>
              <w14:schemeClr w14:val="tx1"/>
            </w14:solidFill>
          </w14:textFill>
        </w:rPr>
        <w:t>磋商</w:t>
      </w:r>
      <w:r>
        <w:rPr>
          <w:rFonts w:hint="eastAsia"/>
          <w:i w:val="0"/>
          <w:iCs w:val="0"/>
          <w:color w:val="000000" w:themeColor="text1"/>
          <w:highlight w:val="none"/>
          <w14:textFill>
            <w14:solidFill>
              <w14:schemeClr w14:val="tx1"/>
            </w14:solidFill>
          </w14:textFill>
        </w:rPr>
        <w:t>文件、</w:t>
      </w:r>
      <w:r>
        <w:rPr>
          <w:rFonts w:hint="eastAsia"/>
          <w:i w:val="0"/>
          <w:iCs w:val="0"/>
          <w:color w:val="000000" w:themeColor="text1"/>
          <w:highlight w:val="none"/>
          <w:lang w:eastAsia="zh-CN"/>
          <w14:textFill>
            <w14:solidFill>
              <w14:schemeClr w14:val="tx1"/>
            </w14:solidFill>
          </w14:textFill>
        </w:rPr>
        <w:t>评审</w:t>
      </w:r>
      <w:r>
        <w:rPr>
          <w:rFonts w:hint="eastAsia"/>
          <w:i w:val="0"/>
          <w:iCs w:val="0"/>
          <w:color w:val="000000" w:themeColor="text1"/>
          <w:highlight w:val="none"/>
          <w14:textFill>
            <w14:solidFill>
              <w14:schemeClr w14:val="tx1"/>
            </w14:solidFill>
          </w14:textFill>
        </w:rPr>
        <w:t>过程、成交结果使自己的权益受到损害的，可以在知道或者应知其权益受到损害之日起7个工作日内，以书面形式向采购人、采购代理机构提出质疑</w:t>
      </w:r>
      <w:r>
        <w:rPr>
          <w:rFonts w:hint="eastAsia"/>
          <w:i w:val="0"/>
          <w:iCs w:val="0"/>
          <w:color w:val="000000" w:themeColor="text1"/>
          <w:highlight w:val="none"/>
          <w:lang w:eastAsia="zh-CN"/>
          <w14:textFill>
            <w14:solidFill>
              <w14:schemeClr w14:val="tx1"/>
            </w14:solidFill>
          </w14:textFill>
        </w:rPr>
        <w:t>，</w:t>
      </w:r>
      <w:r>
        <w:rPr>
          <w:rFonts w:hint="eastAsia"/>
          <w:i w:val="0"/>
          <w:iCs w:val="0"/>
          <w:color w:val="000000" w:themeColor="text1"/>
          <w:highlight w:val="none"/>
          <w:lang w:val="en-US" w:eastAsia="zh-CN"/>
          <w14:textFill>
            <w14:solidFill>
              <w14:schemeClr w14:val="tx1"/>
            </w14:solidFill>
          </w14:textFill>
        </w:rPr>
        <w:t>详见“供应商须知前附表”</w:t>
      </w:r>
      <w:r>
        <w:rPr>
          <w:rFonts w:hint="eastAsia"/>
          <w:i w:val="0"/>
          <w:iCs w:val="0"/>
          <w:color w:val="000000" w:themeColor="text1"/>
          <w:highlight w:val="none"/>
          <w14:textFill>
            <w14:solidFill>
              <w14:schemeClr w14:val="tx1"/>
            </w14:solidFill>
          </w14:textFill>
        </w:rPr>
        <w:t>。供应商在法定质疑期内一次性提出针对同一采购程序环节的质疑。</w:t>
      </w:r>
    </w:p>
    <w:p w14:paraId="101B6D43">
      <w:pPr>
        <w:pStyle w:val="48"/>
        <w:keepNext w:val="0"/>
        <w:keepLines w:val="0"/>
        <w:pageBreakBefore w:val="0"/>
        <w:widowControl w:val="0"/>
        <w:kinsoku/>
        <w:overflowPunct/>
        <w:topLinePunct/>
        <w:autoSpaceDE/>
        <w:autoSpaceDN/>
        <w:bidi w:val="0"/>
        <w:adjustRightInd/>
        <w:textAlignment w:val="auto"/>
        <w:rPr>
          <w:rFonts w:hint="eastAsia"/>
          <w:i w:val="0"/>
          <w:iCs w:val="0"/>
          <w:color w:val="000000" w:themeColor="text1"/>
          <w:highlight w:val="none"/>
          <w14:textFill>
            <w14:solidFill>
              <w14:schemeClr w14:val="tx1"/>
            </w14:solidFill>
          </w14:textFill>
        </w:rPr>
      </w:pPr>
      <w:r>
        <w:rPr>
          <w:bCs/>
          <w:i w:val="0"/>
          <w:iCs w:val="0"/>
          <w:color w:val="000000" w:themeColor="text1"/>
          <w:highlight w:val="none"/>
          <w14:textFill>
            <w14:solidFill>
              <w14:schemeClr w14:val="tx1"/>
            </w14:solidFill>
          </w14:textFill>
        </w:rPr>
        <w:t>3</w:t>
      </w:r>
      <w:r>
        <w:rPr>
          <w:rFonts w:hint="eastAsia"/>
          <w:bCs/>
          <w:i w:val="0"/>
          <w:iCs w:val="0"/>
          <w:color w:val="000000" w:themeColor="text1"/>
          <w:highlight w:val="none"/>
          <w:lang w:val="en-US" w:eastAsia="zh-CN"/>
          <w14:textFill>
            <w14:solidFill>
              <w14:schemeClr w14:val="tx1"/>
            </w14:solidFill>
          </w14:textFill>
        </w:rPr>
        <w:t>3</w:t>
      </w:r>
      <w:r>
        <w:rPr>
          <w:rFonts w:hint="eastAsia"/>
          <w:i w:val="0"/>
          <w:iCs w:val="0"/>
          <w:color w:val="000000" w:themeColor="text1"/>
          <w:highlight w:val="none"/>
          <w14:textFill>
            <w14:solidFill>
              <w14:schemeClr w14:val="tx1"/>
            </w14:solidFill>
          </w14:textFill>
        </w:rPr>
        <w:t>.2提出质疑的供应商（以下简称质疑供应商）应当是参与所质疑项目采购活动的供应商。</w:t>
      </w:r>
    </w:p>
    <w:p w14:paraId="2592B9A5">
      <w:pPr>
        <w:pStyle w:val="48"/>
        <w:keepNext w:val="0"/>
        <w:keepLines w:val="0"/>
        <w:pageBreakBefore w:val="0"/>
        <w:widowControl w:val="0"/>
        <w:kinsoku/>
        <w:overflowPunct/>
        <w:topLinePunct/>
        <w:autoSpaceDE/>
        <w:autoSpaceDN/>
        <w:bidi w:val="0"/>
        <w:adjustRightInd/>
        <w:textAlignment w:val="auto"/>
        <w:rPr>
          <w:rFonts w:hint="eastAsia"/>
          <w:i w:val="0"/>
          <w:iCs w:val="0"/>
          <w:color w:val="000000" w:themeColor="text1"/>
          <w:highlight w:val="none"/>
          <w14:textFill>
            <w14:solidFill>
              <w14:schemeClr w14:val="tx1"/>
            </w14:solidFill>
          </w14:textFill>
        </w:rPr>
      </w:pPr>
      <w:r>
        <w:rPr>
          <w:rFonts w:hint="eastAsia"/>
          <w:i w:val="0"/>
          <w:iCs w:val="0"/>
          <w:color w:val="000000" w:themeColor="text1"/>
          <w:highlight w:val="none"/>
          <w:lang w:val="en-US" w:eastAsia="zh-CN"/>
          <w14:textFill>
            <w14:solidFill>
              <w14:schemeClr w14:val="tx1"/>
            </w14:solidFill>
          </w14:textFill>
        </w:rPr>
        <w:t>33.3</w:t>
      </w:r>
      <w:r>
        <w:rPr>
          <w:rFonts w:hint="eastAsia"/>
          <w:i w:val="0"/>
          <w:iCs w:val="0"/>
          <w:color w:val="000000" w:themeColor="text1"/>
          <w:highlight w:val="none"/>
          <w14:textFill>
            <w14:solidFill>
              <w14:schemeClr w14:val="tx1"/>
            </w14:solidFill>
          </w14:textFill>
        </w:rPr>
        <w:t>潜在供应商已依法获取其可质疑的</w:t>
      </w:r>
      <w:r>
        <w:rPr>
          <w:rFonts w:hint="eastAsia"/>
          <w:i w:val="0"/>
          <w:iCs w:val="0"/>
          <w:color w:val="000000" w:themeColor="text1"/>
          <w:highlight w:val="none"/>
          <w:lang w:eastAsia="zh-CN"/>
          <w14:textFill>
            <w14:solidFill>
              <w14:schemeClr w14:val="tx1"/>
            </w14:solidFill>
          </w14:textFill>
        </w:rPr>
        <w:t>磋商</w:t>
      </w:r>
      <w:r>
        <w:rPr>
          <w:rFonts w:hint="eastAsia"/>
          <w:i w:val="0"/>
          <w:iCs w:val="0"/>
          <w:color w:val="000000" w:themeColor="text1"/>
          <w:highlight w:val="none"/>
          <w14:textFill>
            <w14:solidFill>
              <w14:schemeClr w14:val="tx1"/>
            </w14:solidFill>
          </w14:textFill>
        </w:rPr>
        <w:t>文件的，可以对该文件提出质疑。对</w:t>
      </w:r>
      <w:r>
        <w:rPr>
          <w:rFonts w:hint="eastAsia"/>
          <w:i w:val="0"/>
          <w:iCs w:val="0"/>
          <w:color w:val="000000" w:themeColor="text1"/>
          <w:highlight w:val="none"/>
          <w:lang w:eastAsia="zh-CN"/>
          <w14:textFill>
            <w14:solidFill>
              <w14:schemeClr w14:val="tx1"/>
            </w14:solidFill>
          </w14:textFill>
        </w:rPr>
        <w:t>磋商</w:t>
      </w:r>
      <w:r>
        <w:rPr>
          <w:rFonts w:hint="eastAsia"/>
          <w:i w:val="0"/>
          <w:iCs w:val="0"/>
          <w:color w:val="000000" w:themeColor="text1"/>
          <w:highlight w:val="none"/>
          <w14:textFill>
            <w14:solidFill>
              <w14:schemeClr w14:val="tx1"/>
            </w14:solidFill>
          </w14:textFill>
        </w:rPr>
        <w:t>文件提出质疑的，应当在获取</w:t>
      </w:r>
      <w:r>
        <w:rPr>
          <w:rFonts w:hint="eastAsia"/>
          <w:i w:val="0"/>
          <w:iCs w:val="0"/>
          <w:color w:val="000000" w:themeColor="text1"/>
          <w:highlight w:val="none"/>
          <w:lang w:eastAsia="zh-CN"/>
          <w14:textFill>
            <w14:solidFill>
              <w14:schemeClr w14:val="tx1"/>
            </w14:solidFill>
          </w14:textFill>
        </w:rPr>
        <w:t>磋商</w:t>
      </w:r>
      <w:r>
        <w:rPr>
          <w:rFonts w:hint="eastAsia"/>
          <w:i w:val="0"/>
          <w:iCs w:val="0"/>
          <w:color w:val="000000" w:themeColor="text1"/>
          <w:highlight w:val="none"/>
          <w14:textFill>
            <w14:solidFill>
              <w14:schemeClr w14:val="tx1"/>
            </w14:solidFill>
          </w14:textFill>
        </w:rPr>
        <w:t>文件或者</w:t>
      </w:r>
      <w:r>
        <w:rPr>
          <w:rFonts w:hint="eastAsia"/>
          <w:i w:val="0"/>
          <w:iCs w:val="0"/>
          <w:color w:val="000000" w:themeColor="text1"/>
          <w:highlight w:val="none"/>
          <w:lang w:eastAsia="zh-CN"/>
          <w14:textFill>
            <w14:solidFill>
              <w14:schemeClr w14:val="tx1"/>
            </w14:solidFill>
          </w14:textFill>
        </w:rPr>
        <w:t>磋商</w:t>
      </w:r>
      <w:r>
        <w:rPr>
          <w:rFonts w:hint="eastAsia"/>
          <w:i w:val="0"/>
          <w:iCs w:val="0"/>
          <w:color w:val="000000" w:themeColor="text1"/>
          <w:highlight w:val="none"/>
          <w14:textFill>
            <w14:solidFill>
              <w14:schemeClr w14:val="tx1"/>
            </w14:solidFill>
          </w14:textFill>
        </w:rPr>
        <w:t>文件公告期限届满之日起7个工作日内提出。</w:t>
      </w:r>
    </w:p>
    <w:p w14:paraId="7CE85972">
      <w:pPr>
        <w:pStyle w:val="48"/>
        <w:keepNext w:val="0"/>
        <w:keepLines w:val="0"/>
        <w:pageBreakBefore w:val="0"/>
        <w:widowControl w:val="0"/>
        <w:kinsoku/>
        <w:overflowPunct/>
        <w:topLinePunct/>
        <w:autoSpaceDE/>
        <w:autoSpaceDN/>
        <w:bidi w:val="0"/>
        <w:adjustRightInd/>
        <w:textAlignment w:val="auto"/>
        <w:rPr>
          <w:rFonts w:hint="eastAsia"/>
          <w:i w:val="0"/>
          <w:iCs w:val="0"/>
          <w:color w:val="000000" w:themeColor="text1"/>
          <w:highlight w:val="none"/>
          <w14:textFill>
            <w14:solidFill>
              <w14:schemeClr w14:val="tx1"/>
            </w14:solidFill>
          </w14:textFill>
        </w:rPr>
      </w:pPr>
      <w:r>
        <w:rPr>
          <w:rFonts w:hint="eastAsia"/>
          <w:i w:val="0"/>
          <w:iCs w:val="0"/>
          <w:color w:val="000000" w:themeColor="text1"/>
          <w:highlight w:val="none"/>
          <w:lang w:val="en-US" w:eastAsia="zh-CN"/>
          <w14:textFill>
            <w14:solidFill>
              <w14:schemeClr w14:val="tx1"/>
            </w14:solidFill>
          </w14:textFill>
        </w:rPr>
        <w:t>33.4</w:t>
      </w:r>
      <w:r>
        <w:rPr>
          <w:rFonts w:hint="eastAsia"/>
          <w:i w:val="0"/>
          <w:iCs w:val="0"/>
          <w:color w:val="000000" w:themeColor="text1"/>
          <w:highlight w:val="none"/>
          <w14:textFill>
            <w14:solidFill>
              <w14:schemeClr w14:val="tx1"/>
            </w14:solidFill>
          </w14:textFill>
        </w:rPr>
        <w:t>供应商提出质疑应当提交质疑函和必要的证明材料。质疑函应当包括下列内容：</w:t>
      </w:r>
    </w:p>
    <w:p w14:paraId="5131DB6A">
      <w:pPr>
        <w:pStyle w:val="48"/>
        <w:keepNext w:val="0"/>
        <w:keepLines w:val="0"/>
        <w:pageBreakBefore w:val="0"/>
        <w:widowControl w:val="0"/>
        <w:kinsoku/>
        <w:overflowPunct/>
        <w:topLinePunct/>
        <w:autoSpaceDE/>
        <w:autoSpaceDN/>
        <w:bidi w:val="0"/>
        <w:adjustRightInd/>
        <w:textAlignment w:val="auto"/>
        <w:rPr>
          <w:rFonts w:hint="eastAsia"/>
          <w:i w:val="0"/>
          <w:iCs w:val="0"/>
          <w:color w:val="000000" w:themeColor="text1"/>
          <w:highlight w:val="none"/>
          <w14:textFill>
            <w14:solidFill>
              <w14:schemeClr w14:val="tx1"/>
            </w14:solidFill>
          </w14:textFill>
        </w:rPr>
      </w:pPr>
      <w:r>
        <w:rPr>
          <w:rFonts w:hint="eastAsia"/>
          <w:i w:val="0"/>
          <w:iCs w:val="0"/>
          <w:color w:val="000000" w:themeColor="text1"/>
          <w:highlight w:val="none"/>
          <w14:textFill>
            <w14:solidFill>
              <w14:schemeClr w14:val="tx1"/>
            </w14:solidFill>
          </w14:textFill>
        </w:rPr>
        <w:t>（</w:t>
      </w:r>
      <w:r>
        <w:rPr>
          <w:rFonts w:hint="eastAsia"/>
          <w:i w:val="0"/>
          <w:iCs w:val="0"/>
          <w:color w:val="000000" w:themeColor="text1"/>
          <w:highlight w:val="none"/>
          <w:lang w:val="en-US" w:eastAsia="zh-CN"/>
          <w14:textFill>
            <w14:solidFill>
              <w14:schemeClr w14:val="tx1"/>
            </w14:solidFill>
          </w14:textFill>
        </w:rPr>
        <w:t>1</w:t>
      </w:r>
      <w:r>
        <w:rPr>
          <w:rFonts w:hint="eastAsia"/>
          <w:i w:val="0"/>
          <w:iCs w:val="0"/>
          <w:color w:val="000000" w:themeColor="text1"/>
          <w:highlight w:val="none"/>
          <w14:textFill>
            <w14:solidFill>
              <w14:schemeClr w14:val="tx1"/>
            </w14:solidFill>
          </w14:textFill>
        </w:rPr>
        <w:t>）供应商的姓名或者名称、地址、邮编、联系人及联系电话；</w:t>
      </w:r>
    </w:p>
    <w:p w14:paraId="0B0128FD">
      <w:pPr>
        <w:pStyle w:val="48"/>
        <w:keepNext w:val="0"/>
        <w:keepLines w:val="0"/>
        <w:pageBreakBefore w:val="0"/>
        <w:widowControl w:val="0"/>
        <w:kinsoku/>
        <w:overflowPunct/>
        <w:topLinePunct/>
        <w:autoSpaceDE/>
        <w:autoSpaceDN/>
        <w:bidi w:val="0"/>
        <w:adjustRightInd/>
        <w:textAlignment w:val="auto"/>
        <w:rPr>
          <w:rFonts w:hint="eastAsia"/>
          <w:i w:val="0"/>
          <w:iCs w:val="0"/>
          <w:color w:val="000000" w:themeColor="text1"/>
          <w:highlight w:val="none"/>
          <w14:textFill>
            <w14:solidFill>
              <w14:schemeClr w14:val="tx1"/>
            </w14:solidFill>
          </w14:textFill>
        </w:rPr>
      </w:pPr>
      <w:r>
        <w:rPr>
          <w:rFonts w:hint="eastAsia"/>
          <w:i w:val="0"/>
          <w:iCs w:val="0"/>
          <w:color w:val="000000" w:themeColor="text1"/>
          <w:highlight w:val="none"/>
          <w14:textFill>
            <w14:solidFill>
              <w14:schemeClr w14:val="tx1"/>
            </w14:solidFill>
          </w14:textFill>
        </w:rPr>
        <w:t>（</w:t>
      </w:r>
      <w:r>
        <w:rPr>
          <w:rFonts w:hint="eastAsia"/>
          <w:i w:val="0"/>
          <w:iCs w:val="0"/>
          <w:color w:val="000000" w:themeColor="text1"/>
          <w:highlight w:val="none"/>
          <w:lang w:val="en-US" w:eastAsia="zh-CN"/>
          <w14:textFill>
            <w14:solidFill>
              <w14:schemeClr w14:val="tx1"/>
            </w14:solidFill>
          </w14:textFill>
        </w:rPr>
        <w:t>2</w:t>
      </w:r>
      <w:r>
        <w:rPr>
          <w:rFonts w:hint="eastAsia"/>
          <w:i w:val="0"/>
          <w:iCs w:val="0"/>
          <w:color w:val="000000" w:themeColor="text1"/>
          <w:highlight w:val="none"/>
          <w14:textFill>
            <w14:solidFill>
              <w14:schemeClr w14:val="tx1"/>
            </w14:solidFill>
          </w14:textFill>
        </w:rPr>
        <w:t>）质疑项目的名称、编号；</w:t>
      </w:r>
    </w:p>
    <w:p w14:paraId="7FC4910A">
      <w:pPr>
        <w:pStyle w:val="48"/>
        <w:keepNext w:val="0"/>
        <w:keepLines w:val="0"/>
        <w:pageBreakBefore w:val="0"/>
        <w:widowControl w:val="0"/>
        <w:kinsoku/>
        <w:overflowPunct/>
        <w:topLinePunct/>
        <w:autoSpaceDE/>
        <w:autoSpaceDN/>
        <w:bidi w:val="0"/>
        <w:adjustRightInd/>
        <w:textAlignment w:val="auto"/>
        <w:rPr>
          <w:rFonts w:hint="eastAsia"/>
          <w:i w:val="0"/>
          <w:iCs w:val="0"/>
          <w:color w:val="000000" w:themeColor="text1"/>
          <w:highlight w:val="none"/>
          <w14:textFill>
            <w14:solidFill>
              <w14:schemeClr w14:val="tx1"/>
            </w14:solidFill>
          </w14:textFill>
        </w:rPr>
      </w:pPr>
      <w:r>
        <w:rPr>
          <w:rFonts w:hint="eastAsia"/>
          <w:i w:val="0"/>
          <w:iCs w:val="0"/>
          <w:color w:val="000000" w:themeColor="text1"/>
          <w:highlight w:val="none"/>
          <w14:textFill>
            <w14:solidFill>
              <w14:schemeClr w14:val="tx1"/>
            </w14:solidFill>
          </w14:textFill>
        </w:rPr>
        <w:t>（</w:t>
      </w:r>
      <w:r>
        <w:rPr>
          <w:rFonts w:hint="eastAsia"/>
          <w:i w:val="0"/>
          <w:iCs w:val="0"/>
          <w:color w:val="000000" w:themeColor="text1"/>
          <w:highlight w:val="none"/>
          <w:lang w:val="en-US" w:eastAsia="zh-CN"/>
          <w14:textFill>
            <w14:solidFill>
              <w14:schemeClr w14:val="tx1"/>
            </w14:solidFill>
          </w14:textFill>
        </w:rPr>
        <w:t>3</w:t>
      </w:r>
      <w:r>
        <w:rPr>
          <w:rFonts w:hint="eastAsia"/>
          <w:i w:val="0"/>
          <w:iCs w:val="0"/>
          <w:color w:val="000000" w:themeColor="text1"/>
          <w:highlight w:val="none"/>
          <w14:textFill>
            <w14:solidFill>
              <w14:schemeClr w14:val="tx1"/>
            </w14:solidFill>
          </w14:textFill>
        </w:rPr>
        <w:t>）具体、明确的质疑事项和与质疑事项相关的请求；</w:t>
      </w:r>
    </w:p>
    <w:p w14:paraId="5F16F8D0">
      <w:pPr>
        <w:pStyle w:val="48"/>
        <w:keepNext w:val="0"/>
        <w:keepLines w:val="0"/>
        <w:pageBreakBefore w:val="0"/>
        <w:widowControl w:val="0"/>
        <w:kinsoku/>
        <w:overflowPunct/>
        <w:topLinePunct/>
        <w:autoSpaceDE/>
        <w:autoSpaceDN/>
        <w:bidi w:val="0"/>
        <w:adjustRightInd/>
        <w:textAlignment w:val="auto"/>
        <w:rPr>
          <w:rFonts w:hint="eastAsia"/>
          <w:i w:val="0"/>
          <w:iCs w:val="0"/>
          <w:color w:val="000000" w:themeColor="text1"/>
          <w:highlight w:val="none"/>
          <w14:textFill>
            <w14:solidFill>
              <w14:schemeClr w14:val="tx1"/>
            </w14:solidFill>
          </w14:textFill>
        </w:rPr>
      </w:pPr>
      <w:r>
        <w:rPr>
          <w:rFonts w:hint="eastAsia"/>
          <w:i w:val="0"/>
          <w:iCs w:val="0"/>
          <w:color w:val="000000" w:themeColor="text1"/>
          <w:highlight w:val="none"/>
          <w14:textFill>
            <w14:solidFill>
              <w14:schemeClr w14:val="tx1"/>
            </w14:solidFill>
          </w14:textFill>
        </w:rPr>
        <w:t>（</w:t>
      </w:r>
      <w:r>
        <w:rPr>
          <w:rFonts w:hint="eastAsia"/>
          <w:i w:val="0"/>
          <w:iCs w:val="0"/>
          <w:color w:val="000000" w:themeColor="text1"/>
          <w:highlight w:val="none"/>
          <w:lang w:val="en-US" w:eastAsia="zh-CN"/>
          <w14:textFill>
            <w14:solidFill>
              <w14:schemeClr w14:val="tx1"/>
            </w14:solidFill>
          </w14:textFill>
        </w:rPr>
        <w:t>4</w:t>
      </w:r>
      <w:r>
        <w:rPr>
          <w:rFonts w:hint="eastAsia"/>
          <w:i w:val="0"/>
          <w:iCs w:val="0"/>
          <w:color w:val="000000" w:themeColor="text1"/>
          <w:highlight w:val="none"/>
          <w14:textFill>
            <w14:solidFill>
              <w14:schemeClr w14:val="tx1"/>
            </w14:solidFill>
          </w14:textFill>
        </w:rPr>
        <w:t>）事实依据；</w:t>
      </w:r>
    </w:p>
    <w:p w14:paraId="65D1AA79">
      <w:pPr>
        <w:pStyle w:val="48"/>
        <w:keepNext w:val="0"/>
        <w:keepLines w:val="0"/>
        <w:pageBreakBefore w:val="0"/>
        <w:widowControl w:val="0"/>
        <w:kinsoku/>
        <w:overflowPunct/>
        <w:topLinePunct/>
        <w:autoSpaceDE/>
        <w:autoSpaceDN/>
        <w:bidi w:val="0"/>
        <w:adjustRightInd/>
        <w:textAlignment w:val="auto"/>
        <w:rPr>
          <w:rFonts w:hint="eastAsia"/>
          <w:i w:val="0"/>
          <w:iCs w:val="0"/>
          <w:color w:val="000000" w:themeColor="text1"/>
          <w:highlight w:val="none"/>
          <w14:textFill>
            <w14:solidFill>
              <w14:schemeClr w14:val="tx1"/>
            </w14:solidFill>
          </w14:textFill>
        </w:rPr>
      </w:pPr>
      <w:r>
        <w:rPr>
          <w:rFonts w:hint="eastAsia"/>
          <w:i w:val="0"/>
          <w:iCs w:val="0"/>
          <w:color w:val="000000" w:themeColor="text1"/>
          <w:highlight w:val="none"/>
          <w14:textFill>
            <w14:solidFill>
              <w14:schemeClr w14:val="tx1"/>
            </w14:solidFill>
          </w14:textFill>
        </w:rPr>
        <w:t>（</w:t>
      </w:r>
      <w:r>
        <w:rPr>
          <w:rFonts w:hint="eastAsia"/>
          <w:i w:val="0"/>
          <w:iCs w:val="0"/>
          <w:color w:val="000000" w:themeColor="text1"/>
          <w:highlight w:val="none"/>
          <w:lang w:val="en-US" w:eastAsia="zh-CN"/>
          <w14:textFill>
            <w14:solidFill>
              <w14:schemeClr w14:val="tx1"/>
            </w14:solidFill>
          </w14:textFill>
        </w:rPr>
        <w:t>5</w:t>
      </w:r>
      <w:r>
        <w:rPr>
          <w:rFonts w:hint="eastAsia"/>
          <w:i w:val="0"/>
          <w:iCs w:val="0"/>
          <w:color w:val="000000" w:themeColor="text1"/>
          <w:highlight w:val="none"/>
          <w14:textFill>
            <w14:solidFill>
              <w14:schemeClr w14:val="tx1"/>
            </w14:solidFill>
          </w14:textFill>
        </w:rPr>
        <w:t>）必要的法律依据；</w:t>
      </w:r>
    </w:p>
    <w:p w14:paraId="6A5BF2E2">
      <w:pPr>
        <w:pStyle w:val="48"/>
        <w:keepNext w:val="0"/>
        <w:keepLines w:val="0"/>
        <w:pageBreakBefore w:val="0"/>
        <w:widowControl w:val="0"/>
        <w:kinsoku/>
        <w:overflowPunct/>
        <w:topLinePunct/>
        <w:autoSpaceDE/>
        <w:autoSpaceDN/>
        <w:bidi w:val="0"/>
        <w:adjustRightInd/>
        <w:textAlignment w:val="auto"/>
        <w:rPr>
          <w:i w:val="0"/>
          <w:iCs w:val="0"/>
          <w:color w:val="000000" w:themeColor="text1"/>
          <w:highlight w:val="none"/>
          <w14:textFill>
            <w14:solidFill>
              <w14:schemeClr w14:val="tx1"/>
            </w14:solidFill>
          </w14:textFill>
        </w:rPr>
      </w:pPr>
      <w:r>
        <w:rPr>
          <w:rFonts w:hint="eastAsia"/>
          <w:i w:val="0"/>
          <w:iCs w:val="0"/>
          <w:color w:val="000000" w:themeColor="text1"/>
          <w:highlight w:val="none"/>
          <w14:textFill>
            <w14:solidFill>
              <w14:schemeClr w14:val="tx1"/>
            </w14:solidFill>
          </w14:textFill>
        </w:rPr>
        <w:t>（</w:t>
      </w:r>
      <w:r>
        <w:rPr>
          <w:rFonts w:hint="eastAsia"/>
          <w:i w:val="0"/>
          <w:iCs w:val="0"/>
          <w:color w:val="000000" w:themeColor="text1"/>
          <w:highlight w:val="none"/>
          <w:lang w:val="en-US" w:eastAsia="zh-CN"/>
          <w14:textFill>
            <w14:solidFill>
              <w14:schemeClr w14:val="tx1"/>
            </w14:solidFill>
          </w14:textFill>
        </w:rPr>
        <w:t>6</w:t>
      </w:r>
      <w:r>
        <w:rPr>
          <w:rFonts w:hint="eastAsia"/>
          <w:i w:val="0"/>
          <w:iCs w:val="0"/>
          <w:color w:val="000000" w:themeColor="text1"/>
          <w:highlight w:val="none"/>
          <w14:textFill>
            <w14:solidFill>
              <w14:schemeClr w14:val="tx1"/>
            </w14:solidFill>
          </w14:textFill>
        </w:rPr>
        <w:t>）提出质疑的日期。</w:t>
      </w:r>
    </w:p>
    <w:p w14:paraId="622EDA47">
      <w:pPr>
        <w:pStyle w:val="48"/>
        <w:keepNext w:val="0"/>
        <w:keepLines w:val="0"/>
        <w:pageBreakBefore w:val="0"/>
        <w:widowControl w:val="0"/>
        <w:kinsoku/>
        <w:overflowPunct/>
        <w:topLinePunct/>
        <w:autoSpaceDE/>
        <w:autoSpaceDN/>
        <w:bidi w:val="0"/>
        <w:adjustRightInd/>
        <w:textAlignment w:val="auto"/>
        <w:rPr>
          <w:rFonts w:hint="eastAsia"/>
          <w:i w:val="0"/>
          <w:iCs w:val="0"/>
          <w:color w:val="000000" w:themeColor="text1"/>
          <w:highlight w:val="none"/>
          <w14:textFill>
            <w14:solidFill>
              <w14:schemeClr w14:val="tx1"/>
            </w14:solidFill>
          </w14:textFill>
        </w:rPr>
      </w:pPr>
      <w:r>
        <w:rPr>
          <w:rFonts w:hint="eastAsia"/>
          <w:i w:val="0"/>
          <w:iCs w:val="0"/>
          <w:color w:val="000000" w:themeColor="text1"/>
          <w:highlight w:val="none"/>
          <w14:textFill>
            <w14:solidFill>
              <w14:schemeClr w14:val="tx1"/>
            </w14:solidFill>
          </w14:textFill>
        </w:rPr>
        <w:t>供应商为自然人的，应当由本人签字；供应商为法人或者其他组织的，应当由法定代表人、主要负责人，或者其授权代表签字或者盖章，并加盖公章。</w:t>
      </w:r>
    </w:p>
    <w:p w14:paraId="5129B4E6">
      <w:pPr>
        <w:pStyle w:val="48"/>
        <w:keepNext w:val="0"/>
        <w:keepLines w:val="0"/>
        <w:pageBreakBefore w:val="0"/>
        <w:widowControl w:val="0"/>
        <w:kinsoku/>
        <w:overflowPunct/>
        <w:topLinePunct/>
        <w:autoSpaceDE/>
        <w:autoSpaceDN/>
        <w:bidi w:val="0"/>
        <w:adjustRightInd/>
        <w:textAlignment w:val="auto"/>
        <w:rPr>
          <w:rFonts w:hint="eastAsia"/>
          <w:i w:val="0"/>
          <w:iCs w:val="0"/>
          <w:color w:val="000000" w:themeColor="text1"/>
          <w:highlight w:val="none"/>
          <w14:textFill>
            <w14:solidFill>
              <w14:schemeClr w14:val="tx1"/>
            </w14:solidFill>
          </w14:textFill>
        </w:rPr>
      </w:pPr>
      <w:r>
        <w:rPr>
          <w:i w:val="0"/>
          <w:iCs w:val="0"/>
          <w:color w:val="000000" w:themeColor="text1"/>
          <w:highlight w:val="none"/>
          <w14:textFill>
            <w14:solidFill>
              <w14:schemeClr w14:val="tx1"/>
            </w14:solidFill>
          </w14:textFill>
        </w:rPr>
        <w:t>3</w:t>
      </w:r>
      <w:r>
        <w:rPr>
          <w:rFonts w:hint="eastAsia"/>
          <w:i w:val="0"/>
          <w:iCs w:val="0"/>
          <w:color w:val="000000" w:themeColor="text1"/>
          <w:highlight w:val="none"/>
          <w:lang w:val="en-US" w:eastAsia="zh-CN"/>
          <w14:textFill>
            <w14:solidFill>
              <w14:schemeClr w14:val="tx1"/>
            </w14:solidFill>
          </w14:textFill>
        </w:rPr>
        <w:t>3</w:t>
      </w:r>
      <w:r>
        <w:rPr>
          <w:rFonts w:hint="eastAsia"/>
          <w:i w:val="0"/>
          <w:iCs w:val="0"/>
          <w:color w:val="000000" w:themeColor="text1"/>
          <w:highlight w:val="none"/>
          <w14:textFill>
            <w14:solidFill>
              <w14:schemeClr w14:val="tx1"/>
            </w14:solidFill>
          </w14:textFill>
        </w:rPr>
        <w:t>.5质疑函不符合上述要求的，采购人或代理机构应书面告知具体事项，质疑人应当按要求进行修改或补充，并在质疑有效期限内提交。</w:t>
      </w:r>
    </w:p>
    <w:p w14:paraId="1D804F08">
      <w:pPr>
        <w:pStyle w:val="48"/>
        <w:keepNext w:val="0"/>
        <w:keepLines w:val="0"/>
        <w:pageBreakBefore w:val="0"/>
        <w:widowControl w:val="0"/>
        <w:kinsoku/>
        <w:overflowPunct/>
        <w:topLinePunct/>
        <w:autoSpaceDE/>
        <w:autoSpaceDN/>
        <w:bidi w:val="0"/>
        <w:adjustRightInd/>
        <w:textAlignment w:val="auto"/>
        <w:rPr>
          <w:rFonts w:hint="eastAsia"/>
          <w:i w:val="0"/>
          <w:iCs w:val="0"/>
          <w:snapToGrid w:val="0"/>
          <w:color w:val="000000" w:themeColor="text1"/>
          <w:highlight w:val="none"/>
          <w14:textFill>
            <w14:solidFill>
              <w14:schemeClr w14:val="tx1"/>
            </w14:solidFill>
          </w14:textFill>
        </w:rPr>
      </w:pPr>
      <w:r>
        <w:rPr>
          <w:rFonts w:hint="eastAsia"/>
          <w:i w:val="0"/>
          <w:iCs w:val="0"/>
          <w:snapToGrid w:val="0"/>
          <w:color w:val="000000" w:themeColor="text1"/>
          <w:highlight w:val="none"/>
          <w14:textFill>
            <w14:solidFill>
              <w14:schemeClr w14:val="tx1"/>
            </w14:solidFill>
          </w14:textFill>
        </w:rPr>
        <w:t>3</w:t>
      </w:r>
      <w:r>
        <w:rPr>
          <w:rFonts w:hint="eastAsia"/>
          <w:i w:val="0"/>
          <w:iCs w:val="0"/>
          <w:snapToGrid w:val="0"/>
          <w:color w:val="000000" w:themeColor="text1"/>
          <w:highlight w:val="none"/>
          <w:lang w:val="en-US" w:eastAsia="zh-CN"/>
          <w14:textFill>
            <w14:solidFill>
              <w14:schemeClr w14:val="tx1"/>
            </w14:solidFill>
          </w14:textFill>
        </w:rPr>
        <w:t>3</w:t>
      </w:r>
      <w:r>
        <w:rPr>
          <w:rFonts w:hint="eastAsia"/>
          <w:i w:val="0"/>
          <w:iCs w:val="0"/>
          <w:snapToGrid w:val="0"/>
          <w:color w:val="000000" w:themeColor="text1"/>
          <w:highlight w:val="none"/>
          <w14:textFill>
            <w14:solidFill>
              <w14:schemeClr w14:val="tx1"/>
            </w14:solidFill>
          </w14:textFill>
        </w:rPr>
        <w:t>.</w:t>
      </w:r>
      <w:r>
        <w:rPr>
          <w:rFonts w:hint="eastAsia"/>
          <w:i w:val="0"/>
          <w:iCs w:val="0"/>
          <w:snapToGrid w:val="0"/>
          <w:color w:val="000000" w:themeColor="text1"/>
          <w:highlight w:val="none"/>
          <w:lang w:val="en-US" w:eastAsia="zh-CN"/>
          <w14:textFill>
            <w14:solidFill>
              <w14:schemeClr w14:val="tx1"/>
            </w14:solidFill>
          </w14:textFill>
        </w:rPr>
        <w:t>6供应商</w:t>
      </w:r>
      <w:r>
        <w:rPr>
          <w:rFonts w:hint="eastAsia"/>
          <w:i w:val="0"/>
          <w:iCs w:val="0"/>
          <w:snapToGrid w:val="0"/>
          <w:color w:val="000000" w:themeColor="text1"/>
          <w:highlight w:val="none"/>
          <w14:textFill>
            <w14:solidFill>
              <w14:schemeClr w14:val="tx1"/>
            </w14:solidFill>
          </w14:textFill>
        </w:rPr>
        <w:t>进行虚假和恶意</w:t>
      </w:r>
      <w:r>
        <w:rPr>
          <w:rFonts w:hint="eastAsia"/>
          <w:i w:val="0"/>
          <w:iCs w:val="0"/>
          <w:snapToGrid w:val="0"/>
          <w:color w:val="000000" w:themeColor="text1"/>
          <w:highlight w:val="none"/>
          <w:lang w:val="en-US" w:eastAsia="zh-CN"/>
          <w14:textFill>
            <w14:solidFill>
              <w14:schemeClr w14:val="tx1"/>
            </w14:solidFill>
          </w14:textFill>
        </w:rPr>
        <w:t>质疑投诉</w:t>
      </w:r>
      <w:r>
        <w:rPr>
          <w:rFonts w:hint="eastAsia"/>
          <w:i w:val="0"/>
          <w:iCs w:val="0"/>
          <w:snapToGrid w:val="0"/>
          <w:color w:val="000000" w:themeColor="text1"/>
          <w:highlight w:val="none"/>
          <w14:textFill>
            <w14:solidFill>
              <w14:schemeClr w14:val="tx1"/>
            </w14:solidFill>
          </w14:textFill>
        </w:rPr>
        <w:t>的，采购代理机构将提请有关部门将其列入不良记录名单，在一至三年内禁止参加政府采购活动，并将处理决定在相关政府采购媒体上公布。</w:t>
      </w:r>
    </w:p>
    <w:p w14:paraId="19D586A9">
      <w:pPr>
        <w:pStyle w:val="48"/>
        <w:keepNext w:val="0"/>
        <w:keepLines w:val="0"/>
        <w:pageBreakBefore w:val="0"/>
        <w:widowControl w:val="0"/>
        <w:kinsoku/>
        <w:overflowPunct/>
        <w:topLinePunct/>
        <w:autoSpaceDE/>
        <w:autoSpaceDN/>
        <w:bidi w:val="0"/>
        <w:adjustRightInd/>
        <w:textAlignment w:val="auto"/>
        <w:rPr>
          <w:rFonts w:hint="eastAsia"/>
          <w:i w:val="0"/>
          <w:iCs w:val="0"/>
          <w:snapToGrid w:val="0"/>
          <w:color w:val="000000" w:themeColor="text1"/>
          <w:highlight w:val="none"/>
          <w14:textFill>
            <w14:solidFill>
              <w14:schemeClr w14:val="tx1"/>
            </w14:solidFill>
          </w14:textFill>
        </w:rPr>
      </w:pPr>
      <w:r>
        <w:rPr>
          <w:rFonts w:hint="eastAsia"/>
          <w:i w:val="0"/>
          <w:iCs w:val="0"/>
          <w:snapToGrid w:val="0"/>
          <w:color w:val="000000" w:themeColor="text1"/>
          <w:highlight w:val="none"/>
          <w:lang w:val="en-US" w:eastAsia="zh-CN"/>
          <w14:textFill>
            <w14:solidFill>
              <w14:schemeClr w14:val="tx1"/>
            </w14:solidFill>
          </w14:textFill>
        </w:rPr>
        <w:t>33.7</w:t>
      </w:r>
      <w:r>
        <w:rPr>
          <w:rFonts w:hint="eastAsia"/>
          <w:i w:val="0"/>
          <w:iCs w:val="0"/>
          <w:color w:val="000000" w:themeColor="text1"/>
          <w:highlight w:val="none"/>
          <w14:textFill>
            <w14:solidFill>
              <w14:schemeClr w14:val="tx1"/>
            </w14:solidFill>
          </w14:textFill>
        </w:rPr>
        <w:t>质疑函</w:t>
      </w:r>
      <w:r>
        <w:rPr>
          <w:rFonts w:hint="eastAsia"/>
          <w:i w:val="0"/>
          <w:iCs w:val="0"/>
          <w:color w:val="000000" w:themeColor="text1"/>
          <w:highlight w:val="none"/>
          <w:lang w:val="en-US" w:eastAsia="zh-CN"/>
          <w14:textFill>
            <w14:solidFill>
              <w14:schemeClr w14:val="tx1"/>
            </w14:solidFill>
          </w14:textFill>
        </w:rPr>
        <w:t>应当使用中文，并采用财政部门制定的范本。</w:t>
      </w:r>
    </w:p>
    <w:p w14:paraId="63480502">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268" w:name="_Toc48846144"/>
      <w:bookmarkStart w:id="269" w:name="_Toc109899987"/>
      <w:bookmarkStart w:id="270" w:name="_Toc109899568"/>
      <w:bookmarkStart w:id="271" w:name="_Toc46771675"/>
      <w:bookmarkStart w:id="272" w:name="_Toc52960588"/>
      <w:bookmarkStart w:id="273" w:name="_Toc109897469"/>
      <w:bookmarkStart w:id="274" w:name="_Toc46772276"/>
      <w:bookmarkStart w:id="275" w:name="_Toc109900406"/>
      <w:bookmarkStart w:id="276" w:name="_Toc48688824"/>
      <w:bookmarkStart w:id="277" w:name="_Toc52962762"/>
      <w:bookmarkStart w:id="278" w:name="_Toc51674246"/>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34.质疑答复</w:t>
      </w:r>
      <w:bookmarkEnd w:id="268"/>
      <w:bookmarkEnd w:id="269"/>
      <w:bookmarkEnd w:id="270"/>
      <w:bookmarkEnd w:id="271"/>
      <w:bookmarkEnd w:id="272"/>
      <w:bookmarkEnd w:id="273"/>
      <w:bookmarkEnd w:id="274"/>
      <w:bookmarkEnd w:id="275"/>
      <w:bookmarkEnd w:id="276"/>
      <w:bookmarkEnd w:id="277"/>
      <w:bookmarkEnd w:id="278"/>
    </w:p>
    <w:p w14:paraId="0E973F2A">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snapToGrid w:val="0"/>
          <w:color w:val="000000" w:themeColor="text1"/>
          <w:highlight w:val="none"/>
          <w14:textFill>
            <w14:solidFill>
              <w14:schemeClr w14:val="tx1"/>
            </w14:solidFill>
          </w14:textFill>
        </w:rPr>
        <w:t>3</w:t>
      </w: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4</w:t>
      </w:r>
      <w:r>
        <w:rPr>
          <w:rFonts w:hint="eastAsia" w:ascii="宋体" w:hAnsi="宋体" w:eastAsia="宋体" w:cs="宋体"/>
          <w:i w:val="0"/>
          <w:iCs w:val="0"/>
          <w:snapToGrid w:val="0"/>
          <w:color w:val="000000" w:themeColor="text1"/>
          <w:highlight w:val="none"/>
          <w:lang w:val="zh-CN"/>
          <w14:textFill>
            <w14:solidFill>
              <w14:schemeClr w14:val="tx1"/>
            </w14:solidFill>
          </w14:textFill>
        </w:rPr>
        <w:t>.1</w:t>
      </w:r>
      <w:r>
        <w:rPr>
          <w:rFonts w:hint="eastAsia" w:ascii="宋体" w:hAnsi="宋体" w:eastAsia="宋体" w:cs="宋体"/>
          <w:i w:val="0"/>
          <w:iCs w:val="0"/>
          <w:color w:val="000000" w:themeColor="text1"/>
          <w:highlight w:val="none"/>
          <w14:textFill>
            <w14:solidFill>
              <w14:schemeClr w14:val="tx1"/>
            </w14:solidFill>
          </w14:textFill>
        </w:rPr>
        <w:t>采购人、采购代理机构不得拒收质疑供应商在法定质疑期内发出的质疑函，应当在收到质疑函后7个工作日内作出答复，并以书面形式通知质疑供应商和其他有关供应商。</w:t>
      </w:r>
    </w:p>
    <w:p w14:paraId="025EBB43">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34.2供应商对评审过程、成交结果提出质疑的，采购人、采购代理机构可以组织原竞争性磋商小组协助答复质疑。</w:t>
      </w:r>
    </w:p>
    <w:p w14:paraId="1747F6B8">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color w:val="000000" w:themeColor="text1"/>
          <w:highlight w:val="none"/>
          <w:lang w:val="zh-CN" w:eastAsia="zh-CN"/>
          <w14:textFill>
            <w14:solidFill>
              <w14:schemeClr w14:val="tx1"/>
            </w14:solidFill>
          </w14:textFill>
        </w:rPr>
      </w:pPr>
      <w:r>
        <w:rPr>
          <w:rFonts w:hint="eastAsia" w:ascii="宋体" w:hAnsi="宋体" w:eastAsia="宋体" w:cs="宋体"/>
          <w:i w:val="0"/>
          <w:iCs w:val="0"/>
          <w:color w:val="000000" w:themeColor="text1"/>
          <w:highlight w:val="none"/>
          <w:lang w:val="zh-CN" w:eastAsia="zh-CN"/>
          <w14:textFill>
            <w14:solidFill>
              <w14:schemeClr w14:val="tx1"/>
            </w14:solidFill>
          </w14:textFill>
        </w:rPr>
        <w:t>质疑答复应当包括下列内容：</w:t>
      </w:r>
    </w:p>
    <w:p w14:paraId="58DB7334">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color w:val="000000" w:themeColor="text1"/>
          <w:highlight w:val="none"/>
          <w:lang w:val="zh-CN" w:eastAsia="zh-CN"/>
          <w14:textFill>
            <w14:solidFill>
              <w14:schemeClr w14:val="tx1"/>
            </w14:solidFill>
          </w14:textFill>
        </w:rPr>
      </w:pPr>
      <w:r>
        <w:rPr>
          <w:rFonts w:hint="eastAsia" w:ascii="宋体" w:hAnsi="宋体" w:eastAsia="宋体" w:cs="宋体"/>
          <w:i w:val="0"/>
          <w:iCs w:val="0"/>
          <w:color w:val="000000" w:themeColor="text1"/>
          <w:highlight w:val="none"/>
          <w:lang w:val="zh-CN" w:eastAsia="zh-CN"/>
          <w14:textFill>
            <w14:solidFill>
              <w14:schemeClr w14:val="tx1"/>
            </w14:solidFill>
          </w14:textFill>
        </w:rPr>
        <w:t>（</w:t>
      </w:r>
      <w:r>
        <w:rPr>
          <w:rFonts w:hint="eastAsia" w:ascii="宋体" w:hAnsi="宋体" w:eastAsia="宋体" w:cs="宋体"/>
          <w:i w:val="0"/>
          <w:iCs w:val="0"/>
          <w:color w:val="000000" w:themeColor="text1"/>
          <w:highlight w:val="none"/>
          <w:lang w:val="en-US" w:eastAsia="zh-CN"/>
          <w14:textFill>
            <w14:solidFill>
              <w14:schemeClr w14:val="tx1"/>
            </w14:solidFill>
          </w14:textFill>
        </w:rPr>
        <w:t>1</w:t>
      </w:r>
      <w:r>
        <w:rPr>
          <w:rFonts w:hint="eastAsia" w:ascii="宋体" w:hAnsi="宋体" w:eastAsia="宋体" w:cs="宋体"/>
          <w:i w:val="0"/>
          <w:iCs w:val="0"/>
          <w:color w:val="000000" w:themeColor="text1"/>
          <w:highlight w:val="none"/>
          <w:lang w:val="zh-CN" w:eastAsia="zh-CN"/>
          <w14:textFill>
            <w14:solidFill>
              <w14:schemeClr w14:val="tx1"/>
            </w14:solidFill>
          </w14:textFill>
        </w:rPr>
        <w:t>）质疑供应商的姓名或者名称；</w:t>
      </w:r>
    </w:p>
    <w:p w14:paraId="6FFE08F2">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color w:val="000000" w:themeColor="text1"/>
          <w:highlight w:val="none"/>
          <w:lang w:val="zh-CN" w:eastAsia="zh-CN"/>
          <w14:textFill>
            <w14:solidFill>
              <w14:schemeClr w14:val="tx1"/>
            </w14:solidFill>
          </w14:textFill>
        </w:rPr>
      </w:pPr>
      <w:r>
        <w:rPr>
          <w:rFonts w:hint="eastAsia" w:ascii="宋体" w:hAnsi="宋体" w:eastAsia="宋体" w:cs="宋体"/>
          <w:i w:val="0"/>
          <w:iCs w:val="0"/>
          <w:color w:val="000000" w:themeColor="text1"/>
          <w:highlight w:val="none"/>
          <w:lang w:val="zh-CN" w:eastAsia="zh-CN"/>
          <w14:textFill>
            <w14:solidFill>
              <w14:schemeClr w14:val="tx1"/>
            </w14:solidFill>
          </w14:textFill>
        </w:rPr>
        <w:t>（</w:t>
      </w:r>
      <w:r>
        <w:rPr>
          <w:rFonts w:hint="eastAsia" w:ascii="宋体" w:hAnsi="宋体" w:eastAsia="宋体" w:cs="宋体"/>
          <w:i w:val="0"/>
          <w:iCs w:val="0"/>
          <w:color w:val="000000" w:themeColor="text1"/>
          <w:highlight w:val="none"/>
          <w:lang w:val="en-US" w:eastAsia="zh-CN"/>
          <w14:textFill>
            <w14:solidFill>
              <w14:schemeClr w14:val="tx1"/>
            </w14:solidFill>
          </w14:textFill>
        </w:rPr>
        <w:t>2</w:t>
      </w:r>
      <w:r>
        <w:rPr>
          <w:rFonts w:hint="eastAsia" w:ascii="宋体" w:hAnsi="宋体" w:eastAsia="宋体" w:cs="宋体"/>
          <w:i w:val="0"/>
          <w:iCs w:val="0"/>
          <w:color w:val="000000" w:themeColor="text1"/>
          <w:highlight w:val="none"/>
          <w:lang w:val="zh-CN" w:eastAsia="zh-CN"/>
          <w14:textFill>
            <w14:solidFill>
              <w14:schemeClr w14:val="tx1"/>
            </w14:solidFill>
          </w14:textFill>
        </w:rPr>
        <w:t>）收到质疑函的日期、质疑项目名称及编号；</w:t>
      </w:r>
    </w:p>
    <w:p w14:paraId="306A72F4">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color w:val="000000" w:themeColor="text1"/>
          <w:highlight w:val="none"/>
          <w:lang w:val="zh-CN" w:eastAsia="zh-CN"/>
          <w14:textFill>
            <w14:solidFill>
              <w14:schemeClr w14:val="tx1"/>
            </w14:solidFill>
          </w14:textFill>
        </w:rPr>
      </w:pPr>
      <w:r>
        <w:rPr>
          <w:rFonts w:hint="eastAsia" w:ascii="宋体" w:hAnsi="宋体" w:eastAsia="宋体" w:cs="宋体"/>
          <w:i w:val="0"/>
          <w:iCs w:val="0"/>
          <w:color w:val="000000" w:themeColor="text1"/>
          <w:highlight w:val="none"/>
          <w:lang w:val="zh-CN" w:eastAsia="zh-CN"/>
          <w14:textFill>
            <w14:solidFill>
              <w14:schemeClr w14:val="tx1"/>
            </w14:solidFill>
          </w14:textFill>
        </w:rPr>
        <w:t>（</w:t>
      </w:r>
      <w:r>
        <w:rPr>
          <w:rFonts w:hint="eastAsia" w:ascii="宋体" w:hAnsi="宋体" w:eastAsia="宋体" w:cs="宋体"/>
          <w:i w:val="0"/>
          <w:iCs w:val="0"/>
          <w:color w:val="000000" w:themeColor="text1"/>
          <w:highlight w:val="none"/>
          <w:lang w:val="en-US" w:eastAsia="zh-CN"/>
          <w14:textFill>
            <w14:solidFill>
              <w14:schemeClr w14:val="tx1"/>
            </w14:solidFill>
          </w14:textFill>
        </w:rPr>
        <w:t>3</w:t>
      </w:r>
      <w:r>
        <w:rPr>
          <w:rFonts w:hint="eastAsia" w:ascii="宋体" w:hAnsi="宋体" w:eastAsia="宋体" w:cs="宋体"/>
          <w:i w:val="0"/>
          <w:iCs w:val="0"/>
          <w:color w:val="000000" w:themeColor="text1"/>
          <w:highlight w:val="none"/>
          <w:lang w:val="zh-CN" w:eastAsia="zh-CN"/>
          <w14:textFill>
            <w14:solidFill>
              <w14:schemeClr w14:val="tx1"/>
            </w14:solidFill>
          </w14:textFill>
        </w:rPr>
        <w:t>）质疑事项、质疑答复的具体内容、事实依据和法律依据；</w:t>
      </w:r>
    </w:p>
    <w:p w14:paraId="11CB03E1">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color w:val="000000" w:themeColor="text1"/>
          <w:highlight w:val="none"/>
          <w:lang w:val="zh-CN" w:eastAsia="zh-CN"/>
          <w14:textFill>
            <w14:solidFill>
              <w14:schemeClr w14:val="tx1"/>
            </w14:solidFill>
          </w14:textFill>
        </w:rPr>
      </w:pPr>
      <w:r>
        <w:rPr>
          <w:rFonts w:hint="eastAsia" w:ascii="宋体" w:hAnsi="宋体" w:eastAsia="宋体" w:cs="宋体"/>
          <w:i w:val="0"/>
          <w:iCs w:val="0"/>
          <w:color w:val="000000" w:themeColor="text1"/>
          <w:highlight w:val="none"/>
          <w:lang w:val="zh-CN" w:eastAsia="zh-CN"/>
          <w14:textFill>
            <w14:solidFill>
              <w14:schemeClr w14:val="tx1"/>
            </w14:solidFill>
          </w14:textFill>
        </w:rPr>
        <w:t>（</w:t>
      </w:r>
      <w:r>
        <w:rPr>
          <w:rFonts w:hint="eastAsia" w:ascii="宋体" w:hAnsi="宋体" w:eastAsia="宋体" w:cs="宋体"/>
          <w:i w:val="0"/>
          <w:iCs w:val="0"/>
          <w:color w:val="000000" w:themeColor="text1"/>
          <w:highlight w:val="none"/>
          <w:lang w:val="en-US" w:eastAsia="zh-CN"/>
          <w14:textFill>
            <w14:solidFill>
              <w14:schemeClr w14:val="tx1"/>
            </w14:solidFill>
          </w14:textFill>
        </w:rPr>
        <w:t>4</w:t>
      </w:r>
      <w:r>
        <w:rPr>
          <w:rFonts w:hint="eastAsia" w:ascii="宋体" w:hAnsi="宋体" w:eastAsia="宋体" w:cs="宋体"/>
          <w:i w:val="0"/>
          <w:iCs w:val="0"/>
          <w:color w:val="000000" w:themeColor="text1"/>
          <w:highlight w:val="none"/>
          <w:lang w:val="zh-CN" w:eastAsia="zh-CN"/>
          <w14:textFill>
            <w14:solidFill>
              <w14:schemeClr w14:val="tx1"/>
            </w14:solidFill>
          </w14:textFill>
        </w:rPr>
        <w:t>）告知质疑供应商依法投诉的权利；</w:t>
      </w:r>
    </w:p>
    <w:p w14:paraId="132D71CF">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color w:val="000000" w:themeColor="text1"/>
          <w:highlight w:val="none"/>
          <w:lang w:val="zh-CN" w:eastAsia="zh-CN"/>
          <w14:textFill>
            <w14:solidFill>
              <w14:schemeClr w14:val="tx1"/>
            </w14:solidFill>
          </w14:textFill>
        </w:rPr>
      </w:pPr>
      <w:r>
        <w:rPr>
          <w:rFonts w:hint="eastAsia" w:ascii="宋体" w:hAnsi="宋体" w:eastAsia="宋体" w:cs="宋体"/>
          <w:i w:val="0"/>
          <w:iCs w:val="0"/>
          <w:color w:val="000000" w:themeColor="text1"/>
          <w:highlight w:val="none"/>
          <w:lang w:val="zh-CN" w:eastAsia="zh-CN"/>
          <w14:textFill>
            <w14:solidFill>
              <w14:schemeClr w14:val="tx1"/>
            </w14:solidFill>
          </w14:textFill>
        </w:rPr>
        <w:t>（</w:t>
      </w:r>
      <w:r>
        <w:rPr>
          <w:rFonts w:hint="eastAsia" w:ascii="宋体" w:hAnsi="宋体" w:eastAsia="宋体" w:cs="宋体"/>
          <w:i w:val="0"/>
          <w:iCs w:val="0"/>
          <w:color w:val="000000" w:themeColor="text1"/>
          <w:highlight w:val="none"/>
          <w:lang w:val="en-US" w:eastAsia="zh-CN"/>
          <w14:textFill>
            <w14:solidFill>
              <w14:schemeClr w14:val="tx1"/>
            </w14:solidFill>
          </w14:textFill>
        </w:rPr>
        <w:t>5</w:t>
      </w:r>
      <w:r>
        <w:rPr>
          <w:rFonts w:hint="eastAsia" w:ascii="宋体" w:hAnsi="宋体" w:eastAsia="宋体" w:cs="宋体"/>
          <w:i w:val="0"/>
          <w:iCs w:val="0"/>
          <w:color w:val="000000" w:themeColor="text1"/>
          <w:highlight w:val="none"/>
          <w:lang w:val="zh-CN" w:eastAsia="zh-CN"/>
          <w14:textFill>
            <w14:solidFill>
              <w14:schemeClr w14:val="tx1"/>
            </w14:solidFill>
          </w14:textFill>
        </w:rPr>
        <w:t>）质疑答复人名称；</w:t>
      </w:r>
    </w:p>
    <w:p w14:paraId="66937389">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color w:val="000000" w:themeColor="text1"/>
          <w:highlight w:val="none"/>
          <w:lang w:val="zh-CN" w:eastAsia="zh-CN"/>
          <w14:textFill>
            <w14:solidFill>
              <w14:schemeClr w14:val="tx1"/>
            </w14:solidFill>
          </w14:textFill>
        </w:rPr>
      </w:pPr>
      <w:r>
        <w:rPr>
          <w:rFonts w:hint="eastAsia" w:ascii="宋体" w:hAnsi="宋体" w:eastAsia="宋体" w:cs="宋体"/>
          <w:i w:val="0"/>
          <w:iCs w:val="0"/>
          <w:color w:val="000000" w:themeColor="text1"/>
          <w:highlight w:val="none"/>
          <w:lang w:val="zh-CN" w:eastAsia="zh-CN"/>
          <w14:textFill>
            <w14:solidFill>
              <w14:schemeClr w14:val="tx1"/>
            </w14:solidFill>
          </w14:textFill>
        </w:rPr>
        <w:t>（</w:t>
      </w:r>
      <w:r>
        <w:rPr>
          <w:rFonts w:hint="eastAsia" w:ascii="宋体" w:hAnsi="宋体" w:eastAsia="宋体" w:cs="宋体"/>
          <w:i w:val="0"/>
          <w:iCs w:val="0"/>
          <w:color w:val="000000" w:themeColor="text1"/>
          <w:highlight w:val="none"/>
          <w:lang w:val="en-US" w:eastAsia="zh-CN"/>
          <w14:textFill>
            <w14:solidFill>
              <w14:schemeClr w14:val="tx1"/>
            </w14:solidFill>
          </w14:textFill>
        </w:rPr>
        <w:t>6</w:t>
      </w:r>
      <w:r>
        <w:rPr>
          <w:rFonts w:hint="eastAsia" w:ascii="宋体" w:hAnsi="宋体" w:eastAsia="宋体" w:cs="宋体"/>
          <w:i w:val="0"/>
          <w:iCs w:val="0"/>
          <w:color w:val="000000" w:themeColor="text1"/>
          <w:highlight w:val="none"/>
          <w:lang w:val="zh-CN" w:eastAsia="zh-CN"/>
          <w14:textFill>
            <w14:solidFill>
              <w14:schemeClr w14:val="tx1"/>
            </w14:solidFill>
          </w14:textFill>
        </w:rPr>
        <w:t>）答复质疑的日期。</w:t>
      </w:r>
    </w:p>
    <w:p w14:paraId="07F52D78">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color w:val="000000" w:themeColor="text1"/>
          <w:highlight w:val="none"/>
          <w:lang w:val="zh-CN" w:eastAsia="zh-CN"/>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34.3</w:t>
      </w:r>
      <w:r>
        <w:rPr>
          <w:rFonts w:hint="eastAsia" w:ascii="宋体" w:hAnsi="宋体" w:eastAsia="宋体" w:cs="宋体"/>
          <w:i w:val="0"/>
          <w:iCs w:val="0"/>
          <w:color w:val="000000" w:themeColor="text1"/>
          <w:highlight w:val="none"/>
          <w:lang w:val="zh-CN" w:eastAsia="zh-CN"/>
          <w14:textFill>
            <w14:solidFill>
              <w14:schemeClr w14:val="tx1"/>
            </w14:solidFill>
          </w14:textFill>
        </w:rPr>
        <w:t>质疑答复的内容不得涉及商业秘密。</w:t>
      </w:r>
    </w:p>
    <w:p w14:paraId="3365ABDC">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35.投诉</w:t>
      </w:r>
    </w:p>
    <w:p w14:paraId="02B59B72">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35.1</w:t>
      </w:r>
      <w:r>
        <w:rPr>
          <w:rFonts w:hint="eastAsia" w:ascii="宋体" w:hAnsi="宋体" w:eastAsia="宋体" w:cs="宋体"/>
          <w:i w:val="0"/>
          <w:iCs w:val="0"/>
          <w:color w:val="000000" w:themeColor="text1"/>
          <w:highlight w:val="none"/>
          <w14:textFill>
            <w14:solidFill>
              <w14:schemeClr w14:val="tx1"/>
            </w14:solidFill>
          </w14:textFill>
        </w:rPr>
        <w:t>质疑供应商对采购人、采购代理机构的答复不满意，或者采购人、采购代理机构未在规定时间内作出答复的，可以在答复期满后15个工作日内向</w:t>
      </w:r>
      <w:r>
        <w:rPr>
          <w:rFonts w:hint="eastAsia" w:ascii="宋体" w:hAnsi="宋体" w:eastAsia="宋体" w:cs="宋体"/>
          <w:i w:val="0"/>
          <w:iCs w:val="0"/>
          <w:color w:val="000000" w:themeColor="text1"/>
          <w:highlight w:val="none"/>
          <w:lang w:val="en-US" w:eastAsia="zh-CN"/>
          <w14:textFill>
            <w14:solidFill>
              <w14:schemeClr w14:val="tx1"/>
            </w14:solidFill>
          </w14:textFill>
        </w:rPr>
        <w:t>同级政府采购监督管理部门</w:t>
      </w:r>
      <w:r>
        <w:rPr>
          <w:rFonts w:hint="eastAsia" w:ascii="宋体" w:hAnsi="宋体" w:eastAsia="宋体" w:cs="宋体"/>
          <w:i w:val="0"/>
          <w:iCs w:val="0"/>
          <w:color w:val="000000" w:themeColor="text1"/>
          <w:highlight w:val="none"/>
          <w14:textFill>
            <w14:solidFill>
              <w14:schemeClr w14:val="tx1"/>
            </w14:solidFill>
          </w14:textFill>
        </w:rPr>
        <w:t>提起投诉。</w:t>
      </w:r>
    </w:p>
    <w:p w14:paraId="42302999">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35.2</w:t>
      </w:r>
      <w:r>
        <w:rPr>
          <w:rFonts w:hint="eastAsia" w:ascii="宋体" w:hAnsi="宋体" w:eastAsia="宋体" w:cs="宋体"/>
          <w:i w:val="0"/>
          <w:iCs w:val="0"/>
          <w:color w:val="000000" w:themeColor="text1"/>
          <w:highlight w:val="none"/>
          <w14:textFill>
            <w14:solidFill>
              <w14:schemeClr w14:val="tx1"/>
            </w14:solidFill>
          </w14:textFill>
        </w:rPr>
        <w:t>投诉人投诉时,应当提交投诉书和必要的证明材料，并按照被投诉采购人、采购代理机构（以下简称被投诉人）和与投诉事项有关的供应商数量提供投诉书的副本。投诉书应当包括下列内容：</w:t>
      </w:r>
    </w:p>
    <w:p w14:paraId="432B9CB6">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w:t>
      </w:r>
      <w:r>
        <w:rPr>
          <w:rFonts w:hint="eastAsia" w:ascii="宋体" w:hAnsi="宋体" w:eastAsia="宋体" w:cs="宋体"/>
          <w:i w:val="0"/>
          <w:iCs w:val="0"/>
          <w:color w:val="000000" w:themeColor="text1"/>
          <w:highlight w:val="none"/>
          <w:lang w:val="en-US" w:eastAsia="zh-CN"/>
          <w14:textFill>
            <w14:solidFill>
              <w14:schemeClr w14:val="tx1"/>
            </w14:solidFill>
          </w14:textFill>
        </w:rPr>
        <w:t>1</w:t>
      </w:r>
      <w:r>
        <w:rPr>
          <w:rFonts w:hint="eastAsia" w:ascii="宋体" w:hAnsi="宋体" w:eastAsia="宋体" w:cs="宋体"/>
          <w:i w:val="0"/>
          <w:iCs w:val="0"/>
          <w:color w:val="000000" w:themeColor="text1"/>
          <w:highlight w:val="none"/>
          <w14:textFill>
            <w14:solidFill>
              <w14:schemeClr w14:val="tx1"/>
            </w14:solidFill>
          </w14:textFill>
        </w:rPr>
        <w:t>）投诉人和被投诉人的姓名或者名称、通讯地址、邮编、联系人及联系电话；</w:t>
      </w:r>
    </w:p>
    <w:p w14:paraId="61482163">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w:t>
      </w:r>
      <w:r>
        <w:rPr>
          <w:rFonts w:hint="eastAsia" w:ascii="宋体" w:hAnsi="宋体" w:eastAsia="宋体" w:cs="宋体"/>
          <w:i w:val="0"/>
          <w:iCs w:val="0"/>
          <w:color w:val="000000" w:themeColor="text1"/>
          <w:highlight w:val="none"/>
          <w:lang w:val="en-US" w:eastAsia="zh-CN"/>
          <w14:textFill>
            <w14:solidFill>
              <w14:schemeClr w14:val="tx1"/>
            </w14:solidFill>
          </w14:textFill>
        </w:rPr>
        <w:t>2</w:t>
      </w:r>
      <w:r>
        <w:rPr>
          <w:rFonts w:hint="eastAsia" w:ascii="宋体" w:hAnsi="宋体" w:eastAsia="宋体" w:cs="宋体"/>
          <w:i w:val="0"/>
          <w:iCs w:val="0"/>
          <w:color w:val="000000" w:themeColor="text1"/>
          <w:highlight w:val="none"/>
          <w14:textFill>
            <w14:solidFill>
              <w14:schemeClr w14:val="tx1"/>
            </w14:solidFill>
          </w14:textFill>
        </w:rPr>
        <w:t>）质疑和质疑答复情况说明及相关证明材料；</w:t>
      </w:r>
    </w:p>
    <w:p w14:paraId="42D280C3">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w:t>
      </w:r>
      <w:r>
        <w:rPr>
          <w:rFonts w:hint="eastAsia" w:ascii="宋体" w:hAnsi="宋体" w:eastAsia="宋体" w:cs="宋体"/>
          <w:i w:val="0"/>
          <w:iCs w:val="0"/>
          <w:color w:val="000000" w:themeColor="text1"/>
          <w:highlight w:val="none"/>
          <w:lang w:val="en-US" w:eastAsia="zh-CN"/>
          <w14:textFill>
            <w14:solidFill>
              <w14:schemeClr w14:val="tx1"/>
            </w14:solidFill>
          </w14:textFill>
        </w:rPr>
        <w:t>3</w:t>
      </w:r>
      <w:r>
        <w:rPr>
          <w:rFonts w:hint="eastAsia" w:ascii="宋体" w:hAnsi="宋体" w:eastAsia="宋体" w:cs="宋体"/>
          <w:i w:val="0"/>
          <w:iCs w:val="0"/>
          <w:color w:val="000000" w:themeColor="text1"/>
          <w:highlight w:val="none"/>
          <w14:textFill>
            <w14:solidFill>
              <w14:schemeClr w14:val="tx1"/>
            </w14:solidFill>
          </w14:textFill>
        </w:rPr>
        <w:t>）具体、明确的投诉事项和与投诉事项相关的投诉请求；</w:t>
      </w:r>
    </w:p>
    <w:p w14:paraId="229823BA">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w:t>
      </w:r>
      <w:r>
        <w:rPr>
          <w:rFonts w:hint="eastAsia" w:ascii="宋体" w:hAnsi="宋体" w:eastAsia="宋体" w:cs="宋体"/>
          <w:i w:val="0"/>
          <w:iCs w:val="0"/>
          <w:color w:val="000000" w:themeColor="text1"/>
          <w:highlight w:val="none"/>
          <w:lang w:val="en-US" w:eastAsia="zh-CN"/>
          <w14:textFill>
            <w14:solidFill>
              <w14:schemeClr w14:val="tx1"/>
            </w14:solidFill>
          </w14:textFill>
        </w:rPr>
        <w:t>4</w:t>
      </w:r>
      <w:r>
        <w:rPr>
          <w:rFonts w:hint="eastAsia" w:ascii="宋体" w:hAnsi="宋体" w:eastAsia="宋体" w:cs="宋体"/>
          <w:i w:val="0"/>
          <w:iCs w:val="0"/>
          <w:color w:val="000000" w:themeColor="text1"/>
          <w:highlight w:val="none"/>
          <w14:textFill>
            <w14:solidFill>
              <w14:schemeClr w14:val="tx1"/>
            </w14:solidFill>
          </w14:textFill>
        </w:rPr>
        <w:t>）事实依据；</w:t>
      </w:r>
    </w:p>
    <w:p w14:paraId="38FD2BF2">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w:t>
      </w:r>
      <w:r>
        <w:rPr>
          <w:rFonts w:hint="eastAsia" w:ascii="宋体" w:hAnsi="宋体" w:eastAsia="宋体" w:cs="宋体"/>
          <w:i w:val="0"/>
          <w:iCs w:val="0"/>
          <w:color w:val="000000" w:themeColor="text1"/>
          <w:highlight w:val="none"/>
          <w:lang w:val="en-US" w:eastAsia="zh-CN"/>
          <w14:textFill>
            <w14:solidFill>
              <w14:schemeClr w14:val="tx1"/>
            </w14:solidFill>
          </w14:textFill>
        </w:rPr>
        <w:t>5</w:t>
      </w:r>
      <w:r>
        <w:rPr>
          <w:rFonts w:hint="eastAsia" w:ascii="宋体" w:hAnsi="宋体" w:eastAsia="宋体" w:cs="宋体"/>
          <w:i w:val="0"/>
          <w:iCs w:val="0"/>
          <w:color w:val="000000" w:themeColor="text1"/>
          <w:highlight w:val="none"/>
          <w14:textFill>
            <w14:solidFill>
              <w14:schemeClr w14:val="tx1"/>
            </w14:solidFill>
          </w14:textFill>
        </w:rPr>
        <w:t>）法律依据；</w:t>
      </w:r>
    </w:p>
    <w:p w14:paraId="2FC5D3A2">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w:t>
      </w:r>
      <w:r>
        <w:rPr>
          <w:rFonts w:hint="eastAsia" w:ascii="宋体" w:hAnsi="宋体" w:eastAsia="宋体" w:cs="宋体"/>
          <w:i w:val="0"/>
          <w:iCs w:val="0"/>
          <w:color w:val="000000" w:themeColor="text1"/>
          <w:highlight w:val="none"/>
          <w:lang w:val="en-US" w:eastAsia="zh-CN"/>
          <w14:textFill>
            <w14:solidFill>
              <w14:schemeClr w14:val="tx1"/>
            </w14:solidFill>
          </w14:textFill>
        </w:rPr>
        <w:t>6</w:t>
      </w:r>
      <w:r>
        <w:rPr>
          <w:rFonts w:hint="eastAsia" w:ascii="宋体" w:hAnsi="宋体" w:eastAsia="宋体" w:cs="宋体"/>
          <w:i w:val="0"/>
          <w:iCs w:val="0"/>
          <w:color w:val="000000" w:themeColor="text1"/>
          <w:highlight w:val="none"/>
          <w14:textFill>
            <w14:solidFill>
              <w14:schemeClr w14:val="tx1"/>
            </w14:solidFill>
          </w14:textFill>
        </w:rPr>
        <w:t>）提起投诉的日期。</w:t>
      </w:r>
    </w:p>
    <w:p w14:paraId="1796F0A5">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投诉人为自然人的，应当由本人签字；投诉人为法人或者其他组织的，应当由法定代表人、主要负责人，或者其授权代表签字或者盖章，并加盖公章。</w:t>
      </w:r>
    </w:p>
    <w:p w14:paraId="3F4BD200">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bCs/>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35.3</w:t>
      </w:r>
      <w:r>
        <w:rPr>
          <w:rFonts w:hint="eastAsia" w:ascii="宋体" w:hAnsi="宋体" w:eastAsia="宋体" w:cs="宋体"/>
          <w:i w:val="0"/>
          <w:iCs w:val="0"/>
          <w:color w:val="000000" w:themeColor="text1"/>
          <w:highlight w:val="none"/>
          <w14:textFill>
            <w14:solidFill>
              <w14:schemeClr w14:val="tx1"/>
            </w14:solidFill>
          </w14:textFill>
        </w:rPr>
        <w:t>供应商</w:t>
      </w:r>
      <w:r>
        <w:rPr>
          <w:rFonts w:hint="eastAsia" w:ascii="宋体" w:hAnsi="宋体" w:eastAsia="宋体" w:cs="宋体"/>
          <w:i w:val="0"/>
          <w:iCs w:val="0"/>
          <w:color w:val="000000" w:themeColor="text1"/>
          <w:highlight w:val="none"/>
          <w:lang w:val="en-US" w:eastAsia="zh-CN"/>
          <w14:textFill>
            <w14:solidFill>
              <w14:schemeClr w14:val="tx1"/>
            </w14:solidFill>
          </w14:textFill>
        </w:rPr>
        <w:t>质疑、</w:t>
      </w:r>
      <w:r>
        <w:rPr>
          <w:rFonts w:hint="eastAsia" w:ascii="宋体" w:hAnsi="宋体" w:eastAsia="宋体" w:cs="宋体"/>
          <w:i w:val="0"/>
          <w:iCs w:val="0"/>
          <w:color w:val="000000" w:themeColor="text1"/>
          <w:highlight w:val="none"/>
          <w14:textFill>
            <w14:solidFill>
              <w14:schemeClr w14:val="tx1"/>
            </w14:solidFill>
          </w14:textFill>
        </w:rPr>
        <w:t>投诉</w:t>
      </w:r>
      <w:r>
        <w:rPr>
          <w:rFonts w:hint="eastAsia" w:ascii="宋体" w:hAnsi="宋体" w:eastAsia="宋体" w:cs="宋体"/>
          <w:i w:val="0"/>
          <w:iCs w:val="0"/>
          <w:color w:val="000000" w:themeColor="text1"/>
          <w:highlight w:val="none"/>
          <w:lang w:val="en-US" w:eastAsia="zh-CN"/>
          <w14:textFill>
            <w14:solidFill>
              <w14:schemeClr w14:val="tx1"/>
            </w14:solidFill>
          </w14:textFill>
        </w:rPr>
        <w:t>应当有明确的请求和必要的证明材料</w:t>
      </w:r>
      <w:r>
        <w:rPr>
          <w:rFonts w:hint="eastAsia" w:ascii="宋体" w:hAnsi="宋体" w:eastAsia="宋体" w:cs="宋体"/>
          <w:i w:val="0"/>
          <w:iCs w:val="0"/>
          <w:color w:val="000000" w:themeColor="text1"/>
          <w:highlight w:val="none"/>
          <w:lang w:eastAsia="zh-CN"/>
          <w14:textFill>
            <w14:solidFill>
              <w14:schemeClr w14:val="tx1"/>
            </w14:solidFill>
          </w14:textFill>
        </w:rPr>
        <w:t>。</w:t>
      </w:r>
      <w:r>
        <w:rPr>
          <w:rFonts w:hint="eastAsia" w:ascii="宋体" w:hAnsi="宋体" w:eastAsia="宋体" w:cs="宋体"/>
          <w:i w:val="0"/>
          <w:iCs w:val="0"/>
          <w:color w:val="000000" w:themeColor="text1"/>
          <w:highlight w:val="none"/>
          <w14:textFill>
            <w14:solidFill>
              <w14:schemeClr w14:val="tx1"/>
            </w14:solidFill>
          </w14:textFill>
        </w:rPr>
        <w:t>供应商投诉的事项不得超出</w:t>
      </w:r>
      <w:r>
        <w:rPr>
          <w:rFonts w:hint="eastAsia" w:ascii="宋体" w:hAnsi="宋体" w:eastAsia="宋体" w:cs="宋体"/>
          <w:i w:val="0"/>
          <w:iCs w:val="0"/>
          <w:color w:val="000000" w:themeColor="text1"/>
          <w:highlight w:val="none"/>
          <w:lang w:val="en-US" w:eastAsia="zh-CN"/>
          <w14:textFill>
            <w14:solidFill>
              <w14:schemeClr w14:val="tx1"/>
            </w14:solidFill>
          </w14:textFill>
        </w:rPr>
        <w:t>已</w:t>
      </w:r>
      <w:r>
        <w:rPr>
          <w:rFonts w:hint="eastAsia" w:ascii="宋体" w:hAnsi="宋体" w:eastAsia="宋体" w:cs="宋体"/>
          <w:i w:val="0"/>
          <w:iCs w:val="0"/>
          <w:color w:val="000000" w:themeColor="text1"/>
          <w:highlight w:val="none"/>
          <w14:textFill>
            <w14:solidFill>
              <w14:schemeClr w14:val="tx1"/>
            </w14:solidFill>
          </w14:textFill>
        </w:rPr>
        <w:t>质疑事项的范围，但基于质疑答复内容提出的投诉事项除外</w:t>
      </w:r>
      <w:r>
        <w:rPr>
          <w:rFonts w:hint="eastAsia" w:ascii="宋体" w:hAnsi="宋体" w:eastAsia="宋体" w:cs="宋体"/>
          <w:bCs/>
          <w:i w:val="0"/>
          <w:iCs w:val="0"/>
          <w:color w:val="000000" w:themeColor="text1"/>
          <w:highlight w:val="none"/>
          <w14:textFill>
            <w14:solidFill>
              <w14:schemeClr w14:val="tx1"/>
            </w14:solidFill>
          </w14:textFill>
        </w:rPr>
        <w:t>。</w:t>
      </w:r>
    </w:p>
    <w:p w14:paraId="252F4D9B">
      <w:pPr>
        <w:pStyle w:val="48"/>
        <w:keepNext w:val="0"/>
        <w:keepLines w:val="0"/>
        <w:pageBreakBefore w:val="0"/>
        <w:widowControl w:val="0"/>
        <w:kinsoku/>
        <w:overflowPunct/>
        <w:topLinePunct/>
        <w:bidi w:val="0"/>
        <w:ind w:firstLine="480"/>
        <w:textAlignment w:val="auto"/>
        <w:rPr>
          <w:rFonts w:hint="eastAsia" w:ascii="宋体" w:hAnsi="宋体" w:eastAsia="宋体" w:cs="宋体"/>
          <w:i w:val="0"/>
          <w:iCs w:val="0"/>
          <w:snapToGrid w:val="0"/>
          <w:color w:val="000000" w:themeColor="text1"/>
          <w:highlight w:val="none"/>
          <w:lang w:val="zh-CN"/>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35.4</w:t>
      </w:r>
      <w:r>
        <w:rPr>
          <w:rFonts w:hint="eastAsia" w:ascii="宋体" w:hAnsi="宋体" w:eastAsia="宋体" w:cs="宋体"/>
          <w:i w:val="0"/>
          <w:iCs w:val="0"/>
          <w:color w:val="000000" w:themeColor="text1"/>
          <w:highlight w:val="none"/>
          <w:lang w:val="en-US" w:eastAsia="zh-CN"/>
          <w14:textFill>
            <w14:solidFill>
              <w14:schemeClr w14:val="tx1"/>
            </w14:solidFill>
          </w14:textFill>
        </w:rPr>
        <w:t>投诉书应当使用中文，并采用财政部门制定的范本。</w:t>
      </w:r>
    </w:p>
    <w:bookmarkEnd w:id="256"/>
    <w:p w14:paraId="3BBC6CF4">
      <w:pPr>
        <w:pStyle w:val="4"/>
        <w:keepNext w:val="0"/>
        <w:keepLines w:val="0"/>
        <w:pageBreakBefore w:val="0"/>
        <w:widowControl w:val="0"/>
        <w:numPr>
          <w:ilvl w:val="0"/>
          <w:numId w:val="0"/>
        </w:numPr>
        <w:kinsoku/>
        <w:wordWrap/>
        <w:overflowPunct/>
        <w:topLinePunct/>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279" w:name="_Toc163493619"/>
      <w:bookmarkStart w:id="280" w:name="_Toc109899570"/>
      <w:bookmarkStart w:id="281" w:name="_Hlk60570485"/>
      <w:bookmarkStart w:id="282" w:name="_Toc109899989"/>
      <w:bookmarkStart w:id="283" w:name="_Toc109897471"/>
      <w:bookmarkStart w:id="284" w:name="_Toc109900408"/>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（十一）采购代理服务费</w:t>
      </w:r>
      <w:bookmarkEnd w:id="279"/>
    </w:p>
    <w:p w14:paraId="092F33FA">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36.收取方式和标准</w:t>
      </w:r>
    </w:p>
    <w:p w14:paraId="34F1E629">
      <w:pPr>
        <w:pStyle w:val="48"/>
        <w:keepNext w:val="0"/>
        <w:keepLines w:val="0"/>
        <w:pageBreakBefore w:val="0"/>
        <w:widowControl w:val="0"/>
        <w:kinsoku/>
        <w:overflowPunct/>
        <w:topLinePunct/>
        <w:bidi w:val="0"/>
        <w:ind w:firstLine="480"/>
        <w:textAlignment w:val="auto"/>
        <w:rPr>
          <w:rFonts w:hint="eastAsia"/>
          <w:i w:val="0"/>
          <w:iCs w:val="0"/>
          <w:color w:val="000000" w:themeColor="text1"/>
          <w:highlight w:val="none"/>
          <w14:textFill>
            <w14:solidFill>
              <w14:schemeClr w14:val="tx1"/>
            </w14:solidFill>
          </w14:textFill>
        </w:rPr>
      </w:pPr>
      <w:r>
        <w:rPr>
          <w:bCs/>
          <w:i w:val="0"/>
          <w:iCs w:val="0"/>
          <w:color w:val="000000" w:themeColor="text1"/>
          <w:highlight w:val="none"/>
          <w14:textFill>
            <w14:solidFill>
              <w14:schemeClr w14:val="tx1"/>
            </w14:solidFill>
          </w14:textFill>
        </w:rPr>
        <w:t>3</w:t>
      </w:r>
      <w:r>
        <w:rPr>
          <w:rFonts w:hint="eastAsia"/>
          <w:bCs/>
          <w:i w:val="0"/>
          <w:iCs w:val="0"/>
          <w:color w:val="000000" w:themeColor="text1"/>
          <w:highlight w:val="none"/>
          <w:lang w:val="en-US" w:eastAsia="zh-CN"/>
          <w14:textFill>
            <w14:solidFill>
              <w14:schemeClr w14:val="tx1"/>
            </w14:solidFill>
          </w14:textFill>
        </w:rPr>
        <w:t>6</w:t>
      </w:r>
      <w:r>
        <w:rPr>
          <w:rFonts w:hint="eastAsia"/>
          <w:i w:val="0"/>
          <w:iCs w:val="0"/>
          <w:color w:val="000000" w:themeColor="text1"/>
          <w:highlight w:val="none"/>
          <w14:textFill>
            <w14:solidFill>
              <w14:schemeClr w14:val="tx1"/>
            </w14:solidFill>
          </w14:textFill>
        </w:rPr>
        <w:t>.1采购代理机构按“供应商须知前附表”规定的方式和标准收取采购代理服务费。</w:t>
      </w:r>
    </w:p>
    <w:p w14:paraId="2824D8B2">
      <w:pPr>
        <w:pStyle w:val="4"/>
        <w:keepNext w:val="0"/>
        <w:keepLines w:val="0"/>
        <w:pageBreakBefore w:val="0"/>
        <w:widowControl w:val="0"/>
        <w:numPr>
          <w:ilvl w:val="0"/>
          <w:numId w:val="0"/>
        </w:numPr>
        <w:kinsoku/>
        <w:wordWrap/>
        <w:overflowPunct/>
        <w:topLinePunct/>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285" w:name="_Toc163493620"/>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（十二）无效响应和终止采购活动</w:t>
      </w:r>
      <w:bookmarkEnd w:id="285"/>
    </w:p>
    <w:p w14:paraId="55633BFB">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286" w:name="_Toc140132806"/>
      <w:bookmarkStart w:id="287" w:name="_Toc161600338"/>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37.无效</w:t>
      </w:r>
      <w:bookmarkEnd w:id="286"/>
      <w:bookmarkEnd w:id="287"/>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响应</w:t>
      </w:r>
    </w:p>
    <w:p w14:paraId="5BF52CAB">
      <w:pPr>
        <w:pStyle w:val="48"/>
        <w:keepNext w:val="0"/>
        <w:keepLines w:val="0"/>
        <w:pageBreakBefore w:val="0"/>
        <w:widowControl w:val="0"/>
        <w:kinsoku/>
        <w:overflowPunct/>
        <w:topLinePunct/>
        <w:bidi w:val="0"/>
        <w:ind w:firstLine="480"/>
        <w:textAlignment w:val="auto"/>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3</w:t>
      </w:r>
      <w:r>
        <w:rPr>
          <w:rFonts w:hint="eastAsia" w:ascii="宋体" w:hAnsi="宋体" w:eastAsia="宋体" w:cs="宋体"/>
          <w:i w:val="0"/>
          <w:iCs w:val="0"/>
          <w:color w:val="000000" w:themeColor="text1"/>
          <w:highlight w:val="none"/>
          <w:lang w:val="en-US" w:eastAsia="zh-CN"/>
          <w14:textFill>
            <w14:solidFill>
              <w14:schemeClr w14:val="tx1"/>
            </w14:solidFill>
          </w14:textFill>
        </w:rPr>
        <w:t>7</w:t>
      </w:r>
      <w:r>
        <w:rPr>
          <w:rFonts w:hint="eastAsia" w:ascii="宋体" w:hAnsi="宋体" w:eastAsia="宋体" w:cs="宋体"/>
          <w:i w:val="0"/>
          <w:iCs w:val="0"/>
          <w:color w:val="000000" w:themeColor="text1"/>
          <w:highlight w:val="none"/>
          <w14:textFill>
            <w14:solidFill>
              <w14:schemeClr w14:val="tx1"/>
            </w14:solidFill>
          </w14:textFill>
        </w:rPr>
        <w:t>.1响应文件存在“第</w:t>
      </w:r>
      <w:r>
        <w:rPr>
          <w:rFonts w:hint="eastAsia" w:ascii="宋体" w:hAnsi="宋体" w:eastAsia="宋体" w:cs="宋体"/>
          <w:i w:val="0"/>
          <w:iCs w:val="0"/>
          <w:color w:val="000000" w:themeColor="text1"/>
          <w:highlight w:val="none"/>
          <w:lang w:val="en-US" w:eastAsia="zh-CN"/>
          <w14:textFill>
            <w14:solidFill>
              <w14:schemeClr w14:val="tx1"/>
            </w14:solidFill>
          </w14:textFill>
        </w:rPr>
        <w:t>四</w:t>
      </w:r>
      <w:r>
        <w:rPr>
          <w:rFonts w:hint="eastAsia" w:ascii="宋体" w:hAnsi="宋体" w:eastAsia="宋体" w:cs="宋体"/>
          <w:i w:val="0"/>
          <w:iCs w:val="0"/>
          <w:color w:val="000000" w:themeColor="text1"/>
          <w:highlight w:val="none"/>
          <w14:textFill>
            <w14:solidFill>
              <w14:schemeClr w14:val="tx1"/>
            </w14:solidFill>
          </w14:textFill>
        </w:rPr>
        <w:t>章评审方法及标准”规定的</w:t>
      </w:r>
      <w:r>
        <w:rPr>
          <w:rFonts w:hint="eastAsia" w:ascii="宋体" w:hAnsi="宋体" w:eastAsia="宋体" w:cs="宋体"/>
          <w:b/>
          <w:bCs/>
          <w:i w:val="0"/>
          <w:iCs w:val="0"/>
          <w:color w:val="000000" w:themeColor="text1"/>
          <w:highlight w:val="none"/>
          <w14:textFill>
            <w14:solidFill>
              <w14:schemeClr w14:val="tx1"/>
            </w14:solidFill>
          </w14:textFill>
        </w:rPr>
        <w:t>响应无效</w:t>
      </w:r>
      <w:r>
        <w:rPr>
          <w:rFonts w:hint="eastAsia" w:ascii="宋体" w:hAnsi="宋体" w:eastAsia="宋体" w:cs="宋体"/>
          <w:i w:val="0"/>
          <w:iCs w:val="0"/>
          <w:color w:val="000000" w:themeColor="text1"/>
          <w:highlight w:val="none"/>
          <w14:textFill>
            <w14:solidFill>
              <w14:schemeClr w14:val="tx1"/>
            </w14:solidFill>
          </w14:textFill>
        </w:rPr>
        <w:t>情形的，做</w:t>
      </w:r>
      <w:r>
        <w:rPr>
          <w:rFonts w:hint="eastAsia" w:ascii="宋体" w:hAnsi="宋体" w:eastAsia="宋体" w:cs="宋体"/>
          <w:b/>
          <w:bCs/>
          <w:i w:val="0"/>
          <w:iCs w:val="0"/>
          <w:color w:val="000000" w:themeColor="text1"/>
          <w:highlight w:val="none"/>
          <w14:textFill>
            <w14:solidFill>
              <w14:schemeClr w14:val="tx1"/>
            </w14:solidFill>
          </w14:textFill>
        </w:rPr>
        <w:t>无效响应</w:t>
      </w:r>
      <w:r>
        <w:rPr>
          <w:rFonts w:hint="eastAsia" w:ascii="宋体" w:hAnsi="宋体" w:eastAsia="宋体" w:cs="宋体"/>
          <w:i w:val="0"/>
          <w:iCs w:val="0"/>
          <w:color w:val="000000" w:themeColor="text1"/>
          <w:highlight w:val="none"/>
          <w14:textFill>
            <w14:solidFill>
              <w14:schemeClr w14:val="tx1"/>
            </w14:solidFill>
          </w14:textFill>
        </w:rPr>
        <w:t>处理。</w:t>
      </w:r>
    </w:p>
    <w:p w14:paraId="0E26555F">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38.终止采购活动</w:t>
      </w:r>
    </w:p>
    <w:p w14:paraId="0577A893">
      <w:pPr>
        <w:pStyle w:val="48"/>
        <w:keepNext w:val="0"/>
        <w:keepLines w:val="0"/>
        <w:pageBreakBefore w:val="0"/>
        <w:widowControl w:val="0"/>
        <w:kinsoku/>
        <w:overflowPunct/>
        <w:topLinePunct/>
        <w:bidi w:val="0"/>
        <w:ind w:firstLine="480"/>
        <w:textAlignment w:val="auto"/>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38</w:t>
      </w:r>
      <w:r>
        <w:rPr>
          <w:rFonts w:hint="eastAsia" w:ascii="宋体" w:hAnsi="宋体" w:eastAsia="宋体" w:cs="宋体"/>
          <w:i w:val="0"/>
          <w:iCs w:val="0"/>
          <w:color w:val="000000" w:themeColor="text1"/>
          <w:highlight w:val="none"/>
          <w14:textFill>
            <w14:solidFill>
              <w14:schemeClr w14:val="tx1"/>
            </w14:solidFill>
          </w14:textFill>
        </w:rPr>
        <w:t>.1出现下列情形之一的，应当终止竞争性磋商采购活动，发布项目终止公告并说明原因，重新开展采购活动：</w:t>
      </w:r>
    </w:p>
    <w:p w14:paraId="7D05B1CC">
      <w:pPr>
        <w:pStyle w:val="48"/>
        <w:keepNext w:val="0"/>
        <w:keepLines w:val="0"/>
        <w:pageBreakBefore w:val="0"/>
        <w:widowControl w:val="0"/>
        <w:kinsoku/>
        <w:overflowPunct/>
        <w:topLinePunct/>
        <w:bidi w:val="0"/>
        <w:ind w:firstLine="480"/>
        <w:textAlignment w:val="auto"/>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（1）因情况变化，不再符合规定的竞争性磋商采购方式适用情形的；</w:t>
      </w:r>
    </w:p>
    <w:p w14:paraId="1FF58AC1">
      <w:pPr>
        <w:pStyle w:val="48"/>
        <w:keepNext w:val="0"/>
        <w:keepLines w:val="0"/>
        <w:pageBreakBefore w:val="0"/>
        <w:widowControl w:val="0"/>
        <w:kinsoku/>
        <w:overflowPunct/>
        <w:topLinePunct/>
        <w:bidi w:val="0"/>
        <w:ind w:firstLine="480"/>
        <w:textAlignment w:val="auto"/>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（2）出现影响采购公正的违法、违规行为的；</w:t>
      </w:r>
    </w:p>
    <w:p w14:paraId="2775B29C">
      <w:pPr>
        <w:pStyle w:val="48"/>
        <w:keepNext w:val="0"/>
        <w:keepLines w:val="0"/>
        <w:pageBreakBefore w:val="0"/>
        <w:widowControl w:val="0"/>
        <w:kinsoku/>
        <w:overflowPunct/>
        <w:topLinePunct/>
        <w:bidi w:val="0"/>
        <w:ind w:firstLine="480"/>
        <w:textAlignment w:val="auto"/>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3）在采购过程中符合要求的供应商或者报价未超过采购预算的供应商不足3家的（市场竞争不充分的科研项目、需要扶持的科技成果转化项目以及政府购买服务项目&lt;含政府和社会资本合作项目&gt;）的提交最后报价的供应商可以为2家）。</w:t>
      </w:r>
    </w:p>
    <w:p w14:paraId="7BEDE7B3">
      <w:pPr>
        <w:pStyle w:val="48"/>
        <w:keepNext w:val="0"/>
        <w:keepLines w:val="0"/>
        <w:pageBreakBefore w:val="0"/>
        <w:widowControl w:val="0"/>
        <w:kinsoku/>
        <w:overflowPunct/>
        <w:topLinePunct/>
        <w:bidi w:val="0"/>
        <w:ind w:firstLine="480"/>
        <w:textAlignment w:val="auto"/>
        <w:rPr>
          <w:rFonts w:hint="eastAsia" w:ascii="宋体" w:hAnsi="宋体" w:eastAsia="宋体" w:cs="宋体"/>
          <w:i w:val="0"/>
          <w:iCs w:val="0"/>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38.2在采购活动中因重大变故，采购任务取消的，采购人或者采购代理机构应当终止采购活动，通知所有参加采购活动的供应商，并将项目实施情况和采购任务取消原因报送本级财政部门。</w:t>
      </w:r>
    </w:p>
    <w:p w14:paraId="0C4A9234">
      <w:pPr>
        <w:pStyle w:val="4"/>
        <w:keepNext w:val="0"/>
        <w:keepLines w:val="0"/>
        <w:pageBreakBefore w:val="0"/>
        <w:widowControl w:val="0"/>
        <w:numPr>
          <w:ilvl w:val="0"/>
          <w:numId w:val="0"/>
        </w:numPr>
        <w:kinsoku/>
        <w:wordWrap/>
        <w:overflowPunct/>
        <w:topLinePunct/>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288" w:name="_Toc161600340"/>
      <w:bookmarkStart w:id="289" w:name="_Toc163493621"/>
      <w:bookmarkStart w:id="290" w:name="_Toc140132766"/>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（十三）落实政府采购政策</w:t>
      </w:r>
      <w:bookmarkEnd w:id="288"/>
      <w:bookmarkEnd w:id="289"/>
      <w:bookmarkEnd w:id="290"/>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（包括但不限于下列具体政策要求）</w:t>
      </w:r>
    </w:p>
    <w:p w14:paraId="3CE44F4B">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291" w:name="_Toc161600342"/>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39.中小企业、</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JY</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企业及残疾人福利性单位</w:t>
      </w:r>
      <w:bookmarkEnd w:id="291"/>
    </w:p>
    <w:p w14:paraId="598D2841">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snapToGrid w:val="0"/>
          <w:color w:val="000000" w:themeColor="text1"/>
          <w:highlight w:val="none"/>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39</w:t>
      </w:r>
      <w:r>
        <w:rPr>
          <w:rFonts w:hint="eastAsia" w:ascii="宋体" w:hAnsi="宋体" w:eastAsia="宋体" w:cs="宋体"/>
          <w:i w:val="0"/>
          <w:iCs w:val="0"/>
          <w:snapToGrid w:val="0"/>
          <w:color w:val="000000" w:themeColor="text1"/>
          <w:highlight w:val="none"/>
          <w14:textFill>
            <w14:solidFill>
              <w14:schemeClr w14:val="tx1"/>
            </w14:solidFill>
          </w14:textFill>
        </w:rPr>
        <w:t>.1</w:t>
      </w: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金融业企业划型标准规定》（〔2015〕309号）等国务院批准的中小企业划分标准执行。</w:t>
      </w:r>
    </w:p>
    <w:p w14:paraId="7C90C5EF">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snapToGrid w:val="0"/>
          <w:color w:val="000000" w:themeColor="text1"/>
          <w:highlight w:val="none"/>
          <w:lang w:eastAsia="zh-CN"/>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39</w:t>
      </w:r>
      <w:r>
        <w:rPr>
          <w:rFonts w:hint="eastAsia" w:ascii="宋体" w:hAnsi="宋体" w:eastAsia="宋体" w:cs="宋体"/>
          <w:i w:val="0"/>
          <w:iCs w:val="0"/>
          <w:snapToGrid w:val="0"/>
          <w:color w:val="000000" w:themeColor="text1"/>
          <w:highlight w:val="none"/>
          <w14:textFill>
            <w14:solidFill>
              <w14:schemeClr w14:val="tx1"/>
            </w14:solidFill>
          </w14:textFill>
        </w:rPr>
        <w:t>.</w:t>
      </w: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2</w:t>
      </w:r>
      <w:r>
        <w:rPr>
          <w:rFonts w:hint="eastAsia" w:ascii="宋体" w:hAnsi="宋体" w:eastAsia="宋体" w:cs="宋体"/>
          <w:i w:val="0"/>
          <w:iCs w:val="0"/>
          <w:snapToGrid w:val="0"/>
          <w:color w:val="000000" w:themeColor="text1"/>
          <w:highlight w:val="none"/>
          <w14:textFill>
            <w14:solidFill>
              <w14:schemeClr w14:val="tx1"/>
            </w14:solidFill>
          </w14:textFill>
        </w:rPr>
        <w:t>为促进中小企业发展，依据《关于印发&lt;政府采购促进中小企业发展管理办法&gt;的通知》（财库〔2020〕46号）、《财政部司法部关于政府采购支持</w:t>
      </w:r>
      <w:r>
        <w:rPr>
          <w:rFonts w:hint="eastAsia" w:ascii="宋体" w:hAnsi="宋体" w:eastAsia="宋体" w:cs="宋体"/>
          <w:i w:val="0"/>
          <w:iCs w:val="0"/>
          <w:snapToGrid w:val="0"/>
          <w:color w:val="000000" w:themeColor="text1"/>
          <w:highlight w:val="none"/>
          <w:lang w:eastAsia="zh-CN"/>
          <w14:textFill>
            <w14:solidFill>
              <w14:schemeClr w14:val="tx1"/>
            </w14:solidFill>
          </w14:textFill>
        </w:rPr>
        <w:t>JY</w:t>
      </w:r>
      <w:r>
        <w:rPr>
          <w:rFonts w:hint="eastAsia" w:ascii="宋体" w:hAnsi="宋体" w:eastAsia="宋体" w:cs="宋体"/>
          <w:i w:val="0"/>
          <w:iCs w:val="0"/>
          <w:snapToGrid w:val="0"/>
          <w:color w:val="000000" w:themeColor="text1"/>
          <w:highlight w:val="none"/>
          <w14:textFill>
            <w14:solidFill>
              <w14:schemeClr w14:val="tx1"/>
            </w14:solidFill>
          </w14:textFill>
        </w:rPr>
        <w:t>企业发展有关问题的通知》（财库〔2014〕68号）、《关于促进残疾人就业政府采购政策的通知》（财库〔2017〕141号）的规定，本项目供应商如</w:t>
      </w:r>
      <w:r>
        <w:rPr>
          <w:rFonts w:hint="eastAsia" w:ascii="宋体" w:hAnsi="宋体" w:eastAsia="宋体" w:cs="宋体"/>
          <w:i w:val="0"/>
          <w:iCs w:val="0"/>
          <w:snapToGrid w:val="0"/>
          <w:color w:val="000000" w:themeColor="text1"/>
          <w:highlight w:val="none"/>
          <w:lang w:eastAsia="zh-CN"/>
          <w14:textFill>
            <w14:solidFill>
              <w14:schemeClr w14:val="tx1"/>
            </w14:solidFill>
          </w14:textFill>
        </w:rPr>
        <w:t>需享受中小企业相关政策的，且</w:t>
      </w:r>
      <w:r>
        <w:rPr>
          <w:rFonts w:hint="eastAsia" w:ascii="宋体" w:hAnsi="宋体" w:eastAsia="宋体" w:cs="宋体"/>
          <w:i w:val="0"/>
          <w:iCs w:val="0"/>
          <w:snapToGrid w:val="0"/>
          <w:color w:val="000000" w:themeColor="text1"/>
          <w:highlight w:val="none"/>
          <w14:textFill>
            <w14:solidFill>
              <w14:schemeClr w14:val="tx1"/>
            </w14:solidFill>
          </w14:textFill>
        </w:rPr>
        <w:t>符合上述文件规定的，</w:t>
      </w:r>
      <w:r>
        <w:rPr>
          <w:rFonts w:hint="eastAsia" w:ascii="宋体" w:hAnsi="宋体" w:eastAsia="宋体" w:cs="宋体"/>
          <w:i w:val="0"/>
          <w:iCs w:val="0"/>
          <w:snapToGrid w:val="0"/>
          <w:color w:val="000000" w:themeColor="text1"/>
          <w:highlight w:val="none"/>
          <w:lang w:eastAsia="zh-CN"/>
          <w14:textFill>
            <w14:solidFill>
              <w14:schemeClr w14:val="tx1"/>
            </w14:solidFill>
          </w14:textFill>
        </w:rPr>
        <w:t>应按本磋商文件规定格式</w:t>
      </w:r>
      <w:r>
        <w:rPr>
          <w:rFonts w:hint="eastAsia" w:ascii="宋体" w:hAnsi="宋体" w:eastAsia="宋体" w:cs="宋体"/>
          <w:i w:val="0"/>
          <w:iCs w:val="0"/>
          <w:snapToGrid w:val="0"/>
          <w:color w:val="000000" w:themeColor="text1"/>
          <w:highlight w:val="none"/>
          <w14:textFill>
            <w14:solidFill>
              <w14:schemeClr w14:val="tx1"/>
            </w14:solidFill>
          </w14:textFill>
        </w:rPr>
        <w:t>提供</w:t>
      </w:r>
      <w:r>
        <w:rPr>
          <w:rFonts w:hint="eastAsia" w:ascii="宋体" w:hAnsi="宋体" w:eastAsia="宋体" w:cs="宋体"/>
          <w:i w:val="0"/>
          <w:iCs w:val="0"/>
          <w:snapToGrid w:val="0"/>
          <w:color w:val="000000" w:themeColor="text1"/>
          <w:highlight w:val="none"/>
          <w:lang w:eastAsia="zh-CN"/>
          <w14:textFill>
            <w14:solidFill>
              <w14:schemeClr w14:val="tx1"/>
            </w14:solidFill>
          </w14:textFill>
        </w:rPr>
        <w:t>“</w:t>
      </w:r>
      <w:r>
        <w:rPr>
          <w:rFonts w:hint="eastAsia" w:ascii="宋体" w:hAnsi="宋体" w:eastAsia="宋体" w:cs="宋体"/>
          <w:i w:val="0"/>
          <w:iCs w:val="0"/>
          <w:snapToGrid w:val="0"/>
          <w:color w:val="000000" w:themeColor="text1"/>
          <w:highlight w:val="none"/>
          <w14:textFill>
            <w14:solidFill>
              <w14:schemeClr w14:val="tx1"/>
            </w14:solidFill>
          </w14:textFill>
        </w:rPr>
        <w:t>中小企业声明函</w:t>
      </w:r>
      <w:r>
        <w:rPr>
          <w:rFonts w:hint="eastAsia" w:ascii="宋体" w:hAnsi="宋体" w:eastAsia="宋体" w:cs="宋体"/>
          <w:i w:val="0"/>
          <w:iCs w:val="0"/>
          <w:snapToGrid w:val="0"/>
          <w:color w:val="000000" w:themeColor="text1"/>
          <w:highlight w:val="none"/>
          <w:lang w:eastAsia="zh-CN"/>
          <w14:textFill>
            <w14:solidFill>
              <w14:schemeClr w14:val="tx1"/>
            </w14:solidFill>
          </w14:textFill>
        </w:rPr>
        <w:t>”</w:t>
      </w: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或“JY</w:t>
      </w:r>
      <w:r>
        <w:rPr>
          <w:rFonts w:hint="eastAsia" w:ascii="宋体" w:hAnsi="宋体" w:eastAsia="宋体" w:cs="宋体"/>
          <w:i w:val="0"/>
          <w:iCs w:val="0"/>
          <w:snapToGrid w:val="0"/>
          <w:color w:val="000000" w:themeColor="text1"/>
          <w:highlight w:val="none"/>
          <w14:textFill>
            <w14:solidFill>
              <w14:schemeClr w14:val="tx1"/>
            </w14:solidFill>
          </w14:textFill>
        </w:rPr>
        <w:t>企业证明文件</w:t>
      </w: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”或</w:t>
      </w:r>
      <w:r>
        <w:rPr>
          <w:rFonts w:hint="eastAsia" w:ascii="宋体" w:hAnsi="宋体" w:eastAsia="宋体" w:cs="宋体"/>
          <w:i w:val="0"/>
          <w:iCs w:val="0"/>
          <w:snapToGrid w:val="0"/>
          <w:color w:val="000000" w:themeColor="text1"/>
          <w:highlight w:val="none"/>
          <w:lang w:eastAsia="zh-CN"/>
          <w14:textFill>
            <w14:solidFill>
              <w14:schemeClr w14:val="tx1"/>
            </w14:solidFill>
          </w14:textFill>
        </w:rPr>
        <w:t>“</w:t>
      </w:r>
      <w:r>
        <w:rPr>
          <w:rFonts w:hint="eastAsia" w:ascii="宋体" w:hAnsi="宋体" w:eastAsia="宋体" w:cs="宋体"/>
          <w:i w:val="0"/>
          <w:iCs w:val="0"/>
          <w:snapToGrid w:val="0"/>
          <w:color w:val="000000" w:themeColor="text1"/>
          <w:highlight w:val="none"/>
          <w14:textFill>
            <w14:solidFill>
              <w14:schemeClr w14:val="tx1"/>
            </w14:solidFill>
          </w14:textFill>
        </w:rPr>
        <w:t>残疾人福利性单位声明函</w:t>
      </w:r>
      <w:r>
        <w:rPr>
          <w:rFonts w:hint="eastAsia" w:ascii="宋体" w:hAnsi="宋体" w:eastAsia="宋体" w:cs="宋体"/>
          <w:i w:val="0"/>
          <w:iCs w:val="0"/>
          <w:snapToGrid w:val="0"/>
          <w:color w:val="000000" w:themeColor="text1"/>
          <w:highlight w:val="none"/>
          <w:lang w:eastAsia="zh-CN"/>
          <w14:textFill>
            <w14:solidFill>
              <w14:schemeClr w14:val="tx1"/>
            </w14:solidFill>
          </w14:textFill>
        </w:rPr>
        <w:t>”</w:t>
      </w:r>
      <w:r>
        <w:rPr>
          <w:rFonts w:hint="eastAsia" w:ascii="宋体" w:hAnsi="宋体" w:eastAsia="宋体" w:cs="宋体"/>
          <w:i w:val="0"/>
          <w:iCs w:val="0"/>
          <w:snapToGrid w:val="0"/>
          <w:color w:val="000000" w:themeColor="text1"/>
          <w:highlight w:val="none"/>
          <w14:textFill>
            <w14:solidFill>
              <w14:schemeClr w14:val="tx1"/>
            </w14:solidFill>
          </w14:textFill>
        </w:rPr>
        <w:t>，评审时，磋商小组将依据</w:t>
      </w:r>
      <w:r>
        <w:rPr>
          <w:rFonts w:hint="eastAsia" w:ascii="宋体" w:hAnsi="宋体" w:eastAsia="宋体" w:cs="宋体"/>
          <w:i w:val="0"/>
          <w:iCs w:val="0"/>
          <w:snapToGrid w:val="0"/>
          <w:color w:val="000000" w:themeColor="text1"/>
          <w:highlight w:val="none"/>
          <w:lang w:eastAsia="zh-CN"/>
          <w14:textFill>
            <w14:solidFill>
              <w14:schemeClr w14:val="tx1"/>
            </w14:solidFill>
          </w14:textFill>
        </w:rPr>
        <w:t>本磋商文件</w:t>
      </w:r>
      <w:r>
        <w:rPr>
          <w:rFonts w:hint="eastAsia" w:ascii="宋体" w:hAnsi="宋体" w:eastAsia="宋体" w:cs="宋体"/>
          <w:i w:val="0"/>
          <w:iCs w:val="0"/>
          <w:snapToGrid w:val="0"/>
          <w:color w:val="000000" w:themeColor="text1"/>
          <w:highlight w:val="none"/>
          <w14:textFill>
            <w14:solidFill>
              <w14:schemeClr w14:val="tx1"/>
            </w14:solidFill>
          </w14:textFill>
        </w:rPr>
        <w:t>“供应商须知前附表”规定的报价扣除比例，对供应商报价进行价格扣除，用扣除后的价格参与评审</w:t>
      </w:r>
      <w:r>
        <w:rPr>
          <w:rFonts w:hint="eastAsia" w:ascii="宋体" w:hAnsi="宋体" w:eastAsia="宋体" w:cs="宋体"/>
          <w:i w:val="0"/>
          <w:iCs w:val="0"/>
          <w:snapToGrid w:val="0"/>
          <w:color w:val="000000" w:themeColor="text1"/>
          <w:highlight w:val="none"/>
          <w:lang w:eastAsia="zh-CN"/>
          <w14:textFill>
            <w14:solidFill>
              <w14:schemeClr w14:val="tx1"/>
            </w14:solidFill>
          </w14:textFill>
        </w:rPr>
        <w:t>；磋商公告中明确项目专门面向中小企业采购的，“</w:t>
      </w:r>
      <w:r>
        <w:rPr>
          <w:rFonts w:hint="eastAsia" w:ascii="宋体" w:hAnsi="宋体" w:eastAsia="宋体" w:cs="宋体"/>
          <w:i w:val="0"/>
          <w:iCs w:val="0"/>
          <w:snapToGrid w:val="0"/>
          <w:color w:val="000000" w:themeColor="text1"/>
          <w:highlight w:val="none"/>
          <w14:textFill>
            <w14:solidFill>
              <w14:schemeClr w14:val="tx1"/>
            </w14:solidFill>
          </w14:textFill>
        </w:rPr>
        <w:t>中小企业声明函</w:t>
      </w:r>
      <w:r>
        <w:rPr>
          <w:rFonts w:hint="eastAsia" w:ascii="宋体" w:hAnsi="宋体" w:eastAsia="宋体" w:cs="宋体"/>
          <w:i w:val="0"/>
          <w:iCs w:val="0"/>
          <w:snapToGrid w:val="0"/>
          <w:color w:val="000000" w:themeColor="text1"/>
          <w:highlight w:val="none"/>
          <w:lang w:eastAsia="zh-CN"/>
          <w14:textFill>
            <w14:solidFill>
              <w14:schemeClr w14:val="tx1"/>
            </w14:solidFill>
          </w14:textFill>
        </w:rPr>
        <w:t>”为资格要求文件，</w:t>
      </w:r>
      <w:r>
        <w:rPr>
          <w:rFonts w:hint="eastAsia" w:ascii="宋体" w:hAnsi="宋体" w:eastAsia="宋体" w:cs="宋体"/>
          <w:i w:val="0"/>
          <w:iCs w:val="0"/>
          <w:snapToGrid w:val="0"/>
          <w:color w:val="000000" w:themeColor="text1"/>
          <w:highlight w:val="none"/>
          <w14:textFill>
            <w14:solidFill>
              <w14:schemeClr w14:val="tx1"/>
            </w14:solidFill>
          </w14:textFill>
        </w:rPr>
        <w:t>供应商</w:t>
      </w:r>
      <w:r>
        <w:rPr>
          <w:rFonts w:hint="eastAsia" w:ascii="宋体" w:hAnsi="宋体" w:eastAsia="宋体" w:cs="宋体"/>
          <w:i w:val="0"/>
          <w:iCs w:val="0"/>
          <w:snapToGrid w:val="0"/>
          <w:color w:val="000000" w:themeColor="text1"/>
          <w:highlight w:val="none"/>
          <w:lang w:eastAsia="zh-CN"/>
          <w14:textFill>
            <w14:solidFill>
              <w14:schemeClr w14:val="tx1"/>
            </w14:solidFill>
          </w14:textFill>
        </w:rPr>
        <w:t>参与磋商须按本磋商文件规定格式</w:t>
      </w:r>
      <w:r>
        <w:rPr>
          <w:rFonts w:hint="eastAsia" w:ascii="宋体" w:hAnsi="宋体" w:eastAsia="宋体" w:cs="宋体"/>
          <w:i w:val="0"/>
          <w:iCs w:val="0"/>
          <w:snapToGrid w:val="0"/>
          <w:color w:val="000000" w:themeColor="text1"/>
          <w:highlight w:val="none"/>
          <w14:textFill>
            <w14:solidFill>
              <w14:schemeClr w14:val="tx1"/>
            </w14:solidFill>
          </w14:textFill>
        </w:rPr>
        <w:t>提供</w:t>
      </w:r>
      <w:r>
        <w:rPr>
          <w:rFonts w:hint="eastAsia" w:ascii="宋体" w:hAnsi="宋体" w:eastAsia="宋体" w:cs="宋体"/>
          <w:i w:val="0"/>
          <w:iCs w:val="0"/>
          <w:snapToGrid w:val="0"/>
          <w:color w:val="000000" w:themeColor="text1"/>
          <w:highlight w:val="none"/>
          <w:lang w:eastAsia="zh-CN"/>
          <w14:textFill>
            <w14:solidFill>
              <w14:schemeClr w14:val="tx1"/>
            </w14:solidFill>
          </w14:textFill>
        </w:rPr>
        <w:t>“</w:t>
      </w:r>
      <w:r>
        <w:rPr>
          <w:rFonts w:hint="eastAsia" w:ascii="宋体" w:hAnsi="宋体" w:eastAsia="宋体" w:cs="宋体"/>
          <w:i w:val="0"/>
          <w:iCs w:val="0"/>
          <w:snapToGrid w:val="0"/>
          <w:color w:val="000000" w:themeColor="text1"/>
          <w:highlight w:val="none"/>
          <w14:textFill>
            <w14:solidFill>
              <w14:schemeClr w14:val="tx1"/>
            </w14:solidFill>
          </w14:textFill>
        </w:rPr>
        <w:t>中小企业声明函</w:t>
      </w:r>
      <w:r>
        <w:rPr>
          <w:rFonts w:hint="eastAsia" w:ascii="宋体" w:hAnsi="宋体" w:eastAsia="宋体" w:cs="宋体"/>
          <w:i w:val="0"/>
          <w:iCs w:val="0"/>
          <w:snapToGrid w:val="0"/>
          <w:color w:val="000000" w:themeColor="text1"/>
          <w:highlight w:val="none"/>
          <w:lang w:eastAsia="zh-CN"/>
          <w14:textFill>
            <w14:solidFill>
              <w14:schemeClr w14:val="tx1"/>
            </w14:solidFill>
          </w14:textFill>
        </w:rPr>
        <w:t>”</w:t>
      </w: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或“</w:t>
      </w:r>
      <w:r>
        <w:rPr>
          <w:rFonts w:hint="eastAsia" w:ascii="宋体" w:hAnsi="宋体" w:eastAsia="宋体" w:cs="宋体"/>
          <w:i w:val="0"/>
          <w:iCs w:val="0"/>
          <w:snapToGrid w:val="0"/>
          <w:color w:val="000000" w:themeColor="text1"/>
          <w:highlight w:val="none"/>
          <w:lang w:eastAsia="zh-CN"/>
          <w14:textFill>
            <w14:solidFill>
              <w14:schemeClr w14:val="tx1"/>
            </w14:solidFill>
          </w14:textFill>
        </w:rPr>
        <w:t>JY</w:t>
      </w:r>
      <w:r>
        <w:rPr>
          <w:rFonts w:hint="eastAsia" w:ascii="宋体" w:hAnsi="宋体" w:eastAsia="宋体" w:cs="宋体"/>
          <w:i w:val="0"/>
          <w:iCs w:val="0"/>
          <w:snapToGrid w:val="0"/>
          <w:color w:val="000000" w:themeColor="text1"/>
          <w:highlight w:val="none"/>
          <w14:textFill>
            <w14:solidFill>
              <w14:schemeClr w14:val="tx1"/>
            </w14:solidFill>
          </w14:textFill>
        </w:rPr>
        <w:t>企业证明文件</w:t>
      </w: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”或</w:t>
      </w:r>
      <w:r>
        <w:rPr>
          <w:rFonts w:hint="eastAsia" w:ascii="宋体" w:hAnsi="宋体" w:eastAsia="宋体" w:cs="宋体"/>
          <w:i w:val="0"/>
          <w:iCs w:val="0"/>
          <w:snapToGrid w:val="0"/>
          <w:color w:val="000000" w:themeColor="text1"/>
          <w:highlight w:val="none"/>
          <w:lang w:eastAsia="zh-CN"/>
          <w14:textFill>
            <w14:solidFill>
              <w14:schemeClr w14:val="tx1"/>
            </w14:solidFill>
          </w14:textFill>
        </w:rPr>
        <w:t>“</w:t>
      </w:r>
      <w:r>
        <w:rPr>
          <w:rFonts w:hint="eastAsia" w:ascii="宋体" w:hAnsi="宋体" w:eastAsia="宋体" w:cs="宋体"/>
          <w:i w:val="0"/>
          <w:iCs w:val="0"/>
          <w:snapToGrid w:val="0"/>
          <w:color w:val="000000" w:themeColor="text1"/>
          <w:highlight w:val="none"/>
          <w14:textFill>
            <w14:solidFill>
              <w14:schemeClr w14:val="tx1"/>
            </w14:solidFill>
          </w14:textFill>
        </w:rPr>
        <w:t>残疾人福利性单位声明函</w:t>
      </w:r>
      <w:r>
        <w:rPr>
          <w:rFonts w:hint="eastAsia" w:ascii="宋体" w:hAnsi="宋体" w:eastAsia="宋体" w:cs="宋体"/>
          <w:i w:val="0"/>
          <w:iCs w:val="0"/>
          <w:snapToGrid w:val="0"/>
          <w:color w:val="000000" w:themeColor="text1"/>
          <w:highlight w:val="none"/>
          <w:lang w:eastAsia="zh-CN"/>
          <w14:textFill>
            <w14:solidFill>
              <w14:schemeClr w14:val="tx1"/>
            </w14:solidFill>
          </w14:textFill>
        </w:rPr>
        <w:t>”等作为资格证明文件。</w:t>
      </w:r>
    </w:p>
    <w:p w14:paraId="0D8DA9F8">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snapToGrid w:val="0"/>
          <w:color w:val="000000" w:themeColor="text1"/>
          <w:highlight w:val="none"/>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39.3供应商提供的货物、工程或者服务符合下列情形的，享受中小企业扶持政策：</w:t>
      </w:r>
    </w:p>
    <w:p w14:paraId="4DDC5DCE">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snapToGrid w:val="0"/>
          <w:color w:val="000000" w:themeColor="text1"/>
          <w:highlight w:val="none"/>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39.3.1在货物采购项目中，货物由中小企业制造，即货物由中小企业生产且使用该中小企业商号或者注册商标；</w:t>
      </w:r>
    </w:p>
    <w:p w14:paraId="29170717">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snapToGrid w:val="0"/>
          <w:color w:val="000000" w:themeColor="text1"/>
          <w:highlight w:val="none"/>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39.3.2在工程采购项目中，工程由中小企业承建，即工程施工单位为中小企业；</w:t>
      </w:r>
    </w:p>
    <w:p w14:paraId="229EFFCA">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snapToGrid w:val="0"/>
          <w:color w:val="000000" w:themeColor="text1"/>
          <w:highlight w:val="none"/>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39.3.3在服务采购项目中，服务由中小企业承接，即提供服务的人员为中小企业依照《中华人民共和国劳动合同法》订立劳动合同的从业人员。</w:t>
      </w:r>
    </w:p>
    <w:p w14:paraId="2A4ADEC7">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snapToGrid w:val="0"/>
          <w:color w:val="000000" w:themeColor="text1"/>
          <w:highlight w:val="none"/>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39.4在货物采购项目中，供应商提供的货物既有中小企业制造货物，也有大型企业制造货物的，不享受中小企业扶持政策。</w:t>
      </w:r>
    </w:p>
    <w:p w14:paraId="6DA9C219">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39.5以联合体形式参加政府采购活动，联合体各方均为中小企业的，联合体视同中小企业。其中，联合体各方均为小微企业的，联合体视同小微企业。</w:t>
      </w:r>
    </w:p>
    <w:p w14:paraId="4180C8BC">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snapToGrid w:val="0"/>
          <w:color w:val="000000" w:themeColor="text1"/>
          <w:highlight w:val="none"/>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39.6在政府采购活动中，JY企业视同小型、微型企业，享受预留份额、评审中价格扣除等政府采购促进中小企业发展的政府采购政策。JY企业定义：是指由司法部认定的为罪犯、JD人员提供生产项目和劳动对象，且全部产权属于司法部JY管理局、JD管理局、直属煤矿管理局，各省、自治区、直辖市JY管理局、JD管理局，各地（设区的市）JY、强制隔离JD所、JD康复所，以及新疆生产建设兵团JY管理局、JD管理局的企业。</w:t>
      </w:r>
    </w:p>
    <w:p w14:paraId="424B88BA">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snapToGrid w:val="0"/>
          <w:color w:val="000000" w:themeColor="text1"/>
          <w:highlight w:val="none"/>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39.7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844A324">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snapToGrid w:val="0"/>
          <w:color w:val="000000" w:themeColor="text1"/>
          <w:highlight w:val="none"/>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39.7.1安置的残疾人占本单位在职职工人数的比例不低于25%（含25%），并且安置的残疾人人数不少于10人（含10人）；</w:t>
      </w:r>
    </w:p>
    <w:p w14:paraId="49DD448A">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snapToGrid w:val="0"/>
          <w:color w:val="000000" w:themeColor="text1"/>
          <w:highlight w:val="none"/>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39.7.2依法与安置的每位残疾人签订了1年以上（含1年）的劳动合同或服务协议；</w:t>
      </w:r>
    </w:p>
    <w:p w14:paraId="261544EC">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snapToGrid w:val="0"/>
          <w:color w:val="000000" w:themeColor="text1"/>
          <w:highlight w:val="none"/>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39.7.3为安置的每位残疾人按月足额缴纳了基本养老保险、基本医疗保险、失业保险、工伤保险和生育保险等社会保险费；</w:t>
      </w:r>
    </w:p>
    <w:p w14:paraId="0464902E">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snapToGrid w:val="0"/>
          <w:color w:val="000000" w:themeColor="text1"/>
          <w:highlight w:val="none"/>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39.7.4通过银行等金融机构向安置的每位残疾人，按月支付了不低于单位所在区县适用的经省级人民政府批准的月最低工资标准的工资；</w:t>
      </w:r>
    </w:p>
    <w:p w14:paraId="1FC1F498">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snapToGrid w:val="0"/>
          <w:color w:val="000000" w:themeColor="text1"/>
          <w:highlight w:val="none"/>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39.7.5提供本单位制造的货物、承担的工程或者服务（以下简称产品），或者提供其他残疾人福利性单位制造的货物（不包括使用非残疾人福利性单位注册商标的货物）；</w:t>
      </w:r>
    </w:p>
    <w:p w14:paraId="2D193425">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snapToGrid w:val="0"/>
          <w:color w:val="000000" w:themeColor="text1"/>
          <w:highlight w:val="none"/>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39.7.6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19307DD">
      <w:pPr>
        <w:pStyle w:val="48"/>
        <w:keepNext w:val="0"/>
        <w:keepLines w:val="0"/>
        <w:pageBreakBefore w:val="0"/>
        <w:widowControl w:val="0"/>
        <w:kinsoku/>
        <w:overflowPunct/>
        <w:topLinePunct/>
        <w:bidi w:val="0"/>
        <w:ind w:firstLine="480"/>
        <w:textAlignment w:val="auto"/>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39.8本项目是否专门面向中小企业预留采购份额见“第一章</w:t>
      </w:r>
      <w:r>
        <w:rPr>
          <w:rFonts w:hint="eastAsia" w:ascii="宋体" w:hAnsi="宋体" w:cs="宋体"/>
          <w:i w:val="0"/>
          <w:iCs w:val="0"/>
          <w:snapToGrid w:val="0"/>
          <w:color w:val="000000" w:themeColor="text1"/>
          <w:highlight w:val="none"/>
          <w:lang w:val="en-US" w:eastAsia="zh-CN"/>
          <w14:textFill>
            <w14:solidFill>
              <w14:schemeClr w14:val="tx1"/>
            </w14:solidFill>
          </w14:textFill>
        </w:rPr>
        <w:t>采购</w:t>
      </w: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邀请”。</w:t>
      </w:r>
    </w:p>
    <w:p w14:paraId="4FB9A533">
      <w:pPr>
        <w:pStyle w:val="48"/>
        <w:keepNext w:val="0"/>
        <w:keepLines w:val="0"/>
        <w:pageBreakBefore w:val="0"/>
        <w:widowControl w:val="0"/>
        <w:kinsoku/>
        <w:overflowPunct/>
        <w:topLinePunct/>
        <w:bidi w:val="0"/>
        <w:ind w:firstLine="480"/>
        <w:textAlignment w:val="auto"/>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39.9采购标的对应的中小企业划分标准所属行业见“供应商须知前附表”。</w:t>
      </w:r>
    </w:p>
    <w:p w14:paraId="045F08D8">
      <w:pPr>
        <w:pStyle w:val="48"/>
        <w:keepNext w:val="0"/>
        <w:keepLines w:val="0"/>
        <w:pageBreakBefore w:val="0"/>
        <w:widowControl w:val="0"/>
        <w:kinsoku/>
        <w:overflowPunct/>
        <w:topLinePunct/>
        <w:bidi w:val="0"/>
        <w:ind w:firstLine="480"/>
        <w:textAlignment w:val="auto"/>
        <w:rPr>
          <w:rFonts w:hint="eastAsia" w:ascii="宋体" w:hAnsi="宋体" w:eastAsia="宋体" w:cs="宋体"/>
          <w:i w:val="0"/>
          <w:iCs w:val="0"/>
          <w:snapToGrid w:val="0"/>
          <w:color w:val="000000" w:themeColor="text1"/>
          <w:highlight w:val="none"/>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39.10小微企业价格评审优惠的政策调整：见“第四章评审方法及标准”。</w:t>
      </w:r>
    </w:p>
    <w:p w14:paraId="1C44489D">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292" w:name="_Toc161600343"/>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40.政府采购节能产品、环境标志产品</w:t>
      </w:r>
      <w:bookmarkEnd w:id="292"/>
    </w:p>
    <w:p w14:paraId="3003DB84">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snapToGrid w:val="0"/>
          <w:color w:val="000000" w:themeColor="text1"/>
          <w:highlight w:val="none"/>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40.1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号）、《关于印发环境标志产品政府采购品目清单的通知》（财库〔2019〕18号）、《关于印发节能产品政府采购品目清单的通知》（财库〔2019〕19号）的规定。40.2采购人拟采购的产品属于品目清单范围的，采购人及其委托的采购代理机构依据国家确定的认证机构出具的、处于有效期之内的节能产品、环境标志产品认证证书，对获得证书的产品实施政府优先采购或强制采购。</w:t>
      </w:r>
    </w:p>
    <w:p w14:paraId="58B26C67">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snapToGrid w:val="0"/>
          <w:color w:val="000000" w:themeColor="text1"/>
          <w:highlight w:val="none"/>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40.3如本项目采购产品属于实施政府强制采购品目清单范围的节能产品，则供应商所报产品必须获得国家确定的认证机构出具的、处于有效期之内的节能产品认证证书，否则</w:t>
      </w:r>
      <w:r>
        <w:rPr>
          <w:rFonts w:hint="eastAsia" w:ascii="宋体" w:hAnsi="宋体" w:eastAsia="宋体" w:cs="宋体"/>
          <w:b/>
          <w:bCs/>
          <w:i w:val="0"/>
          <w:iCs w:val="0"/>
          <w:snapToGrid w:val="0"/>
          <w:color w:val="000000" w:themeColor="text1"/>
          <w:highlight w:val="none"/>
          <w:lang w:val="en-US" w:eastAsia="zh-CN"/>
          <w14:textFill>
            <w14:solidFill>
              <w14:schemeClr w14:val="tx1"/>
            </w14:solidFill>
          </w14:textFill>
        </w:rPr>
        <w:t>响应无效</w:t>
      </w: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w:t>
      </w:r>
    </w:p>
    <w:p w14:paraId="615EC5A5">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snapToGrid w:val="0"/>
          <w:color w:val="000000" w:themeColor="text1"/>
          <w:highlight w:val="none"/>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40.4非政府强制采购的节能产品或环境标志产品，依据品目清单和认证证书实施政府优先采购。优先采购的具体规定见“第四章评审方法及标准”（如涉及）。</w:t>
      </w:r>
    </w:p>
    <w:p w14:paraId="22103A0A">
      <w:pPr>
        <w:pStyle w:val="48"/>
        <w:keepNext w:val="0"/>
        <w:keepLines w:val="0"/>
        <w:pageBreakBefore w:val="0"/>
        <w:widowControl w:val="0"/>
        <w:kinsoku/>
        <w:overflowPunct/>
        <w:topLinePunct/>
        <w:bidi w:val="0"/>
        <w:ind w:firstLine="480"/>
        <w:textAlignment w:val="auto"/>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40.5供应商</w:t>
      </w:r>
      <w:r>
        <w:rPr>
          <w:rFonts w:hint="eastAsia" w:ascii="宋体" w:hAnsi="宋体" w:eastAsia="宋体" w:cs="宋体"/>
          <w:i w:val="0"/>
          <w:iCs w:val="0"/>
          <w:snapToGrid w:val="0"/>
          <w:color w:val="000000" w:themeColor="text1"/>
          <w:highlight w:val="none"/>
          <w14:textFill>
            <w14:solidFill>
              <w14:schemeClr w14:val="tx1"/>
            </w14:solidFill>
          </w14:textFill>
        </w:rPr>
        <w:t>所</w:t>
      </w: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报</w:t>
      </w:r>
      <w:r>
        <w:rPr>
          <w:rFonts w:hint="eastAsia" w:ascii="宋体" w:hAnsi="宋体" w:eastAsia="宋体" w:cs="宋体"/>
          <w:i w:val="0"/>
          <w:iCs w:val="0"/>
          <w:snapToGrid w:val="0"/>
          <w:color w:val="000000" w:themeColor="text1"/>
          <w:highlight w:val="none"/>
          <w14:textFill>
            <w14:solidFill>
              <w14:schemeClr w14:val="tx1"/>
            </w14:solidFill>
          </w14:textFill>
        </w:rPr>
        <w:t>产品如属于节能产品政府采购品目清单、环境标志产品政府采购品目清单范围的，须提供国家确定的认证机构出具的、处于有效期内的产品认证证书，认证证书的产品型号与所</w:t>
      </w: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报</w:t>
      </w:r>
      <w:r>
        <w:rPr>
          <w:rFonts w:hint="eastAsia" w:ascii="宋体" w:hAnsi="宋体" w:eastAsia="宋体" w:cs="宋体"/>
          <w:i w:val="0"/>
          <w:iCs w:val="0"/>
          <w:snapToGrid w:val="0"/>
          <w:color w:val="000000" w:themeColor="text1"/>
          <w:highlight w:val="none"/>
          <w14:textFill>
            <w14:solidFill>
              <w14:schemeClr w14:val="tx1"/>
            </w14:solidFill>
          </w14:textFill>
        </w:rPr>
        <w:t>产品不一致的，视为未提供。属于政府强制采购产品的，已作为</w:t>
      </w: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响应</w:t>
      </w:r>
      <w:r>
        <w:rPr>
          <w:rFonts w:hint="eastAsia" w:ascii="宋体" w:hAnsi="宋体" w:eastAsia="宋体" w:cs="宋体"/>
          <w:i w:val="0"/>
          <w:iCs w:val="0"/>
          <w:snapToGrid w:val="0"/>
          <w:color w:val="000000" w:themeColor="text1"/>
          <w:highlight w:val="none"/>
          <w14:textFill>
            <w14:solidFill>
              <w14:schemeClr w14:val="tx1"/>
            </w14:solidFill>
          </w14:textFill>
        </w:rPr>
        <w:t>时强制性要求不再给予</w:t>
      </w: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评审优惠</w:t>
      </w:r>
      <w:r>
        <w:rPr>
          <w:rFonts w:hint="eastAsia" w:ascii="宋体" w:hAnsi="宋体" w:eastAsia="宋体" w:cs="宋体"/>
          <w:i w:val="0"/>
          <w:iCs w:val="0"/>
          <w:snapToGrid w:val="0"/>
          <w:color w:val="000000" w:themeColor="text1"/>
          <w:highlight w:val="none"/>
          <w14:textFill>
            <w14:solidFill>
              <w14:schemeClr w14:val="tx1"/>
            </w14:solidFill>
          </w14:textFill>
        </w:rPr>
        <w:t>，未提供认证证书的视为</w:t>
      </w:r>
      <w:r>
        <w:rPr>
          <w:rFonts w:hint="eastAsia" w:ascii="宋体" w:hAnsi="宋体" w:eastAsia="宋体" w:cs="宋体"/>
          <w:b/>
          <w:bCs/>
          <w:i w:val="0"/>
          <w:iCs w:val="0"/>
          <w:snapToGrid w:val="0"/>
          <w:color w:val="000000" w:themeColor="text1"/>
          <w:highlight w:val="none"/>
          <w14:textFill>
            <w14:solidFill>
              <w14:schemeClr w14:val="tx1"/>
            </w14:solidFill>
          </w14:textFill>
        </w:rPr>
        <w:t>无效响应</w:t>
      </w:r>
      <w:r>
        <w:rPr>
          <w:rFonts w:hint="eastAsia" w:ascii="宋体" w:hAnsi="宋体" w:eastAsia="宋体" w:cs="宋体"/>
          <w:i w:val="0"/>
          <w:iCs w:val="0"/>
          <w:snapToGrid w:val="0"/>
          <w:color w:val="000000" w:themeColor="text1"/>
          <w:highlight w:val="none"/>
          <w14:textFill>
            <w14:solidFill>
              <w14:schemeClr w14:val="tx1"/>
            </w14:solidFill>
          </w14:textFill>
        </w:rPr>
        <w:t>。属于</w:t>
      </w: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优先采购</w:t>
      </w:r>
      <w:r>
        <w:rPr>
          <w:rFonts w:hint="eastAsia" w:ascii="宋体" w:hAnsi="宋体" w:eastAsia="宋体" w:cs="宋体"/>
          <w:i w:val="0"/>
          <w:iCs w:val="0"/>
          <w:snapToGrid w:val="0"/>
          <w:color w:val="000000" w:themeColor="text1"/>
          <w:highlight w:val="none"/>
          <w14:textFill>
            <w14:solidFill>
              <w14:schemeClr w14:val="tx1"/>
            </w14:solidFill>
          </w14:textFill>
        </w:rPr>
        <w:t>节能产品政府采购品目清单、环境标志产品政府采购品目清单</w:t>
      </w:r>
      <w:r>
        <w:rPr>
          <w:rFonts w:hint="eastAsia" w:ascii="宋体" w:hAnsi="宋体" w:eastAsia="宋体" w:cs="宋体"/>
          <w:i w:val="0"/>
          <w:iCs w:val="0"/>
          <w:snapToGrid w:val="0"/>
          <w:color w:val="000000" w:themeColor="text1"/>
          <w:highlight w:val="none"/>
          <w:lang w:eastAsia="zh-CN"/>
          <w14:textFill>
            <w14:solidFill>
              <w14:schemeClr w14:val="tx1"/>
            </w14:solidFill>
          </w14:textFill>
        </w:rPr>
        <w:t>、</w:t>
      </w: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创新产品</w:t>
      </w:r>
      <w:r>
        <w:rPr>
          <w:rFonts w:hint="eastAsia" w:ascii="宋体" w:hAnsi="宋体" w:eastAsia="宋体" w:cs="宋体"/>
          <w:i w:val="0"/>
          <w:iCs w:val="0"/>
          <w:snapToGrid w:val="0"/>
          <w:color w:val="000000" w:themeColor="text1"/>
          <w:highlight w:val="none"/>
          <w14:textFill>
            <w14:solidFill>
              <w14:schemeClr w14:val="tx1"/>
            </w14:solidFill>
          </w14:textFill>
        </w:rPr>
        <w:t>范围的，按照“</w:t>
      </w: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第四章评审方法及标准</w:t>
      </w:r>
      <w:r>
        <w:rPr>
          <w:rFonts w:hint="eastAsia" w:ascii="宋体" w:hAnsi="宋体" w:eastAsia="宋体" w:cs="宋体"/>
          <w:i w:val="0"/>
          <w:iCs w:val="0"/>
          <w:snapToGrid w:val="0"/>
          <w:color w:val="000000" w:themeColor="text1"/>
          <w:highlight w:val="none"/>
          <w14:textFill>
            <w14:solidFill>
              <w14:schemeClr w14:val="tx1"/>
            </w14:solidFill>
          </w14:textFill>
        </w:rPr>
        <w:t>”中相关规定</w:t>
      </w:r>
      <w:r>
        <w:rPr>
          <w:rFonts w:hint="eastAsia" w:ascii="宋体" w:hAnsi="宋体" w:eastAsia="宋体" w:cs="宋体"/>
          <w:i w:val="0"/>
          <w:iCs w:val="0"/>
          <w:color w:val="000000" w:themeColor="text1"/>
          <w:highlight w:val="none"/>
          <w:lang w:val="en-US" w:eastAsia="zh-CN"/>
          <w14:textFill>
            <w14:solidFill>
              <w14:schemeClr w14:val="tx1"/>
            </w14:solidFill>
          </w14:textFill>
        </w:rPr>
        <w:t>在评审时给予</w:t>
      </w: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优惠</w:t>
      </w:r>
      <w:r>
        <w:rPr>
          <w:rFonts w:hint="eastAsia" w:ascii="宋体" w:hAnsi="宋体" w:eastAsia="宋体" w:cs="宋体"/>
          <w:i w:val="0"/>
          <w:iCs w:val="0"/>
          <w:color w:val="000000" w:themeColor="text1"/>
          <w:highlight w:val="none"/>
          <w:lang w:val="en-US" w:eastAsia="zh-CN"/>
          <w14:textFill>
            <w14:solidFill>
              <w14:schemeClr w14:val="tx1"/>
            </w14:solidFill>
          </w14:textFill>
        </w:rPr>
        <w:t>，具体详见</w:t>
      </w: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“供应商须知前附表”及</w:t>
      </w:r>
      <w:r>
        <w:rPr>
          <w:rFonts w:hint="eastAsia" w:ascii="宋体" w:hAnsi="宋体" w:eastAsia="宋体" w:cs="宋体"/>
          <w:i w:val="0"/>
          <w:iCs w:val="0"/>
          <w:color w:val="000000" w:themeColor="text1"/>
          <w:highlight w:val="none"/>
          <w:lang w:val="en-US" w:eastAsia="zh-CN"/>
          <w14:textFill>
            <w14:solidFill>
              <w14:schemeClr w14:val="tx1"/>
            </w14:solidFill>
          </w14:textFill>
        </w:rPr>
        <w:t>“第四章评审方法及标准”</w:t>
      </w:r>
      <w:r>
        <w:rPr>
          <w:rFonts w:hint="eastAsia" w:ascii="宋体" w:hAnsi="宋体" w:eastAsia="宋体" w:cs="宋体"/>
          <w:i w:val="0"/>
          <w:iCs w:val="0"/>
          <w:color w:val="000000" w:themeColor="text1"/>
          <w:highlight w:val="none"/>
          <w14:textFill>
            <w14:solidFill>
              <w14:schemeClr w14:val="tx1"/>
            </w14:solidFill>
          </w14:textFill>
        </w:rPr>
        <w:t>。</w:t>
      </w:r>
    </w:p>
    <w:p w14:paraId="39FC55E3">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41.正版软件</w:t>
      </w:r>
    </w:p>
    <w:p w14:paraId="7B55D1D8">
      <w:pPr>
        <w:pStyle w:val="48"/>
        <w:keepNext w:val="0"/>
        <w:keepLines w:val="0"/>
        <w:pageBreakBefore w:val="0"/>
        <w:widowControl w:val="0"/>
        <w:kinsoku/>
        <w:overflowPunct/>
        <w:topLinePunct/>
        <w:autoSpaceDE/>
        <w:autoSpaceDN/>
        <w:bidi w:val="0"/>
        <w:adjustRightInd/>
        <w:snapToGrid/>
        <w:textAlignment w:val="auto"/>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41.1依据《财政部国家发展改革委信息产业部关于印发无线局域网产品政府采购实施意见的通知》（财库〔2005〕366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宋体" w:hAnsi="宋体" w:eastAsia="宋体" w:cs="宋体"/>
          <w:b/>
          <w:bCs/>
          <w:i w:val="0"/>
          <w:iCs w:val="0"/>
          <w:snapToGrid w:val="0"/>
          <w:color w:val="000000" w:themeColor="text1"/>
          <w:highlight w:val="none"/>
          <w:lang w:val="en-US" w:eastAsia="zh-CN"/>
          <w14:textFill>
            <w14:solidFill>
              <w14:schemeClr w14:val="tx1"/>
            </w14:solidFill>
          </w14:textFill>
        </w:rPr>
        <w:t>响应无效</w:t>
      </w: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AD4E5FC">
      <w:pPr>
        <w:pStyle w:val="48"/>
        <w:keepNext w:val="0"/>
        <w:keepLines w:val="0"/>
        <w:pageBreakBefore w:val="0"/>
        <w:widowControl w:val="0"/>
        <w:kinsoku/>
        <w:overflowPunct/>
        <w:topLinePunct/>
        <w:autoSpaceDE/>
        <w:autoSpaceDN/>
        <w:bidi w:val="0"/>
        <w:adjustRightInd/>
        <w:textAlignment w:val="auto"/>
        <w:rPr>
          <w:rFonts w:hint="eastAsia"/>
          <w:i w:val="0"/>
          <w:iCs w:val="0"/>
          <w:snapToGrid w:val="0"/>
          <w:color w:val="000000" w:themeColor="text1"/>
          <w:highlight w:val="none"/>
          <w:lang w:val="en-US" w:eastAsia="zh-CN"/>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41.2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6CB0F199">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42.网络安全专用产品</w:t>
      </w:r>
    </w:p>
    <w:p w14:paraId="4584680C">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42.1所报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671FA21F">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43.采购需求标准</w:t>
      </w:r>
    </w:p>
    <w:bookmarkEnd w:id="280"/>
    <w:bookmarkEnd w:id="281"/>
    <w:bookmarkEnd w:id="282"/>
    <w:bookmarkEnd w:id="283"/>
    <w:bookmarkEnd w:id="284"/>
    <w:p w14:paraId="0A6F57A8">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pPr>
      <w:bookmarkStart w:id="293" w:name="_Toc109899993"/>
      <w:bookmarkStart w:id="294" w:name="_Toc109897475"/>
      <w:bookmarkStart w:id="295" w:name="_Toc163493622"/>
      <w:bookmarkStart w:id="296" w:name="_Toc109900412"/>
      <w:bookmarkStart w:id="297" w:name="_Toc109899574"/>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43.1商品包装、快递包装政府采购需求标准（试行）</w:t>
      </w:r>
    </w:p>
    <w:p w14:paraId="4AF5BA70">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三章项目采购需求”。</w:t>
      </w:r>
    </w:p>
    <w:p w14:paraId="42D6DC96">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43.2绿色数据中心政府采购需求标准（试行）</w:t>
      </w:r>
    </w:p>
    <w:p w14:paraId="5DD11F55">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为加快数据中心绿色转型，根据财政部生态环境部工业和信息化部关于印发《绿色数据中心政府采购需求标准（试行）》的通知（财库〔2023〕7号），本项目如涉及绿色数据中心，则具体要求见“第三章项目采购需求”。</w:t>
      </w:r>
    </w:p>
    <w:p w14:paraId="67FB8B83">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43.3台式计算机政府采购需求标准</w:t>
      </w:r>
    </w:p>
    <w:p w14:paraId="3AF1D33B">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为提高台式计算机政府采购需求管理的科学化、规范化水平，进一步落实政府采购公平竞争原则，优化营商环境，营造良好的产业生态，财政部工业和信息化部关于印发《台式计算机政府采购需求标准（2023年版）》的通知（财库〔2023〕29号），本项目如涉及台式计算机采购，则具体要求见“第三章项目采购需求”。</w:t>
      </w:r>
    </w:p>
    <w:p w14:paraId="2DD810EB">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43.4便携式计算机政府采购需求标准</w:t>
      </w:r>
    </w:p>
    <w:p w14:paraId="70629335">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为提高便携式计算机政府采购需求管理的科学化、规范化水平，进一步落实政府采购公平竞争原则，优化营商环境，营造良好的产业生态，财政部工业和信息化部关于印发《便携式计算机政府采购需求标准（2023年版）》的通知（财库〔2023〕30号），本项目如涉及便携式计算机采购，则具体要求见“第三章项目采购需求”。</w:t>
      </w:r>
    </w:p>
    <w:p w14:paraId="0B7BE308">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43.5一体式计算机政府采购需求标准</w:t>
      </w:r>
    </w:p>
    <w:p w14:paraId="682EC41D">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为提高一体式计算机政府采购需求管理的科学化、规范化水平，进一步落实政府采购公平竞争原则，优化营商环境，营造良好的产业生态，财政部工业和信息化部关于印发《一体式计算机政府采购需求标准（2023年版）》的通知（财库〔2023〕31号），本项目如涉及一体式计算机采购，则具体要求见“第三章项目采购需求”。</w:t>
      </w:r>
    </w:p>
    <w:p w14:paraId="6391D46F">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43.6工作站政府采购需求标准</w:t>
      </w:r>
    </w:p>
    <w:p w14:paraId="5A902C95">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为提高工作站政府采购需求管理的科学化、规范化水平，进一步落实政府采购公平竞争原则，优化营商环境，营造良好的产业生态，财政部工业和信息化部关于印发《工作站政府采购需求标准（2023年版）》的通知（财库〔2023〕32号），本项目如涉及工作站采购，则具体要求见“第三章项目采购需求”。</w:t>
      </w:r>
    </w:p>
    <w:p w14:paraId="7EE994B5">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43.7通用服务器政府采购需求标准</w:t>
      </w:r>
    </w:p>
    <w:p w14:paraId="3BC2D38A">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为提高通用服务器政府采购需求管理的科学化、规范化水平，进一步落实政府采购公平竞争原则，优化营商环境，营造良好的产业生态，财政部工业和信息化部关于印发《通用服务器政府采购需求标准（2023年版）》的通知（财库〔2023〕33号），本项目如涉及通用服务器采购，则具体要求见“第三章项目采购需求”。</w:t>
      </w:r>
    </w:p>
    <w:p w14:paraId="1A4E59FE">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43.8操作系统政府采购需求标准</w:t>
      </w:r>
    </w:p>
    <w:p w14:paraId="15EFBB83">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为提高操作系统政府采购需求管理的科学化、规范化水平，进一步落实政府采购公平竞争原则，优化营商环境，营造良好的产业生态，财政部工业和信息化部关于印发《操作系统政府采购需求标准（2023年版）》的通知（财库〔2023〕34号），本项目如涉及操作系统采购，则具体要求见“第三章项目采购需求”。</w:t>
      </w:r>
    </w:p>
    <w:p w14:paraId="210F9D1D">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43.9数据库政府采购需求标准</w:t>
      </w:r>
    </w:p>
    <w:p w14:paraId="0E3C7596">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为提高数据库政府采购需求管理的科学化、规范化水平，进一步落实政府采购公平竞争原则，优化营商环境，营造良好的产业生态，财政部工业和信息化部关于印发《数据库政府采购需求标准（2023年版）》的通知（财库〔2023〕35号），本项目如涉及数据库采购，则具体要求见“第三章项目采购需求”。</w:t>
      </w:r>
    </w:p>
    <w:p w14:paraId="19F8BF1C">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43.10物业管理服务政府采购需求标准（办公场所类）（试行）</w:t>
      </w:r>
    </w:p>
    <w:p w14:paraId="627FAEB0">
      <w:pPr>
        <w:pStyle w:val="48"/>
        <w:keepNext w:val="0"/>
        <w:keepLines w:val="0"/>
        <w:pageBreakBefore w:val="0"/>
        <w:widowControl w:val="0"/>
        <w:kinsoku/>
        <w:overflowPunct/>
        <w:topLinePunct/>
        <w:autoSpaceDE/>
        <w:autoSpaceDN/>
        <w:bidi w:val="0"/>
        <w:adjustRightInd/>
        <w:textAlignment w:val="auto"/>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项目采购需求”。</w:t>
      </w:r>
    </w:p>
    <w:p w14:paraId="2042A115">
      <w:pPr>
        <w:pStyle w:val="4"/>
        <w:keepNext w:val="0"/>
        <w:keepLines w:val="0"/>
        <w:pageBreakBefore w:val="0"/>
        <w:widowControl w:val="0"/>
        <w:numPr>
          <w:ilvl w:val="0"/>
          <w:numId w:val="0"/>
        </w:numPr>
        <w:kinsoku/>
        <w:wordWrap/>
        <w:overflowPunct/>
        <w:topLinePunct/>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（十四）政府采购合同融资政策</w:t>
      </w:r>
      <w:bookmarkEnd w:id="293"/>
      <w:bookmarkEnd w:id="294"/>
      <w:bookmarkEnd w:id="295"/>
      <w:bookmarkEnd w:id="296"/>
      <w:bookmarkEnd w:id="297"/>
    </w:p>
    <w:p w14:paraId="3736AD93">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298" w:name="_Toc161600345"/>
      <w:bookmarkStart w:id="299" w:name="_Toc109897476"/>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44.政府采购合同融资政策</w:t>
      </w:r>
      <w:bookmarkEnd w:id="298"/>
    </w:p>
    <w:p w14:paraId="234C0125">
      <w:pPr>
        <w:pStyle w:val="48"/>
        <w:keepNext w:val="0"/>
        <w:keepLines w:val="0"/>
        <w:pageBreakBefore w:val="0"/>
        <w:widowControl w:val="0"/>
        <w:kinsoku/>
        <w:overflowPunct/>
        <w:topLinePunct/>
        <w:bidi w:val="0"/>
        <w:ind w:firstLine="480"/>
        <w:textAlignment w:val="auto"/>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4</w:t>
      </w:r>
      <w:r>
        <w:rPr>
          <w:rFonts w:hint="eastAsia" w:ascii="宋体" w:hAnsi="宋体" w:eastAsia="宋体" w:cs="宋体"/>
          <w:i w:val="0"/>
          <w:iCs w:val="0"/>
          <w:color w:val="000000" w:themeColor="text1"/>
          <w:highlight w:val="none"/>
          <w:lang w:val="en-US" w:eastAsia="zh-CN"/>
          <w14:textFill>
            <w14:solidFill>
              <w14:schemeClr w14:val="tx1"/>
            </w14:solidFill>
          </w14:textFill>
        </w:rPr>
        <w:t>4</w:t>
      </w:r>
      <w:r>
        <w:rPr>
          <w:rFonts w:hint="eastAsia" w:ascii="宋体" w:hAnsi="宋体" w:eastAsia="宋体" w:cs="宋体"/>
          <w:i w:val="0"/>
          <w:iCs w:val="0"/>
          <w:color w:val="000000" w:themeColor="text1"/>
          <w:highlight w:val="none"/>
          <w14:textFill>
            <w14:solidFill>
              <w14:schemeClr w14:val="tx1"/>
            </w14:solidFill>
          </w14:textFill>
        </w:rPr>
        <w:t>.1政府采购合同融资政策：见供应商须知前附表。</w:t>
      </w:r>
    </w:p>
    <w:p w14:paraId="01A3451C">
      <w:pPr>
        <w:pStyle w:val="4"/>
        <w:keepNext w:val="0"/>
        <w:keepLines w:val="0"/>
        <w:pageBreakBefore w:val="0"/>
        <w:widowControl w:val="0"/>
        <w:numPr>
          <w:ilvl w:val="0"/>
          <w:numId w:val="0"/>
        </w:numPr>
        <w:kinsoku/>
        <w:wordWrap/>
        <w:overflowPunct/>
        <w:topLinePunct/>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300" w:name="_Toc109900413"/>
      <w:bookmarkStart w:id="301" w:name="_Toc109899575"/>
      <w:bookmarkStart w:id="302" w:name="_Toc109899994"/>
      <w:bookmarkStart w:id="303" w:name="_Toc163493623"/>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（十五）其他</w:t>
      </w:r>
      <w:bookmarkEnd w:id="299"/>
      <w:bookmarkEnd w:id="300"/>
      <w:bookmarkEnd w:id="301"/>
      <w:bookmarkEnd w:id="302"/>
      <w:bookmarkEnd w:id="303"/>
    </w:p>
    <w:p w14:paraId="2B646580">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304" w:name="_Toc161600347"/>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45.需要补充的其他内容</w:t>
      </w:r>
      <w:bookmarkEnd w:id="304"/>
    </w:p>
    <w:p w14:paraId="35B2C58E">
      <w:pPr>
        <w:pStyle w:val="48"/>
        <w:keepNext w:val="0"/>
        <w:keepLines w:val="0"/>
        <w:pageBreakBefore w:val="0"/>
        <w:widowControl w:val="0"/>
        <w:kinsoku/>
        <w:overflowPunct/>
        <w:topLinePunct/>
        <w:bidi w:val="0"/>
        <w:ind w:firstLine="480"/>
        <w:textAlignment w:val="auto"/>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4</w:t>
      </w:r>
      <w:r>
        <w:rPr>
          <w:rFonts w:hint="eastAsia" w:ascii="宋体" w:hAnsi="宋体" w:eastAsia="宋体" w:cs="宋体"/>
          <w:i w:val="0"/>
          <w:iCs w:val="0"/>
          <w:color w:val="000000" w:themeColor="text1"/>
          <w:highlight w:val="none"/>
          <w:lang w:val="en-US" w:eastAsia="zh-CN"/>
          <w14:textFill>
            <w14:solidFill>
              <w14:schemeClr w14:val="tx1"/>
            </w14:solidFill>
          </w14:textFill>
        </w:rPr>
        <w:t>5</w:t>
      </w:r>
      <w:r>
        <w:rPr>
          <w:rFonts w:hint="eastAsia" w:ascii="宋体" w:hAnsi="宋体" w:eastAsia="宋体" w:cs="宋体"/>
          <w:i w:val="0"/>
          <w:iCs w:val="0"/>
          <w:color w:val="000000" w:themeColor="text1"/>
          <w:highlight w:val="none"/>
          <w14:textFill>
            <w14:solidFill>
              <w14:schemeClr w14:val="tx1"/>
            </w14:solidFill>
          </w14:textFill>
        </w:rPr>
        <w:t>.1需要补充的其他内容：见供应商须知前附表。</w:t>
      </w:r>
    </w:p>
    <w:p w14:paraId="7243B2CD">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305" w:name="_Toc109900414"/>
      <w:bookmarkStart w:id="306" w:name="_Toc109899995"/>
      <w:bookmarkStart w:id="307" w:name="_Toc109897477"/>
      <w:bookmarkStart w:id="308" w:name="_Toc109899576"/>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46.适用法律</w:t>
      </w:r>
      <w:bookmarkEnd w:id="305"/>
      <w:bookmarkEnd w:id="306"/>
      <w:bookmarkEnd w:id="307"/>
      <w:bookmarkEnd w:id="308"/>
    </w:p>
    <w:p w14:paraId="386CE0F8">
      <w:pPr>
        <w:keepNext w:val="0"/>
        <w:keepLines w:val="0"/>
        <w:pageBreakBefore w:val="0"/>
        <w:widowControl w:val="0"/>
        <w:tabs>
          <w:tab w:val="left" w:pos="426"/>
        </w:tabs>
        <w:kinsoku/>
        <w:overflowPunct/>
        <w:topLinePunct/>
        <w:autoSpaceDE w:val="0"/>
        <w:autoSpaceDN w:val="0"/>
        <w:bidi w:val="0"/>
        <w:adjustRightInd w:val="0"/>
        <w:snapToGrid w:val="0"/>
        <w:ind w:firstLine="420" w:firstLineChars="200"/>
        <w:textAlignment w:val="auto"/>
        <w:rPr>
          <w:rFonts w:hint="eastAsia" w:ascii="宋体" w:hAnsi="宋体" w:eastAsia="宋体" w:cs="宋体"/>
          <w:i w:val="0"/>
          <w:iCs w:val="0"/>
          <w:snapToGrid w:val="0"/>
          <w:color w:val="000000" w:themeColor="text1"/>
          <w:szCs w:val="24"/>
          <w:highlight w:val="none"/>
          <w:lang w:val="zh-CN"/>
          <w14:textFill>
            <w14:solidFill>
              <w14:schemeClr w14:val="tx1"/>
            </w14:solidFill>
          </w14:textFill>
        </w:rPr>
      </w:pPr>
      <w:r>
        <w:rPr>
          <w:rFonts w:hint="eastAsia" w:ascii="宋体" w:hAnsi="宋体" w:eastAsia="宋体" w:cs="宋体"/>
          <w:i w:val="0"/>
          <w:iCs w:val="0"/>
          <w:snapToGrid w:val="0"/>
          <w:color w:val="000000" w:themeColor="text1"/>
          <w:szCs w:val="24"/>
          <w:highlight w:val="none"/>
          <w:lang w:val="zh-CN"/>
          <w14:textFill>
            <w14:solidFill>
              <w14:schemeClr w14:val="tx1"/>
            </w14:solidFill>
          </w14:textFill>
        </w:rPr>
        <w:t>4</w:t>
      </w:r>
      <w:r>
        <w:rPr>
          <w:rFonts w:hint="eastAsia" w:ascii="宋体" w:hAnsi="宋体" w:eastAsia="宋体" w:cs="宋体"/>
          <w:i w:val="0"/>
          <w:iCs w:val="0"/>
          <w:snapToGrid w:val="0"/>
          <w:color w:val="000000" w:themeColor="text1"/>
          <w:szCs w:val="24"/>
          <w:highlight w:val="none"/>
          <w:lang w:val="en-US" w:eastAsia="zh-CN"/>
          <w14:textFill>
            <w14:solidFill>
              <w14:schemeClr w14:val="tx1"/>
            </w14:solidFill>
          </w14:textFill>
        </w:rPr>
        <w:t>6</w:t>
      </w:r>
      <w:r>
        <w:rPr>
          <w:rFonts w:hint="eastAsia" w:ascii="宋体" w:hAnsi="宋体" w:eastAsia="宋体" w:cs="宋体"/>
          <w:i w:val="0"/>
          <w:iCs w:val="0"/>
          <w:snapToGrid w:val="0"/>
          <w:color w:val="000000" w:themeColor="text1"/>
          <w:szCs w:val="24"/>
          <w:highlight w:val="none"/>
          <w:lang w:val="zh-CN"/>
          <w14:textFill>
            <w14:solidFill>
              <w14:schemeClr w14:val="tx1"/>
            </w14:solidFill>
          </w14:textFill>
        </w:rPr>
        <w:t>.1采购人、采购代理机构及供应商的一切采购活动均适用《</w:t>
      </w:r>
      <w:r>
        <w:rPr>
          <w:rFonts w:hint="eastAsia" w:ascii="宋体" w:hAnsi="宋体" w:eastAsia="宋体" w:cs="宋体"/>
          <w:i w:val="0"/>
          <w:iCs w:val="0"/>
          <w:snapToGrid w:val="0"/>
          <w:color w:val="000000" w:themeColor="text1"/>
          <w:highlight w:val="none"/>
          <w14:textFill>
            <w14:solidFill>
              <w14:schemeClr w14:val="tx1"/>
            </w14:solidFill>
          </w14:textFill>
        </w:rPr>
        <w:t>中华人民共和国</w:t>
      </w:r>
      <w:r>
        <w:rPr>
          <w:rFonts w:hint="eastAsia" w:ascii="宋体" w:hAnsi="宋体" w:eastAsia="宋体" w:cs="宋体"/>
          <w:i w:val="0"/>
          <w:iCs w:val="0"/>
          <w:snapToGrid w:val="0"/>
          <w:color w:val="000000" w:themeColor="text1"/>
          <w:szCs w:val="24"/>
          <w:highlight w:val="none"/>
          <w:lang w:val="zh-CN"/>
          <w14:textFill>
            <w14:solidFill>
              <w14:schemeClr w14:val="tx1"/>
            </w14:solidFill>
          </w14:textFill>
        </w:rPr>
        <w:t>政府采购法》、《</w:t>
      </w:r>
      <w:r>
        <w:rPr>
          <w:rFonts w:hint="eastAsia" w:ascii="宋体" w:hAnsi="宋体" w:eastAsia="宋体" w:cs="宋体"/>
          <w:i w:val="0"/>
          <w:iCs w:val="0"/>
          <w:snapToGrid w:val="0"/>
          <w:color w:val="000000" w:themeColor="text1"/>
          <w:highlight w:val="none"/>
          <w14:textFill>
            <w14:solidFill>
              <w14:schemeClr w14:val="tx1"/>
            </w14:solidFill>
          </w14:textFill>
        </w:rPr>
        <w:t>中华人民共和国</w:t>
      </w:r>
      <w:r>
        <w:rPr>
          <w:rFonts w:hint="eastAsia" w:ascii="宋体" w:hAnsi="宋体" w:eastAsia="宋体" w:cs="宋体"/>
          <w:i w:val="0"/>
          <w:iCs w:val="0"/>
          <w:snapToGrid w:val="0"/>
          <w:color w:val="000000" w:themeColor="text1"/>
          <w:szCs w:val="24"/>
          <w:highlight w:val="none"/>
          <w:lang w:val="zh-CN"/>
          <w14:textFill>
            <w14:solidFill>
              <w14:schemeClr w14:val="tx1"/>
            </w14:solidFill>
          </w14:textFill>
        </w:rPr>
        <w:t>政府采购法实施条例》、</w:t>
      </w:r>
      <w:r>
        <w:rPr>
          <w:rFonts w:hint="eastAsia" w:ascii="宋体" w:hAnsi="宋体" w:eastAsia="宋体" w:cs="宋体"/>
          <w:i w:val="0"/>
          <w:iCs w:val="0"/>
          <w:color w:val="000000" w:themeColor="text1"/>
          <w:szCs w:val="24"/>
          <w:highlight w:val="none"/>
          <w14:textFill>
            <w14:solidFill>
              <w14:schemeClr w14:val="tx1"/>
            </w14:solidFill>
          </w14:textFill>
        </w:rPr>
        <w:t>《政府采购竞争性磋商采购方式管理暂行办法》（财库〔2014〕214号）</w:t>
      </w:r>
      <w:r>
        <w:rPr>
          <w:rFonts w:hint="eastAsia" w:ascii="宋体" w:hAnsi="宋体" w:eastAsia="宋体" w:cs="宋体"/>
          <w:i w:val="0"/>
          <w:iCs w:val="0"/>
          <w:snapToGrid w:val="0"/>
          <w:color w:val="000000" w:themeColor="text1"/>
          <w:szCs w:val="24"/>
          <w:highlight w:val="none"/>
          <w:lang w:val="zh-CN"/>
          <w14:textFill>
            <w14:solidFill>
              <w14:schemeClr w14:val="tx1"/>
            </w14:solidFill>
          </w14:textFill>
        </w:rPr>
        <w:t>及相关法律法规。</w:t>
      </w:r>
    </w:p>
    <w:p w14:paraId="6FBD9BD4">
      <w:pPr>
        <w:pStyle w:val="48"/>
        <w:keepNext w:val="0"/>
        <w:keepLines w:val="0"/>
        <w:pageBreakBefore w:val="0"/>
        <w:widowControl w:val="0"/>
        <w:kinsoku/>
        <w:overflowPunct/>
        <w:topLinePunct/>
        <w:bidi w:val="0"/>
        <w:ind w:firstLine="480"/>
        <w:textAlignment w:val="auto"/>
        <w:rPr>
          <w:rFonts w:hint="eastAsia" w:ascii="宋体" w:hAnsi="宋体" w:eastAsia="宋体" w:cs="宋体"/>
          <w:i w:val="0"/>
          <w:iCs w:val="0"/>
          <w:snapToGrid w:val="0"/>
          <w:color w:val="000000" w:themeColor="text1"/>
          <w:highlight w:val="none"/>
          <w:lang w:val="zh-CN"/>
          <w14:textFill>
            <w14:solidFill>
              <w14:schemeClr w14:val="tx1"/>
            </w14:solidFill>
          </w14:textFill>
        </w:rPr>
      </w:pPr>
      <w:r>
        <w:rPr>
          <w:rFonts w:hint="eastAsia" w:ascii="宋体" w:hAnsi="宋体" w:eastAsia="宋体" w:cs="宋体"/>
          <w:i w:val="0"/>
          <w:iCs w:val="0"/>
          <w:snapToGrid w:val="0"/>
          <w:color w:val="000000" w:themeColor="text1"/>
          <w:szCs w:val="24"/>
          <w:highlight w:val="none"/>
          <w:lang w:val="zh-CN"/>
          <w14:textFill>
            <w14:solidFill>
              <w14:schemeClr w14:val="tx1"/>
            </w14:solidFill>
          </w14:textFill>
        </w:rPr>
        <w:t>4</w:t>
      </w:r>
      <w:r>
        <w:rPr>
          <w:rFonts w:hint="eastAsia" w:ascii="宋体" w:hAnsi="宋体" w:eastAsia="宋体" w:cs="宋体"/>
          <w:i w:val="0"/>
          <w:iCs w:val="0"/>
          <w:snapToGrid w:val="0"/>
          <w:color w:val="000000" w:themeColor="text1"/>
          <w:szCs w:val="24"/>
          <w:highlight w:val="none"/>
          <w:lang w:val="en-US" w:eastAsia="zh-CN"/>
          <w14:textFill>
            <w14:solidFill>
              <w14:schemeClr w14:val="tx1"/>
            </w14:solidFill>
          </w14:textFill>
        </w:rPr>
        <w:t>6</w:t>
      </w:r>
      <w:r>
        <w:rPr>
          <w:rFonts w:hint="eastAsia" w:ascii="宋体" w:hAnsi="宋体" w:eastAsia="宋体" w:cs="宋体"/>
          <w:i w:val="0"/>
          <w:iCs w:val="0"/>
          <w:snapToGrid w:val="0"/>
          <w:color w:val="000000" w:themeColor="text1"/>
          <w:szCs w:val="24"/>
          <w:highlight w:val="none"/>
          <w:lang w:val="zh-CN"/>
          <w14:textFill>
            <w14:solidFill>
              <w14:schemeClr w14:val="tx1"/>
            </w14:solidFill>
          </w14:textFill>
        </w:rPr>
        <w:t>.2</w:t>
      </w:r>
      <w:r>
        <w:rPr>
          <w:rFonts w:hint="eastAsia" w:ascii="宋体" w:hAnsi="宋体" w:eastAsia="宋体" w:cs="宋体"/>
          <w:i w:val="0"/>
          <w:iCs w:val="0"/>
          <w:snapToGrid w:val="0"/>
          <w:color w:val="000000" w:themeColor="text1"/>
          <w:highlight w:val="none"/>
          <w:lang w:val="zh-CN"/>
          <w14:textFill>
            <w14:solidFill>
              <w14:schemeClr w14:val="tx1"/>
            </w14:solidFill>
          </w14:textFill>
        </w:rPr>
        <w:t>政府采购合同的履行、违约责任和解决争议的方法等适用《</w:t>
      </w:r>
      <w:r>
        <w:rPr>
          <w:rFonts w:hint="eastAsia" w:ascii="宋体" w:hAnsi="宋体" w:eastAsia="宋体" w:cs="宋体"/>
          <w:i w:val="0"/>
          <w:iCs w:val="0"/>
          <w:snapToGrid w:val="0"/>
          <w:color w:val="000000" w:themeColor="text1"/>
          <w:highlight w:val="none"/>
          <w14:textFill>
            <w14:solidFill>
              <w14:schemeClr w14:val="tx1"/>
            </w14:solidFill>
          </w14:textFill>
        </w:rPr>
        <w:t>中华人民共和国</w:t>
      </w:r>
      <w:r>
        <w:rPr>
          <w:rFonts w:hint="eastAsia" w:ascii="宋体" w:hAnsi="宋体" w:eastAsia="宋体" w:cs="宋体"/>
          <w:i w:val="0"/>
          <w:iCs w:val="0"/>
          <w:snapToGrid w:val="0"/>
          <w:color w:val="000000" w:themeColor="text1"/>
          <w:highlight w:val="none"/>
          <w:lang w:val="zh-CN"/>
          <w14:textFill>
            <w14:solidFill>
              <w14:schemeClr w14:val="tx1"/>
            </w14:solidFill>
          </w14:textFill>
        </w:rPr>
        <w:t>民法典》。</w:t>
      </w:r>
    </w:p>
    <w:p w14:paraId="3A942B54">
      <w:pPr>
        <w:pStyle w:val="5"/>
        <w:keepNext w:val="0"/>
        <w:keepLines w:val="0"/>
        <w:pageBreakBefore w:val="0"/>
        <w:widowControl w:val="0"/>
        <w:numPr>
          <w:ilvl w:val="0"/>
          <w:numId w:val="0"/>
        </w:numPr>
        <w:kinsoku/>
        <w:wordWrap/>
        <w:overflowPunct/>
        <w:topLinePunct/>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309" w:name="_Toc155185887"/>
      <w:bookmarkStart w:id="310" w:name="_Toc161600349"/>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47.解释权</w:t>
      </w:r>
      <w:bookmarkEnd w:id="309"/>
      <w:bookmarkEnd w:id="310"/>
    </w:p>
    <w:p w14:paraId="42C97CF1">
      <w:pPr>
        <w:pStyle w:val="48"/>
        <w:keepNext w:val="0"/>
        <w:keepLines w:val="0"/>
        <w:pageBreakBefore w:val="0"/>
        <w:widowControl w:val="0"/>
        <w:kinsoku/>
        <w:overflowPunct/>
        <w:topLinePunct/>
        <w:bidi w:val="0"/>
        <w:ind w:firstLine="480"/>
        <w:textAlignment w:val="auto"/>
        <w:rPr>
          <w:i w:val="0"/>
          <w:iCs w:val="0"/>
          <w:color w:val="000000" w:themeColor="text1"/>
          <w:highlight w:val="none"/>
          <w14:textFill>
            <w14:solidFill>
              <w14:schemeClr w14:val="tx1"/>
            </w14:solidFill>
          </w14:textFill>
        </w:rPr>
      </w:pPr>
      <w:r>
        <w:rPr>
          <w:rFonts w:hint="eastAsia" w:ascii="宋体" w:hAnsi="宋体" w:eastAsia="宋体" w:cs="宋体"/>
          <w:i w:val="0"/>
          <w:iCs w:val="0"/>
          <w:snapToGrid w:val="0"/>
          <w:color w:val="000000" w:themeColor="text1"/>
          <w:highlight w:val="none"/>
          <w:lang w:val="en-US" w:eastAsia="zh-CN"/>
          <w14:textFill>
            <w14:solidFill>
              <w14:schemeClr w14:val="tx1"/>
            </w14:solidFill>
          </w14:textFill>
        </w:rPr>
        <w:t>47</w:t>
      </w:r>
      <w:r>
        <w:rPr>
          <w:rFonts w:hint="eastAsia" w:ascii="宋体" w:hAnsi="宋体" w:eastAsia="宋体" w:cs="宋体"/>
          <w:i w:val="0"/>
          <w:iCs w:val="0"/>
          <w:snapToGrid w:val="0"/>
          <w:color w:val="000000" w:themeColor="text1"/>
          <w:highlight w:val="none"/>
          <w14:textFill>
            <w14:solidFill>
              <w14:schemeClr w14:val="tx1"/>
            </w14:solidFill>
          </w14:textFill>
        </w:rPr>
        <w:t>.1本竞争性磋商文件最终解释权归采购人或采购代理机构所有。</w:t>
      </w:r>
    </w:p>
    <w:p w14:paraId="4F976029">
      <w:pPr>
        <w:pStyle w:val="2"/>
        <w:spacing w:before="0" w:beforeLines="0" w:after="0" w:afterLines="0" w:line="480" w:lineRule="exact"/>
        <w:rPr>
          <w:rFonts w:hint="default" w:ascii="Times New Roman" w:hAnsi="Times New Roman" w:cs="Times New Roman"/>
          <w:b/>
          <w:bCs/>
          <w:sz w:val="32"/>
          <w:szCs w:val="32"/>
        </w:rPr>
      </w:pPr>
      <w:bookmarkStart w:id="311" w:name="_Toc82"/>
      <w:r>
        <w:rPr>
          <w:rFonts w:hint="default" w:ascii="Times New Roman" w:hAnsi="Times New Roman" w:eastAsia="宋体" w:cs="Times New Roman"/>
          <w:sz w:val="32"/>
          <w:szCs w:val="32"/>
          <w:lang w:eastAsia="zh-CN"/>
        </w:rPr>
        <w:br w:type="page"/>
      </w:r>
      <w:r>
        <w:rPr>
          <w:rFonts w:hint="default" w:ascii="Times New Roman" w:hAnsi="Times New Roman" w:eastAsia="宋体" w:cs="Times New Roman"/>
          <w:sz w:val="32"/>
          <w:szCs w:val="32"/>
          <w:lang w:eastAsia="zh-CN"/>
        </w:rPr>
        <w:t>第三章采购需求</w:t>
      </w:r>
      <w:bookmarkEnd w:id="311"/>
    </w:p>
    <w:p w14:paraId="476C7ED1">
      <w:pPr>
        <w:spacing w:line="560" w:lineRule="exact"/>
        <w:rPr>
          <w:rFonts w:hint="default" w:ascii="Times New Roman" w:hAnsi="Times New Roman" w:cs="Times New Roman"/>
          <w:sz w:val="32"/>
          <w:szCs w:val="32"/>
        </w:rPr>
      </w:pPr>
    </w:p>
    <w:p w14:paraId="4A8415D4">
      <w:pPr>
        <w:numPr>
          <w:ilvl w:val="0"/>
          <w:numId w:val="3"/>
        </w:numPr>
        <w:spacing w:beforeLines="0" w:afterLines="0" w:line="480" w:lineRule="exact"/>
        <w:ind w:left="560" w:leftChars="0" w:firstLine="0" w:firstLineChars="0"/>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项目背景或项目概述</w:t>
      </w:r>
    </w:p>
    <w:p w14:paraId="5EE0E84C">
      <w:pPr>
        <w:numPr>
          <w:ilvl w:val="0"/>
          <w:numId w:val="0"/>
        </w:numPr>
        <w:spacing w:beforeLines="0" w:afterLines="0" w:line="480" w:lineRule="exact"/>
        <w:ind w:left="560" w:leftChars="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工程建设内容：项目总占地面积183457平方米，总建筑面积8373.38平方米，主要包括以下内容:</w:t>
      </w:r>
    </w:p>
    <w:p w14:paraId="1D8607E3">
      <w:pPr>
        <w:numPr>
          <w:ilvl w:val="0"/>
          <w:numId w:val="0"/>
        </w:numPr>
        <w:spacing w:beforeLines="0" w:afterLines="0" w:line="480" w:lineRule="exact"/>
        <w:ind w:left="560" w:leftChars="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核心服务设施:游客服务设施，新建游客服务中心3412平方米，新建副游客中心288平方米，承担游客咨询、休憩、服务办理等功能;配套建设游客集散中心846平方米，满足游客集中疏导、等候需求;新建各类公共服务设施用房6478平方米，设施用房包含:(1)产业服务(公共服务设施)630.21平方米，(2)政务/运营(公共服务设施)374.76平方米，(3)科普体验(公共服务设施)1260.42平方米，(4)安全应急(公共服务设施)630.21平方米，(5)安防消防设施748.54平方米;新建公共卫生间182平方米;停车配套设施，建设旅游景区停车场55000平方米，同步配备60套充电设备，保障各类车辆停放及充电需求。</w:t>
      </w:r>
    </w:p>
    <w:p w14:paraId="375C260E">
      <w:pPr>
        <w:numPr>
          <w:ilvl w:val="0"/>
          <w:numId w:val="0"/>
        </w:numPr>
        <w:spacing w:beforeLines="0" w:afterLines="0" w:line="480" w:lineRule="exact"/>
        <w:ind w:left="560" w:leftChars="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二）.交通与游览设施:修建通景道路8.61公里(其中5.6公里路段在现有碎石路上做沥青硬化，剩余3.0公里为新建沥青道路)，打通景区与外部、景区各功能分区的交通联络通道;其他道路12.474公里(2022年已实施)。内部游览步道，建设木栈道3.67公里，串联景区核心观光区域，提升游客步行游览体验;建设景观特殊游览设施一处，具体功能位儿童戏水分区13343平方米，规划建设旅游停散点二处49468平方米。规划排洪渠处新建2座桥梁(2022年已实施)。其中沙海碧湖1号桥采用3x13米简支矮T梁桥，桥梁全宽5.5米，长度39米;沙海碧湖2号桥采用3x13米简支矮T梁桥，桥梁全宽8.5米，长度39米。</w:t>
      </w:r>
    </w:p>
    <w:p w14:paraId="16CD43C9">
      <w:pPr>
        <w:numPr>
          <w:ilvl w:val="0"/>
          <w:numId w:val="0"/>
        </w:numPr>
        <w:spacing w:beforeLines="0" w:afterLines="0" w:line="480" w:lineRule="exact"/>
        <w:ind w:left="560" w:left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三）.基础配套设施:新建景区主入口广场12646平方米(含石材地面硬化、景观小品座凳)，公共服务设施，配置环卫设施，完善游客基本服务保障;运营保障设施，完善水、电、等基础设施配套，为景区运营提供全方位保障。</w:t>
      </w:r>
    </w:p>
    <w:p w14:paraId="04132A8D">
      <w:pPr>
        <w:numPr>
          <w:ilvl w:val="0"/>
          <w:numId w:val="0"/>
        </w:numPr>
        <w:spacing w:beforeLines="0" w:afterLines="0" w:line="480" w:lineRule="exact"/>
        <w:ind w:left="560" w:leftChars="0" w:firstLine="420" w:firstLineChars="200"/>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工程建设地点：策勒县</w:t>
      </w:r>
    </w:p>
    <w:p w14:paraId="18317A75">
      <w:pPr>
        <w:numPr>
          <w:ilvl w:val="0"/>
          <w:numId w:val="3"/>
        </w:numPr>
        <w:spacing w:beforeLines="0" w:afterLines="0" w:line="480" w:lineRule="exact"/>
        <w:ind w:left="560" w:leftChars="0" w:firstLine="0" w:firstLineChars="0"/>
        <w:rPr>
          <w:rFonts w:hint="default" w:ascii="Times New Roman" w:hAnsi="Times New Roman" w:cs="Times New Roman" w:eastAsiaTheme="minorEastAsia"/>
          <w:b/>
          <w:bCs/>
          <w:sz w:val="24"/>
          <w:szCs w:val="24"/>
          <w:lang w:val="en-US" w:eastAsia="zh-CN"/>
        </w:rPr>
      </w:pPr>
      <w:r>
        <w:rPr>
          <w:rFonts w:hint="eastAsia" w:ascii="Times New Roman" w:hAnsi="Times New Roman" w:cs="Times New Roman" w:eastAsiaTheme="minorEastAsia"/>
          <w:b/>
          <w:bCs/>
          <w:sz w:val="24"/>
          <w:szCs w:val="24"/>
          <w:lang w:val="en-US" w:eastAsia="zh-CN"/>
        </w:rPr>
        <w:t>全过程跟踪审计需求</w:t>
      </w:r>
    </w:p>
    <w:p w14:paraId="132AC738">
      <w:pPr>
        <w:numPr>
          <w:ilvl w:val="0"/>
          <w:numId w:val="0"/>
        </w:numPr>
        <w:spacing w:beforeLines="0" w:afterLines="0" w:line="480" w:lineRule="exact"/>
        <w:ind w:left="560" w:leftChars="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服务内容包括（但不限于）：施工过程结算的审核、竣工决算的编制及审核、施工阶段全过程造价管理咨询，合同管理、工程进度款审核、变更签证造价审核确认、资金使用计划、投资绩效、风险控制、造价争议处理、材料设备询价、财务决算编制与审核、固定资产交付及产权边界厘清等全过程跟踪审计服务及其他工程咨询业务。</w:t>
      </w:r>
    </w:p>
    <w:p w14:paraId="468923B2">
      <w:pPr>
        <w:numPr>
          <w:ilvl w:val="0"/>
          <w:numId w:val="3"/>
        </w:numPr>
        <w:spacing w:beforeLines="0" w:afterLines="0" w:line="480" w:lineRule="exact"/>
        <w:ind w:left="560" w:leftChars="0" w:firstLine="0" w:firstLineChars="0"/>
        <w:rPr>
          <w:rFonts w:hint="eastAsia" w:ascii="Times New Roman" w:hAnsi="Times New Roman" w:cs="Times New Roman" w:eastAsiaTheme="minorEastAsia"/>
          <w:b/>
          <w:bCs/>
          <w:sz w:val="24"/>
          <w:szCs w:val="24"/>
          <w:lang w:val="en-US" w:eastAsia="zh-CN"/>
        </w:rPr>
      </w:pPr>
      <w:r>
        <w:rPr>
          <w:rFonts w:hint="eastAsia" w:ascii="Times New Roman" w:hAnsi="Times New Roman" w:cs="Times New Roman" w:eastAsiaTheme="minorEastAsia"/>
          <w:b/>
          <w:bCs/>
          <w:sz w:val="24"/>
          <w:szCs w:val="24"/>
          <w:lang w:val="en-US" w:eastAsia="zh-CN"/>
        </w:rPr>
        <w:t>标准与规范</w:t>
      </w:r>
    </w:p>
    <w:p w14:paraId="3E093CA2">
      <w:pPr>
        <w:numPr>
          <w:ilvl w:val="0"/>
          <w:numId w:val="0"/>
        </w:numPr>
        <w:spacing w:beforeLines="0" w:afterLines="0" w:line="480" w:lineRule="exact"/>
        <w:ind w:left="560" w:leftChars="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全过程工程造价咨询符合现行的国家标准、自治区标准、行业标准，以及相应的规范、规程等。</w:t>
      </w:r>
    </w:p>
    <w:p w14:paraId="73A7F1A1">
      <w:pPr>
        <w:numPr>
          <w:ilvl w:val="0"/>
          <w:numId w:val="3"/>
        </w:numPr>
        <w:spacing w:beforeLines="0" w:afterLines="0" w:line="480" w:lineRule="exact"/>
        <w:ind w:left="560" w:leftChars="0" w:firstLine="0" w:firstLineChars="0"/>
        <w:rPr>
          <w:rFonts w:hint="eastAsia" w:ascii="Times New Roman" w:hAnsi="Times New Roman" w:cs="Times New Roman" w:eastAsiaTheme="minorEastAsia"/>
          <w:b/>
          <w:bCs/>
          <w:sz w:val="24"/>
          <w:szCs w:val="24"/>
          <w:lang w:val="en-US" w:eastAsia="zh-CN"/>
        </w:rPr>
      </w:pPr>
      <w:r>
        <w:rPr>
          <w:rFonts w:hint="eastAsia" w:ascii="Times New Roman" w:hAnsi="Times New Roman" w:cs="Times New Roman" w:eastAsiaTheme="minorEastAsia"/>
          <w:b/>
          <w:bCs/>
          <w:sz w:val="24"/>
          <w:szCs w:val="24"/>
          <w:lang w:val="en-US" w:eastAsia="zh-CN"/>
        </w:rPr>
        <w:t>造价咨企业守法诚信</w:t>
      </w:r>
    </w:p>
    <w:p w14:paraId="5C5845FA">
      <w:pPr>
        <w:numPr>
          <w:ilvl w:val="0"/>
          <w:numId w:val="0"/>
        </w:numPr>
        <w:spacing w:beforeLines="0" w:afterLines="0" w:line="480" w:lineRule="exact"/>
        <w:ind w:left="560" w:leftChars="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咨询人从事全过程咨询活动，应当遵循独立、客观、公正、诚实信用的原则，不得损害社会公共利益和他人的合法权益。除委托人书面同意外，咨询人及其工程造价专业人员不得从与实施工程造价咨询业务有关的第三人处获得任何经济利益。</w:t>
      </w:r>
    </w:p>
    <w:p w14:paraId="5577116B">
      <w:pPr>
        <w:numPr>
          <w:ilvl w:val="0"/>
          <w:numId w:val="0"/>
        </w:numPr>
        <w:spacing w:beforeLines="0" w:afterLines="0" w:line="480" w:lineRule="exact"/>
        <w:ind w:left="560" w:leftChars="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在合同履行过程中，工程造价专业人员及财务编审人员应保持相对稳定，以保证咨询工作正常进行。咨询人更换工程造价专业人员及财务编审人员时，应提前7天书面通知委托人，并征得委托人书面同意。未经委托人书面同意，咨询人不得擅自更换工程造价专业人员和财务编审人员。咨询人擅自更换工程造价专业人员和财务编审人员的，应按照专用条件的约定，承担违约责任。</w:t>
      </w:r>
    </w:p>
    <w:p w14:paraId="1C0981B3">
      <w:pPr>
        <w:numPr>
          <w:ilvl w:val="0"/>
          <w:numId w:val="3"/>
        </w:numPr>
        <w:spacing w:beforeLines="0" w:afterLines="0" w:line="480" w:lineRule="exact"/>
        <w:ind w:left="560" w:leftChars="0" w:firstLine="0" w:firstLineChars="0"/>
        <w:rPr>
          <w:rFonts w:hint="eastAsia" w:ascii="Times New Roman" w:hAnsi="Times New Roman" w:cs="Times New Roman" w:eastAsiaTheme="minorEastAsia"/>
          <w:b/>
          <w:bCs/>
          <w:sz w:val="24"/>
          <w:szCs w:val="24"/>
          <w:lang w:val="en-US" w:eastAsia="zh-CN"/>
        </w:rPr>
      </w:pPr>
      <w:r>
        <w:rPr>
          <w:rFonts w:hint="eastAsia" w:ascii="Times New Roman" w:hAnsi="Times New Roman" w:cs="Times New Roman" w:eastAsiaTheme="minorEastAsia"/>
          <w:b/>
          <w:bCs/>
          <w:sz w:val="24"/>
          <w:szCs w:val="24"/>
          <w:lang w:val="en-US" w:eastAsia="zh-CN"/>
        </w:rPr>
        <w:t>咨询质量</w:t>
      </w:r>
    </w:p>
    <w:p w14:paraId="7BDB03AF">
      <w:pPr>
        <w:numPr>
          <w:ilvl w:val="0"/>
          <w:numId w:val="0"/>
        </w:numPr>
        <w:spacing w:beforeLines="0" w:afterLines="0" w:line="480" w:lineRule="exact"/>
        <w:ind w:left="560" w:leftChars="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1）质量要求：咨询人出具的工程咨询成果文件质量应符合现行国家、自治区或行业工程计价有关规定、标准、规范的要求。</w:t>
      </w:r>
    </w:p>
    <w:p w14:paraId="3AD79170">
      <w:pPr>
        <w:numPr>
          <w:ilvl w:val="0"/>
          <w:numId w:val="0"/>
        </w:numPr>
        <w:spacing w:beforeLines="0" w:afterLines="0" w:line="480" w:lineRule="exact"/>
        <w:ind w:left="560" w:leftChars="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2）质量保证措施：咨询人应建立相应的质量管理体系，并通过计划管理、流程控制保证工程造价咨询成果文件质量。</w:t>
      </w:r>
    </w:p>
    <w:p w14:paraId="2B3A8305">
      <w:pPr>
        <w:numPr>
          <w:ilvl w:val="0"/>
          <w:numId w:val="0"/>
        </w:numPr>
        <w:spacing w:beforeLines="0" w:afterLines="0" w:line="480" w:lineRule="exact"/>
        <w:ind w:left="560" w:leftChars="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质量不合格处理：因咨询人原因造成工程咨询成果文件质量未达到合同约定标准的，委托人有权要求咨询人采取补救措施，直至达到本合同要求的质量标准，并可根据工程造价咨询成果文件综合误差率相应减少咨询酬金。委托人已支付全部酬金的，有权要求咨询人退还相应减少的酬金。因咨询人原因造成工程造价咨询成果文件质量未达到合同约定标准给委托人造成损失的，咨询人应承担违约责任。</w:t>
      </w:r>
    </w:p>
    <w:p w14:paraId="2553145D">
      <w:pPr>
        <w:numPr>
          <w:ilvl w:val="0"/>
          <w:numId w:val="3"/>
        </w:numPr>
        <w:spacing w:beforeLines="0" w:afterLines="0" w:line="480" w:lineRule="exact"/>
        <w:ind w:left="560" w:leftChars="0" w:firstLine="0" w:firstLineChars="0"/>
        <w:rPr>
          <w:rFonts w:hint="eastAsia" w:ascii="Times New Roman" w:hAnsi="Times New Roman" w:cs="Times New Roman" w:eastAsiaTheme="minorEastAsia"/>
          <w:b/>
          <w:bCs/>
          <w:sz w:val="24"/>
          <w:szCs w:val="24"/>
          <w:lang w:val="en-US" w:eastAsia="zh-CN"/>
        </w:rPr>
      </w:pPr>
      <w:r>
        <w:rPr>
          <w:rFonts w:hint="eastAsia" w:ascii="Times New Roman" w:hAnsi="Times New Roman" w:cs="Times New Roman" w:eastAsiaTheme="minorEastAsia"/>
          <w:b/>
          <w:bCs/>
          <w:sz w:val="24"/>
          <w:szCs w:val="24"/>
          <w:lang w:val="en-US" w:eastAsia="zh-CN"/>
        </w:rPr>
        <w:t>全过程跟踪审计成果要求</w:t>
      </w:r>
    </w:p>
    <w:p w14:paraId="64B162EC">
      <w:pPr>
        <w:numPr>
          <w:ilvl w:val="0"/>
          <w:numId w:val="0"/>
        </w:numPr>
        <w:spacing w:beforeLines="0" w:afterLines="0" w:line="480" w:lineRule="exact"/>
        <w:ind w:left="560" w:leftChars="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1)计算工程量过程中对于图纸中的疑问及时以书面形式提出，对于共性问题应一并提出，并注明相关位置，所有质疑书面问题均由甲方项目负责人负责与设计进行对接解决。</w:t>
      </w:r>
    </w:p>
    <w:p w14:paraId="3DF6856F">
      <w:pPr>
        <w:numPr>
          <w:ilvl w:val="0"/>
          <w:numId w:val="0"/>
        </w:numPr>
        <w:spacing w:beforeLines="0" w:afterLines="0" w:line="480" w:lineRule="exact"/>
        <w:ind w:left="560" w:leftChars="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2)根据工程进度，认真仔细审核现场发生的工程量及变更签证等费用，并编制工程款支付进度汇总表，项目工作量统计月报表。</w:t>
      </w:r>
    </w:p>
    <w:p w14:paraId="14B67A1F">
      <w:pPr>
        <w:numPr>
          <w:ilvl w:val="0"/>
          <w:numId w:val="0"/>
        </w:numPr>
        <w:spacing w:beforeLines="0" w:afterLines="0" w:line="480" w:lineRule="exact"/>
        <w:ind w:left="560" w:leftChars="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3)参与建设单位组织的有关招投标工作及相关合同谈判并对其中经济条款提出合理化建议。</w:t>
      </w:r>
    </w:p>
    <w:p w14:paraId="59432378">
      <w:pPr>
        <w:numPr>
          <w:ilvl w:val="0"/>
          <w:numId w:val="0"/>
        </w:numPr>
        <w:spacing w:beforeLines="0" w:afterLines="0" w:line="480" w:lineRule="exact"/>
        <w:ind w:left="560" w:leftChars="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4)负责对施工单位上报的每月(期)完成工程量月报表进行审核,并提供当月(期)进度款支付的依据。</w:t>
      </w:r>
    </w:p>
    <w:p w14:paraId="789042A7">
      <w:pPr>
        <w:numPr>
          <w:ilvl w:val="0"/>
          <w:numId w:val="0"/>
        </w:numPr>
        <w:spacing w:beforeLines="0" w:afterLines="0" w:line="480" w:lineRule="exact"/>
        <w:ind w:left="560" w:leftChars="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5)承发包双方提出索赔时,要认真负责的为建设单位提供咨询意见。</w:t>
      </w:r>
    </w:p>
    <w:p w14:paraId="179DCE6B">
      <w:pPr>
        <w:numPr>
          <w:ilvl w:val="0"/>
          <w:numId w:val="0"/>
        </w:numPr>
        <w:spacing w:beforeLines="0" w:afterLines="0" w:line="480" w:lineRule="exact"/>
        <w:ind w:left="560" w:leftChars="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6)协助建设单位及时审核因设计变更、现场签证等发生的费用,相应调整造价控制目标，并向建设单位提供造价控制指标分析说明。</w:t>
      </w:r>
    </w:p>
    <w:p w14:paraId="75606DC0">
      <w:pPr>
        <w:numPr>
          <w:ilvl w:val="0"/>
          <w:numId w:val="0"/>
        </w:numPr>
        <w:spacing w:beforeLines="0" w:afterLines="0" w:line="480" w:lineRule="exact"/>
        <w:ind w:left="560" w:leftChars="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7)会同建设单位办理工程竣工结算；提供整套结算审计报告及各项费用汇总表；对各工程要进行造价结算指标分析并交建设单位归档。分析表格由甲方提供。提交成果文件不得少于4份（不包含施工单位的）。</w:t>
      </w:r>
    </w:p>
    <w:p w14:paraId="44720FAA">
      <w:pPr>
        <w:numPr>
          <w:ilvl w:val="0"/>
          <w:numId w:val="0"/>
        </w:numPr>
        <w:spacing w:beforeLines="0" w:afterLines="0" w:line="480" w:lineRule="exact"/>
        <w:ind w:left="560" w:leftChars="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8)提供涉及委托咨询工程项目的人工、材料、设备等价格审核及与造价控制有关的其他咨询服务。</w:t>
      </w:r>
    </w:p>
    <w:p w14:paraId="68795FBE">
      <w:pPr>
        <w:numPr>
          <w:ilvl w:val="0"/>
          <w:numId w:val="0"/>
        </w:numPr>
        <w:spacing w:beforeLines="0" w:afterLines="0" w:line="480" w:lineRule="exact"/>
        <w:ind w:left="560" w:leftChars="0" w:firstLine="420" w:firstLineChars="200"/>
      </w:pPr>
      <w:r>
        <w:rPr>
          <w:rFonts w:hint="eastAsia" w:ascii="宋体" w:hAnsi="宋体" w:eastAsia="宋体" w:cs="宋体"/>
          <w:b w:val="0"/>
          <w:bCs w:val="0"/>
          <w:sz w:val="21"/>
          <w:szCs w:val="21"/>
          <w:lang w:val="en-US" w:eastAsia="zh-CN"/>
        </w:rPr>
        <w:t>9)完成甲方安排的其它工作事项。</w:t>
      </w:r>
    </w:p>
    <w:p w14:paraId="29EE52FA">
      <w:pPr>
        <w:numPr>
          <w:ilvl w:val="0"/>
          <w:numId w:val="3"/>
        </w:numPr>
        <w:spacing w:beforeLines="0" w:afterLines="0" w:line="480" w:lineRule="exact"/>
        <w:ind w:left="560" w:leftChars="0" w:firstLine="0" w:firstLineChars="0"/>
        <w:rPr>
          <w:rFonts w:hint="eastAsia" w:ascii="Times New Roman" w:hAnsi="Times New Roman" w:cs="Times New Roman" w:eastAsiaTheme="minorEastAsia"/>
          <w:b/>
          <w:bCs/>
          <w:sz w:val="24"/>
          <w:szCs w:val="24"/>
          <w:lang w:val="en-US" w:eastAsia="zh-CN"/>
        </w:rPr>
      </w:pPr>
      <w:r>
        <w:rPr>
          <w:rFonts w:hint="eastAsia" w:ascii="Times New Roman" w:hAnsi="Times New Roman" w:cs="Times New Roman" w:eastAsiaTheme="minorEastAsia"/>
          <w:b/>
          <w:bCs/>
          <w:sz w:val="24"/>
          <w:szCs w:val="24"/>
          <w:lang w:val="en-US" w:eastAsia="zh-CN"/>
        </w:rPr>
        <w:t>全过程跟踪审计单位的义务</w:t>
      </w:r>
    </w:p>
    <w:p w14:paraId="6FE8AC28">
      <w:pPr>
        <w:numPr>
          <w:ilvl w:val="0"/>
          <w:numId w:val="0"/>
        </w:numPr>
        <w:spacing w:beforeLines="0" w:afterLines="0" w:line="480" w:lineRule="exact"/>
        <w:ind w:left="560" w:leftChars="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1)乙方在完成本招标文件约定的咨询服务工作时，应严格遵守国家法律、法规及和田地区规章、规定和职业道德。</w:t>
      </w:r>
    </w:p>
    <w:p w14:paraId="22E17D24">
      <w:pPr>
        <w:numPr>
          <w:ilvl w:val="0"/>
          <w:numId w:val="0"/>
        </w:numPr>
        <w:spacing w:beforeLines="0" w:afterLines="0" w:line="480" w:lineRule="exact"/>
        <w:ind w:left="560" w:leftChars="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2)乙方应针对中标工程成立专门的项目组，任何咨询结论的得出必须经过内部三级复核制度，即专业人员互审、专业负责人审核、技术负责人审核，以确保咨询成果的准确性。</w:t>
      </w:r>
    </w:p>
    <w:p w14:paraId="49AABA3B">
      <w:pPr>
        <w:numPr>
          <w:ilvl w:val="0"/>
          <w:numId w:val="0"/>
        </w:numPr>
        <w:spacing w:beforeLines="0" w:afterLines="0" w:line="480" w:lineRule="exact"/>
        <w:ind w:left="560" w:leftChars="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乙方应保守机密，不得擅自与有利害关系的人员私下接触或透露有关情况，不得向与本项目无关的单位和个人透露本项目建设相关情况，不得遗失招标单位认为必须返还的相关资料，甲方出具图纸及资料与乙方均有交接记录，服务提供完毕后，所有资料均全部返还甲方。对于甲方提供的全套电子版施工蓝图及合同电子文档，乙方有严格保密的义务，不得向与本业务无关的第三方人员随意复制、传播，一经发现视为严重违约，另应与甲方签订保密协议与个人保密承诺书，具体内容详见保密协议。</w:t>
      </w:r>
    </w:p>
    <w:p w14:paraId="06837A7D">
      <w:pPr>
        <w:numPr>
          <w:ilvl w:val="0"/>
          <w:numId w:val="0"/>
        </w:numPr>
        <w:spacing w:beforeLines="0" w:afterLines="0" w:line="480" w:lineRule="exact"/>
        <w:ind w:left="560" w:leftChars="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乙方在造价咨询过程中，如发现图纸或招标文件有错漏、不清晰、矛盾之处，应及时书面告知甲方，不得按自己的经验和判断擅自处理、同时又不将处理意见告知甲方。甲方要求乙方针对设计、合约、成本和质量等方面提供可行的合理化建议，尤其应积极主动发现图纸中的问题并及时向甲方提出。</w:t>
      </w:r>
    </w:p>
    <w:p w14:paraId="1CF188AE">
      <w:pPr>
        <w:numPr>
          <w:ilvl w:val="0"/>
          <w:numId w:val="0"/>
        </w:numPr>
        <w:spacing w:beforeLines="0" w:afterLines="0" w:line="480" w:lineRule="exact"/>
        <w:ind w:left="560" w:leftChars="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5)对甲方提出的有关咨询服务成果的质疑，乙方须及时给予细致、合理的解答，并针对甲方在造价咨询过程中提供的图纸答疑等相关资料进行工程量的修改。</w:t>
      </w:r>
    </w:p>
    <w:p w14:paraId="0FC3ABD4">
      <w:pPr>
        <w:numPr>
          <w:ilvl w:val="0"/>
          <w:numId w:val="0"/>
        </w:numPr>
        <w:spacing w:beforeLines="0" w:afterLines="0" w:line="480" w:lineRule="exact"/>
        <w:ind w:left="560" w:leftChars="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乙方应按照甲方发给乙方的资料并结合工程现场的实际情况，以认真、积极、勤奋、快捷、专业的态度，保质、保量、按时、圆满地完成受托工作，并按本招标文件约定的时间将有关咨询服务成果资料提交甲方，并保证咨询成果的准确性。</w:t>
      </w:r>
    </w:p>
    <w:p w14:paraId="05907C6C">
      <w:pPr>
        <w:numPr>
          <w:ilvl w:val="0"/>
          <w:numId w:val="0"/>
        </w:numPr>
        <w:spacing w:beforeLines="0" w:afterLines="0" w:line="480" w:lineRule="exact"/>
        <w:ind w:left="560" w:leftChars="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7)乙方应参加甲方组织的造价专题会议和施工现场例会，并对所提交成果中的错漏工程量进行核对和修正及提出实质性意见。</w:t>
      </w:r>
    </w:p>
    <w:p w14:paraId="34216F6A">
      <w:pPr>
        <w:numPr>
          <w:ilvl w:val="0"/>
          <w:numId w:val="0"/>
        </w:numPr>
        <w:spacing w:beforeLines="0" w:afterLines="0" w:line="480" w:lineRule="exact"/>
        <w:ind w:left="560" w:leftChars="0" w:firstLine="420" w:firstLineChars="200"/>
        <w:rPr>
          <w:rFonts w:hint="eastAsia" w:ascii="仿宋" w:hAnsi="仿宋" w:eastAsia="仿宋" w:cs="仿宋"/>
          <w:color w:val="000000"/>
          <w:kern w:val="0"/>
          <w:sz w:val="24"/>
          <w:szCs w:val="24"/>
          <w:lang w:val="en-US" w:eastAsia="zh-CN" w:bidi="ar"/>
        </w:rPr>
      </w:pPr>
      <w:r>
        <w:rPr>
          <w:rFonts w:hint="eastAsia" w:ascii="宋体" w:hAnsi="宋体" w:eastAsia="宋体" w:cs="宋体"/>
          <w:b w:val="0"/>
          <w:bCs w:val="0"/>
          <w:sz w:val="21"/>
          <w:szCs w:val="21"/>
          <w:lang w:val="en-US" w:eastAsia="zh-CN"/>
        </w:rPr>
        <w:t>8)在咨询服务过程中，若甲方改变了发包范围、图纸或工程量清单格式、计算规则等，乙方应按照甲方改变后的条件在规定的时间内将咨询服务成果完成。</w:t>
      </w:r>
    </w:p>
    <w:p w14:paraId="3703E834">
      <w:pPr>
        <w:numPr>
          <w:ilvl w:val="0"/>
          <w:numId w:val="0"/>
        </w:numPr>
        <w:spacing w:beforeLines="0" w:afterLines="0" w:line="480" w:lineRule="exact"/>
        <w:ind w:firstLine="482" w:firstLineChars="200"/>
        <w:rPr>
          <w:sz w:val="24"/>
          <w:szCs w:val="24"/>
        </w:rPr>
      </w:pPr>
      <w:r>
        <w:rPr>
          <w:rFonts w:hint="eastAsia" w:ascii="Times New Roman" w:hAnsi="Times New Roman" w:cs="Times New Roman" w:eastAsiaTheme="minorEastAsia"/>
          <w:b/>
          <w:bCs/>
          <w:sz w:val="24"/>
          <w:szCs w:val="24"/>
          <w:lang w:val="en-US" w:eastAsia="zh-CN"/>
        </w:rPr>
        <w:t>八、财务竣工决算工作内容</w:t>
      </w:r>
    </w:p>
    <w:p w14:paraId="20E5FD72">
      <w:pPr>
        <w:numPr>
          <w:ilvl w:val="0"/>
          <w:numId w:val="0"/>
        </w:numPr>
        <w:spacing w:beforeLines="0" w:afterLines="0" w:line="480" w:lineRule="exact"/>
        <w:ind w:left="560" w:leftChars="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1）项目财务竣工决算报告编制。</w:t>
      </w:r>
    </w:p>
    <w:p w14:paraId="24D68FEE">
      <w:pPr>
        <w:numPr>
          <w:ilvl w:val="0"/>
          <w:numId w:val="0"/>
        </w:numPr>
        <w:spacing w:beforeLines="0" w:afterLines="0" w:line="480" w:lineRule="exact"/>
        <w:ind w:left="560" w:leftChars="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2）对建设项目立项、审批情况进行审核；对项目基本建设程序的合法、合规手续完备情况进行审核。</w:t>
      </w:r>
    </w:p>
    <w:p w14:paraId="08C6A901">
      <w:pPr>
        <w:numPr>
          <w:ilvl w:val="0"/>
          <w:numId w:val="0"/>
        </w:numPr>
        <w:spacing w:beforeLines="0" w:afterLines="0" w:line="480" w:lineRule="exact"/>
        <w:ind w:left="560" w:leftChars="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3）对建设项目资金筹措、使用情况和拨付情况进行审核。</w:t>
      </w:r>
    </w:p>
    <w:p w14:paraId="060E4278">
      <w:pPr>
        <w:numPr>
          <w:ilvl w:val="0"/>
          <w:numId w:val="0"/>
        </w:numPr>
        <w:spacing w:beforeLines="0" w:afterLines="0" w:line="480" w:lineRule="exact"/>
        <w:ind w:left="560" w:leftChars="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4）对项目预算执行情况进行审核。</w:t>
      </w:r>
    </w:p>
    <w:p w14:paraId="2C4EF580">
      <w:pPr>
        <w:numPr>
          <w:ilvl w:val="0"/>
          <w:numId w:val="0"/>
        </w:numPr>
        <w:spacing w:beforeLines="0" w:afterLines="0" w:line="480" w:lineRule="exact"/>
        <w:ind w:left="560" w:leftChars="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5）对建设项目成本核算与财务管理情况审核。</w:t>
      </w:r>
    </w:p>
    <w:p w14:paraId="2B190199">
      <w:pPr>
        <w:numPr>
          <w:ilvl w:val="0"/>
          <w:numId w:val="0"/>
        </w:numPr>
        <w:spacing w:beforeLines="0" w:afterLines="0" w:line="480" w:lineRule="exact"/>
        <w:ind w:left="560" w:leftChars="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6）竣工决算报表编制审核：根据相关批文、合同、财务资料、设计资料，逐项对“竣工项目送审表”、“竣工决算财务报表”、“交付使用资产总表”、“交付使用资产明细表”中填列的内容和数据审核。</w:t>
      </w:r>
    </w:p>
    <w:p w14:paraId="731E66AB">
      <w:pPr>
        <w:numPr>
          <w:ilvl w:val="0"/>
          <w:numId w:val="0"/>
        </w:numPr>
        <w:spacing w:beforeLines="0" w:afterLines="0" w:line="480" w:lineRule="exact"/>
        <w:ind w:left="560" w:leftChars="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7）工程施工费及待摊投资支出。</w:t>
      </w:r>
    </w:p>
    <w:p w14:paraId="506B329D">
      <w:pPr>
        <w:numPr>
          <w:ilvl w:val="0"/>
          <w:numId w:val="0"/>
        </w:numPr>
        <w:spacing w:beforeLines="0" w:afterLines="0" w:line="480" w:lineRule="exact"/>
        <w:ind w:left="560" w:leftChars="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固定资产交付及产权边界厘清：通过决算明确工程形成的固定资产(如建筑物、设备)价值，为企业或事业单位办理资产登记、计提折旧提供合法凭证。产权边界厘清:对项目涉及的士地使用权、知识产权等无形资产进行价值核定，避免后续产权纠纷。</w:t>
      </w:r>
    </w:p>
    <w:p w14:paraId="3B9F01FD">
      <w:pPr>
        <w:numPr>
          <w:ilvl w:val="0"/>
          <w:numId w:val="0"/>
        </w:numPr>
        <w:spacing w:beforeLines="0" w:afterLines="0" w:line="480" w:lineRule="exact"/>
        <w:ind w:left="560" w:leftChars="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9）其他相关财务竣工决算审核事项。</w:t>
      </w:r>
    </w:p>
    <w:p w14:paraId="6D0CAF12">
      <w:pPr>
        <w:numPr>
          <w:ilvl w:val="0"/>
          <w:numId w:val="0"/>
        </w:numPr>
        <w:spacing w:beforeLines="0" w:afterLines="0" w:line="480" w:lineRule="exact"/>
        <w:ind w:left="560" w:leftChars="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各项目单独出具项目财务竣工决算报告和项目财务竣工决算审核报告，委托人在项目实施过程中可根据项目具体情况保留对以上招标范围调整的权利，受托人需配合委托人工作且不得以此作为索赔、调整合同金额的理由。</w:t>
      </w:r>
    </w:p>
    <w:p w14:paraId="6359678A">
      <w:pPr>
        <w:numPr>
          <w:ilvl w:val="0"/>
          <w:numId w:val="0"/>
        </w:numPr>
        <w:spacing w:beforeLines="0" w:afterLines="0" w:line="480" w:lineRule="exact"/>
        <w:ind w:left="560" w:leftChars="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11）对本项目的财务收支进行全过程日常监督，并提供合理化建议。</w:t>
      </w:r>
    </w:p>
    <w:p w14:paraId="0F0C9FB2">
      <w:pPr>
        <w:numPr>
          <w:ilvl w:val="0"/>
          <w:numId w:val="0"/>
        </w:numPr>
        <w:spacing w:beforeLines="0" w:afterLines="0" w:line="480" w:lineRule="exact"/>
        <w:ind w:firstLine="482" w:firstLineChars="200"/>
        <w:rPr>
          <w:rFonts w:hint="eastAsia" w:cs="Times New Roman" w:eastAsiaTheme="minorEastAsia"/>
          <w:b/>
          <w:bCs/>
          <w:sz w:val="24"/>
          <w:szCs w:val="24"/>
          <w:lang w:val="en-US" w:eastAsia="zh-CN"/>
        </w:rPr>
      </w:pPr>
      <w:r>
        <w:rPr>
          <w:rFonts w:hint="eastAsia" w:cs="Times New Roman" w:eastAsiaTheme="minorEastAsia"/>
          <w:b/>
          <w:bCs/>
          <w:sz w:val="24"/>
          <w:szCs w:val="24"/>
          <w:lang w:val="en-US" w:eastAsia="zh-CN"/>
        </w:rPr>
        <w:t>九、其他商务要求</w:t>
      </w:r>
    </w:p>
    <w:p w14:paraId="3E4DFC18">
      <w:pPr>
        <w:numPr>
          <w:ilvl w:val="0"/>
          <w:numId w:val="4"/>
        </w:numPr>
        <w:spacing w:beforeLines="0" w:afterLines="0" w:line="480" w:lineRule="exact"/>
        <w:ind w:left="560" w:leftChars="0"/>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合同履行期限：合同签订起至所有项目验收结束为止（具体合同约定为准）；</w:t>
      </w:r>
    </w:p>
    <w:p w14:paraId="5FF887CC">
      <w:pPr>
        <w:numPr>
          <w:ilvl w:val="0"/>
          <w:numId w:val="4"/>
        </w:numPr>
        <w:spacing w:beforeLines="0" w:afterLines="0" w:line="480" w:lineRule="exact"/>
        <w:ind w:left="560" w:leftChars="0"/>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联合体：本项目接受联合体投标。组成联合体投标的，联合体成员不得超过2家，其中牵头方须具备工程造价咨询相关能力，成员方须具备财务审计相关能力；联合体各方应共同签订合法有效的联合体协议，明确各方权利义务、工作分工及连带责任，且各方不得再以自身名义或与其他单位组成新联合体参与本项目同一标段投标。</w:t>
      </w:r>
    </w:p>
    <w:p w14:paraId="091462EC">
      <w:pPr>
        <w:spacing w:beforeLines="0" w:afterLines="0" w:line="480" w:lineRule="exact"/>
        <w:rPr>
          <w:rFonts w:hint="default" w:ascii="Times New Roman" w:hAnsi="Times New Roman" w:cs="Times New Roman"/>
          <w:sz w:val="32"/>
          <w:szCs w:val="32"/>
        </w:rPr>
      </w:pPr>
      <w:r>
        <w:rPr>
          <w:rFonts w:hint="default" w:ascii="Times New Roman" w:hAnsi="Times New Roman" w:cs="Times New Roman"/>
          <w:sz w:val="32"/>
          <w:szCs w:val="32"/>
        </w:rPr>
        <w:br w:type="page"/>
      </w:r>
    </w:p>
    <w:p w14:paraId="4BB04513">
      <w:pPr>
        <w:pStyle w:val="2"/>
        <w:spacing w:before="0" w:beforeLines="0" w:after="0" w:afterLines="0" w:line="480" w:lineRule="exact"/>
        <w:rPr>
          <w:rFonts w:hint="eastAsia" w:ascii="Times New Roman" w:hAnsi="Times New Roman" w:eastAsia="宋体" w:cs="Times New Roman"/>
          <w:sz w:val="32"/>
          <w:szCs w:val="32"/>
          <w:lang w:val="en-US" w:eastAsia="zh-CN"/>
        </w:rPr>
      </w:pPr>
      <w:bookmarkStart w:id="312" w:name="_Toc24697"/>
      <w:r>
        <w:rPr>
          <w:rFonts w:hint="default" w:ascii="Times New Roman" w:hAnsi="Times New Roman" w:eastAsia="宋体" w:cs="Times New Roman"/>
          <w:sz w:val="32"/>
          <w:szCs w:val="32"/>
          <w:lang w:val="en-US" w:eastAsia="zh-CN"/>
        </w:rPr>
        <w:t>第四章</w:t>
      </w:r>
      <w:bookmarkStart w:id="313" w:name="_Toc10313"/>
      <w:bookmarkStart w:id="314" w:name="_Toc23622"/>
      <w:bookmarkStart w:id="315" w:name="_Toc163493632"/>
      <w:bookmarkStart w:id="316" w:name="_Toc264"/>
      <w:r>
        <w:rPr>
          <w:rFonts w:hint="eastAsia" w:ascii="Times New Roman" w:hAnsi="Times New Roman" w:eastAsia="宋体" w:cs="Times New Roman"/>
          <w:sz w:val="32"/>
          <w:szCs w:val="32"/>
          <w:lang w:val="en-US" w:eastAsia="zh-CN"/>
        </w:rPr>
        <w:t>评审方法及标准</w:t>
      </w:r>
      <w:bookmarkEnd w:id="312"/>
    </w:p>
    <w:p w14:paraId="3726A7B1">
      <w:pPr>
        <w:pStyle w:val="3"/>
        <w:keepNext w:val="0"/>
        <w:keepLines w:val="0"/>
        <w:pageBreakBefore w:val="0"/>
        <w:widowControl w:val="0"/>
        <w:numPr>
          <w:ilvl w:val="0"/>
          <w:numId w:val="0"/>
        </w:numPr>
        <w:kinsoku/>
        <w:wordWrap/>
        <w:overflowPunct/>
        <w:topLinePunct/>
        <w:autoSpaceDE/>
        <w:autoSpaceDN/>
        <w:bidi w:val="0"/>
        <w:adjustRightInd/>
        <w:snapToGrid/>
        <w:spacing w:before="120" w:after="120" w:line="460" w:lineRule="exact"/>
        <w:ind w:left="420" w:leftChars="0" w:hanging="420" w:firstLineChars="0"/>
        <w:textAlignment w:val="auto"/>
        <w:rPr>
          <w:rFonts w:hint="eastAsia" w:ascii="宋体" w:hAnsi="宋体" w:eastAsia="宋体" w:cs="宋体"/>
          <w:color w:val="000000" w:themeColor="text1"/>
          <w:sz w:val="28"/>
          <w:szCs w:val="28"/>
          <w:highlight w:val="none"/>
          <w:lang w:val="zh-CN"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一、</w:t>
      </w:r>
      <w:r>
        <w:rPr>
          <w:rFonts w:hint="eastAsia" w:ascii="宋体" w:hAnsi="宋体" w:eastAsia="宋体" w:cs="宋体"/>
          <w:color w:val="000000" w:themeColor="text1"/>
          <w:sz w:val="28"/>
          <w:szCs w:val="28"/>
          <w:highlight w:val="none"/>
          <w:lang w:val="zh-CN" w:eastAsia="zh-CN"/>
          <w14:textFill>
            <w14:solidFill>
              <w14:schemeClr w14:val="tx1"/>
            </w14:solidFill>
          </w14:textFill>
        </w:rPr>
        <w:t>评审方法</w:t>
      </w:r>
      <w:bookmarkEnd w:id="313"/>
      <w:bookmarkEnd w:id="314"/>
      <w:bookmarkEnd w:id="315"/>
      <w:bookmarkEnd w:id="316"/>
    </w:p>
    <w:p w14:paraId="23A8983F">
      <w:pPr>
        <w:pStyle w:val="48"/>
        <w:pageBreakBefore w:val="0"/>
        <w:widowControl w:val="0"/>
        <w:kinsoku/>
        <w:overflowPunct/>
        <w:topLinePunct/>
        <w:autoSpaceDE/>
        <w:autoSpaceDN/>
        <w:bidi w:val="0"/>
        <w:spacing w:line="460" w:lineRule="exact"/>
        <w:ind w:firstLine="480"/>
        <w:textAlignment w:val="auto"/>
        <w:rPr>
          <w:i w:val="0"/>
          <w:iCs w:val="0"/>
          <w:color w:val="000000" w:themeColor="text1"/>
          <w:highlight w:val="none"/>
          <w14:textFill>
            <w14:solidFill>
              <w14:schemeClr w14:val="tx1"/>
            </w14:solidFill>
          </w14:textFill>
        </w:rPr>
      </w:pPr>
      <w:r>
        <w:rPr>
          <w:rFonts w:hint="eastAsia"/>
          <w:i w:val="0"/>
          <w:iCs w:val="0"/>
          <w:color w:val="000000" w:themeColor="text1"/>
          <w:highlight w:val="none"/>
          <w14:textFill>
            <w14:solidFill>
              <w14:schemeClr w14:val="tx1"/>
            </w14:solidFill>
          </w14:textFill>
        </w:rPr>
        <w:t>本项目采用综合评分法。综合评分法是指经磋商确定最终采购需求和提交最后报价</w:t>
      </w:r>
      <w:r>
        <w:rPr>
          <w:rFonts w:hint="eastAsia"/>
          <w:b/>
          <w:bCs/>
          <w:i w:val="0"/>
          <w:iCs w:val="0"/>
          <w:color w:val="000000" w:themeColor="text1"/>
          <w:szCs w:val="24"/>
          <w:highlight w:val="none"/>
          <w:lang w:val="zh-CN"/>
          <w14:textFill>
            <w14:solidFill>
              <w14:schemeClr w14:val="tx1"/>
            </w14:solidFill>
          </w14:textFill>
        </w:rPr>
        <w:t>（因落实政府采购政策进行价格调整的，以调整后的价格计算）</w:t>
      </w:r>
      <w:r>
        <w:rPr>
          <w:rFonts w:hint="eastAsia"/>
          <w:i w:val="0"/>
          <w:iCs w:val="0"/>
          <w:color w:val="000000" w:themeColor="text1"/>
          <w:highlight w:val="none"/>
          <w14:textFill>
            <w14:solidFill>
              <w14:schemeClr w14:val="tx1"/>
            </w14:solidFill>
          </w14:textFill>
        </w:rPr>
        <w:t>的供应商的响应文件满足磋商文件全部实质性要求且按评审因素的量化指标评审得分最高的供应商为成交候选供应商的评审方法。</w:t>
      </w:r>
    </w:p>
    <w:p w14:paraId="05091CB8">
      <w:pPr>
        <w:pStyle w:val="3"/>
        <w:keepNext w:val="0"/>
        <w:keepLines w:val="0"/>
        <w:pageBreakBefore w:val="0"/>
        <w:widowControl w:val="0"/>
        <w:numPr>
          <w:ilvl w:val="0"/>
          <w:numId w:val="0"/>
        </w:numPr>
        <w:kinsoku/>
        <w:wordWrap/>
        <w:overflowPunct/>
        <w:topLinePunct/>
        <w:autoSpaceDE/>
        <w:autoSpaceDN/>
        <w:bidi w:val="0"/>
        <w:adjustRightInd/>
        <w:snapToGrid/>
        <w:spacing w:before="120" w:after="120" w:line="460" w:lineRule="exact"/>
        <w:ind w:left="420" w:leftChars="0" w:hanging="420" w:firstLineChars="0"/>
        <w:textAlignment w:val="auto"/>
        <w:rPr>
          <w:rFonts w:hint="eastAsia" w:ascii="宋体" w:hAnsi="宋体" w:eastAsia="宋体" w:cs="宋体"/>
          <w:color w:val="000000" w:themeColor="text1"/>
          <w:sz w:val="28"/>
          <w:szCs w:val="28"/>
          <w:highlight w:val="none"/>
          <w:lang w:val="zh-CN" w:eastAsia="zh-CN"/>
          <w14:textFill>
            <w14:solidFill>
              <w14:schemeClr w14:val="tx1"/>
            </w14:solidFill>
          </w14:textFill>
        </w:rPr>
      </w:pPr>
      <w:bookmarkStart w:id="317" w:name="_Toc8046"/>
      <w:bookmarkStart w:id="318" w:name="_Toc163493633"/>
      <w:bookmarkStart w:id="319" w:name="_Toc31045"/>
      <w:bookmarkStart w:id="320" w:name="_Toc21122"/>
      <w:r>
        <w:rPr>
          <w:rFonts w:hint="eastAsia" w:ascii="宋体" w:hAnsi="宋体" w:eastAsia="宋体" w:cs="宋体"/>
          <w:color w:val="000000" w:themeColor="text1"/>
          <w:sz w:val="28"/>
          <w:szCs w:val="28"/>
          <w:highlight w:val="none"/>
          <w:lang w:val="en-US" w:eastAsia="zh-CN"/>
          <w14:textFill>
            <w14:solidFill>
              <w14:schemeClr w14:val="tx1"/>
            </w14:solidFill>
          </w14:textFill>
        </w:rPr>
        <w:t>二、</w:t>
      </w:r>
      <w:r>
        <w:rPr>
          <w:rFonts w:hint="eastAsia" w:ascii="宋体" w:hAnsi="宋体" w:eastAsia="宋体" w:cs="宋体"/>
          <w:color w:val="000000" w:themeColor="text1"/>
          <w:sz w:val="28"/>
          <w:szCs w:val="28"/>
          <w:highlight w:val="none"/>
          <w:lang w:val="zh-CN" w:eastAsia="zh-CN"/>
          <w14:textFill>
            <w14:solidFill>
              <w14:schemeClr w14:val="tx1"/>
            </w14:solidFill>
          </w14:textFill>
        </w:rPr>
        <w:t>评审程序</w:t>
      </w:r>
      <w:bookmarkEnd w:id="317"/>
      <w:bookmarkEnd w:id="318"/>
      <w:bookmarkEnd w:id="319"/>
      <w:bookmarkEnd w:id="320"/>
    </w:p>
    <w:p w14:paraId="32F81DF8">
      <w:pPr>
        <w:pStyle w:val="4"/>
        <w:keepNext w:val="0"/>
        <w:keepLines w:val="0"/>
        <w:pageBreakBefore w:val="0"/>
        <w:widowControl w:val="0"/>
        <w:numPr>
          <w:ilvl w:val="0"/>
          <w:numId w:val="0"/>
        </w:numPr>
        <w:kinsoku/>
        <w:wordWrap/>
        <w:overflowPunct/>
        <w:topLinePunct/>
        <w:autoSpaceDE/>
        <w:autoSpaceDN/>
        <w:bidi w:val="0"/>
        <w:adjustRightInd/>
        <w:snapToGrid/>
        <w:spacing w:before="120" w:after="120" w:line="460" w:lineRule="exact"/>
        <w:ind w:left="420" w:leftChars="0" w:hanging="420" w:firstLineChars="0"/>
        <w:textAlignment w:val="auto"/>
        <w:rPr>
          <w:rFonts w:hint="eastAsia" w:ascii="宋体" w:hAnsi="宋体" w:eastAsia="宋体" w:cs="宋体"/>
          <w:b/>
          <w:bCs/>
          <w:color w:val="000000" w:themeColor="text1"/>
          <w:kern w:val="2"/>
          <w:sz w:val="24"/>
          <w:szCs w:val="24"/>
          <w:highlight w:val="none"/>
          <w:lang w:val="zh-CN" w:eastAsia="zh-CN" w:bidi="ar-SA"/>
          <w14:textFill>
            <w14:solidFill>
              <w14:schemeClr w14:val="tx1"/>
            </w14:solidFill>
          </w14:textFill>
        </w:rPr>
      </w:pPr>
      <w:bookmarkStart w:id="321" w:name="_Toc163493634"/>
      <w:r>
        <w:rPr>
          <w:rFonts w:hint="eastAsia" w:ascii="宋体" w:hAnsi="宋体" w:eastAsia="宋体" w:cs="宋体"/>
          <w:b/>
          <w:bCs/>
          <w:color w:val="000000" w:themeColor="text1"/>
          <w:kern w:val="2"/>
          <w:sz w:val="24"/>
          <w:szCs w:val="24"/>
          <w:highlight w:val="none"/>
          <w:lang w:val="zh-CN" w:eastAsia="zh-CN" w:bidi="ar-SA"/>
          <w14:textFill>
            <w14:solidFill>
              <w14:schemeClr w14:val="tx1"/>
            </w14:solidFill>
          </w14:textFill>
        </w:rPr>
        <w:t>（一）资格审查和符合性审查</w:t>
      </w:r>
      <w:bookmarkEnd w:id="321"/>
    </w:p>
    <w:p w14:paraId="07AF67EC">
      <w:pPr>
        <w:pageBreakBefore w:val="0"/>
        <w:widowControl w:val="0"/>
        <w:tabs>
          <w:tab w:val="left" w:pos="312"/>
        </w:tabs>
        <w:kinsoku/>
        <w:wordWrap w:val="0"/>
        <w:overflowPunct/>
        <w:topLinePunct/>
        <w:autoSpaceDE/>
        <w:autoSpaceDN/>
        <w:bidi w:val="0"/>
        <w:adjustRightInd w:val="0"/>
        <w:snapToGrid w:val="0"/>
        <w:spacing w:line="460" w:lineRule="exact"/>
        <w:ind w:firstLine="420" w:firstLineChars="200"/>
        <w:textAlignment w:val="auto"/>
        <w:rPr>
          <w:rFonts w:hint="eastAsia" w:ascii="宋体" w:hAnsi="宋体" w:eastAsia="宋体" w:cs="宋体"/>
          <w:i w:val="0"/>
          <w:iCs w:val="0"/>
          <w:color w:val="000000" w:themeColor="text1"/>
          <w:highlight w:val="none"/>
          <w:lang w:val="zh-CN"/>
          <w14:textFill>
            <w14:solidFill>
              <w14:schemeClr w14:val="tx1"/>
            </w14:solidFill>
          </w14:textFill>
        </w:rPr>
      </w:pPr>
      <w:r>
        <w:rPr>
          <w:rFonts w:hint="eastAsia" w:ascii="宋体" w:hAnsi="宋体" w:eastAsia="宋体" w:cs="宋体"/>
          <w:i w:val="0"/>
          <w:iCs w:val="0"/>
          <w:color w:val="000000" w:themeColor="text1"/>
          <w:szCs w:val="24"/>
          <w:highlight w:val="none"/>
          <w14:textFill>
            <w14:solidFill>
              <w14:schemeClr w14:val="tx1"/>
            </w14:solidFill>
          </w14:textFill>
        </w:rPr>
        <w:t>1.磋商小组</w:t>
      </w:r>
      <w:r>
        <w:rPr>
          <w:rFonts w:hint="eastAsia" w:ascii="宋体" w:hAnsi="宋体" w:eastAsia="宋体" w:cs="宋体"/>
          <w:i w:val="0"/>
          <w:iCs w:val="0"/>
          <w:color w:val="000000" w:themeColor="text1"/>
          <w:highlight w:val="none"/>
          <w14:textFill>
            <w14:solidFill>
              <w14:schemeClr w14:val="tx1"/>
            </w14:solidFill>
          </w14:textFill>
        </w:rPr>
        <w:t>根据磋商文件规定的供应商资格条件、评</w:t>
      </w:r>
      <w:r>
        <w:rPr>
          <w:rFonts w:hint="eastAsia" w:ascii="宋体" w:hAnsi="宋体" w:eastAsia="宋体" w:cs="宋体"/>
          <w:i w:val="0"/>
          <w:iCs w:val="0"/>
          <w:color w:val="000000" w:themeColor="text1"/>
          <w:highlight w:val="none"/>
          <w:lang w:val="en-US" w:eastAsia="zh-CN"/>
          <w14:textFill>
            <w14:solidFill>
              <w14:schemeClr w14:val="tx1"/>
            </w14:solidFill>
          </w14:textFill>
        </w:rPr>
        <w:t>审</w:t>
      </w:r>
      <w:r>
        <w:rPr>
          <w:rFonts w:hint="eastAsia" w:ascii="宋体" w:hAnsi="宋体" w:eastAsia="宋体" w:cs="宋体"/>
          <w:i w:val="0"/>
          <w:iCs w:val="0"/>
          <w:color w:val="000000" w:themeColor="text1"/>
          <w:highlight w:val="none"/>
          <w14:textFill>
            <w14:solidFill>
              <w14:schemeClr w14:val="tx1"/>
            </w14:solidFill>
          </w14:textFill>
        </w:rPr>
        <w:t>成交的标准等事项，对供应商的响应文件进行评审。资格审查和符合性审查不符合磋商文件要求的响应文件，按</w:t>
      </w:r>
      <w:r>
        <w:rPr>
          <w:rFonts w:hint="eastAsia" w:ascii="宋体" w:hAnsi="宋体" w:eastAsia="宋体" w:cs="宋体"/>
          <w:b/>
          <w:bCs/>
          <w:i w:val="0"/>
          <w:iCs w:val="0"/>
          <w:color w:val="000000" w:themeColor="text1"/>
          <w:highlight w:val="none"/>
          <w14:textFill>
            <w14:solidFill>
              <w14:schemeClr w14:val="tx1"/>
            </w14:solidFill>
          </w14:textFill>
        </w:rPr>
        <w:t>无效文件</w:t>
      </w:r>
      <w:r>
        <w:rPr>
          <w:rFonts w:hint="eastAsia" w:ascii="宋体" w:hAnsi="宋体" w:eastAsia="宋体" w:cs="宋体"/>
          <w:i w:val="0"/>
          <w:iCs w:val="0"/>
          <w:color w:val="000000" w:themeColor="text1"/>
          <w:highlight w:val="none"/>
          <w14:textFill>
            <w14:solidFill>
              <w14:schemeClr w14:val="tx1"/>
            </w14:solidFill>
          </w14:textFill>
        </w:rPr>
        <w:t>处理，不进入磋商，并告知有关供应商</w:t>
      </w:r>
      <w:r>
        <w:rPr>
          <w:rFonts w:hint="eastAsia" w:ascii="宋体" w:hAnsi="宋体" w:eastAsia="宋体" w:cs="宋体"/>
          <w:i w:val="0"/>
          <w:iCs w:val="0"/>
          <w:color w:val="000000" w:themeColor="text1"/>
          <w:highlight w:val="none"/>
          <w:lang w:val="zh-CN"/>
          <w14:textFill>
            <w14:solidFill>
              <w14:schemeClr w14:val="tx1"/>
            </w14:solidFill>
          </w14:textFill>
        </w:rPr>
        <w:t>。</w:t>
      </w:r>
    </w:p>
    <w:p w14:paraId="3E3D53A5">
      <w:pPr>
        <w:pStyle w:val="48"/>
        <w:pageBreakBefore w:val="0"/>
        <w:widowControl w:val="0"/>
        <w:kinsoku/>
        <w:overflowPunct/>
        <w:topLinePunct/>
        <w:autoSpaceDE/>
        <w:autoSpaceDN/>
        <w:bidi w:val="0"/>
        <w:spacing w:line="460" w:lineRule="exact"/>
        <w:ind w:firstLine="480"/>
        <w:textAlignment w:val="auto"/>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2.</w:t>
      </w:r>
      <w:r>
        <w:rPr>
          <w:rFonts w:hint="eastAsia" w:ascii="宋体" w:hAnsi="宋体" w:eastAsia="宋体" w:cs="宋体"/>
          <w:i w:val="0"/>
          <w:iCs w:val="0"/>
          <w:color w:val="000000" w:themeColor="text1"/>
          <w:highlight w:val="none"/>
          <w:lang w:val="en-US" w:eastAsia="zh-CN"/>
          <w14:textFill>
            <w14:solidFill>
              <w14:schemeClr w14:val="tx1"/>
            </w14:solidFill>
          </w14:textFill>
        </w:rPr>
        <w:t>通过</w:t>
      </w:r>
      <w:r>
        <w:rPr>
          <w:rFonts w:hint="eastAsia" w:ascii="宋体" w:hAnsi="宋体" w:eastAsia="宋体" w:cs="宋体"/>
          <w:i w:val="0"/>
          <w:iCs w:val="0"/>
          <w:color w:val="000000" w:themeColor="text1"/>
          <w:highlight w:val="none"/>
          <w14:textFill>
            <w14:solidFill>
              <w14:schemeClr w14:val="tx1"/>
            </w14:solidFill>
          </w14:textFill>
        </w:rPr>
        <w:t>资格性审查和符合性审查</w:t>
      </w:r>
      <w:r>
        <w:rPr>
          <w:rFonts w:hint="eastAsia" w:ascii="宋体" w:hAnsi="宋体" w:eastAsia="宋体" w:cs="宋体"/>
          <w:i w:val="0"/>
          <w:iCs w:val="0"/>
          <w:color w:val="000000" w:themeColor="text1"/>
          <w:highlight w:val="none"/>
          <w:lang w:val="en-US" w:eastAsia="zh-CN"/>
          <w14:textFill>
            <w14:solidFill>
              <w14:schemeClr w14:val="tx1"/>
            </w14:solidFill>
          </w14:textFill>
        </w:rPr>
        <w:t>的</w:t>
      </w:r>
      <w:r>
        <w:rPr>
          <w:rFonts w:hint="eastAsia" w:ascii="宋体" w:hAnsi="宋体" w:eastAsia="宋体" w:cs="宋体"/>
          <w:i w:val="0"/>
          <w:iCs w:val="0"/>
          <w:color w:val="000000" w:themeColor="text1"/>
          <w:highlight w:val="none"/>
          <w14:textFill>
            <w14:solidFill>
              <w14:schemeClr w14:val="tx1"/>
            </w14:solidFill>
          </w14:textFill>
        </w:rPr>
        <w:t>有效</w:t>
      </w:r>
      <w:r>
        <w:rPr>
          <w:rFonts w:hint="eastAsia" w:ascii="宋体" w:hAnsi="宋体" w:eastAsia="宋体" w:cs="宋体"/>
          <w:i w:val="0"/>
          <w:iCs w:val="0"/>
          <w:color w:val="000000" w:themeColor="text1"/>
          <w:highlight w:val="none"/>
          <w:lang w:eastAsia="zh-CN"/>
          <w14:textFill>
            <w14:solidFill>
              <w14:schemeClr w14:val="tx1"/>
            </w14:solidFill>
          </w14:textFill>
        </w:rPr>
        <w:t>供应商</w:t>
      </w:r>
      <w:r>
        <w:rPr>
          <w:rFonts w:hint="eastAsia" w:ascii="宋体" w:hAnsi="宋体" w:eastAsia="宋体" w:cs="宋体"/>
          <w:i w:val="0"/>
          <w:iCs w:val="0"/>
          <w:color w:val="000000" w:themeColor="text1"/>
          <w:highlight w:val="none"/>
          <w14:textFill>
            <w14:solidFill>
              <w14:schemeClr w14:val="tx1"/>
            </w14:solidFill>
          </w14:textFill>
        </w:rPr>
        <w:t>不足3家的应当终止竞争性磋商采购活动，发布项目终止公告并说明原因，重新开展采购活动。</w:t>
      </w:r>
    </w:p>
    <w:p w14:paraId="10DDB9AC">
      <w:pPr>
        <w:pStyle w:val="4"/>
        <w:keepNext w:val="0"/>
        <w:keepLines w:val="0"/>
        <w:pageBreakBefore w:val="0"/>
        <w:widowControl w:val="0"/>
        <w:numPr>
          <w:ilvl w:val="0"/>
          <w:numId w:val="0"/>
        </w:numPr>
        <w:kinsoku/>
        <w:wordWrap/>
        <w:overflowPunct/>
        <w:topLinePunct/>
        <w:autoSpaceDE/>
        <w:autoSpaceDN/>
        <w:bidi w:val="0"/>
        <w:adjustRightInd/>
        <w:snapToGrid/>
        <w:spacing w:before="120" w:after="120" w:line="460" w:lineRule="exact"/>
        <w:ind w:left="420" w:leftChars="0" w:hanging="420" w:firstLineChars="0"/>
        <w:textAlignment w:val="auto"/>
        <w:rPr>
          <w:rFonts w:hint="eastAsia" w:ascii="宋体" w:hAnsi="宋体" w:eastAsia="宋体" w:cs="宋体"/>
          <w:b/>
          <w:bCs/>
          <w:color w:val="000000" w:themeColor="text1"/>
          <w:kern w:val="2"/>
          <w:sz w:val="24"/>
          <w:szCs w:val="24"/>
          <w:highlight w:val="none"/>
          <w:lang w:val="zh-CN" w:eastAsia="zh-CN" w:bidi="ar-SA"/>
          <w14:textFill>
            <w14:solidFill>
              <w14:schemeClr w14:val="tx1"/>
            </w14:solidFill>
          </w14:textFill>
        </w:rPr>
      </w:pPr>
      <w:bookmarkStart w:id="322" w:name="_Toc163493635"/>
      <w:bookmarkStart w:id="323" w:name="_Hlk158124046"/>
      <w:bookmarkStart w:id="324" w:name="_Toc102057744"/>
      <w:bookmarkStart w:id="325" w:name="_Toc102116178"/>
      <w:bookmarkStart w:id="326" w:name="_Toc102116048"/>
      <w:bookmarkStart w:id="327" w:name="_Toc102056244"/>
      <w:bookmarkStart w:id="328" w:name="_Toc102119879"/>
      <w:bookmarkStart w:id="329" w:name="_Toc102114946"/>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（二）</w:t>
      </w:r>
      <w:r>
        <w:rPr>
          <w:rFonts w:hint="eastAsia" w:ascii="宋体" w:hAnsi="宋体" w:eastAsia="宋体" w:cs="宋体"/>
          <w:b/>
          <w:bCs/>
          <w:color w:val="000000" w:themeColor="text1"/>
          <w:kern w:val="2"/>
          <w:sz w:val="24"/>
          <w:szCs w:val="24"/>
          <w:highlight w:val="none"/>
          <w:lang w:val="zh-CN" w:eastAsia="zh-CN" w:bidi="ar-SA"/>
          <w14:textFill>
            <w14:solidFill>
              <w14:schemeClr w14:val="tx1"/>
            </w14:solidFill>
          </w14:textFill>
        </w:rPr>
        <w:t>响应文件澄清</w:t>
      </w:r>
      <w:bookmarkEnd w:id="322"/>
    </w:p>
    <w:p w14:paraId="1EBC9FF4">
      <w:pPr>
        <w:pStyle w:val="48"/>
        <w:keepNext w:val="0"/>
        <w:keepLines w:val="0"/>
        <w:pageBreakBefore w:val="0"/>
        <w:widowControl w:val="0"/>
        <w:kinsoku/>
        <w:overflowPunct/>
        <w:topLinePunct/>
        <w:autoSpaceDE/>
        <w:autoSpaceDN/>
        <w:bidi w:val="0"/>
        <w:adjustRightInd/>
        <w:snapToGrid/>
        <w:spacing w:line="460" w:lineRule="exact"/>
        <w:ind w:firstLine="480"/>
        <w:textAlignment w:val="auto"/>
        <w:rPr>
          <w:rFonts w:hint="eastAsia" w:ascii="宋体" w:hAnsi="宋体" w:eastAsia="宋体"/>
          <w:i w:val="0"/>
          <w:iCs w:val="0"/>
          <w:color w:val="000000" w:themeColor="text1"/>
          <w:highlight w:val="none"/>
          <w14:textFill>
            <w14:solidFill>
              <w14:schemeClr w14:val="tx1"/>
            </w14:solidFill>
          </w14:textFill>
        </w:rPr>
      </w:pPr>
      <w:r>
        <w:rPr>
          <w:rFonts w:hint="eastAsia" w:ascii="宋体" w:hAnsi="宋体" w:eastAsia="宋体"/>
          <w:i w:val="0"/>
          <w:iCs w:val="0"/>
          <w:color w:val="000000" w:themeColor="text1"/>
          <w:highlight w:val="none"/>
          <w14:textFill>
            <w14:solidFill>
              <w14:schemeClr w14:val="tx1"/>
            </w14:solidFill>
          </w14:textFill>
        </w:rPr>
        <w:t>1.</w:t>
      </w:r>
      <w:r>
        <w:rPr>
          <w:rFonts w:hint="eastAsia" w:ascii="宋体" w:hAnsi="宋体" w:eastAsia="宋体"/>
          <w:i w:val="0"/>
          <w:iCs w:val="0"/>
          <w:color w:val="000000" w:themeColor="text1"/>
          <w:highlight w:val="none"/>
          <w:lang w:val="en-US" w:eastAsia="zh-CN"/>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DA576B4">
      <w:pPr>
        <w:pStyle w:val="48"/>
        <w:keepNext w:val="0"/>
        <w:keepLines w:val="0"/>
        <w:pageBreakBefore w:val="0"/>
        <w:widowControl w:val="0"/>
        <w:kinsoku/>
        <w:overflowPunct/>
        <w:topLinePunct/>
        <w:autoSpaceDE/>
        <w:autoSpaceDN/>
        <w:bidi w:val="0"/>
        <w:adjustRightInd/>
        <w:snapToGrid/>
        <w:spacing w:line="460" w:lineRule="exact"/>
        <w:ind w:firstLine="480"/>
        <w:textAlignment w:val="auto"/>
        <w:rPr>
          <w:i w:val="0"/>
          <w:iCs w:val="0"/>
          <w:color w:val="000000" w:themeColor="text1"/>
          <w:highlight w:val="none"/>
          <w14:textFill>
            <w14:solidFill>
              <w14:schemeClr w14:val="tx1"/>
            </w14:solidFill>
          </w14:textFill>
        </w:rPr>
      </w:pPr>
      <w:r>
        <w:rPr>
          <w:rFonts w:hint="eastAsia" w:ascii="宋体" w:hAnsi="宋体" w:eastAsia="宋体"/>
          <w:i w:val="0"/>
          <w:iCs w:val="0"/>
          <w:color w:val="000000" w:themeColor="text1"/>
          <w:highlight w:val="none"/>
          <w:lang w:val="en-US" w:eastAsia="zh-CN"/>
          <w14:textFill>
            <w14:solidFill>
              <w14:schemeClr w14:val="tx1"/>
            </w14:solidFill>
          </w14:textFill>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bookmarkEnd w:id="323"/>
    <w:p w14:paraId="5DA89361">
      <w:pPr>
        <w:pStyle w:val="4"/>
        <w:keepNext w:val="0"/>
        <w:keepLines w:val="0"/>
        <w:pageBreakBefore w:val="0"/>
        <w:widowControl w:val="0"/>
        <w:numPr>
          <w:ilvl w:val="0"/>
          <w:numId w:val="0"/>
        </w:numPr>
        <w:kinsoku/>
        <w:wordWrap/>
        <w:overflowPunct/>
        <w:topLinePunct/>
        <w:autoSpaceDE/>
        <w:autoSpaceDN/>
        <w:bidi w:val="0"/>
        <w:adjustRightInd/>
        <w:snapToGrid/>
        <w:spacing w:before="120" w:after="120" w:line="460" w:lineRule="exact"/>
        <w:ind w:left="420" w:leftChars="0" w:hanging="420" w:firstLineChars="0"/>
        <w:textAlignment w:val="auto"/>
        <w:rPr>
          <w:rFonts w:hint="eastAsia" w:ascii="宋体" w:hAnsi="宋体" w:eastAsia="宋体" w:cs="宋体"/>
          <w:b/>
          <w:bCs/>
          <w:color w:val="000000" w:themeColor="text1"/>
          <w:kern w:val="2"/>
          <w:sz w:val="24"/>
          <w:szCs w:val="24"/>
          <w:highlight w:val="none"/>
          <w:lang w:val="zh-CN" w:eastAsia="zh-CN" w:bidi="ar-SA"/>
          <w14:textFill>
            <w14:solidFill>
              <w14:schemeClr w14:val="tx1"/>
            </w14:solidFill>
          </w14:textFill>
        </w:rPr>
      </w:pPr>
      <w:bookmarkStart w:id="330" w:name="_Toc163493636"/>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（三）</w:t>
      </w:r>
      <w:r>
        <w:rPr>
          <w:rFonts w:hint="eastAsia" w:ascii="宋体" w:hAnsi="宋体" w:eastAsia="宋体" w:cs="宋体"/>
          <w:b/>
          <w:bCs/>
          <w:color w:val="000000" w:themeColor="text1"/>
          <w:kern w:val="2"/>
          <w:sz w:val="24"/>
          <w:szCs w:val="24"/>
          <w:highlight w:val="none"/>
          <w:lang w:val="zh-CN" w:eastAsia="zh-CN" w:bidi="ar-SA"/>
          <w14:textFill>
            <w14:solidFill>
              <w14:schemeClr w14:val="tx1"/>
            </w14:solidFill>
          </w14:textFill>
        </w:rPr>
        <w:t>磋商程序</w:t>
      </w:r>
      <w:bookmarkEnd w:id="330"/>
    </w:p>
    <w:p w14:paraId="15E51562">
      <w:pPr>
        <w:pStyle w:val="48"/>
        <w:keepNext w:val="0"/>
        <w:keepLines w:val="0"/>
        <w:pageBreakBefore w:val="0"/>
        <w:widowControl w:val="0"/>
        <w:kinsoku/>
        <w:overflowPunct/>
        <w:topLinePunct/>
        <w:autoSpaceDE/>
        <w:autoSpaceDN/>
        <w:bidi w:val="0"/>
        <w:adjustRightInd/>
        <w:snapToGrid/>
        <w:spacing w:line="460" w:lineRule="exact"/>
        <w:ind w:firstLine="480"/>
        <w:textAlignment w:val="auto"/>
        <w:rPr>
          <w:i w:val="0"/>
          <w:iCs w:val="0"/>
          <w:color w:val="000000" w:themeColor="text1"/>
          <w:highlight w:val="none"/>
          <w14:textFill>
            <w14:solidFill>
              <w14:schemeClr w14:val="tx1"/>
            </w14:solidFill>
          </w14:textFill>
        </w:rPr>
      </w:pPr>
      <w:r>
        <w:rPr>
          <w:rFonts w:hint="eastAsia"/>
          <w:i w:val="0"/>
          <w:iCs w:val="0"/>
          <w:color w:val="000000" w:themeColor="text1"/>
          <w:highlight w:val="none"/>
          <w14:textFill>
            <w14:solidFill>
              <w14:schemeClr w14:val="tx1"/>
            </w14:solidFill>
          </w14:textFill>
        </w:rPr>
        <w:t>磋商小组应当依据磋商文件规定的程序、评</w:t>
      </w:r>
      <w:r>
        <w:rPr>
          <w:rFonts w:hint="eastAsia"/>
          <w:i w:val="0"/>
          <w:iCs w:val="0"/>
          <w:color w:val="000000" w:themeColor="text1"/>
          <w:highlight w:val="none"/>
          <w:lang w:val="en-US" w:eastAsia="zh-CN"/>
          <w14:textFill>
            <w14:solidFill>
              <w14:schemeClr w14:val="tx1"/>
            </w14:solidFill>
          </w14:textFill>
        </w:rPr>
        <w:t>审</w:t>
      </w:r>
      <w:r>
        <w:rPr>
          <w:rFonts w:hint="eastAsia"/>
          <w:i w:val="0"/>
          <w:iCs w:val="0"/>
          <w:color w:val="000000" w:themeColor="text1"/>
          <w:highlight w:val="none"/>
          <w14:textFill>
            <w14:solidFill>
              <w14:schemeClr w14:val="tx1"/>
            </w14:solidFill>
          </w14:textFill>
        </w:rPr>
        <w:t>成交的标准等事项与</w:t>
      </w:r>
      <w:r>
        <w:rPr>
          <w:rFonts w:hint="eastAsia" w:cs="Helvetica"/>
          <w:i w:val="0"/>
          <w:iCs w:val="0"/>
          <w:color w:val="000000" w:themeColor="text1"/>
          <w:szCs w:val="24"/>
          <w:highlight w:val="none"/>
          <w:lang w:val="zh-CN"/>
          <w14:textFill>
            <w14:solidFill>
              <w14:schemeClr w14:val="tx1"/>
            </w14:solidFill>
          </w14:textFill>
        </w:rPr>
        <w:t>实质性</w:t>
      </w:r>
      <w:r>
        <w:rPr>
          <w:rFonts w:hint="eastAsia"/>
          <w:i w:val="0"/>
          <w:iCs w:val="0"/>
          <w:color w:val="000000" w:themeColor="text1"/>
          <w:highlight w:val="none"/>
          <w14:textFill>
            <w14:solidFill>
              <w14:schemeClr w14:val="tx1"/>
            </w14:solidFill>
          </w14:textFill>
        </w:rPr>
        <w:t>响应磋商文件要求的供应商</w:t>
      </w:r>
      <w:r>
        <w:rPr>
          <w:i w:val="0"/>
          <w:iCs w:val="0"/>
          <w:color w:val="000000" w:themeColor="text1"/>
          <w:highlight w:val="none"/>
          <w14:textFill>
            <w14:solidFill>
              <w14:schemeClr w14:val="tx1"/>
            </w14:solidFill>
          </w14:textFill>
        </w:rPr>
        <w:t>进行</w:t>
      </w:r>
      <w:r>
        <w:rPr>
          <w:rFonts w:hint="eastAsia"/>
          <w:i w:val="0"/>
          <w:iCs w:val="0"/>
          <w:color w:val="000000" w:themeColor="text1"/>
          <w:highlight w:val="none"/>
          <w14:textFill>
            <w14:solidFill>
              <w14:schemeClr w14:val="tx1"/>
            </w14:solidFill>
          </w14:textFill>
        </w:rPr>
        <w:t>磋商。</w:t>
      </w:r>
    </w:p>
    <w:p w14:paraId="6C86CD4E">
      <w:pPr>
        <w:pStyle w:val="5"/>
        <w:keepNext w:val="0"/>
        <w:keepLines w:val="0"/>
        <w:pageBreakBefore w:val="0"/>
        <w:widowControl w:val="0"/>
        <w:numPr>
          <w:ilvl w:val="0"/>
          <w:numId w:val="0"/>
        </w:numPr>
        <w:kinsoku/>
        <w:wordWrap/>
        <w:overflowPunct/>
        <w:topLinePunct/>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1.第一轮磋商</w:t>
      </w:r>
    </w:p>
    <w:p w14:paraId="05B484EB">
      <w:pPr>
        <w:pStyle w:val="48"/>
        <w:topLinePunct/>
        <w:bidi w:val="0"/>
        <w:ind w:firstLine="480"/>
        <w:textAlignment w:val="auto"/>
        <w:rPr>
          <w:rFonts w:hint="eastAsia" w:ascii="宋体" w:hAnsi="宋体" w:eastAsia="宋体" w:cs="宋体"/>
          <w:i w:val="0"/>
          <w:iCs w:val="0"/>
          <w:color w:val="000000" w:themeColor="text1"/>
          <w:szCs w:val="24"/>
          <w:highlight w:val="none"/>
          <w14:textFill>
            <w14:solidFill>
              <w14:schemeClr w14:val="tx1"/>
            </w14:solidFill>
          </w14:textFill>
        </w:rPr>
      </w:pPr>
      <w:r>
        <w:rPr>
          <w:rFonts w:hint="eastAsia" w:ascii="宋体" w:hAnsi="宋体" w:eastAsia="宋体" w:cs="宋体"/>
          <w:i w:val="0"/>
          <w:iCs w:val="0"/>
          <w:color w:val="000000" w:themeColor="text1"/>
          <w:highlight w:val="none"/>
          <w:lang w:val="zh-CN"/>
          <w14:textFill>
            <w14:solidFill>
              <w14:schemeClr w14:val="tx1"/>
            </w14:solidFill>
          </w14:textFill>
        </w:rPr>
        <w:t>1.1磋商小组将按照系统随机的顺序决定供应商的磋商顺序，并集中与单一供应商分别进行磋商</w:t>
      </w:r>
      <w:r>
        <w:rPr>
          <w:rFonts w:hint="eastAsia" w:ascii="宋体" w:hAnsi="宋体" w:eastAsia="宋体" w:cs="宋体"/>
          <w:i w:val="0"/>
          <w:iCs w:val="0"/>
          <w:color w:val="000000" w:themeColor="text1"/>
          <w:szCs w:val="24"/>
          <w:highlight w:val="none"/>
          <w14:textFill>
            <w14:solidFill>
              <w14:schemeClr w14:val="tx1"/>
            </w14:solidFill>
          </w14:textFill>
        </w:rPr>
        <w:t>。</w:t>
      </w:r>
    </w:p>
    <w:p w14:paraId="204E28A0">
      <w:pPr>
        <w:pStyle w:val="48"/>
        <w:topLinePunct/>
        <w:bidi w:val="0"/>
        <w:ind w:firstLine="480"/>
        <w:textAlignment w:val="auto"/>
        <w:rPr>
          <w:rFonts w:hint="eastAsia" w:ascii="宋体" w:hAnsi="宋体" w:eastAsia="宋体" w:cs="宋体"/>
          <w:i w:val="0"/>
          <w:iCs w:val="0"/>
          <w:color w:val="000000" w:themeColor="text1"/>
          <w:szCs w:val="24"/>
          <w:highlight w:val="none"/>
          <w14:textFill>
            <w14:solidFill>
              <w14:schemeClr w14:val="tx1"/>
            </w14:solidFill>
          </w14:textFill>
        </w:rPr>
      </w:pPr>
      <w:r>
        <w:rPr>
          <w:rFonts w:hint="eastAsia" w:ascii="宋体" w:hAnsi="宋体" w:eastAsia="宋体" w:cs="宋体"/>
          <w:i w:val="0"/>
          <w:iCs w:val="0"/>
          <w:color w:val="000000" w:themeColor="text1"/>
          <w:szCs w:val="24"/>
          <w:highlight w:val="none"/>
          <w14:textFill>
            <w14:solidFill>
              <w14:schemeClr w14:val="tx1"/>
            </w14:solidFill>
          </w14:textFill>
        </w:rPr>
        <w:t>1.2磋商小组所有成员应当对照磋商文件和响应文件就采购需求、质量和服务等内容集中与单一供应商分别进行磋商，并给予所有参加磋商的供应商平等的磋商机会。在磋商中，磋商的任何一方不得透露与磋商有关的其他供应商的技术资料、价格和其他信息。</w:t>
      </w:r>
    </w:p>
    <w:p w14:paraId="53374ED9">
      <w:pPr>
        <w:pStyle w:val="48"/>
        <w:topLinePunct/>
        <w:bidi w:val="0"/>
        <w:ind w:firstLine="480"/>
        <w:textAlignment w:val="auto"/>
        <w:rPr>
          <w:rFonts w:hint="eastAsia" w:ascii="宋体" w:hAnsi="宋体" w:eastAsia="宋体" w:cs="宋体"/>
          <w:i w:val="0"/>
          <w:iCs w:val="0"/>
          <w:color w:val="000000" w:themeColor="text1"/>
          <w:szCs w:val="24"/>
          <w:highlight w:val="none"/>
          <w:lang w:eastAsia="zh-CN"/>
          <w14:textFill>
            <w14:solidFill>
              <w14:schemeClr w14:val="tx1"/>
            </w14:solidFill>
          </w14:textFill>
        </w:rPr>
      </w:pPr>
      <w:r>
        <w:rPr>
          <w:rFonts w:hint="eastAsia" w:ascii="宋体" w:hAnsi="宋体" w:eastAsia="宋体" w:cs="宋体"/>
          <w:i w:val="0"/>
          <w:iCs w:val="0"/>
          <w:color w:val="000000" w:themeColor="text1"/>
          <w:szCs w:val="24"/>
          <w:highlight w:val="none"/>
          <w14:textFill>
            <w14:solidFill>
              <w14:schemeClr w14:val="tx1"/>
            </w14:solidFill>
          </w14:textFill>
        </w:rPr>
        <w:t>1.3磋商过程中，磋商小组可以根据磋商文件和磋商情况实质性变动采购需求中的技术、服务要求以及合同草案条款，但不得变动磋商文件中的其他内容。实质性变动的内容，须经采购人代表确认。</w:t>
      </w:r>
    </w:p>
    <w:p w14:paraId="3D9DD515">
      <w:pPr>
        <w:pStyle w:val="48"/>
        <w:topLinePunct/>
        <w:bidi w:val="0"/>
        <w:ind w:firstLine="480"/>
        <w:textAlignment w:val="auto"/>
        <w:rPr>
          <w:rFonts w:hint="eastAsia" w:ascii="宋体" w:hAnsi="宋体" w:eastAsia="宋体" w:cs="宋体"/>
          <w:i w:val="0"/>
          <w:iCs w:val="0"/>
          <w:color w:val="000000" w:themeColor="text1"/>
          <w:szCs w:val="24"/>
          <w:highlight w:val="none"/>
          <w14:textFill>
            <w14:solidFill>
              <w14:schemeClr w14:val="tx1"/>
            </w14:solidFill>
          </w14:textFill>
        </w:rPr>
      </w:pPr>
      <w:r>
        <w:rPr>
          <w:rFonts w:hint="eastAsia" w:ascii="宋体" w:hAnsi="宋体" w:eastAsia="宋体" w:cs="宋体"/>
          <w:i w:val="0"/>
          <w:iCs w:val="0"/>
          <w:color w:val="000000" w:themeColor="text1"/>
          <w:szCs w:val="24"/>
          <w:highlight w:val="none"/>
          <w14:textFill>
            <w14:solidFill>
              <w14:schemeClr w14:val="tx1"/>
            </w14:solidFill>
          </w14:textFill>
        </w:rPr>
        <w:t>1.4对磋商文件作出的实质性变动的内容是磋商文件的有效组成部分。磋商小组应将磋商文件的变动情况以书面</w:t>
      </w:r>
      <w:r>
        <w:rPr>
          <w:rFonts w:hint="eastAsia" w:ascii="宋体" w:hAnsi="宋体" w:eastAsia="宋体" w:cs="宋体"/>
          <w:i w:val="0"/>
          <w:iCs w:val="0"/>
          <w:color w:val="000000" w:themeColor="text1"/>
          <w:szCs w:val="24"/>
          <w:highlight w:val="none"/>
          <w:lang w:val="en-US" w:eastAsia="zh-CN"/>
          <w14:textFill>
            <w14:solidFill>
              <w14:schemeClr w14:val="tx1"/>
            </w14:solidFill>
          </w14:textFill>
        </w:rPr>
        <w:t>形</w:t>
      </w:r>
      <w:r>
        <w:rPr>
          <w:rFonts w:hint="eastAsia" w:ascii="宋体" w:hAnsi="宋体" w:eastAsia="宋体" w:cs="宋体"/>
          <w:i w:val="0"/>
          <w:iCs w:val="0"/>
          <w:color w:val="000000" w:themeColor="text1"/>
          <w:szCs w:val="24"/>
          <w:highlight w:val="none"/>
          <w14:textFill>
            <w14:solidFill>
              <w14:schemeClr w14:val="tx1"/>
            </w14:solidFill>
          </w14:textFill>
        </w:rPr>
        <w:t>式通知所有参加磋商的供应商。</w:t>
      </w:r>
    </w:p>
    <w:p w14:paraId="15505618">
      <w:pPr>
        <w:pStyle w:val="48"/>
        <w:topLinePunct/>
        <w:bidi w:val="0"/>
        <w:ind w:firstLine="480"/>
        <w:textAlignment w:val="auto"/>
        <w:rPr>
          <w:rFonts w:hint="eastAsia" w:cs="宋体"/>
          <w:i w:val="0"/>
          <w:iCs w:val="0"/>
          <w:color w:val="000000" w:themeColor="text1"/>
          <w:szCs w:val="24"/>
          <w:highlight w:val="none"/>
          <w14:textFill>
            <w14:solidFill>
              <w14:schemeClr w14:val="tx1"/>
            </w14:solidFill>
          </w14:textFill>
        </w:rPr>
      </w:pPr>
      <w:r>
        <w:rPr>
          <w:rFonts w:hint="eastAsia" w:ascii="宋体" w:hAnsi="宋体" w:eastAsia="宋体" w:cs="宋体"/>
          <w:i w:val="0"/>
          <w:iCs w:val="0"/>
          <w:color w:val="000000" w:themeColor="text1"/>
          <w:szCs w:val="24"/>
          <w:highlight w:val="none"/>
          <w14:textFill>
            <w14:solidFill>
              <w14:schemeClr w14:val="tx1"/>
            </w14:solidFill>
          </w14:textFill>
        </w:rPr>
        <w:t>1.5供应商应当按照磋商文件的变动情况和磋商小组的要求在规定的时间内重新提交响应文件，并由其法定代表人或授权代表签字或者加盖公章。由授权代表签字的，应当附法定代表人授权书。供应商为自然人的，应当由本人签字并附身份证明。逾时不提交的，视同退出磋商。</w:t>
      </w:r>
    </w:p>
    <w:p w14:paraId="074F1F03">
      <w:pPr>
        <w:pStyle w:val="5"/>
        <w:keepNext w:val="0"/>
        <w:keepLines w:val="0"/>
        <w:pageBreakBefore w:val="0"/>
        <w:widowControl w:val="0"/>
        <w:numPr>
          <w:ilvl w:val="0"/>
          <w:numId w:val="0"/>
        </w:numPr>
        <w:kinsoku/>
        <w:wordWrap/>
        <w:overflowPunct/>
        <w:topLinePunct/>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2.多轮磋商</w:t>
      </w:r>
    </w:p>
    <w:p w14:paraId="2DB86549">
      <w:pPr>
        <w:pStyle w:val="48"/>
        <w:topLinePunct/>
        <w:bidi w:val="0"/>
        <w:ind w:firstLine="480"/>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2.1磋商文件中不能详细列明采购标的的技术、服务要求，需经磋商由供应商提供最终设计方案或解决方案的项目，磋商小组可以根据采购人对采购需求的确认情况，进行多轮磋商，直到采购人代表最终确认采购需求为止。</w:t>
      </w:r>
    </w:p>
    <w:p w14:paraId="7F0928A0">
      <w:pPr>
        <w:pStyle w:val="48"/>
        <w:topLinePunct/>
        <w:bidi w:val="0"/>
        <w:ind w:firstLine="480"/>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2.</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i w:val="0"/>
          <w:iCs w:val="0"/>
          <w:color w:val="000000" w:themeColor="text1"/>
          <w:sz w:val="21"/>
          <w:szCs w:val="21"/>
          <w:highlight w:val="none"/>
          <w14:textFill>
            <w14:solidFill>
              <w14:schemeClr w14:val="tx1"/>
            </w14:solidFill>
          </w14:textFill>
        </w:rPr>
        <w:t>磋商程序同第一轮磋商。</w:t>
      </w:r>
    </w:p>
    <w:p w14:paraId="17FBD91A">
      <w:pPr>
        <w:pStyle w:val="48"/>
        <w:topLinePunct/>
        <w:bidi w:val="0"/>
        <w:ind w:firstLine="480"/>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2.3</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本项目磋商轮次“供应商须知前附表”。</w:t>
      </w:r>
    </w:p>
    <w:p w14:paraId="39DD4FD6">
      <w:pPr>
        <w:pStyle w:val="5"/>
        <w:keepNext w:val="0"/>
        <w:keepLines w:val="0"/>
        <w:pageBreakBefore w:val="0"/>
        <w:widowControl w:val="0"/>
        <w:numPr>
          <w:ilvl w:val="0"/>
          <w:numId w:val="0"/>
        </w:numPr>
        <w:kinsoku/>
        <w:wordWrap/>
        <w:overflowPunct/>
        <w:topLinePunct/>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3.最后报价</w:t>
      </w:r>
    </w:p>
    <w:p w14:paraId="244733ED">
      <w:pPr>
        <w:pStyle w:val="48"/>
        <w:topLinePunct/>
        <w:bidi w:val="0"/>
        <w:ind w:firstLine="480"/>
        <w:textAlignment w:val="auto"/>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3.1磋商文件中能够详细列明采购标的的技术、服务要求的，磋商结束后，磋商小组应当要求所有</w:t>
      </w:r>
      <w:r>
        <w:rPr>
          <w:rFonts w:hint="eastAsia" w:ascii="宋体" w:hAnsi="宋体" w:eastAsia="宋体" w:cs="宋体"/>
          <w:i w:val="0"/>
          <w:iCs w:val="0"/>
          <w:color w:val="000000" w:themeColor="text1"/>
          <w:highlight w:val="none"/>
          <w:lang w:val="en-US" w:eastAsia="zh-CN"/>
          <w14:textFill>
            <w14:solidFill>
              <w14:schemeClr w14:val="tx1"/>
            </w14:solidFill>
          </w14:textFill>
        </w:rPr>
        <w:t>实质性响应</w:t>
      </w:r>
      <w:r>
        <w:rPr>
          <w:rFonts w:hint="eastAsia" w:ascii="宋体" w:hAnsi="宋体" w:eastAsia="宋体" w:cs="宋体"/>
          <w:i w:val="0"/>
          <w:iCs w:val="0"/>
          <w:color w:val="000000" w:themeColor="text1"/>
          <w:highlight w:val="none"/>
          <w14:textFill>
            <w14:solidFill>
              <w14:schemeClr w14:val="tx1"/>
            </w14:solidFill>
          </w14:textFill>
        </w:rPr>
        <w:t>的供应商，在规定时间内，以书面的方式经授权代表签字（或加盖公章）后提交最后报价，提交最后报价的供应商不得少于3家</w:t>
      </w:r>
      <w:r>
        <w:rPr>
          <w:rFonts w:hint="eastAsia" w:ascii="宋体" w:hAnsi="宋体" w:eastAsia="宋体" w:cs="宋体"/>
          <w:i w:val="0"/>
          <w:iCs w:val="0"/>
          <w:color w:val="000000" w:themeColor="text1"/>
          <w:szCs w:val="24"/>
          <w:highlight w:val="none"/>
          <w:lang w:val="zh-CN"/>
          <w14:textFill>
            <w14:solidFill>
              <w14:schemeClr w14:val="tx1"/>
            </w14:solidFill>
          </w14:textFill>
        </w:rPr>
        <w:t>（</w:t>
      </w:r>
      <w:r>
        <w:rPr>
          <w:rFonts w:hint="eastAsia" w:ascii="宋体" w:hAnsi="宋体" w:eastAsia="宋体" w:cs="宋体"/>
          <w:i w:val="0"/>
          <w:iCs w:val="0"/>
          <w:color w:val="000000" w:themeColor="text1"/>
          <w:highlight w:val="none"/>
          <w14:textFill>
            <w14:solidFill>
              <w14:schemeClr w14:val="tx1"/>
            </w14:solidFill>
          </w14:textFill>
        </w:rPr>
        <w:t>市场竞争不充分的科研项目，以及需要扶持的科技成果转化项目可以为2家，</w:t>
      </w:r>
      <w:r>
        <w:rPr>
          <w:rFonts w:hint="eastAsia" w:ascii="宋体" w:hAnsi="宋体" w:eastAsia="宋体" w:cs="宋体"/>
          <w:i w:val="0"/>
          <w:iCs w:val="0"/>
          <w:snapToGrid w:val="0"/>
          <w:color w:val="000000" w:themeColor="text1"/>
          <w:highlight w:val="none"/>
          <w14:textFill>
            <w14:solidFill>
              <w14:schemeClr w14:val="tx1"/>
            </w14:solidFill>
          </w14:textFill>
        </w:rPr>
        <w:t>政府购买服务项目[含政府和社会资本合作项目]，在采购过程中符合要求的供应商[社会资本]只有2家的</w:t>
      </w:r>
      <w:r>
        <w:rPr>
          <w:rFonts w:hint="eastAsia" w:ascii="宋体" w:hAnsi="宋体" w:eastAsia="宋体" w:cs="宋体"/>
          <w:i w:val="0"/>
          <w:iCs w:val="0"/>
          <w:color w:val="000000" w:themeColor="text1"/>
          <w:highlight w:val="none"/>
          <w14:textFill>
            <w14:solidFill>
              <w14:schemeClr w14:val="tx1"/>
            </w14:solidFill>
          </w14:textFill>
        </w:rPr>
        <w:t>可以为2家</w:t>
      </w:r>
      <w:r>
        <w:rPr>
          <w:rFonts w:hint="eastAsia" w:ascii="宋体" w:hAnsi="宋体" w:eastAsia="宋体" w:cs="宋体"/>
          <w:i w:val="0"/>
          <w:iCs w:val="0"/>
          <w:color w:val="000000" w:themeColor="text1"/>
          <w:szCs w:val="24"/>
          <w:highlight w:val="none"/>
          <w:lang w:val="zh-CN"/>
          <w14:textFill>
            <w14:solidFill>
              <w14:schemeClr w14:val="tx1"/>
            </w14:solidFill>
          </w14:textFill>
        </w:rPr>
        <w:t>）</w:t>
      </w:r>
      <w:r>
        <w:rPr>
          <w:rFonts w:hint="eastAsia" w:ascii="宋体" w:hAnsi="宋体" w:eastAsia="宋体" w:cs="宋体"/>
          <w:i w:val="0"/>
          <w:iCs w:val="0"/>
          <w:color w:val="000000" w:themeColor="text1"/>
          <w:highlight w:val="none"/>
          <w14:textFill>
            <w14:solidFill>
              <w14:schemeClr w14:val="tx1"/>
            </w14:solidFill>
          </w14:textFill>
        </w:rPr>
        <w:t>。</w:t>
      </w:r>
    </w:p>
    <w:p w14:paraId="41D8085F">
      <w:pPr>
        <w:pStyle w:val="48"/>
        <w:topLinePunct/>
        <w:bidi w:val="0"/>
        <w:ind w:firstLine="480"/>
        <w:textAlignment w:val="auto"/>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3.2磋商文件中不能详细列明采购标的的技术、服务要求，需经磋商由供应商提供最</w:t>
      </w:r>
      <w:r>
        <w:rPr>
          <w:rFonts w:hint="eastAsia" w:ascii="宋体" w:hAnsi="宋体" w:eastAsia="宋体" w:cs="宋体"/>
          <w:i w:val="0"/>
          <w:iCs w:val="0"/>
          <w:color w:val="000000" w:themeColor="text1"/>
          <w:highlight w:val="none"/>
          <w:lang w:val="en-US" w:eastAsia="zh-CN"/>
          <w14:textFill>
            <w14:solidFill>
              <w14:schemeClr w14:val="tx1"/>
            </w14:solidFill>
          </w14:textFill>
        </w:rPr>
        <w:t>终</w:t>
      </w:r>
      <w:r>
        <w:rPr>
          <w:rFonts w:hint="eastAsia" w:ascii="宋体" w:hAnsi="宋体" w:eastAsia="宋体" w:cs="宋体"/>
          <w:i w:val="0"/>
          <w:iCs w:val="0"/>
          <w:color w:val="000000" w:themeColor="text1"/>
          <w:highlight w:val="none"/>
          <w14:textFill>
            <w14:solidFill>
              <w14:schemeClr w14:val="tx1"/>
            </w14:solidFill>
          </w14:textFill>
        </w:rPr>
        <w:t>设计方案或解决方案的，磋商结束后，磋商小组应当按照少数服从多数的原则投票推荐3家以上供应商的设计方案或者解决方案，并要求其在规定时间内提交最后报价。</w:t>
      </w:r>
    </w:p>
    <w:p w14:paraId="2A86B289">
      <w:pPr>
        <w:pStyle w:val="48"/>
        <w:topLinePunct/>
        <w:bidi w:val="0"/>
        <w:ind w:firstLine="480"/>
        <w:textAlignment w:val="auto"/>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3.</w:t>
      </w:r>
      <w:r>
        <w:rPr>
          <w:rFonts w:hint="eastAsia" w:ascii="宋体" w:hAnsi="宋体" w:eastAsia="宋体" w:cs="宋体"/>
          <w:i w:val="0"/>
          <w:iCs w:val="0"/>
          <w:color w:val="000000" w:themeColor="text1"/>
          <w:highlight w:val="none"/>
          <w:lang w:val="en-US" w:eastAsia="zh-CN"/>
          <w14:textFill>
            <w14:solidFill>
              <w14:schemeClr w14:val="tx1"/>
            </w14:solidFill>
          </w14:textFill>
        </w:rPr>
        <w:t>3</w:t>
      </w:r>
      <w:r>
        <w:rPr>
          <w:rFonts w:hint="eastAsia" w:ascii="宋体" w:hAnsi="宋体" w:eastAsia="宋体" w:cs="宋体"/>
          <w:i w:val="0"/>
          <w:iCs w:val="0"/>
          <w:color w:val="000000" w:themeColor="text1"/>
          <w:highlight w:val="none"/>
          <w14:textFill>
            <w14:solidFill>
              <w14:schemeClr w14:val="tx1"/>
            </w14:solidFill>
          </w14:textFill>
        </w:rPr>
        <w:t>最后报价是供应商响应文件的有效组成部分。逾时不提交的，视同退出磋商。</w:t>
      </w:r>
    </w:p>
    <w:p w14:paraId="28CC08F4">
      <w:pPr>
        <w:pStyle w:val="48"/>
        <w:topLinePunct/>
        <w:bidi w:val="0"/>
        <w:ind w:firstLine="480"/>
        <w:textAlignment w:val="auto"/>
        <w:rPr>
          <w:rFonts w:hint="eastAsia" w:ascii="宋体" w:hAnsi="宋体" w:eastAsia="宋体" w:cs="宋体"/>
          <w:i w:val="0"/>
          <w:iCs w:val="0"/>
          <w:color w:val="000000" w:themeColor="text1"/>
          <w:highlight w:val="none"/>
          <w:lang w:val="zh-CN"/>
          <w14:textFill>
            <w14:solidFill>
              <w14:schemeClr w14:val="tx1"/>
            </w14:solidFill>
          </w14:textFill>
        </w:rPr>
      </w:pPr>
      <w:r>
        <w:rPr>
          <w:rFonts w:hint="eastAsia" w:ascii="宋体" w:hAnsi="宋体" w:eastAsia="宋体" w:cs="宋体"/>
          <w:i w:val="0"/>
          <w:iCs w:val="0"/>
          <w:color w:val="000000" w:themeColor="text1"/>
          <w:highlight w:val="none"/>
          <w:lang w:val="zh-CN"/>
          <w14:textFill>
            <w14:solidFill>
              <w14:schemeClr w14:val="tx1"/>
            </w14:solidFill>
          </w14:textFill>
        </w:rPr>
        <w:t>最后报价出现前后不一致的，按照下列规定修正：</w:t>
      </w:r>
    </w:p>
    <w:p w14:paraId="26D2D633">
      <w:pPr>
        <w:pStyle w:val="48"/>
        <w:topLinePunct/>
        <w:bidi w:val="0"/>
        <w:ind w:firstLine="480"/>
        <w:textAlignment w:val="auto"/>
        <w:rPr>
          <w:rFonts w:hint="eastAsia" w:ascii="宋体" w:hAnsi="宋体" w:eastAsia="宋体" w:cs="宋体"/>
          <w:i w:val="0"/>
          <w:iCs w:val="0"/>
          <w:color w:val="000000" w:themeColor="text1"/>
          <w:highlight w:val="none"/>
          <w:lang w:val="zh-CN"/>
          <w14:textFill>
            <w14:solidFill>
              <w14:schemeClr w14:val="tx1"/>
            </w14:solidFill>
          </w14:textFill>
        </w:rPr>
      </w:pPr>
      <w:r>
        <w:rPr>
          <w:rFonts w:hint="eastAsia" w:ascii="宋体" w:hAnsi="宋体" w:eastAsia="宋体" w:cs="宋体"/>
          <w:i w:val="0"/>
          <w:iCs w:val="0"/>
          <w:color w:val="000000" w:themeColor="text1"/>
          <w:highlight w:val="none"/>
          <w:lang w:val="zh-CN"/>
          <w14:textFill>
            <w14:solidFill>
              <w14:schemeClr w14:val="tx1"/>
            </w14:solidFill>
          </w14:textFill>
        </w:rPr>
        <w:t>（1）大写金额和小写金额不一致的，以大写金额为准；</w:t>
      </w:r>
    </w:p>
    <w:p w14:paraId="0E30688D">
      <w:pPr>
        <w:pStyle w:val="48"/>
        <w:topLinePunct/>
        <w:bidi w:val="0"/>
        <w:ind w:firstLine="480"/>
        <w:textAlignment w:val="auto"/>
        <w:rPr>
          <w:rFonts w:hint="eastAsia" w:ascii="宋体" w:hAnsi="宋体" w:eastAsia="宋体" w:cs="宋体"/>
          <w:i w:val="0"/>
          <w:iCs w:val="0"/>
          <w:color w:val="000000" w:themeColor="text1"/>
          <w:highlight w:val="none"/>
          <w:lang w:val="zh-CN"/>
          <w14:textFill>
            <w14:solidFill>
              <w14:schemeClr w14:val="tx1"/>
            </w14:solidFill>
          </w14:textFill>
        </w:rPr>
      </w:pPr>
      <w:r>
        <w:rPr>
          <w:rFonts w:hint="eastAsia" w:ascii="宋体" w:hAnsi="宋体" w:eastAsia="宋体" w:cs="宋体"/>
          <w:i w:val="0"/>
          <w:iCs w:val="0"/>
          <w:color w:val="000000" w:themeColor="text1"/>
          <w:highlight w:val="none"/>
          <w:lang w:val="zh-CN"/>
          <w14:textFill>
            <w14:solidFill>
              <w14:schemeClr w14:val="tx1"/>
            </w14:solidFill>
          </w14:textFill>
        </w:rPr>
        <w:t>（2）单价金额</w:t>
      </w:r>
      <w:r>
        <w:rPr>
          <w:rFonts w:hint="eastAsia" w:ascii="宋体" w:hAnsi="宋体" w:eastAsia="宋体" w:cs="宋体"/>
          <w:i w:val="0"/>
          <w:iCs w:val="0"/>
          <w:color w:val="000000" w:themeColor="text1"/>
          <w:highlight w:val="none"/>
          <w14:textFill>
            <w14:solidFill>
              <w14:schemeClr w14:val="tx1"/>
            </w14:solidFill>
          </w14:textFill>
        </w:rPr>
        <w:t>小数点</w:t>
      </w:r>
      <w:r>
        <w:rPr>
          <w:rFonts w:hint="eastAsia" w:ascii="宋体" w:hAnsi="宋体" w:eastAsia="宋体" w:cs="宋体"/>
          <w:i w:val="0"/>
          <w:iCs w:val="0"/>
          <w:color w:val="000000" w:themeColor="text1"/>
          <w:highlight w:val="none"/>
          <w:lang w:val="zh-CN"/>
          <w14:textFill>
            <w14:solidFill>
              <w14:schemeClr w14:val="tx1"/>
            </w14:solidFill>
          </w14:textFill>
        </w:rPr>
        <w:t>或百分比有明显错位的，以最后报价表的总价为准，并修改单价；</w:t>
      </w:r>
    </w:p>
    <w:p w14:paraId="4E7820DC">
      <w:pPr>
        <w:pStyle w:val="48"/>
        <w:topLinePunct/>
        <w:bidi w:val="0"/>
        <w:ind w:firstLine="480"/>
        <w:textAlignment w:val="auto"/>
        <w:rPr>
          <w:rFonts w:hint="eastAsia" w:ascii="宋体" w:hAnsi="宋体" w:eastAsia="宋体" w:cs="宋体"/>
          <w:i w:val="0"/>
          <w:iCs w:val="0"/>
          <w:color w:val="000000" w:themeColor="text1"/>
          <w:highlight w:val="none"/>
          <w:lang w:val="zh-CN"/>
          <w14:textFill>
            <w14:solidFill>
              <w14:schemeClr w14:val="tx1"/>
            </w14:solidFill>
          </w14:textFill>
        </w:rPr>
      </w:pPr>
      <w:r>
        <w:rPr>
          <w:rFonts w:hint="eastAsia" w:ascii="宋体" w:hAnsi="宋体" w:eastAsia="宋体" w:cs="宋体"/>
          <w:i w:val="0"/>
          <w:iCs w:val="0"/>
          <w:color w:val="000000" w:themeColor="text1"/>
          <w:highlight w:val="none"/>
          <w:lang w:val="zh-CN"/>
          <w14:textFill>
            <w14:solidFill>
              <w14:schemeClr w14:val="tx1"/>
            </w14:solidFill>
          </w14:textFill>
        </w:rPr>
        <w:t>（3）总价金额与按单价汇总金额不一致的，以单价金额计算结果为准；</w:t>
      </w:r>
    </w:p>
    <w:p w14:paraId="72AD3B92">
      <w:pPr>
        <w:pStyle w:val="48"/>
        <w:topLinePunct/>
        <w:bidi w:val="0"/>
        <w:ind w:firstLine="480"/>
        <w:textAlignment w:val="auto"/>
        <w:rPr>
          <w:rFonts w:hint="eastAsia" w:ascii="宋体" w:hAnsi="宋体" w:eastAsia="宋体" w:cs="宋体"/>
          <w:i w:val="0"/>
          <w:iCs w:val="0"/>
          <w:color w:val="000000" w:themeColor="text1"/>
          <w:highlight w:val="none"/>
          <w:lang w:val="zh-CN"/>
          <w14:textFill>
            <w14:solidFill>
              <w14:schemeClr w14:val="tx1"/>
            </w14:solidFill>
          </w14:textFill>
        </w:rPr>
      </w:pPr>
      <w:r>
        <w:rPr>
          <w:rFonts w:hint="eastAsia" w:ascii="宋体" w:hAnsi="宋体" w:eastAsia="宋体" w:cs="宋体"/>
          <w:i w:val="0"/>
          <w:iCs w:val="0"/>
          <w:color w:val="000000" w:themeColor="text1"/>
          <w:highlight w:val="none"/>
          <w:lang w:val="zh-CN"/>
          <w14:textFill>
            <w14:solidFill>
              <w14:schemeClr w14:val="tx1"/>
            </w14:solidFill>
          </w14:textFill>
        </w:rPr>
        <w:t>（4）同时出现</w:t>
      </w:r>
      <w:r>
        <w:rPr>
          <w:rFonts w:hint="eastAsia" w:ascii="宋体" w:hAnsi="宋体" w:eastAsia="宋体" w:cs="宋体"/>
          <w:i w:val="0"/>
          <w:iCs w:val="0"/>
          <w:color w:val="000000" w:themeColor="text1"/>
          <w:highlight w:val="none"/>
          <w14:textFill>
            <w14:solidFill>
              <w14:schemeClr w14:val="tx1"/>
            </w14:solidFill>
          </w14:textFill>
        </w:rPr>
        <w:t>两种</w:t>
      </w:r>
      <w:r>
        <w:rPr>
          <w:rFonts w:hint="eastAsia" w:ascii="宋体" w:hAnsi="宋体" w:eastAsia="宋体" w:cs="宋体"/>
          <w:i w:val="0"/>
          <w:iCs w:val="0"/>
          <w:color w:val="000000" w:themeColor="text1"/>
          <w:highlight w:val="none"/>
          <w:lang w:val="zh-CN"/>
          <w14:textFill>
            <w14:solidFill>
              <w14:schemeClr w14:val="tx1"/>
            </w14:solidFill>
          </w14:textFill>
        </w:rPr>
        <w:t>以上不一致的，按照前款规定的顺序修正；</w:t>
      </w:r>
    </w:p>
    <w:p w14:paraId="6E6B598C">
      <w:pPr>
        <w:pStyle w:val="48"/>
        <w:topLinePunct/>
        <w:bidi w:val="0"/>
        <w:ind w:firstLine="480"/>
        <w:textAlignment w:val="auto"/>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lang w:val="zh-CN"/>
          <w14:textFill>
            <w14:solidFill>
              <w14:schemeClr w14:val="tx1"/>
            </w14:solidFill>
          </w14:textFill>
        </w:rPr>
        <w:t>修正后的报价应通过书面方式通知供应商，由供应商授权代表签字（或加盖公章）确认后产生约束力，供应商不确认的，按照</w:t>
      </w:r>
      <w:r>
        <w:rPr>
          <w:rFonts w:hint="eastAsia" w:ascii="宋体" w:hAnsi="宋体" w:eastAsia="宋体" w:cs="宋体"/>
          <w:b/>
          <w:bCs/>
          <w:i w:val="0"/>
          <w:iCs w:val="0"/>
          <w:color w:val="000000" w:themeColor="text1"/>
          <w:highlight w:val="none"/>
          <w:lang w:val="zh-CN"/>
          <w14:textFill>
            <w14:solidFill>
              <w14:schemeClr w14:val="tx1"/>
            </w14:solidFill>
          </w14:textFill>
        </w:rPr>
        <w:t>无效响应</w:t>
      </w:r>
      <w:r>
        <w:rPr>
          <w:rFonts w:hint="eastAsia" w:ascii="宋体" w:hAnsi="宋体" w:eastAsia="宋体" w:cs="宋体"/>
          <w:i w:val="0"/>
          <w:iCs w:val="0"/>
          <w:color w:val="000000" w:themeColor="text1"/>
          <w:highlight w:val="none"/>
          <w:lang w:val="zh-CN"/>
          <w14:textFill>
            <w14:solidFill>
              <w14:schemeClr w14:val="tx1"/>
            </w14:solidFill>
          </w14:textFill>
        </w:rPr>
        <w:t>处理。</w:t>
      </w:r>
    </w:p>
    <w:p w14:paraId="20C9A754">
      <w:pPr>
        <w:tabs>
          <w:tab w:val="left" w:pos="993"/>
        </w:tabs>
        <w:wordWrap w:val="0"/>
        <w:topLinePunct/>
        <w:bidi w:val="0"/>
        <w:adjustRightInd w:val="0"/>
        <w:snapToGrid w:val="0"/>
        <w:ind w:firstLine="420" w:firstLineChars="200"/>
        <w:textAlignment w:val="auto"/>
        <w:rPr>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3.4已提交响应文件的供应商，在提交最后报价之前，可以根据磋商情况退出磋商，退出磋商供应商的磋商保证金可予以退还</w:t>
      </w:r>
      <w:r>
        <w:rPr>
          <w:rFonts w:hint="eastAsia" w:ascii="宋体" w:hAnsi="宋体" w:eastAsia="宋体" w:cs="宋体"/>
          <w:i w:val="0"/>
          <w:iCs w:val="0"/>
          <w:color w:val="000000" w:themeColor="text1"/>
          <w:szCs w:val="24"/>
          <w:highlight w:val="none"/>
          <w:lang w:val="zh-CN"/>
          <w14:textFill>
            <w14:solidFill>
              <w14:schemeClr w14:val="tx1"/>
            </w14:solidFill>
          </w14:textFill>
        </w:rPr>
        <w:t>。</w:t>
      </w:r>
    </w:p>
    <w:p w14:paraId="62CF93E3">
      <w:pPr>
        <w:pStyle w:val="5"/>
        <w:keepNext w:val="0"/>
        <w:keepLines w:val="0"/>
        <w:pageBreakBefore w:val="0"/>
        <w:widowControl w:val="0"/>
        <w:numPr>
          <w:ilvl w:val="0"/>
          <w:numId w:val="0"/>
        </w:numPr>
        <w:kinsoku/>
        <w:wordWrap/>
        <w:overflowPunct/>
        <w:topLinePunct/>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331" w:name="_Toc102057745"/>
      <w:bookmarkStart w:id="332" w:name="_Toc102119880"/>
      <w:bookmarkStart w:id="333" w:name="_Toc102114947"/>
      <w:bookmarkStart w:id="334" w:name="_Toc102116049"/>
      <w:bookmarkStart w:id="335" w:name="_Toc102056245"/>
      <w:bookmarkStart w:id="336" w:name="_Toc102116179"/>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4.商务技术评审</w:t>
      </w:r>
    </w:p>
    <w:p w14:paraId="71D55DC8">
      <w:pPr>
        <w:pStyle w:val="48"/>
        <w:topLinePunct/>
        <w:bidi w:val="0"/>
        <w:ind w:firstLine="480"/>
        <w:textAlignment w:val="auto"/>
        <w:rPr>
          <w:i w:val="0"/>
          <w:iCs w:val="0"/>
          <w:color w:val="000000" w:themeColor="text1"/>
          <w:highlight w:val="none"/>
          <w:lang w:val="zh-CN"/>
          <w14:textFill>
            <w14:solidFill>
              <w14:schemeClr w14:val="tx1"/>
            </w14:solidFill>
          </w14:textFill>
        </w:rPr>
      </w:pPr>
      <w:r>
        <w:rPr>
          <w:rFonts w:hint="eastAsia" w:ascii="宋体" w:hAnsi="宋体" w:eastAsia="宋体" w:cs="宋体"/>
          <w:i w:val="0"/>
          <w:iCs w:val="0"/>
          <w:color w:val="000000" w:themeColor="text1"/>
          <w:highlight w:val="none"/>
          <w:lang w:val="zh-CN"/>
          <w14:textFill>
            <w14:solidFill>
              <w14:schemeClr w14:val="tx1"/>
            </w14:solidFill>
          </w14:textFill>
        </w:rPr>
        <w:t>4.1经磋商确定最终采购需求和提交最后报价的供应商后，由磋商小组采用综合评分法对提交最后报价的供应商的响应文件和最后报价进行综合评分。</w:t>
      </w:r>
    </w:p>
    <w:bookmarkEnd w:id="324"/>
    <w:bookmarkEnd w:id="325"/>
    <w:bookmarkEnd w:id="326"/>
    <w:bookmarkEnd w:id="327"/>
    <w:bookmarkEnd w:id="328"/>
    <w:bookmarkEnd w:id="329"/>
    <w:bookmarkEnd w:id="331"/>
    <w:bookmarkEnd w:id="332"/>
    <w:bookmarkEnd w:id="333"/>
    <w:bookmarkEnd w:id="334"/>
    <w:bookmarkEnd w:id="335"/>
    <w:bookmarkEnd w:id="336"/>
    <w:p w14:paraId="1544B41F">
      <w:pPr>
        <w:pStyle w:val="5"/>
        <w:keepNext w:val="0"/>
        <w:keepLines w:val="0"/>
        <w:pageBreakBefore w:val="0"/>
        <w:widowControl w:val="0"/>
        <w:numPr>
          <w:ilvl w:val="0"/>
          <w:numId w:val="0"/>
        </w:numPr>
        <w:kinsoku/>
        <w:wordWrap/>
        <w:overflowPunct/>
        <w:topLinePunct/>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337" w:name="_Toc102056247"/>
      <w:bookmarkStart w:id="338" w:name="_Toc102114949"/>
      <w:bookmarkStart w:id="339" w:name="_Toc102119882"/>
      <w:bookmarkStart w:id="340" w:name="_Toc102116181"/>
      <w:bookmarkStart w:id="341" w:name="_Toc102116051"/>
      <w:bookmarkStart w:id="342" w:name="_Toc102057747"/>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5.报价评</w:t>
      </w:r>
      <w:bookmarkEnd w:id="337"/>
      <w:bookmarkEnd w:id="338"/>
      <w:bookmarkEnd w:id="339"/>
      <w:bookmarkEnd w:id="340"/>
      <w:bookmarkEnd w:id="341"/>
      <w:bookmarkEnd w:id="342"/>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审</w:t>
      </w:r>
    </w:p>
    <w:p w14:paraId="7A96EB37">
      <w:pPr>
        <w:pStyle w:val="48"/>
        <w:topLinePunct/>
        <w:bidi w:val="0"/>
        <w:ind w:firstLine="480"/>
        <w:textAlignment w:val="auto"/>
        <w:rPr>
          <w:rFonts w:hint="eastAsia" w:ascii="宋体" w:hAnsi="宋体" w:eastAsia="宋体" w:cs="宋体"/>
          <w:i w:val="0"/>
          <w:iCs w:val="0"/>
          <w:color w:val="000000" w:themeColor="text1"/>
          <w:highlight w:val="none"/>
          <w:lang w:val="zh-CN"/>
          <w14:textFill>
            <w14:solidFill>
              <w14:schemeClr w14:val="tx1"/>
            </w14:solidFill>
          </w14:textFill>
        </w:rPr>
      </w:pPr>
      <w:r>
        <w:rPr>
          <w:rFonts w:hint="eastAsia" w:ascii="宋体" w:hAnsi="宋体" w:eastAsia="宋体" w:cs="宋体"/>
          <w:i w:val="0"/>
          <w:iCs w:val="0"/>
          <w:color w:val="000000" w:themeColor="text1"/>
          <w:highlight w:val="none"/>
          <w:lang w:val="zh-CN"/>
          <w14:textFill>
            <w14:solidFill>
              <w14:schemeClr w14:val="tx1"/>
            </w14:solidFill>
          </w14:textFill>
        </w:rPr>
        <w:t>5.1报价合理性说明：磋商小组认为供应商的最后报价明显低于其他供应商最后报价，有可能影响</w:t>
      </w:r>
      <w:r>
        <w:rPr>
          <w:rFonts w:hint="eastAsia" w:ascii="宋体" w:hAnsi="宋体" w:eastAsia="宋体" w:cs="宋体"/>
          <w:i w:val="0"/>
          <w:iCs w:val="0"/>
          <w:color w:val="000000" w:themeColor="text1"/>
          <w:highlight w:val="none"/>
          <w:lang w:val="en-US" w:eastAsia="zh-CN"/>
          <w14:textFill>
            <w14:solidFill>
              <w14:schemeClr w14:val="tx1"/>
            </w14:solidFill>
          </w14:textFill>
        </w:rPr>
        <w:t>工程</w:t>
      </w:r>
      <w:r>
        <w:rPr>
          <w:rFonts w:hint="eastAsia" w:ascii="宋体" w:hAnsi="宋体" w:eastAsia="宋体" w:cs="宋体"/>
          <w:i w:val="0"/>
          <w:iCs w:val="0"/>
          <w:color w:val="000000" w:themeColor="text1"/>
          <w:highlight w:val="none"/>
          <w:lang w:val="zh-CN"/>
          <w14:textFill>
            <w14:solidFill>
              <w14:schemeClr w14:val="tx1"/>
            </w14:solidFill>
          </w14:textFill>
        </w:rPr>
        <w:t>质量或者不能诚信履约的，应当要求其在合理的时间内提供说明，必要时提交相关证明材料；供应商不能证明其最后报价合理性的，磋商小组应当将其作</w:t>
      </w:r>
      <w:r>
        <w:rPr>
          <w:rFonts w:hint="eastAsia" w:ascii="宋体" w:hAnsi="宋体" w:eastAsia="宋体" w:cs="宋体"/>
          <w:b/>
          <w:i w:val="0"/>
          <w:iCs w:val="0"/>
          <w:color w:val="000000" w:themeColor="text1"/>
          <w:highlight w:val="none"/>
          <w:lang w:val="zh-CN"/>
          <w14:textFill>
            <w14:solidFill>
              <w14:schemeClr w14:val="tx1"/>
            </w14:solidFill>
          </w14:textFill>
        </w:rPr>
        <w:t>无效响应处理</w:t>
      </w:r>
      <w:r>
        <w:rPr>
          <w:rFonts w:hint="eastAsia" w:ascii="宋体" w:hAnsi="宋体" w:eastAsia="宋体" w:cs="宋体"/>
          <w:i w:val="0"/>
          <w:iCs w:val="0"/>
          <w:color w:val="000000" w:themeColor="text1"/>
          <w:highlight w:val="none"/>
          <w:lang w:val="zh-CN"/>
          <w14:textFill>
            <w14:solidFill>
              <w14:schemeClr w14:val="tx1"/>
            </w14:solidFill>
          </w14:textFill>
        </w:rPr>
        <w:t>。</w:t>
      </w:r>
    </w:p>
    <w:p w14:paraId="610D029A">
      <w:pPr>
        <w:pStyle w:val="48"/>
        <w:topLinePunct/>
        <w:bidi w:val="0"/>
        <w:ind w:firstLine="480"/>
        <w:textAlignment w:val="auto"/>
        <w:rPr>
          <w:rFonts w:hint="eastAsia" w:ascii="宋体" w:hAnsi="宋体" w:eastAsia="宋体"/>
          <w:i w:val="0"/>
          <w:iCs w:val="0"/>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5.1.1供应商应根据答疑内容在规定的时间内提供说明和相关证明材料，磋商小组认定相关证明材料对此报价的说明或者证明材料可以佐证此报价的工程质量和具有诚信履约能力，予以通过审查；</w:t>
      </w:r>
    </w:p>
    <w:p w14:paraId="09D0FEF3">
      <w:pPr>
        <w:pStyle w:val="48"/>
        <w:topLinePunct/>
        <w:bidi w:val="0"/>
        <w:ind w:firstLine="480"/>
        <w:textAlignment w:val="auto"/>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5.1.2供应商提供的说明或者证明材料必须按照国家相关规定，逐项对其报价作详细陈述，并由法定代表人或者其授权代表签字确认并加盖公章；</w:t>
      </w:r>
    </w:p>
    <w:p w14:paraId="76895AB7">
      <w:pPr>
        <w:pStyle w:val="48"/>
        <w:topLinePunct/>
        <w:bidi w:val="0"/>
        <w:ind w:firstLine="480"/>
        <w:textAlignment w:val="auto"/>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5.1.3供应商不能合理说明或者不能提供相关证明材料的，由磋商小组认定该供应商以低于成本报价竞标，有可能影响工程质量或者不能诚信履约，应当</w: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t>将其作为</w:t>
      </w:r>
      <w:r>
        <w:rPr>
          <w:rFonts w:hint="eastAsia" w:ascii="宋体" w:hAnsi="宋体" w:eastAsia="宋体" w:cs="宋体"/>
          <w:b/>
          <w:i w:val="0"/>
          <w:iCs w:val="0"/>
          <w:color w:val="000000" w:themeColor="text1"/>
          <w:sz w:val="21"/>
          <w:szCs w:val="21"/>
          <w:highlight w:val="none"/>
          <w:lang w:val="zh-CN"/>
          <w14:textFill>
            <w14:solidFill>
              <w14:schemeClr w14:val="tx1"/>
            </w14:solidFill>
          </w14:textFill>
        </w:rPr>
        <w:t>无效响应处理</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w:t>
      </w:r>
    </w:p>
    <w:p w14:paraId="66F3D451">
      <w:pPr>
        <w:pStyle w:val="48"/>
        <w:topLinePunct/>
        <w:bidi w:val="0"/>
        <w:ind w:firstLine="480"/>
        <w:textAlignment w:val="auto"/>
        <w:rPr>
          <w:rFonts w:hint="eastAsia" w:ascii="宋体" w:hAnsi="宋体" w:eastAsia="宋体" w:cs="宋体"/>
          <w:i w:val="0"/>
          <w:iCs w:val="0"/>
          <w:color w:val="000000" w:themeColor="text1"/>
          <w:sz w:val="21"/>
          <w:szCs w:val="21"/>
          <w:highlight w:val="none"/>
          <w:lang w:val="zh-CN"/>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5.1.4供应商也可以有预见性地准备好上述要求的书面说明和相关证明材料并加盖公章。</w:t>
      </w:r>
    </w:p>
    <w:p w14:paraId="06055893">
      <w:pPr>
        <w:pStyle w:val="48"/>
        <w:topLinePunct/>
        <w:bidi w:val="0"/>
        <w:ind w:firstLine="480"/>
        <w:textAlignment w:val="auto"/>
        <w:rPr>
          <w:rFonts w:hint="eastAsia" w:ascii="宋体" w:hAnsi="宋体" w:eastAsia="宋体" w:cs="宋体"/>
          <w:i w:val="0"/>
          <w:iCs w:val="0"/>
          <w:color w:val="000000" w:themeColor="text1"/>
          <w:sz w:val="21"/>
          <w:szCs w:val="21"/>
          <w:highlight w:val="none"/>
          <w:lang w:val="zh-CN"/>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t>5.2价格扣除：</w:t>
      </w:r>
      <w:r>
        <w:rPr>
          <w:rFonts w:hint="eastAsia" w:ascii="宋体" w:hAnsi="宋体" w:cs="宋体"/>
          <w:i w:val="0"/>
          <w:iCs w:val="0"/>
          <w:color w:val="000000" w:themeColor="text1"/>
          <w:sz w:val="21"/>
          <w:szCs w:val="21"/>
          <w:highlight w:val="none"/>
          <w:lang w:val="zh-CN"/>
          <w14:textFill>
            <w14:solidFill>
              <w14:schemeClr w14:val="tx1"/>
            </w14:solidFill>
          </w14:textFill>
        </w:rPr>
        <w:t>（</w:t>
      </w:r>
      <w:r>
        <w:rPr>
          <w:rFonts w:hint="eastAsia" w:ascii="宋体" w:hAnsi="宋体" w:cs="宋体"/>
          <w:i w:val="0"/>
          <w:iCs w:val="0"/>
          <w:color w:val="000000" w:themeColor="text1"/>
          <w:sz w:val="21"/>
          <w:szCs w:val="21"/>
          <w:highlight w:val="none"/>
          <w:lang w:val="en-US" w:eastAsia="zh-CN"/>
          <w14:textFill>
            <w14:solidFill>
              <w14:schemeClr w14:val="tx1"/>
            </w14:solidFill>
          </w14:textFill>
        </w:rPr>
        <w:t>本项目不适用</w:t>
      </w:r>
      <w:r>
        <w:rPr>
          <w:rFonts w:hint="eastAsia" w:ascii="宋体" w:hAnsi="宋体" w:cs="宋体"/>
          <w:i w:val="0"/>
          <w:iCs w:val="0"/>
          <w:color w:val="000000" w:themeColor="text1"/>
          <w:sz w:val="21"/>
          <w:szCs w:val="21"/>
          <w:highlight w:val="none"/>
          <w:lang w:val="zh-CN"/>
          <w14:textFill>
            <w14:solidFill>
              <w14:schemeClr w14:val="tx1"/>
            </w14:solidFill>
          </w14:textFill>
        </w:rPr>
        <w:t>）</w:t>
      </w:r>
    </w:p>
    <w:p w14:paraId="3B29BEC6">
      <w:pPr>
        <w:pStyle w:val="48"/>
        <w:topLinePunct/>
        <w:bidi w:val="0"/>
        <w:ind w:firstLine="480"/>
        <w:textAlignment w:val="auto"/>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1）非专门面向中小企业的采购项目或采购包，对符合规定的小微企业（JY企业、残疾人福利性单位、联合体各方均为小微企业的联合体、符合小微企业划分标准的个体工商户视同小微企业）报价按照竞争性磋商文件“供应商须知前附表”中的规定扣除，对小微企业中的JY企业、残疾人福利性单位的报价按照本竞争性磋商文件“供应商须知前附表”中的规定扣除，用扣除后的价格参与评审，采购产品纳入创新产品应用示范推荐目录内企业、采购产品获得节能产品或环境标志产品认证证书的供应商按照本竞争性磋商文件“供应商须知前附表”中的规定给予评审优惠。</w:t>
      </w:r>
    </w:p>
    <w:p w14:paraId="257ED179">
      <w:pPr>
        <w:pStyle w:val="48"/>
        <w:topLinePunct/>
        <w:bidi w:val="0"/>
        <w:ind w:firstLine="480"/>
        <w:textAlignment w:val="auto"/>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2）参加政府采购活动的小微企业（含节能环保、创新产品企业）未提供“中小企业声明函”的；JY企业未提供“JY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p>
    <w:p w14:paraId="5BA6E79A">
      <w:pPr>
        <w:pStyle w:val="48"/>
        <w:topLinePunct/>
        <w:bidi w:val="0"/>
        <w:ind w:firstLine="480"/>
        <w:textAlignment w:val="auto"/>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（3）组成联合体或者接受分包的小微企业与联合体内其他企业、分包企业之间存在直接控股、管理关系的，不享受价格扣除优惠政策。</w:t>
      </w:r>
    </w:p>
    <w:p w14:paraId="7AFF4049">
      <w:pPr>
        <w:pStyle w:val="48"/>
        <w:topLinePunct/>
        <w:bidi w:val="0"/>
        <w:ind w:firstLine="480"/>
        <w:textAlignment w:val="auto"/>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（4）价格扣除比例对小型企业和微型企业同等对待，不作区分。</w:t>
      </w:r>
    </w:p>
    <w:p w14:paraId="6D3601DD">
      <w:pPr>
        <w:pStyle w:val="48"/>
        <w:topLinePunct/>
        <w:bidi w:val="0"/>
        <w:ind w:firstLine="480"/>
        <w:textAlignment w:val="auto"/>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（5）专门面向中小企业、预留部分采购份额面向中小企业采购的项目或采购包，评审时不再进行价格扣除。</w:t>
      </w:r>
    </w:p>
    <w:p w14:paraId="1260959A">
      <w:pPr>
        <w:pStyle w:val="48"/>
        <w:topLinePunct/>
        <w:bidi w:val="0"/>
        <w:ind w:firstLine="480"/>
        <w:textAlignment w:val="auto"/>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（6）若供应商同时属于小型或微型企业、JY企业、残疾人福利性单位中的两种及以上，将不重复享受小微企业价格扣减的优惠政策。</w:t>
      </w:r>
    </w:p>
    <w:p w14:paraId="4A0C029C">
      <w:pPr>
        <w:pStyle w:val="48"/>
        <w:topLinePunct/>
        <w:bidi w:val="0"/>
        <w:ind w:firstLine="480"/>
        <w:textAlignment w:val="auto"/>
        <w:rPr>
          <w:rFonts w:hint="eastAsia" w:ascii="宋体" w:hAnsi="宋体" w:eastAsia="宋体" w:cs="宋体"/>
          <w:i w:val="0"/>
          <w:iCs w:val="0"/>
          <w:color w:val="000000" w:themeColor="text1"/>
          <w:sz w:val="21"/>
          <w:szCs w:val="21"/>
          <w:highlight w:val="none"/>
          <w:lang w:val="zh-CN"/>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t>5.3价格分采用低价优先法计算，即满足磋商文件要求且最后报价最低的供应商的价格为磋商基准价，其价格分为满分。其他供应商的价格分统一按照下列公式计算：</w:t>
      </w:r>
    </w:p>
    <w:p w14:paraId="32D53E63">
      <w:pPr>
        <w:pStyle w:val="48"/>
        <w:topLinePunct/>
        <w:bidi w:val="0"/>
        <w:ind w:firstLine="480"/>
        <w:textAlignment w:val="auto"/>
        <w:rPr>
          <w:rFonts w:hint="eastAsia" w:ascii="宋体" w:hAnsi="宋体" w:eastAsia="宋体" w:cs="宋体"/>
          <w:i w:val="0"/>
          <w:iCs w:val="0"/>
          <w:color w:val="000000" w:themeColor="text1"/>
          <w:sz w:val="21"/>
          <w:szCs w:val="21"/>
          <w:highlight w:val="none"/>
          <w:lang w:val="zh-CN"/>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t>磋商报价得分=（磋商基准价/最后磋商报价）×</w:t>
      </w:r>
      <w:r>
        <w:rPr>
          <w:rFonts w:hint="eastAsia" w:ascii="宋体" w:hAnsi="宋体" w:eastAsia="宋体" w:cs="宋体"/>
          <w:i w:val="0"/>
          <w:iCs w:val="0"/>
          <w:color w:val="000000" w:themeColor="text1"/>
          <w:sz w:val="21"/>
          <w:szCs w:val="21"/>
          <w:highlight w:val="none"/>
          <w14:textFill>
            <w14:solidFill>
              <w14:schemeClr w14:val="tx1"/>
            </w14:solidFill>
          </w14:textFill>
        </w:rPr>
        <w:t>价格分值</w:t>
      </w:r>
    </w:p>
    <w:p w14:paraId="468D7285">
      <w:pPr>
        <w:pStyle w:val="48"/>
        <w:topLinePunct/>
        <w:bidi w:val="0"/>
        <w:ind w:firstLine="480"/>
        <w:textAlignment w:val="auto"/>
        <w:rPr>
          <w:i w:val="0"/>
          <w:iCs w:val="0"/>
          <w:color w:val="000000" w:themeColor="text1"/>
          <w:highlight w:val="none"/>
          <w:lang w:val="zh-CN"/>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t>项目评审过程中，不得去掉最后报价中的最高报价和最低报价。计算方法详见本章“三、评审标准”中的具体计算公式。</w:t>
      </w:r>
    </w:p>
    <w:p w14:paraId="12A44FFA">
      <w:pPr>
        <w:pStyle w:val="5"/>
        <w:keepNext w:val="0"/>
        <w:keepLines w:val="0"/>
        <w:pageBreakBefore w:val="0"/>
        <w:widowControl w:val="0"/>
        <w:numPr>
          <w:ilvl w:val="0"/>
          <w:numId w:val="0"/>
        </w:numPr>
        <w:kinsoku/>
        <w:wordWrap/>
        <w:overflowPunct/>
        <w:topLinePunct/>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343" w:name="_Toc102116183"/>
      <w:bookmarkStart w:id="344" w:name="_Toc102116053"/>
      <w:bookmarkStart w:id="345" w:name="_Toc102057749"/>
      <w:bookmarkStart w:id="346" w:name="_Toc102056249"/>
      <w:bookmarkStart w:id="347" w:name="_Toc102119884"/>
      <w:bookmarkStart w:id="348" w:name="_Toc102114951"/>
      <w:bookmarkStart w:id="349" w:name="_Toc102056250"/>
      <w:bookmarkStart w:id="350" w:name="_Toc102116054"/>
      <w:bookmarkStart w:id="351" w:name="_Toc102114952"/>
      <w:bookmarkStart w:id="352" w:name="_Toc102119885"/>
      <w:bookmarkStart w:id="353" w:name="_Toc102116184"/>
      <w:bookmarkStart w:id="354" w:name="_Toc102057750"/>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6.计分办法</w:t>
      </w:r>
      <w:bookmarkEnd w:id="343"/>
      <w:bookmarkEnd w:id="344"/>
      <w:bookmarkEnd w:id="345"/>
      <w:bookmarkEnd w:id="346"/>
      <w:bookmarkEnd w:id="347"/>
      <w:bookmarkEnd w:id="348"/>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及复核</w:t>
      </w:r>
    </w:p>
    <w:p w14:paraId="4EA1AB72">
      <w:pPr>
        <w:pStyle w:val="48"/>
        <w:topLinePunct/>
        <w:bidi w:val="0"/>
        <w:ind w:firstLine="480"/>
        <w:textAlignment w:val="auto"/>
        <w:rPr>
          <w:rFonts w:hint="eastAsia" w:ascii="宋体" w:hAnsi="宋体" w:eastAsia="宋体" w:cs="宋体"/>
          <w:i w:val="0"/>
          <w:iCs w:val="0"/>
          <w:color w:val="000000" w:themeColor="text1"/>
          <w:kern w:val="0"/>
          <w:highlight w:val="none"/>
          <w:lang w:val="zh-CN"/>
          <w14:textFill>
            <w14:solidFill>
              <w14:schemeClr w14:val="tx1"/>
            </w14:solidFill>
          </w14:textFill>
        </w:rPr>
      </w:pPr>
      <w:r>
        <w:rPr>
          <w:rFonts w:hint="eastAsia" w:ascii="宋体" w:hAnsi="宋体" w:eastAsia="宋体" w:cs="宋体"/>
          <w:i w:val="0"/>
          <w:iCs w:val="0"/>
          <w:color w:val="000000" w:themeColor="text1"/>
          <w:highlight w:val="none"/>
          <w:lang w:val="zh-CN"/>
          <w14:textFill>
            <w14:solidFill>
              <w14:schemeClr w14:val="tx1"/>
            </w14:solidFill>
          </w14:textFill>
        </w:rPr>
        <w:t>6.1评审过程中，各项分值一般精确到小数点后两位，评审得分应当为商务评分、技术评分、报价评分之和。磋商小组各成员应当汇总每个供应商的得分。</w:t>
      </w:r>
    </w:p>
    <w:p w14:paraId="156C7AC4">
      <w:pPr>
        <w:pStyle w:val="48"/>
        <w:topLinePunct/>
        <w:bidi w:val="0"/>
        <w:ind w:firstLine="480"/>
        <w:textAlignment w:val="auto"/>
        <w:rPr>
          <w:rFonts w:hint="eastAsia" w:ascii="宋体" w:hAnsi="宋体" w:eastAsia="宋体" w:cs="宋体"/>
          <w:i w:val="0"/>
          <w:iCs w:val="0"/>
          <w:color w:val="000000" w:themeColor="text1"/>
          <w:highlight w:val="none"/>
          <w:lang w:val="zh-CN"/>
          <w14:textFill>
            <w14:solidFill>
              <w14:schemeClr w14:val="tx1"/>
            </w14:solidFill>
          </w14:textFill>
        </w:rPr>
      </w:pPr>
      <w:r>
        <w:rPr>
          <w:rFonts w:hint="eastAsia" w:ascii="宋体" w:hAnsi="宋体" w:eastAsia="宋体" w:cs="宋体"/>
          <w:i w:val="0"/>
          <w:iCs w:val="0"/>
          <w:color w:val="000000" w:themeColor="text1"/>
          <w:highlight w:val="none"/>
          <w:lang w:val="zh-CN"/>
          <w14:textFill>
            <w14:solidFill>
              <w14:schemeClr w14:val="tx1"/>
            </w14:solidFill>
          </w14:textFill>
        </w:rPr>
        <w:t>6.2评审结果汇总完成后，采购代理机构应当对评审结果进行复核。经复核发现存在以下情形之一的，磋商小组应当当场修改评审结果，并在评审报告中记载：</w:t>
      </w:r>
    </w:p>
    <w:p w14:paraId="17546C1E">
      <w:pPr>
        <w:pStyle w:val="48"/>
        <w:topLinePunct/>
        <w:bidi w:val="0"/>
        <w:ind w:firstLine="480"/>
        <w:textAlignment w:val="auto"/>
        <w:rPr>
          <w:rFonts w:hint="eastAsia" w:ascii="宋体" w:hAnsi="宋体" w:eastAsia="宋体" w:cs="宋体"/>
          <w:i w:val="0"/>
          <w:iCs w:val="0"/>
          <w:color w:val="000000" w:themeColor="text1"/>
          <w:szCs w:val="20"/>
          <w:highlight w:val="none"/>
          <w:lang w:val="zh-CN"/>
          <w14:textFill>
            <w14:solidFill>
              <w14:schemeClr w14:val="tx1"/>
            </w14:solidFill>
          </w14:textFill>
        </w:rPr>
      </w:pPr>
      <w:r>
        <w:rPr>
          <w:rFonts w:hint="eastAsia" w:ascii="宋体" w:hAnsi="宋体" w:eastAsia="宋体" w:cs="宋体"/>
          <w:i w:val="0"/>
          <w:iCs w:val="0"/>
          <w:color w:val="000000" w:themeColor="text1"/>
          <w:highlight w:val="none"/>
          <w:lang w:val="zh-CN"/>
          <w14:textFill>
            <w14:solidFill>
              <w14:schemeClr w14:val="tx1"/>
            </w14:solidFill>
          </w14:textFill>
        </w:rPr>
        <w:t>（1）</w:t>
      </w:r>
      <w:r>
        <w:rPr>
          <w:rFonts w:hint="eastAsia" w:ascii="宋体" w:hAnsi="宋体" w:eastAsia="宋体" w:cs="宋体"/>
          <w:i w:val="0"/>
          <w:iCs w:val="0"/>
          <w:color w:val="000000" w:themeColor="text1"/>
          <w:highlight w:val="none"/>
          <w:lang w:val="zh-CN" w:eastAsia="zh-CN"/>
          <w14:textFill>
            <w14:solidFill>
              <w14:schemeClr w14:val="tx1"/>
            </w14:solidFill>
          </w14:textFill>
        </w:rPr>
        <w:t>资格性检查认定错误</w:t>
      </w:r>
      <w:r>
        <w:rPr>
          <w:rFonts w:hint="eastAsia" w:ascii="宋体" w:hAnsi="宋体" w:eastAsia="宋体" w:cs="宋体"/>
          <w:i w:val="0"/>
          <w:iCs w:val="0"/>
          <w:color w:val="000000" w:themeColor="text1"/>
          <w:highlight w:val="none"/>
          <w:lang w:val="zh-CN"/>
          <w14:textFill>
            <w14:solidFill>
              <w14:schemeClr w14:val="tx1"/>
            </w14:solidFill>
          </w14:textFill>
        </w:rPr>
        <w:t>的；</w:t>
      </w:r>
    </w:p>
    <w:p w14:paraId="66CC4E67">
      <w:pPr>
        <w:pStyle w:val="48"/>
        <w:topLinePunct/>
        <w:bidi w:val="0"/>
        <w:ind w:firstLine="480"/>
        <w:textAlignment w:val="auto"/>
        <w:rPr>
          <w:rFonts w:hint="eastAsia" w:ascii="宋体" w:hAnsi="宋体" w:eastAsia="宋体" w:cs="宋体"/>
          <w:i w:val="0"/>
          <w:iCs w:val="0"/>
          <w:color w:val="000000" w:themeColor="text1"/>
          <w:szCs w:val="20"/>
          <w:highlight w:val="none"/>
          <w:lang w:val="zh-CN"/>
          <w14:textFill>
            <w14:solidFill>
              <w14:schemeClr w14:val="tx1"/>
            </w14:solidFill>
          </w14:textFill>
        </w:rPr>
      </w:pPr>
      <w:r>
        <w:rPr>
          <w:rFonts w:hint="eastAsia" w:ascii="宋体" w:hAnsi="宋体" w:eastAsia="宋体" w:cs="宋体"/>
          <w:i w:val="0"/>
          <w:iCs w:val="0"/>
          <w:color w:val="000000" w:themeColor="text1"/>
          <w:highlight w:val="none"/>
          <w:lang w:val="zh-CN"/>
          <w14:textFill>
            <w14:solidFill>
              <w14:schemeClr w14:val="tx1"/>
            </w14:solidFill>
          </w14:textFill>
        </w:rPr>
        <w:t>（</w:t>
      </w:r>
      <w:r>
        <w:rPr>
          <w:rFonts w:hint="eastAsia" w:ascii="宋体" w:hAnsi="宋体" w:eastAsia="宋体" w:cs="宋体"/>
          <w:i w:val="0"/>
          <w:iCs w:val="0"/>
          <w:color w:val="000000" w:themeColor="text1"/>
          <w:highlight w:val="none"/>
          <w:lang w:val="en-US" w:eastAsia="zh-CN"/>
          <w14:textFill>
            <w14:solidFill>
              <w14:schemeClr w14:val="tx1"/>
            </w14:solidFill>
          </w14:textFill>
        </w:rPr>
        <w:t>2</w:t>
      </w:r>
      <w:r>
        <w:rPr>
          <w:rFonts w:hint="eastAsia" w:ascii="宋体" w:hAnsi="宋体" w:eastAsia="宋体" w:cs="宋体"/>
          <w:i w:val="0"/>
          <w:iCs w:val="0"/>
          <w:color w:val="000000" w:themeColor="text1"/>
          <w:highlight w:val="none"/>
          <w:lang w:val="zh-CN"/>
          <w14:textFill>
            <w14:solidFill>
              <w14:schemeClr w14:val="tx1"/>
            </w14:solidFill>
          </w14:textFill>
        </w:rPr>
        <w:t>）分值汇总计算错误的；</w:t>
      </w:r>
    </w:p>
    <w:p w14:paraId="42EFF5F6">
      <w:pPr>
        <w:pStyle w:val="48"/>
        <w:topLinePunct/>
        <w:bidi w:val="0"/>
        <w:ind w:firstLine="480"/>
        <w:textAlignment w:val="auto"/>
        <w:rPr>
          <w:rFonts w:hint="eastAsia" w:ascii="宋体" w:hAnsi="宋体" w:eastAsia="宋体" w:cs="宋体"/>
          <w:i w:val="0"/>
          <w:iCs w:val="0"/>
          <w:color w:val="000000" w:themeColor="text1"/>
          <w:highlight w:val="none"/>
          <w:lang w:val="zh-CN"/>
          <w14:textFill>
            <w14:solidFill>
              <w14:schemeClr w14:val="tx1"/>
            </w14:solidFill>
          </w14:textFill>
        </w:rPr>
      </w:pPr>
      <w:r>
        <w:rPr>
          <w:rFonts w:hint="eastAsia" w:ascii="宋体" w:hAnsi="宋体" w:eastAsia="宋体" w:cs="宋体"/>
          <w:i w:val="0"/>
          <w:iCs w:val="0"/>
          <w:color w:val="000000" w:themeColor="text1"/>
          <w:highlight w:val="none"/>
          <w:lang w:val="zh-CN"/>
          <w14:textFill>
            <w14:solidFill>
              <w14:schemeClr w14:val="tx1"/>
            </w14:solidFill>
          </w14:textFill>
        </w:rPr>
        <w:t>（</w:t>
      </w:r>
      <w:r>
        <w:rPr>
          <w:rFonts w:hint="eastAsia" w:ascii="宋体" w:hAnsi="宋体" w:eastAsia="宋体" w:cs="宋体"/>
          <w:i w:val="0"/>
          <w:iCs w:val="0"/>
          <w:color w:val="000000" w:themeColor="text1"/>
          <w:highlight w:val="none"/>
          <w:lang w:val="en-US" w:eastAsia="zh-CN"/>
          <w14:textFill>
            <w14:solidFill>
              <w14:schemeClr w14:val="tx1"/>
            </w14:solidFill>
          </w14:textFill>
        </w:rPr>
        <w:t>3</w:t>
      </w:r>
      <w:r>
        <w:rPr>
          <w:rFonts w:hint="eastAsia" w:ascii="宋体" w:hAnsi="宋体" w:eastAsia="宋体" w:cs="宋体"/>
          <w:i w:val="0"/>
          <w:iCs w:val="0"/>
          <w:color w:val="000000" w:themeColor="text1"/>
          <w:highlight w:val="none"/>
          <w:lang w:val="zh-CN"/>
          <w14:textFill>
            <w14:solidFill>
              <w14:schemeClr w14:val="tx1"/>
            </w14:solidFill>
          </w14:textFill>
        </w:rPr>
        <w:t>）分项评分超出评分标准范围的；</w:t>
      </w:r>
    </w:p>
    <w:p w14:paraId="03379B03">
      <w:pPr>
        <w:pStyle w:val="48"/>
        <w:topLinePunct/>
        <w:bidi w:val="0"/>
        <w:ind w:firstLine="480"/>
        <w:textAlignment w:val="auto"/>
        <w:rPr>
          <w:rFonts w:hint="eastAsia" w:ascii="宋体" w:hAnsi="宋体" w:eastAsia="宋体" w:cs="宋体"/>
          <w:i w:val="0"/>
          <w:iCs w:val="0"/>
          <w:color w:val="000000" w:themeColor="text1"/>
          <w:highlight w:val="none"/>
          <w:lang w:val="zh-CN"/>
          <w14:textFill>
            <w14:solidFill>
              <w14:schemeClr w14:val="tx1"/>
            </w14:solidFill>
          </w14:textFill>
        </w:rPr>
      </w:pPr>
      <w:r>
        <w:rPr>
          <w:rFonts w:hint="eastAsia" w:ascii="宋体" w:hAnsi="宋体" w:eastAsia="宋体" w:cs="宋体"/>
          <w:i w:val="0"/>
          <w:iCs w:val="0"/>
          <w:color w:val="000000" w:themeColor="text1"/>
          <w:highlight w:val="none"/>
          <w:lang w:val="zh-CN"/>
          <w14:textFill>
            <w14:solidFill>
              <w14:schemeClr w14:val="tx1"/>
            </w14:solidFill>
          </w14:textFill>
        </w:rPr>
        <w:t>（</w:t>
      </w:r>
      <w:r>
        <w:rPr>
          <w:rFonts w:hint="eastAsia" w:ascii="宋体" w:hAnsi="宋体" w:eastAsia="宋体" w:cs="宋体"/>
          <w:i w:val="0"/>
          <w:iCs w:val="0"/>
          <w:color w:val="000000" w:themeColor="text1"/>
          <w:highlight w:val="none"/>
          <w:lang w:val="en-US" w:eastAsia="zh-CN"/>
          <w14:textFill>
            <w14:solidFill>
              <w14:schemeClr w14:val="tx1"/>
            </w14:solidFill>
          </w14:textFill>
        </w:rPr>
        <w:t>4</w:t>
      </w:r>
      <w:r>
        <w:rPr>
          <w:rFonts w:hint="eastAsia" w:ascii="宋体" w:hAnsi="宋体" w:eastAsia="宋体" w:cs="宋体"/>
          <w:i w:val="0"/>
          <w:iCs w:val="0"/>
          <w:color w:val="000000" w:themeColor="text1"/>
          <w:highlight w:val="none"/>
          <w:lang w:val="zh-CN"/>
          <w14:textFill>
            <w14:solidFill>
              <w14:schemeClr w14:val="tx1"/>
            </w14:solidFill>
          </w14:textFill>
        </w:rPr>
        <w:t>）</w:t>
      </w:r>
      <w:r>
        <w:rPr>
          <w:rFonts w:hint="eastAsia" w:ascii="宋体" w:hAnsi="宋体" w:eastAsia="宋体" w:cs="宋体"/>
          <w:i w:val="0"/>
          <w:iCs w:val="0"/>
          <w:color w:val="000000" w:themeColor="text1"/>
          <w:szCs w:val="24"/>
          <w:highlight w:val="none"/>
          <w:lang w:val="zh-CN"/>
          <w14:textFill>
            <w14:solidFill>
              <w14:schemeClr w14:val="tx1"/>
            </w14:solidFill>
          </w14:textFill>
        </w:rPr>
        <w:t>磋商小组</w:t>
      </w:r>
      <w:r>
        <w:rPr>
          <w:rFonts w:hint="eastAsia" w:ascii="宋体" w:hAnsi="宋体" w:eastAsia="宋体" w:cs="宋体"/>
          <w:i w:val="0"/>
          <w:iCs w:val="0"/>
          <w:color w:val="000000" w:themeColor="text1"/>
          <w:highlight w:val="none"/>
          <w:lang w:val="zh-CN"/>
          <w14:textFill>
            <w14:solidFill>
              <w14:schemeClr w14:val="tx1"/>
            </w14:solidFill>
          </w14:textFill>
        </w:rPr>
        <w:t>成员对客观</w:t>
      </w:r>
      <w:r>
        <w:rPr>
          <w:rFonts w:hint="eastAsia" w:ascii="宋体" w:hAnsi="宋体" w:eastAsia="宋体" w:cs="宋体"/>
          <w:i w:val="0"/>
          <w:iCs w:val="0"/>
          <w:color w:val="000000" w:themeColor="text1"/>
          <w:highlight w:val="none"/>
          <w:lang w:val="en-US" w:eastAsia="zh-CN"/>
          <w14:textFill>
            <w14:solidFill>
              <w14:schemeClr w14:val="tx1"/>
            </w14:solidFill>
          </w14:textFill>
        </w:rPr>
        <w:t>分</w:t>
      </w:r>
      <w:r>
        <w:rPr>
          <w:rFonts w:hint="eastAsia" w:ascii="宋体" w:hAnsi="宋体" w:eastAsia="宋体" w:cs="宋体"/>
          <w:i w:val="0"/>
          <w:iCs w:val="0"/>
          <w:color w:val="000000" w:themeColor="text1"/>
          <w:highlight w:val="none"/>
          <w:lang w:val="zh-CN"/>
          <w14:textFill>
            <w14:solidFill>
              <w14:schemeClr w14:val="tx1"/>
            </w14:solidFill>
          </w14:textFill>
        </w:rPr>
        <w:t>评分不一致的；</w:t>
      </w:r>
    </w:p>
    <w:p w14:paraId="0AA0EE0A">
      <w:pPr>
        <w:pStyle w:val="48"/>
        <w:topLinePunct/>
        <w:bidi w:val="0"/>
        <w:ind w:firstLine="480"/>
        <w:textAlignment w:val="auto"/>
        <w:rPr>
          <w:rFonts w:hint="eastAsia" w:ascii="宋体" w:hAnsi="宋体" w:eastAsia="宋体" w:cs="宋体"/>
          <w:i w:val="0"/>
          <w:iCs w:val="0"/>
          <w:color w:val="000000" w:themeColor="text1"/>
          <w:highlight w:val="none"/>
          <w:lang w:val="zh-CN"/>
          <w14:textFill>
            <w14:solidFill>
              <w14:schemeClr w14:val="tx1"/>
            </w14:solidFill>
          </w14:textFill>
        </w:rPr>
      </w:pPr>
      <w:r>
        <w:rPr>
          <w:rFonts w:hint="eastAsia" w:ascii="宋体" w:hAnsi="宋体" w:eastAsia="宋体" w:cs="宋体"/>
          <w:i w:val="0"/>
          <w:iCs w:val="0"/>
          <w:color w:val="000000" w:themeColor="text1"/>
          <w:highlight w:val="none"/>
          <w:lang w:val="zh-CN"/>
          <w14:textFill>
            <w14:solidFill>
              <w14:schemeClr w14:val="tx1"/>
            </w14:solidFill>
          </w14:textFill>
        </w:rPr>
        <w:t>（</w:t>
      </w:r>
      <w:r>
        <w:rPr>
          <w:rFonts w:hint="eastAsia" w:ascii="宋体" w:hAnsi="宋体" w:eastAsia="宋体" w:cs="宋体"/>
          <w:i w:val="0"/>
          <w:iCs w:val="0"/>
          <w:color w:val="000000" w:themeColor="text1"/>
          <w:highlight w:val="none"/>
          <w:lang w:val="en-US" w:eastAsia="zh-CN"/>
          <w14:textFill>
            <w14:solidFill>
              <w14:schemeClr w14:val="tx1"/>
            </w14:solidFill>
          </w14:textFill>
        </w:rPr>
        <w:t>5</w:t>
      </w:r>
      <w:r>
        <w:rPr>
          <w:rFonts w:hint="eastAsia" w:ascii="宋体" w:hAnsi="宋体" w:eastAsia="宋体" w:cs="宋体"/>
          <w:i w:val="0"/>
          <w:iCs w:val="0"/>
          <w:color w:val="000000" w:themeColor="text1"/>
          <w:highlight w:val="none"/>
          <w:lang w:val="zh-CN"/>
          <w14:textFill>
            <w14:solidFill>
              <w14:schemeClr w14:val="tx1"/>
            </w14:solidFill>
          </w14:textFill>
        </w:rPr>
        <w:t>）经</w:t>
      </w:r>
      <w:r>
        <w:rPr>
          <w:rFonts w:hint="eastAsia" w:ascii="宋体" w:hAnsi="宋体" w:eastAsia="宋体" w:cs="宋体"/>
          <w:i w:val="0"/>
          <w:iCs w:val="0"/>
          <w:color w:val="000000" w:themeColor="text1"/>
          <w:szCs w:val="24"/>
          <w:highlight w:val="none"/>
          <w:lang w:val="zh-CN"/>
          <w14:textFill>
            <w14:solidFill>
              <w14:schemeClr w14:val="tx1"/>
            </w14:solidFill>
          </w14:textFill>
        </w:rPr>
        <w:t>磋商小组</w:t>
      </w:r>
      <w:r>
        <w:rPr>
          <w:rFonts w:hint="eastAsia" w:ascii="宋体" w:hAnsi="宋体" w:eastAsia="宋体" w:cs="宋体"/>
          <w:i w:val="0"/>
          <w:iCs w:val="0"/>
          <w:color w:val="000000" w:themeColor="text1"/>
          <w:szCs w:val="24"/>
          <w:highlight w:val="none"/>
          <w:lang w:val="en-US" w:eastAsia="zh-CN"/>
          <w14:textFill>
            <w14:solidFill>
              <w14:schemeClr w14:val="tx1"/>
            </w14:solidFill>
          </w14:textFill>
        </w:rPr>
        <w:t>一致</w:t>
      </w:r>
      <w:r>
        <w:rPr>
          <w:rFonts w:hint="eastAsia" w:ascii="宋体" w:hAnsi="宋体" w:eastAsia="宋体" w:cs="宋体"/>
          <w:i w:val="0"/>
          <w:iCs w:val="0"/>
          <w:color w:val="000000" w:themeColor="text1"/>
          <w:highlight w:val="none"/>
          <w:lang w:val="zh-CN"/>
          <w14:textFill>
            <w14:solidFill>
              <w14:schemeClr w14:val="tx1"/>
            </w14:solidFill>
          </w14:textFill>
        </w:rPr>
        <w:t>认定评分畸高、畸低的。</w:t>
      </w:r>
    </w:p>
    <w:p w14:paraId="336F8BCC">
      <w:pPr>
        <w:pStyle w:val="48"/>
        <w:topLinePunct/>
        <w:bidi w:val="0"/>
        <w:ind w:firstLine="480"/>
        <w:textAlignment w:val="auto"/>
        <w:rPr>
          <w:rFonts w:hint="eastAsia" w:ascii="宋体" w:hAnsi="宋体" w:eastAsia="宋体" w:cs="宋体"/>
          <w:i w:val="0"/>
          <w:iCs w:val="0"/>
          <w:color w:val="000000" w:themeColor="text1"/>
          <w:highlight w:val="none"/>
          <w:lang w:val="zh-CN"/>
          <w14:textFill>
            <w14:solidFill>
              <w14:schemeClr w14:val="tx1"/>
            </w14:solidFill>
          </w14:textFill>
        </w:rPr>
      </w:pPr>
      <w:r>
        <w:rPr>
          <w:rFonts w:hint="eastAsia" w:ascii="宋体" w:hAnsi="宋体" w:eastAsia="宋体" w:cs="宋体"/>
          <w:i w:val="0"/>
          <w:iCs w:val="0"/>
          <w:color w:val="000000" w:themeColor="text1"/>
          <w:highlight w:val="none"/>
          <w:lang w:val="zh-CN"/>
          <w14:textFill>
            <w14:solidFill>
              <w14:schemeClr w14:val="tx1"/>
            </w14:solidFill>
          </w14:textFill>
        </w:rPr>
        <w:t>6.3各供应商的最终得分为磋商小组所有成员对各供应商评审得分汇总后的算术平均值。</w:t>
      </w:r>
    </w:p>
    <w:p w14:paraId="62CF47DD">
      <w:pPr>
        <w:pStyle w:val="48"/>
        <w:topLinePunct/>
        <w:bidi w:val="0"/>
        <w:ind w:firstLine="480"/>
        <w:textAlignment w:val="auto"/>
        <w:rPr>
          <w:rFonts w:hint="eastAsia" w:ascii="宋体" w:hAnsi="宋体" w:eastAsia="宋体" w:cs="宋体"/>
          <w:i w:val="0"/>
          <w:iCs w:val="0"/>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6.4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2C2378A5">
      <w:pPr>
        <w:pStyle w:val="48"/>
        <w:topLinePunct/>
        <w:bidi w:val="0"/>
        <w:ind w:firstLine="480"/>
        <w:textAlignment w:val="auto"/>
        <w:rPr>
          <w:rFonts w:hint="eastAsia" w:ascii="宋体" w:hAnsi="宋体" w:eastAsia="宋体" w:cs="宋体"/>
          <w:i w:val="0"/>
          <w:iCs w:val="0"/>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6.5采购人或者采购代理机构不得通过对供应商进行考察等方式改变评审结果。</w:t>
      </w:r>
    </w:p>
    <w:p w14:paraId="2A14F977">
      <w:pPr>
        <w:pStyle w:val="5"/>
        <w:keepNext w:val="0"/>
        <w:keepLines w:val="0"/>
        <w:pageBreakBefore w:val="0"/>
        <w:widowControl w:val="0"/>
        <w:numPr>
          <w:ilvl w:val="0"/>
          <w:numId w:val="0"/>
        </w:numPr>
        <w:kinsoku/>
        <w:wordWrap/>
        <w:overflowPunct/>
        <w:topLinePunct/>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7.评审报告</w:t>
      </w:r>
      <w:bookmarkEnd w:id="349"/>
      <w:bookmarkEnd w:id="350"/>
      <w:bookmarkEnd w:id="351"/>
      <w:bookmarkEnd w:id="352"/>
      <w:bookmarkEnd w:id="353"/>
      <w:bookmarkEnd w:id="354"/>
    </w:p>
    <w:p w14:paraId="754825AF">
      <w:pPr>
        <w:pStyle w:val="48"/>
        <w:topLinePunct/>
        <w:bidi w:val="0"/>
        <w:ind w:firstLine="480"/>
        <w:textAlignment w:val="auto"/>
        <w:rPr>
          <w:rFonts w:hint="eastAsia" w:ascii="宋体" w:hAnsi="宋体" w:eastAsia="宋体" w:cs="宋体"/>
          <w:i w:val="0"/>
          <w:iCs w:val="0"/>
          <w:color w:val="000000" w:themeColor="text1"/>
          <w:szCs w:val="24"/>
          <w:highlight w:val="none"/>
          <w:lang w:val="zh-CN"/>
          <w14:textFill>
            <w14:solidFill>
              <w14:schemeClr w14:val="tx1"/>
            </w14:solidFill>
          </w14:textFill>
        </w:rPr>
      </w:pPr>
      <w:r>
        <w:rPr>
          <w:rFonts w:hint="eastAsia" w:ascii="宋体" w:hAnsi="宋体" w:eastAsia="宋体" w:cs="宋体"/>
          <w:i w:val="0"/>
          <w:iCs w:val="0"/>
          <w:color w:val="000000" w:themeColor="text1"/>
          <w:szCs w:val="24"/>
          <w:highlight w:val="none"/>
          <w:lang w:val="en-US" w:eastAsia="zh-CN"/>
          <w14:textFill>
            <w14:solidFill>
              <w14:schemeClr w14:val="tx1"/>
            </w14:solidFill>
          </w14:textFill>
        </w:rPr>
        <w:t>7</w:t>
      </w:r>
      <w:r>
        <w:rPr>
          <w:rFonts w:hint="eastAsia" w:ascii="宋体" w:hAnsi="宋体" w:eastAsia="宋体" w:cs="宋体"/>
          <w:i w:val="0"/>
          <w:iCs w:val="0"/>
          <w:color w:val="000000" w:themeColor="text1"/>
          <w:szCs w:val="24"/>
          <w:highlight w:val="none"/>
          <w:lang w:val="zh-CN"/>
          <w14:textFill>
            <w14:solidFill>
              <w14:schemeClr w14:val="tx1"/>
            </w14:solidFill>
          </w14:textFill>
        </w:rPr>
        <w:t>.1磋商小组</w:t>
      </w:r>
      <w:r>
        <w:rPr>
          <w:rFonts w:hint="eastAsia" w:ascii="宋体" w:hAnsi="宋体" w:eastAsia="宋体" w:cs="宋体"/>
          <w:i w:val="0"/>
          <w:iCs w:val="0"/>
          <w:color w:val="000000" w:themeColor="text1"/>
          <w:highlight w:val="none"/>
          <w14:textFill>
            <w14:solidFill>
              <w14:schemeClr w14:val="tx1"/>
            </w14:solidFill>
          </w14:textFill>
        </w:rPr>
        <w:t>从质量和服务均能满足磋商文件实质性要求的供应商中，按照综合得分由高到低的顺序推荐3名</w:t>
      </w:r>
      <w:r>
        <w:rPr>
          <w:rFonts w:hint="eastAsia" w:ascii="宋体" w:hAnsi="宋体" w:eastAsia="宋体" w:cs="宋体"/>
          <w:i w:val="0"/>
          <w:iCs w:val="0"/>
          <w:color w:val="000000" w:themeColor="text1"/>
          <w:szCs w:val="24"/>
          <w:highlight w:val="none"/>
          <w:lang w:val="zh-CN"/>
          <w14:textFill>
            <w14:solidFill>
              <w14:schemeClr w14:val="tx1"/>
            </w14:solidFill>
          </w14:textFill>
        </w:rPr>
        <w:t>（</w:t>
      </w:r>
      <w:r>
        <w:rPr>
          <w:rFonts w:hint="eastAsia" w:ascii="宋体" w:hAnsi="宋体" w:eastAsia="宋体" w:cs="宋体"/>
          <w:i w:val="0"/>
          <w:iCs w:val="0"/>
          <w:color w:val="000000" w:themeColor="text1"/>
          <w:highlight w:val="none"/>
          <w14:textFill>
            <w14:solidFill>
              <w14:schemeClr w14:val="tx1"/>
            </w14:solidFill>
          </w14:textFill>
        </w:rPr>
        <w:t>市场竞争不充分的科研项目，以及需要扶持的科技成果转化项目可以为2家，</w:t>
      </w:r>
      <w:r>
        <w:rPr>
          <w:rFonts w:hint="eastAsia" w:ascii="宋体" w:hAnsi="宋体" w:eastAsia="宋体" w:cs="宋体"/>
          <w:i w:val="0"/>
          <w:iCs w:val="0"/>
          <w:snapToGrid w:val="0"/>
          <w:color w:val="000000" w:themeColor="text1"/>
          <w:highlight w:val="none"/>
          <w14:textFill>
            <w14:solidFill>
              <w14:schemeClr w14:val="tx1"/>
            </w14:solidFill>
          </w14:textFill>
        </w:rPr>
        <w:t>政府购买服务项目[含政府和社会资本合作项目]，在采购过程中符合要求的供应商[社会资本]只有2家的</w:t>
      </w:r>
      <w:r>
        <w:rPr>
          <w:rFonts w:hint="eastAsia" w:ascii="宋体" w:hAnsi="宋体" w:eastAsia="宋体" w:cs="宋体"/>
          <w:i w:val="0"/>
          <w:iCs w:val="0"/>
          <w:color w:val="000000" w:themeColor="text1"/>
          <w:highlight w:val="none"/>
          <w14:textFill>
            <w14:solidFill>
              <w14:schemeClr w14:val="tx1"/>
            </w14:solidFill>
          </w14:textFill>
        </w:rPr>
        <w:t>可以为2家</w:t>
      </w:r>
      <w:r>
        <w:rPr>
          <w:rFonts w:hint="eastAsia" w:ascii="宋体" w:hAnsi="宋体" w:eastAsia="宋体" w:cs="宋体"/>
          <w:i w:val="0"/>
          <w:iCs w:val="0"/>
          <w:color w:val="000000" w:themeColor="text1"/>
          <w:szCs w:val="24"/>
          <w:highlight w:val="none"/>
          <w:lang w:val="zh-CN"/>
          <w14:textFill>
            <w14:solidFill>
              <w14:schemeClr w14:val="tx1"/>
            </w14:solidFill>
          </w14:textFill>
        </w:rPr>
        <w:t>）</w:t>
      </w:r>
      <w:r>
        <w:rPr>
          <w:rFonts w:hint="eastAsia" w:ascii="宋体" w:hAnsi="宋体" w:eastAsia="宋体" w:cs="宋体"/>
          <w:i w:val="0"/>
          <w:iCs w:val="0"/>
          <w:color w:val="000000" w:themeColor="text1"/>
          <w:highlight w:val="none"/>
          <w14:textFill>
            <w14:solidFill>
              <w14:schemeClr w14:val="tx1"/>
            </w14:solidFill>
          </w14:textFill>
        </w:rPr>
        <w:t>以上</w:t>
      </w:r>
      <w:r>
        <w:rPr>
          <w:rFonts w:hint="eastAsia" w:ascii="宋体" w:hAnsi="宋体" w:eastAsia="宋体" w:cs="宋体"/>
          <w:i w:val="0"/>
          <w:iCs w:val="0"/>
          <w:color w:val="000000" w:themeColor="text1"/>
          <w:szCs w:val="24"/>
          <w:highlight w:val="none"/>
          <w:lang w:val="zh-CN"/>
          <w14:textFill>
            <w14:solidFill>
              <w14:schemeClr w14:val="tx1"/>
            </w14:solidFill>
          </w14:textFill>
        </w:rPr>
        <w:t>成交</w:t>
      </w:r>
      <w:r>
        <w:rPr>
          <w:rFonts w:hint="eastAsia" w:ascii="宋体" w:hAnsi="宋体" w:eastAsia="宋体" w:cs="宋体"/>
          <w:i w:val="0"/>
          <w:iCs w:val="0"/>
          <w:color w:val="000000" w:themeColor="text1"/>
          <w:highlight w:val="none"/>
          <w14:textFill>
            <w14:solidFill>
              <w14:schemeClr w14:val="tx1"/>
            </w14:solidFill>
          </w14:textFill>
        </w:rPr>
        <w:t>候选供应商。评审得分相同的，</w:t>
      </w:r>
      <w:r>
        <w:rPr>
          <w:rFonts w:hint="eastAsia" w:ascii="宋体" w:hAnsi="宋体" w:eastAsia="宋体" w:cs="宋体"/>
          <w:i w:val="0"/>
          <w:iCs w:val="0"/>
          <w:color w:val="000000" w:themeColor="text1"/>
          <w:szCs w:val="24"/>
          <w:highlight w:val="none"/>
          <w:lang w:val="zh-CN"/>
          <w14:textFill>
            <w14:solidFill>
              <w14:schemeClr w14:val="tx1"/>
            </w14:solidFill>
          </w14:textFill>
        </w:rPr>
        <w:t>磋商小组</w:t>
      </w:r>
      <w:r>
        <w:rPr>
          <w:rFonts w:hint="eastAsia" w:ascii="宋体" w:hAnsi="宋体" w:eastAsia="宋体" w:cs="宋体"/>
          <w:i w:val="0"/>
          <w:iCs w:val="0"/>
          <w:color w:val="000000" w:themeColor="text1"/>
          <w:highlight w:val="none"/>
          <w14:textFill>
            <w14:solidFill>
              <w14:schemeClr w14:val="tx1"/>
            </w14:solidFill>
          </w14:textFill>
        </w:rPr>
        <w:t>按照最后报价由低到高的顺序推荐；得分相同且最后报价相同的，按</w:t>
      </w:r>
      <w:r>
        <w:rPr>
          <w:rFonts w:hint="eastAsia" w:ascii="宋体" w:hAnsi="宋体" w:eastAsia="宋体" w:cs="宋体"/>
          <w:i w:val="0"/>
          <w:iCs w:val="0"/>
          <w:color w:val="000000" w:themeColor="text1"/>
          <w:highlight w:val="none"/>
          <w:lang w:val="en-US" w:eastAsia="zh-CN"/>
          <w14:textFill>
            <w14:solidFill>
              <w14:schemeClr w14:val="tx1"/>
            </w14:solidFill>
          </w14:textFill>
        </w:rPr>
        <w:t>照</w:t>
      </w:r>
      <w:r>
        <w:rPr>
          <w:rFonts w:hint="eastAsia" w:ascii="宋体" w:hAnsi="宋体" w:eastAsia="宋体" w:cs="宋体"/>
          <w:i w:val="0"/>
          <w:iCs w:val="0"/>
          <w:color w:val="000000" w:themeColor="text1"/>
          <w:highlight w:val="none"/>
          <w14:textFill>
            <w14:solidFill>
              <w14:schemeClr w14:val="tx1"/>
            </w14:solidFill>
          </w14:textFill>
        </w:rPr>
        <w:t>技术</w:t>
      </w:r>
      <w:r>
        <w:rPr>
          <w:rFonts w:hint="eastAsia" w:ascii="宋体" w:hAnsi="宋体" w:eastAsia="宋体" w:cs="宋体"/>
          <w:i w:val="0"/>
          <w:iCs w:val="0"/>
          <w:color w:val="000000" w:themeColor="text1"/>
          <w:highlight w:val="none"/>
          <w:lang w:val="en-US" w:eastAsia="zh-CN"/>
          <w14:textFill>
            <w14:solidFill>
              <w14:schemeClr w14:val="tx1"/>
            </w14:solidFill>
          </w14:textFill>
        </w:rPr>
        <w:t>指标</w:t>
      </w:r>
      <w:r>
        <w:rPr>
          <w:rFonts w:hint="eastAsia" w:ascii="宋体" w:hAnsi="宋体" w:eastAsia="宋体" w:cs="宋体"/>
          <w:i w:val="0"/>
          <w:iCs w:val="0"/>
          <w:color w:val="000000" w:themeColor="text1"/>
          <w:highlight w:val="none"/>
          <w14:textFill>
            <w14:solidFill>
              <w14:schemeClr w14:val="tx1"/>
            </w14:solidFill>
          </w14:textFill>
        </w:rPr>
        <w:t>优劣顺序推荐</w:t>
      </w:r>
      <w:r>
        <w:rPr>
          <w:rFonts w:hint="eastAsia" w:ascii="宋体" w:hAnsi="宋体" w:eastAsia="宋体" w:cs="宋体"/>
          <w:i w:val="0"/>
          <w:iCs w:val="0"/>
          <w:color w:val="000000" w:themeColor="text1"/>
          <w:szCs w:val="24"/>
          <w:highlight w:val="none"/>
          <w:lang w:val="zh-CN"/>
          <w14:textFill>
            <w14:solidFill>
              <w14:schemeClr w14:val="tx1"/>
            </w14:solidFill>
          </w14:textFill>
        </w:rPr>
        <w:t>。响应文件满足磋商文件全部实质性要求且评审得分最高的供应商为排名第一的成交候选供应商。</w:t>
      </w:r>
      <w:r>
        <w:rPr>
          <w:rFonts w:hint="eastAsia" w:ascii="宋体" w:hAnsi="宋体" w:eastAsia="宋体" w:cs="宋体"/>
          <w:i w:val="0"/>
          <w:iCs w:val="0"/>
          <w:color w:val="000000" w:themeColor="text1"/>
          <w:highlight w:val="none"/>
          <w14:textFill>
            <w14:solidFill>
              <w14:schemeClr w14:val="tx1"/>
            </w14:solidFill>
          </w14:textFill>
        </w:rPr>
        <w:t>磋商小组依据评审结果</w:t>
      </w:r>
      <w:r>
        <w:rPr>
          <w:rFonts w:hint="eastAsia" w:ascii="宋体" w:hAnsi="宋体" w:eastAsia="宋体" w:cs="宋体"/>
          <w:i w:val="0"/>
          <w:iCs w:val="0"/>
          <w:color w:val="000000" w:themeColor="text1"/>
          <w:highlight w:val="none"/>
          <w:lang w:eastAsia="zh-CN"/>
          <w14:textFill>
            <w14:solidFill>
              <w14:schemeClr w14:val="tx1"/>
            </w14:solidFill>
          </w14:textFill>
        </w:rPr>
        <w:t>形成评审报告。</w:t>
      </w:r>
    </w:p>
    <w:p w14:paraId="6B887AF9">
      <w:pPr>
        <w:pStyle w:val="48"/>
        <w:topLinePunct/>
        <w:bidi w:val="0"/>
        <w:ind w:firstLine="480"/>
        <w:textAlignment w:val="auto"/>
        <w:rPr>
          <w:rFonts w:hint="eastAsia" w:ascii="宋体" w:hAnsi="宋体" w:eastAsia="宋体" w:cs="宋体"/>
          <w:i w:val="0"/>
          <w:iCs w:val="0"/>
          <w:color w:val="000000" w:themeColor="text1"/>
          <w:szCs w:val="24"/>
          <w:highlight w:val="none"/>
          <w:lang w:val="zh-CN"/>
          <w14:textFill>
            <w14:solidFill>
              <w14:schemeClr w14:val="tx1"/>
            </w14:solidFill>
          </w14:textFill>
        </w:rPr>
      </w:pPr>
      <w:r>
        <w:rPr>
          <w:rFonts w:hint="eastAsia" w:ascii="宋体" w:hAnsi="宋体" w:eastAsia="宋体" w:cs="宋体"/>
          <w:i w:val="0"/>
          <w:iCs w:val="0"/>
          <w:color w:val="000000" w:themeColor="text1"/>
          <w:szCs w:val="24"/>
          <w:highlight w:val="none"/>
          <w:lang w:val="en-US" w:eastAsia="zh-CN"/>
          <w14:textFill>
            <w14:solidFill>
              <w14:schemeClr w14:val="tx1"/>
            </w14:solidFill>
          </w14:textFill>
        </w:rPr>
        <w:t>7</w:t>
      </w:r>
      <w:r>
        <w:rPr>
          <w:rFonts w:hint="eastAsia" w:ascii="宋体" w:hAnsi="宋体" w:eastAsia="宋体" w:cs="宋体"/>
          <w:i w:val="0"/>
          <w:iCs w:val="0"/>
          <w:color w:val="000000" w:themeColor="text1"/>
          <w:szCs w:val="24"/>
          <w:highlight w:val="none"/>
          <w:lang w:val="zh-CN"/>
          <w14:textFill>
            <w14:solidFill>
              <w14:schemeClr w14:val="tx1"/>
            </w14:solidFill>
          </w14:textFill>
        </w:rPr>
        <w:t>.</w:t>
      </w:r>
      <w:r>
        <w:rPr>
          <w:rFonts w:hint="eastAsia" w:ascii="宋体" w:hAnsi="宋体" w:eastAsia="宋体" w:cs="宋体"/>
          <w:i w:val="0"/>
          <w:iCs w:val="0"/>
          <w:color w:val="000000" w:themeColor="text1"/>
          <w:szCs w:val="24"/>
          <w:highlight w:val="none"/>
          <w:lang w:val="en-US" w:eastAsia="zh-CN"/>
          <w14:textFill>
            <w14:solidFill>
              <w14:schemeClr w14:val="tx1"/>
            </w14:solidFill>
          </w14:textFill>
        </w:rPr>
        <w:t>2</w:t>
      </w:r>
      <w:r>
        <w:rPr>
          <w:rFonts w:hint="eastAsia" w:ascii="宋体" w:hAnsi="宋体" w:eastAsia="宋体" w:cs="宋体"/>
          <w:i w:val="0"/>
          <w:iCs w:val="0"/>
          <w:color w:val="000000" w:themeColor="text1"/>
          <w:highlight w:val="none"/>
          <w:lang w:val="zh-CN" w:eastAsia="zh-CN"/>
          <w14:textFill>
            <w14:solidFill>
              <w14:schemeClr w14:val="tx1"/>
            </w14:solidFill>
          </w14:textFill>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宋体" w:hAnsi="宋体" w:eastAsia="宋体" w:cs="宋体"/>
          <w:i w:val="0"/>
          <w:iCs w:val="0"/>
          <w:color w:val="000000" w:themeColor="text1"/>
          <w:szCs w:val="24"/>
          <w:highlight w:val="none"/>
          <w:lang w:val="zh-CN"/>
          <w14:textFill>
            <w14:solidFill>
              <w14:schemeClr w14:val="tx1"/>
            </w14:solidFill>
          </w14:textFill>
        </w:rPr>
        <w:t>。</w:t>
      </w:r>
    </w:p>
    <w:p w14:paraId="3B67C65A">
      <w:pPr>
        <w:pStyle w:val="5"/>
        <w:keepNext w:val="0"/>
        <w:keepLines w:val="0"/>
        <w:pageBreakBefore w:val="0"/>
        <w:widowControl w:val="0"/>
        <w:numPr>
          <w:ilvl w:val="0"/>
          <w:numId w:val="0"/>
        </w:numPr>
        <w:kinsoku/>
        <w:wordWrap/>
        <w:overflowPunct/>
        <w:topLinePunct/>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8.响应无效的情形</w:t>
      </w:r>
    </w:p>
    <w:p w14:paraId="3D5C47AF">
      <w:pPr>
        <w:keepNext w:val="0"/>
        <w:keepLines w:val="0"/>
        <w:widowControl/>
        <w:suppressLineNumbers w:val="0"/>
        <w:topLinePunct/>
        <w:bidi w:val="0"/>
        <w:ind w:firstLine="420" w:firstLineChars="200"/>
        <w:jc w:val="left"/>
        <w:textAlignment w:val="auto"/>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8.1</w:t>
      </w:r>
      <w:r>
        <w:rPr>
          <w:rFonts w:hint="eastAsia" w:ascii="宋体" w:hAnsi="宋体" w:eastAsia="宋体" w:cs="宋体"/>
          <w:b w:val="0"/>
          <w:bCs w:val="0"/>
          <w:i w:val="0"/>
          <w:iCs w:val="0"/>
          <w:color w:val="000000" w:themeColor="text1"/>
          <w:sz w:val="21"/>
          <w:szCs w:val="21"/>
          <w:highlight w:val="none"/>
          <w14:textFill>
            <w14:solidFill>
              <w14:schemeClr w14:val="tx1"/>
            </w14:solidFill>
          </w14:textFill>
        </w:rPr>
        <w:t>供应商存在下列情况之一的，</w:t>
      </w:r>
      <w:r>
        <w:rPr>
          <w:rFonts w:hint="eastAsia" w:ascii="宋体" w:hAnsi="宋体" w:eastAsia="宋体" w:cs="宋体"/>
          <w:b w:val="0"/>
          <w:bCs w:val="0"/>
          <w:i w:val="0"/>
          <w:iCs w:val="0"/>
          <w:color w:val="000000" w:themeColor="text1"/>
          <w:sz w:val="21"/>
          <w:szCs w:val="21"/>
          <w:highlight w:val="none"/>
          <w:lang w:val="en-US" w:eastAsia="zh-CN"/>
          <w14:textFill>
            <w14:solidFill>
              <w14:schemeClr w14:val="tx1"/>
            </w14:solidFill>
          </w14:textFill>
        </w:rPr>
        <w:t>其</w:t>
      </w:r>
      <w:r>
        <w:rPr>
          <w:rFonts w:hint="eastAsia" w:ascii="宋体" w:hAnsi="宋体" w:eastAsia="宋体" w:cs="宋体"/>
          <w:b/>
          <w:bCs/>
          <w:i w:val="0"/>
          <w:iCs w:val="0"/>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b/>
          <w:bCs/>
          <w:i w:val="0"/>
          <w:iCs w:val="0"/>
          <w:color w:val="000000" w:themeColor="text1"/>
          <w:sz w:val="21"/>
          <w:szCs w:val="21"/>
          <w:highlight w:val="none"/>
          <w14:textFill>
            <w14:solidFill>
              <w14:schemeClr w14:val="tx1"/>
            </w14:solidFill>
          </w14:textFill>
        </w:rPr>
        <w:t>无效</w:t>
      </w:r>
      <w:r>
        <w:rPr>
          <w:rFonts w:hint="eastAsia" w:ascii="宋体" w:hAnsi="宋体" w:eastAsia="宋体" w:cs="宋体"/>
          <w:b w:val="0"/>
          <w:bCs w:val="0"/>
          <w:i w:val="0"/>
          <w:iCs w:val="0"/>
          <w:color w:val="000000" w:themeColor="text1"/>
          <w:sz w:val="21"/>
          <w:szCs w:val="21"/>
          <w:highlight w:val="none"/>
          <w14:textFill>
            <w14:solidFill>
              <w14:schemeClr w14:val="tx1"/>
            </w14:solidFill>
          </w14:textFill>
        </w:rPr>
        <w:t>：</w:t>
      </w:r>
    </w:p>
    <w:p w14:paraId="4AD736CB">
      <w:pPr>
        <w:pStyle w:val="49"/>
        <w:pageBreakBefore w:val="0"/>
        <w:kinsoku/>
        <w:wordWrap/>
        <w:overflowPunct/>
        <w:topLinePunct/>
        <w:bidi w:val="0"/>
        <w:spacing w:line="360" w:lineRule="auto"/>
        <w:ind w:firstLine="420" w:firstLineChars="200"/>
        <w:textAlignment w:val="auto"/>
        <w:rPr>
          <w:rFonts w:hint="eastAsia" w:ascii="宋体" w:hAnsi="宋体" w:eastAsia="宋体" w:cs="宋体"/>
          <w:b w:val="0"/>
          <w:bCs w:val="0"/>
          <w:i w:val="0"/>
          <w:iCs w:val="0"/>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z w:val="21"/>
          <w:szCs w:val="21"/>
          <w:highlight w:val="none"/>
          <w14:textFill>
            <w14:solidFill>
              <w14:schemeClr w14:val="tx1"/>
            </w14:solidFill>
          </w14:textFill>
        </w:rPr>
        <w:t>不同供应商的响应文件由同一单位或者个人编制；</w:t>
      </w:r>
    </w:p>
    <w:p w14:paraId="54A9FB32">
      <w:pPr>
        <w:pStyle w:val="49"/>
        <w:pageBreakBefore w:val="0"/>
        <w:kinsoku/>
        <w:wordWrap/>
        <w:overflowPunct/>
        <w:topLinePunct/>
        <w:bidi w:val="0"/>
        <w:spacing w:line="360" w:lineRule="auto"/>
        <w:ind w:firstLine="420" w:firstLineChars="200"/>
        <w:textAlignment w:val="auto"/>
        <w:rPr>
          <w:rFonts w:hint="eastAsia" w:ascii="宋体" w:hAnsi="宋体" w:eastAsia="宋体" w:cs="宋体"/>
          <w:b w:val="0"/>
          <w:bCs w:val="0"/>
          <w:i w:val="0"/>
          <w:iCs w:val="0"/>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z w:val="21"/>
          <w:szCs w:val="21"/>
          <w:highlight w:val="none"/>
          <w14:textFill>
            <w14:solidFill>
              <w14:schemeClr w14:val="tx1"/>
            </w14:solidFill>
          </w14:textFill>
        </w:rPr>
        <w:t>不同供应商委托同一单位或者个人办理</w:t>
      </w:r>
      <w:r>
        <w:rPr>
          <w:rFonts w:hint="eastAsia" w:ascii="宋体" w:hAnsi="宋体" w:eastAsia="宋体" w:cs="宋体"/>
          <w:b w:val="0"/>
          <w:bCs w:val="0"/>
          <w:i w:val="0"/>
          <w:iCs w:val="0"/>
          <w:color w:val="000000" w:themeColor="text1"/>
          <w:sz w:val="21"/>
          <w:szCs w:val="21"/>
          <w:highlight w:val="none"/>
          <w:lang w:val="en-US" w:eastAsia="zh-CN"/>
          <w14:textFill>
            <w14:solidFill>
              <w14:schemeClr w14:val="tx1"/>
            </w14:solidFill>
          </w14:textFill>
        </w:rPr>
        <w:t>磋商响应</w:t>
      </w:r>
      <w:r>
        <w:rPr>
          <w:rFonts w:hint="eastAsia" w:ascii="宋体" w:hAnsi="宋体" w:eastAsia="宋体" w:cs="宋体"/>
          <w:b w:val="0"/>
          <w:bCs w:val="0"/>
          <w:i w:val="0"/>
          <w:iCs w:val="0"/>
          <w:color w:val="000000" w:themeColor="text1"/>
          <w:sz w:val="21"/>
          <w:szCs w:val="21"/>
          <w:highlight w:val="none"/>
          <w14:textFill>
            <w14:solidFill>
              <w14:schemeClr w14:val="tx1"/>
            </w14:solidFill>
          </w14:textFill>
        </w:rPr>
        <w:t>事宜；</w:t>
      </w:r>
    </w:p>
    <w:p w14:paraId="20B84AE4">
      <w:pPr>
        <w:pStyle w:val="49"/>
        <w:pageBreakBefore w:val="0"/>
        <w:kinsoku/>
        <w:wordWrap/>
        <w:overflowPunct/>
        <w:topLinePunct/>
        <w:bidi w:val="0"/>
        <w:spacing w:line="360" w:lineRule="auto"/>
        <w:ind w:firstLine="420" w:firstLineChars="200"/>
        <w:textAlignment w:val="auto"/>
        <w:rPr>
          <w:rFonts w:hint="eastAsia" w:ascii="宋体" w:hAnsi="宋体" w:eastAsia="宋体" w:cs="宋体"/>
          <w:b w:val="0"/>
          <w:bCs w:val="0"/>
          <w:i w:val="0"/>
          <w:iCs w:val="0"/>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i w:val="0"/>
          <w:iCs w:val="0"/>
          <w:color w:val="000000" w:themeColor="text1"/>
          <w:sz w:val="21"/>
          <w:szCs w:val="21"/>
          <w:highlight w:val="none"/>
          <w14:textFill>
            <w14:solidFill>
              <w14:schemeClr w14:val="tx1"/>
            </w14:solidFill>
          </w14:textFill>
        </w:rPr>
        <w:t>不同供应商的响应文件载明的项目管理成员或者联系人员为同一人；</w:t>
      </w:r>
    </w:p>
    <w:p w14:paraId="03C54902">
      <w:pPr>
        <w:pStyle w:val="49"/>
        <w:pageBreakBefore w:val="0"/>
        <w:kinsoku/>
        <w:wordWrap/>
        <w:overflowPunct/>
        <w:topLinePunct/>
        <w:bidi w:val="0"/>
        <w:spacing w:line="360" w:lineRule="auto"/>
        <w:ind w:firstLine="420" w:firstLineChars="200"/>
        <w:textAlignment w:val="auto"/>
        <w:rPr>
          <w:rFonts w:hint="eastAsia" w:ascii="宋体" w:hAnsi="宋体" w:eastAsia="宋体" w:cs="宋体"/>
          <w:b w:val="0"/>
          <w:bCs w:val="0"/>
          <w:i w:val="0"/>
          <w:iCs w:val="0"/>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i w:val="0"/>
          <w:iCs w:val="0"/>
          <w:color w:val="000000" w:themeColor="text1"/>
          <w:sz w:val="21"/>
          <w:szCs w:val="21"/>
          <w:highlight w:val="none"/>
          <w14:textFill>
            <w14:solidFill>
              <w14:schemeClr w14:val="tx1"/>
            </w14:solidFill>
          </w14:textFill>
        </w:rPr>
        <w:t>不同供应商的响应文件异常一致或者</w:t>
      </w:r>
      <w:r>
        <w:rPr>
          <w:rFonts w:hint="eastAsia" w:ascii="宋体" w:hAnsi="宋体" w:eastAsia="宋体" w:cs="宋体"/>
          <w:b w:val="0"/>
          <w:bCs w:val="0"/>
          <w:i w:val="0"/>
          <w:iCs w:val="0"/>
          <w:color w:val="000000" w:themeColor="text1"/>
          <w:sz w:val="21"/>
          <w:szCs w:val="21"/>
          <w:highlight w:val="none"/>
          <w:lang w:val="en-US" w:eastAsia="zh-CN"/>
          <w14:textFill>
            <w14:solidFill>
              <w14:schemeClr w14:val="tx1"/>
            </w14:solidFill>
          </w14:textFill>
        </w:rPr>
        <w:t>磋商</w:t>
      </w:r>
      <w:r>
        <w:rPr>
          <w:rFonts w:hint="eastAsia" w:ascii="宋体" w:hAnsi="宋体" w:eastAsia="宋体" w:cs="宋体"/>
          <w:b w:val="0"/>
          <w:bCs w:val="0"/>
          <w:i w:val="0"/>
          <w:iCs w:val="0"/>
          <w:color w:val="000000" w:themeColor="text1"/>
          <w:sz w:val="21"/>
          <w:szCs w:val="21"/>
          <w:highlight w:val="none"/>
          <w14:textFill>
            <w14:solidFill>
              <w14:schemeClr w14:val="tx1"/>
            </w14:solidFill>
          </w14:textFill>
        </w:rPr>
        <w:t>报价呈规律性差异；</w:t>
      </w:r>
    </w:p>
    <w:p w14:paraId="183105B2">
      <w:pPr>
        <w:pStyle w:val="49"/>
        <w:pageBreakBefore w:val="0"/>
        <w:kinsoku/>
        <w:wordWrap/>
        <w:overflowPunct/>
        <w:topLinePunct/>
        <w:bidi w:val="0"/>
        <w:spacing w:line="360" w:lineRule="auto"/>
        <w:ind w:firstLine="420" w:firstLineChars="200"/>
        <w:textAlignment w:val="auto"/>
        <w:rPr>
          <w:rFonts w:hint="eastAsia" w:ascii="宋体" w:hAnsi="宋体" w:eastAsia="宋体" w:cs="宋体"/>
          <w:b w:val="0"/>
          <w:bCs w:val="0"/>
          <w:i w:val="0"/>
          <w:iCs w:val="0"/>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i w:val="0"/>
          <w:iCs w:val="0"/>
          <w:color w:val="000000" w:themeColor="text1"/>
          <w:sz w:val="21"/>
          <w:szCs w:val="21"/>
          <w:highlight w:val="none"/>
          <w14:textFill>
            <w14:solidFill>
              <w14:schemeClr w14:val="tx1"/>
            </w14:solidFill>
          </w14:textFill>
        </w:rPr>
        <w:t>不同供应商的响应文件相互混装；</w:t>
      </w:r>
    </w:p>
    <w:p w14:paraId="3448649C">
      <w:pPr>
        <w:pStyle w:val="49"/>
        <w:pageBreakBefore w:val="0"/>
        <w:kinsoku/>
        <w:wordWrap/>
        <w:overflowPunct/>
        <w:topLinePunct/>
        <w:bidi w:val="0"/>
        <w:spacing w:line="360" w:lineRule="auto"/>
        <w:ind w:firstLine="420" w:firstLineChars="200"/>
        <w:textAlignment w:val="auto"/>
        <w:rPr>
          <w:rFonts w:hint="eastAsia" w:ascii="宋体" w:hAnsi="宋体" w:eastAsia="宋体" w:cs="宋体"/>
          <w:b w:val="0"/>
          <w:bCs w:val="0"/>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i w:val="0"/>
          <w:iCs w:val="0"/>
          <w:color w:val="000000" w:themeColor="text1"/>
          <w:sz w:val="21"/>
          <w:szCs w:val="21"/>
          <w:highlight w:val="none"/>
          <w14:textFill>
            <w14:solidFill>
              <w14:schemeClr w14:val="tx1"/>
            </w14:solidFill>
          </w14:textFill>
        </w:rPr>
        <w:t>不同供应商的磋商保证金从同一单位或者个人的账户转出</w:t>
      </w:r>
      <w:r>
        <w:rPr>
          <w:rFonts w:hint="eastAsia" w:ascii="宋体" w:hAnsi="宋体" w:eastAsia="宋体" w:cs="宋体"/>
          <w:b w:val="0"/>
          <w:bCs w:val="0"/>
          <w:i w:val="0"/>
          <w:iCs w:val="0"/>
          <w:color w:val="000000" w:themeColor="text1"/>
          <w:sz w:val="21"/>
          <w:szCs w:val="21"/>
          <w:highlight w:val="none"/>
          <w:lang w:val="en-US" w:eastAsia="zh-CN"/>
          <w14:textFill>
            <w14:solidFill>
              <w14:schemeClr w14:val="tx1"/>
            </w14:solidFill>
          </w14:textFill>
        </w:rPr>
        <w:t>；</w:t>
      </w:r>
    </w:p>
    <w:p w14:paraId="54198E47">
      <w:pPr>
        <w:pStyle w:val="48"/>
        <w:topLinePunct/>
        <w:bidi w:val="0"/>
        <w:textAlignment w:val="auto"/>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i w:val="0"/>
          <w:iCs w:val="0"/>
          <w:color w:val="000000" w:themeColor="text1"/>
          <w:sz w:val="21"/>
          <w:szCs w:val="21"/>
          <w:highlight w:val="none"/>
          <w:lang w:val="zh-CN" w:eastAsia="zh-CN"/>
          <w14:textFill>
            <w14:solidFill>
              <w14:schemeClr w14:val="tx1"/>
            </w14:solidFill>
          </w14:textFill>
        </w:rPr>
        <w:t>不同</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i w:val="0"/>
          <w:iCs w:val="0"/>
          <w:color w:val="000000" w:themeColor="text1"/>
          <w:sz w:val="21"/>
          <w:szCs w:val="21"/>
          <w:highlight w:val="none"/>
          <w:lang w:val="zh-CN" w:eastAsia="zh-CN"/>
          <w14:textFill>
            <w14:solidFill>
              <w14:schemeClr w14:val="tx1"/>
            </w14:solidFill>
          </w14:textFill>
        </w:rPr>
        <w:t>使用同一电脑（机器特征值一致：如MAC地址等）或使用同一电子密钥，编制或上传电子</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i w:val="0"/>
          <w:iCs w:val="0"/>
          <w:color w:val="000000" w:themeColor="text1"/>
          <w:sz w:val="21"/>
          <w:szCs w:val="21"/>
          <w:highlight w:val="none"/>
          <w:lang w:val="zh-CN" w:eastAsia="zh-CN"/>
          <w14:textFill>
            <w14:solidFill>
              <w14:schemeClr w14:val="tx1"/>
            </w14:solidFill>
          </w14:textFill>
        </w:rPr>
        <w:t>文件</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w:t>
      </w:r>
    </w:p>
    <w:p w14:paraId="075A4778">
      <w:pPr>
        <w:pStyle w:val="48"/>
        <w:topLinePunct/>
        <w:bidi w:val="0"/>
        <w:textAlignment w:val="auto"/>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（8）法律、法规、规章和竞争性磋商文件规定的其他响应无效的情形。</w:t>
      </w:r>
    </w:p>
    <w:p w14:paraId="7AF72101">
      <w:pPr>
        <w:pStyle w:val="49"/>
        <w:pageBreakBefore w:val="0"/>
        <w:kinsoku/>
        <w:wordWrap/>
        <w:overflowPunct/>
        <w:topLinePunct/>
        <w:bidi w:val="0"/>
        <w:spacing w:line="360" w:lineRule="auto"/>
        <w:ind w:firstLine="420" w:firstLineChars="200"/>
        <w:textAlignment w:val="auto"/>
        <w:rPr>
          <w:rFonts w:hint="eastAsia" w:ascii="宋体" w:hAnsi="宋体" w:eastAsia="宋体" w:cs="宋体"/>
          <w:b w:val="0"/>
          <w:bCs w:val="0"/>
          <w:i w:val="0"/>
          <w:iCs w:val="0"/>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val="0"/>
          <w:i w:val="0"/>
          <w:iCs w:val="0"/>
          <w:color w:val="000000" w:themeColor="text1"/>
          <w:sz w:val="21"/>
          <w:szCs w:val="21"/>
          <w:highlight w:val="none"/>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lang w:val="en-US" w:eastAsia="zh-CN"/>
          <w14:textFill>
            <w14:solidFill>
              <w14:schemeClr w14:val="tx1"/>
            </w14:solidFill>
          </w14:textFill>
        </w:rPr>
        <w:t>2磋商</w:t>
      </w:r>
      <w:r>
        <w:rPr>
          <w:rFonts w:hint="eastAsia" w:ascii="宋体" w:hAnsi="宋体" w:eastAsia="宋体" w:cs="宋体"/>
          <w:b w:val="0"/>
          <w:bCs w:val="0"/>
          <w:i w:val="0"/>
          <w:iCs w:val="0"/>
          <w:color w:val="000000" w:themeColor="text1"/>
          <w:sz w:val="21"/>
          <w:szCs w:val="21"/>
          <w:highlight w:val="none"/>
          <w14:textFill>
            <w14:solidFill>
              <w14:schemeClr w14:val="tx1"/>
            </w14:solidFill>
          </w14:textFill>
        </w:rPr>
        <w:t>小组应当审查</w:t>
      </w:r>
      <w:r>
        <w:rPr>
          <w:rFonts w:hint="eastAsia" w:ascii="宋体" w:hAnsi="宋体" w:eastAsia="宋体" w:cs="宋体"/>
          <w:b w:val="0"/>
          <w:bCs w:val="0"/>
          <w:i w:val="0"/>
          <w:iCs w:val="0"/>
          <w:color w:val="000000" w:themeColor="text1"/>
          <w:sz w:val="21"/>
          <w:szCs w:val="21"/>
          <w:highlight w:val="none"/>
          <w:lang w:val="en-US" w:eastAsia="zh-CN"/>
          <w14:textFill>
            <w14:solidFill>
              <w14:schemeClr w14:val="tx1"/>
            </w14:solidFill>
          </w14:textFill>
        </w:rPr>
        <w:t>所有供应商的</w:t>
      </w:r>
      <w:r>
        <w:rPr>
          <w:rFonts w:hint="eastAsia" w:ascii="宋体" w:hAnsi="宋体" w:eastAsia="宋体" w:cs="宋体"/>
          <w:b w:val="0"/>
          <w:bCs w:val="0"/>
          <w:i w:val="0"/>
          <w:iCs w:val="0"/>
          <w:color w:val="000000" w:themeColor="text1"/>
          <w:sz w:val="21"/>
          <w:szCs w:val="21"/>
          <w:highlight w:val="none"/>
          <w14:textFill>
            <w14:solidFill>
              <w14:schemeClr w14:val="tx1"/>
            </w14:solidFill>
          </w14:textFill>
        </w:rPr>
        <w:t>响应文件是否对竞争性磋商文件提出的所有实质性要求和条件做出响应。未能在实质上响应的</w:t>
      </w:r>
      <w:r>
        <w:rPr>
          <w:rFonts w:hint="eastAsia" w:ascii="宋体" w:hAnsi="宋体" w:eastAsia="宋体" w:cs="宋体"/>
          <w:b w:val="0"/>
          <w:bCs w:val="0"/>
          <w:i w:val="0"/>
          <w:i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i w:val="0"/>
          <w:iCs w:val="0"/>
          <w:color w:val="000000" w:themeColor="text1"/>
          <w:sz w:val="21"/>
          <w:szCs w:val="21"/>
          <w:highlight w:val="none"/>
          <w14:textFill>
            <w14:solidFill>
              <w14:schemeClr w14:val="tx1"/>
            </w14:solidFill>
          </w14:textFill>
        </w:rPr>
        <w:t>，其</w:t>
      </w:r>
      <w:r>
        <w:rPr>
          <w:rFonts w:hint="eastAsia" w:ascii="宋体" w:hAnsi="宋体" w:eastAsia="宋体" w:cs="宋体"/>
          <w:b/>
          <w:bCs/>
          <w:i w:val="0"/>
          <w:iCs w:val="0"/>
          <w:color w:val="000000" w:themeColor="text1"/>
          <w:sz w:val="21"/>
          <w:szCs w:val="21"/>
          <w:highlight w:val="none"/>
          <w:lang w:val="en-US" w:eastAsia="zh-CN"/>
          <w14:textFill>
            <w14:solidFill>
              <w14:schemeClr w14:val="tx1"/>
            </w14:solidFill>
          </w14:textFill>
        </w:rPr>
        <w:t>响应无效</w:t>
      </w:r>
      <w:r>
        <w:rPr>
          <w:rFonts w:hint="eastAsia" w:ascii="宋体" w:hAnsi="宋体" w:eastAsia="宋体" w:cs="宋体"/>
          <w:b w:val="0"/>
          <w:bCs w:val="0"/>
          <w:i w:val="0"/>
          <w:iCs w:val="0"/>
          <w:color w:val="000000" w:themeColor="text1"/>
          <w:sz w:val="21"/>
          <w:szCs w:val="21"/>
          <w:highlight w:val="none"/>
          <w14:textFill>
            <w14:solidFill>
              <w14:schemeClr w14:val="tx1"/>
            </w14:solidFill>
          </w14:textFill>
        </w:rPr>
        <w:t>。</w:t>
      </w:r>
    </w:p>
    <w:p w14:paraId="2A21A861">
      <w:pPr>
        <w:pStyle w:val="48"/>
        <w:topLinePunct/>
        <w:bidi w:val="0"/>
        <w:ind w:firstLine="480"/>
        <w:textAlignment w:val="auto"/>
        <w:rPr>
          <w:rFonts w:hint="eastAsia" w:ascii="宋体" w:hAnsi="宋体" w:eastAsia="宋体" w:cs="宋体"/>
          <w:i w:val="0"/>
          <w:iCs w:val="0"/>
          <w:color w:val="000000" w:themeColor="text1"/>
          <w:sz w:val="21"/>
          <w:szCs w:val="21"/>
          <w:highlight w:val="none"/>
          <w:lang w:val="zh-CN"/>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val="0"/>
          <w:i w:val="0"/>
          <w:iCs w:val="0"/>
          <w:color w:val="000000" w:themeColor="text1"/>
          <w:sz w:val="21"/>
          <w:szCs w:val="21"/>
          <w:highlight w:val="none"/>
          <w14:textFill>
            <w14:solidFill>
              <w14:schemeClr w14:val="tx1"/>
            </w14:solidFill>
          </w14:textFill>
        </w:rPr>
        <w:t>.</w:t>
      </w:r>
      <w:r>
        <w:rPr>
          <w:rFonts w:hint="eastAsia" w:ascii="宋体" w:hAnsi="宋体" w:eastAsia="宋体" w:cs="宋体"/>
          <w:b w:val="0"/>
          <w:bCs w:val="0"/>
          <w:i w:val="0"/>
          <w:i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i w:val="0"/>
          <w:iCs w:val="0"/>
          <w:color w:val="000000" w:themeColor="text1"/>
          <w:sz w:val="21"/>
          <w:szCs w:val="21"/>
          <w:highlight w:val="none"/>
          <w14:textFill>
            <w14:solidFill>
              <w14:schemeClr w14:val="tx1"/>
            </w14:solidFill>
          </w14:textFill>
        </w:rPr>
        <w:t>供应商不得误导、干扰</w:t>
      </w:r>
      <w:r>
        <w:rPr>
          <w:rFonts w:hint="eastAsia" w:ascii="宋体" w:hAnsi="宋体" w:eastAsia="宋体" w:cs="宋体"/>
          <w:b w:val="0"/>
          <w:bCs w:val="0"/>
          <w:i w:val="0"/>
          <w:iCs w:val="0"/>
          <w:color w:val="000000" w:themeColor="text1"/>
          <w:sz w:val="21"/>
          <w:szCs w:val="21"/>
          <w:highlight w:val="none"/>
          <w:lang w:val="en-US" w:eastAsia="zh-CN"/>
          <w14:textFill>
            <w14:solidFill>
              <w14:schemeClr w14:val="tx1"/>
            </w14:solidFill>
          </w14:textFill>
        </w:rPr>
        <w:t>磋商小组</w:t>
      </w:r>
      <w:r>
        <w:rPr>
          <w:rFonts w:hint="eastAsia" w:ascii="宋体" w:hAnsi="宋体" w:eastAsia="宋体" w:cs="宋体"/>
          <w:b w:val="0"/>
          <w:bCs w:val="0"/>
          <w:i w:val="0"/>
          <w:iCs w:val="0"/>
          <w:color w:val="000000" w:themeColor="text1"/>
          <w:sz w:val="21"/>
          <w:szCs w:val="21"/>
          <w:highlight w:val="none"/>
          <w14:textFill>
            <w14:solidFill>
              <w14:schemeClr w14:val="tx1"/>
            </w14:solidFill>
          </w14:textFill>
        </w:rPr>
        <w:t>的评审活动，否则其</w:t>
      </w:r>
      <w:r>
        <w:rPr>
          <w:rFonts w:hint="eastAsia" w:ascii="宋体" w:hAnsi="宋体" w:eastAsia="宋体" w:cs="宋体"/>
          <w:b/>
          <w:bCs/>
          <w:i w:val="0"/>
          <w:iCs w:val="0"/>
          <w:color w:val="000000" w:themeColor="text1"/>
          <w:sz w:val="21"/>
          <w:szCs w:val="21"/>
          <w:highlight w:val="none"/>
          <w:lang w:val="en-US" w:eastAsia="zh-CN"/>
          <w14:textFill>
            <w14:solidFill>
              <w14:schemeClr w14:val="tx1"/>
            </w14:solidFill>
          </w14:textFill>
        </w:rPr>
        <w:t>响应无效</w:t>
      </w:r>
      <w:r>
        <w:rPr>
          <w:rFonts w:hint="eastAsia" w:ascii="宋体" w:hAnsi="宋体" w:eastAsia="宋体" w:cs="宋体"/>
          <w:b w:val="0"/>
          <w:bCs w:val="0"/>
          <w:i w:val="0"/>
          <w:iCs w:val="0"/>
          <w:color w:val="000000" w:themeColor="text1"/>
          <w:sz w:val="21"/>
          <w:szCs w:val="21"/>
          <w:highlight w:val="none"/>
          <w14:textFill>
            <w14:solidFill>
              <w14:schemeClr w14:val="tx1"/>
            </w14:solidFill>
          </w14:textFill>
        </w:rPr>
        <w:t>。</w:t>
      </w:r>
    </w:p>
    <w:p w14:paraId="666E60BD">
      <w:pPr>
        <w:pStyle w:val="5"/>
        <w:keepNext w:val="0"/>
        <w:keepLines w:val="0"/>
        <w:pageBreakBefore w:val="0"/>
        <w:widowControl w:val="0"/>
        <w:numPr>
          <w:ilvl w:val="0"/>
          <w:numId w:val="0"/>
        </w:numPr>
        <w:kinsoku/>
        <w:wordWrap/>
        <w:overflowPunct/>
        <w:topLinePunct/>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355" w:name="_Toc102116022"/>
      <w:bookmarkStart w:id="356" w:name="_Toc102116152"/>
      <w:bookmarkStart w:id="357" w:name="_Toc102056218"/>
      <w:bookmarkStart w:id="358" w:name="_Toc102114920"/>
      <w:bookmarkStart w:id="359" w:name="_Toc102057718"/>
      <w:bookmarkStart w:id="360" w:name="_Toc102119853"/>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9.停止评审的情形</w:t>
      </w:r>
      <w:bookmarkEnd w:id="355"/>
      <w:bookmarkEnd w:id="356"/>
      <w:bookmarkEnd w:id="357"/>
      <w:bookmarkEnd w:id="358"/>
      <w:bookmarkEnd w:id="359"/>
      <w:bookmarkEnd w:id="360"/>
    </w:p>
    <w:p w14:paraId="1CFE4E29">
      <w:pPr>
        <w:keepNext w:val="0"/>
        <w:keepLines w:val="0"/>
        <w:widowControl/>
        <w:suppressLineNumbers w:val="0"/>
        <w:topLinePunct/>
        <w:bidi w:val="0"/>
        <w:ind w:firstLine="420" w:firstLineChars="200"/>
        <w:jc w:val="left"/>
        <w:textAlignment w:val="auto"/>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9</w: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t>.1</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磋商小组在评审过程中发现供应商有行贿、提供虚假材料或者串通等违法行为的，应当及时向财政部门报告。</w:t>
      </w:r>
    </w:p>
    <w:p w14:paraId="58BE1973">
      <w:pPr>
        <w:pStyle w:val="48"/>
        <w:topLinePunct/>
        <w:bidi w:val="0"/>
        <w:ind w:firstLine="480"/>
        <w:textAlignment w:val="auto"/>
        <w:rPr>
          <w:i w:val="0"/>
          <w:iCs w:val="0"/>
          <w:color w:val="000000" w:themeColor="text1"/>
          <w:highlight w:val="none"/>
          <w:lang w:val="zh-CN"/>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9.2</w: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t>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14:paraId="4EC3B147">
      <w:pPr>
        <w:pStyle w:val="3"/>
        <w:keepNext w:val="0"/>
        <w:keepLines w:val="0"/>
        <w:pageBreakBefore w:val="0"/>
        <w:widowControl w:val="0"/>
        <w:numPr>
          <w:ilvl w:val="0"/>
          <w:numId w:val="0"/>
        </w:numPr>
        <w:kinsoku/>
        <w:wordWrap/>
        <w:overflowPunct/>
        <w:topLinePunct/>
        <w:autoSpaceDE/>
        <w:autoSpaceDN/>
        <w:bidi w:val="0"/>
        <w:adjustRightInd/>
        <w:snapToGrid/>
        <w:spacing w:before="120" w:after="120" w:line="480" w:lineRule="exact"/>
        <w:ind w:left="420" w:leftChars="0" w:hanging="420" w:firstLineChars="0"/>
        <w:textAlignment w:val="auto"/>
        <w:rPr>
          <w:rFonts w:hint="default" w:ascii="宋体" w:hAnsi="宋体" w:eastAsia="宋体" w:cs="宋体"/>
          <w:color w:val="000000" w:themeColor="text1"/>
          <w:sz w:val="28"/>
          <w:szCs w:val="28"/>
          <w:highlight w:val="none"/>
          <w:lang w:val="en-US" w:eastAsia="zh-CN"/>
          <w14:textFill>
            <w14:solidFill>
              <w14:schemeClr w14:val="tx1"/>
            </w14:solidFill>
          </w14:textFill>
        </w:rPr>
      </w:pPr>
      <w:bookmarkStart w:id="361" w:name="_Toc14313"/>
      <w:bookmarkStart w:id="362" w:name="_Toc7088"/>
      <w:bookmarkStart w:id="363" w:name="_Toc25559"/>
      <w:bookmarkStart w:id="364" w:name="_Toc163493637"/>
      <w:bookmarkStart w:id="365" w:name="_Toc156490348"/>
      <w:bookmarkStart w:id="366" w:name="_Toc163493639"/>
      <w:r>
        <w:rPr>
          <w:rFonts w:hint="eastAsia" w:ascii="宋体" w:hAnsi="宋体" w:eastAsia="宋体" w:cs="宋体"/>
          <w:color w:val="000000" w:themeColor="text1"/>
          <w:sz w:val="28"/>
          <w:szCs w:val="28"/>
          <w:highlight w:val="none"/>
          <w:lang w:val="en-US" w:eastAsia="zh-CN"/>
          <w14:textFill>
            <w14:solidFill>
              <w14:schemeClr w14:val="tx1"/>
            </w14:solidFill>
          </w14:textFill>
        </w:rPr>
        <w:t>三、</w:t>
      </w:r>
      <w:r>
        <w:rPr>
          <w:rFonts w:hint="eastAsia" w:ascii="宋体" w:hAnsi="宋体" w:eastAsia="宋体" w:cs="宋体"/>
          <w:color w:val="000000" w:themeColor="text1"/>
          <w:sz w:val="28"/>
          <w:szCs w:val="28"/>
          <w:highlight w:val="none"/>
          <w:lang w:val="zh-CN" w:eastAsia="zh-CN"/>
          <w14:textFill>
            <w14:solidFill>
              <w14:schemeClr w14:val="tx1"/>
            </w14:solidFill>
          </w14:textFill>
        </w:rPr>
        <w:t>评审</w:t>
      </w:r>
      <w:r>
        <w:rPr>
          <w:rFonts w:hint="eastAsia" w:ascii="宋体" w:hAnsi="宋体" w:eastAsia="宋体" w:cs="宋体"/>
          <w:color w:val="000000" w:themeColor="text1"/>
          <w:sz w:val="28"/>
          <w:szCs w:val="28"/>
          <w:highlight w:val="none"/>
          <w:lang w:val="en-US" w:eastAsia="zh-CN"/>
          <w14:textFill>
            <w14:solidFill>
              <w14:schemeClr w14:val="tx1"/>
            </w14:solidFill>
          </w14:textFill>
        </w:rPr>
        <w:t>其他要求</w:t>
      </w:r>
      <w:bookmarkEnd w:id="361"/>
      <w:bookmarkEnd w:id="362"/>
      <w:bookmarkEnd w:id="363"/>
    </w:p>
    <w:p w14:paraId="2D009AC2">
      <w:pPr>
        <w:pStyle w:val="48"/>
        <w:keepNext w:val="0"/>
        <w:keepLines w:val="0"/>
        <w:pageBreakBefore w:val="0"/>
        <w:widowControl w:val="0"/>
        <w:kinsoku/>
        <w:overflowPunct/>
        <w:topLinePunct/>
        <w:autoSpaceDE/>
        <w:autoSpaceDN/>
        <w:bidi w:val="0"/>
        <w:adjustRightInd/>
        <w:snapToGrid/>
        <w:ind w:firstLine="480" w:firstLineChars="0"/>
        <w:textAlignment w:val="auto"/>
        <w:rPr>
          <w:rFonts w:hint="eastAsia"/>
          <w:i w:val="0"/>
          <w:iCs w:val="0"/>
          <w:color w:val="000000" w:themeColor="text1"/>
          <w:highlight w:val="none"/>
          <w:shd w:val="clear" w:color="auto" w:fill="FFFFFF" w:themeFill="background1"/>
          <w:lang w:val="en-US" w:eastAsia="zh-CN"/>
          <w14:textFill>
            <w14:solidFill>
              <w14:schemeClr w14:val="tx1"/>
            </w14:solidFill>
          </w14:textFill>
        </w:rPr>
      </w:pPr>
      <w:r>
        <w:rPr>
          <w:rFonts w:hint="eastAsia"/>
          <w:i w:val="0"/>
          <w:iCs w:val="0"/>
          <w:color w:val="000000" w:themeColor="text1"/>
          <w:highlight w:val="none"/>
          <w:shd w:val="clear" w:color="auto" w:fill="FFFFFF" w:themeFill="background1"/>
          <w:lang w:val="zh-CN" w:eastAsia="zh-CN"/>
          <w14:textFill>
            <w14:solidFill>
              <w14:schemeClr w14:val="tx1"/>
            </w14:solidFill>
          </w14:textFill>
        </w:rPr>
        <w:t>【</w:t>
      </w:r>
      <w:r>
        <w:rPr>
          <w:rFonts w:hint="eastAsia"/>
          <w:i w:val="0"/>
          <w:iCs w:val="0"/>
          <w:color w:val="000000" w:themeColor="text1"/>
          <w:highlight w:val="none"/>
          <w:shd w:val="clear" w:color="auto" w:fill="FFFFFF" w:themeFill="background1"/>
          <w:lang w:val="en-US" w:eastAsia="zh-CN"/>
          <w14:textFill>
            <w14:solidFill>
              <w14:schemeClr w14:val="tx1"/>
            </w14:solidFill>
          </w14:textFill>
        </w:rPr>
        <w:t>可根据项目的情况增加上述内容中未包含的要求</w:t>
      </w:r>
      <w:r>
        <w:rPr>
          <w:rFonts w:hint="eastAsia"/>
          <w:i w:val="0"/>
          <w:iCs w:val="0"/>
          <w:color w:val="000000" w:themeColor="text1"/>
          <w:highlight w:val="none"/>
          <w:shd w:val="clear" w:color="auto" w:fill="FFFFFF" w:themeFill="background1"/>
          <w:lang w:val="zh-CN" w:eastAsia="zh-CN"/>
          <w14:textFill>
            <w14:solidFill>
              <w14:schemeClr w14:val="tx1"/>
            </w14:solidFill>
          </w14:textFill>
        </w:rPr>
        <w:t>】</w:t>
      </w:r>
    </w:p>
    <w:p w14:paraId="0EA2D95D">
      <w:pPr>
        <w:pStyle w:val="3"/>
        <w:keepNext w:val="0"/>
        <w:keepLines w:val="0"/>
        <w:pageBreakBefore w:val="0"/>
        <w:widowControl w:val="0"/>
        <w:numPr>
          <w:ilvl w:val="0"/>
          <w:numId w:val="0"/>
        </w:numPr>
        <w:kinsoku/>
        <w:wordWrap/>
        <w:overflowPunct/>
        <w:topLinePunct/>
        <w:autoSpaceDE/>
        <w:autoSpaceDN/>
        <w:bidi w:val="0"/>
        <w:adjustRightInd/>
        <w:snapToGrid/>
        <w:spacing w:before="120" w:after="120" w:line="480" w:lineRule="exact"/>
        <w:ind w:left="420" w:leftChars="0" w:hanging="420" w:firstLineChars="0"/>
        <w:textAlignment w:val="auto"/>
        <w:rPr>
          <w:rFonts w:hint="eastAsia" w:ascii="宋体" w:hAnsi="宋体" w:eastAsia="宋体" w:cs="宋体"/>
          <w:color w:val="000000" w:themeColor="text1"/>
          <w:sz w:val="28"/>
          <w:szCs w:val="28"/>
          <w:highlight w:val="none"/>
          <w:lang w:val="zh-CN" w:eastAsia="zh-CN"/>
          <w14:textFill>
            <w14:solidFill>
              <w14:schemeClr w14:val="tx1"/>
            </w14:solidFill>
          </w14:textFill>
        </w:rPr>
      </w:pPr>
      <w:bookmarkStart w:id="367" w:name="_Toc8486"/>
      <w:bookmarkStart w:id="368" w:name="_Toc9513"/>
      <w:bookmarkStart w:id="369" w:name="_Toc22354"/>
      <w:r>
        <w:rPr>
          <w:rFonts w:hint="eastAsia" w:ascii="宋体" w:hAnsi="宋体" w:eastAsia="宋体" w:cs="宋体"/>
          <w:color w:val="000000" w:themeColor="text1"/>
          <w:sz w:val="28"/>
          <w:szCs w:val="28"/>
          <w:highlight w:val="none"/>
          <w:lang w:val="en-US" w:eastAsia="zh-CN"/>
          <w14:textFill>
            <w14:solidFill>
              <w14:schemeClr w14:val="tx1"/>
            </w14:solidFill>
          </w14:textFill>
        </w:rPr>
        <w:t>四、</w:t>
      </w:r>
      <w:r>
        <w:rPr>
          <w:rFonts w:hint="eastAsia" w:ascii="宋体" w:hAnsi="宋体" w:eastAsia="宋体" w:cs="宋体"/>
          <w:color w:val="000000" w:themeColor="text1"/>
          <w:sz w:val="28"/>
          <w:szCs w:val="28"/>
          <w:highlight w:val="none"/>
          <w:lang w:val="zh-CN" w:eastAsia="zh-CN"/>
          <w14:textFill>
            <w14:solidFill>
              <w14:schemeClr w14:val="tx1"/>
            </w14:solidFill>
          </w14:textFill>
        </w:rPr>
        <w:t>评审标准</w:t>
      </w:r>
      <w:bookmarkEnd w:id="364"/>
      <w:bookmarkEnd w:id="367"/>
      <w:bookmarkEnd w:id="368"/>
      <w:bookmarkEnd w:id="369"/>
    </w:p>
    <w:p w14:paraId="4C8802EE">
      <w:pPr>
        <w:pStyle w:val="4"/>
        <w:keepNext w:val="0"/>
        <w:keepLines w:val="0"/>
        <w:pageBreakBefore w:val="0"/>
        <w:widowControl w:val="0"/>
        <w:numPr>
          <w:ilvl w:val="0"/>
          <w:numId w:val="0"/>
        </w:numPr>
        <w:kinsoku/>
        <w:wordWrap/>
        <w:overflowPunct/>
        <w:topLinePunct/>
        <w:autoSpaceDE/>
        <w:autoSpaceDN/>
        <w:bidi w:val="0"/>
        <w:adjustRightInd/>
        <w:snapToGrid/>
        <w:spacing w:before="120" w:after="120" w:line="480" w:lineRule="exact"/>
        <w:ind w:left="420" w:leftChars="0" w:hanging="420" w:firstLineChars="0"/>
        <w:textAlignment w:val="auto"/>
        <w:rPr>
          <w:rFonts w:hint="eastAsia" w:ascii="宋体" w:hAnsi="宋体" w:eastAsia="宋体" w:cs="宋体"/>
          <w:b/>
          <w:bCs/>
          <w:color w:val="000000" w:themeColor="text1"/>
          <w:kern w:val="2"/>
          <w:sz w:val="24"/>
          <w:szCs w:val="24"/>
          <w:highlight w:val="none"/>
          <w:lang w:val="zh-CN" w:eastAsia="zh-CN" w:bidi="ar-SA"/>
          <w14:textFill>
            <w14:solidFill>
              <w14:schemeClr w14:val="tx1"/>
            </w14:solidFill>
          </w14:textFill>
        </w:rPr>
      </w:pPr>
      <w:bookmarkStart w:id="370" w:name="_Toc163493638"/>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（一）</w:t>
      </w:r>
      <w:r>
        <w:rPr>
          <w:rFonts w:hint="eastAsia" w:ascii="宋体" w:hAnsi="宋体" w:eastAsia="宋体" w:cs="宋体"/>
          <w:b/>
          <w:bCs/>
          <w:color w:val="000000" w:themeColor="text1"/>
          <w:kern w:val="2"/>
          <w:sz w:val="24"/>
          <w:szCs w:val="24"/>
          <w:highlight w:val="none"/>
          <w:lang w:val="zh-CN" w:eastAsia="zh-CN" w:bidi="ar-SA"/>
          <w14:textFill>
            <w14:solidFill>
              <w14:schemeClr w14:val="tx1"/>
            </w14:solidFill>
          </w14:textFill>
        </w:rPr>
        <w:t>资格审查表</w:t>
      </w:r>
      <w:bookmarkEnd w:id="370"/>
    </w:p>
    <w:tbl>
      <w:tblPr>
        <w:tblStyle w:val="43"/>
        <w:tblW w:w="91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9"/>
        <w:gridCol w:w="1125"/>
        <w:gridCol w:w="5783"/>
        <w:gridCol w:w="1631"/>
      </w:tblGrid>
      <w:tr w14:paraId="0D6C5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9" w:hRule="atLeast"/>
          <w:jc w:val="center"/>
        </w:trPr>
        <w:tc>
          <w:tcPr>
            <w:tcW w:w="599" w:type="dxa"/>
            <w:vAlign w:val="center"/>
          </w:tcPr>
          <w:p w14:paraId="2BB1C083">
            <w:pPr>
              <w:topLinePunct/>
              <w:bidi w:val="0"/>
              <w:spacing w:before="72" w:line="222" w:lineRule="auto"/>
              <w:ind w:left="55"/>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1"/>
                <w:sz w:val="21"/>
                <w:szCs w:val="21"/>
                <w14:textFill>
                  <w14:solidFill>
                    <w14:schemeClr w14:val="tx1"/>
                  </w14:solidFill>
                </w14:textFill>
              </w:rPr>
              <w:t>序号</w:t>
            </w:r>
          </w:p>
        </w:tc>
        <w:tc>
          <w:tcPr>
            <w:tcW w:w="1125" w:type="dxa"/>
            <w:vAlign w:val="center"/>
          </w:tcPr>
          <w:p w14:paraId="46B2105A">
            <w:pPr>
              <w:topLinePunct/>
              <w:bidi w:val="0"/>
              <w:spacing w:before="72" w:line="22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1"/>
                <w:sz w:val="21"/>
                <w:szCs w:val="21"/>
                <w14:textFill>
                  <w14:solidFill>
                    <w14:schemeClr w14:val="tx1"/>
                  </w14:solidFill>
                </w14:textFill>
              </w:rPr>
              <w:t>评审内容</w:t>
            </w:r>
          </w:p>
        </w:tc>
        <w:tc>
          <w:tcPr>
            <w:tcW w:w="5783" w:type="dxa"/>
            <w:vAlign w:val="center"/>
          </w:tcPr>
          <w:p w14:paraId="22E73A3F">
            <w:pPr>
              <w:pStyle w:val="46"/>
              <w:topLinePunct/>
              <w:bidi w:val="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说明</w:t>
            </w:r>
          </w:p>
        </w:tc>
        <w:tc>
          <w:tcPr>
            <w:tcW w:w="1631" w:type="dxa"/>
            <w:vAlign w:val="top"/>
          </w:tcPr>
          <w:p w14:paraId="5656A053">
            <w:pPr>
              <w:topLinePunct/>
              <w:bidi w:val="0"/>
              <w:spacing w:before="67" w:line="242" w:lineRule="auto"/>
              <w:ind w:left="104" w:right="92" w:firstLine="109"/>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sz w:val="21"/>
                <w:szCs w:val="21"/>
                <w14:textFill>
                  <w14:solidFill>
                    <w14:schemeClr w14:val="tx1"/>
                  </w14:solidFill>
                </w14:textFill>
              </w:rPr>
              <w:t>是否通过评审（注：通过的打</w:t>
            </w:r>
          </w:p>
          <w:p w14:paraId="49DCAC4F">
            <w:pPr>
              <w:topLinePunct/>
              <w:bidi w:val="0"/>
              <w:spacing w:before="54" w:line="242" w:lineRule="auto"/>
              <w:ind w:left="326" w:right="20" w:hanging="318"/>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1"/>
                <w:sz w:val="21"/>
                <w:szCs w:val="21"/>
                <w14:textFill>
                  <w14:solidFill>
                    <w14:schemeClr w14:val="tx1"/>
                  </w14:solidFill>
                </w14:textFill>
              </w:rPr>
              <w:t>“√”,未通过的</w:t>
            </w:r>
            <w:r>
              <w:rPr>
                <w:rFonts w:hint="eastAsia" w:ascii="宋体" w:hAnsi="宋体" w:eastAsia="宋体" w:cs="宋体"/>
                <w:color w:val="000000" w:themeColor="text1"/>
                <w:spacing w:val="-8"/>
                <w:sz w:val="21"/>
                <w:szCs w:val="21"/>
                <w14:textFill>
                  <w14:solidFill>
                    <w14:schemeClr w14:val="tx1"/>
                  </w14:solidFill>
                </w14:textFill>
              </w:rPr>
              <w:t>打“×”)</w:t>
            </w:r>
          </w:p>
        </w:tc>
      </w:tr>
      <w:tr w14:paraId="09E99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jc w:val="center"/>
        </w:trPr>
        <w:tc>
          <w:tcPr>
            <w:tcW w:w="599" w:type="dxa"/>
            <w:vAlign w:val="center"/>
          </w:tcPr>
          <w:p w14:paraId="551D5CCE">
            <w:pPr>
              <w:topLinePunct/>
              <w:bidi w:val="0"/>
              <w:spacing w:before="71" w:line="184" w:lineRule="auto"/>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p>
        </w:tc>
        <w:tc>
          <w:tcPr>
            <w:tcW w:w="1125" w:type="dxa"/>
            <w:vAlign w:val="center"/>
          </w:tcPr>
          <w:p w14:paraId="59E5B83B">
            <w:pPr>
              <w:topLinePunct/>
              <w:bidi w:val="0"/>
              <w:spacing w:before="71" w:line="250" w:lineRule="auto"/>
              <w:ind w:right="109"/>
              <w:jc w:val="center"/>
              <w:textAlignment w:val="auto"/>
              <w:rPr>
                <w:rFonts w:hint="eastAsia" w:ascii="宋体" w:hAnsi="宋体" w:eastAsia="宋体" w:cs="宋体"/>
                <w:color w:val="000000" w:themeColor="text1"/>
                <w:spacing w:val="-1"/>
                <w:sz w:val="21"/>
                <w:szCs w:val="21"/>
                <w:lang w:val="en-US" w:eastAsia="zh-CN"/>
                <w14:textFill>
                  <w14:solidFill>
                    <w14:schemeClr w14:val="tx1"/>
                  </w14:solidFill>
                </w14:textFill>
              </w:rPr>
            </w:pPr>
            <w:r>
              <w:rPr>
                <w:rFonts w:hint="eastAsia" w:ascii="宋体" w:hAnsi="宋体" w:eastAsia="宋体" w:cs="宋体"/>
                <w:color w:val="000000" w:themeColor="text1"/>
                <w:spacing w:val="-1"/>
                <w:sz w:val="21"/>
                <w:szCs w:val="21"/>
                <w:lang w:val="en-US" w:eastAsia="zh-CN"/>
                <w14:textFill>
                  <w14:solidFill>
                    <w14:schemeClr w14:val="tx1"/>
                  </w14:solidFill>
                </w14:textFill>
              </w:rPr>
              <w:t>营业执照</w:t>
            </w:r>
          </w:p>
        </w:tc>
        <w:tc>
          <w:tcPr>
            <w:tcW w:w="5783" w:type="dxa"/>
            <w:vAlign w:val="center"/>
          </w:tcPr>
          <w:p w14:paraId="423DB039">
            <w:pPr>
              <w:topLinePunct/>
              <w:bidi w:val="0"/>
              <w:spacing w:before="71" w:line="250" w:lineRule="auto"/>
              <w:ind w:right="109"/>
              <w:jc w:val="both"/>
              <w:textAlignment w:val="auto"/>
              <w:rPr>
                <w:rFonts w:hint="eastAsia" w:ascii="宋体" w:hAnsi="宋体" w:eastAsia="宋体" w:cs="宋体"/>
                <w:color w:val="000000" w:themeColor="text1"/>
                <w:spacing w:val="-1"/>
                <w:sz w:val="21"/>
                <w:szCs w:val="21"/>
                <w:lang w:val="en-US"/>
                <w14:textFill>
                  <w14:solidFill>
                    <w14:schemeClr w14:val="tx1"/>
                  </w14:solidFill>
                </w14:textFill>
              </w:rPr>
            </w:pPr>
            <w:r>
              <w:rPr>
                <w:rFonts w:hint="eastAsia" w:ascii="宋体" w:hAnsi="宋体" w:eastAsia="宋体" w:cs="宋体"/>
                <w:color w:val="000000" w:themeColor="text1"/>
                <w:spacing w:val="-1"/>
                <w:sz w:val="21"/>
                <w:szCs w:val="21"/>
                <w:lang w:val="en-US" w:eastAsia="zh-CN"/>
                <w14:textFill>
                  <w14:solidFill>
                    <w14:schemeClr w14:val="tx1"/>
                  </w14:solidFill>
                </w14:textFill>
              </w:rPr>
              <w:t>具有独立承担民事责任的能力：提供在中华人民共和国境内注册的法人或其他组织的营业执照或事业单位法人证书或社会团体法人登记证书复印件；如供应商为自然人的提供自然人身份证明复印件；如国家另有规定的，则从其规定。</w:t>
            </w:r>
          </w:p>
        </w:tc>
        <w:tc>
          <w:tcPr>
            <w:tcW w:w="1631" w:type="dxa"/>
            <w:vAlign w:val="center"/>
          </w:tcPr>
          <w:p w14:paraId="0885E36F">
            <w:pPr>
              <w:pStyle w:val="46"/>
              <w:topLinePunct/>
              <w:bidi w:val="0"/>
              <w:jc w:val="center"/>
              <w:textAlignment w:val="auto"/>
              <w:rPr>
                <w:rFonts w:hint="eastAsia" w:ascii="宋体" w:hAnsi="宋体" w:eastAsia="宋体" w:cs="宋体"/>
                <w:snapToGrid w:val="0"/>
                <w:color w:val="000000" w:themeColor="text1"/>
                <w:spacing w:val="-1"/>
                <w:kern w:val="0"/>
                <w:sz w:val="21"/>
                <w:szCs w:val="21"/>
                <w:lang w:val="en-US" w:eastAsia="zh-CN" w:bidi="ar-SA"/>
                <w14:textFill>
                  <w14:solidFill>
                    <w14:schemeClr w14:val="tx1"/>
                  </w14:solidFill>
                </w14:textFill>
              </w:rPr>
            </w:pPr>
            <w:r>
              <w:rPr>
                <w:rFonts w:hint="eastAsia" w:ascii="宋体" w:hAnsi="宋体" w:eastAsia="宋体" w:cs="宋体"/>
                <w:snapToGrid w:val="0"/>
                <w:color w:val="000000" w:themeColor="text1"/>
                <w:spacing w:val="-1"/>
                <w:kern w:val="0"/>
                <w:sz w:val="21"/>
                <w:szCs w:val="21"/>
                <w:lang w:val="en-US" w:eastAsia="zh-CN" w:bidi="ar-SA"/>
                <w14:textFill>
                  <w14:solidFill>
                    <w14:schemeClr w14:val="tx1"/>
                  </w14:solidFill>
                </w14:textFill>
              </w:rPr>
              <w:t>提供证明文件的电子件</w:t>
            </w:r>
          </w:p>
        </w:tc>
      </w:tr>
      <w:tr w14:paraId="461AA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jc w:val="center"/>
        </w:trPr>
        <w:tc>
          <w:tcPr>
            <w:tcW w:w="599" w:type="dxa"/>
            <w:vAlign w:val="center"/>
          </w:tcPr>
          <w:p w14:paraId="1E07D3E9">
            <w:pPr>
              <w:topLinePunct/>
              <w:bidi w:val="0"/>
              <w:spacing w:before="71" w:line="184" w:lineRule="auto"/>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1125" w:type="dxa"/>
            <w:vAlign w:val="center"/>
          </w:tcPr>
          <w:p w14:paraId="378421D2">
            <w:pPr>
              <w:topLinePunct/>
              <w:bidi w:val="0"/>
              <w:spacing w:before="71" w:line="250" w:lineRule="auto"/>
              <w:ind w:right="109"/>
              <w:jc w:val="center"/>
              <w:textAlignment w:val="auto"/>
              <w:rPr>
                <w:rFonts w:hint="eastAsia" w:ascii="宋体" w:hAnsi="宋体" w:eastAsia="宋体" w:cs="宋体"/>
                <w:color w:val="000000" w:themeColor="text1"/>
                <w:spacing w:val="-1"/>
                <w:sz w:val="21"/>
                <w:szCs w:val="21"/>
                <w:lang w:val="en-US" w:eastAsia="zh-CN"/>
                <w14:textFill>
                  <w14:solidFill>
                    <w14:schemeClr w14:val="tx1"/>
                  </w14:solidFill>
                </w14:textFill>
              </w:rPr>
            </w:pPr>
            <w:r>
              <w:rPr>
                <w:rFonts w:hint="eastAsia" w:ascii="宋体" w:hAnsi="宋体" w:eastAsia="宋体" w:cs="宋体"/>
                <w:color w:val="000000" w:themeColor="text1"/>
                <w:spacing w:val="-1"/>
                <w:sz w:val="21"/>
                <w:szCs w:val="21"/>
                <w:lang w:val="en-US" w:eastAsia="zh-CN"/>
                <w14:textFill>
                  <w14:solidFill>
                    <w14:schemeClr w14:val="tx1"/>
                  </w14:solidFill>
                </w14:textFill>
              </w:rPr>
              <w:t>企业信誉</w:t>
            </w:r>
          </w:p>
        </w:tc>
        <w:tc>
          <w:tcPr>
            <w:tcW w:w="5783" w:type="dxa"/>
            <w:vAlign w:val="center"/>
          </w:tcPr>
          <w:p w14:paraId="4CDE2E1B">
            <w:pPr>
              <w:topLinePunct/>
              <w:bidi w:val="0"/>
              <w:spacing w:before="71" w:line="250" w:lineRule="auto"/>
              <w:ind w:right="109"/>
              <w:jc w:val="both"/>
              <w:textAlignment w:val="auto"/>
              <w:rPr>
                <w:rFonts w:hint="eastAsia" w:ascii="宋体" w:hAnsi="宋体" w:eastAsia="宋体" w:cs="宋体"/>
                <w:color w:val="000000" w:themeColor="text1"/>
                <w:spacing w:val="-1"/>
                <w:sz w:val="21"/>
                <w:szCs w:val="21"/>
                <w:lang w:val="en-US" w:eastAsia="zh-CN"/>
                <w14:textFill>
                  <w14:solidFill>
                    <w14:schemeClr w14:val="tx1"/>
                  </w14:solidFill>
                </w14:textFill>
              </w:rPr>
            </w:pPr>
            <w:r>
              <w:rPr>
                <w:rFonts w:hint="eastAsia" w:ascii="宋体" w:hAnsi="宋体" w:eastAsia="宋体" w:cs="宋体"/>
                <w:color w:val="000000" w:themeColor="text1"/>
                <w:spacing w:val="-1"/>
                <w:sz w:val="21"/>
                <w:szCs w:val="21"/>
                <w:lang w:val="en-US" w:eastAsia="zh-CN"/>
                <w14:textFill>
                  <w14:solidFill>
                    <w14:schemeClr w14:val="tx1"/>
                  </w14:solidFill>
                </w14:textFill>
              </w:rPr>
              <w:t>具有良好的商业信誉和健全的财务会计制度：投标人需提供2024或2025年度由第三方审计机构出具的在注册会计师行业统一监管平台备案赋码的财务审计报告(会计周期不满一年的按实际发生情况提供银行出具的资信证明）和单独提供健全的财务会计制度。</w:t>
            </w:r>
          </w:p>
        </w:tc>
        <w:tc>
          <w:tcPr>
            <w:tcW w:w="1631" w:type="dxa"/>
            <w:vAlign w:val="center"/>
          </w:tcPr>
          <w:p w14:paraId="1D6F2E3F">
            <w:pPr>
              <w:pStyle w:val="46"/>
              <w:topLinePunct/>
              <w:bidi w:val="0"/>
              <w:jc w:val="center"/>
              <w:textAlignment w:val="auto"/>
              <w:rPr>
                <w:rFonts w:hint="eastAsia" w:ascii="宋体" w:hAnsi="宋体" w:eastAsia="宋体" w:cs="宋体"/>
                <w:snapToGrid w:val="0"/>
                <w:color w:val="000000" w:themeColor="text1"/>
                <w:spacing w:val="-1"/>
                <w:kern w:val="0"/>
                <w:sz w:val="21"/>
                <w:szCs w:val="21"/>
                <w:lang w:val="en-US" w:eastAsia="zh-CN" w:bidi="ar-SA"/>
                <w14:textFill>
                  <w14:solidFill>
                    <w14:schemeClr w14:val="tx1"/>
                  </w14:solidFill>
                </w14:textFill>
              </w:rPr>
            </w:pPr>
            <w:r>
              <w:rPr>
                <w:rFonts w:hint="eastAsia" w:ascii="宋体" w:hAnsi="宋体" w:eastAsia="宋体" w:cs="宋体"/>
                <w:snapToGrid w:val="0"/>
                <w:color w:val="000000" w:themeColor="text1"/>
                <w:spacing w:val="-1"/>
                <w:kern w:val="0"/>
                <w:sz w:val="21"/>
                <w:szCs w:val="21"/>
                <w:lang w:val="en-US" w:eastAsia="zh-CN" w:bidi="ar-SA"/>
                <w14:textFill>
                  <w14:solidFill>
                    <w14:schemeClr w14:val="tx1"/>
                  </w14:solidFill>
                </w14:textFill>
              </w:rPr>
              <w:t>按要求提供</w:t>
            </w:r>
          </w:p>
        </w:tc>
      </w:tr>
      <w:tr w14:paraId="2D9AE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599" w:type="dxa"/>
            <w:vAlign w:val="center"/>
          </w:tcPr>
          <w:p w14:paraId="6E6A50F5">
            <w:pPr>
              <w:topLinePunct/>
              <w:bidi w:val="0"/>
              <w:spacing w:before="71" w:line="184" w:lineRule="auto"/>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1125" w:type="dxa"/>
            <w:vAlign w:val="center"/>
          </w:tcPr>
          <w:p w14:paraId="299B1D33">
            <w:pPr>
              <w:topLinePunct/>
              <w:bidi w:val="0"/>
              <w:spacing w:before="71" w:line="250" w:lineRule="auto"/>
              <w:ind w:right="109"/>
              <w:jc w:val="center"/>
              <w:textAlignment w:val="auto"/>
              <w:rPr>
                <w:rFonts w:hint="eastAsia" w:ascii="宋体" w:hAnsi="宋体" w:eastAsia="宋体" w:cs="宋体"/>
                <w:color w:val="000000" w:themeColor="text1"/>
                <w:spacing w:val="-1"/>
                <w:sz w:val="21"/>
                <w:szCs w:val="21"/>
                <w:lang w:val="en-US" w:eastAsia="zh-CN"/>
                <w14:textFill>
                  <w14:solidFill>
                    <w14:schemeClr w14:val="tx1"/>
                  </w14:solidFill>
                </w14:textFill>
              </w:rPr>
            </w:pPr>
            <w:r>
              <w:rPr>
                <w:rFonts w:hint="eastAsia" w:ascii="宋体" w:hAnsi="宋体" w:eastAsia="宋体" w:cs="宋体"/>
                <w:color w:val="000000" w:themeColor="text1"/>
                <w:spacing w:val="-1"/>
                <w:sz w:val="21"/>
                <w:szCs w:val="21"/>
                <w:lang w:val="en-US" w:eastAsia="zh-CN"/>
                <w14:textFill>
                  <w14:solidFill>
                    <w14:schemeClr w14:val="tx1"/>
                  </w14:solidFill>
                </w14:textFill>
              </w:rPr>
              <w:t>企业承诺</w:t>
            </w:r>
          </w:p>
        </w:tc>
        <w:tc>
          <w:tcPr>
            <w:tcW w:w="5783" w:type="dxa"/>
            <w:vAlign w:val="center"/>
          </w:tcPr>
          <w:p w14:paraId="6F8974DD">
            <w:pPr>
              <w:topLinePunct/>
              <w:bidi w:val="0"/>
              <w:spacing w:before="71" w:line="250" w:lineRule="auto"/>
              <w:ind w:right="109"/>
              <w:jc w:val="both"/>
              <w:textAlignment w:val="auto"/>
              <w:rPr>
                <w:rFonts w:hint="eastAsia" w:ascii="宋体" w:hAnsi="宋体" w:eastAsia="宋体" w:cs="宋体"/>
                <w:color w:val="000000" w:themeColor="text1"/>
                <w:spacing w:val="-1"/>
                <w:sz w:val="21"/>
                <w:szCs w:val="21"/>
                <w:lang w:val="en-US" w:eastAsia="zh-CN"/>
                <w14:textFill>
                  <w14:solidFill>
                    <w14:schemeClr w14:val="tx1"/>
                  </w14:solidFill>
                </w14:textFill>
              </w:rPr>
            </w:pPr>
            <w:r>
              <w:rPr>
                <w:rFonts w:hint="eastAsia" w:ascii="宋体" w:hAnsi="宋体" w:eastAsia="宋体" w:cs="宋体"/>
                <w:color w:val="000000" w:themeColor="text1"/>
                <w:spacing w:val="-1"/>
                <w:sz w:val="21"/>
                <w:szCs w:val="21"/>
                <w:lang w:val="en-US" w:eastAsia="zh-CN"/>
                <w14:textFill>
                  <w14:solidFill>
                    <w14:schemeClr w14:val="tx1"/>
                  </w14:solidFill>
                </w14:textFill>
              </w:rPr>
              <w:t>具有履行合同所必需的设备和专业技术能力：投标人须提供此项《声明函》</w:t>
            </w:r>
          </w:p>
        </w:tc>
        <w:tc>
          <w:tcPr>
            <w:tcW w:w="1631" w:type="dxa"/>
            <w:vAlign w:val="center"/>
          </w:tcPr>
          <w:p w14:paraId="32ED41F6">
            <w:pPr>
              <w:pStyle w:val="46"/>
              <w:topLinePunct/>
              <w:bidi w:val="0"/>
              <w:jc w:val="center"/>
              <w:textAlignment w:val="auto"/>
              <w:rPr>
                <w:rFonts w:hint="eastAsia" w:ascii="宋体" w:hAnsi="宋体" w:eastAsia="宋体" w:cs="宋体"/>
                <w:snapToGrid w:val="0"/>
                <w:color w:val="000000" w:themeColor="text1"/>
                <w:spacing w:val="-1"/>
                <w:kern w:val="0"/>
                <w:sz w:val="21"/>
                <w:szCs w:val="21"/>
                <w:lang w:val="en-US" w:eastAsia="zh-CN" w:bidi="ar-SA"/>
                <w14:textFill>
                  <w14:solidFill>
                    <w14:schemeClr w14:val="tx1"/>
                  </w14:solidFill>
                </w14:textFill>
              </w:rPr>
            </w:pPr>
            <w:r>
              <w:rPr>
                <w:rFonts w:hint="eastAsia" w:ascii="宋体" w:hAnsi="宋体" w:eastAsia="宋体" w:cs="宋体"/>
                <w:snapToGrid w:val="0"/>
                <w:color w:val="000000" w:themeColor="text1"/>
                <w:spacing w:val="-1"/>
                <w:kern w:val="0"/>
                <w:sz w:val="21"/>
                <w:szCs w:val="21"/>
                <w:lang w:val="en-US" w:eastAsia="zh-CN" w:bidi="ar-SA"/>
                <w14:textFill>
                  <w14:solidFill>
                    <w14:schemeClr w14:val="tx1"/>
                  </w14:solidFill>
                </w14:textFill>
              </w:rPr>
              <w:t>提供声明函</w:t>
            </w:r>
          </w:p>
        </w:tc>
      </w:tr>
      <w:tr w14:paraId="0C0D4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jc w:val="center"/>
        </w:trPr>
        <w:tc>
          <w:tcPr>
            <w:tcW w:w="599" w:type="dxa"/>
            <w:vAlign w:val="center"/>
          </w:tcPr>
          <w:p w14:paraId="4532F212">
            <w:pPr>
              <w:topLinePunct/>
              <w:bidi w:val="0"/>
              <w:spacing w:before="71" w:line="184" w:lineRule="auto"/>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1125" w:type="dxa"/>
            <w:vAlign w:val="center"/>
          </w:tcPr>
          <w:p w14:paraId="07651E09">
            <w:pPr>
              <w:topLinePunct/>
              <w:bidi w:val="0"/>
              <w:spacing w:before="71" w:line="250" w:lineRule="auto"/>
              <w:ind w:right="109"/>
              <w:jc w:val="center"/>
              <w:textAlignment w:val="auto"/>
              <w:rPr>
                <w:rFonts w:hint="eastAsia" w:ascii="宋体" w:hAnsi="宋体" w:eastAsia="宋体" w:cs="宋体"/>
                <w:color w:val="000000" w:themeColor="text1"/>
                <w:spacing w:val="-1"/>
                <w:sz w:val="21"/>
                <w:szCs w:val="21"/>
                <w:lang w:val="en-US" w:eastAsia="zh-CN"/>
                <w14:textFill>
                  <w14:solidFill>
                    <w14:schemeClr w14:val="tx1"/>
                  </w14:solidFill>
                </w14:textFill>
              </w:rPr>
            </w:pPr>
            <w:r>
              <w:rPr>
                <w:rFonts w:hint="eastAsia" w:ascii="宋体" w:hAnsi="宋体" w:eastAsia="宋体" w:cs="宋体"/>
                <w:snapToGrid w:val="0"/>
                <w:color w:val="000000" w:themeColor="text1"/>
                <w:spacing w:val="-1"/>
                <w:kern w:val="0"/>
                <w:sz w:val="21"/>
                <w:szCs w:val="21"/>
                <w:lang w:val="en-US" w:eastAsia="en-US" w:bidi="ar-SA"/>
                <w14:textFill>
                  <w14:solidFill>
                    <w14:schemeClr w14:val="tx1"/>
                  </w14:solidFill>
                </w14:textFill>
              </w:rPr>
              <w:t>依法缴纳税收和社会保障资金的良好记录</w:t>
            </w:r>
          </w:p>
        </w:tc>
        <w:tc>
          <w:tcPr>
            <w:tcW w:w="5783" w:type="dxa"/>
            <w:vAlign w:val="center"/>
          </w:tcPr>
          <w:p w14:paraId="279979AD">
            <w:pPr>
              <w:topLinePunct/>
              <w:bidi w:val="0"/>
              <w:spacing w:before="71" w:line="250" w:lineRule="auto"/>
              <w:ind w:right="109"/>
              <w:jc w:val="both"/>
              <w:textAlignment w:val="auto"/>
              <w:rPr>
                <w:rFonts w:hint="eastAsia" w:ascii="宋体" w:hAnsi="宋体" w:eastAsia="宋体" w:cs="宋体"/>
                <w:color w:val="000000" w:themeColor="text1"/>
                <w:spacing w:val="-1"/>
                <w:sz w:val="21"/>
                <w:szCs w:val="21"/>
                <w:lang w:val="en-US" w:eastAsia="zh-CN"/>
                <w14:textFill>
                  <w14:solidFill>
                    <w14:schemeClr w14:val="tx1"/>
                  </w14:solidFill>
                </w14:textFill>
              </w:rPr>
            </w:pPr>
            <w:r>
              <w:rPr>
                <w:rFonts w:hint="eastAsia" w:ascii="宋体" w:hAnsi="宋体" w:eastAsia="宋体" w:cs="宋体"/>
                <w:color w:val="000000" w:themeColor="text1"/>
                <w:spacing w:val="-1"/>
                <w:sz w:val="21"/>
                <w:szCs w:val="21"/>
                <w:lang w:val="en-US" w:eastAsia="zh-CN"/>
                <w14:textFill>
                  <w14:solidFill>
                    <w14:schemeClr w14:val="tx1"/>
                  </w14:solidFill>
                </w14:textFill>
              </w:rPr>
              <w:t>有依法缴纳税收和社会保障资金的良好记录：①提供税务机关出具近三个月的完税证明或无欠税证明（新成立不足三个月的公司按实际发生提供，成立时间超过三个月的零申报的需提供依法报税资料），注：以完税证明税款所属日期为准，代缴税的完税证明不作为税务缴费凭证（如社保缴税等）；如依法免税的，应提供相应文件证明；②提供近段时间内法人(指本单位)连续3个月（指2026年2月-2026年4月）的缴纳社保证明材料，成立不足3个月的公司按实际发生提供，如依法不需要缴纳社会保障资金的，应提供相应文件证明）；</w:t>
            </w:r>
          </w:p>
        </w:tc>
        <w:tc>
          <w:tcPr>
            <w:tcW w:w="1631" w:type="dxa"/>
            <w:vAlign w:val="center"/>
          </w:tcPr>
          <w:p w14:paraId="5270C462">
            <w:pPr>
              <w:pStyle w:val="46"/>
              <w:topLinePunct/>
              <w:bidi w:val="0"/>
              <w:jc w:val="center"/>
              <w:textAlignment w:val="auto"/>
              <w:rPr>
                <w:rFonts w:hint="eastAsia" w:ascii="宋体" w:hAnsi="宋体" w:eastAsia="宋体" w:cs="宋体"/>
                <w:snapToGrid w:val="0"/>
                <w:color w:val="000000" w:themeColor="text1"/>
                <w:spacing w:val="-1"/>
                <w:kern w:val="0"/>
                <w:sz w:val="21"/>
                <w:szCs w:val="21"/>
                <w:lang w:val="en-US" w:eastAsia="zh-CN" w:bidi="ar-SA"/>
                <w14:textFill>
                  <w14:solidFill>
                    <w14:schemeClr w14:val="tx1"/>
                  </w14:solidFill>
                </w14:textFill>
              </w:rPr>
            </w:pPr>
            <w:r>
              <w:rPr>
                <w:rFonts w:hint="eastAsia" w:ascii="宋体" w:hAnsi="宋体" w:eastAsia="宋体" w:cs="宋体"/>
                <w:snapToGrid w:val="0"/>
                <w:color w:val="000000" w:themeColor="text1"/>
                <w:spacing w:val="-1"/>
                <w:kern w:val="0"/>
                <w:sz w:val="21"/>
                <w:szCs w:val="21"/>
                <w:lang w:val="en-US" w:eastAsia="zh-CN" w:bidi="ar-SA"/>
                <w14:textFill>
                  <w14:solidFill>
                    <w14:schemeClr w14:val="tx1"/>
                  </w14:solidFill>
                </w14:textFill>
              </w:rPr>
              <w:t>提供证明文件的电子件</w:t>
            </w:r>
          </w:p>
        </w:tc>
      </w:tr>
      <w:tr w14:paraId="35CAD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jc w:val="center"/>
        </w:trPr>
        <w:tc>
          <w:tcPr>
            <w:tcW w:w="599" w:type="dxa"/>
            <w:vAlign w:val="center"/>
          </w:tcPr>
          <w:p w14:paraId="1A9C9C4B">
            <w:pPr>
              <w:topLinePunct/>
              <w:bidi w:val="0"/>
              <w:spacing w:before="71" w:line="184" w:lineRule="auto"/>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1125" w:type="dxa"/>
            <w:vAlign w:val="center"/>
          </w:tcPr>
          <w:p w14:paraId="16B39977">
            <w:pPr>
              <w:topLinePunct/>
              <w:bidi w:val="0"/>
              <w:spacing w:before="71" w:line="250" w:lineRule="auto"/>
              <w:ind w:right="109"/>
              <w:jc w:val="center"/>
              <w:textAlignment w:val="auto"/>
              <w:rPr>
                <w:rFonts w:hint="eastAsia" w:ascii="宋体" w:hAnsi="宋体" w:eastAsia="宋体" w:cs="宋体"/>
                <w:color w:val="000000" w:themeColor="text1"/>
                <w:spacing w:val="-1"/>
                <w:sz w:val="21"/>
                <w:szCs w:val="21"/>
                <w:lang w:val="en-US" w:eastAsia="zh-CN"/>
                <w14:textFill>
                  <w14:solidFill>
                    <w14:schemeClr w14:val="tx1"/>
                  </w14:solidFill>
                </w14:textFill>
              </w:rPr>
            </w:pPr>
            <w:r>
              <w:rPr>
                <w:rFonts w:hint="eastAsia" w:ascii="宋体" w:hAnsi="宋体" w:eastAsia="宋体" w:cs="宋体"/>
                <w:color w:val="000000" w:themeColor="text1"/>
                <w:spacing w:val="-1"/>
                <w:sz w:val="21"/>
                <w:szCs w:val="21"/>
                <w:lang w:val="en-US" w:eastAsia="zh-CN"/>
                <w14:textFill>
                  <w14:solidFill>
                    <w14:schemeClr w14:val="tx1"/>
                  </w14:solidFill>
                </w14:textFill>
              </w:rPr>
              <w:t>其他</w:t>
            </w:r>
          </w:p>
        </w:tc>
        <w:tc>
          <w:tcPr>
            <w:tcW w:w="5783" w:type="dxa"/>
            <w:vAlign w:val="center"/>
          </w:tcPr>
          <w:p w14:paraId="76B118BC">
            <w:pPr>
              <w:topLinePunct/>
              <w:bidi w:val="0"/>
              <w:spacing w:before="71" w:line="250" w:lineRule="auto"/>
              <w:ind w:right="109"/>
              <w:jc w:val="both"/>
              <w:textAlignment w:val="auto"/>
              <w:rPr>
                <w:rFonts w:hint="eastAsia" w:ascii="宋体" w:hAnsi="宋体" w:eastAsia="宋体" w:cs="宋体"/>
                <w:color w:val="000000" w:themeColor="text1"/>
                <w:spacing w:val="-1"/>
                <w:sz w:val="21"/>
                <w:szCs w:val="21"/>
                <w:lang w:val="en-US" w:eastAsia="zh-CN"/>
                <w14:textFill>
                  <w14:solidFill>
                    <w14:schemeClr w14:val="tx1"/>
                  </w14:solidFill>
                </w14:textFill>
              </w:rPr>
            </w:pPr>
            <w:r>
              <w:rPr>
                <w:rFonts w:hint="eastAsia" w:ascii="宋体" w:hAnsi="宋体" w:eastAsia="宋体" w:cs="宋体"/>
                <w:color w:val="000000" w:themeColor="text1"/>
                <w:spacing w:val="-1"/>
                <w:sz w:val="21"/>
                <w:szCs w:val="21"/>
                <w:lang w:val="en-US" w:eastAsia="zh-CN"/>
                <w14:textFill>
                  <w14:solidFill>
                    <w14:schemeClr w14:val="tx1"/>
                  </w14:solidFill>
                </w14:textFill>
              </w:rPr>
              <w:t>投标人近三年内如在“信用中国网www.creditchina.gov.cn”被列入失信被执行人、企业经营异常名录、重大税收违法案件当事人名单、政府采购严重违法失信行为记录名单（尚在处罚期内的）；在“中国政府采购网（www.ccgp.gov.cn）”被列入政府采购严重违法失信行为记录名单的（尚在处罚期内的）；将拒绝其参加本次政府采购活动；</w:t>
            </w:r>
          </w:p>
        </w:tc>
        <w:tc>
          <w:tcPr>
            <w:tcW w:w="1631" w:type="dxa"/>
            <w:vAlign w:val="center"/>
          </w:tcPr>
          <w:p w14:paraId="2A5E4623">
            <w:pPr>
              <w:pStyle w:val="46"/>
              <w:topLinePunct/>
              <w:bidi w:val="0"/>
              <w:jc w:val="center"/>
              <w:textAlignment w:val="auto"/>
              <w:rPr>
                <w:rFonts w:hint="eastAsia" w:ascii="宋体" w:hAnsi="宋体" w:eastAsia="宋体" w:cs="宋体"/>
                <w:snapToGrid w:val="0"/>
                <w:color w:val="000000" w:themeColor="text1"/>
                <w:spacing w:val="-1"/>
                <w:kern w:val="0"/>
                <w:sz w:val="21"/>
                <w:szCs w:val="21"/>
                <w:lang w:val="en-US" w:eastAsia="zh-CN" w:bidi="ar-SA"/>
                <w14:textFill>
                  <w14:solidFill>
                    <w14:schemeClr w14:val="tx1"/>
                  </w14:solidFill>
                </w14:textFill>
              </w:rPr>
            </w:pPr>
            <w:r>
              <w:rPr>
                <w:rFonts w:hint="eastAsia" w:ascii="宋体" w:hAnsi="宋体" w:eastAsia="宋体" w:cs="宋体"/>
                <w:snapToGrid w:val="0"/>
                <w:color w:val="000000" w:themeColor="text1"/>
                <w:spacing w:val="-1"/>
                <w:kern w:val="0"/>
                <w:sz w:val="21"/>
                <w:szCs w:val="21"/>
                <w:lang w:val="en-US" w:eastAsia="zh-CN" w:bidi="ar-SA"/>
                <w14:textFill>
                  <w14:solidFill>
                    <w14:schemeClr w14:val="tx1"/>
                  </w14:solidFill>
                </w14:textFill>
              </w:rPr>
              <w:t>查询时间须在获取磋商文件时间内，具体认定以开标现场查询结果为准。</w:t>
            </w:r>
          </w:p>
        </w:tc>
      </w:tr>
      <w:tr w14:paraId="21679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jc w:val="center"/>
        </w:trPr>
        <w:tc>
          <w:tcPr>
            <w:tcW w:w="599" w:type="dxa"/>
            <w:vAlign w:val="center"/>
          </w:tcPr>
          <w:p w14:paraId="21826728">
            <w:pPr>
              <w:topLinePunct/>
              <w:bidi w:val="0"/>
              <w:spacing w:before="71" w:line="184" w:lineRule="auto"/>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p>
        </w:tc>
        <w:tc>
          <w:tcPr>
            <w:tcW w:w="1125" w:type="dxa"/>
            <w:vAlign w:val="center"/>
          </w:tcPr>
          <w:p w14:paraId="3E34B20D">
            <w:pPr>
              <w:topLinePunct/>
              <w:bidi w:val="0"/>
              <w:spacing w:before="71" w:line="250" w:lineRule="auto"/>
              <w:ind w:right="109"/>
              <w:jc w:val="center"/>
              <w:textAlignment w:val="auto"/>
              <w:rPr>
                <w:rFonts w:hint="eastAsia" w:ascii="宋体" w:hAnsi="宋体" w:eastAsia="宋体" w:cs="宋体"/>
                <w:color w:val="000000" w:themeColor="text1"/>
                <w:spacing w:val="-1"/>
                <w:sz w:val="21"/>
                <w:szCs w:val="21"/>
                <w:lang w:val="en-US" w:eastAsia="zh-CN"/>
                <w14:textFill>
                  <w14:solidFill>
                    <w14:schemeClr w14:val="tx1"/>
                  </w14:solidFill>
                </w14:textFill>
              </w:rPr>
            </w:pPr>
            <w:r>
              <w:rPr>
                <w:rFonts w:hint="eastAsia" w:ascii="宋体" w:hAnsi="宋体" w:eastAsia="宋体" w:cs="宋体"/>
                <w:color w:val="000000" w:themeColor="text1"/>
                <w:spacing w:val="-1"/>
                <w:sz w:val="21"/>
                <w:szCs w:val="21"/>
                <w:lang w:val="en-US" w:eastAsia="zh-CN"/>
                <w14:textFill>
                  <w14:solidFill>
                    <w14:schemeClr w14:val="tx1"/>
                  </w14:solidFill>
                </w14:textFill>
              </w:rPr>
              <w:t>企业信用</w:t>
            </w:r>
          </w:p>
        </w:tc>
        <w:tc>
          <w:tcPr>
            <w:tcW w:w="5783" w:type="dxa"/>
            <w:vAlign w:val="center"/>
          </w:tcPr>
          <w:p w14:paraId="73A13280">
            <w:pPr>
              <w:topLinePunct/>
              <w:bidi w:val="0"/>
              <w:spacing w:before="71" w:line="250" w:lineRule="auto"/>
              <w:ind w:right="109"/>
              <w:jc w:val="both"/>
              <w:textAlignment w:val="auto"/>
              <w:rPr>
                <w:rFonts w:hint="eastAsia" w:ascii="宋体" w:hAnsi="宋体" w:eastAsia="宋体" w:cs="宋体"/>
                <w:color w:val="000000" w:themeColor="text1"/>
                <w:spacing w:val="-1"/>
                <w:sz w:val="21"/>
                <w:szCs w:val="21"/>
                <w:lang w:val="en-US" w:eastAsia="zh-CN"/>
                <w14:textFill>
                  <w14:solidFill>
                    <w14:schemeClr w14:val="tx1"/>
                  </w14:solidFill>
                </w14:textFill>
              </w:rPr>
            </w:pPr>
            <w:r>
              <w:rPr>
                <w:rFonts w:hint="eastAsia" w:ascii="宋体" w:hAnsi="宋体" w:eastAsia="宋体" w:cs="宋体"/>
                <w:color w:val="000000" w:themeColor="text1"/>
                <w:spacing w:val="-1"/>
                <w:sz w:val="21"/>
                <w:szCs w:val="21"/>
                <w:lang w:val="en-US" w:eastAsia="zh-CN"/>
                <w14:textFill>
                  <w14:solidFill>
                    <w14:schemeClr w14:val="tx1"/>
                  </w14:solidFill>
                </w14:textFill>
              </w:rPr>
              <w:t>参加采购活动前3年内，在经营活动中没有重大违法记录（投标人须提供此项《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1631" w:type="dxa"/>
            <w:vAlign w:val="center"/>
          </w:tcPr>
          <w:p w14:paraId="74B8C2A5">
            <w:pPr>
              <w:pStyle w:val="46"/>
              <w:topLinePunct/>
              <w:bidi w:val="0"/>
              <w:jc w:val="center"/>
              <w:textAlignment w:val="auto"/>
              <w:rPr>
                <w:rFonts w:hint="eastAsia" w:ascii="宋体" w:hAnsi="宋体" w:eastAsia="宋体" w:cs="宋体"/>
                <w:snapToGrid w:val="0"/>
                <w:color w:val="000000" w:themeColor="text1"/>
                <w:spacing w:val="-1"/>
                <w:kern w:val="0"/>
                <w:sz w:val="21"/>
                <w:szCs w:val="21"/>
                <w:lang w:val="en-US" w:eastAsia="zh-CN" w:bidi="ar-SA"/>
                <w14:textFill>
                  <w14:solidFill>
                    <w14:schemeClr w14:val="tx1"/>
                  </w14:solidFill>
                </w14:textFill>
              </w:rPr>
            </w:pPr>
            <w:r>
              <w:rPr>
                <w:rFonts w:hint="eastAsia" w:ascii="宋体" w:hAnsi="宋体" w:eastAsia="宋体" w:cs="宋体"/>
                <w:snapToGrid w:val="0"/>
                <w:color w:val="000000" w:themeColor="text1"/>
                <w:spacing w:val="-1"/>
                <w:kern w:val="0"/>
                <w:sz w:val="21"/>
                <w:szCs w:val="21"/>
                <w:lang w:val="en-US" w:eastAsia="zh-CN" w:bidi="ar-SA"/>
                <w14:textFill>
                  <w14:solidFill>
                    <w14:schemeClr w14:val="tx1"/>
                  </w14:solidFill>
                </w14:textFill>
              </w:rPr>
              <w:t>提供声明函</w:t>
            </w:r>
          </w:p>
        </w:tc>
      </w:tr>
      <w:tr w14:paraId="74E4D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jc w:val="center"/>
        </w:trPr>
        <w:tc>
          <w:tcPr>
            <w:tcW w:w="599" w:type="dxa"/>
            <w:vAlign w:val="center"/>
          </w:tcPr>
          <w:p w14:paraId="716F1CAE">
            <w:pPr>
              <w:topLinePunct/>
              <w:bidi w:val="0"/>
              <w:spacing w:before="71" w:line="184" w:lineRule="auto"/>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w:t>
            </w:r>
          </w:p>
        </w:tc>
        <w:tc>
          <w:tcPr>
            <w:tcW w:w="1125" w:type="dxa"/>
            <w:vAlign w:val="center"/>
          </w:tcPr>
          <w:p w14:paraId="17072E43">
            <w:pPr>
              <w:topLinePunct/>
              <w:bidi w:val="0"/>
              <w:spacing w:before="71" w:line="250" w:lineRule="auto"/>
              <w:ind w:right="109"/>
              <w:jc w:val="center"/>
              <w:textAlignment w:val="auto"/>
              <w:rPr>
                <w:rFonts w:hint="eastAsia" w:ascii="宋体" w:hAnsi="宋体" w:eastAsia="宋体" w:cs="宋体"/>
                <w:color w:val="000000" w:themeColor="text1"/>
                <w:spacing w:val="-1"/>
                <w:sz w:val="21"/>
                <w:szCs w:val="21"/>
                <w:lang w:val="en-US" w:eastAsia="zh-CN"/>
                <w14:textFill>
                  <w14:solidFill>
                    <w14:schemeClr w14:val="tx1"/>
                  </w14:solidFill>
                </w14:textFill>
              </w:rPr>
            </w:pPr>
            <w:r>
              <w:rPr>
                <w:rFonts w:hint="eastAsia" w:ascii="宋体" w:hAnsi="宋体" w:eastAsia="宋体" w:cs="宋体"/>
                <w:color w:val="000000" w:themeColor="text1"/>
                <w:spacing w:val="-1"/>
                <w:sz w:val="21"/>
                <w:szCs w:val="21"/>
                <w:lang w:val="en-US" w:eastAsia="zh-CN"/>
                <w14:textFill>
                  <w14:solidFill>
                    <w14:schemeClr w14:val="tx1"/>
                  </w14:solidFill>
                </w14:textFill>
              </w:rPr>
              <w:t>信用承诺</w:t>
            </w:r>
          </w:p>
        </w:tc>
        <w:tc>
          <w:tcPr>
            <w:tcW w:w="5783" w:type="dxa"/>
            <w:vAlign w:val="center"/>
          </w:tcPr>
          <w:p w14:paraId="3C2AE440">
            <w:pPr>
              <w:topLinePunct/>
              <w:bidi w:val="0"/>
              <w:spacing w:before="71" w:line="250" w:lineRule="auto"/>
              <w:ind w:right="109"/>
              <w:jc w:val="both"/>
              <w:textAlignment w:val="auto"/>
              <w:rPr>
                <w:rFonts w:hint="eastAsia" w:ascii="宋体" w:hAnsi="宋体" w:eastAsia="宋体" w:cs="宋体"/>
                <w:color w:val="000000" w:themeColor="text1"/>
                <w:spacing w:val="-1"/>
                <w:sz w:val="21"/>
                <w:szCs w:val="21"/>
                <w:lang w:val="en-US" w:eastAsia="zh-CN"/>
                <w14:textFill>
                  <w14:solidFill>
                    <w14:schemeClr w14:val="tx1"/>
                  </w14:solidFill>
                </w14:textFill>
              </w:rPr>
            </w:pPr>
            <w:r>
              <w:rPr>
                <w:rFonts w:hint="eastAsia" w:ascii="宋体" w:hAnsi="宋体" w:eastAsia="宋体" w:cs="宋体"/>
                <w:color w:val="000000" w:themeColor="text1"/>
                <w:spacing w:val="-1"/>
                <w:sz w:val="21"/>
                <w:szCs w:val="21"/>
                <w:lang w:val="en-US" w:eastAsia="zh-CN"/>
                <w14:textFill>
                  <w14:solidFill>
                    <w14:schemeClr w14:val="tx1"/>
                  </w14:solidFill>
                </w14:textFill>
              </w:rPr>
              <w:t>单位负责人为同一人或者存在直接控股、管理关系的不同投标人，不得参加同一合同项下的政府采购活动（投标人须提供此项《声明函》）。</w:t>
            </w:r>
          </w:p>
        </w:tc>
        <w:tc>
          <w:tcPr>
            <w:tcW w:w="1631" w:type="dxa"/>
            <w:vAlign w:val="center"/>
          </w:tcPr>
          <w:p w14:paraId="770CFF5F">
            <w:pPr>
              <w:pStyle w:val="46"/>
              <w:topLinePunct/>
              <w:bidi w:val="0"/>
              <w:jc w:val="center"/>
              <w:textAlignment w:val="auto"/>
              <w:rPr>
                <w:rFonts w:hint="eastAsia" w:ascii="宋体" w:hAnsi="宋体" w:eastAsia="宋体" w:cs="宋体"/>
                <w:snapToGrid w:val="0"/>
                <w:color w:val="000000" w:themeColor="text1"/>
                <w:spacing w:val="-1"/>
                <w:kern w:val="0"/>
                <w:sz w:val="21"/>
                <w:szCs w:val="21"/>
                <w:lang w:val="en-US" w:eastAsia="zh-CN" w:bidi="ar-SA"/>
                <w14:textFill>
                  <w14:solidFill>
                    <w14:schemeClr w14:val="tx1"/>
                  </w14:solidFill>
                </w14:textFill>
              </w:rPr>
            </w:pPr>
            <w:r>
              <w:rPr>
                <w:rFonts w:hint="eastAsia" w:ascii="宋体" w:hAnsi="宋体" w:eastAsia="宋体" w:cs="宋体"/>
                <w:snapToGrid w:val="0"/>
                <w:color w:val="000000" w:themeColor="text1"/>
                <w:spacing w:val="-1"/>
                <w:kern w:val="0"/>
                <w:sz w:val="21"/>
                <w:szCs w:val="21"/>
                <w:lang w:val="en-US" w:eastAsia="zh-CN" w:bidi="ar-SA"/>
                <w14:textFill>
                  <w14:solidFill>
                    <w14:schemeClr w14:val="tx1"/>
                  </w14:solidFill>
                </w14:textFill>
              </w:rPr>
              <w:t>提供声明函</w:t>
            </w:r>
          </w:p>
        </w:tc>
      </w:tr>
      <w:tr w14:paraId="0D227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jc w:val="center"/>
        </w:trPr>
        <w:tc>
          <w:tcPr>
            <w:tcW w:w="599" w:type="dxa"/>
            <w:vAlign w:val="center"/>
          </w:tcPr>
          <w:p w14:paraId="04D760A2">
            <w:pPr>
              <w:topLinePunct/>
              <w:bidi w:val="0"/>
              <w:spacing w:before="71" w:line="184" w:lineRule="auto"/>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w:t>
            </w:r>
          </w:p>
        </w:tc>
        <w:tc>
          <w:tcPr>
            <w:tcW w:w="1125" w:type="dxa"/>
            <w:vAlign w:val="center"/>
          </w:tcPr>
          <w:p w14:paraId="401357D5">
            <w:pPr>
              <w:topLinePunct/>
              <w:bidi w:val="0"/>
              <w:spacing w:before="71" w:line="250" w:lineRule="auto"/>
              <w:ind w:right="109"/>
              <w:jc w:val="center"/>
              <w:textAlignment w:val="auto"/>
              <w:rPr>
                <w:rFonts w:hint="eastAsia" w:ascii="宋体" w:hAnsi="宋体" w:eastAsia="宋体" w:cs="宋体"/>
                <w:color w:val="000000" w:themeColor="text1"/>
                <w:spacing w:val="-1"/>
                <w:sz w:val="21"/>
                <w:szCs w:val="21"/>
                <w:lang w:val="en-US" w:eastAsia="zh-CN"/>
                <w14:textFill>
                  <w14:solidFill>
                    <w14:schemeClr w14:val="tx1"/>
                  </w14:solidFill>
                </w14:textFill>
              </w:rPr>
            </w:pPr>
            <w:r>
              <w:rPr>
                <w:rFonts w:hint="eastAsia" w:ascii="宋体" w:hAnsi="宋体" w:eastAsia="宋体" w:cs="宋体"/>
                <w:color w:val="000000" w:themeColor="text1"/>
                <w:spacing w:val="-1"/>
                <w:sz w:val="21"/>
                <w:szCs w:val="21"/>
                <w14:textFill>
                  <w14:solidFill>
                    <w14:schemeClr w14:val="tx1"/>
                  </w14:solidFill>
                </w14:textFill>
              </w:rPr>
              <w:t>投标保证金</w:t>
            </w:r>
          </w:p>
        </w:tc>
        <w:tc>
          <w:tcPr>
            <w:tcW w:w="5783" w:type="dxa"/>
            <w:vAlign w:val="center"/>
          </w:tcPr>
          <w:p w14:paraId="0725710B">
            <w:pPr>
              <w:topLinePunct/>
              <w:bidi w:val="0"/>
              <w:spacing w:before="71" w:line="250" w:lineRule="auto"/>
              <w:ind w:right="109"/>
              <w:jc w:val="both"/>
              <w:textAlignment w:val="auto"/>
              <w:rPr>
                <w:rFonts w:hint="eastAsia" w:ascii="宋体" w:hAnsi="宋体" w:eastAsia="宋体" w:cs="宋体"/>
                <w:color w:val="000000" w:themeColor="text1"/>
                <w:spacing w:val="-1"/>
                <w:sz w:val="21"/>
                <w:szCs w:val="21"/>
                <w:lang w:val="en-US" w:eastAsia="zh-CN"/>
                <w14:textFill>
                  <w14:solidFill>
                    <w14:schemeClr w14:val="tx1"/>
                  </w14:solidFill>
                </w14:textFill>
              </w:rPr>
            </w:pPr>
            <w:r>
              <w:rPr>
                <w:rFonts w:hint="eastAsia" w:ascii="宋体" w:hAnsi="宋体" w:eastAsia="宋体" w:cs="宋体"/>
                <w:color w:val="000000" w:themeColor="text1"/>
                <w:spacing w:val="-1"/>
                <w:sz w:val="21"/>
                <w:szCs w:val="21"/>
                <w:lang w:val="en-US" w:eastAsia="zh-CN"/>
                <w14:textFill>
                  <w14:solidFill>
                    <w14:schemeClr w14:val="tx1"/>
                  </w14:solidFill>
                </w14:textFill>
              </w:rPr>
              <w:t>是否按磋商文件规定提交磋商保证金或保函</w:t>
            </w:r>
          </w:p>
        </w:tc>
        <w:tc>
          <w:tcPr>
            <w:tcW w:w="1631" w:type="dxa"/>
            <w:vAlign w:val="center"/>
          </w:tcPr>
          <w:p w14:paraId="4C34C4B3">
            <w:pPr>
              <w:pStyle w:val="46"/>
              <w:topLinePunct/>
              <w:bidi w:val="0"/>
              <w:jc w:val="center"/>
              <w:textAlignment w:val="auto"/>
              <w:rPr>
                <w:rFonts w:hint="eastAsia" w:ascii="宋体" w:hAnsi="宋体" w:eastAsia="宋体" w:cs="宋体"/>
                <w:snapToGrid w:val="0"/>
                <w:color w:val="000000" w:themeColor="text1"/>
                <w:spacing w:val="-1"/>
                <w:kern w:val="0"/>
                <w:sz w:val="21"/>
                <w:szCs w:val="21"/>
                <w:lang w:val="en-US" w:eastAsia="zh-CN" w:bidi="ar-SA"/>
                <w14:textFill>
                  <w14:solidFill>
                    <w14:schemeClr w14:val="tx1"/>
                  </w14:solidFill>
                </w14:textFill>
              </w:rPr>
            </w:pPr>
            <w:r>
              <w:rPr>
                <w:rFonts w:hint="eastAsia" w:ascii="宋体" w:hAnsi="宋体" w:eastAsia="宋体" w:cs="宋体"/>
                <w:snapToGrid w:val="0"/>
                <w:color w:val="000000" w:themeColor="text1"/>
                <w:spacing w:val="-1"/>
                <w:kern w:val="0"/>
                <w:sz w:val="21"/>
                <w:szCs w:val="21"/>
                <w:lang w:val="en-US" w:eastAsia="zh-CN" w:bidi="ar-SA"/>
                <w14:textFill>
                  <w14:solidFill>
                    <w14:schemeClr w14:val="tx1"/>
                  </w14:solidFill>
                </w14:textFill>
              </w:rPr>
              <w:t>提供证明文件的电子件</w:t>
            </w:r>
          </w:p>
        </w:tc>
      </w:tr>
      <w:tr w14:paraId="38D54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jc w:val="center"/>
        </w:trPr>
        <w:tc>
          <w:tcPr>
            <w:tcW w:w="599" w:type="dxa"/>
            <w:vAlign w:val="center"/>
          </w:tcPr>
          <w:p w14:paraId="0008E0E9">
            <w:pPr>
              <w:topLinePunct/>
              <w:bidi w:val="0"/>
              <w:spacing w:before="71" w:line="184" w:lineRule="auto"/>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w:t>
            </w:r>
          </w:p>
        </w:tc>
        <w:tc>
          <w:tcPr>
            <w:tcW w:w="1125" w:type="dxa"/>
            <w:vAlign w:val="center"/>
          </w:tcPr>
          <w:p w14:paraId="10863D07">
            <w:pPr>
              <w:topLinePunct/>
              <w:bidi w:val="0"/>
              <w:spacing w:before="71" w:line="250" w:lineRule="auto"/>
              <w:ind w:right="109"/>
              <w:jc w:val="center"/>
              <w:textAlignment w:val="auto"/>
              <w:rPr>
                <w:rFonts w:hint="eastAsia" w:ascii="宋体" w:hAnsi="宋体" w:eastAsia="宋体" w:cs="宋体"/>
                <w:color w:val="000000" w:themeColor="text1"/>
                <w:spacing w:val="-1"/>
                <w:sz w:val="21"/>
                <w:szCs w:val="21"/>
                <w:lang w:val="en-US" w:eastAsia="zh-CN"/>
                <w14:textFill>
                  <w14:solidFill>
                    <w14:schemeClr w14:val="tx1"/>
                  </w14:solidFill>
                </w14:textFill>
              </w:rPr>
            </w:pPr>
            <w:r>
              <w:rPr>
                <w:rFonts w:hint="eastAsia" w:ascii="宋体" w:hAnsi="宋体" w:eastAsia="宋体" w:cs="宋体"/>
                <w:color w:val="000000" w:themeColor="text1"/>
                <w:spacing w:val="-1"/>
                <w:sz w:val="21"/>
                <w:szCs w:val="21"/>
                <w:lang w:val="en-US" w:eastAsia="zh-CN"/>
                <w14:textFill>
                  <w14:solidFill>
                    <w14:schemeClr w14:val="tx1"/>
                  </w14:solidFill>
                </w14:textFill>
              </w:rPr>
              <w:t>中小企业政策</w:t>
            </w:r>
          </w:p>
        </w:tc>
        <w:tc>
          <w:tcPr>
            <w:tcW w:w="5783" w:type="dxa"/>
            <w:vAlign w:val="center"/>
          </w:tcPr>
          <w:p w14:paraId="3B70FC35">
            <w:pPr>
              <w:topLinePunct/>
              <w:bidi w:val="0"/>
              <w:spacing w:before="71" w:line="250" w:lineRule="auto"/>
              <w:ind w:right="109"/>
              <w:jc w:val="both"/>
              <w:textAlignment w:val="auto"/>
              <w:rPr>
                <w:rFonts w:hint="eastAsia" w:ascii="宋体" w:hAnsi="宋体" w:eastAsia="宋体" w:cs="宋体"/>
                <w:color w:val="000000" w:themeColor="text1"/>
                <w:spacing w:val="-1"/>
                <w:sz w:val="21"/>
                <w:szCs w:val="21"/>
                <w:lang w:val="en-US" w:eastAsia="zh-CN"/>
                <w14:textFill>
                  <w14:solidFill>
                    <w14:schemeClr w14:val="tx1"/>
                  </w14:solidFill>
                </w14:textFill>
              </w:rPr>
            </w:pPr>
            <w:r>
              <w:rPr>
                <w:rFonts w:hint="eastAsia" w:ascii="宋体" w:hAnsi="宋体" w:eastAsia="宋体" w:cs="宋体"/>
                <w:color w:val="000000" w:themeColor="text1"/>
                <w:spacing w:val="-1"/>
                <w:sz w:val="21"/>
                <w:szCs w:val="21"/>
                <w:lang w:val="en-US" w:eastAsia="zh-CN"/>
                <w14:textFill>
                  <w14:solidFill>
                    <w14:schemeClr w14:val="tx1"/>
                  </w14:solidFill>
                </w14:textFill>
              </w:rPr>
              <w:t>是否提供合格的《中小企业声明函》</w:t>
            </w:r>
          </w:p>
        </w:tc>
        <w:tc>
          <w:tcPr>
            <w:tcW w:w="1631" w:type="dxa"/>
            <w:vAlign w:val="center"/>
          </w:tcPr>
          <w:p w14:paraId="39BD2B0C">
            <w:pPr>
              <w:pStyle w:val="46"/>
              <w:topLinePunct/>
              <w:bidi w:val="0"/>
              <w:jc w:val="center"/>
              <w:textAlignment w:val="auto"/>
              <w:rPr>
                <w:rFonts w:hint="eastAsia" w:ascii="宋体" w:hAnsi="宋体" w:eastAsia="宋体" w:cs="宋体"/>
                <w:snapToGrid w:val="0"/>
                <w:color w:val="000000" w:themeColor="text1"/>
                <w:spacing w:val="-1"/>
                <w:kern w:val="0"/>
                <w:sz w:val="21"/>
                <w:szCs w:val="21"/>
                <w:lang w:val="en-US" w:eastAsia="zh-CN" w:bidi="ar-SA"/>
                <w14:textFill>
                  <w14:solidFill>
                    <w14:schemeClr w14:val="tx1"/>
                  </w14:solidFill>
                </w14:textFill>
              </w:rPr>
            </w:pPr>
            <w:r>
              <w:rPr>
                <w:rFonts w:hint="eastAsia" w:ascii="宋体" w:hAnsi="宋体" w:eastAsia="宋体" w:cs="宋体"/>
                <w:snapToGrid w:val="0"/>
                <w:color w:val="000000" w:themeColor="text1"/>
                <w:spacing w:val="-1"/>
                <w:kern w:val="0"/>
                <w:sz w:val="21"/>
                <w:szCs w:val="21"/>
                <w:lang w:val="en-US" w:eastAsia="zh-CN" w:bidi="ar-SA"/>
                <w14:textFill>
                  <w14:solidFill>
                    <w14:schemeClr w14:val="tx1"/>
                  </w14:solidFill>
                </w14:textFill>
              </w:rPr>
              <w:t>请根据要求单独上传《中小企业声明函》，格式以采购文件要求为准。</w:t>
            </w:r>
          </w:p>
        </w:tc>
      </w:tr>
      <w:tr w14:paraId="45A8E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jc w:val="center"/>
        </w:trPr>
        <w:tc>
          <w:tcPr>
            <w:tcW w:w="599" w:type="dxa"/>
            <w:vAlign w:val="center"/>
          </w:tcPr>
          <w:p w14:paraId="5A68AA64">
            <w:pPr>
              <w:topLinePunct/>
              <w:bidi w:val="0"/>
              <w:spacing w:before="71" w:line="184" w:lineRule="auto"/>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1125" w:type="dxa"/>
            <w:vAlign w:val="center"/>
          </w:tcPr>
          <w:p w14:paraId="6B2CF0FE">
            <w:pPr>
              <w:topLinePunct/>
              <w:bidi w:val="0"/>
              <w:spacing w:before="71" w:line="250" w:lineRule="auto"/>
              <w:ind w:right="109"/>
              <w:jc w:val="center"/>
              <w:textAlignment w:val="auto"/>
              <w:rPr>
                <w:rFonts w:hint="eastAsia" w:ascii="宋体" w:hAnsi="宋体" w:eastAsia="宋体" w:cs="宋体"/>
                <w:color w:val="000000" w:themeColor="text1"/>
                <w:spacing w:val="-1"/>
                <w:sz w:val="21"/>
                <w:szCs w:val="21"/>
                <w:lang w:val="en-US" w:eastAsia="zh-CN"/>
                <w14:textFill>
                  <w14:solidFill>
                    <w14:schemeClr w14:val="tx1"/>
                  </w14:solidFill>
                </w14:textFill>
              </w:rPr>
            </w:pPr>
            <w:r>
              <w:rPr>
                <w:rFonts w:hint="eastAsia" w:ascii="宋体" w:hAnsi="宋体" w:eastAsia="宋体" w:cs="宋体"/>
                <w:color w:val="000000" w:themeColor="text1"/>
                <w:spacing w:val="-1"/>
                <w:sz w:val="21"/>
                <w:szCs w:val="21"/>
                <w:lang w:val="en-US" w:eastAsia="zh-CN"/>
                <w14:textFill>
                  <w14:solidFill>
                    <w14:schemeClr w14:val="tx1"/>
                  </w14:solidFill>
                </w14:textFill>
              </w:rPr>
              <w:t>特定资质</w:t>
            </w:r>
          </w:p>
        </w:tc>
        <w:tc>
          <w:tcPr>
            <w:tcW w:w="5783" w:type="dxa"/>
            <w:vAlign w:val="center"/>
          </w:tcPr>
          <w:p w14:paraId="0156C2E0">
            <w:pPr>
              <w:topLinePunct/>
              <w:bidi w:val="0"/>
              <w:spacing w:before="71" w:line="250" w:lineRule="auto"/>
              <w:ind w:right="109"/>
              <w:jc w:val="both"/>
              <w:textAlignment w:val="auto"/>
              <w:rPr>
                <w:rFonts w:hint="eastAsia" w:ascii="宋体" w:hAnsi="宋体" w:eastAsia="宋体" w:cs="宋体"/>
                <w:color w:val="000000" w:themeColor="text1"/>
                <w:spacing w:val="-1"/>
                <w:sz w:val="21"/>
                <w:szCs w:val="21"/>
                <w:lang w:val="en-US" w:eastAsia="zh-CN"/>
                <w14:textFill>
                  <w14:solidFill>
                    <w14:schemeClr w14:val="tx1"/>
                  </w14:solidFill>
                </w14:textFill>
              </w:rPr>
            </w:pPr>
            <w:r>
              <w:rPr>
                <w:rFonts w:hint="eastAsia" w:ascii="宋体" w:hAnsi="宋体" w:eastAsia="宋体" w:cs="宋体"/>
                <w:color w:val="000000" w:themeColor="text1"/>
                <w:spacing w:val="-1"/>
                <w:sz w:val="21"/>
                <w:szCs w:val="21"/>
                <w:lang w:val="en-US" w:eastAsia="zh-CN"/>
                <w14:textFill>
                  <w14:solidFill>
                    <w14:schemeClr w14:val="tx1"/>
                  </w14:solidFill>
                </w14:textFill>
              </w:rPr>
              <w:t>（1）投标人须具有由财政部门颁发的有效会计师事务所执业证书，不具备上述条件的投标人，须与一家会计事务所组成联合体参与投标；</w:t>
            </w:r>
          </w:p>
          <w:p w14:paraId="142EDB86">
            <w:pPr>
              <w:topLinePunct/>
              <w:bidi w:val="0"/>
              <w:spacing w:before="71" w:line="250" w:lineRule="auto"/>
              <w:ind w:right="109"/>
              <w:jc w:val="both"/>
              <w:textAlignment w:val="auto"/>
              <w:rPr>
                <w:rFonts w:hint="eastAsia" w:ascii="宋体" w:hAnsi="宋体" w:eastAsia="宋体" w:cs="宋体"/>
                <w:color w:val="000000" w:themeColor="text1"/>
                <w:spacing w:val="-1"/>
                <w:sz w:val="21"/>
                <w:szCs w:val="21"/>
                <w:lang w:val="en-US" w:eastAsia="zh-CN"/>
                <w14:textFill>
                  <w14:solidFill>
                    <w14:schemeClr w14:val="tx1"/>
                  </w14:solidFill>
                </w14:textFill>
              </w:rPr>
            </w:pPr>
            <w:r>
              <w:rPr>
                <w:rFonts w:hint="eastAsia" w:ascii="宋体" w:hAnsi="宋体" w:eastAsia="宋体" w:cs="宋体"/>
                <w:color w:val="000000" w:themeColor="text1"/>
                <w:spacing w:val="-1"/>
                <w:sz w:val="21"/>
                <w:szCs w:val="21"/>
                <w:lang w:val="en-US" w:eastAsia="zh-CN"/>
                <w14:textFill>
                  <w14:solidFill>
                    <w14:schemeClr w14:val="tx1"/>
                  </w14:solidFill>
                </w14:textFill>
              </w:rPr>
              <w:t>（2）拟派本项目的项目总负责人需具有建设部颁发的本单位注册的一级注册造价工程师资格证；</w:t>
            </w:r>
          </w:p>
          <w:p w14:paraId="7D195827">
            <w:pPr>
              <w:topLinePunct/>
              <w:bidi w:val="0"/>
              <w:spacing w:before="71" w:line="250" w:lineRule="auto"/>
              <w:ind w:right="109"/>
              <w:jc w:val="both"/>
              <w:textAlignment w:val="auto"/>
              <w:rPr>
                <w:rFonts w:hint="eastAsia" w:ascii="宋体" w:hAnsi="宋体" w:eastAsia="宋体" w:cs="宋体"/>
                <w:color w:val="000000" w:themeColor="text1"/>
                <w:spacing w:val="-1"/>
                <w:sz w:val="21"/>
                <w:szCs w:val="21"/>
                <w:lang w:val="en-US" w:eastAsia="zh-CN"/>
                <w14:textFill>
                  <w14:solidFill>
                    <w14:schemeClr w14:val="tx1"/>
                  </w14:solidFill>
                </w14:textFill>
              </w:rPr>
            </w:pPr>
            <w:r>
              <w:rPr>
                <w:rFonts w:hint="eastAsia" w:ascii="宋体" w:hAnsi="宋体" w:eastAsia="宋体" w:cs="宋体"/>
                <w:color w:val="000000" w:themeColor="text1"/>
                <w:spacing w:val="-1"/>
                <w:sz w:val="21"/>
                <w:szCs w:val="21"/>
                <w:lang w:val="en-US" w:eastAsia="zh-CN"/>
                <w14:textFill>
                  <w14:solidFill>
                    <w14:schemeClr w14:val="tx1"/>
                  </w14:solidFill>
                </w14:textFill>
              </w:rPr>
              <w:t>（3）决算阶段负责人须具有注册会计师执业资格证书，且在本单位注册；</w:t>
            </w:r>
          </w:p>
        </w:tc>
        <w:tc>
          <w:tcPr>
            <w:tcW w:w="1631" w:type="dxa"/>
            <w:vAlign w:val="center"/>
          </w:tcPr>
          <w:p w14:paraId="0A08BBA5">
            <w:pPr>
              <w:pStyle w:val="46"/>
              <w:topLinePunct/>
              <w:bidi w:val="0"/>
              <w:jc w:val="center"/>
              <w:textAlignment w:val="auto"/>
              <w:rPr>
                <w:rFonts w:hint="eastAsia" w:ascii="宋体" w:hAnsi="宋体" w:eastAsia="宋体" w:cs="宋体"/>
                <w:snapToGrid w:val="0"/>
                <w:color w:val="000000" w:themeColor="text1"/>
                <w:spacing w:val="-1"/>
                <w:kern w:val="0"/>
                <w:sz w:val="21"/>
                <w:szCs w:val="21"/>
                <w:lang w:val="en-US" w:eastAsia="zh-CN" w:bidi="ar-SA"/>
                <w14:textFill>
                  <w14:solidFill>
                    <w14:schemeClr w14:val="tx1"/>
                  </w14:solidFill>
                </w14:textFill>
              </w:rPr>
            </w:pPr>
            <w:r>
              <w:rPr>
                <w:rFonts w:hint="eastAsia" w:ascii="宋体" w:hAnsi="宋体" w:eastAsia="宋体" w:cs="宋体"/>
                <w:snapToGrid w:val="0"/>
                <w:color w:val="000000" w:themeColor="text1"/>
                <w:spacing w:val="-1"/>
                <w:kern w:val="0"/>
                <w:sz w:val="21"/>
                <w:szCs w:val="21"/>
                <w:lang w:val="en-US" w:eastAsia="zh-CN" w:bidi="ar-SA"/>
                <w14:textFill>
                  <w14:solidFill>
                    <w14:schemeClr w14:val="tx1"/>
                  </w14:solidFill>
                </w14:textFill>
              </w:rPr>
              <w:t>提供证明文件的电子件</w:t>
            </w:r>
          </w:p>
        </w:tc>
      </w:tr>
      <w:tr w14:paraId="1D4CE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jc w:val="center"/>
        </w:trPr>
        <w:tc>
          <w:tcPr>
            <w:tcW w:w="599" w:type="dxa"/>
            <w:vAlign w:val="center"/>
          </w:tcPr>
          <w:p w14:paraId="4BC6620A">
            <w:pPr>
              <w:topLinePunct/>
              <w:bidi w:val="0"/>
              <w:spacing w:before="71" w:line="184" w:lineRule="auto"/>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w:t>
            </w:r>
          </w:p>
        </w:tc>
        <w:tc>
          <w:tcPr>
            <w:tcW w:w="1125" w:type="dxa"/>
            <w:vAlign w:val="center"/>
          </w:tcPr>
          <w:p w14:paraId="0A349EC2">
            <w:pPr>
              <w:topLinePunct/>
              <w:bidi w:val="0"/>
              <w:spacing w:before="71" w:line="250" w:lineRule="auto"/>
              <w:ind w:right="109"/>
              <w:jc w:val="center"/>
              <w:textAlignment w:val="auto"/>
              <w:rPr>
                <w:rFonts w:hint="default" w:ascii="宋体" w:hAnsi="宋体" w:eastAsia="宋体" w:cs="宋体"/>
                <w:color w:val="000000" w:themeColor="text1"/>
                <w:spacing w:val="-1"/>
                <w:sz w:val="21"/>
                <w:szCs w:val="21"/>
                <w:lang w:val="en-US" w:eastAsia="zh-CN"/>
                <w14:textFill>
                  <w14:solidFill>
                    <w14:schemeClr w14:val="tx1"/>
                  </w14:solidFill>
                </w14:textFill>
              </w:rPr>
            </w:pPr>
            <w:r>
              <w:rPr>
                <w:rFonts w:hint="eastAsia" w:ascii="宋体" w:hAnsi="宋体" w:eastAsia="宋体" w:cs="宋体"/>
                <w:color w:val="000000" w:themeColor="text1"/>
                <w:spacing w:val="-1"/>
                <w:sz w:val="21"/>
                <w:szCs w:val="21"/>
                <w:lang w:val="en-US" w:eastAsia="zh-CN"/>
                <w14:textFill>
                  <w14:solidFill>
                    <w14:schemeClr w14:val="tx1"/>
                  </w14:solidFill>
                </w14:textFill>
              </w:rPr>
              <w:t>联合体（若有）</w:t>
            </w:r>
          </w:p>
        </w:tc>
        <w:tc>
          <w:tcPr>
            <w:tcW w:w="5783" w:type="dxa"/>
            <w:vAlign w:val="center"/>
          </w:tcPr>
          <w:p w14:paraId="3272022A">
            <w:pPr>
              <w:topLinePunct/>
              <w:bidi w:val="0"/>
              <w:spacing w:before="71" w:line="250" w:lineRule="auto"/>
              <w:ind w:right="109"/>
              <w:jc w:val="both"/>
              <w:textAlignment w:val="auto"/>
              <w:rPr>
                <w:rFonts w:hint="default" w:ascii="宋体" w:hAnsi="宋体" w:eastAsia="宋体" w:cs="宋体"/>
                <w:color w:val="000000" w:themeColor="text1"/>
                <w:spacing w:val="-1"/>
                <w:sz w:val="21"/>
                <w:szCs w:val="21"/>
                <w:lang w:val="en-US" w:eastAsia="zh-CN"/>
                <w14:textFill>
                  <w14:solidFill>
                    <w14:schemeClr w14:val="tx1"/>
                  </w14:solidFill>
                </w14:textFill>
              </w:rPr>
            </w:pPr>
            <w:r>
              <w:rPr>
                <w:rFonts w:hint="eastAsia" w:ascii="宋体" w:hAnsi="宋体" w:eastAsia="宋体" w:cs="宋体"/>
                <w:color w:val="000000" w:themeColor="text1"/>
                <w:spacing w:val="-1"/>
                <w:sz w:val="21"/>
                <w:szCs w:val="21"/>
                <w:lang w:val="en-US" w:eastAsia="zh-CN"/>
                <w14:textFill>
                  <w14:solidFill>
                    <w14:schemeClr w14:val="tx1"/>
                  </w14:solidFill>
                </w14:textFill>
              </w:rPr>
              <w:t>联合体投标的需提供联合体协议书</w:t>
            </w:r>
          </w:p>
        </w:tc>
        <w:tc>
          <w:tcPr>
            <w:tcW w:w="1631" w:type="dxa"/>
            <w:vAlign w:val="center"/>
          </w:tcPr>
          <w:p w14:paraId="4A039A3D">
            <w:pPr>
              <w:pStyle w:val="46"/>
              <w:topLinePunct/>
              <w:bidi w:val="0"/>
              <w:jc w:val="center"/>
              <w:textAlignment w:val="auto"/>
              <w:rPr>
                <w:rFonts w:hint="eastAsia" w:ascii="宋体" w:hAnsi="宋体" w:eastAsia="宋体" w:cs="宋体"/>
                <w:snapToGrid w:val="0"/>
                <w:color w:val="000000" w:themeColor="text1"/>
                <w:spacing w:val="-1"/>
                <w:kern w:val="0"/>
                <w:sz w:val="21"/>
                <w:szCs w:val="21"/>
                <w:lang w:val="en-US" w:eastAsia="zh-CN" w:bidi="ar-SA"/>
                <w14:textFill>
                  <w14:solidFill>
                    <w14:schemeClr w14:val="tx1"/>
                  </w14:solidFill>
                </w14:textFill>
              </w:rPr>
            </w:pPr>
            <w:r>
              <w:rPr>
                <w:rFonts w:hint="eastAsia" w:ascii="宋体" w:hAnsi="宋体" w:eastAsia="宋体" w:cs="宋体"/>
                <w:snapToGrid w:val="0"/>
                <w:color w:val="000000" w:themeColor="text1"/>
                <w:spacing w:val="-1"/>
                <w:kern w:val="0"/>
                <w:sz w:val="21"/>
                <w:szCs w:val="21"/>
                <w:lang w:val="en-US" w:eastAsia="zh-CN" w:bidi="ar-SA"/>
                <w14:textFill>
                  <w14:solidFill>
                    <w14:schemeClr w14:val="tx1"/>
                  </w14:solidFill>
                </w14:textFill>
              </w:rPr>
              <w:t>提供</w:t>
            </w:r>
            <w:r>
              <w:rPr>
                <w:rFonts w:hint="eastAsia" w:ascii="宋体" w:hAnsi="宋体" w:eastAsia="宋体" w:cs="宋体"/>
                <w:color w:val="000000" w:themeColor="text1"/>
                <w:spacing w:val="-1"/>
                <w:sz w:val="21"/>
                <w:szCs w:val="21"/>
                <w:lang w:val="en-US" w:eastAsia="zh-CN"/>
                <w14:textFill>
                  <w14:solidFill>
                    <w14:schemeClr w14:val="tx1"/>
                  </w14:solidFill>
                </w14:textFill>
              </w:rPr>
              <w:t>联合体协议书</w:t>
            </w:r>
            <w:r>
              <w:rPr>
                <w:rFonts w:hint="eastAsia" w:ascii="宋体" w:hAnsi="宋体" w:eastAsia="宋体" w:cs="宋体"/>
                <w:snapToGrid w:val="0"/>
                <w:color w:val="000000" w:themeColor="text1"/>
                <w:spacing w:val="-1"/>
                <w:kern w:val="0"/>
                <w:sz w:val="21"/>
                <w:szCs w:val="21"/>
                <w:lang w:val="en-US" w:eastAsia="zh-CN" w:bidi="ar-SA"/>
                <w14:textFill>
                  <w14:solidFill>
                    <w14:schemeClr w14:val="tx1"/>
                  </w14:solidFill>
                </w14:textFill>
              </w:rPr>
              <w:t>，格式以磋商文件为准</w:t>
            </w:r>
          </w:p>
        </w:tc>
      </w:tr>
    </w:tbl>
    <w:p w14:paraId="6DDB4A1F">
      <w:pPr>
        <w:topLinePunct/>
        <w:bidi w:val="0"/>
        <w:spacing w:line="360" w:lineRule="auto"/>
        <w:textAlignment w:val="auto"/>
        <w:rPr>
          <w:b/>
          <w:bCs/>
          <w:i w:val="0"/>
          <w:iCs w:val="0"/>
          <w:color w:val="000000" w:themeColor="text1"/>
          <w:sz w:val="21"/>
          <w:szCs w:val="21"/>
          <w:highlight w:val="none"/>
          <w14:textFill>
            <w14:solidFill>
              <w14:schemeClr w14:val="tx1"/>
            </w14:solidFill>
          </w14:textFill>
        </w:rPr>
      </w:pPr>
      <w:r>
        <w:rPr>
          <w:rFonts w:hint="eastAsia"/>
          <w:b/>
          <w:bCs/>
          <w:i w:val="0"/>
          <w:iCs w:val="0"/>
          <w:color w:val="000000" w:themeColor="text1"/>
          <w:sz w:val="21"/>
          <w:szCs w:val="21"/>
          <w:highlight w:val="none"/>
          <w14:textFill>
            <w14:solidFill>
              <w14:schemeClr w14:val="tx1"/>
            </w14:solidFill>
          </w14:textFill>
        </w:rPr>
        <w:t>备注：</w:t>
      </w:r>
    </w:p>
    <w:p w14:paraId="172853F8">
      <w:pPr>
        <w:pStyle w:val="51"/>
        <w:keepNext w:val="0"/>
        <w:keepLines w:val="0"/>
        <w:pageBreakBefore w:val="0"/>
        <w:widowControl w:val="0"/>
        <w:kinsoku/>
        <w:overflowPunct/>
        <w:topLinePunct/>
        <w:autoSpaceDE/>
        <w:autoSpaceDN/>
        <w:bidi w:val="0"/>
        <w:adjustRightInd/>
        <w:snapToGrid/>
        <w:spacing w:line="360" w:lineRule="auto"/>
        <w:ind w:firstLine="480"/>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1.</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供应商须按上表格式要求提供相关证明文件</w:t>
      </w:r>
      <w:r>
        <w:rPr>
          <w:rFonts w:hint="eastAsia" w:ascii="宋体" w:hAnsi="宋体" w:eastAsia="宋体" w:cs="宋体"/>
          <w:i w:val="0"/>
          <w:iCs w:val="0"/>
          <w:color w:val="000000" w:themeColor="text1"/>
          <w:sz w:val="21"/>
          <w:szCs w:val="21"/>
          <w:highlight w:val="none"/>
          <w14:textFill>
            <w14:solidFill>
              <w14:schemeClr w14:val="tx1"/>
            </w14:solidFill>
          </w14:textFill>
        </w:rPr>
        <w:t>，响应文件中须编入清晰的扫描件或网页截图。所有证明材料须清晰可辨认，如因证明材料模糊无法辨认，缺页、漏页导致无法进行评审认定的</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14:textFill>
            <w14:solidFill>
              <w14:schemeClr w14:val="tx1"/>
            </w14:solidFill>
          </w14:textFill>
        </w:rPr>
        <w:t>责任由供应商</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承担</w:t>
      </w:r>
      <w:r>
        <w:rPr>
          <w:rFonts w:hint="eastAsia" w:ascii="宋体" w:hAnsi="宋体" w:eastAsia="宋体" w:cs="宋体"/>
          <w:i w:val="0"/>
          <w:iCs w:val="0"/>
          <w:color w:val="000000" w:themeColor="text1"/>
          <w:sz w:val="21"/>
          <w:szCs w:val="21"/>
          <w:highlight w:val="none"/>
          <w14:textFill>
            <w14:solidFill>
              <w14:schemeClr w14:val="tx1"/>
            </w14:solidFill>
          </w14:textFill>
        </w:rPr>
        <w:t>。</w:t>
      </w:r>
    </w:p>
    <w:p w14:paraId="47B63CD3">
      <w:pPr>
        <w:pStyle w:val="51"/>
        <w:keepNext w:val="0"/>
        <w:keepLines w:val="0"/>
        <w:pageBreakBefore w:val="0"/>
        <w:widowControl w:val="0"/>
        <w:numPr>
          <w:ilvl w:val="0"/>
          <w:numId w:val="0"/>
        </w:numPr>
        <w:kinsoku/>
        <w:overflowPunct/>
        <w:topLinePunct/>
        <w:autoSpaceDE/>
        <w:autoSpaceDN/>
        <w:bidi w:val="0"/>
        <w:adjustRightInd/>
        <w:snapToGrid/>
        <w:spacing w:line="360" w:lineRule="auto"/>
        <w:ind w:firstLine="420" w:firstLineChars="200"/>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t>信用信息核</w:t>
      </w:r>
      <w:r>
        <w:rPr>
          <w:rFonts w:hint="eastAsia" w:ascii="宋体" w:hAnsi="宋体" w:eastAsia="宋体" w:cs="宋体"/>
          <w:i w:val="0"/>
          <w:iCs w:val="0"/>
          <w:color w:val="000000" w:themeColor="text1"/>
          <w:sz w:val="21"/>
          <w:szCs w:val="21"/>
          <w:highlight w:val="none"/>
          <w14:textFill>
            <w14:solidFill>
              <w14:schemeClr w14:val="tx1"/>
            </w14:solidFill>
          </w14:textFill>
        </w:rPr>
        <w:t>查</w:t>
      </w:r>
    </w:p>
    <w:p w14:paraId="1EB1A41F">
      <w:pPr>
        <w:pStyle w:val="48"/>
        <w:keepNext w:val="0"/>
        <w:keepLines w:val="0"/>
        <w:pageBreakBefore w:val="0"/>
        <w:widowControl w:val="0"/>
        <w:kinsoku/>
        <w:overflowPunct/>
        <w:topLinePunct/>
        <w:autoSpaceDE/>
        <w:autoSpaceDN/>
        <w:bidi w:val="0"/>
        <w:adjustRightInd/>
        <w:snapToGrid/>
        <w:spacing w:line="360" w:lineRule="auto"/>
        <w:ind w:firstLine="480"/>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2.1资格审查</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阶段</w:t>
      </w:r>
      <w:r>
        <w:rPr>
          <w:rFonts w:hint="eastAsia" w:ascii="宋体" w:hAnsi="宋体" w:eastAsia="宋体" w:cs="宋体"/>
          <w:i w:val="0"/>
          <w:iCs w:val="0"/>
          <w:color w:val="000000" w:themeColor="text1"/>
          <w:sz w:val="21"/>
          <w:szCs w:val="21"/>
          <w:highlight w:val="none"/>
          <w14:textFill>
            <w14:solidFill>
              <w14:schemeClr w14:val="tx1"/>
            </w14:solidFill>
          </w14:textFill>
        </w:rPr>
        <w:t>应当核查供应商信用记录，供应商被列入失信被执行人、重大税收违法失信主体、政府采购严重违法失信行为记录名单的，采购</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i w:val="0"/>
          <w:iCs w:val="0"/>
          <w:color w:val="000000" w:themeColor="text1"/>
          <w:sz w:val="21"/>
          <w:szCs w:val="21"/>
          <w:highlight w:val="none"/>
          <w14:textFill>
            <w14:solidFill>
              <w14:schemeClr w14:val="tx1"/>
            </w14:solidFill>
          </w14:textFill>
        </w:rPr>
        <w:t>拒绝其参与政府采购活动。</w:t>
      </w:r>
    </w:p>
    <w:p w14:paraId="2CC896C5">
      <w:pPr>
        <w:pStyle w:val="48"/>
        <w:keepNext w:val="0"/>
        <w:keepLines w:val="0"/>
        <w:pageBreakBefore w:val="0"/>
        <w:widowControl w:val="0"/>
        <w:kinsoku/>
        <w:overflowPunct/>
        <w:topLinePunct/>
        <w:autoSpaceDE/>
        <w:autoSpaceDN/>
        <w:bidi w:val="0"/>
        <w:adjustRightInd/>
        <w:snapToGrid/>
        <w:spacing w:line="360" w:lineRule="auto"/>
        <w:ind w:firstLine="480"/>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2.2以联合体形式参与磋商的，应当核查联合体所有成员和信用记录，联合体成员存在不良信用记录的，视同联合体存在不良信用信息。</w:t>
      </w:r>
    </w:p>
    <w:p w14:paraId="133A1878">
      <w:pPr>
        <w:pStyle w:val="51"/>
        <w:keepNext w:val="0"/>
        <w:keepLines w:val="0"/>
        <w:pageBreakBefore w:val="0"/>
        <w:widowControl w:val="0"/>
        <w:numPr>
          <w:ilvl w:val="0"/>
          <w:numId w:val="0"/>
        </w:numPr>
        <w:kinsoku/>
        <w:overflowPunct/>
        <w:topLinePunct/>
        <w:autoSpaceDE/>
        <w:autoSpaceDN/>
        <w:bidi w:val="0"/>
        <w:adjustRightInd/>
        <w:snapToGrid/>
        <w:spacing w:line="360" w:lineRule="auto"/>
        <w:ind w:firstLine="420" w:firstLineChars="200"/>
        <w:textAlignment w:val="auto"/>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i w:val="0"/>
          <w:iCs w:val="0"/>
          <w:color w:val="000000" w:themeColor="text1"/>
          <w:sz w:val="21"/>
          <w:szCs w:val="21"/>
          <w:highlight w:val="none"/>
          <w14:textFill>
            <w14:solidFill>
              <w14:schemeClr w14:val="tx1"/>
            </w14:solidFill>
          </w14:textFill>
        </w:rPr>
        <w:t>对于响应文件中有任意一条不满足上表要求的</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14:textFill>
            <w14:solidFill>
              <w14:schemeClr w14:val="tx1"/>
            </w14:solidFill>
          </w14:textFill>
        </w:rPr>
        <w:t>将导致其</w:t>
      </w:r>
      <w:r>
        <w:rPr>
          <w:rFonts w:hint="eastAsia" w:ascii="宋体" w:hAnsi="宋体" w:eastAsia="宋体" w:cs="宋体"/>
          <w:b/>
          <w:bCs/>
          <w:i w:val="0"/>
          <w:iCs w:val="0"/>
          <w:color w:val="000000" w:themeColor="text1"/>
          <w:sz w:val="21"/>
          <w:szCs w:val="21"/>
          <w:highlight w:val="none"/>
          <w14:textFill>
            <w14:solidFill>
              <w14:schemeClr w14:val="tx1"/>
            </w14:solidFill>
          </w14:textFill>
        </w:rPr>
        <w:t>响应无效</w:t>
      </w:r>
      <w:r>
        <w:rPr>
          <w:rFonts w:hint="eastAsia" w:ascii="宋体" w:hAnsi="宋体" w:eastAsia="宋体" w:cs="宋体"/>
          <w:i w:val="0"/>
          <w:iCs w:val="0"/>
          <w:color w:val="000000" w:themeColor="text1"/>
          <w:sz w:val="21"/>
          <w:szCs w:val="21"/>
          <w:highlight w:val="none"/>
          <w14:textFill>
            <w14:solidFill>
              <w14:schemeClr w14:val="tx1"/>
            </w14:solidFill>
          </w14:textFill>
        </w:rPr>
        <w:t>，不</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得</w:t>
      </w:r>
      <w:r>
        <w:rPr>
          <w:rFonts w:hint="eastAsia" w:ascii="宋体" w:hAnsi="宋体" w:eastAsia="宋体" w:cs="宋体"/>
          <w:i w:val="0"/>
          <w:iCs w:val="0"/>
          <w:color w:val="000000" w:themeColor="text1"/>
          <w:sz w:val="21"/>
          <w:szCs w:val="21"/>
          <w:highlight w:val="none"/>
          <w14:textFill>
            <w14:solidFill>
              <w14:schemeClr w14:val="tx1"/>
            </w14:solidFill>
          </w14:textFill>
        </w:rPr>
        <w:t>进入下一项评审。</w:t>
      </w:r>
    </w:p>
    <w:p w14:paraId="7A2AD15A">
      <w:pP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br w:type="page"/>
      </w:r>
    </w:p>
    <w:p w14:paraId="1CB6CE3D">
      <w:pPr>
        <w:pStyle w:val="4"/>
        <w:keepNext w:val="0"/>
        <w:keepLines w:val="0"/>
        <w:pageBreakBefore w:val="0"/>
        <w:widowControl w:val="0"/>
        <w:numPr>
          <w:ilvl w:val="0"/>
          <w:numId w:val="0"/>
        </w:numPr>
        <w:kinsoku/>
        <w:wordWrap/>
        <w:overflowPunct/>
        <w:topLinePunct/>
        <w:autoSpaceDE/>
        <w:autoSpaceDN/>
        <w:bidi w:val="0"/>
        <w:adjustRightInd/>
        <w:snapToGrid/>
        <w:spacing w:before="100" w:after="100" w:line="480" w:lineRule="exact"/>
        <w:ind w:left="420" w:leftChars="0" w:hanging="420" w:firstLineChars="0"/>
        <w:textAlignment w:val="auto"/>
        <w:rPr>
          <w:rFonts w:hint="eastAsia" w:ascii="宋体" w:hAnsi="宋体" w:eastAsia="宋体" w:cs="宋体"/>
          <w:b/>
          <w:bCs/>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（二）</w:t>
      </w:r>
      <w:r>
        <w:rPr>
          <w:rFonts w:hint="eastAsia" w:ascii="宋体" w:hAnsi="宋体" w:eastAsia="宋体" w:cs="宋体"/>
          <w:b/>
          <w:bCs/>
          <w:color w:val="000000" w:themeColor="text1"/>
          <w:kern w:val="2"/>
          <w:sz w:val="24"/>
          <w:szCs w:val="24"/>
          <w:highlight w:val="none"/>
          <w:lang w:val="zh-CN" w:eastAsia="zh-CN" w:bidi="ar-SA"/>
          <w14:textFill>
            <w14:solidFill>
              <w14:schemeClr w14:val="tx1"/>
            </w14:solidFill>
          </w14:textFill>
        </w:rPr>
        <w:t>符合性审查表</w:t>
      </w:r>
      <w:bookmarkEnd w:id="365"/>
      <w:bookmarkEnd w:id="366"/>
    </w:p>
    <w:tbl>
      <w:tblPr>
        <w:tblStyle w:val="28"/>
        <w:tblW w:w="9245" w:type="dxa"/>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2"/>
        <w:gridCol w:w="1302"/>
        <w:gridCol w:w="5487"/>
        <w:gridCol w:w="866"/>
        <w:gridCol w:w="1088"/>
      </w:tblGrid>
      <w:tr w14:paraId="7933D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502" w:type="dxa"/>
            <w:vMerge w:val="restart"/>
            <w:shd w:val="clear" w:color="auto" w:fill="auto"/>
            <w:vAlign w:val="center"/>
          </w:tcPr>
          <w:p w14:paraId="1AB6CAE4">
            <w:pPr>
              <w:pStyle w:val="52"/>
              <w:topLinePunct/>
              <w:bidi w:val="0"/>
              <w:jc w:val="center"/>
              <w:textAlignment w:val="auto"/>
              <w:rPr>
                <w:rFonts w:hint="eastAsia" w:ascii="宋体" w:hAnsi="宋体" w:eastAsia="宋体" w:cs="宋体"/>
                <w:b/>
                <w:bCs/>
                <w:i w:val="0"/>
                <w:iCs w:val="0"/>
                <w:color w:val="000000" w:themeColor="text1"/>
                <w:sz w:val="21"/>
                <w:szCs w:val="21"/>
                <w:highlight w:val="none"/>
                <w:lang w:val="zh-CN"/>
                <w14:textFill>
                  <w14:solidFill>
                    <w14:schemeClr w14:val="tx1"/>
                  </w14:solidFill>
                </w14:textFill>
              </w:rPr>
            </w:pPr>
            <w:r>
              <w:rPr>
                <w:rFonts w:hint="eastAsia" w:ascii="宋体" w:hAnsi="宋体" w:eastAsia="宋体" w:cs="宋体"/>
                <w:b/>
                <w:bCs/>
                <w:i w:val="0"/>
                <w:iCs w:val="0"/>
                <w:color w:val="000000" w:themeColor="text1"/>
                <w:sz w:val="21"/>
                <w:szCs w:val="21"/>
                <w:highlight w:val="none"/>
                <w:lang w:val="zh-CN"/>
                <w14:textFill>
                  <w14:solidFill>
                    <w14:schemeClr w14:val="tx1"/>
                  </w14:solidFill>
                </w14:textFill>
              </w:rPr>
              <w:t>序号</w:t>
            </w:r>
          </w:p>
        </w:tc>
        <w:tc>
          <w:tcPr>
            <w:tcW w:w="1302" w:type="dxa"/>
            <w:vMerge w:val="restart"/>
            <w:shd w:val="clear" w:color="auto" w:fill="auto"/>
            <w:vAlign w:val="center"/>
          </w:tcPr>
          <w:p w14:paraId="2040E0EA">
            <w:pPr>
              <w:pStyle w:val="52"/>
              <w:topLinePunct/>
              <w:bidi w:val="0"/>
              <w:jc w:val="center"/>
              <w:textAlignment w:val="auto"/>
              <w:rPr>
                <w:rFonts w:hint="eastAsia" w:ascii="宋体" w:hAnsi="宋体" w:eastAsia="宋体" w:cs="宋体"/>
                <w:b/>
                <w:bCs/>
                <w:i w:val="0"/>
                <w:iCs w:val="0"/>
                <w:color w:val="000000" w:themeColor="text1"/>
                <w:sz w:val="21"/>
                <w:szCs w:val="21"/>
                <w:highlight w:val="none"/>
                <w:lang w:val="zh-CN"/>
                <w14:textFill>
                  <w14:solidFill>
                    <w14:schemeClr w14:val="tx1"/>
                  </w14:solidFill>
                </w14:textFill>
              </w:rPr>
            </w:pPr>
            <w:r>
              <w:rPr>
                <w:rFonts w:hint="eastAsia" w:ascii="宋体" w:hAnsi="宋体" w:eastAsia="宋体" w:cs="宋体"/>
                <w:b/>
                <w:bCs/>
                <w:i w:val="0"/>
                <w:iCs w:val="0"/>
                <w:color w:val="000000" w:themeColor="text1"/>
                <w:sz w:val="21"/>
                <w:szCs w:val="21"/>
                <w:highlight w:val="none"/>
                <w:lang w:val="zh-CN"/>
                <w14:textFill>
                  <w14:solidFill>
                    <w14:schemeClr w14:val="tx1"/>
                  </w14:solidFill>
                </w14:textFill>
              </w:rPr>
              <w:t>审查项名称</w:t>
            </w:r>
          </w:p>
        </w:tc>
        <w:tc>
          <w:tcPr>
            <w:tcW w:w="5487" w:type="dxa"/>
            <w:vMerge w:val="restart"/>
            <w:shd w:val="clear" w:color="auto" w:fill="auto"/>
            <w:vAlign w:val="center"/>
          </w:tcPr>
          <w:p w14:paraId="297368D2">
            <w:pPr>
              <w:pStyle w:val="52"/>
              <w:topLinePunct/>
              <w:bidi w:val="0"/>
              <w:jc w:val="center"/>
              <w:textAlignment w:val="auto"/>
              <w:rPr>
                <w:rFonts w:hint="eastAsia" w:ascii="宋体" w:hAnsi="宋体" w:eastAsia="宋体" w:cs="宋体"/>
                <w:b/>
                <w:bCs/>
                <w:i w:val="0"/>
                <w:iCs w:val="0"/>
                <w:color w:val="000000" w:themeColor="text1"/>
                <w:sz w:val="21"/>
                <w:szCs w:val="21"/>
                <w:highlight w:val="none"/>
                <w:lang w:val="zh-CN"/>
                <w14:textFill>
                  <w14:solidFill>
                    <w14:schemeClr w14:val="tx1"/>
                  </w14:solidFill>
                </w14:textFill>
              </w:rPr>
            </w:pPr>
            <w:r>
              <w:rPr>
                <w:rFonts w:hint="eastAsia" w:ascii="宋体" w:hAnsi="宋体" w:eastAsia="宋体" w:cs="宋体"/>
                <w:b/>
                <w:bCs/>
                <w:i w:val="0"/>
                <w:iCs w:val="0"/>
                <w:color w:val="000000" w:themeColor="text1"/>
                <w:sz w:val="21"/>
                <w:szCs w:val="21"/>
                <w:highlight w:val="none"/>
                <w:lang w:val="zh-CN"/>
                <w14:textFill>
                  <w14:solidFill>
                    <w14:schemeClr w14:val="tx1"/>
                  </w14:solidFill>
                </w14:textFill>
              </w:rPr>
              <w:t>审查内容</w:t>
            </w:r>
          </w:p>
        </w:tc>
        <w:tc>
          <w:tcPr>
            <w:tcW w:w="1954" w:type="dxa"/>
            <w:gridSpan w:val="2"/>
            <w:shd w:val="clear" w:color="auto" w:fill="auto"/>
            <w:vAlign w:val="center"/>
          </w:tcPr>
          <w:p w14:paraId="2AA3CEBB">
            <w:pPr>
              <w:pStyle w:val="52"/>
              <w:topLinePunct/>
              <w:bidi w:val="0"/>
              <w:jc w:val="center"/>
              <w:textAlignment w:val="auto"/>
              <w:rPr>
                <w:rFonts w:hint="eastAsia" w:ascii="宋体" w:hAnsi="宋体" w:eastAsia="宋体" w:cs="宋体"/>
                <w:b/>
                <w:bCs/>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sz w:val="21"/>
                <w:szCs w:val="21"/>
                <w:highlight w:val="none"/>
                <w:lang w:val="en-US" w:eastAsia="zh-CN"/>
                <w14:textFill>
                  <w14:solidFill>
                    <w14:schemeClr w14:val="tx1"/>
                  </w14:solidFill>
                </w14:textFill>
              </w:rPr>
              <w:t>审查结果</w:t>
            </w:r>
          </w:p>
        </w:tc>
      </w:tr>
      <w:tr w14:paraId="48A1E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502" w:type="dxa"/>
            <w:vMerge w:val="continue"/>
            <w:shd w:val="clear" w:color="auto" w:fill="auto"/>
            <w:vAlign w:val="center"/>
          </w:tcPr>
          <w:p w14:paraId="38FA06B6">
            <w:pPr>
              <w:pStyle w:val="52"/>
              <w:topLinePunct/>
              <w:bidi w:val="0"/>
              <w:jc w:val="center"/>
              <w:textAlignment w:val="auto"/>
              <w:rPr>
                <w:rFonts w:hint="eastAsia" w:ascii="宋体" w:hAnsi="宋体" w:eastAsia="宋体" w:cs="宋体"/>
                <w:b/>
                <w:bCs/>
                <w:i w:val="0"/>
                <w:iCs w:val="0"/>
                <w:color w:val="000000" w:themeColor="text1"/>
                <w:sz w:val="21"/>
                <w:szCs w:val="21"/>
                <w:highlight w:val="none"/>
                <w:lang w:val="zh-CN"/>
                <w14:textFill>
                  <w14:solidFill>
                    <w14:schemeClr w14:val="tx1"/>
                  </w14:solidFill>
                </w14:textFill>
              </w:rPr>
            </w:pPr>
          </w:p>
        </w:tc>
        <w:tc>
          <w:tcPr>
            <w:tcW w:w="1302" w:type="dxa"/>
            <w:vMerge w:val="continue"/>
            <w:shd w:val="clear" w:color="auto" w:fill="auto"/>
            <w:vAlign w:val="center"/>
          </w:tcPr>
          <w:p w14:paraId="283F31AA">
            <w:pPr>
              <w:pStyle w:val="52"/>
              <w:topLinePunct/>
              <w:bidi w:val="0"/>
              <w:jc w:val="center"/>
              <w:textAlignment w:val="auto"/>
              <w:rPr>
                <w:rFonts w:hint="eastAsia" w:ascii="宋体" w:hAnsi="宋体" w:eastAsia="宋体" w:cs="宋体"/>
                <w:b/>
                <w:bCs/>
                <w:i w:val="0"/>
                <w:iCs w:val="0"/>
                <w:color w:val="000000" w:themeColor="text1"/>
                <w:sz w:val="21"/>
                <w:szCs w:val="21"/>
                <w:highlight w:val="none"/>
                <w:lang w:val="zh-CN"/>
                <w14:textFill>
                  <w14:solidFill>
                    <w14:schemeClr w14:val="tx1"/>
                  </w14:solidFill>
                </w14:textFill>
              </w:rPr>
            </w:pPr>
          </w:p>
        </w:tc>
        <w:tc>
          <w:tcPr>
            <w:tcW w:w="5487" w:type="dxa"/>
            <w:vMerge w:val="continue"/>
            <w:shd w:val="clear" w:color="auto" w:fill="auto"/>
            <w:vAlign w:val="center"/>
          </w:tcPr>
          <w:p w14:paraId="2D143FE2">
            <w:pPr>
              <w:pStyle w:val="52"/>
              <w:topLinePunct/>
              <w:bidi w:val="0"/>
              <w:jc w:val="center"/>
              <w:textAlignment w:val="auto"/>
              <w:rPr>
                <w:rFonts w:hint="eastAsia" w:ascii="宋体" w:hAnsi="宋体" w:eastAsia="宋体" w:cs="宋体"/>
                <w:b/>
                <w:bCs/>
                <w:i w:val="0"/>
                <w:iCs w:val="0"/>
                <w:color w:val="000000" w:themeColor="text1"/>
                <w:sz w:val="21"/>
                <w:szCs w:val="21"/>
                <w:highlight w:val="none"/>
                <w:lang w:val="zh-CN"/>
                <w14:textFill>
                  <w14:solidFill>
                    <w14:schemeClr w14:val="tx1"/>
                  </w14:solidFill>
                </w14:textFill>
              </w:rPr>
            </w:pPr>
          </w:p>
        </w:tc>
        <w:tc>
          <w:tcPr>
            <w:tcW w:w="866" w:type="dxa"/>
            <w:shd w:val="clear" w:color="auto" w:fill="auto"/>
            <w:vAlign w:val="center"/>
          </w:tcPr>
          <w:p w14:paraId="41A1334C">
            <w:pPr>
              <w:pStyle w:val="52"/>
              <w:topLinePunct/>
              <w:bidi w:val="0"/>
              <w:jc w:val="center"/>
              <w:textAlignment w:val="auto"/>
              <w:rPr>
                <w:rFonts w:hint="eastAsia" w:ascii="宋体" w:hAnsi="宋体" w:eastAsia="宋体" w:cs="宋体"/>
                <w:b/>
                <w:bCs/>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sz w:val="21"/>
                <w:szCs w:val="21"/>
                <w:highlight w:val="none"/>
                <w:lang w:val="en-US" w:eastAsia="zh-CN"/>
                <w14:textFill>
                  <w14:solidFill>
                    <w14:schemeClr w14:val="tx1"/>
                  </w14:solidFill>
                </w14:textFill>
              </w:rPr>
              <w:t>符合</w:t>
            </w:r>
          </w:p>
        </w:tc>
        <w:tc>
          <w:tcPr>
            <w:tcW w:w="1088" w:type="dxa"/>
            <w:shd w:val="clear" w:color="auto" w:fill="auto"/>
            <w:vAlign w:val="center"/>
          </w:tcPr>
          <w:p w14:paraId="5EA53B63">
            <w:pPr>
              <w:pStyle w:val="52"/>
              <w:topLinePunct/>
              <w:bidi w:val="0"/>
              <w:jc w:val="center"/>
              <w:textAlignment w:val="auto"/>
              <w:rPr>
                <w:rFonts w:hint="eastAsia" w:ascii="宋体" w:hAnsi="宋体" w:eastAsia="宋体" w:cs="宋体"/>
                <w:b/>
                <w:bCs/>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sz w:val="21"/>
                <w:szCs w:val="21"/>
                <w:highlight w:val="none"/>
                <w:lang w:val="en-US" w:eastAsia="zh-CN"/>
                <w14:textFill>
                  <w14:solidFill>
                    <w14:schemeClr w14:val="tx1"/>
                  </w14:solidFill>
                </w14:textFill>
              </w:rPr>
              <w:t>不符合</w:t>
            </w:r>
          </w:p>
        </w:tc>
      </w:tr>
      <w:tr w14:paraId="601CB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502" w:type="dxa"/>
            <w:shd w:val="clear" w:color="auto" w:fill="auto"/>
            <w:vAlign w:val="center"/>
          </w:tcPr>
          <w:p w14:paraId="70D64650">
            <w:pPr>
              <w:pStyle w:val="52"/>
              <w:numPr>
                <w:ilvl w:val="0"/>
                <w:numId w:val="0"/>
              </w:numPr>
              <w:topLinePunct/>
              <w:bidi w:val="0"/>
              <w:ind w:left="420" w:leftChars="0" w:hanging="420" w:firstLineChars="0"/>
              <w:jc w:val="center"/>
              <w:textAlignment w:val="auto"/>
              <w:rPr>
                <w:rFonts w:hint="eastAsia" w:ascii="宋体" w:hAnsi="宋体" w:eastAsia="宋体" w:cs="宋体"/>
                <w:i w:val="0"/>
                <w:iCs w:val="0"/>
                <w:color w:val="000000" w:themeColor="text1"/>
                <w:sz w:val="21"/>
                <w:szCs w:val="21"/>
                <w:highlight w:val="none"/>
                <w:lang w:val="zh-CN"/>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1</w:t>
            </w:r>
          </w:p>
        </w:tc>
        <w:tc>
          <w:tcPr>
            <w:tcW w:w="1302" w:type="dxa"/>
            <w:vAlign w:val="center"/>
          </w:tcPr>
          <w:p w14:paraId="3A6AD059">
            <w:pPr>
              <w:pStyle w:val="52"/>
              <w:topLinePunct/>
              <w:bidi w:val="0"/>
              <w:textAlignment w:val="auto"/>
              <w:rPr>
                <w:rFonts w:hint="eastAsia" w:ascii="宋体" w:hAnsi="宋体" w:eastAsia="宋体" w:cs="宋体"/>
                <w:i w:val="0"/>
                <w:iCs w:val="0"/>
                <w:color w:val="000000" w:themeColor="text1"/>
                <w:sz w:val="21"/>
                <w:szCs w:val="21"/>
                <w:highlight w:val="none"/>
                <w:lang w:val="zh-CN"/>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t>响应文件</w:t>
            </w:r>
            <w:r>
              <w:rPr>
                <w:rFonts w:hint="eastAsia" w:ascii="宋体" w:hAnsi="宋体" w:eastAsia="宋体" w:cs="宋体"/>
                <w:i w:val="0"/>
                <w:iCs w:val="0"/>
                <w:color w:val="000000" w:themeColor="text1"/>
                <w:sz w:val="21"/>
                <w:szCs w:val="21"/>
                <w:highlight w:val="none"/>
                <w14:textFill>
                  <w14:solidFill>
                    <w14:schemeClr w14:val="tx1"/>
                  </w14:solidFill>
                </w14:textFill>
              </w:rPr>
              <w:t>签署</w:t>
            </w:r>
          </w:p>
        </w:tc>
        <w:tc>
          <w:tcPr>
            <w:tcW w:w="5487" w:type="dxa"/>
            <w:shd w:val="clear" w:color="auto" w:fill="auto"/>
            <w:vAlign w:val="center"/>
          </w:tcPr>
          <w:p w14:paraId="5D382515">
            <w:pPr>
              <w:pStyle w:val="52"/>
              <w:topLinePunct/>
              <w:bidi w:val="0"/>
              <w:textAlignment w:val="auto"/>
              <w:rPr>
                <w:rFonts w:hint="eastAsia" w:ascii="宋体" w:hAnsi="宋体" w:eastAsia="宋体" w:cs="宋体"/>
                <w:i w:val="0"/>
                <w:iCs w:val="0"/>
                <w:color w:val="000000" w:themeColor="text1"/>
                <w:sz w:val="21"/>
                <w:szCs w:val="21"/>
                <w:highlight w:val="none"/>
                <w:lang w:val="zh-CN"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t>响应文件</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按磋商文件要求签署、盖章的</w:t>
            </w:r>
          </w:p>
        </w:tc>
        <w:tc>
          <w:tcPr>
            <w:tcW w:w="866" w:type="dxa"/>
            <w:shd w:val="clear" w:color="auto" w:fill="auto"/>
            <w:vAlign w:val="center"/>
          </w:tcPr>
          <w:p w14:paraId="18FFCF0F">
            <w:pPr>
              <w:pStyle w:val="52"/>
              <w:topLinePunct/>
              <w:bidi w:val="0"/>
              <w:textAlignment w:val="auto"/>
              <w:rPr>
                <w:rFonts w:hint="eastAsia" w:ascii="宋体" w:hAnsi="宋体" w:eastAsia="宋体" w:cs="宋体"/>
                <w:i w:val="0"/>
                <w:iCs w:val="0"/>
                <w:color w:val="000000" w:themeColor="text1"/>
                <w:sz w:val="21"/>
                <w:szCs w:val="21"/>
                <w:highlight w:val="none"/>
                <w:lang w:val="zh-CN"/>
                <w14:textFill>
                  <w14:solidFill>
                    <w14:schemeClr w14:val="tx1"/>
                  </w14:solidFill>
                </w14:textFill>
              </w:rPr>
            </w:pPr>
          </w:p>
        </w:tc>
        <w:tc>
          <w:tcPr>
            <w:tcW w:w="1088" w:type="dxa"/>
            <w:shd w:val="clear" w:color="auto" w:fill="auto"/>
            <w:vAlign w:val="center"/>
          </w:tcPr>
          <w:p w14:paraId="4D3A2481">
            <w:pPr>
              <w:pStyle w:val="52"/>
              <w:topLinePunct/>
              <w:bidi w:val="0"/>
              <w:textAlignment w:val="auto"/>
              <w:rPr>
                <w:rFonts w:hint="eastAsia" w:ascii="宋体" w:hAnsi="宋体" w:eastAsia="宋体" w:cs="宋体"/>
                <w:i w:val="0"/>
                <w:iCs w:val="0"/>
                <w:color w:val="000000" w:themeColor="text1"/>
                <w:sz w:val="21"/>
                <w:szCs w:val="21"/>
                <w:highlight w:val="none"/>
                <w:lang w:val="zh-CN"/>
                <w14:textFill>
                  <w14:solidFill>
                    <w14:schemeClr w14:val="tx1"/>
                  </w14:solidFill>
                </w14:textFill>
              </w:rPr>
            </w:pPr>
          </w:p>
        </w:tc>
      </w:tr>
      <w:tr w14:paraId="129CB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502" w:type="dxa"/>
            <w:shd w:val="clear" w:color="auto" w:fill="auto"/>
            <w:vAlign w:val="center"/>
          </w:tcPr>
          <w:p w14:paraId="501540CA">
            <w:pPr>
              <w:pStyle w:val="52"/>
              <w:numPr>
                <w:ilvl w:val="0"/>
                <w:numId w:val="0"/>
              </w:numPr>
              <w:topLinePunct/>
              <w:bidi w:val="0"/>
              <w:ind w:left="420" w:leftChars="0" w:hanging="420" w:firstLineChars="0"/>
              <w:jc w:val="center"/>
              <w:textAlignment w:val="auto"/>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t>2</w:t>
            </w:r>
          </w:p>
        </w:tc>
        <w:tc>
          <w:tcPr>
            <w:tcW w:w="1302" w:type="dxa"/>
            <w:shd w:val="clear" w:color="auto" w:fill="auto"/>
            <w:vAlign w:val="center"/>
          </w:tcPr>
          <w:p w14:paraId="23D325D3">
            <w:pPr>
              <w:pStyle w:val="52"/>
              <w:topLinePunct/>
              <w:bidi w:val="0"/>
              <w:textAlignment w:val="auto"/>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t>实质性要求</w:t>
            </w:r>
          </w:p>
        </w:tc>
        <w:tc>
          <w:tcPr>
            <w:tcW w:w="5487" w:type="dxa"/>
            <w:shd w:val="clear" w:color="auto" w:fill="auto"/>
            <w:vAlign w:val="center"/>
          </w:tcPr>
          <w:p w14:paraId="23F14E78">
            <w:pPr>
              <w:pStyle w:val="52"/>
              <w:topLinePunct/>
              <w:bidi w:val="0"/>
              <w:textAlignment w:val="auto"/>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t>响应文件</w:t>
            </w:r>
            <w:r>
              <w:rPr>
                <w:rFonts w:hint="eastAsia" w:ascii="宋体" w:hAnsi="宋体" w:eastAsia="宋体" w:cs="宋体"/>
                <w:i w:val="0"/>
                <w:iCs w:val="0"/>
                <w:color w:val="000000" w:themeColor="text1"/>
                <w:sz w:val="21"/>
                <w:szCs w:val="21"/>
                <w:highlight w:val="none"/>
                <w:lang w:val="zh-CN" w:eastAsia="zh-CN"/>
                <w14:textFill>
                  <w14:solidFill>
                    <w14:schemeClr w14:val="tx1"/>
                  </w14:solidFill>
                </w14:textFill>
              </w:rPr>
              <w:t>满足</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磋商</w:t>
            </w:r>
            <w:r>
              <w:rPr>
                <w:rFonts w:hint="eastAsia" w:ascii="宋体" w:hAnsi="宋体" w:eastAsia="宋体" w:cs="宋体"/>
                <w:i w:val="0"/>
                <w:iCs w:val="0"/>
                <w:color w:val="000000" w:themeColor="text1"/>
                <w:sz w:val="21"/>
                <w:szCs w:val="21"/>
                <w:highlight w:val="none"/>
                <w:lang w:val="zh-CN" w:eastAsia="zh-CN"/>
                <w14:textFill>
                  <w14:solidFill>
                    <w14:schemeClr w14:val="tx1"/>
                  </w14:solidFill>
                </w14:textFill>
              </w:rPr>
              <w:t>文件的实质性条款（或指标）要求的</w:t>
            </w:r>
          </w:p>
        </w:tc>
        <w:tc>
          <w:tcPr>
            <w:tcW w:w="866" w:type="dxa"/>
            <w:shd w:val="clear" w:color="auto" w:fill="auto"/>
            <w:vAlign w:val="center"/>
          </w:tcPr>
          <w:p w14:paraId="15BAFA32">
            <w:pPr>
              <w:pStyle w:val="52"/>
              <w:topLinePunct/>
              <w:bidi w:val="0"/>
              <w:textAlignment w:val="auto"/>
              <w:rPr>
                <w:rFonts w:hint="eastAsia" w:ascii="宋体" w:hAnsi="宋体" w:eastAsia="宋体" w:cs="宋体"/>
                <w:i w:val="0"/>
                <w:iCs w:val="0"/>
                <w:color w:val="000000" w:themeColor="text1"/>
                <w:sz w:val="21"/>
                <w:szCs w:val="21"/>
                <w:highlight w:val="none"/>
                <w:lang w:val="zh-CN"/>
                <w14:textFill>
                  <w14:solidFill>
                    <w14:schemeClr w14:val="tx1"/>
                  </w14:solidFill>
                </w14:textFill>
              </w:rPr>
            </w:pPr>
          </w:p>
        </w:tc>
        <w:tc>
          <w:tcPr>
            <w:tcW w:w="1088" w:type="dxa"/>
            <w:shd w:val="clear" w:color="auto" w:fill="auto"/>
            <w:vAlign w:val="center"/>
          </w:tcPr>
          <w:p w14:paraId="68D64A53">
            <w:pPr>
              <w:pStyle w:val="52"/>
              <w:topLinePunct/>
              <w:bidi w:val="0"/>
              <w:textAlignment w:val="auto"/>
              <w:rPr>
                <w:rFonts w:hint="eastAsia" w:ascii="宋体" w:hAnsi="宋体" w:eastAsia="宋体" w:cs="宋体"/>
                <w:i w:val="0"/>
                <w:iCs w:val="0"/>
                <w:color w:val="000000" w:themeColor="text1"/>
                <w:sz w:val="21"/>
                <w:szCs w:val="21"/>
                <w:highlight w:val="none"/>
                <w:lang w:val="zh-CN"/>
                <w14:textFill>
                  <w14:solidFill>
                    <w14:schemeClr w14:val="tx1"/>
                  </w14:solidFill>
                </w14:textFill>
              </w:rPr>
            </w:pPr>
          </w:p>
        </w:tc>
      </w:tr>
      <w:tr w14:paraId="6084B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502" w:type="dxa"/>
            <w:shd w:val="clear" w:color="auto" w:fill="auto"/>
            <w:vAlign w:val="center"/>
          </w:tcPr>
          <w:p w14:paraId="0CCC88B9">
            <w:pPr>
              <w:pStyle w:val="52"/>
              <w:numPr>
                <w:ilvl w:val="0"/>
                <w:numId w:val="0"/>
              </w:numPr>
              <w:topLinePunct/>
              <w:bidi w:val="0"/>
              <w:ind w:left="420" w:leftChars="0" w:hanging="420" w:firstLineChars="0"/>
              <w:jc w:val="center"/>
              <w:textAlignment w:val="auto"/>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pPr>
            <w:r>
              <w:rPr>
                <w:rFonts w:hint="eastAsia" w:cs="宋体"/>
                <w:i w:val="0"/>
                <w:iCs w:val="0"/>
                <w:color w:val="000000" w:themeColor="text1"/>
                <w:kern w:val="2"/>
                <w:sz w:val="21"/>
                <w:szCs w:val="21"/>
                <w:highlight w:val="none"/>
                <w:lang w:val="en-US" w:eastAsia="zh-CN" w:bidi="ar-SA"/>
                <w14:textFill>
                  <w14:solidFill>
                    <w14:schemeClr w14:val="tx1"/>
                  </w14:solidFill>
                </w14:textFill>
              </w:rPr>
              <w:t>3</w:t>
            </w:r>
          </w:p>
        </w:tc>
        <w:tc>
          <w:tcPr>
            <w:tcW w:w="1302" w:type="dxa"/>
            <w:shd w:val="clear" w:color="auto" w:fill="auto"/>
            <w:vAlign w:val="center"/>
          </w:tcPr>
          <w:p w14:paraId="20BF0282">
            <w:pPr>
              <w:pStyle w:val="52"/>
              <w:topLinePunct/>
              <w:bidi w:val="0"/>
              <w:textAlignment w:val="auto"/>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t>磋商响应性报价</w:t>
            </w:r>
          </w:p>
        </w:tc>
        <w:tc>
          <w:tcPr>
            <w:tcW w:w="5487" w:type="dxa"/>
            <w:shd w:val="clear" w:color="auto" w:fill="auto"/>
            <w:vAlign w:val="center"/>
          </w:tcPr>
          <w:p w14:paraId="7E81BE50">
            <w:pPr>
              <w:pStyle w:val="52"/>
              <w:topLinePunct/>
              <w:bidi w:val="0"/>
              <w:textAlignment w:val="auto"/>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供应商报价未超过磋商文件中规定的最高限价的</w:t>
            </w:r>
          </w:p>
        </w:tc>
        <w:tc>
          <w:tcPr>
            <w:tcW w:w="866" w:type="dxa"/>
            <w:shd w:val="clear" w:color="auto" w:fill="auto"/>
            <w:vAlign w:val="center"/>
          </w:tcPr>
          <w:p w14:paraId="6EB91FD0">
            <w:pPr>
              <w:pStyle w:val="52"/>
              <w:topLinePunct/>
              <w:bidi w:val="0"/>
              <w:textAlignment w:val="auto"/>
              <w:rPr>
                <w:rFonts w:hint="eastAsia" w:ascii="宋体" w:hAnsi="宋体" w:eastAsia="宋体" w:cs="宋体"/>
                <w:i w:val="0"/>
                <w:iCs w:val="0"/>
                <w:color w:val="000000" w:themeColor="text1"/>
                <w:sz w:val="21"/>
                <w:szCs w:val="21"/>
                <w:highlight w:val="none"/>
                <w:lang w:val="zh-CN"/>
                <w14:textFill>
                  <w14:solidFill>
                    <w14:schemeClr w14:val="tx1"/>
                  </w14:solidFill>
                </w14:textFill>
              </w:rPr>
            </w:pPr>
          </w:p>
        </w:tc>
        <w:tc>
          <w:tcPr>
            <w:tcW w:w="1088" w:type="dxa"/>
            <w:shd w:val="clear" w:color="auto" w:fill="auto"/>
            <w:vAlign w:val="center"/>
          </w:tcPr>
          <w:p w14:paraId="77904F73">
            <w:pPr>
              <w:pStyle w:val="52"/>
              <w:topLinePunct/>
              <w:bidi w:val="0"/>
              <w:textAlignment w:val="auto"/>
              <w:rPr>
                <w:rFonts w:hint="eastAsia" w:ascii="宋体" w:hAnsi="宋体" w:eastAsia="宋体" w:cs="宋体"/>
                <w:i w:val="0"/>
                <w:iCs w:val="0"/>
                <w:color w:val="000000" w:themeColor="text1"/>
                <w:sz w:val="21"/>
                <w:szCs w:val="21"/>
                <w:highlight w:val="none"/>
                <w:lang w:val="zh-CN"/>
                <w14:textFill>
                  <w14:solidFill>
                    <w14:schemeClr w14:val="tx1"/>
                  </w14:solidFill>
                </w14:textFill>
              </w:rPr>
            </w:pPr>
          </w:p>
        </w:tc>
      </w:tr>
      <w:tr w14:paraId="18B3A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502" w:type="dxa"/>
            <w:shd w:val="clear" w:color="auto" w:fill="auto"/>
            <w:vAlign w:val="center"/>
          </w:tcPr>
          <w:p w14:paraId="559C3512">
            <w:pPr>
              <w:pStyle w:val="52"/>
              <w:numPr>
                <w:ilvl w:val="0"/>
                <w:numId w:val="0"/>
              </w:numPr>
              <w:topLinePunct/>
              <w:bidi w:val="0"/>
              <w:ind w:left="420" w:leftChars="0" w:hanging="420" w:firstLineChars="0"/>
              <w:jc w:val="center"/>
              <w:textAlignment w:val="auto"/>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pPr>
            <w:r>
              <w:rPr>
                <w:rFonts w:hint="eastAsia" w:cs="宋体"/>
                <w:i w:val="0"/>
                <w:iCs w:val="0"/>
                <w:color w:val="000000" w:themeColor="text1"/>
                <w:kern w:val="2"/>
                <w:sz w:val="21"/>
                <w:szCs w:val="21"/>
                <w:highlight w:val="none"/>
                <w:lang w:val="en-US" w:eastAsia="zh-CN" w:bidi="ar-SA"/>
                <w14:textFill>
                  <w14:solidFill>
                    <w14:schemeClr w14:val="tx1"/>
                  </w14:solidFill>
                </w14:textFill>
              </w:rPr>
              <w:t>4</w:t>
            </w:r>
          </w:p>
        </w:tc>
        <w:tc>
          <w:tcPr>
            <w:tcW w:w="1302" w:type="dxa"/>
            <w:shd w:val="clear" w:color="auto" w:fill="auto"/>
            <w:vAlign w:val="center"/>
          </w:tcPr>
          <w:p w14:paraId="4E8F0BC6">
            <w:pPr>
              <w:pStyle w:val="52"/>
              <w:topLinePunct/>
              <w:bidi w:val="0"/>
              <w:textAlignment w:val="auto"/>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虚假材料</w:t>
            </w:r>
          </w:p>
        </w:tc>
        <w:tc>
          <w:tcPr>
            <w:tcW w:w="5487" w:type="dxa"/>
            <w:shd w:val="clear" w:color="auto" w:fill="auto"/>
            <w:vAlign w:val="center"/>
          </w:tcPr>
          <w:p w14:paraId="104D7932">
            <w:pPr>
              <w:pStyle w:val="52"/>
              <w:topLinePunct/>
              <w:bidi w:val="0"/>
              <w:textAlignment w:val="auto"/>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i w:val="0"/>
                <w:iCs w:val="0"/>
                <w:color w:val="000000" w:themeColor="text1"/>
                <w:sz w:val="21"/>
                <w:szCs w:val="21"/>
                <w:highlight w:val="none"/>
                <w:lang w:val="zh-CN" w:eastAsia="zh-CN"/>
                <w14:textFill>
                  <w14:solidFill>
                    <w14:schemeClr w14:val="tx1"/>
                  </w14:solidFill>
                </w14:textFill>
              </w:rPr>
              <w:t>文件</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未</w:t>
            </w:r>
            <w:r>
              <w:rPr>
                <w:rFonts w:hint="eastAsia" w:ascii="宋体" w:hAnsi="宋体" w:eastAsia="宋体" w:cs="宋体"/>
                <w:i w:val="0"/>
                <w:iCs w:val="0"/>
                <w:color w:val="000000" w:themeColor="text1"/>
                <w:sz w:val="21"/>
                <w:szCs w:val="21"/>
                <w:highlight w:val="none"/>
                <w:lang w:val="zh-CN" w:eastAsia="zh-CN"/>
                <w14:textFill>
                  <w14:solidFill>
                    <w14:schemeClr w14:val="tx1"/>
                  </w14:solidFill>
                </w14:textFill>
              </w:rPr>
              <w:t>提供虚假材料的</w:t>
            </w:r>
          </w:p>
        </w:tc>
        <w:tc>
          <w:tcPr>
            <w:tcW w:w="866" w:type="dxa"/>
            <w:shd w:val="clear" w:color="auto" w:fill="auto"/>
            <w:vAlign w:val="center"/>
          </w:tcPr>
          <w:p w14:paraId="2F1D1635">
            <w:pPr>
              <w:pStyle w:val="52"/>
              <w:topLinePunct/>
              <w:bidi w:val="0"/>
              <w:textAlignment w:val="auto"/>
              <w:rPr>
                <w:rFonts w:hint="eastAsia" w:ascii="宋体" w:hAnsi="宋体" w:eastAsia="宋体" w:cs="宋体"/>
                <w:i w:val="0"/>
                <w:iCs w:val="0"/>
                <w:color w:val="000000" w:themeColor="text1"/>
                <w:sz w:val="21"/>
                <w:szCs w:val="21"/>
                <w:highlight w:val="none"/>
                <w:lang w:val="zh-CN"/>
                <w14:textFill>
                  <w14:solidFill>
                    <w14:schemeClr w14:val="tx1"/>
                  </w14:solidFill>
                </w14:textFill>
              </w:rPr>
            </w:pPr>
          </w:p>
        </w:tc>
        <w:tc>
          <w:tcPr>
            <w:tcW w:w="1088" w:type="dxa"/>
            <w:shd w:val="clear" w:color="auto" w:fill="auto"/>
            <w:vAlign w:val="center"/>
          </w:tcPr>
          <w:p w14:paraId="0E02DFF6">
            <w:pPr>
              <w:pStyle w:val="52"/>
              <w:topLinePunct/>
              <w:bidi w:val="0"/>
              <w:textAlignment w:val="auto"/>
              <w:rPr>
                <w:rFonts w:hint="eastAsia" w:ascii="宋体" w:hAnsi="宋体" w:eastAsia="宋体" w:cs="宋体"/>
                <w:i w:val="0"/>
                <w:iCs w:val="0"/>
                <w:color w:val="000000" w:themeColor="text1"/>
                <w:sz w:val="21"/>
                <w:szCs w:val="21"/>
                <w:highlight w:val="none"/>
                <w:lang w:val="zh-CN"/>
                <w14:textFill>
                  <w14:solidFill>
                    <w14:schemeClr w14:val="tx1"/>
                  </w14:solidFill>
                </w14:textFill>
              </w:rPr>
            </w:pPr>
          </w:p>
        </w:tc>
      </w:tr>
      <w:tr w14:paraId="44E90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502" w:type="dxa"/>
            <w:shd w:val="clear" w:color="auto" w:fill="auto"/>
            <w:vAlign w:val="center"/>
          </w:tcPr>
          <w:p w14:paraId="01051239">
            <w:pPr>
              <w:pStyle w:val="52"/>
              <w:numPr>
                <w:ilvl w:val="0"/>
                <w:numId w:val="0"/>
              </w:numPr>
              <w:topLinePunct/>
              <w:bidi w:val="0"/>
              <w:ind w:left="0" w:leftChars="0" w:firstLine="0" w:firstLineChars="0"/>
              <w:jc w:val="center"/>
              <w:textAlignment w:val="auto"/>
              <w:rPr>
                <w:rFonts w:hint="default"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pPr>
            <w:r>
              <w:rPr>
                <w:rFonts w:hint="eastAsia" w:cs="宋体"/>
                <w:i w:val="0"/>
                <w:iCs w:val="0"/>
                <w:color w:val="000000" w:themeColor="text1"/>
                <w:kern w:val="2"/>
                <w:sz w:val="21"/>
                <w:szCs w:val="21"/>
                <w:highlight w:val="none"/>
                <w:lang w:val="en-US" w:eastAsia="zh-CN" w:bidi="ar-SA"/>
                <w14:textFill>
                  <w14:solidFill>
                    <w14:schemeClr w14:val="tx1"/>
                  </w14:solidFill>
                </w14:textFill>
              </w:rPr>
              <w:t>5</w:t>
            </w:r>
          </w:p>
        </w:tc>
        <w:tc>
          <w:tcPr>
            <w:tcW w:w="1302" w:type="dxa"/>
            <w:shd w:val="clear" w:color="auto" w:fill="auto"/>
            <w:vAlign w:val="center"/>
          </w:tcPr>
          <w:p w14:paraId="4D0B1B82">
            <w:pPr>
              <w:pStyle w:val="52"/>
              <w:topLinePunct/>
              <w:bidi w:val="0"/>
              <w:textAlignment w:val="auto"/>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磋商保证金</w:t>
            </w:r>
          </w:p>
        </w:tc>
        <w:tc>
          <w:tcPr>
            <w:tcW w:w="5487" w:type="dxa"/>
            <w:shd w:val="clear" w:color="auto" w:fill="auto"/>
            <w:vAlign w:val="center"/>
          </w:tcPr>
          <w:p w14:paraId="0E477E00">
            <w:pPr>
              <w:pStyle w:val="52"/>
              <w:topLinePunct/>
              <w:bidi w:val="0"/>
              <w:textAlignment w:val="auto"/>
              <w:rPr>
                <w:rFonts w:hint="eastAsia" w:ascii="宋体" w:hAnsi="宋体" w:eastAsia="宋体" w:cs="宋体"/>
                <w:i w:val="0"/>
                <w:iCs w:val="0"/>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磋商文件规定应当缴纳的，供应商按磋商文件的规定缴纳磋商保证金的</w:t>
            </w:r>
          </w:p>
        </w:tc>
        <w:tc>
          <w:tcPr>
            <w:tcW w:w="866" w:type="dxa"/>
            <w:shd w:val="clear" w:color="auto" w:fill="auto"/>
            <w:vAlign w:val="center"/>
          </w:tcPr>
          <w:p w14:paraId="660F46D2">
            <w:pPr>
              <w:pStyle w:val="52"/>
              <w:topLinePunct/>
              <w:bidi w:val="0"/>
              <w:textAlignment w:val="auto"/>
              <w:rPr>
                <w:rFonts w:hint="eastAsia" w:ascii="宋体" w:hAnsi="宋体" w:eastAsia="宋体" w:cs="宋体"/>
                <w:i w:val="0"/>
                <w:iCs w:val="0"/>
                <w:color w:val="000000" w:themeColor="text1"/>
                <w:sz w:val="21"/>
                <w:szCs w:val="21"/>
                <w:highlight w:val="none"/>
                <w:lang w:val="zh-CN"/>
                <w14:textFill>
                  <w14:solidFill>
                    <w14:schemeClr w14:val="tx1"/>
                  </w14:solidFill>
                </w14:textFill>
              </w:rPr>
            </w:pPr>
          </w:p>
        </w:tc>
        <w:tc>
          <w:tcPr>
            <w:tcW w:w="1088" w:type="dxa"/>
            <w:shd w:val="clear" w:color="auto" w:fill="auto"/>
            <w:vAlign w:val="center"/>
          </w:tcPr>
          <w:p w14:paraId="53F133E4">
            <w:pPr>
              <w:pStyle w:val="52"/>
              <w:topLinePunct/>
              <w:bidi w:val="0"/>
              <w:textAlignment w:val="auto"/>
              <w:rPr>
                <w:rFonts w:hint="eastAsia" w:ascii="宋体" w:hAnsi="宋体" w:eastAsia="宋体" w:cs="宋体"/>
                <w:i w:val="0"/>
                <w:iCs w:val="0"/>
                <w:color w:val="000000" w:themeColor="text1"/>
                <w:sz w:val="21"/>
                <w:szCs w:val="21"/>
                <w:highlight w:val="none"/>
                <w:lang w:val="zh-CN"/>
                <w14:textFill>
                  <w14:solidFill>
                    <w14:schemeClr w14:val="tx1"/>
                  </w14:solidFill>
                </w14:textFill>
              </w:rPr>
            </w:pPr>
          </w:p>
        </w:tc>
      </w:tr>
      <w:tr w14:paraId="25614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502" w:type="dxa"/>
            <w:shd w:val="clear" w:color="auto" w:fill="auto"/>
            <w:vAlign w:val="center"/>
          </w:tcPr>
          <w:p w14:paraId="3DE633C8">
            <w:pPr>
              <w:pStyle w:val="52"/>
              <w:numPr>
                <w:ilvl w:val="0"/>
                <w:numId w:val="0"/>
              </w:numPr>
              <w:topLinePunct/>
              <w:bidi w:val="0"/>
              <w:ind w:left="420" w:leftChars="0" w:hanging="420" w:firstLineChars="0"/>
              <w:jc w:val="center"/>
              <w:textAlignment w:val="auto"/>
              <w:rPr>
                <w:rFonts w:hint="default"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pPr>
            <w:r>
              <w:rPr>
                <w:rFonts w:hint="eastAsia" w:cs="宋体"/>
                <w:i w:val="0"/>
                <w:iCs w:val="0"/>
                <w:color w:val="000000" w:themeColor="text1"/>
                <w:kern w:val="2"/>
                <w:sz w:val="21"/>
                <w:szCs w:val="21"/>
                <w:highlight w:val="none"/>
                <w:lang w:val="en-US" w:eastAsia="zh-CN" w:bidi="ar-SA"/>
                <w14:textFill>
                  <w14:solidFill>
                    <w14:schemeClr w14:val="tx1"/>
                  </w14:solidFill>
                </w14:textFill>
              </w:rPr>
              <w:t>6</w:t>
            </w:r>
          </w:p>
        </w:tc>
        <w:tc>
          <w:tcPr>
            <w:tcW w:w="1302" w:type="dxa"/>
            <w:shd w:val="clear" w:color="auto" w:fill="auto"/>
            <w:vAlign w:val="center"/>
          </w:tcPr>
          <w:p w14:paraId="0F95D909">
            <w:pPr>
              <w:pStyle w:val="52"/>
              <w:topLinePunct/>
              <w:bidi w:val="0"/>
              <w:textAlignment w:val="auto"/>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响应文件的澄清、说明、补正</w:t>
            </w:r>
          </w:p>
        </w:tc>
        <w:tc>
          <w:tcPr>
            <w:tcW w:w="5487" w:type="dxa"/>
            <w:shd w:val="clear" w:color="auto" w:fill="auto"/>
            <w:vAlign w:val="center"/>
          </w:tcPr>
          <w:p w14:paraId="26904A90">
            <w:pPr>
              <w:pStyle w:val="52"/>
              <w:topLinePunct/>
              <w:bidi w:val="0"/>
              <w:textAlignment w:val="auto"/>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eastAsia="zh-CN"/>
                <w14:textFill>
                  <w14:solidFill>
                    <w14:schemeClr w14:val="tx1"/>
                  </w14:solidFill>
                </w14:textFill>
              </w:rPr>
              <w:t>评审期间,</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i w:val="0"/>
                <w:iCs w:val="0"/>
                <w:color w:val="000000" w:themeColor="text1"/>
                <w:sz w:val="21"/>
                <w:szCs w:val="21"/>
                <w:highlight w:val="none"/>
                <w:lang w:val="zh-CN" w:eastAsia="zh-CN"/>
                <w14:textFill>
                  <w14:solidFill>
                    <w14:schemeClr w14:val="tx1"/>
                  </w14:solidFill>
                </w14:textFill>
              </w:rPr>
              <w:t>按磋商小组的要求提交经授权代表签字的澄清、说明、更正且澄清、说明、更正未超出响应文件范围或</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未</w:t>
            </w:r>
            <w:r>
              <w:rPr>
                <w:rFonts w:hint="eastAsia" w:ascii="宋体" w:hAnsi="宋体" w:eastAsia="宋体" w:cs="宋体"/>
                <w:i w:val="0"/>
                <w:iCs w:val="0"/>
                <w:color w:val="000000" w:themeColor="text1"/>
                <w:sz w:val="21"/>
                <w:szCs w:val="21"/>
                <w:highlight w:val="none"/>
                <w:lang w:val="zh-CN" w:eastAsia="zh-CN"/>
                <w14:textFill>
                  <w14:solidFill>
                    <w14:schemeClr w14:val="tx1"/>
                  </w14:solidFill>
                </w14:textFill>
              </w:rPr>
              <w:t>改变</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i w:val="0"/>
                <w:iCs w:val="0"/>
                <w:color w:val="000000" w:themeColor="text1"/>
                <w:sz w:val="21"/>
                <w:szCs w:val="21"/>
                <w:highlight w:val="none"/>
                <w:lang w:val="zh-CN" w:eastAsia="zh-CN"/>
                <w14:textFill>
                  <w14:solidFill>
                    <w14:schemeClr w14:val="tx1"/>
                  </w14:solidFill>
                </w14:textFill>
              </w:rPr>
              <w:t>文件的实质性内容</w:t>
            </w:r>
          </w:p>
        </w:tc>
        <w:tc>
          <w:tcPr>
            <w:tcW w:w="866" w:type="dxa"/>
            <w:shd w:val="clear" w:color="auto" w:fill="auto"/>
            <w:vAlign w:val="center"/>
          </w:tcPr>
          <w:p w14:paraId="5E4DE5DB">
            <w:pPr>
              <w:pStyle w:val="52"/>
              <w:topLinePunct/>
              <w:bidi w:val="0"/>
              <w:textAlignment w:val="auto"/>
              <w:rPr>
                <w:rFonts w:hint="eastAsia" w:ascii="宋体" w:hAnsi="宋体" w:eastAsia="宋体" w:cs="宋体"/>
                <w:i w:val="0"/>
                <w:iCs w:val="0"/>
                <w:color w:val="000000" w:themeColor="text1"/>
                <w:sz w:val="21"/>
                <w:szCs w:val="21"/>
                <w:highlight w:val="none"/>
                <w:lang w:val="zh-CN"/>
                <w14:textFill>
                  <w14:solidFill>
                    <w14:schemeClr w14:val="tx1"/>
                  </w14:solidFill>
                </w14:textFill>
              </w:rPr>
            </w:pPr>
          </w:p>
        </w:tc>
        <w:tc>
          <w:tcPr>
            <w:tcW w:w="1088" w:type="dxa"/>
            <w:shd w:val="clear" w:color="auto" w:fill="auto"/>
            <w:vAlign w:val="center"/>
          </w:tcPr>
          <w:p w14:paraId="54255ED6">
            <w:pPr>
              <w:pStyle w:val="52"/>
              <w:topLinePunct/>
              <w:bidi w:val="0"/>
              <w:textAlignment w:val="auto"/>
              <w:rPr>
                <w:rFonts w:hint="eastAsia" w:ascii="宋体" w:hAnsi="宋体" w:eastAsia="宋体" w:cs="宋体"/>
                <w:i w:val="0"/>
                <w:iCs w:val="0"/>
                <w:color w:val="000000" w:themeColor="text1"/>
                <w:sz w:val="21"/>
                <w:szCs w:val="21"/>
                <w:highlight w:val="none"/>
                <w:lang w:val="zh-CN"/>
                <w14:textFill>
                  <w14:solidFill>
                    <w14:schemeClr w14:val="tx1"/>
                  </w14:solidFill>
                </w14:textFill>
              </w:rPr>
            </w:pPr>
          </w:p>
        </w:tc>
      </w:tr>
      <w:tr w14:paraId="4A136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502" w:type="dxa"/>
            <w:shd w:val="clear" w:color="auto" w:fill="auto"/>
            <w:vAlign w:val="center"/>
          </w:tcPr>
          <w:p w14:paraId="3E177ED3">
            <w:pPr>
              <w:pStyle w:val="52"/>
              <w:numPr>
                <w:ilvl w:val="0"/>
                <w:numId w:val="0"/>
              </w:numPr>
              <w:topLinePunct/>
              <w:bidi w:val="0"/>
              <w:ind w:left="420" w:leftChars="0" w:hanging="420" w:firstLineChars="0"/>
              <w:jc w:val="center"/>
              <w:textAlignment w:val="auto"/>
              <w:rPr>
                <w:rFonts w:hint="default"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pPr>
            <w:r>
              <w:rPr>
                <w:rFonts w:hint="eastAsia" w:cs="宋体"/>
                <w:i w:val="0"/>
                <w:iCs w:val="0"/>
                <w:color w:val="000000" w:themeColor="text1"/>
                <w:kern w:val="2"/>
                <w:sz w:val="21"/>
                <w:szCs w:val="21"/>
                <w:highlight w:val="none"/>
                <w:lang w:val="en-US" w:eastAsia="zh-CN" w:bidi="ar-SA"/>
                <w14:textFill>
                  <w14:solidFill>
                    <w14:schemeClr w14:val="tx1"/>
                  </w14:solidFill>
                </w14:textFill>
              </w:rPr>
              <w:t>7</w:t>
            </w:r>
          </w:p>
        </w:tc>
        <w:tc>
          <w:tcPr>
            <w:tcW w:w="1302" w:type="dxa"/>
            <w:shd w:val="clear" w:color="auto" w:fill="auto"/>
            <w:vAlign w:val="center"/>
          </w:tcPr>
          <w:p w14:paraId="1A2D35D3">
            <w:pPr>
              <w:pStyle w:val="52"/>
              <w:topLinePunct/>
              <w:bidi w:val="0"/>
              <w:textAlignment w:val="auto"/>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供应商影响评审</w:t>
            </w:r>
          </w:p>
        </w:tc>
        <w:tc>
          <w:tcPr>
            <w:tcW w:w="5487" w:type="dxa"/>
            <w:shd w:val="clear" w:color="auto" w:fill="auto"/>
            <w:vAlign w:val="center"/>
          </w:tcPr>
          <w:p w14:paraId="09EB01D6">
            <w:pPr>
              <w:pStyle w:val="52"/>
              <w:topLinePunct/>
              <w:bidi w:val="0"/>
              <w:textAlignment w:val="auto"/>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i w:val="0"/>
                <w:iCs w:val="0"/>
                <w:color w:val="000000" w:themeColor="text1"/>
                <w:sz w:val="21"/>
                <w:szCs w:val="21"/>
                <w:highlight w:val="none"/>
                <w:lang w:val="zh-CN" w:eastAsia="zh-CN"/>
                <w14:textFill>
                  <w14:solidFill>
                    <w14:schemeClr w14:val="tx1"/>
                  </w14:solidFill>
                </w14:textFill>
              </w:rPr>
              <w:t>对采购人、采购代理机构、磋商小组及其工作人员</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未</w:t>
            </w:r>
            <w:r>
              <w:rPr>
                <w:rFonts w:hint="eastAsia" w:ascii="宋体" w:hAnsi="宋体" w:eastAsia="宋体" w:cs="宋体"/>
                <w:i w:val="0"/>
                <w:iCs w:val="0"/>
                <w:color w:val="000000" w:themeColor="text1"/>
                <w:sz w:val="21"/>
                <w:szCs w:val="21"/>
                <w:highlight w:val="none"/>
                <w:lang w:val="zh-CN" w:eastAsia="zh-CN"/>
                <w14:textFill>
                  <w14:solidFill>
                    <w14:schemeClr w14:val="tx1"/>
                  </w14:solidFill>
                </w14:textFill>
              </w:rPr>
              <w:t>施加影响,</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无</w:t>
            </w:r>
            <w:r>
              <w:rPr>
                <w:rFonts w:hint="eastAsia" w:ascii="宋体" w:hAnsi="宋体" w:eastAsia="宋体" w:cs="宋体"/>
                <w:i w:val="0"/>
                <w:iCs w:val="0"/>
                <w:color w:val="000000" w:themeColor="text1"/>
                <w:sz w:val="21"/>
                <w:szCs w:val="21"/>
                <w:highlight w:val="none"/>
                <w:lang w:val="zh-CN" w:eastAsia="zh-CN"/>
                <w14:textFill>
                  <w14:solidFill>
                    <w14:schemeClr w14:val="tx1"/>
                  </w14:solidFill>
                </w14:textFill>
              </w:rPr>
              <w:t>有碍公平、公正</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行为的</w:t>
            </w:r>
          </w:p>
        </w:tc>
        <w:tc>
          <w:tcPr>
            <w:tcW w:w="866" w:type="dxa"/>
            <w:shd w:val="clear" w:color="auto" w:fill="auto"/>
            <w:vAlign w:val="center"/>
          </w:tcPr>
          <w:p w14:paraId="4425B703">
            <w:pPr>
              <w:pStyle w:val="52"/>
              <w:topLinePunct/>
              <w:bidi w:val="0"/>
              <w:textAlignment w:val="auto"/>
              <w:rPr>
                <w:rFonts w:hint="eastAsia" w:ascii="宋体" w:hAnsi="宋体" w:eastAsia="宋体" w:cs="宋体"/>
                <w:i w:val="0"/>
                <w:iCs w:val="0"/>
                <w:color w:val="000000" w:themeColor="text1"/>
                <w:sz w:val="21"/>
                <w:szCs w:val="21"/>
                <w:highlight w:val="none"/>
                <w:lang w:val="zh-CN"/>
                <w14:textFill>
                  <w14:solidFill>
                    <w14:schemeClr w14:val="tx1"/>
                  </w14:solidFill>
                </w14:textFill>
              </w:rPr>
            </w:pPr>
          </w:p>
        </w:tc>
        <w:tc>
          <w:tcPr>
            <w:tcW w:w="1088" w:type="dxa"/>
            <w:shd w:val="clear" w:color="auto" w:fill="auto"/>
            <w:vAlign w:val="center"/>
          </w:tcPr>
          <w:p w14:paraId="2F64F287">
            <w:pPr>
              <w:pStyle w:val="52"/>
              <w:topLinePunct/>
              <w:bidi w:val="0"/>
              <w:textAlignment w:val="auto"/>
              <w:rPr>
                <w:rFonts w:hint="eastAsia" w:ascii="宋体" w:hAnsi="宋体" w:eastAsia="宋体" w:cs="宋体"/>
                <w:i w:val="0"/>
                <w:iCs w:val="0"/>
                <w:color w:val="000000" w:themeColor="text1"/>
                <w:sz w:val="21"/>
                <w:szCs w:val="21"/>
                <w:highlight w:val="none"/>
                <w:lang w:val="zh-CN"/>
                <w14:textFill>
                  <w14:solidFill>
                    <w14:schemeClr w14:val="tx1"/>
                  </w14:solidFill>
                </w14:textFill>
              </w:rPr>
            </w:pPr>
          </w:p>
        </w:tc>
      </w:tr>
      <w:tr w14:paraId="19021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502" w:type="dxa"/>
            <w:shd w:val="clear" w:color="auto" w:fill="auto"/>
            <w:vAlign w:val="center"/>
          </w:tcPr>
          <w:p w14:paraId="2FAC0070">
            <w:pPr>
              <w:pStyle w:val="52"/>
              <w:numPr>
                <w:ilvl w:val="0"/>
                <w:numId w:val="0"/>
              </w:numPr>
              <w:topLinePunct/>
              <w:bidi w:val="0"/>
              <w:ind w:left="420" w:leftChars="0" w:hanging="420" w:firstLineChars="0"/>
              <w:jc w:val="center"/>
              <w:textAlignment w:val="auto"/>
              <w:rPr>
                <w:rFonts w:hint="default"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pPr>
            <w:r>
              <w:rPr>
                <w:rFonts w:hint="eastAsia" w:cs="宋体"/>
                <w:i w:val="0"/>
                <w:iCs w:val="0"/>
                <w:color w:val="000000" w:themeColor="text1"/>
                <w:kern w:val="2"/>
                <w:sz w:val="21"/>
                <w:szCs w:val="21"/>
                <w:highlight w:val="none"/>
                <w:lang w:val="en-US" w:eastAsia="zh-CN" w:bidi="ar-SA"/>
                <w14:textFill>
                  <w14:solidFill>
                    <w14:schemeClr w14:val="tx1"/>
                  </w14:solidFill>
                </w14:textFill>
              </w:rPr>
              <w:t>8</w:t>
            </w:r>
          </w:p>
        </w:tc>
        <w:tc>
          <w:tcPr>
            <w:tcW w:w="1302" w:type="dxa"/>
            <w:shd w:val="clear" w:color="auto" w:fill="auto"/>
            <w:vAlign w:val="center"/>
          </w:tcPr>
          <w:p w14:paraId="0E7DD30D">
            <w:pPr>
              <w:pStyle w:val="52"/>
              <w:topLinePunct/>
              <w:bidi w:val="0"/>
              <w:textAlignment w:val="auto"/>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附加条件</w:t>
            </w:r>
          </w:p>
        </w:tc>
        <w:tc>
          <w:tcPr>
            <w:tcW w:w="5487" w:type="dxa"/>
            <w:shd w:val="clear" w:color="auto" w:fill="auto"/>
            <w:vAlign w:val="center"/>
          </w:tcPr>
          <w:p w14:paraId="7F7FB167">
            <w:pPr>
              <w:pStyle w:val="52"/>
              <w:topLinePunct/>
              <w:bidi w:val="0"/>
              <w:textAlignment w:val="auto"/>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响应文件没有采购人不能接受的附加条件的</w:t>
            </w:r>
          </w:p>
        </w:tc>
        <w:tc>
          <w:tcPr>
            <w:tcW w:w="866" w:type="dxa"/>
            <w:shd w:val="clear" w:color="auto" w:fill="auto"/>
            <w:vAlign w:val="center"/>
          </w:tcPr>
          <w:p w14:paraId="6BF8F8A4">
            <w:pPr>
              <w:pStyle w:val="52"/>
              <w:topLinePunct/>
              <w:bidi w:val="0"/>
              <w:textAlignment w:val="auto"/>
              <w:rPr>
                <w:rFonts w:hint="eastAsia" w:ascii="宋体" w:hAnsi="宋体" w:eastAsia="宋体" w:cs="宋体"/>
                <w:i w:val="0"/>
                <w:iCs w:val="0"/>
                <w:color w:val="000000" w:themeColor="text1"/>
                <w:sz w:val="21"/>
                <w:szCs w:val="21"/>
                <w:highlight w:val="none"/>
                <w:lang w:val="zh-CN"/>
                <w14:textFill>
                  <w14:solidFill>
                    <w14:schemeClr w14:val="tx1"/>
                  </w14:solidFill>
                </w14:textFill>
              </w:rPr>
            </w:pPr>
          </w:p>
        </w:tc>
        <w:tc>
          <w:tcPr>
            <w:tcW w:w="1088" w:type="dxa"/>
            <w:shd w:val="clear" w:color="auto" w:fill="auto"/>
            <w:vAlign w:val="center"/>
          </w:tcPr>
          <w:p w14:paraId="27B4F420">
            <w:pPr>
              <w:pStyle w:val="52"/>
              <w:topLinePunct/>
              <w:bidi w:val="0"/>
              <w:textAlignment w:val="auto"/>
              <w:rPr>
                <w:rFonts w:hint="eastAsia" w:ascii="宋体" w:hAnsi="宋体" w:eastAsia="宋体" w:cs="宋体"/>
                <w:i w:val="0"/>
                <w:iCs w:val="0"/>
                <w:color w:val="000000" w:themeColor="text1"/>
                <w:sz w:val="21"/>
                <w:szCs w:val="21"/>
                <w:highlight w:val="none"/>
                <w:lang w:val="zh-CN"/>
                <w14:textFill>
                  <w14:solidFill>
                    <w14:schemeClr w14:val="tx1"/>
                  </w14:solidFill>
                </w14:textFill>
              </w:rPr>
            </w:pPr>
          </w:p>
        </w:tc>
      </w:tr>
      <w:tr w14:paraId="48B54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502" w:type="dxa"/>
            <w:shd w:val="clear" w:color="auto" w:fill="auto"/>
            <w:vAlign w:val="center"/>
          </w:tcPr>
          <w:p w14:paraId="5EED5EF7">
            <w:pPr>
              <w:pStyle w:val="52"/>
              <w:numPr>
                <w:ilvl w:val="0"/>
                <w:numId w:val="0"/>
              </w:numPr>
              <w:topLinePunct/>
              <w:bidi w:val="0"/>
              <w:ind w:left="420" w:leftChars="0" w:hanging="420" w:firstLineChars="0"/>
              <w:jc w:val="center"/>
              <w:textAlignment w:val="auto"/>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pPr>
            <w:r>
              <w:rPr>
                <w:rFonts w:hint="eastAsia" w:cs="宋体"/>
                <w:i w:val="0"/>
                <w:iCs w:val="0"/>
                <w:color w:val="000000" w:themeColor="text1"/>
                <w:kern w:val="2"/>
                <w:sz w:val="21"/>
                <w:szCs w:val="21"/>
                <w:highlight w:val="none"/>
                <w:lang w:val="en-US" w:eastAsia="zh-CN" w:bidi="ar-SA"/>
                <w14:textFill>
                  <w14:solidFill>
                    <w14:schemeClr w14:val="tx1"/>
                  </w14:solidFill>
                </w14:textFill>
              </w:rPr>
              <w:t>9</w:t>
            </w:r>
          </w:p>
        </w:tc>
        <w:tc>
          <w:tcPr>
            <w:tcW w:w="1302" w:type="dxa"/>
            <w:vAlign w:val="center"/>
          </w:tcPr>
          <w:p w14:paraId="1B2349C5">
            <w:pPr>
              <w:pStyle w:val="52"/>
              <w:topLinePunct/>
              <w:bidi w:val="0"/>
              <w:textAlignment w:val="auto"/>
              <w:rPr>
                <w:rFonts w:hint="eastAsia" w:ascii="宋体" w:hAnsi="宋体" w:eastAsia="宋体" w:cs="宋体"/>
                <w:i w:val="0"/>
                <w:iCs w:val="0"/>
                <w:color w:val="000000" w:themeColor="text1"/>
                <w:sz w:val="21"/>
                <w:szCs w:val="21"/>
                <w:highlight w:val="none"/>
                <w:lang w:val="zh-CN"/>
                <w14:textFill>
                  <w14:solidFill>
                    <w14:schemeClr w14:val="tx1"/>
                  </w14:solidFill>
                </w14:textFill>
              </w:rPr>
            </w:pPr>
            <w:r>
              <w:rPr>
                <w:rFonts w:hint="eastAsia" w:ascii="宋体" w:hAnsi="宋体" w:eastAsia="宋体" w:cs="宋体"/>
                <w:i w:val="0"/>
                <w:iCs w:val="0"/>
                <w:color w:val="000000" w:themeColor="text1"/>
                <w:sz w:val="21"/>
                <w:szCs w:val="21"/>
                <w:highlight w:val="none"/>
                <w:lang w:val="zh-CN"/>
                <w14:textFill>
                  <w14:solidFill>
                    <w14:schemeClr w14:val="tx1"/>
                  </w14:solidFill>
                </w14:textFill>
              </w:rPr>
              <w:t>其他无效情形</w:t>
            </w:r>
          </w:p>
        </w:tc>
        <w:tc>
          <w:tcPr>
            <w:tcW w:w="5487" w:type="dxa"/>
            <w:shd w:val="clear" w:color="auto" w:fill="auto"/>
            <w:vAlign w:val="center"/>
          </w:tcPr>
          <w:p w14:paraId="7FBFB423">
            <w:pPr>
              <w:pStyle w:val="52"/>
              <w:topLinePunct/>
              <w:bidi w:val="0"/>
              <w:textAlignment w:val="auto"/>
              <w:rPr>
                <w:rFonts w:hint="eastAsia" w:ascii="宋体" w:hAnsi="宋体" w:eastAsia="宋体" w:cs="宋体"/>
                <w:i w:val="0"/>
                <w:iCs w:val="0"/>
                <w:color w:val="000000" w:themeColor="text1"/>
                <w:sz w:val="21"/>
                <w:szCs w:val="21"/>
                <w:highlight w:val="none"/>
                <w:lang w:val="zh-CN"/>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未出现</w:t>
            </w:r>
            <w:r>
              <w:rPr>
                <w:rFonts w:hint="eastAsia" w:ascii="宋体" w:hAnsi="宋体" w:eastAsia="宋体" w:cs="宋体"/>
                <w:i w:val="0"/>
                <w:iCs w:val="0"/>
                <w:color w:val="000000" w:themeColor="text1"/>
                <w:sz w:val="21"/>
                <w:szCs w:val="21"/>
                <w:highlight w:val="none"/>
                <w:lang w:val="zh-CN" w:eastAsia="zh-CN"/>
                <w14:textFill>
                  <w14:solidFill>
                    <w14:schemeClr w14:val="tx1"/>
                  </w14:solidFill>
                </w14:textFill>
              </w:rPr>
              <w:t>法律、法规、规章以及本磋商文件规定属于</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i w:val="0"/>
                <w:iCs w:val="0"/>
                <w:color w:val="000000" w:themeColor="text1"/>
                <w:sz w:val="21"/>
                <w:szCs w:val="21"/>
                <w:highlight w:val="none"/>
                <w:lang w:val="zh-CN" w:eastAsia="zh-CN"/>
                <w14:textFill>
                  <w14:solidFill>
                    <w14:schemeClr w14:val="tx1"/>
                  </w14:solidFill>
                </w14:textFill>
              </w:rPr>
              <w:t>无效的其他情形。</w:t>
            </w:r>
          </w:p>
        </w:tc>
        <w:tc>
          <w:tcPr>
            <w:tcW w:w="866" w:type="dxa"/>
            <w:shd w:val="clear" w:color="auto" w:fill="auto"/>
            <w:vAlign w:val="center"/>
          </w:tcPr>
          <w:p w14:paraId="2CBA7BA4">
            <w:pPr>
              <w:pStyle w:val="52"/>
              <w:topLinePunct/>
              <w:bidi w:val="0"/>
              <w:textAlignment w:val="auto"/>
              <w:rPr>
                <w:rFonts w:hint="eastAsia" w:ascii="宋体" w:hAnsi="宋体" w:eastAsia="宋体" w:cs="宋体"/>
                <w:i w:val="0"/>
                <w:iCs w:val="0"/>
                <w:color w:val="000000" w:themeColor="text1"/>
                <w:sz w:val="21"/>
                <w:szCs w:val="21"/>
                <w:highlight w:val="none"/>
                <w:lang w:val="zh-CN"/>
                <w14:textFill>
                  <w14:solidFill>
                    <w14:schemeClr w14:val="tx1"/>
                  </w14:solidFill>
                </w14:textFill>
              </w:rPr>
            </w:pPr>
          </w:p>
        </w:tc>
        <w:tc>
          <w:tcPr>
            <w:tcW w:w="1088" w:type="dxa"/>
            <w:shd w:val="clear" w:color="auto" w:fill="auto"/>
            <w:vAlign w:val="center"/>
          </w:tcPr>
          <w:p w14:paraId="4A18D0E4">
            <w:pPr>
              <w:pStyle w:val="52"/>
              <w:topLinePunct/>
              <w:bidi w:val="0"/>
              <w:textAlignment w:val="auto"/>
              <w:rPr>
                <w:rFonts w:hint="eastAsia" w:ascii="宋体" w:hAnsi="宋体" w:eastAsia="宋体" w:cs="宋体"/>
                <w:i w:val="0"/>
                <w:iCs w:val="0"/>
                <w:color w:val="000000" w:themeColor="text1"/>
                <w:sz w:val="21"/>
                <w:szCs w:val="21"/>
                <w:highlight w:val="none"/>
                <w:lang w:val="zh-CN"/>
                <w14:textFill>
                  <w14:solidFill>
                    <w14:schemeClr w14:val="tx1"/>
                  </w14:solidFill>
                </w14:textFill>
              </w:rPr>
            </w:pPr>
          </w:p>
        </w:tc>
      </w:tr>
    </w:tbl>
    <w:p w14:paraId="4857D847">
      <w:pPr>
        <w:topLinePunct/>
        <w:bidi w:val="0"/>
        <w:spacing w:line="360" w:lineRule="auto"/>
        <w:textAlignment w:val="auto"/>
        <w:rPr>
          <w:b/>
          <w:bCs/>
          <w:i w:val="0"/>
          <w:iCs w:val="0"/>
          <w:color w:val="000000" w:themeColor="text1"/>
          <w:sz w:val="21"/>
          <w:szCs w:val="21"/>
          <w:highlight w:val="none"/>
          <w14:textFill>
            <w14:solidFill>
              <w14:schemeClr w14:val="tx1"/>
            </w14:solidFill>
          </w14:textFill>
        </w:rPr>
      </w:pPr>
      <w:r>
        <w:rPr>
          <w:rFonts w:hint="eastAsia"/>
          <w:b/>
          <w:bCs/>
          <w:i w:val="0"/>
          <w:iCs w:val="0"/>
          <w:color w:val="000000" w:themeColor="text1"/>
          <w:sz w:val="21"/>
          <w:szCs w:val="21"/>
          <w:highlight w:val="none"/>
          <w14:textFill>
            <w14:solidFill>
              <w14:schemeClr w14:val="tx1"/>
            </w14:solidFill>
          </w14:textFill>
        </w:rPr>
        <w:t>备注：</w:t>
      </w:r>
    </w:p>
    <w:p w14:paraId="64A37813">
      <w:pPr>
        <w:pStyle w:val="10"/>
        <w:topLinePunct/>
        <w:bidi w:val="0"/>
        <w:textAlignment w:val="auto"/>
        <w:rPr>
          <w:rFonts w:hint="eastAsia"/>
          <w:color w:val="000000" w:themeColor="text1"/>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对于响应文件中有任意一条不满足上表要求的</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14:textFill>
            <w14:solidFill>
              <w14:schemeClr w14:val="tx1"/>
            </w14:solidFill>
          </w14:textFill>
        </w:rPr>
        <w:t>将导致其</w:t>
      </w:r>
      <w:r>
        <w:rPr>
          <w:rFonts w:hint="eastAsia" w:ascii="宋体" w:hAnsi="宋体" w:eastAsia="宋体" w:cs="宋体"/>
          <w:b/>
          <w:bCs/>
          <w:i w:val="0"/>
          <w:iCs w:val="0"/>
          <w:color w:val="000000" w:themeColor="text1"/>
          <w:sz w:val="21"/>
          <w:szCs w:val="21"/>
          <w:highlight w:val="none"/>
          <w14:textFill>
            <w14:solidFill>
              <w14:schemeClr w14:val="tx1"/>
            </w14:solidFill>
          </w14:textFill>
        </w:rPr>
        <w:t>响应无效</w:t>
      </w:r>
      <w:r>
        <w:rPr>
          <w:rFonts w:hint="eastAsia" w:ascii="宋体" w:hAnsi="宋体" w:eastAsia="宋体" w:cs="宋体"/>
          <w:i w:val="0"/>
          <w:iCs w:val="0"/>
          <w:color w:val="000000" w:themeColor="text1"/>
          <w:sz w:val="21"/>
          <w:szCs w:val="21"/>
          <w:highlight w:val="none"/>
          <w14:textFill>
            <w14:solidFill>
              <w14:schemeClr w14:val="tx1"/>
            </w14:solidFill>
          </w14:textFill>
        </w:rPr>
        <w:t>，不</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得</w:t>
      </w:r>
      <w:r>
        <w:rPr>
          <w:rFonts w:hint="eastAsia" w:ascii="宋体" w:hAnsi="宋体" w:eastAsia="宋体" w:cs="宋体"/>
          <w:i w:val="0"/>
          <w:iCs w:val="0"/>
          <w:color w:val="000000" w:themeColor="text1"/>
          <w:sz w:val="21"/>
          <w:szCs w:val="21"/>
          <w:highlight w:val="none"/>
          <w14:textFill>
            <w14:solidFill>
              <w14:schemeClr w14:val="tx1"/>
            </w14:solidFill>
          </w14:textFill>
        </w:rPr>
        <w:t>进入下一项评审。</w:t>
      </w:r>
    </w:p>
    <w:p w14:paraId="7C11BF8F">
      <w:pP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371" w:name="_Toc163493640"/>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br w:type="page"/>
      </w:r>
    </w:p>
    <w:p w14:paraId="6BA2715D">
      <w:pPr>
        <w:pStyle w:val="4"/>
        <w:keepNext w:val="0"/>
        <w:keepLines w:val="0"/>
        <w:pageBreakBefore w:val="0"/>
        <w:widowControl w:val="0"/>
        <w:numPr>
          <w:ilvl w:val="0"/>
          <w:numId w:val="0"/>
        </w:numPr>
        <w:kinsoku/>
        <w:wordWrap/>
        <w:overflowPunct/>
        <w:topLinePunct/>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（三）</w:t>
      </w:r>
      <w:r>
        <w:rPr>
          <w:rFonts w:hint="eastAsia" w:ascii="宋体" w:hAnsi="宋体" w:eastAsia="宋体" w:cs="宋体"/>
          <w:b/>
          <w:bCs/>
          <w:color w:val="000000" w:themeColor="text1"/>
          <w:kern w:val="2"/>
          <w:sz w:val="24"/>
          <w:szCs w:val="24"/>
          <w:highlight w:val="none"/>
          <w:lang w:val="zh-CN" w:eastAsia="zh-CN" w:bidi="ar-SA"/>
          <w14:textFill>
            <w14:solidFill>
              <w14:schemeClr w14:val="tx1"/>
            </w14:solidFill>
          </w14:textFill>
        </w:rPr>
        <w:t>评分标准</w:t>
      </w:r>
      <w:bookmarkEnd w:id="371"/>
    </w:p>
    <w:p w14:paraId="43563E93">
      <w:pPr>
        <w:pStyle w:val="10"/>
        <w:topLinePunct/>
        <w:bidi w:val="0"/>
        <w:textAlignment w:val="auto"/>
        <w:rPr>
          <w:rFonts w:hint="default"/>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1"/>
          <w:sz w:val="24"/>
          <w:szCs w:val="24"/>
          <w:lang w:val="en-US" w:eastAsia="zh-CN"/>
          <w14:textOutline w14:w="4358" w14:cap="flat" w14:cmpd="sng">
            <w14:solidFill>
              <w14:srgbClr w14:val="000000"/>
            </w14:solidFill>
            <w14:prstDash w14:val="solid"/>
            <w14:miter w14:val="0"/>
          </w14:textOutline>
          <w14:textFill>
            <w14:solidFill>
              <w14:schemeClr w14:val="tx1"/>
            </w14:solidFill>
          </w14:textFill>
        </w:rPr>
        <w:t>磋商报价</w:t>
      </w:r>
      <w:r>
        <w:rPr>
          <w:rFonts w:hint="eastAsia" w:ascii="宋体" w:hAnsi="宋体" w:eastAsia="宋体" w:cs="宋体"/>
          <w:color w:val="000000" w:themeColor="text1"/>
          <w:spacing w:val="1"/>
          <w:sz w:val="24"/>
          <w:szCs w:val="24"/>
          <w14:textOutline w14:w="4358" w14:cap="flat" w14:cmpd="sng">
            <w14:solidFill>
              <w14:srgbClr w14:val="000000"/>
            </w14:solidFill>
            <w14:prstDash w14:val="solid"/>
            <w14:miter w14:val="0"/>
          </w14:textOutline>
          <w14:textFill>
            <w14:solidFill>
              <w14:schemeClr w14:val="tx1"/>
            </w14:solidFill>
          </w14:textFill>
        </w:rPr>
        <w:t>评审</w:t>
      </w:r>
      <w:r>
        <w:rPr>
          <w:rFonts w:hint="eastAsia" w:ascii="宋体" w:hAnsi="宋体" w:cs="宋体"/>
          <w:color w:val="000000" w:themeColor="text1"/>
          <w:spacing w:val="1"/>
          <w:sz w:val="24"/>
          <w:szCs w:val="24"/>
          <w:lang w:eastAsia="zh-CN"/>
          <w14:textOutline w14:w="4358" w14:cap="flat" w14:cmpd="sng">
            <w14:solidFill>
              <w14:srgbClr w14:val="000000"/>
            </w14:solidFill>
            <w14:prstDash w14:val="solid"/>
            <w14:miter w14:val="0"/>
          </w14:textOutline>
          <w14:textFill>
            <w14:solidFill>
              <w14:schemeClr w14:val="tx1"/>
            </w14:solidFill>
          </w14:textFill>
        </w:rPr>
        <w:t>：</w:t>
      </w:r>
    </w:p>
    <w:tbl>
      <w:tblPr>
        <w:tblStyle w:val="43"/>
        <w:tblW w:w="10044" w:type="dxa"/>
        <w:tblInd w:w="-3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1005"/>
        <w:gridCol w:w="1218"/>
        <w:gridCol w:w="1223"/>
        <w:gridCol w:w="5743"/>
      </w:tblGrid>
      <w:tr w14:paraId="6DEF2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55" w:type="dxa"/>
            <w:vAlign w:val="center"/>
          </w:tcPr>
          <w:p w14:paraId="3012977D">
            <w:pPr>
              <w:topLinePunct/>
              <w:bidi w:val="0"/>
              <w:spacing w:before="241" w:line="229" w:lineRule="auto"/>
              <w:ind w:left="115"/>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8"/>
                <w:sz w:val="24"/>
                <w:szCs w:val="24"/>
                <w14:textFill>
                  <w14:solidFill>
                    <w14:schemeClr w14:val="tx1"/>
                  </w14:solidFill>
                </w14:textFill>
              </w:rPr>
              <w:t>序号</w:t>
            </w:r>
          </w:p>
        </w:tc>
        <w:tc>
          <w:tcPr>
            <w:tcW w:w="1005" w:type="dxa"/>
            <w:vAlign w:val="center"/>
          </w:tcPr>
          <w:p w14:paraId="05F65971">
            <w:pPr>
              <w:topLinePunct/>
              <w:bidi w:val="0"/>
              <w:spacing w:before="241" w:line="228" w:lineRule="auto"/>
              <w:ind w:left="115"/>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6"/>
                <w:sz w:val="24"/>
                <w:szCs w:val="24"/>
                <w14:textFill>
                  <w14:solidFill>
                    <w14:schemeClr w14:val="tx1"/>
                  </w14:solidFill>
                </w14:textFill>
              </w:rPr>
              <w:t>项目</w:t>
            </w:r>
          </w:p>
        </w:tc>
        <w:tc>
          <w:tcPr>
            <w:tcW w:w="1218" w:type="dxa"/>
            <w:vAlign w:val="center"/>
          </w:tcPr>
          <w:p w14:paraId="6AC5CCCF">
            <w:pPr>
              <w:topLinePunct/>
              <w:bidi w:val="0"/>
              <w:spacing w:before="36" w:line="228" w:lineRule="auto"/>
              <w:ind w:left="112"/>
              <w:jc w:val="center"/>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评审因素</w:t>
            </w:r>
          </w:p>
        </w:tc>
        <w:tc>
          <w:tcPr>
            <w:tcW w:w="1223" w:type="dxa"/>
            <w:vAlign w:val="center"/>
          </w:tcPr>
          <w:p w14:paraId="1D9AB4D9">
            <w:pPr>
              <w:topLinePunct/>
              <w:bidi w:val="0"/>
              <w:spacing w:before="37" w:line="408" w:lineRule="exact"/>
              <w:ind w:left="115"/>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标准</w:t>
            </w:r>
            <w:r>
              <w:rPr>
                <w:rFonts w:hint="eastAsia" w:ascii="宋体" w:hAnsi="宋体" w:eastAsia="宋体" w:cs="宋体"/>
                <w:b/>
                <w:bCs/>
                <w:color w:val="000000" w:themeColor="text1"/>
                <w:sz w:val="24"/>
                <w:szCs w:val="24"/>
                <w14:textFill>
                  <w14:solidFill>
                    <w14:schemeClr w14:val="tx1"/>
                  </w14:solidFill>
                </w14:textFill>
              </w:rPr>
              <w:t>分</w:t>
            </w:r>
          </w:p>
        </w:tc>
        <w:tc>
          <w:tcPr>
            <w:tcW w:w="5743" w:type="dxa"/>
            <w:vAlign w:val="center"/>
          </w:tcPr>
          <w:p w14:paraId="4C503988">
            <w:pPr>
              <w:topLinePunct/>
              <w:bidi w:val="0"/>
              <w:spacing w:before="37" w:line="408" w:lineRule="exact"/>
              <w:ind w:left="115"/>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评审内容</w:t>
            </w:r>
          </w:p>
        </w:tc>
      </w:tr>
      <w:tr w14:paraId="3371E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6" w:hRule="atLeast"/>
        </w:trPr>
        <w:tc>
          <w:tcPr>
            <w:tcW w:w="855" w:type="dxa"/>
            <w:vAlign w:val="center"/>
          </w:tcPr>
          <w:p w14:paraId="08DD6D18">
            <w:pPr>
              <w:topLinePunct/>
              <w:bidi w:val="0"/>
              <w:spacing w:before="65" w:line="189" w:lineRule="auto"/>
              <w:ind w:left="357"/>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005" w:type="dxa"/>
            <w:vAlign w:val="center"/>
          </w:tcPr>
          <w:p w14:paraId="5EF2CF31">
            <w:pPr>
              <w:topLinePunct/>
              <w:bidi w:val="0"/>
              <w:spacing w:line="239" w:lineRule="auto"/>
              <w:ind w:left="116"/>
              <w:jc w:val="center"/>
              <w:textAlignment w:val="auto"/>
              <w:rPr>
                <w:rFonts w:hint="eastAsia" w:ascii="宋体" w:hAnsi="宋体" w:eastAsia="宋体" w:cs="宋体"/>
                <w:color w:val="000000" w:themeColor="text1"/>
                <w:sz w:val="24"/>
                <w:szCs w:val="24"/>
                <w14:textFill>
                  <w14:solidFill>
                    <w14:schemeClr w14:val="tx1"/>
                  </w14:solidFill>
                </w14:textFill>
              </w:rPr>
            </w:pPr>
            <w:r>
              <w:rPr>
                <w:color w:val="000000" w:themeColor="text1"/>
                <w:spacing w:val="-8"/>
                <w:sz w:val="24"/>
                <w:szCs w:val="24"/>
                <w:highlight w:val="none"/>
                <w14:textFill>
                  <w14:solidFill>
                    <w14:schemeClr w14:val="tx1"/>
                  </w14:solidFill>
                </w14:textFill>
              </w:rPr>
              <w:t>投标报价</w:t>
            </w:r>
          </w:p>
        </w:tc>
        <w:tc>
          <w:tcPr>
            <w:tcW w:w="1218" w:type="dxa"/>
            <w:vAlign w:val="center"/>
          </w:tcPr>
          <w:p w14:paraId="0DA7440A">
            <w:pPr>
              <w:topLinePunct/>
              <w:bidi w:val="0"/>
              <w:spacing w:before="65" w:line="226" w:lineRule="auto"/>
              <w:ind w:firstLine="256" w:firstLineChars="10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价格</w:t>
            </w:r>
          </w:p>
        </w:tc>
        <w:tc>
          <w:tcPr>
            <w:tcW w:w="1223" w:type="dxa"/>
            <w:vAlign w:val="center"/>
          </w:tcPr>
          <w:p w14:paraId="31665974">
            <w:pPr>
              <w:topLinePunct/>
              <w:bidi w:val="0"/>
              <w:spacing w:before="65" w:line="189" w:lineRule="auto"/>
              <w:ind w:left="327"/>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pacing w:val="-2"/>
                <w:sz w:val="24"/>
                <w:szCs w:val="24"/>
                <w:lang w:val="en-US" w:eastAsia="zh-CN"/>
                <w14:textFill>
                  <w14:solidFill>
                    <w14:schemeClr w14:val="tx1"/>
                  </w14:solidFill>
                </w14:textFill>
              </w:rPr>
              <w:t>10分</w:t>
            </w:r>
          </w:p>
        </w:tc>
        <w:tc>
          <w:tcPr>
            <w:tcW w:w="5743" w:type="dxa"/>
            <w:vAlign w:val="top"/>
          </w:tcPr>
          <w:p w14:paraId="124F33BC">
            <w:pPr>
              <w:topLinePunct/>
              <w:bidi w:val="0"/>
              <w:spacing w:before="33" w:line="240" w:lineRule="auto"/>
              <w:ind w:left="111" w:right="25" w:firstLine="1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t>（1）本次采购方式为竞争性磋商，</w:t>
            </w:r>
            <w:r>
              <w:rPr>
                <w:rFonts w:hint="eastAsia"/>
                <w:color w:val="000000" w:themeColor="text1"/>
                <w:lang w:val="en-US" w:eastAsia="zh-CN"/>
                <w14:textFill>
                  <w14:solidFill>
                    <w14:schemeClr w14:val="tx1"/>
                  </w14:solidFill>
                </w14:textFill>
              </w:rPr>
              <w:t>采用两轮或两轮以上报价</w:t>
            </w:r>
            <w:r>
              <w:rPr>
                <w:rFonts w:hint="eastAsia"/>
                <w:color w:val="000000" w:themeColor="text1"/>
                <w14:textFill>
                  <w14:solidFill>
                    <w14:schemeClr w14:val="tx1"/>
                  </w14:solidFill>
                </w14:textFill>
              </w:rPr>
              <w:t>，磋商单位在截止时间内递交的磋商文件中的报价作为第一次报价；评审小组分别与供应商进行技术、服务等的商讨，磋商结束后，评审小组要求所有实质性磋商竞争性磋商文件和采购方要求的供应商在规定的时间内提交最终报价，磋商单位的最终报价进入磋商报价评审。（2）在评审过程中，评审小组发现磋商供应商的报价明显低于其他磋商报价，使得其磋商报价可能低于其个别成本的，应当要求该磋商供应商做出书面说明并提供相关证明材料。（3）磋商的最低报价，不作为是否成交的保证。（4）各合格供应商的价格得分按以下公式得出：磋商报价得分=（磋商基准价/最后磋商报价）×价格权值×100注：1、A为磋商报价得分</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2、磋商基准价=满足磋商文件要求且磋商价格最低的磋商报价</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3、价格权值=</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评分分值计算保留小数点后两位，小数点后三位“四舍</w:t>
            </w:r>
            <w:r>
              <w:rPr>
                <w:rFonts w:hint="eastAsia"/>
                <w:color w:val="000000" w:themeColor="text1"/>
                <w:lang w:val="en-US" w:eastAsia="zh-CN"/>
                <w14:textFill>
                  <w14:solidFill>
                    <w14:schemeClr w14:val="tx1"/>
                  </w14:solidFill>
                </w14:textFill>
              </w:rPr>
              <w:t>五入”</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w:t>
            </w:r>
          </w:p>
        </w:tc>
      </w:tr>
    </w:tbl>
    <w:p w14:paraId="1D5E6BB4">
      <w:pPr>
        <w:rPr>
          <w:rFonts w:hint="eastAsia" w:ascii="宋体" w:hAnsi="宋体" w:eastAsia="宋体" w:cs="宋体"/>
          <w:color w:val="000000" w:themeColor="text1"/>
          <w:spacing w:val="1"/>
          <w:sz w:val="24"/>
          <w:szCs w:val="24"/>
          <w14:textOutline w14:w="4358" w14:cap="flat" w14:cmpd="sng">
            <w14:solidFill>
              <w14:srgbClr w14:val="000000"/>
            </w14:solidFill>
            <w14:prstDash w14:val="solid"/>
            <w14:miter w14:val="0"/>
          </w14:textOutline>
          <w14:textFill>
            <w14:solidFill>
              <w14:schemeClr w14:val="tx1"/>
            </w14:solidFill>
          </w14:textFill>
        </w:rPr>
      </w:pPr>
      <w:r>
        <w:rPr>
          <w:rFonts w:hint="eastAsia" w:ascii="宋体" w:hAnsi="宋体" w:eastAsia="宋体" w:cs="宋体"/>
          <w:color w:val="000000" w:themeColor="text1"/>
          <w:spacing w:val="1"/>
          <w:sz w:val="24"/>
          <w:szCs w:val="24"/>
          <w14:textOutline w14:w="4358" w14:cap="flat" w14:cmpd="sng">
            <w14:solidFill>
              <w14:srgbClr w14:val="000000"/>
            </w14:solidFill>
            <w14:prstDash w14:val="solid"/>
            <w14:miter w14:val="0"/>
          </w14:textOutline>
          <w14:textFill>
            <w14:solidFill>
              <w14:schemeClr w14:val="tx1"/>
            </w14:solidFill>
          </w14:textFill>
        </w:rPr>
        <w:br w:type="page"/>
      </w:r>
    </w:p>
    <w:p w14:paraId="1ABAE07D">
      <w:pPr>
        <w:pStyle w:val="10"/>
        <w:topLinePunct/>
        <w:bidi w:val="0"/>
        <w:textAlignment w:val="auto"/>
        <w:rPr>
          <w:rFonts w:hint="eastAsia" w:eastAsia="宋体"/>
          <w:i w:val="0"/>
          <w:iCs w:val="0"/>
          <w:color w:val="000000" w:themeColor="text1"/>
          <w:highlight w:val="none"/>
          <w:lang w:val="zh-CN" w:eastAsia="zh-CN"/>
          <w14:textFill>
            <w14:solidFill>
              <w14:schemeClr w14:val="tx1"/>
            </w14:solidFill>
          </w14:textFill>
        </w:rPr>
      </w:pPr>
      <w:r>
        <w:rPr>
          <w:rFonts w:hint="eastAsia" w:ascii="宋体" w:hAnsi="宋体" w:eastAsia="宋体" w:cs="宋体"/>
          <w:color w:val="000000" w:themeColor="text1"/>
          <w:spacing w:val="1"/>
          <w:sz w:val="24"/>
          <w:szCs w:val="24"/>
          <w14:textOutline w14:w="4358" w14:cap="flat" w14:cmpd="sng">
            <w14:solidFill>
              <w14:srgbClr w14:val="000000"/>
            </w14:solidFill>
            <w14:prstDash w14:val="solid"/>
            <w14:miter w14:val="0"/>
          </w14:textOutline>
          <w14:textFill>
            <w14:solidFill>
              <w14:schemeClr w14:val="tx1"/>
            </w14:solidFill>
          </w14:textFill>
        </w:rPr>
        <w:t>商务和技术评审</w:t>
      </w:r>
      <w:r>
        <w:rPr>
          <w:rFonts w:hint="eastAsia" w:ascii="宋体" w:hAnsi="宋体" w:cs="宋体"/>
          <w:color w:val="000000" w:themeColor="text1"/>
          <w:spacing w:val="1"/>
          <w:sz w:val="24"/>
          <w:szCs w:val="24"/>
          <w:lang w:eastAsia="zh-CN"/>
          <w14:textOutline w14:w="4358" w14:cap="flat" w14:cmpd="sng">
            <w14:solidFill>
              <w14:srgbClr w14:val="000000"/>
            </w14:solidFill>
            <w14:prstDash w14:val="solid"/>
            <w14:miter w14:val="0"/>
          </w14:textOutline>
          <w14:textFill>
            <w14:solidFill>
              <w14:schemeClr w14:val="tx1"/>
            </w14:solidFill>
          </w14:textFill>
        </w:rPr>
        <w:t>：</w:t>
      </w:r>
    </w:p>
    <w:tbl>
      <w:tblPr>
        <w:tblStyle w:val="43"/>
        <w:tblW w:w="100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5"/>
        <w:gridCol w:w="1140"/>
        <w:gridCol w:w="1125"/>
        <w:gridCol w:w="6930"/>
      </w:tblGrid>
      <w:tr w14:paraId="12D9A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1995" w:type="dxa"/>
            <w:gridSpan w:val="2"/>
            <w:vAlign w:val="top"/>
          </w:tcPr>
          <w:p w14:paraId="4D9C0837">
            <w:pPr>
              <w:topLinePunct/>
              <w:bidi w:val="0"/>
              <w:spacing w:before="132" w:line="188" w:lineRule="auto"/>
              <w:ind w:left="792"/>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3"/>
                <w:sz w:val="24"/>
                <w:szCs w:val="24"/>
                <w14:textOutline w14:w="3810" w14:cap="flat" w14:cmpd="sng">
                  <w14:solidFill>
                    <w14:srgbClr w14:val="000000"/>
                  </w14:solidFill>
                  <w14:prstDash w14:val="solid"/>
                  <w14:miter w14:val="0"/>
                </w14:textOutline>
                <w14:textFill>
                  <w14:solidFill>
                    <w14:schemeClr w14:val="tx1"/>
                  </w14:solidFill>
                </w14:textFill>
              </w:rPr>
              <w:t>评审项目</w:t>
            </w:r>
          </w:p>
        </w:tc>
        <w:tc>
          <w:tcPr>
            <w:tcW w:w="1125" w:type="dxa"/>
            <w:vAlign w:val="top"/>
          </w:tcPr>
          <w:p w14:paraId="022417AA">
            <w:pPr>
              <w:topLinePunct/>
              <w:bidi w:val="0"/>
              <w:spacing w:before="132" w:line="188" w:lineRule="auto"/>
              <w:ind w:left="193"/>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3"/>
                <w:sz w:val="24"/>
                <w:szCs w:val="24"/>
                <w14:textOutline w14:w="3810" w14:cap="flat" w14:cmpd="sng">
                  <w14:solidFill>
                    <w14:srgbClr w14:val="000000"/>
                  </w14:solidFill>
                  <w14:prstDash w14:val="solid"/>
                  <w14:miter w14:val="0"/>
                </w14:textOutline>
                <w14:textFill>
                  <w14:solidFill>
                    <w14:schemeClr w14:val="tx1"/>
                  </w14:solidFill>
                </w14:textFill>
              </w:rPr>
              <w:t>标准分</w:t>
            </w:r>
          </w:p>
        </w:tc>
        <w:tc>
          <w:tcPr>
            <w:tcW w:w="6930" w:type="dxa"/>
            <w:vAlign w:val="top"/>
          </w:tcPr>
          <w:p w14:paraId="41545DEF">
            <w:pPr>
              <w:topLinePunct/>
              <w:bidi w:val="0"/>
              <w:spacing w:before="131" w:line="189" w:lineRule="auto"/>
              <w:ind w:left="2342"/>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3"/>
                <w:sz w:val="24"/>
                <w:szCs w:val="24"/>
                <w14:textOutline w14:w="3810" w14:cap="flat" w14:cmpd="sng">
                  <w14:solidFill>
                    <w14:srgbClr w14:val="000000"/>
                  </w14:solidFill>
                  <w14:prstDash w14:val="solid"/>
                  <w14:miter w14:val="0"/>
                </w14:textOutline>
                <w14:textFill>
                  <w14:solidFill>
                    <w14:schemeClr w14:val="tx1"/>
                  </w14:solidFill>
                </w14:textFill>
              </w:rPr>
              <w:t>评审标准</w:t>
            </w:r>
          </w:p>
        </w:tc>
      </w:tr>
      <w:tr w14:paraId="6D1A6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jc w:val="center"/>
        </w:trPr>
        <w:tc>
          <w:tcPr>
            <w:tcW w:w="855" w:type="dxa"/>
            <w:vMerge w:val="restart"/>
            <w:vAlign w:val="center"/>
          </w:tcPr>
          <w:p w14:paraId="71B6363B">
            <w:pPr>
              <w:topLinePunct/>
              <w:bidi w:val="0"/>
              <w:spacing w:before="19"/>
              <w:jc w:val="center"/>
              <w:textAlignment w:val="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商务部分</w:t>
            </w:r>
          </w:p>
        </w:tc>
        <w:tc>
          <w:tcPr>
            <w:tcW w:w="1140" w:type="dxa"/>
            <w:vAlign w:val="center"/>
          </w:tcPr>
          <w:p w14:paraId="66D3FB50">
            <w:pPr>
              <w:pStyle w:val="46"/>
              <w:topLinePunct/>
              <w:bidi w:val="0"/>
              <w:spacing w:before="69" w:line="223" w:lineRule="auto"/>
              <w:ind w:left="1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rPr>
              <w:t>企业业绩</w:t>
            </w:r>
          </w:p>
        </w:tc>
        <w:tc>
          <w:tcPr>
            <w:tcW w:w="1125" w:type="dxa"/>
            <w:vAlign w:val="center"/>
          </w:tcPr>
          <w:p w14:paraId="6FCE4FC2">
            <w:pPr>
              <w:pStyle w:val="46"/>
              <w:topLinePunct/>
              <w:bidi w:val="0"/>
              <w:spacing w:before="68" w:line="224" w:lineRule="auto"/>
              <w:ind w:left="215"/>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5分</w:t>
            </w:r>
          </w:p>
        </w:tc>
        <w:tc>
          <w:tcPr>
            <w:tcW w:w="6930" w:type="dxa"/>
            <w:vAlign w:val="top"/>
          </w:tcPr>
          <w:p w14:paraId="444F42B0">
            <w:pPr>
              <w:topLinePunct/>
              <w:bidi w:val="0"/>
              <w:spacing w:before="33" w:line="240" w:lineRule="auto"/>
              <w:ind w:left="111" w:right="25" w:firstLine="11"/>
              <w:jc w:val="both"/>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供应商提供近三年（指2023年6月1日至投标截止时间）承接过</w:t>
            </w:r>
            <w:r>
              <w:rPr>
                <w:rFonts w:hint="eastAsia" w:cs="Times New Roman"/>
                <w:color w:val="000000" w:themeColor="text1"/>
                <w:lang w:val="en-US" w:eastAsia="zh-CN"/>
                <w14:textFill>
                  <w14:solidFill>
                    <w14:schemeClr w14:val="tx1"/>
                  </w14:solidFill>
                </w14:textFill>
              </w:rPr>
              <w:t>的</w:t>
            </w:r>
            <w:r>
              <w:rPr>
                <w:rFonts w:hint="eastAsia" w:ascii="Times New Roman" w:hAnsi="Times New Roman" w:eastAsia="宋体" w:cs="Times New Roman"/>
                <w:color w:val="000000" w:themeColor="text1"/>
                <w:lang w:val="en-US" w:eastAsia="zh-CN"/>
                <w14:textFill>
                  <w14:solidFill>
                    <w14:schemeClr w14:val="tx1"/>
                  </w14:solidFill>
                </w14:textFill>
              </w:rPr>
              <w:t>工程全过程跟踪审计（或全过程造价咨询）业绩，每提供1个</w:t>
            </w:r>
            <w:r>
              <w:rPr>
                <w:rFonts w:hint="eastAsia" w:cs="Times New Roman"/>
                <w:color w:val="000000" w:themeColor="text1"/>
                <w:lang w:val="en-US" w:eastAsia="zh-CN"/>
                <w14:textFill>
                  <w14:solidFill>
                    <w14:schemeClr w14:val="tx1"/>
                  </w14:solidFill>
                </w14:textFill>
              </w:rPr>
              <w:t>业绩</w:t>
            </w:r>
            <w:r>
              <w:rPr>
                <w:rFonts w:hint="eastAsia" w:ascii="Times New Roman" w:hAnsi="Times New Roman" w:eastAsia="宋体" w:cs="Times New Roman"/>
                <w:color w:val="000000" w:themeColor="text1"/>
                <w:lang w:val="en-US" w:eastAsia="zh-CN"/>
                <w14:textFill>
                  <w14:solidFill>
                    <w14:schemeClr w14:val="tx1"/>
                  </w14:solidFill>
                </w14:textFill>
              </w:rPr>
              <w:t>，得</w:t>
            </w:r>
            <w:r>
              <w:rPr>
                <w:rFonts w:hint="eastAsia" w:cs="Times New Roman"/>
                <w:color w:val="000000" w:themeColor="text1"/>
                <w:lang w:val="en-US" w:eastAsia="zh-CN"/>
                <w14:textFill>
                  <w14:solidFill>
                    <w14:schemeClr w14:val="tx1"/>
                  </w14:solidFill>
                </w14:textFill>
              </w:rPr>
              <w:t>2.5</w:t>
            </w:r>
            <w:r>
              <w:rPr>
                <w:rFonts w:hint="eastAsia" w:ascii="Times New Roman" w:hAnsi="Times New Roman" w:eastAsia="宋体" w:cs="Times New Roman"/>
                <w:color w:val="000000" w:themeColor="text1"/>
                <w:lang w:val="en-US" w:eastAsia="zh-CN"/>
                <w14:textFill>
                  <w14:solidFill>
                    <w14:schemeClr w14:val="tx1"/>
                  </w14:solidFill>
                </w14:textFill>
              </w:rPr>
              <w:t>分，最高得</w:t>
            </w:r>
            <w:r>
              <w:rPr>
                <w:rFonts w:hint="eastAsia" w:cs="Times New Roman"/>
                <w:color w:val="000000" w:themeColor="text1"/>
                <w:lang w:val="en-US" w:eastAsia="zh-CN"/>
                <w14:textFill>
                  <w14:solidFill>
                    <w14:schemeClr w14:val="tx1"/>
                  </w14:solidFill>
                </w14:textFill>
              </w:rPr>
              <w:t>5</w:t>
            </w:r>
            <w:r>
              <w:rPr>
                <w:rFonts w:hint="eastAsia" w:ascii="Times New Roman" w:hAnsi="Times New Roman" w:eastAsia="宋体" w:cs="Times New Roman"/>
                <w:color w:val="000000" w:themeColor="text1"/>
                <w:lang w:val="en-US" w:eastAsia="zh-CN"/>
                <w14:textFill>
                  <w14:solidFill>
                    <w14:schemeClr w14:val="tx1"/>
                  </w14:solidFill>
                </w14:textFill>
              </w:rPr>
              <w:t>分；</w:t>
            </w:r>
          </w:p>
          <w:p w14:paraId="49BB2329">
            <w:pPr>
              <w:topLinePunct/>
              <w:bidi w:val="0"/>
              <w:spacing w:before="33" w:line="240" w:lineRule="auto"/>
              <w:ind w:left="111" w:right="25" w:firstLine="11"/>
              <w:jc w:val="both"/>
              <w:textAlignment w:val="auto"/>
              <w:rPr>
                <w:rFonts w:hint="eastAsia" w:ascii="宋体" w:hAnsi="宋体" w:eastAsia="宋体" w:cs="宋体"/>
                <w:color w:val="000000" w:themeColor="text1"/>
                <w:spacing w:val="5"/>
                <w:sz w:val="24"/>
                <w:szCs w:val="24"/>
                <w:lang w:eastAsia="zh-CN"/>
                <w14:textFill>
                  <w14:solidFill>
                    <w14:schemeClr w14:val="tx1"/>
                  </w14:solidFill>
                </w14:textFill>
              </w:rPr>
            </w:pPr>
            <w:r>
              <w:rPr>
                <w:rFonts w:hint="eastAsia" w:ascii="Times New Roman" w:hAnsi="Times New Roman" w:eastAsia="宋体" w:cs="Times New Roman"/>
                <w:b/>
                <w:bCs/>
                <w:color w:val="000000" w:themeColor="text1"/>
                <w:lang w:val="en-US" w:eastAsia="zh-CN"/>
                <w14:textFill>
                  <w14:solidFill>
                    <w14:schemeClr w14:val="tx1"/>
                  </w14:solidFill>
                </w14:textFill>
              </w:rPr>
              <w:t>注：须提供业绩的相关证明材料，包括合同或中标通知书（或成交通知书或发包通知书）。业绩时间认定以</w:t>
            </w:r>
            <w:r>
              <w:rPr>
                <w:rFonts w:hint="eastAsia" w:cs="Times New Roman"/>
                <w:b/>
                <w:bCs/>
                <w:color w:val="000000" w:themeColor="text1"/>
                <w:lang w:val="en-US" w:eastAsia="zh-CN"/>
                <w14:textFill>
                  <w14:solidFill>
                    <w14:schemeClr w14:val="tx1"/>
                  </w14:solidFill>
                </w14:textFill>
              </w:rPr>
              <w:t>合同签订时间</w:t>
            </w:r>
            <w:r>
              <w:rPr>
                <w:rFonts w:hint="eastAsia" w:ascii="Times New Roman" w:hAnsi="Times New Roman" w:eastAsia="宋体" w:cs="Times New Roman"/>
                <w:b/>
                <w:bCs/>
                <w:color w:val="000000" w:themeColor="text1"/>
                <w:lang w:val="en-US" w:eastAsia="zh-CN"/>
                <w14:textFill>
                  <w14:solidFill>
                    <w14:schemeClr w14:val="tx1"/>
                  </w14:solidFill>
                </w14:textFill>
              </w:rPr>
              <w:t>为准。未提供或提供材料不全的不得分。</w:t>
            </w:r>
          </w:p>
        </w:tc>
      </w:tr>
      <w:tr w14:paraId="48B0D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jc w:val="center"/>
        </w:trPr>
        <w:tc>
          <w:tcPr>
            <w:tcW w:w="855" w:type="dxa"/>
            <w:vMerge w:val="continue"/>
            <w:vAlign w:val="center"/>
          </w:tcPr>
          <w:p w14:paraId="21694114">
            <w:pPr>
              <w:topLinePunct/>
              <w:bidi w:val="0"/>
              <w:spacing w:before="19"/>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140" w:type="dxa"/>
            <w:vAlign w:val="center"/>
          </w:tcPr>
          <w:p w14:paraId="03BAA449">
            <w:pPr>
              <w:pStyle w:val="46"/>
              <w:topLinePunct/>
              <w:bidi w:val="0"/>
              <w:spacing w:before="69" w:line="223" w:lineRule="auto"/>
              <w:ind w:left="1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项目总负责人业绩</w:t>
            </w:r>
          </w:p>
        </w:tc>
        <w:tc>
          <w:tcPr>
            <w:tcW w:w="1125" w:type="dxa"/>
            <w:vAlign w:val="center"/>
          </w:tcPr>
          <w:p w14:paraId="615394F0">
            <w:pPr>
              <w:pStyle w:val="46"/>
              <w:topLinePunct/>
              <w:bidi w:val="0"/>
              <w:spacing w:before="69" w:line="223" w:lineRule="auto"/>
              <w:ind w:left="1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color w:val="000000" w:themeColor="text1"/>
                <w:sz w:val="21"/>
                <w:szCs w:val="21"/>
                <w:lang w:val="en-US" w:eastAsia="zh-CN"/>
                <w14:textFill>
                  <w14:solidFill>
                    <w14:schemeClr w14:val="tx1"/>
                  </w14:solidFill>
                </w14:textFill>
              </w:rPr>
              <w:t>分</w:t>
            </w:r>
          </w:p>
        </w:tc>
        <w:tc>
          <w:tcPr>
            <w:tcW w:w="6930" w:type="dxa"/>
            <w:vAlign w:val="top"/>
          </w:tcPr>
          <w:p w14:paraId="7C16C96D">
            <w:pPr>
              <w:topLinePunct/>
              <w:bidi w:val="0"/>
              <w:spacing w:before="33" w:line="240" w:lineRule="auto"/>
              <w:ind w:left="111" w:right="25" w:firstLine="11"/>
              <w:jc w:val="both"/>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项目总负责人提供近</w:t>
            </w:r>
            <w:r>
              <w:rPr>
                <w:rFonts w:hint="eastAsia" w:cs="Times New Roman"/>
                <w:color w:val="000000" w:themeColor="text1"/>
                <w:lang w:val="en-US" w:eastAsia="zh-CN"/>
                <w14:textFill>
                  <w14:solidFill>
                    <w14:schemeClr w14:val="tx1"/>
                  </w14:solidFill>
                </w14:textFill>
              </w:rPr>
              <w:t>三</w:t>
            </w:r>
            <w:r>
              <w:rPr>
                <w:rFonts w:hint="eastAsia" w:ascii="Times New Roman" w:hAnsi="Times New Roman" w:eastAsia="宋体" w:cs="Times New Roman"/>
                <w:color w:val="000000" w:themeColor="text1"/>
                <w:lang w:val="en-US" w:eastAsia="zh-CN"/>
                <w14:textFill>
                  <w14:solidFill>
                    <w14:schemeClr w14:val="tx1"/>
                  </w14:solidFill>
                </w14:textFill>
              </w:rPr>
              <w:t>年（指2023年6月1日至投标截止时间）承接过</w:t>
            </w:r>
            <w:r>
              <w:rPr>
                <w:rFonts w:hint="eastAsia" w:cs="Times New Roman"/>
                <w:color w:val="000000" w:themeColor="text1"/>
                <w:lang w:val="en-US" w:eastAsia="zh-CN"/>
                <w14:textFill>
                  <w14:solidFill>
                    <w14:schemeClr w14:val="tx1"/>
                  </w14:solidFill>
                </w14:textFill>
              </w:rPr>
              <w:t>的</w:t>
            </w:r>
            <w:r>
              <w:rPr>
                <w:rFonts w:hint="eastAsia" w:ascii="Times New Roman" w:hAnsi="Times New Roman" w:eastAsia="宋体" w:cs="Times New Roman"/>
                <w:color w:val="000000" w:themeColor="text1"/>
                <w:lang w:val="en-US" w:eastAsia="zh-CN"/>
                <w14:textFill>
                  <w14:solidFill>
                    <w14:schemeClr w14:val="tx1"/>
                  </w14:solidFill>
                </w14:textFill>
              </w:rPr>
              <w:t>工程全过程跟踪审计（或全过程造价咨询）业绩，每提供1个业绩，得1</w:t>
            </w:r>
            <w:r>
              <w:rPr>
                <w:rFonts w:hint="eastAsia" w:cs="Times New Roman"/>
                <w:color w:val="000000" w:themeColor="text1"/>
                <w:lang w:val="en-US" w:eastAsia="zh-CN"/>
                <w14:textFill>
                  <w14:solidFill>
                    <w14:schemeClr w14:val="tx1"/>
                  </w14:solidFill>
                </w14:textFill>
              </w:rPr>
              <w:t>.5</w:t>
            </w:r>
            <w:bookmarkStart w:id="879" w:name="_GoBack"/>
            <w:bookmarkEnd w:id="879"/>
            <w:r>
              <w:rPr>
                <w:rFonts w:hint="eastAsia" w:ascii="Times New Roman" w:hAnsi="Times New Roman" w:eastAsia="宋体" w:cs="Times New Roman"/>
                <w:color w:val="000000" w:themeColor="text1"/>
                <w:lang w:val="en-US" w:eastAsia="zh-CN"/>
                <w14:textFill>
                  <w14:solidFill>
                    <w14:schemeClr w14:val="tx1"/>
                  </w14:solidFill>
                </w14:textFill>
              </w:rPr>
              <w:t>分，最高得</w:t>
            </w:r>
            <w:r>
              <w:rPr>
                <w:rFonts w:hint="eastAsia" w:cs="Times New Roman"/>
                <w:color w:val="000000" w:themeColor="text1"/>
                <w:lang w:val="en-US" w:eastAsia="zh-CN"/>
                <w14:textFill>
                  <w14:solidFill>
                    <w14:schemeClr w14:val="tx1"/>
                  </w14:solidFill>
                </w14:textFill>
              </w:rPr>
              <w:t>3</w:t>
            </w:r>
            <w:r>
              <w:rPr>
                <w:rFonts w:hint="eastAsia" w:ascii="Times New Roman" w:hAnsi="Times New Roman" w:eastAsia="宋体" w:cs="Times New Roman"/>
                <w:color w:val="000000" w:themeColor="text1"/>
                <w:lang w:val="en-US" w:eastAsia="zh-CN"/>
                <w14:textFill>
                  <w14:solidFill>
                    <w14:schemeClr w14:val="tx1"/>
                  </w14:solidFill>
                </w14:textFill>
              </w:rPr>
              <w:t>分；</w:t>
            </w:r>
          </w:p>
          <w:p w14:paraId="7F7653E5">
            <w:pPr>
              <w:keepNext w:val="0"/>
              <w:keepLines w:val="0"/>
              <w:pageBreakBefore w:val="0"/>
              <w:widowControl/>
              <w:kinsoku w:val="0"/>
              <w:wordWrap w:val="0"/>
              <w:overflowPunct/>
              <w:topLinePunct w:val="0"/>
              <w:autoSpaceDE w:val="0"/>
              <w:autoSpaceDN w:val="0"/>
              <w:bidi w:val="0"/>
              <w:adjustRightInd w:val="0"/>
              <w:snapToGrid w:val="0"/>
              <w:spacing w:before="178" w:line="240" w:lineRule="auto"/>
              <w:ind w:left="110" w:right="86" w:firstLine="10"/>
              <w:jc w:val="both"/>
              <w:textAlignment w:val="baseline"/>
              <w:rPr>
                <w:rFonts w:hint="eastAsia" w:ascii="宋体" w:hAnsi="宋体" w:eastAsia="宋体" w:cs="宋体"/>
                <w:color w:val="000000" w:themeColor="text1"/>
                <w:spacing w:val="5"/>
                <w:sz w:val="24"/>
                <w:szCs w:val="24"/>
                <w:lang w:eastAsia="zh-CN"/>
                <w14:textFill>
                  <w14:solidFill>
                    <w14:schemeClr w14:val="tx1"/>
                  </w14:solidFill>
                </w14:textFill>
              </w:rPr>
            </w:pPr>
            <w:r>
              <w:rPr>
                <w:rFonts w:hint="eastAsia" w:ascii="Times New Roman" w:hAnsi="Times New Roman" w:eastAsia="宋体" w:cs="Times New Roman"/>
                <w:b/>
                <w:bCs/>
                <w:color w:val="000000" w:themeColor="text1"/>
                <w:lang w:val="en-US" w:eastAsia="zh-CN"/>
                <w14:textFill>
                  <w14:solidFill>
                    <w14:schemeClr w14:val="tx1"/>
                  </w14:solidFill>
                </w14:textFill>
              </w:rPr>
              <w:t>注：须提供业绩的相关证明材料，包括合同或中标通知书（或成交通知书或发包通知书）。证明材料须显示项目负责人，业绩时间认定以</w:t>
            </w:r>
            <w:r>
              <w:rPr>
                <w:rFonts w:hint="eastAsia" w:cs="Times New Roman"/>
                <w:b/>
                <w:bCs/>
                <w:color w:val="000000" w:themeColor="text1"/>
                <w:lang w:val="en-US" w:eastAsia="zh-CN"/>
                <w14:textFill>
                  <w14:solidFill>
                    <w14:schemeClr w14:val="tx1"/>
                  </w14:solidFill>
                </w14:textFill>
              </w:rPr>
              <w:t>合同签订时间</w:t>
            </w:r>
            <w:r>
              <w:rPr>
                <w:rFonts w:hint="eastAsia" w:ascii="Times New Roman" w:hAnsi="Times New Roman" w:eastAsia="宋体" w:cs="Times New Roman"/>
                <w:b/>
                <w:bCs/>
                <w:color w:val="000000" w:themeColor="text1"/>
                <w:lang w:val="en-US" w:eastAsia="zh-CN"/>
                <w14:textFill>
                  <w14:solidFill>
                    <w14:schemeClr w14:val="tx1"/>
                  </w14:solidFill>
                </w14:textFill>
              </w:rPr>
              <w:t>为准。未提供或提供材料不全的不得分。</w:t>
            </w:r>
          </w:p>
        </w:tc>
      </w:tr>
      <w:tr w14:paraId="30CAE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1" w:hRule="atLeast"/>
          <w:jc w:val="center"/>
        </w:trPr>
        <w:tc>
          <w:tcPr>
            <w:tcW w:w="855" w:type="dxa"/>
            <w:vMerge w:val="continue"/>
            <w:vAlign w:val="center"/>
          </w:tcPr>
          <w:p w14:paraId="061404BC">
            <w:pPr>
              <w:topLinePunct/>
              <w:bidi w:val="0"/>
              <w:spacing w:before="19"/>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140" w:type="dxa"/>
            <w:vAlign w:val="center"/>
          </w:tcPr>
          <w:p w14:paraId="7010D765">
            <w:pPr>
              <w:pStyle w:val="46"/>
              <w:topLinePunct/>
              <w:bidi w:val="0"/>
              <w:spacing w:before="69" w:line="223" w:lineRule="auto"/>
              <w:ind w:left="1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项目总负责人资质</w:t>
            </w:r>
          </w:p>
        </w:tc>
        <w:tc>
          <w:tcPr>
            <w:tcW w:w="1125" w:type="dxa"/>
            <w:vAlign w:val="center"/>
          </w:tcPr>
          <w:p w14:paraId="13000038">
            <w:pPr>
              <w:pStyle w:val="46"/>
              <w:topLinePunct/>
              <w:bidi w:val="0"/>
              <w:spacing w:before="69" w:line="223" w:lineRule="auto"/>
              <w:ind w:left="1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3分</w:t>
            </w:r>
          </w:p>
        </w:tc>
        <w:tc>
          <w:tcPr>
            <w:tcW w:w="6930" w:type="dxa"/>
            <w:vAlign w:val="top"/>
          </w:tcPr>
          <w:p w14:paraId="2B95A7E5">
            <w:pPr>
              <w:keepNext w:val="0"/>
              <w:keepLines w:val="0"/>
              <w:pageBreakBefore w:val="0"/>
              <w:widowControl/>
              <w:kinsoku w:val="0"/>
              <w:wordWrap w:val="0"/>
              <w:overflowPunct/>
              <w:topLinePunct w:val="0"/>
              <w:autoSpaceDE w:val="0"/>
              <w:autoSpaceDN w:val="0"/>
              <w:bidi w:val="0"/>
              <w:adjustRightInd w:val="0"/>
              <w:snapToGrid w:val="0"/>
              <w:spacing w:before="178" w:line="240" w:lineRule="auto"/>
              <w:ind w:left="110" w:right="86" w:firstLine="1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项目总负责人具有高级</w:t>
            </w:r>
            <w:r>
              <w:rPr>
                <w:rFonts w:hint="eastAsia" w:ascii="宋体" w:hAnsi="宋体" w:eastAsia="宋体" w:cs="宋体"/>
                <w:sz w:val="21"/>
                <w:szCs w:val="21"/>
                <w:highlight w:val="none"/>
                <w:lang w:val="en-US" w:eastAsia="zh-CN"/>
              </w:rPr>
              <w:t>工程师职称的得</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分；具有中级工</w:t>
            </w:r>
            <w:r>
              <w:rPr>
                <w:rFonts w:hint="eastAsia" w:ascii="宋体" w:hAnsi="宋体" w:eastAsia="宋体" w:cs="宋体"/>
                <w:sz w:val="21"/>
                <w:szCs w:val="21"/>
                <w:lang w:val="en-US" w:eastAsia="zh-CN"/>
              </w:rPr>
              <w:t>程师职称的得1分；其它不得分。</w:t>
            </w:r>
          </w:p>
          <w:p w14:paraId="181AA0E8">
            <w:pPr>
              <w:keepNext w:val="0"/>
              <w:keepLines w:val="0"/>
              <w:pageBreakBefore w:val="0"/>
              <w:widowControl/>
              <w:kinsoku w:val="0"/>
              <w:wordWrap w:val="0"/>
              <w:overflowPunct/>
              <w:topLinePunct w:val="0"/>
              <w:autoSpaceDE w:val="0"/>
              <w:autoSpaceDN w:val="0"/>
              <w:bidi w:val="0"/>
              <w:adjustRightInd w:val="0"/>
              <w:snapToGrid w:val="0"/>
              <w:spacing w:before="178" w:line="240" w:lineRule="auto"/>
              <w:ind w:left="110" w:right="86" w:firstLine="10"/>
              <w:jc w:val="both"/>
              <w:textAlignment w:val="baseline"/>
              <w:rPr>
                <w:rFonts w:hint="eastAsia" w:ascii="宋体" w:hAnsi="宋体" w:eastAsia="宋体" w:cs="宋体"/>
                <w:color w:val="000000" w:themeColor="text1"/>
                <w:spacing w:val="5"/>
                <w:sz w:val="24"/>
                <w:szCs w:val="24"/>
                <w:lang w:eastAsia="zh-CN"/>
                <w14:textFill>
                  <w14:solidFill>
                    <w14:schemeClr w14:val="tx1"/>
                  </w14:solidFill>
                </w14:textFill>
              </w:rPr>
            </w:pPr>
            <w:r>
              <w:rPr>
                <w:rFonts w:hint="eastAsia" w:ascii="宋体" w:hAnsi="宋体" w:eastAsia="宋体" w:cs="宋体"/>
                <w:b/>
                <w:bCs/>
                <w:sz w:val="21"/>
                <w:szCs w:val="21"/>
                <w:lang w:val="en-US" w:eastAsia="zh-CN"/>
              </w:rPr>
              <w:t>注：须提供职称证书和</w:t>
            </w:r>
            <w:r>
              <w:rPr>
                <w:rFonts w:hint="eastAsia" w:ascii="宋体" w:hAnsi="宋体" w:eastAsia="宋体" w:cs="宋体"/>
                <w:b/>
                <w:bCs/>
                <w:sz w:val="21"/>
                <w:szCs w:val="21"/>
                <w:lang w:eastAsia="zh-CN"/>
              </w:rPr>
              <w:t>近</w:t>
            </w:r>
            <w:r>
              <w:rPr>
                <w:rFonts w:hint="eastAsia" w:ascii="宋体" w:hAnsi="宋体" w:eastAsia="宋体" w:cs="宋体"/>
                <w:b/>
                <w:bCs/>
                <w:sz w:val="21"/>
                <w:szCs w:val="21"/>
                <w:lang w:val="en-US" w:eastAsia="zh-CN"/>
              </w:rPr>
              <w:t>3</w:t>
            </w:r>
            <w:r>
              <w:rPr>
                <w:rFonts w:hint="eastAsia" w:ascii="宋体" w:hAnsi="宋体" w:eastAsia="宋体" w:cs="宋体"/>
                <w:b/>
                <w:bCs/>
                <w:sz w:val="21"/>
                <w:szCs w:val="21"/>
                <w:lang w:eastAsia="zh-CN"/>
              </w:rPr>
              <w:t>个月（</w:t>
            </w:r>
            <w:r>
              <w:rPr>
                <w:rFonts w:hint="eastAsia" w:ascii="宋体" w:hAnsi="宋体" w:eastAsia="宋体" w:cs="宋体"/>
                <w:b/>
                <w:bCs/>
                <w:sz w:val="21"/>
                <w:szCs w:val="21"/>
                <w:lang w:val="en-US" w:eastAsia="zh-CN"/>
              </w:rPr>
              <w:t>指2026年2月-2026年4月）在本单位的社保缴纳证明。</w:t>
            </w:r>
          </w:p>
        </w:tc>
      </w:tr>
      <w:tr w14:paraId="75CCC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jc w:val="center"/>
        </w:trPr>
        <w:tc>
          <w:tcPr>
            <w:tcW w:w="855" w:type="dxa"/>
            <w:vMerge w:val="continue"/>
            <w:vAlign w:val="center"/>
          </w:tcPr>
          <w:p w14:paraId="22F6CE09">
            <w:pPr>
              <w:topLinePunct/>
              <w:bidi w:val="0"/>
              <w:spacing w:before="19"/>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140" w:type="dxa"/>
            <w:vAlign w:val="center"/>
          </w:tcPr>
          <w:p w14:paraId="18BE51A2">
            <w:pPr>
              <w:pStyle w:val="46"/>
              <w:topLinePunct/>
              <w:bidi w:val="0"/>
              <w:spacing w:before="69" w:line="223" w:lineRule="auto"/>
              <w:ind w:left="1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项目班组人员组成</w:t>
            </w:r>
          </w:p>
        </w:tc>
        <w:tc>
          <w:tcPr>
            <w:tcW w:w="1125" w:type="dxa"/>
            <w:vAlign w:val="center"/>
          </w:tcPr>
          <w:p w14:paraId="1DE81839">
            <w:pPr>
              <w:pStyle w:val="46"/>
              <w:topLinePunct/>
              <w:bidi w:val="0"/>
              <w:spacing w:before="69" w:line="223" w:lineRule="auto"/>
              <w:ind w:left="1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10分</w:t>
            </w:r>
          </w:p>
        </w:tc>
        <w:tc>
          <w:tcPr>
            <w:tcW w:w="6930" w:type="dxa"/>
            <w:vAlign w:val="top"/>
          </w:tcPr>
          <w:p w14:paraId="63811B6C">
            <w:pPr>
              <w:topLinePunct/>
              <w:bidi w:val="0"/>
              <w:spacing w:before="33" w:line="240" w:lineRule="auto"/>
              <w:ind w:left="111" w:right="25" w:firstLine="11"/>
              <w:jc w:val="both"/>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对本项目项目班组人员配置（项目总负责人除外）进行赋分：</w:t>
            </w:r>
          </w:p>
          <w:p w14:paraId="0B6915DB">
            <w:pPr>
              <w:topLinePunct/>
              <w:bidi w:val="0"/>
              <w:spacing w:before="33" w:line="240" w:lineRule="auto"/>
              <w:ind w:left="111" w:right="25" w:firstLine="11"/>
              <w:jc w:val="both"/>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（1）配置的造价咨询人员（项目总负责人除外）人数≥5人时，得5分；配置的造价咨询人员（项目总负责人除外）人数＜5人时，得3分；</w:t>
            </w:r>
          </w:p>
          <w:p w14:paraId="657362AA">
            <w:pPr>
              <w:topLinePunct/>
              <w:bidi w:val="0"/>
              <w:spacing w:before="33" w:line="240" w:lineRule="auto"/>
              <w:ind w:left="111" w:right="25" w:firstLine="11"/>
              <w:jc w:val="both"/>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（2）配置的人员中，每配备1名一级注册造价师或高级职称人员得1分；每配备1名二级注册造价师或中级职称人员得0.5分；本项最高得5分。</w:t>
            </w:r>
          </w:p>
          <w:p w14:paraId="4AD87A99">
            <w:pPr>
              <w:topLinePunct/>
              <w:bidi w:val="0"/>
              <w:spacing w:before="33" w:line="240" w:lineRule="auto"/>
              <w:ind w:left="111" w:right="25" w:firstLine="11"/>
              <w:jc w:val="both"/>
              <w:textAlignment w:val="auto"/>
              <w:rPr>
                <w:rFonts w:hint="eastAsia" w:ascii="宋体" w:hAnsi="宋体" w:eastAsia="宋体" w:cs="宋体"/>
                <w:color w:val="000000" w:themeColor="text1"/>
                <w:spacing w:val="5"/>
                <w:sz w:val="24"/>
                <w:szCs w:val="24"/>
                <w:lang w:eastAsia="zh-CN"/>
                <w14:textFill>
                  <w14:solidFill>
                    <w14:schemeClr w14:val="tx1"/>
                  </w14:solidFill>
                </w14:textFill>
              </w:rPr>
            </w:pPr>
            <w:r>
              <w:rPr>
                <w:rFonts w:hint="eastAsia" w:ascii="Times New Roman" w:hAnsi="Times New Roman" w:eastAsia="宋体" w:cs="Times New Roman"/>
                <w:b/>
                <w:bCs/>
                <w:color w:val="000000" w:themeColor="text1"/>
                <w:lang w:val="en-US" w:eastAsia="zh-CN"/>
                <w14:textFill>
                  <w14:solidFill>
                    <w14:schemeClr w14:val="tx1"/>
                  </w14:solidFill>
                </w14:textFill>
              </w:rPr>
              <w:t>注:配备的人员须提供身份证、证书扫描件及近3个月（指2026年2月-2026年4月）本单位的社保缴纳证明。(退休人员须提供退休证及劳动合同证明)</w:t>
            </w:r>
          </w:p>
        </w:tc>
      </w:tr>
      <w:tr w14:paraId="7F49F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jc w:val="center"/>
        </w:trPr>
        <w:tc>
          <w:tcPr>
            <w:tcW w:w="855" w:type="dxa"/>
            <w:vMerge w:val="restart"/>
            <w:vAlign w:val="center"/>
          </w:tcPr>
          <w:p w14:paraId="312095A9">
            <w:pPr>
              <w:topLinePunct/>
              <w:bidi w:val="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技术部分</w:t>
            </w:r>
          </w:p>
        </w:tc>
        <w:tc>
          <w:tcPr>
            <w:tcW w:w="1140" w:type="dxa"/>
            <w:shd w:val="clear" w:color="auto" w:fill="auto"/>
            <w:vAlign w:val="center"/>
          </w:tcPr>
          <w:p w14:paraId="2B79855E">
            <w:pPr>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实施</w:t>
            </w:r>
            <w:r>
              <w:rPr>
                <w:rFonts w:hint="eastAsia" w:ascii="宋体" w:hAnsi="宋体" w:eastAsia="宋体" w:cs="宋体"/>
                <w:color w:val="auto"/>
                <w:sz w:val="21"/>
                <w:szCs w:val="21"/>
                <w:highlight w:val="none"/>
              </w:rPr>
              <w:t>方案</w:t>
            </w:r>
          </w:p>
        </w:tc>
        <w:tc>
          <w:tcPr>
            <w:tcW w:w="1125" w:type="dxa"/>
            <w:shd w:val="clear" w:color="auto" w:fill="auto"/>
            <w:vAlign w:val="center"/>
          </w:tcPr>
          <w:p w14:paraId="601DB2F2">
            <w:pPr>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27分</w:t>
            </w:r>
          </w:p>
        </w:tc>
        <w:tc>
          <w:tcPr>
            <w:tcW w:w="6930" w:type="dxa"/>
            <w:shd w:val="clear" w:color="auto" w:fill="auto"/>
            <w:vAlign w:val="top"/>
          </w:tcPr>
          <w:p w14:paraId="7ADDEA1F">
            <w:pPr>
              <w:topLinePunct/>
              <w:bidi w:val="0"/>
              <w:spacing w:before="33" w:line="240" w:lineRule="auto"/>
              <w:ind w:left="111" w:right="25" w:firstLine="11"/>
              <w:jc w:val="both"/>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实施方案内容至少包含：1、整体设想及方案策划；2、工作流程；3、服务管理方式、工作制度和工作目标；4、投入人员配备和管理措施；5、造价编制及风险控制措施；6、服务质量保证技术组织措施和保证体系及承诺；7、工作进度保证、技术组织和保证措施及工期承诺；8、重点、难点分析及应对措施；9、现场管理及协调。方案完整包含以上内容且满足本项目要求得27分，每缺一项扣3分，每有一项内容不能完全针对本项目或阐述不清楚的或存在缺陷的扣1.5分，扣完为止，未提供不得分。</w:t>
            </w:r>
          </w:p>
          <w:p w14:paraId="5AF8D85F">
            <w:pPr>
              <w:topLinePunct/>
              <w:bidi w:val="0"/>
              <w:spacing w:before="33" w:line="240" w:lineRule="auto"/>
              <w:ind w:left="111" w:right="25" w:firstLine="11"/>
              <w:jc w:val="both"/>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注：缺陷是指方案内容与采购需求严重不符、关键技术或服务措施缺失、实施流程存在明显漏洞、承诺无法落地、逻辑矛盾、数据虚假或照搬通用模板形成套话空话，未结合本项目实际需求作出针对性响应的情形；凡内容空洞、无具体措施、无明确节点、无责任落实、无量化标准，仅作原则性表述而不具备可操作性的，均视为方案缺陷。</w:t>
            </w:r>
          </w:p>
        </w:tc>
      </w:tr>
      <w:tr w14:paraId="789FD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jc w:val="center"/>
        </w:trPr>
        <w:tc>
          <w:tcPr>
            <w:tcW w:w="855" w:type="dxa"/>
            <w:vMerge w:val="continue"/>
            <w:vAlign w:val="center"/>
          </w:tcPr>
          <w:p w14:paraId="4FAE4E12">
            <w:pPr>
              <w:topLinePunct/>
              <w:bidi w:val="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140" w:type="dxa"/>
            <w:shd w:val="clear" w:color="auto" w:fill="auto"/>
            <w:vAlign w:val="center"/>
          </w:tcPr>
          <w:p w14:paraId="2A009A4E">
            <w:pPr>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服务进度管理及成果质量控制措施</w:t>
            </w:r>
          </w:p>
        </w:tc>
        <w:tc>
          <w:tcPr>
            <w:tcW w:w="1125" w:type="dxa"/>
            <w:shd w:val="clear" w:color="auto" w:fill="auto"/>
            <w:vAlign w:val="center"/>
          </w:tcPr>
          <w:p w14:paraId="31EB265B">
            <w:pPr>
              <w:pStyle w:val="46"/>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15分</w:t>
            </w:r>
          </w:p>
        </w:tc>
        <w:tc>
          <w:tcPr>
            <w:tcW w:w="6930" w:type="dxa"/>
            <w:shd w:val="clear" w:color="auto" w:fill="auto"/>
            <w:vAlign w:val="top"/>
          </w:tcPr>
          <w:p w14:paraId="30227E0D">
            <w:pPr>
              <w:topLinePunct/>
              <w:bidi w:val="0"/>
              <w:spacing w:before="33" w:line="240" w:lineRule="auto"/>
              <w:ind w:left="111" w:right="25" w:firstLine="11"/>
              <w:jc w:val="both"/>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方案内容至少包含：1、完整的服务进度计划；2、服务进度滞后应对措施；3、质量控制体系；4、审计底稿管理；5、误差率控制；方案内容完整包含以上内容且满足本项目要求得15分，每缺一项扣3分，每有一项内容不能完全针对本项目或阐述不清楚的或存在缺陷的扣1分，扣完为止，未提供不得分。</w:t>
            </w:r>
          </w:p>
          <w:p w14:paraId="23543BEA">
            <w:pPr>
              <w:topLinePunct/>
              <w:bidi w:val="0"/>
              <w:spacing w:before="33" w:line="240" w:lineRule="auto"/>
              <w:ind w:left="111" w:right="25" w:firstLine="11"/>
              <w:jc w:val="both"/>
              <w:textAlignment w:val="auto"/>
              <w:rPr>
                <w:rFonts w:hint="eastAsia" w:ascii="Times New Roman" w:hAnsi="Times New Roman" w:eastAsia="宋体" w:cs="Times New Roman"/>
                <w:color w:val="000000" w:themeColor="text1"/>
                <w:lang w:val="en-US" w:eastAsia="en-US"/>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注：缺陷是指方案内容与采购需求严重不符、关键技术或服务措施缺失、实施流程存在明显漏洞、承诺无法落地、逻辑矛盾、数据虚假或照搬通用模板形成套话空话，未结合本项目实际需求作出针对性响应的情形；凡内容空洞、无具体措施、无明确节点、无责任落实、无量化标准，仅作原则性表述而不具备可操作性的，均视为方案缺陷。</w:t>
            </w:r>
          </w:p>
        </w:tc>
      </w:tr>
      <w:tr w14:paraId="5A62B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jc w:val="center"/>
        </w:trPr>
        <w:tc>
          <w:tcPr>
            <w:tcW w:w="855" w:type="dxa"/>
            <w:vMerge w:val="continue"/>
            <w:vAlign w:val="center"/>
          </w:tcPr>
          <w:p w14:paraId="383EA045">
            <w:pPr>
              <w:topLinePunct/>
              <w:bidi w:val="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140" w:type="dxa"/>
            <w:shd w:val="clear" w:color="auto" w:fill="auto"/>
            <w:vAlign w:val="center"/>
          </w:tcPr>
          <w:p w14:paraId="426C3DC5">
            <w:pPr>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管理制度</w:t>
            </w:r>
          </w:p>
        </w:tc>
        <w:tc>
          <w:tcPr>
            <w:tcW w:w="1125" w:type="dxa"/>
            <w:shd w:val="clear" w:color="auto" w:fill="auto"/>
            <w:vAlign w:val="center"/>
          </w:tcPr>
          <w:p w14:paraId="422A5EF4">
            <w:pPr>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12分</w:t>
            </w:r>
          </w:p>
        </w:tc>
        <w:tc>
          <w:tcPr>
            <w:tcW w:w="6930" w:type="dxa"/>
            <w:shd w:val="clear" w:color="auto" w:fill="auto"/>
            <w:vAlign w:val="top"/>
          </w:tcPr>
          <w:p w14:paraId="21EE986A">
            <w:pPr>
              <w:topLinePunct/>
              <w:bidi w:val="0"/>
              <w:spacing w:before="33" w:line="240" w:lineRule="auto"/>
              <w:ind w:left="111" w:right="25" w:firstLine="11"/>
              <w:jc w:val="both"/>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管理制度</w:t>
            </w:r>
            <w:r>
              <w:rPr>
                <w:rFonts w:hint="eastAsia" w:ascii="Times New Roman" w:hAnsi="Times New Roman" w:eastAsia="宋体" w:cs="Times New Roman"/>
                <w:color w:val="000000" w:themeColor="text1"/>
                <w:lang w:val="en-US" w:eastAsia="zh-CN"/>
                <w14:textFill>
                  <w14:solidFill>
                    <w14:schemeClr w14:val="tx1"/>
                  </w14:solidFill>
                </w14:textFill>
              </w:rPr>
              <w:t>内容至少包含：1、人员考核制度；2、业务操作规程；3、签字盖章规范、逐级审核要求、工作底稿质量要求制度；4、档案管理制度。</w:t>
            </w:r>
            <w:r>
              <w:rPr>
                <w:rFonts w:hint="eastAsia" w:ascii="宋体" w:hAnsi="宋体" w:eastAsia="宋体" w:cs="宋体"/>
                <w:color w:val="auto"/>
                <w:sz w:val="21"/>
                <w:szCs w:val="21"/>
                <w:highlight w:val="none"/>
                <w:lang w:val="en-US" w:eastAsia="zh-CN"/>
              </w:rPr>
              <w:t>管理制度</w:t>
            </w:r>
            <w:r>
              <w:rPr>
                <w:rFonts w:hint="eastAsia" w:ascii="Times New Roman" w:hAnsi="Times New Roman" w:eastAsia="宋体" w:cs="Times New Roman"/>
                <w:color w:val="000000" w:themeColor="text1"/>
                <w:lang w:val="en-US" w:eastAsia="zh-CN"/>
                <w14:textFill>
                  <w14:solidFill>
                    <w14:schemeClr w14:val="tx1"/>
                  </w14:solidFill>
                </w14:textFill>
              </w:rPr>
              <w:t>内容完整包含以上内容且满足本项目要求得12分，每缺一项扣3分，每有一项内容不能完全针对本项目或阐述不清楚的或存在缺陷的扣1分，扣完为止，未提供不得分。</w:t>
            </w:r>
          </w:p>
          <w:p w14:paraId="04DB8247">
            <w:pPr>
              <w:topLinePunct/>
              <w:bidi w:val="0"/>
              <w:spacing w:before="33" w:line="240" w:lineRule="auto"/>
              <w:ind w:left="111" w:right="25" w:firstLine="11"/>
              <w:jc w:val="both"/>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注：缺陷是指方案内容与采购需求严重不符、关键技术或服务措施缺失、实施流程存在明显漏洞、承诺无法落地、逻辑矛盾、数据虚假或照搬通用模板形成套话空话，未结合本项目实际需求作出针对性响应的情形；凡内容空洞、无具体措施、无明确节点、无责任落实、无量化标准，仅作原则性表述而不具备可操作性的，均视为方案缺陷。</w:t>
            </w:r>
          </w:p>
        </w:tc>
      </w:tr>
      <w:tr w14:paraId="16C2D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jc w:val="center"/>
        </w:trPr>
        <w:tc>
          <w:tcPr>
            <w:tcW w:w="855" w:type="dxa"/>
            <w:vMerge w:val="continue"/>
            <w:vAlign w:val="center"/>
          </w:tcPr>
          <w:p w14:paraId="5EEE518E">
            <w:pPr>
              <w:topLinePunct/>
              <w:bidi w:val="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140" w:type="dxa"/>
            <w:shd w:val="clear" w:color="auto" w:fill="auto"/>
            <w:vAlign w:val="center"/>
          </w:tcPr>
          <w:p w14:paraId="500CAD8E">
            <w:pPr>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服务承诺</w:t>
            </w:r>
          </w:p>
        </w:tc>
        <w:tc>
          <w:tcPr>
            <w:tcW w:w="1125" w:type="dxa"/>
            <w:shd w:val="clear" w:color="auto" w:fill="auto"/>
            <w:vAlign w:val="center"/>
          </w:tcPr>
          <w:p w14:paraId="5C2EC02B">
            <w:pPr>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5分</w:t>
            </w:r>
          </w:p>
        </w:tc>
        <w:tc>
          <w:tcPr>
            <w:tcW w:w="6930" w:type="dxa"/>
            <w:shd w:val="clear" w:color="auto" w:fill="auto"/>
            <w:vAlign w:val="top"/>
          </w:tcPr>
          <w:p w14:paraId="1A85EB2B">
            <w:pPr>
              <w:topLinePunct/>
              <w:bidi w:val="0"/>
              <w:spacing w:before="33" w:line="240" w:lineRule="auto"/>
              <w:ind w:left="111" w:right="25" w:firstLine="11"/>
              <w:jc w:val="both"/>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服务承诺内容包含：1保密承诺；2、质量承诺；3、廉政承诺；4、履约承诺；5、响应程度承诺；服务承诺内容完整包含以上内容且满足本项目要求得5分，每缺一项扣1分，每有一项内容不能完全针对本项目或阐述不清楚的或存在缺陷的扣0.5分，扣完为止，未提供不得分。</w:t>
            </w:r>
          </w:p>
          <w:p w14:paraId="7EE5380D">
            <w:pPr>
              <w:topLinePunct/>
              <w:bidi w:val="0"/>
              <w:spacing w:before="33" w:line="240" w:lineRule="auto"/>
              <w:ind w:left="111" w:right="25" w:firstLine="11"/>
              <w:jc w:val="both"/>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注：缺陷是指方案内容与采购需求严重不符、关键技术或服务措施缺失、实施流程存在明显漏洞、承诺无法落地、逻辑矛盾、数据虚假或照搬通用模板形成套话空话，未结合本项目实际需求作出针对性响应的情形；凡内容空洞、无具体措施、无明确节点、无责任落实、无量化标准，仅作原则性表述而不具备可操作性的，均视为方案缺陷。</w:t>
            </w:r>
          </w:p>
        </w:tc>
      </w:tr>
      <w:tr w14:paraId="65B25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jc w:val="center"/>
        </w:trPr>
        <w:tc>
          <w:tcPr>
            <w:tcW w:w="855" w:type="dxa"/>
            <w:vMerge w:val="continue"/>
            <w:vAlign w:val="center"/>
          </w:tcPr>
          <w:p w14:paraId="204DC196">
            <w:pPr>
              <w:topLinePunct/>
              <w:bidi w:val="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140" w:type="dxa"/>
            <w:shd w:val="clear" w:color="auto" w:fill="auto"/>
            <w:vAlign w:val="center"/>
          </w:tcPr>
          <w:p w14:paraId="1D49573B">
            <w:pPr>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应急预案</w:t>
            </w:r>
          </w:p>
        </w:tc>
        <w:tc>
          <w:tcPr>
            <w:tcW w:w="1125" w:type="dxa"/>
            <w:shd w:val="clear" w:color="auto" w:fill="auto"/>
            <w:vAlign w:val="center"/>
          </w:tcPr>
          <w:p w14:paraId="5FC66597">
            <w:pPr>
              <w:keepNext w:val="0"/>
              <w:keepLines w:val="0"/>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10分</w:t>
            </w:r>
          </w:p>
        </w:tc>
        <w:tc>
          <w:tcPr>
            <w:tcW w:w="6930" w:type="dxa"/>
            <w:shd w:val="clear" w:color="auto" w:fill="auto"/>
            <w:vAlign w:val="top"/>
          </w:tcPr>
          <w:p w14:paraId="60077A6D">
            <w:pPr>
              <w:topLinePunct/>
              <w:bidi w:val="0"/>
              <w:spacing w:before="33" w:line="240" w:lineRule="auto"/>
              <w:ind w:left="111" w:right="25" w:firstLine="11"/>
              <w:jc w:val="both"/>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应急预案内容</w:t>
            </w:r>
            <w:r>
              <w:rPr>
                <w:rFonts w:hint="eastAsia" w:ascii="Times New Roman" w:hAnsi="Times New Roman" w:eastAsia="宋体" w:cs="Times New Roman"/>
                <w:color w:val="000000" w:themeColor="text1"/>
                <w:lang w:val="en-US" w:eastAsia="zh-CN"/>
                <w14:textFill>
                  <w14:solidFill>
                    <w14:schemeClr w14:val="tx1"/>
                  </w14:solidFill>
                </w14:textFill>
              </w:rPr>
              <w:t>应包含：1、流程；2、部门设置；3、应急服务措施；4、响应程序设置；5、响应时间安排。应急预案内容完整包含以上内容且满足本项目要求得10分，每缺一项扣2分，每有一项内容不能完全针对本项目或阐述不清楚的或存在缺陷的扣1分，扣完为止，未提供不得分。</w:t>
            </w:r>
          </w:p>
          <w:p w14:paraId="395C95FF">
            <w:pPr>
              <w:topLinePunct/>
              <w:bidi w:val="0"/>
              <w:spacing w:before="33" w:line="240" w:lineRule="auto"/>
              <w:ind w:left="111" w:right="25" w:firstLine="11"/>
              <w:jc w:val="both"/>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注：缺陷是指方案内容与采购需求严重不符、关键技术或服务措施缺失、实施流程存在明显漏洞、承诺无法落地、逻辑矛盾、数据虚假或照搬通用模板形成套话空话，未结合本项目实际需求作出针对性响应的情形；凡内容空洞、无具体措施、无明确节点、无责任落实、无量化标准，仅作原则性表述而不具备可操作性的，均视为方案缺陷。</w:t>
            </w:r>
          </w:p>
        </w:tc>
      </w:tr>
      <w:tr w14:paraId="0F42D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jc w:val="center"/>
        </w:trPr>
        <w:tc>
          <w:tcPr>
            <w:tcW w:w="3120" w:type="dxa"/>
            <w:gridSpan w:val="3"/>
            <w:vAlign w:val="top"/>
          </w:tcPr>
          <w:p w14:paraId="19C9835B">
            <w:pPr>
              <w:pStyle w:val="46"/>
              <w:topLinePunct/>
              <w:bidi w:val="0"/>
              <w:spacing w:before="186" w:line="223" w:lineRule="auto"/>
              <w:ind w:left="117"/>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供应商得分</w:t>
            </w:r>
          </w:p>
        </w:tc>
        <w:tc>
          <w:tcPr>
            <w:tcW w:w="6930" w:type="dxa"/>
            <w:vAlign w:val="top"/>
          </w:tcPr>
          <w:p w14:paraId="50AC31A6">
            <w:pPr>
              <w:pStyle w:val="46"/>
              <w:topLinePunct/>
              <w:bidi w:val="0"/>
              <w:spacing w:before="186" w:line="222" w:lineRule="auto"/>
              <w:ind w:left="116"/>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1"/>
                <w:sz w:val="21"/>
                <w:szCs w:val="21"/>
                <w14:textFill>
                  <w14:solidFill>
                    <w14:schemeClr w14:val="tx1"/>
                  </w14:solidFill>
                </w14:textFill>
              </w:rPr>
              <w:t>供应商汇总得分=技术商务</w:t>
            </w:r>
            <w:r>
              <w:rPr>
                <w:rFonts w:hint="eastAsia" w:ascii="宋体" w:hAnsi="宋体" w:eastAsia="宋体" w:cs="宋体"/>
                <w:color w:val="000000" w:themeColor="text1"/>
                <w:spacing w:val="-1"/>
                <w:sz w:val="21"/>
                <w:szCs w:val="21"/>
                <w:lang w:val="en-US" w:eastAsia="zh-CN"/>
                <w14:textFill>
                  <w14:solidFill>
                    <w14:schemeClr w14:val="tx1"/>
                  </w14:solidFill>
                </w14:textFill>
              </w:rPr>
              <w:t>评审</w:t>
            </w:r>
            <w:r>
              <w:rPr>
                <w:rFonts w:hint="eastAsia" w:ascii="宋体" w:hAnsi="宋体" w:eastAsia="宋体" w:cs="宋体"/>
                <w:color w:val="000000" w:themeColor="text1"/>
                <w:spacing w:val="-1"/>
                <w:sz w:val="21"/>
                <w:szCs w:val="21"/>
                <w14:textFill>
                  <w14:solidFill>
                    <w14:schemeClr w14:val="tx1"/>
                  </w14:solidFill>
                </w14:textFill>
              </w:rPr>
              <w:t>得分+</w:t>
            </w:r>
            <w:r>
              <w:rPr>
                <w:rFonts w:hint="eastAsia" w:ascii="宋体" w:hAnsi="宋体" w:eastAsia="宋体" w:cs="宋体"/>
                <w:color w:val="000000" w:themeColor="text1"/>
                <w:spacing w:val="-1"/>
                <w:sz w:val="21"/>
                <w:szCs w:val="21"/>
                <w:lang w:val="en-US" w:eastAsia="zh-CN"/>
                <w14:textFill>
                  <w14:solidFill>
                    <w14:schemeClr w14:val="tx1"/>
                  </w14:solidFill>
                </w14:textFill>
              </w:rPr>
              <w:t>磋商报价</w:t>
            </w:r>
            <w:r>
              <w:rPr>
                <w:rFonts w:hint="eastAsia" w:ascii="宋体" w:hAnsi="宋体" w:eastAsia="宋体" w:cs="宋体"/>
                <w:color w:val="000000" w:themeColor="text1"/>
                <w:spacing w:val="-1"/>
                <w:sz w:val="21"/>
                <w:szCs w:val="21"/>
                <w14:textFill>
                  <w14:solidFill>
                    <w14:schemeClr w14:val="tx1"/>
                  </w14:solidFill>
                </w14:textFill>
              </w:rPr>
              <w:t>评审得分</w:t>
            </w:r>
          </w:p>
        </w:tc>
      </w:tr>
      <w:tr w14:paraId="4BF63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jc w:val="center"/>
        </w:trPr>
        <w:tc>
          <w:tcPr>
            <w:tcW w:w="10050" w:type="dxa"/>
            <w:gridSpan w:val="4"/>
            <w:vAlign w:val="top"/>
          </w:tcPr>
          <w:p w14:paraId="49073821">
            <w:pPr>
              <w:pStyle w:val="46"/>
              <w:topLinePunct/>
              <w:bidi w:val="0"/>
              <w:spacing w:before="213" w:line="223" w:lineRule="auto"/>
              <w:ind w:left="328"/>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1"/>
                <w:sz w:val="21"/>
                <w:szCs w:val="21"/>
                <w14:textFill>
                  <w14:solidFill>
                    <w14:schemeClr w14:val="tx1"/>
                  </w14:solidFill>
                </w14:textFill>
              </w:rPr>
              <w:t>备注：评标委员会按照投标人最终得分由高到底顺序确定出</w:t>
            </w:r>
            <w:r>
              <w:rPr>
                <w:rFonts w:hint="eastAsia" w:ascii="宋体" w:hAnsi="宋体" w:eastAsia="宋体" w:cs="宋体"/>
                <w:color w:val="000000" w:themeColor="text1"/>
                <w:spacing w:val="-2"/>
                <w:sz w:val="21"/>
                <w:szCs w:val="21"/>
                <w14:textFill>
                  <w14:solidFill>
                    <w14:schemeClr w14:val="tx1"/>
                  </w14:solidFill>
                </w14:textFill>
              </w:rPr>
              <w:t>各投标人排名顺序。</w:t>
            </w:r>
          </w:p>
        </w:tc>
      </w:tr>
    </w:tbl>
    <w:p w14:paraId="7B9B9A0A">
      <w:pPr>
        <w:pStyle w:val="10"/>
        <w:spacing w:before="0" w:beforeLines="0" w:afterLines="0" w:line="480" w:lineRule="exact"/>
        <w:ind w:firstLine="560" w:firstLineChars="200"/>
        <w:rPr>
          <w:rFonts w:hint="default" w:ascii="Times New Roman" w:hAnsi="Times New Roman" w:cs="Times New Roman" w:eastAsiaTheme="minorEastAsia"/>
          <w:sz w:val="28"/>
          <w:szCs w:val="28"/>
          <w:lang w:val="en-US" w:eastAsia="zh-CN"/>
        </w:rPr>
      </w:pPr>
    </w:p>
    <w:p w14:paraId="6DEA2480">
      <w:pPr>
        <w:pStyle w:val="12"/>
        <w:rPr>
          <w:rFonts w:hint="default" w:ascii="Times New Roman" w:hAnsi="Times New Roman" w:cs="Times New Roman"/>
        </w:rPr>
      </w:pPr>
      <w:r>
        <w:rPr>
          <w:rFonts w:hint="default" w:ascii="Times New Roman" w:hAnsi="Times New Roman" w:cs="Times New Roman"/>
        </w:rPr>
        <w:br w:type="page"/>
      </w:r>
    </w:p>
    <w:p w14:paraId="7FD9214C">
      <w:pPr>
        <w:pStyle w:val="2"/>
        <w:spacing w:before="0" w:beforeLines="0" w:after="0" w:afterLines="0" w:line="480" w:lineRule="exact"/>
        <w:rPr>
          <w:rFonts w:hint="default" w:ascii="Times New Roman" w:hAnsi="Times New Roman" w:cs="Times New Roman"/>
          <w:sz w:val="32"/>
          <w:szCs w:val="32"/>
          <w:lang w:eastAsia="zh-CN"/>
        </w:rPr>
      </w:pPr>
      <w:bookmarkStart w:id="372" w:name="_Toc6380"/>
      <w:r>
        <w:rPr>
          <w:rFonts w:hint="default" w:ascii="Times New Roman" w:hAnsi="Times New Roman" w:cs="Times New Roman"/>
          <w:sz w:val="32"/>
          <w:szCs w:val="32"/>
        </w:rPr>
        <w:t>第</w:t>
      </w:r>
      <w:r>
        <w:rPr>
          <w:rFonts w:hint="eastAsia" w:ascii="Times New Roman" w:cs="Times New Roman"/>
          <w:sz w:val="32"/>
          <w:szCs w:val="32"/>
          <w:lang w:val="en-US" w:eastAsia="zh-CN"/>
        </w:rPr>
        <w:t>五</w:t>
      </w:r>
      <w:r>
        <w:rPr>
          <w:rFonts w:hint="default" w:ascii="Times New Roman" w:hAnsi="Times New Roman" w:cs="Times New Roman"/>
          <w:sz w:val="32"/>
          <w:szCs w:val="32"/>
        </w:rPr>
        <w:t>章</w:t>
      </w:r>
      <w:r>
        <w:rPr>
          <w:rFonts w:hint="eastAsia" w:ascii="Times New Roman" w:cs="Times New Roman"/>
          <w:sz w:val="32"/>
          <w:szCs w:val="32"/>
          <w:lang w:eastAsia="zh-CN"/>
        </w:rPr>
        <w:t>合同草案条款</w:t>
      </w:r>
      <w:bookmarkEnd w:id="372"/>
    </w:p>
    <w:p w14:paraId="60FC364A">
      <w:pPr>
        <w:pStyle w:val="20"/>
        <w:spacing w:after="200" w:line="276" w:lineRule="auto"/>
        <w:rPr>
          <w:rFonts w:hint="eastAsia" w:ascii="宋体" w:hAnsi="宋体" w:eastAsia="宋体" w:cs="宋体"/>
          <w:bCs/>
          <w:color w:val="000000"/>
          <w:sz w:val="30"/>
          <w:szCs w:val="30"/>
          <w:highlight w:val="white"/>
        </w:rPr>
      </w:pPr>
      <w:bookmarkStart w:id="373" w:name="_Toc422322481"/>
      <w:bookmarkStart w:id="374" w:name="_Toc497839197"/>
      <w:bookmarkStart w:id="375" w:name="_Toc419045066"/>
      <w:bookmarkStart w:id="376" w:name="_Toc497839348"/>
    </w:p>
    <w:p w14:paraId="08D72ECC">
      <w:pPr>
        <w:pStyle w:val="20"/>
        <w:spacing w:after="200" w:line="276" w:lineRule="auto"/>
        <w:rPr>
          <w:rFonts w:hint="eastAsia" w:ascii="宋体" w:hAnsi="宋体" w:eastAsia="宋体" w:cs="宋体"/>
          <w:b/>
          <w:color w:val="000000"/>
          <w:sz w:val="52"/>
          <w:szCs w:val="52"/>
        </w:rPr>
      </w:pPr>
      <w:r>
        <w:rPr>
          <w:rFonts w:hint="eastAsia" w:ascii="宋体" w:hAnsi="宋体" w:eastAsia="宋体" w:cs="宋体"/>
          <w:bCs/>
          <w:color w:val="000000"/>
          <w:sz w:val="30"/>
          <w:szCs w:val="30"/>
          <w:highlight w:val="white"/>
        </w:rPr>
        <w:t>GF—2015—0212</w:t>
      </w:r>
    </w:p>
    <w:p w14:paraId="6E21F538">
      <w:pPr>
        <w:pStyle w:val="20"/>
        <w:spacing w:after="200" w:line="276" w:lineRule="auto"/>
        <w:ind w:firstLine="5421" w:firstLineChars="1800"/>
        <w:rPr>
          <w:rFonts w:hint="eastAsia" w:ascii="宋体" w:hAnsi="宋体" w:eastAsia="宋体" w:cs="宋体"/>
          <w:b/>
          <w:color w:val="000000"/>
          <w:sz w:val="30"/>
          <w:szCs w:val="30"/>
          <w:lang w:eastAsia="zh-CN"/>
        </w:rPr>
      </w:pPr>
      <w:r>
        <w:rPr>
          <w:rFonts w:hint="eastAsia" w:ascii="宋体" w:hAnsi="宋体" w:eastAsia="宋体" w:cs="宋体"/>
          <w:b/>
          <w:color w:val="000000"/>
          <w:sz w:val="30"/>
          <w:szCs w:val="30"/>
          <w:highlight w:val="white"/>
        </w:rPr>
        <w:t>合同编号：_________</w:t>
      </w:r>
    </w:p>
    <w:p w14:paraId="054D589A">
      <w:pPr>
        <w:pStyle w:val="20"/>
        <w:spacing w:after="200" w:line="276" w:lineRule="auto"/>
        <w:rPr>
          <w:rFonts w:hint="eastAsia" w:ascii="宋体" w:hAnsi="宋体" w:eastAsia="宋体" w:cs="宋体"/>
        </w:rPr>
      </w:pPr>
      <w:r>
        <w:rPr>
          <w:rFonts w:hint="eastAsia" w:ascii="宋体" w:hAnsi="宋体" w:eastAsia="宋体" w:cs="宋体"/>
          <w:highlight w:val="white"/>
        </w:rPr>
        <w:br w:type="textWrapping"/>
      </w:r>
      <w:r>
        <w:rPr>
          <w:rFonts w:hint="eastAsia" w:ascii="宋体" w:hAnsi="宋体" w:eastAsia="宋体" w:cs="宋体"/>
          <w:highlight w:val="white"/>
        </w:rPr>
        <w:br w:type="textWrapping"/>
      </w:r>
    </w:p>
    <w:p w14:paraId="79DB1E7A">
      <w:pPr>
        <w:pStyle w:val="20"/>
        <w:spacing w:after="200" w:line="276" w:lineRule="auto"/>
        <w:rPr>
          <w:rFonts w:hint="eastAsia" w:ascii="宋体" w:hAnsi="宋体" w:eastAsia="宋体" w:cs="宋体"/>
        </w:rPr>
      </w:pPr>
    </w:p>
    <w:p w14:paraId="2C30FDF7">
      <w:pPr>
        <w:pStyle w:val="21"/>
        <w:rPr>
          <w:rFonts w:hint="eastAsia" w:ascii="宋体" w:hAnsi="宋体" w:eastAsia="宋体" w:cs="宋体"/>
        </w:rPr>
      </w:pPr>
    </w:p>
    <w:p w14:paraId="475F1DBD">
      <w:pPr>
        <w:pStyle w:val="21"/>
        <w:rPr>
          <w:rFonts w:hint="eastAsia" w:ascii="宋体" w:hAnsi="宋体" w:eastAsia="宋体" w:cs="宋体"/>
        </w:rPr>
      </w:pPr>
    </w:p>
    <w:p w14:paraId="3E7BD084">
      <w:pPr>
        <w:pStyle w:val="20"/>
        <w:spacing w:after="200" w:line="360" w:lineRule="auto"/>
        <w:jc w:val="center"/>
        <w:rPr>
          <w:rFonts w:hint="eastAsia" w:ascii="宋体" w:hAnsi="宋体" w:eastAsia="宋体" w:cs="宋体"/>
        </w:rPr>
      </w:pPr>
      <w:r>
        <w:rPr>
          <w:rFonts w:hint="eastAsia" w:ascii="宋体" w:hAnsi="宋体" w:eastAsia="宋体" w:cs="宋体"/>
          <w:b/>
          <w:sz w:val="72"/>
          <w:szCs w:val="72"/>
          <w:highlight w:val="white"/>
        </w:rPr>
        <w:t>建设工程造价咨询合同</w:t>
      </w:r>
      <w:r>
        <w:rPr>
          <w:rFonts w:hint="eastAsia" w:ascii="宋体" w:hAnsi="宋体" w:eastAsia="宋体" w:cs="宋体"/>
          <w:highlight w:val="white"/>
        </w:rPr>
        <w:br w:type="textWrapping"/>
      </w:r>
      <w:r>
        <w:rPr>
          <w:rFonts w:hint="eastAsia" w:ascii="宋体" w:hAnsi="宋体" w:eastAsia="宋体" w:cs="宋体"/>
          <w:b/>
          <w:sz w:val="52"/>
          <w:szCs w:val="52"/>
          <w:highlight w:val="white"/>
        </w:rPr>
        <w:t>（示范文本）</w:t>
      </w:r>
      <w:r>
        <w:rPr>
          <w:rFonts w:hint="eastAsia" w:ascii="宋体" w:hAnsi="宋体" w:eastAsia="宋体" w:cs="宋体"/>
          <w:b/>
          <w:sz w:val="52"/>
          <w:szCs w:val="52"/>
          <w:highlight w:val="white"/>
        </w:rPr>
        <w:br w:type="textWrapping"/>
      </w:r>
    </w:p>
    <w:p w14:paraId="35979CA3">
      <w:pPr>
        <w:pStyle w:val="20"/>
        <w:spacing w:after="200" w:line="276" w:lineRule="auto"/>
        <w:rPr>
          <w:rFonts w:hint="eastAsia" w:ascii="宋体" w:hAnsi="宋体" w:eastAsia="宋体" w:cs="宋体"/>
        </w:rPr>
      </w:pPr>
    </w:p>
    <w:p w14:paraId="0B9F4CA1">
      <w:pPr>
        <w:pStyle w:val="53"/>
        <w:spacing w:line="276" w:lineRule="auto"/>
        <w:jc w:val="center"/>
        <w:rPr>
          <w:rFonts w:hint="eastAsia" w:ascii="宋体" w:hAnsi="宋体" w:eastAsia="宋体" w:cs="宋体"/>
          <w:color w:val="auto"/>
        </w:rPr>
      </w:pPr>
    </w:p>
    <w:p w14:paraId="399217DB">
      <w:pPr>
        <w:pStyle w:val="53"/>
        <w:spacing w:line="276" w:lineRule="auto"/>
        <w:jc w:val="center"/>
        <w:rPr>
          <w:rFonts w:hint="eastAsia" w:ascii="宋体" w:hAnsi="宋体" w:eastAsia="宋体" w:cs="宋体"/>
          <w:color w:val="auto"/>
        </w:rPr>
      </w:pPr>
    </w:p>
    <w:p w14:paraId="4A96975C">
      <w:pPr>
        <w:pStyle w:val="53"/>
        <w:spacing w:line="276" w:lineRule="auto"/>
        <w:jc w:val="center"/>
        <w:rPr>
          <w:rFonts w:hint="eastAsia" w:ascii="宋体" w:hAnsi="宋体" w:eastAsia="宋体" w:cs="宋体"/>
          <w:color w:val="auto"/>
        </w:rPr>
      </w:pPr>
    </w:p>
    <w:p w14:paraId="0ED47DCB">
      <w:pPr>
        <w:pStyle w:val="20"/>
        <w:spacing w:after="200" w:line="276" w:lineRule="auto"/>
        <w:jc w:val="center"/>
        <w:rPr>
          <w:rFonts w:hint="eastAsia" w:ascii="宋体" w:hAnsi="宋体" w:eastAsia="宋体" w:cs="宋体"/>
          <w:b/>
          <w:sz w:val="32"/>
          <w:szCs w:val="32"/>
        </w:rPr>
      </w:pPr>
      <w:r>
        <w:rPr>
          <w:rFonts w:hint="eastAsia" w:ascii="宋体" w:hAnsi="宋体" w:eastAsia="宋体" w:cs="宋体"/>
          <w:b/>
          <w:sz w:val="32"/>
          <w:szCs w:val="32"/>
          <w:highlight w:val="white"/>
        </w:rPr>
        <w:t>住房和城乡建设部制定</w:t>
      </w:r>
    </w:p>
    <w:p w14:paraId="68006596">
      <w:pPr>
        <w:pStyle w:val="53"/>
        <w:spacing w:line="276" w:lineRule="auto"/>
        <w:rPr>
          <w:rFonts w:hint="eastAsia" w:ascii="宋体" w:hAnsi="宋体" w:eastAsia="宋体" w:cs="宋体"/>
          <w:color w:val="auto"/>
          <w:sz w:val="32"/>
          <w:szCs w:val="32"/>
        </w:rPr>
      </w:pPr>
    </w:p>
    <w:p w14:paraId="5E63E89B">
      <w:pPr>
        <w:pStyle w:val="53"/>
        <w:spacing w:line="276"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highlight w:val="white"/>
        </w:rPr>
        <w:t>国家工商行政管理总局</w:t>
      </w:r>
    </w:p>
    <w:p w14:paraId="75B9F4AF">
      <w:pPr>
        <w:pStyle w:val="53"/>
        <w:spacing w:line="276" w:lineRule="auto"/>
        <w:jc w:val="center"/>
        <w:rPr>
          <w:rFonts w:hint="eastAsia" w:ascii="宋体" w:hAnsi="宋体" w:eastAsia="宋体" w:cs="宋体"/>
          <w:sz w:val="24"/>
          <w:szCs w:val="24"/>
          <w:highlight w:val="white"/>
          <w:lang w:val="zh-CN"/>
        </w:rPr>
      </w:pPr>
    </w:p>
    <w:p w14:paraId="293D1B87">
      <w:pPr>
        <w:pStyle w:val="53"/>
        <w:spacing w:line="276" w:lineRule="auto"/>
        <w:jc w:val="center"/>
        <w:rPr>
          <w:rFonts w:hint="eastAsia" w:ascii="宋体" w:hAnsi="宋体" w:eastAsia="宋体" w:cs="宋体"/>
          <w:sz w:val="24"/>
          <w:szCs w:val="24"/>
          <w:highlight w:val="white"/>
          <w:lang w:val="zh-CN"/>
        </w:rPr>
      </w:pPr>
    </w:p>
    <w:p w14:paraId="0C53CB77">
      <w:pPr>
        <w:pStyle w:val="53"/>
        <w:spacing w:line="276" w:lineRule="auto"/>
        <w:jc w:val="center"/>
        <w:rPr>
          <w:rFonts w:hint="eastAsia" w:ascii="宋体" w:hAnsi="宋体" w:eastAsia="宋体" w:cs="宋体"/>
          <w:color w:val="auto"/>
          <w:sz w:val="32"/>
          <w:szCs w:val="32"/>
        </w:rPr>
      </w:pPr>
      <w:r>
        <w:rPr>
          <w:rFonts w:hint="eastAsia" w:ascii="宋体" w:hAnsi="宋体" w:eastAsia="宋体" w:cs="宋体"/>
          <w:sz w:val="24"/>
          <w:szCs w:val="24"/>
          <w:highlight w:val="white"/>
          <w:lang w:val="zh-CN"/>
        </w:rPr>
        <w:t>说明</w:t>
      </w:r>
    </w:p>
    <w:p w14:paraId="0E086CA0">
      <w:pPr>
        <w:pStyle w:val="20"/>
        <w:spacing w:after="200" w:line="400" w:lineRule="exact"/>
        <w:ind w:firstLine="420" w:firstLineChars="200"/>
        <w:rPr>
          <w:rFonts w:hint="eastAsia" w:ascii="宋体" w:hAnsi="宋体" w:eastAsia="宋体" w:cs="宋体"/>
        </w:rPr>
      </w:pPr>
      <w:r>
        <w:rPr>
          <w:rFonts w:hint="eastAsia" w:ascii="宋体" w:hAnsi="宋体" w:eastAsia="宋体" w:cs="宋体"/>
          <w:highlight w:val="white"/>
        </w:rPr>
        <w:t>为了指导建设工程造价咨询合同当事人的签约行为，维护合同当事人的合法权益，依据《中华人民共和国</w:t>
      </w:r>
      <w:r>
        <w:rPr>
          <w:rFonts w:hint="eastAsia" w:ascii="宋体" w:hAnsi="宋体" w:eastAsia="宋体" w:cs="宋体"/>
          <w:highlight w:val="white"/>
          <w:lang w:val="en-US" w:eastAsia="zh-CN"/>
        </w:rPr>
        <w:t>民法典</w:t>
      </w:r>
      <w:r>
        <w:rPr>
          <w:rFonts w:hint="eastAsia" w:ascii="宋体" w:hAnsi="宋体" w:eastAsia="宋体" w:cs="宋体"/>
          <w:highlight w:val="white"/>
        </w:rPr>
        <w:t>》、《中华人民共和国招标投标法》以及相关法律法规，住房和城乡建设部、国家工商行政管理总局对《建设工程造价咨询合同（示范文本）》（GF-2002-0212）进行了修订，制定了《建设工程造价咨询合同（示范文本）》（GF-2015-0212）（以下简称《示范文本》）。为了便于合同当事人使用《示范文本》，现就有关问题说明如下：</w:t>
      </w:r>
    </w:p>
    <w:p w14:paraId="3E8C44C9">
      <w:pPr>
        <w:pStyle w:val="20"/>
        <w:spacing w:after="200" w:line="400" w:lineRule="exact"/>
        <w:ind w:firstLine="420" w:firstLineChars="200"/>
        <w:rPr>
          <w:rFonts w:hint="eastAsia" w:ascii="宋体" w:hAnsi="宋体" w:eastAsia="宋体" w:cs="宋体"/>
          <w:bCs/>
        </w:rPr>
      </w:pPr>
      <w:r>
        <w:rPr>
          <w:rFonts w:hint="eastAsia" w:ascii="宋体" w:hAnsi="宋体" w:eastAsia="宋体" w:cs="宋体"/>
          <w:bCs/>
          <w:highlight w:val="white"/>
        </w:rPr>
        <w:t>一、《示范文本》的组成</w:t>
      </w:r>
    </w:p>
    <w:p w14:paraId="1C07A3EC">
      <w:pPr>
        <w:pStyle w:val="20"/>
        <w:spacing w:after="200" w:line="400" w:lineRule="exact"/>
        <w:ind w:firstLine="420" w:firstLineChars="200"/>
        <w:rPr>
          <w:rFonts w:hint="eastAsia" w:ascii="宋体" w:hAnsi="宋体" w:eastAsia="宋体" w:cs="宋体"/>
        </w:rPr>
      </w:pPr>
      <w:r>
        <w:rPr>
          <w:rFonts w:hint="eastAsia" w:ascii="宋体" w:hAnsi="宋体" w:eastAsia="宋体" w:cs="宋体"/>
          <w:highlight w:val="white"/>
        </w:rPr>
        <w:t>《示范文本》由协议书、通用条件和专用条件三部分组成。</w:t>
      </w:r>
    </w:p>
    <w:p w14:paraId="5B1DB966">
      <w:pPr>
        <w:pStyle w:val="20"/>
        <w:spacing w:after="200" w:line="400" w:lineRule="exact"/>
        <w:ind w:firstLine="420" w:firstLineChars="200"/>
        <w:rPr>
          <w:rFonts w:hint="eastAsia" w:ascii="宋体" w:hAnsi="宋体" w:eastAsia="宋体" w:cs="宋体"/>
        </w:rPr>
      </w:pPr>
      <w:r>
        <w:rPr>
          <w:rFonts w:hint="eastAsia" w:ascii="宋体" w:hAnsi="宋体" w:eastAsia="宋体" w:cs="宋体"/>
          <w:highlight w:val="white"/>
        </w:rPr>
        <w:t>（一）协议书</w:t>
      </w:r>
    </w:p>
    <w:p w14:paraId="05FD43FA">
      <w:pPr>
        <w:pStyle w:val="20"/>
        <w:spacing w:after="200" w:line="400" w:lineRule="exact"/>
        <w:ind w:left="147" w:leftChars="70" w:firstLine="315" w:firstLineChars="150"/>
        <w:rPr>
          <w:rFonts w:hint="eastAsia" w:ascii="宋体" w:hAnsi="宋体" w:eastAsia="宋体" w:cs="宋体"/>
        </w:rPr>
      </w:pPr>
      <w:r>
        <w:rPr>
          <w:rFonts w:hint="eastAsia" w:ascii="宋体" w:hAnsi="宋体" w:eastAsia="宋体" w:cs="宋体"/>
          <w:highlight w:val="white"/>
        </w:rPr>
        <w:t>《示范文本》协议书集中约定了合同当事人基本的合同权利义务。</w:t>
      </w:r>
    </w:p>
    <w:p w14:paraId="66915237">
      <w:pPr>
        <w:pStyle w:val="20"/>
        <w:spacing w:after="200" w:line="400" w:lineRule="exact"/>
        <w:ind w:firstLine="420" w:firstLineChars="200"/>
        <w:rPr>
          <w:rFonts w:hint="eastAsia" w:ascii="宋体" w:hAnsi="宋体" w:eastAsia="宋体" w:cs="宋体"/>
        </w:rPr>
      </w:pPr>
      <w:r>
        <w:rPr>
          <w:rFonts w:hint="eastAsia" w:ascii="宋体" w:hAnsi="宋体" w:eastAsia="宋体" w:cs="宋体"/>
          <w:highlight w:val="white"/>
        </w:rPr>
        <w:t>（二）通用条件</w:t>
      </w:r>
    </w:p>
    <w:p w14:paraId="47617CF9">
      <w:pPr>
        <w:pStyle w:val="20"/>
        <w:spacing w:after="200" w:line="400" w:lineRule="exact"/>
        <w:ind w:firstLine="420" w:firstLineChars="200"/>
        <w:rPr>
          <w:rFonts w:hint="eastAsia" w:ascii="宋体" w:hAnsi="宋体" w:eastAsia="宋体" w:cs="宋体"/>
        </w:rPr>
      </w:pPr>
      <w:r>
        <w:rPr>
          <w:rFonts w:hint="eastAsia" w:ascii="宋体" w:hAnsi="宋体" w:eastAsia="宋体" w:cs="宋体"/>
          <w:highlight w:val="white"/>
        </w:rPr>
        <w:t>通用条件是合同当事人根据《中华人民共和国</w:t>
      </w:r>
      <w:r>
        <w:rPr>
          <w:rFonts w:hint="eastAsia" w:ascii="宋体" w:hAnsi="宋体" w:eastAsia="宋体" w:cs="宋体"/>
          <w:highlight w:val="white"/>
          <w:lang w:val="en-US" w:eastAsia="zh-CN"/>
        </w:rPr>
        <w:t>民法典</w:t>
      </w:r>
      <w:r>
        <w:rPr>
          <w:rFonts w:hint="eastAsia" w:ascii="宋体" w:hAnsi="宋体" w:eastAsia="宋体" w:cs="宋体"/>
          <w:highlight w:val="white"/>
        </w:rPr>
        <w:t>》等法律法规的规定，就工程造价咨询的实施及相关事项，对合同当事人的权利义务作出的原则性约定。</w:t>
      </w:r>
    </w:p>
    <w:p w14:paraId="73FB9DC7">
      <w:pPr>
        <w:pStyle w:val="20"/>
        <w:spacing w:after="200" w:line="400" w:lineRule="exact"/>
        <w:ind w:firstLine="420" w:firstLineChars="200"/>
        <w:rPr>
          <w:rFonts w:hint="eastAsia" w:ascii="宋体" w:hAnsi="宋体" w:eastAsia="宋体" w:cs="宋体"/>
        </w:rPr>
      </w:pPr>
      <w:r>
        <w:rPr>
          <w:rFonts w:hint="eastAsia" w:ascii="宋体" w:hAnsi="宋体" w:eastAsia="宋体" w:cs="宋体"/>
          <w:highlight w:val="white"/>
        </w:rPr>
        <w:t>通用条件既考虑了现行法律法规对工程发承包计价的有关要求，也考虑了工程造价咨询管理的特殊需要。</w:t>
      </w:r>
    </w:p>
    <w:p w14:paraId="630C7F37">
      <w:pPr>
        <w:pStyle w:val="20"/>
        <w:spacing w:after="200" w:line="400" w:lineRule="exact"/>
        <w:ind w:firstLine="420" w:firstLineChars="200"/>
        <w:rPr>
          <w:rFonts w:hint="eastAsia" w:ascii="宋体" w:hAnsi="宋体" w:eastAsia="宋体" w:cs="宋体"/>
        </w:rPr>
      </w:pPr>
      <w:r>
        <w:rPr>
          <w:rFonts w:hint="eastAsia" w:ascii="宋体" w:hAnsi="宋体" w:eastAsia="宋体" w:cs="宋体"/>
          <w:highlight w:val="white"/>
        </w:rPr>
        <w:t>（三）专用条件</w:t>
      </w:r>
    </w:p>
    <w:p w14:paraId="235A2E1A">
      <w:pPr>
        <w:pStyle w:val="20"/>
        <w:spacing w:after="200" w:line="400" w:lineRule="exact"/>
        <w:ind w:firstLine="420" w:firstLineChars="200"/>
        <w:rPr>
          <w:rFonts w:hint="eastAsia" w:ascii="宋体" w:hAnsi="宋体" w:eastAsia="宋体" w:cs="宋体"/>
        </w:rPr>
      </w:pPr>
      <w:r>
        <w:rPr>
          <w:rFonts w:hint="eastAsia" w:ascii="宋体" w:hAnsi="宋体" w:eastAsia="宋体" w:cs="宋体"/>
          <w:highlight w:val="white"/>
        </w:rPr>
        <w:t>专用条件是对通用条件原则性约定的细化、完善、补充、修改或另行约定的条件。合同当事人可以根据不同建设工程的特点及发承包计价的具体情况，通过双方的谈判、协商对相应的专用条件进行修改补充。在使用专用条件时，应注意以下事项：</w:t>
      </w:r>
    </w:p>
    <w:p w14:paraId="3ACA1A8C">
      <w:pPr>
        <w:pStyle w:val="20"/>
        <w:spacing w:after="200" w:line="400" w:lineRule="exact"/>
        <w:ind w:right="25" w:rightChars="12" w:firstLine="420" w:firstLineChars="200"/>
        <w:rPr>
          <w:rFonts w:hint="eastAsia" w:ascii="宋体" w:hAnsi="宋体" w:eastAsia="宋体" w:cs="宋体"/>
        </w:rPr>
      </w:pPr>
      <w:r>
        <w:rPr>
          <w:rFonts w:hint="eastAsia" w:ascii="宋体" w:hAnsi="宋体" w:eastAsia="宋体" w:cs="宋体"/>
          <w:highlight w:val="white"/>
        </w:rPr>
        <w:t>1.专用条件的编号应与相应的通用条件的编号一致；</w:t>
      </w:r>
    </w:p>
    <w:p w14:paraId="1200A191">
      <w:pPr>
        <w:pStyle w:val="20"/>
        <w:spacing w:after="200" w:line="400" w:lineRule="exact"/>
        <w:ind w:firstLine="420" w:firstLineChars="200"/>
        <w:rPr>
          <w:rFonts w:hint="eastAsia" w:ascii="宋体" w:hAnsi="宋体" w:eastAsia="宋体" w:cs="宋体"/>
        </w:rPr>
      </w:pPr>
      <w:r>
        <w:rPr>
          <w:rFonts w:hint="eastAsia" w:ascii="宋体" w:hAnsi="宋体" w:eastAsia="宋体" w:cs="宋体"/>
          <w:highlight w:val="white"/>
        </w:rPr>
        <w:t>2.合同当事人可以通过对专用条件的修改，满足具体工程的特殊要求，避免直接修改通用条件；</w:t>
      </w:r>
    </w:p>
    <w:p w14:paraId="1969712A">
      <w:pPr>
        <w:pStyle w:val="20"/>
        <w:spacing w:after="200" w:line="400" w:lineRule="exact"/>
        <w:ind w:firstLine="420" w:firstLineChars="200"/>
        <w:rPr>
          <w:rFonts w:hint="eastAsia" w:ascii="宋体" w:hAnsi="宋体" w:eastAsia="宋体" w:cs="宋体"/>
        </w:rPr>
      </w:pPr>
      <w:r>
        <w:rPr>
          <w:rFonts w:hint="eastAsia" w:ascii="宋体" w:hAnsi="宋体" w:eastAsia="宋体" w:cs="宋体"/>
          <w:highlight w:val="white"/>
        </w:rPr>
        <w:t>3.在专用条件中有横道线的地方，合同当事人可针对相应的通用条件进行细化、完善、补充、修改或另行约定；如无细化、完善、补充、修改或另行约定，则填写“无”或划“/”。</w:t>
      </w:r>
    </w:p>
    <w:p w14:paraId="3532DED5">
      <w:pPr>
        <w:pStyle w:val="20"/>
        <w:spacing w:after="200" w:line="400" w:lineRule="exact"/>
        <w:ind w:firstLine="420" w:firstLineChars="200"/>
        <w:rPr>
          <w:rFonts w:hint="eastAsia" w:ascii="宋体" w:hAnsi="宋体" w:eastAsia="宋体" w:cs="宋体"/>
          <w:b/>
        </w:rPr>
      </w:pPr>
      <w:r>
        <w:rPr>
          <w:rFonts w:hint="eastAsia" w:ascii="宋体" w:hAnsi="宋体" w:eastAsia="宋体" w:cs="宋体"/>
          <w:bCs/>
          <w:highlight w:val="white"/>
        </w:rPr>
        <w:t>二、《示范文本》的性质和适用范围</w:t>
      </w:r>
    </w:p>
    <w:p w14:paraId="3BC9951F">
      <w:pPr>
        <w:pStyle w:val="20"/>
        <w:spacing w:after="200" w:line="400" w:lineRule="exact"/>
        <w:ind w:firstLine="420" w:firstLineChars="200"/>
        <w:rPr>
          <w:rFonts w:hint="eastAsia" w:ascii="宋体" w:hAnsi="宋体" w:eastAsia="宋体" w:cs="宋体"/>
          <w:sz w:val="28"/>
          <w:szCs w:val="28"/>
        </w:rPr>
      </w:pPr>
      <w:r>
        <w:rPr>
          <w:rFonts w:hint="eastAsia" w:ascii="宋体" w:hAnsi="宋体" w:eastAsia="宋体" w:cs="宋体"/>
          <w:highlight w:val="white"/>
        </w:rPr>
        <w:t>《示范文本》供合同双方当事人参照使用，可适用于各类建设工程全过程造价咨询服务以及阶段性造价咨询服务的合同订立。合同当事人可结合建设工程具体情况，按照法律法规规定，根据《示范文本》的内容，约定双方具体的权利义务。</w:t>
      </w:r>
    </w:p>
    <w:p w14:paraId="654894C5">
      <w:pPr>
        <w:pStyle w:val="54"/>
        <w:spacing w:before="120" w:after="120" w:line="360" w:lineRule="exact"/>
        <w:jc w:val="center"/>
        <w:rPr>
          <w:rFonts w:hint="eastAsia" w:ascii="宋体" w:hAnsi="宋体" w:eastAsia="宋体" w:cs="宋体"/>
          <w:sz w:val="21"/>
          <w:szCs w:val="21"/>
        </w:rPr>
      </w:pPr>
      <w:bookmarkStart w:id="377" w:name="_Toc422322470"/>
      <w:bookmarkStart w:id="378" w:name="_Toc419045055"/>
      <w:bookmarkStart w:id="379" w:name="_Toc256000064"/>
      <w:bookmarkStart w:id="380" w:name="_Toc497839188"/>
      <w:bookmarkStart w:id="381" w:name="_Toc497839339"/>
      <w:r>
        <w:rPr>
          <w:rFonts w:hint="eastAsia" w:ascii="宋体" w:hAnsi="宋体" w:eastAsia="宋体" w:cs="宋体"/>
          <w:sz w:val="32"/>
          <w:szCs w:val="32"/>
          <w:highlight w:val="white"/>
        </w:rPr>
        <w:br w:type="page"/>
      </w:r>
      <w:bookmarkStart w:id="382" w:name="_Toc20622"/>
      <w:bookmarkStart w:id="383" w:name="_Toc256000146"/>
      <w:bookmarkStart w:id="384" w:name="_Toc26757"/>
      <w:r>
        <w:rPr>
          <w:rFonts w:hint="eastAsia" w:ascii="宋体" w:hAnsi="宋体" w:eastAsia="宋体" w:cs="宋体"/>
          <w:sz w:val="32"/>
          <w:szCs w:val="32"/>
          <w:highlight w:val="white"/>
        </w:rPr>
        <w:t>第一部分　协议书</w:t>
      </w:r>
      <w:bookmarkEnd w:id="377"/>
      <w:bookmarkEnd w:id="378"/>
      <w:bookmarkEnd w:id="379"/>
      <w:bookmarkEnd w:id="380"/>
      <w:bookmarkEnd w:id="381"/>
      <w:bookmarkEnd w:id="382"/>
      <w:bookmarkEnd w:id="383"/>
      <w:bookmarkEnd w:id="384"/>
    </w:p>
    <w:p w14:paraId="54D58A68">
      <w:pPr>
        <w:pStyle w:val="55"/>
        <w:spacing w:after="200" w:line="360" w:lineRule="exact"/>
        <w:ind w:left="420" w:leftChars="200"/>
        <w:jc w:val="left"/>
        <w:rPr>
          <w:rFonts w:hint="eastAsia" w:ascii="宋体" w:hAnsi="宋体" w:eastAsia="宋体" w:cs="宋体"/>
          <w:sz w:val="21"/>
        </w:rPr>
      </w:pPr>
      <w:bookmarkStart w:id="385" w:name="7"/>
      <w:r>
        <w:rPr>
          <w:rFonts w:hint="eastAsia" w:ascii="宋体" w:hAnsi="宋体" w:eastAsia="宋体" w:cs="宋体"/>
          <w:sz w:val="21"/>
          <w:highlight w:val="white"/>
        </w:rPr>
        <w:t>委托人（全称）：__________________________________</w:t>
      </w:r>
    </w:p>
    <w:p w14:paraId="7C654082">
      <w:pPr>
        <w:pStyle w:val="55"/>
        <w:spacing w:after="200" w:line="360" w:lineRule="exact"/>
        <w:ind w:left="420" w:leftChars="200"/>
        <w:jc w:val="left"/>
        <w:rPr>
          <w:rFonts w:hint="eastAsia" w:ascii="宋体" w:hAnsi="宋体" w:eastAsia="宋体" w:cs="宋体"/>
          <w:sz w:val="21"/>
        </w:rPr>
      </w:pPr>
      <w:r>
        <w:rPr>
          <w:rFonts w:hint="eastAsia" w:ascii="宋体" w:hAnsi="宋体" w:eastAsia="宋体" w:cs="宋体"/>
          <w:sz w:val="21"/>
          <w:highlight w:val="white"/>
        </w:rPr>
        <w:t>咨询人（全称）：__________________________________</w:t>
      </w:r>
    </w:p>
    <w:p w14:paraId="3B537E2A">
      <w:pPr>
        <w:pStyle w:val="55"/>
        <w:spacing w:after="200" w:line="360" w:lineRule="exact"/>
        <w:ind w:left="420" w:leftChars="200"/>
        <w:jc w:val="left"/>
        <w:rPr>
          <w:rFonts w:hint="eastAsia" w:ascii="宋体" w:hAnsi="宋体" w:eastAsia="宋体" w:cs="宋体"/>
          <w:sz w:val="21"/>
        </w:rPr>
      </w:pPr>
      <w:r>
        <w:rPr>
          <w:rFonts w:hint="eastAsia" w:ascii="宋体" w:hAnsi="宋体" w:eastAsia="宋体" w:cs="宋体"/>
          <w:sz w:val="21"/>
          <w:highlight w:val="white"/>
        </w:rPr>
        <w:t>根据《中华人民共和国民法典》及其他有关法律、法规，遵循平等、自</w:t>
      </w:r>
    </w:p>
    <w:p w14:paraId="1EB4EA07">
      <w:pPr>
        <w:pStyle w:val="55"/>
        <w:spacing w:after="200" w:line="360" w:lineRule="exact"/>
        <w:jc w:val="left"/>
        <w:rPr>
          <w:rFonts w:hint="eastAsia" w:ascii="宋体" w:hAnsi="宋体" w:eastAsia="宋体" w:cs="宋体"/>
          <w:sz w:val="21"/>
        </w:rPr>
      </w:pPr>
      <w:r>
        <w:rPr>
          <w:rFonts w:hint="eastAsia" w:ascii="宋体" w:hAnsi="宋体" w:eastAsia="宋体" w:cs="宋体"/>
          <w:sz w:val="21"/>
          <w:highlight w:val="white"/>
        </w:rPr>
        <w:t>愿、公平和诚实信用的原则，双方就下述建设工程委托造价咨询与其他服务事项协商一致，订立本合同。</w:t>
      </w:r>
    </w:p>
    <w:p w14:paraId="421D23EB">
      <w:pPr>
        <w:pStyle w:val="20"/>
        <w:spacing w:after="200" w:line="360" w:lineRule="exact"/>
        <w:ind w:firstLine="422" w:firstLineChars="200"/>
        <w:jc w:val="left"/>
        <w:rPr>
          <w:rFonts w:hint="eastAsia" w:ascii="宋体" w:hAnsi="宋体" w:eastAsia="宋体" w:cs="宋体"/>
          <w:szCs w:val="21"/>
          <w:lang w:eastAsia="zh-CN"/>
        </w:rPr>
      </w:pPr>
      <w:bookmarkStart w:id="386" w:name="_Toc422322471"/>
      <w:bookmarkStart w:id="387" w:name="_Toc12154"/>
      <w:bookmarkStart w:id="388" w:name="_Toc935"/>
      <w:bookmarkStart w:id="389" w:name="_Toc419045056"/>
      <w:r>
        <w:rPr>
          <w:rStyle w:val="56"/>
          <w:rFonts w:hint="eastAsia" w:ascii="宋体" w:hAnsi="宋体" w:eastAsia="宋体" w:cs="宋体"/>
          <w:sz w:val="21"/>
          <w:szCs w:val="21"/>
          <w:highlight w:val="white"/>
        </w:rPr>
        <w:t>一、工程概况</w:t>
      </w:r>
      <w:bookmarkEnd w:id="386"/>
      <w:bookmarkEnd w:id="387"/>
      <w:bookmarkEnd w:id="388"/>
      <w:r>
        <w:rPr>
          <w:rFonts w:hint="eastAsia" w:ascii="宋体" w:hAnsi="宋体" w:eastAsia="宋体" w:cs="宋体"/>
          <w:szCs w:val="21"/>
          <w:highlight w:val="white"/>
        </w:rPr>
        <w:br w:type="textWrapping"/>
      </w:r>
      <w:r>
        <w:rPr>
          <w:rFonts w:hint="eastAsia" w:ascii="宋体" w:hAnsi="宋体" w:eastAsia="宋体" w:cs="宋体"/>
          <w:szCs w:val="21"/>
          <w:highlight w:val="white"/>
        </w:rPr>
        <w:t>1.工程名称：</w:t>
      </w:r>
      <w:r>
        <w:rPr>
          <w:rFonts w:hint="eastAsia" w:ascii="宋体" w:hAnsi="宋体" w:eastAsia="宋体" w:cs="宋体"/>
          <w:szCs w:val="21"/>
          <w:highlight w:val="white"/>
          <w:u w:val="single"/>
        </w:rPr>
        <w:tab/>
      </w:r>
      <w:r>
        <w:rPr>
          <w:rFonts w:hint="eastAsia" w:ascii="宋体" w:hAnsi="宋体" w:eastAsia="宋体" w:cs="宋体"/>
          <w:szCs w:val="21"/>
          <w:highlight w:val="white"/>
          <w:u w:val="single"/>
        </w:rPr>
        <w:tab/>
      </w:r>
      <w:r>
        <w:rPr>
          <w:rFonts w:hint="eastAsia" w:ascii="宋体" w:hAnsi="宋体" w:eastAsia="宋体" w:cs="宋体"/>
          <w:szCs w:val="21"/>
          <w:highlight w:val="white"/>
        </w:rPr>
        <w:t>。</w:t>
      </w:r>
      <w:r>
        <w:rPr>
          <w:rFonts w:hint="eastAsia" w:ascii="宋体" w:hAnsi="宋体" w:eastAsia="宋体" w:cs="宋体"/>
          <w:szCs w:val="21"/>
          <w:highlight w:val="white"/>
        </w:rPr>
        <w:br w:type="textWrapping"/>
      </w:r>
      <w:r>
        <w:rPr>
          <w:rFonts w:hint="eastAsia" w:ascii="宋体" w:hAnsi="宋体" w:eastAsia="宋体" w:cs="宋体"/>
          <w:szCs w:val="21"/>
          <w:highlight w:val="white"/>
        </w:rPr>
        <w:t>2.工程地点：</w:t>
      </w:r>
      <w:bookmarkEnd w:id="389"/>
      <w:r>
        <w:rPr>
          <w:rFonts w:hint="eastAsia" w:ascii="宋体" w:hAnsi="宋体" w:eastAsia="宋体" w:cs="宋体"/>
          <w:szCs w:val="21"/>
          <w:highlight w:val="white"/>
          <w:u w:val="single"/>
        </w:rPr>
        <w:tab/>
      </w:r>
      <w:r>
        <w:rPr>
          <w:rFonts w:hint="eastAsia" w:ascii="宋体" w:hAnsi="宋体" w:eastAsia="宋体" w:cs="宋体"/>
          <w:szCs w:val="21"/>
          <w:highlight w:val="white"/>
          <w:u w:val="single"/>
        </w:rPr>
        <w:tab/>
      </w:r>
      <w:r>
        <w:rPr>
          <w:rFonts w:hint="eastAsia" w:ascii="宋体" w:hAnsi="宋体" w:eastAsia="宋体" w:cs="宋体"/>
          <w:szCs w:val="21"/>
          <w:highlight w:val="white"/>
        </w:rPr>
        <w:t>。</w:t>
      </w:r>
    </w:p>
    <w:p w14:paraId="6892962B">
      <w:pPr>
        <w:pStyle w:val="55"/>
        <w:spacing w:after="200" w:line="360" w:lineRule="exact"/>
        <w:ind w:firstLine="525" w:firstLineChars="250"/>
        <w:jc w:val="left"/>
        <w:rPr>
          <w:rFonts w:hint="eastAsia" w:ascii="宋体" w:hAnsi="宋体" w:eastAsia="宋体" w:cs="宋体"/>
          <w:sz w:val="21"/>
          <w:u w:val="single"/>
        </w:rPr>
      </w:pPr>
      <w:r>
        <w:rPr>
          <w:rFonts w:hint="eastAsia" w:ascii="宋体" w:hAnsi="宋体" w:eastAsia="宋体" w:cs="宋体"/>
          <w:sz w:val="21"/>
          <w:highlight w:val="white"/>
        </w:rPr>
        <w:t>3.工程规模：</w:t>
      </w:r>
      <w:r>
        <w:rPr>
          <w:rFonts w:hint="eastAsia" w:ascii="宋体" w:hAnsi="宋体" w:eastAsia="宋体" w:cs="宋体"/>
          <w:sz w:val="21"/>
          <w:highlight w:val="white"/>
          <w:u w:val="single"/>
        </w:rPr>
        <w:tab/>
      </w:r>
      <w:r>
        <w:rPr>
          <w:rFonts w:hint="eastAsia" w:ascii="宋体" w:hAnsi="宋体" w:eastAsia="宋体" w:cs="宋体"/>
          <w:sz w:val="21"/>
          <w:highlight w:val="white"/>
          <w:u w:val="single"/>
        </w:rPr>
        <w:tab/>
      </w:r>
      <w:r>
        <w:rPr>
          <w:rFonts w:hint="eastAsia" w:ascii="宋体" w:hAnsi="宋体" w:eastAsia="宋体" w:cs="宋体"/>
          <w:sz w:val="21"/>
          <w:highlight w:val="white"/>
        </w:rPr>
        <w:t>。</w:t>
      </w:r>
    </w:p>
    <w:p w14:paraId="754C0D5A">
      <w:pPr>
        <w:pStyle w:val="55"/>
        <w:spacing w:after="200" w:line="360" w:lineRule="exact"/>
        <w:ind w:firstLine="525" w:firstLineChars="250"/>
        <w:jc w:val="left"/>
        <w:rPr>
          <w:rFonts w:hint="eastAsia" w:ascii="宋体" w:hAnsi="宋体" w:eastAsia="宋体" w:cs="宋体"/>
          <w:sz w:val="21"/>
        </w:rPr>
      </w:pPr>
      <w:r>
        <w:rPr>
          <w:rFonts w:hint="eastAsia" w:ascii="宋体" w:hAnsi="宋体" w:eastAsia="宋体" w:cs="宋体"/>
          <w:sz w:val="21"/>
          <w:highlight w:val="white"/>
        </w:rPr>
        <w:t>4.投资金额：</w:t>
      </w:r>
      <w:r>
        <w:rPr>
          <w:rFonts w:hint="eastAsia" w:ascii="宋体" w:hAnsi="宋体" w:eastAsia="宋体" w:cs="宋体"/>
          <w:sz w:val="21"/>
          <w:highlight w:val="white"/>
          <w:u w:val="single"/>
        </w:rPr>
        <w:tab/>
      </w:r>
      <w:r>
        <w:rPr>
          <w:rFonts w:hint="eastAsia" w:ascii="宋体" w:hAnsi="宋体" w:eastAsia="宋体" w:cs="宋体"/>
          <w:sz w:val="21"/>
          <w:highlight w:val="white"/>
          <w:u w:val="single"/>
        </w:rPr>
        <w:tab/>
      </w:r>
      <w:r>
        <w:rPr>
          <w:rFonts w:hint="eastAsia" w:ascii="宋体" w:hAnsi="宋体" w:eastAsia="宋体" w:cs="宋体"/>
          <w:sz w:val="21"/>
          <w:highlight w:val="white"/>
        </w:rPr>
        <w:t>。</w:t>
      </w:r>
    </w:p>
    <w:p w14:paraId="37A98F5E">
      <w:pPr>
        <w:pStyle w:val="55"/>
        <w:spacing w:after="200" w:line="360" w:lineRule="exact"/>
        <w:ind w:firstLine="525" w:firstLineChars="250"/>
        <w:jc w:val="left"/>
        <w:rPr>
          <w:rFonts w:hint="eastAsia" w:ascii="宋体" w:hAnsi="宋体" w:eastAsia="宋体" w:cs="宋体"/>
          <w:sz w:val="21"/>
        </w:rPr>
      </w:pPr>
      <w:r>
        <w:rPr>
          <w:rFonts w:hint="eastAsia" w:ascii="宋体" w:hAnsi="宋体" w:eastAsia="宋体" w:cs="宋体"/>
          <w:sz w:val="21"/>
          <w:highlight w:val="white"/>
        </w:rPr>
        <w:t>5.资金来源：</w:t>
      </w:r>
      <w:r>
        <w:rPr>
          <w:rFonts w:hint="eastAsia" w:ascii="宋体" w:hAnsi="宋体" w:eastAsia="宋体" w:cs="宋体"/>
          <w:sz w:val="21"/>
          <w:highlight w:val="white"/>
          <w:u w:val="single"/>
        </w:rPr>
        <w:tab/>
      </w:r>
      <w:r>
        <w:rPr>
          <w:rFonts w:hint="eastAsia" w:ascii="宋体" w:hAnsi="宋体" w:eastAsia="宋体" w:cs="宋体"/>
          <w:sz w:val="21"/>
          <w:highlight w:val="white"/>
        </w:rPr>
        <w:t>。</w:t>
      </w:r>
    </w:p>
    <w:p w14:paraId="05212FC8">
      <w:pPr>
        <w:pStyle w:val="55"/>
        <w:spacing w:after="200" w:line="360" w:lineRule="exact"/>
        <w:ind w:firstLine="525" w:firstLineChars="250"/>
        <w:jc w:val="left"/>
        <w:rPr>
          <w:rFonts w:hint="eastAsia" w:ascii="宋体" w:hAnsi="宋体" w:eastAsia="宋体" w:cs="宋体"/>
          <w:sz w:val="21"/>
        </w:rPr>
      </w:pPr>
      <w:r>
        <w:rPr>
          <w:rFonts w:hint="eastAsia" w:ascii="宋体" w:hAnsi="宋体" w:eastAsia="宋体" w:cs="宋体"/>
          <w:sz w:val="21"/>
          <w:highlight w:val="white"/>
        </w:rPr>
        <w:t>6.建设工期或周期：</w:t>
      </w:r>
      <w:r>
        <w:rPr>
          <w:rFonts w:hint="eastAsia" w:ascii="宋体" w:hAnsi="宋体" w:eastAsia="宋体" w:cs="宋体"/>
          <w:sz w:val="21"/>
          <w:highlight w:val="white"/>
          <w:u w:val="single"/>
        </w:rPr>
        <w:tab/>
      </w:r>
      <w:r>
        <w:rPr>
          <w:rFonts w:hint="eastAsia" w:ascii="宋体" w:hAnsi="宋体" w:eastAsia="宋体" w:cs="宋体"/>
          <w:sz w:val="21"/>
          <w:highlight w:val="white"/>
        </w:rPr>
        <w:t>。</w:t>
      </w:r>
    </w:p>
    <w:p w14:paraId="4EE576C6">
      <w:pPr>
        <w:pStyle w:val="55"/>
        <w:spacing w:after="200" w:line="360" w:lineRule="exact"/>
        <w:ind w:firstLine="525" w:firstLineChars="250"/>
        <w:rPr>
          <w:rFonts w:hint="eastAsia" w:ascii="宋体" w:hAnsi="宋体" w:eastAsia="宋体" w:cs="宋体"/>
          <w:sz w:val="21"/>
        </w:rPr>
      </w:pPr>
      <w:r>
        <w:rPr>
          <w:rFonts w:hint="eastAsia" w:ascii="宋体" w:hAnsi="宋体" w:eastAsia="宋体" w:cs="宋体"/>
          <w:sz w:val="21"/>
          <w:highlight w:val="white"/>
        </w:rPr>
        <w:t>7.其他：</w:t>
      </w:r>
      <w:r>
        <w:rPr>
          <w:rFonts w:hint="eastAsia" w:ascii="宋体" w:hAnsi="宋体" w:eastAsia="宋体" w:cs="宋体"/>
          <w:sz w:val="21"/>
          <w:highlight w:val="white"/>
          <w:u w:val="single"/>
        </w:rPr>
        <w:tab/>
      </w:r>
      <w:r>
        <w:rPr>
          <w:rFonts w:hint="eastAsia" w:ascii="宋体" w:hAnsi="宋体" w:eastAsia="宋体" w:cs="宋体"/>
          <w:sz w:val="21"/>
          <w:highlight w:val="white"/>
          <w:u w:val="single"/>
        </w:rPr>
        <w:tab/>
      </w:r>
      <w:r>
        <w:rPr>
          <w:rFonts w:hint="eastAsia" w:ascii="宋体" w:hAnsi="宋体" w:eastAsia="宋体" w:cs="宋体"/>
          <w:sz w:val="21"/>
          <w:highlight w:val="white"/>
        </w:rPr>
        <w:t>。</w:t>
      </w:r>
      <w:bookmarkEnd w:id="385"/>
    </w:p>
    <w:p w14:paraId="33ABB0AF">
      <w:pPr>
        <w:pStyle w:val="57"/>
        <w:spacing w:before="0" w:after="0" w:line="360" w:lineRule="exact"/>
        <w:ind w:firstLine="422" w:firstLineChars="200"/>
        <w:jc w:val="left"/>
        <w:rPr>
          <w:rFonts w:hint="eastAsia" w:ascii="宋体" w:hAnsi="宋体" w:eastAsia="宋体" w:cs="宋体"/>
          <w:sz w:val="21"/>
          <w:szCs w:val="21"/>
        </w:rPr>
      </w:pPr>
      <w:bookmarkStart w:id="390" w:name="_Toc9611"/>
      <w:bookmarkStart w:id="391" w:name="_Toc256000065"/>
      <w:bookmarkStart w:id="392" w:name="_Toc497839340"/>
      <w:bookmarkStart w:id="393" w:name="_Toc422322472"/>
      <w:bookmarkStart w:id="394" w:name="_Toc17953"/>
      <w:bookmarkStart w:id="395" w:name="_Toc256000147"/>
      <w:bookmarkStart w:id="396" w:name="_Toc419045059"/>
      <w:bookmarkStart w:id="397" w:name="_Toc497839189"/>
      <w:r>
        <w:rPr>
          <w:rFonts w:hint="eastAsia" w:ascii="宋体" w:hAnsi="宋体" w:eastAsia="宋体" w:cs="宋体"/>
          <w:sz w:val="21"/>
          <w:szCs w:val="21"/>
          <w:highlight w:val="white"/>
        </w:rPr>
        <w:t>二、服务范围及工作内容</w:t>
      </w:r>
      <w:bookmarkEnd w:id="390"/>
      <w:bookmarkEnd w:id="391"/>
      <w:bookmarkEnd w:id="392"/>
      <w:bookmarkEnd w:id="393"/>
      <w:bookmarkEnd w:id="394"/>
      <w:bookmarkEnd w:id="395"/>
      <w:bookmarkEnd w:id="396"/>
      <w:bookmarkEnd w:id="397"/>
    </w:p>
    <w:p w14:paraId="004EE8B6">
      <w:pPr>
        <w:pStyle w:val="20"/>
        <w:spacing w:after="200" w:line="360" w:lineRule="exact"/>
        <w:rPr>
          <w:rFonts w:hint="eastAsia" w:ascii="宋体" w:hAnsi="宋体" w:eastAsia="宋体" w:cs="宋体"/>
          <w:szCs w:val="21"/>
          <w:u w:val="single"/>
        </w:rPr>
      </w:pPr>
      <w:r>
        <w:rPr>
          <w:rFonts w:hint="eastAsia" w:ascii="宋体" w:hAnsi="宋体" w:eastAsia="宋体" w:cs="宋体"/>
          <w:szCs w:val="21"/>
          <w:highlight w:val="white"/>
        </w:rPr>
        <w:t>双方约定的服务范围及工作内容：_______________________________。</w:t>
      </w:r>
    </w:p>
    <w:p w14:paraId="63720063">
      <w:pPr>
        <w:pStyle w:val="2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服务范围及工作内容详见附录A。</w:t>
      </w:r>
      <w:bookmarkStart w:id="398" w:name="_Toc419045060"/>
      <w:bookmarkStart w:id="399" w:name="9"/>
    </w:p>
    <w:p w14:paraId="62C3FEC1">
      <w:pPr>
        <w:pStyle w:val="57"/>
        <w:spacing w:before="0" w:after="0" w:line="360" w:lineRule="exact"/>
        <w:ind w:firstLine="422" w:firstLineChars="200"/>
        <w:jc w:val="left"/>
        <w:rPr>
          <w:rFonts w:hint="eastAsia" w:ascii="宋体" w:hAnsi="宋体" w:eastAsia="宋体" w:cs="宋体"/>
          <w:sz w:val="21"/>
          <w:szCs w:val="21"/>
        </w:rPr>
      </w:pPr>
      <w:bookmarkStart w:id="400" w:name="_Toc29381"/>
      <w:bookmarkStart w:id="401" w:name="_Toc422322473"/>
      <w:bookmarkStart w:id="402" w:name="_Toc497839190"/>
      <w:bookmarkStart w:id="403" w:name="_Toc256000066"/>
      <w:bookmarkStart w:id="404" w:name="_Toc497839341"/>
      <w:bookmarkStart w:id="405" w:name="_Toc256000148"/>
      <w:bookmarkStart w:id="406" w:name="_Toc26441"/>
      <w:r>
        <w:rPr>
          <w:rFonts w:hint="eastAsia" w:ascii="宋体" w:hAnsi="宋体" w:eastAsia="宋体" w:cs="宋体"/>
          <w:sz w:val="21"/>
          <w:szCs w:val="21"/>
          <w:highlight w:val="white"/>
        </w:rPr>
        <w:t>三、服务期限</w:t>
      </w:r>
      <w:bookmarkEnd w:id="398"/>
      <w:bookmarkEnd w:id="400"/>
      <w:bookmarkEnd w:id="401"/>
      <w:bookmarkEnd w:id="402"/>
      <w:bookmarkEnd w:id="403"/>
      <w:bookmarkEnd w:id="404"/>
      <w:bookmarkEnd w:id="405"/>
      <w:bookmarkEnd w:id="406"/>
    </w:p>
    <w:p w14:paraId="1B18F187">
      <w:pPr>
        <w:pStyle w:val="55"/>
        <w:spacing w:after="200" w:line="360" w:lineRule="exact"/>
        <w:ind w:firstLine="420" w:firstLineChars="200"/>
        <w:jc w:val="left"/>
        <w:rPr>
          <w:rFonts w:hint="eastAsia" w:ascii="宋体" w:hAnsi="宋体" w:eastAsia="宋体" w:cs="宋体"/>
          <w:color w:val="FF0000"/>
          <w:sz w:val="21"/>
        </w:rPr>
      </w:pPr>
      <w:r>
        <w:rPr>
          <w:rFonts w:hint="eastAsia" w:ascii="宋体" w:hAnsi="宋体" w:eastAsia="宋体" w:cs="宋体"/>
          <w:sz w:val="21"/>
          <w:highlight w:val="white"/>
        </w:rPr>
        <w:t>本合同约定的建设工程造价咨询服务自______年______月______日开始实施，至______年______月______日终结。</w:t>
      </w:r>
      <w:bookmarkEnd w:id="399"/>
    </w:p>
    <w:p w14:paraId="54826307">
      <w:pPr>
        <w:pStyle w:val="57"/>
        <w:spacing w:before="0" w:after="0" w:line="360" w:lineRule="exact"/>
        <w:ind w:firstLine="422" w:firstLineChars="200"/>
        <w:jc w:val="left"/>
        <w:rPr>
          <w:rFonts w:hint="eastAsia" w:ascii="宋体" w:hAnsi="宋体" w:eastAsia="宋体" w:cs="宋体"/>
          <w:sz w:val="21"/>
          <w:szCs w:val="21"/>
        </w:rPr>
      </w:pPr>
      <w:bookmarkStart w:id="407" w:name="_Toc419045061"/>
      <w:bookmarkStart w:id="408" w:name="_Toc1305"/>
      <w:bookmarkStart w:id="409" w:name="_Toc422322474"/>
      <w:bookmarkStart w:id="410" w:name="_Toc7530"/>
      <w:bookmarkStart w:id="411" w:name="_Toc497839191"/>
      <w:bookmarkStart w:id="412" w:name="_Toc256000149"/>
      <w:bookmarkStart w:id="413" w:name="_Toc497839342"/>
      <w:bookmarkStart w:id="414" w:name="_Toc256000067"/>
      <w:r>
        <w:rPr>
          <w:rFonts w:hint="eastAsia" w:ascii="宋体" w:hAnsi="宋体" w:eastAsia="宋体" w:cs="宋体"/>
          <w:sz w:val="21"/>
          <w:szCs w:val="21"/>
          <w:highlight w:val="white"/>
        </w:rPr>
        <w:t>四、质量标准</w:t>
      </w:r>
      <w:bookmarkEnd w:id="407"/>
      <w:bookmarkEnd w:id="408"/>
      <w:bookmarkEnd w:id="409"/>
      <w:bookmarkEnd w:id="410"/>
      <w:bookmarkEnd w:id="411"/>
      <w:bookmarkEnd w:id="412"/>
      <w:bookmarkEnd w:id="413"/>
      <w:bookmarkEnd w:id="414"/>
    </w:p>
    <w:p w14:paraId="53CCE955">
      <w:pPr>
        <w:pStyle w:val="2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工程造价咨询成果文件应符合：</w:t>
      </w:r>
    </w:p>
    <w:p w14:paraId="28E52CF7">
      <w:pPr>
        <w:pStyle w:val="2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_____________________________________________________________。</w:t>
      </w:r>
    </w:p>
    <w:p w14:paraId="54F15657">
      <w:pPr>
        <w:pStyle w:val="57"/>
        <w:spacing w:before="0" w:after="0" w:line="360" w:lineRule="exact"/>
        <w:ind w:firstLine="422" w:firstLineChars="200"/>
        <w:jc w:val="left"/>
        <w:rPr>
          <w:rFonts w:hint="eastAsia" w:ascii="宋体" w:hAnsi="宋体" w:eastAsia="宋体" w:cs="宋体"/>
          <w:sz w:val="21"/>
          <w:szCs w:val="21"/>
        </w:rPr>
      </w:pPr>
      <w:bookmarkStart w:id="415" w:name="_Toc256000150"/>
      <w:bookmarkStart w:id="416" w:name="_Toc256000068"/>
      <w:bookmarkStart w:id="417" w:name="_Toc422322475"/>
      <w:bookmarkStart w:id="418" w:name="_Toc4976"/>
      <w:bookmarkStart w:id="419" w:name="_Toc419045062"/>
      <w:bookmarkStart w:id="420" w:name="_Toc26633"/>
      <w:bookmarkStart w:id="421" w:name="_Toc497839343"/>
      <w:bookmarkStart w:id="422" w:name="_Toc497839192"/>
      <w:bookmarkStart w:id="423" w:name="12"/>
      <w:r>
        <w:rPr>
          <w:rFonts w:hint="eastAsia" w:ascii="宋体" w:hAnsi="宋体" w:eastAsia="宋体" w:cs="宋体"/>
          <w:sz w:val="21"/>
          <w:szCs w:val="21"/>
          <w:highlight w:val="white"/>
        </w:rPr>
        <w:t>五、酬金或计取方式</w:t>
      </w:r>
      <w:bookmarkEnd w:id="415"/>
      <w:bookmarkEnd w:id="416"/>
      <w:bookmarkEnd w:id="417"/>
      <w:bookmarkEnd w:id="418"/>
      <w:bookmarkEnd w:id="419"/>
      <w:bookmarkEnd w:id="420"/>
      <w:bookmarkEnd w:id="421"/>
      <w:bookmarkEnd w:id="422"/>
    </w:p>
    <w:p w14:paraId="41B01360">
      <w:pPr>
        <w:pStyle w:val="20"/>
        <w:spacing w:after="200" w:line="360" w:lineRule="exact"/>
        <w:ind w:firstLine="210" w:firstLineChars="100"/>
        <w:rPr>
          <w:rFonts w:hint="eastAsia" w:ascii="宋体" w:hAnsi="宋体" w:eastAsia="宋体" w:cs="宋体"/>
          <w:szCs w:val="21"/>
          <w:lang w:eastAsia="zh-CN"/>
        </w:rPr>
      </w:pPr>
      <w:r>
        <w:rPr>
          <w:rFonts w:hint="eastAsia" w:ascii="宋体" w:hAnsi="宋体" w:eastAsia="宋体" w:cs="宋体"/>
          <w:szCs w:val="21"/>
          <w:highlight w:val="white"/>
        </w:rPr>
        <w:t>1.酬金：____________（大写）（¥）。</w:t>
      </w:r>
    </w:p>
    <w:p w14:paraId="2409206C">
      <w:pPr>
        <w:pStyle w:val="20"/>
        <w:spacing w:after="200" w:line="360" w:lineRule="exact"/>
        <w:ind w:firstLine="210" w:firstLineChars="100"/>
        <w:rPr>
          <w:rFonts w:hint="eastAsia" w:ascii="宋体" w:hAnsi="宋体" w:eastAsia="宋体" w:cs="宋体"/>
          <w:szCs w:val="21"/>
        </w:rPr>
      </w:pPr>
      <w:r>
        <w:rPr>
          <w:rFonts w:hint="eastAsia" w:ascii="宋体" w:hAnsi="宋体" w:eastAsia="宋体" w:cs="宋体"/>
          <w:szCs w:val="21"/>
          <w:highlight w:val="white"/>
        </w:rPr>
        <w:t>2.计取方式：________________________________________。</w:t>
      </w:r>
    </w:p>
    <w:p w14:paraId="29B871C7">
      <w:pPr>
        <w:pStyle w:val="20"/>
        <w:spacing w:after="200" w:line="360" w:lineRule="exact"/>
        <w:ind w:firstLine="420" w:firstLineChars="200"/>
        <w:rPr>
          <w:rFonts w:hint="eastAsia" w:ascii="宋体" w:hAnsi="宋体" w:eastAsia="宋体" w:cs="宋体"/>
          <w:bCs/>
          <w:smallCaps/>
          <w:szCs w:val="21"/>
        </w:rPr>
      </w:pPr>
      <w:r>
        <w:rPr>
          <w:rFonts w:hint="eastAsia" w:ascii="宋体" w:hAnsi="宋体" w:eastAsia="宋体" w:cs="宋体"/>
          <w:bCs/>
          <w:smallCaps/>
          <w:szCs w:val="21"/>
          <w:highlight w:val="white"/>
        </w:rPr>
        <w:t>酬金或计取方式详见附录A。</w:t>
      </w:r>
    </w:p>
    <w:p w14:paraId="055B1DDA">
      <w:pPr>
        <w:pStyle w:val="55"/>
        <w:spacing w:after="200" w:line="360" w:lineRule="exact"/>
        <w:ind w:left="482"/>
        <w:jc w:val="left"/>
        <w:rPr>
          <w:rFonts w:hint="eastAsia" w:ascii="宋体" w:hAnsi="宋体" w:eastAsia="宋体" w:cs="宋体"/>
          <w:sz w:val="21"/>
        </w:rPr>
      </w:pPr>
      <w:bookmarkStart w:id="424" w:name="_Toc30864"/>
      <w:bookmarkStart w:id="425" w:name="_Toc422322476"/>
      <w:bookmarkStart w:id="426" w:name="_Toc419045058"/>
      <w:bookmarkStart w:id="427" w:name="_Toc6564"/>
      <w:r>
        <w:rPr>
          <w:rStyle w:val="56"/>
          <w:rFonts w:hint="eastAsia" w:ascii="宋体" w:hAnsi="宋体" w:eastAsia="宋体" w:cs="宋体"/>
          <w:sz w:val="21"/>
          <w:szCs w:val="21"/>
          <w:highlight w:val="white"/>
        </w:rPr>
        <w:t>六、合同文件的构成</w:t>
      </w:r>
      <w:bookmarkEnd w:id="424"/>
      <w:bookmarkEnd w:id="425"/>
      <w:bookmarkEnd w:id="426"/>
      <w:bookmarkEnd w:id="427"/>
      <w:r>
        <w:rPr>
          <w:rFonts w:hint="eastAsia" w:ascii="宋体" w:hAnsi="宋体" w:eastAsia="宋体" w:cs="宋体"/>
          <w:sz w:val="21"/>
          <w:highlight w:val="white"/>
        </w:rPr>
        <w:br w:type="textWrapping"/>
      </w:r>
      <w:r>
        <w:rPr>
          <w:rFonts w:hint="eastAsia" w:ascii="宋体" w:hAnsi="宋体" w:eastAsia="宋体" w:cs="宋体"/>
          <w:sz w:val="21"/>
          <w:highlight w:val="white"/>
        </w:rPr>
        <w:t>本协议书与下列文件一起构成合同文件:</w:t>
      </w:r>
    </w:p>
    <w:p w14:paraId="25708507">
      <w:pPr>
        <w:pStyle w:val="55"/>
        <w:spacing w:after="200" w:line="360" w:lineRule="exact"/>
        <w:ind w:left="481"/>
        <w:jc w:val="left"/>
        <w:rPr>
          <w:rFonts w:hint="eastAsia" w:ascii="宋体" w:hAnsi="宋体" w:eastAsia="宋体" w:cs="宋体"/>
          <w:sz w:val="21"/>
        </w:rPr>
      </w:pPr>
      <w:r>
        <w:rPr>
          <w:rFonts w:hint="eastAsia" w:ascii="宋体" w:hAnsi="宋体" w:eastAsia="宋体" w:cs="宋体"/>
          <w:sz w:val="21"/>
          <w:highlight w:val="white"/>
        </w:rPr>
        <w:t>1.中标通知书或委托书（如果有）；</w:t>
      </w:r>
    </w:p>
    <w:p w14:paraId="1E39C6A8">
      <w:pPr>
        <w:pStyle w:val="55"/>
        <w:spacing w:after="200" w:line="360" w:lineRule="exact"/>
        <w:ind w:left="481"/>
        <w:jc w:val="left"/>
        <w:rPr>
          <w:rFonts w:hint="eastAsia" w:ascii="宋体" w:hAnsi="宋体" w:eastAsia="宋体" w:cs="宋体"/>
          <w:sz w:val="21"/>
        </w:rPr>
      </w:pPr>
      <w:r>
        <w:rPr>
          <w:rFonts w:hint="eastAsia" w:ascii="宋体" w:hAnsi="宋体" w:eastAsia="宋体" w:cs="宋体"/>
          <w:sz w:val="21"/>
          <w:highlight w:val="white"/>
        </w:rPr>
        <w:t>2.投标函及投标函附录或造价咨询服务建议书（如果有）；</w:t>
      </w:r>
    </w:p>
    <w:p w14:paraId="0C83438C">
      <w:pPr>
        <w:pStyle w:val="55"/>
        <w:spacing w:after="200" w:line="360" w:lineRule="exact"/>
        <w:ind w:left="481"/>
        <w:jc w:val="left"/>
        <w:rPr>
          <w:rFonts w:hint="eastAsia" w:ascii="宋体" w:hAnsi="宋体" w:eastAsia="宋体" w:cs="宋体"/>
          <w:sz w:val="21"/>
        </w:rPr>
      </w:pPr>
      <w:r>
        <w:rPr>
          <w:rFonts w:hint="eastAsia" w:ascii="宋体" w:hAnsi="宋体" w:eastAsia="宋体" w:cs="宋体"/>
          <w:sz w:val="21"/>
          <w:highlight w:val="white"/>
        </w:rPr>
        <w:t>3.专用条件及附录；</w:t>
      </w:r>
    </w:p>
    <w:p w14:paraId="06FF06D0">
      <w:pPr>
        <w:pStyle w:val="55"/>
        <w:spacing w:after="200" w:line="360" w:lineRule="exact"/>
        <w:ind w:left="481"/>
        <w:jc w:val="left"/>
        <w:rPr>
          <w:rFonts w:hint="eastAsia" w:ascii="宋体" w:hAnsi="宋体" w:eastAsia="宋体" w:cs="宋体"/>
          <w:sz w:val="21"/>
        </w:rPr>
      </w:pPr>
      <w:r>
        <w:rPr>
          <w:rFonts w:hint="eastAsia" w:ascii="宋体" w:hAnsi="宋体" w:eastAsia="宋体" w:cs="宋体"/>
          <w:sz w:val="21"/>
          <w:highlight w:val="white"/>
        </w:rPr>
        <w:t>4.通用条件；</w:t>
      </w:r>
    </w:p>
    <w:p w14:paraId="29CAB85A">
      <w:pPr>
        <w:pStyle w:val="55"/>
        <w:spacing w:after="200" w:line="360" w:lineRule="exact"/>
        <w:ind w:left="481"/>
        <w:jc w:val="left"/>
        <w:rPr>
          <w:rFonts w:hint="eastAsia" w:ascii="宋体" w:hAnsi="宋体" w:eastAsia="宋体" w:cs="宋体"/>
          <w:sz w:val="21"/>
        </w:rPr>
      </w:pPr>
      <w:r>
        <w:rPr>
          <w:rFonts w:hint="eastAsia" w:ascii="宋体" w:hAnsi="宋体" w:eastAsia="宋体" w:cs="宋体"/>
          <w:sz w:val="21"/>
          <w:highlight w:val="white"/>
        </w:rPr>
        <w:t>5.其他合同文件。</w:t>
      </w:r>
    </w:p>
    <w:p w14:paraId="05BCBA99">
      <w:pPr>
        <w:pStyle w:val="55"/>
        <w:spacing w:after="200" w:line="360" w:lineRule="exact"/>
        <w:ind w:firstLine="420" w:firstLineChars="200"/>
        <w:jc w:val="left"/>
        <w:rPr>
          <w:rFonts w:hint="eastAsia" w:ascii="宋体" w:hAnsi="宋体" w:eastAsia="宋体" w:cs="宋体"/>
          <w:sz w:val="21"/>
        </w:rPr>
      </w:pPr>
      <w:r>
        <w:rPr>
          <w:rFonts w:hint="eastAsia" w:ascii="宋体" w:hAnsi="宋体" w:eastAsia="宋体" w:cs="宋体"/>
          <w:sz w:val="21"/>
          <w:highlight w:val="white"/>
        </w:rPr>
        <w:t>上述各项合同文件包括合同当事人就该项合同文件所作出的补充和修改，属于同一类内容的文件，应以最新签署的为准。</w:t>
      </w:r>
    </w:p>
    <w:p w14:paraId="4C4EBD3E">
      <w:pPr>
        <w:pStyle w:val="55"/>
        <w:spacing w:after="200" w:line="360" w:lineRule="exact"/>
        <w:ind w:firstLine="420" w:firstLineChars="200"/>
        <w:jc w:val="left"/>
        <w:rPr>
          <w:rFonts w:hint="eastAsia" w:ascii="宋体" w:hAnsi="宋体" w:eastAsia="宋体" w:cs="宋体"/>
          <w:sz w:val="21"/>
        </w:rPr>
      </w:pPr>
      <w:r>
        <w:rPr>
          <w:rFonts w:hint="eastAsia" w:ascii="宋体" w:hAnsi="宋体" w:eastAsia="宋体" w:cs="宋体"/>
          <w:sz w:val="21"/>
          <w:highlight w:val="white"/>
        </w:rPr>
        <w:t>在合同订立及履行过程中形成的与合同有关的文件（包括补充协议）均构</w:t>
      </w:r>
    </w:p>
    <w:p w14:paraId="52B8B51D">
      <w:pPr>
        <w:pStyle w:val="20"/>
        <w:spacing w:after="200" w:line="360" w:lineRule="exact"/>
        <w:rPr>
          <w:rFonts w:hint="eastAsia" w:ascii="宋体" w:hAnsi="宋体" w:eastAsia="宋体" w:cs="宋体"/>
          <w:bCs/>
          <w:smallCaps/>
          <w:szCs w:val="21"/>
        </w:rPr>
      </w:pPr>
      <w:r>
        <w:rPr>
          <w:rFonts w:hint="eastAsia" w:ascii="宋体" w:hAnsi="宋体" w:eastAsia="宋体" w:cs="宋体"/>
          <w:szCs w:val="21"/>
          <w:highlight w:val="white"/>
        </w:rPr>
        <w:t>成合同文件的组成部分。</w:t>
      </w:r>
    </w:p>
    <w:p w14:paraId="5780C043">
      <w:pPr>
        <w:pStyle w:val="57"/>
        <w:spacing w:before="0" w:after="0" w:line="360" w:lineRule="exact"/>
        <w:ind w:firstLine="420" w:firstLineChars="200"/>
        <w:jc w:val="left"/>
        <w:rPr>
          <w:rStyle w:val="56"/>
          <w:rFonts w:hint="eastAsia" w:ascii="宋体" w:hAnsi="宋体" w:eastAsia="宋体" w:cs="宋体"/>
          <w:b w:val="0"/>
          <w:sz w:val="21"/>
          <w:szCs w:val="21"/>
        </w:rPr>
      </w:pPr>
      <w:bookmarkStart w:id="428" w:name="_Toc419045057"/>
      <w:bookmarkStart w:id="429" w:name="_Toc580"/>
      <w:bookmarkStart w:id="430" w:name="_Toc256000069"/>
      <w:bookmarkStart w:id="431" w:name="_Toc497839344"/>
      <w:bookmarkStart w:id="432" w:name="_Toc256000151"/>
      <w:bookmarkStart w:id="433" w:name="_Toc15617"/>
      <w:bookmarkStart w:id="434" w:name="_Toc497839193"/>
      <w:bookmarkStart w:id="435" w:name="_Toc422322477"/>
      <w:r>
        <w:rPr>
          <w:rStyle w:val="56"/>
          <w:rFonts w:hint="eastAsia" w:ascii="宋体" w:hAnsi="宋体" w:eastAsia="宋体" w:cs="宋体"/>
          <w:b w:val="0"/>
          <w:sz w:val="21"/>
          <w:szCs w:val="21"/>
          <w:highlight w:val="white"/>
        </w:rPr>
        <w:t>七、</w:t>
      </w:r>
      <w:bookmarkStart w:id="436" w:name="8"/>
      <w:r>
        <w:rPr>
          <w:rStyle w:val="56"/>
          <w:rFonts w:hint="eastAsia" w:ascii="宋体" w:hAnsi="宋体" w:eastAsia="宋体" w:cs="宋体"/>
          <w:b w:val="0"/>
          <w:sz w:val="21"/>
          <w:szCs w:val="21"/>
          <w:highlight w:val="white"/>
        </w:rPr>
        <w:t>词语</w:t>
      </w:r>
      <w:bookmarkEnd w:id="428"/>
      <w:r>
        <w:rPr>
          <w:rStyle w:val="56"/>
          <w:rFonts w:hint="eastAsia" w:ascii="宋体" w:hAnsi="宋体" w:eastAsia="宋体" w:cs="宋体"/>
          <w:b w:val="0"/>
          <w:sz w:val="21"/>
          <w:szCs w:val="21"/>
          <w:highlight w:val="white"/>
        </w:rPr>
        <w:t>定义</w:t>
      </w:r>
      <w:bookmarkEnd w:id="429"/>
      <w:bookmarkEnd w:id="430"/>
      <w:bookmarkEnd w:id="431"/>
      <w:bookmarkEnd w:id="432"/>
      <w:bookmarkEnd w:id="433"/>
      <w:bookmarkEnd w:id="434"/>
      <w:bookmarkEnd w:id="435"/>
    </w:p>
    <w:p w14:paraId="2AD0C067">
      <w:pPr>
        <w:pStyle w:val="2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协议书中相关词语的含义与通用条件中的定义与解释相同。</w:t>
      </w:r>
      <w:bookmarkEnd w:id="436"/>
    </w:p>
    <w:p w14:paraId="223EE0F0">
      <w:pPr>
        <w:pStyle w:val="57"/>
        <w:spacing w:before="0" w:after="0" w:line="360" w:lineRule="exact"/>
        <w:ind w:firstLine="422" w:firstLineChars="200"/>
        <w:jc w:val="left"/>
        <w:rPr>
          <w:rFonts w:hint="eastAsia" w:ascii="宋体" w:hAnsi="宋体" w:eastAsia="宋体" w:cs="宋体"/>
          <w:sz w:val="21"/>
          <w:szCs w:val="21"/>
        </w:rPr>
      </w:pPr>
      <w:bookmarkStart w:id="437" w:name="_Toc19934"/>
      <w:bookmarkStart w:id="438" w:name="_Toc419045063"/>
      <w:bookmarkStart w:id="439" w:name="_Toc422322478"/>
      <w:bookmarkStart w:id="440" w:name="_Toc256000152"/>
      <w:bookmarkStart w:id="441" w:name="_Toc256000070"/>
      <w:bookmarkStart w:id="442" w:name="_Toc5133"/>
      <w:bookmarkStart w:id="443" w:name="_Toc497839345"/>
      <w:bookmarkStart w:id="444" w:name="_Toc497839194"/>
      <w:r>
        <w:rPr>
          <w:rFonts w:hint="eastAsia" w:ascii="宋体" w:hAnsi="宋体" w:eastAsia="宋体" w:cs="宋体"/>
          <w:sz w:val="21"/>
          <w:szCs w:val="21"/>
          <w:highlight w:val="white"/>
        </w:rPr>
        <w:t>八、合同订立</w:t>
      </w:r>
      <w:bookmarkEnd w:id="437"/>
      <w:bookmarkEnd w:id="438"/>
      <w:bookmarkEnd w:id="439"/>
      <w:bookmarkEnd w:id="440"/>
      <w:bookmarkEnd w:id="441"/>
      <w:bookmarkEnd w:id="442"/>
      <w:bookmarkEnd w:id="443"/>
      <w:bookmarkEnd w:id="444"/>
    </w:p>
    <w:p w14:paraId="18EFD520">
      <w:pPr>
        <w:pStyle w:val="55"/>
        <w:spacing w:after="200" w:line="360" w:lineRule="exact"/>
        <w:ind w:firstLine="420" w:firstLineChars="200"/>
        <w:rPr>
          <w:rFonts w:hint="eastAsia" w:ascii="宋体" w:hAnsi="宋体" w:eastAsia="宋体" w:cs="宋体"/>
          <w:sz w:val="21"/>
        </w:rPr>
      </w:pPr>
      <w:r>
        <w:rPr>
          <w:rFonts w:hint="eastAsia" w:ascii="宋体" w:hAnsi="宋体" w:eastAsia="宋体" w:cs="宋体"/>
          <w:sz w:val="21"/>
          <w:highlight w:val="white"/>
        </w:rPr>
        <w:t>1.订立时间：_________年_________月_________日。</w:t>
      </w:r>
    </w:p>
    <w:p w14:paraId="778215F0">
      <w:pPr>
        <w:pStyle w:val="55"/>
        <w:spacing w:after="200" w:line="360" w:lineRule="exact"/>
        <w:ind w:firstLine="420" w:firstLineChars="200"/>
        <w:rPr>
          <w:rFonts w:hint="eastAsia" w:ascii="宋体" w:hAnsi="宋体" w:eastAsia="宋体" w:cs="宋体"/>
          <w:sz w:val="21"/>
        </w:rPr>
      </w:pPr>
      <w:r>
        <w:rPr>
          <w:rFonts w:hint="eastAsia" w:ascii="宋体" w:hAnsi="宋体" w:eastAsia="宋体" w:cs="宋体"/>
          <w:sz w:val="21"/>
          <w:highlight w:val="white"/>
        </w:rPr>
        <w:t>2.订立地点：________________________________。</w:t>
      </w:r>
    </w:p>
    <w:p w14:paraId="60D33418">
      <w:pPr>
        <w:pStyle w:val="57"/>
        <w:spacing w:before="0" w:after="0" w:line="360" w:lineRule="exact"/>
        <w:ind w:firstLine="422" w:firstLineChars="200"/>
        <w:jc w:val="left"/>
        <w:rPr>
          <w:rFonts w:hint="eastAsia" w:ascii="宋体" w:hAnsi="宋体" w:eastAsia="宋体" w:cs="宋体"/>
          <w:sz w:val="21"/>
          <w:szCs w:val="21"/>
        </w:rPr>
      </w:pPr>
      <w:bookmarkStart w:id="445" w:name="_Toc497839346"/>
      <w:bookmarkStart w:id="446" w:name="_Toc256000153"/>
      <w:bookmarkStart w:id="447" w:name="_Toc20079"/>
      <w:bookmarkStart w:id="448" w:name="_Toc419045064"/>
      <w:bookmarkStart w:id="449" w:name="_Toc422322479"/>
      <w:bookmarkStart w:id="450" w:name="_Toc13606"/>
      <w:bookmarkStart w:id="451" w:name="_Toc256000071"/>
      <w:bookmarkStart w:id="452" w:name="_Toc497839195"/>
      <w:r>
        <w:rPr>
          <w:rFonts w:hint="eastAsia" w:ascii="宋体" w:hAnsi="宋体" w:eastAsia="宋体" w:cs="宋体"/>
          <w:sz w:val="21"/>
          <w:szCs w:val="21"/>
          <w:highlight w:val="white"/>
        </w:rPr>
        <w:t>九、合同生效</w:t>
      </w:r>
      <w:bookmarkEnd w:id="445"/>
      <w:bookmarkEnd w:id="446"/>
      <w:bookmarkEnd w:id="447"/>
      <w:bookmarkEnd w:id="448"/>
      <w:bookmarkEnd w:id="449"/>
      <w:bookmarkEnd w:id="450"/>
      <w:bookmarkEnd w:id="451"/>
      <w:bookmarkEnd w:id="452"/>
    </w:p>
    <w:p w14:paraId="2AE06BD1">
      <w:pPr>
        <w:pStyle w:val="55"/>
        <w:spacing w:after="200" w:line="360" w:lineRule="exact"/>
        <w:ind w:firstLine="420" w:firstLineChars="200"/>
        <w:rPr>
          <w:rFonts w:hint="eastAsia" w:ascii="宋体" w:hAnsi="宋体" w:eastAsia="宋体" w:cs="宋体"/>
          <w:sz w:val="21"/>
        </w:rPr>
      </w:pPr>
      <w:r>
        <w:rPr>
          <w:rFonts w:hint="eastAsia" w:ascii="宋体" w:hAnsi="宋体" w:eastAsia="宋体" w:cs="宋体"/>
          <w:sz w:val="21"/>
          <w:highlight w:val="white"/>
        </w:rPr>
        <w:t>本合同自___________________________________________________生效。</w:t>
      </w:r>
    </w:p>
    <w:p w14:paraId="31EC27FD">
      <w:pPr>
        <w:pStyle w:val="57"/>
        <w:spacing w:before="0" w:after="0" w:line="360" w:lineRule="exact"/>
        <w:ind w:firstLine="422" w:firstLineChars="200"/>
        <w:jc w:val="left"/>
        <w:rPr>
          <w:rFonts w:hint="eastAsia" w:ascii="宋体" w:hAnsi="宋体" w:eastAsia="宋体" w:cs="宋体"/>
          <w:sz w:val="21"/>
          <w:szCs w:val="21"/>
        </w:rPr>
      </w:pPr>
      <w:bookmarkStart w:id="453" w:name="_Toc419045065"/>
      <w:bookmarkStart w:id="454" w:name="_Toc256000072"/>
      <w:bookmarkStart w:id="455" w:name="_Toc21627"/>
      <w:bookmarkStart w:id="456" w:name="_Toc6123"/>
      <w:bookmarkStart w:id="457" w:name="_Toc497839196"/>
      <w:bookmarkStart w:id="458" w:name="_Toc422322480"/>
      <w:bookmarkStart w:id="459" w:name="_Toc497839347"/>
      <w:bookmarkStart w:id="460" w:name="_Toc256000154"/>
      <w:r>
        <w:rPr>
          <w:rFonts w:hint="eastAsia" w:ascii="宋体" w:hAnsi="宋体" w:eastAsia="宋体" w:cs="宋体"/>
          <w:sz w:val="21"/>
          <w:szCs w:val="21"/>
          <w:highlight w:val="white"/>
        </w:rPr>
        <w:t>十、合同份数</w:t>
      </w:r>
      <w:bookmarkEnd w:id="453"/>
      <w:bookmarkEnd w:id="454"/>
      <w:bookmarkEnd w:id="455"/>
      <w:bookmarkEnd w:id="456"/>
      <w:bookmarkEnd w:id="457"/>
      <w:bookmarkEnd w:id="458"/>
      <w:bookmarkEnd w:id="459"/>
      <w:bookmarkEnd w:id="460"/>
    </w:p>
    <w:p w14:paraId="5DCAB745">
      <w:pPr>
        <w:pStyle w:val="55"/>
        <w:spacing w:after="200" w:line="360" w:lineRule="exact"/>
        <w:ind w:firstLine="420" w:firstLineChars="200"/>
        <w:rPr>
          <w:rFonts w:hint="eastAsia" w:ascii="宋体" w:hAnsi="宋体" w:eastAsia="宋体" w:cs="宋体"/>
          <w:sz w:val="21"/>
        </w:rPr>
      </w:pPr>
      <w:r>
        <w:rPr>
          <w:rFonts w:hint="eastAsia" w:ascii="宋体" w:hAnsi="宋体" w:eastAsia="宋体" w:cs="宋体"/>
          <w:sz w:val="21"/>
          <w:highlight w:val="white"/>
        </w:rPr>
        <w:t>本合同一式_____份，具有同等法律效力，其中委托人执_____份，咨询人执_____份。</w:t>
      </w:r>
    </w:p>
    <w:p w14:paraId="70B0C29B">
      <w:pPr>
        <w:pStyle w:val="55"/>
        <w:spacing w:after="200" w:line="360" w:lineRule="exact"/>
        <w:ind w:firstLine="420" w:firstLineChars="200"/>
        <w:rPr>
          <w:rFonts w:hint="eastAsia" w:ascii="宋体" w:hAnsi="宋体" w:eastAsia="宋体" w:cs="宋体"/>
          <w:sz w:val="21"/>
        </w:rPr>
      </w:pPr>
      <w:r>
        <w:rPr>
          <w:rFonts w:hint="eastAsia" w:ascii="宋体" w:hAnsi="宋体" w:eastAsia="宋体" w:cs="宋体"/>
          <w:sz w:val="21"/>
          <w:highlight w:val="white"/>
        </w:rPr>
        <w:t>委托人：___________（盖章）咨询人：___________（盖章）</w:t>
      </w:r>
      <w:r>
        <w:rPr>
          <w:rFonts w:hint="eastAsia" w:ascii="宋体" w:hAnsi="宋体" w:eastAsia="宋体" w:cs="宋体"/>
          <w:sz w:val="21"/>
          <w:highlight w:val="white"/>
        </w:rPr>
        <w:br w:type="textWrapping"/>
      </w:r>
      <w:r>
        <w:rPr>
          <w:rFonts w:hint="eastAsia" w:ascii="宋体" w:hAnsi="宋体" w:eastAsia="宋体" w:cs="宋体"/>
          <w:sz w:val="21"/>
          <w:highlight w:val="white"/>
        </w:rPr>
        <w:t>法定代表人或其授权的法定代表人或其授权的</w:t>
      </w:r>
    </w:p>
    <w:p w14:paraId="21F0B2AF">
      <w:pPr>
        <w:pStyle w:val="55"/>
        <w:spacing w:after="200" w:line="360" w:lineRule="exact"/>
        <w:ind w:firstLine="480"/>
        <w:rPr>
          <w:rFonts w:hint="eastAsia" w:ascii="宋体" w:hAnsi="宋体" w:eastAsia="宋体" w:cs="宋体"/>
          <w:sz w:val="21"/>
        </w:rPr>
      </w:pPr>
      <w:r>
        <w:rPr>
          <w:rFonts w:hint="eastAsia" w:ascii="宋体" w:hAnsi="宋体" w:eastAsia="宋体" w:cs="宋体"/>
          <w:sz w:val="21"/>
          <w:highlight w:val="white"/>
        </w:rPr>
        <w:t>代理人：_________（签字）代理人：_________（签字）</w:t>
      </w:r>
      <w:r>
        <w:rPr>
          <w:rFonts w:hint="eastAsia" w:ascii="宋体" w:hAnsi="宋体" w:eastAsia="宋体" w:cs="宋体"/>
          <w:sz w:val="21"/>
          <w:highlight w:val="white"/>
        </w:rPr>
        <w:br w:type="textWrapping"/>
      </w:r>
      <w:r>
        <w:rPr>
          <w:rFonts w:hint="eastAsia" w:ascii="宋体" w:hAnsi="宋体" w:eastAsia="宋体" w:cs="宋体"/>
          <w:sz w:val="21"/>
          <w:highlight w:val="white"/>
        </w:rPr>
        <w:t>组织机构代码：组织机构代码：</w:t>
      </w:r>
    </w:p>
    <w:p w14:paraId="2B133DE1">
      <w:pPr>
        <w:pStyle w:val="55"/>
        <w:spacing w:after="200" w:line="360" w:lineRule="exact"/>
        <w:ind w:firstLine="480"/>
        <w:rPr>
          <w:rFonts w:hint="eastAsia" w:ascii="宋体" w:hAnsi="宋体" w:eastAsia="宋体" w:cs="宋体"/>
          <w:sz w:val="21"/>
        </w:rPr>
      </w:pPr>
      <w:r>
        <w:rPr>
          <w:rFonts w:hint="eastAsia" w:ascii="宋体" w:hAnsi="宋体" w:eastAsia="宋体" w:cs="宋体"/>
          <w:sz w:val="21"/>
          <w:highlight w:val="white"/>
        </w:rPr>
        <w:t>纳税人识别码：纳税人识别码：</w:t>
      </w:r>
    </w:p>
    <w:p w14:paraId="31816D39">
      <w:pPr>
        <w:pStyle w:val="55"/>
        <w:spacing w:after="200" w:line="360" w:lineRule="exact"/>
        <w:ind w:firstLine="480"/>
        <w:rPr>
          <w:rFonts w:hint="eastAsia" w:ascii="宋体" w:hAnsi="宋体" w:eastAsia="宋体" w:cs="宋体"/>
          <w:sz w:val="21"/>
        </w:rPr>
      </w:pPr>
      <w:r>
        <w:rPr>
          <w:rFonts w:hint="eastAsia" w:ascii="宋体" w:hAnsi="宋体" w:eastAsia="宋体" w:cs="宋体"/>
          <w:sz w:val="21"/>
          <w:highlight w:val="white"/>
        </w:rPr>
        <w:t>住所：住所：</w:t>
      </w:r>
    </w:p>
    <w:p w14:paraId="2EDAD808">
      <w:pPr>
        <w:pStyle w:val="55"/>
        <w:spacing w:after="200" w:line="360" w:lineRule="exact"/>
        <w:ind w:firstLine="420" w:firstLineChars="200"/>
        <w:rPr>
          <w:rFonts w:hint="eastAsia" w:ascii="宋体" w:hAnsi="宋体" w:eastAsia="宋体" w:cs="宋体"/>
          <w:sz w:val="21"/>
        </w:rPr>
      </w:pPr>
      <w:r>
        <w:rPr>
          <w:rFonts w:hint="eastAsia" w:ascii="宋体" w:hAnsi="宋体" w:eastAsia="宋体" w:cs="宋体"/>
          <w:sz w:val="21"/>
          <w:highlight w:val="white"/>
        </w:rPr>
        <w:t>账号：账号：</w:t>
      </w:r>
    </w:p>
    <w:p w14:paraId="6DFB52CF">
      <w:pPr>
        <w:pStyle w:val="55"/>
        <w:spacing w:after="200" w:line="360" w:lineRule="exact"/>
        <w:ind w:firstLine="420" w:firstLineChars="200"/>
        <w:jc w:val="left"/>
        <w:rPr>
          <w:rFonts w:hint="eastAsia" w:ascii="宋体" w:hAnsi="宋体" w:eastAsia="宋体" w:cs="宋体"/>
          <w:sz w:val="21"/>
        </w:rPr>
      </w:pPr>
      <w:r>
        <w:rPr>
          <w:rFonts w:hint="eastAsia" w:ascii="宋体" w:hAnsi="宋体" w:eastAsia="宋体" w:cs="宋体"/>
          <w:sz w:val="21"/>
          <w:highlight w:val="white"/>
        </w:rPr>
        <w:t>开户银行：开户银行：</w:t>
      </w:r>
      <w:r>
        <w:rPr>
          <w:rFonts w:hint="eastAsia" w:ascii="宋体" w:hAnsi="宋体" w:eastAsia="宋体" w:cs="宋体"/>
          <w:sz w:val="21"/>
          <w:highlight w:val="white"/>
        </w:rPr>
        <w:br w:type="textWrapping"/>
      </w:r>
      <w:r>
        <w:rPr>
          <w:rFonts w:hint="eastAsia" w:ascii="宋体" w:hAnsi="宋体" w:eastAsia="宋体" w:cs="宋体"/>
          <w:sz w:val="21"/>
          <w:highlight w:val="white"/>
        </w:rPr>
        <w:t>邮政编码：邮政编码：</w:t>
      </w:r>
      <w:r>
        <w:rPr>
          <w:rFonts w:hint="eastAsia" w:ascii="宋体" w:hAnsi="宋体" w:eastAsia="宋体" w:cs="宋体"/>
          <w:sz w:val="21"/>
          <w:highlight w:val="white"/>
        </w:rPr>
        <w:br w:type="textWrapping"/>
      </w:r>
      <w:r>
        <w:rPr>
          <w:rFonts w:hint="eastAsia" w:ascii="宋体" w:hAnsi="宋体" w:eastAsia="宋体" w:cs="宋体"/>
          <w:sz w:val="21"/>
          <w:highlight w:val="white"/>
        </w:rPr>
        <w:t>电话：电话：</w:t>
      </w:r>
    </w:p>
    <w:p w14:paraId="0335ED8B">
      <w:pPr>
        <w:pStyle w:val="55"/>
        <w:pageBreakBefore w:val="0"/>
        <w:wordWrap w:val="0"/>
        <w:bidi w:val="0"/>
        <w:spacing w:after="200" w:line="360" w:lineRule="exact"/>
        <w:ind w:firstLine="420" w:firstLineChars="200"/>
        <w:jc w:val="both"/>
        <w:rPr>
          <w:rFonts w:hint="eastAsia" w:ascii="宋体" w:hAnsi="宋体" w:eastAsia="宋体" w:cs="宋体"/>
          <w:sz w:val="32"/>
          <w:szCs w:val="32"/>
        </w:rPr>
      </w:pPr>
      <w:r>
        <w:rPr>
          <w:rFonts w:hint="eastAsia" w:ascii="宋体" w:hAnsi="宋体" w:eastAsia="宋体" w:cs="宋体"/>
          <w:sz w:val="21"/>
          <w:highlight w:val="white"/>
        </w:rPr>
        <w:t>传真：传真：</w:t>
      </w:r>
      <w:r>
        <w:rPr>
          <w:rFonts w:hint="eastAsia" w:ascii="宋体" w:hAnsi="宋体" w:eastAsia="宋体" w:cs="宋体"/>
          <w:sz w:val="21"/>
          <w:highlight w:val="white"/>
        </w:rPr>
        <w:br w:type="textWrapping"/>
      </w:r>
      <w:r>
        <w:rPr>
          <w:rFonts w:hint="eastAsia" w:ascii="宋体" w:hAnsi="宋体" w:eastAsia="宋体" w:cs="宋体"/>
          <w:sz w:val="21"/>
          <w:highlight w:val="white"/>
        </w:rPr>
        <w:t>电子信箱：电子信箱：</w:t>
      </w:r>
      <w:bookmarkEnd w:id="423"/>
      <w:r>
        <w:rPr>
          <w:rFonts w:hint="eastAsia" w:ascii="宋体" w:hAnsi="宋体" w:eastAsia="宋体" w:cs="宋体"/>
          <w:sz w:val="21"/>
          <w:szCs w:val="21"/>
          <w:highlight w:val="white"/>
        </w:rPr>
        <w:br w:type="page"/>
      </w:r>
      <w:bookmarkStart w:id="461" w:name="_Toc256000073"/>
      <w:bookmarkStart w:id="462" w:name="_Toc256000155"/>
      <w:r>
        <w:rPr>
          <w:rFonts w:hint="eastAsia" w:ascii="宋体" w:hAnsi="宋体" w:eastAsia="宋体" w:cs="宋体"/>
          <w:sz w:val="32"/>
          <w:szCs w:val="32"/>
          <w:highlight w:val="white"/>
        </w:rPr>
        <w:t>第二部分　通用条件</w:t>
      </w:r>
      <w:bookmarkEnd w:id="373"/>
      <w:bookmarkEnd w:id="374"/>
      <w:bookmarkEnd w:id="375"/>
      <w:bookmarkEnd w:id="376"/>
      <w:bookmarkEnd w:id="461"/>
      <w:bookmarkEnd w:id="462"/>
    </w:p>
    <w:p w14:paraId="429E2E4E">
      <w:pPr>
        <w:pStyle w:val="57"/>
        <w:pageBreakBefore w:val="0"/>
        <w:wordWrap w:val="0"/>
        <w:bidi w:val="0"/>
        <w:spacing w:before="0" w:after="0" w:line="360" w:lineRule="exact"/>
        <w:jc w:val="left"/>
        <w:rPr>
          <w:rFonts w:hint="eastAsia" w:ascii="宋体" w:hAnsi="宋体" w:eastAsia="宋体" w:cs="宋体"/>
          <w:sz w:val="21"/>
          <w:szCs w:val="21"/>
        </w:rPr>
      </w:pPr>
      <w:bookmarkStart w:id="463" w:name="_Toc27644"/>
      <w:bookmarkStart w:id="464" w:name="_Toc497839198"/>
      <w:bookmarkStart w:id="465" w:name="_Toc7331"/>
      <w:bookmarkStart w:id="466" w:name="_Toc419045067"/>
      <w:bookmarkStart w:id="467" w:name="_Toc256000156"/>
      <w:bookmarkStart w:id="468" w:name="_Toc256000074"/>
      <w:bookmarkStart w:id="469" w:name="_Toc497839349"/>
      <w:bookmarkStart w:id="470" w:name="_Toc422322482"/>
      <w:r>
        <w:rPr>
          <w:rFonts w:hint="eastAsia" w:ascii="宋体" w:hAnsi="宋体" w:eastAsia="宋体" w:cs="宋体"/>
          <w:sz w:val="21"/>
          <w:szCs w:val="21"/>
          <w:highlight w:val="white"/>
        </w:rPr>
        <w:t>1.词语定义、语言、解释顺序与适用法律</w:t>
      </w:r>
      <w:bookmarkEnd w:id="463"/>
      <w:bookmarkEnd w:id="464"/>
      <w:bookmarkEnd w:id="465"/>
      <w:bookmarkEnd w:id="466"/>
      <w:bookmarkEnd w:id="467"/>
      <w:bookmarkEnd w:id="468"/>
      <w:bookmarkEnd w:id="469"/>
      <w:bookmarkEnd w:id="470"/>
    </w:p>
    <w:p w14:paraId="626BB8DC">
      <w:pPr>
        <w:pStyle w:val="19"/>
        <w:pageBreakBefore w:val="0"/>
        <w:wordWrap w:val="0"/>
        <w:bidi w:val="0"/>
        <w:spacing w:line="360" w:lineRule="exact"/>
        <w:ind w:firstLine="420" w:firstLineChars="200"/>
        <w:jc w:val="left"/>
        <w:rPr>
          <w:rFonts w:hint="eastAsia" w:ascii="宋体" w:hAnsi="宋体" w:eastAsia="宋体" w:cs="宋体"/>
          <w:b w:val="0"/>
          <w:sz w:val="21"/>
          <w:szCs w:val="21"/>
        </w:rPr>
      </w:pPr>
      <w:bookmarkStart w:id="471" w:name="_Toc256000157"/>
      <w:bookmarkStart w:id="472" w:name="_Toc497839199"/>
      <w:bookmarkStart w:id="473" w:name="_Toc419045068"/>
      <w:bookmarkStart w:id="474" w:name="_Toc256000075"/>
      <w:bookmarkStart w:id="475" w:name="_Toc422322483"/>
      <w:r>
        <w:rPr>
          <w:rFonts w:hint="eastAsia" w:ascii="宋体" w:hAnsi="宋体" w:eastAsia="宋体" w:cs="宋体"/>
          <w:b w:val="0"/>
          <w:sz w:val="21"/>
          <w:szCs w:val="21"/>
          <w:highlight w:val="white"/>
        </w:rPr>
        <w:t>1.1词语定义</w:t>
      </w:r>
      <w:bookmarkEnd w:id="471"/>
      <w:bookmarkEnd w:id="472"/>
      <w:bookmarkEnd w:id="473"/>
      <w:bookmarkEnd w:id="474"/>
      <w:bookmarkEnd w:id="475"/>
    </w:p>
    <w:p w14:paraId="4190A827">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组成本合同的全部文件中的下列名词和用语应具有本款所赋予的含义：</w:t>
      </w:r>
    </w:p>
    <w:p w14:paraId="640DF0A3">
      <w:pPr>
        <w:pStyle w:val="55"/>
        <w:pageBreakBefore w:val="0"/>
        <w:wordWrap w:val="0"/>
        <w:bidi w:val="0"/>
        <w:spacing w:after="200" w:line="360" w:lineRule="exact"/>
        <w:ind w:firstLine="420" w:firstLineChars="200"/>
        <w:jc w:val="left"/>
        <w:rPr>
          <w:rFonts w:hint="eastAsia" w:ascii="宋体" w:hAnsi="宋体" w:eastAsia="宋体" w:cs="宋体"/>
          <w:sz w:val="21"/>
          <w:lang w:eastAsia="zh-CN"/>
        </w:rPr>
      </w:pPr>
      <w:r>
        <w:rPr>
          <w:rFonts w:hint="eastAsia" w:ascii="宋体" w:hAnsi="宋体" w:eastAsia="宋体" w:cs="宋体"/>
          <w:sz w:val="21"/>
          <w:highlight w:val="white"/>
        </w:rPr>
        <w:t>1.1.1“工程”是指按照本合同约定实施造价咨询与其他服务的建设工程。</w:t>
      </w:r>
    </w:p>
    <w:p w14:paraId="432F2569">
      <w:pPr>
        <w:pStyle w:val="55"/>
        <w:pageBreakBefore w:val="0"/>
        <w:wordWrap w:val="0"/>
        <w:bidi w:val="0"/>
        <w:spacing w:after="200" w:line="360" w:lineRule="exact"/>
        <w:ind w:firstLine="420" w:firstLineChars="200"/>
        <w:jc w:val="left"/>
        <w:rPr>
          <w:rFonts w:hint="eastAsia" w:ascii="宋体" w:hAnsi="宋体" w:eastAsia="宋体" w:cs="宋体"/>
          <w:sz w:val="21"/>
        </w:rPr>
      </w:pPr>
      <w:r>
        <w:rPr>
          <w:rFonts w:hint="eastAsia" w:ascii="宋体" w:hAnsi="宋体" w:eastAsia="宋体" w:cs="宋体"/>
          <w:sz w:val="21"/>
          <w:highlight w:val="white"/>
        </w:rPr>
        <w:t>1.1.2“工程造价”是指工程项目建设过程中预计或实际支出的全部费用。</w:t>
      </w:r>
    </w:p>
    <w:p w14:paraId="13956F12">
      <w:pPr>
        <w:pStyle w:val="55"/>
        <w:pageBreakBefore w:val="0"/>
        <w:wordWrap w:val="0"/>
        <w:bidi w:val="0"/>
        <w:spacing w:after="200" w:line="360" w:lineRule="exact"/>
        <w:ind w:firstLine="420" w:firstLineChars="200"/>
        <w:jc w:val="left"/>
        <w:rPr>
          <w:rFonts w:hint="eastAsia" w:ascii="宋体" w:hAnsi="宋体" w:eastAsia="宋体" w:cs="宋体"/>
          <w:sz w:val="21"/>
        </w:rPr>
      </w:pPr>
      <w:r>
        <w:rPr>
          <w:rFonts w:hint="eastAsia" w:ascii="宋体" w:hAnsi="宋体" w:eastAsia="宋体" w:cs="宋体"/>
          <w:sz w:val="21"/>
          <w:highlight w:val="white"/>
        </w:rPr>
        <w:t>1.1.3“委托人”是指本合同中委托造价咨询与其他服务的一方，及其合法的继承人或受让人。</w:t>
      </w:r>
    </w:p>
    <w:p w14:paraId="659A4A78">
      <w:pPr>
        <w:pStyle w:val="55"/>
        <w:pageBreakBefore w:val="0"/>
        <w:wordWrap w:val="0"/>
        <w:bidi w:val="0"/>
        <w:spacing w:after="200" w:line="360" w:lineRule="exact"/>
        <w:ind w:firstLine="420" w:firstLineChars="200"/>
        <w:jc w:val="left"/>
        <w:rPr>
          <w:rFonts w:hint="eastAsia" w:ascii="宋体" w:hAnsi="宋体" w:eastAsia="宋体" w:cs="宋体"/>
          <w:sz w:val="21"/>
        </w:rPr>
      </w:pPr>
      <w:r>
        <w:rPr>
          <w:rFonts w:hint="eastAsia" w:ascii="宋体" w:hAnsi="宋体" w:eastAsia="宋体" w:cs="宋体"/>
          <w:sz w:val="21"/>
          <w:highlight w:val="white"/>
        </w:rPr>
        <w:t>1.1.4“咨询人”是指本合同中提供造价咨询与其他服务的一方</w:t>
      </w:r>
      <w:r>
        <w:rPr>
          <w:rFonts w:hint="eastAsia" w:ascii="宋体" w:hAnsi="宋体" w:eastAsia="宋体" w:cs="宋体"/>
          <w:b/>
          <w:bCs/>
          <w:sz w:val="21"/>
          <w:highlight w:val="white"/>
        </w:rPr>
        <w:t>，</w:t>
      </w:r>
      <w:r>
        <w:rPr>
          <w:rFonts w:hint="eastAsia" w:ascii="宋体" w:hAnsi="宋体" w:eastAsia="宋体" w:cs="宋体"/>
          <w:sz w:val="21"/>
          <w:highlight w:val="white"/>
        </w:rPr>
        <w:t>及其合法的继承人。</w:t>
      </w:r>
      <w:r>
        <w:rPr>
          <w:rFonts w:hint="eastAsia" w:ascii="宋体" w:hAnsi="宋体" w:eastAsia="宋体" w:cs="宋体"/>
          <w:sz w:val="21"/>
          <w:highlight w:val="white"/>
        </w:rPr>
        <w:br w:type="textWrapping"/>
      </w:r>
      <w:r>
        <w:rPr>
          <w:rFonts w:hint="eastAsia" w:ascii="宋体" w:hAnsi="宋体" w:eastAsia="宋体" w:cs="宋体"/>
          <w:sz w:val="21"/>
          <w:highlight w:val="white"/>
        </w:rPr>
        <w:t>1.1.5“第三人”是指除委托人、咨询人以外与本咨询业务有关的当事人。</w:t>
      </w:r>
    </w:p>
    <w:p w14:paraId="5CFA0E95">
      <w:pPr>
        <w:pStyle w:val="55"/>
        <w:pageBreakBefore w:val="0"/>
        <w:wordWrap w:val="0"/>
        <w:bidi w:val="0"/>
        <w:spacing w:after="200" w:line="360" w:lineRule="exact"/>
        <w:ind w:firstLine="420" w:firstLineChars="200"/>
        <w:jc w:val="left"/>
        <w:rPr>
          <w:rFonts w:hint="eastAsia" w:ascii="宋体" w:hAnsi="宋体" w:eastAsia="宋体" w:cs="宋体"/>
          <w:sz w:val="21"/>
        </w:rPr>
      </w:pPr>
      <w:r>
        <w:rPr>
          <w:rFonts w:hint="eastAsia" w:ascii="宋体" w:hAnsi="宋体" w:eastAsia="宋体" w:cs="宋体"/>
          <w:sz w:val="21"/>
          <w:highlight w:val="white"/>
        </w:rPr>
        <w:t>1.1.6“正常工作”是指本合同订立时通用条件和专用条件中约定的咨询人的工作。</w:t>
      </w:r>
    </w:p>
    <w:p w14:paraId="51D4FDDE">
      <w:pPr>
        <w:pStyle w:val="55"/>
        <w:pageBreakBefore w:val="0"/>
        <w:wordWrap w:val="0"/>
        <w:bidi w:val="0"/>
        <w:spacing w:after="200" w:line="360" w:lineRule="exact"/>
        <w:ind w:firstLine="420" w:firstLineChars="200"/>
        <w:rPr>
          <w:rFonts w:hint="eastAsia" w:ascii="宋体" w:hAnsi="宋体" w:eastAsia="宋体" w:cs="宋体"/>
          <w:sz w:val="21"/>
        </w:rPr>
      </w:pPr>
      <w:r>
        <w:rPr>
          <w:rFonts w:hint="eastAsia" w:ascii="宋体" w:hAnsi="宋体" w:eastAsia="宋体" w:cs="宋体"/>
          <w:sz w:val="21"/>
          <w:highlight w:val="white"/>
        </w:rPr>
        <w:t>1.1.7“附加工作”是指咨询人根据合同条件完成的正常工作以外的工作。</w:t>
      </w:r>
    </w:p>
    <w:p w14:paraId="4F315982">
      <w:pPr>
        <w:pStyle w:val="55"/>
        <w:pageBreakBefore w:val="0"/>
        <w:wordWrap w:val="0"/>
        <w:bidi w:val="0"/>
        <w:spacing w:after="200" w:line="360" w:lineRule="exact"/>
        <w:ind w:firstLine="420" w:firstLineChars="200"/>
        <w:rPr>
          <w:rFonts w:hint="eastAsia" w:ascii="宋体" w:hAnsi="宋体" w:eastAsia="宋体" w:cs="宋体"/>
          <w:sz w:val="21"/>
        </w:rPr>
      </w:pPr>
      <w:r>
        <w:rPr>
          <w:rFonts w:hint="eastAsia" w:ascii="宋体" w:hAnsi="宋体" w:eastAsia="宋体" w:cs="宋体"/>
          <w:sz w:val="21"/>
          <w:highlight w:val="white"/>
        </w:rPr>
        <w:t>1.1.8“项目咨询团队”是指咨询人指派负责履行本合同的团队，其团队成员为本合同的项目咨询人员。</w:t>
      </w:r>
    </w:p>
    <w:p w14:paraId="38164EB6">
      <w:pPr>
        <w:pStyle w:val="55"/>
        <w:pageBreakBefore w:val="0"/>
        <w:wordWrap w:val="0"/>
        <w:bidi w:val="0"/>
        <w:spacing w:after="200" w:line="360" w:lineRule="exact"/>
        <w:ind w:firstLine="420" w:firstLineChars="200"/>
        <w:rPr>
          <w:rFonts w:hint="eastAsia" w:ascii="宋体" w:hAnsi="宋体" w:eastAsia="宋体" w:cs="宋体"/>
          <w:sz w:val="21"/>
        </w:rPr>
      </w:pPr>
      <w:r>
        <w:rPr>
          <w:rFonts w:hint="eastAsia" w:ascii="宋体" w:hAnsi="宋体" w:eastAsia="宋体" w:cs="宋体"/>
          <w:sz w:val="21"/>
          <w:highlight w:val="white"/>
        </w:rPr>
        <w:t>1.1.9“项目负责人”是指由咨询人的法定代表人书面授权，在授权范围内负责履行本合同、主持项目咨询团队工作的负责人。</w:t>
      </w:r>
    </w:p>
    <w:p w14:paraId="397D51FA">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1.1.10“委托人代表”是指由委托人的法定代表人书面授权，在授权范围内行使委托人权利的人。</w:t>
      </w:r>
    </w:p>
    <w:p w14:paraId="10A77DD8">
      <w:pPr>
        <w:pStyle w:val="55"/>
        <w:pageBreakBefore w:val="0"/>
        <w:wordWrap w:val="0"/>
        <w:bidi w:val="0"/>
        <w:spacing w:after="200" w:line="360" w:lineRule="exact"/>
        <w:ind w:firstLine="420" w:firstLineChars="200"/>
        <w:rPr>
          <w:rFonts w:hint="eastAsia" w:ascii="宋体" w:hAnsi="宋体" w:eastAsia="宋体" w:cs="宋体"/>
          <w:sz w:val="21"/>
        </w:rPr>
      </w:pPr>
      <w:r>
        <w:rPr>
          <w:rFonts w:hint="eastAsia" w:ascii="宋体" w:hAnsi="宋体" w:eastAsia="宋体" w:cs="宋体"/>
          <w:sz w:val="21"/>
          <w:highlight w:val="white"/>
        </w:rPr>
        <w:t>1.1.11“酬金”是指咨询人履行本合同义务，委托人按照本合同约定给付咨询人的金额。</w:t>
      </w:r>
    </w:p>
    <w:p w14:paraId="5E8F0907">
      <w:pPr>
        <w:pStyle w:val="55"/>
        <w:pageBreakBefore w:val="0"/>
        <w:wordWrap w:val="0"/>
        <w:bidi w:val="0"/>
        <w:spacing w:after="200" w:line="360" w:lineRule="exact"/>
        <w:ind w:firstLine="420" w:firstLineChars="200"/>
        <w:jc w:val="left"/>
        <w:rPr>
          <w:rFonts w:hint="eastAsia" w:ascii="宋体" w:hAnsi="宋体" w:eastAsia="宋体" w:cs="宋体"/>
          <w:sz w:val="21"/>
        </w:rPr>
      </w:pPr>
      <w:r>
        <w:rPr>
          <w:rFonts w:hint="eastAsia" w:ascii="宋体" w:hAnsi="宋体" w:eastAsia="宋体" w:cs="宋体"/>
          <w:sz w:val="21"/>
          <w:highlight w:val="white"/>
        </w:rPr>
        <w:t>1.1.12“正常工作酬金”是指在协议书中载明的，咨询人完成正常工作，委托人应给付咨询人的酬金。</w:t>
      </w:r>
      <w:r>
        <w:rPr>
          <w:rFonts w:hint="eastAsia" w:ascii="宋体" w:hAnsi="宋体" w:eastAsia="宋体" w:cs="宋体"/>
          <w:sz w:val="21"/>
          <w:highlight w:val="white"/>
        </w:rPr>
        <w:br w:type="textWrapping"/>
      </w:r>
      <w:r>
        <w:rPr>
          <w:rFonts w:hint="eastAsia" w:ascii="宋体" w:hAnsi="宋体" w:eastAsia="宋体" w:cs="宋体"/>
          <w:sz w:val="21"/>
          <w:highlight w:val="white"/>
        </w:rPr>
        <w:t>1.1.13“附加工作酬金”是指咨询人完成附加工作，委托人应给付咨询人的酬金。</w:t>
      </w:r>
    </w:p>
    <w:p w14:paraId="4F0E08F7">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1.1.14“书面形式”是指合同书、信件和数据电文（包括电报、电传、传真、电子数据交换和电子邮件）等可以有形地表现所载内容的形式。</w:t>
      </w:r>
    </w:p>
    <w:p w14:paraId="58CD9E12">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1.1.15“不可抗力”是指委托人和咨询人在订立本合同时不可预见，在合同履行过程中不可避免并不能克服的自然灾害和社会性突发事件，如地震、海啸、瘟疫、水灾、骚乱、暴动、战争等情形。</w:t>
      </w:r>
    </w:p>
    <w:p w14:paraId="173743A6">
      <w:pPr>
        <w:pStyle w:val="19"/>
        <w:pageBreakBefore w:val="0"/>
        <w:wordWrap w:val="0"/>
        <w:bidi w:val="0"/>
        <w:spacing w:before="60" w:line="360" w:lineRule="exact"/>
        <w:ind w:firstLine="420" w:firstLineChars="200"/>
        <w:jc w:val="left"/>
        <w:rPr>
          <w:rFonts w:hint="eastAsia" w:ascii="宋体" w:hAnsi="宋体" w:eastAsia="宋体" w:cs="宋体"/>
          <w:b w:val="0"/>
          <w:sz w:val="21"/>
          <w:szCs w:val="21"/>
        </w:rPr>
      </w:pPr>
      <w:bookmarkStart w:id="476" w:name="_Toc256000076"/>
      <w:bookmarkStart w:id="477" w:name="_Toc497839200"/>
      <w:bookmarkStart w:id="478" w:name="_Toc419045069"/>
      <w:bookmarkStart w:id="479" w:name="_Toc256000158"/>
      <w:bookmarkStart w:id="480" w:name="_Toc422322484"/>
      <w:r>
        <w:rPr>
          <w:rFonts w:hint="eastAsia" w:ascii="宋体" w:hAnsi="宋体" w:eastAsia="宋体" w:cs="宋体"/>
          <w:b w:val="0"/>
          <w:sz w:val="21"/>
          <w:szCs w:val="21"/>
          <w:highlight w:val="white"/>
        </w:rPr>
        <w:t>1.2语言</w:t>
      </w:r>
      <w:bookmarkEnd w:id="476"/>
      <w:bookmarkEnd w:id="477"/>
      <w:bookmarkEnd w:id="478"/>
      <w:bookmarkEnd w:id="479"/>
      <w:bookmarkEnd w:id="480"/>
    </w:p>
    <w:p w14:paraId="1309154F">
      <w:pPr>
        <w:pStyle w:val="55"/>
        <w:pageBreakBefore w:val="0"/>
        <w:wordWrap w:val="0"/>
        <w:bidi w:val="0"/>
        <w:spacing w:after="200" w:line="360" w:lineRule="exact"/>
        <w:ind w:firstLine="420" w:firstLineChars="200"/>
        <w:rPr>
          <w:rFonts w:hint="eastAsia" w:ascii="宋体" w:hAnsi="宋体" w:eastAsia="宋体" w:cs="宋体"/>
          <w:sz w:val="21"/>
        </w:rPr>
      </w:pPr>
      <w:r>
        <w:rPr>
          <w:rFonts w:hint="eastAsia" w:ascii="宋体" w:hAnsi="宋体" w:eastAsia="宋体" w:cs="宋体"/>
          <w:sz w:val="21"/>
          <w:highlight w:val="white"/>
        </w:rPr>
        <w:t>本合同使用中文书写、解释和说明。如专用条件约定使用两种及以上语言文字时，应以中文为准。</w:t>
      </w:r>
    </w:p>
    <w:p w14:paraId="2714FFA2">
      <w:pPr>
        <w:pStyle w:val="19"/>
        <w:pageBreakBefore w:val="0"/>
        <w:wordWrap w:val="0"/>
        <w:bidi w:val="0"/>
        <w:spacing w:before="60" w:line="360" w:lineRule="exact"/>
        <w:ind w:firstLine="420" w:firstLineChars="200"/>
        <w:jc w:val="left"/>
        <w:rPr>
          <w:rFonts w:hint="eastAsia" w:ascii="宋体" w:hAnsi="宋体" w:eastAsia="宋体" w:cs="宋体"/>
          <w:b w:val="0"/>
          <w:sz w:val="21"/>
          <w:szCs w:val="21"/>
        </w:rPr>
      </w:pPr>
      <w:bookmarkStart w:id="481" w:name="_Toc419045070"/>
      <w:bookmarkStart w:id="482" w:name="_Toc497839201"/>
      <w:bookmarkStart w:id="483" w:name="_Toc256000077"/>
      <w:bookmarkStart w:id="484" w:name="_Toc256000159"/>
      <w:bookmarkStart w:id="485" w:name="_Toc422322485"/>
      <w:r>
        <w:rPr>
          <w:rFonts w:hint="eastAsia" w:ascii="宋体" w:hAnsi="宋体" w:eastAsia="宋体" w:cs="宋体"/>
          <w:b w:val="0"/>
          <w:sz w:val="21"/>
          <w:szCs w:val="21"/>
          <w:highlight w:val="white"/>
        </w:rPr>
        <w:t>1.3合同文件的优先顺序</w:t>
      </w:r>
      <w:bookmarkEnd w:id="481"/>
      <w:bookmarkEnd w:id="482"/>
      <w:bookmarkEnd w:id="483"/>
      <w:bookmarkEnd w:id="484"/>
      <w:bookmarkEnd w:id="485"/>
    </w:p>
    <w:p w14:paraId="2865208D">
      <w:pPr>
        <w:pStyle w:val="55"/>
        <w:pageBreakBefore w:val="0"/>
        <w:wordWrap w:val="0"/>
        <w:bidi w:val="0"/>
        <w:spacing w:after="200" w:line="360" w:lineRule="exact"/>
        <w:ind w:firstLine="420" w:firstLineChars="200"/>
        <w:jc w:val="left"/>
        <w:rPr>
          <w:rFonts w:hint="eastAsia" w:ascii="宋体" w:hAnsi="宋体" w:eastAsia="宋体" w:cs="宋体"/>
          <w:bCs/>
          <w:sz w:val="21"/>
        </w:rPr>
      </w:pPr>
      <w:r>
        <w:rPr>
          <w:rFonts w:hint="eastAsia" w:ascii="宋体" w:hAnsi="宋体" w:eastAsia="宋体" w:cs="宋体"/>
          <w:bCs/>
          <w:sz w:val="21"/>
          <w:highlight w:val="white"/>
        </w:rPr>
        <w:t>组成本合同的下列文件彼此应能相互解释、互为说明。除专用条件另有约定外，本合同文件的解释顺序如下：</w:t>
      </w:r>
    </w:p>
    <w:p w14:paraId="187D5BFD">
      <w:pPr>
        <w:pStyle w:val="55"/>
        <w:pageBreakBefore w:val="0"/>
        <w:wordWrap w:val="0"/>
        <w:bidi w:val="0"/>
        <w:spacing w:after="200" w:line="360" w:lineRule="exact"/>
        <w:ind w:firstLine="420" w:firstLineChars="200"/>
        <w:jc w:val="left"/>
        <w:rPr>
          <w:rFonts w:hint="eastAsia" w:ascii="宋体" w:hAnsi="宋体" w:eastAsia="宋体" w:cs="宋体"/>
          <w:bCs/>
          <w:sz w:val="21"/>
        </w:rPr>
      </w:pPr>
      <w:r>
        <w:rPr>
          <w:rFonts w:hint="eastAsia" w:ascii="宋体" w:hAnsi="宋体" w:eastAsia="宋体" w:cs="宋体"/>
          <w:bCs/>
          <w:sz w:val="21"/>
          <w:highlight w:val="white"/>
        </w:rPr>
        <w:t>1.协议书</w:t>
      </w:r>
    </w:p>
    <w:p w14:paraId="335E7E96">
      <w:pPr>
        <w:pStyle w:val="55"/>
        <w:pageBreakBefore w:val="0"/>
        <w:wordWrap w:val="0"/>
        <w:bidi w:val="0"/>
        <w:spacing w:after="200" w:line="360" w:lineRule="exact"/>
        <w:ind w:firstLine="420" w:firstLineChars="200"/>
        <w:jc w:val="left"/>
        <w:rPr>
          <w:rFonts w:hint="eastAsia" w:ascii="宋体" w:hAnsi="宋体" w:eastAsia="宋体" w:cs="宋体"/>
          <w:bCs/>
          <w:sz w:val="21"/>
        </w:rPr>
      </w:pPr>
      <w:r>
        <w:rPr>
          <w:rFonts w:hint="eastAsia" w:ascii="宋体" w:hAnsi="宋体" w:eastAsia="宋体" w:cs="宋体"/>
          <w:bCs/>
          <w:sz w:val="21"/>
          <w:highlight w:val="white"/>
        </w:rPr>
        <w:t>2.中标通知书或委托书（如果有）；</w:t>
      </w:r>
    </w:p>
    <w:p w14:paraId="5AD0CC17">
      <w:pPr>
        <w:pStyle w:val="55"/>
        <w:pageBreakBefore w:val="0"/>
        <w:wordWrap w:val="0"/>
        <w:bidi w:val="0"/>
        <w:spacing w:after="200" w:line="360" w:lineRule="exact"/>
        <w:ind w:firstLine="420" w:firstLineChars="200"/>
        <w:jc w:val="left"/>
        <w:rPr>
          <w:rFonts w:hint="eastAsia" w:ascii="宋体" w:hAnsi="宋体" w:eastAsia="宋体" w:cs="宋体"/>
          <w:bCs/>
          <w:sz w:val="21"/>
        </w:rPr>
      </w:pPr>
      <w:r>
        <w:rPr>
          <w:rFonts w:hint="eastAsia" w:ascii="宋体" w:hAnsi="宋体" w:eastAsia="宋体" w:cs="宋体"/>
          <w:bCs/>
          <w:sz w:val="21"/>
          <w:highlight w:val="white"/>
        </w:rPr>
        <w:t>3.专用条件及附录；</w:t>
      </w:r>
    </w:p>
    <w:p w14:paraId="3BCE3B79">
      <w:pPr>
        <w:pStyle w:val="55"/>
        <w:pageBreakBefore w:val="0"/>
        <w:wordWrap w:val="0"/>
        <w:bidi w:val="0"/>
        <w:spacing w:after="200" w:line="360" w:lineRule="exact"/>
        <w:ind w:firstLine="420" w:firstLineChars="200"/>
        <w:jc w:val="left"/>
        <w:rPr>
          <w:rFonts w:hint="eastAsia" w:ascii="宋体" w:hAnsi="宋体" w:eastAsia="宋体" w:cs="宋体"/>
          <w:bCs/>
          <w:sz w:val="21"/>
        </w:rPr>
      </w:pPr>
      <w:r>
        <w:rPr>
          <w:rFonts w:hint="eastAsia" w:ascii="宋体" w:hAnsi="宋体" w:eastAsia="宋体" w:cs="宋体"/>
          <w:bCs/>
          <w:sz w:val="21"/>
          <w:highlight w:val="white"/>
        </w:rPr>
        <w:t>4.通用条件；</w:t>
      </w:r>
    </w:p>
    <w:p w14:paraId="49EF8C54">
      <w:pPr>
        <w:pStyle w:val="55"/>
        <w:pageBreakBefore w:val="0"/>
        <w:wordWrap w:val="0"/>
        <w:bidi w:val="0"/>
        <w:spacing w:after="200" w:line="360" w:lineRule="exact"/>
        <w:ind w:firstLine="420" w:firstLineChars="200"/>
        <w:jc w:val="left"/>
        <w:rPr>
          <w:rFonts w:hint="eastAsia" w:ascii="宋体" w:hAnsi="宋体" w:eastAsia="宋体" w:cs="宋体"/>
          <w:bCs/>
          <w:sz w:val="21"/>
        </w:rPr>
      </w:pPr>
      <w:r>
        <w:rPr>
          <w:rFonts w:hint="eastAsia" w:ascii="宋体" w:hAnsi="宋体" w:eastAsia="宋体" w:cs="宋体"/>
          <w:bCs/>
          <w:sz w:val="21"/>
          <w:highlight w:val="white"/>
        </w:rPr>
        <w:t>5.投标函及投标函附录或造价咨询服务建议书（如果有）；</w:t>
      </w:r>
    </w:p>
    <w:p w14:paraId="3491385E">
      <w:pPr>
        <w:pStyle w:val="20"/>
        <w:pageBreakBefore w:val="0"/>
        <w:wordWrap w:val="0"/>
        <w:bidi w:val="0"/>
        <w:spacing w:after="200" w:line="360" w:lineRule="exact"/>
        <w:ind w:firstLine="468"/>
        <w:rPr>
          <w:rFonts w:hint="eastAsia" w:ascii="宋体" w:hAnsi="宋体" w:eastAsia="宋体" w:cs="宋体"/>
          <w:bCs/>
          <w:szCs w:val="21"/>
        </w:rPr>
      </w:pPr>
      <w:r>
        <w:rPr>
          <w:rFonts w:hint="eastAsia" w:ascii="宋体" w:hAnsi="宋体" w:eastAsia="宋体" w:cs="宋体"/>
          <w:bCs/>
          <w:szCs w:val="21"/>
          <w:highlight w:val="white"/>
        </w:rPr>
        <w:t>6.其他合同文件。</w:t>
      </w:r>
    </w:p>
    <w:p w14:paraId="0F1C8427">
      <w:pPr>
        <w:pStyle w:val="55"/>
        <w:pageBreakBefore w:val="0"/>
        <w:wordWrap w:val="0"/>
        <w:bidi w:val="0"/>
        <w:spacing w:after="200" w:line="360" w:lineRule="exact"/>
        <w:ind w:firstLine="420" w:firstLineChars="200"/>
        <w:jc w:val="left"/>
        <w:rPr>
          <w:rFonts w:hint="eastAsia" w:ascii="宋体" w:hAnsi="宋体" w:eastAsia="宋体" w:cs="宋体"/>
          <w:bCs/>
          <w:sz w:val="21"/>
        </w:rPr>
      </w:pPr>
      <w:r>
        <w:rPr>
          <w:rFonts w:hint="eastAsia" w:ascii="宋体" w:hAnsi="宋体" w:eastAsia="宋体" w:cs="宋体"/>
          <w:bCs/>
          <w:sz w:val="21"/>
          <w:highlight w:val="white"/>
        </w:rPr>
        <w:t>上述各项合同文件包括合同当事人就该项合同文件所作出的补充和修改，属于同一类内容的文件，应以最新签署的为准。</w:t>
      </w:r>
    </w:p>
    <w:p w14:paraId="09893540">
      <w:pPr>
        <w:pStyle w:val="20"/>
        <w:pageBreakBefore w:val="0"/>
        <w:wordWrap w:val="0"/>
        <w:bidi w:val="0"/>
        <w:spacing w:after="200" w:line="360" w:lineRule="exact"/>
        <w:ind w:firstLine="468"/>
        <w:rPr>
          <w:rFonts w:hint="eastAsia" w:ascii="宋体" w:hAnsi="宋体" w:eastAsia="宋体" w:cs="宋体"/>
          <w:bCs/>
          <w:szCs w:val="21"/>
        </w:rPr>
      </w:pPr>
      <w:r>
        <w:rPr>
          <w:rFonts w:hint="eastAsia" w:ascii="宋体" w:hAnsi="宋体" w:eastAsia="宋体" w:cs="宋体"/>
          <w:bCs/>
          <w:szCs w:val="21"/>
          <w:highlight w:val="white"/>
        </w:rPr>
        <w:t>在合同订立及履行过程中形成的与合同有关的文件均构成合同文件的组成部分。</w:t>
      </w:r>
    </w:p>
    <w:p w14:paraId="31290294">
      <w:pPr>
        <w:pStyle w:val="19"/>
        <w:pageBreakBefore w:val="0"/>
        <w:wordWrap w:val="0"/>
        <w:bidi w:val="0"/>
        <w:spacing w:before="60" w:line="360" w:lineRule="exact"/>
        <w:ind w:firstLine="420" w:firstLineChars="200"/>
        <w:jc w:val="left"/>
        <w:rPr>
          <w:rFonts w:hint="eastAsia" w:ascii="宋体" w:hAnsi="宋体" w:eastAsia="宋体" w:cs="宋体"/>
          <w:b w:val="0"/>
          <w:sz w:val="21"/>
          <w:szCs w:val="21"/>
        </w:rPr>
      </w:pPr>
      <w:bookmarkStart w:id="486" w:name="_Toc419045071"/>
      <w:bookmarkStart w:id="487" w:name="_Toc422322486"/>
      <w:bookmarkStart w:id="488" w:name="_Toc256000078"/>
      <w:bookmarkStart w:id="489" w:name="_Toc497839202"/>
      <w:bookmarkStart w:id="490" w:name="_Toc256000160"/>
      <w:r>
        <w:rPr>
          <w:rFonts w:hint="eastAsia" w:ascii="宋体" w:hAnsi="宋体" w:eastAsia="宋体" w:cs="宋体"/>
          <w:b w:val="0"/>
          <w:sz w:val="21"/>
          <w:szCs w:val="21"/>
          <w:highlight w:val="white"/>
        </w:rPr>
        <w:t>1.4适用法律</w:t>
      </w:r>
      <w:bookmarkEnd w:id="486"/>
      <w:bookmarkEnd w:id="487"/>
      <w:bookmarkEnd w:id="488"/>
      <w:bookmarkEnd w:id="489"/>
      <w:bookmarkEnd w:id="490"/>
    </w:p>
    <w:p w14:paraId="15C616B4">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本合同适用中华人民共和国法律、行政法规、部门规章以及工程所在地的地方性法规、自治条例、单行条例和地方政府规章等。</w:t>
      </w:r>
    </w:p>
    <w:p w14:paraId="4DFFC1FD">
      <w:pPr>
        <w:pStyle w:val="20"/>
        <w:pageBreakBefore w:val="0"/>
        <w:wordWrap w:val="0"/>
        <w:bidi w:val="0"/>
        <w:spacing w:after="200" w:line="360" w:lineRule="exact"/>
        <w:ind w:firstLine="420" w:firstLineChars="200"/>
        <w:rPr>
          <w:rStyle w:val="56"/>
          <w:rFonts w:hint="eastAsia" w:ascii="宋体" w:hAnsi="宋体" w:eastAsia="宋体" w:cs="宋体"/>
          <w:sz w:val="21"/>
          <w:szCs w:val="21"/>
        </w:rPr>
      </w:pPr>
      <w:r>
        <w:rPr>
          <w:rFonts w:hint="eastAsia" w:ascii="宋体" w:hAnsi="宋体" w:eastAsia="宋体" w:cs="宋体"/>
          <w:szCs w:val="21"/>
          <w:highlight w:val="white"/>
        </w:rPr>
        <w:t>合同当事人可以在专用条件中约定本合同适用的其他规范、规程、定额、技术标准等规范性文件。</w:t>
      </w:r>
    </w:p>
    <w:p w14:paraId="5590A262">
      <w:pPr>
        <w:pStyle w:val="57"/>
        <w:pageBreakBefore w:val="0"/>
        <w:wordWrap w:val="0"/>
        <w:bidi w:val="0"/>
        <w:spacing w:before="0" w:after="0" w:line="360" w:lineRule="exact"/>
        <w:ind w:firstLine="422" w:firstLineChars="200"/>
        <w:jc w:val="left"/>
        <w:rPr>
          <w:rFonts w:hint="eastAsia" w:ascii="宋体" w:hAnsi="宋体" w:eastAsia="宋体" w:cs="宋体"/>
          <w:sz w:val="21"/>
          <w:szCs w:val="21"/>
        </w:rPr>
      </w:pPr>
      <w:bookmarkStart w:id="491" w:name="_Toc256000161"/>
      <w:bookmarkStart w:id="492" w:name="_Toc8358"/>
      <w:bookmarkStart w:id="493" w:name="_Toc497839203"/>
      <w:bookmarkStart w:id="494" w:name="_Toc256000079"/>
      <w:bookmarkStart w:id="495" w:name="_Toc20202"/>
      <w:bookmarkStart w:id="496" w:name="_Toc497839350"/>
      <w:bookmarkStart w:id="497" w:name="_Toc422322487"/>
      <w:r>
        <w:rPr>
          <w:rFonts w:hint="eastAsia" w:ascii="宋体" w:hAnsi="宋体" w:eastAsia="宋体" w:cs="宋体"/>
          <w:sz w:val="21"/>
          <w:szCs w:val="21"/>
          <w:highlight w:val="white"/>
        </w:rPr>
        <w:t>2.委托人的义务</w:t>
      </w:r>
      <w:bookmarkEnd w:id="491"/>
      <w:bookmarkEnd w:id="492"/>
      <w:bookmarkEnd w:id="493"/>
      <w:bookmarkEnd w:id="494"/>
      <w:bookmarkEnd w:id="495"/>
      <w:bookmarkEnd w:id="496"/>
      <w:bookmarkEnd w:id="497"/>
    </w:p>
    <w:p w14:paraId="022F1846">
      <w:pPr>
        <w:pStyle w:val="19"/>
        <w:pageBreakBefore w:val="0"/>
        <w:wordWrap w:val="0"/>
        <w:bidi w:val="0"/>
        <w:spacing w:before="60" w:line="360" w:lineRule="exact"/>
        <w:ind w:firstLine="420" w:firstLineChars="200"/>
        <w:jc w:val="left"/>
        <w:rPr>
          <w:rFonts w:hint="eastAsia" w:ascii="宋体" w:hAnsi="宋体" w:eastAsia="宋体" w:cs="宋体"/>
          <w:b w:val="0"/>
          <w:sz w:val="21"/>
          <w:szCs w:val="21"/>
        </w:rPr>
      </w:pPr>
      <w:bookmarkStart w:id="498" w:name="_Toc419045072"/>
      <w:bookmarkStart w:id="499" w:name="_Toc497839204"/>
      <w:bookmarkStart w:id="500" w:name="_Toc256000080"/>
      <w:bookmarkStart w:id="501" w:name="_Toc422322488"/>
      <w:bookmarkStart w:id="502" w:name="_Toc256000162"/>
      <w:r>
        <w:rPr>
          <w:rFonts w:hint="eastAsia" w:ascii="宋体" w:hAnsi="宋体" w:eastAsia="宋体" w:cs="宋体"/>
          <w:b w:val="0"/>
          <w:sz w:val="21"/>
          <w:szCs w:val="21"/>
          <w:highlight w:val="white"/>
        </w:rPr>
        <w:t>2.1提供资料</w:t>
      </w:r>
      <w:bookmarkEnd w:id="498"/>
      <w:bookmarkEnd w:id="499"/>
      <w:bookmarkEnd w:id="500"/>
      <w:bookmarkEnd w:id="501"/>
      <w:bookmarkEnd w:id="502"/>
    </w:p>
    <w:p w14:paraId="41496468">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委托人应当在专用条件约定的时间内，按照附录C的约定无偿向咨询人提供与本合同咨询业务有关的资料。在本合同履行过程中，委托人应及时向咨询人提供最新的与本合同咨询业务有关的资料。委托人应对所提供资料的真实性、准确性、合法性与完整性负责。</w:t>
      </w:r>
    </w:p>
    <w:p w14:paraId="4289DC90">
      <w:pPr>
        <w:pStyle w:val="19"/>
        <w:pageBreakBefore w:val="0"/>
        <w:wordWrap w:val="0"/>
        <w:bidi w:val="0"/>
        <w:spacing w:before="60" w:line="360" w:lineRule="exact"/>
        <w:ind w:firstLine="420" w:firstLineChars="200"/>
        <w:jc w:val="left"/>
        <w:rPr>
          <w:rFonts w:hint="eastAsia" w:ascii="宋体" w:hAnsi="宋体" w:eastAsia="宋体" w:cs="宋体"/>
          <w:b w:val="0"/>
          <w:sz w:val="21"/>
          <w:szCs w:val="21"/>
        </w:rPr>
      </w:pPr>
      <w:bookmarkStart w:id="503" w:name="_Toc256000163"/>
      <w:bookmarkStart w:id="504" w:name="_Toc422322489"/>
      <w:bookmarkStart w:id="505" w:name="_Toc256000081"/>
      <w:bookmarkStart w:id="506" w:name="_Toc419045073"/>
      <w:bookmarkStart w:id="507" w:name="_Toc497839205"/>
      <w:r>
        <w:rPr>
          <w:rFonts w:hint="eastAsia" w:ascii="宋体" w:hAnsi="宋体" w:eastAsia="宋体" w:cs="宋体"/>
          <w:b w:val="0"/>
          <w:sz w:val="21"/>
          <w:szCs w:val="21"/>
          <w:highlight w:val="white"/>
        </w:rPr>
        <w:t>2.2提供工作条件</w:t>
      </w:r>
      <w:bookmarkEnd w:id="503"/>
      <w:bookmarkEnd w:id="504"/>
      <w:bookmarkEnd w:id="505"/>
      <w:bookmarkEnd w:id="506"/>
      <w:bookmarkEnd w:id="507"/>
    </w:p>
    <w:p w14:paraId="5F545C21">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委托人应为咨询人完成造价咨询提供必要的条件。</w:t>
      </w:r>
    </w:p>
    <w:p w14:paraId="75BBC680">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2.2.1委托人需要咨询人派驻项目现场咨询人员的，除专用条件另有约定外，项目咨询人员有权无偿使用附录D中由委托人提供的房屋及设备。</w:t>
      </w:r>
    </w:p>
    <w:p w14:paraId="0103F7F4">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2.2.2委托人应负责与本工程造价咨询业务有关的所有外部关系的协调，为咨询人履行本合同提供必要的外部条件。</w:t>
      </w:r>
    </w:p>
    <w:p w14:paraId="1BAE91F1">
      <w:pPr>
        <w:pStyle w:val="19"/>
        <w:pageBreakBefore w:val="0"/>
        <w:wordWrap w:val="0"/>
        <w:bidi w:val="0"/>
        <w:spacing w:before="60" w:line="360" w:lineRule="exact"/>
        <w:ind w:firstLine="420" w:firstLineChars="200"/>
        <w:jc w:val="left"/>
        <w:rPr>
          <w:rFonts w:hint="eastAsia" w:ascii="宋体" w:hAnsi="宋体" w:eastAsia="宋体" w:cs="宋体"/>
          <w:b w:val="0"/>
          <w:sz w:val="21"/>
          <w:szCs w:val="21"/>
        </w:rPr>
      </w:pPr>
      <w:bookmarkStart w:id="508" w:name="_Toc256000082"/>
      <w:bookmarkStart w:id="509" w:name="_Toc422322490"/>
      <w:bookmarkStart w:id="510" w:name="_Toc256000164"/>
      <w:bookmarkStart w:id="511" w:name="_Toc419045074"/>
      <w:bookmarkStart w:id="512" w:name="_Toc497839206"/>
      <w:r>
        <w:rPr>
          <w:rFonts w:hint="eastAsia" w:ascii="宋体" w:hAnsi="宋体" w:eastAsia="宋体" w:cs="宋体"/>
          <w:b w:val="0"/>
          <w:sz w:val="21"/>
          <w:szCs w:val="21"/>
          <w:highlight w:val="white"/>
        </w:rPr>
        <w:t>2.3合理工作时限</w:t>
      </w:r>
      <w:bookmarkEnd w:id="508"/>
      <w:bookmarkEnd w:id="509"/>
      <w:bookmarkEnd w:id="510"/>
      <w:bookmarkEnd w:id="511"/>
      <w:bookmarkEnd w:id="512"/>
    </w:p>
    <w:p w14:paraId="2BECBA0E">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委托人应当为咨询人完成其咨询工作，设定合理的工作时限。</w:t>
      </w:r>
    </w:p>
    <w:p w14:paraId="4351469C">
      <w:pPr>
        <w:pStyle w:val="19"/>
        <w:pageBreakBefore w:val="0"/>
        <w:wordWrap w:val="0"/>
        <w:bidi w:val="0"/>
        <w:spacing w:before="60" w:line="360" w:lineRule="exact"/>
        <w:ind w:firstLine="420" w:firstLineChars="200"/>
        <w:jc w:val="left"/>
        <w:rPr>
          <w:rFonts w:hint="eastAsia" w:ascii="宋体" w:hAnsi="宋体" w:eastAsia="宋体" w:cs="宋体"/>
          <w:b w:val="0"/>
          <w:sz w:val="21"/>
          <w:szCs w:val="21"/>
        </w:rPr>
      </w:pPr>
      <w:bookmarkStart w:id="513" w:name="_Toc256000083"/>
      <w:bookmarkStart w:id="514" w:name="_Toc419045075"/>
      <w:bookmarkStart w:id="515" w:name="_Toc422322491"/>
      <w:bookmarkStart w:id="516" w:name="_Toc497839207"/>
      <w:bookmarkStart w:id="517" w:name="_Toc256000165"/>
      <w:r>
        <w:rPr>
          <w:rFonts w:hint="eastAsia" w:ascii="宋体" w:hAnsi="宋体" w:eastAsia="宋体" w:cs="宋体"/>
          <w:b w:val="0"/>
          <w:sz w:val="21"/>
          <w:szCs w:val="21"/>
          <w:highlight w:val="white"/>
        </w:rPr>
        <w:t>2.4委托人代表</w:t>
      </w:r>
      <w:bookmarkEnd w:id="513"/>
      <w:bookmarkEnd w:id="514"/>
      <w:bookmarkEnd w:id="515"/>
      <w:bookmarkEnd w:id="516"/>
      <w:bookmarkEnd w:id="517"/>
    </w:p>
    <w:p w14:paraId="40675050">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委托人应授权一名代表负责本合同的履行。委托人应在双方签订本合同7日内，将委托人代表的姓名和权限范围书面告知咨询人。委托人更换委托人代表时，应提前7日书面通知咨询人。</w:t>
      </w:r>
    </w:p>
    <w:p w14:paraId="1FA822C7">
      <w:pPr>
        <w:pStyle w:val="19"/>
        <w:pageBreakBefore w:val="0"/>
        <w:wordWrap w:val="0"/>
        <w:bidi w:val="0"/>
        <w:spacing w:before="60" w:line="360" w:lineRule="exact"/>
        <w:ind w:firstLine="420" w:firstLineChars="200"/>
        <w:jc w:val="left"/>
        <w:rPr>
          <w:rFonts w:hint="eastAsia" w:ascii="宋体" w:hAnsi="宋体" w:eastAsia="宋体" w:cs="宋体"/>
          <w:b w:val="0"/>
          <w:sz w:val="21"/>
          <w:szCs w:val="21"/>
        </w:rPr>
      </w:pPr>
      <w:bookmarkStart w:id="518" w:name="_Toc419045076"/>
      <w:bookmarkStart w:id="519" w:name="_Toc497839208"/>
      <w:bookmarkStart w:id="520" w:name="_Toc422322492"/>
      <w:bookmarkStart w:id="521" w:name="_Toc256000084"/>
      <w:bookmarkStart w:id="522" w:name="_Toc256000166"/>
      <w:r>
        <w:rPr>
          <w:rFonts w:hint="eastAsia" w:ascii="宋体" w:hAnsi="宋体" w:eastAsia="宋体" w:cs="宋体"/>
          <w:b w:val="0"/>
          <w:sz w:val="21"/>
          <w:szCs w:val="21"/>
          <w:highlight w:val="white"/>
        </w:rPr>
        <w:t>2.5答复</w:t>
      </w:r>
      <w:bookmarkEnd w:id="518"/>
      <w:bookmarkEnd w:id="519"/>
      <w:bookmarkEnd w:id="520"/>
      <w:bookmarkEnd w:id="521"/>
      <w:bookmarkEnd w:id="522"/>
    </w:p>
    <w:p w14:paraId="0ABAFE30">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委托人应当在专用条件约定的时间内就咨询人以书面形式提交并要求做出答复的事宜给予书面答复。逾期未答复的，由此造成的工作延误和损失由委托人承担。</w:t>
      </w:r>
    </w:p>
    <w:p w14:paraId="38C4B234">
      <w:pPr>
        <w:pStyle w:val="19"/>
        <w:pageBreakBefore w:val="0"/>
        <w:wordWrap w:val="0"/>
        <w:bidi w:val="0"/>
        <w:spacing w:before="60" w:line="360" w:lineRule="exact"/>
        <w:ind w:firstLine="420" w:firstLineChars="200"/>
        <w:jc w:val="left"/>
        <w:rPr>
          <w:rFonts w:hint="eastAsia" w:ascii="宋体" w:hAnsi="宋体" w:eastAsia="宋体" w:cs="宋体"/>
          <w:b w:val="0"/>
          <w:sz w:val="21"/>
          <w:szCs w:val="21"/>
        </w:rPr>
      </w:pPr>
      <w:bookmarkStart w:id="523" w:name="_Toc256000085"/>
      <w:bookmarkStart w:id="524" w:name="_Toc419045077"/>
      <w:bookmarkStart w:id="525" w:name="_Toc497839209"/>
      <w:bookmarkStart w:id="526" w:name="_Toc256000167"/>
      <w:bookmarkStart w:id="527" w:name="_Toc422322493"/>
      <w:r>
        <w:rPr>
          <w:rFonts w:hint="eastAsia" w:ascii="宋体" w:hAnsi="宋体" w:eastAsia="宋体" w:cs="宋体"/>
          <w:b w:val="0"/>
          <w:sz w:val="21"/>
          <w:szCs w:val="21"/>
          <w:highlight w:val="white"/>
        </w:rPr>
        <w:t>2.6支付</w:t>
      </w:r>
      <w:bookmarkEnd w:id="523"/>
      <w:bookmarkEnd w:id="524"/>
      <w:bookmarkEnd w:id="525"/>
      <w:bookmarkEnd w:id="526"/>
      <w:bookmarkEnd w:id="527"/>
    </w:p>
    <w:p w14:paraId="2E50B11D">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委托人应当按照合同的约定，向咨询人支付酬金。</w:t>
      </w:r>
    </w:p>
    <w:p w14:paraId="69810DFC">
      <w:pPr>
        <w:pStyle w:val="57"/>
        <w:pageBreakBefore w:val="0"/>
        <w:wordWrap w:val="0"/>
        <w:bidi w:val="0"/>
        <w:spacing w:before="0" w:after="0" w:line="360" w:lineRule="exact"/>
        <w:ind w:firstLine="422" w:firstLineChars="200"/>
        <w:jc w:val="left"/>
        <w:rPr>
          <w:rFonts w:hint="eastAsia" w:ascii="宋体" w:hAnsi="宋体" w:eastAsia="宋体" w:cs="宋体"/>
          <w:sz w:val="21"/>
          <w:szCs w:val="21"/>
        </w:rPr>
      </w:pPr>
      <w:bookmarkStart w:id="528" w:name="_Toc21083"/>
      <w:bookmarkStart w:id="529" w:name="_Toc422322494"/>
      <w:bookmarkStart w:id="530" w:name="_Toc30376"/>
      <w:bookmarkStart w:id="531" w:name="_Toc497839210"/>
      <w:bookmarkStart w:id="532" w:name="_Toc256000168"/>
      <w:bookmarkStart w:id="533" w:name="_Toc419045078"/>
      <w:bookmarkStart w:id="534" w:name="_Toc256000086"/>
      <w:bookmarkStart w:id="535" w:name="_Toc497839351"/>
      <w:r>
        <w:rPr>
          <w:rFonts w:hint="eastAsia" w:ascii="宋体" w:hAnsi="宋体" w:eastAsia="宋体" w:cs="宋体"/>
          <w:sz w:val="21"/>
          <w:szCs w:val="21"/>
          <w:highlight w:val="white"/>
        </w:rPr>
        <w:t>3.咨询人的义务</w:t>
      </w:r>
      <w:bookmarkEnd w:id="528"/>
      <w:bookmarkEnd w:id="529"/>
      <w:bookmarkEnd w:id="530"/>
      <w:bookmarkEnd w:id="531"/>
      <w:bookmarkEnd w:id="532"/>
      <w:bookmarkEnd w:id="533"/>
      <w:bookmarkEnd w:id="534"/>
      <w:bookmarkEnd w:id="535"/>
    </w:p>
    <w:p w14:paraId="48A482A4">
      <w:pPr>
        <w:pStyle w:val="19"/>
        <w:pageBreakBefore w:val="0"/>
        <w:wordWrap w:val="0"/>
        <w:bidi w:val="0"/>
        <w:spacing w:before="60" w:line="360" w:lineRule="exact"/>
        <w:ind w:firstLine="420" w:firstLineChars="200"/>
        <w:jc w:val="left"/>
        <w:rPr>
          <w:rFonts w:hint="eastAsia" w:ascii="宋体" w:hAnsi="宋体" w:eastAsia="宋体" w:cs="宋体"/>
          <w:b w:val="0"/>
          <w:sz w:val="21"/>
          <w:szCs w:val="21"/>
        </w:rPr>
      </w:pPr>
      <w:bookmarkStart w:id="536" w:name="_Toc419045080"/>
      <w:bookmarkStart w:id="537" w:name="_Toc497839211"/>
      <w:bookmarkStart w:id="538" w:name="_Toc256000169"/>
      <w:bookmarkStart w:id="539" w:name="_Toc256000087"/>
      <w:bookmarkStart w:id="540" w:name="_Toc422322495"/>
      <w:bookmarkStart w:id="541" w:name="16"/>
      <w:r>
        <w:rPr>
          <w:rFonts w:hint="eastAsia" w:ascii="宋体" w:hAnsi="宋体" w:eastAsia="宋体" w:cs="宋体"/>
          <w:b w:val="0"/>
          <w:sz w:val="21"/>
          <w:szCs w:val="21"/>
          <w:highlight w:val="white"/>
        </w:rPr>
        <w:t>3.1项目咨询团队及人员</w:t>
      </w:r>
      <w:bookmarkEnd w:id="536"/>
      <w:bookmarkEnd w:id="537"/>
      <w:bookmarkEnd w:id="538"/>
      <w:bookmarkEnd w:id="539"/>
      <w:bookmarkEnd w:id="540"/>
    </w:p>
    <w:p w14:paraId="3699801C">
      <w:pPr>
        <w:pStyle w:val="55"/>
        <w:pageBreakBefore w:val="0"/>
        <w:wordWrap w:val="0"/>
        <w:bidi w:val="0"/>
        <w:spacing w:after="200" w:line="360" w:lineRule="exact"/>
        <w:ind w:firstLine="420" w:firstLineChars="200"/>
        <w:jc w:val="left"/>
        <w:rPr>
          <w:rFonts w:hint="eastAsia" w:ascii="宋体" w:hAnsi="宋体" w:eastAsia="宋体" w:cs="宋体"/>
          <w:sz w:val="21"/>
        </w:rPr>
      </w:pPr>
      <w:r>
        <w:rPr>
          <w:rFonts w:hint="eastAsia" w:ascii="宋体" w:hAnsi="宋体" w:eastAsia="宋体" w:cs="宋体"/>
          <w:sz w:val="21"/>
          <w:highlight w:val="white"/>
        </w:rPr>
        <w:t>3.1.1项目咨询团队的主要人员应具有专用条件约定的资格条件，团队人员的数量应符合专用条件的约定。</w:t>
      </w:r>
    </w:p>
    <w:p w14:paraId="1F5BF403">
      <w:pPr>
        <w:pStyle w:val="55"/>
        <w:pageBreakBefore w:val="0"/>
        <w:wordWrap w:val="0"/>
        <w:bidi w:val="0"/>
        <w:spacing w:after="200" w:line="360" w:lineRule="exact"/>
        <w:ind w:firstLine="420" w:firstLineChars="200"/>
        <w:jc w:val="left"/>
        <w:rPr>
          <w:rFonts w:hint="eastAsia" w:ascii="宋体" w:hAnsi="宋体" w:eastAsia="宋体" w:cs="宋体"/>
          <w:sz w:val="21"/>
        </w:rPr>
      </w:pPr>
      <w:r>
        <w:rPr>
          <w:rFonts w:hint="eastAsia" w:ascii="宋体" w:hAnsi="宋体" w:eastAsia="宋体" w:cs="宋体"/>
          <w:sz w:val="21"/>
          <w:highlight w:val="white"/>
        </w:rPr>
        <w:t>3.1.2项目负责人</w:t>
      </w:r>
    </w:p>
    <w:p w14:paraId="03B1D8E9">
      <w:pPr>
        <w:pStyle w:val="55"/>
        <w:pageBreakBefore w:val="0"/>
        <w:wordWrap w:val="0"/>
        <w:bidi w:val="0"/>
        <w:spacing w:after="200" w:line="360" w:lineRule="exact"/>
        <w:ind w:firstLine="420" w:firstLineChars="200"/>
        <w:rPr>
          <w:rFonts w:hint="eastAsia" w:ascii="宋体" w:hAnsi="宋体" w:eastAsia="宋体" w:cs="宋体"/>
          <w:sz w:val="21"/>
        </w:rPr>
      </w:pPr>
      <w:r>
        <w:rPr>
          <w:rFonts w:hint="eastAsia" w:ascii="宋体" w:hAnsi="宋体" w:eastAsia="宋体" w:cs="宋体"/>
          <w:sz w:val="21"/>
          <w:highlight w:val="white"/>
        </w:rPr>
        <w:t>咨询人应以书面形式授权一名项目负责人负责履行本合同、主持项目咨询团队工作。采用招标程序签署本合同的，项目负责人应当与投标文件载明的一致。</w:t>
      </w:r>
    </w:p>
    <w:p w14:paraId="7B004D87">
      <w:pPr>
        <w:pStyle w:val="55"/>
        <w:pageBreakBefore w:val="0"/>
        <w:wordWrap w:val="0"/>
        <w:bidi w:val="0"/>
        <w:spacing w:after="200" w:line="360" w:lineRule="exact"/>
        <w:ind w:firstLine="420" w:firstLineChars="200"/>
        <w:rPr>
          <w:rFonts w:hint="eastAsia" w:ascii="宋体" w:hAnsi="宋体" w:eastAsia="宋体" w:cs="宋体"/>
          <w:sz w:val="21"/>
        </w:rPr>
      </w:pPr>
      <w:r>
        <w:rPr>
          <w:rFonts w:hint="eastAsia" w:ascii="宋体" w:hAnsi="宋体" w:eastAsia="宋体" w:cs="宋体"/>
          <w:sz w:val="21"/>
          <w:highlight w:val="white"/>
        </w:rPr>
        <w:t>3.1.3在本合同履行过程中，咨询人员应保持相对稳定，以保证咨询工作正常进行。</w:t>
      </w:r>
    </w:p>
    <w:p w14:paraId="0274F4F4">
      <w:pPr>
        <w:pStyle w:val="55"/>
        <w:pageBreakBefore w:val="0"/>
        <w:wordWrap w:val="0"/>
        <w:bidi w:val="0"/>
        <w:spacing w:after="200" w:line="360" w:lineRule="exact"/>
        <w:ind w:firstLine="420" w:firstLineChars="200"/>
        <w:rPr>
          <w:rFonts w:hint="eastAsia" w:ascii="宋体" w:hAnsi="宋体" w:eastAsia="宋体" w:cs="宋体"/>
          <w:sz w:val="21"/>
        </w:rPr>
      </w:pPr>
      <w:r>
        <w:rPr>
          <w:rFonts w:hint="eastAsia" w:ascii="宋体" w:hAnsi="宋体" w:eastAsia="宋体" w:cs="宋体"/>
          <w:sz w:val="21"/>
          <w:highlight w:val="white"/>
        </w:rPr>
        <w:t>咨询人可根据工程进展和工作需要等情形调整项目咨询团队人员。咨询人更换项目负责人时，应提前7日向委托人书面报告，经委托人同意后方可更换。除专用条件另有约定外，咨询人更换项目咨询团队其他咨询人员，应提前3日向委托人书面报告，经委托人同意后以相当资格与能力的人员替换。</w:t>
      </w:r>
    </w:p>
    <w:p w14:paraId="27F11129">
      <w:pPr>
        <w:pStyle w:val="55"/>
        <w:pageBreakBefore w:val="0"/>
        <w:wordWrap w:val="0"/>
        <w:bidi w:val="0"/>
        <w:spacing w:after="200" w:line="360" w:lineRule="exact"/>
        <w:ind w:firstLine="420" w:firstLineChars="200"/>
        <w:rPr>
          <w:rFonts w:hint="eastAsia" w:ascii="宋体" w:hAnsi="宋体" w:eastAsia="宋体" w:cs="宋体"/>
          <w:sz w:val="21"/>
        </w:rPr>
      </w:pPr>
      <w:r>
        <w:rPr>
          <w:rFonts w:hint="eastAsia" w:ascii="宋体" w:hAnsi="宋体" w:eastAsia="宋体" w:cs="宋体"/>
          <w:sz w:val="21"/>
          <w:highlight w:val="white"/>
        </w:rPr>
        <w:t>3.1.4咨询人员有下列情形之一，委托人要求咨询人更换的，咨询人应当更换：</w:t>
      </w:r>
    </w:p>
    <w:p w14:paraId="5C220240">
      <w:pPr>
        <w:pStyle w:val="55"/>
        <w:pageBreakBefore w:val="0"/>
        <w:wordWrap w:val="0"/>
        <w:bidi w:val="0"/>
        <w:spacing w:after="200" w:line="360" w:lineRule="exact"/>
        <w:ind w:firstLine="336"/>
        <w:jc w:val="left"/>
        <w:rPr>
          <w:rFonts w:hint="eastAsia" w:ascii="宋体" w:hAnsi="宋体" w:eastAsia="宋体" w:cs="宋体"/>
          <w:sz w:val="21"/>
        </w:rPr>
      </w:pPr>
      <w:r>
        <w:rPr>
          <w:rFonts w:hint="eastAsia" w:ascii="宋体" w:hAnsi="宋体" w:eastAsia="宋体" w:cs="宋体"/>
          <w:sz w:val="21"/>
          <w:highlight w:val="white"/>
        </w:rPr>
        <w:t>（1）存在严重过失行为的；</w:t>
      </w:r>
    </w:p>
    <w:p w14:paraId="606F4DA3">
      <w:pPr>
        <w:pStyle w:val="55"/>
        <w:pageBreakBefore w:val="0"/>
        <w:wordWrap w:val="0"/>
        <w:bidi w:val="0"/>
        <w:spacing w:after="200" w:line="360" w:lineRule="exact"/>
        <w:ind w:firstLine="336"/>
        <w:jc w:val="left"/>
        <w:rPr>
          <w:rFonts w:hint="eastAsia" w:ascii="宋体" w:hAnsi="宋体" w:eastAsia="宋体" w:cs="宋体"/>
          <w:sz w:val="21"/>
        </w:rPr>
      </w:pPr>
      <w:r>
        <w:rPr>
          <w:rFonts w:hint="eastAsia" w:ascii="宋体" w:hAnsi="宋体" w:eastAsia="宋体" w:cs="宋体"/>
          <w:sz w:val="21"/>
          <w:highlight w:val="white"/>
        </w:rPr>
        <w:t>（2）存在违法行为不能履行职责的；</w:t>
      </w:r>
    </w:p>
    <w:p w14:paraId="58D69677">
      <w:pPr>
        <w:pStyle w:val="55"/>
        <w:pageBreakBefore w:val="0"/>
        <w:wordWrap w:val="0"/>
        <w:bidi w:val="0"/>
        <w:spacing w:after="200" w:line="360" w:lineRule="exact"/>
        <w:ind w:firstLine="336"/>
        <w:jc w:val="left"/>
        <w:rPr>
          <w:rFonts w:hint="eastAsia" w:ascii="宋体" w:hAnsi="宋体" w:eastAsia="宋体" w:cs="宋体"/>
          <w:sz w:val="21"/>
        </w:rPr>
      </w:pPr>
      <w:r>
        <w:rPr>
          <w:rFonts w:hint="eastAsia" w:ascii="宋体" w:hAnsi="宋体" w:eastAsia="宋体" w:cs="宋体"/>
          <w:sz w:val="21"/>
          <w:highlight w:val="white"/>
        </w:rPr>
        <w:t>（3）涉嫌犯罪的；</w:t>
      </w:r>
    </w:p>
    <w:p w14:paraId="30DB4223">
      <w:pPr>
        <w:pStyle w:val="55"/>
        <w:pageBreakBefore w:val="0"/>
        <w:wordWrap w:val="0"/>
        <w:bidi w:val="0"/>
        <w:spacing w:after="200" w:line="360" w:lineRule="exact"/>
        <w:ind w:firstLine="336"/>
        <w:jc w:val="left"/>
        <w:rPr>
          <w:rFonts w:hint="eastAsia" w:ascii="宋体" w:hAnsi="宋体" w:eastAsia="宋体" w:cs="宋体"/>
          <w:sz w:val="21"/>
        </w:rPr>
      </w:pPr>
      <w:r>
        <w:rPr>
          <w:rFonts w:hint="eastAsia" w:ascii="宋体" w:hAnsi="宋体" w:eastAsia="宋体" w:cs="宋体"/>
          <w:sz w:val="21"/>
          <w:highlight w:val="white"/>
        </w:rPr>
        <w:t>（4）不能胜任岗位职责的；</w:t>
      </w:r>
    </w:p>
    <w:p w14:paraId="3BD66C25">
      <w:pPr>
        <w:pStyle w:val="55"/>
        <w:pageBreakBefore w:val="0"/>
        <w:wordWrap w:val="0"/>
        <w:bidi w:val="0"/>
        <w:spacing w:after="200" w:line="360" w:lineRule="exact"/>
        <w:ind w:firstLine="336"/>
        <w:jc w:val="left"/>
        <w:rPr>
          <w:rFonts w:hint="eastAsia" w:ascii="宋体" w:hAnsi="宋体" w:eastAsia="宋体" w:cs="宋体"/>
          <w:sz w:val="21"/>
        </w:rPr>
      </w:pPr>
      <w:r>
        <w:rPr>
          <w:rFonts w:hint="eastAsia" w:ascii="宋体" w:hAnsi="宋体" w:eastAsia="宋体" w:cs="宋体"/>
          <w:sz w:val="21"/>
          <w:highlight w:val="white"/>
        </w:rPr>
        <w:t>（5）严重违反职业道德的；</w:t>
      </w:r>
    </w:p>
    <w:p w14:paraId="2AAFFDF0">
      <w:pPr>
        <w:pStyle w:val="55"/>
        <w:pageBreakBefore w:val="0"/>
        <w:wordWrap w:val="0"/>
        <w:bidi w:val="0"/>
        <w:spacing w:after="200" w:line="360" w:lineRule="exact"/>
        <w:ind w:firstLine="336"/>
        <w:jc w:val="left"/>
        <w:rPr>
          <w:rStyle w:val="58"/>
          <w:rFonts w:hint="eastAsia" w:ascii="宋体" w:hAnsi="宋体" w:eastAsia="宋体" w:cs="宋体"/>
          <w:b w:val="0"/>
          <w:sz w:val="21"/>
          <w:szCs w:val="21"/>
        </w:rPr>
      </w:pPr>
      <w:r>
        <w:rPr>
          <w:rFonts w:hint="eastAsia" w:ascii="宋体" w:hAnsi="宋体" w:eastAsia="宋体" w:cs="宋体"/>
          <w:sz w:val="21"/>
          <w:highlight w:val="white"/>
        </w:rPr>
        <w:t>（6）专用条件约定的其他情形。</w:t>
      </w:r>
    </w:p>
    <w:p w14:paraId="2708F726">
      <w:pPr>
        <w:pStyle w:val="19"/>
        <w:pageBreakBefore w:val="0"/>
        <w:wordWrap w:val="0"/>
        <w:bidi w:val="0"/>
        <w:spacing w:before="60" w:line="360" w:lineRule="exact"/>
        <w:ind w:firstLine="420" w:firstLineChars="200"/>
        <w:jc w:val="left"/>
        <w:rPr>
          <w:rFonts w:hint="eastAsia" w:ascii="宋体" w:hAnsi="宋体" w:eastAsia="宋体" w:cs="宋体"/>
          <w:b w:val="0"/>
          <w:sz w:val="21"/>
          <w:szCs w:val="21"/>
        </w:rPr>
      </w:pPr>
      <w:bookmarkStart w:id="542" w:name="_Toc256000170"/>
      <w:bookmarkStart w:id="543" w:name="_Toc497839212"/>
      <w:bookmarkStart w:id="544" w:name="_Toc422322496"/>
      <w:bookmarkStart w:id="545" w:name="_Toc256000088"/>
      <w:r>
        <w:rPr>
          <w:rFonts w:hint="eastAsia" w:ascii="宋体" w:hAnsi="宋体" w:eastAsia="宋体" w:cs="宋体"/>
          <w:b w:val="0"/>
          <w:sz w:val="21"/>
          <w:szCs w:val="21"/>
          <w:highlight w:val="white"/>
        </w:rPr>
        <w:t>3.2咨询人的工作要求</w:t>
      </w:r>
      <w:bookmarkEnd w:id="542"/>
      <w:bookmarkEnd w:id="543"/>
      <w:bookmarkEnd w:id="544"/>
      <w:bookmarkEnd w:id="545"/>
    </w:p>
    <w:p w14:paraId="3E53376B">
      <w:pPr>
        <w:pStyle w:val="55"/>
        <w:pageBreakBefore w:val="0"/>
        <w:wordWrap w:val="0"/>
        <w:bidi w:val="0"/>
        <w:spacing w:after="200" w:line="360" w:lineRule="exact"/>
        <w:ind w:firstLine="420" w:firstLineChars="200"/>
        <w:jc w:val="left"/>
        <w:rPr>
          <w:rFonts w:hint="eastAsia" w:ascii="宋体" w:hAnsi="宋体" w:eastAsia="宋体" w:cs="宋体"/>
          <w:sz w:val="21"/>
        </w:rPr>
      </w:pPr>
      <w:r>
        <w:rPr>
          <w:rFonts w:hint="eastAsia" w:ascii="宋体" w:hAnsi="宋体" w:eastAsia="宋体" w:cs="宋体"/>
          <w:sz w:val="21"/>
          <w:highlight w:val="white"/>
        </w:rPr>
        <w:t>3.2.1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14:paraId="617ED3DA">
      <w:pPr>
        <w:pStyle w:val="55"/>
        <w:pageBreakBefore w:val="0"/>
        <w:wordWrap w:val="0"/>
        <w:bidi w:val="0"/>
        <w:spacing w:after="200" w:line="360" w:lineRule="exact"/>
        <w:ind w:firstLine="420" w:firstLineChars="200"/>
        <w:jc w:val="left"/>
        <w:rPr>
          <w:rFonts w:hint="eastAsia" w:ascii="宋体" w:hAnsi="宋体" w:eastAsia="宋体" w:cs="宋体"/>
          <w:sz w:val="21"/>
        </w:rPr>
      </w:pPr>
      <w:r>
        <w:rPr>
          <w:rFonts w:hint="eastAsia" w:ascii="宋体" w:hAnsi="宋体" w:eastAsia="宋体" w:cs="宋体"/>
          <w:sz w:val="21"/>
          <w:highlight w:val="white"/>
        </w:rPr>
        <w:t>3.2.2咨询人应当在专用条件约定的时间内，按照专用条件约定的份数、组成向委托人提交咨询成果文件。</w:t>
      </w:r>
    </w:p>
    <w:p w14:paraId="4DA685DA">
      <w:pPr>
        <w:pStyle w:val="55"/>
        <w:pageBreakBefore w:val="0"/>
        <w:wordWrap w:val="0"/>
        <w:bidi w:val="0"/>
        <w:spacing w:after="200" w:line="360" w:lineRule="exact"/>
        <w:ind w:firstLine="420" w:firstLineChars="200"/>
        <w:jc w:val="left"/>
        <w:rPr>
          <w:rFonts w:hint="eastAsia" w:ascii="宋体" w:hAnsi="宋体" w:eastAsia="宋体" w:cs="宋体"/>
          <w:sz w:val="21"/>
        </w:rPr>
      </w:pPr>
      <w:r>
        <w:rPr>
          <w:rFonts w:hint="eastAsia" w:ascii="宋体" w:hAnsi="宋体" w:eastAsia="宋体" w:cs="宋体"/>
          <w:sz w:val="21"/>
          <w:highlight w:val="white"/>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14:paraId="78184058">
      <w:pPr>
        <w:pStyle w:val="55"/>
        <w:pageBreakBefore w:val="0"/>
        <w:wordWrap w:val="0"/>
        <w:bidi w:val="0"/>
        <w:spacing w:after="200" w:line="360" w:lineRule="exact"/>
        <w:ind w:firstLine="420" w:firstLineChars="200"/>
        <w:jc w:val="left"/>
        <w:rPr>
          <w:rFonts w:hint="eastAsia" w:ascii="宋体" w:hAnsi="宋体" w:eastAsia="宋体" w:cs="宋体"/>
          <w:sz w:val="21"/>
        </w:rPr>
      </w:pPr>
      <w:r>
        <w:rPr>
          <w:rFonts w:hint="eastAsia" w:ascii="宋体" w:hAnsi="宋体" w:eastAsia="宋体" w:cs="宋体"/>
          <w:sz w:val="21"/>
          <w:highlight w:val="white"/>
        </w:rPr>
        <w:t>3.2.3咨询人提交的工程造价咨询成果文件，除加盖咨询人单位公章、工程造价咨询企业执业印章外，还必须按要求加盖参加咨询工作人员的执业（从业）资格印章。</w:t>
      </w:r>
    </w:p>
    <w:p w14:paraId="56DF2230">
      <w:pPr>
        <w:pStyle w:val="55"/>
        <w:pageBreakBefore w:val="0"/>
        <w:wordWrap w:val="0"/>
        <w:bidi w:val="0"/>
        <w:spacing w:after="200" w:line="360" w:lineRule="exact"/>
        <w:ind w:firstLine="420" w:firstLineChars="200"/>
        <w:jc w:val="left"/>
        <w:rPr>
          <w:rFonts w:hint="eastAsia" w:ascii="宋体" w:hAnsi="宋体" w:eastAsia="宋体" w:cs="宋体"/>
          <w:sz w:val="21"/>
        </w:rPr>
      </w:pPr>
      <w:r>
        <w:rPr>
          <w:rFonts w:hint="eastAsia" w:ascii="宋体" w:hAnsi="宋体" w:eastAsia="宋体" w:cs="宋体"/>
          <w:sz w:val="21"/>
          <w:highlight w:val="white"/>
        </w:rPr>
        <w:t>3.2.4咨询人应在专用条件约定的时间内，对委托人以书面形式提出的建议或者异议给予书面答复。</w:t>
      </w:r>
    </w:p>
    <w:p w14:paraId="0415E459">
      <w:pPr>
        <w:pStyle w:val="55"/>
        <w:pageBreakBefore w:val="0"/>
        <w:wordWrap w:val="0"/>
        <w:bidi w:val="0"/>
        <w:spacing w:after="200" w:line="360" w:lineRule="exact"/>
        <w:ind w:firstLine="420" w:firstLineChars="200"/>
        <w:jc w:val="left"/>
        <w:rPr>
          <w:rFonts w:hint="eastAsia" w:ascii="宋体" w:hAnsi="宋体" w:eastAsia="宋体" w:cs="宋体"/>
          <w:sz w:val="21"/>
        </w:rPr>
      </w:pPr>
      <w:r>
        <w:rPr>
          <w:rFonts w:hint="eastAsia" w:ascii="宋体" w:hAnsi="宋体" w:eastAsia="宋体" w:cs="宋体"/>
          <w:sz w:val="21"/>
          <w:highlight w:val="white"/>
        </w:rPr>
        <w:t>3.2.5咨询人从事工程造价咨询活动，应当遵循独立、客观、公正、诚</w:t>
      </w:r>
    </w:p>
    <w:p w14:paraId="1C7D9761">
      <w:pPr>
        <w:pStyle w:val="55"/>
        <w:pageBreakBefore w:val="0"/>
        <w:wordWrap w:val="0"/>
        <w:bidi w:val="0"/>
        <w:spacing w:after="200" w:line="360" w:lineRule="exact"/>
        <w:jc w:val="left"/>
        <w:rPr>
          <w:rFonts w:hint="eastAsia" w:ascii="宋体" w:hAnsi="宋体" w:eastAsia="宋体" w:cs="宋体"/>
          <w:sz w:val="21"/>
        </w:rPr>
      </w:pPr>
      <w:r>
        <w:rPr>
          <w:rFonts w:hint="eastAsia" w:ascii="宋体" w:hAnsi="宋体" w:eastAsia="宋体" w:cs="宋体"/>
          <w:sz w:val="21"/>
          <w:highlight w:val="white"/>
        </w:rPr>
        <w:t>实信用的原则，不得损害社会公共利益和他人的合法权益。</w:t>
      </w:r>
    </w:p>
    <w:p w14:paraId="6D9A584C">
      <w:pPr>
        <w:pStyle w:val="55"/>
        <w:pageBreakBefore w:val="0"/>
        <w:wordWrap w:val="0"/>
        <w:bidi w:val="0"/>
        <w:spacing w:after="200" w:line="360" w:lineRule="exact"/>
        <w:ind w:firstLine="420" w:firstLineChars="200"/>
        <w:jc w:val="left"/>
        <w:rPr>
          <w:rFonts w:hint="eastAsia" w:ascii="宋体" w:hAnsi="宋体" w:eastAsia="宋体" w:cs="宋体"/>
          <w:sz w:val="21"/>
        </w:rPr>
      </w:pPr>
      <w:r>
        <w:rPr>
          <w:rFonts w:hint="eastAsia" w:ascii="宋体" w:hAnsi="宋体" w:eastAsia="宋体" w:cs="宋体"/>
          <w:sz w:val="21"/>
          <w:highlight w:val="white"/>
        </w:rPr>
        <w:t>3.2.6咨询人承诺按照法律规定及合同约定，完成合同范围内的建设工程造价咨询服务，不转包承接的造价咨询服务业务。</w:t>
      </w:r>
    </w:p>
    <w:p w14:paraId="5FF6FF38">
      <w:pPr>
        <w:pStyle w:val="19"/>
        <w:pageBreakBefore w:val="0"/>
        <w:wordWrap w:val="0"/>
        <w:bidi w:val="0"/>
        <w:spacing w:before="60" w:line="360" w:lineRule="exact"/>
        <w:ind w:firstLine="420" w:firstLineChars="200"/>
        <w:jc w:val="left"/>
        <w:rPr>
          <w:rFonts w:hint="eastAsia" w:ascii="宋体" w:hAnsi="宋体" w:eastAsia="宋体" w:cs="宋体"/>
          <w:b w:val="0"/>
          <w:sz w:val="21"/>
          <w:szCs w:val="21"/>
        </w:rPr>
      </w:pPr>
      <w:bookmarkStart w:id="546" w:name="_Toc256000089"/>
      <w:bookmarkStart w:id="547" w:name="_Toc497839213"/>
      <w:bookmarkStart w:id="548" w:name="_Toc256000171"/>
      <w:bookmarkStart w:id="549" w:name="_Toc422322497"/>
      <w:bookmarkStart w:id="550" w:name="_Toc419045081"/>
      <w:r>
        <w:rPr>
          <w:rFonts w:hint="eastAsia" w:ascii="宋体" w:hAnsi="宋体" w:eastAsia="宋体" w:cs="宋体"/>
          <w:b w:val="0"/>
          <w:sz w:val="21"/>
          <w:szCs w:val="21"/>
          <w:highlight w:val="white"/>
        </w:rPr>
        <w:t>3.3咨询人的工作依据</w:t>
      </w:r>
      <w:bookmarkEnd w:id="546"/>
      <w:bookmarkEnd w:id="547"/>
      <w:bookmarkEnd w:id="548"/>
      <w:bookmarkEnd w:id="549"/>
      <w:bookmarkEnd w:id="550"/>
    </w:p>
    <w:p w14:paraId="35DB63BF">
      <w:pPr>
        <w:pStyle w:val="55"/>
        <w:pageBreakBefore w:val="0"/>
        <w:wordWrap w:val="0"/>
        <w:bidi w:val="0"/>
        <w:spacing w:after="200" w:line="360" w:lineRule="exact"/>
        <w:ind w:firstLine="420" w:firstLineChars="200"/>
        <w:jc w:val="left"/>
        <w:rPr>
          <w:rFonts w:hint="eastAsia" w:ascii="宋体" w:hAnsi="宋体" w:eastAsia="宋体" w:cs="宋体"/>
          <w:sz w:val="21"/>
        </w:rPr>
      </w:pPr>
      <w:r>
        <w:rPr>
          <w:rFonts w:hint="eastAsia" w:ascii="宋体" w:hAnsi="宋体" w:eastAsia="宋体" w:cs="宋体"/>
          <w:sz w:val="21"/>
          <w:highlight w:val="white"/>
        </w:rPr>
        <w:t>咨询人应在专用条件内与委托人协商明确履行本合同约定的咨询服务需要适用的技术标准、规范、定额等工作依据，但不得违反国家及工程所在地的强制性标准、规范。</w:t>
      </w:r>
    </w:p>
    <w:p w14:paraId="7835818E">
      <w:pPr>
        <w:pStyle w:val="55"/>
        <w:pageBreakBefore w:val="0"/>
        <w:wordWrap w:val="0"/>
        <w:bidi w:val="0"/>
        <w:spacing w:after="200" w:line="360" w:lineRule="exact"/>
        <w:ind w:firstLine="420" w:firstLineChars="200"/>
        <w:jc w:val="left"/>
        <w:rPr>
          <w:rFonts w:hint="eastAsia" w:ascii="宋体" w:hAnsi="宋体" w:eastAsia="宋体" w:cs="宋体"/>
          <w:sz w:val="21"/>
        </w:rPr>
      </w:pPr>
      <w:r>
        <w:rPr>
          <w:rFonts w:hint="eastAsia" w:ascii="宋体" w:hAnsi="宋体" w:eastAsia="宋体" w:cs="宋体"/>
          <w:sz w:val="21"/>
          <w:highlight w:val="white"/>
        </w:rPr>
        <w:t>咨询人应自行配备本条所述的技术标准、规范、定额等相关资料。必须由委托人提供的资料，应在附录C中载明。需要委托人协助才能获得的资料，委托人应予以协助。</w:t>
      </w:r>
    </w:p>
    <w:p w14:paraId="5868F547">
      <w:pPr>
        <w:pStyle w:val="19"/>
        <w:pageBreakBefore w:val="0"/>
        <w:wordWrap w:val="0"/>
        <w:bidi w:val="0"/>
        <w:spacing w:before="60" w:line="360" w:lineRule="exact"/>
        <w:ind w:firstLine="420" w:firstLineChars="200"/>
        <w:jc w:val="left"/>
        <w:rPr>
          <w:rFonts w:hint="eastAsia" w:ascii="宋体" w:hAnsi="宋体" w:eastAsia="宋体" w:cs="宋体"/>
          <w:b w:val="0"/>
          <w:sz w:val="21"/>
          <w:szCs w:val="21"/>
        </w:rPr>
      </w:pPr>
      <w:bookmarkStart w:id="551" w:name="_Toc422322498"/>
      <w:bookmarkStart w:id="552" w:name="_Toc419045082"/>
      <w:bookmarkStart w:id="553" w:name="_Toc497839214"/>
      <w:bookmarkStart w:id="554" w:name="_Toc256000172"/>
      <w:bookmarkStart w:id="555" w:name="_Toc256000090"/>
      <w:r>
        <w:rPr>
          <w:rFonts w:hint="eastAsia" w:ascii="宋体" w:hAnsi="宋体" w:eastAsia="宋体" w:cs="宋体"/>
          <w:b w:val="0"/>
          <w:sz w:val="21"/>
          <w:szCs w:val="21"/>
          <w:highlight w:val="white"/>
        </w:rPr>
        <w:t>3.4使用委托人房屋及设备的返还</w:t>
      </w:r>
      <w:bookmarkEnd w:id="551"/>
      <w:bookmarkEnd w:id="552"/>
      <w:bookmarkEnd w:id="553"/>
      <w:bookmarkEnd w:id="554"/>
      <w:bookmarkEnd w:id="555"/>
    </w:p>
    <w:p w14:paraId="4BDF15C5">
      <w:pPr>
        <w:pStyle w:val="55"/>
        <w:pageBreakBefore w:val="0"/>
        <w:wordWrap w:val="0"/>
        <w:bidi w:val="0"/>
        <w:spacing w:after="200" w:line="360" w:lineRule="exact"/>
        <w:ind w:firstLine="420" w:firstLineChars="200"/>
        <w:jc w:val="left"/>
        <w:rPr>
          <w:rFonts w:hint="eastAsia" w:ascii="宋体" w:hAnsi="宋体" w:eastAsia="宋体" w:cs="宋体"/>
          <w:sz w:val="21"/>
        </w:rPr>
      </w:pPr>
      <w:r>
        <w:rPr>
          <w:rFonts w:hint="eastAsia" w:ascii="宋体" w:hAnsi="宋体" w:eastAsia="宋体" w:cs="宋体"/>
          <w:sz w:val="21"/>
          <w:highlight w:val="white"/>
        </w:rPr>
        <w:t>项目咨询人员使用委托人提供的房屋及设备的，咨询人应妥善使用和保管，在本合同终止时将上述房屋及设备按专用条件约定的时间和方式返还委托人。</w:t>
      </w:r>
    </w:p>
    <w:bookmarkEnd w:id="541"/>
    <w:p w14:paraId="46AB592E">
      <w:pPr>
        <w:pStyle w:val="20"/>
        <w:pageBreakBefore w:val="0"/>
        <w:wordWrap w:val="0"/>
        <w:bidi w:val="0"/>
        <w:spacing w:after="200" w:line="360" w:lineRule="exact"/>
        <w:ind w:firstLine="422" w:firstLineChars="200"/>
        <w:rPr>
          <w:rStyle w:val="56"/>
          <w:rFonts w:hint="eastAsia" w:ascii="宋体" w:hAnsi="宋体" w:eastAsia="宋体" w:cs="宋体"/>
          <w:sz w:val="21"/>
          <w:szCs w:val="21"/>
        </w:rPr>
      </w:pPr>
      <w:bookmarkStart w:id="556" w:name="_Toc419045083"/>
      <w:bookmarkStart w:id="557" w:name="_Toc422322499"/>
      <w:bookmarkStart w:id="558" w:name="_Toc19055"/>
      <w:bookmarkStart w:id="559" w:name="_Toc1032"/>
      <w:bookmarkStart w:id="560" w:name="19"/>
      <w:r>
        <w:rPr>
          <w:rStyle w:val="56"/>
          <w:rFonts w:hint="eastAsia" w:ascii="宋体" w:hAnsi="宋体" w:eastAsia="宋体" w:cs="宋体"/>
          <w:sz w:val="21"/>
          <w:szCs w:val="21"/>
          <w:highlight w:val="white"/>
        </w:rPr>
        <w:t>4.违约责任</w:t>
      </w:r>
      <w:bookmarkEnd w:id="556"/>
      <w:bookmarkEnd w:id="557"/>
    </w:p>
    <w:bookmarkEnd w:id="558"/>
    <w:bookmarkEnd w:id="559"/>
    <w:p w14:paraId="2E74127A">
      <w:pPr>
        <w:pStyle w:val="19"/>
        <w:pageBreakBefore w:val="0"/>
        <w:wordWrap w:val="0"/>
        <w:bidi w:val="0"/>
        <w:spacing w:before="60" w:line="360" w:lineRule="exact"/>
        <w:ind w:firstLine="420" w:firstLineChars="200"/>
        <w:jc w:val="left"/>
        <w:rPr>
          <w:rFonts w:hint="eastAsia" w:ascii="宋体" w:hAnsi="宋体" w:eastAsia="宋体" w:cs="宋体"/>
          <w:b w:val="0"/>
          <w:sz w:val="21"/>
          <w:szCs w:val="21"/>
        </w:rPr>
      </w:pPr>
      <w:bookmarkStart w:id="561" w:name="_Toc497839215"/>
      <w:bookmarkStart w:id="562" w:name="_Toc422322500"/>
      <w:bookmarkStart w:id="563" w:name="_Toc256000173"/>
      <w:bookmarkStart w:id="564" w:name="_Toc256000091"/>
      <w:r>
        <w:rPr>
          <w:rFonts w:hint="eastAsia" w:ascii="宋体" w:hAnsi="宋体" w:eastAsia="宋体" w:cs="宋体"/>
          <w:b w:val="0"/>
          <w:sz w:val="21"/>
          <w:szCs w:val="21"/>
          <w:highlight w:val="white"/>
        </w:rPr>
        <w:t>4.1委托人的违约责任</w:t>
      </w:r>
      <w:bookmarkEnd w:id="561"/>
      <w:bookmarkEnd w:id="562"/>
      <w:bookmarkEnd w:id="563"/>
      <w:bookmarkEnd w:id="564"/>
    </w:p>
    <w:p w14:paraId="7530BA9E">
      <w:pPr>
        <w:pStyle w:val="55"/>
        <w:pageBreakBefore w:val="0"/>
        <w:wordWrap w:val="0"/>
        <w:bidi w:val="0"/>
        <w:spacing w:after="200" w:line="360" w:lineRule="exact"/>
        <w:ind w:firstLine="420" w:firstLineChars="200"/>
        <w:jc w:val="left"/>
        <w:rPr>
          <w:rFonts w:hint="eastAsia" w:ascii="宋体" w:hAnsi="宋体" w:eastAsia="宋体" w:cs="宋体"/>
          <w:sz w:val="21"/>
        </w:rPr>
      </w:pPr>
      <w:r>
        <w:rPr>
          <w:rFonts w:hint="eastAsia" w:ascii="宋体" w:hAnsi="宋体" w:eastAsia="宋体" w:cs="宋体"/>
          <w:sz w:val="21"/>
          <w:highlight w:val="white"/>
        </w:rPr>
        <w:t>4.1.1委托人不履行本合同义务或者履行义务不符合本合同约定的，应承担违约责任。双方可在专用条件中约定违约金的计算及支付方法。</w:t>
      </w:r>
    </w:p>
    <w:p w14:paraId="72883583">
      <w:pPr>
        <w:pStyle w:val="55"/>
        <w:pageBreakBefore w:val="0"/>
        <w:wordWrap w:val="0"/>
        <w:bidi w:val="0"/>
        <w:spacing w:after="200" w:line="360" w:lineRule="exact"/>
        <w:ind w:firstLine="420" w:firstLineChars="200"/>
        <w:jc w:val="left"/>
        <w:rPr>
          <w:rFonts w:hint="eastAsia" w:ascii="宋体" w:hAnsi="宋体" w:eastAsia="宋体" w:cs="宋体"/>
          <w:sz w:val="21"/>
        </w:rPr>
      </w:pPr>
      <w:r>
        <w:rPr>
          <w:rFonts w:hint="eastAsia" w:ascii="宋体" w:hAnsi="宋体" w:eastAsia="宋体" w:cs="宋体"/>
          <w:sz w:val="21"/>
          <w:highlight w:val="white"/>
        </w:rPr>
        <w:t>4.1.2委托人违反本合同约定造成咨询人损失的，委托人应予以赔偿。双方可在专用条件中约定赔偿金额的确定及支付方法。</w:t>
      </w:r>
    </w:p>
    <w:p w14:paraId="774E0581">
      <w:pPr>
        <w:pStyle w:val="55"/>
        <w:pageBreakBefore w:val="0"/>
        <w:wordWrap w:val="0"/>
        <w:bidi w:val="0"/>
        <w:spacing w:after="200" w:line="360" w:lineRule="exact"/>
        <w:ind w:firstLine="420" w:firstLineChars="200"/>
        <w:jc w:val="left"/>
        <w:rPr>
          <w:rStyle w:val="56"/>
          <w:rFonts w:hint="eastAsia" w:ascii="宋体" w:hAnsi="宋体" w:eastAsia="宋体" w:cs="宋体"/>
          <w:b w:val="0"/>
          <w:bCs/>
          <w:sz w:val="21"/>
          <w:szCs w:val="21"/>
        </w:rPr>
      </w:pPr>
      <w:r>
        <w:rPr>
          <w:rFonts w:hint="eastAsia" w:ascii="宋体" w:hAnsi="宋体" w:eastAsia="宋体" w:cs="宋体"/>
          <w:sz w:val="21"/>
          <w:highlight w:val="white"/>
        </w:rPr>
        <w:t>4.1.3委托人未能按期支付酬金超过14天，应按下列方法计算并支付逾期付款利息。逾期付款利息=当期应付款总额×中国人民银行发布的同期贷款基准利率×逾期支付天数（自逾期之日起计算）。双方也可在专用条件中另行约定逾期付款利息的计算及支付方法。</w:t>
      </w:r>
    </w:p>
    <w:p w14:paraId="151481BF">
      <w:pPr>
        <w:pStyle w:val="19"/>
        <w:pageBreakBefore w:val="0"/>
        <w:wordWrap w:val="0"/>
        <w:bidi w:val="0"/>
        <w:spacing w:before="60" w:line="360" w:lineRule="exact"/>
        <w:ind w:firstLine="420" w:firstLineChars="200"/>
        <w:jc w:val="left"/>
        <w:rPr>
          <w:rFonts w:hint="eastAsia" w:ascii="宋体" w:hAnsi="宋体" w:eastAsia="宋体" w:cs="宋体"/>
          <w:b w:val="0"/>
          <w:sz w:val="21"/>
          <w:szCs w:val="21"/>
        </w:rPr>
      </w:pPr>
      <w:bookmarkStart w:id="565" w:name="_Toc419045084"/>
      <w:bookmarkStart w:id="566" w:name="_Toc497839216"/>
      <w:bookmarkStart w:id="567" w:name="_Toc256000174"/>
      <w:bookmarkStart w:id="568" w:name="_Toc256000092"/>
      <w:bookmarkStart w:id="569" w:name="_Toc422322501"/>
      <w:r>
        <w:rPr>
          <w:rFonts w:hint="eastAsia" w:ascii="宋体" w:hAnsi="宋体" w:eastAsia="宋体" w:cs="宋体"/>
          <w:b w:val="0"/>
          <w:sz w:val="21"/>
          <w:szCs w:val="21"/>
          <w:highlight w:val="white"/>
        </w:rPr>
        <w:t>4.2咨询人的违约责任</w:t>
      </w:r>
      <w:bookmarkEnd w:id="565"/>
      <w:bookmarkEnd w:id="566"/>
      <w:bookmarkEnd w:id="567"/>
      <w:bookmarkEnd w:id="568"/>
      <w:bookmarkEnd w:id="569"/>
    </w:p>
    <w:p w14:paraId="1F41C12C">
      <w:pPr>
        <w:pStyle w:val="55"/>
        <w:pageBreakBefore w:val="0"/>
        <w:wordWrap w:val="0"/>
        <w:bidi w:val="0"/>
        <w:spacing w:after="200" w:line="360" w:lineRule="exact"/>
        <w:ind w:firstLine="420" w:firstLineChars="200"/>
        <w:jc w:val="left"/>
        <w:rPr>
          <w:rFonts w:hint="eastAsia" w:ascii="宋体" w:hAnsi="宋体" w:eastAsia="宋体" w:cs="宋体"/>
          <w:sz w:val="21"/>
        </w:rPr>
      </w:pPr>
      <w:r>
        <w:rPr>
          <w:rFonts w:hint="eastAsia" w:ascii="宋体" w:hAnsi="宋体" w:eastAsia="宋体" w:cs="宋体"/>
          <w:sz w:val="21"/>
          <w:highlight w:val="white"/>
        </w:rPr>
        <w:t>4.2.1咨询人不履行本合同义务或者履行义务不符合本合同约定的，应承担违约责任。双方可在专用条件中约定违约金的计算及支付方法。</w:t>
      </w:r>
    </w:p>
    <w:p w14:paraId="2EA6D27B">
      <w:pPr>
        <w:pStyle w:val="55"/>
        <w:pageBreakBefore w:val="0"/>
        <w:wordWrap w:val="0"/>
        <w:bidi w:val="0"/>
        <w:spacing w:after="200" w:line="360" w:lineRule="exact"/>
        <w:ind w:firstLine="420" w:firstLineChars="200"/>
        <w:jc w:val="left"/>
        <w:rPr>
          <w:rFonts w:hint="eastAsia" w:ascii="宋体" w:hAnsi="宋体" w:eastAsia="宋体" w:cs="宋体"/>
          <w:sz w:val="21"/>
        </w:rPr>
      </w:pPr>
      <w:r>
        <w:rPr>
          <w:rFonts w:hint="eastAsia" w:ascii="宋体" w:hAnsi="宋体" w:eastAsia="宋体" w:cs="宋体"/>
          <w:sz w:val="21"/>
          <w:highlight w:val="white"/>
        </w:rPr>
        <w:t>4.2.2因咨询人违反本合同约定给委托人造成损失的，咨询人应当赔偿委托人损失。双方可在专用条件中约定赔偿金额的确定及支付方法。</w:t>
      </w:r>
    </w:p>
    <w:p w14:paraId="28BCE454">
      <w:pPr>
        <w:pStyle w:val="20"/>
        <w:pageBreakBefore w:val="0"/>
        <w:wordWrap w:val="0"/>
        <w:bidi w:val="0"/>
        <w:spacing w:after="200" w:line="360" w:lineRule="exact"/>
        <w:ind w:firstLine="422" w:firstLineChars="200"/>
        <w:rPr>
          <w:rStyle w:val="56"/>
          <w:rFonts w:hint="eastAsia" w:ascii="宋体" w:hAnsi="宋体" w:eastAsia="宋体" w:cs="宋体"/>
          <w:bCs/>
          <w:sz w:val="21"/>
          <w:szCs w:val="21"/>
        </w:rPr>
      </w:pPr>
      <w:bookmarkStart w:id="570" w:name="_Toc419045086"/>
      <w:bookmarkStart w:id="571" w:name="_Toc422322502"/>
      <w:bookmarkStart w:id="572" w:name="_Toc10056"/>
      <w:bookmarkStart w:id="573" w:name="_Toc11151"/>
      <w:r>
        <w:rPr>
          <w:rStyle w:val="56"/>
          <w:rFonts w:hint="eastAsia" w:ascii="宋体" w:hAnsi="宋体" w:eastAsia="宋体" w:cs="宋体"/>
          <w:bCs/>
          <w:sz w:val="21"/>
          <w:szCs w:val="21"/>
          <w:highlight w:val="white"/>
        </w:rPr>
        <w:t>5.支付</w:t>
      </w:r>
      <w:bookmarkEnd w:id="570"/>
      <w:bookmarkEnd w:id="571"/>
    </w:p>
    <w:bookmarkEnd w:id="572"/>
    <w:bookmarkEnd w:id="573"/>
    <w:p w14:paraId="317AA5FD">
      <w:pPr>
        <w:pStyle w:val="19"/>
        <w:pageBreakBefore w:val="0"/>
        <w:wordWrap w:val="0"/>
        <w:bidi w:val="0"/>
        <w:spacing w:before="60" w:line="360" w:lineRule="exact"/>
        <w:ind w:firstLine="422" w:firstLineChars="200"/>
        <w:jc w:val="left"/>
        <w:rPr>
          <w:rFonts w:hint="eastAsia" w:ascii="宋体" w:hAnsi="宋体" w:eastAsia="宋体" w:cs="宋体"/>
          <w:sz w:val="21"/>
          <w:szCs w:val="21"/>
        </w:rPr>
      </w:pPr>
      <w:bookmarkStart w:id="574" w:name="_Toc497839217"/>
      <w:bookmarkStart w:id="575" w:name="_Toc256000175"/>
      <w:bookmarkStart w:id="576" w:name="_Toc256000093"/>
      <w:bookmarkStart w:id="577" w:name="_Toc419045087"/>
      <w:bookmarkStart w:id="578" w:name="_Toc422322503"/>
      <w:r>
        <w:rPr>
          <w:rStyle w:val="58"/>
          <w:rFonts w:hint="eastAsia" w:ascii="宋体" w:hAnsi="宋体" w:eastAsia="宋体" w:cs="宋体"/>
          <w:b/>
          <w:bCs/>
          <w:sz w:val="21"/>
          <w:szCs w:val="21"/>
          <w:highlight w:val="white"/>
        </w:rPr>
        <w:t>5.1支付货币</w:t>
      </w:r>
      <w:bookmarkEnd w:id="574"/>
      <w:bookmarkEnd w:id="575"/>
      <w:bookmarkEnd w:id="576"/>
      <w:bookmarkEnd w:id="577"/>
      <w:bookmarkEnd w:id="578"/>
    </w:p>
    <w:p w14:paraId="523AA144">
      <w:pPr>
        <w:pStyle w:val="20"/>
        <w:pageBreakBefore w:val="0"/>
        <w:wordWrap w:val="0"/>
        <w:bidi w:val="0"/>
        <w:spacing w:after="200" w:line="360" w:lineRule="exact"/>
        <w:rPr>
          <w:rStyle w:val="58"/>
          <w:rFonts w:hint="eastAsia" w:ascii="宋体" w:hAnsi="宋体" w:eastAsia="宋体" w:cs="宋体"/>
          <w:b w:val="0"/>
          <w:sz w:val="21"/>
          <w:szCs w:val="21"/>
        </w:rPr>
      </w:pPr>
      <w:r>
        <w:rPr>
          <w:rFonts w:hint="eastAsia" w:ascii="宋体" w:hAnsi="宋体" w:eastAsia="宋体" w:cs="宋体"/>
          <w:szCs w:val="21"/>
          <w:highlight w:val="white"/>
        </w:rPr>
        <w:t>　　除专用条件另有约定外，酬金均以人民币支付。涉及外币支付的，所采用的货币种类和汇率等在专用条件中约定。</w:t>
      </w:r>
    </w:p>
    <w:p w14:paraId="76A1C56C">
      <w:pPr>
        <w:pStyle w:val="19"/>
        <w:pageBreakBefore w:val="0"/>
        <w:wordWrap w:val="0"/>
        <w:bidi w:val="0"/>
        <w:spacing w:before="60" w:line="360" w:lineRule="exact"/>
        <w:ind w:firstLine="420" w:firstLineChars="200"/>
        <w:jc w:val="left"/>
        <w:rPr>
          <w:rFonts w:hint="eastAsia" w:ascii="宋体" w:hAnsi="宋体" w:eastAsia="宋体" w:cs="宋体"/>
          <w:b w:val="0"/>
          <w:sz w:val="21"/>
          <w:szCs w:val="21"/>
        </w:rPr>
      </w:pPr>
      <w:bookmarkStart w:id="579" w:name="_Toc256000176"/>
      <w:bookmarkStart w:id="580" w:name="_Toc256000094"/>
      <w:bookmarkStart w:id="581" w:name="_Toc497839218"/>
      <w:bookmarkStart w:id="582" w:name="_Toc422322504"/>
      <w:r>
        <w:rPr>
          <w:rFonts w:hint="eastAsia" w:ascii="宋体" w:hAnsi="宋体" w:eastAsia="宋体" w:cs="宋体"/>
          <w:b w:val="0"/>
          <w:sz w:val="21"/>
          <w:szCs w:val="21"/>
          <w:highlight w:val="white"/>
        </w:rPr>
        <w:t>5.2支付申请</w:t>
      </w:r>
      <w:bookmarkEnd w:id="579"/>
      <w:bookmarkEnd w:id="580"/>
      <w:bookmarkEnd w:id="581"/>
      <w:bookmarkEnd w:id="582"/>
    </w:p>
    <w:p w14:paraId="3688334E">
      <w:pPr>
        <w:pStyle w:val="20"/>
        <w:pageBreakBefore w:val="0"/>
        <w:wordWrap w:val="0"/>
        <w:bidi w:val="0"/>
        <w:spacing w:after="200" w:line="360" w:lineRule="exact"/>
        <w:rPr>
          <w:rStyle w:val="58"/>
          <w:rFonts w:hint="eastAsia" w:ascii="宋体" w:hAnsi="宋体" w:eastAsia="宋体" w:cs="宋体"/>
          <w:b w:val="0"/>
          <w:sz w:val="21"/>
          <w:szCs w:val="21"/>
        </w:rPr>
      </w:pPr>
      <w:r>
        <w:rPr>
          <w:rFonts w:hint="eastAsia" w:ascii="宋体" w:hAnsi="宋体" w:eastAsia="宋体" w:cs="宋体"/>
          <w:szCs w:val="21"/>
          <w:highlight w:val="white"/>
        </w:rPr>
        <w:t>　　咨询人应在本合同约定的每次应付款日期前，向委托人提交支付申请书，支付申请书的提交日期由双方在专用条件中约定。支付申请书应当说明当期应付款总额，并列出当期应支付的款项及其金额。</w:t>
      </w:r>
    </w:p>
    <w:p w14:paraId="05C0121A">
      <w:pPr>
        <w:pStyle w:val="19"/>
        <w:pageBreakBefore w:val="0"/>
        <w:wordWrap w:val="0"/>
        <w:bidi w:val="0"/>
        <w:spacing w:before="60" w:line="360" w:lineRule="exact"/>
        <w:ind w:firstLine="420" w:firstLineChars="200"/>
        <w:jc w:val="left"/>
        <w:rPr>
          <w:rFonts w:hint="eastAsia" w:ascii="宋体" w:hAnsi="宋体" w:eastAsia="宋体" w:cs="宋体"/>
          <w:b w:val="0"/>
          <w:sz w:val="21"/>
          <w:szCs w:val="21"/>
        </w:rPr>
      </w:pPr>
      <w:bookmarkStart w:id="583" w:name="_Toc497839219"/>
      <w:bookmarkStart w:id="584" w:name="_Toc256000177"/>
      <w:bookmarkStart w:id="585" w:name="_Toc256000095"/>
      <w:bookmarkStart w:id="586" w:name="_Toc422322505"/>
      <w:r>
        <w:rPr>
          <w:rFonts w:hint="eastAsia" w:ascii="宋体" w:hAnsi="宋体" w:eastAsia="宋体" w:cs="宋体"/>
          <w:b w:val="0"/>
          <w:sz w:val="21"/>
          <w:szCs w:val="21"/>
          <w:highlight w:val="white"/>
        </w:rPr>
        <w:t>5.3支付酬金</w:t>
      </w:r>
      <w:bookmarkEnd w:id="583"/>
      <w:bookmarkEnd w:id="584"/>
      <w:bookmarkEnd w:id="585"/>
      <w:bookmarkEnd w:id="586"/>
    </w:p>
    <w:p w14:paraId="47A6B2EB">
      <w:pPr>
        <w:pStyle w:val="20"/>
        <w:pageBreakBefore w:val="0"/>
        <w:wordWrap w:val="0"/>
        <w:bidi w:val="0"/>
        <w:spacing w:after="200" w:line="360" w:lineRule="exact"/>
        <w:rPr>
          <w:rStyle w:val="58"/>
          <w:rFonts w:hint="eastAsia" w:ascii="宋体" w:hAnsi="宋体" w:eastAsia="宋体" w:cs="宋体"/>
          <w:b w:val="0"/>
          <w:sz w:val="21"/>
          <w:szCs w:val="21"/>
        </w:rPr>
      </w:pPr>
      <w:r>
        <w:rPr>
          <w:rFonts w:hint="eastAsia" w:ascii="宋体" w:hAnsi="宋体" w:eastAsia="宋体" w:cs="宋体"/>
          <w:szCs w:val="21"/>
          <w:highlight w:val="white"/>
        </w:rPr>
        <w:t>　　支付酬金包括正常工作酬金、附加工作酬金、合理化建议奖励金额及费用。</w:t>
      </w:r>
    </w:p>
    <w:p w14:paraId="45341DA5">
      <w:pPr>
        <w:pStyle w:val="19"/>
        <w:pageBreakBefore w:val="0"/>
        <w:wordWrap w:val="0"/>
        <w:bidi w:val="0"/>
        <w:spacing w:before="60" w:line="360" w:lineRule="exact"/>
        <w:ind w:firstLine="420" w:firstLineChars="200"/>
        <w:jc w:val="left"/>
        <w:rPr>
          <w:rFonts w:hint="eastAsia" w:ascii="宋体" w:hAnsi="宋体" w:eastAsia="宋体" w:cs="宋体"/>
          <w:b w:val="0"/>
          <w:sz w:val="21"/>
          <w:szCs w:val="21"/>
        </w:rPr>
      </w:pPr>
      <w:bookmarkStart w:id="587" w:name="_Toc497839220"/>
      <w:bookmarkStart w:id="588" w:name="_Toc422322506"/>
      <w:bookmarkStart w:id="589" w:name="_Toc256000178"/>
      <w:bookmarkStart w:id="590" w:name="_Toc256000096"/>
      <w:r>
        <w:rPr>
          <w:rFonts w:hint="eastAsia" w:ascii="宋体" w:hAnsi="宋体" w:eastAsia="宋体" w:cs="宋体"/>
          <w:b w:val="0"/>
          <w:sz w:val="21"/>
          <w:szCs w:val="21"/>
          <w:highlight w:val="white"/>
        </w:rPr>
        <w:t>5.4有异议部分的支付</w:t>
      </w:r>
      <w:bookmarkEnd w:id="587"/>
      <w:bookmarkEnd w:id="588"/>
      <w:bookmarkEnd w:id="589"/>
      <w:bookmarkEnd w:id="590"/>
    </w:p>
    <w:p w14:paraId="1C5E3F7D">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　　委托人对咨询人提交的支付申请书有异议时，应当在收到咨询人提交的支付申请书后7日内，以书面形式向咨询人发出异议通知。无异议部分的款项应按期支付，有异议部分的款项按第7条约定办理。</w:t>
      </w:r>
    </w:p>
    <w:p w14:paraId="7B21D365">
      <w:pPr>
        <w:pStyle w:val="20"/>
        <w:pageBreakBefore w:val="0"/>
        <w:wordWrap w:val="0"/>
        <w:bidi w:val="0"/>
        <w:spacing w:after="200" w:line="360" w:lineRule="exact"/>
        <w:ind w:firstLine="422" w:firstLineChars="200"/>
        <w:rPr>
          <w:rStyle w:val="56"/>
          <w:rFonts w:hint="eastAsia" w:ascii="宋体" w:hAnsi="宋体" w:eastAsia="宋体" w:cs="宋体"/>
          <w:sz w:val="21"/>
          <w:szCs w:val="21"/>
        </w:rPr>
      </w:pPr>
      <w:bookmarkStart w:id="591" w:name="_Toc419045088"/>
      <w:bookmarkStart w:id="592" w:name="_Toc422322507"/>
      <w:bookmarkStart w:id="593" w:name="_Toc28086"/>
      <w:bookmarkStart w:id="594" w:name="_Toc15213"/>
      <w:r>
        <w:rPr>
          <w:rStyle w:val="56"/>
          <w:rFonts w:hint="eastAsia" w:ascii="宋体" w:hAnsi="宋体" w:eastAsia="宋体" w:cs="宋体"/>
          <w:sz w:val="21"/>
          <w:szCs w:val="21"/>
          <w:highlight w:val="white"/>
        </w:rPr>
        <w:t>6.合同变更、解除与终止</w:t>
      </w:r>
      <w:bookmarkEnd w:id="591"/>
      <w:bookmarkEnd w:id="592"/>
    </w:p>
    <w:bookmarkEnd w:id="593"/>
    <w:bookmarkEnd w:id="594"/>
    <w:p w14:paraId="588F2969">
      <w:pPr>
        <w:pStyle w:val="20"/>
        <w:pageBreakBefore w:val="0"/>
        <w:wordWrap w:val="0"/>
        <w:bidi w:val="0"/>
        <w:spacing w:after="200" w:line="360" w:lineRule="exact"/>
        <w:ind w:firstLine="420" w:firstLineChars="200"/>
        <w:rPr>
          <w:rFonts w:hint="eastAsia" w:ascii="宋体" w:hAnsi="宋体" w:eastAsia="宋体" w:cs="宋体"/>
          <w:szCs w:val="21"/>
        </w:rPr>
      </w:pPr>
      <w:bookmarkStart w:id="595" w:name="_Toc497839221"/>
      <w:bookmarkStart w:id="596" w:name="_Toc419045089"/>
      <w:bookmarkStart w:id="597" w:name="_Toc256000097"/>
      <w:bookmarkStart w:id="598" w:name="_Toc256000179"/>
      <w:bookmarkStart w:id="599" w:name="_Toc422322508"/>
      <w:r>
        <w:rPr>
          <w:rStyle w:val="58"/>
          <w:rFonts w:hint="eastAsia" w:ascii="宋体" w:hAnsi="宋体" w:eastAsia="宋体" w:cs="宋体"/>
          <w:b w:val="0"/>
          <w:sz w:val="21"/>
          <w:szCs w:val="21"/>
          <w:highlight w:val="white"/>
        </w:rPr>
        <w:t>6.1合同变更</w:t>
      </w:r>
      <w:bookmarkEnd w:id="595"/>
      <w:bookmarkEnd w:id="596"/>
      <w:bookmarkEnd w:id="597"/>
      <w:bookmarkEnd w:id="598"/>
      <w:bookmarkEnd w:id="599"/>
      <w:r>
        <w:rPr>
          <w:rFonts w:hint="eastAsia" w:ascii="宋体" w:hAnsi="宋体" w:eastAsia="宋体" w:cs="宋体"/>
          <w:szCs w:val="21"/>
          <w:highlight w:val="white"/>
        </w:rPr>
        <w:br w:type="textWrapping"/>
      </w:r>
      <w:r>
        <w:rPr>
          <w:rFonts w:hint="eastAsia" w:ascii="宋体" w:hAnsi="宋体" w:eastAsia="宋体" w:cs="宋体"/>
          <w:szCs w:val="21"/>
          <w:highlight w:val="white"/>
        </w:rPr>
        <w:t>　6.1.1任何一方以书面形式提出变更请求时，双方经协商一致后可进行变更。</w:t>
      </w:r>
      <w:r>
        <w:rPr>
          <w:rFonts w:hint="eastAsia" w:ascii="宋体" w:hAnsi="宋体" w:eastAsia="宋体" w:cs="宋体"/>
          <w:szCs w:val="21"/>
          <w:highlight w:val="white"/>
        </w:rPr>
        <w:br w:type="textWrapping"/>
      </w:r>
      <w:r>
        <w:rPr>
          <w:rFonts w:hint="eastAsia" w:ascii="宋体" w:hAnsi="宋体" w:eastAsia="宋体" w:cs="宋体"/>
          <w:szCs w:val="21"/>
          <w:highlight w:val="white"/>
        </w:rPr>
        <w:t>　　6.1.2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14:paraId="46A03EB1">
      <w:pPr>
        <w:pStyle w:val="20"/>
        <w:pageBreakBefore w:val="0"/>
        <w:wordWrap w:val="0"/>
        <w:bidi w:val="0"/>
        <w:spacing w:after="200" w:line="360" w:lineRule="exact"/>
        <w:ind w:firstLine="420" w:firstLineChars="200"/>
        <w:rPr>
          <w:rFonts w:hint="eastAsia" w:ascii="宋体" w:hAnsi="宋体" w:eastAsia="宋体" w:cs="宋体"/>
          <w:b/>
          <w:bCs/>
          <w:szCs w:val="21"/>
        </w:rPr>
      </w:pPr>
      <w:r>
        <w:rPr>
          <w:rFonts w:hint="eastAsia" w:ascii="宋体" w:hAnsi="宋体" w:eastAsia="宋体" w:cs="宋体"/>
          <w:szCs w:val="21"/>
          <w:highlight w:val="white"/>
        </w:rPr>
        <w:t>6.1.3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r>
        <w:rPr>
          <w:rFonts w:hint="eastAsia" w:ascii="宋体" w:hAnsi="宋体" w:eastAsia="宋体" w:cs="宋体"/>
          <w:szCs w:val="21"/>
          <w:highlight w:val="white"/>
        </w:rPr>
        <w:br w:type="textWrapping"/>
      </w:r>
      <w:r>
        <w:rPr>
          <w:rFonts w:hint="eastAsia" w:ascii="宋体" w:hAnsi="宋体" w:eastAsia="宋体" w:cs="宋体"/>
          <w:szCs w:val="21"/>
          <w:highlight w:val="white"/>
        </w:rPr>
        <w:t>　　6.1.4因工程规模、服务范围及工作内容的变化等导致咨询人的工作量增减时，服务酬金应作相应调整，调整方法由双方在专用条件中约定。</w:t>
      </w:r>
    </w:p>
    <w:p w14:paraId="7384C5D6">
      <w:pPr>
        <w:pStyle w:val="20"/>
        <w:pageBreakBefore w:val="0"/>
        <w:wordWrap w:val="0"/>
        <w:bidi w:val="0"/>
        <w:spacing w:after="200" w:line="360" w:lineRule="exact"/>
        <w:ind w:firstLine="420" w:firstLineChars="200"/>
        <w:rPr>
          <w:rStyle w:val="58"/>
          <w:rFonts w:hint="eastAsia" w:ascii="宋体" w:hAnsi="宋体" w:eastAsia="宋体" w:cs="宋体"/>
          <w:b w:val="0"/>
          <w:sz w:val="21"/>
          <w:szCs w:val="21"/>
        </w:rPr>
      </w:pPr>
      <w:bookmarkStart w:id="600" w:name="_Toc419045090"/>
      <w:bookmarkStart w:id="601" w:name="_Toc256000098"/>
      <w:bookmarkStart w:id="602" w:name="_Toc497839222"/>
      <w:bookmarkStart w:id="603" w:name="_Toc256000180"/>
      <w:bookmarkStart w:id="604" w:name="_Toc422322509"/>
      <w:r>
        <w:rPr>
          <w:rStyle w:val="58"/>
          <w:rFonts w:hint="eastAsia" w:ascii="宋体" w:hAnsi="宋体" w:eastAsia="宋体" w:cs="宋体"/>
          <w:b w:val="0"/>
          <w:bCs w:val="0"/>
          <w:sz w:val="21"/>
          <w:szCs w:val="21"/>
          <w:highlight w:val="white"/>
        </w:rPr>
        <w:t>6.2合同</w:t>
      </w:r>
      <w:r>
        <w:rPr>
          <w:rStyle w:val="58"/>
          <w:rFonts w:hint="eastAsia" w:ascii="宋体" w:hAnsi="宋体" w:eastAsia="宋体" w:cs="宋体"/>
          <w:b w:val="0"/>
          <w:sz w:val="21"/>
          <w:szCs w:val="21"/>
          <w:highlight w:val="white"/>
        </w:rPr>
        <w:t>解除</w:t>
      </w:r>
      <w:bookmarkEnd w:id="600"/>
      <w:bookmarkEnd w:id="601"/>
      <w:bookmarkEnd w:id="602"/>
      <w:bookmarkEnd w:id="603"/>
      <w:bookmarkEnd w:id="604"/>
    </w:p>
    <w:p w14:paraId="5C6D28BC">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6.2.1委托人与咨询人协商一致，可以解除合同。</w:t>
      </w:r>
    </w:p>
    <w:p w14:paraId="5560C4F8">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6.2.2有下列情形之一的，合同当事人一方或双方可以解除合同：</w:t>
      </w:r>
    </w:p>
    <w:p w14:paraId="6D4845A3">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（1）咨询人将本合同约定的工程造价咨询服务工作全部或部分转包给他人，委托人可以解除合同；</w:t>
      </w:r>
      <w:r>
        <w:rPr>
          <w:rFonts w:hint="eastAsia" w:ascii="宋体" w:hAnsi="宋体" w:eastAsia="宋体" w:cs="宋体"/>
          <w:szCs w:val="21"/>
          <w:highlight w:val="white"/>
        </w:rPr>
        <w:br w:type="textWrapping"/>
      </w:r>
      <w:r>
        <w:rPr>
          <w:rFonts w:hint="eastAsia" w:ascii="宋体" w:hAnsi="宋体" w:eastAsia="宋体" w:cs="宋体"/>
          <w:szCs w:val="21"/>
          <w:highlight w:val="white"/>
        </w:rPr>
        <w:t>（2）咨询人提供的造价咨询服务不符合合同约定的要求，经委托人催告仍不能达到合同约定要求的，委托人可以解除合同；</w:t>
      </w:r>
    </w:p>
    <w:p w14:paraId="121B886D">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（3）委托人未按合同约定支付服务酬金，经咨询人催告后，在28天内仍未支付的，咨询人可以解除合同；</w:t>
      </w:r>
    </w:p>
    <w:p w14:paraId="350062F0">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（4）因不可抗力致使合同无法履行；</w:t>
      </w:r>
    </w:p>
    <w:p w14:paraId="07AD1209">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（5）因一方违约致使合同无法实际履行或实际履行已无必要。</w:t>
      </w:r>
    </w:p>
    <w:p w14:paraId="38CDAB57">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除上述情形外，双方可以根据委托的服务范围及工作内容，在专用条件中约定解除合同的其他条件。</w:t>
      </w:r>
    </w:p>
    <w:p w14:paraId="3EB2E5B9">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6.2.3任何一方提出解除合同的，应提前30天书面通知对方。</w:t>
      </w:r>
    </w:p>
    <w:p w14:paraId="41ACB19E">
      <w:pPr>
        <w:pStyle w:val="20"/>
        <w:pageBreakBefore w:val="0"/>
        <w:wordWrap w:val="0"/>
        <w:bidi w:val="0"/>
        <w:spacing w:after="200" w:line="360" w:lineRule="exact"/>
        <w:ind w:firstLine="465"/>
        <w:rPr>
          <w:rFonts w:hint="eastAsia" w:ascii="宋体" w:hAnsi="宋体" w:eastAsia="宋体" w:cs="宋体"/>
          <w:szCs w:val="21"/>
        </w:rPr>
      </w:pPr>
      <w:r>
        <w:rPr>
          <w:rFonts w:hint="eastAsia" w:ascii="宋体" w:hAnsi="宋体" w:eastAsia="宋体" w:cs="宋体"/>
          <w:szCs w:val="21"/>
          <w:highlight w:val="white"/>
        </w:rPr>
        <w:t>6.2.4合同解除后，委托人应按照合同约定向咨询人支付已完成部分的咨询服务酬金。</w:t>
      </w:r>
    </w:p>
    <w:p w14:paraId="71B341B1">
      <w:pPr>
        <w:pStyle w:val="20"/>
        <w:pageBreakBefore w:val="0"/>
        <w:wordWrap w:val="0"/>
        <w:bidi w:val="0"/>
        <w:spacing w:after="200" w:line="360" w:lineRule="exact"/>
        <w:ind w:firstLine="465"/>
        <w:rPr>
          <w:rFonts w:hint="eastAsia" w:ascii="宋体" w:hAnsi="宋体" w:eastAsia="宋体" w:cs="宋体"/>
          <w:szCs w:val="21"/>
        </w:rPr>
      </w:pPr>
      <w:r>
        <w:rPr>
          <w:rFonts w:hint="eastAsia" w:ascii="宋体" w:hAnsi="宋体" w:eastAsia="宋体" w:cs="宋体"/>
          <w:szCs w:val="21"/>
          <w:highlight w:val="white"/>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p>
    <w:p w14:paraId="3DCFC722">
      <w:pPr>
        <w:pStyle w:val="20"/>
        <w:pageBreakBefore w:val="0"/>
        <w:wordWrap w:val="0"/>
        <w:bidi w:val="0"/>
        <w:spacing w:after="200" w:line="360" w:lineRule="exact"/>
        <w:ind w:firstLine="420" w:firstLineChars="200"/>
        <w:rPr>
          <w:rFonts w:hint="eastAsia" w:ascii="宋体" w:hAnsi="宋体" w:eastAsia="宋体" w:cs="宋体"/>
          <w:smallCaps/>
          <w:szCs w:val="21"/>
        </w:rPr>
      </w:pPr>
      <w:r>
        <w:rPr>
          <w:rFonts w:hint="eastAsia" w:ascii="宋体" w:hAnsi="宋体" w:eastAsia="宋体" w:cs="宋体"/>
          <w:szCs w:val="21"/>
          <w:highlight w:val="white"/>
        </w:rPr>
        <w:t>6.2.5本合同解除后，本合同约定的有关结算、争议解决方式的条款仍然有效。</w:t>
      </w:r>
    </w:p>
    <w:p w14:paraId="4EB07781">
      <w:pPr>
        <w:pStyle w:val="20"/>
        <w:pageBreakBefore w:val="0"/>
        <w:wordWrap w:val="0"/>
        <w:bidi w:val="0"/>
        <w:spacing w:after="200" w:line="360" w:lineRule="exact"/>
        <w:ind w:firstLine="420" w:firstLineChars="200"/>
        <w:jc w:val="left"/>
        <w:rPr>
          <w:rFonts w:hint="eastAsia" w:ascii="宋体" w:hAnsi="宋体" w:eastAsia="宋体" w:cs="宋体"/>
          <w:szCs w:val="21"/>
        </w:rPr>
      </w:pPr>
      <w:bookmarkStart w:id="605" w:name="_Toc422322510"/>
      <w:bookmarkStart w:id="606" w:name="_Toc256000099"/>
      <w:bookmarkStart w:id="607" w:name="_Toc497839223"/>
      <w:bookmarkStart w:id="608" w:name="_Toc256000181"/>
      <w:r>
        <w:rPr>
          <w:rStyle w:val="58"/>
          <w:rFonts w:hint="eastAsia" w:ascii="宋体" w:hAnsi="宋体" w:eastAsia="宋体" w:cs="宋体"/>
          <w:b w:val="0"/>
          <w:sz w:val="21"/>
          <w:szCs w:val="21"/>
          <w:highlight w:val="white"/>
        </w:rPr>
        <w:t>6.3合同终止</w:t>
      </w:r>
      <w:bookmarkEnd w:id="605"/>
      <w:bookmarkEnd w:id="606"/>
      <w:bookmarkEnd w:id="607"/>
      <w:bookmarkEnd w:id="608"/>
      <w:r>
        <w:rPr>
          <w:rFonts w:hint="eastAsia" w:ascii="宋体" w:hAnsi="宋体" w:eastAsia="宋体" w:cs="宋体"/>
          <w:b/>
          <w:bCs/>
          <w:smallCaps/>
          <w:szCs w:val="21"/>
          <w:highlight w:val="white"/>
        </w:rPr>
        <w:br w:type="textWrapping"/>
      </w:r>
      <w:r>
        <w:rPr>
          <w:rFonts w:hint="eastAsia" w:ascii="宋体" w:hAnsi="宋体" w:eastAsia="宋体" w:cs="宋体"/>
          <w:b/>
          <w:bCs/>
          <w:smallCaps/>
          <w:szCs w:val="21"/>
          <w:highlight w:val="white"/>
        </w:rPr>
        <w:t>　　</w:t>
      </w:r>
      <w:r>
        <w:rPr>
          <w:rFonts w:hint="eastAsia" w:ascii="宋体" w:hAnsi="宋体" w:eastAsia="宋体" w:cs="宋体"/>
          <w:bCs/>
          <w:smallCaps/>
          <w:szCs w:val="21"/>
          <w:highlight w:val="white"/>
        </w:rPr>
        <w:t>除合同解除外，以下条</w:t>
      </w:r>
      <w:r>
        <w:rPr>
          <w:rFonts w:hint="eastAsia" w:ascii="宋体" w:hAnsi="宋体" w:eastAsia="宋体" w:cs="宋体"/>
          <w:szCs w:val="21"/>
          <w:highlight w:val="white"/>
        </w:rPr>
        <w:t>件全部满足时，本合同终止：</w:t>
      </w:r>
      <w:r>
        <w:rPr>
          <w:rFonts w:hint="eastAsia" w:ascii="宋体" w:hAnsi="宋体" w:eastAsia="宋体" w:cs="宋体"/>
          <w:szCs w:val="21"/>
          <w:highlight w:val="white"/>
        </w:rPr>
        <w:br w:type="textWrapping"/>
      </w:r>
      <w:r>
        <w:rPr>
          <w:rFonts w:hint="eastAsia" w:ascii="宋体" w:hAnsi="宋体" w:eastAsia="宋体" w:cs="宋体"/>
          <w:szCs w:val="21"/>
          <w:highlight w:val="white"/>
        </w:rPr>
        <w:t>　（1）咨询人完成本合同约定的全部工作；</w:t>
      </w:r>
      <w:r>
        <w:rPr>
          <w:rFonts w:hint="eastAsia" w:ascii="宋体" w:hAnsi="宋体" w:eastAsia="宋体" w:cs="宋体"/>
          <w:szCs w:val="21"/>
          <w:highlight w:val="white"/>
        </w:rPr>
        <w:br w:type="textWrapping"/>
      </w:r>
      <w:r>
        <w:rPr>
          <w:rFonts w:hint="eastAsia" w:ascii="宋体" w:hAnsi="宋体" w:eastAsia="宋体" w:cs="宋体"/>
          <w:szCs w:val="21"/>
          <w:highlight w:val="white"/>
        </w:rPr>
        <w:t>　（2）委托人与咨询人结清并支付酬金；</w:t>
      </w:r>
    </w:p>
    <w:p w14:paraId="701FAC07">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（3）咨询人将委托人提供的资料交还。</w:t>
      </w:r>
    </w:p>
    <w:p w14:paraId="5D15C348">
      <w:pPr>
        <w:pStyle w:val="20"/>
        <w:pageBreakBefore w:val="0"/>
        <w:wordWrap w:val="0"/>
        <w:bidi w:val="0"/>
        <w:spacing w:after="200" w:line="360" w:lineRule="exact"/>
        <w:ind w:firstLine="422" w:firstLineChars="200"/>
        <w:rPr>
          <w:rStyle w:val="56"/>
          <w:rFonts w:hint="eastAsia" w:ascii="宋体" w:hAnsi="宋体" w:eastAsia="宋体" w:cs="宋体"/>
          <w:bCs/>
          <w:sz w:val="21"/>
          <w:szCs w:val="21"/>
        </w:rPr>
      </w:pPr>
      <w:bookmarkStart w:id="609" w:name="_Toc419045091"/>
      <w:bookmarkStart w:id="610" w:name="_Toc422322511"/>
      <w:bookmarkStart w:id="611" w:name="_Toc17914"/>
      <w:bookmarkStart w:id="612" w:name="_Toc20768"/>
      <w:r>
        <w:rPr>
          <w:rStyle w:val="56"/>
          <w:rFonts w:hint="eastAsia" w:ascii="宋体" w:hAnsi="宋体" w:eastAsia="宋体" w:cs="宋体"/>
          <w:bCs/>
          <w:sz w:val="21"/>
          <w:szCs w:val="21"/>
          <w:highlight w:val="white"/>
        </w:rPr>
        <w:t>7.争议解决</w:t>
      </w:r>
      <w:bookmarkEnd w:id="560"/>
      <w:bookmarkEnd w:id="609"/>
      <w:bookmarkEnd w:id="610"/>
    </w:p>
    <w:bookmarkEnd w:id="611"/>
    <w:bookmarkEnd w:id="612"/>
    <w:p w14:paraId="37388A8B">
      <w:pPr>
        <w:pStyle w:val="55"/>
        <w:pageBreakBefore w:val="0"/>
        <w:wordWrap w:val="0"/>
        <w:bidi w:val="0"/>
        <w:spacing w:after="200" w:line="360" w:lineRule="exact"/>
        <w:ind w:firstLine="420" w:firstLineChars="200"/>
        <w:jc w:val="left"/>
        <w:rPr>
          <w:rFonts w:hint="eastAsia" w:ascii="宋体" w:hAnsi="宋体" w:eastAsia="宋体" w:cs="宋体"/>
          <w:sz w:val="21"/>
        </w:rPr>
      </w:pPr>
      <w:bookmarkStart w:id="613" w:name="_Toc422322512"/>
      <w:bookmarkStart w:id="614" w:name="_Toc497839224"/>
      <w:bookmarkStart w:id="615" w:name="_Toc256000100"/>
      <w:bookmarkStart w:id="616" w:name="_Toc256000182"/>
      <w:bookmarkStart w:id="617" w:name="_Toc419045092"/>
      <w:r>
        <w:rPr>
          <w:rStyle w:val="58"/>
          <w:rFonts w:hint="eastAsia" w:ascii="宋体" w:hAnsi="宋体" w:eastAsia="宋体" w:cs="宋体"/>
          <w:b w:val="0"/>
          <w:smallCaps/>
          <w:sz w:val="21"/>
          <w:szCs w:val="21"/>
          <w:highlight w:val="white"/>
        </w:rPr>
        <w:t>7.1协商</w:t>
      </w:r>
      <w:bookmarkEnd w:id="613"/>
      <w:bookmarkEnd w:id="614"/>
      <w:bookmarkEnd w:id="615"/>
      <w:bookmarkEnd w:id="616"/>
      <w:bookmarkEnd w:id="617"/>
      <w:r>
        <w:rPr>
          <w:rFonts w:hint="eastAsia" w:ascii="宋体" w:hAnsi="宋体" w:eastAsia="宋体" w:cs="宋体"/>
          <w:sz w:val="21"/>
          <w:highlight w:val="white"/>
        </w:rPr>
        <w:br w:type="textWrapping"/>
      </w:r>
      <w:r>
        <w:rPr>
          <w:rFonts w:hint="eastAsia" w:ascii="宋体" w:hAnsi="宋体" w:eastAsia="宋体" w:cs="宋体"/>
          <w:sz w:val="21"/>
          <w:highlight w:val="white"/>
        </w:rPr>
        <w:t>　　双方应本着诚实信用的原则协商解决本合同履行过程中发生的争议。</w:t>
      </w:r>
      <w:bookmarkStart w:id="618" w:name="37"/>
    </w:p>
    <w:p w14:paraId="6C344AAA">
      <w:pPr>
        <w:pStyle w:val="55"/>
        <w:pageBreakBefore w:val="0"/>
        <w:wordWrap w:val="0"/>
        <w:bidi w:val="0"/>
        <w:spacing w:after="200" w:line="360" w:lineRule="exact"/>
        <w:ind w:firstLine="420" w:firstLineChars="200"/>
        <w:jc w:val="left"/>
        <w:rPr>
          <w:rFonts w:hint="eastAsia" w:ascii="宋体" w:hAnsi="宋体" w:eastAsia="宋体" w:cs="宋体"/>
          <w:b/>
          <w:bCs/>
          <w:sz w:val="21"/>
        </w:rPr>
      </w:pPr>
      <w:bookmarkStart w:id="619" w:name="_Toc256000183"/>
      <w:bookmarkStart w:id="620" w:name="_Toc422322513"/>
      <w:bookmarkStart w:id="621" w:name="_Toc419045093"/>
      <w:bookmarkStart w:id="622" w:name="_Toc256000101"/>
      <w:bookmarkStart w:id="623" w:name="_Toc497839225"/>
      <w:r>
        <w:rPr>
          <w:rStyle w:val="58"/>
          <w:rFonts w:hint="eastAsia" w:ascii="宋体" w:hAnsi="宋体" w:eastAsia="宋体" w:cs="宋体"/>
          <w:b w:val="0"/>
          <w:smallCaps/>
          <w:sz w:val="21"/>
          <w:szCs w:val="21"/>
          <w:highlight w:val="white"/>
        </w:rPr>
        <w:t>7.2</w:t>
      </w:r>
      <w:bookmarkEnd w:id="618"/>
      <w:r>
        <w:rPr>
          <w:rStyle w:val="58"/>
          <w:rFonts w:hint="eastAsia" w:ascii="宋体" w:hAnsi="宋体" w:eastAsia="宋体" w:cs="宋体"/>
          <w:b w:val="0"/>
          <w:smallCaps/>
          <w:sz w:val="21"/>
          <w:szCs w:val="21"/>
          <w:highlight w:val="white"/>
        </w:rPr>
        <w:t>调解</w:t>
      </w:r>
      <w:bookmarkEnd w:id="619"/>
      <w:bookmarkEnd w:id="620"/>
      <w:bookmarkEnd w:id="621"/>
      <w:bookmarkEnd w:id="622"/>
      <w:bookmarkEnd w:id="623"/>
      <w:r>
        <w:rPr>
          <w:rFonts w:hint="eastAsia" w:ascii="宋体" w:hAnsi="宋体" w:eastAsia="宋体" w:cs="宋体"/>
          <w:sz w:val="21"/>
          <w:highlight w:val="white"/>
        </w:rPr>
        <w:br w:type="textWrapping"/>
      </w:r>
      <w:r>
        <w:rPr>
          <w:rFonts w:hint="eastAsia" w:ascii="宋体" w:hAnsi="宋体" w:eastAsia="宋体" w:cs="宋体"/>
          <w:sz w:val="21"/>
          <w:highlight w:val="white"/>
        </w:rPr>
        <w:t>　　如果双方不能在14日内或双方商定的其他时间内解决本合同争议，可以将其提交给专用条件约定的或事后达成协议的调解人进行调解。</w:t>
      </w:r>
    </w:p>
    <w:p w14:paraId="41ECB081">
      <w:pPr>
        <w:pStyle w:val="20"/>
        <w:pageBreakBefore w:val="0"/>
        <w:wordWrap w:val="0"/>
        <w:bidi w:val="0"/>
        <w:spacing w:after="200" w:line="360" w:lineRule="exact"/>
        <w:ind w:firstLine="420" w:firstLineChars="200"/>
        <w:jc w:val="left"/>
        <w:rPr>
          <w:rFonts w:hint="eastAsia" w:ascii="宋体" w:hAnsi="宋体" w:eastAsia="宋体" w:cs="宋体"/>
          <w:szCs w:val="21"/>
        </w:rPr>
      </w:pPr>
      <w:bookmarkStart w:id="624" w:name="38"/>
      <w:bookmarkStart w:id="625" w:name="_Toc256000184"/>
      <w:bookmarkStart w:id="626" w:name="_Toc422322514"/>
      <w:bookmarkStart w:id="627" w:name="_Toc256000102"/>
      <w:bookmarkStart w:id="628" w:name="_Toc419045094"/>
      <w:bookmarkStart w:id="629" w:name="_Toc497839226"/>
      <w:r>
        <w:rPr>
          <w:rStyle w:val="58"/>
          <w:rFonts w:hint="eastAsia" w:ascii="宋体" w:hAnsi="宋体" w:eastAsia="宋体" w:cs="宋体"/>
          <w:b w:val="0"/>
          <w:smallCaps/>
          <w:sz w:val="21"/>
          <w:szCs w:val="21"/>
          <w:highlight w:val="white"/>
        </w:rPr>
        <w:t>7.</w:t>
      </w:r>
      <w:bookmarkEnd w:id="624"/>
      <w:r>
        <w:rPr>
          <w:rStyle w:val="58"/>
          <w:rFonts w:hint="eastAsia" w:ascii="宋体" w:hAnsi="宋体" w:eastAsia="宋体" w:cs="宋体"/>
          <w:b w:val="0"/>
          <w:smallCaps/>
          <w:sz w:val="21"/>
          <w:szCs w:val="21"/>
          <w:highlight w:val="white"/>
        </w:rPr>
        <w:t>3仲裁或诉讼</w:t>
      </w:r>
      <w:bookmarkEnd w:id="625"/>
      <w:bookmarkEnd w:id="626"/>
      <w:bookmarkEnd w:id="627"/>
      <w:bookmarkEnd w:id="628"/>
      <w:bookmarkEnd w:id="629"/>
      <w:r>
        <w:rPr>
          <w:rFonts w:hint="eastAsia" w:ascii="宋体" w:hAnsi="宋体" w:eastAsia="宋体" w:cs="宋体"/>
          <w:szCs w:val="21"/>
          <w:highlight w:val="white"/>
        </w:rPr>
        <w:br w:type="textWrapping"/>
      </w:r>
      <w:r>
        <w:rPr>
          <w:rFonts w:hint="eastAsia" w:ascii="宋体" w:hAnsi="宋体" w:eastAsia="宋体" w:cs="宋体"/>
          <w:szCs w:val="21"/>
          <w:highlight w:val="white"/>
        </w:rPr>
        <w:t>　　双方均有权不经调解直接向专用条件约定的仲裁机构申请仲裁或向有管辖权的人民法院提起诉讼。</w:t>
      </w:r>
    </w:p>
    <w:p w14:paraId="2400553B">
      <w:pPr>
        <w:pStyle w:val="20"/>
        <w:pageBreakBefore w:val="0"/>
        <w:wordWrap w:val="0"/>
        <w:bidi w:val="0"/>
        <w:spacing w:after="200" w:line="360" w:lineRule="exact"/>
        <w:ind w:firstLine="422" w:firstLineChars="200"/>
        <w:rPr>
          <w:rStyle w:val="56"/>
          <w:rFonts w:hint="eastAsia" w:ascii="宋体" w:hAnsi="宋体" w:eastAsia="宋体" w:cs="宋体"/>
          <w:sz w:val="21"/>
          <w:szCs w:val="21"/>
        </w:rPr>
      </w:pPr>
      <w:bookmarkStart w:id="630" w:name="_Toc419045095"/>
      <w:bookmarkStart w:id="631" w:name="_Toc422322515"/>
      <w:bookmarkStart w:id="632" w:name="_Toc17974"/>
      <w:bookmarkStart w:id="633" w:name="_Toc25357"/>
      <w:r>
        <w:rPr>
          <w:rStyle w:val="56"/>
          <w:rFonts w:hint="eastAsia" w:ascii="宋体" w:hAnsi="宋体" w:eastAsia="宋体" w:cs="宋体"/>
          <w:sz w:val="21"/>
          <w:szCs w:val="21"/>
          <w:highlight w:val="white"/>
        </w:rPr>
        <w:t>8.其他</w:t>
      </w:r>
      <w:bookmarkEnd w:id="630"/>
      <w:bookmarkEnd w:id="631"/>
    </w:p>
    <w:bookmarkEnd w:id="632"/>
    <w:bookmarkEnd w:id="633"/>
    <w:p w14:paraId="62376BD1">
      <w:pPr>
        <w:pStyle w:val="19"/>
        <w:pageBreakBefore w:val="0"/>
        <w:wordWrap w:val="0"/>
        <w:bidi w:val="0"/>
        <w:spacing w:before="60" w:line="360" w:lineRule="exact"/>
        <w:ind w:firstLine="420" w:firstLineChars="200"/>
        <w:jc w:val="left"/>
        <w:rPr>
          <w:rFonts w:hint="eastAsia" w:ascii="宋体" w:hAnsi="宋体" w:eastAsia="宋体" w:cs="宋体"/>
          <w:b w:val="0"/>
          <w:sz w:val="21"/>
          <w:szCs w:val="21"/>
        </w:rPr>
      </w:pPr>
      <w:bookmarkStart w:id="634" w:name="39"/>
      <w:bookmarkStart w:id="635" w:name="_Toc256000103"/>
      <w:bookmarkStart w:id="636" w:name="_Toc419045096"/>
      <w:bookmarkStart w:id="637" w:name="_Toc422322516"/>
      <w:bookmarkStart w:id="638" w:name="_Toc497839227"/>
      <w:bookmarkStart w:id="639" w:name="_Toc256000185"/>
      <w:r>
        <w:rPr>
          <w:rFonts w:hint="eastAsia" w:ascii="宋体" w:hAnsi="宋体" w:eastAsia="宋体" w:cs="宋体"/>
          <w:b w:val="0"/>
          <w:smallCaps/>
          <w:sz w:val="21"/>
          <w:szCs w:val="21"/>
          <w:highlight w:val="white"/>
        </w:rPr>
        <w:t>8.1</w:t>
      </w:r>
      <w:bookmarkEnd w:id="634"/>
      <w:r>
        <w:rPr>
          <w:rFonts w:hint="eastAsia" w:ascii="宋体" w:hAnsi="宋体" w:eastAsia="宋体" w:cs="宋体"/>
          <w:b w:val="0"/>
          <w:sz w:val="21"/>
          <w:szCs w:val="21"/>
          <w:highlight w:val="white"/>
        </w:rPr>
        <w:t>考察及相关费用</w:t>
      </w:r>
      <w:bookmarkEnd w:id="635"/>
      <w:bookmarkEnd w:id="636"/>
      <w:bookmarkEnd w:id="637"/>
      <w:bookmarkEnd w:id="638"/>
      <w:bookmarkEnd w:id="639"/>
    </w:p>
    <w:p w14:paraId="73B902AF">
      <w:pPr>
        <w:pStyle w:val="20"/>
        <w:pageBreakBefore w:val="0"/>
        <w:wordWrap w:val="0"/>
        <w:bidi w:val="0"/>
        <w:spacing w:after="200" w:line="360" w:lineRule="exact"/>
        <w:ind w:firstLine="420" w:firstLineChars="200"/>
        <w:rPr>
          <w:rStyle w:val="58"/>
          <w:rFonts w:hint="eastAsia" w:ascii="宋体" w:hAnsi="宋体" w:eastAsia="宋体" w:cs="宋体"/>
          <w:b w:val="0"/>
          <w:sz w:val="21"/>
          <w:szCs w:val="21"/>
        </w:rPr>
      </w:pPr>
      <w:r>
        <w:rPr>
          <w:rFonts w:hint="eastAsia" w:ascii="宋体" w:hAnsi="宋体" w:eastAsia="宋体" w:cs="宋体"/>
          <w:szCs w:val="21"/>
          <w:highlight w:val="white"/>
        </w:rPr>
        <w:t>除专用条件另有约定外，咨询人经委托人同意进行考察发生的费用由委托人审核后另行支付。差旅费及相关费用的承担由双方在专用条件中约定。</w:t>
      </w:r>
    </w:p>
    <w:p w14:paraId="052B11ED">
      <w:pPr>
        <w:pStyle w:val="19"/>
        <w:pageBreakBefore w:val="0"/>
        <w:wordWrap w:val="0"/>
        <w:bidi w:val="0"/>
        <w:spacing w:before="60" w:line="360" w:lineRule="exact"/>
        <w:ind w:firstLine="420" w:firstLineChars="200"/>
        <w:jc w:val="left"/>
        <w:rPr>
          <w:rFonts w:hint="eastAsia" w:ascii="宋体" w:hAnsi="宋体" w:eastAsia="宋体" w:cs="宋体"/>
          <w:b w:val="0"/>
          <w:sz w:val="21"/>
          <w:szCs w:val="21"/>
        </w:rPr>
      </w:pPr>
      <w:bookmarkStart w:id="640" w:name="_Toc256000186"/>
      <w:bookmarkStart w:id="641" w:name="_Toc497839228"/>
      <w:bookmarkStart w:id="642" w:name="_Toc256000104"/>
      <w:bookmarkStart w:id="643" w:name="_Toc422322517"/>
      <w:r>
        <w:rPr>
          <w:rFonts w:hint="eastAsia" w:ascii="宋体" w:hAnsi="宋体" w:eastAsia="宋体" w:cs="宋体"/>
          <w:b w:val="0"/>
          <w:sz w:val="21"/>
          <w:szCs w:val="21"/>
          <w:highlight w:val="white"/>
        </w:rPr>
        <w:t>8.2奖励</w:t>
      </w:r>
      <w:bookmarkEnd w:id="640"/>
      <w:bookmarkEnd w:id="641"/>
      <w:bookmarkEnd w:id="642"/>
      <w:bookmarkEnd w:id="643"/>
    </w:p>
    <w:p w14:paraId="1BFC36C4">
      <w:pPr>
        <w:pStyle w:val="20"/>
        <w:pageBreakBefore w:val="0"/>
        <w:wordWrap w:val="0"/>
        <w:bidi w:val="0"/>
        <w:spacing w:after="200" w:line="360" w:lineRule="exact"/>
        <w:ind w:firstLine="420" w:firstLineChars="200"/>
        <w:rPr>
          <w:rStyle w:val="58"/>
          <w:rFonts w:hint="eastAsia" w:ascii="宋体" w:hAnsi="宋体" w:eastAsia="宋体" w:cs="宋体"/>
          <w:b w:val="0"/>
          <w:sz w:val="21"/>
          <w:szCs w:val="21"/>
        </w:rPr>
      </w:pPr>
      <w:r>
        <w:rPr>
          <w:rFonts w:hint="eastAsia" w:ascii="宋体" w:hAnsi="宋体" w:eastAsia="宋体" w:cs="宋体"/>
          <w:szCs w:val="21"/>
          <w:highlight w:val="white"/>
        </w:rPr>
        <w:t>对于咨询人在服务过程中提出合理化建议，使委托人获得效益的，双方在专用条件中约定奖励金额的确定方法。奖励金额在合理化建议被采纳后，与最近一期的正常工作酬金同期支付。</w:t>
      </w:r>
    </w:p>
    <w:p w14:paraId="65C2C446">
      <w:pPr>
        <w:pStyle w:val="19"/>
        <w:pageBreakBefore w:val="0"/>
        <w:wordWrap w:val="0"/>
        <w:bidi w:val="0"/>
        <w:spacing w:before="60" w:line="360" w:lineRule="exact"/>
        <w:ind w:firstLine="420" w:firstLineChars="200"/>
        <w:jc w:val="left"/>
        <w:rPr>
          <w:rFonts w:hint="eastAsia" w:ascii="宋体" w:hAnsi="宋体" w:eastAsia="宋体" w:cs="宋体"/>
          <w:b w:val="0"/>
          <w:sz w:val="21"/>
          <w:szCs w:val="21"/>
        </w:rPr>
      </w:pPr>
      <w:bookmarkStart w:id="644" w:name="_Toc497839229"/>
      <w:bookmarkStart w:id="645" w:name="_Toc256000187"/>
      <w:bookmarkStart w:id="646" w:name="_Toc422322518"/>
      <w:bookmarkStart w:id="647" w:name="_Toc256000105"/>
      <w:r>
        <w:rPr>
          <w:rFonts w:hint="eastAsia" w:ascii="宋体" w:hAnsi="宋体" w:eastAsia="宋体" w:cs="宋体"/>
          <w:b w:val="0"/>
          <w:sz w:val="21"/>
          <w:szCs w:val="21"/>
          <w:highlight w:val="white"/>
        </w:rPr>
        <w:t>8.3保密</w:t>
      </w:r>
      <w:bookmarkEnd w:id="644"/>
      <w:bookmarkEnd w:id="645"/>
      <w:bookmarkEnd w:id="646"/>
      <w:bookmarkEnd w:id="647"/>
    </w:p>
    <w:p w14:paraId="13A99665">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在本合同履行期间或专用条件约定的期限内，双方不得泄露对方申明的保密资料，亦不得泄露与实施工程有关的第三人所提供的保密资料。保密事项在专用条件中约定。</w:t>
      </w:r>
    </w:p>
    <w:p w14:paraId="5A8C652D">
      <w:pPr>
        <w:pStyle w:val="20"/>
        <w:pageBreakBefore w:val="0"/>
        <w:wordWrap w:val="0"/>
        <w:bidi w:val="0"/>
        <w:spacing w:after="200" w:line="360" w:lineRule="exact"/>
        <w:rPr>
          <w:rFonts w:hint="eastAsia" w:ascii="宋体" w:hAnsi="宋体" w:eastAsia="宋体" w:cs="宋体"/>
          <w:b/>
          <w:szCs w:val="21"/>
        </w:rPr>
      </w:pPr>
      <w:r>
        <w:rPr>
          <w:rFonts w:hint="eastAsia" w:ascii="宋体" w:hAnsi="宋体" w:eastAsia="宋体" w:cs="宋体"/>
          <w:bCs/>
          <w:smallCaps/>
          <w:szCs w:val="21"/>
          <w:highlight w:val="white"/>
        </w:rPr>
        <w:t>　　</w:t>
      </w:r>
      <w:bookmarkStart w:id="648" w:name="_Toc419045097"/>
      <w:bookmarkStart w:id="649" w:name="_Toc422322519"/>
      <w:bookmarkStart w:id="650" w:name="_Toc497839230"/>
      <w:bookmarkStart w:id="651" w:name="_Toc256000188"/>
      <w:bookmarkStart w:id="652" w:name="_Toc256000106"/>
      <w:r>
        <w:rPr>
          <w:rStyle w:val="58"/>
          <w:rFonts w:hint="eastAsia" w:ascii="宋体" w:hAnsi="宋体" w:eastAsia="宋体" w:cs="宋体"/>
          <w:b w:val="0"/>
          <w:sz w:val="21"/>
          <w:szCs w:val="21"/>
          <w:highlight w:val="white"/>
        </w:rPr>
        <w:t>8.4</w:t>
      </w:r>
      <w:bookmarkEnd w:id="648"/>
      <w:r>
        <w:rPr>
          <w:rStyle w:val="58"/>
          <w:rFonts w:hint="eastAsia" w:ascii="宋体" w:hAnsi="宋体" w:eastAsia="宋体" w:cs="宋体"/>
          <w:b w:val="0"/>
          <w:sz w:val="21"/>
          <w:szCs w:val="21"/>
          <w:highlight w:val="white"/>
        </w:rPr>
        <w:t>联络</w:t>
      </w:r>
      <w:bookmarkEnd w:id="649"/>
      <w:bookmarkEnd w:id="650"/>
      <w:bookmarkEnd w:id="651"/>
      <w:bookmarkEnd w:id="652"/>
    </w:p>
    <w:p w14:paraId="3A227365">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8.4.1与合同有关的通知、指示、要求、决定等，均应采用书面形式，并应在专用条件约定的期限内送达接收人和送达地点。</w:t>
      </w:r>
    </w:p>
    <w:p w14:paraId="289D6986">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8.4.2委托人和咨询人应在专用条件中约定各自的送达接收人、送达地点、电子邮箱。任何一方指定的接收人或送达地点或电子邮箱发生变动的，应提前3天以书面形式通知对方，否则视为未发生变动。</w:t>
      </w:r>
    </w:p>
    <w:p w14:paraId="15F1BBB4">
      <w:pPr>
        <w:pStyle w:val="20"/>
        <w:pageBreakBefore w:val="0"/>
        <w:tabs>
          <w:tab w:val="left" w:pos="5085"/>
        </w:tabs>
        <w:wordWrap w:val="0"/>
        <w:bidi w:val="0"/>
        <w:spacing w:after="200" w:line="360" w:lineRule="exact"/>
        <w:ind w:firstLine="420" w:firstLineChars="200"/>
        <w:rPr>
          <w:rStyle w:val="58"/>
          <w:rFonts w:hint="eastAsia" w:ascii="宋体" w:hAnsi="宋体" w:eastAsia="宋体" w:cs="宋体"/>
          <w:b w:val="0"/>
          <w:bCs w:val="0"/>
          <w:kern w:val="0"/>
          <w:sz w:val="21"/>
          <w:szCs w:val="21"/>
        </w:rPr>
      </w:pPr>
      <w:r>
        <w:rPr>
          <w:rFonts w:hint="eastAsia" w:ascii="宋体" w:hAnsi="宋体" w:eastAsia="宋体" w:cs="宋体"/>
          <w:szCs w:val="21"/>
          <w:highlight w:val="white"/>
        </w:rPr>
        <w:t>8.4.3委托人和咨询人应当及时签收另一方送达至送达地点和指定接收人的往来函件，如确有充分证据证明一方无正当理由拒不签收的，视为认可往来函件的内容。</w:t>
      </w:r>
    </w:p>
    <w:p w14:paraId="28777E0E">
      <w:pPr>
        <w:pStyle w:val="19"/>
        <w:pageBreakBefore w:val="0"/>
        <w:wordWrap w:val="0"/>
        <w:bidi w:val="0"/>
        <w:spacing w:before="60" w:line="360" w:lineRule="exact"/>
        <w:ind w:firstLine="420" w:firstLineChars="200"/>
        <w:jc w:val="left"/>
        <w:rPr>
          <w:rFonts w:hint="eastAsia" w:ascii="宋体" w:hAnsi="宋体" w:eastAsia="宋体" w:cs="宋体"/>
          <w:b w:val="0"/>
          <w:sz w:val="21"/>
          <w:szCs w:val="21"/>
        </w:rPr>
      </w:pPr>
      <w:bookmarkStart w:id="653" w:name="_Toc422322520"/>
      <w:bookmarkStart w:id="654" w:name="_Toc497839231"/>
      <w:bookmarkStart w:id="655" w:name="_Toc256000189"/>
      <w:bookmarkStart w:id="656" w:name="_Toc256000107"/>
      <w:r>
        <w:rPr>
          <w:rFonts w:hint="eastAsia" w:ascii="宋体" w:hAnsi="宋体" w:eastAsia="宋体" w:cs="宋体"/>
          <w:b w:val="0"/>
          <w:sz w:val="21"/>
          <w:szCs w:val="21"/>
          <w:highlight w:val="white"/>
        </w:rPr>
        <w:t>8.5知识产权</w:t>
      </w:r>
      <w:bookmarkEnd w:id="653"/>
      <w:bookmarkEnd w:id="654"/>
      <w:bookmarkEnd w:id="655"/>
      <w:bookmarkEnd w:id="656"/>
    </w:p>
    <w:p w14:paraId="391D3779">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0BC42192">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14:paraId="7F0B259B">
      <w:pPr>
        <w:pStyle w:val="20"/>
        <w:pageBreakBefore w:val="0"/>
        <w:wordWrap w:val="0"/>
        <w:autoSpaceDE w:val="0"/>
        <w:autoSpaceDN w:val="0"/>
        <w:bidi w:val="0"/>
        <w:adjustRightInd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双方保证在履行本合同过程中不侵犯对方及第三方的知识产权。因咨询人侵犯他人知识产权所引起的责任，由咨询人承担；因委托人提供的基础资料导致侵权的，由委托人承担责任。</w:t>
      </w:r>
    </w:p>
    <w:p w14:paraId="65140EF7">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除专用条件另有约定外，双方均有权在履行本合同保密义务并且不损害对方利益的情况下，将履行本合同形成的有关成果文件用于企业宣传、申报奖项以及接受上级主管部门的检查。</w:t>
      </w:r>
    </w:p>
    <w:p w14:paraId="5549AF1B">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　　</w:t>
      </w:r>
    </w:p>
    <w:p w14:paraId="5CC20DEA">
      <w:pPr>
        <w:pStyle w:val="54"/>
        <w:pageBreakBefore w:val="0"/>
        <w:wordWrap w:val="0"/>
        <w:bidi w:val="0"/>
        <w:spacing w:after="120" w:line="360" w:lineRule="exact"/>
        <w:jc w:val="center"/>
        <w:rPr>
          <w:rFonts w:hint="eastAsia" w:ascii="宋体" w:hAnsi="宋体" w:eastAsia="宋体" w:cs="宋体"/>
          <w:sz w:val="32"/>
          <w:szCs w:val="32"/>
        </w:rPr>
      </w:pPr>
      <w:bookmarkStart w:id="657" w:name="_Toc497839352"/>
      <w:bookmarkStart w:id="658" w:name="_Toc422322521"/>
      <w:bookmarkStart w:id="659" w:name="_Toc497839232"/>
      <w:bookmarkStart w:id="660" w:name="_Toc419045098"/>
      <w:r>
        <w:rPr>
          <w:rFonts w:hint="eastAsia" w:ascii="宋体" w:hAnsi="宋体" w:eastAsia="宋体" w:cs="宋体"/>
          <w:sz w:val="21"/>
          <w:szCs w:val="21"/>
          <w:highlight w:val="white"/>
        </w:rPr>
        <w:br w:type="page"/>
      </w:r>
      <w:bookmarkStart w:id="661" w:name="_Toc15063"/>
      <w:bookmarkStart w:id="662" w:name="_Toc256000108"/>
      <w:bookmarkStart w:id="663" w:name="_Toc6119"/>
      <w:bookmarkStart w:id="664" w:name="_Toc256000190"/>
      <w:r>
        <w:rPr>
          <w:rFonts w:hint="eastAsia" w:ascii="宋体" w:hAnsi="宋体" w:eastAsia="宋体" w:cs="宋体"/>
          <w:sz w:val="32"/>
          <w:szCs w:val="32"/>
          <w:highlight w:val="white"/>
        </w:rPr>
        <w:t>第三部分　专用条件</w:t>
      </w:r>
      <w:bookmarkEnd w:id="657"/>
      <w:bookmarkEnd w:id="658"/>
      <w:bookmarkEnd w:id="659"/>
      <w:bookmarkEnd w:id="660"/>
      <w:bookmarkEnd w:id="661"/>
      <w:bookmarkEnd w:id="662"/>
      <w:bookmarkEnd w:id="663"/>
      <w:bookmarkEnd w:id="664"/>
      <w:bookmarkStart w:id="665" w:name="45"/>
    </w:p>
    <w:bookmarkEnd w:id="665"/>
    <w:p w14:paraId="49EB9AFB">
      <w:pPr>
        <w:pStyle w:val="57"/>
        <w:pageBreakBefore w:val="0"/>
        <w:wordWrap w:val="0"/>
        <w:bidi w:val="0"/>
        <w:spacing w:before="0" w:after="0" w:line="360" w:lineRule="exact"/>
        <w:ind w:firstLine="422" w:firstLineChars="200"/>
        <w:jc w:val="left"/>
        <w:rPr>
          <w:rFonts w:hint="eastAsia" w:ascii="宋体" w:hAnsi="宋体" w:eastAsia="宋体" w:cs="宋体"/>
          <w:sz w:val="21"/>
          <w:szCs w:val="21"/>
        </w:rPr>
      </w:pPr>
      <w:bookmarkStart w:id="666" w:name="_Toc2984"/>
      <w:bookmarkStart w:id="667" w:name="_Toc20072"/>
      <w:bookmarkStart w:id="668" w:name="_Toc497839353"/>
      <w:bookmarkStart w:id="669" w:name="_Toc497839233"/>
      <w:bookmarkStart w:id="670" w:name="_Toc256000109"/>
      <w:bookmarkStart w:id="671" w:name="_Toc422322522"/>
      <w:bookmarkStart w:id="672" w:name="_Toc419045099"/>
      <w:bookmarkStart w:id="673" w:name="_Toc256000191"/>
      <w:r>
        <w:rPr>
          <w:rFonts w:hint="eastAsia" w:ascii="宋体" w:hAnsi="宋体" w:eastAsia="宋体" w:cs="宋体"/>
          <w:sz w:val="21"/>
          <w:szCs w:val="21"/>
          <w:highlight w:val="white"/>
        </w:rPr>
        <w:t>1.词语定义、语言、解释顺序与适用法律</w:t>
      </w:r>
      <w:bookmarkEnd w:id="666"/>
      <w:bookmarkEnd w:id="667"/>
      <w:bookmarkEnd w:id="668"/>
      <w:bookmarkEnd w:id="669"/>
      <w:bookmarkEnd w:id="670"/>
      <w:bookmarkEnd w:id="671"/>
      <w:bookmarkEnd w:id="672"/>
      <w:bookmarkEnd w:id="673"/>
    </w:p>
    <w:p w14:paraId="408C2808">
      <w:pPr>
        <w:pStyle w:val="20"/>
        <w:pageBreakBefore w:val="0"/>
        <w:wordWrap w:val="0"/>
        <w:bidi w:val="0"/>
        <w:spacing w:after="200" w:line="360" w:lineRule="exact"/>
        <w:ind w:firstLine="468"/>
        <w:jc w:val="left"/>
        <w:rPr>
          <w:rStyle w:val="58"/>
          <w:rFonts w:hint="eastAsia" w:ascii="宋体" w:hAnsi="宋体" w:eastAsia="宋体" w:cs="宋体"/>
          <w:b w:val="0"/>
          <w:sz w:val="21"/>
          <w:szCs w:val="21"/>
        </w:rPr>
      </w:pPr>
      <w:bookmarkStart w:id="674" w:name="_Toc419045101"/>
      <w:bookmarkStart w:id="675" w:name="_Toc256000110"/>
      <w:bookmarkStart w:id="676" w:name="_Toc497839234"/>
      <w:bookmarkStart w:id="677" w:name="_Toc422322524"/>
      <w:bookmarkStart w:id="678" w:name="_Toc256000192"/>
      <w:r>
        <w:rPr>
          <w:rStyle w:val="58"/>
          <w:rFonts w:hint="eastAsia" w:ascii="宋体" w:hAnsi="宋体" w:eastAsia="宋体" w:cs="宋体"/>
          <w:b w:val="0"/>
          <w:sz w:val="21"/>
          <w:szCs w:val="21"/>
          <w:highlight w:val="white"/>
        </w:rPr>
        <w:t>1.2语言</w:t>
      </w:r>
      <w:bookmarkEnd w:id="674"/>
      <w:bookmarkEnd w:id="675"/>
      <w:bookmarkEnd w:id="676"/>
      <w:bookmarkEnd w:id="677"/>
      <w:bookmarkEnd w:id="678"/>
      <w:r>
        <w:rPr>
          <w:rFonts w:hint="eastAsia" w:ascii="宋体" w:hAnsi="宋体" w:eastAsia="宋体" w:cs="宋体"/>
          <w:szCs w:val="21"/>
          <w:highlight w:val="white"/>
        </w:rPr>
        <w:br w:type="textWrapping"/>
      </w:r>
      <w:r>
        <w:rPr>
          <w:rFonts w:hint="eastAsia" w:ascii="宋体" w:hAnsi="宋体" w:eastAsia="宋体" w:cs="宋体"/>
          <w:szCs w:val="21"/>
          <w:highlight w:val="white"/>
        </w:rPr>
        <w:t>本合同文件除使用中文外，还可用________________________。</w:t>
      </w:r>
    </w:p>
    <w:p w14:paraId="2106A7E2">
      <w:pPr>
        <w:pStyle w:val="19"/>
        <w:pageBreakBefore w:val="0"/>
        <w:wordWrap w:val="0"/>
        <w:bidi w:val="0"/>
        <w:spacing w:before="60" w:line="360" w:lineRule="exact"/>
        <w:ind w:firstLine="420" w:firstLineChars="200"/>
        <w:jc w:val="left"/>
        <w:rPr>
          <w:rFonts w:hint="eastAsia" w:ascii="宋体" w:hAnsi="宋体" w:eastAsia="宋体" w:cs="宋体"/>
          <w:b w:val="0"/>
          <w:sz w:val="21"/>
          <w:szCs w:val="21"/>
        </w:rPr>
      </w:pPr>
      <w:bookmarkStart w:id="679" w:name="_Toc422322525"/>
      <w:bookmarkStart w:id="680" w:name="_Toc497839235"/>
      <w:bookmarkStart w:id="681" w:name="_Toc256000193"/>
      <w:bookmarkStart w:id="682" w:name="_Toc256000111"/>
      <w:r>
        <w:rPr>
          <w:rFonts w:hint="eastAsia" w:ascii="宋体" w:hAnsi="宋体" w:eastAsia="宋体" w:cs="宋体"/>
          <w:b w:val="0"/>
          <w:sz w:val="21"/>
          <w:szCs w:val="21"/>
          <w:highlight w:val="white"/>
        </w:rPr>
        <w:t>1.3合同文件的优先顺序</w:t>
      </w:r>
      <w:bookmarkEnd w:id="679"/>
      <w:bookmarkEnd w:id="680"/>
      <w:bookmarkEnd w:id="681"/>
      <w:bookmarkEnd w:id="682"/>
    </w:p>
    <w:p w14:paraId="1412B93B">
      <w:pPr>
        <w:pStyle w:val="20"/>
        <w:pageBreakBefore w:val="0"/>
        <w:wordWrap w:val="0"/>
        <w:bidi w:val="0"/>
        <w:spacing w:after="200" w:line="360" w:lineRule="exact"/>
        <w:ind w:firstLine="468"/>
        <w:rPr>
          <w:rFonts w:hint="eastAsia" w:ascii="宋体" w:hAnsi="宋体" w:eastAsia="宋体" w:cs="宋体"/>
          <w:szCs w:val="21"/>
        </w:rPr>
      </w:pPr>
      <w:r>
        <w:rPr>
          <w:rFonts w:hint="eastAsia" w:ascii="宋体" w:hAnsi="宋体" w:eastAsia="宋体" w:cs="宋体"/>
          <w:szCs w:val="21"/>
          <w:highlight w:val="white"/>
        </w:rPr>
        <w:t>本合同文件的解释顺序为：_______________________________________。</w:t>
      </w:r>
    </w:p>
    <w:p w14:paraId="07DB10DC">
      <w:pPr>
        <w:pStyle w:val="20"/>
        <w:pageBreakBefore w:val="0"/>
        <w:wordWrap w:val="0"/>
        <w:bidi w:val="0"/>
        <w:spacing w:after="200" w:line="360" w:lineRule="exact"/>
        <w:ind w:firstLine="468"/>
        <w:rPr>
          <w:rStyle w:val="58"/>
          <w:rFonts w:hint="eastAsia" w:ascii="宋体" w:hAnsi="宋体" w:eastAsia="宋体" w:cs="宋体"/>
          <w:b w:val="0"/>
          <w:sz w:val="21"/>
          <w:szCs w:val="21"/>
        </w:rPr>
      </w:pPr>
      <w:bookmarkStart w:id="683" w:name="_Toc422322526"/>
      <w:bookmarkStart w:id="684" w:name="_Toc497839236"/>
      <w:bookmarkStart w:id="685" w:name="_Toc256000112"/>
      <w:bookmarkStart w:id="686" w:name="_Toc256000194"/>
      <w:bookmarkStart w:id="687" w:name="_Toc419045102"/>
      <w:r>
        <w:rPr>
          <w:rStyle w:val="58"/>
          <w:rFonts w:hint="eastAsia" w:ascii="宋体" w:hAnsi="宋体" w:eastAsia="宋体" w:cs="宋体"/>
          <w:b w:val="0"/>
          <w:sz w:val="21"/>
          <w:szCs w:val="21"/>
          <w:highlight w:val="white"/>
        </w:rPr>
        <w:t>1.4适用法律</w:t>
      </w:r>
      <w:bookmarkEnd w:id="683"/>
      <w:bookmarkEnd w:id="684"/>
      <w:bookmarkEnd w:id="685"/>
      <w:bookmarkEnd w:id="686"/>
      <w:bookmarkEnd w:id="687"/>
    </w:p>
    <w:p w14:paraId="57A77E8A">
      <w:pPr>
        <w:pStyle w:val="20"/>
        <w:pageBreakBefore w:val="0"/>
        <w:wordWrap w:val="0"/>
        <w:bidi w:val="0"/>
        <w:spacing w:after="200" w:line="360" w:lineRule="exact"/>
        <w:ind w:left="210" w:leftChars="100" w:firstLine="105" w:firstLineChars="50"/>
        <w:rPr>
          <w:rFonts w:hint="eastAsia" w:ascii="宋体" w:hAnsi="宋体" w:eastAsia="宋体" w:cs="宋体"/>
          <w:szCs w:val="21"/>
        </w:rPr>
      </w:pPr>
      <w:r>
        <w:rPr>
          <w:rFonts w:hint="eastAsia" w:ascii="宋体" w:hAnsi="宋体" w:eastAsia="宋体" w:cs="宋体"/>
          <w:szCs w:val="21"/>
          <w:highlight w:val="white"/>
        </w:rPr>
        <w:t>本合同适用的其他规范性文件包括:。</w:t>
      </w:r>
    </w:p>
    <w:p w14:paraId="2CF679F9">
      <w:pPr>
        <w:pStyle w:val="57"/>
        <w:pageBreakBefore w:val="0"/>
        <w:wordWrap w:val="0"/>
        <w:bidi w:val="0"/>
        <w:spacing w:before="0" w:after="0" w:line="360" w:lineRule="exact"/>
        <w:ind w:firstLine="422" w:firstLineChars="200"/>
        <w:jc w:val="left"/>
        <w:rPr>
          <w:rFonts w:hint="eastAsia" w:ascii="宋体" w:hAnsi="宋体" w:eastAsia="宋体" w:cs="宋体"/>
          <w:sz w:val="21"/>
          <w:szCs w:val="21"/>
        </w:rPr>
      </w:pPr>
      <w:bookmarkStart w:id="688" w:name="_Toc11498"/>
      <w:bookmarkStart w:id="689" w:name="_Toc8458"/>
      <w:bookmarkStart w:id="690" w:name="_Toc419045103"/>
      <w:bookmarkStart w:id="691" w:name="_Toc497839354"/>
      <w:bookmarkStart w:id="692" w:name="_Toc497839237"/>
      <w:bookmarkStart w:id="693" w:name="_Toc256000195"/>
      <w:bookmarkStart w:id="694" w:name="_Toc256000113"/>
      <w:bookmarkStart w:id="695" w:name="_Toc422322527"/>
      <w:r>
        <w:rPr>
          <w:rFonts w:hint="eastAsia" w:ascii="宋体" w:hAnsi="宋体" w:eastAsia="宋体" w:cs="宋体"/>
          <w:sz w:val="21"/>
          <w:szCs w:val="21"/>
          <w:highlight w:val="white"/>
        </w:rPr>
        <w:t>2.委托人的义务</w:t>
      </w:r>
      <w:bookmarkEnd w:id="688"/>
      <w:bookmarkEnd w:id="689"/>
      <w:bookmarkEnd w:id="690"/>
      <w:bookmarkEnd w:id="691"/>
      <w:bookmarkEnd w:id="692"/>
      <w:bookmarkEnd w:id="693"/>
      <w:bookmarkEnd w:id="694"/>
      <w:bookmarkEnd w:id="695"/>
    </w:p>
    <w:p w14:paraId="2C3DD17A">
      <w:pPr>
        <w:pStyle w:val="20"/>
        <w:pageBreakBefore w:val="0"/>
        <w:wordWrap w:val="0"/>
        <w:bidi w:val="0"/>
        <w:spacing w:after="200" w:line="360" w:lineRule="exact"/>
        <w:ind w:firstLine="468"/>
        <w:rPr>
          <w:rStyle w:val="58"/>
          <w:rFonts w:hint="eastAsia" w:ascii="宋体" w:hAnsi="宋体" w:eastAsia="宋体" w:cs="宋体"/>
          <w:b w:val="0"/>
          <w:sz w:val="21"/>
          <w:szCs w:val="21"/>
        </w:rPr>
      </w:pPr>
      <w:bookmarkStart w:id="696" w:name="_Toc256000114"/>
      <w:bookmarkStart w:id="697" w:name="_Toc422322528"/>
      <w:bookmarkStart w:id="698" w:name="_Toc419045104"/>
      <w:bookmarkStart w:id="699" w:name="_Toc256000196"/>
      <w:bookmarkStart w:id="700" w:name="_Toc497839238"/>
      <w:r>
        <w:rPr>
          <w:rStyle w:val="58"/>
          <w:rFonts w:hint="eastAsia" w:ascii="宋体" w:hAnsi="宋体" w:eastAsia="宋体" w:cs="宋体"/>
          <w:b w:val="0"/>
          <w:sz w:val="21"/>
          <w:szCs w:val="21"/>
          <w:highlight w:val="white"/>
        </w:rPr>
        <w:t>2.1提供资料</w:t>
      </w:r>
      <w:bookmarkEnd w:id="696"/>
      <w:bookmarkEnd w:id="697"/>
      <w:bookmarkEnd w:id="698"/>
      <w:bookmarkEnd w:id="699"/>
      <w:bookmarkEnd w:id="700"/>
    </w:p>
    <w:p w14:paraId="205340DE">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委托人按照附录C约定无偿向咨询人提供与本合同咨询业务有关资料的时间为：____________________。</w:t>
      </w:r>
    </w:p>
    <w:p w14:paraId="2F1FA61E">
      <w:pPr>
        <w:pStyle w:val="20"/>
        <w:pageBreakBefore w:val="0"/>
        <w:wordWrap w:val="0"/>
        <w:bidi w:val="0"/>
        <w:spacing w:after="200" w:line="360" w:lineRule="exact"/>
        <w:ind w:firstLine="468"/>
        <w:rPr>
          <w:rStyle w:val="58"/>
          <w:rFonts w:hint="eastAsia" w:ascii="宋体" w:hAnsi="宋体" w:eastAsia="宋体" w:cs="宋体"/>
          <w:b w:val="0"/>
          <w:sz w:val="21"/>
          <w:szCs w:val="21"/>
        </w:rPr>
      </w:pPr>
      <w:bookmarkStart w:id="701" w:name="_Toc419045105"/>
      <w:bookmarkStart w:id="702" w:name="_Toc422322529"/>
      <w:bookmarkStart w:id="703" w:name="_Toc497839239"/>
      <w:bookmarkStart w:id="704" w:name="_Toc256000115"/>
      <w:bookmarkStart w:id="705" w:name="_Toc256000197"/>
      <w:r>
        <w:rPr>
          <w:rStyle w:val="58"/>
          <w:rFonts w:hint="eastAsia" w:ascii="宋体" w:hAnsi="宋体" w:eastAsia="宋体" w:cs="宋体"/>
          <w:b w:val="0"/>
          <w:sz w:val="21"/>
          <w:szCs w:val="21"/>
          <w:highlight w:val="white"/>
        </w:rPr>
        <w:t>2.2提供工作条件</w:t>
      </w:r>
      <w:bookmarkEnd w:id="701"/>
      <w:bookmarkEnd w:id="702"/>
      <w:bookmarkEnd w:id="703"/>
      <w:bookmarkEnd w:id="704"/>
      <w:bookmarkEnd w:id="705"/>
    </w:p>
    <w:p w14:paraId="7A458D33">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2.2.1项目咨询人员使用附录D中由委托人提供的房屋及设备，支付使用费的标准为：________________________。</w:t>
      </w:r>
    </w:p>
    <w:p w14:paraId="13D76BA8">
      <w:pPr>
        <w:pStyle w:val="20"/>
        <w:pageBreakBefore w:val="0"/>
        <w:wordWrap w:val="0"/>
        <w:bidi w:val="0"/>
        <w:spacing w:after="200" w:line="360" w:lineRule="exact"/>
        <w:ind w:firstLine="420" w:firstLineChars="200"/>
        <w:jc w:val="left"/>
        <w:rPr>
          <w:rStyle w:val="58"/>
          <w:rFonts w:hint="eastAsia" w:ascii="宋体" w:hAnsi="宋体" w:eastAsia="宋体" w:cs="宋体"/>
          <w:b w:val="0"/>
          <w:sz w:val="21"/>
          <w:szCs w:val="21"/>
        </w:rPr>
      </w:pPr>
      <w:bookmarkStart w:id="706" w:name="_Toc422322530"/>
      <w:bookmarkStart w:id="707" w:name="_Toc497839240"/>
      <w:bookmarkStart w:id="708" w:name="_Toc256000116"/>
      <w:bookmarkStart w:id="709" w:name="_Toc256000198"/>
      <w:bookmarkStart w:id="710" w:name="_Toc419045106"/>
      <w:r>
        <w:rPr>
          <w:rStyle w:val="58"/>
          <w:rFonts w:hint="eastAsia" w:ascii="宋体" w:hAnsi="宋体" w:eastAsia="宋体" w:cs="宋体"/>
          <w:b w:val="0"/>
          <w:sz w:val="21"/>
          <w:szCs w:val="21"/>
          <w:highlight w:val="white"/>
        </w:rPr>
        <w:t>2.4委托人代表</w:t>
      </w:r>
      <w:bookmarkEnd w:id="706"/>
      <w:bookmarkEnd w:id="707"/>
      <w:bookmarkEnd w:id="708"/>
      <w:bookmarkEnd w:id="709"/>
      <w:bookmarkEnd w:id="710"/>
      <w:r>
        <w:rPr>
          <w:rFonts w:hint="eastAsia" w:ascii="宋体" w:hAnsi="宋体" w:eastAsia="宋体" w:cs="宋体"/>
          <w:szCs w:val="21"/>
          <w:highlight w:val="white"/>
        </w:rPr>
        <w:br w:type="textWrapping"/>
      </w:r>
      <w:r>
        <w:rPr>
          <w:rFonts w:hint="eastAsia" w:ascii="宋体" w:hAnsi="宋体" w:eastAsia="宋体" w:cs="宋体"/>
          <w:szCs w:val="21"/>
          <w:highlight w:val="white"/>
        </w:rPr>
        <w:t>委托人代表为：__________________，其权限范围：_____________________。</w:t>
      </w:r>
    </w:p>
    <w:p w14:paraId="7127C16B">
      <w:pPr>
        <w:pStyle w:val="19"/>
        <w:pageBreakBefore w:val="0"/>
        <w:wordWrap w:val="0"/>
        <w:bidi w:val="0"/>
        <w:spacing w:before="60" w:line="360" w:lineRule="exact"/>
        <w:ind w:firstLine="420" w:firstLineChars="200"/>
        <w:jc w:val="left"/>
        <w:rPr>
          <w:rFonts w:hint="eastAsia" w:ascii="宋体" w:hAnsi="宋体" w:eastAsia="宋体" w:cs="宋体"/>
          <w:b w:val="0"/>
          <w:sz w:val="21"/>
          <w:szCs w:val="21"/>
        </w:rPr>
      </w:pPr>
      <w:bookmarkStart w:id="711" w:name="_Toc497839241"/>
      <w:bookmarkStart w:id="712" w:name="_Toc256000117"/>
      <w:bookmarkStart w:id="713" w:name="_Toc256000199"/>
      <w:bookmarkStart w:id="714" w:name="_Toc422322531"/>
      <w:r>
        <w:rPr>
          <w:rFonts w:hint="eastAsia" w:ascii="宋体" w:hAnsi="宋体" w:eastAsia="宋体" w:cs="宋体"/>
          <w:b w:val="0"/>
          <w:sz w:val="21"/>
          <w:szCs w:val="21"/>
          <w:highlight w:val="white"/>
        </w:rPr>
        <w:t>2.5答复</w:t>
      </w:r>
      <w:bookmarkEnd w:id="711"/>
      <w:bookmarkEnd w:id="712"/>
      <w:bookmarkEnd w:id="713"/>
      <w:bookmarkEnd w:id="714"/>
    </w:p>
    <w:p w14:paraId="78800E8F">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委托人同意在_______日内，对咨询人书面提交并要求做出决定的事宜给予书面答复。逾期未答复的，视为委托人认可。</w:t>
      </w:r>
    </w:p>
    <w:p w14:paraId="38550040">
      <w:pPr>
        <w:pStyle w:val="57"/>
        <w:pageBreakBefore w:val="0"/>
        <w:wordWrap w:val="0"/>
        <w:bidi w:val="0"/>
        <w:spacing w:before="0" w:after="0" w:line="360" w:lineRule="exact"/>
        <w:ind w:firstLine="422" w:firstLineChars="200"/>
        <w:jc w:val="left"/>
        <w:rPr>
          <w:rFonts w:hint="eastAsia" w:ascii="宋体" w:hAnsi="宋体" w:eastAsia="宋体" w:cs="宋体"/>
          <w:sz w:val="21"/>
          <w:szCs w:val="21"/>
        </w:rPr>
      </w:pPr>
      <w:bookmarkStart w:id="715" w:name="_Toc18374"/>
      <w:bookmarkStart w:id="716" w:name="_Toc419045107"/>
      <w:bookmarkStart w:id="717" w:name="_Toc422322532"/>
      <w:bookmarkStart w:id="718" w:name="_Toc256000118"/>
      <w:bookmarkStart w:id="719" w:name="_Toc256000200"/>
      <w:bookmarkStart w:id="720" w:name="_Toc19865"/>
      <w:bookmarkStart w:id="721" w:name="_Toc497839355"/>
      <w:bookmarkStart w:id="722" w:name="_Toc497839242"/>
      <w:r>
        <w:rPr>
          <w:rFonts w:hint="eastAsia" w:ascii="宋体" w:hAnsi="宋体" w:eastAsia="宋体" w:cs="宋体"/>
          <w:sz w:val="21"/>
          <w:szCs w:val="21"/>
          <w:highlight w:val="white"/>
        </w:rPr>
        <w:t>3.咨询人的义务</w:t>
      </w:r>
      <w:bookmarkEnd w:id="715"/>
      <w:bookmarkEnd w:id="716"/>
      <w:bookmarkEnd w:id="717"/>
      <w:bookmarkEnd w:id="718"/>
      <w:bookmarkEnd w:id="719"/>
      <w:bookmarkEnd w:id="720"/>
      <w:bookmarkEnd w:id="721"/>
      <w:bookmarkEnd w:id="722"/>
    </w:p>
    <w:p w14:paraId="2C960BC5">
      <w:pPr>
        <w:pStyle w:val="19"/>
        <w:pageBreakBefore w:val="0"/>
        <w:wordWrap w:val="0"/>
        <w:bidi w:val="0"/>
        <w:spacing w:before="60" w:line="360" w:lineRule="exact"/>
        <w:ind w:firstLine="420" w:firstLineChars="200"/>
        <w:jc w:val="left"/>
        <w:rPr>
          <w:rFonts w:hint="eastAsia" w:ascii="宋体" w:hAnsi="宋体" w:eastAsia="宋体" w:cs="宋体"/>
          <w:b w:val="0"/>
          <w:sz w:val="21"/>
          <w:szCs w:val="21"/>
        </w:rPr>
      </w:pPr>
      <w:bookmarkStart w:id="723" w:name="_Toc256000119"/>
      <w:bookmarkStart w:id="724" w:name="_Toc497839243"/>
      <w:bookmarkStart w:id="725" w:name="_Toc419045109"/>
      <w:bookmarkStart w:id="726" w:name="_Toc256000201"/>
      <w:bookmarkStart w:id="727" w:name="_Toc422322533"/>
      <w:r>
        <w:rPr>
          <w:rFonts w:hint="eastAsia" w:ascii="宋体" w:hAnsi="宋体" w:eastAsia="宋体" w:cs="宋体"/>
          <w:b w:val="0"/>
          <w:sz w:val="21"/>
          <w:szCs w:val="21"/>
          <w:highlight w:val="white"/>
        </w:rPr>
        <w:t>3.1项目咨询团队及人员</w:t>
      </w:r>
      <w:bookmarkEnd w:id="723"/>
      <w:bookmarkEnd w:id="724"/>
      <w:bookmarkEnd w:id="725"/>
      <w:bookmarkEnd w:id="726"/>
      <w:bookmarkEnd w:id="727"/>
    </w:p>
    <w:p w14:paraId="72233DFB">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3.1.1项目咨询团队的主要人员应具有资格条件，团队人员的数量为_____________人。</w:t>
      </w:r>
    </w:p>
    <w:p w14:paraId="5663AA01">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3.1.2项目负责人为：________________，项目负责人为履行本合同的权限为：_____________________________________________________________。</w:t>
      </w:r>
    </w:p>
    <w:p w14:paraId="21DD61CB">
      <w:pPr>
        <w:pStyle w:val="55"/>
        <w:pageBreakBefore w:val="0"/>
        <w:wordWrap w:val="0"/>
        <w:bidi w:val="0"/>
        <w:spacing w:after="200" w:line="360" w:lineRule="exact"/>
        <w:ind w:firstLine="420" w:firstLineChars="200"/>
        <w:jc w:val="left"/>
        <w:rPr>
          <w:rFonts w:hint="eastAsia" w:ascii="宋体" w:hAnsi="宋体" w:eastAsia="宋体" w:cs="宋体"/>
          <w:sz w:val="21"/>
        </w:rPr>
      </w:pPr>
      <w:r>
        <w:rPr>
          <w:rFonts w:hint="eastAsia" w:ascii="宋体" w:hAnsi="宋体" w:eastAsia="宋体" w:cs="宋体"/>
          <w:sz w:val="21"/>
          <w:highlight w:val="white"/>
        </w:rPr>
        <w:t>3.1.3咨询人更换项目咨询团队其他咨询人员的约定：_</w:t>
      </w:r>
      <w:r>
        <w:rPr>
          <w:rFonts w:hint="eastAsia" w:ascii="宋体" w:hAnsi="宋体" w:eastAsia="宋体" w:cs="宋体"/>
          <w:sz w:val="21"/>
          <w:highlight w:val="white"/>
          <w:u w:val="single"/>
        </w:rPr>
        <w:t>___</w:t>
      </w:r>
      <w:r>
        <w:rPr>
          <w:rFonts w:hint="eastAsia" w:ascii="宋体" w:hAnsi="宋体" w:eastAsia="宋体" w:cs="宋体"/>
          <w:sz w:val="21"/>
          <w:highlight w:val="white"/>
        </w:rPr>
        <w:t>_______________________。</w:t>
      </w:r>
    </w:p>
    <w:p w14:paraId="553ACC2F">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3.1.4委托人要求更换咨询人员的情形还包括：_____________________。</w:t>
      </w:r>
    </w:p>
    <w:p w14:paraId="2D649847">
      <w:pPr>
        <w:pStyle w:val="19"/>
        <w:pageBreakBefore w:val="0"/>
        <w:wordWrap w:val="0"/>
        <w:bidi w:val="0"/>
        <w:spacing w:before="60" w:line="360" w:lineRule="exact"/>
        <w:ind w:firstLine="420" w:firstLineChars="200"/>
        <w:jc w:val="left"/>
        <w:rPr>
          <w:rFonts w:hint="eastAsia" w:ascii="宋体" w:hAnsi="宋体" w:eastAsia="宋体" w:cs="宋体"/>
          <w:b w:val="0"/>
          <w:sz w:val="21"/>
          <w:szCs w:val="21"/>
        </w:rPr>
      </w:pPr>
      <w:bookmarkStart w:id="728" w:name="_Toc422322534"/>
      <w:bookmarkStart w:id="729" w:name="_Toc256000120"/>
      <w:bookmarkStart w:id="730" w:name="_Toc419045110"/>
      <w:bookmarkStart w:id="731" w:name="_Toc256000202"/>
      <w:bookmarkStart w:id="732" w:name="_Toc497839244"/>
      <w:r>
        <w:rPr>
          <w:rFonts w:hint="eastAsia" w:ascii="宋体" w:hAnsi="宋体" w:eastAsia="宋体" w:cs="宋体"/>
          <w:b w:val="0"/>
          <w:sz w:val="21"/>
          <w:szCs w:val="21"/>
          <w:highlight w:val="white"/>
        </w:rPr>
        <w:t>3.2咨询人的工作要求</w:t>
      </w:r>
      <w:bookmarkEnd w:id="728"/>
      <w:bookmarkEnd w:id="729"/>
      <w:bookmarkEnd w:id="730"/>
      <w:bookmarkEnd w:id="731"/>
      <w:bookmarkEnd w:id="732"/>
    </w:p>
    <w:p w14:paraId="40D35D73">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3.2.1咨询人向委托人提供有关资料的时间：_______________________。咨询人向委托人提供的资料还包括：___________________________________。</w:t>
      </w:r>
    </w:p>
    <w:p w14:paraId="296691BC">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3.2.2咨询人向委托人提供咨询成果文件的名称、组成、时间、份数及质量标准：_______________________________________________。详见附录B。</w:t>
      </w:r>
    </w:p>
    <w:p w14:paraId="006AE4D5">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3.2.4咨询人应在收到委托人以书面形式提出的建议或者异议后_________日内给予书面答复。</w:t>
      </w:r>
    </w:p>
    <w:p w14:paraId="0BFE35A0">
      <w:pPr>
        <w:pStyle w:val="19"/>
        <w:pageBreakBefore w:val="0"/>
        <w:wordWrap w:val="0"/>
        <w:bidi w:val="0"/>
        <w:spacing w:before="60" w:line="360" w:lineRule="exact"/>
        <w:ind w:firstLine="420" w:firstLineChars="200"/>
        <w:jc w:val="left"/>
        <w:rPr>
          <w:rFonts w:hint="eastAsia" w:ascii="宋体" w:hAnsi="宋体" w:eastAsia="宋体" w:cs="宋体"/>
          <w:b w:val="0"/>
          <w:sz w:val="21"/>
          <w:szCs w:val="21"/>
        </w:rPr>
      </w:pPr>
      <w:bookmarkStart w:id="733" w:name="_Toc497839245"/>
      <w:bookmarkStart w:id="734" w:name="_Toc422322535"/>
      <w:bookmarkStart w:id="735" w:name="_Toc256000203"/>
      <w:bookmarkStart w:id="736" w:name="_Toc256000121"/>
      <w:bookmarkStart w:id="737" w:name="_Toc419045111"/>
      <w:r>
        <w:rPr>
          <w:rFonts w:hint="eastAsia" w:ascii="宋体" w:hAnsi="宋体" w:eastAsia="宋体" w:cs="宋体"/>
          <w:b w:val="0"/>
          <w:sz w:val="21"/>
          <w:szCs w:val="21"/>
          <w:highlight w:val="white"/>
        </w:rPr>
        <w:t>3.3咨询人的工作依据</w:t>
      </w:r>
      <w:bookmarkEnd w:id="733"/>
      <w:bookmarkEnd w:id="734"/>
      <w:bookmarkEnd w:id="735"/>
      <w:bookmarkEnd w:id="736"/>
      <w:bookmarkEnd w:id="737"/>
    </w:p>
    <w:p w14:paraId="273F15ED">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经双方协商，本合同约定的造价咨询服务适用的技术标准、规范、定额等工作依据为：_______________________________________________________。</w:t>
      </w:r>
    </w:p>
    <w:p w14:paraId="690CBF96">
      <w:pPr>
        <w:pStyle w:val="19"/>
        <w:pageBreakBefore w:val="0"/>
        <w:wordWrap w:val="0"/>
        <w:bidi w:val="0"/>
        <w:spacing w:before="60" w:line="360" w:lineRule="exact"/>
        <w:ind w:firstLine="420" w:firstLineChars="200"/>
        <w:jc w:val="left"/>
        <w:rPr>
          <w:rFonts w:hint="eastAsia" w:ascii="宋体" w:hAnsi="宋体" w:eastAsia="宋体" w:cs="宋体"/>
          <w:b w:val="0"/>
          <w:sz w:val="21"/>
          <w:szCs w:val="21"/>
        </w:rPr>
      </w:pPr>
      <w:bookmarkStart w:id="738" w:name="_Toc422322536"/>
      <w:bookmarkStart w:id="739" w:name="_Toc497839246"/>
      <w:bookmarkStart w:id="740" w:name="_Toc256000122"/>
      <w:bookmarkStart w:id="741" w:name="_Toc419045112"/>
      <w:bookmarkStart w:id="742" w:name="_Toc256000204"/>
      <w:r>
        <w:rPr>
          <w:rFonts w:hint="eastAsia" w:ascii="宋体" w:hAnsi="宋体" w:eastAsia="宋体" w:cs="宋体"/>
          <w:b w:val="0"/>
          <w:sz w:val="21"/>
          <w:szCs w:val="21"/>
          <w:highlight w:val="white"/>
        </w:rPr>
        <w:t>3.4使用委托人房屋及设备的返还</w:t>
      </w:r>
      <w:bookmarkEnd w:id="738"/>
      <w:bookmarkEnd w:id="739"/>
      <w:bookmarkEnd w:id="740"/>
      <w:bookmarkEnd w:id="741"/>
      <w:bookmarkEnd w:id="742"/>
    </w:p>
    <w:p w14:paraId="0A7B5ACF">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咨询人应在本合同终止后______日内移交委托人提供的房屋及设备，移交的方式为___________________________________________________________。</w:t>
      </w:r>
    </w:p>
    <w:p w14:paraId="07B97A91">
      <w:pPr>
        <w:pStyle w:val="57"/>
        <w:pageBreakBefore w:val="0"/>
        <w:wordWrap w:val="0"/>
        <w:bidi w:val="0"/>
        <w:spacing w:before="0" w:after="0" w:line="360" w:lineRule="exact"/>
        <w:ind w:firstLine="422" w:firstLineChars="200"/>
        <w:jc w:val="left"/>
        <w:rPr>
          <w:rFonts w:hint="eastAsia" w:ascii="宋体" w:hAnsi="宋体" w:eastAsia="宋体" w:cs="宋体"/>
          <w:sz w:val="21"/>
          <w:szCs w:val="21"/>
        </w:rPr>
      </w:pPr>
      <w:bookmarkStart w:id="743" w:name="_Toc256000123"/>
      <w:bookmarkStart w:id="744" w:name="_Toc497839247"/>
      <w:bookmarkStart w:id="745" w:name="_Toc419045113"/>
      <w:bookmarkStart w:id="746" w:name="_Toc256000205"/>
      <w:bookmarkStart w:id="747" w:name="_Toc13624"/>
      <w:bookmarkStart w:id="748" w:name="_Toc422322537"/>
      <w:bookmarkStart w:id="749" w:name="_Toc24251"/>
      <w:bookmarkStart w:id="750" w:name="_Toc497839356"/>
      <w:r>
        <w:rPr>
          <w:rFonts w:hint="eastAsia" w:ascii="宋体" w:hAnsi="宋体" w:eastAsia="宋体" w:cs="宋体"/>
          <w:sz w:val="21"/>
          <w:szCs w:val="21"/>
          <w:highlight w:val="white"/>
        </w:rPr>
        <w:t>4.违约责任</w:t>
      </w:r>
      <w:bookmarkEnd w:id="743"/>
      <w:bookmarkEnd w:id="744"/>
      <w:bookmarkEnd w:id="745"/>
      <w:bookmarkEnd w:id="746"/>
      <w:bookmarkEnd w:id="747"/>
      <w:bookmarkEnd w:id="748"/>
      <w:bookmarkEnd w:id="749"/>
      <w:bookmarkEnd w:id="750"/>
    </w:p>
    <w:p w14:paraId="2669A8A3">
      <w:pPr>
        <w:pStyle w:val="19"/>
        <w:pageBreakBefore w:val="0"/>
        <w:wordWrap w:val="0"/>
        <w:bidi w:val="0"/>
        <w:spacing w:before="60" w:line="360" w:lineRule="exact"/>
        <w:ind w:firstLine="422" w:firstLineChars="200"/>
        <w:jc w:val="left"/>
        <w:rPr>
          <w:rFonts w:hint="eastAsia" w:ascii="宋体" w:hAnsi="宋体" w:eastAsia="宋体" w:cs="宋体"/>
          <w:sz w:val="21"/>
          <w:szCs w:val="21"/>
        </w:rPr>
      </w:pPr>
      <w:bookmarkStart w:id="751" w:name="_Toc422322538"/>
      <w:bookmarkStart w:id="752" w:name="_Toc256000206"/>
      <w:bookmarkStart w:id="753" w:name="_Toc497839248"/>
      <w:bookmarkStart w:id="754" w:name="_Toc256000124"/>
      <w:r>
        <w:rPr>
          <w:rStyle w:val="58"/>
          <w:rFonts w:hint="eastAsia" w:ascii="宋体" w:hAnsi="宋体" w:eastAsia="宋体" w:cs="宋体"/>
          <w:b/>
          <w:bCs/>
          <w:sz w:val="21"/>
          <w:szCs w:val="21"/>
          <w:highlight w:val="white"/>
        </w:rPr>
        <w:t>4.1委托人的违约责任</w:t>
      </w:r>
      <w:bookmarkEnd w:id="751"/>
      <w:bookmarkEnd w:id="752"/>
      <w:bookmarkEnd w:id="753"/>
      <w:bookmarkEnd w:id="754"/>
    </w:p>
    <w:p w14:paraId="4F91519C">
      <w:pPr>
        <w:pStyle w:val="20"/>
        <w:pageBreakBefore w:val="0"/>
        <w:wordWrap w:val="0"/>
        <w:bidi w:val="0"/>
        <w:spacing w:after="200" w:line="360" w:lineRule="exact"/>
        <w:ind w:firstLine="480"/>
        <w:rPr>
          <w:rFonts w:hint="eastAsia" w:ascii="宋体" w:hAnsi="宋体" w:eastAsia="宋体" w:cs="宋体"/>
          <w:szCs w:val="21"/>
        </w:rPr>
      </w:pPr>
      <w:r>
        <w:rPr>
          <w:rFonts w:hint="eastAsia" w:ascii="宋体" w:hAnsi="宋体" w:eastAsia="宋体" w:cs="宋体"/>
          <w:szCs w:val="21"/>
          <w:highlight w:val="white"/>
        </w:rPr>
        <w:t>4.1.1委托人违约金的计算及支付方法：。</w:t>
      </w:r>
    </w:p>
    <w:p w14:paraId="1D11617E">
      <w:pPr>
        <w:pStyle w:val="20"/>
        <w:pageBreakBefore w:val="0"/>
        <w:wordWrap w:val="0"/>
        <w:bidi w:val="0"/>
        <w:spacing w:after="200" w:line="360" w:lineRule="exact"/>
        <w:ind w:firstLine="480"/>
        <w:rPr>
          <w:rFonts w:hint="eastAsia" w:ascii="宋体" w:hAnsi="宋体" w:eastAsia="宋体" w:cs="宋体"/>
          <w:szCs w:val="21"/>
        </w:rPr>
      </w:pPr>
      <w:r>
        <w:rPr>
          <w:rFonts w:hint="eastAsia" w:ascii="宋体" w:hAnsi="宋体" w:eastAsia="宋体" w:cs="宋体"/>
          <w:szCs w:val="21"/>
          <w:highlight w:val="white"/>
        </w:rPr>
        <w:t>4.1.2委托人赔偿金额按下列方法确定并支付：_____________________。</w:t>
      </w:r>
    </w:p>
    <w:p w14:paraId="4FA7C4EF">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4.1.3委托人逾期付款利息按下列方法计算并支付：_________________。</w:t>
      </w:r>
    </w:p>
    <w:p w14:paraId="1B46658F">
      <w:pPr>
        <w:pStyle w:val="19"/>
        <w:pageBreakBefore w:val="0"/>
        <w:wordWrap w:val="0"/>
        <w:bidi w:val="0"/>
        <w:spacing w:before="60" w:line="360" w:lineRule="exact"/>
        <w:ind w:firstLine="420" w:firstLineChars="200"/>
        <w:jc w:val="left"/>
        <w:rPr>
          <w:rFonts w:hint="eastAsia" w:ascii="宋体" w:hAnsi="宋体" w:eastAsia="宋体" w:cs="宋体"/>
          <w:b w:val="0"/>
          <w:sz w:val="21"/>
          <w:szCs w:val="21"/>
        </w:rPr>
      </w:pPr>
      <w:bookmarkStart w:id="755" w:name="_Toc497839249"/>
      <w:bookmarkStart w:id="756" w:name="_Toc422322539"/>
      <w:bookmarkStart w:id="757" w:name="_Toc256000125"/>
      <w:bookmarkStart w:id="758" w:name="_Toc256000207"/>
      <w:bookmarkStart w:id="759" w:name="_Toc419045114"/>
      <w:r>
        <w:rPr>
          <w:rFonts w:hint="eastAsia" w:ascii="宋体" w:hAnsi="宋体" w:eastAsia="宋体" w:cs="宋体"/>
          <w:b w:val="0"/>
          <w:sz w:val="21"/>
          <w:szCs w:val="21"/>
          <w:highlight w:val="white"/>
        </w:rPr>
        <w:t>4.2咨询人的违约责任</w:t>
      </w:r>
      <w:bookmarkEnd w:id="755"/>
      <w:bookmarkEnd w:id="756"/>
      <w:bookmarkEnd w:id="757"/>
      <w:bookmarkEnd w:id="758"/>
    </w:p>
    <w:bookmarkEnd w:id="759"/>
    <w:p w14:paraId="0E963B64">
      <w:pPr>
        <w:pStyle w:val="20"/>
        <w:pageBreakBefore w:val="0"/>
        <w:wordWrap w:val="0"/>
        <w:bidi w:val="0"/>
        <w:spacing w:after="200" w:line="360" w:lineRule="exact"/>
        <w:ind w:firstLine="480"/>
        <w:rPr>
          <w:rFonts w:hint="eastAsia" w:ascii="宋体" w:hAnsi="宋体" w:eastAsia="宋体" w:cs="宋体"/>
          <w:szCs w:val="21"/>
        </w:rPr>
      </w:pPr>
      <w:r>
        <w:rPr>
          <w:rFonts w:hint="eastAsia" w:ascii="宋体" w:hAnsi="宋体" w:eastAsia="宋体" w:cs="宋体"/>
          <w:szCs w:val="21"/>
          <w:highlight w:val="white"/>
        </w:rPr>
        <w:t>4.2.1咨询人违约金的计算及支付方法：</w:t>
      </w:r>
      <w:r>
        <w:rPr>
          <w:rFonts w:hint="eastAsia" w:ascii="宋体" w:hAnsi="宋体" w:eastAsia="宋体" w:cs="宋体"/>
          <w:szCs w:val="21"/>
          <w:highlight w:val="white"/>
          <w:u w:val="single"/>
          <w:lang w:val="en-US" w:eastAsia="zh-CN"/>
        </w:rPr>
        <w:t>（1）若咨询人逾期提交任何一项工作成果（包含因工作成果不符合要求整改而逾期的），逾期一日，向委托人支付咨询费总价千分之的违约金；累计逾期超过日，委托人有权解除合同；（2）咨询人违反合同或招投标文件约定的其他义务的，每违反一次/项，应向委托人支付万元违约金，累计违反次/项的，委托人有权解除合同；（3）本合同签订后，因咨询人原因导致合同解除的，咨询人应退还委托人已经支付的价款，并向委托人支付合同总价10%的违约金</w:t>
      </w:r>
      <w:r>
        <w:rPr>
          <w:rFonts w:hint="eastAsia" w:ascii="宋体" w:hAnsi="宋体" w:eastAsia="宋体" w:cs="宋体"/>
          <w:szCs w:val="21"/>
          <w:highlight w:val="white"/>
        </w:rPr>
        <w:t>。</w:t>
      </w:r>
    </w:p>
    <w:p w14:paraId="6CEF9DD7">
      <w:pPr>
        <w:pStyle w:val="20"/>
        <w:pageBreakBefore w:val="0"/>
        <w:wordWrap w:val="0"/>
        <w:bidi w:val="0"/>
        <w:spacing w:after="200" w:line="360" w:lineRule="exact"/>
        <w:ind w:firstLine="480"/>
        <w:rPr>
          <w:rFonts w:hint="eastAsia" w:ascii="宋体" w:hAnsi="宋体" w:eastAsia="宋体" w:cs="宋体"/>
          <w:szCs w:val="21"/>
        </w:rPr>
      </w:pPr>
      <w:r>
        <w:rPr>
          <w:rFonts w:hint="eastAsia" w:ascii="宋体" w:hAnsi="宋体" w:eastAsia="宋体" w:cs="宋体"/>
          <w:szCs w:val="21"/>
          <w:highlight w:val="white"/>
        </w:rPr>
        <w:t>4.2.2咨询人赔偿金额按下列方法确定并支付：</w:t>
      </w:r>
      <w:r>
        <w:rPr>
          <w:rFonts w:hint="eastAsia" w:ascii="宋体" w:hAnsi="宋体" w:eastAsia="宋体" w:cs="宋体"/>
          <w:i w:val="0"/>
          <w:iCs w:val="0"/>
          <w:szCs w:val="21"/>
          <w:highlight w:val="white"/>
          <w:u w:val="single"/>
        </w:rPr>
        <w:t>赔偿金额=委托人遭受的一切直接及间接损失</w:t>
      </w:r>
      <w:r>
        <w:rPr>
          <w:rFonts w:hint="eastAsia" w:ascii="宋体" w:hAnsi="宋体" w:eastAsia="宋体" w:cs="宋体"/>
          <w:szCs w:val="21"/>
          <w:highlight w:val="white"/>
        </w:rPr>
        <w:t>。</w:t>
      </w:r>
    </w:p>
    <w:p w14:paraId="31ADADE3">
      <w:pPr>
        <w:pStyle w:val="57"/>
        <w:pageBreakBefore w:val="0"/>
        <w:wordWrap w:val="0"/>
        <w:bidi w:val="0"/>
        <w:spacing w:before="0" w:after="0" w:line="360" w:lineRule="exact"/>
        <w:ind w:firstLine="422" w:firstLineChars="200"/>
        <w:jc w:val="left"/>
        <w:rPr>
          <w:rFonts w:hint="eastAsia" w:ascii="宋体" w:hAnsi="宋体" w:eastAsia="宋体" w:cs="宋体"/>
          <w:sz w:val="21"/>
          <w:szCs w:val="21"/>
        </w:rPr>
      </w:pPr>
      <w:bookmarkStart w:id="760" w:name="_Toc822"/>
      <w:bookmarkStart w:id="761" w:name="_Toc23588"/>
      <w:bookmarkStart w:id="762" w:name="_Toc497839357"/>
      <w:bookmarkStart w:id="763" w:name="_Toc256000208"/>
      <w:bookmarkStart w:id="764" w:name="_Toc497839250"/>
      <w:bookmarkStart w:id="765" w:name="_Toc419045115"/>
      <w:bookmarkStart w:id="766" w:name="_Toc422322540"/>
      <w:bookmarkStart w:id="767" w:name="_Toc256000126"/>
      <w:r>
        <w:rPr>
          <w:rFonts w:hint="eastAsia" w:ascii="宋体" w:hAnsi="宋体" w:eastAsia="宋体" w:cs="宋体"/>
          <w:sz w:val="21"/>
          <w:szCs w:val="21"/>
          <w:highlight w:val="white"/>
        </w:rPr>
        <w:t>5.支付</w:t>
      </w:r>
      <w:bookmarkEnd w:id="760"/>
      <w:bookmarkEnd w:id="761"/>
      <w:bookmarkEnd w:id="762"/>
      <w:bookmarkEnd w:id="763"/>
      <w:bookmarkEnd w:id="764"/>
      <w:bookmarkEnd w:id="765"/>
      <w:bookmarkEnd w:id="766"/>
      <w:bookmarkEnd w:id="767"/>
    </w:p>
    <w:p w14:paraId="6C7BD18F">
      <w:pPr>
        <w:pStyle w:val="20"/>
        <w:pageBreakBefore w:val="0"/>
        <w:wordWrap w:val="0"/>
        <w:bidi w:val="0"/>
        <w:spacing w:after="200" w:line="360" w:lineRule="exact"/>
        <w:ind w:firstLine="420" w:firstLineChars="200"/>
        <w:rPr>
          <w:rStyle w:val="58"/>
          <w:rFonts w:hint="eastAsia" w:ascii="宋体" w:hAnsi="宋体" w:eastAsia="宋体" w:cs="宋体"/>
          <w:b w:val="0"/>
          <w:sz w:val="21"/>
          <w:szCs w:val="21"/>
        </w:rPr>
      </w:pPr>
      <w:bookmarkStart w:id="768" w:name="_Toc497839251"/>
      <w:bookmarkStart w:id="769" w:name="_Toc422322541"/>
      <w:bookmarkStart w:id="770" w:name="_Toc256000127"/>
      <w:bookmarkStart w:id="771" w:name="_Toc419045116"/>
      <w:bookmarkStart w:id="772" w:name="_Toc256000209"/>
      <w:r>
        <w:rPr>
          <w:rStyle w:val="58"/>
          <w:rFonts w:hint="eastAsia" w:ascii="宋体" w:hAnsi="宋体" w:eastAsia="宋体" w:cs="宋体"/>
          <w:b w:val="0"/>
          <w:sz w:val="21"/>
          <w:szCs w:val="21"/>
          <w:highlight w:val="white"/>
        </w:rPr>
        <w:t>5.1支付货币</w:t>
      </w:r>
      <w:bookmarkEnd w:id="768"/>
      <w:bookmarkEnd w:id="769"/>
      <w:bookmarkEnd w:id="770"/>
      <w:bookmarkEnd w:id="771"/>
      <w:bookmarkEnd w:id="772"/>
    </w:p>
    <w:p w14:paraId="1FE36CE2">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币种为：___________，汇率为：___________，其他约定：___________。</w:t>
      </w:r>
    </w:p>
    <w:p w14:paraId="08300E63">
      <w:pPr>
        <w:pStyle w:val="20"/>
        <w:pageBreakBefore w:val="0"/>
        <w:wordWrap w:val="0"/>
        <w:bidi w:val="0"/>
        <w:spacing w:after="200" w:line="360" w:lineRule="exact"/>
        <w:ind w:firstLine="420" w:firstLineChars="200"/>
        <w:rPr>
          <w:rStyle w:val="58"/>
          <w:rFonts w:hint="eastAsia" w:ascii="宋体" w:hAnsi="宋体" w:eastAsia="宋体" w:cs="宋体"/>
          <w:b w:val="0"/>
          <w:sz w:val="21"/>
          <w:szCs w:val="21"/>
        </w:rPr>
      </w:pPr>
      <w:bookmarkStart w:id="773" w:name="_Toc497839252"/>
      <w:bookmarkStart w:id="774" w:name="_Toc256000210"/>
      <w:bookmarkStart w:id="775" w:name="_Toc422322542"/>
      <w:bookmarkStart w:id="776" w:name="_Toc256000128"/>
      <w:bookmarkStart w:id="777" w:name="_Toc419045117"/>
      <w:r>
        <w:rPr>
          <w:rStyle w:val="58"/>
          <w:rFonts w:hint="eastAsia" w:ascii="宋体" w:hAnsi="宋体" w:eastAsia="宋体" w:cs="宋体"/>
          <w:b w:val="0"/>
          <w:sz w:val="21"/>
          <w:szCs w:val="21"/>
          <w:highlight w:val="white"/>
        </w:rPr>
        <w:t>5.2支付申请</w:t>
      </w:r>
      <w:bookmarkEnd w:id="773"/>
      <w:bookmarkEnd w:id="774"/>
      <w:bookmarkEnd w:id="775"/>
      <w:bookmarkEnd w:id="776"/>
      <w:bookmarkEnd w:id="777"/>
    </w:p>
    <w:p w14:paraId="606D343F">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咨询人应在本合同约定的每次应付款日期_____日前，向委托人提交支付申请书。</w:t>
      </w:r>
    </w:p>
    <w:p w14:paraId="51416B4A">
      <w:pPr>
        <w:pStyle w:val="20"/>
        <w:pageBreakBefore w:val="0"/>
        <w:wordWrap w:val="0"/>
        <w:bidi w:val="0"/>
        <w:spacing w:after="200" w:line="360" w:lineRule="exact"/>
        <w:ind w:firstLine="420" w:firstLineChars="200"/>
        <w:rPr>
          <w:rStyle w:val="58"/>
          <w:rFonts w:hint="eastAsia" w:ascii="宋体" w:hAnsi="宋体" w:eastAsia="宋体" w:cs="宋体"/>
          <w:b w:val="0"/>
          <w:sz w:val="21"/>
          <w:szCs w:val="21"/>
        </w:rPr>
      </w:pPr>
      <w:bookmarkStart w:id="778" w:name="_Toc422322543"/>
      <w:bookmarkStart w:id="779" w:name="_Toc497839253"/>
      <w:bookmarkStart w:id="780" w:name="_Toc419045118"/>
      <w:bookmarkStart w:id="781" w:name="_Toc256000211"/>
      <w:bookmarkStart w:id="782" w:name="_Toc256000129"/>
      <w:r>
        <w:rPr>
          <w:rStyle w:val="58"/>
          <w:rFonts w:hint="eastAsia" w:ascii="宋体" w:hAnsi="宋体" w:eastAsia="宋体" w:cs="宋体"/>
          <w:b w:val="0"/>
          <w:sz w:val="21"/>
          <w:szCs w:val="21"/>
          <w:highlight w:val="white"/>
        </w:rPr>
        <w:t>5.3支付酬金</w:t>
      </w:r>
      <w:bookmarkEnd w:id="778"/>
      <w:bookmarkEnd w:id="779"/>
      <w:bookmarkEnd w:id="780"/>
      <w:bookmarkEnd w:id="781"/>
      <w:bookmarkEnd w:id="782"/>
    </w:p>
    <w:p w14:paraId="1A661A8A">
      <w:pPr>
        <w:pStyle w:val="20"/>
        <w:pageBreakBefore w:val="0"/>
        <w:wordWrap w:val="0"/>
        <w:bidi w:val="0"/>
        <w:spacing w:after="200" w:line="360" w:lineRule="exact"/>
        <w:ind w:firstLine="420" w:firstLineChars="200"/>
        <w:rPr>
          <w:rFonts w:hint="eastAsia" w:ascii="宋体" w:hAnsi="宋体" w:eastAsia="宋体" w:cs="宋体"/>
          <w:szCs w:val="21"/>
          <w:highlight w:val="white"/>
          <w:lang w:val="en-US" w:eastAsia="zh-CN"/>
        </w:rPr>
      </w:pPr>
      <w:r>
        <w:rPr>
          <w:rFonts w:hint="eastAsia" w:ascii="宋体" w:hAnsi="宋体" w:eastAsia="宋体" w:cs="宋体"/>
          <w:szCs w:val="21"/>
          <w:highlight w:val="white"/>
        </w:rPr>
        <w:t>正常工作酬金的支付：</w:t>
      </w:r>
      <w:r>
        <w:rPr>
          <w:rFonts w:hint="eastAsia" w:ascii="宋体" w:hAnsi="宋体" w:eastAsia="宋体" w:cs="宋体"/>
          <w:szCs w:val="21"/>
          <w:highlight w:val="white"/>
          <w:lang w:val="en-US" w:eastAsia="zh-CN"/>
        </w:rPr>
        <w:t>按项目进度支付</w:t>
      </w:r>
    </w:p>
    <w:tbl>
      <w:tblPr>
        <w:tblStyle w:val="28"/>
        <w:tblpPr w:leftFromText="180" w:rightFromText="180" w:vertAnchor="text" w:horzAnchor="page" w:tblpX="1873" w:tblpY="78"/>
        <w:tblOverlap w:val="never"/>
        <w:tblW w:w="0" w:type="auto"/>
        <w:tblInd w:w="0" w:type="dxa"/>
        <w:tblLayout w:type="fixed"/>
        <w:tblCellMar>
          <w:top w:w="0" w:type="dxa"/>
          <w:left w:w="0" w:type="dxa"/>
          <w:bottom w:w="0" w:type="dxa"/>
          <w:right w:w="0" w:type="dxa"/>
        </w:tblCellMar>
      </w:tblPr>
      <w:tblGrid>
        <w:gridCol w:w="1345"/>
        <w:gridCol w:w="2235"/>
        <w:gridCol w:w="1462"/>
        <w:gridCol w:w="3096"/>
      </w:tblGrid>
      <w:tr w14:paraId="211AA1D5">
        <w:tblPrEx>
          <w:tblCellMar>
            <w:top w:w="0" w:type="dxa"/>
            <w:left w:w="0" w:type="dxa"/>
            <w:bottom w:w="0" w:type="dxa"/>
            <w:right w:w="0" w:type="dxa"/>
          </w:tblCellMar>
        </w:tblPrEx>
        <w:trPr>
          <w:trHeight w:val="90" w:hRule="atLeast"/>
        </w:trPr>
        <w:tc>
          <w:tcPr>
            <w:tcW w:w="1345" w:type="dxa"/>
            <w:tcBorders>
              <w:top w:val="inset" w:color="000000" w:sz="6" w:space="0"/>
              <w:left w:val="inset" w:color="000000" w:sz="6" w:space="0"/>
              <w:bottom w:val="inset" w:color="000000" w:sz="6" w:space="0"/>
              <w:right w:val="inset" w:color="000000" w:sz="6" w:space="0"/>
            </w:tcBorders>
            <w:noWrap w:val="0"/>
            <w:vAlign w:val="center"/>
          </w:tcPr>
          <w:p w14:paraId="2126A0AC">
            <w:pPr>
              <w:pageBreakBefore w:val="0"/>
              <w:tabs>
                <w:tab w:val="left" w:pos="1183"/>
              </w:tabs>
              <w:wordWrap w:val="0"/>
              <w:bidi w:val="0"/>
              <w:jc w:val="left"/>
              <w:rPr>
                <w:rFonts w:hint="eastAsia" w:ascii="宋体" w:hAnsi="宋体" w:eastAsia="宋体" w:cs="宋体"/>
                <w:szCs w:val="21"/>
                <w:highlight w:val="none"/>
              </w:rPr>
            </w:pPr>
            <w:r>
              <w:rPr>
                <w:rFonts w:hint="eastAsia" w:ascii="宋体" w:hAnsi="宋体" w:eastAsia="宋体" w:cs="宋体"/>
                <w:highlight w:val="none"/>
                <w:lang w:eastAsia="zh-CN"/>
              </w:rPr>
              <w:tab/>
            </w:r>
            <w:r>
              <w:rPr>
                <w:rFonts w:hint="eastAsia" w:ascii="宋体" w:hAnsi="宋体" w:eastAsia="宋体" w:cs="宋体"/>
                <w:szCs w:val="21"/>
                <w:highlight w:val="none"/>
              </w:rPr>
              <w:t>支付次数</w:t>
            </w:r>
          </w:p>
        </w:tc>
        <w:tc>
          <w:tcPr>
            <w:tcW w:w="2235" w:type="dxa"/>
            <w:tcBorders>
              <w:top w:val="inset" w:color="000000" w:sz="6" w:space="0"/>
              <w:left w:val="single" w:color="auto" w:sz="0" w:space="0"/>
              <w:bottom w:val="inset" w:color="000000" w:sz="6" w:space="0"/>
              <w:right w:val="inset" w:color="000000" w:sz="6" w:space="0"/>
            </w:tcBorders>
            <w:noWrap w:val="0"/>
            <w:vAlign w:val="center"/>
          </w:tcPr>
          <w:p w14:paraId="6703C53A">
            <w:pPr>
              <w:pStyle w:val="20"/>
              <w:pageBreakBefore w:val="0"/>
              <w:wordWrap w:val="0"/>
              <w:bidi w:val="0"/>
              <w:spacing w:after="200"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支付时间</w:t>
            </w:r>
          </w:p>
        </w:tc>
        <w:tc>
          <w:tcPr>
            <w:tcW w:w="1462" w:type="dxa"/>
            <w:tcBorders>
              <w:top w:val="inset" w:color="000000" w:sz="6" w:space="0"/>
              <w:left w:val="single" w:color="auto" w:sz="0" w:space="0"/>
              <w:bottom w:val="inset" w:color="000000" w:sz="6" w:space="0"/>
              <w:right w:val="inset" w:color="000000" w:sz="6" w:space="0"/>
            </w:tcBorders>
            <w:noWrap w:val="0"/>
            <w:vAlign w:val="center"/>
          </w:tcPr>
          <w:p w14:paraId="68572891">
            <w:pPr>
              <w:pStyle w:val="20"/>
              <w:pageBreakBefore w:val="0"/>
              <w:wordWrap w:val="0"/>
              <w:bidi w:val="0"/>
              <w:spacing w:after="200"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支付比例</w:t>
            </w:r>
          </w:p>
        </w:tc>
        <w:tc>
          <w:tcPr>
            <w:tcW w:w="3096" w:type="dxa"/>
            <w:tcBorders>
              <w:top w:val="inset" w:color="000000" w:sz="6" w:space="0"/>
              <w:left w:val="single" w:color="auto" w:sz="0" w:space="0"/>
              <w:bottom w:val="inset" w:color="000000" w:sz="6" w:space="0"/>
              <w:right w:val="inset" w:color="000000" w:sz="6" w:space="0"/>
            </w:tcBorders>
            <w:noWrap w:val="0"/>
            <w:vAlign w:val="center"/>
          </w:tcPr>
          <w:p w14:paraId="0934EAEE">
            <w:pPr>
              <w:pStyle w:val="20"/>
              <w:pageBreakBefore w:val="0"/>
              <w:wordWrap w:val="0"/>
              <w:bidi w:val="0"/>
              <w:spacing w:after="200" w:line="360" w:lineRule="exac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支付金额（万元）</w:t>
            </w:r>
            <w:r>
              <w:rPr>
                <w:rFonts w:hint="eastAsia" w:ascii="宋体" w:hAnsi="宋体" w:eastAsia="宋体" w:cs="宋体"/>
                <w:szCs w:val="21"/>
                <w:highlight w:val="none"/>
                <w:lang w:val="en-US" w:eastAsia="zh-CN"/>
              </w:rPr>
              <w:t>或%</w:t>
            </w:r>
          </w:p>
        </w:tc>
      </w:tr>
      <w:tr w14:paraId="5614CDBC">
        <w:tblPrEx>
          <w:tblCellMar>
            <w:top w:w="0" w:type="dxa"/>
            <w:left w:w="0" w:type="dxa"/>
            <w:bottom w:w="0" w:type="dxa"/>
            <w:right w:w="0" w:type="dxa"/>
          </w:tblCellMar>
        </w:tblPrEx>
        <w:trPr>
          <w:trHeight w:val="90" w:hRule="atLeast"/>
        </w:trPr>
        <w:tc>
          <w:tcPr>
            <w:tcW w:w="1345" w:type="dxa"/>
            <w:tcBorders>
              <w:top w:val="inset" w:color="000000" w:sz="6" w:space="0"/>
              <w:left w:val="inset" w:color="000000" w:sz="6" w:space="0"/>
              <w:bottom w:val="inset" w:color="000000" w:sz="6" w:space="0"/>
              <w:right w:val="inset" w:color="000000" w:sz="6" w:space="0"/>
            </w:tcBorders>
            <w:noWrap w:val="0"/>
            <w:vAlign w:val="center"/>
          </w:tcPr>
          <w:p w14:paraId="46FD76E0">
            <w:pPr>
              <w:pStyle w:val="20"/>
              <w:pageBreakBefore w:val="0"/>
              <w:wordWrap w:val="0"/>
              <w:bidi w:val="0"/>
              <w:spacing w:after="200"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2235" w:type="dxa"/>
            <w:tcBorders>
              <w:top w:val="inset" w:color="000000" w:sz="6" w:space="0"/>
              <w:left w:val="single" w:color="auto" w:sz="0" w:space="0"/>
              <w:bottom w:val="inset" w:color="000000" w:sz="6" w:space="0"/>
              <w:right w:val="inset" w:color="000000" w:sz="6" w:space="0"/>
            </w:tcBorders>
            <w:noWrap w:val="0"/>
            <w:vAlign w:val="center"/>
          </w:tcPr>
          <w:p w14:paraId="46469C50">
            <w:pPr>
              <w:pStyle w:val="20"/>
              <w:pageBreakBefore w:val="0"/>
              <w:wordWrap w:val="0"/>
              <w:bidi w:val="0"/>
              <w:spacing w:after="200"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施工图预算完成后</w:t>
            </w:r>
          </w:p>
        </w:tc>
        <w:tc>
          <w:tcPr>
            <w:tcW w:w="1462" w:type="dxa"/>
            <w:tcBorders>
              <w:top w:val="inset" w:color="000000" w:sz="6" w:space="0"/>
              <w:left w:val="single" w:color="auto" w:sz="0" w:space="0"/>
              <w:bottom w:val="inset" w:color="000000" w:sz="6" w:space="0"/>
              <w:right w:val="inset" w:color="000000" w:sz="6" w:space="0"/>
            </w:tcBorders>
            <w:noWrap w:val="0"/>
            <w:vAlign w:val="center"/>
          </w:tcPr>
          <w:p w14:paraId="1989C80D">
            <w:pPr>
              <w:pStyle w:val="20"/>
              <w:pageBreakBefore w:val="0"/>
              <w:wordWrap w:val="0"/>
              <w:bidi w:val="0"/>
              <w:spacing w:after="200" w:line="360" w:lineRule="exact"/>
              <w:jc w:val="center"/>
              <w:rPr>
                <w:rFonts w:hint="eastAsia" w:ascii="宋体" w:hAnsi="宋体" w:eastAsia="宋体" w:cs="宋体"/>
                <w:szCs w:val="21"/>
                <w:highlight w:val="none"/>
                <w:lang w:val="en-US" w:eastAsia="zh-CN"/>
              </w:rPr>
            </w:pPr>
          </w:p>
        </w:tc>
        <w:tc>
          <w:tcPr>
            <w:tcW w:w="3096" w:type="dxa"/>
            <w:tcBorders>
              <w:top w:val="inset" w:color="000000" w:sz="6" w:space="0"/>
              <w:left w:val="single" w:color="auto" w:sz="0" w:space="0"/>
              <w:bottom w:val="inset" w:color="000000" w:sz="6" w:space="0"/>
              <w:right w:val="inset" w:color="000000" w:sz="6" w:space="0"/>
            </w:tcBorders>
            <w:noWrap w:val="0"/>
            <w:vAlign w:val="center"/>
          </w:tcPr>
          <w:p w14:paraId="785B8C75">
            <w:pPr>
              <w:pStyle w:val="20"/>
              <w:pageBreakBefore w:val="0"/>
              <w:wordWrap w:val="0"/>
              <w:bidi w:val="0"/>
              <w:spacing w:after="200" w:line="360" w:lineRule="exact"/>
              <w:jc w:val="center"/>
              <w:rPr>
                <w:rFonts w:hint="eastAsia" w:ascii="宋体" w:hAnsi="宋体" w:eastAsia="宋体" w:cs="宋体"/>
                <w:szCs w:val="21"/>
                <w:highlight w:val="none"/>
              </w:rPr>
            </w:pPr>
          </w:p>
        </w:tc>
      </w:tr>
      <w:tr w14:paraId="415779EB">
        <w:tblPrEx>
          <w:tblCellMar>
            <w:top w:w="0" w:type="dxa"/>
            <w:left w:w="0" w:type="dxa"/>
            <w:bottom w:w="0" w:type="dxa"/>
            <w:right w:w="0" w:type="dxa"/>
          </w:tblCellMar>
        </w:tblPrEx>
        <w:trPr>
          <w:trHeight w:val="90" w:hRule="atLeast"/>
        </w:trPr>
        <w:tc>
          <w:tcPr>
            <w:tcW w:w="1345" w:type="dxa"/>
            <w:tcBorders>
              <w:top w:val="inset" w:color="000000" w:sz="6" w:space="0"/>
              <w:left w:val="inset" w:color="000000" w:sz="6" w:space="0"/>
              <w:bottom w:val="inset" w:color="000000" w:sz="6" w:space="0"/>
              <w:right w:val="inset" w:color="000000" w:sz="6" w:space="0"/>
            </w:tcBorders>
            <w:noWrap w:val="0"/>
            <w:vAlign w:val="center"/>
          </w:tcPr>
          <w:p w14:paraId="1CE1A35B">
            <w:pPr>
              <w:pStyle w:val="20"/>
              <w:pageBreakBefore w:val="0"/>
              <w:wordWrap w:val="0"/>
              <w:bidi w:val="0"/>
              <w:spacing w:after="200"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2235" w:type="dxa"/>
            <w:tcBorders>
              <w:top w:val="inset" w:color="000000" w:sz="6" w:space="0"/>
              <w:left w:val="single" w:color="auto" w:sz="0" w:space="0"/>
              <w:bottom w:val="inset" w:color="000000" w:sz="6" w:space="0"/>
              <w:right w:val="inset" w:color="000000" w:sz="6" w:space="0"/>
            </w:tcBorders>
            <w:noWrap w:val="0"/>
            <w:vAlign w:val="center"/>
          </w:tcPr>
          <w:p w14:paraId="4F225948">
            <w:pPr>
              <w:pStyle w:val="20"/>
              <w:pageBreakBefore w:val="0"/>
              <w:wordWrap w:val="0"/>
              <w:bidi w:val="0"/>
              <w:spacing w:after="200"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主体验收后7日内</w:t>
            </w:r>
          </w:p>
        </w:tc>
        <w:tc>
          <w:tcPr>
            <w:tcW w:w="1462" w:type="dxa"/>
            <w:tcBorders>
              <w:top w:val="inset" w:color="000000" w:sz="6" w:space="0"/>
              <w:left w:val="single" w:color="auto" w:sz="0" w:space="0"/>
              <w:bottom w:val="inset" w:color="000000" w:sz="6" w:space="0"/>
              <w:right w:val="inset" w:color="000000" w:sz="6" w:space="0"/>
            </w:tcBorders>
            <w:noWrap w:val="0"/>
            <w:vAlign w:val="center"/>
          </w:tcPr>
          <w:p w14:paraId="0883C9E6">
            <w:pPr>
              <w:pStyle w:val="20"/>
              <w:pageBreakBefore w:val="0"/>
              <w:wordWrap w:val="0"/>
              <w:bidi w:val="0"/>
              <w:spacing w:after="200" w:line="360" w:lineRule="exact"/>
              <w:jc w:val="center"/>
              <w:rPr>
                <w:rFonts w:hint="eastAsia" w:ascii="宋体" w:hAnsi="宋体" w:eastAsia="宋体" w:cs="宋体"/>
                <w:szCs w:val="21"/>
                <w:highlight w:val="none"/>
                <w:lang w:val="en-US" w:eastAsia="zh-CN"/>
              </w:rPr>
            </w:pPr>
          </w:p>
        </w:tc>
        <w:tc>
          <w:tcPr>
            <w:tcW w:w="3096" w:type="dxa"/>
            <w:tcBorders>
              <w:top w:val="inset" w:color="000000" w:sz="6" w:space="0"/>
              <w:left w:val="single" w:color="auto" w:sz="0" w:space="0"/>
              <w:bottom w:val="inset" w:color="000000" w:sz="6" w:space="0"/>
              <w:right w:val="inset" w:color="000000" w:sz="6" w:space="0"/>
            </w:tcBorders>
            <w:noWrap w:val="0"/>
            <w:vAlign w:val="center"/>
          </w:tcPr>
          <w:p w14:paraId="2717CD4E">
            <w:pPr>
              <w:pStyle w:val="20"/>
              <w:pageBreakBefore w:val="0"/>
              <w:wordWrap w:val="0"/>
              <w:bidi w:val="0"/>
              <w:spacing w:after="200" w:line="360" w:lineRule="exact"/>
              <w:jc w:val="center"/>
              <w:rPr>
                <w:rFonts w:hint="eastAsia" w:ascii="宋体" w:hAnsi="宋体" w:eastAsia="宋体" w:cs="宋体"/>
                <w:szCs w:val="21"/>
                <w:highlight w:val="none"/>
              </w:rPr>
            </w:pPr>
          </w:p>
        </w:tc>
      </w:tr>
      <w:tr w14:paraId="72410155">
        <w:tblPrEx>
          <w:tblCellMar>
            <w:top w:w="0" w:type="dxa"/>
            <w:left w:w="0" w:type="dxa"/>
            <w:bottom w:w="0" w:type="dxa"/>
            <w:right w:w="0" w:type="dxa"/>
          </w:tblCellMar>
        </w:tblPrEx>
        <w:trPr>
          <w:trHeight w:val="90" w:hRule="atLeast"/>
        </w:trPr>
        <w:tc>
          <w:tcPr>
            <w:tcW w:w="1345" w:type="dxa"/>
            <w:tcBorders>
              <w:top w:val="inset" w:color="000000" w:sz="6" w:space="0"/>
              <w:left w:val="inset" w:color="000000" w:sz="6" w:space="0"/>
              <w:bottom w:val="inset" w:color="000000" w:sz="6" w:space="0"/>
              <w:right w:val="inset" w:color="000000" w:sz="6" w:space="0"/>
            </w:tcBorders>
            <w:noWrap w:val="0"/>
            <w:vAlign w:val="center"/>
          </w:tcPr>
          <w:p w14:paraId="2679678C">
            <w:pPr>
              <w:pStyle w:val="20"/>
              <w:pageBreakBefore w:val="0"/>
              <w:wordWrap w:val="0"/>
              <w:bidi w:val="0"/>
              <w:spacing w:after="200"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2235" w:type="dxa"/>
            <w:tcBorders>
              <w:top w:val="inset" w:color="000000" w:sz="6" w:space="0"/>
              <w:left w:val="single" w:color="auto" w:sz="0" w:space="0"/>
              <w:bottom w:val="inset" w:color="000000" w:sz="6" w:space="0"/>
              <w:right w:val="inset" w:color="000000" w:sz="6" w:space="0"/>
            </w:tcBorders>
            <w:noWrap w:val="0"/>
            <w:vAlign w:val="center"/>
          </w:tcPr>
          <w:p w14:paraId="108247D1">
            <w:pPr>
              <w:pStyle w:val="20"/>
              <w:pageBreakBefore w:val="0"/>
              <w:wordWrap w:val="0"/>
              <w:bidi w:val="0"/>
              <w:spacing w:after="200"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竣工验收合格后7日内</w:t>
            </w:r>
          </w:p>
        </w:tc>
        <w:tc>
          <w:tcPr>
            <w:tcW w:w="1462" w:type="dxa"/>
            <w:tcBorders>
              <w:top w:val="inset" w:color="000000" w:sz="6" w:space="0"/>
              <w:left w:val="single" w:color="auto" w:sz="0" w:space="0"/>
              <w:bottom w:val="inset" w:color="000000" w:sz="6" w:space="0"/>
              <w:right w:val="inset" w:color="000000" w:sz="6" w:space="0"/>
            </w:tcBorders>
            <w:noWrap w:val="0"/>
            <w:vAlign w:val="center"/>
          </w:tcPr>
          <w:p w14:paraId="1D3319DD">
            <w:pPr>
              <w:pStyle w:val="20"/>
              <w:pageBreakBefore w:val="0"/>
              <w:wordWrap w:val="0"/>
              <w:bidi w:val="0"/>
              <w:spacing w:after="200" w:line="360" w:lineRule="exact"/>
              <w:jc w:val="center"/>
              <w:rPr>
                <w:rFonts w:hint="eastAsia" w:ascii="宋体" w:hAnsi="宋体" w:eastAsia="宋体" w:cs="宋体"/>
                <w:szCs w:val="21"/>
                <w:highlight w:val="none"/>
                <w:lang w:val="en-US" w:eastAsia="zh-CN"/>
              </w:rPr>
            </w:pPr>
          </w:p>
        </w:tc>
        <w:tc>
          <w:tcPr>
            <w:tcW w:w="3096" w:type="dxa"/>
            <w:tcBorders>
              <w:top w:val="inset" w:color="000000" w:sz="6" w:space="0"/>
              <w:left w:val="single" w:color="auto" w:sz="0" w:space="0"/>
              <w:bottom w:val="inset" w:color="000000" w:sz="6" w:space="0"/>
              <w:right w:val="inset" w:color="000000" w:sz="6" w:space="0"/>
            </w:tcBorders>
            <w:noWrap w:val="0"/>
            <w:vAlign w:val="center"/>
          </w:tcPr>
          <w:p w14:paraId="35B1529D">
            <w:pPr>
              <w:pStyle w:val="20"/>
              <w:pageBreakBefore w:val="0"/>
              <w:wordWrap w:val="0"/>
              <w:bidi w:val="0"/>
              <w:spacing w:after="200" w:line="360" w:lineRule="exact"/>
              <w:jc w:val="center"/>
              <w:rPr>
                <w:rFonts w:hint="eastAsia" w:ascii="宋体" w:hAnsi="宋体" w:eastAsia="宋体" w:cs="宋体"/>
                <w:szCs w:val="21"/>
                <w:highlight w:val="none"/>
              </w:rPr>
            </w:pPr>
          </w:p>
        </w:tc>
      </w:tr>
      <w:tr w14:paraId="40E7E777">
        <w:tblPrEx>
          <w:tblCellMar>
            <w:top w:w="0" w:type="dxa"/>
            <w:left w:w="0" w:type="dxa"/>
            <w:bottom w:w="0" w:type="dxa"/>
            <w:right w:w="0" w:type="dxa"/>
          </w:tblCellMar>
        </w:tblPrEx>
        <w:trPr>
          <w:trHeight w:val="90" w:hRule="atLeast"/>
        </w:trPr>
        <w:tc>
          <w:tcPr>
            <w:tcW w:w="1345" w:type="dxa"/>
            <w:tcBorders>
              <w:top w:val="inset" w:color="000000" w:sz="6" w:space="0"/>
              <w:left w:val="inset" w:color="000000" w:sz="6" w:space="0"/>
              <w:bottom w:val="inset" w:color="000000" w:sz="6" w:space="0"/>
              <w:right w:val="inset" w:color="000000" w:sz="6" w:space="0"/>
            </w:tcBorders>
            <w:noWrap w:val="0"/>
            <w:vAlign w:val="center"/>
          </w:tcPr>
          <w:p w14:paraId="69817ACF">
            <w:pPr>
              <w:pStyle w:val="20"/>
              <w:pageBreakBefore w:val="0"/>
              <w:wordWrap w:val="0"/>
              <w:bidi w:val="0"/>
              <w:spacing w:after="200"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2235" w:type="dxa"/>
            <w:tcBorders>
              <w:top w:val="inset" w:color="000000" w:sz="6" w:space="0"/>
              <w:left w:val="single" w:color="auto" w:sz="0" w:space="0"/>
              <w:bottom w:val="inset" w:color="000000" w:sz="6" w:space="0"/>
              <w:right w:val="inset" w:color="000000" w:sz="6" w:space="0"/>
            </w:tcBorders>
            <w:noWrap w:val="0"/>
            <w:vAlign w:val="center"/>
          </w:tcPr>
          <w:p w14:paraId="22C58A3C">
            <w:pPr>
              <w:pStyle w:val="20"/>
              <w:pageBreakBefore w:val="0"/>
              <w:wordWrap w:val="0"/>
              <w:bidi w:val="0"/>
              <w:spacing w:after="200"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提交结算报告成果7日内</w:t>
            </w:r>
          </w:p>
        </w:tc>
        <w:tc>
          <w:tcPr>
            <w:tcW w:w="1462" w:type="dxa"/>
            <w:tcBorders>
              <w:top w:val="inset" w:color="000000" w:sz="6" w:space="0"/>
              <w:left w:val="single" w:color="auto" w:sz="0" w:space="0"/>
              <w:bottom w:val="inset" w:color="000000" w:sz="6" w:space="0"/>
              <w:right w:val="inset" w:color="000000" w:sz="6" w:space="0"/>
            </w:tcBorders>
            <w:noWrap w:val="0"/>
            <w:vAlign w:val="center"/>
          </w:tcPr>
          <w:p w14:paraId="132DE906">
            <w:pPr>
              <w:pStyle w:val="20"/>
              <w:pageBreakBefore w:val="0"/>
              <w:wordWrap w:val="0"/>
              <w:bidi w:val="0"/>
              <w:spacing w:after="200" w:line="360" w:lineRule="exact"/>
              <w:jc w:val="center"/>
              <w:rPr>
                <w:rFonts w:hint="eastAsia" w:ascii="宋体" w:hAnsi="宋体" w:eastAsia="宋体" w:cs="宋体"/>
                <w:szCs w:val="21"/>
                <w:highlight w:val="none"/>
                <w:lang w:val="en-US" w:eastAsia="zh-CN"/>
              </w:rPr>
            </w:pPr>
          </w:p>
        </w:tc>
        <w:tc>
          <w:tcPr>
            <w:tcW w:w="3096" w:type="dxa"/>
            <w:tcBorders>
              <w:top w:val="inset" w:color="000000" w:sz="6" w:space="0"/>
              <w:left w:val="single" w:color="auto" w:sz="0" w:space="0"/>
              <w:bottom w:val="inset" w:color="000000" w:sz="6" w:space="0"/>
              <w:right w:val="inset" w:color="000000" w:sz="6" w:space="0"/>
            </w:tcBorders>
            <w:noWrap w:val="0"/>
            <w:vAlign w:val="center"/>
          </w:tcPr>
          <w:p w14:paraId="047C5912">
            <w:pPr>
              <w:pStyle w:val="20"/>
              <w:pageBreakBefore w:val="0"/>
              <w:wordWrap w:val="0"/>
              <w:bidi w:val="0"/>
              <w:spacing w:after="200" w:line="360" w:lineRule="exact"/>
              <w:jc w:val="center"/>
              <w:rPr>
                <w:rFonts w:hint="eastAsia" w:ascii="宋体" w:hAnsi="宋体" w:eastAsia="宋体" w:cs="宋体"/>
                <w:szCs w:val="21"/>
                <w:highlight w:val="none"/>
              </w:rPr>
            </w:pPr>
          </w:p>
        </w:tc>
      </w:tr>
      <w:tr w14:paraId="11B119D7">
        <w:tblPrEx>
          <w:tblCellMar>
            <w:top w:w="0" w:type="dxa"/>
            <w:left w:w="0" w:type="dxa"/>
            <w:bottom w:w="0" w:type="dxa"/>
            <w:right w:w="0" w:type="dxa"/>
          </w:tblCellMar>
        </w:tblPrEx>
        <w:trPr>
          <w:trHeight w:val="90" w:hRule="atLeast"/>
        </w:trPr>
        <w:tc>
          <w:tcPr>
            <w:tcW w:w="1345" w:type="dxa"/>
            <w:tcBorders>
              <w:top w:val="inset" w:color="000000" w:sz="6" w:space="0"/>
              <w:left w:val="inset" w:color="000000" w:sz="6" w:space="0"/>
              <w:bottom w:val="inset" w:color="000000" w:sz="6" w:space="0"/>
              <w:right w:val="inset" w:color="000000" w:sz="6" w:space="0"/>
            </w:tcBorders>
            <w:noWrap w:val="0"/>
            <w:vAlign w:val="center"/>
          </w:tcPr>
          <w:p w14:paraId="272936F4">
            <w:pPr>
              <w:pStyle w:val="20"/>
              <w:pageBreakBefore w:val="0"/>
              <w:wordWrap w:val="0"/>
              <w:bidi w:val="0"/>
              <w:spacing w:after="200" w:line="360" w:lineRule="exac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5</w:t>
            </w:r>
          </w:p>
        </w:tc>
        <w:tc>
          <w:tcPr>
            <w:tcW w:w="2235" w:type="dxa"/>
            <w:tcBorders>
              <w:top w:val="inset" w:color="000000" w:sz="6" w:space="0"/>
              <w:left w:val="single" w:color="auto" w:sz="0" w:space="0"/>
              <w:bottom w:val="inset" w:color="000000" w:sz="6" w:space="0"/>
              <w:right w:val="inset" w:color="000000" w:sz="6" w:space="0"/>
            </w:tcBorders>
            <w:noWrap w:val="0"/>
            <w:vAlign w:val="center"/>
          </w:tcPr>
          <w:p w14:paraId="122A259E">
            <w:pPr>
              <w:pStyle w:val="20"/>
              <w:pageBreakBefore w:val="0"/>
              <w:wordWrap w:val="0"/>
              <w:bidi w:val="0"/>
              <w:spacing w:after="200"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提交</w:t>
            </w:r>
            <w:r>
              <w:rPr>
                <w:rFonts w:hint="eastAsia" w:ascii="宋体" w:hAnsi="宋体" w:eastAsia="宋体" w:cs="宋体"/>
                <w:szCs w:val="21"/>
                <w:highlight w:val="none"/>
                <w:lang w:val="en-US" w:eastAsia="zh-CN"/>
              </w:rPr>
              <w:t>决</w:t>
            </w:r>
            <w:r>
              <w:rPr>
                <w:rFonts w:hint="eastAsia" w:ascii="宋体" w:hAnsi="宋体" w:eastAsia="宋体" w:cs="宋体"/>
                <w:szCs w:val="21"/>
                <w:highlight w:val="none"/>
              </w:rPr>
              <w:t>算报告成果7日内</w:t>
            </w:r>
          </w:p>
        </w:tc>
        <w:tc>
          <w:tcPr>
            <w:tcW w:w="1462" w:type="dxa"/>
            <w:tcBorders>
              <w:top w:val="inset" w:color="000000" w:sz="6" w:space="0"/>
              <w:left w:val="single" w:color="auto" w:sz="0" w:space="0"/>
              <w:bottom w:val="inset" w:color="000000" w:sz="6" w:space="0"/>
              <w:right w:val="inset" w:color="000000" w:sz="6" w:space="0"/>
            </w:tcBorders>
            <w:noWrap w:val="0"/>
            <w:vAlign w:val="center"/>
          </w:tcPr>
          <w:p w14:paraId="2686AF44">
            <w:pPr>
              <w:pStyle w:val="20"/>
              <w:pageBreakBefore w:val="0"/>
              <w:wordWrap w:val="0"/>
              <w:bidi w:val="0"/>
              <w:spacing w:after="200" w:line="360" w:lineRule="exact"/>
              <w:jc w:val="center"/>
              <w:rPr>
                <w:rFonts w:hint="eastAsia" w:ascii="宋体" w:hAnsi="宋体" w:eastAsia="宋体" w:cs="宋体"/>
                <w:szCs w:val="21"/>
                <w:highlight w:val="none"/>
                <w:lang w:val="en-US" w:eastAsia="zh-CN"/>
              </w:rPr>
            </w:pPr>
          </w:p>
        </w:tc>
        <w:tc>
          <w:tcPr>
            <w:tcW w:w="3096" w:type="dxa"/>
            <w:tcBorders>
              <w:top w:val="inset" w:color="000000" w:sz="6" w:space="0"/>
              <w:left w:val="single" w:color="auto" w:sz="0" w:space="0"/>
              <w:bottom w:val="inset" w:color="000000" w:sz="6" w:space="0"/>
              <w:right w:val="inset" w:color="000000" w:sz="6" w:space="0"/>
            </w:tcBorders>
            <w:noWrap w:val="0"/>
            <w:vAlign w:val="center"/>
          </w:tcPr>
          <w:p w14:paraId="2A74221D">
            <w:pPr>
              <w:pStyle w:val="20"/>
              <w:pageBreakBefore w:val="0"/>
              <w:wordWrap w:val="0"/>
              <w:bidi w:val="0"/>
              <w:spacing w:after="200" w:line="360" w:lineRule="exact"/>
              <w:jc w:val="center"/>
              <w:rPr>
                <w:rFonts w:hint="eastAsia" w:ascii="宋体" w:hAnsi="宋体" w:eastAsia="宋体" w:cs="宋体"/>
                <w:szCs w:val="21"/>
                <w:highlight w:val="none"/>
              </w:rPr>
            </w:pPr>
          </w:p>
        </w:tc>
      </w:tr>
    </w:tbl>
    <w:p w14:paraId="36A16872">
      <w:pPr>
        <w:pStyle w:val="57"/>
        <w:pageBreakBefore w:val="0"/>
        <w:wordWrap w:val="0"/>
        <w:bidi w:val="0"/>
        <w:spacing w:before="0" w:after="0" w:line="360" w:lineRule="exact"/>
        <w:ind w:firstLine="422" w:firstLineChars="200"/>
        <w:jc w:val="left"/>
        <w:rPr>
          <w:rFonts w:hint="eastAsia" w:ascii="宋体" w:hAnsi="宋体" w:eastAsia="宋体" w:cs="宋体"/>
          <w:sz w:val="21"/>
          <w:szCs w:val="21"/>
        </w:rPr>
      </w:pPr>
      <w:bookmarkStart w:id="783" w:name="_Toc497839358"/>
      <w:bookmarkStart w:id="784" w:name="_Toc419045119"/>
      <w:bookmarkStart w:id="785" w:name="_Toc256000130"/>
      <w:bookmarkStart w:id="786" w:name="_Toc256000212"/>
      <w:bookmarkStart w:id="787" w:name="_Toc422322544"/>
      <w:bookmarkStart w:id="788" w:name="_Toc7419"/>
      <w:bookmarkStart w:id="789" w:name="_Toc14822"/>
      <w:bookmarkStart w:id="790" w:name="_Toc497839254"/>
      <w:r>
        <w:rPr>
          <w:rFonts w:hint="eastAsia" w:ascii="宋体" w:hAnsi="宋体" w:eastAsia="宋体" w:cs="宋体"/>
          <w:sz w:val="21"/>
          <w:szCs w:val="21"/>
          <w:highlight w:val="white"/>
        </w:rPr>
        <w:t>6.合同变更、解除与终止</w:t>
      </w:r>
      <w:bookmarkEnd w:id="783"/>
      <w:bookmarkEnd w:id="784"/>
      <w:bookmarkEnd w:id="785"/>
      <w:bookmarkEnd w:id="786"/>
      <w:bookmarkEnd w:id="787"/>
      <w:bookmarkEnd w:id="788"/>
      <w:bookmarkEnd w:id="789"/>
      <w:bookmarkEnd w:id="790"/>
    </w:p>
    <w:p w14:paraId="38170BC3">
      <w:pPr>
        <w:pStyle w:val="20"/>
        <w:pageBreakBefore w:val="0"/>
        <w:wordWrap w:val="0"/>
        <w:bidi w:val="0"/>
        <w:spacing w:after="200" w:line="360" w:lineRule="exact"/>
        <w:ind w:firstLine="420" w:firstLineChars="200"/>
        <w:jc w:val="left"/>
        <w:rPr>
          <w:rStyle w:val="58"/>
          <w:rFonts w:hint="eastAsia" w:ascii="宋体" w:hAnsi="宋体" w:eastAsia="宋体" w:cs="宋体"/>
          <w:b w:val="0"/>
          <w:sz w:val="21"/>
          <w:szCs w:val="21"/>
        </w:rPr>
      </w:pPr>
      <w:bookmarkStart w:id="791" w:name="_Toc497839255"/>
      <w:bookmarkStart w:id="792" w:name="_Toc419045120"/>
      <w:bookmarkStart w:id="793" w:name="_Toc256000213"/>
      <w:bookmarkStart w:id="794" w:name="_Toc422322545"/>
      <w:bookmarkStart w:id="795" w:name="_Toc256000131"/>
      <w:r>
        <w:rPr>
          <w:rStyle w:val="58"/>
          <w:rFonts w:hint="eastAsia" w:ascii="宋体" w:hAnsi="宋体" w:eastAsia="宋体" w:cs="宋体"/>
          <w:b w:val="0"/>
          <w:sz w:val="21"/>
          <w:szCs w:val="21"/>
          <w:highlight w:val="white"/>
        </w:rPr>
        <w:t>6.1合同变更</w:t>
      </w:r>
      <w:bookmarkEnd w:id="791"/>
      <w:bookmarkEnd w:id="792"/>
      <w:bookmarkEnd w:id="793"/>
      <w:bookmarkEnd w:id="794"/>
      <w:bookmarkEnd w:id="795"/>
      <w:r>
        <w:rPr>
          <w:rFonts w:hint="eastAsia" w:ascii="宋体" w:hAnsi="宋体" w:eastAsia="宋体" w:cs="宋体"/>
          <w:szCs w:val="21"/>
          <w:highlight w:val="white"/>
        </w:rPr>
        <w:br w:type="textWrapping"/>
      </w:r>
      <w:r>
        <w:rPr>
          <w:rFonts w:hint="eastAsia" w:ascii="宋体" w:hAnsi="宋体" w:eastAsia="宋体" w:cs="宋体"/>
          <w:szCs w:val="21"/>
          <w:highlight w:val="white"/>
        </w:rPr>
        <w:t>6.1.2除不可抗力外，因非咨询人原因导致本合同履行期限延长、内容增加时，附加工作酬金按下列方法确定：_________________________________。</w:t>
      </w:r>
      <w:r>
        <w:rPr>
          <w:rFonts w:hint="eastAsia" w:ascii="宋体" w:hAnsi="宋体" w:eastAsia="宋体" w:cs="宋体"/>
          <w:szCs w:val="21"/>
          <w:highlight w:val="white"/>
        </w:rPr>
        <w:br w:type="textWrapping"/>
      </w:r>
      <w:r>
        <w:rPr>
          <w:rFonts w:hint="eastAsia" w:ascii="宋体" w:hAnsi="宋体" w:eastAsia="宋体" w:cs="宋体"/>
          <w:szCs w:val="21"/>
          <w:highlight w:val="white"/>
        </w:rPr>
        <w:t>6.1.4因工程规模、服务范围及内容的变化等导致咨询人的工作量增减时，服务酬金的调整方法：___________________________________________。</w:t>
      </w:r>
    </w:p>
    <w:p w14:paraId="1C0C3C21">
      <w:pPr>
        <w:pStyle w:val="19"/>
        <w:pageBreakBefore w:val="0"/>
        <w:wordWrap w:val="0"/>
        <w:bidi w:val="0"/>
        <w:spacing w:before="60" w:line="360" w:lineRule="exact"/>
        <w:ind w:firstLine="420" w:firstLineChars="200"/>
        <w:jc w:val="left"/>
        <w:rPr>
          <w:rFonts w:hint="eastAsia" w:ascii="宋体" w:hAnsi="宋体" w:eastAsia="宋体" w:cs="宋体"/>
          <w:b w:val="0"/>
          <w:sz w:val="21"/>
          <w:szCs w:val="21"/>
        </w:rPr>
      </w:pPr>
      <w:bookmarkStart w:id="796" w:name="_Toc497839256"/>
      <w:bookmarkStart w:id="797" w:name="_Toc422322546"/>
      <w:bookmarkStart w:id="798" w:name="_Toc256000132"/>
      <w:bookmarkStart w:id="799" w:name="_Toc256000214"/>
      <w:r>
        <w:rPr>
          <w:rFonts w:hint="eastAsia" w:ascii="宋体" w:hAnsi="宋体" w:eastAsia="宋体" w:cs="宋体"/>
          <w:b w:val="0"/>
          <w:sz w:val="21"/>
          <w:szCs w:val="21"/>
          <w:highlight w:val="white"/>
        </w:rPr>
        <w:t>6.2合同解除</w:t>
      </w:r>
      <w:bookmarkEnd w:id="796"/>
      <w:bookmarkEnd w:id="797"/>
      <w:bookmarkEnd w:id="798"/>
      <w:bookmarkEnd w:id="799"/>
    </w:p>
    <w:p w14:paraId="39956F83">
      <w:pPr>
        <w:pStyle w:val="20"/>
        <w:pageBreakBefore w:val="0"/>
        <w:wordWrap w:val="0"/>
        <w:bidi w:val="0"/>
        <w:spacing w:after="200" w:line="360" w:lineRule="exact"/>
        <w:ind w:firstLine="420" w:firstLineChars="200"/>
        <w:rPr>
          <w:rFonts w:hint="eastAsia" w:ascii="宋体" w:hAnsi="宋体" w:eastAsia="宋体" w:cs="宋体"/>
          <w:szCs w:val="21"/>
          <w:lang w:eastAsia="zh-CN"/>
        </w:rPr>
      </w:pPr>
      <w:r>
        <w:rPr>
          <w:rFonts w:hint="eastAsia" w:ascii="宋体" w:hAnsi="宋体" w:eastAsia="宋体" w:cs="宋体"/>
          <w:szCs w:val="21"/>
          <w:highlight w:val="white"/>
        </w:rPr>
        <w:t>6.2.2双方约定解除合同的条件还包括：___________________________。</w:t>
      </w:r>
    </w:p>
    <w:p w14:paraId="11CADB3D">
      <w:pPr>
        <w:pStyle w:val="20"/>
        <w:pageBreakBefore w:val="0"/>
        <w:wordWrap w:val="0"/>
        <w:bidi w:val="0"/>
        <w:spacing w:after="200" w:line="360" w:lineRule="exact"/>
        <w:ind w:firstLine="420" w:firstLineChars="200"/>
        <w:jc w:val="left"/>
        <w:rPr>
          <w:rFonts w:hint="eastAsia" w:ascii="宋体" w:hAnsi="宋体" w:eastAsia="宋体" w:cs="宋体"/>
          <w:szCs w:val="21"/>
        </w:rPr>
      </w:pPr>
      <w:r>
        <w:rPr>
          <w:rFonts w:hint="eastAsia" w:ascii="宋体" w:hAnsi="宋体" w:eastAsia="宋体" w:cs="宋体"/>
          <w:szCs w:val="21"/>
          <w:highlight w:val="white"/>
        </w:rPr>
        <w:t>6.2.4因不可抗力导致的合同解除，双方约定损失的分担如下：______________________________________。</w:t>
      </w:r>
    </w:p>
    <w:p w14:paraId="616332E9">
      <w:pPr>
        <w:pStyle w:val="57"/>
        <w:pageBreakBefore w:val="0"/>
        <w:wordWrap w:val="0"/>
        <w:bidi w:val="0"/>
        <w:spacing w:before="0" w:after="0" w:line="360" w:lineRule="exact"/>
        <w:ind w:firstLine="422" w:firstLineChars="200"/>
        <w:jc w:val="left"/>
        <w:rPr>
          <w:rFonts w:hint="eastAsia" w:ascii="宋体" w:hAnsi="宋体" w:eastAsia="宋体" w:cs="宋体"/>
          <w:sz w:val="21"/>
          <w:szCs w:val="21"/>
        </w:rPr>
      </w:pPr>
      <w:bookmarkStart w:id="800" w:name="_Toc3283"/>
      <w:bookmarkStart w:id="801" w:name="_Toc256000215"/>
      <w:bookmarkStart w:id="802" w:name="_Toc419045121"/>
      <w:bookmarkStart w:id="803" w:name="_Toc422322547"/>
      <w:bookmarkStart w:id="804" w:name="_Toc256000133"/>
      <w:bookmarkStart w:id="805" w:name="_Toc497839359"/>
      <w:bookmarkStart w:id="806" w:name="_Toc18658"/>
      <w:bookmarkStart w:id="807" w:name="_Toc497839257"/>
      <w:r>
        <w:rPr>
          <w:rFonts w:hint="eastAsia" w:ascii="宋体" w:hAnsi="宋体" w:eastAsia="宋体" w:cs="宋体"/>
          <w:sz w:val="21"/>
          <w:szCs w:val="21"/>
          <w:highlight w:val="white"/>
        </w:rPr>
        <w:t>7.争议解决</w:t>
      </w:r>
      <w:bookmarkEnd w:id="800"/>
      <w:bookmarkEnd w:id="801"/>
      <w:bookmarkEnd w:id="802"/>
      <w:bookmarkEnd w:id="803"/>
      <w:bookmarkEnd w:id="804"/>
      <w:bookmarkEnd w:id="805"/>
      <w:bookmarkEnd w:id="806"/>
      <w:bookmarkEnd w:id="807"/>
    </w:p>
    <w:p w14:paraId="059029A8">
      <w:pPr>
        <w:pStyle w:val="20"/>
        <w:pageBreakBefore w:val="0"/>
        <w:wordWrap w:val="0"/>
        <w:bidi w:val="0"/>
        <w:spacing w:after="200" w:line="360" w:lineRule="exact"/>
        <w:ind w:firstLine="480"/>
        <w:jc w:val="left"/>
        <w:rPr>
          <w:rStyle w:val="58"/>
          <w:rFonts w:hint="eastAsia" w:ascii="宋体" w:hAnsi="宋体" w:eastAsia="宋体" w:cs="宋体"/>
          <w:b w:val="0"/>
          <w:sz w:val="21"/>
          <w:szCs w:val="21"/>
        </w:rPr>
      </w:pPr>
      <w:bookmarkStart w:id="808" w:name="_Toc419045122"/>
      <w:bookmarkStart w:id="809" w:name="_Toc422322548"/>
      <w:bookmarkStart w:id="810" w:name="_Toc256000134"/>
      <w:bookmarkStart w:id="811" w:name="_Toc497839258"/>
      <w:bookmarkStart w:id="812" w:name="_Toc256000216"/>
      <w:r>
        <w:rPr>
          <w:rStyle w:val="58"/>
          <w:rFonts w:hint="eastAsia" w:ascii="宋体" w:hAnsi="宋体" w:eastAsia="宋体" w:cs="宋体"/>
          <w:b w:val="0"/>
          <w:sz w:val="21"/>
          <w:szCs w:val="21"/>
          <w:highlight w:val="white"/>
        </w:rPr>
        <w:t>7.2调解</w:t>
      </w:r>
      <w:bookmarkEnd w:id="808"/>
      <w:bookmarkEnd w:id="809"/>
      <w:bookmarkEnd w:id="810"/>
      <w:bookmarkEnd w:id="811"/>
      <w:bookmarkEnd w:id="812"/>
      <w:r>
        <w:rPr>
          <w:rFonts w:hint="eastAsia" w:ascii="宋体" w:hAnsi="宋体" w:eastAsia="宋体" w:cs="宋体"/>
          <w:szCs w:val="21"/>
          <w:highlight w:val="white"/>
        </w:rPr>
        <w:br w:type="textWrapping"/>
      </w:r>
      <w:r>
        <w:rPr>
          <w:rFonts w:hint="eastAsia" w:ascii="宋体" w:hAnsi="宋体" w:eastAsia="宋体" w:cs="宋体"/>
          <w:szCs w:val="21"/>
          <w:highlight w:val="white"/>
        </w:rPr>
        <w:t>如果双方不能在______日内解决本合同争议，可以将其提交___________________进行调解。</w:t>
      </w:r>
    </w:p>
    <w:p w14:paraId="45935404">
      <w:pPr>
        <w:pStyle w:val="19"/>
        <w:pageBreakBefore w:val="0"/>
        <w:wordWrap w:val="0"/>
        <w:bidi w:val="0"/>
        <w:spacing w:before="60" w:line="360" w:lineRule="exact"/>
        <w:ind w:firstLine="420" w:firstLineChars="200"/>
        <w:jc w:val="left"/>
        <w:rPr>
          <w:rFonts w:hint="eastAsia" w:ascii="宋体" w:hAnsi="宋体" w:eastAsia="宋体" w:cs="宋体"/>
          <w:b w:val="0"/>
          <w:sz w:val="21"/>
          <w:szCs w:val="21"/>
        </w:rPr>
      </w:pPr>
      <w:bookmarkStart w:id="813" w:name="_Toc256000217"/>
      <w:bookmarkStart w:id="814" w:name="_Toc422322549"/>
      <w:bookmarkStart w:id="815" w:name="_Toc256000135"/>
      <w:bookmarkStart w:id="816" w:name="_Toc497839259"/>
      <w:r>
        <w:rPr>
          <w:rFonts w:hint="eastAsia" w:ascii="宋体" w:hAnsi="宋体" w:eastAsia="宋体" w:cs="宋体"/>
          <w:b w:val="0"/>
          <w:sz w:val="21"/>
          <w:szCs w:val="21"/>
          <w:highlight w:val="white"/>
        </w:rPr>
        <w:t>7.3仲裁或诉讼</w:t>
      </w:r>
      <w:bookmarkEnd w:id="813"/>
      <w:bookmarkEnd w:id="814"/>
      <w:bookmarkEnd w:id="815"/>
      <w:bookmarkEnd w:id="816"/>
    </w:p>
    <w:p w14:paraId="61C4F727">
      <w:pPr>
        <w:pStyle w:val="20"/>
        <w:pageBreakBefore w:val="0"/>
        <w:wordWrap w:val="0"/>
        <w:bidi w:val="0"/>
        <w:spacing w:after="200" w:line="360" w:lineRule="exact"/>
        <w:ind w:firstLine="480"/>
        <w:jc w:val="left"/>
        <w:rPr>
          <w:rFonts w:hint="eastAsia" w:ascii="宋体" w:hAnsi="宋体" w:eastAsia="宋体" w:cs="宋体"/>
          <w:szCs w:val="21"/>
        </w:rPr>
      </w:pPr>
      <w:r>
        <w:rPr>
          <w:rFonts w:hint="eastAsia" w:ascii="宋体" w:hAnsi="宋体" w:eastAsia="宋体" w:cs="宋体"/>
          <w:szCs w:val="21"/>
          <w:highlight w:val="white"/>
        </w:rPr>
        <w:t>合同争议的最终解决方式为下列第______种方式：</w:t>
      </w:r>
      <w:r>
        <w:rPr>
          <w:rFonts w:hint="eastAsia" w:ascii="宋体" w:hAnsi="宋体" w:eastAsia="宋体" w:cs="宋体"/>
          <w:szCs w:val="21"/>
          <w:highlight w:val="white"/>
        </w:rPr>
        <w:br w:type="textWrapping"/>
      </w:r>
      <w:r>
        <w:rPr>
          <w:rFonts w:hint="eastAsia" w:ascii="宋体" w:hAnsi="宋体" w:eastAsia="宋体" w:cs="宋体"/>
          <w:szCs w:val="21"/>
          <w:highlight w:val="white"/>
        </w:rPr>
        <w:t>（1）提请_____________________________________仲裁委员会进行仲裁。</w:t>
      </w:r>
      <w:r>
        <w:rPr>
          <w:rFonts w:hint="eastAsia" w:ascii="宋体" w:hAnsi="宋体" w:eastAsia="宋体" w:cs="宋体"/>
          <w:szCs w:val="21"/>
          <w:highlight w:val="white"/>
        </w:rPr>
        <w:br w:type="textWrapping"/>
      </w:r>
      <w:r>
        <w:rPr>
          <w:rFonts w:hint="eastAsia" w:ascii="宋体" w:hAnsi="宋体" w:eastAsia="宋体" w:cs="宋体"/>
          <w:szCs w:val="21"/>
          <w:highlight w:val="white"/>
        </w:rPr>
        <w:t>（2）向_</w:t>
      </w:r>
      <w:r>
        <w:rPr>
          <w:rFonts w:hint="eastAsia" w:ascii="宋体" w:hAnsi="宋体" w:eastAsia="宋体" w:cs="宋体"/>
          <w:szCs w:val="21"/>
          <w:highlight w:val="white"/>
          <w:u w:val="single"/>
        </w:rPr>
        <w:t>项目所在地有管辖权的</w:t>
      </w:r>
      <w:r>
        <w:rPr>
          <w:rFonts w:hint="eastAsia" w:ascii="宋体" w:hAnsi="宋体" w:eastAsia="宋体" w:cs="宋体"/>
          <w:szCs w:val="21"/>
          <w:highlight w:val="white"/>
        </w:rPr>
        <w:t>_人民法院提起诉讼。</w:t>
      </w:r>
    </w:p>
    <w:p w14:paraId="7E334CBF">
      <w:pPr>
        <w:pStyle w:val="20"/>
        <w:pageBreakBefore w:val="0"/>
        <w:wordWrap w:val="0"/>
        <w:bidi w:val="0"/>
        <w:spacing w:after="200" w:line="360" w:lineRule="exact"/>
        <w:ind w:firstLine="422" w:firstLineChars="200"/>
        <w:rPr>
          <w:rStyle w:val="58"/>
          <w:rFonts w:hint="eastAsia" w:ascii="宋体" w:hAnsi="宋体" w:eastAsia="宋体" w:cs="宋体"/>
          <w:b w:val="0"/>
          <w:sz w:val="21"/>
          <w:szCs w:val="21"/>
        </w:rPr>
      </w:pPr>
      <w:bookmarkStart w:id="817" w:name="_Toc419045123"/>
      <w:bookmarkStart w:id="818" w:name="_Toc422322550"/>
      <w:bookmarkStart w:id="819" w:name="_Toc27809"/>
      <w:bookmarkStart w:id="820" w:name="_Toc25719"/>
      <w:r>
        <w:rPr>
          <w:rStyle w:val="56"/>
          <w:rFonts w:hint="eastAsia" w:ascii="宋体" w:hAnsi="宋体" w:eastAsia="宋体" w:cs="宋体"/>
          <w:sz w:val="21"/>
          <w:szCs w:val="21"/>
          <w:highlight w:val="white"/>
        </w:rPr>
        <w:t>8.其他</w:t>
      </w:r>
      <w:bookmarkEnd w:id="817"/>
      <w:bookmarkEnd w:id="818"/>
      <w:bookmarkEnd w:id="819"/>
      <w:bookmarkEnd w:id="820"/>
    </w:p>
    <w:p w14:paraId="702DFA26">
      <w:pPr>
        <w:pStyle w:val="19"/>
        <w:pageBreakBefore w:val="0"/>
        <w:wordWrap w:val="0"/>
        <w:bidi w:val="0"/>
        <w:spacing w:before="60" w:line="360" w:lineRule="exact"/>
        <w:ind w:firstLine="420" w:firstLineChars="200"/>
        <w:jc w:val="left"/>
        <w:rPr>
          <w:rFonts w:hint="eastAsia" w:ascii="宋体" w:hAnsi="宋体" w:eastAsia="宋体" w:cs="宋体"/>
          <w:b w:val="0"/>
          <w:sz w:val="21"/>
          <w:szCs w:val="21"/>
        </w:rPr>
      </w:pPr>
      <w:bookmarkStart w:id="821" w:name="_Toc422322551"/>
      <w:bookmarkStart w:id="822" w:name="_Toc497839260"/>
      <w:bookmarkStart w:id="823" w:name="_Toc256000136"/>
      <w:bookmarkStart w:id="824" w:name="_Toc256000218"/>
      <w:r>
        <w:rPr>
          <w:rFonts w:hint="eastAsia" w:ascii="宋体" w:hAnsi="宋体" w:eastAsia="宋体" w:cs="宋体"/>
          <w:b w:val="0"/>
          <w:sz w:val="21"/>
          <w:szCs w:val="21"/>
          <w:highlight w:val="white"/>
        </w:rPr>
        <w:t>8.1考察及相关费用</w:t>
      </w:r>
      <w:bookmarkEnd w:id="821"/>
      <w:bookmarkEnd w:id="822"/>
      <w:bookmarkEnd w:id="823"/>
      <w:bookmarkEnd w:id="824"/>
    </w:p>
    <w:p w14:paraId="4BD7753D">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咨询人经委托人同意进行考察发生的费用由_______支付。</w:t>
      </w:r>
    </w:p>
    <w:p w14:paraId="33BA4C91">
      <w:pPr>
        <w:pStyle w:val="20"/>
        <w:pageBreakBefore w:val="0"/>
        <w:wordWrap w:val="0"/>
        <w:bidi w:val="0"/>
        <w:spacing w:after="200" w:line="360" w:lineRule="exact"/>
        <w:ind w:firstLine="420" w:firstLineChars="200"/>
        <w:rPr>
          <w:rStyle w:val="58"/>
          <w:rFonts w:hint="eastAsia" w:ascii="宋体" w:hAnsi="宋体" w:eastAsia="宋体" w:cs="宋体"/>
          <w:b w:val="0"/>
          <w:sz w:val="21"/>
          <w:szCs w:val="21"/>
          <w:lang w:eastAsia="zh-CN"/>
        </w:rPr>
      </w:pPr>
      <w:r>
        <w:rPr>
          <w:rFonts w:hint="eastAsia" w:ascii="宋体" w:hAnsi="宋体" w:eastAsia="宋体" w:cs="宋体"/>
          <w:szCs w:val="21"/>
          <w:highlight w:val="white"/>
        </w:rPr>
        <w:t>差旅费及相关费用的支付：_____________________________________。</w:t>
      </w:r>
    </w:p>
    <w:p w14:paraId="544FEE02">
      <w:pPr>
        <w:pStyle w:val="19"/>
        <w:pageBreakBefore w:val="0"/>
        <w:wordWrap w:val="0"/>
        <w:bidi w:val="0"/>
        <w:spacing w:before="60" w:line="360" w:lineRule="exact"/>
        <w:ind w:firstLine="420" w:firstLineChars="200"/>
        <w:jc w:val="left"/>
        <w:rPr>
          <w:rFonts w:hint="eastAsia" w:ascii="宋体" w:hAnsi="宋体" w:eastAsia="宋体" w:cs="宋体"/>
          <w:b w:val="0"/>
          <w:sz w:val="21"/>
          <w:szCs w:val="21"/>
        </w:rPr>
      </w:pPr>
      <w:bookmarkStart w:id="825" w:name="_Toc256000137"/>
      <w:bookmarkStart w:id="826" w:name="_Toc256000219"/>
      <w:bookmarkStart w:id="827" w:name="_Toc497839261"/>
      <w:bookmarkStart w:id="828" w:name="_Toc422322552"/>
      <w:r>
        <w:rPr>
          <w:rFonts w:hint="eastAsia" w:ascii="宋体" w:hAnsi="宋体" w:eastAsia="宋体" w:cs="宋体"/>
          <w:b w:val="0"/>
          <w:sz w:val="21"/>
          <w:szCs w:val="21"/>
          <w:highlight w:val="white"/>
        </w:rPr>
        <w:t>8.2奖励</w:t>
      </w:r>
      <w:bookmarkEnd w:id="825"/>
      <w:bookmarkEnd w:id="826"/>
      <w:bookmarkEnd w:id="827"/>
      <w:bookmarkEnd w:id="828"/>
    </w:p>
    <w:p w14:paraId="0537337C">
      <w:pPr>
        <w:pStyle w:val="20"/>
        <w:pageBreakBefore w:val="0"/>
        <w:wordWrap w:val="0"/>
        <w:bidi w:val="0"/>
        <w:spacing w:after="200" w:line="360" w:lineRule="exact"/>
        <w:ind w:firstLine="420" w:firstLineChars="200"/>
        <w:rPr>
          <w:rStyle w:val="58"/>
          <w:rFonts w:hint="eastAsia" w:ascii="宋体" w:hAnsi="宋体" w:eastAsia="宋体" w:cs="宋体"/>
          <w:b w:val="0"/>
          <w:sz w:val="21"/>
          <w:szCs w:val="21"/>
          <w:lang w:eastAsia="zh-CN"/>
        </w:rPr>
      </w:pPr>
      <w:r>
        <w:rPr>
          <w:rFonts w:hint="eastAsia" w:ascii="宋体" w:hAnsi="宋体" w:eastAsia="宋体" w:cs="宋体"/>
          <w:szCs w:val="21"/>
          <w:highlight w:val="white"/>
        </w:rPr>
        <w:t>合理化建议的奖励金额按下列方法确定：___________________________。</w:t>
      </w:r>
    </w:p>
    <w:p w14:paraId="0DEA092B">
      <w:pPr>
        <w:pStyle w:val="19"/>
        <w:pageBreakBefore w:val="0"/>
        <w:wordWrap w:val="0"/>
        <w:bidi w:val="0"/>
        <w:spacing w:before="60" w:line="360" w:lineRule="exact"/>
        <w:ind w:firstLine="420" w:firstLineChars="200"/>
        <w:jc w:val="left"/>
        <w:rPr>
          <w:rFonts w:hint="eastAsia" w:ascii="宋体" w:hAnsi="宋体" w:eastAsia="宋体" w:cs="宋体"/>
          <w:b w:val="0"/>
          <w:sz w:val="21"/>
          <w:szCs w:val="21"/>
        </w:rPr>
      </w:pPr>
      <w:bookmarkStart w:id="829" w:name="_Toc497839262"/>
      <w:bookmarkStart w:id="830" w:name="_Toc256000138"/>
      <w:bookmarkStart w:id="831" w:name="_Toc422322553"/>
      <w:bookmarkStart w:id="832" w:name="_Toc256000220"/>
      <w:r>
        <w:rPr>
          <w:rFonts w:hint="eastAsia" w:ascii="宋体" w:hAnsi="宋体" w:eastAsia="宋体" w:cs="宋体"/>
          <w:b w:val="0"/>
          <w:sz w:val="21"/>
          <w:szCs w:val="21"/>
          <w:highlight w:val="white"/>
        </w:rPr>
        <w:t>8.3保密</w:t>
      </w:r>
      <w:bookmarkEnd w:id="829"/>
      <w:bookmarkEnd w:id="830"/>
      <w:bookmarkEnd w:id="831"/>
      <w:bookmarkEnd w:id="832"/>
    </w:p>
    <w:p w14:paraId="3DD4B709">
      <w:pPr>
        <w:pStyle w:val="20"/>
        <w:pageBreakBefore w:val="0"/>
        <w:wordWrap w:val="0"/>
        <w:bidi w:val="0"/>
        <w:spacing w:after="200" w:line="360" w:lineRule="exact"/>
        <w:ind w:firstLine="315" w:firstLineChars="150"/>
        <w:jc w:val="left"/>
        <w:rPr>
          <w:rFonts w:hint="eastAsia" w:ascii="宋体" w:hAnsi="宋体" w:eastAsia="宋体" w:cs="宋体"/>
          <w:szCs w:val="21"/>
        </w:rPr>
      </w:pPr>
      <w:r>
        <w:rPr>
          <w:rFonts w:hint="eastAsia" w:ascii="宋体" w:hAnsi="宋体" w:eastAsia="宋体" w:cs="宋体"/>
          <w:szCs w:val="21"/>
          <w:highlight w:val="white"/>
        </w:rPr>
        <w:t>委托人申明的保密事项和期限：___________________________________。</w:t>
      </w:r>
      <w:r>
        <w:rPr>
          <w:rFonts w:hint="eastAsia" w:ascii="宋体" w:hAnsi="宋体" w:eastAsia="宋体" w:cs="宋体"/>
          <w:szCs w:val="21"/>
          <w:highlight w:val="white"/>
        </w:rPr>
        <w:br w:type="textWrapping"/>
      </w:r>
      <w:r>
        <w:rPr>
          <w:rFonts w:hint="eastAsia" w:ascii="宋体" w:hAnsi="宋体" w:eastAsia="宋体" w:cs="宋体"/>
          <w:szCs w:val="21"/>
          <w:highlight w:val="white"/>
        </w:rPr>
        <w:t>咨询人申明的保密事项和期限：___________________________________。</w:t>
      </w:r>
      <w:r>
        <w:rPr>
          <w:rFonts w:hint="eastAsia" w:ascii="宋体" w:hAnsi="宋体" w:eastAsia="宋体" w:cs="宋体"/>
          <w:szCs w:val="21"/>
          <w:highlight w:val="white"/>
        </w:rPr>
        <w:br w:type="textWrapping"/>
      </w:r>
      <w:r>
        <w:rPr>
          <w:rFonts w:hint="eastAsia" w:ascii="宋体" w:hAnsi="宋体" w:eastAsia="宋体" w:cs="宋体"/>
          <w:szCs w:val="21"/>
          <w:highlight w:val="white"/>
        </w:rPr>
        <w:t>第三人申明的保密事项和期限：___________________________________。</w:t>
      </w:r>
    </w:p>
    <w:p w14:paraId="54A1083C">
      <w:pPr>
        <w:pStyle w:val="20"/>
        <w:pageBreakBefore w:val="0"/>
        <w:wordWrap w:val="0"/>
        <w:bidi w:val="0"/>
        <w:spacing w:after="200" w:line="360" w:lineRule="exact"/>
        <w:ind w:firstLine="315" w:firstLineChars="150"/>
        <w:rPr>
          <w:rFonts w:hint="eastAsia" w:ascii="宋体" w:hAnsi="宋体" w:eastAsia="宋体" w:cs="宋体"/>
          <w:bCs/>
          <w:kern w:val="28"/>
          <w:szCs w:val="21"/>
        </w:rPr>
      </w:pPr>
      <w:bookmarkStart w:id="833" w:name="_Toc497839263"/>
      <w:bookmarkStart w:id="834" w:name="_Toc422322554"/>
      <w:bookmarkStart w:id="835" w:name="_Toc256000221"/>
      <w:bookmarkStart w:id="836" w:name="_Toc256000139"/>
      <w:r>
        <w:rPr>
          <w:rStyle w:val="58"/>
          <w:rFonts w:hint="eastAsia" w:ascii="宋体" w:hAnsi="宋体" w:eastAsia="宋体" w:cs="宋体"/>
          <w:b w:val="0"/>
          <w:sz w:val="21"/>
          <w:szCs w:val="21"/>
          <w:highlight w:val="white"/>
        </w:rPr>
        <w:t>8.4联络</w:t>
      </w:r>
      <w:bookmarkEnd w:id="833"/>
      <w:bookmarkEnd w:id="834"/>
      <w:bookmarkEnd w:id="835"/>
      <w:bookmarkEnd w:id="836"/>
    </w:p>
    <w:p w14:paraId="0D7F5D10">
      <w:pPr>
        <w:pStyle w:val="20"/>
        <w:pageBreakBefore w:val="0"/>
        <w:wordWrap w:val="0"/>
        <w:bidi w:val="0"/>
        <w:spacing w:after="200" w:line="360" w:lineRule="exact"/>
        <w:ind w:firstLine="420" w:firstLineChars="200"/>
        <w:rPr>
          <w:rFonts w:hint="eastAsia" w:ascii="宋体" w:hAnsi="宋体" w:eastAsia="宋体" w:cs="宋体"/>
          <w:szCs w:val="21"/>
          <w:lang w:eastAsia="zh-CN"/>
        </w:rPr>
      </w:pPr>
      <w:r>
        <w:rPr>
          <w:rFonts w:hint="eastAsia" w:ascii="宋体" w:hAnsi="宋体" w:eastAsia="宋体" w:cs="宋体"/>
          <w:szCs w:val="21"/>
          <w:highlight w:val="white"/>
        </w:rPr>
        <w:t>8.4.1任何一方与合同有关的通知、指示、要求、决定等，均应在_______</w:t>
      </w:r>
    </w:p>
    <w:p w14:paraId="1788C6A9">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日内送达对方指定的接收人和送达地点。</w:t>
      </w:r>
    </w:p>
    <w:p w14:paraId="6B457B86">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8.4.2委托人指定的送达接收人：__________，送达地点：__________，电子邮箱：__________。</w:t>
      </w:r>
    </w:p>
    <w:p w14:paraId="66FF3251">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咨询人指定的送达接收人：__________，送达地点：__________，电子邮箱：__________。</w:t>
      </w:r>
    </w:p>
    <w:p w14:paraId="3567E6C4">
      <w:pPr>
        <w:pStyle w:val="20"/>
        <w:pageBreakBefore w:val="0"/>
        <w:wordWrap w:val="0"/>
        <w:bidi w:val="0"/>
        <w:spacing w:after="200" w:line="360" w:lineRule="exact"/>
        <w:ind w:firstLine="315" w:firstLineChars="150"/>
        <w:rPr>
          <w:rStyle w:val="58"/>
          <w:rFonts w:hint="eastAsia" w:ascii="宋体" w:hAnsi="宋体" w:eastAsia="宋体" w:cs="宋体"/>
          <w:b w:val="0"/>
          <w:sz w:val="21"/>
          <w:szCs w:val="21"/>
        </w:rPr>
      </w:pPr>
      <w:bookmarkStart w:id="837" w:name="_Toc422322555"/>
      <w:bookmarkStart w:id="838" w:name="_Toc497839264"/>
      <w:bookmarkStart w:id="839" w:name="_Toc256000222"/>
      <w:bookmarkStart w:id="840" w:name="_Toc419045124"/>
      <w:bookmarkStart w:id="841" w:name="_Toc256000140"/>
      <w:r>
        <w:rPr>
          <w:rStyle w:val="58"/>
          <w:rFonts w:hint="eastAsia" w:ascii="宋体" w:hAnsi="宋体" w:eastAsia="宋体" w:cs="宋体"/>
          <w:b w:val="0"/>
          <w:sz w:val="21"/>
          <w:szCs w:val="21"/>
          <w:highlight w:val="white"/>
        </w:rPr>
        <w:t>8.5知识产权</w:t>
      </w:r>
      <w:bookmarkEnd w:id="837"/>
      <w:bookmarkEnd w:id="838"/>
      <w:bookmarkEnd w:id="839"/>
      <w:bookmarkEnd w:id="840"/>
      <w:bookmarkEnd w:id="841"/>
    </w:p>
    <w:p w14:paraId="72331EE3">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委托人提供给咨询人的图纸、委托人为实施工程自行编制或委托编制的技术规范以及反映委托人要求的或其他类似性质文件的著作权属于___________。</w:t>
      </w:r>
    </w:p>
    <w:p w14:paraId="717954CA">
      <w:pPr>
        <w:pStyle w:val="20"/>
        <w:pageBreakBefore w:val="0"/>
        <w:wordWrap w:val="0"/>
        <w:bidi w:val="0"/>
        <w:spacing w:after="200" w:line="360" w:lineRule="exact"/>
        <w:ind w:firstLine="420" w:firstLineChars="200"/>
        <w:rPr>
          <w:rFonts w:hint="eastAsia" w:ascii="宋体" w:hAnsi="宋体" w:eastAsia="宋体" w:cs="宋体"/>
          <w:szCs w:val="21"/>
        </w:rPr>
      </w:pPr>
      <w:r>
        <w:rPr>
          <w:rFonts w:hint="eastAsia" w:ascii="宋体" w:hAnsi="宋体" w:eastAsia="宋体" w:cs="宋体"/>
          <w:szCs w:val="21"/>
          <w:highlight w:val="white"/>
        </w:rPr>
        <w:t>咨询人为履行本合同约定而编制的成果文件，其著作权属于___________。</w:t>
      </w:r>
    </w:p>
    <w:p w14:paraId="79EB5D77">
      <w:pPr>
        <w:pStyle w:val="20"/>
        <w:pageBreakBefore w:val="0"/>
        <w:wordWrap w:val="0"/>
        <w:bidi w:val="0"/>
        <w:spacing w:after="200" w:line="360" w:lineRule="exact"/>
        <w:ind w:firstLine="420" w:firstLineChars="200"/>
        <w:rPr>
          <w:rFonts w:hint="eastAsia" w:ascii="宋体" w:hAnsi="宋体" w:eastAsia="宋体" w:cs="宋体"/>
          <w:b/>
          <w:szCs w:val="21"/>
        </w:rPr>
      </w:pPr>
      <w:r>
        <w:rPr>
          <w:rFonts w:hint="eastAsia" w:ascii="宋体" w:hAnsi="宋体" w:eastAsia="宋体" w:cs="宋体"/>
          <w:szCs w:val="21"/>
          <w:highlight w:val="white"/>
        </w:rPr>
        <w:t>双方将履行本合同形成的有关成果文件用于企业宣传、申报奖项以及接受上级主管部门的检查须遵守以下约定：</w:t>
      </w:r>
      <w:bookmarkStart w:id="842" w:name="_Toc422322556"/>
      <w:bookmarkStart w:id="843" w:name="_Toc419045125"/>
      <w:r>
        <w:rPr>
          <w:rFonts w:hint="eastAsia" w:ascii="宋体" w:hAnsi="宋体" w:eastAsia="宋体" w:cs="宋体"/>
          <w:szCs w:val="21"/>
          <w:highlight w:val="white"/>
        </w:rPr>
        <w:t>__________________________________________。</w:t>
      </w:r>
    </w:p>
    <w:p w14:paraId="49A18093">
      <w:pPr>
        <w:pStyle w:val="20"/>
        <w:pageBreakBefore w:val="0"/>
        <w:wordWrap w:val="0"/>
        <w:bidi w:val="0"/>
        <w:spacing w:after="200" w:line="360" w:lineRule="exact"/>
        <w:ind w:firstLine="413" w:firstLineChars="196"/>
        <w:rPr>
          <w:rFonts w:hint="eastAsia" w:ascii="宋体" w:hAnsi="宋体" w:eastAsia="宋体" w:cs="宋体"/>
          <w:szCs w:val="21"/>
        </w:rPr>
      </w:pPr>
      <w:bookmarkStart w:id="844" w:name="_Toc11244"/>
      <w:bookmarkStart w:id="845" w:name="_Toc21258"/>
      <w:r>
        <w:rPr>
          <w:rStyle w:val="56"/>
          <w:rFonts w:hint="eastAsia" w:ascii="宋体" w:hAnsi="宋体" w:eastAsia="宋体" w:cs="宋体"/>
          <w:sz w:val="21"/>
          <w:szCs w:val="21"/>
          <w:highlight w:val="white"/>
        </w:rPr>
        <w:t>9.补充条款</w:t>
      </w:r>
      <w:bookmarkEnd w:id="842"/>
      <w:bookmarkEnd w:id="843"/>
      <w:bookmarkEnd w:id="844"/>
      <w:bookmarkEnd w:id="845"/>
    </w:p>
    <w:p w14:paraId="21B7860F">
      <w:pPr>
        <w:pStyle w:val="20"/>
        <w:pageBreakBefore w:val="0"/>
        <w:numPr>
          <w:ilvl w:val="0"/>
          <w:numId w:val="0"/>
        </w:numPr>
        <w:wordWrap w:val="0"/>
        <w:bidi w:val="0"/>
        <w:spacing w:after="200"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跟踪审计单位进场前已经完成的工作量在签约酬金中扣除相应费用。</w:t>
      </w:r>
    </w:p>
    <w:p w14:paraId="63D6D994">
      <w:pPr>
        <w:pStyle w:val="20"/>
        <w:pageBreakBefore w:val="0"/>
        <w:numPr>
          <w:ilvl w:val="0"/>
          <w:numId w:val="0"/>
        </w:numPr>
        <w:wordWrap w:val="0"/>
        <w:bidi w:val="0"/>
        <w:spacing w:after="200"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委托人对咨询人在服务过程中的质量、成果、人员配备情况等内容建立考核机制，对完成质量不高、不符合委托人要求的按照考核细则扣减其相应服务费用。</w:t>
      </w:r>
    </w:p>
    <w:p w14:paraId="539312E0">
      <w:pPr>
        <w:pStyle w:val="20"/>
        <w:pageBreakBefore w:val="0"/>
        <w:numPr>
          <w:ilvl w:val="0"/>
          <w:numId w:val="0"/>
        </w:numPr>
        <w:wordWrap w:val="0"/>
        <w:bidi w:val="0"/>
        <w:spacing w:after="200"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咨询人若出现以下行为之一，委托人有权视情况</w:t>
      </w:r>
      <w:r>
        <w:rPr>
          <w:rFonts w:hint="eastAsia" w:ascii="宋体" w:hAnsi="宋体" w:eastAsia="宋体" w:cs="宋体"/>
          <w:szCs w:val="21"/>
          <w:lang w:val="en-US" w:eastAsia="zh-Hans"/>
        </w:rPr>
        <w:t>要求</w:t>
      </w:r>
      <w:r>
        <w:rPr>
          <w:rFonts w:hint="eastAsia" w:ascii="宋体" w:hAnsi="宋体" w:eastAsia="宋体" w:cs="宋体"/>
          <w:szCs w:val="21"/>
          <w:lang w:val="en-US" w:eastAsia="zh-CN"/>
        </w:rPr>
        <w:t>咨询人</w:t>
      </w:r>
      <w:r>
        <w:rPr>
          <w:rFonts w:hint="eastAsia" w:ascii="宋体" w:hAnsi="宋体" w:eastAsia="宋体" w:cs="宋体"/>
          <w:szCs w:val="21"/>
          <w:lang w:val="en-US" w:eastAsia="zh-Hans"/>
        </w:rPr>
        <w:t>承担相应</w:t>
      </w:r>
      <w:r>
        <w:rPr>
          <w:rFonts w:hint="eastAsia" w:ascii="宋体" w:hAnsi="宋体" w:eastAsia="宋体" w:cs="宋体"/>
          <w:szCs w:val="21"/>
          <w:lang w:val="en-US" w:eastAsia="zh-CN"/>
        </w:rPr>
        <w:t>相应责任，赔偿实际损失的100%并承担相应的法律责任、咨询人向委托人支付合同金额30%的违约金，同时可向行业主管部门报告，将咨询人列为失信“黑名单”。</w:t>
      </w:r>
    </w:p>
    <w:p w14:paraId="498C1292">
      <w:pPr>
        <w:pStyle w:val="20"/>
        <w:pageBreakBefore w:val="0"/>
        <w:numPr>
          <w:ilvl w:val="0"/>
          <w:numId w:val="0"/>
        </w:numPr>
        <w:wordWrap w:val="0"/>
        <w:bidi w:val="0"/>
        <w:spacing w:after="200"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1.在造价咨询活动中未按合同约定时间保质保量提交成果文件，给委托人造成重大业务事故或重大经济损失的；</w:t>
      </w:r>
    </w:p>
    <w:p w14:paraId="282C7868">
      <w:pPr>
        <w:pStyle w:val="20"/>
        <w:pageBreakBefore w:val="0"/>
        <w:numPr>
          <w:ilvl w:val="0"/>
          <w:numId w:val="0"/>
        </w:numPr>
        <w:wordWrap w:val="0"/>
        <w:bidi w:val="0"/>
        <w:spacing w:after="200"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2.在造价咨询活动中提交的成果文件经复审后查出在工程量计算、材料价格计取上存在严重错误，造成重大经济损失的；</w:t>
      </w:r>
    </w:p>
    <w:p w14:paraId="3151BA14">
      <w:pPr>
        <w:pStyle w:val="20"/>
        <w:pageBreakBefore w:val="0"/>
        <w:numPr>
          <w:ilvl w:val="0"/>
          <w:numId w:val="0"/>
        </w:numPr>
        <w:wordWrap w:val="0"/>
        <w:bidi w:val="0"/>
        <w:spacing w:after="200"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3.在造价咨询活动中不按合同约定配备相应技术人员，经委托方催告后，拒不整改的；</w:t>
      </w:r>
    </w:p>
    <w:p w14:paraId="66CA1F33">
      <w:pPr>
        <w:pStyle w:val="20"/>
        <w:pageBreakBefore w:val="0"/>
        <w:numPr>
          <w:ilvl w:val="0"/>
          <w:numId w:val="0"/>
        </w:numPr>
        <w:wordWrap w:val="0"/>
        <w:bidi w:val="0"/>
        <w:spacing w:after="200"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4.在咨询活动中以给回扣、恶意压低收费等方式进行不正当竞争，采用其他方式谋取合同约定费用外的其他利益的；</w:t>
      </w:r>
    </w:p>
    <w:p w14:paraId="6B05FDF7">
      <w:pPr>
        <w:pStyle w:val="20"/>
        <w:pageBreakBefore w:val="0"/>
        <w:numPr>
          <w:ilvl w:val="0"/>
          <w:numId w:val="0"/>
        </w:numPr>
        <w:wordWrap w:val="0"/>
        <w:bidi w:val="0"/>
        <w:spacing w:after="200"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5.同时接受招标人和投标人或者两个以上投标人对同一工程项目的工程造价咨询业务的；</w:t>
      </w:r>
    </w:p>
    <w:p w14:paraId="1EB2B0FF">
      <w:pPr>
        <w:pStyle w:val="20"/>
        <w:pageBreakBefore w:val="0"/>
        <w:numPr>
          <w:ilvl w:val="0"/>
          <w:numId w:val="0"/>
        </w:numPr>
        <w:wordWrap w:val="0"/>
        <w:bidi w:val="0"/>
        <w:spacing w:after="200"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6.转包或承接他人转包的工程造价咨询业务，允许其他企业或者个人以本企业的名义承揽工程造价咨询业务的；</w:t>
      </w:r>
    </w:p>
    <w:p w14:paraId="6A976D71">
      <w:pPr>
        <w:pStyle w:val="20"/>
        <w:pageBreakBefore w:val="0"/>
        <w:numPr>
          <w:ilvl w:val="0"/>
          <w:numId w:val="0"/>
        </w:numPr>
        <w:wordWrap w:val="0"/>
        <w:bidi w:val="0"/>
        <w:spacing w:after="200"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7.咨询单位从事咨询业务相关人员与施工单位或材料供应商等单位相互串通、利益输送，签认虚假工程量或材料价格；</w:t>
      </w:r>
    </w:p>
    <w:p w14:paraId="7CA1B3C5">
      <w:pPr>
        <w:pStyle w:val="20"/>
        <w:pageBreakBefore w:val="0"/>
        <w:numPr>
          <w:ilvl w:val="0"/>
          <w:numId w:val="0"/>
        </w:numPr>
        <w:wordWrap w:val="0"/>
        <w:bidi w:val="0"/>
        <w:spacing w:after="200"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8.泄露委托人及相关当事人，技术和商务秘密的；</w:t>
      </w:r>
    </w:p>
    <w:p w14:paraId="11C667D3">
      <w:pPr>
        <w:pStyle w:val="20"/>
        <w:pageBreakBefore w:val="0"/>
        <w:numPr>
          <w:ilvl w:val="0"/>
          <w:numId w:val="0"/>
        </w:numPr>
        <w:wordWrap w:val="0"/>
        <w:bidi w:val="0"/>
        <w:spacing w:after="200"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9.被行业主管部门通报3次及以上或行政处罚或纳入黑名单的；</w:t>
      </w:r>
    </w:p>
    <w:p w14:paraId="0850C6C0">
      <w:pPr>
        <w:pStyle w:val="20"/>
        <w:pageBreakBefore w:val="0"/>
        <w:numPr>
          <w:ilvl w:val="0"/>
          <w:numId w:val="0"/>
        </w:numPr>
        <w:wordWrap w:val="0"/>
        <w:bidi w:val="0"/>
        <w:spacing w:after="200"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10.造价咨询过程中与施工单位合伙出具虚假审核报告，篡改或伪造次现场勘察记录及涉及造价的相关文件、资料的；</w:t>
      </w:r>
    </w:p>
    <w:p w14:paraId="6C550F5E">
      <w:pPr>
        <w:pStyle w:val="20"/>
        <w:pageBreakBefore w:val="0"/>
        <w:numPr>
          <w:ilvl w:val="0"/>
          <w:numId w:val="0"/>
        </w:numPr>
        <w:wordWrap w:val="0"/>
        <w:bidi w:val="0"/>
        <w:spacing w:after="200"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11.因提交成果造成甲方损失的；</w:t>
      </w:r>
    </w:p>
    <w:p w14:paraId="595D0F56">
      <w:pPr>
        <w:pStyle w:val="20"/>
        <w:pageBreakBefore w:val="0"/>
        <w:numPr>
          <w:ilvl w:val="0"/>
          <w:numId w:val="0"/>
        </w:numPr>
        <w:wordWrap w:val="0"/>
        <w:bidi w:val="0"/>
        <w:spacing w:after="200"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12.无正当理由，拒绝配合甲方的；</w:t>
      </w:r>
    </w:p>
    <w:p w14:paraId="76F5EAA9">
      <w:pPr>
        <w:pStyle w:val="20"/>
        <w:pageBreakBefore w:val="0"/>
        <w:numPr>
          <w:ilvl w:val="0"/>
          <w:numId w:val="0"/>
        </w:numPr>
        <w:wordWrap w:val="0"/>
        <w:bidi w:val="0"/>
        <w:spacing w:after="200" w:line="360" w:lineRule="exact"/>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13.咨询人驻场人员安全由咨询单位负全责。</w:t>
      </w:r>
    </w:p>
    <w:p w14:paraId="20AA6A99">
      <w:pPr>
        <w:pStyle w:val="21"/>
        <w:pageBreakBefore w:val="0"/>
        <w:wordWrap w:val="0"/>
        <w:bidi w:val="0"/>
        <w:spacing w:after="200" w:line="276" w:lineRule="auto"/>
        <w:rPr>
          <w:rFonts w:hint="eastAsia" w:ascii="宋体" w:hAnsi="宋体" w:eastAsia="宋体" w:cs="宋体"/>
          <w:highlight w:val="yellow"/>
        </w:rPr>
      </w:pPr>
    </w:p>
    <w:p w14:paraId="0BAACB73">
      <w:pPr>
        <w:pStyle w:val="21"/>
        <w:pageBreakBefore w:val="0"/>
        <w:wordWrap w:val="0"/>
        <w:bidi w:val="0"/>
        <w:spacing w:after="200" w:line="276" w:lineRule="auto"/>
        <w:rPr>
          <w:rFonts w:hint="eastAsia" w:ascii="宋体" w:hAnsi="宋体" w:eastAsia="宋体" w:cs="宋体"/>
          <w:highlight w:val="yellow"/>
        </w:rPr>
      </w:pPr>
    </w:p>
    <w:p w14:paraId="04CAD9A2">
      <w:pPr>
        <w:pStyle w:val="21"/>
        <w:pageBreakBefore w:val="0"/>
        <w:wordWrap w:val="0"/>
        <w:bidi w:val="0"/>
        <w:spacing w:after="200" w:line="276" w:lineRule="auto"/>
        <w:rPr>
          <w:rFonts w:hint="eastAsia" w:ascii="宋体" w:hAnsi="宋体" w:eastAsia="宋体" w:cs="宋体"/>
          <w:highlight w:val="yellow"/>
        </w:rPr>
      </w:pPr>
    </w:p>
    <w:p w14:paraId="0E595AE0">
      <w:pPr>
        <w:pStyle w:val="21"/>
        <w:pageBreakBefore w:val="0"/>
        <w:wordWrap w:val="0"/>
        <w:bidi w:val="0"/>
        <w:spacing w:after="200" w:line="276" w:lineRule="auto"/>
        <w:rPr>
          <w:rFonts w:hint="eastAsia" w:ascii="宋体" w:hAnsi="宋体" w:eastAsia="宋体" w:cs="宋体"/>
          <w:highlight w:val="yellow"/>
        </w:rPr>
      </w:pPr>
    </w:p>
    <w:p w14:paraId="17CA0F44">
      <w:pPr>
        <w:pStyle w:val="21"/>
        <w:pageBreakBefore w:val="0"/>
        <w:wordWrap w:val="0"/>
        <w:bidi w:val="0"/>
        <w:spacing w:after="200" w:line="276" w:lineRule="auto"/>
        <w:rPr>
          <w:rFonts w:hint="eastAsia" w:ascii="宋体" w:hAnsi="宋体" w:eastAsia="宋体" w:cs="宋体"/>
          <w:highlight w:val="yellow"/>
        </w:rPr>
      </w:pPr>
    </w:p>
    <w:p w14:paraId="36819323">
      <w:pPr>
        <w:pStyle w:val="21"/>
        <w:pageBreakBefore w:val="0"/>
        <w:wordWrap w:val="0"/>
        <w:bidi w:val="0"/>
        <w:spacing w:after="200" w:line="276" w:lineRule="auto"/>
        <w:rPr>
          <w:rFonts w:hint="eastAsia" w:ascii="宋体" w:hAnsi="宋体" w:eastAsia="宋体" w:cs="宋体"/>
          <w:highlight w:val="yellow"/>
        </w:rPr>
      </w:pPr>
    </w:p>
    <w:p w14:paraId="29AFAA9B">
      <w:pPr>
        <w:pStyle w:val="21"/>
        <w:pageBreakBefore w:val="0"/>
        <w:wordWrap w:val="0"/>
        <w:bidi w:val="0"/>
        <w:spacing w:after="200" w:line="276" w:lineRule="auto"/>
        <w:rPr>
          <w:rFonts w:hint="eastAsia" w:ascii="宋体" w:hAnsi="宋体" w:eastAsia="宋体" w:cs="宋体"/>
          <w:highlight w:val="yellow"/>
        </w:rPr>
      </w:pPr>
    </w:p>
    <w:p w14:paraId="43887C85">
      <w:pPr>
        <w:pStyle w:val="21"/>
        <w:pageBreakBefore w:val="0"/>
        <w:wordWrap w:val="0"/>
        <w:bidi w:val="0"/>
        <w:spacing w:after="200" w:line="276" w:lineRule="auto"/>
        <w:rPr>
          <w:rFonts w:hint="eastAsia" w:ascii="宋体" w:hAnsi="宋体" w:eastAsia="宋体" w:cs="宋体"/>
          <w:highlight w:val="yellow"/>
        </w:rPr>
      </w:pPr>
    </w:p>
    <w:p w14:paraId="76D15537">
      <w:pPr>
        <w:pStyle w:val="21"/>
        <w:pageBreakBefore w:val="0"/>
        <w:wordWrap w:val="0"/>
        <w:bidi w:val="0"/>
        <w:spacing w:after="200" w:line="276" w:lineRule="auto"/>
        <w:rPr>
          <w:rFonts w:hint="eastAsia" w:ascii="宋体" w:hAnsi="宋体" w:eastAsia="宋体" w:cs="宋体"/>
          <w:highlight w:val="yellow"/>
        </w:rPr>
      </w:pPr>
    </w:p>
    <w:p w14:paraId="7C1A4B44">
      <w:pPr>
        <w:pStyle w:val="21"/>
        <w:pageBreakBefore w:val="0"/>
        <w:wordWrap w:val="0"/>
        <w:bidi w:val="0"/>
        <w:spacing w:after="200" w:line="276" w:lineRule="auto"/>
        <w:rPr>
          <w:rFonts w:hint="eastAsia" w:ascii="宋体" w:hAnsi="宋体" w:eastAsia="宋体" w:cs="宋体"/>
          <w:highlight w:val="yellow"/>
        </w:rPr>
      </w:pPr>
    </w:p>
    <w:p w14:paraId="0C320FFA">
      <w:pPr>
        <w:pStyle w:val="21"/>
        <w:pageBreakBefore w:val="0"/>
        <w:wordWrap w:val="0"/>
        <w:bidi w:val="0"/>
        <w:spacing w:after="200" w:line="276" w:lineRule="auto"/>
        <w:rPr>
          <w:rFonts w:hint="eastAsia" w:ascii="宋体" w:hAnsi="宋体" w:eastAsia="宋体" w:cs="宋体"/>
          <w:highlight w:val="yellow"/>
        </w:rPr>
      </w:pPr>
    </w:p>
    <w:p w14:paraId="71422135">
      <w:pPr>
        <w:pStyle w:val="21"/>
        <w:pageBreakBefore w:val="0"/>
        <w:wordWrap w:val="0"/>
        <w:bidi w:val="0"/>
        <w:spacing w:after="200" w:line="276" w:lineRule="auto"/>
        <w:rPr>
          <w:rFonts w:hint="eastAsia" w:ascii="宋体" w:hAnsi="宋体" w:eastAsia="宋体" w:cs="宋体"/>
          <w:highlight w:val="yellow"/>
        </w:rPr>
      </w:pPr>
    </w:p>
    <w:p w14:paraId="75153523">
      <w:pPr>
        <w:pStyle w:val="21"/>
        <w:pageBreakBefore w:val="0"/>
        <w:wordWrap w:val="0"/>
        <w:bidi w:val="0"/>
        <w:spacing w:after="200" w:line="276" w:lineRule="auto"/>
        <w:rPr>
          <w:rFonts w:hint="eastAsia" w:ascii="宋体" w:hAnsi="宋体" w:eastAsia="宋体" w:cs="宋体"/>
          <w:highlight w:val="yellow"/>
        </w:rPr>
      </w:pPr>
    </w:p>
    <w:p w14:paraId="2CF5E164">
      <w:pPr>
        <w:pStyle w:val="21"/>
        <w:pageBreakBefore w:val="0"/>
        <w:wordWrap w:val="0"/>
        <w:bidi w:val="0"/>
        <w:spacing w:after="200" w:line="276" w:lineRule="auto"/>
        <w:rPr>
          <w:rFonts w:hint="eastAsia" w:ascii="宋体" w:hAnsi="宋体" w:eastAsia="宋体" w:cs="宋体"/>
          <w:highlight w:val="yellow"/>
        </w:rPr>
      </w:pPr>
    </w:p>
    <w:p w14:paraId="1C651754">
      <w:pPr>
        <w:pStyle w:val="54"/>
        <w:pageBreakBefore w:val="0"/>
        <w:wordWrap w:val="0"/>
        <w:bidi w:val="0"/>
        <w:spacing w:line="360" w:lineRule="exact"/>
        <w:rPr>
          <w:rFonts w:hint="eastAsia" w:ascii="宋体" w:hAnsi="宋体" w:eastAsia="宋体" w:cs="宋体"/>
          <w:sz w:val="21"/>
          <w:szCs w:val="21"/>
        </w:rPr>
      </w:pPr>
      <w:bookmarkStart w:id="846" w:name="_Toc497839360"/>
      <w:bookmarkStart w:id="847" w:name="_Toc256000223"/>
      <w:bookmarkStart w:id="848" w:name="_Toc422322557"/>
      <w:bookmarkStart w:id="849" w:name="_Toc256000141"/>
      <w:bookmarkStart w:id="850" w:name="_Toc19418"/>
      <w:bookmarkStart w:id="851" w:name="_Toc419045126"/>
      <w:bookmarkStart w:id="852" w:name="_Toc497839265"/>
      <w:bookmarkStart w:id="853" w:name="_Toc12940"/>
      <w:r>
        <w:rPr>
          <w:rFonts w:hint="eastAsia" w:ascii="宋体" w:hAnsi="宋体" w:eastAsia="宋体" w:cs="宋体"/>
          <w:sz w:val="21"/>
          <w:szCs w:val="21"/>
          <w:highlight w:val="white"/>
        </w:rPr>
        <w:t>附录A服务范围及工作内容、酬金一览表</w:t>
      </w:r>
      <w:bookmarkEnd w:id="846"/>
      <w:bookmarkEnd w:id="847"/>
      <w:bookmarkEnd w:id="848"/>
      <w:bookmarkEnd w:id="849"/>
      <w:bookmarkEnd w:id="850"/>
      <w:bookmarkEnd w:id="851"/>
      <w:bookmarkEnd w:id="852"/>
      <w:bookmarkEnd w:id="853"/>
    </w:p>
    <w:tbl>
      <w:tblPr>
        <w:tblStyle w:val="28"/>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100"/>
        <w:gridCol w:w="2215"/>
        <w:gridCol w:w="650"/>
        <w:gridCol w:w="1031"/>
        <w:gridCol w:w="1345"/>
        <w:gridCol w:w="818"/>
      </w:tblGrid>
      <w:tr w14:paraId="032E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20" w:type="dxa"/>
            <w:vMerge w:val="restart"/>
            <w:noWrap w:val="0"/>
            <w:vAlign w:val="center"/>
          </w:tcPr>
          <w:p w14:paraId="4E6504F9">
            <w:pPr>
              <w:pStyle w:val="59"/>
              <w:pageBreakBefore w:val="0"/>
              <w:widowControl w:val="0"/>
              <w:wordWrap w:val="0"/>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highlight w:val="white"/>
              </w:rPr>
              <w:t>服务阶段</w:t>
            </w:r>
          </w:p>
        </w:tc>
        <w:tc>
          <w:tcPr>
            <w:tcW w:w="5315" w:type="dxa"/>
            <w:gridSpan w:val="2"/>
            <w:noWrap w:val="0"/>
            <w:vAlign w:val="center"/>
          </w:tcPr>
          <w:p w14:paraId="19BB7FF1">
            <w:pPr>
              <w:pStyle w:val="59"/>
              <w:pageBreakBefore w:val="0"/>
              <w:widowControl w:val="0"/>
              <w:wordWrap w:val="0"/>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highlight w:val="white"/>
              </w:rPr>
              <w:t>服务范围及工作内容</w:t>
            </w:r>
          </w:p>
        </w:tc>
        <w:tc>
          <w:tcPr>
            <w:tcW w:w="3026" w:type="dxa"/>
            <w:gridSpan w:val="3"/>
            <w:noWrap w:val="0"/>
            <w:vAlign w:val="top"/>
          </w:tcPr>
          <w:p w14:paraId="476FBB6A">
            <w:pPr>
              <w:pStyle w:val="59"/>
              <w:pageBreakBefore w:val="0"/>
              <w:widowControl w:val="0"/>
              <w:wordWrap w:val="0"/>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highlight w:val="white"/>
              </w:rPr>
              <w:t>酬金</w:t>
            </w:r>
          </w:p>
        </w:tc>
        <w:tc>
          <w:tcPr>
            <w:tcW w:w="818" w:type="dxa"/>
            <w:noWrap w:val="0"/>
            <w:vAlign w:val="top"/>
          </w:tcPr>
          <w:p w14:paraId="2C60A7D5">
            <w:pPr>
              <w:pStyle w:val="59"/>
              <w:pageBreakBefore w:val="0"/>
              <w:widowControl w:val="0"/>
              <w:wordWrap w:val="0"/>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highlight w:val="white"/>
              </w:rPr>
              <w:t>备注</w:t>
            </w:r>
          </w:p>
        </w:tc>
      </w:tr>
      <w:tr w14:paraId="0B5CD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20" w:type="dxa"/>
            <w:vMerge w:val="continue"/>
            <w:noWrap w:val="0"/>
            <w:vAlign w:val="center"/>
          </w:tcPr>
          <w:p w14:paraId="33489D6E">
            <w:pPr>
              <w:pStyle w:val="59"/>
              <w:pageBreakBefore w:val="0"/>
              <w:widowControl w:val="0"/>
              <w:wordWrap w:val="0"/>
              <w:bidi w:val="0"/>
              <w:spacing w:line="360" w:lineRule="exact"/>
              <w:jc w:val="center"/>
              <w:rPr>
                <w:rFonts w:hint="eastAsia" w:ascii="宋体" w:hAnsi="宋体" w:eastAsia="宋体" w:cs="宋体"/>
                <w:sz w:val="21"/>
                <w:szCs w:val="21"/>
              </w:rPr>
            </w:pPr>
          </w:p>
        </w:tc>
        <w:tc>
          <w:tcPr>
            <w:tcW w:w="3100" w:type="dxa"/>
            <w:noWrap w:val="0"/>
            <w:vAlign w:val="center"/>
          </w:tcPr>
          <w:p w14:paraId="2FCB32CE">
            <w:pPr>
              <w:pStyle w:val="59"/>
              <w:pageBreakBefore w:val="0"/>
              <w:widowControl w:val="0"/>
              <w:wordWrap w:val="0"/>
              <w:bidi w:val="0"/>
              <w:spacing w:line="360" w:lineRule="exact"/>
              <w:rPr>
                <w:rFonts w:hint="eastAsia" w:ascii="宋体" w:hAnsi="宋体" w:eastAsia="宋体" w:cs="宋体"/>
                <w:sz w:val="21"/>
                <w:szCs w:val="21"/>
              </w:rPr>
            </w:pPr>
            <w:r>
              <w:rPr>
                <w:rFonts w:hint="eastAsia" w:ascii="宋体" w:hAnsi="宋体" w:eastAsia="宋体" w:cs="宋体"/>
                <w:sz w:val="21"/>
                <w:szCs w:val="21"/>
                <w:highlight w:val="white"/>
              </w:rPr>
              <w:t>服务范围</w:t>
            </w:r>
          </w:p>
        </w:tc>
        <w:tc>
          <w:tcPr>
            <w:tcW w:w="2215" w:type="dxa"/>
            <w:noWrap w:val="0"/>
            <w:vAlign w:val="center"/>
          </w:tcPr>
          <w:p w14:paraId="19F71872">
            <w:pPr>
              <w:pStyle w:val="59"/>
              <w:pageBreakBefore w:val="0"/>
              <w:widowControl w:val="0"/>
              <w:wordWrap w:val="0"/>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highlight w:val="white"/>
              </w:rPr>
              <w:t>工作内容</w:t>
            </w:r>
          </w:p>
        </w:tc>
        <w:tc>
          <w:tcPr>
            <w:tcW w:w="650" w:type="dxa"/>
            <w:noWrap w:val="0"/>
            <w:vAlign w:val="top"/>
          </w:tcPr>
          <w:p w14:paraId="6E288750">
            <w:pPr>
              <w:pStyle w:val="59"/>
              <w:pageBreakBefore w:val="0"/>
              <w:widowControl w:val="0"/>
              <w:wordWrap w:val="0"/>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highlight w:val="white"/>
              </w:rPr>
              <w:t>收费基数</w:t>
            </w:r>
          </w:p>
        </w:tc>
        <w:tc>
          <w:tcPr>
            <w:tcW w:w="1031" w:type="dxa"/>
            <w:noWrap w:val="0"/>
            <w:vAlign w:val="top"/>
          </w:tcPr>
          <w:p w14:paraId="1DA1D09B">
            <w:pPr>
              <w:pStyle w:val="59"/>
              <w:pageBreakBefore w:val="0"/>
              <w:widowControl w:val="0"/>
              <w:wordWrap w:val="0"/>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highlight w:val="white"/>
              </w:rPr>
              <w:t>收费标准（比例）</w:t>
            </w:r>
          </w:p>
        </w:tc>
        <w:tc>
          <w:tcPr>
            <w:tcW w:w="1345" w:type="dxa"/>
            <w:noWrap w:val="0"/>
            <w:vAlign w:val="top"/>
          </w:tcPr>
          <w:p w14:paraId="3FA65158">
            <w:pPr>
              <w:pStyle w:val="59"/>
              <w:pageBreakBefore w:val="0"/>
              <w:widowControl w:val="0"/>
              <w:wordWrap w:val="0"/>
              <w:bidi w:val="0"/>
              <w:spacing w:line="360" w:lineRule="exact"/>
              <w:jc w:val="both"/>
              <w:rPr>
                <w:rFonts w:hint="eastAsia" w:ascii="宋体" w:hAnsi="宋体" w:eastAsia="宋体" w:cs="宋体"/>
                <w:sz w:val="21"/>
                <w:szCs w:val="21"/>
              </w:rPr>
            </w:pPr>
            <w:r>
              <w:rPr>
                <w:rFonts w:hint="eastAsia" w:ascii="宋体" w:hAnsi="宋体" w:eastAsia="宋体" w:cs="宋体"/>
                <w:sz w:val="21"/>
                <w:szCs w:val="21"/>
                <w:highlight w:val="white"/>
              </w:rPr>
              <w:t>酬金数额（单位：万元）</w:t>
            </w:r>
          </w:p>
        </w:tc>
        <w:tc>
          <w:tcPr>
            <w:tcW w:w="818" w:type="dxa"/>
            <w:noWrap w:val="0"/>
            <w:vAlign w:val="top"/>
          </w:tcPr>
          <w:p w14:paraId="77501DAF">
            <w:pPr>
              <w:pStyle w:val="59"/>
              <w:pageBreakBefore w:val="0"/>
              <w:widowControl w:val="0"/>
              <w:wordWrap w:val="0"/>
              <w:bidi w:val="0"/>
              <w:spacing w:line="360" w:lineRule="exact"/>
              <w:jc w:val="center"/>
              <w:rPr>
                <w:rFonts w:hint="eastAsia" w:ascii="宋体" w:hAnsi="宋体" w:eastAsia="宋体" w:cs="宋体"/>
                <w:sz w:val="21"/>
                <w:szCs w:val="21"/>
              </w:rPr>
            </w:pPr>
          </w:p>
        </w:tc>
      </w:tr>
      <w:tr w14:paraId="19FC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Merge w:val="restart"/>
            <w:noWrap w:val="0"/>
            <w:vAlign w:val="center"/>
          </w:tcPr>
          <w:p w14:paraId="379DDF5B">
            <w:pPr>
              <w:pStyle w:val="59"/>
              <w:pageBreakBefore w:val="0"/>
              <w:widowControl w:val="0"/>
              <w:wordWrap w:val="0"/>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highlight w:val="white"/>
              </w:rPr>
              <w:t>设计阶段</w:t>
            </w:r>
          </w:p>
        </w:tc>
        <w:tc>
          <w:tcPr>
            <w:tcW w:w="3100" w:type="dxa"/>
            <w:noWrap w:val="0"/>
            <w:vAlign w:val="top"/>
          </w:tcPr>
          <w:p w14:paraId="3EB8803D">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设计概算</w:t>
            </w:r>
          </w:p>
        </w:tc>
        <w:tc>
          <w:tcPr>
            <w:tcW w:w="2215" w:type="dxa"/>
            <w:noWrap w:val="0"/>
            <w:vAlign w:val="top"/>
          </w:tcPr>
          <w:p w14:paraId="4E4CD3C8">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□编制□审核□调整</w:t>
            </w:r>
          </w:p>
        </w:tc>
        <w:tc>
          <w:tcPr>
            <w:tcW w:w="650" w:type="dxa"/>
            <w:noWrap w:val="0"/>
            <w:vAlign w:val="top"/>
          </w:tcPr>
          <w:p w14:paraId="01B359E5">
            <w:pPr>
              <w:pStyle w:val="20"/>
              <w:pageBreakBefore w:val="0"/>
              <w:wordWrap w:val="0"/>
              <w:bidi w:val="0"/>
              <w:spacing w:after="200" w:line="360" w:lineRule="exact"/>
              <w:rPr>
                <w:rFonts w:hint="eastAsia" w:ascii="宋体" w:hAnsi="宋体" w:eastAsia="宋体" w:cs="宋体"/>
                <w:szCs w:val="21"/>
              </w:rPr>
            </w:pPr>
          </w:p>
        </w:tc>
        <w:tc>
          <w:tcPr>
            <w:tcW w:w="1031" w:type="dxa"/>
            <w:noWrap w:val="0"/>
            <w:vAlign w:val="top"/>
          </w:tcPr>
          <w:p w14:paraId="16E3369B">
            <w:pPr>
              <w:pStyle w:val="20"/>
              <w:pageBreakBefore w:val="0"/>
              <w:wordWrap w:val="0"/>
              <w:bidi w:val="0"/>
              <w:spacing w:after="200" w:line="360" w:lineRule="exact"/>
              <w:rPr>
                <w:rFonts w:hint="eastAsia" w:ascii="宋体" w:hAnsi="宋体" w:eastAsia="宋体" w:cs="宋体"/>
                <w:szCs w:val="21"/>
              </w:rPr>
            </w:pPr>
          </w:p>
        </w:tc>
        <w:tc>
          <w:tcPr>
            <w:tcW w:w="1345" w:type="dxa"/>
            <w:noWrap w:val="0"/>
            <w:vAlign w:val="top"/>
          </w:tcPr>
          <w:p w14:paraId="1E8FC100">
            <w:pPr>
              <w:pStyle w:val="20"/>
              <w:pageBreakBefore w:val="0"/>
              <w:wordWrap w:val="0"/>
              <w:bidi w:val="0"/>
              <w:spacing w:after="200" w:line="360" w:lineRule="exact"/>
              <w:rPr>
                <w:rFonts w:hint="eastAsia" w:ascii="宋体" w:hAnsi="宋体" w:eastAsia="宋体" w:cs="宋体"/>
                <w:szCs w:val="21"/>
              </w:rPr>
            </w:pPr>
          </w:p>
        </w:tc>
        <w:tc>
          <w:tcPr>
            <w:tcW w:w="818" w:type="dxa"/>
            <w:noWrap w:val="0"/>
            <w:vAlign w:val="top"/>
          </w:tcPr>
          <w:p w14:paraId="02ACB7E8">
            <w:pPr>
              <w:pStyle w:val="20"/>
              <w:pageBreakBefore w:val="0"/>
              <w:wordWrap w:val="0"/>
              <w:bidi w:val="0"/>
              <w:spacing w:after="200" w:line="360" w:lineRule="exact"/>
              <w:jc w:val="center"/>
              <w:rPr>
                <w:rFonts w:hint="eastAsia" w:ascii="宋体" w:hAnsi="宋体" w:eastAsia="宋体" w:cs="宋体"/>
                <w:szCs w:val="21"/>
              </w:rPr>
            </w:pPr>
          </w:p>
        </w:tc>
      </w:tr>
      <w:tr w14:paraId="235F9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Merge w:val="continue"/>
            <w:noWrap w:val="0"/>
            <w:vAlign w:val="center"/>
          </w:tcPr>
          <w:p w14:paraId="6FCB0120">
            <w:pPr>
              <w:pStyle w:val="59"/>
              <w:pageBreakBefore w:val="0"/>
              <w:widowControl w:val="0"/>
              <w:wordWrap w:val="0"/>
              <w:bidi w:val="0"/>
              <w:spacing w:line="360" w:lineRule="exact"/>
              <w:jc w:val="center"/>
              <w:rPr>
                <w:rFonts w:hint="eastAsia" w:ascii="宋体" w:hAnsi="宋体" w:eastAsia="宋体" w:cs="宋体"/>
                <w:sz w:val="21"/>
                <w:szCs w:val="21"/>
              </w:rPr>
            </w:pPr>
          </w:p>
        </w:tc>
        <w:tc>
          <w:tcPr>
            <w:tcW w:w="3100" w:type="dxa"/>
            <w:noWrap w:val="0"/>
            <w:vAlign w:val="top"/>
          </w:tcPr>
          <w:p w14:paraId="5BFE9C10">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施工图预算</w:t>
            </w:r>
          </w:p>
        </w:tc>
        <w:tc>
          <w:tcPr>
            <w:tcW w:w="2215" w:type="dxa"/>
            <w:noWrap w:val="0"/>
            <w:vAlign w:val="top"/>
          </w:tcPr>
          <w:p w14:paraId="5536D4EC">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□编制□审核□调整</w:t>
            </w:r>
          </w:p>
        </w:tc>
        <w:tc>
          <w:tcPr>
            <w:tcW w:w="650" w:type="dxa"/>
            <w:noWrap w:val="0"/>
            <w:vAlign w:val="top"/>
          </w:tcPr>
          <w:p w14:paraId="0AA1E731">
            <w:pPr>
              <w:pStyle w:val="20"/>
              <w:pageBreakBefore w:val="0"/>
              <w:wordWrap w:val="0"/>
              <w:bidi w:val="0"/>
              <w:spacing w:after="200" w:line="360" w:lineRule="exact"/>
              <w:rPr>
                <w:rFonts w:hint="eastAsia" w:ascii="宋体" w:hAnsi="宋体" w:eastAsia="宋体" w:cs="宋体"/>
                <w:szCs w:val="21"/>
              </w:rPr>
            </w:pPr>
          </w:p>
        </w:tc>
        <w:tc>
          <w:tcPr>
            <w:tcW w:w="1031" w:type="dxa"/>
            <w:noWrap w:val="0"/>
            <w:vAlign w:val="top"/>
          </w:tcPr>
          <w:p w14:paraId="468CBD0B">
            <w:pPr>
              <w:pStyle w:val="20"/>
              <w:pageBreakBefore w:val="0"/>
              <w:wordWrap w:val="0"/>
              <w:bidi w:val="0"/>
              <w:spacing w:after="200" w:line="360" w:lineRule="exact"/>
              <w:rPr>
                <w:rFonts w:hint="eastAsia" w:ascii="宋体" w:hAnsi="宋体" w:eastAsia="宋体" w:cs="宋体"/>
                <w:szCs w:val="21"/>
              </w:rPr>
            </w:pPr>
          </w:p>
        </w:tc>
        <w:tc>
          <w:tcPr>
            <w:tcW w:w="1345" w:type="dxa"/>
            <w:noWrap w:val="0"/>
            <w:vAlign w:val="top"/>
          </w:tcPr>
          <w:p w14:paraId="469DF5C8">
            <w:pPr>
              <w:pStyle w:val="20"/>
              <w:pageBreakBefore w:val="0"/>
              <w:wordWrap w:val="0"/>
              <w:bidi w:val="0"/>
              <w:spacing w:after="200" w:line="360" w:lineRule="exact"/>
              <w:rPr>
                <w:rFonts w:hint="eastAsia" w:ascii="宋体" w:hAnsi="宋体" w:eastAsia="宋体" w:cs="宋体"/>
                <w:szCs w:val="21"/>
              </w:rPr>
            </w:pPr>
          </w:p>
        </w:tc>
        <w:tc>
          <w:tcPr>
            <w:tcW w:w="818" w:type="dxa"/>
            <w:noWrap w:val="0"/>
            <w:vAlign w:val="top"/>
          </w:tcPr>
          <w:p w14:paraId="75A53934">
            <w:pPr>
              <w:pStyle w:val="20"/>
              <w:pageBreakBefore w:val="0"/>
              <w:wordWrap w:val="0"/>
              <w:bidi w:val="0"/>
              <w:spacing w:after="200" w:line="360" w:lineRule="exact"/>
              <w:jc w:val="center"/>
              <w:rPr>
                <w:rFonts w:hint="eastAsia" w:ascii="宋体" w:hAnsi="宋体" w:eastAsia="宋体" w:cs="宋体"/>
                <w:szCs w:val="21"/>
              </w:rPr>
            </w:pPr>
          </w:p>
        </w:tc>
      </w:tr>
      <w:tr w14:paraId="3E8E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Merge w:val="continue"/>
            <w:noWrap w:val="0"/>
            <w:vAlign w:val="center"/>
          </w:tcPr>
          <w:p w14:paraId="0A6B19B3">
            <w:pPr>
              <w:pStyle w:val="59"/>
              <w:pageBreakBefore w:val="0"/>
              <w:widowControl w:val="0"/>
              <w:wordWrap w:val="0"/>
              <w:bidi w:val="0"/>
              <w:spacing w:line="360" w:lineRule="exact"/>
              <w:jc w:val="center"/>
              <w:rPr>
                <w:rFonts w:hint="eastAsia" w:ascii="宋体" w:hAnsi="宋体" w:eastAsia="宋体" w:cs="宋体"/>
                <w:sz w:val="21"/>
                <w:szCs w:val="21"/>
              </w:rPr>
            </w:pPr>
          </w:p>
        </w:tc>
        <w:tc>
          <w:tcPr>
            <w:tcW w:w="3100" w:type="dxa"/>
            <w:noWrap w:val="0"/>
            <w:vAlign w:val="top"/>
          </w:tcPr>
          <w:p w14:paraId="32FC467B">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其他：</w:t>
            </w:r>
          </w:p>
        </w:tc>
        <w:tc>
          <w:tcPr>
            <w:tcW w:w="2215" w:type="dxa"/>
            <w:noWrap w:val="0"/>
            <w:vAlign w:val="top"/>
          </w:tcPr>
          <w:p w14:paraId="6EB7461E">
            <w:pPr>
              <w:pStyle w:val="20"/>
              <w:pageBreakBefore w:val="0"/>
              <w:wordWrap w:val="0"/>
              <w:bidi w:val="0"/>
              <w:spacing w:after="200" w:line="360" w:lineRule="exact"/>
              <w:rPr>
                <w:rFonts w:hint="eastAsia" w:ascii="宋体" w:hAnsi="宋体" w:eastAsia="宋体" w:cs="宋体"/>
                <w:szCs w:val="21"/>
              </w:rPr>
            </w:pPr>
          </w:p>
        </w:tc>
        <w:tc>
          <w:tcPr>
            <w:tcW w:w="650" w:type="dxa"/>
            <w:noWrap w:val="0"/>
            <w:vAlign w:val="top"/>
          </w:tcPr>
          <w:p w14:paraId="7C8EA8DC">
            <w:pPr>
              <w:pStyle w:val="20"/>
              <w:pageBreakBefore w:val="0"/>
              <w:wordWrap w:val="0"/>
              <w:bidi w:val="0"/>
              <w:spacing w:after="200" w:line="360" w:lineRule="exact"/>
              <w:rPr>
                <w:rFonts w:hint="eastAsia" w:ascii="宋体" w:hAnsi="宋体" w:eastAsia="宋体" w:cs="宋体"/>
                <w:szCs w:val="21"/>
              </w:rPr>
            </w:pPr>
          </w:p>
        </w:tc>
        <w:tc>
          <w:tcPr>
            <w:tcW w:w="1031" w:type="dxa"/>
            <w:noWrap w:val="0"/>
            <w:vAlign w:val="top"/>
          </w:tcPr>
          <w:p w14:paraId="314BFA61">
            <w:pPr>
              <w:pStyle w:val="20"/>
              <w:pageBreakBefore w:val="0"/>
              <w:wordWrap w:val="0"/>
              <w:bidi w:val="0"/>
              <w:spacing w:after="200" w:line="360" w:lineRule="exact"/>
              <w:rPr>
                <w:rFonts w:hint="eastAsia" w:ascii="宋体" w:hAnsi="宋体" w:eastAsia="宋体" w:cs="宋体"/>
                <w:szCs w:val="21"/>
              </w:rPr>
            </w:pPr>
          </w:p>
        </w:tc>
        <w:tc>
          <w:tcPr>
            <w:tcW w:w="1345" w:type="dxa"/>
            <w:noWrap w:val="0"/>
            <w:vAlign w:val="top"/>
          </w:tcPr>
          <w:p w14:paraId="7D2411FD">
            <w:pPr>
              <w:pStyle w:val="20"/>
              <w:pageBreakBefore w:val="0"/>
              <w:wordWrap w:val="0"/>
              <w:bidi w:val="0"/>
              <w:spacing w:after="200" w:line="360" w:lineRule="exact"/>
              <w:rPr>
                <w:rFonts w:hint="eastAsia" w:ascii="宋体" w:hAnsi="宋体" w:eastAsia="宋体" w:cs="宋体"/>
                <w:szCs w:val="21"/>
              </w:rPr>
            </w:pPr>
          </w:p>
        </w:tc>
        <w:tc>
          <w:tcPr>
            <w:tcW w:w="818" w:type="dxa"/>
            <w:noWrap w:val="0"/>
            <w:vAlign w:val="top"/>
          </w:tcPr>
          <w:p w14:paraId="59E80251">
            <w:pPr>
              <w:pStyle w:val="20"/>
              <w:pageBreakBefore w:val="0"/>
              <w:wordWrap w:val="0"/>
              <w:bidi w:val="0"/>
              <w:spacing w:after="200" w:line="360" w:lineRule="exact"/>
              <w:jc w:val="center"/>
              <w:rPr>
                <w:rFonts w:hint="eastAsia" w:ascii="宋体" w:hAnsi="宋体" w:eastAsia="宋体" w:cs="宋体"/>
                <w:szCs w:val="21"/>
              </w:rPr>
            </w:pPr>
          </w:p>
        </w:tc>
      </w:tr>
      <w:tr w14:paraId="0579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Merge w:val="restart"/>
            <w:noWrap w:val="0"/>
            <w:vAlign w:val="center"/>
          </w:tcPr>
          <w:p w14:paraId="0EBA832A">
            <w:pPr>
              <w:pStyle w:val="20"/>
              <w:pageBreakBefore w:val="0"/>
              <w:wordWrap w:val="0"/>
              <w:bidi w:val="0"/>
              <w:spacing w:after="200" w:line="360" w:lineRule="exact"/>
              <w:jc w:val="center"/>
              <w:rPr>
                <w:rFonts w:hint="eastAsia" w:ascii="宋体" w:hAnsi="宋体" w:eastAsia="宋体" w:cs="宋体"/>
                <w:szCs w:val="21"/>
              </w:rPr>
            </w:pPr>
            <w:r>
              <w:rPr>
                <w:rFonts w:hint="eastAsia" w:ascii="宋体" w:hAnsi="宋体" w:eastAsia="宋体" w:cs="宋体"/>
                <w:szCs w:val="21"/>
                <w:highlight w:val="white"/>
              </w:rPr>
              <w:t>发承包阶段</w:t>
            </w:r>
          </w:p>
        </w:tc>
        <w:tc>
          <w:tcPr>
            <w:tcW w:w="3100" w:type="dxa"/>
            <w:noWrap w:val="0"/>
            <w:vAlign w:val="top"/>
          </w:tcPr>
          <w:p w14:paraId="58645AB7">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工程量清单</w:t>
            </w:r>
          </w:p>
        </w:tc>
        <w:tc>
          <w:tcPr>
            <w:tcW w:w="2215" w:type="dxa"/>
            <w:noWrap w:val="0"/>
            <w:vAlign w:val="top"/>
          </w:tcPr>
          <w:p w14:paraId="4AF97776">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□编制□审核□调整</w:t>
            </w:r>
          </w:p>
        </w:tc>
        <w:tc>
          <w:tcPr>
            <w:tcW w:w="650" w:type="dxa"/>
            <w:noWrap w:val="0"/>
            <w:vAlign w:val="top"/>
          </w:tcPr>
          <w:p w14:paraId="2EB27755">
            <w:pPr>
              <w:pStyle w:val="20"/>
              <w:pageBreakBefore w:val="0"/>
              <w:wordWrap w:val="0"/>
              <w:bidi w:val="0"/>
              <w:spacing w:after="200" w:line="360" w:lineRule="exact"/>
              <w:rPr>
                <w:rFonts w:hint="eastAsia" w:ascii="宋体" w:hAnsi="宋体" w:eastAsia="宋体" w:cs="宋体"/>
                <w:szCs w:val="21"/>
              </w:rPr>
            </w:pPr>
          </w:p>
        </w:tc>
        <w:tc>
          <w:tcPr>
            <w:tcW w:w="1031" w:type="dxa"/>
            <w:noWrap w:val="0"/>
            <w:vAlign w:val="top"/>
          </w:tcPr>
          <w:p w14:paraId="4ED3EC1D">
            <w:pPr>
              <w:pStyle w:val="20"/>
              <w:pageBreakBefore w:val="0"/>
              <w:wordWrap w:val="0"/>
              <w:bidi w:val="0"/>
              <w:spacing w:after="200" w:line="360" w:lineRule="exact"/>
              <w:rPr>
                <w:rFonts w:hint="eastAsia" w:ascii="宋体" w:hAnsi="宋体" w:eastAsia="宋体" w:cs="宋体"/>
                <w:szCs w:val="21"/>
              </w:rPr>
            </w:pPr>
          </w:p>
        </w:tc>
        <w:tc>
          <w:tcPr>
            <w:tcW w:w="1345" w:type="dxa"/>
            <w:noWrap w:val="0"/>
            <w:vAlign w:val="top"/>
          </w:tcPr>
          <w:p w14:paraId="351B1AC3">
            <w:pPr>
              <w:pStyle w:val="20"/>
              <w:pageBreakBefore w:val="0"/>
              <w:wordWrap w:val="0"/>
              <w:bidi w:val="0"/>
              <w:spacing w:after="200" w:line="360" w:lineRule="exact"/>
              <w:rPr>
                <w:rFonts w:hint="eastAsia" w:ascii="宋体" w:hAnsi="宋体" w:eastAsia="宋体" w:cs="宋体"/>
                <w:szCs w:val="21"/>
              </w:rPr>
            </w:pPr>
          </w:p>
        </w:tc>
        <w:tc>
          <w:tcPr>
            <w:tcW w:w="818" w:type="dxa"/>
            <w:noWrap w:val="0"/>
            <w:vAlign w:val="top"/>
          </w:tcPr>
          <w:p w14:paraId="7C391500">
            <w:pPr>
              <w:pStyle w:val="20"/>
              <w:pageBreakBefore w:val="0"/>
              <w:wordWrap w:val="0"/>
              <w:bidi w:val="0"/>
              <w:spacing w:after="200" w:line="360" w:lineRule="exact"/>
              <w:jc w:val="center"/>
              <w:rPr>
                <w:rFonts w:hint="eastAsia" w:ascii="宋体" w:hAnsi="宋体" w:eastAsia="宋体" w:cs="宋体"/>
                <w:szCs w:val="21"/>
              </w:rPr>
            </w:pPr>
          </w:p>
        </w:tc>
      </w:tr>
      <w:tr w14:paraId="577B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Merge w:val="continue"/>
            <w:noWrap w:val="0"/>
            <w:vAlign w:val="top"/>
          </w:tcPr>
          <w:p w14:paraId="26B15531">
            <w:pPr>
              <w:pStyle w:val="20"/>
              <w:pageBreakBefore w:val="0"/>
              <w:wordWrap w:val="0"/>
              <w:bidi w:val="0"/>
              <w:spacing w:after="200" w:line="360" w:lineRule="exact"/>
              <w:jc w:val="center"/>
              <w:rPr>
                <w:rFonts w:hint="eastAsia" w:ascii="宋体" w:hAnsi="宋体" w:eastAsia="宋体" w:cs="宋体"/>
                <w:szCs w:val="21"/>
              </w:rPr>
            </w:pPr>
          </w:p>
        </w:tc>
        <w:tc>
          <w:tcPr>
            <w:tcW w:w="3100" w:type="dxa"/>
            <w:noWrap w:val="0"/>
            <w:vAlign w:val="top"/>
          </w:tcPr>
          <w:p w14:paraId="5CC19782">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最高投标限价</w:t>
            </w:r>
          </w:p>
        </w:tc>
        <w:tc>
          <w:tcPr>
            <w:tcW w:w="2215" w:type="dxa"/>
            <w:noWrap w:val="0"/>
            <w:vAlign w:val="top"/>
          </w:tcPr>
          <w:p w14:paraId="03EB62D1">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□编制□审核□调整</w:t>
            </w:r>
          </w:p>
        </w:tc>
        <w:tc>
          <w:tcPr>
            <w:tcW w:w="650" w:type="dxa"/>
            <w:noWrap w:val="0"/>
            <w:vAlign w:val="top"/>
          </w:tcPr>
          <w:p w14:paraId="6954D655">
            <w:pPr>
              <w:pStyle w:val="20"/>
              <w:pageBreakBefore w:val="0"/>
              <w:wordWrap w:val="0"/>
              <w:bidi w:val="0"/>
              <w:spacing w:after="200" w:line="360" w:lineRule="exact"/>
              <w:rPr>
                <w:rFonts w:hint="eastAsia" w:ascii="宋体" w:hAnsi="宋体" w:eastAsia="宋体" w:cs="宋体"/>
                <w:szCs w:val="21"/>
              </w:rPr>
            </w:pPr>
          </w:p>
        </w:tc>
        <w:tc>
          <w:tcPr>
            <w:tcW w:w="1031" w:type="dxa"/>
            <w:noWrap w:val="0"/>
            <w:vAlign w:val="top"/>
          </w:tcPr>
          <w:p w14:paraId="7731266D">
            <w:pPr>
              <w:pStyle w:val="20"/>
              <w:pageBreakBefore w:val="0"/>
              <w:wordWrap w:val="0"/>
              <w:bidi w:val="0"/>
              <w:spacing w:after="200" w:line="360" w:lineRule="exact"/>
              <w:rPr>
                <w:rFonts w:hint="eastAsia" w:ascii="宋体" w:hAnsi="宋体" w:eastAsia="宋体" w:cs="宋体"/>
                <w:szCs w:val="21"/>
              </w:rPr>
            </w:pPr>
          </w:p>
        </w:tc>
        <w:tc>
          <w:tcPr>
            <w:tcW w:w="1345" w:type="dxa"/>
            <w:noWrap w:val="0"/>
            <w:vAlign w:val="top"/>
          </w:tcPr>
          <w:p w14:paraId="0A862FDE">
            <w:pPr>
              <w:pStyle w:val="20"/>
              <w:pageBreakBefore w:val="0"/>
              <w:wordWrap w:val="0"/>
              <w:bidi w:val="0"/>
              <w:spacing w:after="200" w:line="360" w:lineRule="exact"/>
              <w:rPr>
                <w:rFonts w:hint="eastAsia" w:ascii="宋体" w:hAnsi="宋体" w:eastAsia="宋体" w:cs="宋体"/>
                <w:szCs w:val="21"/>
              </w:rPr>
            </w:pPr>
          </w:p>
        </w:tc>
        <w:tc>
          <w:tcPr>
            <w:tcW w:w="818" w:type="dxa"/>
            <w:noWrap w:val="0"/>
            <w:vAlign w:val="top"/>
          </w:tcPr>
          <w:p w14:paraId="7A5376D7">
            <w:pPr>
              <w:pStyle w:val="20"/>
              <w:pageBreakBefore w:val="0"/>
              <w:wordWrap w:val="0"/>
              <w:bidi w:val="0"/>
              <w:spacing w:after="200" w:line="360" w:lineRule="exact"/>
              <w:jc w:val="center"/>
              <w:rPr>
                <w:rFonts w:hint="eastAsia" w:ascii="宋体" w:hAnsi="宋体" w:eastAsia="宋体" w:cs="宋体"/>
                <w:szCs w:val="21"/>
              </w:rPr>
            </w:pPr>
          </w:p>
        </w:tc>
      </w:tr>
      <w:tr w14:paraId="4CAF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Merge w:val="continue"/>
            <w:noWrap w:val="0"/>
            <w:vAlign w:val="top"/>
          </w:tcPr>
          <w:p w14:paraId="33125BF0">
            <w:pPr>
              <w:pStyle w:val="20"/>
              <w:pageBreakBefore w:val="0"/>
              <w:wordWrap w:val="0"/>
              <w:bidi w:val="0"/>
              <w:spacing w:after="200" w:line="360" w:lineRule="exact"/>
              <w:jc w:val="center"/>
              <w:rPr>
                <w:rFonts w:hint="eastAsia" w:ascii="宋体" w:hAnsi="宋体" w:eastAsia="宋体" w:cs="宋体"/>
                <w:szCs w:val="21"/>
              </w:rPr>
            </w:pPr>
          </w:p>
        </w:tc>
        <w:tc>
          <w:tcPr>
            <w:tcW w:w="3100" w:type="dxa"/>
            <w:noWrap w:val="0"/>
            <w:vAlign w:val="top"/>
          </w:tcPr>
          <w:p w14:paraId="03B3F370">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投标报价分析</w:t>
            </w:r>
          </w:p>
        </w:tc>
        <w:tc>
          <w:tcPr>
            <w:tcW w:w="2215" w:type="dxa"/>
            <w:noWrap w:val="0"/>
            <w:vAlign w:val="top"/>
          </w:tcPr>
          <w:p w14:paraId="1E11305B">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□编制□审核□调整</w:t>
            </w:r>
          </w:p>
        </w:tc>
        <w:tc>
          <w:tcPr>
            <w:tcW w:w="650" w:type="dxa"/>
            <w:noWrap w:val="0"/>
            <w:vAlign w:val="top"/>
          </w:tcPr>
          <w:p w14:paraId="1C518E39">
            <w:pPr>
              <w:pStyle w:val="20"/>
              <w:pageBreakBefore w:val="0"/>
              <w:wordWrap w:val="0"/>
              <w:bidi w:val="0"/>
              <w:spacing w:after="200" w:line="360" w:lineRule="exact"/>
              <w:rPr>
                <w:rFonts w:hint="eastAsia" w:ascii="宋体" w:hAnsi="宋体" w:eastAsia="宋体" w:cs="宋体"/>
                <w:szCs w:val="21"/>
              </w:rPr>
            </w:pPr>
          </w:p>
        </w:tc>
        <w:tc>
          <w:tcPr>
            <w:tcW w:w="1031" w:type="dxa"/>
            <w:noWrap w:val="0"/>
            <w:vAlign w:val="top"/>
          </w:tcPr>
          <w:p w14:paraId="6BAC53C0">
            <w:pPr>
              <w:pStyle w:val="20"/>
              <w:pageBreakBefore w:val="0"/>
              <w:wordWrap w:val="0"/>
              <w:bidi w:val="0"/>
              <w:spacing w:after="200" w:line="360" w:lineRule="exact"/>
              <w:rPr>
                <w:rFonts w:hint="eastAsia" w:ascii="宋体" w:hAnsi="宋体" w:eastAsia="宋体" w:cs="宋体"/>
                <w:szCs w:val="21"/>
              </w:rPr>
            </w:pPr>
          </w:p>
        </w:tc>
        <w:tc>
          <w:tcPr>
            <w:tcW w:w="1345" w:type="dxa"/>
            <w:noWrap w:val="0"/>
            <w:vAlign w:val="top"/>
          </w:tcPr>
          <w:p w14:paraId="4A252BBF">
            <w:pPr>
              <w:pStyle w:val="20"/>
              <w:pageBreakBefore w:val="0"/>
              <w:wordWrap w:val="0"/>
              <w:bidi w:val="0"/>
              <w:spacing w:after="200" w:line="360" w:lineRule="exact"/>
              <w:rPr>
                <w:rFonts w:hint="eastAsia" w:ascii="宋体" w:hAnsi="宋体" w:eastAsia="宋体" w:cs="宋体"/>
                <w:szCs w:val="21"/>
              </w:rPr>
            </w:pPr>
          </w:p>
        </w:tc>
        <w:tc>
          <w:tcPr>
            <w:tcW w:w="818" w:type="dxa"/>
            <w:noWrap w:val="0"/>
            <w:vAlign w:val="top"/>
          </w:tcPr>
          <w:p w14:paraId="785B185F">
            <w:pPr>
              <w:pStyle w:val="20"/>
              <w:pageBreakBefore w:val="0"/>
              <w:wordWrap w:val="0"/>
              <w:bidi w:val="0"/>
              <w:spacing w:after="200" w:line="360" w:lineRule="exact"/>
              <w:jc w:val="center"/>
              <w:rPr>
                <w:rFonts w:hint="eastAsia" w:ascii="宋体" w:hAnsi="宋体" w:eastAsia="宋体" w:cs="宋体"/>
                <w:szCs w:val="21"/>
              </w:rPr>
            </w:pPr>
          </w:p>
        </w:tc>
      </w:tr>
      <w:tr w14:paraId="4410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Merge w:val="continue"/>
            <w:noWrap w:val="0"/>
            <w:vAlign w:val="top"/>
          </w:tcPr>
          <w:p w14:paraId="3B1949FE">
            <w:pPr>
              <w:pStyle w:val="20"/>
              <w:pageBreakBefore w:val="0"/>
              <w:wordWrap w:val="0"/>
              <w:bidi w:val="0"/>
              <w:spacing w:after="200" w:line="360" w:lineRule="exact"/>
              <w:jc w:val="center"/>
              <w:rPr>
                <w:rFonts w:hint="eastAsia" w:ascii="宋体" w:hAnsi="宋体" w:eastAsia="宋体" w:cs="宋体"/>
                <w:szCs w:val="21"/>
              </w:rPr>
            </w:pPr>
          </w:p>
        </w:tc>
        <w:tc>
          <w:tcPr>
            <w:tcW w:w="3100" w:type="dxa"/>
            <w:noWrap w:val="0"/>
            <w:vAlign w:val="top"/>
          </w:tcPr>
          <w:p w14:paraId="15E8390E">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清标报告</w:t>
            </w:r>
          </w:p>
        </w:tc>
        <w:tc>
          <w:tcPr>
            <w:tcW w:w="2215" w:type="dxa"/>
            <w:noWrap w:val="0"/>
            <w:vAlign w:val="top"/>
          </w:tcPr>
          <w:p w14:paraId="4AF281B9">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□编制□审核□调整</w:t>
            </w:r>
          </w:p>
        </w:tc>
        <w:tc>
          <w:tcPr>
            <w:tcW w:w="650" w:type="dxa"/>
            <w:noWrap w:val="0"/>
            <w:vAlign w:val="top"/>
          </w:tcPr>
          <w:p w14:paraId="2756D0A7">
            <w:pPr>
              <w:pStyle w:val="20"/>
              <w:pageBreakBefore w:val="0"/>
              <w:wordWrap w:val="0"/>
              <w:bidi w:val="0"/>
              <w:spacing w:after="200" w:line="360" w:lineRule="exact"/>
              <w:rPr>
                <w:rFonts w:hint="eastAsia" w:ascii="宋体" w:hAnsi="宋体" w:eastAsia="宋体" w:cs="宋体"/>
                <w:szCs w:val="21"/>
              </w:rPr>
            </w:pPr>
          </w:p>
        </w:tc>
        <w:tc>
          <w:tcPr>
            <w:tcW w:w="1031" w:type="dxa"/>
            <w:noWrap w:val="0"/>
            <w:vAlign w:val="top"/>
          </w:tcPr>
          <w:p w14:paraId="3998051A">
            <w:pPr>
              <w:pStyle w:val="20"/>
              <w:pageBreakBefore w:val="0"/>
              <w:wordWrap w:val="0"/>
              <w:bidi w:val="0"/>
              <w:spacing w:after="200" w:line="360" w:lineRule="exact"/>
              <w:rPr>
                <w:rFonts w:hint="eastAsia" w:ascii="宋体" w:hAnsi="宋体" w:eastAsia="宋体" w:cs="宋体"/>
                <w:szCs w:val="21"/>
              </w:rPr>
            </w:pPr>
          </w:p>
        </w:tc>
        <w:tc>
          <w:tcPr>
            <w:tcW w:w="1345" w:type="dxa"/>
            <w:noWrap w:val="0"/>
            <w:vAlign w:val="top"/>
          </w:tcPr>
          <w:p w14:paraId="43086468">
            <w:pPr>
              <w:pStyle w:val="20"/>
              <w:pageBreakBefore w:val="0"/>
              <w:wordWrap w:val="0"/>
              <w:bidi w:val="0"/>
              <w:spacing w:after="200" w:line="360" w:lineRule="exact"/>
              <w:rPr>
                <w:rFonts w:hint="eastAsia" w:ascii="宋体" w:hAnsi="宋体" w:eastAsia="宋体" w:cs="宋体"/>
                <w:szCs w:val="21"/>
              </w:rPr>
            </w:pPr>
          </w:p>
        </w:tc>
        <w:tc>
          <w:tcPr>
            <w:tcW w:w="818" w:type="dxa"/>
            <w:noWrap w:val="0"/>
            <w:vAlign w:val="top"/>
          </w:tcPr>
          <w:p w14:paraId="7EFBA723">
            <w:pPr>
              <w:pStyle w:val="20"/>
              <w:pageBreakBefore w:val="0"/>
              <w:wordWrap w:val="0"/>
              <w:bidi w:val="0"/>
              <w:spacing w:after="200" w:line="360" w:lineRule="exact"/>
              <w:jc w:val="center"/>
              <w:rPr>
                <w:rFonts w:hint="eastAsia" w:ascii="宋体" w:hAnsi="宋体" w:eastAsia="宋体" w:cs="宋体"/>
                <w:szCs w:val="21"/>
              </w:rPr>
            </w:pPr>
          </w:p>
        </w:tc>
      </w:tr>
      <w:tr w14:paraId="1FDB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Merge w:val="continue"/>
            <w:noWrap w:val="0"/>
            <w:vAlign w:val="top"/>
          </w:tcPr>
          <w:p w14:paraId="64A7CFC4">
            <w:pPr>
              <w:pStyle w:val="20"/>
              <w:pageBreakBefore w:val="0"/>
              <w:wordWrap w:val="0"/>
              <w:bidi w:val="0"/>
              <w:spacing w:after="200" w:line="360" w:lineRule="exact"/>
              <w:jc w:val="center"/>
              <w:rPr>
                <w:rFonts w:hint="eastAsia" w:ascii="宋体" w:hAnsi="宋体" w:eastAsia="宋体" w:cs="宋体"/>
                <w:szCs w:val="21"/>
              </w:rPr>
            </w:pPr>
          </w:p>
        </w:tc>
        <w:tc>
          <w:tcPr>
            <w:tcW w:w="3100" w:type="dxa"/>
            <w:noWrap w:val="0"/>
            <w:vAlign w:val="top"/>
          </w:tcPr>
          <w:p w14:paraId="4CE42F25">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其他：</w:t>
            </w:r>
          </w:p>
        </w:tc>
        <w:tc>
          <w:tcPr>
            <w:tcW w:w="2215" w:type="dxa"/>
            <w:noWrap w:val="0"/>
            <w:vAlign w:val="top"/>
          </w:tcPr>
          <w:p w14:paraId="10856FBA">
            <w:pPr>
              <w:pStyle w:val="20"/>
              <w:pageBreakBefore w:val="0"/>
              <w:wordWrap w:val="0"/>
              <w:bidi w:val="0"/>
              <w:spacing w:after="200" w:line="360" w:lineRule="exact"/>
              <w:rPr>
                <w:rFonts w:hint="eastAsia" w:ascii="宋体" w:hAnsi="宋体" w:eastAsia="宋体" w:cs="宋体"/>
                <w:szCs w:val="21"/>
              </w:rPr>
            </w:pPr>
          </w:p>
        </w:tc>
        <w:tc>
          <w:tcPr>
            <w:tcW w:w="650" w:type="dxa"/>
            <w:noWrap w:val="0"/>
            <w:vAlign w:val="top"/>
          </w:tcPr>
          <w:p w14:paraId="713A4653">
            <w:pPr>
              <w:pStyle w:val="20"/>
              <w:pageBreakBefore w:val="0"/>
              <w:wordWrap w:val="0"/>
              <w:bidi w:val="0"/>
              <w:spacing w:after="200" w:line="360" w:lineRule="exact"/>
              <w:rPr>
                <w:rFonts w:hint="eastAsia" w:ascii="宋体" w:hAnsi="宋体" w:eastAsia="宋体" w:cs="宋体"/>
                <w:szCs w:val="21"/>
              </w:rPr>
            </w:pPr>
          </w:p>
        </w:tc>
        <w:tc>
          <w:tcPr>
            <w:tcW w:w="1031" w:type="dxa"/>
            <w:noWrap w:val="0"/>
            <w:vAlign w:val="top"/>
          </w:tcPr>
          <w:p w14:paraId="473B17AF">
            <w:pPr>
              <w:pStyle w:val="20"/>
              <w:pageBreakBefore w:val="0"/>
              <w:wordWrap w:val="0"/>
              <w:bidi w:val="0"/>
              <w:spacing w:after="200" w:line="360" w:lineRule="exact"/>
              <w:rPr>
                <w:rFonts w:hint="eastAsia" w:ascii="宋体" w:hAnsi="宋体" w:eastAsia="宋体" w:cs="宋体"/>
                <w:szCs w:val="21"/>
              </w:rPr>
            </w:pPr>
          </w:p>
        </w:tc>
        <w:tc>
          <w:tcPr>
            <w:tcW w:w="1345" w:type="dxa"/>
            <w:noWrap w:val="0"/>
            <w:vAlign w:val="top"/>
          </w:tcPr>
          <w:p w14:paraId="04D74E0F">
            <w:pPr>
              <w:pStyle w:val="20"/>
              <w:pageBreakBefore w:val="0"/>
              <w:wordWrap w:val="0"/>
              <w:bidi w:val="0"/>
              <w:spacing w:after="200" w:line="360" w:lineRule="exact"/>
              <w:rPr>
                <w:rFonts w:hint="eastAsia" w:ascii="宋体" w:hAnsi="宋体" w:eastAsia="宋体" w:cs="宋体"/>
                <w:szCs w:val="21"/>
              </w:rPr>
            </w:pPr>
          </w:p>
        </w:tc>
        <w:tc>
          <w:tcPr>
            <w:tcW w:w="818" w:type="dxa"/>
            <w:noWrap w:val="0"/>
            <w:vAlign w:val="top"/>
          </w:tcPr>
          <w:p w14:paraId="63B376EA">
            <w:pPr>
              <w:pStyle w:val="20"/>
              <w:pageBreakBefore w:val="0"/>
              <w:wordWrap w:val="0"/>
              <w:bidi w:val="0"/>
              <w:spacing w:after="200" w:line="360" w:lineRule="exact"/>
              <w:jc w:val="center"/>
              <w:rPr>
                <w:rFonts w:hint="eastAsia" w:ascii="宋体" w:hAnsi="宋体" w:eastAsia="宋体" w:cs="宋体"/>
                <w:szCs w:val="21"/>
              </w:rPr>
            </w:pPr>
          </w:p>
        </w:tc>
      </w:tr>
      <w:tr w14:paraId="3C88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Merge w:val="restart"/>
            <w:noWrap w:val="0"/>
            <w:vAlign w:val="top"/>
          </w:tcPr>
          <w:p w14:paraId="16BB6FD7">
            <w:pPr>
              <w:pStyle w:val="20"/>
              <w:pageBreakBefore w:val="0"/>
              <w:wordWrap w:val="0"/>
              <w:bidi w:val="0"/>
              <w:spacing w:after="200" w:line="360" w:lineRule="exact"/>
              <w:jc w:val="center"/>
              <w:rPr>
                <w:rFonts w:hint="eastAsia" w:ascii="宋体" w:hAnsi="宋体" w:eastAsia="宋体" w:cs="宋体"/>
                <w:szCs w:val="21"/>
              </w:rPr>
            </w:pPr>
          </w:p>
          <w:p w14:paraId="7DCB7791">
            <w:pPr>
              <w:pStyle w:val="20"/>
              <w:pageBreakBefore w:val="0"/>
              <w:wordWrap w:val="0"/>
              <w:bidi w:val="0"/>
              <w:spacing w:after="200" w:line="360" w:lineRule="exact"/>
              <w:jc w:val="center"/>
              <w:rPr>
                <w:rFonts w:hint="eastAsia" w:ascii="宋体" w:hAnsi="宋体" w:eastAsia="宋体" w:cs="宋体"/>
                <w:szCs w:val="21"/>
              </w:rPr>
            </w:pPr>
          </w:p>
          <w:p w14:paraId="5D9CD383">
            <w:pPr>
              <w:pStyle w:val="20"/>
              <w:pageBreakBefore w:val="0"/>
              <w:wordWrap w:val="0"/>
              <w:bidi w:val="0"/>
              <w:spacing w:after="200" w:line="360" w:lineRule="exact"/>
              <w:jc w:val="center"/>
              <w:rPr>
                <w:rFonts w:hint="eastAsia" w:ascii="宋体" w:hAnsi="宋体" w:eastAsia="宋体" w:cs="宋体"/>
                <w:szCs w:val="21"/>
              </w:rPr>
            </w:pPr>
          </w:p>
          <w:p w14:paraId="137CF4CB">
            <w:pPr>
              <w:pStyle w:val="20"/>
              <w:pageBreakBefore w:val="0"/>
              <w:wordWrap w:val="0"/>
              <w:bidi w:val="0"/>
              <w:spacing w:after="200" w:line="360" w:lineRule="exact"/>
              <w:jc w:val="center"/>
              <w:rPr>
                <w:rFonts w:hint="eastAsia" w:ascii="宋体" w:hAnsi="宋体" w:eastAsia="宋体" w:cs="宋体"/>
                <w:szCs w:val="21"/>
              </w:rPr>
            </w:pPr>
            <w:r>
              <w:rPr>
                <w:rFonts w:hint="eastAsia" w:ascii="宋体" w:hAnsi="宋体" w:eastAsia="宋体" w:cs="宋体"/>
                <w:szCs w:val="21"/>
                <w:highlight w:val="white"/>
              </w:rPr>
              <w:t>实施阶段</w:t>
            </w:r>
          </w:p>
        </w:tc>
        <w:tc>
          <w:tcPr>
            <w:tcW w:w="3100" w:type="dxa"/>
            <w:noWrap w:val="0"/>
            <w:vAlign w:val="top"/>
          </w:tcPr>
          <w:p w14:paraId="0CCC100F">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资金使用计划</w:t>
            </w:r>
          </w:p>
        </w:tc>
        <w:tc>
          <w:tcPr>
            <w:tcW w:w="2215" w:type="dxa"/>
            <w:noWrap w:val="0"/>
            <w:vAlign w:val="top"/>
          </w:tcPr>
          <w:p w14:paraId="24EAF890">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□编制</w:t>
            </w:r>
          </w:p>
        </w:tc>
        <w:tc>
          <w:tcPr>
            <w:tcW w:w="650" w:type="dxa"/>
            <w:noWrap w:val="0"/>
            <w:vAlign w:val="top"/>
          </w:tcPr>
          <w:p w14:paraId="5A070A89">
            <w:pPr>
              <w:pStyle w:val="20"/>
              <w:pageBreakBefore w:val="0"/>
              <w:wordWrap w:val="0"/>
              <w:bidi w:val="0"/>
              <w:spacing w:after="200" w:line="360" w:lineRule="exact"/>
              <w:rPr>
                <w:rFonts w:hint="eastAsia" w:ascii="宋体" w:hAnsi="宋体" w:eastAsia="宋体" w:cs="宋体"/>
                <w:szCs w:val="21"/>
              </w:rPr>
            </w:pPr>
          </w:p>
        </w:tc>
        <w:tc>
          <w:tcPr>
            <w:tcW w:w="1031" w:type="dxa"/>
            <w:noWrap w:val="0"/>
            <w:vAlign w:val="top"/>
          </w:tcPr>
          <w:p w14:paraId="66D6A2E3">
            <w:pPr>
              <w:pStyle w:val="20"/>
              <w:pageBreakBefore w:val="0"/>
              <w:wordWrap w:val="0"/>
              <w:bidi w:val="0"/>
              <w:spacing w:after="200" w:line="360" w:lineRule="exact"/>
              <w:rPr>
                <w:rFonts w:hint="eastAsia" w:ascii="宋体" w:hAnsi="宋体" w:eastAsia="宋体" w:cs="宋体"/>
                <w:szCs w:val="21"/>
              </w:rPr>
            </w:pPr>
          </w:p>
        </w:tc>
        <w:tc>
          <w:tcPr>
            <w:tcW w:w="1345" w:type="dxa"/>
            <w:noWrap w:val="0"/>
            <w:vAlign w:val="top"/>
          </w:tcPr>
          <w:p w14:paraId="14D5F523">
            <w:pPr>
              <w:pStyle w:val="20"/>
              <w:pageBreakBefore w:val="0"/>
              <w:wordWrap w:val="0"/>
              <w:bidi w:val="0"/>
              <w:spacing w:after="200" w:line="360" w:lineRule="exact"/>
              <w:rPr>
                <w:rFonts w:hint="eastAsia" w:ascii="宋体" w:hAnsi="宋体" w:eastAsia="宋体" w:cs="宋体"/>
                <w:szCs w:val="21"/>
              </w:rPr>
            </w:pPr>
          </w:p>
        </w:tc>
        <w:tc>
          <w:tcPr>
            <w:tcW w:w="818" w:type="dxa"/>
            <w:noWrap w:val="0"/>
            <w:vAlign w:val="top"/>
          </w:tcPr>
          <w:p w14:paraId="2703F784">
            <w:pPr>
              <w:pStyle w:val="20"/>
              <w:pageBreakBefore w:val="0"/>
              <w:wordWrap w:val="0"/>
              <w:bidi w:val="0"/>
              <w:spacing w:after="200" w:line="360" w:lineRule="exact"/>
              <w:jc w:val="center"/>
              <w:rPr>
                <w:rFonts w:hint="eastAsia" w:ascii="宋体" w:hAnsi="宋体" w:eastAsia="宋体" w:cs="宋体"/>
                <w:szCs w:val="21"/>
              </w:rPr>
            </w:pPr>
          </w:p>
        </w:tc>
      </w:tr>
      <w:tr w14:paraId="30CA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Merge w:val="continue"/>
            <w:noWrap w:val="0"/>
            <w:vAlign w:val="top"/>
          </w:tcPr>
          <w:p w14:paraId="7F3C4259">
            <w:pPr>
              <w:pStyle w:val="20"/>
              <w:pageBreakBefore w:val="0"/>
              <w:wordWrap w:val="0"/>
              <w:bidi w:val="0"/>
              <w:spacing w:after="200" w:line="360" w:lineRule="exact"/>
              <w:jc w:val="center"/>
              <w:rPr>
                <w:rFonts w:hint="eastAsia" w:ascii="宋体" w:hAnsi="宋体" w:eastAsia="宋体" w:cs="宋体"/>
                <w:szCs w:val="21"/>
              </w:rPr>
            </w:pPr>
          </w:p>
        </w:tc>
        <w:tc>
          <w:tcPr>
            <w:tcW w:w="3100" w:type="dxa"/>
            <w:noWrap w:val="0"/>
            <w:vAlign w:val="top"/>
          </w:tcPr>
          <w:p w14:paraId="74B64747">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工程计量与工程款审核</w:t>
            </w:r>
          </w:p>
        </w:tc>
        <w:tc>
          <w:tcPr>
            <w:tcW w:w="2215" w:type="dxa"/>
            <w:noWrap w:val="0"/>
            <w:vAlign w:val="top"/>
          </w:tcPr>
          <w:p w14:paraId="2496A34C">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□编制□审核□调整</w:t>
            </w:r>
          </w:p>
        </w:tc>
        <w:tc>
          <w:tcPr>
            <w:tcW w:w="650" w:type="dxa"/>
            <w:noWrap w:val="0"/>
            <w:vAlign w:val="top"/>
          </w:tcPr>
          <w:p w14:paraId="1A67D821">
            <w:pPr>
              <w:pStyle w:val="20"/>
              <w:pageBreakBefore w:val="0"/>
              <w:wordWrap w:val="0"/>
              <w:bidi w:val="0"/>
              <w:spacing w:after="200" w:line="360" w:lineRule="exact"/>
              <w:rPr>
                <w:rFonts w:hint="eastAsia" w:ascii="宋体" w:hAnsi="宋体" w:eastAsia="宋体" w:cs="宋体"/>
                <w:szCs w:val="21"/>
              </w:rPr>
            </w:pPr>
          </w:p>
        </w:tc>
        <w:tc>
          <w:tcPr>
            <w:tcW w:w="1031" w:type="dxa"/>
            <w:noWrap w:val="0"/>
            <w:vAlign w:val="top"/>
          </w:tcPr>
          <w:p w14:paraId="1BA1CEE2">
            <w:pPr>
              <w:pStyle w:val="20"/>
              <w:pageBreakBefore w:val="0"/>
              <w:wordWrap w:val="0"/>
              <w:bidi w:val="0"/>
              <w:spacing w:after="200" w:line="360" w:lineRule="exact"/>
              <w:rPr>
                <w:rFonts w:hint="eastAsia" w:ascii="宋体" w:hAnsi="宋体" w:eastAsia="宋体" w:cs="宋体"/>
                <w:szCs w:val="21"/>
              </w:rPr>
            </w:pPr>
          </w:p>
        </w:tc>
        <w:tc>
          <w:tcPr>
            <w:tcW w:w="1345" w:type="dxa"/>
            <w:noWrap w:val="0"/>
            <w:vAlign w:val="top"/>
          </w:tcPr>
          <w:p w14:paraId="46FEB480">
            <w:pPr>
              <w:pStyle w:val="20"/>
              <w:pageBreakBefore w:val="0"/>
              <w:wordWrap w:val="0"/>
              <w:bidi w:val="0"/>
              <w:spacing w:after="200" w:line="360" w:lineRule="exact"/>
              <w:rPr>
                <w:rFonts w:hint="eastAsia" w:ascii="宋体" w:hAnsi="宋体" w:eastAsia="宋体" w:cs="宋体"/>
                <w:szCs w:val="21"/>
              </w:rPr>
            </w:pPr>
          </w:p>
        </w:tc>
        <w:tc>
          <w:tcPr>
            <w:tcW w:w="818" w:type="dxa"/>
            <w:noWrap w:val="0"/>
            <w:vAlign w:val="top"/>
          </w:tcPr>
          <w:p w14:paraId="046B8DA8">
            <w:pPr>
              <w:pStyle w:val="20"/>
              <w:pageBreakBefore w:val="0"/>
              <w:wordWrap w:val="0"/>
              <w:bidi w:val="0"/>
              <w:spacing w:after="200" w:line="360" w:lineRule="exact"/>
              <w:jc w:val="center"/>
              <w:rPr>
                <w:rFonts w:hint="eastAsia" w:ascii="宋体" w:hAnsi="宋体" w:eastAsia="宋体" w:cs="宋体"/>
                <w:szCs w:val="21"/>
              </w:rPr>
            </w:pPr>
          </w:p>
        </w:tc>
      </w:tr>
      <w:tr w14:paraId="3CA4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Merge w:val="continue"/>
            <w:noWrap w:val="0"/>
            <w:vAlign w:val="top"/>
          </w:tcPr>
          <w:p w14:paraId="3AC9D892">
            <w:pPr>
              <w:pStyle w:val="20"/>
              <w:pageBreakBefore w:val="0"/>
              <w:wordWrap w:val="0"/>
              <w:bidi w:val="0"/>
              <w:spacing w:after="200" w:line="360" w:lineRule="exact"/>
              <w:jc w:val="center"/>
              <w:rPr>
                <w:rFonts w:hint="eastAsia" w:ascii="宋体" w:hAnsi="宋体" w:eastAsia="宋体" w:cs="宋体"/>
                <w:szCs w:val="21"/>
              </w:rPr>
            </w:pPr>
          </w:p>
        </w:tc>
        <w:tc>
          <w:tcPr>
            <w:tcW w:w="3100" w:type="dxa"/>
            <w:noWrap w:val="0"/>
            <w:vAlign w:val="top"/>
          </w:tcPr>
          <w:p w14:paraId="680D21C9">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合同价款调整</w:t>
            </w:r>
          </w:p>
        </w:tc>
        <w:tc>
          <w:tcPr>
            <w:tcW w:w="2215" w:type="dxa"/>
            <w:noWrap w:val="0"/>
            <w:vAlign w:val="top"/>
          </w:tcPr>
          <w:p w14:paraId="297513A8">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□编制□审核□调整</w:t>
            </w:r>
          </w:p>
        </w:tc>
        <w:tc>
          <w:tcPr>
            <w:tcW w:w="650" w:type="dxa"/>
            <w:noWrap w:val="0"/>
            <w:vAlign w:val="top"/>
          </w:tcPr>
          <w:p w14:paraId="2A488927">
            <w:pPr>
              <w:pStyle w:val="20"/>
              <w:pageBreakBefore w:val="0"/>
              <w:wordWrap w:val="0"/>
              <w:bidi w:val="0"/>
              <w:spacing w:after="200" w:line="360" w:lineRule="exact"/>
              <w:rPr>
                <w:rFonts w:hint="eastAsia" w:ascii="宋体" w:hAnsi="宋体" w:eastAsia="宋体" w:cs="宋体"/>
                <w:szCs w:val="21"/>
              </w:rPr>
            </w:pPr>
          </w:p>
        </w:tc>
        <w:tc>
          <w:tcPr>
            <w:tcW w:w="1031" w:type="dxa"/>
            <w:noWrap w:val="0"/>
            <w:vAlign w:val="top"/>
          </w:tcPr>
          <w:p w14:paraId="58DFB3F2">
            <w:pPr>
              <w:pStyle w:val="20"/>
              <w:pageBreakBefore w:val="0"/>
              <w:wordWrap w:val="0"/>
              <w:bidi w:val="0"/>
              <w:spacing w:after="200" w:line="360" w:lineRule="exact"/>
              <w:rPr>
                <w:rFonts w:hint="eastAsia" w:ascii="宋体" w:hAnsi="宋体" w:eastAsia="宋体" w:cs="宋体"/>
                <w:szCs w:val="21"/>
              </w:rPr>
            </w:pPr>
          </w:p>
        </w:tc>
        <w:tc>
          <w:tcPr>
            <w:tcW w:w="1345" w:type="dxa"/>
            <w:noWrap w:val="0"/>
            <w:vAlign w:val="top"/>
          </w:tcPr>
          <w:p w14:paraId="54EF7D13">
            <w:pPr>
              <w:pStyle w:val="20"/>
              <w:pageBreakBefore w:val="0"/>
              <w:wordWrap w:val="0"/>
              <w:bidi w:val="0"/>
              <w:spacing w:after="200" w:line="360" w:lineRule="exact"/>
              <w:rPr>
                <w:rFonts w:hint="eastAsia" w:ascii="宋体" w:hAnsi="宋体" w:eastAsia="宋体" w:cs="宋体"/>
                <w:szCs w:val="21"/>
              </w:rPr>
            </w:pPr>
          </w:p>
        </w:tc>
        <w:tc>
          <w:tcPr>
            <w:tcW w:w="818" w:type="dxa"/>
            <w:noWrap w:val="0"/>
            <w:vAlign w:val="top"/>
          </w:tcPr>
          <w:p w14:paraId="6A8DA9E0">
            <w:pPr>
              <w:pStyle w:val="20"/>
              <w:pageBreakBefore w:val="0"/>
              <w:wordWrap w:val="0"/>
              <w:bidi w:val="0"/>
              <w:spacing w:after="200" w:line="360" w:lineRule="exact"/>
              <w:jc w:val="center"/>
              <w:rPr>
                <w:rFonts w:hint="eastAsia" w:ascii="宋体" w:hAnsi="宋体" w:eastAsia="宋体" w:cs="宋体"/>
                <w:szCs w:val="21"/>
              </w:rPr>
            </w:pPr>
          </w:p>
        </w:tc>
      </w:tr>
      <w:tr w14:paraId="1A72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Merge w:val="continue"/>
            <w:noWrap w:val="0"/>
            <w:vAlign w:val="top"/>
          </w:tcPr>
          <w:p w14:paraId="6BDD3CA4">
            <w:pPr>
              <w:pStyle w:val="20"/>
              <w:pageBreakBefore w:val="0"/>
              <w:wordWrap w:val="0"/>
              <w:bidi w:val="0"/>
              <w:spacing w:after="200" w:line="360" w:lineRule="exact"/>
              <w:jc w:val="center"/>
              <w:rPr>
                <w:rFonts w:hint="eastAsia" w:ascii="宋体" w:hAnsi="宋体" w:eastAsia="宋体" w:cs="宋体"/>
                <w:szCs w:val="21"/>
              </w:rPr>
            </w:pPr>
          </w:p>
        </w:tc>
        <w:tc>
          <w:tcPr>
            <w:tcW w:w="3100" w:type="dxa"/>
            <w:noWrap w:val="0"/>
            <w:vAlign w:val="top"/>
          </w:tcPr>
          <w:p w14:paraId="4A06112F">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工程变更、索赔、签证</w:t>
            </w:r>
          </w:p>
        </w:tc>
        <w:tc>
          <w:tcPr>
            <w:tcW w:w="2215" w:type="dxa"/>
            <w:noWrap w:val="0"/>
            <w:vAlign w:val="top"/>
          </w:tcPr>
          <w:p w14:paraId="3D870C48">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□审核</w:t>
            </w:r>
          </w:p>
        </w:tc>
        <w:tc>
          <w:tcPr>
            <w:tcW w:w="650" w:type="dxa"/>
            <w:noWrap w:val="0"/>
            <w:vAlign w:val="top"/>
          </w:tcPr>
          <w:p w14:paraId="04C9E148">
            <w:pPr>
              <w:pStyle w:val="20"/>
              <w:pageBreakBefore w:val="0"/>
              <w:wordWrap w:val="0"/>
              <w:bidi w:val="0"/>
              <w:spacing w:after="200" w:line="360" w:lineRule="exact"/>
              <w:rPr>
                <w:rFonts w:hint="eastAsia" w:ascii="宋体" w:hAnsi="宋体" w:eastAsia="宋体" w:cs="宋体"/>
                <w:szCs w:val="21"/>
              </w:rPr>
            </w:pPr>
          </w:p>
        </w:tc>
        <w:tc>
          <w:tcPr>
            <w:tcW w:w="1031" w:type="dxa"/>
            <w:noWrap w:val="0"/>
            <w:vAlign w:val="top"/>
          </w:tcPr>
          <w:p w14:paraId="5412BB20">
            <w:pPr>
              <w:pStyle w:val="20"/>
              <w:pageBreakBefore w:val="0"/>
              <w:wordWrap w:val="0"/>
              <w:bidi w:val="0"/>
              <w:spacing w:after="200" w:line="360" w:lineRule="exact"/>
              <w:rPr>
                <w:rFonts w:hint="eastAsia" w:ascii="宋体" w:hAnsi="宋体" w:eastAsia="宋体" w:cs="宋体"/>
                <w:szCs w:val="21"/>
              </w:rPr>
            </w:pPr>
          </w:p>
        </w:tc>
        <w:tc>
          <w:tcPr>
            <w:tcW w:w="1345" w:type="dxa"/>
            <w:noWrap w:val="0"/>
            <w:vAlign w:val="top"/>
          </w:tcPr>
          <w:p w14:paraId="1412CAC0">
            <w:pPr>
              <w:pStyle w:val="20"/>
              <w:pageBreakBefore w:val="0"/>
              <w:wordWrap w:val="0"/>
              <w:bidi w:val="0"/>
              <w:spacing w:after="200" w:line="360" w:lineRule="exact"/>
              <w:rPr>
                <w:rFonts w:hint="eastAsia" w:ascii="宋体" w:hAnsi="宋体" w:eastAsia="宋体" w:cs="宋体"/>
                <w:szCs w:val="21"/>
              </w:rPr>
            </w:pPr>
          </w:p>
        </w:tc>
        <w:tc>
          <w:tcPr>
            <w:tcW w:w="818" w:type="dxa"/>
            <w:noWrap w:val="0"/>
            <w:vAlign w:val="top"/>
          </w:tcPr>
          <w:p w14:paraId="69398DCE">
            <w:pPr>
              <w:pStyle w:val="20"/>
              <w:pageBreakBefore w:val="0"/>
              <w:wordWrap w:val="0"/>
              <w:bidi w:val="0"/>
              <w:spacing w:after="200" w:line="360" w:lineRule="exact"/>
              <w:jc w:val="center"/>
              <w:rPr>
                <w:rFonts w:hint="eastAsia" w:ascii="宋体" w:hAnsi="宋体" w:eastAsia="宋体" w:cs="宋体"/>
                <w:szCs w:val="21"/>
              </w:rPr>
            </w:pPr>
          </w:p>
        </w:tc>
      </w:tr>
      <w:tr w14:paraId="730D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Merge w:val="continue"/>
            <w:noWrap w:val="0"/>
            <w:vAlign w:val="top"/>
          </w:tcPr>
          <w:p w14:paraId="2AA3A1D2">
            <w:pPr>
              <w:pStyle w:val="20"/>
              <w:pageBreakBefore w:val="0"/>
              <w:wordWrap w:val="0"/>
              <w:bidi w:val="0"/>
              <w:spacing w:after="200" w:line="360" w:lineRule="exact"/>
              <w:jc w:val="center"/>
              <w:rPr>
                <w:rFonts w:hint="eastAsia" w:ascii="宋体" w:hAnsi="宋体" w:eastAsia="宋体" w:cs="宋体"/>
                <w:szCs w:val="21"/>
              </w:rPr>
            </w:pPr>
          </w:p>
        </w:tc>
        <w:tc>
          <w:tcPr>
            <w:tcW w:w="3100" w:type="dxa"/>
            <w:noWrap w:val="0"/>
            <w:vAlign w:val="top"/>
          </w:tcPr>
          <w:p w14:paraId="6CA8C229">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工程实施阶段造价控制</w:t>
            </w:r>
          </w:p>
        </w:tc>
        <w:tc>
          <w:tcPr>
            <w:tcW w:w="2215" w:type="dxa"/>
            <w:noWrap w:val="0"/>
            <w:vAlign w:val="top"/>
          </w:tcPr>
          <w:p w14:paraId="591145B2">
            <w:pPr>
              <w:pStyle w:val="20"/>
              <w:pageBreakBefore w:val="0"/>
              <w:wordWrap w:val="0"/>
              <w:bidi w:val="0"/>
              <w:spacing w:after="200" w:line="360" w:lineRule="exact"/>
              <w:rPr>
                <w:rFonts w:hint="eastAsia" w:ascii="宋体" w:hAnsi="宋体" w:eastAsia="宋体" w:cs="宋体"/>
                <w:szCs w:val="21"/>
              </w:rPr>
            </w:pPr>
          </w:p>
        </w:tc>
        <w:tc>
          <w:tcPr>
            <w:tcW w:w="650" w:type="dxa"/>
            <w:noWrap w:val="0"/>
            <w:vAlign w:val="top"/>
          </w:tcPr>
          <w:p w14:paraId="344C9E33">
            <w:pPr>
              <w:pStyle w:val="20"/>
              <w:pageBreakBefore w:val="0"/>
              <w:wordWrap w:val="0"/>
              <w:bidi w:val="0"/>
              <w:spacing w:after="200" w:line="360" w:lineRule="exact"/>
              <w:rPr>
                <w:rFonts w:hint="eastAsia" w:ascii="宋体" w:hAnsi="宋体" w:eastAsia="宋体" w:cs="宋体"/>
                <w:szCs w:val="21"/>
              </w:rPr>
            </w:pPr>
          </w:p>
        </w:tc>
        <w:tc>
          <w:tcPr>
            <w:tcW w:w="1031" w:type="dxa"/>
            <w:noWrap w:val="0"/>
            <w:vAlign w:val="top"/>
          </w:tcPr>
          <w:p w14:paraId="431A62E0">
            <w:pPr>
              <w:pStyle w:val="20"/>
              <w:pageBreakBefore w:val="0"/>
              <w:wordWrap w:val="0"/>
              <w:bidi w:val="0"/>
              <w:spacing w:after="200" w:line="360" w:lineRule="exact"/>
              <w:rPr>
                <w:rFonts w:hint="eastAsia" w:ascii="宋体" w:hAnsi="宋体" w:eastAsia="宋体" w:cs="宋体"/>
                <w:szCs w:val="21"/>
              </w:rPr>
            </w:pPr>
          </w:p>
        </w:tc>
        <w:tc>
          <w:tcPr>
            <w:tcW w:w="1345" w:type="dxa"/>
            <w:noWrap w:val="0"/>
            <w:vAlign w:val="top"/>
          </w:tcPr>
          <w:p w14:paraId="551B0A30">
            <w:pPr>
              <w:pStyle w:val="20"/>
              <w:pageBreakBefore w:val="0"/>
              <w:wordWrap w:val="0"/>
              <w:bidi w:val="0"/>
              <w:spacing w:after="200" w:line="360" w:lineRule="exact"/>
              <w:rPr>
                <w:rFonts w:hint="eastAsia" w:ascii="宋体" w:hAnsi="宋体" w:eastAsia="宋体" w:cs="宋体"/>
                <w:szCs w:val="21"/>
              </w:rPr>
            </w:pPr>
          </w:p>
        </w:tc>
        <w:tc>
          <w:tcPr>
            <w:tcW w:w="818" w:type="dxa"/>
            <w:noWrap w:val="0"/>
            <w:vAlign w:val="top"/>
          </w:tcPr>
          <w:p w14:paraId="0469BA2F">
            <w:pPr>
              <w:pStyle w:val="20"/>
              <w:pageBreakBefore w:val="0"/>
              <w:wordWrap w:val="0"/>
              <w:bidi w:val="0"/>
              <w:spacing w:after="200" w:line="360" w:lineRule="exact"/>
              <w:jc w:val="center"/>
              <w:rPr>
                <w:rFonts w:hint="eastAsia" w:ascii="宋体" w:hAnsi="宋体" w:eastAsia="宋体" w:cs="宋体"/>
                <w:szCs w:val="21"/>
              </w:rPr>
            </w:pPr>
          </w:p>
        </w:tc>
      </w:tr>
      <w:tr w14:paraId="2E8C6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Merge w:val="continue"/>
            <w:noWrap w:val="0"/>
            <w:vAlign w:val="top"/>
          </w:tcPr>
          <w:p w14:paraId="3D0C259B">
            <w:pPr>
              <w:pStyle w:val="20"/>
              <w:pageBreakBefore w:val="0"/>
              <w:wordWrap w:val="0"/>
              <w:bidi w:val="0"/>
              <w:spacing w:after="200" w:line="360" w:lineRule="exact"/>
              <w:jc w:val="center"/>
              <w:rPr>
                <w:rFonts w:hint="eastAsia" w:ascii="宋体" w:hAnsi="宋体" w:eastAsia="宋体" w:cs="宋体"/>
                <w:szCs w:val="21"/>
              </w:rPr>
            </w:pPr>
          </w:p>
        </w:tc>
        <w:tc>
          <w:tcPr>
            <w:tcW w:w="3100" w:type="dxa"/>
            <w:noWrap w:val="0"/>
            <w:vAlign w:val="top"/>
          </w:tcPr>
          <w:p w14:paraId="42947F19">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其他：</w:t>
            </w:r>
          </w:p>
        </w:tc>
        <w:tc>
          <w:tcPr>
            <w:tcW w:w="2215" w:type="dxa"/>
            <w:noWrap w:val="0"/>
            <w:vAlign w:val="top"/>
          </w:tcPr>
          <w:p w14:paraId="61D2BDA8">
            <w:pPr>
              <w:pStyle w:val="20"/>
              <w:pageBreakBefore w:val="0"/>
              <w:wordWrap w:val="0"/>
              <w:bidi w:val="0"/>
              <w:spacing w:after="200" w:line="360" w:lineRule="exact"/>
              <w:rPr>
                <w:rFonts w:hint="eastAsia" w:ascii="宋体" w:hAnsi="宋体" w:eastAsia="宋体" w:cs="宋体"/>
                <w:szCs w:val="21"/>
              </w:rPr>
            </w:pPr>
          </w:p>
        </w:tc>
        <w:tc>
          <w:tcPr>
            <w:tcW w:w="650" w:type="dxa"/>
            <w:noWrap w:val="0"/>
            <w:vAlign w:val="top"/>
          </w:tcPr>
          <w:p w14:paraId="49BDBF71">
            <w:pPr>
              <w:pStyle w:val="20"/>
              <w:pageBreakBefore w:val="0"/>
              <w:wordWrap w:val="0"/>
              <w:bidi w:val="0"/>
              <w:spacing w:after="200" w:line="360" w:lineRule="exact"/>
              <w:rPr>
                <w:rFonts w:hint="eastAsia" w:ascii="宋体" w:hAnsi="宋体" w:eastAsia="宋体" w:cs="宋体"/>
                <w:szCs w:val="21"/>
              </w:rPr>
            </w:pPr>
          </w:p>
        </w:tc>
        <w:tc>
          <w:tcPr>
            <w:tcW w:w="1031" w:type="dxa"/>
            <w:noWrap w:val="0"/>
            <w:vAlign w:val="top"/>
          </w:tcPr>
          <w:p w14:paraId="65747A7F">
            <w:pPr>
              <w:pStyle w:val="20"/>
              <w:pageBreakBefore w:val="0"/>
              <w:wordWrap w:val="0"/>
              <w:bidi w:val="0"/>
              <w:spacing w:after="200" w:line="360" w:lineRule="exact"/>
              <w:rPr>
                <w:rFonts w:hint="eastAsia" w:ascii="宋体" w:hAnsi="宋体" w:eastAsia="宋体" w:cs="宋体"/>
                <w:szCs w:val="21"/>
              </w:rPr>
            </w:pPr>
          </w:p>
        </w:tc>
        <w:tc>
          <w:tcPr>
            <w:tcW w:w="1345" w:type="dxa"/>
            <w:noWrap w:val="0"/>
            <w:vAlign w:val="top"/>
          </w:tcPr>
          <w:p w14:paraId="03502387">
            <w:pPr>
              <w:pStyle w:val="20"/>
              <w:pageBreakBefore w:val="0"/>
              <w:wordWrap w:val="0"/>
              <w:bidi w:val="0"/>
              <w:spacing w:after="200" w:line="360" w:lineRule="exact"/>
              <w:rPr>
                <w:rFonts w:hint="eastAsia" w:ascii="宋体" w:hAnsi="宋体" w:eastAsia="宋体" w:cs="宋体"/>
                <w:szCs w:val="21"/>
              </w:rPr>
            </w:pPr>
          </w:p>
        </w:tc>
        <w:tc>
          <w:tcPr>
            <w:tcW w:w="818" w:type="dxa"/>
            <w:noWrap w:val="0"/>
            <w:vAlign w:val="top"/>
          </w:tcPr>
          <w:p w14:paraId="19937AEB">
            <w:pPr>
              <w:pStyle w:val="20"/>
              <w:pageBreakBefore w:val="0"/>
              <w:wordWrap w:val="0"/>
              <w:bidi w:val="0"/>
              <w:spacing w:after="200" w:line="360" w:lineRule="exact"/>
              <w:jc w:val="center"/>
              <w:rPr>
                <w:rFonts w:hint="eastAsia" w:ascii="宋体" w:hAnsi="宋体" w:eastAsia="宋体" w:cs="宋体"/>
                <w:szCs w:val="21"/>
              </w:rPr>
            </w:pPr>
          </w:p>
        </w:tc>
      </w:tr>
      <w:tr w14:paraId="469D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Merge w:val="restart"/>
            <w:noWrap w:val="0"/>
            <w:vAlign w:val="center"/>
          </w:tcPr>
          <w:p w14:paraId="45592245">
            <w:pPr>
              <w:pStyle w:val="20"/>
              <w:pageBreakBefore w:val="0"/>
              <w:wordWrap w:val="0"/>
              <w:bidi w:val="0"/>
              <w:spacing w:after="200" w:line="360" w:lineRule="exact"/>
              <w:jc w:val="center"/>
              <w:rPr>
                <w:rFonts w:hint="eastAsia" w:ascii="宋体" w:hAnsi="宋体" w:eastAsia="宋体" w:cs="宋体"/>
                <w:szCs w:val="21"/>
              </w:rPr>
            </w:pPr>
            <w:r>
              <w:rPr>
                <w:rFonts w:hint="eastAsia" w:ascii="宋体" w:hAnsi="宋体" w:eastAsia="宋体" w:cs="宋体"/>
                <w:szCs w:val="21"/>
                <w:highlight w:val="white"/>
              </w:rPr>
              <w:t>竣工阶段</w:t>
            </w:r>
          </w:p>
        </w:tc>
        <w:tc>
          <w:tcPr>
            <w:tcW w:w="3100" w:type="dxa"/>
            <w:noWrap w:val="0"/>
            <w:vAlign w:val="top"/>
          </w:tcPr>
          <w:p w14:paraId="3E6109EC">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竣工结算</w:t>
            </w:r>
          </w:p>
        </w:tc>
        <w:tc>
          <w:tcPr>
            <w:tcW w:w="2215" w:type="dxa"/>
            <w:noWrap w:val="0"/>
            <w:vAlign w:val="top"/>
          </w:tcPr>
          <w:p w14:paraId="43C0AFF1">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□编制□审核□调整</w:t>
            </w:r>
          </w:p>
        </w:tc>
        <w:tc>
          <w:tcPr>
            <w:tcW w:w="650" w:type="dxa"/>
            <w:noWrap w:val="0"/>
            <w:vAlign w:val="top"/>
          </w:tcPr>
          <w:p w14:paraId="14423958">
            <w:pPr>
              <w:pStyle w:val="20"/>
              <w:pageBreakBefore w:val="0"/>
              <w:wordWrap w:val="0"/>
              <w:bidi w:val="0"/>
              <w:spacing w:after="200" w:line="360" w:lineRule="exact"/>
              <w:rPr>
                <w:rFonts w:hint="eastAsia" w:ascii="宋体" w:hAnsi="宋体" w:eastAsia="宋体" w:cs="宋体"/>
                <w:szCs w:val="21"/>
              </w:rPr>
            </w:pPr>
          </w:p>
        </w:tc>
        <w:tc>
          <w:tcPr>
            <w:tcW w:w="1031" w:type="dxa"/>
            <w:noWrap w:val="0"/>
            <w:vAlign w:val="top"/>
          </w:tcPr>
          <w:p w14:paraId="56A2FDE4">
            <w:pPr>
              <w:pStyle w:val="20"/>
              <w:pageBreakBefore w:val="0"/>
              <w:wordWrap w:val="0"/>
              <w:bidi w:val="0"/>
              <w:spacing w:after="200" w:line="360" w:lineRule="exact"/>
              <w:rPr>
                <w:rFonts w:hint="eastAsia" w:ascii="宋体" w:hAnsi="宋体" w:eastAsia="宋体" w:cs="宋体"/>
                <w:szCs w:val="21"/>
              </w:rPr>
            </w:pPr>
          </w:p>
        </w:tc>
        <w:tc>
          <w:tcPr>
            <w:tcW w:w="1345" w:type="dxa"/>
            <w:noWrap w:val="0"/>
            <w:vAlign w:val="top"/>
          </w:tcPr>
          <w:p w14:paraId="2AF197A3">
            <w:pPr>
              <w:pStyle w:val="20"/>
              <w:pageBreakBefore w:val="0"/>
              <w:wordWrap w:val="0"/>
              <w:bidi w:val="0"/>
              <w:spacing w:after="200" w:line="360" w:lineRule="exact"/>
              <w:rPr>
                <w:rFonts w:hint="eastAsia" w:ascii="宋体" w:hAnsi="宋体" w:eastAsia="宋体" w:cs="宋体"/>
                <w:szCs w:val="21"/>
              </w:rPr>
            </w:pPr>
          </w:p>
        </w:tc>
        <w:tc>
          <w:tcPr>
            <w:tcW w:w="818" w:type="dxa"/>
            <w:noWrap w:val="0"/>
            <w:vAlign w:val="top"/>
          </w:tcPr>
          <w:p w14:paraId="1BCFFEF7">
            <w:pPr>
              <w:pStyle w:val="20"/>
              <w:pageBreakBefore w:val="0"/>
              <w:wordWrap w:val="0"/>
              <w:bidi w:val="0"/>
              <w:spacing w:after="200" w:line="360" w:lineRule="exact"/>
              <w:jc w:val="center"/>
              <w:rPr>
                <w:rFonts w:hint="eastAsia" w:ascii="宋体" w:hAnsi="宋体" w:eastAsia="宋体" w:cs="宋体"/>
                <w:szCs w:val="21"/>
              </w:rPr>
            </w:pPr>
          </w:p>
        </w:tc>
      </w:tr>
      <w:tr w14:paraId="64BC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Merge w:val="continue"/>
            <w:noWrap w:val="0"/>
            <w:vAlign w:val="center"/>
          </w:tcPr>
          <w:p w14:paraId="52E1690E">
            <w:pPr>
              <w:pStyle w:val="20"/>
              <w:pageBreakBefore w:val="0"/>
              <w:wordWrap w:val="0"/>
              <w:bidi w:val="0"/>
              <w:spacing w:after="200" w:line="360" w:lineRule="exact"/>
              <w:jc w:val="center"/>
              <w:rPr>
                <w:rFonts w:hint="eastAsia" w:ascii="宋体" w:hAnsi="宋体" w:eastAsia="宋体" w:cs="宋体"/>
                <w:szCs w:val="21"/>
              </w:rPr>
            </w:pPr>
          </w:p>
        </w:tc>
        <w:tc>
          <w:tcPr>
            <w:tcW w:w="3100" w:type="dxa"/>
            <w:noWrap w:val="0"/>
            <w:vAlign w:val="top"/>
          </w:tcPr>
          <w:p w14:paraId="1AF2716A">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竣工决算</w:t>
            </w:r>
          </w:p>
        </w:tc>
        <w:tc>
          <w:tcPr>
            <w:tcW w:w="2215" w:type="dxa"/>
            <w:noWrap w:val="0"/>
            <w:vAlign w:val="top"/>
          </w:tcPr>
          <w:p w14:paraId="2A87D0EE">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□编制□审核□调整</w:t>
            </w:r>
          </w:p>
        </w:tc>
        <w:tc>
          <w:tcPr>
            <w:tcW w:w="650" w:type="dxa"/>
            <w:noWrap w:val="0"/>
            <w:vAlign w:val="top"/>
          </w:tcPr>
          <w:p w14:paraId="2E4E4EA1">
            <w:pPr>
              <w:pStyle w:val="20"/>
              <w:pageBreakBefore w:val="0"/>
              <w:wordWrap w:val="0"/>
              <w:bidi w:val="0"/>
              <w:spacing w:after="200" w:line="360" w:lineRule="exact"/>
              <w:rPr>
                <w:rFonts w:hint="eastAsia" w:ascii="宋体" w:hAnsi="宋体" w:eastAsia="宋体" w:cs="宋体"/>
                <w:szCs w:val="21"/>
              </w:rPr>
            </w:pPr>
          </w:p>
        </w:tc>
        <w:tc>
          <w:tcPr>
            <w:tcW w:w="1031" w:type="dxa"/>
            <w:noWrap w:val="0"/>
            <w:vAlign w:val="top"/>
          </w:tcPr>
          <w:p w14:paraId="0CEF6314">
            <w:pPr>
              <w:pStyle w:val="20"/>
              <w:pageBreakBefore w:val="0"/>
              <w:wordWrap w:val="0"/>
              <w:bidi w:val="0"/>
              <w:spacing w:after="200" w:line="360" w:lineRule="exact"/>
              <w:rPr>
                <w:rFonts w:hint="eastAsia" w:ascii="宋体" w:hAnsi="宋体" w:eastAsia="宋体" w:cs="宋体"/>
                <w:szCs w:val="21"/>
              </w:rPr>
            </w:pPr>
          </w:p>
        </w:tc>
        <w:tc>
          <w:tcPr>
            <w:tcW w:w="1345" w:type="dxa"/>
            <w:noWrap w:val="0"/>
            <w:vAlign w:val="top"/>
          </w:tcPr>
          <w:p w14:paraId="40DA44FE">
            <w:pPr>
              <w:pStyle w:val="20"/>
              <w:pageBreakBefore w:val="0"/>
              <w:wordWrap w:val="0"/>
              <w:bidi w:val="0"/>
              <w:spacing w:after="200" w:line="360" w:lineRule="exact"/>
              <w:rPr>
                <w:rFonts w:hint="eastAsia" w:ascii="宋体" w:hAnsi="宋体" w:eastAsia="宋体" w:cs="宋体"/>
                <w:szCs w:val="21"/>
              </w:rPr>
            </w:pPr>
          </w:p>
        </w:tc>
        <w:tc>
          <w:tcPr>
            <w:tcW w:w="818" w:type="dxa"/>
            <w:noWrap w:val="0"/>
            <w:vAlign w:val="top"/>
          </w:tcPr>
          <w:p w14:paraId="5E765405">
            <w:pPr>
              <w:pStyle w:val="20"/>
              <w:pageBreakBefore w:val="0"/>
              <w:wordWrap w:val="0"/>
              <w:bidi w:val="0"/>
              <w:spacing w:after="200" w:line="360" w:lineRule="exact"/>
              <w:jc w:val="center"/>
              <w:rPr>
                <w:rFonts w:hint="eastAsia" w:ascii="宋体" w:hAnsi="宋体" w:eastAsia="宋体" w:cs="宋体"/>
                <w:szCs w:val="21"/>
              </w:rPr>
            </w:pPr>
          </w:p>
        </w:tc>
      </w:tr>
      <w:tr w14:paraId="38FB7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Merge w:val="continue"/>
            <w:noWrap w:val="0"/>
            <w:vAlign w:val="center"/>
          </w:tcPr>
          <w:p w14:paraId="41670A6A">
            <w:pPr>
              <w:pStyle w:val="20"/>
              <w:pageBreakBefore w:val="0"/>
              <w:wordWrap w:val="0"/>
              <w:bidi w:val="0"/>
              <w:spacing w:after="200" w:line="360" w:lineRule="exact"/>
              <w:jc w:val="center"/>
              <w:rPr>
                <w:rFonts w:hint="eastAsia" w:ascii="宋体" w:hAnsi="宋体" w:eastAsia="宋体" w:cs="宋体"/>
                <w:szCs w:val="21"/>
              </w:rPr>
            </w:pPr>
          </w:p>
        </w:tc>
        <w:tc>
          <w:tcPr>
            <w:tcW w:w="3100" w:type="dxa"/>
            <w:noWrap w:val="0"/>
            <w:vAlign w:val="top"/>
          </w:tcPr>
          <w:p w14:paraId="7C607AD9">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其他：</w:t>
            </w:r>
          </w:p>
        </w:tc>
        <w:tc>
          <w:tcPr>
            <w:tcW w:w="2215" w:type="dxa"/>
            <w:noWrap w:val="0"/>
            <w:vAlign w:val="top"/>
          </w:tcPr>
          <w:p w14:paraId="41B1B380">
            <w:pPr>
              <w:pStyle w:val="20"/>
              <w:pageBreakBefore w:val="0"/>
              <w:wordWrap w:val="0"/>
              <w:bidi w:val="0"/>
              <w:spacing w:after="200" w:line="360" w:lineRule="exact"/>
              <w:rPr>
                <w:rFonts w:hint="eastAsia" w:ascii="宋体" w:hAnsi="宋体" w:eastAsia="宋体" w:cs="宋体"/>
                <w:szCs w:val="21"/>
              </w:rPr>
            </w:pPr>
          </w:p>
        </w:tc>
        <w:tc>
          <w:tcPr>
            <w:tcW w:w="650" w:type="dxa"/>
            <w:noWrap w:val="0"/>
            <w:vAlign w:val="top"/>
          </w:tcPr>
          <w:p w14:paraId="7A79C051">
            <w:pPr>
              <w:pStyle w:val="20"/>
              <w:pageBreakBefore w:val="0"/>
              <w:wordWrap w:val="0"/>
              <w:bidi w:val="0"/>
              <w:spacing w:after="200" w:line="360" w:lineRule="exact"/>
              <w:rPr>
                <w:rFonts w:hint="eastAsia" w:ascii="宋体" w:hAnsi="宋体" w:eastAsia="宋体" w:cs="宋体"/>
                <w:szCs w:val="21"/>
              </w:rPr>
            </w:pPr>
          </w:p>
        </w:tc>
        <w:tc>
          <w:tcPr>
            <w:tcW w:w="1031" w:type="dxa"/>
            <w:noWrap w:val="0"/>
            <w:vAlign w:val="top"/>
          </w:tcPr>
          <w:p w14:paraId="29E936C3">
            <w:pPr>
              <w:pStyle w:val="20"/>
              <w:pageBreakBefore w:val="0"/>
              <w:wordWrap w:val="0"/>
              <w:bidi w:val="0"/>
              <w:spacing w:after="200" w:line="360" w:lineRule="exact"/>
              <w:rPr>
                <w:rFonts w:hint="eastAsia" w:ascii="宋体" w:hAnsi="宋体" w:eastAsia="宋体" w:cs="宋体"/>
                <w:szCs w:val="21"/>
              </w:rPr>
            </w:pPr>
          </w:p>
        </w:tc>
        <w:tc>
          <w:tcPr>
            <w:tcW w:w="1345" w:type="dxa"/>
            <w:noWrap w:val="0"/>
            <w:vAlign w:val="top"/>
          </w:tcPr>
          <w:p w14:paraId="3799DCF1">
            <w:pPr>
              <w:pStyle w:val="20"/>
              <w:pageBreakBefore w:val="0"/>
              <w:wordWrap w:val="0"/>
              <w:bidi w:val="0"/>
              <w:spacing w:after="200" w:line="360" w:lineRule="exact"/>
              <w:rPr>
                <w:rFonts w:hint="eastAsia" w:ascii="宋体" w:hAnsi="宋体" w:eastAsia="宋体" w:cs="宋体"/>
                <w:szCs w:val="21"/>
              </w:rPr>
            </w:pPr>
          </w:p>
        </w:tc>
        <w:tc>
          <w:tcPr>
            <w:tcW w:w="818" w:type="dxa"/>
            <w:noWrap w:val="0"/>
            <w:vAlign w:val="top"/>
          </w:tcPr>
          <w:p w14:paraId="64221AAA">
            <w:pPr>
              <w:pStyle w:val="20"/>
              <w:pageBreakBefore w:val="0"/>
              <w:wordWrap w:val="0"/>
              <w:bidi w:val="0"/>
              <w:spacing w:after="200" w:line="360" w:lineRule="exact"/>
              <w:jc w:val="center"/>
              <w:rPr>
                <w:rFonts w:hint="eastAsia" w:ascii="宋体" w:hAnsi="宋体" w:eastAsia="宋体" w:cs="宋体"/>
                <w:szCs w:val="21"/>
              </w:rPr>
            </w:pPr>
          </w:p>
        </w:tc>
      </w:tr>
      <w:tr w14:paraId="6312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20" w:type="dxa"/>
            <w:noWrap w:val="0"/>
            <w:vAlign w:val="center"/>
          </w:tcPr>
          <w:p w14:paraId="10792CF6">
            <w:pPr>
              <w:pStyle w:val="20"/>
              <w:pageBreakBefore w:val="0"/>
              <w:wordWrap w:val="0"/>
              <w:bidi w:val="0"/>
              <w:spacing w:after="200" w:line="360" w:lineRule="exact"/>
              <w:jc w:val="center"/>
              <w:rPr>
                <w:rFonts w:hint="eastAsia" w:ascii="宋体" w:hAnsi="宋体" w:eastAsia="宋体" w:cs="宋体"/>
                <w:szCs w:val="21"/>
              </w:rPr>
            </w:pPr>
            <w:r>
              <w:rPr>
                <w:rFonts w:hint="eastAsia" w:ascii="宋体" w:hAnsi="宋体" w:eastAsia="宋体" w:cs="宋体"/>
                <w:szCs w:val="21"/>
                <w:highlight w:val="white"/>
              </w:rPr>
              <w:t>其他服务</w:t>
            </w:r>
          </w:p>
        </w:tc>
        <w:tc>
          <w:tcPr>
            <w:tcW w:w="3100" w:type="dxa"/>
            <w:noWrap w:val="0"/>
            <w:vAlign w:val="top"/>
          </w:tcPr>
          <w:p w14:paraId="26D09022">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工程造价鉴定</w:t>
            </w:r>
          </w:p>
        </w:tc>
        <w:tc>
          <w:tcPr>
            <w:tcW w:w="2215" w:type="dxa"/>
            <w:noWrap w:val="0"/>
            <w:vAlign w:val="top"/>
          </w:tcPr>
          <w:p w14:paraId="7BF833ED">
            <w:pPr>
              <w:pStyle w:val="20"/>
              <w:pageBreakBefore w:val="0"/>
              <w:wordWrap w:val="0"/>
              <w:bidi w:val="0"/>
              <w:spacing w:after="200" w:line="360" w:lineRule="exact"/>
              <w:rPr>
                <w:rFonts w:hint="eastAsia" w:ascii="宋体" w:hAnsi="宋体" w:eastAsia="宋体" w:cs="宋体"/>
                <w:szCs w:val="21"/>
              </w:rPr>
            </w:pPr>
          </w:p>
        </w:tc>
        <w:tc>
          <w:tcPr>
            <w:tcW w:w="650" w:type="dxa"/>
            <w:noWrap w:val="0"/>
            <w:vAlign w:val="top"/>
          </w:tcPr>
          <w:p w14:paraId="4B6155E5">
            <w:pPr>
              <w:pStyle w:val="20"/>
              <w:pageBreakBefore w:val="0"/>
              <w:wordWrap w:val="0"/>
              <w:bidi w:val="0"/>
              <w:spacing w:after="200" w:line="360" w:lineRule="exact"/>
              <w:rPr>
                <w:rFonts w:hint="eastAsia" w:ascii="宋体" w:hAnsi="宋体" w:eastAsia="宋体" w:cs="宋体"/>
                <w:szCs w:val="21"/>
              </w:rPr>
            </w:pPr>
          </w:p>
        </w:tc>
        <w:tc>
          <w:tcPr>
            <w:tcW w:w="1031" w:type="dxa"/>
            <w:noWrap w:val="0"/>
            <w:vAlign w:val="top"/>
          </w:tcPr>
          <w:p w14:paraId="1B77E481">
            <w:pPr>
              <w:pStyle w:val="20"/>
              <w:pageBreakBefore w:val="0"/>
              <w:wordWrap w:val="0"/>
              <w:bidi w:val="0"/>
              <w:spacing w:after="200" w:line="360" w:lineRule="exact"/>
              <w:rPr>
                <w:rFonts w:hint="eastAsia" w:ascii="宋体" w:hAnsi="宋体" w:eastAsia="宋体" w:cs="宋体"/>
                <w:szCs w:val="21"/>
              </w:rPr>
            </w:pPr>
          </w:p>
        </w:tc>
        <w:tc>
          <w:tcPr>
            <w:tcW w:w="1345" w:type="dxa"/>
            <w:noWrap w:val="0"/>
            <w:vAlign w:val="top"/>
          </w:tcPr>
          <w:p w14:paraId="720ABB5B">
            <w:pPr>
              <w:pStyle w:val="20"/>
              <w:pageBreakBefore w:val="0"/>
              <w:wordWrap w:val="0"/>
              <w:bidi w:val="0"/>
              <w:spacing w:after="200" w:line="360" w:lineRule="exact"/>
              <w:rPr>
                <w:rFonts w:hint="eastAsia" w:ascii="宋体" w:hAnsi="宋体" w:eastAsia="宋体" w:cs="宋体"/>
                <w:szCs w:val="21"/>
              </w:rPr>
            </w:pPr>
          </w:p>
        </w:tc>
        <w:tc>
          <w:tcPr>
            <w:tcW w:w="818" w:type="dxa"/>
            <w:noWrap w:val="0"/>
            <w:vAlign w:val="top"/>
          </w:tcPr>
          <w:p w14:paraId="125C3B54">
            <w:pPr>
              <w:pStyle w:val="20"/>
              <w:pageBreakBefore w:val="0"/>
              <w:wordWrap w:val="0"/>
              <w:bidi w:val="0"/>
              <w:spacing w:after="200" w:line="360" w:lineRule="exact"/>
              <w:jc w:val="center"/>
              <w:rPr>
                <w:rFonts w:hint="eastAsia" w:ascii="宋体" w:hAnsi="宋体" w:eastAsia="宋体" w:cs="宋体"/>
                <w:szCs w:val="21"/>
              </w:rPr>
            </w:pPr>
          </w:p>
        </w:tc>
      </w:tr>
    </w:tbl>
    <w:p w14:paraId="6074F27B">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b/>
          <w:szCs w:val="21"/>
          <w:highlight w:val="white"/>
        </w:rPr>
        <w:t>注：</w:t>
      </w:r>
      <w:r>
        <w:rPr>
          <w:rFonts w:hint="eastAsia" w:ascii="宋体" w:hAnsi="宋体" w:eastAsia="宋体" w:cs="宋体"/>
          <w:szCs w:val="21"/>
          <w:highlight w:val="white"/>
        </w:rPr>
        <w:t>1.附录A中服务范围及工作内容未涉及的可在“其他”项中列明。</w:t>
      </w:r>
    </w:p>
    <w:p w14:paraId="2D863207">
      <w:pPr>
        <w:pStyle w:val="20"/>
        <w:pageBreakBefore w:val="0"/>
        <w:wordWrap w:val="0"/>
        <w:bidi w:val="0"/>
        <w:spacing w:after="200" w:line="360" w:lineRule="exact"/>
        <w:ind w:firstLine="420" w:firstLineChars="200"/>
        <w:rPr>
          <w:rFonts w:hint="eastAsia" w:ascii="宋体" w:hAnsi="宋体" w:eastAsia="宋体" w:cs="宋体"/>
          <w:bCs/>
          <w:szCs w:val="21"/>
        </w:rPr>
      </w:pPr>
      <w:r>
        <w:rPr>
          <w:rFonts w:hint="eastAsia" w:ascii="宋体" w:hAnsi="宋体" w:eastAsia="宋体" w:cs="宋体"/>
          <w:bCs/>
          <w:szCs w:val="21"/>
          <w:highlight w:val="white"/>
        </w:rPr>
        <w:t>2.实行全过程造价咨询的工程，服务范围及工作内容按上表，酬金及计取方式为：______________________________。</w:t>
      </w:r>
    </w:p>
    <w:p w14:paraId="3EBBD0E5">
      <w:pPr>
        <w:pStyle w:val="54"/>
        <w:pageBreakBefore w:val="0"/>
        <w:wordWrap w:val="0"/>
        <w:bidi w:val="0"/>
        <w:spacing w:line="360" w:lineRule="exact"/>
        <w:rPr>
          <w:rFonts w:hint="eastAsia" w:ascii="宋体" w:hAnsi="宋体" w:eastAsia="宋体" w:cs="宋体"/>
          <w:sz w:val="21"/>
          <w:szCs w:val="21"/>
        </w:rPr>
      </w:pPr>
      <w:bookmarkStart w:id="854" w:name="_Toc497839266"/>
      <w:bookmarkStart w:id="855" w:name="_Toc256000224"/>
      <w:bookmarkStart w:id="856" w:name="_Toc419045127"/>
      <w:bookmarkStart w:id="857" w:name="_Toc1223"/>
      <w:bookmarkStart w:id="858" w:name="_Toc9426"/>
      <w:bookmarkStart w:id="859" w:name="_Toc422322558"/>
      <w:bookmarkStart w:id="860" w:name="_Toc497839361"/>
      <w:bookmarkStart w:id="861" w:name="_Toc256000142"/>
      <w:r>
        <w:rPr>
          <w:rFonts w:hint="eastAsia" w:ascii="宋体" w:hAnsi="宋体" w:eastAsia="宋体" w:cs="宋体"/>
          <w:sz w:val="21"/>
          <w:szCs w:val="21"/>
          <w:highlight w:val="white"/>
        </w:rPr>
        <w:t>附录B咨询人提交成果文件一览表</w:t>
      </w:r>
      <w:bookmarkEnd w:id="854"/>
      <w:bookmarkEnd w:id="855"/>
      <w:bookmarkEnd w:id="856"/>
      <w:bookmarkEnd w:id="857"/>
      <w:bookmarkEnd w:id="858"/>
      <w:bookmarkEnd w:id="859"/>
      <w:bookmarkEnd w:id="860"/>
      <w:bookmarkEnd w:id="861"/>
    </w:p>
    <w:tbl>
      <w:tblPr>
        <w:tblStyle w:val="28"/>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644"/>
        <w:gridCol w:w="2111"/>
        <w:gridCol w:w="1440"/>
        <w:gridCol w:w="756"/>
        <w:gridCol w:w="1872"/>
      </w:tblGrid>
      <w:tr w14:paraId="6957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236" w:type="dxa"/>
            <w:noWrap w:val="0"/>
            <w:vAlign w:val="center"/>
          </w:tcPr>
          <w:p w14:paraId="2ABD5048">
            <w:pPr>
              <w:pStyle w:val="20"/>
              <w:pageBreakBefore w:val="0"/>
              <w:wordWrap w:val="0"/>
              <w:bidi w:val="0"/>
              <w:spacing w:after="200" w:line="360" w:lineRule="exact"/>
              <w:jc w:val="center"/>
              <w:rPr>
                <w:rFonts w:hint="eastAsia" w:ascii="宋体" w:hAnsi="宋体" w:eastAsia="宋体" w:cs="宋体"/>
                <w:bCs/>
                <w:szCs w:val="21"/>
              </w:rPr>
            </w:pPr>
            <w:r>
              <w:rPr>
                <w:rFonts w:hint="eastAsia" w:ascii="宋体" w:hAnsi="宋体" w:eastAsia="宋体" w:cs="宋体"/>
                <w:bCs/>
                <w:szCs w:val="21"/>
                <w:highlight w:val="white"/>
              </w:rPr>
              <w:t>服务阶段</w:t>
            </w:r>
          </w:p>
        </w:tc>
        <w:tc>
          <w:tcPr>
            <w:tcW w:w="1644" w:type="dxa"/>
            <w:noWrap w:val="0"/>
            <w:vAlign w:val="center"/>
          </w:tcPr>
          <w:p w14:paraId="5D7BB665">
            <w:pPr>
              <w:pStyle w:val="20"/>
              <w:pageBreakBefore w:val="0"/>
              <w:wordWrap w:val="0"/>
              <w:bidi w:val="0"/>
              <w:spacing w:after="200" w:line="360" w:lineRule="exact"/>
              <w:jc w:val="center"/>
              <w:rPr>
                <w:rFonts w:hint="eastAsia" w:ascii="宋体" w:hAnsi="宋体" w:eastAsia="宋体" w:cs="宋体"/>
                <w:bCs/>
                <w:szCs w:val="21"/>
              </w:rPr>
            </w:pPr>
            <w:r>
              <w:rPr>
                <w:rFonts w:hint="eastAsia" w:ascii="宋体" w:hAnsi="宋体" w:eastAsia="宋体" w:cs="宋体"/>
                <w:bCs/>
                <w:szCs w:val="21"/>
                <w:highlight w:val="white"/>
              </w:rPr>
              <w:t>成果文件名称</w:t>
            </w:r>
          </w:p>
        </w:tc>
        <w:tc>
          <w:tcPr>
            <w:tcW w:w="2111" w:type="dxa"/>
            <w:noWrap w:val="0"/>
            <w:vAlign w:val="center"/>
          </w:tcPr>
          <w:p w14:paraId="75D226A7">
            <w:pPr>
              <w:pStyle w:val="20"/>
              <w:pageBreakBefore w:val="0"/>
              <w:wordWrap w:val="0"/>
              <w:bidi w:val="0"/>
              <w:spacing w:after="200" w:line="360" w:lineRule="exact"/>
              <w:jc w:val="center"/>
              <w:rPr>
                <w:rFonts w:hint="eastAsia" w:ascii="宋体" w:hAnsi="宋体" w:eastAsia="宋体" w:cs="宋体"/>
                <w:bCs/>
                <w:szCs w:val="21"/>
              </w:rPr>
            </w:pPr>
            <w:r>
              <w:rPr>
                <w:rFonts w:hint="eastAsia" w:ascii="宋体" w:hAnsi="宋体" w:eastAsia="宋体" w:cs="宋体"/>
                <w:bCs/>
                <w:szCs w:val="21"/>
                <w:highlight w:val="white"/>
              </w:rPr>
              <w:t>成果文件组成</w:t>
            </w:r>
          </w:p>
        </w:tc>
        <w:tc>
          <w:tcPr>
            <w:tcW w:w="1440" w:type="dxa"/>
            <w:noWrap w:val="0"/>
            <w:vAlign w:val="center"/>
          </w:tcPr>
          <w:p w14:paraId="1D1E01B9">
            <w:pPr>
              <w:pStyle w:val="20"/>
              <w:pageBreakBefore w:val="0"/>
              <w:wordWrap w:val="0"/>
              <w:bidi w:val="0"/>
              <w:spacing w:after="200" w:line="360" w:lineRule="exact"/>
              <w:jc w:val="center"/>
              <w:rPr>
                <w:rFonts w:hint="eastAsia" w:ascii="宋体" w:hAnsi="宋体" w:eastAsia="宋体" w:cs="宋体"/>
                <w:bCs/>
                <w:szCs w:val="21"/>
              </w:rPr>
            </w:pPr>
            <w:r>
              <w:rPr>
                <w:rFonts w:hint="eastAsia" w:ascii="宋体" w:hAnsi="宋体" w:eastAsia="宋体" w:cs="宋体"/>
                <w:bCs/>
                <w:szCs w:val="21"/>
                <w:highlight w:val="white"/>
              </w:rPr>
              <w:t>提交时间</w:t>
            </w:r>
          </w:p>
        </w:tc>
        <w:tc>
          <w:tcPr>
            <w:tcW w:w="756" w:type="dxa"/>
            <w:noWrap w:val="0"/>
            <w:vAlign w:val="center"/>
          </w:tcPr>
          <w:p w14:paraId="46272FDD">
            <w:pPr>
              <w:pStyle w:val="20"/>
              <w:pageBreakBefore w:val="0"/>
              <w:wordWrap w:val="0"/>
              <w:bidi w:val="0"/>
              <w:spacing w:after="200" w:line="360" w:lineRule="exact"/>
              <w:jc w:val="center"/>
              <w:rPr>
                <w:rFonts w:hint="eastAsia" w:ascii="宋体" w:hAnsi="宋体" w:eastAsia="宋体" w:cs="宋体"/>
                <w:bCs/>
                <w:szCs w:val="21"/>
              </w:rPr>
            </w:pPr>
            <w:r>
              <w:rPr>
                <w:rFonts w:hint="eastAsia" w:ascii="宋体" w:hAnsi="宋体" w:eastAsia="宋体" w:cs="宋体"/>
                <w:bCs/>
                <w:szCs w:val="21"/>
                <w:highlight w:val="white"/>
              </w:rPr>
              <w:t>份数</w:t>
            </w:r>
          </w:p>
        </w:tc>
        <w:tc>
          <w:tcPr>
            <w:tcW w:w="1872" w:type="dxa"/>
            <w:noWrap w:val="0"/>
            <w:vAlign w:val="center"/>
          </w:tcPr>
          <w:p w14:paraId="1BFEC3DD">
            <w:pPr>
              <w:pStyle w:val="20"/>
              <w:pageBreakBefore w:val="0"/>
              <w:wordWrap w:val="0"/>
              <w:bidi w:val="0"/>
              <w:spacing w:after="200" w:line="360" w:lineRule="exact"/>
              <w:jc w:val="center"/>
              <w:rPr>
                <w:rFonts w:hint="eastAsia" w:ascii="宋体" w:hAnsi="宋体" w:eastAsia="宋体" w:cs="宋体"/>
                <w:bCs/>
                <w:szCs w:val="21"/>
              </w:rPr>
            </w:pPr>
            <w:r>
              <w:rPr>
                <w:rFonts w:hint="eastAsia" w:ascii="宋体" w:hAnsi="宋体" w:eastAsia="宋体" w:cs="宋体"/>
                <w:bCs/>
                <w:szCs w:val="21"/>
                <w:highlight w:val="white"/>
              </w:rPr>
              <w:t>质量标准</w:t>
            </w:r>
          </w:p>
        </w:tc>
      </w:tr>
      <w:tr w14:paraId="22B9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236" w:type="dxa"/>
            <w:vMerge w:val="restart"/>
            <w:noWrap w:val="0"/>
            <w:vAlign w:val="center"/>
          </w:tcPr>
          <w:p w14:paraId="3E472AAB">
            <w:pPr>
              <w:pStyle w:val="59"/>
              <w:pageBreakBefore w:val="0"/>
              <w:widowControl w:val="0"/>
              <w:wordWrap w:val="0"/>
              <w:bidi w:val="0"/>
              <w:spacing w:line="360" w:lineRule="exact"/>
              <w:jc w:val="center"/>
              <w:rPr>
                <w:rFonts w:hint="eastAsia" w:ascii="宋体" w:hAnsi="宋体" w:eastAsia="宋体" w:cs="宋体"/>
                <w:bCs/>
                <w:sz w:val="21"/>
                <w:szCs w:val="21"/>
              </w:rPr>
            </w:pPr>
            <w:r>
              <w:rPr>
                <w:rFonts w:hint="eastAsia" w:ascii="宋体" w:hAnsi="宋体" w:eastAsia="宋体" w:cs="宋体"/>
                <w:bCs/>
                <w:sz w:val="21"/>
                <w:szCs w:val="21"/>
                <w:highlight w:val="white"/>
              </w:rPr>
              <w:t>设计阶段</w:t>
            </w:r>
          </w:p>
        </w:tc>
        <w:tc>
          <w:tcPr>
            <w:tcW w:w="1644" w:type="dxa"/>
            <w:noWrap w:val="0"/>
            <w:vAlign w:val="center"/>
          </w:tcPr>
          <w:p w14:paraId="32FA5C36">
            <w:pPr>
              <w:pStyle w:val="20"/>
              <w:pageBreakBefore w:val="0"/>
              <w:wordWrap w:val="0"/>
              <w:bidi w:val="0"/>
              <w:spacing w:after="200" w:line="360" w:lineRule="exact"/>
              <w:jc w:val="center"/>
              <w:rPr>
                <w:rFonts w:hint="eastAsia" w:ascii="宋体" w:hAnsi="宋体" w:eastAsia="宋体" w:cs="宋体"/>
                <w:bCs/>
                <w:szCs w:val="21"/>
              </w:rPr>
            </w:pPr>
          </w:p>
        </w:tc>
        <w:tc>
          <w:tcPr>
            <w:tcW w:w="2111" w:type="dxa"/>
            <w:noWrap w:val="0"/>
            <w:vAlign w:val="center"/>
          </w:tcPr>
          <w:p w14:paraId="51F52DB2">
            <w:pPr>
              <w:pStyle w:val="20"/>
              <w:pageBreakBefore w:val="0"/>
              <w:wordWrap w:val="0"/>
              <w:bidi w:val="0"/>
              <w:spacing w:after="200" w:line="360" w:lineRule="exact"/>
              <w:jc w:val="center"/>
              <w:rPr>
                <w:rFonts w:hint="eastAsia" w:ascii="宋体" w:hAnsi="宋体" w:eastAsia="宋体" w:cs="宋体"/>
                <w:bCs/>
                <w:szCs w:val="21"/>
              </w:rPr>
            </w:pPr>
          </w:p>
        </w:tc>
        <w:tc>
          <w:tcPr>
            <w:tcW w:w="1440" w:type="dxa"/>
            <w:noWrap w:val="0"/>
            <w:vAlign w:val="center"/>
          </w:tcPr>
          <w:p w14:paraId="4FCF7E91">
            <w:pPr>
              <w:pStyle w:val="20"/>
              <w:pageBreakBefore w:val="0"/>
              <w:wordWrap w:val="0"/>
              <w:bidi w:val="0"/>
              <w:spacing w:after="200" w:line="360" w:lineRule="exact"/>
              <w:jc w:val="center"/>
              <w:rPr>
                <w:rFonts w:hint="eastAsia" w:ascii="宋体" w:hAnsi="宋体" w:eastAsia="宋体" w:cs="宋体"/>
                <w:bCs/>
                <w:szCs w:val="21"/>
              </w:rPr>
            </w:pPr>
          </w:p>
        </w:tc>
        <w:tc>
          <w:tcPr>
            <w:tcW w:w="756" w:type="dxa"/>
            <w:noWrap w:val="0"/>
            <w:vAlign w:val="center"/>
          </w:tcPr>
          <w:p w14:paraId="7B48042A">
            <w:pPr>
              <w:pStyle w:val="20"/>
              <w:pageBreakBefore w:val="0"/>
              <w:wordWrap w:val="0"/>
              <w:bidi w:val="0"/>
              <w:spacing w:after="200" w:line="360" w:lineRule="exact"/>
              <w:jc w:val="center"/>
              <w:rPr>
                <w:rFonts w:hint="eastAsia" w:ascii="宋体" w:hAnsi="宋体" w:eastAsia="宋体" w:cs="宋体"/>
                <w:bCs/>
                <w:szCs w:val="21"/>
              </w:rPr>
            </w:pPr>
          </w:p>
        </w:tc>
        <w:tc>
          <w:tcPr>
            <w:tcW w:w="1872" w:type="dxa"/>
            <w:noWrap w:val="0"/>
            <w:vAlign w:val="center"/>
          </w:tcPr>
          <w:p w14:paraId="77E258BC">
            <w:pPr>
              <w:pStyle w:val="20"/>
              <w:pageBreakBefore w:val="0"/>
              <w:wordWrap w:val="0"/>
              <w:bidi w:val="0"/>
              <w:spacing w:after="200" w:line="360" w:lineRule="exact"/>
              <w:jc w:val="center"/>
              <w:rPr>
                <w:rFonts w:hint="eastAsia" w:ascii="宋体" w:hAnsi="宋体" w:eastAsia="宋体" w:cs="宋体"/>
                <w:bCs/>
                <w:szCs w:val="21"/>
              </w:rPr>
            </w:pPr>
          </w:p>
        </w:tc>
      </w:tr>
      <w:tr w14:paraId="1071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236" w:type="dxa"/>
            <w:vMerge w:val="continue"/>
            <w:noWrap w:val="0"/>
            <w:vAlign w:val="center"/>
          </w:tcPr>
          <w:p w14:paraId="3D27603C">
            <w:pPr>
              <w:pStyle w:val="59"/>
              <w:pageBreakBefore w:val="0"/>
              <w:widowControl w:val="0"/>
              <w:wordWrap w:val="0"/>
              <w:bidi w:val="0"/>
              <w:spacing w:line="360" w:lineRule="exact"/>
              <w:jc w:val="center"/>
              <w:rPr>
                <w:rFonts w:hint="eastAsia" w:ascii="宋体" w:hAnsi="宋体" w:eastAsia="宋体" w:cs="宋体"/>
                <w:bCs/>
                <w:sz w:val="21"/>
                <w:szCs w:val="21"/>
              </w:rPr>
            </w:pPr>
          </w:p>
        </w:tc>
        <w:tc>
          <w:tcPr>
            <w:tcW w:w="1644" w:type="dxa"/>
            <w:noWrap w:val="0"/>
            <w:vAlign w:val="center"/>
          </w:tcPr>
          <w:p w14:paraId="55BBAD6B">
            <w:pPr>
              <w:pStyle w:val="20"/>
              <w:pageBreakBefore w:val="0"/>
              <w:wordWrap w:val="0"/>
              <w:bidi w:val="0"/>
              <w:spacing w:after="200" w:line="360" w:lineRule="exact"/>
              <w:jc w:val="center"/>
              <w:rPr>
                <w:rFonts w:hint="eastAsia" w:ascii="宋体" w:hAnsi="宋体" w:eastAsia="宋体" w:cs="宋体"/>
                <w:bCs/>
                <w:szCs w:val="21"/>
              </w:rPr>
            </w:pPr>
          </w:p>
        </w:tc>
        <w:tc>
          <w:tcPr>
            <w:tcW w:w="2111" w:type="dxa"/>
            <w:noWrap w:val="0"/>
            <w:vAlign w:val="center"/>
          </w:tcPr>
          <w:p w14:paraId="7134FE1C">
            <w:pPr>
              <w:pStyle w:val="20"/>
              <w:pageBreakBefore w:val="0"/>
              <w:wordWrap w:val="0"/>
              <w:bidi w:val="0"/>
              <w:spacing w:after="200" w:line="360" w:lineRule="exact"/>
              <w:jc w:val="center"/>
              <w:rPr>
                <w:rFonts w:hint="eastAsia" w:ascii="宋体" w:hAnsi="宋体" w:eastAsia="宋体" w:cs="宋体"/>
                <w:bCs/>
                <w:szCs w:val="21"/>
              </w:rPr>
            </w:pPr>
          </w:p>
        </w:tc>
        <w:tc>
          <w:tcPr>
            <w:tcW w:w="1440" w:type="dxa"/>
            <w:noWrap w:val="0"/>
            <w:vAlign w:val="center"/>
          </w:tcPr>
          <w:p w14:paraId="0D984D2C">
            <w:pPr>
              <w:pStyle w:val="20"/>
              <w:pageBreakBefore w:val="0"/>
              <w:wordWrap w:val="0"/>
              <w:bidi w:val="0"/>
              <w:spacing w:after="200" w:line="360" w:lineRule="exact"/>
              <w:jc w:val="center"/>
              <w:rPr>
                <w:rFonts w:hint="eastAsia" w:ascii="宋体" w:hAnsi="宋体" w:eastAsia="宋体" w:cs="宋体"/>
                <w:bCs/>
                <w:szCs w:val="21"/>
              </w:rPr>
            </w:pPr>
          </w:p>
        </w:tc>
        <w:tc>
          <w:tcPr>
            <w:tcW w:w="756" w:type="dxa"/>
            <w:noWrap w:val="0"/>
            <w:vAlign w:val="center"/>
          </w:tcPr>
          <w:p w14:paraId="54C2148E">
            <w:pPr>
              <w:pStyle w:val="20"/>
              <w:pageBreakBefore w:val="0"/>
              <w:wordWrap w:val="0"/>
              <w:bidi w:val="0"/>
              <w:spacing w:after="200" w:line="360" w:lineRule="exact"/>
              <w:jc w:val="center"/>
              <w:rPr>
                <w:rFonts w:hint="eastAsia" w:ascii="宋体" w:hAnsi="宋体" w:eastAsia="宋体" w:cs="宋体"/>
                <w:bCs/>
                <w:szCs w:val="21"/>
              </w:rPr>
            </w:pPr>
          </w:p>
        </w:tc>
        <w:tc>
          <w:tcPr>
            <w:tcW w:w="1872" w:type="dxa"/>
            <w:noWrap w:val="0"/>
            <w:vAlign w:val="center"/>
          </w:tcPr>
          <w:p w14:paraId="34E99212">
            <w:pPr>
              <w:pStyle w:val="20"/>
              <w:pageBreakBefore w:val="0"/>
              <w:wordWrap w:val="0"/>
              <w:bidi w:val="0"/>
              <w:spacing w:after="200" w:line="360" w:lineRule="exact"/>
              <w:jc w:val="center"/>
              <w:rPr>
                <w:rFonts w:hint="eastAsia" w:ascii="宋体" w:hAnsi="宋体" w:eastAsia="宋体" w:cs="宋体"/>
                <w:bCs/>
                <w:szCs w:val="21"/>
              </w:rPr>
            </w:pPr>
          </w:p>
        </w:tc>
      </w:tr>
      <w:tr w14:paraId="3F52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236" w:type="dxa"/>
            <w:vMerge w:val="continue"/>
            <w:noWrap w:val="0"/>
            <w:vAlign w:val="center"/>
          </w:tcPr>
          <w:p w14:paraId="21A4B274">
            <w:pPr>
              <w:pStyle w:val="20"/>
              <w:pageBreakBefore w:val="0"/>
              <w:wordWrap w:val="0"/>
              <w:bidi w:val="0"/>
              <w:spacing w:after="200" w:line="360" w:lineRule="exact"/>
              <w:jc w:val="center"/>
              <w:rPr>
                <w:rFonts w:hint="eastAsia" w:ascii="宋体" w:hAnsi="宋体" w:eastAsia="宋体" w:cs="宋体"/>
                <w:bCs/>
                <w:szCs w:val="21"/>
              </w:rPr>
            </w:pPr>
          </w:p>
        </w:tc>
        <w:tc>
          <w:tcPr>
            <w:tcW w:w="1644" w:type="dxa"/>
            <w:noWrap w:val="0"/>
            <w:vAlign w:val="center"/>
          </w:tcPr>
          <w:p w14:paraId="374114C6">
            <w:pPr>
              <w:pStyle w:val="20"/>
              <w:pageBreakBefore w:val="0"/>
              <w:wordWrap w:val="0"/>
              <w:bidi w:val="0"/>
              <w:spacing w:after="200" w:line="360" w:lineRule="exact"/>
              <w:jc w:val="center"/>
              <w:rPr>
                <w:rFonts w:hint="eastAsia" w:ascii="宋体" w:hAnsi="宋体" w:eastAsia="宋体" w:cs="宋体"/>
                <w:bCs/>
                <w:szCs w:val="21"/>
              </w:rPr>
            </w:pPr>
          </w:p>
        </w:tc>
        <w:tc>
          <w:tcPr>
            <w:tcW w:w="2111" w:type="dxa"/>
            <w:noWrap w:val="0"/>
            <w:vAlign w:val="center"/>
          </w:tcPr>
          <w:p w14:paraId="5D0EEAFC">
            <w:pPr>
              <w:pStyle w:val="20"/>
              <w:pageBreakBefore w:val="0"/>
              <w:wordWrap w:val="0"/>
              <w:bidi w:val="0"/>
              <w:spacing w:after="200" w:line="360" w:lineRule="exact"/>
              <w:jc w:val="center"/>
              <w:rPr>
                <w:rFonts w:hint="eastAsia" w:ascii="宋体" w:hAnsi="宋体" w:eastAsia="宋体" w:cs="宋体"/>
                <w:bCs/>
                <w:szCs w:val="21"/>
              </w:rPr>
            </w:pPr>
          </w:p>
        </w:tc>
        <w:tc>
          <w:tcPr>
            <w:tcW w:w="1440" w:type="dxa"/>
            <w:noWrap w:val="0"/>
            <w:vAlign w:val="center"/>
          </w:tcPr>
          <w:p w14:paraId="5BD79451">
            <w:pPr>
              <w:pStyle w:val="20"/>
              <w:pageBreakBefore w:val="0"/>
              <w:wordWrap w:val="0"/>
              <w:bidi w:val="0"/>
              <w:spacing w:after="200" w:line="360" w:lineRule="exact"/>
              <w:jc w:val="center"/>
              <w:rPr>
                <w:rFonts w:hint="eastAsia" w:ascii="宋体" w:hAnsi="宋体" w:eastAsia="宋体" w:cs="宋体"/>
                <w:bCs/>
                <w:szCs w:val="21"/>
              </w:rPr>
            </w:pPr>
          </w:p>
        </w:tc>
        <w:tc>
          <w:tcPr>
            <w:tcW w:w="756" w:type="dxa"/>
            <w:noWrap w:val="0"/>
            <w:vAlign w:val="center"/>
          </w:tcPr>
          <w:p w14:paraId="4013F7F3">
            <w:pPr>
              <w:pStyle w:val="20"/>
              <w:pageBreakBefore w:val="0"/>
              <w:wordWrap w:val="0"/>
              <w:bidi w:val="0"/>
              <w:spacing w:after="200" w:line="360" w:lineRule="exact"/>
              <w:jc w:val="center"/>
              <w:rPr>
                <w:rFonts w:hint="eastAsia" w:ascii="宋体" w:hAnsi="宋体" w:eastAsia="宋体" w:cs="宋体"/>
                <w:bCs/>
                <w:szCs w:val="21"/>
              </w:rPr>
            </w:pPr>
          </w:p>
        </w:tc>
        <w:tc>
          <w:tcPr>
            <w:tcW w:w="1872" w:type="dxa"/>
            <w:noWrap w:val="0"/>
            <w:vAlign w:val="center"/>
          </w:tcPr>
          <w:p w14:paraId="0FA5C287">
            <w:pPr>
              <w:pStyle w:val="20"/>
              <w:pageBreakBefore w:val="0"/>
              <w:wordWrap w:val="0"/>
              <w:bidi w:val="0"/>
              <w:spacing w:after="200" w:line="360" w:lineRule="exact"/>
              <w:jc w:val="center"/>
              <w:rPr>
                <w:rFonts w:hint="eastAsia" w:ascii="宋体" w:hAnsi="宋体" w:eastAsia="宋体" w:cs="宋体"/>
                <w:bCs/>
                <w:szCs w:val="21"/>
              </w:rPr>
            </w:pPr>
          </w:p>
        </w:tc>
      </w:tr>
      <w:tr w14:paraId="785E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236" w:type="dxa"/>
            <w:vMerge w:val="restart"/>
            <w:noWrap w:val="0"/>
            <w:vAlign w:val="center"/>
          </w:tcPr>
          <w:p w14:paraId="6CB83648">
            <w:pPr>
              <w:pStyle w:val="59"/>
              <w:pageBreakBefore w:val="0"/>
              <w:widowControl w:val="0"/>
              <w:wordWrap w:val="0"/>
              <w:bidi w:val="0"/>
              <w:spacing w:line="360" w:lineRule="exact"/>
              <w:jc w:val="center"/>
              <w:rPr>
                <w:rFonts w:hint="eastAsia" w:ascii="宋体" w:hAnsi="宋体" w:eastAsia="宋体" w:cs="宋体"/>
                <w:bCs/>
                <w:sz w:val="21"/>
                <w:szCs w:val="21"/>
              </w:rPr>
            </w:pPr>
            <w:r>
              <w:rPr>
                <w:rFonts w:hint="eastAsia" w:ascii="宋体" w:hAnsi="宋体" w:eastAsia="宋体" w:cs="宋体"/>
                <w:bCs/>
                <w:sz w:val="21"/>
                <w:szCs w:val="21"/>
                <w:highlight w:val="white"/>
              </w:rPr>
              <w:t>发承包阶段</w:t>
            </w:r>
          </w:p>
        </w:tc>
        <w:tc>
          <w:tcPr>
            <w:tcW w:w="1644" w:type="dxa"/>
            <w:noWrap w:val="0"/>
            <w:vAlign w:val="center"/>
          </w:tcPr>
          <w:p w14:paraId="2E09B2E1">
            <w:pPr>
              <w:pStyle w:val="20"/>
              <w:pageBreakBefore w:val="0"/>
              <w:wordWrap w:val="0"/>
              <w:bidi w:val="0"/>
              <w:spacing w:after="200" w:line="360" w:lineRule="exact"/>
              <w:jc w:val="center"/>
              <w:rPr>
                <w:rFonts w:hint="eastAsia" w:ascii="宋体" w:hAnsi="宋体" w:eastAsia="宋体" w:cs="宋体"/>
                <w:bCs/>
                <w:szCs w:val="21"/>
              </w:rPr>
            </w:pPr>
          </w:p>
        </w:tc>
        <w:tc>
          <w:tcPr>
            <w:tcW w:w="2111" w:type="dxa"/>
            <w:noWrap w:val="0"/>
            <w:vAlign w:val="center"/>
          </w:tcPr>
          <w:p w14:paraId="68BB4D73">
            <w:pPr>
              <w:pStyle w:val="20"/>
              <w:pageBreakBefore w:val="0"/>
              <w:wordWrap w:val="0"/>
              <w:bidi w:val="0"/>
              <w:spacing w:after="200" w:line="360" w:lineRule="exact"/>
              <w:jc w:val="center"/>
              <w:rPr>
                <w:rFonts w:hint="eastAsia" w:ascii="宋体" w:hAnsi="宋体" w:eastAsia="宋体" w:cs="宋体"/>
                <w:bCs/>
                <w:szCs w:val="21"/>
              </w:rPr>
            </w:pPr>
          </w:p>
        </w:tc>
        <w:tc>
          <w:tcPr>
            <w:tcW w:w="1440" w:type="dxa"/>
            <w:noWrap w:val="0"/>
            <w:vAlign w:val="center"/>
          </w:tcPr>
          <w:p w14:paraId="316B73D9">
            <w:pPr>
              <w:pStyle w:val="20"/>
              <w:pageBreakBefore w:val="0"/>
              <w:wordWrap w:val="0"/>
              <w:bidi w:val="0"/>
              <w:spacing w:after="200" w:line="360" w:lineRule="exact"/>
              <w:jc w:val="center"/>
              <w:rPr>
                <w:rFonts w:hint="eastAsia" w:ascii="宋体" w:hAnsi="宋体" w:eastAsia="宋体" w:cs="宋体"/>
                <w:bCs/>
                <w:szCs w:val="21"/>
              </w:rPr>
            </w:pPr>
          </w:p>
        </w:tc>
        <w:tc>
          <w:tcPr>
            <w:tcW w:w="756" w:type="dxa"/>
            <w:noWrap w:val="0"/>
            <w:vAlign w:val="center"/>
          </w:tcPr>
          <w:p w14:paraId="4A0DC88C">
            <w:pPr>
              <w:pStyle w:val="20"/>
              <w:pageBreakBefore w:val="0"/>
              <w:wordWrap w:val="0"/>
              <w:bidi w:val="0"/>
              <w:spacing w:after="200" w:line="360" w:lineRule="exact"/>
              <w:jc w:val="center"/>
              <w:rPr>
                <w:rFonts w:hint="eastAsia" w:ascii="宋体" w:hAnsi="宋体" w:eastAsia="宋体" w:cs="宋体"/>
                <w:bCs/>
                <w:szCs w:val="21"/>
              </w:rPr>
            </w:pPr>
          </w:p>
        </w:tc>
        <w:tc>
          <w:tcPr>
            <w:tcW w:w="1872" w:type="dxa"/>
            <w:noWrap w:val="0"/>
            <w:vAlign w:val="center"/>
          </w:tcPr>
          <w:p w14:paraId="1E0463BE">
            <w:pPr>
              <w:pStyle w:val="20"/>
              <w:pageBreakBefore w:val="0"/>
              <w:wordWrap w:val="0"/>
              <w:bidi w:val="0"/>
              <w:spacing w:after="200" w:line="360" w:lineRule="exact"/>
              <w:jc w:val="center"/>
              <w:rPr>
                <w:rFonts w:hint="eastAsia" w:ascii="宋体" w:hAnsi="宋体" w:eastAsia="宋体" w:cs="宋体"/>
                <w:bCs/>
                <w:szCs w:val="21"/>
              </w:rPr>
            </w:pPr>
          </w:p>
        </w:tc>
      </w:tr>
      <w:tr w14:paraId="20EC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236" w:type="dxa"/>
            <w:vMerge w:val="continue"/>
            <w:noWrap w:val="0"/>
            <w:vAlign w:val="center"/>
          </w:tcPr>
          <w:p w14:paraId="4CA67203">
            <w:pPr>
              <w:pStyle w:val="59"/>
              <w:pageBreakBefore w:val="0"/>
              <w:widowControl w:val="0"/>
              <w:wordWrap w:val="0"/>
              <w:bidi w:val="0"/>
              <w:spacing w:line="360" w:lineRule="exact"/>
              <w:jc w:val="center"/>
              <w:rPr>
                <w:rFonts w:hint="eastAsia" w:ascii="宋体" w:hAnsi="宋体" w:eastAsia="宋体" w:cs="宋体"/>
                <w:bCs/>
                <w:sz w:val="21"/>
                <w:szCs w:val="21"/>
              </w:rPr>
            </w:pPr>
          </w:p>
        </w:tc>
        <w:tc>
          <w:tcPr>
            <w:tcW w:w="1644" w:type="dxa"/>
            <w:noWrap w:val="0"/>
            <w:vAlign w:val="center"/>
          </w:tcPr>
          <w:p w14:paraId="11F8CB19">
            <w:pPr>
              <w:pStyle w:val="20"/>
              <w:pageBreakBefore w:val="0"/>
              <w:wordWrap w:val="0"/>
              <w:bidi w:val="0"/>
              <w:spacing w:after="200" w:line="360" w:lineRule="exact"/>
              <w:jc w:val="center"/>
              <w:rPr>
                <w:rFonts w:hint="eastAsia" w:ascii="宋体" w:hAnsi="宋体" w:eastAsia="宋体" w:cs="宋体"/>
                <w:bCs/>
                <w:szCs w:val="21"/>
              </w:rPr>
            </w:pPr>
          </w:p>
        </w:tc>
        <w:tc>
          <w:tcPr>
            <w:tcW w:w="2111" w:type="dxa"/>
            <w:noWrap w:val="0"/>
            <w:vAlign w:val="center"/>
          </w:tcPr>
          <w:p w14:paraId="21C3E13D">
            <w:pPr>
              <w:pStyle w:val="20"/>
              <w:pageBreakBefore w:val="0"/>
              <w:wordWrap w:val="0"/>
              <w:bidi w:val="0"/>
              <w:spacing w:after="200" w:line="360" w:lineRule="exact"/>
              <w:jc w:val="center"/>
              <w:rPr>
                <w:rFonts w:hint="eastAsia" w:ascii="宋体" w:hAnsi="宋体" w:eastAsia="宋体" w:cs="宋体"/>
                <w:bCs/>
                <w:szCs w:val="21"/>
              </w:rPr>
            </w:pPr>
          </w:p>
        </w:tc>
        <w:tc>
          <w:tcPr>
            <w:tcW w:w="1440" w:type="dxa"/>
            <w:noWrap w:val="0"/>
            <w:vAlign w:val="center"/>
          </w:tcPr>
          <w:p w14:paraId="40E9702C">
            <w:pPr>
              <w:pStyle w:val="20"/>
              <w:pageBreakBefore w:val="0"/>
              <w:wordWrap w:val="0"/>
              <w:bidi w:val="0"/>
              <w:spacing w:after="200" w:line="360" w:lineRule="exact"/>
              <w:jc w:val="center"/>
              <w:rPr>
                <w:rFonts w:hint="eastAsia" w:ascii="宋体" w:hAnsi="宋体" w:eastAsia="宋体" w:cs="宋体"/>
                <w:bCs/>
                <w:szCs w:val="21"/>
              </w:rPr>
            </w:pPr>
          </w:p>
        </w:tc>
        <w:tc>
          <w:tcPr>
            <w:tcW w:w="756" w:type="dxa"/>
            <w:noWrap w:val="0"/>
            <w:vAlign w:val="center"/>
          </w:tcPr>
          <w:p w14:paraId="0D74E237">
            <w:pPr>
              <w:pStyle w:val="20"/>
              <w:pageBreakBefore w:val="0"/>
              <w:wordWrap w:val="0"/>
              <w:bidi w:val="0"/>
              <w:spacing w:after="200" w:line="360" w:lineRule="exact"/>
              <w:jc w:val="center"/>
              <w:rPr>
                <w:rFonts w:hint="eastAsia" w:ascii="宋体" w:hAnsi="宋体" w:eastAsia="宋体" w:cs="宋体"/>
                <w:bCs/>
                <w:szCs w:val="21"/>
              </w:rPr>
            </w:pPr>
          </w:p>
        </w:tc>
        <w:tc>
          <w:tcPr>
            <w:tcW w:w="1872" w:type="dxa"/>
            <w:noWrap w:val="0"/>
            <w:vAlign w:val="center"/>
          </w:tcPr>
          <w:p w14:paraId="6293F3D3">
            <w:pPr>
              <w:pStyle w:val="20"/>
              <w:pageBreakBefore w:val="0"/>
              <w:wordWrap w:val="0"/>
              <w:bidi w:val="0"/>
              <w:spacing w:after="200" w:line="360" w:lineRule="exact"/>
              <w:jc w:val="center"/>
              <w:rPr>
                <w:rFonts w:hint="eastAsia" w:ascii="宋体" w:hAnsi="宋体" w:eastAsia="宋体" w:cs="宋体"/>
                <w:bCs/>
                <w:szCs w:val="21"/>
              </w:rPr>
            </w:pPr>
          </w:p>
        </w:tc>
      </w:tr>
      <w:tr w14:paraId="3F57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236" w:type="dxa"/>
            <w:vMerge w:val="continue"/>
            <w:noWrap w:val="0"/>
            <w:vAlign w:val="center"/>
          </w:tcPr>
          <w:p w14:paraId="25174BEF">
            <w:pPr>
              <w:pStyle w:val="20"/>
              <w:pageBreakBefore w:val="0"/>
              <w:wordWrap w:val="0"/>
              <w:bidi w:val="0"/>
              <w:spacing w:after="200" w:line="360" w:lineRule="exact"/>
              <w:jc w:val="center"/>
              <w:rPr>
                <w:rFonts w:hint="eastAsia" w:ascii="宋体" w:hAnsi="宋体" w:eastAsia="宋体" w:cs="宋体"/>
                <w:bCs/>
                <w:szCs w:val="21"/>
              </w:rPr>
            </w:pPr>
          </w:p>
        </w:tc>
        <w:tc>
          <w:tcPr>
            <w:tcW w:w="1644" w:type="dxa"/>
            <w:noWrap w:val="0"/>
            <w:vAlign w:val="center"/>
          </w:tcPr>
          <w:p w14:paraId="4878F8AA">
            <w:pPr>
              <w:pStyle w:val="20"/>
              <w:pageBreakBefore w:val="0"/>
              <w:wordWrap w:val="0"/>
              <w:bidi w:val="0"/>
              <w:spacing w:after="200" w:line="360" w:lineRule="exact"/>
              <w:jc w:val="center"/>
              <w:rPr>
                <w:rFonts w:hint="eastAsia" w:ascii="宋体" w:hAnsi="宋体" w:eastAsia="宋体" w:cs="宋体"/>
                <w:bCs/>
                <w:szCs w:val="21"/>
              </w:rPr>
            </w:pPr>
          </w:p>
        </w:tc>
        <w:tc>
          <w:tcPr>
            <w:tcW w:w="2111" w:type="dxa"/>
            <w:noWrap w:val="0"/>
            <w:vAlign w:val="center"/>
          </w:tcPr>
          <w:p w14:paraId="6A9717EA">
            <w:pPr>
              <w:pStyle w:val="20"/>
              <w:pageBreakBefore w:val="0"/>
              <w:wordWrap w:val="0"/>
              <w:bidi w:val="0"/>
              <w:spacing w:after="200" w:line="360" w:lineRule="exact"/>
              <w:jc w:val="center"/>
              <w:rPr>
                <w:rFonts w:hint="eastAsia" w:ascii="宋体" w:hAnsi="宋体" w:eastAsia="宋体" w:cs="宋体"/>
                <w:bCs/>
                <w:szCs w:val="21"/>
              </w:rPr>
            </w:pPr>
          </w:p>
        </w:tc>
        <w:tc>
          <w:tcPr>
            <w:tcW w:w="1440" w:type="dxa"/>
            <w:noWrap w:val="0"/>
            <w:vAlign w:val="center"/>
          </w:tcPr>
          <w:p w14:paraId="0A3E45CC">
            <w:pPr>
              <w:pStyle w:val="20"/>
              <w:pageBreakBefore w:val="0"/>
              <w:wordWrap w:val="0"/>
              <w:bidi w:val="0"/>
              <w:spacing w:after="200" w:line="360" w:lineRule="exact"/>
              <w:jc w:val="center"/>
              <w:rPr>
                <w:rFonts w:hint="eastAsia" w:ascii="宋体" w:hAnsi="宋体" w:eastAsia="宋体" w:cs="宋体"/>
                <w:bCs/>
                <w:szCs w:val="21"/>
              </w:rPr>
            </w:pPr>
          </w:p>
        </w:tc>
        <w:tc>
          <w:tcPr>
            <w:tcW w:w="756" w:type="dxa"/>
            <w:noWrap w:val="0"/>
            <w:vAlign w:val="center"/>
          </w:tcPr>
          <w:p w14:paraId="46AB4639">
            <w:pPr>
              <w:pStyle w:val="20"/>
              <w:pageBreakBefore w:val="0"/>
              <w:wordWrap w:val="0"/>
              <w:bidi w:val="0"/>
              <w:spacing w:after="200" w:line="360" w:lineRule="exact"/>
              <w:jc w:val="center"/>
              <w:rPr>
                <w:rFonts w:hint="eastAsia" w:ascii="宋体" w:hAnsi="宋体" w:eastAsia="宋体" w:cs="宋体"/>
                <w:bCs/>
                <w:szCs w:val="21"/>
              </w:rPr>
            </w:pPr>
          </w:p>
        </w:tc>
        <w:tc>
          <w:tcPr>
            <w:tcW w:w="1872" w:type="dxa"/>
            <w:noWrap w:val="0"/>
            <w:vAlign w:val="center"/>
          </w:tcPr>
          <w:p w14:paraId="4E2A1702">
            <w:pPr>
              <w:pStyle w:val="20"/>
              <w:pageBreakBefore w:val="0"/>
              <w:wordWrap w:val="0"/>
              <w:bidi w:val="0"/>
              <w:spacing w:after="200" w:line="360" w:lineRule="exact"/>
              <w:jc w:val="center"/>
              <w:rPr>
                <w:rFonts w:hint="eastAsia" w:ascii="宋体" w:hAnsi="宋体" w:eastAsia="宋体" w:cs="宋体"/>
                <w:bCs/>
                <w:szCs w:val="21"/>
              </w:rPr>
            </w:pPr>
          </w:p>
        </w:tc>
      </w:tr>
      <w:tr w14:paraId="2823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236" w:type="dxa"/>
            <w:vMerge w:val="restart"/>
            <w:noWrap w:val="0"/>
            <w:vAlign w:val="center"/>
          </w:tcPr>
          <w:p w14:paraId="68E995F0">
            <w:pPr>
              <w:pStyle w:val="59"/>
              <w:pageBreakBefore w:val="0"/>
              <w:widowControl w:val="0"/>
              <w:wordWrap w:val="0"/>
              <w:bidi w:val="0"/>
              <w:spacing w:line="360" w:lineRule="exact"/>
              <w:jc w:val="center"/>
              <w:rPr>
                <w:rFonts w:hint="eastAsia" w:ascii="宋体" w:hAnsi="宋体" w:eastAsia="宋体" w:cs="宋体"/>
                <w:bCs/>
                <w:sz w:val="21"/>
                <w:szCs w:val="21"/>
              </w:rPr>
            </w:pPr>
            <w:r>
              <w:rPr>
                <w:rFonts w:hint="eastAsia" w:ascii="宋体" w:hAnsi="宋体" w:eastAsia="宋体" w:cs="宋体"/>
                <w:bCs/>
                <w:sz w:val="21"/>
                <w:szCs w:val="21"/>
                <w:highlight w:val="white"/>
              </w:rPr>
              <w:t>实施阶段</w:t>
            </w:r>
          </w:p>
        </w:tc>
        <w:tc>
          <w:tcPr>
            <w:tcW w:w="1644" w:type="dxa"/>
            <w:noWrap w:val="0"/>
            <w:vAlign w:val="center"/>
          </w:tcPr>
          <w:p w14:paraId="0E3047CD">
            <w:pPr>
              <w:pStyle w:val="20"/>
              <w:pageBreakBefore w:val="0"/>
              <w:wordWrap w:val="0"/>
              <w:bidi w:val="0"/>
              <w:spacing w:after="200" w:line="360" w:lineRule="exact"/>
              <w:jc w:val="center"/>
              <w:rPr>
                <w:rFonts w:hint="eastAsia" w:ascii="宋体" w:hAnsi="宋体" w:eastAsia="宋体" w:cs="宋体"/>
                <w:bCs/>
                <w:szCs w:val="21"/>
              </w:rPr>
            </w:pPr>
          </w:p>
        </w:tc>
        <w:tc>
          <w:tcPr>
            <w:tcW w:w="2111" w:type="dxa"/>
            <w:noWrap w:val="0"/>
            <w:vAlign w:val="center"/>
          </w:tcPr>
          <w:p w14:paraId="66C9E384">
            <w:pPr>
              <w:pStyle w:val="20"/>
              <w:pageBreakBefore w:val="0"/>
              <w:wordWrap w:val="0"/>
              <w:bidi w:val="0"/>
              <w:spacing w:after="200" w:line="360" w:lineRule="exact"/>
              <w:jc w:val="center"/>
              <w:rPr>
                <w:rFonts w:hint="eastAsia" w:ascii="宋体" w:hAnsi="宋体" w:eastAsia="宋体" w:cs="宋体"/>
                <w:bCs/>
                <w:szCs w:val="21"/>
              </w:rPr>
            </w:pPr>
          </w:p>
        </w:tc>
        <w:tc>
          <w:tcPr>
            <w:tcW w:w="1440" w:type="dxa"/>
            <w:noWrap w:val="0"/>
            <w:vAlign w:val="center"/>
          </w:tcPr>
          <w:p w14:paraId="49E3B4F4">
            <w:pPr>
              <w:pStyle w:val="20"/>
              <w:pageBreakBefore w:val="0"/>
              <w:wordWrap w:val="0"/>
              <w:bidi w:val="0"/>
              <w:spacing w:after="200" w:line="360" w:lineRule="exact"/>
              <w:jc w:val="center"/>
              <w:rPr>
                <w:rFonts w:hint="eastAsia" w:ascii="宋体" w:hAnsi="宋体" w:eastAsia="宋体" w:cs="宋体"/>
                <w:bCs/>
                <w:szCs w:val="21"/>
              </w:rPr>
            </w:pPr>
          </w:p>
        </w:tc>
        <w:tc>
          <w:tcPr>
            <w:tcW w:w="756" w:type="dxa"/>
            <w:noWrap w:val="0"/>
            <w:vAlign w:val="center"/>
          </w:tcPr>
          <w:p w14:paraId="4A804E34">
            <w:pPr>
              <w:pStyle w:val="20"/>
              <w:pageBreakBefore w:val="0"/>
              <w:wordWrap w:val="0"/>
              <w:bidi w:val="0"/>
              <w:spacing w:after="200" w:line="360" w:lineRule="exact"/>
              <w:jc w:val="center"/>
              <w:rPr>
                <w:rFonts w:hint="eastAsia" w:ascii="宋体" w:hAnsi="宋体" w:eastAsia="宋体" w:cs="宋体"/>
                <w:bCs/>
                <w:szCs w:val="21"/>
              </w:rPr>
            </w:pPr>
          </w:p>
        </w:tc>
        <w:tc>
          <w:tcPr>
            <w:tcW w:w="1872" w:type="dxa"/>
            <w:noWrap w:val="0"/>
            <w:vAlign w:val="center"/>
          </w:tcPr>
          <w:p w14:paraId="7CE9D6C9">
            <w:pPr>
              <w:pStyle w:val="20"/>
              <w:pageBreakBefore w:val="0"/>
              <w:wordWrap w:val="0"/>
              <w:bidi w:val="0"/>
              <w:spacing w:after="200" w:line="360" w:lineRule="exact"/>
              <w:jc w:val="center"/>
              <w:rPr>
                <w:rFonts w:hint="eastAsia" w:ascii="宋体" w:hAnsi="宋体" w:eastAsia="宋体" w:cs="宋体"/>
                <w:bCs/>
                <w:szCs w:val="21"/>
              </w:rPr>
            </w:pPr>
          </w:p>
        </w:tc>
      </w:tr>
      <w:tr w14:paraId="6520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236" w:type="dxa"/>
            <w:vMerge w:val="continue"/>
            <w:noWrap w:val="0"/>
            <w:vAlign w:val="center"/>
          </w:tcPr>
          <w:p w14:paraId="7F0B63C5">
            <w:pPr>
              <w:pStyle w:val="59"/>
              <w:pageBreakBefore w:val="0"/>
              <w:widowControl w:val="0"/>
              <w:wordWrap w:val="0"/>
              <w:bidi w:val="0"/>
              <w:spacing w:line="360" w:lineRule="exact"/>
              <w:jc w:val="center"/>
              <w:rPr>
                <w:rFonts w:hint="eastAsia" w:ascii="宋体" w:hAnsi="宋体" w:eastAsia="宋体" w:cs="宋体"/>
                <w:bCs/>
                <w:sz w:val="21"/>
                <w:szCs w:val="21"/>
              </w:rPr>
            </w:pPr>
          </w:p>
        </w:tc>
        <w:tc>
          <w:tcPr>
            <w:tcW w:w="1644" w:type="dxa"/>
            <w:noWrap w:val="0"/>
            <w:vAlign w:val="center"/>
          </w:tcPr>
          <w:p w14:paraId="580AFC49">
            <w:pPr>
              <w:pStyle w:val="20"/>
              <w:pageBreakBefore w:val="0"/>
              <w:wordWrap w:val="0"/>
              <w:bidi w:val="0"/>
              <w:spacing w:after="200" w:line="360" w:lineRule="exact"/>
              <w:jc w:val="center"/>
              <w:rPr>
                <w:rFonts w:hint="eastAsia" w:ascii="宋体" w:hAnsi="宋体" w:eastAsia="宋体" w:cs="宋体"/>
                <w:bCs/>
                <w:szCs w:val="21"/>
              </w:rPr>
            </w:pPr>
          </w:p>
        </w:tc>
        <w:tc>
          <w:tcPr>
            <w:tcW w:w="2111" w:type="dxa"/>
            <w:noWrap w:val="0"/>
            <w:vAlign w:val="center"/>
          </w:tcPr>
          <w:p w14:paraId="030CB127">
            <w:pPr>
              <w:pStyle w:val="20"/>
              <w:pageBreakBefore w:val="0"/>
              <w:wordWrap w:val="0"/>
              <w:bidi w:val="0"/>
              <w:spacing w:after="200" w:line="360" w:lineRule="exact"/>
              <w:jc w:val="center"/>
              <w:rPr>
                <w:rFonts w:hint="eastAsia" w:ascii="宋体" w:hAnsi="宋体" w:eastAsia="宋体" w:cs="宋体"/>
                <w:bCs/>
                <w:szCs w:val="21"/>
              </w:rPr>
            </w:pPr>
          </w:p>
        </w:tc>
        <w:tc>
          <w:tcPr>
            <w:tcW w:w="1440" w:type="dxa"/>
            <w:noWrap w:val="0"/>
            <w:vAlign w:val="center"/>
          </w:tcPr>
          <w:p w14:paraId="3A4D8862">
            <w:pPr>
              <w:pStyle w:val="20"/>
              <w:pageBreakBefore w:val="0"/>
              <w:wordWrap w:val="0"/>
              <w:bidi w:val="0"/>
              <w:spacing w:after="200" w:line="360" w:lineRule="exact"/>
              <w:jc w:val="center"/>
              <w:rPr>
                <w:rFonts w:hint="eastAsia" w:ascii="宋体" w:hAnsi="宋体" w:eastAsia="宋体" w:cs="宋体"/>
                <w:bCs/>
                <w:szCs w:val="21"/>
              </w:rPr>
            </w:pPr>
          </w:p>
        </w:tc>
        <w:tc>
          <w:tcPr>
            <w:tcW w:w="756" w:type="dxa"/>
            <w:noWrap w:val="0"/>
            <w:vAlign w:val="center"/>
          </w:tcPr>
          <w:p w14:paraId="5446C6CE">
            <w:pPr>
              <w:pStyle w:val="20"/>
              <w:pageBreakBefore w:val="0"/>
              <w:wordWrap w:val="0"/>
              <w:bidi w:val="0"/>
              <w:spacing w:after="200" w:line="360" w:lineRule="exact"/>
              <w:jc w:val="center"/>
              <w:rPr>
                <w:rFonts w:hint="eastAsia" w:ascii="宋体" w:hAnsi="宋体" w:eastAsia="宋体" w:cs="宋体"/>
                <w:bCs/>
                <w:szCs w:val="21"/>
              </w:rPr>
            </w:pPr>
          </w:p>
        </w:tc>
        <w:tc>
          <w:tcPr>
            <w:tcW w:w="1872" w:type="dxa"/>
            <w:noWrap w:val="0"/>
            <w:vAlign w:val="center"/>
          </w:tcPr>
          <w:p w14:paraId="65A8F8B9">
            <w:pPr>
              <w:pStyle w:val="20"/>
              <w:pageBreakBefore w:val="0"/>
              <w:wordWrap w:val="0"/>
              <w:bidi w:val="0"/>
              <w:spacing w:after="200" w:line="360" w:lineRule="exact"/>
              <w:jc w:val="center"/>
              <w:rPr>
                <w:rFonts w:hint="eastAsia" w:ascii="宋体" w:hAnsi="宋体" w:eastAsia="宋体" w:cs="宋体"/>
                <w:bCs/>
                <w:szCs w:val="21"/>
              </w:rPr>
            </w:pPr>
          </w:p>
        </w:tc>
      </w:tr>
      <w:tr w14:paraId="4854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236" w:type="dxa"/>
            <w:vMerge w:val="continue"/>
            <w:noWrap w:val="0"/>
            <w:vAlign w:val="center"/>
          </w:tcPr>
          <w:p w14:paraId="7D3E9FB6">
            <w:pPr>
              <w:pStyle w:val="59"/>
              <w:pageBreakBefore w:val="0"/>
              <w:widowControl w:val="0"/>
              <w:wordWrap w:val="0"/>
              <w:bidi w:val="0"/>
              <w:spacing w:line="360" w:lineRule="exact"/>
              <w:jc w:val="center"/>
              <w:rPr>
                <w:rFonts w:hint="eastAsia" w:ascii="宋体" w:hAnsi="宋体" w:eastAsia="宋体" w:cs="宋体"/>
                <w:bCs/>
                <w:sz w:val="21"/>
                <w:szCs w:val="21"/>
              </w:rPr>
            </w:pPr>
          </w:p>
        </w:tc>
        <w:tc>
          <w:tcPr>
            <w:tcW w:w="1644" w:type="dxa"/>
            <w:noWrap w:val="0"/>
            <w:vAlign w:val="center"/>
          </w:tcPr>
          <w:p w14:paraId="119C3E08">
            <w:pPr>
              <w:pStyle w:val="20"/>
              <w:pageBreakBefore w:val="0"/>
              <w:wordWrap w:val="0"/>
              <w:bidi w:val="0"/>
              <w:spacing w:after="200" w:line="360" w:lineRule="exact"/>
              <w:jc w:val="center"/>
              <w:rPr>
                <w:rFonts w:hint="eastAsia" w:ascii="宋体" w:hAnsi="宋体" w:eastAsia="宋体" w:cs="宋体"/>
                <w:bCs/>
                <w:szCs w:val="21"/>
              </w:rPr>
            </w:pPr>
          </w:p>
        </w:tc>
        <w:tc>
          <w:tcPr>
            <w:tcW w:w="2111" w:type="dxa"/>
            <w:noWrap w:val="0"/>
            <w:vAlign w:val="center"/>
          </w:tcPr>
          <w:p w14:paraId="5267ECD4">
            <w:pPr>
              <w:pStyle w:val="20"/>
              <w:pageBreakBefore w:val="0"/>
              <w:wordWrap w:val="0"/>
              <w:bidi w:val="0"/>
              <w:spacing w:after="200" w:line="360" w:lineRule="exact"/>
              <w:jc w:val="center"/>
              <w:rPr>
                <w:rFonts w:hint="eastAsia" w:ascii="宋体" w:hAnsi="宋体" w:eastAsia="宋体" w:cs="宋体"/>
                <w:bCs/>
                <w:szCs w:val="21"/>
              </w:rPr>
            </w:pPr>
          </w:p>
        </w:tc>
        <w:tc>
          <w:tcPr>
            <w:tcW w:w="1440" w:type="dxa"/>
            <w:noWrap w:val="0"/>
            <w:vAlign w:val="center"/>
          </w:tcPr>
          <w:p w14:paraId="0258C919">
            <w:pPr>
              <w:pStyle w:val="20"/>
              <w:pageBreakBefore w:val="0"/>
              <w:wordWrap w:val="0"/>
              <w:bidi w:val="0"/>
              <w:spacing w:after="200" w:line="360" w:lineRule="exact"/>
              <w:jc w:val="center"/>
              <w:rPr>
                <w:rFonts w:hint="eastAsia" w:ascii="宋体" w:hAnsi="宋体" w:eastAsia="宋体" w:cs="宋体"/>
                <w:bCs/>
                <w:szCs w:val="21"/>
              </w:rPr>
            </w:pPr>
          </w:p>
        </w:tc>
        <w:tc>
          <w:tcPr>
            <w:tcW w:w="756" w:type="dxa"/>
            <w:noWrap w:val="0"/>
            <w:vAlign w:val="center"/>
          </w:tcPr>
          <w:p w14:paraId="0502416E">
            <w:pPr>
              <w:pStyle w:val="20"/>
              <w:pageBreakBefore w:val="0"/>
              <w:wordWrap w:val="0"/>
              <w:bidi w:val="0"/>
              <w:spacing w:after="200" w:line="360" w:lineRule="exact"/>
              <w:jc w:val="center"/>
              <w:rPr>
                <w:rFonts w:hint="eastAsia" w:ascii="宋体" w:hAnsi="宋体" w:eastAsia="宋体" w:cs="宋体"/>
                <w:bCs/>
                <w:szCs w:val="21"/>
              </w:rPr>
            </w:pPr>
          </w:p>
        </w:tc>
        <w:tc>
          <w:tcPr>
            <w:tcW w:w="1872" w:type="dxa"/>
            <w:noWrap w:val="0"/>
            <w:vAlign w:val="center"/>
          </w:tcPr>
          <w:p w14:paraId="7EBA481B">
            <w:pPr>
              <w:pStyle w:val="20"/>
              <w:pageBreakBefore w:val="0"/>
              <w:wordWrap w:val="0"/>
              <w:bidi w:val="0"/>
              <w:spacing w:after="200" w:line="360" w:lineRule="exact"/>
              <w:jc w:val="center"/>
              <w:rPr>
                <w:rFonts w:hint="eastAsia" w:ascii="宋体" w:hAnsi="宋体" w:eastAsia="宋体" w:cs="宋体"/>
                <w:bCs/>
                <w:szCs w:val="21"/>
              </w:rPr>
            </w:pPr>
          </w:p>
        </w:tc>
      </w:tr>
      <w:tr w14:paraId="295C7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236" w:type="dxa"/>
            <w:vMerge w:val="restart"/>
            <w:noWrap w:val="0"/>
            <w:vAlign w:val="center"/>
          </w:tcPr>
          <w:p w14:paraId="4E3C491C">
            <w:pPr>
              <w:pStyle w:val="59"/>
              <w:pageBreakBefore w:val="0"/>
              <w:widowControl w:val="0"/>
              <w:wordWrap w:val="0"/>
              <w:bidi w:val="0"/>
              <w:spacing w:line="360" w:lineRule="exact"/>
              <w:jc w:val="center"/>
              <w:rPr>
                <w:rFonts w:hint="eastAsia" w:ascii="宋体" w:hAnsi="宋体" w:eastAsia="宋体" w:cs="宋体"/>
                <w:bCs/>
                <w:sz w:val="21"/>
                <w:szCs w:val="21"/>
              </w:rPr>
            </w:pPr>
            <w:r>
              <w:rPr>
                <w:rFonts w:hint="eastAsia" w:ascii="宋体" w:hAnsi="宋体" w:eastAsia="宋体" w:cs="宋体"/>
                <w:bCs/>
                <w:sz w:val="21"/>
                <w:szCs w:val="21"/>
                <w:highlight w:val="white"/>
              </w:rPr>
              <w:t>竣工阶段</w:t>
            </w:r>
          </w:p>
        </w:tc>
        <w:tc>
          <w:tcPr>
            <w:tcW w:w="1644" w:type="dxa"/>
            <w:noWrap w:val="0"/>
            <w:vAlign w:val="center"/>
          </w:tcPr>
          <w:p w14:paraId="39817C35">
            <w:pPr>
              <w:pStyle w:val="20"/>
              <w:pageBreakBefore w:val="0"/>
              <w:wordWrap w:val="0"/>
              <w:bidi w:val="0"/>
              <w:spacing w:after="200" w:line="360" w:lineRule="exact"/>
              <w:jc w:val="center"/>
              <w:rPr>
                <w:rFonts w:hint="eastAsia" w:ascii="宋体" w:hAnsi="宋体" w:eastAsia="宋体" w:cs="宋体"/>
                <w:bCs/>
                <w:szCs w:val="21"/>
              </w:rPr>
            </w:pPr>
          </w:p>
        </w:tc>
        <w:tc>
          <w:tcPr>
            <w:tcW w:w="2111" w:type="dxa"/>
            <w:noWrap w:val="0"/>
            <w:vAlign w:val="center"/>
          </w:tcPr>
          <w:p w14:paraId="54AE02E4">
            <w:pPr>
              <w:pStyle w:val="20"/>
              <w:pageBreakBefore w:val="0"/>
              <w:wordWrap w:val="0"/>
              <w:bidi w:val="0"/>
              <w:spacing w:after="200" w:line="360" w:lineRule="exact"/>
              <w:jc w:val="center"/>
              <w:rPr>
                <w:rFonts w:hint="eastAsia" w:ascii="宋体" w:hAnsi="宋体" w:eastAsia="宋体" w:cs="宋体"/>
                <w:bCs/>
                <w:szCs w:val="21"/>
              </w:rPr>
            </w:pPr>
          </w:p>
        </w:tc>
        <w:tc>
          <w:tcPr>
            <w:tcW w:w="1440" w:type="dxa"/>
            <w:noWrap w:val="0"/>
            <w:vAlign w:val="center"/>
          </w:tcPr>
          <w:p w14:paraId="1C13D0DC">
            <w:pPr>
              <w:pStyle w:val="20"/>
              <w:pageBreakBefore w:val="0"/>
              <w:wordWrap w:val="0"/>
              <w:bidi w:val="0"/>
              <w:spacing w:after="200" w:line="360" w:lineRule="exact"/>
              <w:jc w:val="center"/>
              <w:rPr>
                <w:rFonts w:hint="eastAsia" w:ascii="宋体" w:hAnsi="宋体" w:eastAsia="宋体" w:cs="宋体"/>
                <w:bCs/>
                <w:szCs w:val="21"/>
              </w:rPr>
            </w:pPr>
          </w:p>
        </w:tc>
        <w:tc>
          <w:tcPr>
            <w:tcW w:w="756" w:type="dxa"/>
            <w:noWrap w:val="0"/>
            <w:vAlign w:val="center"/>
          </w:tcPr>
          <w:p w14:paraId="10F885AD">
            <w:pPr>
              <w:pStyle w:val="20"/>
              <w:pageBreakBefore w:val="0"/>
              <w:wordWrap w:val="0"/>
              <w:bidi w:val="0"/>
              <w:spacing w:after="200" w:line="360" w:lineRule="exact"/>
              <w:jc w:val="center"/>
              <w:rPr>
                <w:rFonts w:hint="eastAsia" w:ascii="宋体" w:hAnsi="宋体" w:eastAsia="宋体" w:cs="宋体"/>
                <w:bCs/>
                <w:szCs w:val="21"/>
              </w:rPr>
            </w:pPr>
          </w:p>
        </w:tc>
        <w:tc>
          <w:tcPr>
            <w:tcW w:w="1872" w:type="dxa"/>
            <w:noWrap w:val="0"/>
            <w:vAlign w:val="center"/>
          </w:tcPr>
          <w:p w14:paraId="6725BD26">
            <w:pPr>
              <w:pStyle w:val="20"/>
              <w:pageBreakBefore w:val="0"/>
              <w:wordWrap w:val="0"/>
              <w:bidi w:val="0"/>
              <w:spacing w:after="200" w:line="360" w:lineRule="exact"/>
              <w:jc w:val="center"/>
              <w:rPr>
                <w:rFonts w:hint="eastAsia" w:ascii="宋体" w:hAnsi="宋体" w:eastAsia="宋体" w:cs="宋体"/>
                <w:bCs/>
                <w:szCs w:val="21"/>
              </w:rPr>
            </w:pPr>
          </w:p>
        </w:tc>
      </w:tr>
      <w:tr w14:paraId="60C45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236" w:type="dxa"/>
            <w:vMerge w:val="continue"/>
            <w:noWrap w:val="0"/>
            <w:vAlign w:val="center"/>
          </w:tcPr>
          <w:p w14:paraId="1216342E">
            <w:pPr>
              <w:pStyle w:val="59"/>
              <w:pageBreakBefore w:val="0"/>
              <w:widowControl w:val="0"/>
              <w:wordWrap w:val="0"/>
              <w:bidi w:val="0"/>
              <w:spacing w:line="360" w:lineRule="exact"/>
              <w:jc w:val="center"/>
              <w:rPr>
                <w:rFonts w:hint="eastAsia" w:ascii="宋体" w:hAnsi="宋体" w:eastAsia="宋体" w:cs="宋体"/>
                <w:bCs/>
                <w:sz w:val="21"/>
                <w:szCs w:val="21"/>
              </w:rPr>
            </w:pPr>
          </w:p>
        </w:tc>
        <w:tc>
          <w:tcPr>
            <w:tcW w:w="1644" w:type="dxa"/>
            <w:noWrap w:val="0"/>
            <w:vAlign w:val="center"/>
          </w:tcPr>
          <w:p w14:paraId="6EC8BE2E">
            <w:pPr>
              <w:pStyle w:val="20"/>
              <w:pageBreakBefore w:val="0"/>
              <w:wordWrap w:val="0"/>
              <w:bidi w:val="0"/>
              <w:spacing w:after="200" w:line="360" w:lineRule="exact"/>
              <w:jc w:val="center"/>
              <w:rPr>
                <w:rFonts w:hint="eastAsia" w:ascii="宋体" w:hAnsi="宋体" w:eastAsia="宋体" w:cs="宋体"/>
                <w:bCs/>
                <w:szCs w:val="21"/>
              </w:rPr>
            </w:pPr>
          </w:p>
        </w:tc>
        <w:tc>
          <w:tcPr>
            <w:tcW w:w="2111" w:type="dxa"/>
            <w:noWrap w:val="0"/>
            <w:vAlign w:val="center"/>
          </w:tcPr>
          <w:p w14:paraId="3C2CCAC0">
            <w:pPr>
              <w:pStyle w:val="20"/>
              <w:pageBreakBefore w:val="0"/>
              <w:wordWrap w:val="0"/>
              <w:bidi w:val="0"/>
              <w:spacing w:after="200" w:line="360" w:lineRule="exact"/>
              <w:jc w:val="center"/>
              <w:rPr>
                <w:rFonts w:hint="eastAsia" w:ascii="宋体" w:hAnsi="宋体" w:eastAsia="宋体" w:cs="宋体"/>
                <w:bCs/>
                <w:szCs w:val="21"/>
              </w:rPr>
            </w:pPr>
          </w:p>
        </w:tc>
        <w:tc>
          <w:tcPr>
            <w:tcW w:w="1440" w:type="dxa"/>
            <w:noWrap w:val="0"/>
            <w:vAlign w:val="center"/>
          </w:tcPr>
          <w:p w14:paraId="362E7409">
            <w:pPr>
              <w:pStyle w:val="20"/>
              <w:pageBreakBefore w:val="0"/>
              <w:wordWrap w:val="0"/>
              <w:bidi w:val="0"/>
              <w:spacing w:after="200" w:line="360" w:lineRule="exact"/>
              <w:jc w:val="center"/>
              <w:rPr>
                <w:rFonts w:hint="eastAsia" w:ascii="宋体" w:hAnsi="宋体" w:eastAsia="宋体" w:cs="宋体"/>
                <w:bCs/>
                <w:szCs w:val="21"/>
              </w:rPr>
            </w:pPr>
          </w:p>
        </w:tc>
        <w:tc>
          <w:tcPr>
            <w:tcW w:w="756" w:type="dxa"/>
            <w:noWrap w:val="0"/>
            <w:vAlign w:val="center"/>
          </w:tcPr>
          <w:p w14:paraId="01B8B680">
            <w:pPr>
              <w:pStyle w:val="20"/>
              <w:pageBreakBefore w:val="0"/>
              <w:wordWrap w:val="0"/>
              <w:bidi w:val="0"/>
              <w:spacing w:after="200" w:line="360" w:lineRule="exact"/>
              <w:jc w:val="center"/>
              <w:rPr>
                <w:rFonts w:hint="eastAsia" w:ascii="宋体" w:hAnsi="宋体" w:eastAsia="宋体" w:cs="宋体"/>
                <w:bCs/>
                <w:szCs w:val="21"/>
              </w:rPr>
            </w:pPr>
          </w:p>
        </w:tc>
        <w:tc>
          <w:tcPr>
            <w:tcW w:w="1872" w:type="dxa"/>
            <w:noWrap w:val="0"/>
            <w:vAlign w:val="center"/>
          </w:tcPr>
          <w:p w14:paraId="43634BA3">
            <w:pPr>
              <w:pStyle w:val="20"/>
              <w:pageBreakBefore w:val="0"/>
              <w:wordWrap w:val="0"/>
              <w:bidi w:val="0"/>
              <w:spacing w:after="200" w:line="360" w:lineRule="exact"/>
              <w:jc w:val="center"/>
              <w:rPr>
                <w:rFonts w:hint="eastAsia" w:ascii="宋体" w:hAnsi="宋体" w:eastAsia="宋体" w:cs="宋体"/>
                <w:bCs/>
                <w:szCs w:val="21"/>
              </w:rPr>
            </w:pPr>
          </w:p>
        </w:tc>
      </w:tr>
      <w:tr w14:paraId="080A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236" w:type="dxa"/>
            <w:vMerge w:val="continue"/>
            <w:noWrap w:val="0"/>
            <w:vAlign w:val="center"/>
          </w:tcPr>
          <w:p w14:paraId="61C306EF">
            <w:pPr>
              <w:pStyle w:val="20"/>
              <w:pageBreakBefore w:val="0"/>
              <w:wordWrap w:val="0"/>
              <w:bidi w:val="0"/>
              <w:spacing w:after="200" w:line="360" w:lineRule="exact"/>
              <w:jc w:val="center"/>
              <w:rPr>
                <w:rFonts w:hint="eastAsia" w:ascii="宋体" w:hAnsi="宋体" w:eastAsia="宋体" w:cs="宋体"/>
                <w:bCs/>
                <w:szCs w:val="21"/>
              </w:rPr>
            </w:pPr>
          </w:p>
        </w:tc>
        <w:tc>
          <w:tcPr>
            <w:tcW w:w="1644" w:type="dxa"/>
            <w:noWrap w:val="0"/>
            <w:vAlign w:val="center"/>
          </w:tcPr>
          <w:p w14:paraId="1B663A21">
            <w:pPr>
              <w:pStyle w:val="20"/>
              <w:pageBreakBefore w:val="0"/>
              <w:wordWrap w:val="0"/>
              <w:bidi w:val="0"/>
              <w:spacing w:after="200" w:line="360" w:lineRule="exact"/>
              <w:jc w:val="center"/>
              <w:rPr>
                <w:rFonts w:hint="eastAsia" w:ascii="宋体" w:hAnsi="宋体" w:eastAsia="宋体" w:cs="宋体"/>
                <w:bCs/>
                <w:szCs w:val="21"/>
              </w:rPr>
            </w:pPr>
          </w:p>
        </w:tc>
        <w:tc>
          <w:tcPr>
            <w:tcW w:w="2111" w:type="dxa"/>
            <w:noWrap w:val="0"/>
            <w:vAlign w:val="center"/>
          </w:tcPr>
          <w:p w14:paraId="270CB78B">
            <w:pPr>
              <w:pStyle w:val="20"/>
              <w:pageBreakBefore w:val="0"/>
              <w:wordWrap w:val="0"/>
              <w:bidi w:val="0"/>
              <w:spacing w:after="200" w:line="360" w:lineRule="exact"/>
              <w:jc w:val="center"/>
              <w:rPr>
                <w:rFonts w:hint="eastAsia" w:ascii="宋体" w:hAnsi="宋体" w:eastAsia="宋体" w:cs="宋体"/>
                <w:bCs/>
                <w:szCs w:val="21"/>
              </w:rPr>
            </w:pPr>
          </w:p>
        </w:tc>
        <w:tc>
          <w:tcPr>
            <w:tcW w:w="1440" w:type="dxa"/>
            <w:noWrap w:val="0"/>
            <w:vAlign w:val="center"/>
          </w:tcPr>
          <w:p w14:paraId="3704D9FC">
            <w:pPr>
              <w:pStyle w:val="20"/>
              <w:pageBreakBefore w:val="0"/>
              <w:wordWrap w:val="0"/>
              <w:bidi w:val="0"/>
              <w:spacing w:after="200" w:line="360" w:lineRule="exact"/>
              <w:jc w:val="center"/>
              <w:rPr>
                <w:rFonts w:hint="eastAsia" w:ascii="宋体" w:hAnsi="宋体" w:eastAsia="宋体" w:cs="宋体"/>
                <w:bCs/>
                <w:szCs w:val="21"/>
              </w:rPr>
            </w:pPr>
          </w:p>
        </w:tc>
        <w:tc>
          <w:tcPr>
            <w:tcW w:w="756" w:type="dxa"/>
            <w:noWrap w:val="0"/>
            <w:vAlign w:val="center"/>
          </w:tcPr>
          <w:p w14:paraId="107680BB">
            <w:pPr>
              <w:pStyle w:val="20"/>
              <w:pageBreakBefore w:val="0"/>
              <w:wordWrap w:val="0"/>
              <w:bidi w:val="0"/>
              <w:spacing w:after="200" w:line="360" w:lineRule="exact"/>
              <w:jc w:val="center"/>
              <w:rPr>
                <w:rFonts w:hint="eastAsia" w:ascii="宋体" w:hAnsi="宋体" w:eastAsia="宋体" w:cs="宋体"/>
                <w:bCs/>
                <w:szCs w:val="21"/>
              </w:rPr>
            </w:pPr>
          </w:p>
        </w:tc>
        <w:tc>
          <w:tcPr>
            <w:tcW w:w="1872" w:type="dxa"/>
            <w:noWrap w:val="0"/>
            <w:vAlign w:val="center"/>
          </w:tcPr>
          <w:p w14:paraId="47838B41">
            <w:pPr>
              <w:pStyle w:val="20"/>
              <w:pageBreakBefore w:val="0"/>
              <w:wordWrap w:val="0"/>
              <w:bidi w:val="0"/>
              <w:spacing w:after="200" w:line="360" w:lineRule="exact"/>
              <w:jc w:val="center"/>
              <w:rPr>
                <w:rFonts w:hint="eastAsia" w:ascii="宋体" w:hAnsi="宋体" w:eastAsia="宋体" w:cs="宋体"/>
                <w:bCs/>
                <w:szCs w:val="21"/>
              </w:rPr>
            </w:pPr>
          </w:p>
        </w:tc>
      </w:tr>
      <w:tr w14:paraId="297B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jc w:val="center"/>
        </w:trPr>
        <w:tc>
          <w:tcPr>
            <w:tcW w:w="1236" w:type="dxa"/>
            <w:noWrap w:val="0"/>
            <w:vAlign w:val="center"/>
          </w:tcPr>
          <w:p w14:paraId="6C20C93F">
            <w:pPr>
              <w:pStyle w:val="20"/>
              <w:pageBreakBefore w:val="0"/>
              <w:wordWrap w:val="0"/>
              <w:bidi w:val="0"/>
              <w:spacing w:after="200" w:line="360" w:lineRule="exact"/>
              <w:jc w:val="center"/>
              <w:rPr>
                <w:rFonts w:hint="eastAsia" w:ascii="宋体" w:hAnsi="宋体" w:eastAsia="宋体" w:cs="宋体"/>
                <w:bCs/>
                <w:szCs w:val="21"/>
              </w:rPr>
            </w:pPr>
            <w:r>
              <w:rPr>
                <w:rFonts w:hint="eastAsia" w:ascii="宋体" w:hAnsi="宋体" w:eastAsia="宋体" w:cs="宋体"/>
                <w:bCs/>
                <w:szCs w:val="21"/>
                <w:highlight w:val="white"/>
              </w:rPr>
              <w:t>其他服务</w:t>
            </w:r>
          </w:p>
        </w:tc>
        <w:tc>
          <w:tcPr>
            <w:tcW w:w="1644" w:type="dxa"/>
            <w:noWrap w:val="0"/>
            <w:vAlign w:val="center"/>
          </w:tcPr>
          <w:p w14:paraId="010BE51F">
            <w:pPr>
              <w:pStyle w:val="20"/>
              <w:pageBreakBefore w:val="0"/>
              <w:wordWrap w:val="0"/>
              <w:bidi w:val="0"/>
              <w:spacing w:after="200" w:line="360" w:lineRule="exact"/>
              <w:jc w:val="center"/>
              <w:rPr>
                <w:rFonts w:hint="eastAsia" w:ascii="宋体" w:hAnsi="宋体" w:eastAsia="宋体" w:cs="宋体"/>
                <w:bCs/>
                <w:color w:val="FF0000"/>
                <w:szCs w:val="21"/>
              </w:rPr>
            </w:pPr>
          </w:p>
        </w:tc>
        <w:tc>
          <w:tcPr>
            <w:tcW w:w="2111" w:type="dxa"/>
            <w:noWrap w:val="0"/>
            <w:vAlign w:val="center"/>
          </w:tcPr>
          <w:p w14:paraId="509644CD">
            <w:pPr>
              <w:pStyle w:val="20"/>
              <w:pageBreakBefore w:val="0"/>
              <w:wordWrap w:val="0"/>
              <w:bidi w:val="0"/>
              <w:spacing w:after="200" w:line="360" w:lineRule="exact"/>
              <w:jc w:val="center"/>
              <w:rPr>
                <w:rFonts w:hint="eastAsia" w:ascii="宋体" w:hAnsi="宋体" w:eastAsia="宋体" w:cs="宋体"/>
                <w:bCs/>
                <w:color w:val="FF0000"/>
                <w:szCs w:val="21"/>
              </w:rPr>
            </w:pPr>
          </w:p>
        </w:tc>
        <w:tc>
          <w:tcPr>
            <w:tcW w:w="1440" w:type="dxa"/>
            <w:noWrap w:val="0"/>
            <w:vAlign w:val="center"/>
          </w:tcPr>
          <w:p w14:paraId="648AB656">
            <w:pPr>
              <w:pStyle w:val="20"/>
              <w:pageBreakBefore w:val="0"/>
              <w:wordWrap w:val="0"/>
              <w:bidi w:val="0"/>
              <w:spacing w:after="200" w:line="360" w:lineRule="exact"/>
              <w:jc w:val="center"/>
              <w:rPr>
                <w:rFonts w:hint="eastAsia" w:ascii="宋体" w:hAnsi="宋体" w:eastAsia="宋体" w:cs="宋体"/>
                <w:bCs/>
                <w:color w:val="FF0000"/>
                <w:szCs w:val="21"/>
              </w:rPr>
            </w:pPr>
          </w:p>
        </w:tc>
        <w:tc>
          <w:tcPr>
            <w:tcW w:w="756" w:type="dxa"/>
            <w:noWrap w:val="0"/>
            <w:vAlign w:val="center"/>
          </w:tcPr>
          <w:p w14:paraId="661D62CE">
            <w:pPr>
              <w:pStyle w:val="20"/>
              <w:pageBreakBefore w:val="0"/>
              <w:wordWrap w:val="0"/>
              <w:bidi w:val="0"/>
              <w:spacing w:after="200" w:line="360" w:lineRule="exact"/>
              <w:jc w:val="center"/>
              <w:rPr>
                <w:rFonts w:hint="eastAsia" w:ascii="宋体" w:hAnsi="宋体" w:eastAsia="宋体" w:cs="宋体"/>
                <w:bCs/>
                <w:color w:val="FF0000"/>
                <w:szCs w:val="21"/>
              </w:rPr>
            </w:pPr>
          </w:p>
        </w:tc>
        <w:tc>
          <w:tcPr>
            <w:tcW w:w="1872" w:type="dxa"/>
            <w:noWrap w:val="0"/>
            <w:vAlign w:val="center"/>
          </w:tcPr>
          <w:p w14:paraId="5BF1FF1C">
            <w:pPr>
              <w:pStyle w:val="20"/>
              <w:pageBreakBefore w:val="0"/>
              <w:wordWrap w:val="0"/>
              <w:bidi w:val="0"/>
              <w:spacing w:after="200" w:line="360" w:lineRule="exact"/>
              <w:jc w:val="center"/>
              <w:rPr>
                <w:rFonts w:hint="eastAsia" w:ascii="宋体" w:hAnsi="宋体" w:eastAsia="宋体" w:cs="宋体"/>
                <w:bCs/>
                <w:color w:val="FF0000"/>
                <w:szCs w:val="21"/>
              </w:rPr>
            </w:pPr>
          </w:p>
        </w:tc>
      </w:tr>
    </w:tbl>
    <w:p w14:paraId="56926312">
      <w:pPr>
        <w:pStyle w:val="54"/>
        <w:pageBreakBefore w:val="0"/>
        <w:wordWrap w:val="0"/>
        <w:bidi w:val="0"/>
        <w:spacing w:line="360" w:lineRule="exact"/>
        <w:rPr>
          <w:rFonts w:hint="eastAsia" w:ascii="宋体" w:hAnsi="宋体" w:eastAsia="宋体" w:cs="宋体"/>
          <w:sz w:val="21"/>
          <w:szCs w:val="21"/>
        </w:rPr>
      </w:pPr>
      <w:bookmarkStart w:id="862" w:name="_Toc497839362"/>
      <w:bookmarkStart w:id="863" w:name="_Toc497839267"/>
      <w:bookmarkStart w:id="864" w:name="_Toc422322559"/>
      <w:bookmarkStart w:id="865" w:name="_Toc419045128"/>
      <w:bookmarkStart w:id="866" w:name="_Toc256000143"/>
      <w:bookmarkStart w:id="867" w:name="_Toc256000225"/>
      <w:r>
        <w:rPr>
          <w:rFonts w:hint="eastAsia" w:ascii="宋体" w:hAnsi="宋体" w:eastAsia="宋体" w:cs="宋体"/>
          <w:sz w:val="21"/>
          <w:szCs w:val="21"/>
          <w:highlight w:val="white"/>
        </w:rPr>
        <w:br w:type="page"/>
      </w:r>
      <w:bookmarkStart w:id="868" w:name="_Toc14609"/>
      <w:bookmarkStart w:id="869" w:name="_Toc9344"/>
      <w:r>
        <w:rPr>
          <w:rFonts w:hint="eastAsia" w:ascii="宋体" w:hAnsi="宋体" w:eastAsia="宋体" w:cs="宋体"/>
          <w:sz w:val="21"/>
          <w:szCs w:val="21"/>
          <w:highlight w:val="white"/>
        </w:rPr>
        <w:t>附录C　委托人提供资料一览表</w:t>
      </w:r>
      <w:bookmarkEnd w:id="862"/>
      <w:bookmarkEnd w:id="863"/>
      <w:bookmarkEnd w:id="864"/>
      <w:bookmarkEnd w:id="865"/>
      <w:bookmarkEnd w:id="866"/>
      <w:bookmarkEnd w:id="867"/>
      <w:bookmarkEnd w:id="868"/>
      <w:bookmarkEnd w:id="869"/>
    </w:p>
    <w:tbl>
      <w:tblPr>
        <w:tblStyle w:val="28"/>
        <w:tblW w:w="0" w:type="auto"/>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837"/>
        <w:gridCol w:w="1338"/>
        <w:gridCol w:w="3884"/>
      </w:tblGrid>
      <w:tr w14:paraId="0F36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14:paraId="2C60277A">
            <w:pPr>
              <w:pStyle w:val="59"/>
              <w:pageBreakBefore w:val="0"/>
              <w:widowControl w:val="0"/>
              <w:wordWrap w:val="0"/>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highlight w:val="white"/>
              </w:rPr>
              <w:t>名称</w:t>
            </w:r>
          </w:p>
        </w:tc>
        <w:tc>
          <w:tcPr>
            <w:tcW w:w="837" w:type="dxa"/>
            <w:noWrap w:val="0"/>
            <w:vAlign w:val="top"/>
          </w:tcPr>
          <w:p w14:paraId="6E2460BE">
            <w:pPr>
              <w:pStyle w:val="59"/>
              <w:pageBreakBefore w:val="0"/>
              <w:widowControl w:val="0"/>
              <w:wordWrap w:val="0"/>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highlight w:val="white"/>
              </w:rPr>
              <w:t>份数</w:t>
            </w:r>
          </w:p>
        </w:tc>
        <w:tc>
          <w:tcPr>
            <w:tcW w:w="1338" w:type="dxa"/>
            <w:noWrap w:val="0"/>
            <w:vAlign w:val="top"/>
          </w:tcPr>
          <w:p w14:paraId="1FB51E19">
            <w:pPr>
              <w:pStyle w:val="59"/>
              <w:pageBreakBefore w:val="0"/>
              <w:widowControl w:val="0"/>
              <w:wordWrap w:val="0"/>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highlight w:val="white"/>
              </w:rPr>
              <w:t>提供时间</w:t>
            </w:r>
          </w:p>
        </w:tc>
        <w:tc>
          <w:tcPr>
            <w:tcW w:w="3884" w:type="dxa"/>
            <w:noWrap w:val="0"/>
            <w:vAlign w:val="top"/>
          </w:tcPr>
          <w:p w14:paraId="4C5ACE74">
            <w:pPr>
              <w:pStyle w:val="59"/>
              <w:pageBreakBefore w:val="0"/>
              <w:widowControl w:val="0"/>
              <w:wordWrap w:val="0"/>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highlight w:val="white"/>
              </w:rPr>
              <w:t>备注</w:t>
            </w:r>
          </w:p>
        </w:tc>
      </w:tr>
      <w:tr w14:paraId="2C67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14:paraId="7D3127F2">
            <w:pPr>
              <w:pStyle w:val="59"/>
              <w:pageBreakBefore w:val="0"/>
              <w:widowControl w:val="0"/>
              <w:wordWrap w:val="0"/>
              <w:bidi w:val="0"/>
              <w:spacing w:line="360" w:lineRule="exact"/>
              <w:jc w:val="center"/>
              <w:rPr>
                <w:rFonts w:hint="eastAsia" w:ascii="宋体" w:hAnsi="宋体" w:eastAsia="宋体" w:cs="宋体"/>
                <w:sz w:val="21"/>
                <w:szCs w:val="21"/>
              </w:rPr>
            </w:pPr>
          </w:p>
        </w:tc>
        <w:tc>
          <w:tcPr>
            <w:tcW w:w="837" w:type="dxa"/>
            <w:noWrap w:val="0"/>
            <w:vAlign w:val="top"/>
          </w:tcPr>
          <w:p w14:paraId="62A3FACB">
            <w:pPr>
              <w:pStyle w:val="20"/>
              <w:pageBreakBefore w:val="0"/>
              <w:wordWrap w:val="0"/>
              <w:bidi w:val="0"/>
              <w:spacing w:after="200" w:line="360" w:lineRule="exact"/>
              <w:jc w:val="center"/>
              <w:rPr>
                <w:rFonts w:hint="eastAsia" w:ascii="宋体" w:hAnsi="宋体" w:eastAsia="宋体" w:cs="宋体"/>
                <w:szCs w:val="21"/>
              </w:rPr>
            </w:pPr>
          </w:p>
        </w:tc>
        <w:tc>
          <w:tcPr>
            <w:tcW w:w="1338" w:type="dxa"/>
            <w:noWrap w:val="0"/>
            <w:vAlign w:val="top"/>
          </w:tcPr>
          <w:p w14:paraId="53050855">
            <w:pPr>
              <w:pStyle w:val="20"/>
              <w:pageBreakBefore w:val="0"/>
              <w:wordWrap w:val="0"/>
              <w:bidi w:val="0"/>
              <w:spacing w:after="200" w:line="360" w:lineRule="exact"/>
              <w:jc w:val="center"/>
              <w:rPr>
                <w:rFonts w:hint="eastAsia" w:ascii="宋体" w:hAnsi="宋体" w:eastAsia="宋体" w:cs="宋体"/>
                <w:szCs w:val="21"/>
              </w:rPr>
            </w:pPr>
          </w:p>
        </w:tc>
        <w:tc>
          <w:tcPr>
            <w:tcW w:w="3884" w:type="dxa"/>
            <w:noWrap w:val="0"/>
            <w:vAlign w:val="top"/>
          </w:tcPr>
          <w:p w14:paraId="273819B1">
            <w:pPr>
              <w:pStyle w:val="20"/>
              <w:pageBreakBefore w:val="0"/>
              <w:wordWrap w:val="0"/>
              <w:bidi w:val="0"/>
              <w:spacing w:after="200" w:line="360" w:lineRule="exact"/>
              <w:jc w:val="center"/>
              <w:rPr>
                <w:rFonts w:hint="eastAsia" w:ascii="宋体" w:hAnsi="宋体" w:eastAsia="宋体" w:cs="宋体"/>
                <w:szCs w:val="21"/>
              </w:rPr>
            </w:pPr>
          </w:p>
        </w:tc>
      </w:tr>
      <w:tr w14:paraId="0C1B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14:paraId="51908065">
            <w:pPr>
              <w:pStyle w:val="59"/>
              <w:pageBreakBefore w:val="0"/>
              <w:widowControl w:val="0"/>
              <w:wordWrap w:val="0"/>
              <w:bidi w:val="0"/>
              <w:spacing w:line="360" w:lineRule="exact"/>
              <w:jc w:val="center"/>
              <w:rPr>
                <w:rFonts w:hint="eastAsia" w:ascii="宋体" w:hAnsi="宋体" w:eastAsia="宋体" w:cs="宋体"/>
                <w:sz w:val="21"/>
                <w:szCs w:val="21"/>
              </w:rPr>
            </w:pPr>
          </w:p>
        </w:tc>
        <w:tc>
          <w:tcPr>
            <w:tcW w:w="837" w:type="dxa"/>
            <w:noWrap w:val="0"/>
            <w:vAlign w:val="top"/>
          </w:tcPr>
          <w:p w14:paraId="20897D60">
            <w:pPr>
              <w:pStyle w:val="20"/>
              <w:pageBreakBefore w:val="0"/>
              <w:wordWrap w:val="0"/>
              <w:bidi w:val="0"/>
              <w:spacing w:after="200" w:line="360" w:lineRule="exact"/>
              <w:jc w:val="center"/>
              <w:rPr>
                <w:rFonts w:hint="eastAsia" w:ascii="宋体" w:hAnsi="宋体" w:eastAsia="宋体" w:cs="宋体"/>
                <w:szCs w:val="21"/>
              </w:rPr>
            </w:pPr>
          </w:p>
        </w:tc>
        <w:tc>
          <w:tcPr>
            <w:tcW w:w="1338" w:type="dxa"/>
            <w:noWrap w:val="0"/>
            <w:vAlign w:val="top"/>
          </w:tcPr>
          <w:p w14:paraId="7B19E7C1">
            <w:pPr>
              <w:pStyle w:val="20"/>
              <w:pageBreakBefore w:val="0"/>
              <w:wordWrap w:val="0"/>
              <w:bidi w:val="0"/>
              <w:spacing w:after="200" w:line="360" w:lineRule="exact"/>
              <w:jc w:val="center"/>
              <w:rPr>
                <w:rFonts w:hint="eastAsia" w:ascii="宋体" w:hAnsi="宋体" w:eastAsia="宋体" w:cs="宋体"/>
                <w:szCs w:val="21"/>
              </w:rPr>
            </w:pPr>
          </w:p>
        </w:tc>
        <w:tc>
          <w:tcPr>
            <w:tcW w:w="3884" w:type="dxa"/>
            <w:noWrap w:val="0"/>
            <w:vAlign w:val="top"/>
          </w:tcPr>
          <w:p w14:paraId="03DA3FBD">
            <w:pPr>
              <w:pStyle w:val="20"/>
              <w:pageBreakBefore w:val="0"/>
              <w:wordWrap w:val="0"/>
              <w:bidi w:val="0"/>
              <w:spacing w:after="200" w:line="360" w:lineRule="exact"/>
              <w:jc w:val="center"/>
              <w:rPr>
                <w:rFonts w:hint="eastAsia" w:ascii="宋体" w:hAnsi="宋体" w:eastAsia="宋体" w:cs="宋体"/>
                <w:szCs w:val="21"/>
              </w:rPr>
            </w:pPr>
          </w:p>
        </w:tc>
      </w:tr>
      <w:tr w14:paraId="428F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14:paraId="33D34C72">
            <w:pPr>
              <w:pStyle w:val="59"/>
              <w:pageBreakBefore w:val="0"/>
              <w:widowControl w:val="0"/>
              <w:wordWrap w:val="0"/>
              <w:bidi w:val="0"/>
              <w:spacing w:line="360" w:lineRule="exact"/>
              <w:jc w:val="center"/>
              <w:rPr>
                <w:rFonts w:hint="eastAsia" w:ascii="宋体" w:hAnsi="宋体" w:eastAsia="宋体" w:cs="宋体"/>
                <w:sz w:val="21"/>
                <w:szCs w:val="21"/>
              </w:rPr>
            </w:pPr>
          </w:p>
        </w:tc>
        <w:tc>
          <w:tcPr>
            <w:tcW w:w="837" w:type="dxa"/>
            <w:noWrap w:val="0"/>
            <w:vAlign w:val="top"/>
          </w:tcPr>
          <w:p w14:paraId="69D1AB92">
            <w:pPr>
              <w:pStyle w:val="20"/>
              <w:pageBreakBefore w:val="0"/>
              <w:wordWrap w:val="0"/>
              <w:bidi w:val="0"/>
              <w:spacing w:after="200" w:line="360" w:lineRule="exact"/>
              <w:jc w:val="center"/>
              <w:rPr>
                <w:rFonts w:hint="eastAsia" w:ascii="宋体" w:hAnsi="宋体" w:eastAsia="宋体" w:cs="宋体"/>
                <w:szCs w:val="21"/>
              </w:rPr>
            </w:pPr>
          </w:p>
        </w:tc>
        <w:tc>
          <w:tcPr>
            <w:tcW w:w="1338" w:type="dxa"/>
            <w:noWrap w:val="0"/>
            <w:vAlign w:val="top"/>
          </w:tcPr>
          <w:p w14:paraId="5581C883">
            <w:pPr>
              <w:pStyle w:val="20"/>
              <w:pageBreakBefore w:val="0"/>
              <w:wordWrap w:val="0"/>
              <w:bidi w:val="0"/>
              <w:spacing w:after="200" w:line="360" w:lineRule="exact"/>
              <w:jc w:val="center"/>
              <w:rPr>
                <w:rFonts w:hint="eastAsia" w:ascii="宋体" w:hAnsi="宋体" w:eastAsia="宋体" w:cs="宋体"/>
                <w:szCs w:val="21"/>
              </w:rPr>
            </w:pPr>
          </w:p>
        </w:tc>
        <w:tc>
          <w:tcPr>
            <w:tcW w:w="3884" w:type="dxa"/>
            <w:noWrap w:val="0"/>
            <w:vAlign w:val="top"/>
          </w:tcPr>
          <w:p w14:paraId="224E890D">
            <w:pPr>
              <w:pStyle w:val="20"/>
              <w:pageBreakBefore w:val="0"/>
              <w:wordWrap w:val="0"/>
              <w:bidi w:val="0"/>
              <w:spacing w:after="200" w:line="360" w:lineRule="exact"/>
              <w:jc w:val="center"/>
              <w:rPr>
                <w:rFonts w:hint="eastAsia" w:ascii="宋体" w:hAnsi="宋体" w:eastAsia="宋体" w:cs="宋体"/>
                <w:szCs w:val="21"/>
              </w:rPr>
            </w:pPr>
          </w:p>
        </w:tc>
      </w:tr>
      <w:tr w14:paraId="01BF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14:paraId="52037C63">
            <w:pPr>
              <w:pStyle w:val="59"/>
              <w:pageBreakBefore w:val="0"/>
              <w:widowControl w:val="0"/>
              <w:wordWrap w:val="0"/>
              <w:bidi w:val="0"/>
              <w:spacing w:line="360" w:lineRule="exact"/>
              <w:jc w:val="center"/>
              <w:rPr>
                <w:rFonts w:hint="eastAsia" w:ascii="宋体" w:hAnsi="宋体" w:eastAsia="宋体" w:cs="宋体"/>
                <w:sz w:val="21"/>
                <w:szCs w:val="21"/>
              </w:rPr>
            </w:pPr>
          </w:p>
        </w:tc>
        <w:tc>
          <w:tcPr>
            <w:tcW w:w="837" w:type="dxa"/>
            <w:noWrap w:val="0"/>
            <w:vAlign w:val="top"/>
          </w:tcPr>
          <w:p w14:paraId="1A3F1716">
            <w:pPr>
              <w:pStyle w:val="20"/>
              <w:pageBreakBefore w:val="0"/>
              <w:wordWrap w:val="0"/>
              <w:bidi w:val="0"/>
              <w:spacing w:after="200" w:line="360" w:lineRule="exact"/>
              <w:jc w:val="center"/>
              <w:rPr>
                <w:rFonts w:hint="eastAsia" w:ascii="宋体" w:hAnsi="宋体" w:eastAsia="宋体" w:cs="宋体"/>
                <w:szCs w:val="21"/>
              </w:rPr>
            </w:pPr>
          </w:p>
        </w:tc>
        <w:tc>
          <w:tcPr>
            <w:tcW w:w="1338" w:type="dxa"/>
            <w:noWrap w:val="0"/>
            <w:vAlign w:val="top"/>
          </w:tcPr>
          <w:p w14:paraId="4AD487CC">
            <w:pPr>
              <w:pStyle w:val="20"/>
              <w:pageBreakBefore w:val="0"/>
              <w:wordWrap w:val="0"/>
              <w:bidi w:val="0"/>
              <w:spacing w:after="200" w:line="360" w:lineRule="exact"/>
              <w:jc w:val="center"/>
              <w:rPr>
                <w:rFonts w:hint="eastAsia" w:ascii="宋体" w:hAnsi="宋体" w:eastAsia="宋体" w:cs="宋体"/>
                <w:szCs w:val="21"/>
              </w:rPr>
            </w:pPr>
          </w:p>
        </w:tc>
        <w:tc>
          <w:tcPr>
            <w:tcW w:w="3884" w:type="dxa"/>
            <w:noWrap w:val="0"/>
            <w:vAlign w:val="top"/>
          </w:tcPr>
          <w:p w14:paraId="01114895">
            <w:pPr>
              <w:pStyle w:val="20"/>
              <w:pageBreakBefore w:val="0"/>
              <w:wordWrap w:val="0"/>
              <w:bidi w:val="0"/>
              <w:spacing w:after="200" w:line="360" w:lineRule="exact"/>
              <w:jc w:val="center"/>
              <w:rPr>
                <w:rFonts w:hint="eastAsia" w:ascii="宋体" w:hAnsi="宋体" w:eastAsia="宋体" w:cs="宋体"/>
                <w:szCs w:val="21"/>
              </w:rPr>
            </w:pPr>
          </w:p>
        </w:tc>
      </w:tr>
      <w:tr w14:paraId="74B4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14:paraId="0B660793">
            <w:pPr>
              <w:pStyle w:val="59"/>
              <w:pageBreakBefore w:val="0"/>
              <w:widowControl w:val="0"/>
              <w:wordWrap w:val="0"/>
              <w:bidi w:val="0"/>
              <w:spacing w:line="360" w:lineRule="exact"/>
              <w:jc w:val="center"/>
              <w:rPr>
                <w:rFonts w:hint="eastAsia" w:ascii="宋体" w:hAnsi="宋体" w:eastAsia="宋体" w:cs="宋体"/>
                <w:sz w:val="21"/>
                <w:szCs w:val="21"/>
              </w:rPr>
            </w:pPr>
          </w:p>
        </w:tc>
        <w:tc>
          <w:tcPr>
            <w:tcW w:w="837" w:type="dxa"/>
            <w:noWrap w:val="0"/>
            <w:vAlign w:val="top"/>
          </w:tcPr>
          <w:p w14:paraId="038B408A">
            <w:pPr>
              <w:pStyle w:val="20"/>
              <w:pageBreakBefore w:val="0"/>
              <w:wordWrap w:val="0"/>
              <w:bidi w:val="0"/>
              <w:spacing w:after="200" w:line="360" w:lineRule="exact"/>
              <w:jc w:val="center"/>
              <w:rPr>
                <w:rFonts w:hint="eastAsia" w:ascii="宋体" w:hAnsi="宋体" w:eastAsia="宋体" w:cs="宋体"/>
                <w:szCs w:val="21"/>
              </w:rPr>
            </w:pPr>
          </w:p>
        </w:tc>
        <w:tc>
          <w:tcPr>
            <w:tcW w:w="1338" w:type="dxa"/>
            <w:noWrap w:val="0"/>
            <w:vAlign w:val="top"/>
          </w:tcPr>
          <w:p w14:paraId="0C6092ED">
            <w:pPr>
              <w:pStyle w:val="20"/>
              <w:pageBreakBefore w:val="0"/>
              <w:wordWrap w:val="0"/>
              <w:bidi w:val="0"/>
              <w:spacing w:after="200" w:line="360" w:lineRule="exact"/>
              <w:jc w:val="center"/>
              <w:rPr>
                <w:rFonts w:hint="eastAsia" w:ascii="宋体" w:hAnsi="宋体" w:eastAsia="宋体" w:cs="宋体"/>
                <w:szCs w:val="21"/>
              </w:rPr>
            </w:pPr>
          </w:p>
        </w:tc>
        <w:tc>
          <w:tcPr>
            <w:tcW w:w="3884" w:type="dxa"/>
            <w:noWrap w:val="0"/>
            <w:vAlign w:val="top"/>
          </w:tcPr>
          <w:p w14:paraId="5255FA35">
            <w:pPr>
              <w:pStyle w:val="20"/>
              <w:pageBreakBefore w:val="0"/>
              <w:wordWrap w:val="0"/>
              <w:bidi w:val="0"/>
              <w:spacing w:after="200" w:line="360" w:lineRule="exact"/>
              <w:jc w:val="center"/>
              <w:rPr>
                <w:rFonts w:hint="eastAsia" w:ascii="宋体" w:hAnsi="宋体" w:eastAsia="宋体" w:cs="宋体"/>
                <w:szCs w:val="21"/>
              </w:rPr>
            </w:pPr>
          </w:p>
        </w:tc>
      </w:tr>
      <w:tr w14:paraId="138A6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14:paraId="32DC95C0">
            <w:pPr>
              <w:pStyle w:val="59"/>
              <w:pageBreakBefore w:val="0"/>
              <w:widowControl w:val="0"/>
              <w:wordWrap w:val="0"/>
              <w:bidi w:val="0"/>
              <w:spacing w:line="360" w:lineRule="exact"/>
              <w:jc w:val="center"/>
              <w:rPr>
                <w:rFonts w:hint="eastAsia" w:ascii="宋体" w:hAnsi="宋体" w:eastAsia="宋体" w:cs="宋体"/>
                <w:sz w:val="21"/>
                <w:szCs w:val="21"/>
              </w:rPr>
            </w:pPr>
          </w:p>
        </w:tc>
        <w:tc>
          <w:tcPr>
            <w:tcW w:w="837" w:type="dxa"/>
            <w:noWrap w:val="0"/>
            <w:vAlign w:val="top"/>
          </w:tcPr>
          <w:p w14:paraId="49125D12">
            <w:pPr>
              <w:pStyle w:val="20"/>
              <w:pageBreakBefore w:val="0"/>
              <w:wordWrap w:val="0"/>
              <w:bidi w:val="0"/>
              <w:spacing w:after="200" w:line="360" w:lineRule="exact"/>
              <w:jc w:val="center"/>
              <w:rPr>
                <w:rFonts w:hint="eastAsia" w:ascii="宋体" w:hAnsi="宋体" w:eastAsia="宋体" w:cs="宋体"/>
                <w:szCs w:val="21"/>
              </w:rPr>
            </w:pPr>
          </w:p>
        </w:tc>
        <w:tc>
          <w:tcPr>
            <w:tcW w:w="1338" w:type="dxa"/>
            <w:noWrap w:val="0"/>
            <w:vAlign w:val="top"/>
          </w:tcPr>
          <w:p w14:paraId="1763D2CA">
            <w:pPr>
              <w:pStyle w:val="20"/>
              <w:pageBreakBefore w:val="0"/>
              <w:wordWrap w:val="0"/>
              <w:bidi w:val="0"/>
              <w:spacing w:after="200" w:line="360" w:lineRule="exact"/>
              <w:jc w:val="center"/>
              <w:rPr>
                <w:rFonts w:hint="eastAsia" w:ascii="宋体" w:hAnsi="宋体" w:eastAsia="宋体" w:cs="宋体"/>
                <w:szCs w:val="21"/>
              </w:rPr>
            </w:pPr>
          </w:p>
        </w:tc>
        <w:tc>
          <w:tcPr>
            <w:tcW w:w="3884" w:type="dxa"/>
            <w:noWrap w:val="0"/>
            <w:vAlign w:val="top"/>
          </w:tcPr>
          <w:p w14:paraId="46CA78B8">
            <w:pPr>
              <w:pStyle w:val="20"/>
              <w:pageBreakBefore w:val="0"/>
              <w:wordWrap w:val="0"/>
              <w:bidi w:val="0"/>
              <w:spacing w:after="200" w:line="360" w:lineRule="exact"/>
              <w:jc w:val="center"/>
              <w:rPr>
                <w:rFonts w:hint="eastAsia" w:ascii="宋体" w:hAnsi="宋体" w:eastAsia="宋体" w:cs="宋体"/>
                <w:szCs w:val="21"/>
              </w:rPr>
            </w:pPr>
          </w:p>
        </w:tc>
      </w:tr>
      <w:tr w14:paraId="581F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14:paraId="5F278EA4">
            <w:pPr>
              <w:pStyle w:val="20"/>
              <w:pageBreakBefore w:val="0"/>
              <w:wordWrap w:val="0"/>
              <w:bidi w:val="0"/>
              <w:spacing w:after="200" w:line="360" w:lineRule="exact"/>
              <w:jc w:val="center"/>
              <w:rPr>
                <w:rFonts w:hint="eastAsia" w:ascii="宋体" w:hAnsi="宋体" w:eastAsia="宋体" w:cs="宋体"/>
                <w:szCs w:val="21"/>
              </w:rPr>
            </w:pPr>
          </w:p>
        </w:tc>
        <w:tc>
          <w:tcPr>
            <w:tcW w:w="837" w:type="dxa"/>
            <w:noWrap w:val="0"/>
            <w:vAlign w:val="top"/>
          </w:tcPr>
          <w:p w14:paraId="6F1A81FD">
            <w:pPr>
              <w:pStyle w:val="20"/>
              <w:pageBreakBefore w:val="0"/>
              <w:wordWrap w:val="0"/>
              <w:bidi w:val="0"/>
              <w:spacing w:after="200" w:line="360" w:lineRule="exact"/>
              <w:jc w:val="center"/>
              <w:rPr>
                <w:rFonts w:hint="eastAsia" w:ascii="宋体" w:hAnsi="宋体" w:eastAsia="宋体" w:cs="宋体"/>
                <w:szCs w:val="21"/>
              </w:rPr>
            </w:pPr>
          </w:p>
        </w:tc>
        <w:tc>
          <w:tcPr>
            <w:tcW w:w="1338" w:type="dxa"/>
            <w:noWrap w:val="0"/>
            <w:vAlign w:val="top"/>
          </w:tcPr>
          <w:p w14:paraId="3AB9E2BE">
            <w:pPr>
              <w:pStyle w:val="20"/>
              <w:pageBreakBefore w:val="0"/>
              <w:wordWrap w:val="0"/>
              <w:bidi w:val="0"/>
              <w:spacing w:after="200" w:line="360" w:lineRule="exact"/>
              <w:jc w:val="center"/>
              <w:rPr>
                <w:rFonts w:hint="eastAsia" w:ascii="宋体" w:hAnsi="宋体" w:eastAsia="宋体" w:cs="宋体"/>
                <w:szCs w:val="21"/>
              </w:rPr>
            </w:pPr>
          </w:p>
        </w:tc>
        <w:tc>
          <w:tcPr>
            <w:tcW w:w="3884" w:type="dxa"/>
            <w:noWrap w:val="0"/>
            <w:vAlign w:val="top"/>
          </w:tcPr>
          <w:p w14:paraId="247DA089">
            <w:pPr>
              <w:pStyle w:val="20"/>
              <w:pageBreakBefore w:val="0"/>
              <w:wordWrap w:val="0"/>
              <w:bidi w:val="0"/>
              <w:spacing w:after="200" w:line="360" w:lineRule="exact"/>
              <w:jc w:val="center"/>
              <w:rPr>
                <w:rFonts w:hint="eastAsia" w:ascii="宋体" w:hAnsi="宋体" w:eastAsia="宋体" w:cs="宋体"/>
                <w:szCs w:val="21"/>
              </w:rPr>
            </w:pPr>
          </w:p>
        </w:tc>
      </w:tr>
      <w:tr w14:paraId="6AC4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14:paraId="3D2B647E">
            <w:pPr>
              <w:pStyle w:val="20"/>
              <w:pageBreakBefore w:val="0"/>
              <w:wordWrap w:val="0"/>
              <w:bidi w:val="0"/>
              <w:spacing w:after="200" w:line="360" w:lineRule="exact"/>
              <w:jc w:val="center"/>
              <w:rPr>
                <w:rFonts w:hint="eastAsia" w:ascii="宋体" w:hAnsi="宋体" w:eastAsia="宋体" w:cs="宋体"/>
                <w:szCs w:val="21"/>
              </w:rPr>
            </w:pPr>
          </w:p>
        </w:tc>
        <w:tc>
          <w:tcPr>
            <w:tcW w:w="837" w:type="dxa"/>
            <w:noWrap w:val="0"/>
            <w:vAlign w:val="top"/>
          </w:tcPr>
          <w:p w14:paraId="587FD2F3">
            <w:pPr>
              <w:pStyle w:val="20"/>
              <w:pageBreakBefore w:val="0"/>
              <w:wordWrap w:val="0"/>
              <w:bidi w:val="0"/>
              <w:spacing w:after="200" w:line="360" w:lineRule="exact"/>
              <w:jc w:val="center"/>
              <w:rPr>
                <w:rFonts w:hint="eastAsia" w:ascii="宋体" w:hAnsi="宋体" w:eastAsia="宋体" w:cs="宋体"/>
                <w:szCs w:val="21"/>
              </w:rPr>
            </w:pPr>
          </w:p>
        </w:tc>
        <w:tc>
          <w:tcPr>
            <w:tcW w:w="1338" w:type="dxa"/>
            <w:noWrap w:val="0"/>
            <w:vAlign w:val="top"/>
          </w:tcPr>
          <w:p w14:paraId="41E5E50C">
            <w:pPr>
              <w:pStyle w:val="20"/>
              <w:pageBreakBefore w:val="0"/>
              <w:wordWrap w:val="0"/>
              <w:bidi w:val="0"/>
              <w:spacing w:after="200" w:line="360" w:lineRule="exact"/>
              <w:jc w:val="center"/>
              <w:rPr>
                <w:rFonts w:hint="eastAsia" w:ascii="宋体" w:hAnsi="宋体" w:eastAsia="宋体" w:cs="宋体"/>
                <w:szCs w:val="21"/>
              </w:rPr>
            </w:pPr>
          </w:p>
        </w:tc>
        <w:tc>
          <w:tcPr>
            <w:tcW w:w="3884" w:type="dxa"/>
            <w:noWrap w:val="0"/>
            <w:vAlign w:val="top"/>
          </w:tcPr>
          <w:p w14:paraId="3A512E06">
            <w:pPr>
              <w:pStyle w:val="20"/>
              <w:pageBreakBefore w:val="0"/>
              <w:wordWrap w:val="0"/>
              <w:bidi w:val="0"/>
              <w:spacing w:after="200" w:line="360" w:lineRule="exact"/>
              <w:jc w:val="center"/>
              <w:rPr>
                <w:rFonts w:hint="eastAsia" w:ascii="宋体" w:hAnsi="宋体" w:eastAsia="宋体" w:cs="宋体"/>
                <w:szCs w:val="21"/>
              </w:rPr>
            </w:pPr>
          </w:p>
        </w:tc>
      </w:tr>
      <w:tr w14:paraId="2DFA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14:paraId="6B9B7A36">
            <w:pPr>
              <w:pStyle w:val="20"/>
              <w:pageBreakBefore w:val="0"/>
              <w:wordWrap w:val="0"/>
              <w:bidi w:val="0"/>
              <w:spacing w:after="200" w:line="360" w:lineRule="exact"/>
              <w:jc w:val="center"/>
              <w:rPr>
                <w:rFonts w:hint="eastAsia" w:ascii="宋体" w:hAnsi="宋体" w:eastAsia="宋体" w:cs="宋体"/>
                <w:szCs w:val="21"/>
              </w:rPr>
            </w:pPr>
          </w:p>
        </w:tc>
        <w:tc>
          <w:tcPr>
            <w:tcW w:w="837" w:type="dxa"/>
            <w:noWrap w:val="0"/>
            <w:vAlign w:val="top"/>
          </w:tcPr>
          <w:p w14:paraId="525C4334">
            <w:pPr>
              <w:pStyle w:val="20"/>
              <w:pageBreakBefore w:val="0"/>
              <w:wordWrap w:val="0"/>
              <w:bidi w:val="0"/>
              <w:spacing w:after="200" w:line="360" w:lineRule="exact"/>
              <w:jc w:val="center"/>
              <w:rPr>
                <w:rFonts w:hint="eastAsia" w:ascii="宋体" w:hAnsi="宋体" w:eastAsia="宋体" w:cs="宋体"/>
                <w:szCs w:val="21"/>
              </w:rPr>
            </w:pPr>
          </w:p>
        </w:tc>
        <w:tc>
          <w:tcPr>
            <w:tcW w:w="1338" w:type="dxa"/>
            <w:noWrap w:val="0"/>
            <w:vAlign w:val="top"/>
          </w:tcPr>
          <w:p w14:paraId="13D02873">
            <w:pPr>
              <w:pStyle w:val="20"/>
              <w:pageBreakBefore w:val="0"/>
              <w:wordWrap w:val="0"/>
              <w:bidi w:val="0"/>
              <w:spacing w:after="200" w:line="360" w:lineRule="exact"/>
              <w:jc w:val="center"/>
              <w:rPr>
                <w:rFonts w:hint="eastAsia" w:ascii="宋体" w:hAnsi="宋体" w:eastAsia="宋体" w:cs="宋体"/>
                <w:szCs w:val="21"/>
              </w:rPr>
            </w:pPr>
          </w:p>
        </w:tc>
        <w:tc>
          <w:tcPr>
            <w:tcW w:w="3884" w:type="dxa"/>
            <w:noWrap w:val="0"/>
            <w:vAlign w:val="top"/>
          </w:tcPr>
          <w:p w14:paraId="75C97250">
            <w:pPr>
              <w:pStyle w:val="20"/>
              <w:pageBreakBefore w:val="0"/>
              <w:wordWrap w:val="0"/>
              <w:bidi w:val="0"/>
              <w:spacing w:after="200" w:line="360" w:lineRule="exact"/>
              <w:jc w:val="center"/>
              <w:rPr>
                <w:rFonts w:hint="eastAsia" w:ascii="宋体" w:hAnsi="宋体" w:eastAsia="宋体" w:cs="宋体"/>
                <w:szCs w:val="21"/>
              </w:rPr>
            </w:pPr>
          </w:p>
        </w:tc>
      </w:tr>
      <w:tr w14:paraId="6E6E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14:paraId="386A3D09">
            <w:pPr>
              <w:pStyle w:val="20"/>
              <w:pageBreakBefore w:val="0"/>
              <w:wordWrap w:val="0"/>
              <w:bidi w:val="0"/>
              <w:spacing w:after="200" w:line="360" w:lineRule="exact"/>
              <w:jc w:val="center"/>
              <w:rPr>
                <w:rFonts w:hint="eastAsia" w:ascii="宋体" w:hAnsi="宋体" w:eastAsia="宋体" w:cs="宋体"/>
                <w:szCs w:val="21"/>
              </w:rPr>
            </w:pPr>
          </w:p>
        </w:tc>
        <w:tc>
          <w:tcPr>
            <w:tcW w:w="837" w:type="dxa"/>
            <w:noWrap w:val="0"/>
            <w:vAlign w:val="top"/>
          </w:tcPr>
          <w:p w14:paraId="4C7C31BE">
            <w:pPr>
              <w:pStyle w:val="20"/>
              <w:pageBreakBefore w:val="0"/>
              <w:wordWrap w:val="0"/>
              <w:bidi w:val="0"/>
              <w:spacing w:after="200" w:line="360" w:lineRule="exact"/>
              <w:jc w:val="center"/>
              <w:rPr>
                <w:rFonts w:hint="eastAsia" w:ascii="宋体" w:hAnsi="宋体" w:eastAsia="宋体" w:cs="宋体"/>
                <w:szCs w:val="21"/>
              </w:rPr>
            </w:pPr>
          </w:p>
        </w:tc>
        <w:tc>
          <w:tcPr>
            <w:tcW w:w="1338" w:type="dxa"/>
            <w:noWrap w:val="0"/>
            <w:vAlign w:val="top"/>
          </w:tcPr>
          <w:p w14:paraId="47B3976A">
            <w:pPr>
              <w:pStyle w:val="20"/>
              <w:pageBreakBefore w:val="0"/>
              <w:wordWrap w:val="0"/>
              <w:bidi w:val="0"/>
              <w:spacing w:after="200" w:line="360" w:lineRule="exact"/>
              <w:jc w:val="center"/>
              <w:rPr>
                <w:rFonts w:hint="eastAsia" w:ascii="宋体" w:hAnsi="宋体" w:eastAsia="宋体" w:cs="宋体"/>
                <w:szCs w:val="21"/>
              </w:rPr>
            </w:pPr>
          </w:p>
        </w:tc>
        <w:tc>
          <w:tcPr>
            <w:tcW w:w="3884" w:type="dxa"/>
            <w:noWrap w:val="0"/>
            <w:vAlign w:val="top"/>
          </w:tcPr>
          <w:p w14:paraId="3DB75D69">
            <w:pPr>
              <w:pStyle w:val="20"/>
              <w:pageBreakBefore w:val="0"/>
              <w:wordWrap w:val="0"/>
              <w:bidi w:val="0"/>
              <w:spacing w:after="200" w:line="360" w:lineRule="exact"/>
              <w:jc w:val="center"/>
              <w:rPr>
                <w:rFonts w:hint="eastAsia" w:ascii="宋体" w:hAnsi="宋体" w:eastAsia="宋体" w:cs="宋体"/>
                <w:szCs w:val="21"/>
              </w:rPr>
            </w:pPr>
          </w:p>
        </w:tc>
      </w:tr>
      <w:tr w14:paraId="0F45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14:paraId="4FC91BC3">
            <w:pPr>
              <w:pStyle w:val="20"/>
              <w:pageBreakBefore w:val="0"/>
              <w:wordWrap w:val="0"/>
              <w:bidi w:val="0"/>
              <w:spacing w:after="200" w:line="360" w:lineRule="exact"/>
              <w:jc w:val="center"/>
              <w:rPr>
                <w:rFonts w:hint="eastAsia" w:ascii="宋体" w:hAnsi="宋体" w:eastAsia="宋体" w:cs="宋体"/>
                <w:szCs w:val="21"/>
              </w:rPr>
            </w:pPr>
          </w:p>
        </w:tc>
        <w:tc>
          <w:tcPr>
            <w:tcW w:w="837" w:type="dxa"/>
            <w:noWrap w:val="0"/>
            <w:vAlign w:val="top"/>
          </w:tcPr>
          <w:p w14:paraId="482C896E">
            <w:pPr>
              <w:pStyle w:val="20"/>
              <w:pageBreakBefore w:val="0"/>
              <w:wordWrap w:val="0"/>
              <w:bidi w:val="0"/>
              <w:spacing w:after="200" w:line="360" w:lineRule="exact"/>
              <w:jc w:val="center"/>
              <w:rPr>
                <w:rFonts w:hint="eastAsia" w:ascii="宋体" w:hAnsi="宋体" w:eastAsia="宋体" w:cs="宋体"/>
                <w:szCs w:val="21"/>
              </w:rPr>
            </w:pPr>
          </w:p>
        </w:tc>
        <w:tc>
          <w:tcPr>
            <w:tcW w:w="1338" w:type="dxa"/>
            <w:noWrap w:val="0"/>
            <w:vAlign w:val="top"/>
          </w:tcPr>
          <w:p w14:paraId="0D6222D5">
            <w:pPr>
              <w:pStyle w:val="20"/>
              <w:pageBreakBefore w:val="0"/>
              <w:wordWrap w:val="0"/>
              <w:bidi w:val="0"/>
              <w:spacing w:after="200" w:line="360" w:lineRule="exact"/>
              <w:jc w:val="center"/>
              <w:rPr>
                <w:rFonts w:hint="eastAsia" w:ascii="宋体" w:hAnsi="宋体" w:eastAsia="宋体" w:cs="宋体"/>
                <w:szCs w:val="21"/>
              </w:rPr>
            </w:pPr>
          </w:p>
        </w:tc>
        <w:tc>
          <w:tcPr>
            <w:tcW w:w="3884" w:type="dxa"/>
            <w:noWrap w:val="0"/>
            <w:vAlign w:val="top"/>
          </w:tcPr>
          <w:p w14:paraId="379E7B97">
            <w:pPr>
              <w:pStyle w:val="20"/>
              <w:pageBreakBefore w:val="0"/>
              <w:wordWrap w:val="0"/>
              <w:bidi w:val="0"/>
              <w:spacing w:after="200" w:line="360" w:lineRule="exact"/>
              <w:jc w:val="center"/>
              <w:rPr>
                <w:rFonts w:hint="eastAsia" w:ascii="宋体" w:hAnsi="宋体" w:eastAsia="宋体" w:cs="宋体"/>
                <w:szCs w:val="21"/>
              </w:rPr>
            </w:pPr>
          </w:p>
        </w:tc>
      </w:tr>
      <w:tr w14:paraId="0D3E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14:paraId="3F6C56E3">
            <w:pPr>
              <w:pStyle w:val="20"/>
              <w:pageBreakBefore w:val="0"/>
              <w:wordWrap w:val="0"/>
              <w:bidi w:val="0"/>
              <w:spacing w:after="200" w:line="360" w:lineRule="exact"/>
              <w:jc w:val="center"/>
              <w:rPr>
                <w:rFonts w:hint="eastAsia" w:ascii="宋体" w:hAnsi="宋体" w:eastAsia="宋体" w:cs="宋体"/>
                <w:szCs w:val="21"/>
              </w:rPr>
            </w:pPr>
          </w:p>
        </w:tc>
        <w:tc>
          <w:tcPr>
            <w:tcW w:w="837" w:type="dxa"/>
            <w:noWrap w:val="0"/>
            <w:vAlign w:val="top"/>
          </w:tcPr>
          <w:p w14:paraId="35A50402">
            <w:pPr>
              <w:pStyle w:val="20"/>
              <w:pageBreakBefore w:val="0"/>
              <w:wordWrap w:val="0"/>
              <w:bidi w:val="0"/>
              <w:spacing w:after="200" w:line="360" w:lineRule="exact"/>
              <w:jc w:val="center"/>
              <w:rPr>
                <w:rFonts w:hint="eastAsia" w:ascii="宋体" w:hAnsi="宋体" w:eastAsia="宋体" w:cs="宋体"/>
                <w:szCs w:val="21"/>
              </w:rPr>
            </w:pPr>
          </w:p>
        </w:tc>
        <w:tc>
          <w:tcPr>
            <w:tcW w:w="1338" w:type="dxa"/>
            <w:noWrap w:val="0"/>
            <w:vAlign w:val="top"/>
          </w:tcPr>
          <w:p w14:paraId="600BB058">
            <w:pPr>
              <w:pStyle w:val="20"/>
              <w:pageBreakBefore w:val="0"/>
              <w:wordWrap w:val="0"/>
              <w:bidi w:val="0"/>
              <w:spacing w:after="200" w:line="360" w:lineRule="exact"/>
              <w:jc w:val="center"/>
              <w:rPr>
                <w:rFonts w:hint="eastAsia" w:ascii="宋体" w:hAnsi="宋体" w:eastAsia="宋体" w:cs="宋体"/>
                <w:szCs w:val="21"/>
              </w:rPr>
            </w:pPr>
          </w:p>
        </w:tc>
        <w:tc>
          <w:tcPr>
            <w:tcW w:w="3884" w:type="dxa"/>
            <w:noWrap w:val="0"/>
            <w:vAlign w:val="top"/>
          </w:tcPr>
          <w:p w14:paraId="7A33DFEE">
            <w:pPr>
              <w:pStyle w:val="20"/>
              <w:pageBreakBefore w:val="0"/>
              <w:wordWrap w:val="0"/>
              <w:bidi w:val="0"/>
              <w:spacing w:after="200" w:line="360" w:lineRule="exact"/>
              <w:jc w:val="center"/>
              <w:rPr>
                <w:rFonts w:hint="eastAsia" w:ascii="宋体" w:hAnsi="宋体" w:eastAsia="宋体" w:cs="宋体"/>
                <w:szCs w:val="21"/>
              </w:rPr>
            </w:pPr>
          </w:p>
        </w:tc>
      </w:tr>
      <w:tr w14:paraId="2CBA3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14:paraId="2A8E3994">
            <w:pPr>
              <w:pStyle w:val="20"/>
              <w:pageBreakBefore w:val="0"/>
              <w:wordWrap w:val="0"/>
              <w:bidi w:val="0"/>
              <w:spacing w:after="200" w:line="360" w:lineRule="exact"/>
              <w:jc w:val="center"/>
              <w:rPr>
                <w:rFonts w:hint="eastAsia" w:ascii="宋体" w:hAnsi="宋体" w:eastAsia="宋体" w:cs="宋体"/>
                <w:szCs w:val="21"/>
              </w:rPr>
            </w:pPr>
          </w:p>
        </w:tc>
        <w:tc>
          <w:tcPr>
            <w:tcW w:w="837" w:type="dxa"/>
            <w:noWrap w:val="0"/>
            <w:vAlign w:val="top"/>
          </w:tcPr>
          <w:p w14:paraId="5E40B4DF">
            <w:pPr>
              <w:pStyle w:val="20"/>
              <w:pageBreakBefore w:val="0"/>
              <w:wordWrap w:val="0"/>
              <w:bidi w:val="0"/>
              <w:spacing w:after="200" w:line="360" w:lineRule="exact"/>
              <w:jc w:val="center"/>
              <w:rPr>
                <w:rFonts w:hint="eastAsia" w:ascii="宋体" w:hAnsi="宋体" w:eastAsia="宋体" w:cs="宋体"/>
                <w:szCs w:val="21"/>
              </w:rPr>
            </w:pPr>
          </w:p>
        </w:tc>
        <w:tc>
          <w:tcPr>
            <w:tcW w:w="1338" w:type="dxa"/>
            <w:noWrap w:val="0"/>
            <w:vAlign w:val="top"/>
          </w:tcPr>
          <w:p w14:paraId="184D96BC">
            <w:pPr>
              <w:pStyle w:val="20"/>
              <w:pageBreakBefore w:val="0"/>
              <w:wordWrap w:val="0"/>
              <w:bidi w:val="0"/>
              <w:spacing w:after="200" w:line="360" w:lineRule="exact"/>
              <w:jc w:val="center"/>
              <w:rPr>
                <w:rFonts w:hint="eastAsia" w:ascii="宋体" w:hAnsi="宋体" w:eastAsia="宋体" w:cs="宋体"/>
                <w:szCs w:val="21"/>
              </w:rPr>
            </w:pPr>
          </w:p>
        </w:tc>
        <w:tc>
          <w:tcPr>
            <w:tcW w:w="3884" w:type="dxa"/>
            <w:noWrap w:val="0"/>
            <w:vAlign w:val="top"/>
          </w:tcPr>
          <w:p w14:paraId="0FBF52EB">
            <w:pPr>
              <w:pStyle w:val="20"/>
              <w:pageBreakBefore w:val="0"/>
              <w:wordWrap w:val="0"/>
              <w:bidi w:val="0"/>
              <w:spacing w:after="200" w:line="360" w:lineRule="exact"/>
              <w:jc w:val="center"/>
              <w:rPr>
                <w:rFonts w:hint="eastAsia" w:ascii="宋体" w:hAnsi="宋体" w:eastAsia="宋体" w:cs="宋体"/>
                <w:szCs w:val="21"/>
              </w:rPr>
            </w:pPr>
          </w:p>
        </w:tc>
      </w:tr>
      <w:tr w14:paraId="1096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14:paraId="3E65C39F">
            <w:pPr>
              <w:pStyle w:val="20"/>
              <w:pageBreakBefore w:val="0"/>
              <w:wordWrap w:val="0"/>
              <w:bidi w:val="0"/>
              <w:spacing w:after="200" w:line="360" w:lineRule="exact"/>
              <w:jc w:val="center"/>
              <w:rPr>
                <w:rFonts w:hint="eastAsia" w:ascii="宋体" w:hAnsi="宋体" w:eastAsia="宋体" w:cs="宋体"/>
                <w:szCs w:val="21"/>
              </w:rPr>
            </w:pPr>
          </w:p>
        </w:tc>
        <w:tc>
          <w:tcPr>
            <w:tcW w:w="837" w:type="dxa"/>
            <w:noWrap w:val="0"/>
            <w:vAlign w:val="top"/>
          </w:tcPr>
          <w:p w14:paraId="31F7E58A">
            <w:pPr>
              <w:pStyle w:val="20"/>
              <w:pageBreakBefore w:val="0"/>
              <w:wordWrap w:val="0"/>
              <w:bidi w:val="0"/>
              <w:spacing w:after="200" w:line="360" w:lineRule="exact"/>
              <w:jc w:val="center"/>
              <w:rPr>
                <w:rFonts w:hint="eastAsia" w:ascii="宋体" w:hAnsi="宋体" w:eastAsia="宋体" w:cs="宋体"/>
                <w:szCs w:val="21"/>
              </w:rPr>
            </w:pPr>
          </w:p>
        </w:tc>
        <w:tc>
          <w:tcPr>
            <w:tcW w:w="1338" w:type="dxa"/>
            <w:noWrap w:val="0"/>
            <w:vAlign w:val="top"/>
          </w:tcPr>
          <w:p w14:paraId="5E2AAED4">
            <w:pPr>
              <w:pStyle w:val="20"/>
              <w:pageBreakBefore w:val="0"/>
              <w:wordWrap w:val="0"/>
              <w:bidi w:val="0"/>
              <w:spacing w:after="200" w:line="360" w:lineRule="exact"/>
              <w:jc w:val="center"/>
              <w:rPr>
                <w:rFonts w:hint="eastAsia" w:ascii="宋体" w:hAnsi="宋体" w:eastAsia="宋体" w:cs="宋体"/>
                <w:szCs w:val="21"/>
              </w:rPr>
            </w:pPr>
          </w:p>
        </w:tc>
        <w:tc>
          <w:tcPr>
            <w:tcW w:w="3884" w:type="dxa"/>
            <w:noWrap w:val="0"/>
            <w:vAlign w:val="top"/>
          </w:tcPr>
          <w:p w14:paraId="7028A4F6">
            <w:pPr>
              <w:pStyle w:val="20"/>
              <w:pageBreakBefore w:val="0"/>
              <w:wordWrap w:val="0"/>
              <w:bidi w:val="0"/>
              <w:spacing w:after="200" w:line="360" w:lineRule="exact"/>
              <w:jc w:val="center"/>
              <w:rPr>
                <w:rFonts w:hint="eastAsia" w:ascii="宋体" w:hAnsi="宋体" w:eastAsia="宋体" w:cs="宋体"/>
                <w:szCs w:val="21"/>
              </w:rPr>
            </w:pPr>
          </w:p>
        </w:tc>
      </w:tr>
      <w:tr w14:paraId="76C6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14:paraId="571CE3BA">
            <w:pPr>
              <w:pStyle w:val="20"/>
              <w:pageBreakBefore w:val="0"/>
              <w:wordWrap w:val="0"/>
              <w:bidi w:val="0"/>
              <w:spacing w:after="200" w:line="360" w:lineRule="exact"/>
              <w:jc w:val="center"/>
              <w:rPr>
                <w:rFonts w:hint="eastAsia" w:ascii="宋体" w:hAnsi="宋体" w:eastAsia="宋体" w:cs="宋体"/>
                <w:szCs w:val="21"/>
              </w:rPr>
            </w:pPr>
          </w:p>
        </w:tc>
        <w:tc>
          <w:tcPr>
            <w:tcW w:w="837" w:type="dxa"/>
            <w:noWrap w:val="0"/>
            <w:vAlign w:val="top"/>
          </w:tcPr>
          <w:p w14:paraId="5C7399B4">
            <w:pPr>
              <w:pStyle w:val="20"/>
              <w:pageBreakBefore w:val="0"/>
              <w:wordWrap w:val="0"/>
              <w:bidi w:val="0"/>
              <w:spacing w:after="200" w:line="360" w:lineRule="exact"/>
              <w:jc w:val="center"/>
              <w:rPr>
                <w:rFonts w:hint="eastAsia" w:ascii="宋体" w:hAnsi="宋体" w:eastAsia="宋体" w:cs="宋体"/>
                <w:szCs w:val="21"/>
              </w:rPr>
            </w:pPr>
          </w:p>
        </w:tc>
        <w:tc>
          <w:tcPr>
            <w:tcW w:w="1338" w:type="dxa"/>
            <w:noWrap w:val="0"/>
            <w:vAlign w:val="top"/>
          </w:tcPr>
          <w:p w14:paraId="6A101EB3">
            <w:pPr>
              <w:pStyle w:val="20"/>
              <w:pageBreakBefore w:val="0"/>
              <w:wordWrap w:val="0"/>
              <w:bidi w:val="0"/>
              <w:spacing w:after="200" w:line="360" w:lineRule="exact"/>
              <w:jc w:val="center"/>
              <w:rPr>
                <w:rFonts w:hint="eastAsia" w:ascii="宋体" w:hAnsi="宋体" w:eastAsia="宋体" w:cs="宋体"/>
                <w:szCs w:val="21"/>
              </w:rPr>
            </w:pPr>
          </w:p>
        </w:tc>
        <w:tc>
          <w:tcPr>
            <w:tcW w:w="3884" w:type="dxa"/>
            <w:noWrap w:val="0"/>
            <w:vAlign w:val="top"/>
          </w:tcPr>
          <w:p w14:paraId="226F304D">
            <w:pPr>
              <w:pStyle w:val="20"/>
              <w:pageBreakBefore w:val="0"/>
              <w:wordWrap w:val="0"/>
              <w:bidi w:val="0"/>
              <w:spacing w:after="200" w:line="360" w:lineRule="exact"/>
              <w:jc w:val="center"/>
              <w:rPr>
                <w:rFonts w:hint="eastAsia" w:ascii="宋体" w:hAnsi="宋体" w:eastAsia="宋体" w:cs="宋体"/>
                <w:szCs w:val="21"/>
              </w:rPr>
            </w:pPr>
          </w:p>
        </w:tc>
      </w:tr>
      <w:tr w14:paraId="1F2E2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14:paraId="51D87989">
            <w:pPr>
              <w:pStyle w:val="20"/>
              <w:pageBreakBefore w:val="0"/>
              <w:wordWrap w:val="0"/>
              <w:bidi w:val="0"/>
              <w:spacing w:after="200" w:line="360" w:lineRule="exact"/>
              <w:jc w:val="center"/>
              <w:rPr>
                <w:rFonts w:hint="eastAsia" w:ascii="宋体" w:hAnsi="宋体" w:eastAsia="宋体" w:cs="宋体"/>
                <w:szCs w:val="21"/>
              </w:rPr>
            </w:pPr>
          </w:p>
        </w:tc>
        <w:tc>
          <w:tcPr>
            <w:tcW w:w="837" w:type="dxa"/>
            <w:noWrap w:val="0"/>
            <w:vAlign w:val="top"/>
          </w:tcPr>
          <w:p w14:paraId="3631322E">
            <w:pPr>
              <w:pStyle w:val="20"/>
              <w:pageBreakBefore w:val="0"/>
              <w:wordWrap w:val="0"/>
              <w:bidi w:val="0"/>
              <w:spacing w:after="200" w:line="360" w:lineRule="exact"/>
              <w:jc w:val="center"/>
              <w:rPr>
                <w:rFonts w:hint="eastAsia" w:ascii="宋体" w:hAnsi="宋体" w:eastAsia="宋体" w:cs="宋体"/>
                <w:szCs w:val="21"/>
              </w:rPr>
            </w:pPr>
          </w:p>
        </w:tc>
        <w:tc>
          <w:tcPr>
            <w:tcW w:w="1338" w:type="dxa"/>
            <w:noWrap w:val="0"/>
            <w:vAlign w:val="top"/>
          </w:tcPr>
          <w:p w14:paraId="12F71665">
            <w:pPr>
              <w:pStyle w:val="20"/>
              <w:pageBreakBefore w:val="0"/>
              <w:wordWrap w:val="0"/>
              <w:bidi w:val="0"/>
              <w:spacing w:after="200" w:line="360" w:lineRule="exact"/>
              <w:jc w:val="center"/>
              <w:rPr>
                <w:rFonts w:hint="eastAsia" w:ascii="宋体" w:hAnsi="宋体" w:eastAsia="宋体" w:cs="宋体"/>
                <w:szCs w:val="21"/>
              </w:rPr>
            </w:pPr>
          </w:p>
        </w:tc>
        <w:tc>
          <w:tcPr>
            <w:tcW w:w="3884" w:type="dxa"/>
            <w:noWrap w:val="0"/>
            <w:vAlign w:val="top"/>
          </w:tcPr>
          <w:p w14:paraId="5386D6B2">
            <w:pPr>
              <w:pStyle w:val="20"/>
              <w:pageBreakBefore w:val="0"/>
              <w:wordWrap w:val="0"/>
              <w:bidi w:val="0"/>
              <w:spacing w:after="200" w:line="360" w:lineRule="exact"/>
              <w:jc w:val="center"/>
              <w:rPr>
                <w:rFonts w:hint="eastAsia" w:ascii="宋体" w:hAnsi="宋体" w:eastAsia="宋体" w:cs="宋体"/>
                <w:szCs w:val="21"/>
              </w:rPr>
            </w:pPr>
          </w:p>
        </w:tc>
      </w:tr>
      <w:tr w14:paraId="6848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14:paraId="2A768801">
            <w:pPr>
              <w:pStyle w:val="20"/>
              <w:pageBreakBefore w:val="0"/>
              <w:wordWrap w:val="0"/>
              <w:bidi w:val="0"/>
              <w:spacing w:after="200" w:line="360" w:lineRule="exact"/>
              <w:jc w:val="center"/>
              <w:rPr>
                <w:rFonts w:hint="eastAsia" w:ascii="宋体" w:hAnsi="宋体" w:eastAsia="宋体" w:cs="宋体"/>
                <w:szCs w:val="21"/>
              </w:rPr>
            </w:pPr>
          </w:p>
        </w:tc>
        <w:tc>
          <w:tcPr>
            <w:tcW w:w="837" w:type="dxa"/>
            <w:noWrap w:val="0"/>
            <w:vAlign w:val="top"/>
          </w:tcPr>
          <w:p w14:paraId="3619D1E1">
            <w:pPr>
              <w:pStyle w:val="20"/>
              <w:pageBreakBefore w:val="0"/>
              <w:wordWrap w:val="0"/>
              <w:bidi w:val="0"/>
              <w:spacing w:after="200" w:line="360" w:lineRule="exact"/>
              <w:jc w:val="center"/>
              <w:rPr>
                <w:rFonts w:hint="eastAsia" w:ascii="宋体" w:hAnsi="宋体" w:eastAsia="宋体" w:cs="宋体"/>
                <w:szCs w:val="21"/>
              </w:rPr>
            </w:pPr>
          </w:p>
        </w:tc>
        <w:tc>
          <w:tcPr>
            <w:tcW w:w="1338" w:type="dxa"/>
            <w:noWrap w:val="0"/>
            <w:vAlign w:val="top"/>
          </w:tcPr>
          <w:p w14:paraId="346C7E12">
            <w:pPr>
              <w:pStyle w:val="20"/>
              <w:pageBreakBefore w:val="0"/>
              <w:wordWrap w:val="0"/>
              <w:bidi w:val="0"/>
              <w:spacing w:after="200" w:line="360" w:lineRule="exact"/>
              <w:jc w:val="center"/>
              <w:rPr>
                <w:rFonts w:hint="eastAsia" w:ascii="宋体" w:hAnsi="宋体" w:eastAsia="宋体" w:cs="宋体"/>
                <w:szCs w:val="21"/>
              </w:rPr>
            </w:pPr>
          </w:p>
        </w:tc>
        <w:tc>
          <w:tcPr>
            <w:tcW w:w="3884" w:type="dxa"/>
            <w:noWrap w:val="0"/>
            <w:vAlign w:val="top"/>
          </w:tcPr>
          <w:p w14:paraId="5175780B">
            <w:pPr>
              <w:pStyle w:val="20"/>
              <w:pageBreakBefore w:val="0"/>
              <w:wordWrap w:val="0"/>
              <w:bidi w:val="0"/>
              <w:spacing w:after="200" w:line="360" w:lineRule="exact"/>
              <w:jc w:val="center"/>
              <w:rPr>
                <w:rFonts w:hint="eastAsia" w:ascii="宋体" w:hAnsi="宋体" w:eastAsia="宋体" w:cs="宋体"/>
                <w:szCs w:val="21"/>
              </w:rPr>
            </w:pPr>
          </w:p>
        </w:tc>
      </w:tr>
      <w:tr w14:paraId="7068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14:paraId="48CE1B8E">
            <w:pPr>
              <w:pStyle w:val="20"/>
              <w:pageBreakBefore w:val="0"/>
              <w:wordWrap w:val="0"/>
              <w:bidi w:val="0"/>
              <w:spacing w:after="200" w:line="360" w:lineRule="exact"/>
              <w:jc w:val="center"/>
              <w:rPr>
                <w:rFonts w:hint="eastAsia" w:ascii="宋体" w:hAnsi="宋体" w:eastAsia="宋体" w:cs="宋体"/>
                <w:szCs w:val="21"/>
              </w:rPr>
            </w:pPr>
          </w:p>
        </w:tc>
        <w:tc>
          <w:tcPr>
            <w:tcW w:w="837" w:type="dxa"/>
            <w:noWrap w:val="0"/>
            <w:vAlign w:val="top"/>
          </w:tcPr>
          <w:p w14:paraId="2C5C4B93">
            <w:pPr>
              <w:pStyle w:val="20"/>
              <w:pageBreakBefore w:val="0"/>
              <w:wordWrap w:val="0"/>
              <w:bidi w:val="0"/>
              <w:spacing w:after="200" w:line="360" w:lineRule="exact"/>
              <w:jc w:val="center"/>
              <w:rPr>
                <w:rFonts w:hint="eastAsia" w:ascii="宋体" w:hAnsi="宋体" w:eastAsia="宋体" w:cs="宋体"/>
                <w:szCs w:val="21"/>
              </w:rPr>
            </w:pPr>
          </w:p>
        </w:tc>
        <w:tc>
          <w:tcPr>
            <w:tcW w:w="1338" w:type="dxa"/>
            <w:noWrap w:val="0"/>
            <w:vAlign w:val="top"/>
          </w:tcPr>
          <w:p w14:paraId="1288F169">
            <w:pPr>
              <w:pStyle w:val="20"/>
              <w:pageBreakBefore w:val="0"/>
              <w:wordWrap w:val="0"/>
              <w:bidi w:val="0"/>
              <w:spacing w:after="200" w:line="360" w:lineRule="exact"/>
              <w:jc w:val="center"/>
              <w:rPr>
                <w:rFonts w:hint="eastAsia" w:ascii="宋体" w:hAnsi="宋体" w:eastAsia="宋体" w:cs="宋体"/>
                <w:szCs w:val="21"/>
              </w:rPr>
            </w:pPr>
          </w:p>
        </w:tc>
        <w:tc>
          <w:tcPr>
            <w:tcW w:w="3884" w:type="dxa"/>
            <w:noWrap w:val="0"/>
            <w:vAlign w:val="top"/>
          </w:tcPr>
          <w:p w14:paraId="5824BF30">
            <w:pPr>
              <w:pStyle w:val="20"/>
              <w:pageBreakBefore w:val="0"/>
              <w:wordWrap w:val="0"/>
              <w:bidi w:val="0"/>
              <w:spacing w:after="200" w:line="360" w:lineRule="exact"/>
              <w:jc w:val="center"/>
              <w:rPr>
                <w:rFonts w:hint="eastAsia" w:ascii="宋体" w:hAnsi="宋体" w:eastAsia="宋体" w:cs="宋体"/>
                <w:szCs w:val="21"/>
              </w:rPr>
            </w:pPr>
          </w:p>
        </w:tc>
      </w:tr>
      <w:tr w14:paraId="54B58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noWrap w:val="0"/>
            <w:vAlign w:val="top"/>
          </w:tcPr>
          <w:p w14:paraId="31726B6D">
            <w:pPr>
              <w:pStyle w:val="20"/>
              <w:pageBreakBefore w:val="0"/>
              <w:wordWrap w:val="0"/>
              <w:bidi w:val="0"/>
              <w:spacing w:after="200" w:line="360" w:lineRule="exact"/>
              <w:jc w:val="center"/>
              <w:rPr>
                <w:rFonts w:hint="eastAsia" w:ascii="宋体" w:hAnsi="宋体" w:eastAsia="宋体" w:cs="宋体"/>
                <w:szCs w:val="21"/>
              </w:rPr>
            </w:pPr>
          </w:p>
        </w:tc>
        <w:tc>
          <w:tcPr>
            <w:tcW w:w="837" w:type="dxa"/>
            <w:noWrap w:val="0"/>
            <w:vAlign w:val="top"/>
          </w:tcPr>
          <w:p w14:paraId="123E0920">
            <w:pPr>
              <w:pStyle w:val="20"/>
              <w:pageBreakBefore w:val="0"/>
              <w:wordWrap w:val="0"/>
              <w:bidi w:val="0"/>
              <w:spacing w:after="200" w:line="360" w:lineRule="exact"/>
              <w:jc w:val="center"/>
              <w:rPr>
                <w:rFonts w:hint="eastAsia" w:ascii="宋体" w:hAnsi="宋体" w:eastAsia="宋体" w:cs="宋体"/>
                <w:szCs w:val="21"/>
              </w:rPr>
            </w:pPr>
          </w:p>
        </w:tc>
        <w:tc>
          <w:tcPr>
            <w:tcW w:w="1338" w:type="dxa"/>
            <w:noWrap w:val="0"/>
            <w:vAlign w:val="top"/>
          </w:tcPr>
          <w:p w14:paraId="766A79E2">
            <w:pPr>
              <w:pStyle w:val="20"/>
              <w:pageBreakBefore w:val="0"/>
              <w:wordWrap w:val="0"/>
              <w:bidi w:val="0"/>
              <w:spacing w:after="200" w:line="360" w:lineRule="exact"/>
              <w:jc w:val="center"/>
              <w:rPr>
                <w:rFonts w:hint="eastAsia" w:ascii="宋体" w:hAnsi="宋体" w:eastAsia="宋体" w:cs="宋体"/>
                <w:szCs w:val="21"/>
              </w:rPr>
            </w:pPr>
          </w:p>
        </w:tc>
        <w:tc>
          <w:tcPr>
            <w:tcW w:w="3884" w:type="dxa"/>
            <w:noWrap w:val="0"/>
            <w:vAlign w:val="top"/>
          </w:tcPr>
          <w:p w14:paraId="3225C335">
            <w:pPr>
              <w:pStyle w:val="20"/>
              <w:pageBreakBefore w:val="0"/>
              <w:wordWrap w:val="0"/>
              <w:bidi w:val="0"/>
              <w:spacing w:after="200" w:line="360" w:lineRule="exact"/>
              <w:jc w:val="center"/>
              <w:rPr>
                <w:rFonts w:hint="eastAsia" w:ascii="宋体" w:hAnsi="宋体" w:eastAsia="宋体" w:cs="宋体"/>
                <w:szCs w:val="21"/>
              </w:rPr>
            </w:pPr>
          </w:p>
        </w:tc>
      </w:tr>
    </w:tbl>
    <w:p w14:paraId="38CAE226">
      <w:pPr>
        <w:bidi w:val="0"/>
        <w:rPr>
          <w:rFonts w:hint="eastAsia"/>
        </w:rPr>
      </w:pPr>
      <w:bookmarkStart w:id="870" w:name="_Toc256000226"/>
      <w:bookmarkStart w:id="871" w:name="_Toc497839268"/>
      <w:bookmarkStart w:id="872" w:name="_Toc2059"/>
      <w:bookmarkStart w:id="873" w:name="_Toc497839363"/>
      <w:bookmarkStart w:id="874" w:name="_Toc419045129"/>
      <w:bookmarkStart w:id="875" w:name="_Toc256000144"/>
      <w:bookmarkStart w:id="876" w:name="_Toc422322560"/>
    </w:p>
    <w:p w14:paraId="71747E8B">
      <w:pPr>
        <w:pStyle w:val="20"/>
        <w:rPr>
          <w:rFonts w:hint="eastAsia"/>
        </w:rPr>
      </w:pPr>
    </w:p>
    <w:p w14:paraId="24D857CC">
      <w:pPr>
        <w:pStyle w:val="54"/>
        <w:pageBreakBefore w:val="0"/>
        <w:wordWrap w:val="0"/>
        <w:bidi w:val="0"/>
        <w:spacing w:line="360" w:lineRule="exact"/>
        <w:rPr>
          <w:rFonts w:hint="eastAsia" w:ascii="宋体" w:hAnsi="宋体" w:eastAsia="宋体" w:cs="宋体"/>
          <w:sz w:val="21"/>
          <w:szCs w:val="21"/>
        </w:rPr>
      </w:pPr>
      <w:bookmarkStart w:id="877" w:name="_Toc660"/>
      <w:r>
        <w:rPr>
          <w:rFonts w:hint="eastAsia" w:ascii="宋体" w:hAnsi="宋体" w:eastAsia="宋体" w:cs="宋体"/>
          <w:sz w:val="21"/>
          <w:szCs w:val="21"/>
          <w:highlight w:val="white"/>
        </w:rPr>
        <w:t>附录D委托人提供房屋及设备一览表</w:t>
      </w:r>
      <w:bookmarkEnd w:id="870"/>
      <w:bookmarkEnd w:id="871"/>
      <w:bookmarkEnd w:id="872"/>
      <w:bookmarkEnd w:id="873"/>
      <w:bookmarkEnd w:id="874"/>
      <w:bookmarkEnd w:id="875"/>
      <w:bookmarkEnd w:id="876"/>
      <w:bookmarkEnd w:id="877"/>
    </w:p>
    <w:tbl>
      <w:tblPr>
        <w:tblStyle w:val="28"/>
        <w:tblW w:w="0" w:type="auto"/>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18"/>
        <w:gridCol w:w="869"/>
        <w:gridCol w:w="2368"/>
        <w:gridCol w:w="3511"/>
      </w:tblGrid>
      <w:tr w14:paraId="5F94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noWrap w:val="0"/>
            <w:vAlign w:val="top"/>
          </w:tcPr>
          <w:p w14:paraId="74218C02">
            <w:pPr>
              <w:pStyle w:val="59"/>
              <w:pageBreakBefore w:val="0"/>
              <w:widowControl w:val="0"/>
              <w:wordWrap w:val="0"/>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highlight w:val="white"/>
              </w:rPr>
              <w:t>名称</w:t>
            </w:r>
          </w:p>
        </w:tc>
        <w:tc>
          <w:tcPr>
            <w:tcW w:w="887" w:type="dxa"/>
            <w:gridSpan w:val="2"/>
            <w:noWrap w:val="0"/>
            <w:vAlign w:val="top"/>
          </w:tcPr>
          <w:p w14:paraId="269B4017">
            <w:pPr>
              <w:pStyle w:val="59"/>
              <w:pageBreakBefore w:val="0"/>
              <w:widowControl w:val="0"/>
              <w:wordWrap w:val="0"/>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highlight w:val="white"/>
              </w:rPr>
              <w:t>数量</w:t>
            </w:r>
          </w:p>
        </w:tc>
        <w:tc>
          <w:tcPr>
            <w:tcW w:w="2368" w:type="dxa"/>
            <w:noWrap w:val="0"/>
            <w:vAlign w:val="top"/>
          </w:tcPr>
          <w:p w14:paraId="08C01ED4">
            <w:pPr>
              <w:pStyle w:val="59"/>
              <w:pageBreakBefore w:val="0"/>
              <w:widowControl w:val="0"/>
              <w:wordWrap w:val="0"/>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highlight w:val="white"/>
              </w:rPr>
              <w:t>面积、型号及规格</w:t>
            </w:r>
          </w:p>
        </w:tc>
        <w:tc>
          <w:tcPr>
            <w:tcW w:w="3511" w:type="dxa"/>
            <w:noWrap w:val="0"/>
            <w:vAlign w:val="top"/>
          </w:tcPr>
          <w:p w14:paraId="0E033F53">
            <w:pPr>
              <w:pStyle w:val="59"/>
              <w:pageBreakBefore w:val="0"/>
              <w:widowControl w:val="0"/>
              <w:wordWrap w:val="0"/>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highlight w:val="white"/>
              </w:rPr>
              <w:t>提供时间</w:t>
            </w:r>
          </w:p>
        </w:tc>
      </w:tr>
      <w:tr w14:paraId="6AAE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noWrap w:val="0"/>
            <w:vAlign w:val="top"/>
          </w:tcPr>
          <w:p w14:paraId="2201DC6C">
            <w:pPr>
              <w:pStyle w:val="59"/>
              <w:pageBreakBefore w:val="0"/>
              <w:widowControl w:val="0"/>
              <w:wordWrap w:val="0"/>
              <w:bidi w:val="0"/>
              <w:spacing w:line="360" w:lineRule="exact"/>
              <w:jc w:val="both"/>
              <w:rPr>
                <w:rFonts w:hint="eastAsia" w:ascii="宋体" w:hAnsi="宋体" w:eastAsia="宋体" w:cs="宋体"/>
                <w:sz w:val="21"/>
                <w:szCs w:val="21"/>
              </w:rPr>
            </w:pPr>
          </w:p>
        </w:tc>
        <w:tc>
          <w:tcPr>
            <w:tcW w:w="887" w:type="dxa"/>
            <w:gridSpan w:val="2"/>
            <w:noWrap w:val="0"/>
            <w:vAlign w:val="top"/>
          </w:tcPr>
          <w:p w14:paraId="058DF2A9">
            <w:pPr>
              <w:pStyle w:val="20"/>
              <w:pageBreakBefore w:val="0"/>
              <w:wordWrap w:val="0"/>
              <w:bidi w:val="0"/>
              <w:spacing w:after="200" w:line="360" w:lineRule="exact"/>
              <w:rPr>
                <w:rFonts w:hint="eastAsia" w:ascii="宋体" w:hAnsi="宋体" w:eastAsia="宋体" w:cs="宋体"/>
                <w:szCs w:val="21"/>
              </w:rPr>
            </w:pPr>
          </w:p>
        </w:tc>
        <w:tc>
          <w:tcPr>
            <w:tcW w:w="2368" w:type="dxa"/>
            <w:noWrap w:val="0"/>
            <w:vAlign w:val="top"/>
          </w:tcPr>
          <w:p w14:paraId="4314D57C">
            <w:pPr>
              <w:pStyle w:val="20"/>
              <w:pageBreakBefore w:val="0"/>
              <w:wordWrap w:val="0"/>
              <w:bidi w:val="0"/>
              <w:spacing w:after="200" w:line="360" w:lineRule="exact"/>
              <w:rPr>
                <w:rFonts w:hint="eastAsia" w:ascii="宋体" w:hAnsi="宋体" w:eastAsia="宋体" w:cs="宋体"/>
                <w:szCs w:val="21"/>
              </w:rPr>
            </w:pPr>
          </w:p>
        </w:tc>
        <w:tc>
          <w:tcPr>
            <w:tcW w:w="3511" w:type="dxa"/>
            <w:noWrap w:val="0"/>
            <w:vAlign w:val="top"/>
          </w:tcPr>
          <w:p w14:paraId="10D77D5D">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　</w:t>
            </w:r>
          </w:p>
        </w:tc>
      </w:tr>
      <w:tr w14:paraId="3744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noWrap w:val="0"/>
            <w:vAlign w:val="top"/>
          </w:tcPr>
          <w:p w14:paraId="1043920E">
            <w:pPr>
              <w:pStyle w:val="59"/>
              <w:pageBreakBefore w:val="0"/>
              <w:widowControl w:val="0"/>
              <w:wordWrap w:val="0"/>
              <w:bidi w:val="0"/>
              <w:spacing w:line="360" w:lineRule="exact"/>
              <w:jc w:val="both"/>
              <w:rPr>
                <w:rFonts w:hint="eastAsia" w:ascii="宋体" w:hAnsi="宋体" w:eastAsia="宋体" w:cs="宋体"/>
                <w:sz w:val="21"/>
                <w:szCs w:val="21"/>
              </w:rPr>
            </w:pPr>
          </w:p>
        </w:tc>
        <w:tc>
          <w:tcPr>
            <w:tcW w:w="887" w:type="dxa"/>
            <w:gridSpan w:val="2"/>
            <w:noWrap w:val="0"/>
            <w:vAlign w:val="top"/>
          </w:tcPr>
          <w:p w14:paraId="6EF5B6E0">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　</w:t>
            </w:r>
          </w:p>
        </w:tc>
        <w:tc>
          <w:tcPr>
            <w:tcW w:w="2368" w:type="dxa"/>
            <w:noWrap w:val="0"/>
            <w:vAlign w:val="top"/>
          </w:tcPr>
          <w:p w14:paraId="624EA58A">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　</w:t>
            </w:r>
          </w:p>
        </w:tc>
        <w:tc>
          <w:tcPr>
            <w:tcW w:w="3511" w:type="dxa"/>
            <w:noWrap w:val="0"/>
            <w:vAlign w:val="top"/>
          </w:tcPr>
          <w:p w14:paraId="690CC420">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　</w:t>
            </w:r>
          </w:p>
        </w:tc>
      </w:tr>
      <w:tr w14:paraId="777C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noWrap w:val="0"/>
            <w:vAlign w:val="top"/>
          </w:tcPr>
          <w:p w14:paraId="706FEE9A">
            <w:pPr>
              <w:pStyle w:val="59"/>
              <w:pageBreakBefore w:val="0"/>
              <w:widowControl w:val="0"/>
              <w:wordWrap w:val="0"/>
              <w:bidi w:val="0"/>
              <w:spacing w:line="360" w:lineRule="exact"/>
              <w:jc w:val="both"/>
              <w:rPr>
                <w:rFonts w:hint="eastAsia" w:ascii="宋体" w:hAnsi="宋体" w:eastAsia="宋体" w:cs="宋体"/>
                <w:sz w:val="21"/>
                <w:szCs w:val="21"/>
              </w:rPr>
            </w:pPr>
          </w:p>
        </w:tc>
        <w:tc>
          <w:tcPr>
            <w:tcW w:w="887" w:type="dxa"/>
            <w:gridSpan w:val="2"/>
            <w:noWrap w:val="0"/>
            <w:vAlign w:val="top"/>
          </w:tcPr>
          <w:p w14:paraId="2815DCF8">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　</w:t>
            </w:r>
          </w:p>
        </w:tc>
        <w:tc>
          <w:tcPr>
            <w:tcW w:w="2368" w:type="dxa"/>
            <w:noWrap w:val="0"/>
            <w:vAlign w:val="top"/>
          </w:tcPr>
          <w:p w14:paraId="48E46E13">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　</w:t>
            </w:r>
          </w:p>
        </w:tc>
        <w:tc>
          <w:tcPr>
            <w:tcW w:w="3511" w:type="dxa"/>
            <w:noWrap w:val="0"/>
            <w:vAlign w:val="top"/>
          </w:tcPr>
          <w:p w14:paraId="30889CC2">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　</w:t>
            </w:r>
          </w:p>
        </w:tc>
      </w:tr>
      <w:tr w14:paraId="3349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noWrap w:val="0"/>
            <w:vAlign w:val="top"/>
          </w:tcPr>
          <w:p w14:paraId="7333625B">
            <w:pPr>
              <w:pStyle w:val="59"/>
              <w:pageBreakBefore w:val="0"/>
              <w:widowControl w:val="0"/>
              <w:wordWrap w:val="0"/>
              <w:bidi w:val="0"/>
              <w:spacing w:line="360" w:lineRule="exact"/>
              <w:jc w:val="both"/>
              <w:rPr>
                <w:rFonts w:hint="eastAsia" w:ascii="宋体" w:hAnsi="宋体" w:eastAsia="宋体" w:cs="宋体"/>
                <w:sz w:val="21"/>
                <w:szCs w:val="21"/>
              </w:rPr>
            </w:pPr>
          </w:p>
        </w:tc>
        <w:tc>
          <w:tcPr>
            <w:tcW w:w="887" w:type="dxa"/>
            <w:gridSpan w:val="2"/>
            <w:noWrap w:val="0"/>
            <w:vAlign w:val="top"/>
          </w:tcPr>
          <w:p w14:paraId="7E668F82">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　</w:t>
            </w:r>
          </w:p>
        </w:tc>
        <w:tc>
          <w:tcPr>
            <w:tcW w:w="2368" w:type="dxa"/>
            <w:noWrap w:val="0"/>
            <w:vAlign w:val="top"/>
          </w:tcPr>
          <w:p w14:paraId="053EFC2A">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　</w:t>
            </w:r>
          </w:p>
        </w:tc>
        <w:tc>
          <w:tcPr>
            <w:tcW w:w="3511" w:type="dxa"/>
            <w:noWrap w:val="0"/>
            <w:vAlign w:val="top"/>
          </w:tcPr>
          <w:p w14:paraId="145CE3E0">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　</w:t>
            </w:r>
          </w:p>
        </w:tc>
      </w:tr>
      <w:tr w14:paraId="6C9D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gridSpan w:val="2"/>
            <w:noWrap w:val="0"/>
            <w:vAlign w:val="top"/>
          </w:tcPr>
          <w:p w14:paraId="4760AE6A">
            <w:pPr>
              <w:pStyle w:val="59"/>
              <w:pageBreakBefore w:val="0"/>
              <w:widowControl w:val="0"/>
              <w:wordWrap w:val="0"/>
              <w:bidi w:val="0"/>
              <w:spacing w:line="360" w:lineRule="exact"/>
              <w:jc w:val="both"/>
              <w:rPr>
                <w:rFonts w:hint="eastAsia" w:ascii="宋体" w:hAnsi="宋体" w:eastAsia="宋体" w:cs="宋体"/>
                <w:sz w:val="21"/>
                <w:szCs w:val="21"/>
              </w:rPr>
            </w:pPr>
          </w:p>
        </w:tc>
        <w:tc>
          <w:tcPr>
            <w:tcW w:w="869" w:type="dxa"/>
            <w:noWrap w:val="0"/>
            <w:vAlign w:val="top"/>
          </w:tcPr>
          <w:p w14:paraId="368205F4">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　</w:t>
            </w:r>
          </w:p>
        </w:tc>
        <w:tc>
          <w:tcPr>
            <w:tcW w:w="2368" w:type="dxa"/>
            <w:noWrap w:val="0"/>
            <w:vAlign w:val="top"/>
          </w:tcPr>
          <w:p w14:paraId="4B46B3D8">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　</w:t>
            </w:r>
          </w:p>
        </w:tc>
        <w:tc>
          <w:tcPr>
            <w:tcW w:w="3511" w:type="dxa"/>
            <w:noWrap w:val="0"/>
            <w:vAlign w:val="top"/>
          </w:tcPr>
          <w:p w14:paraId="157AF980">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　</w:t>
            </w:r>
          </w:p>
        </w:tc>
      </w:tr>
      <w:tr w14:paraId="57ED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gridSpan w:val="2"/>
            <w:noWrap w:val="0"/>
            <w:vAlign w:val="top"/>
          </w:tcPr>
          <w:p w14:paraId="455001C2">
            <w:pPr>
              <w:pStyle w:val="59"/>
              <w:pageBreakBefore w:val="0"/>
              <w:widowControl w:val="0"/>
              <w:wordWrap w:val="0"/>
              <w:bidi w:val="0"/>
              <w:spacing w:line="360" w:lineRule="exact"/>
              <w:jc w:val="both"/>
              <w:rPr>
                <w:rFonts w:hint="eastAsia" w:ascii="宋体" w:hAnsi="宋体" w:eastAsia="宋体" w:cs="宋体"/>
                <w:sz w:val="21"/>
                <w:szCs w:val="21"/>
              </w:rPr>
            </w:pPr>
          </w:p>
        </w:tc>
        <w:tc>
          <w:tcPr>
            <w:tcW w:w="869" w:type="dxa"/>
            <w:noWrap w:val="0"/>
            <w:vAlign w:val="top"/>
          </w:tcPr>
          <w:p w14:paraId="20CBB91D">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　</w:t>
            </w:r>
          </w:p>
        </w:tc>
        <w:tc>
          <w:tcPr>
            <w:tcW w:w="2368" w:type="dxa"/>
            <w:noWrap w:val="0"/>
            <w:vAlign w:val="top"/>
          </w:tcPr>
          <w:p w14:paraId="4F650007">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　</w:t>
            </w:r>
          </w:p>
        </w:tc>
        <w:tc>
          <w:tcPr>
            <w:tcW w:w="3511" w:type="dxa"/>
            <w:noWrap w:val="0"/>
            <w:vAlign w:val="top"/>
          </w:tcPr>
          <w:p w14:paraId="7B91ADBB">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　</w:t>
            </w:r>
          </w:p>
        </w:tc>
      </w:tr>
      <w:tr w14:paraId="3872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gridSpan w:val="2"/>
            <w:noWrap w:val="0"/>
            <w:vAlign w:val="top"/>
          </w:tcPr>
          <w:p w14:paraId="2C091142">
            <w:pPr>
              <w:pStyle w:val="59"/>
              <w:pageBreakBefore w:val="0"/>
              <w:widowControl w:val="0"/>
              <w:wordWrap w:val="0"/>
              <w:bidi w:val="0"/>
              <w:spacing w:line="360" w:lineRule="exact"/>
              <w:jc w:val="both"/>
              <w:rPr>
                <w:rFonts w:hint="eastAsia" w:ascii="宋体" w:hAnsi="宋体" w:eastAsia="宋体" w:cs="宋体"/>
                <w:sz w:val="21"/>
                <w:szCs w:val="21"/>
              </w:rPr>
            </w:pPr>
          </w:p>
        </w:tc>
        <w:tc>
          <w:tcPr>
            <w:tcW w:w="869" w:type="dxa"/>
            <w:noWrap w:val="0"/>
            <w:vAlign w:val="top"/>
          </w:tcPr>
          <w:p w14:paraId="2469C552">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　</w:t>
            </w:r>
          </w:p>
        </w:tc>
        <w:tc>
          <w:tcPr>
            <w:tcW w:w="2368" w:type="dxa"/>
            <w:noWrap w:val="0"/>
            <w:vAlign w:val="top"/>
          </w:tcPr>
          <w:p w14:paraId="4DCBB068">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　</w:t>
            </w:r>
          </w:p>
        </w:tc>
        <w:tc>
          <w:tcPr>
            <w:tcW w:w="3511" w:type="dxa"/>
            <w:noWrap w:val="0"/>
            <w:vAlign w:val="top"/>
          </w:tcPr>
          <w:p w14:paraId="26225DB9">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　</w:t>
            </w:r>
          </w:p>
        </w:tc>
      </w:tr>
      <w:tr w14:paraId="2724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gridSpan w:val="2"/>
            <w:noWrap w:val="0"/>
            <w:vAlign w:val="top"/>
          </w:tcPr>
          <w:p w14:paraId="6766F59B">
            <w:pPr>
              <w:pStyle w:val="59"/>
              <w:pageBreakBefore w:val="0"/>
              <w:widowControl w:val="0"/>
              <w:wordWrap w:val="0"/>
              <w:bidi w:val="0"/>
              <w:spacing w:line="360" w:lineRule="exact"/>
              <w:jc w:val="both"/>
              <w:rPr>
                <w:rFonts w:hint="eastAsia" w:ascii="宋体" w:hAnsi="宋体" w:eastAsia="宋体" w:cs="宋体"/>
                <w:sz w:val="21"/>
                <w:szCs w:val="21"/>
              </w:rPr>
            </w:pPr>
          </w:p>
        </w:tc>
        <w:tc>
          <w:tcPr>
            <w:tcW w:w="869" w:type="dxa"/>
            <w:noWrap w:val="0"/>
            <w:vAlign w:val="top"/>
          </w:tcPr>
          <w:p w14:paraId="6D7D9D41">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　</w:t>
            </w:r>
          </w:p>
        </w:tc>
        <w:tc>
          <w:tcPr>
            <w:tcW w:w="2368" w:type="dxa"/>
            <w:noWrap w:val="0"/>
            <w:vAlign w:val="top"/>
          </w:tcPr>
          <w:p w14:paraId="19DF7991">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　</w:t>
            </w:r>
          </w:p>
        </w:tc>
        <w:tc>
          <w:tcPr>
            <w:tcW w:w="3511" w:type="dxa"/>
            <w:noWrap w:val="0"/>
            <w:vAlign w:val="top"/>
          </w:tcPr>
          <w:p w14:paraId="5B8475E4">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　</w:t>
            </w:r>
          </w:p>
        </w:tc>
      </w:tr>
      <w:tr w14:paraId="42A66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gridSpan w:val="2"/>
            <w:noWrap w:val="0"/>
            <w:vAlign w:val="top"/>
          </w:tcPr>
          <w:p w14:paraId="4692D3FD">
            <w:pPr>
              <w:pStyle w:val="20"/>
              <w:pageBreakBefore w:val="0"/>
              <w:wordWrap w:val="0"/>
              <w:bidi w:val="0"/>
              <w:spacing w:after="200" w:line="360" w:lineRule="exact"/>
              <w:rPr>
                <w:rFonts w:hint="eastAsia" w:ascii="宋体" w:hAnsi="宋体" w:eastAsia="宋体" w:cs="宋体"/>
                <w:szCs w:val="21"/>
              </w:rPr>
            </w:pPr>
          </w:p>
        </w:tc>
        <w:tc>
          <w:tcPr>
            <w:tcW w:w="869" w:type="dxa"/>
            <w:noWrap w:val="0"/>
            <w:vAlign w:val="top"/>
          </w:tcPr>
          <w:p w14:paraId="44072E91">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　</w:t>
            </w:r>
          </w:p>
        </w:tc>
        <w:tc>
          <w:tcPr>
            <w:tcW w:w="2368" w:type="dxa"/>
            <w:noWrap w:val="0"/>
            <w:vAlign w:val="top"/>
          </w:tcPr>
          <w:p w14:paraId="72D4B624">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　</w:t>
            </w:r>
          </w:p>
        </w:tc>
        <w:tc>
          <w:tcPr>
            <w:tcW w:w="3511" w:type="dxa"/>
            <w:noWrap w:val="0"/>
            <w:vAlign w:val="top"/>
          </w:tcPr>
          <w:p w14:paraId="7E066BC2">
            <w:pPr>
              <w:pStyle w:val="20"/>
              <w:pageBreakBefore w:val="0"/>
              <w:wordWrap w:val="0"/>
              <w:bidi w:val="0"/>
              <w:spacing w:after="200" w:line="360" w:lineRule="exact"/>
              <w:rPr>
                <w:rFonts w:hint="eastAsia" w:ascii="宋体" w:hAnsi="宋体" w:eastAsia="宋体" w:cs="宋体"/>
                <w:szCs w:val="21"/>
              </w:rPr>
            </w:pPr>
            <w:r>
              <w:rPr>
                <w:rFonts w:hint="eastAsia" w:ascii="宋体" w:hAnsi="宋体" w:eastAsia="宋体" w:cs="宋体"/>
                <w:szCs w:val="21"/>
                <w:highlight w:val="white"/>
              </w:rPr>
              <w:t>　</w:t>
            </w:r>
          </w:p>
        </w:tc>
      </w:tr>
      <w:tr w14:paraId="4D25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gridSpan w:val="2"/>
            <w:noWrap w:val="0"/>
            <w:vAlign w:val="top"/>
          </w:tcPr>
          <w:p w14:paraId="2263C6F2">
            <w:pPr>
              <w:pStyle w:val="20"/>
              <w:pageBreakBefore w:val="0"/>
              <w:wordWrap w:val="0"/>
              <w:bidi w:val="0"/>
              <w:spacing w:after="200" w:line="360" w:lineRule="exact"/>
              <w:rPr>
                <w:rFonts w:hint="eastAsia" w:ascii="宋体" w:hAnsi="宋体" w:eastAsia="宋体" w:cs="宋体"/>
                <w:szCs w:val="21"/>
              </w:rPr>
            </w:pPr>
          </w:p>
        </w:tc>
        <w:tc>
          <w:tcPr>
            <w:tcW w:w="869" w:type="dxa"/>
            <w:noWrap w:val="0"/>
            <w:vAlign w:val="top"/>
          </w:tcPr>
          <w:p w14:paraId="72179DD8">
            <w:pPr>
              <w:pStyle w:val="20"/>
              <w:pageBreakBefore w:val="0"/>
              <w:wordWrap w:val="0"/>
              <w:bidi w:val="0"/>
              <w:spacing w:after="200" w:line="360" w:lineRule="exact"/>
              <w:rPr>
                <w:rFonts w:hint="eastAsia" w:ascii="宋体" w:hAnsi="宋体" w:eastAsia="宋体" w:cs="宋体"/>
                <w:szCs w:val="21"/>
              </w:rPr>
            </w:pPr>
          </w:p>
        </w:tc>
        <w:tc>
          <w:tcPr>
            <w:tcW w:w="2368" w:type="dxa"/>
            <w:noWrap w:val="0"/>
            <w:vAlign w:val="top"/>
          </w:tcPr>
          <w:p w14:paraId="77F390C0">
            <w:pPr>
              <w:pStyle w:val="20"/>
              <w:pageBreakBefore w:val="0"/>
              <w:wordWrap w:val="0"/>
              <w:bidi w:val="0"/>
              <w:spacing w:after="200" w:line="360" w:lineRule="exact"/>
              <w:rPr>
                <w:rFonts w:hint="eastAsia" w:ascii="宋体" w:hAnsi="宋体" w:eastAsia="宋体" w:cs="宋体"/>
                <w:szCs w:val="21"/>
              </w:rPr>
            </w:pPr>
          </w:p>
        </w:tc>
        <w:tc>
          <w:tcPr>
            <w:tcW w:w="3511" w:type="dxa"/>
            <w:noWrap w:val="0"/>
            <w:vAlign w:val="top"/>
          </w:tcPr>
          <w:p w14:paraId="526DD86B">
            <w:pPr>
              <w:pStyle w:val="20"/>
              <w:pageBreakBefore w:val="0"/>
              <w:wordWrap w:val="0"/>
              <w:bidi w:val="0"/>
              <w:spacing w:after="200" w:line="360" w:lineRule="exact"/>
              <w:rPr>
                <w:rFonts w:hint="eastAsia" w:ascii="宋体" w:hAnsi="宋体" w:eastAsia="宋体" w:cs="宋体"/>
                <w:szCs w:val="21"/>
              </w:rPr>
            </w:pPr>
          </w:p>
        </w:tc>
      </w:tr>
      <w:tr w14:paraId="5AAD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gridSpan w:val="2"/>
            <w:noWrap w:val="0"/>
            <w:vAlign w:val="top"/>
          </w:tcPr>
          <w:p w14:paraId="5C9F8A33">
            <w:pPr>
              <w:pStyle w:val="20"/>
              <w:pageBreakBefore w:val="0"/>
              <w:wordWrap w:val="0"/>
              <w:bidi w:val="0"/>
              <w:spacing w:after="200" w:line="360" w:lineRule="exact"/>
              <w:rPr>
                <w:rFonts w:hint="eastAsia" w:ascii="宋体" w:hAnsi="宋体" w:eastAsia="宋体" w:cs="宋体"/>
                <w:szCs w:val="21"/>
              </w:rPr>
            </w:pPr>
          </w:p>
        </w:tc>
        <w:tc>
          <w:tcPr>
            <w:tcW w:w="869" w:type="dxa"/>
            <w:noWrap w:val="0"/>
            <w:vAlign w:val="top"/>
          </w:tcPr>
          <w:p w14:paraId="4B548F52">
            <w:pPr>
              <w:pStyle w:val="20"/>
              <w:pageBreakBefore w:val="0"/>
              <w:wordWrap w:val="0"/>
              <w:bidi w:val="0"/>
              <w:spacing w:after="200" w:line="360" w:lineRule="exact"/>
              <w:rPr>
                <w:rFonts w:hint="eastAsia" w:ascii="宋体" w:hAnsi="宋体" w:eastAsia="宋体" w:cs="宋体"/>
                <w:szCs w:val="21"/>
              </w:rPr>
            </w:pPr>
          </w:p>
        </w:tc>
        <w:tc>
          <w:tcPr>
            <w:tcW w:w="2368" w:type="dxa"/>
            <w:noWrap w:val="0"/>
            <w:vAlign w:val="top"/>
          </w:tcPr>
          <w:p w14:paraId="2B7725FA">
            <w:pPr>
              <w:pStyle w:val="20"/>
              <w:pageBreakBefore w:val="0"/>
              <w:wordWrap w:val="0"/>
              <w:bidi w:val="0"/>
              <w:spacing w:after="200" w:line="360" w:lineRule="exact"/>
              <w:rPr>
                <w:rFonts w:hint="eastAsia" w:ascii="宋体" w:hAnsi="宋体" w:eastAsia="宋体" w:cs="宋体"/>
                <w:szCs w:val="21"/>
              </w:rPr>
            </w:pPr>
          </w:p>
        </w:tc>
        <w:tc>
          <w:tcPr>
            <w:tcW w:w="3511" w:type="dxa"/>
            <w:noWrap w:val="0"/>
            <w:vAlign w:val="top"/>
          </w:tcPr>
          <w:p w14:paraId="58A9868B">
            <w:pPr>
              <w:pStyle w:val="20"/>
              <w:pageBreakBefore w:val="0"/>
              <w:wordWrap w:val="0"/>
              <w:bidi w:val="0"/>
              <w:spacing w:after="200" w:line="360" w:lineRule="exact"/>
              <w:rPr>
                <w:rFonts w:hint="eastAsia" w:ascii="宋体" w:hAnsi="宋体" w:eastAsia="宋体" w:cs="宋体"/>
                <w:szCs w:val="21"/>
              </w:rPr>
            </w:pPr>
          </w:p>
        </w:tc>
      </w:tr>
      <w:tr w14:paraId="0983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gridSpan w:val="2"/>
            <w:noWrap w:val="0"/>
            <w:vAlign w:val="top"/>
          </w:tcPr>
          <w:p w14:paraId="561320CE">
            <w:pPr>
              <w:pStyle w:val="20"/>
              <w:pageBreakBefore w:val="0"/>
              <w:wordWrap w:val="0"/>
              <w:bidi w:val="0"/>
              <w:spacing w:after="200" w:line="360" w:lineRule="exact"/>
              <w:rPr>
                <w:rFonts w:hint="eastAsia" w:ascii="宋体" w:hAnsi="宋体" w:eastAsia="宋体" w:cs="宋体"/>
                <w:szCs w:val="21"/>
              </w:rPr>
            </w:pPr>
          </w:p>
        </w:tc>
        <w:tc>
          <w:tcPr>
            <w:tcW w:w="869" w:type="dxa"/>
            <w:noWrap w:val="0"/>
            <w:vAlign w:val="top"/>
          </w:tcPr>
          <w:p w14:paraId="44EAD6D7">
            <w:pPr>
              <w:pStyle w:val="20"/>
              <w:pageBreakBefore w:val="0"/>
              <w:wordWrap w:val="0"/>
              <w:bidi w:val="0"/>
              <w:spacing w:after="200" w:line="360" w:lineRule="exact"/>
              <w:rPr>
                <w:rFonts w:hint="eastAsia" w:ascii="宋体" w:hAnsi="宋体" w:eastAsia="宋体" w:cs="宋体"/>
                <w:szCs w:val="21"/>
              </w:rPr>
            </w:pPr>
          </w:p>
        </w:tc>
        <w:tc>
          <w:tcPr>
            <w:tcW w:w="2368" w:type="dxa"/>
            <w:noWrap w:val="0"/>
            <w:vAlign w:val="top"/>
          </w:tcPr>
          <w:p w14:paraId="710F2699">
            <w:pPr>
              <w:pStyle w:val="20"/>
              <w:pageBreakBefore w:val="0"/>
              <w:wordWrap w:val="0"/>
              <w:bidi w:val="0"/>
              <w:spacing w:after="200" w:line="360" w:lineRule="exact"/>
              <w:rPr>
                <w:rFonts w:hint="eastAsia" w:ascii="宋体" w:hAnsi="宋体" w:eastAsia="宋体" w:cs="宋体"/>
                <w:szCs w:val="21"/>
              </w:rPr>
            </w:pPr>
          </w:p>
        </w:tc>
        <w:tc>
          <w:tcPr>
            <w:tcW w:w="3511" w:type="dxa"/>
            <w:noWrap w:val="0"/>
            <w:vAlign w:val="top"/>
          </w:tcPr>
          <w:p w14:paraId="1EA13673">
            <w:pPr>
              <w:pStyle w:val="20"/>
              <w:pageBreakBefore w:val="0"/>
              <w:wordWrap w:val="0"/>
              <w:bidi w:val="0"/>
              <w:spacing w:after="200" w:line="360" w:lineRule="exact"/>
              <w:rPr>
                <w:rFonts w:hint="eastAsia" w:ascii="宋体" w:hAnsi="宋体" w:eastAsia="宋体" w:cs="宋体"/>
                <w:szCs w:val="21"/>
              </w:rPr>
            </w:pPr>
          </w:p>
        </w:tc>
      </w:tr>
      <w:tr w14:paraId="59F1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gridSpan w:val="2"/>
            <w:noWrap w:val="0"/>
            <w:vAlign w:val="top"/>
          </w:tcPr>
          <w:p w14:paraId="2EF18E46">
            <w:pPr>
              <w:pStyle w:val="20"/>
              <w:pageBreakBefore w:val="0"/>
              <w:wordWrap w:val="0"/>
              <w:bidi w:val="0"/>
              <w:spacing w:after="200" w:line="360" w:lineRule="exact"/>
              <w:rPr>
                <w:rFonts w:hint="eastAsia" w:ascii="宋体" w:hAnsi="宋体" w:eastAsia="宋体" w:cs="宋体"/>
                <w:szCs w:val="21"/>
              </w:rPr>
            </w:pPr>
          </w:p>
        </w:tc>
        <w:tc>
          <w:tcPr>
            <w:tcW w:w="869" w:type="dxa"/>
            <w:noWrap w:val="0"/>
            <w:vAlign w:val="top"/>
          </w:tcPr>
          <w:p w14:paraId="040AE601">
            <w:pPr>
              <w:pStyle w:val="20"/>
              <w:pageBreakBefore w:val="0"/>
              <w:wordWrap w:val="0"/>
              <w:bidi w:val="0"/>
              <w:spacing w:after="200" w:line="360" w:lineRule="exact"/>
              <w:rPr>
                <w:rFonts w:hint="eastAsia" w:ascii="宋体" w:hAnsi="宋体" w:eastAsia="宋体" w:cs="宋体"/>
                <w:szCs w:val="21"/>
              </w:rPr>
            </w:pPr>
          </w:p>
        </w:tc>
        <w:tc>
          <w:tcPr>
            <w:tcW w:w="2368" w:type="dxa"/>
            <w:noWrap w:val="0"/>
            <w:vAlign w:val="top"/>
          </w:tcPr>
          <w:p w14:paraId="728E72ED">
            <w:pPr>
              <w:pStyle w:val="20"/>
              <w:pageBreakBefore w:val="0"/>
              <w:wordWrap w:val="0"/>
              <w:bidi w:val="0"/>
              <w:spacing w:after="200" w:line="360" w:lineRule="exact"/>
              <w:rPr>
                <w:rFonts w:hint="eastAsia" w:ascii="宋体" w:hAnsi="宋体" w:eastAsia="宋体" w:cs="宋体"/>
                <w:szCs w:val="21"/>
              </w:rPr>
            </w:pPr>
          </w:p>
        </w:tc>
        <w:tc>
          <w:tcPr>
            <w:tcW w:w="3511" w:type="dxa"/>
            <w:noWrap w:val="0"/>
            <w:vAlign w:val="top"/>
          </w:tcPr>
          <w:p w14:paraId="18FA1011">
            <w:pPr>
              <w:pStyle w:val="20"/>
              <w:pageBreakBefore w:val="0"/>
              <w:wordWrap w:val="0"/>
              <w:bidi w:val="0"/>
              <w:spacing w:after="200" w:line="360" w:lineRule="exact"/>
              <w:rPr>
                <w:rFonts w:hint="eastAsia" w:ascii="宋体" w:hAnsi="宋体" w:eastAsia="宋体" w:cs="宋体"/>
                <w:szCs w:val="21"/>
              </w:rPr>
            </w:pPr>
          </w:p>
        </w:tc>
      </w:tr>
      <w:tr w14:paraId="1673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gridSpan w:val="2"/>
            <w:noWrap w:val="0"/>
            <w:vAlign w:val="top"/>
          </w:tcPr>
          <w:p w14:paraId="311D31A1">
            <w:pPr>
              <w:pStyle w:val="20"/>
              <w:pageBreakBefore w:val="0"/>
              <w:wordWrap w:val="0"/>
              <w:bidi w:val="0"/>
              <w:spacing w:after="200" w:line="360" w:lineRule="exact"/>
              <w:rPr>
                <w:rFonts w:hint="eastAsia" w:ascii="宋体" w:hAnsi="宋体" w:eastAsia="宋体" w:cs="宋体"/>
                <w:szCs w:val="21"/>
              </w:rPr>
            </w:pPr>
          </w:p>
        </w:tc>
        <w:tc>
          <w:tcPr>
            <w:tcW w:w="869" w:type="dxa"/>
            <w:noWrap w:val="0"/>
            <w:vAlign w:val="top"/>
          </w:tcPr>
          <w:p w14:paraId="2FCA6D8C">
            <w:pPr>
              <w:pStyle w:val="20"/>
              <w:pageBreakBefore w:val="0"/>
              <w:wordWrap w:val="0"/>
              <w:bidi w:val="0"/>
              <w:spacing w:after="200" w:line="360" w:lineRule="exact"/>
              <w:rPr>
                <w:rFonts w:hint="eastAsia" w:ascii="宋体" w:hAnsi="宋体" w:eastAsia="宋体" w:cs="宋体"/>
                <w:szCs w:val="21"/>
              </w:rPr>
            </w:pPr>
          </w:p>
        </w:tc>
        <w:tc>
          <w:tcPr>
            <w:tcW w:w="2368" w:type="dxa"/>
            <w:noWrap w:val="0"/>
            <w:vAlign w:val="top"/>
          </w:tcPr>
          <w:p w14:paraId="30284514">
            <w:pPr>
              <w:pStyle w:val="20"/>
              <w:pageBreakBefore w:val="0"/>
              <w:wordWrap w:val="0"/>
              <w:bidi w:val="0"/>
              <w:spacing w:after="200" w:line="360" w:lineRule="exact"/>
              <w:rPr>
                <w:rFonts w:hint="eastAsia" w:ascii="宋体" w:hAnsi="宋体" w:eastAsia="宋体" w:cs="宋体"/>
                <w:szCs w:val="21"/>
              </w:rPr>
            </w:pPr>
          </w:p>
        </w:tc>
        <w:tc>
          <w:tcPr>
            <w:tcW w:w="3511" w:type="dxa"/>
            <w:noWrap w:val="0"/>
            <w:vAlign w:val="top"/>
          </w:tcPr>
          <w:p w14:paraId="139C0816">
            <w:pPr>
              <w:pStyle w:val="20"/>
              <w:pageBreakBefore w:val="0"/>
              <w:wordWrap w:val="0"/>
              <w:bidi w:val="0"/>
              <w:spacing w:after="200" w:line="360" w:lineRule="exact"/>
              <w:rPr>
                <w:rFonts w:hint="eastAsia" w:ascii="宋体" w:hAnsi="宋体" w:eastAsia="宋体" w:cs="宋体"/>
                <w:szCs w:val="21"/>
              </w:rPr>
            </w:pPr>
          </w:p>
        </w:tc>
      </w:tr>
      <w:tr w14:paraId="6D45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gridSpan w:val="2"/>
            <w:noWrap w:val="0"/>
            <w:vAlign w:val="top"/>
          </w:tcPr>
          <w:p w14:paraId="5E17E25F">
            <w:pPr>
              <w:pStyle w:val="20"/>
              <w:pageBreakBefore w:val="0"/>
              <w:wordWrap w:val="0"/>
              <w:bidi w:val="0"/>
              <w:spacing w:after="200" w:line="360" w:lineRule="exact"/>
              <w:rPr>
                <w:rFonts w:hint="eastAsia" w:ascii="宋体" w:hAnsi="宋体" w:eastAsia="宋体" w:cs="宋体"/>
                <w:szCs w:val="21"/>
              </w:rPr>
            </w:pPr>
          </w:p>
        </w:tc>
        <w:tc>
          <w:tcPr>
            <w:tcW w:w="869" w:type="dxa"/>
            <w:noWrap w:val="0"/>
            <w:vAlign w:val="top"/>
          </w:tcPr>
          <w:p w14:paraId="4FEFF8EF">
            <w:pPr>
              <w:pStyle w:val="20"/>
              <w:pageBreakBefore w:val="0"/>
              <w:wordWrap w:val="0"/>
              <w:bidi w:val="0"/>
              <w:spacing w:after="200" w:line="360" w:lineRule="exact"/>
              <w:rPr>
                <w:rFonts w:hint="eastAsia" w:ascii="宋体" w:hAnsi="宋体" w:eastAsia="宋体" w:cs="宋体"/>
                <w:szCs w:val="21"/>
              </w:rPr>
            </w:pPr>
          </w:p>
        </w:tc>
        <w:tc>
          <w:tcPr>
            <w:tcW w:w="2368" w:type="dxa"/>
            <w:noWrap w:val="0"/>
            <w:vAlign w:val="top"/>
          </w:tcPr>
          <w:p w14:paraId="50632396">
            <w:pPr>
              <w:pStyle w:val="20"/>
              <w:pageBreakBefore w:val="0"/>
              <w:wordWrap w:val="0"/>
              <w:bidi w:val="0"/>
              <w:spacing w:after="200" w:line="360" w:lineRule="exact"/>
              <w:rPr>
                <w:rFonts w:hint="eastAsia" w:ascii="宋体" w:hAnsi="宋体" w:eastAsia="宋体" w:cs="宋体"/>
                <w:szCs w:val="21"/>
              </w:rPr>
            </w:pPr>
          </w:p>
        </w:tc>
        <w:tc>
          <w:tcPr>
            <w:tcW w:w="3511" w:type="dxa"/>
            <w:noWrap w:val="0"/>
            <w:vAlign w:val="top"/>
          </w:tcPr>
          <w:p w14:paraId="60DDCE7F">
            <w:pPr>
              <w:pStyle w:val="20"/>
              <w:pageBreakBefore w:val="0"/>
              <w:wordWrap w:val="0"/>
              <w:bidi w:val="0"/>
              <w:spacing w:after="200" w:line="360" w:lineRule="exact"/>
              <w:rPr>
                <w:rFonts w:hint="eastAsia" w:ascii="宋体" w:hAnsi="宋体" w:eastAsia="宋体" w:cs="宋体"/>
                <w:szCs w:val="21"/>
              </w:rPr>
            </w:pPr>
          </w:p>
        </w:tc>
      </w:tr>
      <w:tr w14:paraId="6C01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gridSpan w:val="2"/>
            <w:noWrap w:val="0"/>
            <w:vAlign w:val="top"/>
          </w:tcPr>
          <w:p w14:paraId="3B053375">
            <w:pPr>
              <w:pStyle w:val="20"/>
              <w:pageBreakBefore w:val="0"/>
              <w:wordWrap w:val="0"/>
              <w:bidi w:val="0"/>
              <w:spacing w:after="200" w:line="360" w:lineRule="exact"/>
              <w:rPr>
                <w:rFonts w:hint="eastAsia" w:ascii="宋体" w:hAnsi="宋体" w:eastAsia="宋体" w:cs="宋体"/>
                <w:szCs w:val="21"/>
              </w:rPr>
            </w:pPr>
          </w:p>
        </w:tc>
        <w:tc>
          <w:tcPr>
            <w:tcW w:w="869" w:type="dxa"/>
            <w:noWrap w:val="0"/>
            <w:vAlign w:val="top"/>
          </w:tcPr>
          <w:p w14:paraId="54BD3A0C">
            <w:pPr>
              <w:pStyle w:val="20"/>
              <w:pageBreakBefore w:val="0"/>
              <w:wordWrap w:val="0"/>
              <w:bidi w:val="0"/>
              <w:spacing w:after="200" w:line="360" w:lineRule="exact"/>
              <w:rPr>
                <w:rFonts w:hint="eastAsia" w:ascii="宋体" w:hAnsi="宋体" w:eastAsia="宋体" w:cs="宋体"/>
                <w:szCs w:val="21"/>
              </w:rPr>
            </w:pPr>
          </w:p>
        </w:tc>
        <w:tc>
          <w:tcPr>
            <w:tcW w:w="2368" w:type="dxa"/>
            <w:noWrap w:val="0"/>
            <w:vAlign w:val="top"/>
          </w:tcPr>
          <w:p w14:paraId="239D55A4">
            <w:pPr>
              <w:pStyle w:val="20"/>
              <w:pageBreakBefore w:val="0"/>
              <w:wordWrap w:val="0"/>
              <w:bidi w:val="0"/>
              <w:spacing w:after="200" w:line="360" w:lineRule="exact"/>
              <w:rPr>
                <w:rFonts w:hint="eastAsia" w:ascii="宋体" w:hAnsi="宋体" w:eastAsia="宋体" w:cs="宋体"/>
                <w:szCs w:val="21"/>
              </w:rPr>
            </w:pPr>
          </w:p>
        </w:tc>
        <w:tc>
          <w:tcPr>
            <w:tcW w:w="3511" w:type="dxa"/>
            <w:noWrap w:val="0"/>
            <w:vAlign w:val="top"/>
          </w:tcPr>
          <w:p w14:paraId="178D4C93">
            <w:pPr>
              <w:pStyle w:val="20"/>
              <w:pageBreakBefore w:val="0"/>
              <w:wordWrap w:val="0"/>
              <w:bidi w:val="0"/>
              <w:spacing w:after="200" w:line="360" w:lineRule="exact"/>
              <w:rPr>
                <w:rFonts w:hint="eastAsia" w:ascii="宋体" w:hAnsi="宋体" w:eastAsia="宋体" w:cs="宋体"/>
                <w:szCs w:val="21"/>
              </w:rPr>
            </w:pPr>
          </w:p>
        </w:tc>
      </w:tr>
      <w:tr w14:paraId="4B48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gridSpan w:val="2"/>
            <w:noWrap w:val="0"/>
            <w:vAlign w:val="top"/>
          </w:tcPr>
          <w:p w14:paraId="312B4208">
            <w:pPr>
              <w:pStyle w:val="20"/>
              <w:pageBreakBefore w:val="0"/>
              <w:wordWrap w:val="0"/>
              <w:bidi w:val="0"/>
              <w:spacing w:after="200" w:line="360" w:lineRule="exact"/>
              <w:rPr>
                <w:rFonts w:hint="eastAsia" w:ascii="宋体" w:hAnsi="宋体" w:eastAsia="宋体" w:cs="宋体"/>
                <w:szCs w:val="21"/>
              </w:rPr>
            </w:pPr>
          </w:p>
        </w:tc>
        <w:tc>
          <w:tcPr>
            <w:tcW w:w="869" w:type="dxa"/>
            <w:noWrap w:val="0"/>
            <w:vAlign w:val="top"/>
          </w:tcPr>
          <w:p w14:paraId="7CBA6558">
            <w:pPr>
              <w:pStyle w:val="20"/>
              <w:pageBreakBefore w:val="0"/>
              <w:wordWrap w:val="0"/>
              <w:bidi w:val="0"/>
              <w:spacing w:after="200" w:line="360" w:lineRule="exact"/>
              <w:rPr>
                <w:rFonts w:hint="eastAsia" w:ascii="宋体" w:hAnsi="宋体" w:eastAsia="宋体" w:cs="宋体"/>
                <w:szCs w:val="21"/>
              </w:rPr>
            </w:pPr>
          </w:p>
        </w:tc>
        <w:tc>
          <w:tcPr>
            <w:tcW w:w="2368" w:type="dxa"/>
            <w:noWrap w:val="0"/>
            <w:vAlign w:val="top"/>
          </w:tcPr>
          <w:p w14:paraId="2DC168E7">
            <w:pPr>
              <w:pStyle w:val="20"/>
              <w:pageBreakBefore w:val="0"/>
              <w:wordWrap w:val="0"/>
              <w:bidi w:val="0"/>
              <w:spacing w:after="200" w:line="360" w:lineRule="exact"/>
              <w:rPr>
                <w:rFonts w:hint="eastAsia" w:ascii="宋体" w:hAnsi="宋体" w:eastAsia="宋体" w:cs="宋体"/>
                <w:szCs w:val="21"/>
              </w:rPr>
            </w:pPr>
          </w:p>
        </w:tc>
        <w:tc>
          <w:tcPr>
            <w:tcW w:w="3511" w:type="dxa"/>
            <w:noWrap w:val="0"/>
            <w:vAlign w:val="top"/>
          </w:tcPr>
          <w:p w14:paraId="6E1B6E55">
            <w:pPr>
              <w:pStyle w:val="20"/>
              <w:pageBreakBefore w:val="0"/>
              <w:wordWrap w:val="0"/>
              <w:bidi w:val="0"/>
              <w:spacing w:after="200" w:line="360" w:lineRule="exact"/>
              <w:rPr>
                <w:rFonts w:hint="eastAsia" w:ascii="宋体" w:hAnsi="宋体" w:eastAsia="宋体" w:cs="宋体"/>
                <w:szCs w:val="21"/>
              </w:rPr>
            </w:pPr>
          </w:p>
        </w:tc>
      </w:tr>
      <w:tr w14:paraId="3592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gridSpan w:val="2"/>
            <w:noWrap w:val="0"/>
            <w:vAlign w:val="top"/>
          </w:tcPr>
          <w:p w14:paraId="75749258">
            <w:pPr>
              <w:pStyle w:val="20"/>
              <w:pageBreakBefore w:val="0"/>
              <w:wordWrap w:val="0"/>
              <w:bidi w:val="0"/>
              <w:spacing w:after="200" w:line="360" w:lineRule="exact"/>
              <w:rPr>
                <w:rFonts w:hint="eastAsia" w:ascii="宋体" w:hAnsi="宋体" w:eastAsia="宋体" w:cs="宋体"/>
                <w:szCs w:val="21"/>
              </w:rPr>
            </w:pPr>
          </w:p>
        </w:tc>
        <w:tc>
          <w:tcPr>
            <w:tcW w:w="869" w:type="dxa"/>
            <w:noWrap w:val="0"/>
            <w:vAlign w:val="top"/>
          </w:tcPr>
          <w:p w14:paraId="1242BCC3">
            <w:pPr>
              <w:pStyle w:val="20"/>
              <w:pageBreakBefore w:val="0"/>
              <w:wordWrap w:val="0"/>
              <w:bidi w:val="0"/>
              <w:spacing w:after="200" w:line="360" w:lineRule="exact"/>
              <w:rPr>
                <w:rFonts w:hint="eastAsia" w:ascii="宋体" w:hAnsi="宋体" w:eastAsia="宋体" w:cs="宋体"/>
                <w:szCs w:val="21"/>
              </w:rPr>
            </w:pPr>
          </w:p>
        </w:tc>
        <w:tc>
          <w:tcPr>
            <w:tcW w:w="2368" w:type="dxa"/>
            <w:noWrap w:val="0"/>
            <w:vAlign w:val="top"/>
          </w:tcPr>
          <w:p w14:paraId="58FE0DD2">
            <w:pPr>
              <w:pStyle w:val="20"/>
              <w:pageBreakBefore w:val="0"/>
              <w:wordWrap w:val="0"/>
              <w:bidi w:val="0"/>
              <w:spacing w:after="200" w:line="360" w:lineRule="exact"/>
              <w:rPr>
                <w:rFonts w:hint="eastAsia" w:ascii="宋体" w:hAnsi="宋体" w:eastAsia="宋体" w:cs="宋体"/>
                <w:szCs w:val="21"/>
              </w:rPr>
            </w:pPr>
          </w:p>
        </w:tc>
        <w:tc>
          <w:tcPr>
            <w:tcW w:w="3511" w:type="dxa"/>
            <w:noWrap w:val="0"/>
            <w:vAlign w:val="top"/>
          </w:tcPr>
          <w:p w14:paraId="37155E59">
            <w:pPr>
              <w:pStyle w:val="20"/>
              <w:pageBreakBefore w:val="0"/>
              <w:wordWrap w:val="0"/>
              <w:bidi w:val="0"/>
              <w:spacing w:after="200" w:line="360" w:lineRule="exact"/>
              <w:rPr>
                <w:rFonts w:hint="eastAsia" w:ascii="宋体" w:hAnsi="宋体" w:eastAsia="宋体" w:cs="宋体"/>
                <w:szCs w:val="21"/>
              </w:rPr>
            </w:pPr>
          </w:p>
        </w:tc>
      </w:tr>
      <w:tr w14:paraId="2C0E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gridSpan w:val="2"/>
            <w:noWrap w:val="0"/>
            <w:vAlign w:val="top"/>
          </w:tcPr>
          <w:p w14:paraId="6FC5DFF3">
            <w:pPr>
              <w:pStyle w:val="20"/>
              <w:pageBreakBefore w:val="0"/>
              <w:wordWrap w:val="0"/>
              <w:bidi w:val="0"/>
              <w:spacing w:after="200" w:line="360" w:lineRule="exact"/>
              <w:rPr>
                <w:rFonts w:hint="eastAsia" w:ascii="宋体" w:hAnsi="宋体" w:eastAsia="宋体" w:cs="宋体"/>
                <w:szCs w:val="21"/>
              </w:rPr>
            </w:pPr>
          </w:p>
        </w:tc>
        <w:tc>
          <w:tcPr>
            <w:tcW w:w="869" w:type="dxa"/>
            <w:noWrap w:val="0"/>
            <w:vAlign w:val="top"/>
          </w:tcPr>
          <w:p w14:paraId="503AC7FC">
            <w:pPr>
              <w:pStyle w:val="20"/>
              <w:pageBreakBefore w:val="0"/>
              <w:wordWrap w:val="0"/>
              <w:bidi w:val="0"/>
              <w:spacing w:after="200" w:line="360" w:lineRule="exact"/>
              <w:rPr>
                <w:rFonts w:hint="eastAsia" w:ascii="宋体" w:hAnsi="宋体" w:eastAsia="宋体" w:cs="宋体"/>
                <w:szCs w:val="21"/>
              </w:rPr>
            </w:pPr>
          </w:p>
        </w:tc>
        <w:tc>
          <w:tcPr>
            <w:tcW w:w="2368" w:type="dxa"/>
            <w:noWrap w:val="0"/>
            <w:vAlign w:val="top"/>
          </w:tcPr>
          <w:p w14:paraId="2899FB60">
            <w:pPr>
              <w:pStyle w:val="20"/>
              <w:pageBreakBefore w:val="0"/>
              <w:wordWrap w:val="0"/>
              <w:bidi w:val="0"/>
              <w:spacing w:after="200" w:line="360" w:lineRule="exact"/>
              <w:rPr>
                <w:rFonts w:hint="eastAsia" w:ascii="宋体" w:hAnsi="宋体" w:eastAsia="宋体" w:cs="宋体"/>
                <w:szCs w:val="21"/>
              </w:rPr>
            </w:pPr>
          </w:p>
        </w:tc>
        <w:tc>
          <w:tcPr>
            <w:tcW w:w="3511" w:type="dxa"/>
            <w:noWrap w:val="0"/>
            <w:vAlign w:val="top"/>
          </w:tcPr>
          <w:p w14:paraId="7BC95860">
            <w:pPr>
              <w:pStyle w:val="20"/>
              <w:pageBreakBefore w:val="0"/>
              <w:wordWrap w:val="0"/>
              <w:bidi w:val="0"/>
              <w:spacing w:after="200" w:line="360" w:lineRule="exact"/>
              <w:rPr>
                <w:rFonts w:hint="eastAsia" w:ascii="宋体" w:hAnsi="宋体" w:eastAsia="宋体" w:cs="宋体"/>
                <w:szCs w:val="21"/>
              </w:rPr>
            </w:pPr>
          </w:p>
        </w:tc>
      </w:tr>
    </w:tbl>
    <w:p w14:paraId="124A38D2">
      <w:pPr>
        <w:pageBreakBefore w:val="0"/>
        <w:wordWrap w:val="0"/>
        <w:bidi w:val="0"/>
        <w:rPr>
          <w:rFonts w:hint="eastAsia" w:ascii="宋体" w:hAnsi="宋体" w:eastAsia="宋体" w:cs="宋体"/>
          <w:sz w:val="20"/>
          <w:szCs w:val="20"/>
          <w:lang w:eastAsia="zh-CN"/>
        </w:rPr>
      </w:pPr>
    </w:p>
    <w:p w14:paraId="18C6E959">
      <w:pPr>
        <w:pageBreakBefore w:val="0"/>
        <w:wordWrap w:val="0"/>
        <w:bidi w:val="0"/>
        <w:rPr>
          <w:rFonts w:hint="eastAsia" w:ascii="宋体" w:hAnsi="宋体" w:eastAsia="宋体" w:cs="宋体"/>
          <w:sz w:val="20"/>
          <w:szCs w:val="20"/>
          <w:lang w:eastAsia="zh-CN"/>
        </w:rPr>
      </w:pPr>
    </w:p>
    <w:p w14:paraId="53803B47">
      <w:pPr>
        <w:pageBreakBefore w:val="0"/>
        <w:wordWrap w:val="0"/>
        <w:bidi w:val="0"/>
        <w:rPr>
          <w:rFonts w:hint="eastAsia" w:ascii="宋体" w:hAnsi="宋体" w:eastAsia="宋体" w:cs="宋体"/>
          <w:sz w:val="20"/>
          <w:szCs w:val="20"/>
          <w:lang w:eastAsia="zh-CN"/>
        </w:rPr>
      </w:pPr>
      <w:r>
        <w:rPr>
          <w:rFonts w:hint="eastAsia" w:ascii="宋体" w:hAnsi="宋体" w:eastAsia="宋体" w:cs="宋体"/>
          <w:sz w:val="20"/>
          <w:szCs w:val="20"/>
          <w:lang w:eastAsia="zh-CN"/>
        </w:rPr>
        <w:t>注:合同详细内容需</w:t>
      </w:r>
      <w:r>
        <w:rPr>
          <w:rFonts w:hint="eastAsia" w:ascii="宋体" w:hAnsi="宋体" w:eastAsia="宋体" w:cs="宋体"/>
          <w:sz w:val="20"/>
          <w:szCs w:val="20"/>
          <w:lang w:val="en-US" w:eastAsia="zh-CN"/>
        </w:rPr>
        <w:t>供应商</w:t>
      </w:r>
      <w:r>
        <w:rPr>
          <w:rFonts w:hint="eastAsia" w:ascii="宋体" w:hAnsi="宋体" w:eastAsia="宋体" w:cs="宋体"/>
          <w:sz w:val="20"/>
          <w:szCs w:val="20"/>
          <w:lang w:eastAsia="zh-CN"/>
        </w:rPr>
        <w:t>中标后与</w:t>
      </w:r>
      <w:r>
        <w:rPr>
          <w:rFonts w:hint="eastAsia" w:ascii="宋体" w:hAnsi="宋体" w:eastAsia="宋体" w:cs="宋体"/>
          <w:sz w:val="20"/>
          <w:szCs w:val="20"/>
          <w:lang w:val="en-US" w:eastAsia="zh-CN"/>
        </w:rPr>
        <w:t>采购人</w:t>
      </w:r>
      <w:r>
        <w:rPr>
          <w:rFonts w:hint="eastAsia" w:ascii="宋体" w:hAnsi="宋体" w:eastAsia="宋体" w:cs="宋体"/>
          <w:sz w:val="20"/>
          <w:szCs w:val="20"/>
          <w:lang w:eastAsia="zh-CN"/>
        </w:rPr>
        <w:t>协商后再确定，</w:t>
      </w:r>
      <w:r>
        <w:rPr>
          <w:rFonts w:hint="eastAsia" w:ascii="宋体" w:hAnsi="宋体" w:eastAsia="宋体" w:cs="宋体"/>
          <w:sz w:val="20"/>
          <w:szCs w:val="20"/>
          <w:lang w:val="en-US" w:eastAsia="zh-CN"/>
        </w:rPr>
        <w:t>本合同文本仅为参考</w:t>
      </w:r>
      <w:r>
        <w:rPr>
          <w:rFonts w:hint="eastAsia" w:ascii="宋体" w:hAnsi="宋体" w:eastAsia="宋体" w:cs="宋体"/>
          <w:sz w:val="20"/>
          <w:szCs w:val="20"/>
          <w:lang w:eastAsia="zh-CN"/>
        </w:rPr>
        <w:t>。</w:t>
      </w:r>
    </w:p>
    <w:p w14:paraId="16953861">
      <w:pPr>
        <w:pageBreakBefore w:val="0"/>
        <w:wordWrap w:val="0"/>
        <w:bidi w:val="0"/>
        <w:rPr>
          <w:rFonts w:hint="eastAsia" w:ascii="宋体" w:hAnsi="宋体" w:eastAsia="宋体" w:cs="宋体"/>
          <w:sz w:val="20"/>
          <w:szCs w:val="20"/>
          <w:lang w:eastAsia="zh-CN"/>
        </w:rPr>
      </w:pPr>
    </w:p>
    <w:p w14:paraId="183A8533">
      <w:pPr>
        <w:widowControl/>
        <w:spacing w:beforeLines="0" w:afterLines="0" w:line="480" w:lineRule="exact"/>
        <w:jc w:val="left"/>
        <w:rPr>
          <w:rFonts w:hint="default" w:ascii="Times New Roman" w:hAnsi="Times New Roman" w:cs="Times New Roman"/>
          <w:sz w:val="32"/>
          <w:szCs w:val="32"/>
          <w:u w:val="single"/>
        </w:rPr>
      </w:pPr>
      <w:r>
        <w:rPr>
          <w:rFonts w:hint="default" w:ascii="Times New Roman" w:hAnsi="Times New Roman" w:cs="Times New Roman"/>
          <w:sz w:val="32"/>
          <w:szCs w:val="32"/>
          <w:u w:val="single"/>
        </w:rPr>
        <w:br w:type="page"/>
      </w:r>
    </w:p>
    <w:p w14:paraId="6D789EB6">
      <w:pPr>
        <w:pStyle w:val="2"/>
        <w:rPr>
          <w:rFonts w:hint="default" w:ascii="Times New Roman" w:hAnsi="Times New Roman" w:cs="Times New Roman"/>
          <w:sz w:val="32"/>
          <w:szCs w:val="32"/>
        </w:rPr>
      </w:pPr>
      <w:bookmarkStart w:id="878" w:name="_Toc10298"/>
      <w:r>
        <w:rPr>
          <w:rFonts w:hint="default" w:ascii="Times New Roman" w:hAnsi="Times New Roman" w:cs="Times New Roman"/>
          <w:sz w:val="32"/>
          <w:szCs w:val="32"/>
        </w:rPr>
        <w:t>第</w:t>
      </w:r>
      <w:r>
        <w:rPr>
          <w:rFonts w:hint="eastAsia" w:ascii="Times New Roman" w:cs="Times New Roman"/>
          <w:sz w:val="32"/>
          <w:szCs w:val="32"/>
          <w:lang w:val="en-US" w:eastAsia="zh-CN"/>
        </w:rPr>
        <w:t>六</w:t>
      </w:r>
      <w:r>
        <w:rPr>
          <w:rFonts w:hint="default" w:ascii="Times New Roman" w:hAnsi="Times New Roman" w:cs="Times New Roman"/>
          <w:sz w:val="32"/>
          <w:szCs w:val="32"/>
        </w:rPr>
        <w:t>章</w:t>
      </w:r>
      <w:r>
        <w:rPr>
          <w:rFonts w:hint="eastAsia" w:ascii="Times New Roman" w:cs="Times New Roman"/>
          <w:sz w:val="32"/>
          <w:szCs w:val="32"/>
          <w:lang w:eastAsia="zh-CN"/>
        </w:rPr>
        <w:t>响应</w:t>
      </w:r>
      <w:r>
        <w:rPr>
          <w:rFonts w:hint="default" w:ascii="Times New Roman" w:hAnsi="Times New Roman" w:cs="Times New Roman"/>
          <w:sz w:val="32"/>
          <w:szCs w:val="32"/>
        </w:rPr>
        <w:t>文件格式</w:t>
      </w:r>
      <w:bookmarkEnd w:id="878"/>
    </w:p>
    <w:p w14:paraId="3836ED69">
      <w:pPr>
        <w:pStyle w:val="6"/>
        <w:rPr>
          <w:rFonts w:hint="default" w:ascii="Times New Roman" w:hAnsi="Times New Roman" w:cs="Times New Roman"/>
        </w:rPr>
      </w:pPr>
    </w:p>
    <w:p w14:paraId="3AFFAD06">
      <w:pPr>
        <w:rPr>
          <w:rFonts w:hint="default" w:ascii="Times New Roman" w:hAnsi="Times New Roman" w:cs="Times New Roman"/>
          <w:bCs/>
          <w:sz w:val="32"/>
          <w:szCs w:val="32"/>
        </w:rPr>
      </w:pPr>
      <w:r>
        <w:rPr>
          <w:rFonts w:hint="default" w:ascii="Times New Roman" w:hAnsi="Times New Roman" w:cs="Times New Roman"/>
          <w:bCs/>
          <w:sz w:val="32"/>
          <w:szCs w:val="32"/>
        </w:rPr>
        <w:br w:type="page"/>
      </w:r>
    </w:p>
    <w:p w14:paraId="12D404E4">
      <w:pPr>
        <w:pStyle w:val="10"/>
        <w:spacing w:before="78" w:line="221" w:lineRule="auto"/>
        <w:ind w:left="502"/>
        <w:rPr>
          <w:b/>
          <w:bCs/>
          <w:sz w:val="24"/>
          <w:szCs w:val="24"/>
        </w:rPr>
      </w:pPr>
      <w:r>
        <w:rPr>
          <w:b/>
          <w:bCs/>
          <w:spacing w:val="-3"/>
          <w:sz w:val="24"/>
          <w:szCs w:val="24"/>
        </w:rPr>
        <w:t>封面：</w:t>
      </w:r>
    </w:p>
    <w:p w14:paraId="209D1255">
      <w:pPr>
        <w:spacing w:line="278" w:lineRule="auto"/>
        <w:rPr>
          <w:rFonts w:ascii="Arial"/>
          <w:sz w:val="21"/>
        </w:rPr>
      </w:pPr>
    </w:p>
    <w:p w14:paraId="16976681">
      <w:pPr>
        <w:spacing w:line="279" w:lineRule="auto"/>
        <w:rPr>
          <w:rFonts w:ascii="Arial"/>
          <w:sz w:val="21"/>
        </w:rPr>
      </w:pPr>
    </w:p>
    <w:p w14:paraId="452A6A5F">
      <w:pPr>
        <w:spacing w:line="279" w:lineRule="auto"/>
        <w:rPr>
          <w:rFonts w:ascii="Arial"/>
          <w:sz w:val="21"/>
        </w:rPr>
      </w:pPr>
    </w:p>
    <w:p w14:paraId="400A421E">
      <w:pPr>
        <w:spacing w:line="279" w:lineRule="auto"/>
        <w:rPr>
          <w:rFonts w:ascii="Arial"/>
          <w:sz w:val="21"/>
        </w:rPr>
      </w:pPr>
    </w:p>
    <w:p w14:paraId="04B9FFE1">
      <w:pPr>
        <w:spacing w:line="279" w:lineRule="auto"/>
        <w:rPr>
          <w:rFonts w:ascii="Arial"/>
          <w:sz w:val="21"/>
        </w:rPr>
      </w:pPr>
    </w:p>
    <w:p w14:paraId="26D414A9">
      <w:pPr>
        <w:pStyle w:val="10"/>
        <w:spacing w:before="269" w:line="222" w:lineRule="auto"/>
        <w:ind w:left="1923"/>
        <w:rPr>
          <w:sz w:val="83"/>
          <w:szCs w:val="83"/>
        </w:rPr>
      </w:pPr>
      <w:r>
        <w:rPr>
          <w:b/>
          <w:bCs/>
          <w:spacing w:val="-39"/>
          <w:sz w:val="83"/>
          <w:szCs w:val="83"/>
        </w:rPr>
        <w:t>响应文件</w:t>
      </w:r>
    </w:p>
    <w:p w14:paraId="24B4EAB1">
      <w:pPr>
        <w:pStyle w:val="10"/>
        <w:spacing w:before="237" w:line="222" w:lineRule="auto"/>
        <w:ind w:left="2524"/>
        <w:rPr>
          <w:sz w:val="55"/>
          <w:szCs w:val="55"/>
        </w:rPr>
      </w:pPr>
      <w:r>
        <w:rPr>
          <w:b/>
          <w:bCs/>
          <w:spacing w:val="-2"/>
          <w:sz w:val="55"/>
          <w:szCs w:val="55"/>
        </w:rPr>
        <w:t>资格证明文件</w:t>
      </w:r>
    </w:p>
    <w:p w14:paraId="7B32CC45">
      <w:pPr>
        <w:spacing w:line="258" w:lineRule="auto"/>
        <w:rPr>
          <w:rFonts w:ascii="Arial"/>
          <w:sz w:val="21"/>
        </w:rPr>
      </w:pPr>
    </w:p>
    <w:p w14:paraId="0E4FA83D">
      <w:pPr>
        <w:spacing w:line="258" w:lineRule="auto"/>
        <w:rPr>
          <w:rFonts w:ascii="Arial"/>
          <w:sz w:val="21"/>
        </w:rPr>
      </w:pPr>
    </w:p>
    <w:p w14:paraId="65E5474B">
      <w:pPr>
        <w:spacing w:line="258" w:lineRule="auto"/>
        <w:rPr>
          <w:rFonts w:ascii="Arial"/>
          <w:sz w:val="21"/>
        </w:rPr>
      </w:pPr>
    </w:p>
    <w:p w14:paraId="670971AD">
      <w:pPr>
        <w:spacing w:line="258" w:lineRule="auto"/>
        <w:rPr>
          <w:rFonts w:ascii="Arial"/>
          <w:sz w:val="21"/>
        </w:rPr>
      </w:pPr>
    </w:p>
    <w:p w14:paraId="574F3E49">
      <w:pPr>
        <w:spacing w:line="258" w:lineRule="auto"/>
        <w:rPr>
          <w:rFonts w:ascii="Arial"/>
          <w:sz w:val="21"/>
        </w:rPr>
      </w:pPr>
    </w:p>
    <w:p w14:paraId="5FFF2A55">
      <w:pPr>
        <w:spacing w:line="258" w:lineRule="auto"/>
        <w:rPr>
          <w:rFonts w:ascii="Arial"/>
          <w:sz w:val="21"/>
        </w:rPr>
      </w:pPr>
    </w:p>
    <w:p w14:paraId="19BFAD1F">
      <w:pPr>
        <w:spacing w:line="258" w:lineRule="auto"/>
        <w:rPr>
          <w:rFonts w:ascii="Arial"/>
          <w:sz w:val="21"/>
        </w:rPr>
      </w:pPr>
    </w:p>
    <w:p w14:paraId="59C3F4A7">
      <w:pPr>
        <w:spacing w:line="258" w:lineRule="auto"/>
        <w:rPr>
          <w:rFonts w:ascii="Arial"/>
          <w:sz w:val="21"/>
        </w:rPr>
      </w:pPr>
    </w:p>
    <w:p w14:paraId="308D4732">
      <w:pPr>
        <w:spacing w:line="258" w:lineRule="auto"/>
        <w:rPr>
          <w:rFonts w:ascii="Arial"/>
          <w:sz w:val="21"/>
        </w:rPr>
      </w:pPr>
    </w:p>
    <w:p w14:paraId="4BAB5E30">
      <w:pPr>
        <w:spacing w:line="259" w:lineRule="auto"/>
        <w:rPr>
          <w:rFonts w:ascii="Arial"/>
          <w:sz w:val="21"/>
        </w:rPr>
      </w:pPr>
    </w:p>
    <w:p w14:paraId="1EEDD3AB">
      <w:pPr>
        <w:spacing w:line="259" w:lineRule="auto"/>
        <w:rPr>
          <w:rFonts w:ascii="Arial"/>
          <w:sz w:val="21"/>
        </w:rPr>
      </w:pPr>
    </w:p>
    <w:p w14:paraId="0A45B464">
      <w:pPr>
        <w:spacing w:line="259" w:lineRule="auto"/>
        <w:rPr>
          <w:rFonts w:ascii="Arial"/>
          <w:sz w:val="21"/>
        </w:rPr>
      </w:pPr>
    </w:p>
    <w:p w14:paraId="2BFE82AA">
      <w:pPr>
        <w:pStyle w:val="10"/>
        <w:spacing w:before="114" w:line="225" w:lineRule="auto"/>
        <w:ind w:left="453"/>
        <w:rPr>
          <w:rFonts w:hint="eastAsia" w:eastAsia="宋体"/>
          <w:lang w:eastAsia="zh-CN"/>
        </w:rPr>
      </w:pPr>
      <w:r>
        <w:rPr>
          <w:spacing w:val="6"/>
        </w:rPr>
        <w:t>项目编号/包号：</w:t>
      </w:r>
    </w:p>
    <w:p w14:paraId="45D4213C">
      <w:pPr>
        <w:pStyle w:val="10"/>
        <w:spacing w:before="199" w:line="330" w:lineRule="auto"/>
        <w:ind w:left="448" w:right="340" w:firstLine="5"/>
        <w:rPr>
          <w:rFonts w:hint="eastAsia" w:eastAsia="宋体"/>
          <w:spacing w:val="5"/>
          <w:u w:val="single" w:color="auto"/>
          <w:lang w:eastAsia="zh-CN"/>
        </w:rPr>
      </w:pPr>
      <w:r>
        <w:rPr>
          <w:spacing w:val="5"/>
        </w:rPr>
        <w:t>项目名称：</w:t>
      </w:r>
    </w:p>
    <w:p w14:paraId="376DAA7C">
      <w:pPr>
        <w:pStyle w:val="10"/>
        <w:spacing w:before="199" w:line="330" w:lineRule="auto"/>
        <w:ind w:left="448" w:right="340" w:firstLine="5"/>
        <w:rPr>
          <w:rFonts w:hint="eastAsia" w:eastAsia="宋体"/>
          <w:lang w:eastAsia="zh-CN"/>
        </w:rPr>
      </w:pPr>
      <w:r>
        <w:rPr>
          <w:spacing w:val="-14"/>
        </w:rPr>
        <w:t>供应商：</w:t>
      </w:r>
    </w:p>
    <w:p w14:paraId="5E0F4421">
      <w:pPr>
        <w:spacing w:line="254" w:lineRule="auto"/>
        <w:rPr>
          <w:rFonts w:ascii="Arial"/>
          <w:sz w:val="21"/>
        </w:rPr>
      </w:pPr>
    </w:p>
    <w:p w14:paraId="090626F9">
      <w:pPr>
        <w:spacing w:line="254" w:lineRule="auto"/>
        <w:rPr>
          <w:rFonts w:ascii="Arial"/>
          <w:sz w:val="21"/>
        </w:rPr>
      </w:pPr>
    </w:p>
    <w:p w14:paraId="63819293">
      <w:pPr>
        <w:spacing w:line="254" w:lineRule="auto"/>
        <w:rPr>
          <w:rFonts w:ascii="Arial"/>
          <w:sz w:val="21"/>
        </w:rPr>
      </w:pPr>
    </w:p>
    <w:p w14:paraId="11FA7EFE">
      <w:pPr>
        <w:spacing w:line="254" w:lineRule="auto"/>
        <w:rPr>
          <w:rFonts w:ascii="Arial"/>
          <w:sz w:val="21"/>
        </w:rPr>
      </w:pPr>
    </w:p>
    <w:p w14:paraId="55460332">
      <w:pPr>
        <w:spacing w:line="254" w:lineRule="auto"/>
        <w:rPr>
          <w:rFonts w:ascii="Arial"/>
          <w:sz w:val="21"/>
        </w:rPr>
      </w:pPr>
    </w:p>
    <w:p w14:paraId="1A24D106">
      <w:pPr>
        <w:spacing w:line="254" w:lineRule="auto"/>
        <w:rPr>
          <w:rFonts w:ascii="Arial"/>
          <w:sz w:val="21"/>
        </w:rPr>
      </w:pPr>
    </w:p>
    <w:p w14:paraId="17D01726">
      <w:pPr>
        <w:spacing w:line="254" w:lineRule="auto"/>
        <w:rPr>
          <w:rFonts w:ascii="Arial"/>
          <w:sz w:val="21"/>
        </w:rPr>
      </w:pPr>
    </w:p>
    <w:p w14:paraId="21EB86F3">
      <w:pPr>
        <w:spacing w:line="254" w:lineRule="auto"/>
        <w:rPr>
          <w:rFonts w:ascii="Arial"/>
          <w:sz w:val="21"/>
        </w:rPr>
      </w:pPr>
    </w:p>
    <w:p w14:paraId="36C3BED7">
      <w:pPr>
        <w:spacing w:line="254" w:lineRule="auto"/>
        <w:rPr>
          <w:rFonts w:ascii="Arial"/>
          <w:sz w:val="21"/>
        </w:rPr>
      </w:pPr>
    </w:p>
    <w:p w14:paraId="048A0E43">
      <w:pPr>
        <w:spacing w:line="254" w:lineRule="auto"/>
        <w:rPr>
          <w:rFonts w:ascii="Arial"/>
          <w:sz w:val="21"/>
        </w:rPr>
      </w:pPr>
    </w:p>
    <w:p w14:paraId="5637F255">
      <w:pPr>
        <w:spacing w:line="254" w:lineRule="auto"/>
        <w:rPr>
          <w:rFonts w:ascii="Arial"/>
          <w:sz w:val="21"/>
        </w:rPr>
      </w:pPr>
    </w:p>
    <w:p w14:paraId="0DFDDC41">
      <w:pPr>
        <w:spacing w:line="254" w:lineRule="auto"/>
        <w:rPr>
          <w:rFonts w:ascii="Arial"/>
          <w:sz w:val="21"/>
        </w:rPr>
      </w:pPr>
    </w:p>
    <w:p w14:paraId="1C891B6C">
      <w:pPr>
        <w:spacing w:line="254" w:lineRule="auto"/>
        <w:rPr>
          <w:rFonts w:ascii="Arial"/>
          <w:sz w:val="21"/>
        </w:rPr>
      </w:pPr>
    </w:p>
    <w:p w14:paraId="6E3EBD46">
      <w:pPr>
        <w:spacing w:line="254" w:lineRule="auto"/>
        <w:rPr>
          <w:rFonts w:ascii="Arial"/>
          <w:sz w:val="21"/>
        </w:rPr>
      </w:pPr>
    </w:p>
    <w:p w14:paraId="767556A3">
      <w:pPr>
        <w:spacing w:line="254" w:lineRule="auto"/>
        <w:rPr>
          <w:rFonts w:ascii="Arial"/>
          <w:sz w:val="21"/>
        </w:rPr>
      </w:pPr>
    </w:p>
    <w:p w14:paraId="6C1C4B59">
      <w:pPr>
        <w:spacing w:line="254" w:lineRule="auto"/>
        <w:rPr>
          <w:rFonts w:ascii="Arial"/>
          <w:sz w:val="21"/>
        </w:rPr>
      </w:pPr>
    </w:p>
    <w:p w14:paraId="321C49B9">
      <w:pPr>
        <w:spacing w:line="254" w:lineRule="auto"/>
        <w:rPr>
          <w:rFonts w:ascii="Arial"/>
          <w:sz w:val="21"/>
        </w:rPr>
      </w:pPr>
    </w:p>
    <w:p w14:paraId="52C3C35C">
      <w:pPr>
        <w:spacing w:line="254" w:lineRule="auto"/>
        <w:rPr>
          <w:rFonts w:ascii="Arial"/>
          <w:sz w:val="21"/>
        </w:rPr>
      </w:pPr>
    </w:p>
    <w:p w14:paraId="1E24DD20">
      <w:pPr>
        <w:spacing w:line="254" w:lineRule="auto"/>
        <w:rPr>
          <w:rFonts w:ascii="Arial"/>
          <w:sz w:val="21"/>
        </w:rPr>
      </w:pPr>
    </w:p>
    <w:p w14:paraId="211936B0">
      <w:pPr>
        <w:spacing w:line="254" w:lineRule="auto"/>
        <w:rPr>
          <w:rFonts w:ascii="Arial"/>
          <w:sz w:val="21"/>
        </w:rPr>
      </w:pPr>
    </w:p>
    <w:p w14:paraId="4AAD6CC2">
      <w:pPr>
        <w:pStyle w:val="10"/>
        <w:spacing w:before="101" w:line="225" w:lineRule="auto"/>
        <w:ind w:left="3140"/>
        <w:rPr>
          <w:sz w:val="24"/>
          <w:szCs w:val="24"/>
        </w:rPr>
      </w:pPr>
      <w:r>
        <w:rPr>
          <w:spacing w:val="-6"/>
          <w:sz w:val="24"/>
          <w:szCs w:val="24"/>
        </w:rPr>
        <w:t>年月日</w:t>
      </w:r>
    </w:p>
    <w:p w14:paraId="13783661">
      <w:pPr>
        <w:pStyle w:val="10"/>
        <w:spacing w:before="91" w:line="219" w:lineRule="auto"/>
        <w:ind w:left="29"/>
        <w:outlineLvl w:val="1"/>
        <w:rPr>
          <w:sz w:val="28"/>
          <w:szCs w:val="28"/>
        </w:rPr>
      </w:pPr>
      <w:r>
        <w:rPr>
          <w:b/>
          <w:bCs/>
          <w:spacing w:val="-3"/>
          <w:sz w:val="28"/>
          <w:szCs w:val="28"/>
        </w:rPr>
        <w:br w:type="page"/>
      </w:r>
      <w:r>
        <w:rPr>
          <w:b/>
          <w:bCs/>
          <w:spacing w:val="-3"/>
          <w:sz w:val="28"/>
          <w:szCs w:val="28"/>
        </w:rPr>
        <w:t>一、满足《中华人民共和国政府采购法》第二十二条规定</w:t>
      </w:r>
    </w:p>
    <w:p w14:paraId="1E51B418">
      <w:pPr>
        <w:spacing w:line="257" w:lineRule="auto"/>
        <w:rPr>
          <w:rFonts w:ascii="Arial"/>
          <w:sz w:val="21"/>
        </w:rPr>
      </w:pPr>
    </w:p>
    <w:p w14:paraId="3E81C9BF">
      <w:pPr>
        <w:pStyle w:val="10"/>
        <w:spacing w:before="78" w:line="219" w:lineRule="auto"/>
        <w:ind w:left="34"/>
        <w:rPr>
          <w:sz w:val="24"/>
          <w:szCs w:val="24"/>
        </w:rPr>
      </w:pPr>
      <w:r>
        <w:rPr>
          <w:b/>
          <w:bCs/>
          <w:spacing w:val="-3"/>
          <w:sz w:val="24"/>
          <w:szCs w:val="24"/>
        </w:rPr>
        <w:t>（一）法人、其他组织或者自然人的证明文件</w:t>
      </w:r>
    </w:p>
    <w:p w14:paraId="1116017F">
      <w:pPr>
        <w:pStyle w:val="10"/>
        <w:spacing w:before="182" w:line="219" w:lineRule="auto"/>
        <w:ind w:left="521"/>
        <w:rPr>
          <w:sz w:val="24"/>
          <w:szCs w:val="24"/>
        </w:rPr>
      </w:pPr>
      <w:r>
        <w:rPr>
          <w:spacing w:val="-1"/>
          <w:sz w:val="24"/>
          <w:szCs w:val="24"/>
        </w:rPr>
        <w:t>1、供应商为企业（包括合伙企业）的，应提供有效的“营业执照”；</w:t>
      </w:r>
    </w:p>
    <w:p w14:paraId="0AEF410B">
      <w:pPr>
        <w:pStyle w:val="10"/>
        <w:spacing w:before="183" w:line="219" w:lineRule="auto"/>
        <w:ind w:left="506"/>
        <w:rPr>
          <w:sz w:val="24"/>
          <w:szCs w:val="24"/>
        </w:rPr>
      </w:pPr>
      <w:r>
        <w:rPr>
          <w:spacing w:val="-1"/>
          <w:sz w:val="24"/>
          <w:szCs w:val="24"/>
        </w:rPr>
        <w:t>2、供应商为事业单位的，应提供有效的“事业单位法人证书”；</w:t>
      </w:r>
    </w:p>
    <w:p w14:paraId="4FA51ED0">
      <w:pPr>
        <w:pStyle w:val="10"/>
        <w:spacing w:before="183" w:line="360" w:lineRule="auto"/>
        <w:ind w:left="25" w:firstLine="482"/>
        <w:rPr>
          <w:sz w:val="24"/>
          <w:szCs w:val="24"/>
        </w:rPr>
      </w:pPr>
      <w:r>
        <w:rPr>
          <w:spacing w:val="1"/>
          <w:sz w:val="24"/>
          <w:szCs w:val="24"/>
        </w:rPr>
        <w:t>3、供应商为非企业机构的，应提供有效的“执业许可证”、“登记证书”</w:t>
      </w:r>
      <w:r>
        <w:rPr>
          <w:spacing w:val="-2"/>
          <w:sz w:val="24"/>
          <w:szCs w:val="24"/>
        </w:rPr>
        <w:t>等证明文件；</w:t>
      </w:r>
    </w:p>
    <w:p w14:paraId="0A3E448B">
      <w:pPr>
        <w:pStyle w:val="10"/>
        <w:spacing w:before="1" w:line="218" w:lineRule="auto"/>
        <w:ind w:left="502"/>
        <w:rPr>
          <w:sz w:val="24"/>
          <w:szCs w:val="24"/>
        </w:rPr>
      </w:pPr>
      <w:r>
        <w:rPr>
          <w:sz w:val="24"/>
          <w:szCs w:val="24"/>
        </w:rPr>
        <w:t>4、供应商是个体工商户的，应提供有效的</w:t>
      </w:r>
      <w:r>
        <w:rPr>
          <w:spacing w:val="-1"/>
          <w:sz w:val="24"/>
          <w:szCs w:val="24"/>
        </w:rPr>
        <w:t>“个体工商户营业执照”；</w:t>
      </w:r>
    </w:p>
    <w:p w14:paraId="20D6D393">
      <w:pPr>
        <w:pStyle w:val="10"/>
        <w:spacing w:before="183" w:line="219" w:lineRule="auto"/>
        <w:ind w:left="508"/>
        <w:rPr>
          <w:spacing w:val="-1"/>
          <w:sz w:val="24"/>
          <w:szCs w:val="24"/>
        </w:rPr>
      </w:pPr>
      <w:r>
        <w:rPr>
          <w:spacing w:val="-1"/>
          <w:sz w:val="24"/>
          <w:szCs w:val="24"/>
        </w:rPr>
        <w:t>5、供应商是自然人的，应提供有效的自然人身份证明。</w:t>
      </w:r>
    </w:p>
    <w:p w14:paraId="04FFE288">
      <w:pPr>
        <w:pStyle w:val="10"/>
        <w:spacing w:before="183" w:line="219" w:lineRule="auto"/>
        <w:ind w:left="508"/>
        <w:rPr>
          <w:spacing w:val="-1"/>
          <w:sz w:val="24"/>
          <w:szCs w:val="24"/>
        </w:rPr>
      </w:pPr>
    </w:p>
    <w:p w14:paraId="1C3D0CA0">
      <w:pPr>
        <w:pStyle w:val="10"/>
        <w:spacing w:before="91" w:line="219" w:lineRule="auto"/>
        <w:ind w:left="128"/>
        <w:outlineLvl w:val="1"/>
        <w:rPr>
          <w:sz w:val="28"/>
          <w:szCs w:val="28"/>
        </w:rPr>
      </w:pPr>
      <w:r>
        <w:rPr>
          <w:b/>
          <w:bCs/>
          <w:spacing w:val="-3"/>
          <w:sz w:val="28"/>
          <w:szCs w:val="28"/>
        </w:rPr>
        <w:br w:type="page"/>
      </w:r>
      <w:r>
        <w:rPr>
          <w:b/>
          <w:bCs/>
          <w:spacing w:val="-3"/>
          <w:sz w:val="28"/>
          <w:szCs w:val="28"/>
        </w:rPr>
        <w:t>二、落实政府采购政策相关证明文件</w:t>
      </w:r>
    </w:p>
    <w:p w14:paraId="7ED82773">
      <w:pPr>
        <w:spacing w:line="355" w:lineRule="auto"/>
        <w:rPr>
          <w:rFonts w:ascii="Arial"/>
          <w:sz w:val="21"/>
        </w:rPr>
      </w:pPr>
    </w:p>
    <w:p w14:paraId="4F9E51BD">
      <w:pPr>
        <w:pStyle w:val="10"/>
        <w:numPr>
          <w:ilvl w:val="0"/>
          <w:numId w:val="5"/>
        </w:numPr>
        <w:spacing w:before="78" w:line="362" w:lineRule="auto"/>
        <w:ind w:left="28" w:right="79" w:firstLine="6"/>
        <w:outlineLvl w:val="2"/>
        <w:rPr>
          <w:spacing w:val="-1"/>
          <w:sz w:val="24"/>
          <w:szCs w:val="24"/>
        </w:rPr>
      </w:pPr>
      <w:r>
        <w:rPr>
          <w:b/>
          <w:bCs/>
          <w:spacing w:val="-4"/>
          <w:sz w:val="24"/>
          <w:szCs w:val="24"/>
        </w:rPr>
        <w:t>中小企业声明函</w:t>
      </w:r>
      <w:r>
        <w:rPr>
          <w:spacing w:val="-4"/>
          <w:sz w:val="24"/>
          <w:szCs w:val="24"/>
        </w:rPr>
        <w:t>【如专门面向中小企业采购的项目，此函可放于此处，否</w:t>
      </w:r>
      <w:r>
        <w:rPr>
          <w:spacing w:val="-1"/>
          <w:sz w:val="24"/>
          <w:szCs w:val="24"/>
        </w:rPr>
        <w:t>则，应后置于“其他资格证明文件”】</w:t>
      </w:r>
    </w:p>
    <w:p w14:paraId="0ADE07B3">
      <w:pPr>
        <w:pStyle w:val="10"/>
        <w:spacing w:before="334" w:line="225" w:lineRule="auto"/>
        <w:ind w:left="3085"/>
        <w:rPr>
          <w:sz w:val="31"/>
          <w:szCs w:val="31"/>
        </w:rPr>
      </w:pPr>
      <w:r>
        <w:rPr>
          <w:b/>
          <w:bCs/>
          <w:spacing w:val="1"/>
          <w:sz w:val="31"/>
          <w:szCs w:val="31"/>
        </w:rPr>
        <w:t>中小企业声明函</w:t>
      </w:r>
    </w:p>
    <w:p w14:paraId="12077F0B">
      <w:pPr>
        <w:pStyle w:val="10"/>
        <w:spacing w:before="206" w:line="360" w:lineRule="auto"/>
        <w:ind w:left="22" w:firstLine="481"/>
        <w:jc w:val="both"/>
        <w:rPr>
          <w:sz w:val="24"/>
          <w:szCs w:val="24"/>
        </w:rPr>
      </w:pPr>
      <w:r>
        <w:rPr>
          <w:spacing w:val="-1"/>
          <w:sz w:val="24"/>
          <w:szCs w:val="24"/>
        </w:rPr>
        <w:t>本公司（联合体）郑重声明，根据《政府采购促进中小企业发展管理办法》</w:t>
      </w:r>
      <w:r>
        <w:rPr>
          <w:spacing w:val="-3"/>
          <w:sz w:val="24"/>
          <w:szCs w:val="24"/>
        </w:rPr>
        <w:t>（财库﹝2020﹞46号）的规定，本公司（联合体</w:t>
      </w:r>
      <w:r>
        <w:rPr>
          <w:spacing w:val="-4"/>
          <w:sz w:val="24"/>
          <w:szCs w:val="24"/>
        </w:rPr>
        <w:t>）参加</w:t>
      </w:r>
      <w:r>
        <w:rPr>
          <w:spacing w:val="-4"/>
          <w:sz w:val="24"/>
          <w:szCs w:val="24"/>
          <w:u w:val="single" w:color="auto"/>
        </w:rPr>
        <w:t>（单位名称）</w:t>
      </w:r>
      <w:r>
        <w:rPr>
          <w:spacing w:val="-4"/>
          <w:sz w:val="24"/>
          <w:szCs w:val="24"/>
        </w:rPr>
        <w:t>的</w:t>
      </w:r>
      <w:r>
        <w:rPr>
          <w:spacing w:val="-4"/>
          <w:sz w:val="24"/>
          <w:szCs w:val="24"/>
          <w:u w:val="single" w:color="auto"/>
        </w:rPr>
        <w:t>（项</w:t>
      </w:r>
      <w:r>
        <w:rPr>
          <w:spacing w:val="-1"/>
          <w:sz w:val="24"/>
          <w:szCs w:val="24"/>
          <w:u w:val="single" w:color="auto"/>
        </w:rPr>
        <w:t>目名称）</w:t>
      </w:r>
      <w:r>
        <w:rPr>
          <w:spacing w:val="-1"/>
          <w:sz w:val="24"/>
          <w:szCs w:val="24"/>
        </w:rPr>
        <w:t>采购活动，</w:t>
      </w:r>
      <w:r>
        <w:rPr>
          <w:rFonts w:hint="eastAsia"/>
          <w:spacing w:val="-1"/>
          <w:sz w:val="24"/>
          <w:szCs w:val="24"/>
          <w:lang w:val="en-US" w:eastAsia="zh-CN"/>
        </w:rPr>
        <w:t>服务全部由</w:t>
      </w:r>
      <w:r>
        <w:rPr>
          <w:spacing w:val="-1"/>
          <w:sz w:val="24"/>
          <w:szCs w:val="24"/>
        </w:rPr>
        <w:t>符合政策要求的中小企业</w:t>
      </w:r>
      <w:r>
        <w:rPr>
          <w:rFonts w:hint="eastAsia"/>
          <w:spacing w:val="-1"/>
          <w:sz w:val="24"/>
          <w:szCs w:val="24"/>
          <w:lang w:val="en-US" w:eastAsia="zh-CN"/>
        </w:rPr>
        <w:t>承接</w:t>
      </w:r>
      <w:r>
        <w:rPr>
          <w:spacing w:val="-1"/>
          <w:sz w:val="24"/>
          <w:szCs w:val="24"/>
        </w:rPr>
        <w:t>。相关企</w:t>
      </w:r>
      <w:r>
        <w:rPr>
          <w:spacing w:val="-2"/>
          <w:sz w:val="24"/>
          <w:szCs w:val="24"/>
        </w:rPr>
        <w:t>业（含联合体中的中小企业、签订分包意向协议的中小企业）的具体情况如下：</w:t>
      </w:r>
    </w:p>
    <w:p w14:paraId="3F85E0F7">
      <w:pPr>
        <w:pStyle w:val="10"/>
        <w:spacing w:before="3" w:line="359" w:lineRule="auto"/>
        <w:ind w:left="22" w:right="17" w:firstLine="498"/>
        <w:rPr>
          <w:sz w:val="24"/>
          <w:szCs w:val="24"/>
        </w:rPr>
      </w:pPr>
      <w:r>
        <w:rPr>
          <w:spacing w:val="-6"/>
          <w:sz w:val="24"/>
          <w:szCs w:val="24"/>
        </w:rPr>
        <w:t>1.</w:t>
      </w:r>
      <w:r>
        <w:rPr>
          <w:spacing w:val="-6"/>
          <w:sz w:val="24"/>
          <w:szCs w:val="24"/>
          <w:u w:val="single" w:color="auto"/>
        </w:rPr>
        <w:t>（标的名称</w:t>
      </w:r>
      <w:r>
        <w:rPr>
          <w:spacing w:val="-43"/>
          <w:sz w:val="24"/>
          <w:szCs w:val="24"/>
          <w:u w:val="single" w:color="auto"/>
        </w:rPr>
        <w:t>）</w:t>
      </w:r>
      <w:r>
        <w:rPr>
          <w:spacing w:val="-43"/>
          <w:sz w:val="24"/>
          <w:szCs w:val="24"/>
        </w:rPr>
        <w:t>，</w:t>
      </w:r>
      <w:r>
        <w:rPr>
          <w:spacing w:val="-6"/>
          <w:sz w:val="24"/>
          <w:szCs w:val="24"/>
        </w:rPr>
        <w:t>属于</w:t>
      </w:r>
      <w:r>
        <w:rPr>
          <w:spacing w:val="-6"/>
          <w:sz w:val="24"/>
          <w:szCs w:val="24"/>
          <w:u w:val="single" w:color="auto"/>
        </w:rPr>
        <w:t>（采购文件中明确的所属行业</w:t>
      </w:r>
      <w:r>
        <w:rPr>
          <w:spacing w:val="-43"/>
          <w:sz w:val="24"/>
          <w:szCs w:val="24"/>
          <w:u w:val="single" w:color="auto"/>
        </w:rPr>
        <w:t>）</w:t>
      </w:r>
      <w:r>
        <w:rPr>
          <w:spacing w:val="-43"/>
          <w:sz w:val="24"/>
          <w:szCs w:val="24"/>
        </w:rPr>
        <w:t>；</w:t>
      </w:r>
      <w:r>
        <w:rPr>
          <w:spacing w:val="-6"/>
          <w:sz w:val="24"/>
          <w:szCs w:val="24"/>
        </w:rPr>
        <w:t>承</w:t>
      </w:r>
      <w:r>
        <w:rPr>
          <w:rFonts w:hint="eastAsia"/>
          <w:spacing w:val="-6"/>
          <w:sz w:val="24"/>
          <w:szCs w:val="24"/>
          <w:lang w:val="en-US" w:eastAsia="zh-CN"/>
        </w:rPr>
        <w:t>接</w:t>
      </w:r>
      <w:r>
        <w:rPr>
          <w:spacing w:val="-6"/>
          <w:sz w:val="24"/>
          <w:szCs w:val="24"/>
        </w:rPr>
        <w:t>企业为</w:t>
      </w:r>
      <w:r>
        <w:rPr>
          <w:spacing w:val="-6"/>
          <w:sz w:val="24"/>
          <w:szCs w:val="24"/>
          <w:u w:val="single" w:color="auto"/>
        </w:rPr>
        <w:t>（企</w:t>
      </w:r>
      <w:r>
        <w:rPr>
          <w:spacing w:val="-7"/>
          <w:sz w:val="24"/>
          <w:szCs w:val="24"/>
          <w:u w:val="single" w:color="auto"/>
        </w:rPr>
        <w:t>业名称</w:t>
      </w:r>
      <w:r>
        <w:rPr>
          <w:spacing w:val="-40"/>
          <w:sz w:val="24"/>
          <w:szCs w:val="24"/>
          <w:u w:val="single" w:color="auto"/>
        </w:rPr>
        <w:t>）</w:t>
      </w:r>
      <w:r>
        <w:rPr>
          <w:spacing w:val="-40"/>
          <w:sz w:val="24"/>
          <w:szCs w:val="24"/>
        </w:rPr>
        <w:t>，</w:t>
      </w:r>
      <w:r>
        <w:rPr>
          <w:spacing w:val="-7"/>
          <w:sz w:val="24"/>
          <w:szCs w:val="24"/>
        </w:rPr>
        <w:t>从业人员人，营业收入为万元，资产总额为万元，</w:t>
      </w:r>
      <w:r>
        <w:rPr>
          <w:spacing w:val="-1"/>
          <w:sz w:val="24"/>
          <w:szCs w:val="24"/>
        </w:rPr>
        <w:t>属于</w:t>
      </w:r>
      <w:r>
        <w:rPr>
          <w:spacing w:val="-1"/>
          <w:sz w:val="24"/>
          <w:szCs w:val="24"/>
          <w:u w:val="single" w:color="auto"/>
        </w:rPr>
        <w:t>（中型企业、小型企业、微型企业</w:t>
      </w:r>
      <w:r>
        <w:rPr>
          <w:spacing w:val="4"/>
          <w:sz w:val="24"/>
          <w:szCs w:val="24"/>
          <w:u w:val="single" w:color="auto"/>
        </w:rPr>
        <w:t>）</w:t>
      </w:r>
      <w:r>
        <w:rPr>
          <w:spacing w:val="4"/>
          <w:sz w:val="24"/>
          <w:szCs w:val="24"/>
        </w:rPr>
        <w:t>；</w:t>
      </w:r>
    </w:p>
    <w:p w14:paraId="38422319">
      <w:pPr>
        <w:pStyle w:val="10"/>
        <w:spacing w:line="360" w:lineRule="auto"/>
        <w:ind w:left="22" w:right="17" w:firstLine="483"/>
        <w:rPr>
          <w:sz w:val="24"/>
          <w:szCs w:val="24"/>
        </w:rPr>
      </w:pPr>
      <w:r>
        <w:rPr>
          <w:spacing w:val="-5"/>
          <w:sz w:val="24"/>
          <w:szCs w:val="24"/>
        </w:rPr>
        <w:t>2.</w:t>
      </w:r>
      <w:r>
        <w:rPr>
          <w:spacing w:val="-5"/>
          <w:sz w:val="24"/>
          <w:szCs w:val="24"/>
          <w:u w:val="single" w:color="auto"/>
        </w:rPr>
        <w:t>（标的名称</w:t>
      </w:r>
      <w:r>
        <w:rPr>
          <w:spacing w:val="-45"/>
          <w:sz w:val="24"/>
          <w:szCs w:val="24"/>
          <w:u w:val="single" w:color="auto"/>
        </w:rPr>
        <w:t>）</w:t>
      </w:r>
      <w:r>
        <w:rPr>
          <w:spacing w:val="-45"/>
          <w:sz w:val="24"/>
          <w:szCs w:val="24"/>
        </w:rPr>
        <w:t>，</w:t>
      </w:r>
      <w:r>
        <w:rPr>
          <w:spacing w:val="-5"/>
          <w:sz w:val="24"/>
          <w:szCs w:val="24"/>
        </w:rPr>
        <w:t>属于</w:t>
      </w:r>
      <w:r>
        <w:rPr>
          <w:spacing w:val="-5"/>
          <w:sz w:val="24"/>
          <w:szCs w:val="24"/>
          <w:u w:val="single" w:color="auto"/>
        </w:rPr>
        <w:t>（采购文件中明确的所</w:t>
      </w:r>
      <w:r>
        <w:rPr>
          <w:spacing w:val="-6"/>
          <w:sz w:val="24"/>
          <w:szCs w:val="24"/>
          <w:u w:val="single" w:color="auto"/>
        </w:rPr>
        <w:t>属行业</w:t>
      </w:r>
      <w:r>
        <w:rPr>
          <w:spacing w:val="-45"/>
          <w:sz w:val="24"/>
          <w:szCs w:val="24"/>
          <w:u w:val="single" w:color="auto"/>
        </w:rPr>
        <w:t>）</w:t>
      </w:r>
      <w:r>
        <w:rPr>
          <w:spacing w:val="-45"/>
          <w:sz w:val="24"/>
          <w:szCs w:val="24"/>
        </w:rPr>
        <w:t>；</w:t>
      </w:r>
      <w:r>
        <w:rPr>
          <w:spacing w:val="-6"/>
          <w:sz w:val="24"/>
          <w:szCs w:val="24"/>
        </w:rPr>
        <w:t>承</w:t>
      </w:r>
      <w:r>
        <w:rPr>
          <w:rFonts w:hint="eastAsia"/>
          <w:spacing w:val="-6"/>
          <w:sz w:val="24"/>
          <w:szCs w:val="24"/>
          <w:lang w:val="en-US" w:eastAsia="zh-CN"/>
        </w:rPr>
        <w:t>接</w:t>
      </w:r>
      <w:r>
        <w:rPr>
          <w:spacing w:val="-6"/>
          <w:sz w:val="24"/>
          <w:szCs w:val="24"/>
        </w:rPr>
        <w:t>企业为</w:t>
      </w:r>
      <w:r>
        <w:rPr>
          <w:spacing w:val="-6"/>
          <w:sz w:val="24"/>
          <w:szCs w:val="24"/>
          <w:u w:val="single" w:color="auto"/>
        </w:rPr>
        <w:t>（企</w:t>
      </w:r>
      <w:r>
        <w:rPr>
          <w:spacing w:val="-4"/>
          <w:sz w:val="24"/>
          <w:szCs w:val="24"/>
          <w:u w:val="single" w:color="auto"/>
        </w:rPr>
        <w:t>业名称</w:t>
      </w:r>
      <w:r>
        <w:rPr>
          <w:spacing w:val="-18"/>
          <w:sz w:val="24"/>
          <w:szCs w:val="24"/>
          <w:u w:val="single" w:color="auto"/>
        </w:rPr>
        <w:t>）</w:t>
      </w:r>
      <w:r>
        <w:rPr>
          <w:spacing w:val="-18"/>
          <w:sz w:val="24"/>
          <w:szCs w:val="24"/>
        </w:rPr>
        <w:t>，</w:t>
      </w:r>
      <w:r>
        <w:rPr>
          <w:spacing w:val="-4"/>
          <w:sz w:val="24"/>
          <w:szCs w:val="24"/>
        </w:rPr>
        <w:t>从业人员人，营业收入为万元，资产总额为</w:t>
      </w:r>
      <w:r>
        <w:rPr>
          <w:spacing w:val="-5"/>
          <w:sz w:val="24"/>
          <w:szCs w:val="24"/>
        </w:rPr>
        <w:t>万元，</w:t>
      </w:r>
      <w:r>
        <w:rPr>
          <w:spacing w:val="-1"/>
          <w:sz w:val="24"/>
          <w:szCs w:val="24"/>
        </w:rPr>
        <w:t>属于</w:t>
      </w:r>
      <w:r>
        <w:rPr>
          <w:spacing w:val="-1"/>
          <w:sz w:val="24"/>
          <w:szCs w:val="24"/>
          <w:u w:val="single" w:color="auto"/>
        </w:rPr>
        <w:t>（中型企业、小型企业、微型企业</w:t>
      </w:r>
      <w:r>
        <w:rPr>
          <w:spacing w:val="4"/>
          <w:sz w:val="24"/>
          <w:szCs w:val="24"/>
          <w:u w:val="single" w:color="auto"/>
        </w:rPr>
        <w:t>）</w:t>
      </w:r>
      <w:r>
        <w:rPr>
          <w:spacing w:val="4"/>
          <w:sz w:val="24"/>
          <w:szCs w:val="24"/>
        </w:rPr>
        <w:t>；</w:t>
      </w:r>
    </w:p>
    <w:p w14:paraId="53D3D46F">
      <w:pPr>
        <w:pStyle w:val="10"/>
        <w:spacing w:line="378" w:lineRule="exact"/>
        <w:ind w:left="518"/>
        <w:rPr>
          <w:sz w:val="24"/>
          <w:szCs w:val="24"/>
        </w:rPr>
      </w:pPr>
      <w:r>
        <w:rPr>
          <w:spacing w:val="-13"/>
          <w:position w:val="3"/>
          <w:sz w:val="24"/>
          <w:szCs w:val="24"/>
        </w:rPr>
        <w:t>……</w:t>
      </w:r>
    </w:p>
    <w:p w14:paraId="550ACB1D">
      <w:pPr>
        <w:pStyle w:val="10"/>
        <w:spacing w:before="90" w:line="360" w:lineRule="auto"/>
        <w:ind w:left="27" w:right="79" w:firstLine="503"/>
        <w:rPr>
          <w:sz w:val="24"/>
          <w:szCs w:val="24"/>
        </w:rPr>
      </w:pPr>
      <w:r>
        <w:rPr>
          <w:spacing w:val="-4"/>
          <w:sz w:val="24"/>
          <w:szCs w:val="24"/>
        </w:rPr>
        <w:t>以上企业，不属于大企业的分支机构，不存在控股股东为大企业的情形，也</w:t>
      </w:r>
      <w:r>
        <w:rPr>
          <w:spacing w:val="-1"/>
          <w:sz w:val="24"/>
          <w:szCs w:val="24"/>
        </w:rPr>
        <w:t>不存在与大企业的负责人为同一人的情形。</w:t>
      </w:r>
    </w:p>
    <w:p w14:paraId="24E6D9E8">
      <w:pPr>
        <w:pStyle w:val="10"/>
        <w:spacing w:before="1" w:line="218" w:lineRule="auto"/>
        <w:ind w:left="504"/>
        <w:rPr>
          <w:sz w:val="24"/>
          <w:szCs w:val="24"/>
        </w:rPr>
      </w:pPr>
      <w:r>
        <w:rPr>
          <w:sz w:val="24"/>
          <w:szCs w:val="24"/>
        </w:rPr>
        <w:t>本企业对上述声明内容的真实性负责。如有虚</w:t>
      </w:r>
      <w:r>
        <w:rPr>
          <w:spacing w:val="-1"/>
          <w:sz w:val="24"/>
          <w:szCs w:val="24"/>
        </w:rPr>
        <w:t>假，将依法承担相应责任。</w:t>
      </w:r>
    </w:p>
    <w:p w14:paraId="0F75DE63">
      <w:pPr>
        <w:spacing w:line="245" w:lineRule="auto"/>
        <w:rPr>
          <w:rFonts w:ascii="Arial"/>
          <w:sz w:val="21"/>
        </w:rPr>
      </w:pPr>
    </w:p>
    <w:p w14:paraId="5394A9B8">
      <w:pPr>
        <w:spacing w:line="246" w:lineRule="auto"/>
        <w:rPr>
          <w:rFonts w:ascii="Arial"/>
          <w:sz w:val="21"/>
        </w:rPr>
      </w:pPr>
    </w:p>
    <w:p w14:paraId="1705C5FD">
      <w:pPr>
        <w:pStyle w:val="10"/>
        <w:spacing w:before="78" w:line="219" w:lineRule="auto"/>
        <w:ind w:left="5183"/>
        <w:rPr>
          <w:sz w:val="24"/>
          <w:szCs w:val="24"/>
        </w:rPr>
      </w:pPr>
      <w:r>
        <w:rPr>
          <w:rFonts w:hint="eastAsia"/>
          <w:spacing w:val="-1"/>
          <w:sz w:val="24"/>
          <w:szCs w:val="24"/>
          <w:lang w:val="en-US" w:eastAsia="zh-CN"/>
        </w:rPr>
        <w:t>企业</w:t>
      </w:r>
      <w:r>
        <w:rPr>
          <w:spacing w:val="-1"/>
          <w:sz w:val="24"/>
          <w:szCs w:val="24"/>
        </w:rPr>
        <w:t>名称(</w:t>
      </w:r>
      <w:r>
        <w:rPr>
          <w:rFonts w:hint="eastAsia"/>
          <w:spacing w:val="-1"/>
          <w:sz w:val="24"/>
          <w:szCs w:val="24"/>
          <w:lang w:val="en-US" w:eastAsia="zh-CN"/>
        </w:rPr>
        <w:t>盖</w:t>
      </w:r>
      <w:r>
        <w:rPr>
          <w:spacing w:val="-1"/>
          <w:sz w:val="24"/>
          <w:szCs w:val="24"/>
        </w:rPr>
        <w:t>章)：</w:t>
      </w:r>
    </w:p>
    <w:p w14:paraId="0D4F0A85">
      <w:pPr>
        <w:pStyle w:val="10"/>
        <w:spacing w:before="184" w:line="219" w:lineRule="auto"/>
        <w:ind w:left="5224"/>
        <w:rPr>
          <w:sz w:val="24"/>
          <w:szCs w:val="24"/>
        </w:rPr>
      </w:pPr>
      <w:r>
        <w:rPr>
          <w:spacing w:val="-13"/>
          <w:sz w:val="24"/>
          <w:szCs w:val="24"/>
        </w:rPr>
        <w:t>日期：年月日</w:t>
      </w:r>
    </w:p>
    <w:p w14:paraId="35DE3BF1">
      <w:pPr>
        <w:spacing w:line="306" w:lineRule="auto"/>
        <w:rPr>
          <w:rFonts w:ascii="Arial"/>
          <w:sz w:val="21"/>
        </w:rPr>
      </w:pPr>
    </w:p>
    <w:p w14:paraId="6AA1C0BD">
      <w:pPr>
        <w:spacing w:line="307" w:lineRule="auto"/>
        <w:rPr>
          <w:rFonts w:ascii="Arial"/>
          <w:sz w:val="21"/>
        </w:rPr>
      </w:pPr>
    </w:p>
    <w:p w14:paraId="160F9288">
      <w:pPr>
        <w:pStyle w:val="10"/>
        <w:spacing w:before="65" w:line="432" w:lineRule="auto"/>
        <w:ind w:left="23" w:right="153"/>
        <w:rPr>
          <w:sz w:val="20"/>
          <w:szCs w:val="20"/>
        </w:rPr>
      </w:pPr>
      <w:r>
        <w:rPr>
          <w:b/>
          <w:bCs/>
          <w:spacing w:val="12"/>
          <w:sz w:val="20"/>
          <w:szCs w:val="20"/>
        </w:rPr>
        <w:t>说明：1.重要提示：供应商应仔细阅读本函附件1关于“中小企业声明函”的填写要</w:t>
      </w:r>
      <w:r>
        <w:rPr>
          <w:b/>
          <w:bCs/>
          <w:spacing w:val="18"/>
          <w:sz w:val="20"/>
          <w:szCs w:val="20"/>
        </w:rPr>
        <w:t>求及提交要求，否则，因填写或提交等产生的一切不利后果，须自行承</w:t>
      </w:r>
      <w:r>
        <w:rPr>
          <w:b/>
          <w:bCs/>
          <w:spacing w:val="17"/>
          <w:sz w:val="20"/>
          <w:szCs w:val="20"/>
        </w:rPr>
        <w:t>担。</w:t>
      </w:r>
    </w:p>
    <w:p w14:paraId="0D25CFB5">
      <w:pPr>
        <w:pStyle w:val="10"/>
        <w:spacing w:before="1" w:line="433" w:lineRule="auto"/>
        <w:ind w:left="25" w:right="184" w:firstLine="443"/>
        <w:rPr>
          <w:sz w:val="20"/>
          <w:szCs w:val="20"/>
        </w:rPr>
      </w:pPr>
      <w:r>
        <w:rPr>
          <w:b/>
          <w:bCs/>
          <w:spacing w:val="21"/>
          <w:sz w:val="20"/>
          <w:szCs w:val="20"/>
        </w:rPr>
        <w:t>2.</w:t>
      </w:r>
      <w:r>
        <w:rPr>
          <w:spacing w:val="21"/>
          <w:sz w:val="20"/>
          <w:szCs w:val="20"/>
        </w:rPr>
        <w:t>从业人员、营业收入、资产总额填报上一</w:t>
      </w:r>
      <w:r>
        <w:rPr>
          <w:spacing w:val="20"/>
          <w:sz w:val="20"/>
          <w:szCs w:val="20"/>
        </w:rPr>
        <w:t>年度数据，无上一年度数据的新成立</w:t>
      </w:r>
      <w:r>
        <w:rPr>
          <w:spacing w:val="15"/>
          <w:sz w:val="20"/>
          <w:szCs w:val="20"/>
        </w:rPr>
        <w:t>企业可不填报。</w:t>
      </w:r>
    </w:p>
    <w:p w14:paraId="3DCA04E5">
      <w:pPr>
        <w:spacing w:line="340" w:lineRule="auto"/>
        <w:rPr>
          <w:rFonts w:hint="eastAsia" w:ascii="Arial" w:eastAsia="宋体"/>
          <w:sz w:val="21"/>
          <w:lang w:eastAsia="zh-CN"/>
        </w:rPr>
      </w:pPr>
      <w:r>
        <w:rPr>
          <w:rFonts w:hint="eastAsia" w:ascii="Arial" w:eastAsia="宋体"/>
          <w:sz w:val="21"/>
          <w:lang w:eastAsia="zh-CN"/>
        </w:rPr>
        <w:br w:type="page"/>
      </w:r>
    </w:p>
    <w:p w14:paraId="529DD434">
      <w:pPr>
        <w:spacing w:line="341" w:lineRule="auto"/>
        <w:rPr>
          <w:rFonts w:ascii="Arial"/>
          <w:sz w:val="21"/>
        </w:rPr>
      </w:pPr>
    </w:p>
    <w:p w14:paraId="3591D74D">
      <w:pPr>
        <w:pStyle w:val="10"/>
        <w:spacing w:before="78" w:line="219" w:lineRule="auto"/>
        <w:ind w:left="42"/>
        <w:rPr>
          <w:sz w:val="24"/>
          <w:szCs w:val="24"/>
        </w:rPr>
      </w:pPr>
      <w:r>
        <w:rPr>
          <w:b/>
          <w:bCs/>
          <w:spacing w:val="-12"/>
          <w:sz w:val="24"/>
          <w:szCs w:val="24"/>
        </w:rPr>
        <w:t>附件1</w:t>
      </w:r>
    </w:p>
    <w:p w14:paraId="4199AB7C">
      <w:pPr>
        <w:spacing w:line="324" w:lineRule="auto"/>
        <w:rPr>
          <w:rFonts w:ascii="Arial"/>
          <w:sz w:val="21"/>
        </w:rPr>
      </w:pPr>
    </w:p>
    <w:p w14:paraId="6A49B3DD">
      <w:pPr>
        <w:spacing w:line="325" w:lineRule="auto"/>
        <w:rPr>
          <w:rFonts w:ascii="Arial"/>
          <w:sz w:val="21"/>
        </w:rPr>
      </w:pPr>
    </w:p>
    <w:p w14:paraId="08C9748F">
      <w:pPr>
        <w:pStyle w:val="10"/>
        <w:spacing w:before="78" w:line="219" w:lineRule="auto"/>
        <w:ind w:left="514"/>
        <w:rPr>
          <w:sz w:val="24"/>
          <w:szCs w:val="24"/>
        </w:rPr>
      </w:pPr>
      <w:r>
        <w:rPr>
          <w:b/>
          <w:bCs/>
          <w:spacing w:val="-7"/>
          <w:sz w:val="24"/>
          <w:szCs w:val="24"/>
        </w:rPr>
        <w:t>（一）关于“中小企业声明函”的填写要求</w:t>
      </w:r>
    </w:p>
    <w:p w14:paraId="52961DF1">
      <w:pPr>
        <w:pStyle w:val="10"/>
        <w:spacing w:before="183" w:line="219" w:lineRule="auto"/>
        <w:ind w:left="491"/>
        <w:rPr>
          <w:sz w:val="24"/>
          <w:szCs w:val="24"/>
        </w:rPr>
      </w:pPr>
      <w:r>
        <w:rPr>
          <w:spacing w:val="-4"/>
          <w:sz w:val="24"/>
          <w:szCs w:val="24"/>
        </w:rPr>
        <w:t>“中小企业声明函”具体填写要求如下：</w:t>
      </w:r>
    </w:p>
    <w:p w14:paraId="1600546D">
      <w:pPr>
        <w:pStyle w:val="10"/>
        <w:spacing w:before="182" w:line="219" w:lineRule="auto"/>
        <w:ind w:left="521"/>
        <w:rPr>
          <w:sz w:val="24"/>
          <w:szCs w:val="24"/>
        </w:rPr>
      </w:pPr>
      <w:r>
        <w:rPr>
          <w:spacing w:val="-4"/>
          <w:sz w:val="24"/>
          <w:szCs w:val="24"/>
        </w:rPr>
        <w:t>1.“单位名称”应填写采购人名称。</w:t>
      </w:r>
    </w:p>
    <w:p w14:paraId="0FB05075">
      <w:pPr>
        <w:pStyle w:val="10"/>
        <w:spacing w:before="183" w:line="360" w:lineRule="auto"/>
        <w:ind w:left="46" w:right="234" w:firstLine="460"/>
        <w:rPr>
          <w:sz w:val="24"/>
          <w:szCs w:val="24"/>
        </w:rPr>
      </w:pPr>
      <w:r>
        <w:rPr>
          <w:spacing w:val="-4"/>
          <w:sz w:val="24"/>
          <w:szCs w:val="24"/>
        </w:rPr>
        <w:t>2.“项目名称”应按照采购文件中确定的项目名称填写。对于分包方</w:t>
      </w:r>
      <w:r>
        <w:rPr>
          <w:spacing w:val="-5"/>
          <w:sz w:val="24"/>
          <w:szCs w:val="24"/>
        </w:rPr>
        <w:t>式面向</w:t>
      </w:r>
      <w:r>
        <w:rPr>
          <w:spacing w:val="-4"/>
          <w:sz w:val="24"/>
          <w:szCs w:val="24"/>
        </w:rPr>
        <w:t>中小企业采购的项目，应标明中小企业的具体分包内容；对于以联合体方式面向</w:t>
      </w:r>
      <w:r>
        <w:rPr>
          <w:spacing w:val="-1"/>
          <w:sz w:val="24"/>
          <w:szCs w:val="24"/>
        </w:rPr>
        <w:t>中小企业采购的项目，应标明联合体中中小企业所承担的具体</w:t>
      </w:r>
      <w:r>
        <w:rPr>
          <w:spacing w:val="-2"/>
          <w:sz w:val="24"/>
          <w:szCs w:val="24"/>
        </w:rPr>
        <w:t>内容。</w:t>
      </w:r>
    </w:p>
    <w:p w14:paraId="41353B0D">
      <w:pPr>
        <w:pStyle w:val="10"/>
        <w:spacing w:before="5" w:line="359" w:lineRule="auto"/>
        <w:ind w:left="22" w:right="26" w:firstLine="485"/>
        <w:rPr>
          <w:sz w:val="24"/>
          <w:szCs w:val="24"/>
        </w:rPr>
      </w:pPr>
      <w:r>
        <w:rPr>
          <w:spacing w:val="-4"/>
          <w:sz w:val="24"/>
          <w:szCs w:val="24"/>
        </w:rPr>
        <w:t>3.“标的名称”应填写采购文件中细化载明的采购标的名称。对</w:t>
      </w:r>
      <w:r>
        <w:rPr>
          <w:spacing w:val="-5"/>
          <w:sz w:val="24"/>
          <w:szCs w:val="24"/>
        </w:rPr>
        <w:t>于分包方式</w:t>
      </w:r>
      <w:r>
        <w:rPr>
          <w:spacing w:val="-4"/>
          <w:sz w:val="24"/>
          <w:szCs w:val="24"/>
        </w:rPr>
        <w:t>面向中小企业采购的项目，“标的名称”应填写采购文件中注明的分包给中小企</w:t>
      </w:r>
      <w:r>
        <w:rPr>
          <w:spacing w:val="2"/>
          <w:sz w:val="24"/>
          <w:szCs w:val="24"/>
        </w:rPr>
        <w:t>业的采购标的名称；对于以联合体方式面向中小企业采购的项目，“标的名称”</w:t>
      </w:r>
      <w:r>
        <w:rPr>
          <w:sz w:val="24"/>
          <w:szCs w:val="24"/>
        </w:rPr>
        <w:t>应填写采购文件中注明的联合体中中小企业</w:t>
      </w:r>
      <w:r>
        <w:rPr>
          <w:spacing w:val="-1"/>
          <w:sz w:val="24"/>
          <w:szCs w:val="24"/>
        </w:rPr>
        <w:t>承担的采购标的名称。</w:t>
      </w:r>
    </w:p>
    <w:p w14:paraId="12B803D1">
      <w:pPr>
        <w:pStyle w:val="10"/>
        <w:spacing w:before="4" w:line="359" w:lineRule="auto"/>
        <w:ind w:left="22" w:right="234" w:firstLine="480"/>
        <w:rPr>
          <w:sz w:val="24"/>
          <w:szCs w:val="24"/>
        </w:rPr>
      </w:pPr>
      <w:r>
        <w:rPr>
          <w:spacing w:val="-4"/>
          <w:sz w:val="24"/>
          <w:szCs w:val="24"/>
        </w:rPr>
        <w:t>4.“采购文件中明确的所属行业”应填写采购文件中明确的采购标的所属行</w:t>
      </w:r>
      <w:r>
        <w:rPr>
          <w:spacing w:val="-3"/>
          <w:sz w:val="24"/>
          <w:szCs w:val="24"/>
        </w:rPr>
        <w:t>业，并应确保与采购标的涉及的货物制造商/服务承接商/工程承建商（根据项目</w:t>
      </w:r>
      <w:r>
        <w:rPr>
          <w:spacing w:val="-1"/>
          <w:sz w:val="24"/>
          <w:szCs w:val="24"/>
        </w:rPr>
        <w:t>属性确定）本身的所属行业保持一致。</w:t>
      </w:r>
    </w:p>
    <w:p w14:paraId="1BDB32AF">
      <w:pPr>
        <w:pStyle w:val="10"/>
        <w:spacing w:before="5" w:line="359" w:lineRule="auto"/>
        <w:ind w:left="25" w:right="234" w:firstLine="477"/>
        <w:jc w:val="both"/>
        <w:rPr>
          <w:sz w:val="24"/>
          <w:szCs w:val="24"/>
        </w:rPr>
      </w:pPr>
      <w:r>
        <w:rPr>
          <w:spacing w:val="-4"/>
          <w:sz w:val="24"/>
          <w:szCs w:val="24"/>
        </w:rPr>
        <w:t>对于分包方式面向中小企业采购的项目，“采购文件中明确的所属行</w:t>
      </w:r>
      <w:r>
        <w:rPr>
          <w:spacing w:val="-5"/>
          <w:sz w:val="24"/>
          <w:szCs w:val="24"/>
        </w:rPr>
        <w:t>业”应</w:t>
      </w:r>
      <w:r>
        <w:rPr>
          <w:spacing w:val="-3"/>
          <w:sz w:val="24"/>
          <w:szCs w:val="24"/>
        </w:rPr>
        <w:t>按照采购文件中注明的分包给中小企业的采购标的所属行业填写，并应确保与该分包部分采购标的涉及的货物制造商/服务承接商/工程承建商（根据项目属性确</w:t>
      </w:r>
      <w:r>
        <w:rPr>
          <w:spacing w:val="-1"/>
          <w:sz w:val="24"/>
          <w:szCs w:val="24"/>
        </w:rPr>
        <w:t>定）本身的所属行业保持一致。</w:t>
      </w:r>
    </w:p>
    <w:p w14:paraId="0BFF940C">
      <w:pPr>
        <w:pStyle w:val="10"/>
        <w:spacing w:before="6" w:line="359" w:lineRule="auto"/>
        <w:ind w:left="23" w:firstLine="479"/>
        <w:jc w:val="both"/>
        <w:rPr>
          <w:sz w:val="24"/>
          <w:szCs w:val="24"/>
        </w:rPr>
      </w:pPr>
      <w:r>
        <w:rPr>
          <w:spacing w:val="-4"/>
          <w:sz w:val="24"/>
          <w:szCs w:val="24"/>
        </w:rPr>
        <w:t>对于以联合体方式面向中小企业采购的项目，“采购文件中明确的所</w:t>
      </w:r>
      <w:r>
        <w:rPr>
          <w:spacing w:val="-5"/>
          <w:sz w:val="24"/>
          <w:szCs w:val="24"/>
        </w:rPr>
        <w:t>属行业”</w:t>
      </w:r>
      <w:r>
        <w:rPr>
          <w:spacing w:val="-3"/>
          <w:sz w:val="24"/>
          <w:szCs w:val="24"/>
        </w:rPr>
        <w:t>应按照采购文件中注明的联合体中中小企业承担的采购标的所属行业填写，并应确保与该承担部分采购标的涉及的货物制造商/服务承接商/工程承建商（根据项</w:t>
      </w:r>
      <w:r>
        <w:rPr>
          <w:spacing w:val="-1"/>
          <w:sz w:val="24"/>
          <w:szCs w:val="24"/>
        </w:rPr>
        <w:t>目属性确定）本身的所属行业保持一致。</w:t>
      </w:r>
    </w:p>
    <w:p w14:paraId="4428EF46">
      <w:pPr>
        <w:pStyle w:val="10"/>
        <w:spacing w:line="360" w:lineRule="auto"/>
        <w:ind w:left="34" w:right="234" w:firstLine="473"/>
        <w:rPr>
          <w:sz w:val="24"/>
          <w:szCs w:val="24"/>
        </w:rPr>
      </w:pPr>
      <w:r>
        <w:rPr>
          <w:spacing w:val="-4"/>
          <w:sz w:val="24"/>
          <w:szCs w:val="24"/>
        </w:rPr>
        <w:t>5.“企业名称”应填写投标（响应）的货物制造商/服务承接商/工程承建商</w:t>
      </w:r>
      <w:r>
        <w:rPr>
          <w:spacing w:val="-2"/>
          <w:sz w:val="24"/>
          <w:szCs w:val="24"/>
        </w:rPr>
        <w:t>（根据项目属性确定）。</w:t>
      </w:r>
    </w:p>
    <w:p w14:paraId="62BDD43D">
      <w:pPr>
        <w:pStyle w:val="10"/>
        <w:spacing w:before="1" w:line="361" w:lineRule="auto"/>
        <w:ind w:left="24" w:right="237" w:firstLine="478"/>
        <w:rPr>
          <w:sz w:val="24"/>
          <w:szCs w:val="24"/>
        </w:rPr>
      </w:pPr>
      <w:r>
        <w:rPr>
          <w:spacing w:val="-4"/>
          <w:sz w:val="24"/>
          <w:szCs w:val="24"/>
        </w:rPr>
        <w:t>对于分包方式面向中小企业采购的项目，“企业名称”应填写</w:t>
      </w:r>
      <w:r>
        <w:rPr>
          <w:spacing w:val="-5"/>
          <w:sz w:val="24"/>
          <w:szCs w:val="24"/>
        </w:rPr>
        <w:t>分包部分采购</w:t>
      </w:r>
      <w:r>
        <w:rPr>
          <w:sz w:val="24"/>
          <w:szCs w:val="24"/>
        </w:rPr>
        <w:t>标的对应的货物制造商/服务承接商/工程承建</w:t>
      </w:r>
      <w:r>
        <w:rPr>
          <w:spacing w:val="-1"/>
          <w:sz w:val="24"/>
          <w:szCs w:val="24"/>
        </w:rPr>
        <w:t>商（根据项目属性确定）。</w:t>
      </w:r>
    </w:p>
    <w:p w14:paraId="3DBCD777">
      <w:pPr>
        <w:spacing w:line="355" w:lineRule="auto"/>
        <w:rPr>
          <w:rFonts w:hint="eastAsia" w:ascii="Arial" w:eastAsia="宋体"/>
          <w:sz w:val="21"/>
          <w:lang w:eastAsia="zh-CN"/>
        </w:rPr>
      </w:pPr>
      <w:r>
        <w:rPr>
          <w:rFonts w:hint="eastAsia" w:ascii="Arial" w:eastAsia="宋体"/>
          <w:sz w:val="21"/>
          <w:lang w:eastAsia="zh-CN"/>
        </w:rPr>
        <w:br w:type="page"/>
      </w:r>
    </w:p>
    <w:p w14:paraId="39D1890E">
      <w:pPr>
        <w:pStyle w:val="10"/>
        <w:spacing w:before="78" w:line="360" w:lineRule="auto"/>
        <w:ind w:left="26" w:right="80" w:firstLine="476"/>
        <w:jc w:val="both"/>
        <w:rPr>
          <w:sz w:val="24"/>
          <w:szCs w:val="24"/>
          <w:highlight w:val="yellow"/>
        </w:rPr>
      </w:pPr>
      <w:r>
        <w:rPr>
          <w:spacing w:val="-4"/>
          <w:sz w:val="24"/>
          <w:szCs w:val="24"/>
          <w:highlight w:val="yellow"/>
        </w:rPr>
        <w:t>对于以联合体方式面向中小企业采购的项目，</w:t>
      </w:r>
      <w:r>
        <w:rPr>
          <w:rFonts w:hint="eastAsia"/>
          <w:spacing w:val="-4"/>
          <w:sz w:val="24"/>
          <w:szCs w:val="24"/>
          <w:highlight w:val="yellow"/>
          <w:lang w:val="en-US" w:eastAsia="zh-CN"/>
        </w:rPr>
        <w:t>承接企业</w:t>
      </w:r>
      <w:r>
        <w:rPr>
          <w:spacing w:val="-4"/>
          <w:sz w:val="24"/>
          <w:szCs w:val="24"/>
          <w:highlight w:val="yellow"/>
        </w:rPr>
        <w:t>“企业名称”应</w:t>
      </w:r>
      <w:r>
        <w:rPr>
          <w:rFonts w:hint="eastAsia"/>
          <w:spacing w:val="-4"/>
          <w:sz w:val="24"/>
          <w:szCs w:val="24"/>
          <w:highlight w:val="yellow"/>
          <w:lang w:val="en-US" w:eastAsia="zh-CN"/>
        </w:rPr>
        <w:t>在1.和2.中分别</w:t>
      </w:r>
      <w:r>
        <w:rPr>
          <w:spacing w:val="-4"/>
          <w:sz w:val="24"/>
          <w:szCs w:val="24"/>
          <w:highlight w:val="yellow"/>
        </w:rPr>
        <w:t>填写联</w:t>
      </w:r>
      <w:r>
        <w:rPr>
          <w:spacing w:val="-5"/>
          <w:sz w:val="24"/>
          <w:szCs w:val="24"/>
          <w:highlight w:val="yellow"/>
        </w:rPr>
        <w:t>合体</w:t>
      </w:r>
      <w:r>
        <w:rPr>
          <w:rFonts w:hint="eastAsia"/>
          <w:spacing w:val="-5"/>
          <w:sz w:val="24"/>
          <w:szCs w:val="24"/>
          <w:highlight w:val="yellow"/>
          <w:lang w:val="en-US" w:eastAsia="zh-CN"/>
        </w:rPr>
        <w:t>牵头单位和联合体成员单位。</w:t>
      </w:r>
      <w:r>
        <w:rPr>
          <w:spacing w:val="-3"/>
          <w:sz w:val="24"/>
          <w:szCs w:val="24"/>
          <w:highlight w:val="yellow"/>
        </w:rPr>
        <w:t>承担采购标的对应的货物制造商/服务承接商/工程承建商（根据项目属性确定）。</w:t>
      </w:r>
    </w:p>
    <w:p w14:paraId="39883DED">
      <w:pPr>
        <w:pStyle w:val="10"/>
        <w:spacing w:line="360" w:lineRule="auto"/>
        <w:ind w:left="32" w:right="80" w:firstLine="472"/>
        <w:rPr>
          <w:sz w:val="24"/>
          <w:szCs w:val="24"/>
        </w:rPr>
      </w:pPr>
      <w:r>
        <w:rPr>
          <w:spacing w:val="-3"/>
          <w:sz w:val="24"/>
          <w:szCs w:val="24"/>
        </w:rPr>
        <w:t>6.从业人员、资产总额指标以上年度末数据为依据，营业收入指标</w:t>
      </w:r>
      <w:r>
        <w:rPr>
          <w:spacing w:val="-4"/>
          <w:sz w:val="24"/>
          <w:szCs w:val="24"/>
        </w:rPr>
        <w:t>以上年度</w:t>
      </w:r>
      <w:r>
        <w:rPr>
          <w:spacing w:val="-1"/>
          <w:sz w:val="24"/>
          <w:szCs w:val="24"/>
        </w:rPr>
        <w:t>累计数据为依据。无上年度数据的新成立企业可不填报。</w:t>
      </w:r>
    </w:p>
    <w:p w14:paraId="60F12D43">
      <w:pPr>
        <w:pStyle w:val="10"/>
        <w:spacing w:line="360" w:lineRule="auto"/>
        <w:ind w:left="22" w:right="80" w:firstLine="486"/>
        <w:rPr>
          <w:sz w:val="24"/>
          <w:szCs w:val="24"/>
        </w:rPr>
      </w:pPr>
      <w:r>
        <w:rPr>
          <w:spacing w:val="-5"/>
          <w:sz w:val="24"/>
          <w:szCs w:val="24"/>
        </w:rPr>
        <w:t>7.“中型企业/小型企业/微型企业”部分，供应商应依据企业上年度从业人</w:t>
      </w:r>
      <w:r>
        <w:rPr>
          <w:spacing w:val="-3"/>
          <w:sz w:val="24"/>
          <w:szCs w:val="24"/>
        </w:rPr>
        <w:t>员、营业收入、资产总额等指标，按照《中小企业划型标准规定》（工信部联企</w:t>
      </w:r>
      <w:r>
        <w:rPr>
          <w:spacing w:val="-1"/>
          <w:sz w:val="24"/>
          <w:szCs w:val="24"/>
        </w:rPr>
        <w:t>业〔2011〕300号）、《金融业企业划型标准规定》（银发〔2015〕309号</w:t>
      </w:r>
      <w:r>
        <w:rPr>
          <w:spacing w:val="13"/>
          <w:sz w:val="24"/>
          <w:szCs w:val="24"/>
        </w:rPr>
        <w:t>），</w:t>
      </w:r>
      <w:r>
        <w:rPr>
          <w:spacing w:val="-5"/>
          <w:sz w:val="24"/>
          <w:szCs w:val="24"/>
        </w:rPr>
        <w:t>判断“中小企业声明函”载明的货物制造商/服务承接商/工程承建商（根据项目</w:t>
      </w:r>
      <w:r>
        <w:rPr>
          <w:sz w:val="24"/>
          <w:szCs w:val="24"/>
        </w:rPr>
        <w:t>属性确定）是否属于采购文件所属行业的中型企业/</w:t>
      </w:r>
      <w:r>
        <w:rPr>
          <w:spacing w:val="-1"/>
          <w:sz w:val="24"/>
          <w:szCs w:val="24"/>
        </w:rPr>
        <w:t>小型企业/微型企业。</w:t>
      </w:r>
    </w:p>
    <w:p w14:paraId="17A5A1FE">
      <w:pPr>
        <w:pStyle w:val="10"/>
        <w:spacing w:before="7" w:line="359" w:lineRule="auto"/>
        <w:ind w:left="22" w:right="26" w:firstLine="481"/>
        <w:rPr>
          <w:sz w:val="24"/>
          <w:szCs w:val="24"/>
        </w:rPr>
      </w:pPr>
      <w:r>
        <w:rPr>
          <w:spacing w:val="-2"/>
          <w:sz w:val="24"/>
          <w:szCs w:val="24"/>
        </w:rPr>
        <w:t>8.对于已纳入统计部门统计范围的企业，所属行业、从业人员、营业收入、</w:t>
      </w:r>
      <w:r>
        <w:rPr>
          <w:spacing w:val="-3"/>
          <w:sz w:val="24"/>
          <w:szCs w:val="24"/>
        </w:rPr>
        <w:t>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w:t>
      </w:r>
      <w:r>
        <w:rPr>
          <w:spacing w:val="-2"/>
          <w:sz w:val="24"/>
          <w:szCs w:val="24"/>
        </w:rPr>
        <w:t>据的来源依据。</w:t>
      </w:r>
    </w:p>
    <w:p w14:paraId="2490A298">
      <w:pPr>
        <w:pStyle w:val="10"/>
        <w:spacing w:line="219" w:lineRule="auto"/>
        <w:ind w:left="514"/>
        <w:rPr>
          <w:sz w:val="24"/>
          <w:szCs w:val="24"/>
        </w:rPr>
      </w:pPr>
      <w:r>
        <w:rPr>
          <w:b/>
          <w:bCs/>
          <w:spacing w:val="-7"/>
          <w:sz w:val="24"/>
          <w:szCs w:val="24"/>
        </w:rPr>
        <w:t>（二）关于“中小企业声明函”的提交要求</w:t>
      </w:r>
    </w:p>
    <w:p w14:paraId="6FBFA7FB">
      <w:pPr>
        <w:pStyle w:val="10"/>
        <w:spacing w:before="182" w:line="360" w:lineRule="auto"/>
        <w:ind w:left="23" w:firstLine="497"/>
        <w:rPr>
          <w:sz w:val="24"/>
          <w:szCs w:val="24"/>
        </w:rPr>
      </w:pPr>
      <w:r>
        <w:rPr>
          <w:spacing w:val="-3"/>
          <w:sz w:val="24"/>
          <w:szCs w:val="24"/>
        </w:rPr>
        <w:t>1.投标（响应）供应商对“中小企业声明函”的真实性负责。</w:t>
      </w:r>
      <w:r>
        <w:rPr>
          <w:spacing w:val="-4"/>
          <w:sz w:val="24"/>
          <w:szCs w:val="24"/>
        </w:rPr>
        <w:t>投标（响应）</w:t>
      </w:r>
      <w:r>
        <w:rPr>
          <w:spacing w:val="-3"/>
          <w:sz w:val="24"/>
          <w:szCs w:val="24"/>
        </w:rPr>
        <w:t>供应商应当核实投标（响应）的货物制造商/服务承接商/工程承建商（根据项目</w:t>
      </w:r>
      <w:r>
        <w:rPr>
          <w:spacing w:val="-7"/>
          <w:sz w:val="24"/>
          <w:szCs w:val="24"/>
        </w:rPr>
        <w:t>属性确定）的相关信息，如对相关信息了解不充分，或</w:t>
      </w:r>
      <w:r>
        <w:rPr>
          <w:spacing w:val="-8"/>
          <w:sz w:val="24"/>
          <w:szCs w:val="24"/>
        </w:rPr>
        <w:t>者不能确定相关信息真实、</w:t>
      </w:r>
      <w:r>
        <w:rPr>
          <w:spacing w:val="-3"/>
          <w:sz w:val="24"/>
          <w:szCs w:val="24"/>
        </w:rPr>
        <w:t>准确的，不建议出具“中小企业声明函”。</w:t>
      </w:r>
    </w:p>
    <w:p w14:paraId="6532B6EE">
      <w:pPr>
        <w:pStyle w:val="10"/>
        <w:spacing w:line="360" w:lineRule="auto"/>
        <w:ind w:left="23" w:right="80" w:firstLine="482"/>
        <w:rPr>
          <w:sz w:val="24"/>
          <w:szCs w:val="24"/>
        </w:rPr>
      </w:pPr>
      <w:r>
        <w:rPr>
          <w:spacing w:val="-3"/>
          <w:sz w:val="24"/>
          <w:szCs w:val="24"/>
        </w:rPr>
        <w:t>2.鼓励供应商在投标（响应）时一并提供对货物制造商、服务承</w:t>
      </w:r>
      <w:r>
        <w:rPr>
          <w:spacing w:val="-4"/>
          <w:sz w:val="24"/>
          <w:szCs w:val="24"/>
        </w:rPr>
        <w:t>接商、工程</w:t>
      </w:r>
      <w:r>
        <w:rPr>
          <w:spacing w:val="-1"/>
          <w:sz w:val="24"/>
          <w:szCs w:val="24"/>
        </w:rPr>
        <w:t>承建商相关信息的核实核验情况以及其他佐证材料。</w:t>
      </w:r>
    </w:p>
    <w:p w14:paraId="61849BDE">
      <w:pPr>
        <w:pStyle w:val="10"/>
        <w:spacing w:before="5" w:line="360" w:lineRule="auto"/>
        <w:ind w:left="22" w:right="18" w:firstLine="485"/>
        <w:rPr>
          <w:sz w:val="24"/>
          <w:szCs w:val="24"/>
        </w:rPr>
      </w:pPr>
      <w:r>
        <w:rPr>
          <w:spacing w:val="-9"/>
          <w:sz w:val="24"/>
          <w:szCs w:val="24"/>
        </w:rPr>
        <w:t>3.如供应商提供的“中小企业声明函”存在按采购文件所属行业划</w:t>
      </w:r>
      <w:r>
        <w:rPr>
          <w:spacing w:val="-10"/>
          <w:sz w:val="24"/>
          <w:szCs w:val="24"/>
        </w:rPr>
        <w:t>型不实的，</w:t>
      </w:r>
      <w:r>
        <w:rPr>
          <w:spacing w:val="-3"/>
          <w:sz w:val="24"/>
          <w:szCs w:val="24"/>
        </w:rPr>
        <w:t>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w:t>
      </w:r>
      <w:r>
        <w:rPr>
          <w:spacing w:val="-2"/>
          <w:sz w:val="24"/>
          <w:szCs w:val="24"/>
        </w:rPr>
        <w:t>刑事责任。</w:t>
      </w:r>
    </w:p>
    <w:p w14:paraId="19A76E47">
      <w:pPr>
        <w:spacing w:line="263" w:lineRule="auto"/>
        <w:rPr>
          <w:rFonts w:hint="eastAsia" w:ascii="Arial" w:eastAsia="宋体"/>
          <w:sz w:val="21"/>
          <w:lang w:eastAsia="zh-CN"/>
        </w:rPr>
      </w:pPr>
      <w:r>
        <w:rPr>
          <w:rFonts w:hint="eastAsia" w:ascii="Arial" w:eastAsia="宋体"/>
          <w:sz w:val="21"/>
          <w:lang w:eastAsia="zh-CN"/>
        </w:rPr>
        <w:br w:type="page"/>
      </w:r>
    </w:p>
    <w:p w14:paraId="208DA829">
      <w:pPr>
        <w:spacing w:line="263" w:lineRule="auto"/>
        <w:rPr>
          <w:rFonts w:ascii="Arial"/>
          <w:sz w:val="21"/>
        </w:rPr>
      </w:pPr>
    </w:p>
    <w:p w14:paraId="0871377F">
      <w:pPr>
        <w:spacing w:line="263" w:lineRule="auto"/>
        <w:rPr>
          <w:rFonts w:ascii="Arial"/>
          <w:sz w:val="21"/>
        </w:rPr>
      </w:pPr>
    </w:p>
    <w:p w14:paraId="2B9597C1">
      <w:pPr>
        <w:pStyle w:val="10"/>
        <w:spacing w:before="78" w:line="219" w:lineRule="auto"/>
        <w:ind w:left="42"/>
        <w:rPr>
          <w:sz w:val="24"/>
          <w:szCs w:val="24"/>
        </w:rPr>
      </w:pPr>
      <w:r>
        <w:rPr>
          <w:b/>
          <w:bCs/>
          <w:spacing w:val="-13"/>
          <w:sz w:val="24"/>
          <w:szCs w:val="24"/>
        </w:rPr>
        <w:t>附件2：</w:t>
      </w:r>
    </w:p>
    <w:p w14:paraId="5BC5E9F9">
      <w:pPr>
        <w:pStyle w:val="10"/>
        <w:spacing w:before="146" w:line="225" w:lineRule="auto"/>
        <w:ind w:left="1452"/>
        <w:rPr>
          <w:sz w:val="31"/>
          <w:szCs w:val="31"/>
        </w:rPr>
      </w:pPr>
      <w:r>
        <w:rPr>
          <w:b/>
          <w:bCs/>
          <w:spacing w:val="6"/>
          <w:sz w:val="31"/>
          <w:szCs w:val="31"/>
        </w:rPr>
        <w:t>关于印发中小企业划型标准规定的通知</w:t>
      </w:r>
    </w:p>
    <w:p w14:paraId="635E1146">
      <w:pPr>
        <w:pStyle w:val="10"/>
        <w:spacing w:before="175" w:line="219" w:lineRule="auto"/>
        <w:ind w:left="2649"/>
        <w:rPr>
          <w:sz w:val="24"/>
          <w:szCs w:val="24"/>
        </w:rPr>
      </w:pPr>
      <w:r>
        <w:rPr>
          <w:spacing w:val="-1"/>
          <w:sz w:val="24"/>
          <w:szCs w:val="24"/>
        </w:rPr>
        <w:t>工信部联企业〔2011〕300号</w:t>
      </w:r>
    </w:p>
    <w:p w14:paraId="2201995B">
      <w:pPr>
        <w:spacing w:line="354" w:lineRule="auto"/>
        <w:rPr>
          <w:rFonts w:ascii="Arial"/>
          <w:sz w:val="21"/>
        </w:rPr>
      </w:pPr>
    </w:p>
    <w:p w14:paraId="71DF9A73">
      <w:pPr>
        <w:pStyle w:val="10"/>
        <w:spacing w:before="78" w:line="219" w:lineRule="auto"/>
        <w:ind w:left="26"/>
        <w:rPr>
          <w:sz w:val="24"/>
          <w:szCs w:val="24"/>
        </w:rPr>
      </w:pPr>
      <w:r>
        <w:rPr>
          <w:spacing w:val="-2"/>
          <w:sz w:val="24"/>
          <w:szCs w:val="24"/>
        </w:rPr>
        <w:t>各省、自治区、直辖市人民政府，国务院各部委、各直属机构及有关单位：</w:t>
      </w:r>
    </w:p>
    <w:p w14:paraId="0C5DB2F8">
      <w:pPr>
        <w:pStyle w:val="10"/>
        <w:spacing w:before="75" w:line="277" w:lineRule="auto"/>
        <w:ind w:left="23" w:right="80" w:firstLine="482"/>
        <w:jc w:val="both"/>
        <w:rPr>
          <w:sz w:val="24"/>
          <w:szCs w:val="24"/>
        </w:rPr>
      </w:pPr>
      <w:r>
        <w:rPr>
          <w:spacing w:val="-3"/>
          <w:sz w:val="24"/>
          <w:szCs w:val="24"/>
        </w:rPr>
        <w:t>为贯彻落实《中华人民共和国中小企业促进法》和《国务</w:t>
      </w:r>
      <w:r>
        <w:rPr>
          <w:spacing w:val="-4"/>
          <w:sz w:val="24"/>
          <w:szCs w:val="24"/>
        </w:rPr>
        <w:t>院关于进一步促进</w:t>
      </w:r>
      <w:r>
        <w:rPr>
          <w:spacing w:val="-1"/>
          <w:sz w:val="24"/>
          <w:szCs w:val="24"/>
        </w:rPr>
        <w:t>中小企业发展的若干意见》（国发〔2009〕36号</w:t>
      </w:r>
      <w:r>
        <w:rPr>
          <w:spacing w:val="6"/>
          <w:sz w:val="24"/>
          <w:szCs w:val="24"/>
        </w:rPr>
        <w:t>），</w:t>
      </w:r>
      <w:r>
        <w:rPr>
          <w:spacing w:val="-1"/>
          <w:sz w:val="24"/>
          <w:szCs w:val="24"/>
        </w:rPr>
        <w:t>工业和信息化部、</w:t>
      </w:r>
      <w:r>
        <w:rPr>
          <w:spacing w:val="-2"/>
          <w:sz w:val="24"/>
          <w:szCs w:val="24"/>
        </w:rPr>
        <w:t>国家统</w:t>
      </w:r>
      <w:r>
        <w:rPr>
          <w:spacing w:val="-3"/>
          <w:sz w:val="24"/>
          <w:szCs w:val="24"/>
        </w:rPr>
        <w:t>计局、发展改革委、财政部研究制定了《中小企业划型标准规定》。经国务院同</w:t>
      </w:r>
      <w:r>
        <w:rPr>
          <w:spacing w:val="-1"/>
          <w:sz w:val="24"/>
          <w:szCs w:val="24"/>
        </w:rPr>
        <w:t>意，现印发给你们，请遵照执行。</w:t>
      </w:r>
    </w:p>
    <w:p w14:paraId="39800430">
      <w:pPr>
        <w:pStyle w:val="10"/>
        <w:spacing w:line="219" w:lineRule="auto"/>
        <w:ind w:left="5212"/>
        <w:rPr>
          <w:sz w:val="24"/>
          <w:szCs w:val="24"/>
        </w:rPr>
      </w:pPr>
      <w:r>
        <w:rPr>
          <w:spacing w:val="-4"/>
          <w:sz w:val="24"/>
          <w:szCs w:val="24"/>
        </w:rPr>
        <w:t>工业和信息化部国家统计局</w:t>
      </w:r>
    </w:p>
    <w:p w14:paraId="541DECBA">
      <w:pPr>
        <w:pStyle w:val="10"/>
        <w:spacing w:before="74" w:line="219" w:lineRule="auto"/>
        <w:ind w:left="4993"/>
        <w:rPr>
          <w:sz w:val="24"/>
          <w:szCs w:val="24"/>
        </w:rPr>
      </w:pPr>
      <w:r>
        <w:rPr>
          <w:spacing w:val="-3"/>
          <w:sz w:val="24"/>
          <w:szCs w:val="24"/>
        </w:rPr>
        <w:t>国家发展和改革委员会财政部</w:t>
      </w:r>
    </w:p>
    <w:p w14:paraId="507F72E8">
      <w:pPr>
        <w:pStyle w:val="10"/>
        <w:spacing w:before="77" w:line="219" w:lineRule="auto"/>
        <w:ind w:left="5933"/>
        <w:rPr>
          <w:sz w:val="24"/>
          <w:szCs w:val="24"/>
        </w:rPr>
      </w:pPr>
      <w:r>
        <w:rPr>
          <w:spacing w:val="-2"/>
          <w:sz w:val="24"/>
          <w:szCs w:val="24"/>
        </w:rPr>
        <w:t>二○一一年六月十八日</w:t>
      </w:r>
    </w:p>
    <w:p w14:paraId="46DED66B">
      <w:pPr>
        <w:spacing w:line="430" w:lineRule="auto"/>
        <w:rPr>
          <w:rFonts w:ascii="Arial"/>
          <w:sz w:val="21"/>
        </w:rPr>
      </w:pPr>
    </w:p>
    <w:p w14:paraId="043EB446">
      <w:pPr>
        <w:pStyle w:val="10"/>
        <w:spacing w:before="91" w:line="221" w:lineRule="auto"/>
        <w:ind w:left="2799"/>
        <w:rPr>
          <w:sz w:val="28"/>
          <w:szCs w:val="28"/>
        </w:rPr>
      </w:pPr>
      <w:r>
        <w:rPr>
          <w:b/>
          <w:bCs/>
          <w:spacing w:val="-6"/>
          <w:sz w:val="28"/>
          <w:szCs w:val="28"/>
        </w:rPr>
        <w:t>中小企业划型标准规定</w:t>
      </w:r>
    </w:p>
    <w:p w14:paraId="3512CC30">
      <w:pPr>
        <w:pStyle w:val="10"/>
        <w:spacing w:before="232" w:line="308" w:lineRule="auto"/>
        <w:ind w:left="29" w:right="80" w:firstLine="477"/>
        <w:rPr>
          <w:sz w:val="24"/>
          <w:szCs w:val="24"/>
        </w:rPr>
      </w:pPr>
      <w:r>
        <w:rPr>
          <w:spacing w:val="-3"/>
          <w:sz w:val="24"/>
          <w:szCs w:val="24"/>
        </w:rPr>
        <w:t>一、根据《中华人民共和国中小企业促进法》和《国务</w:t>
      </w:r>
      <w:r>
        <w:rPr>
          <w:spacing w:val="-4"/>
          <w:sz w:val="24"/>
          <w:szCs w:val="24"/>
        </w:rPr>
        <w:t>院关于进一步促进中</w:t>
      </w:r>
      <w:r>
        <w:rPr>
          <w:spacing w:val="-3"/>
          <w:sz w:val="24"/>
          <w:szCs w:val="24"/>
        </w:rPr>
        <w:t>小企业发展的若干意见》(国发〔2009〕36号)，制定本规定。</w:t>
      </w:r>
    </w:p>
    <w:p w14:paraId="0E53B526">
      <w:pPr>
        <w:pStyle w:val="10"/>
        <w:spacing w:before="1" w:line="307" w:lineRule="auto"/>
        <w:ind w:left="32" w:right="80" w:firstLine="474"/>
        <w:rPr>
          <w:sz w:val="24"/>
          <w:szCs w:val="24"/>
        </w:rPr>
      </w:pPr>
      <w:r>
        <w:rPr>
          <w:spacing w:val="-3"/>
          <w:sz w:val="24"/>
          <w:szCs w:val="24"/>
        </w:rPr>
        <w:t>二、中小企业划分为中型、小型、微型三种类型，具体</w:t>
      </w:r>
      <w:r>
        <w:rPr>
          <w:spacing w:val="-4"/>
          <w:sz w:val="24"/>
          <w:szCs w:val="24"/>
        </w:rPr>
        <w:t>标准根据企业从业人</w:t>
      </w:r>
      <w:r>
        <w:rPr>
          <w:spacing w:val="-1"/>
          <w:sz w:val="24"/>
          <w:szCs w:val="24"/>
        </w:rPr>
        <w:t>员、营业收入、资产总额等指标，结合行业特点制定。</w:t>
      </w:r>
    </w:p>
    <w:p w14:paraId="5C36B4E6">
      <w:pPr>
        <w:pStyle w:val="10"/>
        <w:spacing w:before="7" w:line="307" w:lineRule="auto"/>
        <w:ind w:left="22" w:firstLine="480"/>
        <w:rPr>
          <w:sz w:val="24"/>
          <w:szCs w:val="24"/>
        </w:rPr>
      </w:pPr>
      <w:r>
        <w:rPr>
          <w:spacing w:val="-3"/>
          <w:sz w:val="24"/>
          <w:szCs w:val="24"/>
        </w:rPr>
        <w:t>三、本规定适用的行业包括：农、林、牧、渔业，工业（包括采</w:t>
      </w:r>
      <w:r>
        <w:rPr>
          <w:spacing w:val="-4"/>
          <w:sz w:val="24"/>
          <w:szCs w:val="24"/>
        </w:rPr>
        <w:t>矿业，制造</w:t>
      </w:r>
      <w:r>
        <w:rPr>
          <w:spacing w:val="-3"/>
          <w:sz w:val="24"/>
          <w:szCs w:val="24"/>
        </w:rPr>
        <w:t>业，电力、热力、燃气及水生产和供应业），建筑业，批发业，零售业，交通运输业（不含铁路运输业），仓储业，邮政业，住宿业，餐饮业，信息传输业（包</w:t>
      </w:r>
      <w:r>
        <w:rPr>
          <w:spacing w:val="-2"/>
          <w:sz w:val="24"/>
          <w:szCs w:val="24"/>
        </w:rPr>
        <w:t>括电信、互联网和相关服务</w:t>
      </w:r>
      <w:r>
        <w:rPr>
          <w:spacing w:val="-14"/>
          <w:sz w:val="24"/>
          <w:szCs w:val="24"/>
        </w:rPr>
        <w:t>），</w:t>
      </w:r>
      <w:r>
        <w:rPr>
          <w:spacing w:val="-2"/>
          <w:sz w:val="24"/>
          <w:szCs w:val="24"/>
        </w:rPr>
        <w:t>软件和信息技术服务业</w:t>
      </w:r>
      <w:r>
        <w:rPr>
          <w:spacing w:val="-3"/>
          <w:sz w:val="24"/>
          <w:szCs w:val="24"/>
        </w:rPr>
        <w:t>，房地产开发经营，物业</w:t>
      </w:r>
      <w:r>
        <w:rPr>
          <w:spacing w:val="-7"/>
          <w:sz w:val="24"/>
          <w:szCs w:val="24"/>
        </w:rPr>
        <w:t>管理，租赁和商务服务业，其他未列明行业（包括科学研</w:t>
      </w:r>
      <w:r>
        <w:rPr>
          <w:spacing w:val="-8"/>
          <w:sz w:val="24"/>
          <w:szCs w:val="24"/>
        </w:rPr>
        <w:t>究和技术服务业，水利、</w:t>
      </w:r>
      <w:r>
        <w:rPr>
          <w:spacing w:val="-3"/>
          <w:sz w:val="24"/>
          <w:szCs w:val="24"/>
        </w:rPr>
        <w:t>环境和公共设施管理业，居民服务、修理和其他服务业，社会工作，文化、体育</w:t>
      </w:r>
      <w:r>
        <w:rPr>
          <w:spacing w:val="-2"/>
          <w:sz w:val="24"/>
          <w:szCs w:val="24"/>
        </w:rPr>
        <w:t>和娱乐业等）。</w:t>
      </w:r>
    </w:p>
    <w:p w14:paraId="296B4641">
      <w:pPr>
        <w:pStyle w:val="10"/>
        <w:spacing w:line="220" w:lineRule="auto"/>
        <w:ind w:left="526"/>
        <w:rPr>
          <w:sz w:val="24"/>
          <w:szCs w:val="24"/>
        </w:rPr>
      </w:pPr>
      <w:r>
        <w:rPr>
          <w:spacing w:val="-3"/>
          <w:sz w:val="24"/>
          <w:szCs w:val="24"/>
        </w:rPr>
        <w:t>四、各行业划型标准为：</w:t>
      </w:r>
    </w:p>
    <w:p w14:paraId="25489B2E">
      <w:pPr>
        <w:pStyle w:val="10"/>
        <w:spacing w:before="111" w:line="308" w:lineRule="auto"/>
        <w:ind w:left="27" w:right="80" w:firstLine="475"/>
        <w:rPr>
          <w:sz w:val="24"/>
          <w:szCs w:val="24"/>
        </w:rPr>
      </w:pPr>
      <w:r>
        <w:rPr>
          <w:spacing w:val="-4"/>
          <w:sz w:val="24"/>
          <w:szCs w:val="24"/>
        </w:rPr>
        <w:t>（一）农、林、牧、渔业。营业收入20000万元以下的为中小微型企业。其</w:t>
      </w:r>
      <w:r>
        <w:rPr>
          <w:spacing w:val="-2"/>
          <w:sz w:val="24"/>
          <w:szCs w:val="24"/>
        </w:rPr>
        <w:t>中，营业收入500万元及以上的为中型企业，营业收入50万元及以上的为小型</w:t>
      </w:r>
      <w:r>
        <w:rPr>
          <w:spacing w:val="-3"/>
          <w:sz w:val="24"/>
          <w:szCs w:val="24"/>
        </w:rPr>
        <w:t>企业，营业收入50万元以下的为微型企业。</w:t>
      </w:r>
    </w:p>
    <w:p w14:paraId="1E77A7C8">
      <w:pPr>
        <w:pStyle w:val="10"/>
        <w:spacing w:before="4" w:line="308" w:lineRule="auto"/>
        <w:ind w:left="25" w:right="106" w:firstLine="489"/>
        <w:rPr>
          <w:sz w:val="24"/>
          <w:szCs w:val="24"/>
        </w:rPr>
      </w:pPr>
      <w:r>
        <w:rPr>
          <w:sz w:val="24"/>
          <w:szCs w:val="24"/>
        </w:rPr>
        <w:t>（二）工业。从业人员1000人以下或营业</w:t>
      </w:r>
      <w:r>
        <w:rPr>
          <w:spacing w:val="-1"/>
          <w:sz w:val="24"/>
          <w:szCs w:val="24"/>
        </w:rPr>
        <w:t>收入40000万元以下的为中小微</w:t>
      </w:r>
      <w:r>
        <w:rPr>
          <w:spacing w:val="-2"/>
          <w:sz w:val="24"/>
          <w:szCs w:val="24"/>
        </w:rPr>
        <w:t>型企业。其中，从业人员300人及以上，且营业收入2000万元及以上的为中型企业；从业人员20人及以上，且营业收入300万元及以上的为小型企业；从业</w:t>
      </w:r>
      <w:r>
        <w:rPr>
          <w:spacing w:val="-3"/>
          <w:sz w:val="24"/>
          <w:szCs w:val="24"/>
        </w:rPr>
        <w:t>人员20人以下或营业收入300万元以下的为微型企业。</w:t>
      </w:r>
    </w:p>
    <w:p w14:paraId="63BD17E8">
      <w:pPr>
        <w:spacing w:line="354" w:lineRule="auto"/>
        <w:rPr>
          <w:rFonts w:hint="eastAsia" w:ascii="Arial" w:eastAsia="宋体"/>
          <w:sz w:val="21"/>
          <w:lang w:eastAsia="zh-CN"/>
        </w:rPr>
      </w:pPr>
      <w:r>
        <w:rPr>
          <w:rFonts w:hint="eastAsia" w:ascii="Arial" w:eastAsia="宋体"/>
          <w:sz w:val="21"/>
          <w:lang w:eastAsia="zh-CN"/>
        </w:rPr>
        <w:br w:type="page"/>
      </w:r>
    </w:p>
    <w:p w14:paraId="2F26106C">
      <w:pPr>
        <w:pStyle w:val="10"/>
        <w:spacing w:before="78" w:line="308" w:lineRule="auto"/>
        <w:ind w:left="22" w:right="58" w:firstLine="461"/>
        <w:rPr>
          <w:sz w:val="24"/>
          <w:szCs w:val="24"/>
        </w:rPr>
      </w:pPr>
      <w:r>
        <w:rPr>
          <w:sz w:val="24"/>
          <w:szCs w:val="24"/>
        </w:rPr>
        <w:t>（三）建筑业。营业收入80000万元以下或资产总额80000万元以下的为中</w:t>
      </w:r>
      <w:r>
        <w:rPr>
          <w:spacing w:val="-2"/>
          <w:sz w:val="24"/>
          <w:szCs w:val="24"/>
        </w:rPr>
        <w:t>小微型企业。其中，营业收入6000万元及以上，且资产</w:t>
      </w:r>
      <w:r>
        <w:rPr>
          <w:spacing w:val="-3"/>
          <w:sz w:val="24"/>
          <w:szCs w:val="24"/>
        </w:rPr>
        <w:t>总额5000万元及以上的</w:t>
      </w:r>
      <w:r>
        <w:rPr>
          <w:spacing w:val="-4"/>
          <w:sz w:val="24"/>
          <w:szCs w:val="24"/>
        </w:rPr>
        <w:t>为中型企业；营业收入300万元及以上，且资产总</w:t>
      </w:r>
      <w:r>
        <w:rPr>
          <w:spacing w:val="-5"/>
          <w:sz w:val="24"/>
          <w:szCs w:val="24"/>
        </w:rPr>
        <w:t>额300万元及以上的为小型企</w:t>
      </w:r>
      <w:r>
        <w:rPr>
          <w:spacing w:val="-2"/>
          <w:sz w:val="24"/>
          <w:szCs w:val="24"/>
        </w:rPr>
        <w:t>业；营业收入300万元以下或资产总额300万元以下的为微</w:t>
      </w:r>
      <w:r>
        <w:rPr>
          <w:spacing w:val="-3"/>
          <w:sz w:val="24"/>
          <w:szCs w:val="24"/>
        </w:rPr>
        <w:t>型企业。</w:t>
      </w:r>
    </w:p>
    <w:p w14:paraId="7410F229">
      <w:pPr>
        <w:pStyle w:val="10"/>
        <w:spacing w:before="4" w:line="307" w:lineRule="auto"/>
        <w:ind w:left="22" w:right="58" w:firstLine="461"/>
        <w:rPr>
          <w:sz w:val="24"/>
          <w:szCs w:val="24"/>
        </w:rPr>
      </w:pPr>
      <w:r>
        <w:rPr>
          <w:spacing w:val="-2"/>
          <w:sz w:val="24"/>
          <w:szCs w:val="24"/>
        </w:rPr>
        <w:t>（四）批发业。从业人员200人以下或营业收入40000万元以下的为中小微</w:t>
      </w:r>
      <w:r>
        <w:rPr>
          <w:spacing w:val="-4"/>
          <w:sz w:val="24"/>
          <w:szCs w:val="24"/>
        </w:rPr>
        <w:t>型企业。其中，从业人员20人及以上，且营业收入5000万元</w:t>
      </w:r>
      <w:r>
        <w:rPr>
          <w:spacing w:val="-5"/>
          <w:sz w:val="24"/>
          <w:szCs w:val="24"/>
        </w:rPr>
        <w:t>及以上的为中型企</w:t>
      </w:r>
      <w:r>
        <w:rPr>
          <w:spacing w:val="-2"/>
          <w:sz w:val="24"/>
          <w:szCs w:val="24"/>
        </w:rPr>
        <w:t>业；从业人员5人及以上，且营业收入1000万元及以上的为小型</w:t>
      </w:r>
      <w:r>
        <w:rPr>
          <w:spacing w:val="-3"/>
          <w:sz w:val="24"/>
          <w:szCs w:val="24"/>
        </w:rPr>
        <w:t>企业；从业人员5人以下或营业收入1000万元以下的为微型</w:t>
      </w:r>
      <w:r>
        <w:rPr>
          <w:spacing w:val="-4"/>
          <w:sz w:val="24"/>
          <w:szCs w:val="24"/>
        </w:rPr>
        <w:t>企业。</w:t>
      </w:r>
    </w:p>
    <w:p w14:paraId="66987EB6">
      <w:pPr>
        <w:pStyle w:val="10"/>
        <w:spacing w:before="1" w:line="307" w:lineRule="auto"/>
        <w:ind w:left="22" w:right="58" w:firstLine="461"/>
        <w:rPr>
          <w:sz w:val="24"/>
          <w:szCs w:val="24"/>
        </w:rPr>
      </w:pPr>
      <w:r>
        <w:rPr>
          <w:spacing w:val="-4"/>
          <w:sz w:val="24"/>
          <w:szCs w:val="24"/>
        </w:rPr>
        <w:t>（五）零售业。从业人员300人以下或营业收入20000万元以下的为中小微</w:t>
      </w:r>
      <w:r>
        <w:rPr>
          <w:spacing w:val="-2"/>
          <w:sz w:val="24"/>
          <w:szCs w:val="24"/>
        </w:rPr>
        <w:t>型企业。其中，从业人员50人及以上，且营业收入500万元及以上的为中型企</w:t>
      </w:r>
      <w:r>
        <w:rPr>
          <w:spacing w:val="-3"/>
          <w:sz w:val="24"/>
          <w:szCs w:val="24"/>
        </w:rPr>
        <w:t>业；从业人员10人及以上，且营业收入100万元及以上的为小型企业；从业人</w:t>
      </w:r>
      <w:r>
        <w:rPr>
          <w:spacing w:val="-4"/>
          <w:sz w:val="24"/>
          <w:szCs w:val="24"/>
        </w:rPr>
        <w:t>员10人以下或营业收入100万元以下的为微型企业。</w:t>
      </w:r>
    </w:p>
    <w:p w14:paraId="5E8C8AE5">
      <w:pPr>
        <w:pStyle w:val="10"/>
        <w:spacing w:before="4" w:line="307" w:lineRule="auto"/>
        <w:ind w:left="26" w:firstLine="488"/>
        <w:rPr>
          <w:sz w:val="24"/>
          <w:szCs w:val="24"/>
        </w:rPr>
      </w:pPr>
      <w:r>
        <w:rPr>
          <w:spacing w:val="-3"/>
          <w:sz w:val="24"/>
          <w:szCs w:val="24"/>
        </w:rPr>
        <w:t>（六）交通运输业。从业人员1000人以下或营业收入30000万元以下的为</w:t>
      </w:r>
      <w:r>
        <w:rPr>
          <w:spacing w:val="-2"/>
          <w:sz w:val="24"/>
          <w:szCs w:val="24"/>
        </w:rPr>
        <w:t>中小微型企业。其中，从业人员300人及以上，且营业收入3000万元及以上的</w:t>
      </w:r>
      <w:r>
        <w:rPr>
          <w:spacing w:val="-6"/>
          <w:sz w:val="24"/>
          <w:szCs w:val="24"/>
        </w:rPr>
        <w:t>为中型企业；从业人员20人及以上，且营业收入200万元及以上的为小型企业；</w:t>
      </w:r>
      <w:r>
        <w:rPr>
          <w:spacing w:val="-2"/>
          <w:sz w:val="24"/>
          <w:szCs w:val="24"/>
        </w:rPr>
        <w:t>从业人员20人以下或营业收入200万元</w:t>
      </w:r>
      <w:r>
        <w:rPr>
          <w:spacing w:val="-3"/>
          <w:sz w:val="24"/>
          <w:szCs w:val="24"/>
        </w:rPr>
        <w:t>以下的为微型企业。</w:t>
      </w:r>
    </w:p>
    <w:p w14:paraId="35DEAD7F">
      <w:pPr>
        <w:pStyle w:val="10"/>
        <w:spacing w:before="4" w:line="307" w:lineRule="auto"/>
        <w:ind w:left="25" w:right="58" w:firstLine="458"/>
        <w:rPr>
          <w:sz w:val="24"/>
          <w:szCs w:val="24"/>
        </w:rPr>
      </w:pPr>
      <w:r>
        <w:rPr>
          <w:spacing w:val="-4"/>
          <w:sz w:val="24"/>
          <w:szCs w:val="24"/>
        </w:rPr>
        <w:t>（七）仓储业。从业人员200人以下或营业收入30000万元以下的为中小微</w:t>
      </w:r>
      <w:r>
        <w:rPr>
          <w:spacing w:val="-3"/>
          <w:sz w:val="24"/>
          <w:szCs w:val="24"/>
        </w:rPr>
        <w:t>型企业。其中，从业人员100人及以上，且营业收入1000万元及以上的为中型</w:t>
      </w:r>
      <w:r>
        <w:rPr>
          <w:spacing w:val="-2"/>
          <w:sz w:val="24"/>
          <w:szCs w:val="24"/>
        </w:rPr>
        <w:t>企业；从业人员20人及以上，且营业收入100万元及以上的为</w:t>
      </w:r>
      <w:r>
        <w:rPr>
          <w:spacing w:val="-3"/>
          <w:sz w:val="24"/>
          <w:szCs w:val="24"/>
        </w:rPr>
        <w:t>小型企业；从业人员20人以下或营业收入100万元以下的为微型企业。</w:t>
      </w:r>
    </w:p>
    <w:p w14:paraId="7F6F073B">
      <w:pPr>
        <w:pStyle w:val="10"/>
        <w:spacing w:before="2" w:line="307" w:lineRule="auto"/>
        <w:ind w:left="22" w:right="85" w:firstLine="492"/>
        <w:rPr>
          <w:sz w:val="24"/>
          <w:szCs w:val="24"/>
        </w:rPr>
      </w:pPr>
      <w:r>
        <w:rPr>
          <w:spacing w:val="-3"/>
          <w:sz w:val="24"/>
          <w:szCs w:val="24"/>
        </w:rPr>
        <w:t>（八）邮政业。从业人员1000人以下或营业收入30000万元以下的为中小</w:t>
      </w:r>
      <w:r>
        <w:rPr>
          <w:spacing w:val="-2"/>
          <w:sz w:val="24"/>
          <w:szCs w:val="24"/>
        </w:rPr>
        <w:t>微型企业。其中，从业人员300人及以上，且营业收入2000万元及以上的为中型企业；从业人员20人及以上，且营业收入100万元及以上的为小型</w:t>
      </w:r>
      <w:r>
        <w:rPr>
          <w:spacing w:val="-3"/>
          <w:sz w:val="24"/>
          <w:szCs w:val="24"/>
        </w:rPr>
        <w:t>企业；从业人员20人以下或营业收入100万元以下的为微型企业。</w:t>
      </w:r>
    </w:p>
    <w:p w14:paraId="7DBDCBAD">
      <w:pPr>
        <w:pStyle w:val="10"/>
        <w:spacing w:before="5" w:line="307" w:lineRule="auto"/>
        <w:ind w:left="25" w:right="58" w:firstLine="458"/>
        <w:rPr>
          <w:sz w:val="24"/>
          <w:szCs w:val="24"/>
        </w:rPr>
      </w:pPr>
      <w:r>
        <w:rPr>
          <w:spacing w:val="-4"/>
          <w:sz w:val="24"/>
          <w:szCs w:val="24"/>
        </w:rPr>
        <w:t>（九）住宿业。从业人员300人以下或营业收入10000万</w:t>
      </w:r>
      <w:r>
        <w:rPr>
          <w:spacing w:val="-5"/>
          <w:sz w:val="24"/>
          <w:szCs w:val="24"/>
        </w:rPr>
        <w:t>元以下的为中小微</w:t>
      </w:r>
      <w:r>
        <w:rPr>
          <w:spacing w:val="-2"/>
          <w:sz w:val="24"/>
          <w:szCs w:val="24"/>
        </w:rPr>
        <w:t>型企业。其中，从业人员100人及以上，且营业收入2000万元及以</w:t>
      </w:r>
      <w:r>
        <w:rPr>
          <w:spacing w:val="-3"/>
          <w:sz w:val="24"/>
          <w:szCs w:val="24"/>
        </w:rPr>
        <w:t>上的为中型企业；从业人员10人及以上，且营业收入100万元及以上的为小型企业；从业</w:t>
      </w:r>
      <w:r>
        <w:rPr>
          <w:spacing w:val="-4"/>
          <w:sz w:val="24"/>
          <w:szCs w:val="24"/>
        </w:rPr>
        <w:t>人员10人以下或营业收入100万元以下的为微型企业。</w:t>
      </w:r>
    </w:p>
    <w:p w14:paraId="465DD5FD">
      <w:pPr>
        <w:pStyle w:val="10"/>
        <w:spacing w:before="4" w:line="307" w:lineRule="auto"/>
        <w:ind w:left="25" w:right="58" w:firstLine="458"/>
        <w:rPr>
          <w:sz w:val="24"/>
          <w:szCs w:val="24"/>
        </w:rPr>
      </w:pPr>
      <w:r>
        <w:rPr>
          <w:spacing w:val="-4"/>
          <w:sz w:val="24"/>
          <w:szCs w:val="24"/>
        </w:rPr>
        <w:t>（十）餐饮业。从业人员300人以下或营业收入10000万</w:t>
      </w:r>
      <w:r>
        <w:rPr>
          <w:spacing w:val="-5"/>
          <w:sz w:val="24"/>
          <w:szCs w:val="24"/>
        </w:rPr>
        <w:t>元以下的为中小微</w:t>
      </w:r>
      <w:r>
        <w:rPr>
          <w:spacing w:val="-2"/>
          <w:sz w:val="24"/>
          <w:szCs w:val="24"/>
        </w:rPr>
        <w:t>型企业。其中，从业人员100人及以上，且营业收入2000万元及以</w:t>
      </w:r>
      <w:r>
        <w:rPr>
          <w:spacing w:val="-3"/>
          <w:sz w:val="24"/>
          <w:szCs w:val="24"/>
        </w:rPr>
        <w:t>上的为中型企业；从业人员10人及以上，且营业收入100万元及以上的为小型企业；从业</w:t>
      </w:r>
      <w:r>
        <w:rPr>
          <w:spacing w:val="-4"/>
          <w:sz w:val="24"/>
          <w:szCs w:val="24"/>
        </w:rPr>
        <w:t>人员10人以下或营业收入100万元以下的为微型企业。</w:t>
      </w:r>
    </w:p>
    <w:p w14:paraId="0EF2452E">
      <w:pPr>
        <w:pStyle w:val="10"/>
        <w:spacing w:before="2" w:line="308" w:lineRule="auto"/>
        <w:ind w:left="26" w:right="58" w:firstLine="457"/>
        <w:rPr>
          <w:sz w:val="24"/>
          <w:szCs w:val="24"/>
        </w:rPr>
      </w:pPr>
      <w:r>
        <w:rPr>
          <w:spacing w:val="-4"/>
          <w:sz w:val="24"/>
          <w:szCs w:val="24"/>
        </w:rPr>
        <w:t>（十一）信息传输业。从业人员2000人以下或营业收入100000万元以</w:t>
      </w:r>
      <w:r>
        <w:rPr>
          <w:spacing w:val="-5"/>
          <w:sz w:val="24"/>
          <w:szCs w:val="24"/>
        </w:rPr>
        <w:t>下的</w:t>
      </w:r>
      <w:r>
        <w:rPr>
          <w:spacing w:val="-3"/>
          <w:sz w:val="24"/>
          <w:szCs w:val="24"/>
        </w:rPr>
        <w:t>为中小微型企业。其中，从业人员100人及以上，且营业收入1000万元及以上</w:t>
      </w:r>
    </w:p>
    <w:p w14:paraId="642BCCFC">
      <w:pPr>
        <w:spacing w:line="356" w:lineRule="auto"/>
        <w:rPr>
          <w:rFonts w:hint="eastAsia" w:ascii="Arial" w:eastAsia="宋体"/>
          <w:sz w:val="21"/>
          <w:lang w:eastAsia="zh-CN"/>
        </w:rPr>
      </w:pPr>
      <w:r>
        <w:rPr>
          <w:rFonts w:hint="eastAsia" w:ascii="Arial" w:eastAsia="宋体"/>
          <w:sz w:val="21"/>
          <w:lang w:eastAsia="zh-CN"/>
        </w:rPr>
        <w:br w:type="page"/>
      </w:r>
    </w:p>
    <w:p w14:paraId="300BF961">
      <w:pPr>
        <w:pStyle w:val="10"/>
        <w:spacing w:before="78" w:line="308" w:lineRule="auto"/>
        <w:ind w:left="22" w:right="63" w:firstLine="20"/>
        <w:rPr>
          <w:sz w:val="24"/>
          <w:szCs w:val="24"/>
        </w:rPr>
      </w:pPr>
      <w:r>
        <w:rPr>
          <w:spacing w:val="-3"/>
          <w:sz w:val="24"/>
          <w:szCs w:val="24"/>
        </w:rPr>
        <w:t>的为中型企业；从业人员10人及以上，且营业收入100万元及以上的为</w:t>
      </w:r>
      <w:r>
        <w:rPr>
          <w:spacing w:val="-4"/>
          <w:sz w:val="24"/>
          <w:szCs w:val="24"/>
        </w:rPr>
        <w:t>小型企</w:t>
      </w:r>
      <w:r>
        <w:rPr>
          <w:spacing w:val="-3"/>
          <w:sz w:val="24"/>
          <w:szCs w:val="24"/>
        </w:rPr>
        <w:t>业；从业人员10人以下或营业收入100万元以下的为微型企业。</w:t>
      </w:r>
    </w:p>
    <w:p w14:paraId="53629228">
      <w:pPr>
        <w:pStyle w:val="10"/>
        <w:spacing w:before="1" w:line="307" w:lineRule="auto"/>
        <w:ind w:left="26" w:right="37" w:firstLine="488"/>
        <w:rPr>
          <w:sz w:val="24"/>
          <w:szCs w:val="24"/>
        </w:rPr>
      </w:pPr>
      <w:r>
        <w:rPr>
          <w:spacing w:val="-2"/>
          <w:sz w:val="24"/>
          <w:szCs w:val="24"/>
        </w:rPr>
        <w:t>（十二）软件和信息技术服务业。从业人员300人以下或营业收入</w:t>
      </w:r>
      <w:r>
        <w:rPr>
          <w:spacing w:val="-3"/>
          <w:sz w:val="24"/>
          <w:szCs w:val="24"/>
        </w:rPr>
        <w:t>10000</w:t>
      </w:r>
      <w:r>
        <w:rPr>
          <w:spacing w:val="-2"/>
          <w:sz w:val="24"/>
          <w:szCs w:val="24"/>
        </w:rPr>
        <w:t>万元以下的为中小微型企业。其中，从业人员100人及以上，且营业收</w:t>
      </w:r>
      <w:r>
        <w:rPr>
          <w:spacing w:val="-3"/>
          <w:sz w:val="24"/>
          <w:szCs w:val="24"/>
        </w:rPr>
        <w:t>入1000</w:t>
      </w:r>
      <w:r>
        <w:rPr>
          <w:spacing w:val="-5"/>
          <w:sz w:val="24"/>
          <w:szCs w:val="24"/>
        </w:rPr>
        <w:t>万元及以上的为中型企业；从业人员10人及以上，且营业收入50万元及以上的</w:t>
      </w:r>
      <w:r>
        <w:rPr>
          <w:spacing w:val="-3"/>
          <w:sz w:val="24"/>
          <w:szCs w:val="24"/>
        </w:rPr>
        <w:t>为小型企业；从业人员10人以下或营业收入50万元以下的为微型企业。</w:t>
      </w:r>
    </w:p>
    <w:p w14:paraId="15A974FE">
      <w:pPr>
        <w:pStyle w:val="10"/>
        <w:spacing w:before="6" w:line="307" w:lineRule="auto"/>
        <w:ind w:left="25" w:right="37" w:firstLine="489"/>
        <w:rPr>
          <w:sz w:val="24"/>
          <w:szCs w:val="24"/>
        </w:rPr>
      </w:pPr>
      <w:r>
        <w:rPr>
          <w:spacing w:val="-2"/>
          <w:sz w:val="24"/>
          <w:szCs w:val="24"/>
        </w:rPr>
        <w:t>（十三）房地产开发经营。营业收入200</w:t>
      </w:r>
      <w:r>
        <w:rPr>
          <w:spacing w:val="-3"/>
          <w:sz w:val="24"/>
          <w:szCs w:val="24"/>
        </w:rPr>
        <w:t>000万元以下或资产总额10000万元以下的为中小微型企业。其中，营业收入1000万元及以上，且资产总额5000</w:t>
      </w:r>
      <w:r>
        <w:rPr>
          <w:spacing w:val="-2"/>
          <w:sz w:val="24"/>
          <w:szCs w:val="24"/>
        </w:rPr>
        <w:t>万元及以上的为中型企业；营业收入100万元及以上，且资产总</w:t>
      </w:r>
      <w:r>
        <w:rPr>
          <w:spacing w:val="-3"/>
          <w:sz w:val="24"/>
          <w:szCs w:val="24"/>
        </w:rPr>
        <w:t>额2000万元及</w:t>
      </w:r>
      <w:r>
        <w:rPr>
          <w:spacing w:val="-2"/>
          <w:sz w:val="24"/>
          <w:szCs w:val="24"/>
        </w:rPr>
        <w:t>以上的为小型企业；营业收入100万元以下或资产总额2000</w:t>
      </w:r>
      <w:r>
        <w:rPr>
          <w:spacing w:val="-3"/>
          <w:sz w:val="24"/>
          <w:szCs w:val="24"/>
        </w:rPr>
        <w:t>万元以下的为微型</w:t>
      </w:r>
      <w:r>
        <w:rPr>
          <w:spacing w:val="-4"/>
          <w:sz w:val="24"/>
          <w:szCs w:val="24"/>
        </w:rPr>
        <w:t>企业。</w:t>
      </w:r>
    </w:p>
    <w:p w14:paraId="10D95409">
      <w:pPr>
        <w:pStyle w:val="10"/>
        <w:spacing w:before="1" w:line="307" w:lineRule="auto"/>
        <w:ind w:left="26" w:right="5" w:firstLine="457"/>
        <w:rPr>
          <w:sz w:val="24"/>
          <w:szCs w:val="24"/>
        </w:rPr>
      </w:pPr>
      <w:r>
        <w:rPr>
          <w:spacing w:val="-4"/>
          <w:sz w:val="24"/>
          <w:szCs w:val="24"/>
        </w:rPr>
        <w:t>（十四）物业管理。从业人员1000人以下或营业收入500</w:t>
      </w:r>
      <w:r>
        <w:rPr>
          <w:spacing w:val="-5"/>
          <w:sz w:val="24"/>
          <w:szCs w:val="24"/>
        </w:rPr>
        <w:t>0万元以下的为中</w:t>
      </w:r>
      <w:r>
        <w:rPr>
          <w:spacing w:val="-2"/>
          <w:sz w:val="24"/>
          <w:szCs w:val="24"/>
        </w:rPr>
        <w:t>小微型企业。其中，从业人员300人及以上，且营业收入1000</w:t>
      </w:r>
      <w:r>
        <w:rPr>
          <w:spacing w:val="-3"/>
          <w:sz w:val="24"/>
          <w:szCs w:val="24"/>
        </w:rPr>
        <w:t>万元及以上的为</w:t>
      </w:r>
      <w:r>
        <w:rPr>
          <w:spacing w:val="-4"/>
          <w:sz w:val="24"/>
          <w:szCs w:val="24"/>
        </w:rPr>
        <w:t>中型企业；从业人员100人及以上，且营业收入500万元及以上的为小型企业；</w:t>
      </w:r>
      <w:r>
        <w:rPr>
          <w:spacing w:val="-3"/>
          <w:sz w:val="24"/>
          <w:szCs w:val="24"/>
        </w:rPr>
        <w:t>从业人员100人以下或营业收入500万元以下的为微型企业。</w:t>
      </w:r>
    </w:p>
    <w:p w14:paraId="5DBA5FCF">
      <w:pPr>
        <w:pStyle w:val="10"/>
        <w:spacing w:before="4" w:line="307" w:lineRule="auto"/>
        <w:ind w:left="22" w:right="63" w:firstLine="492"/>
        <w:rPr>
          <w:sz w:val="24"/>
          <w:szCs w:val="24"/>
        </w:rPr>
      </w:pPr>
      <w:r>
        <w:rPr>
          <w:spacing w:val="-3"/>
          <w:sz w:val="24"/>
          <w:szCs w:val="24"/>
        </w:rPr>
        <w:t>（十五）租赁和商务服务业。从业人员300人以下或资产总额120000万元</w:t>
      </w:r>
      <w:r>
        <w:rPr>
          <w:sz w:val="24"/>
          <w:szCs w:val="24"/>
        </w:rPr>
        <w:t>以下的为中小微型企业。其中，从业人员100人及以上，且资产总额800</w:t>
      </w:r>
      <w:r>
        <w:rPr>
          <w:spacing w:val="-1"/>
          <w:sz w:val="24"/>
          <w:szCs w:val="24"/>
        </w:rPr>
        <w:t>0万元</w:t>
      </w:r>
      <w:r>
        <w:rPr>
          <w:spacing w:val="-3"/>
          <w:sz w:val="24"/>
          <w:szCs w:val="24"/>
        </w:rPr>
        <w:t>及以上的为中型企业；从业人员10人及以上，且资产总额100万元及以上的为小型企业；从业人员10人以下或资产总额100万元以下的为微型企业。</w:t>
      </w:r>
    </w:p>
    <w:p w14:paraId="0AD53BA5">
      <w:pPr>
        <w:pStyle w:val="10"/>
        <w:spacing w:before="3" w:line="307" w:lineRule="auto"/>
        <w:ind w:left="22" w:firstLine="494"/>
        <w:rPr>
          <w:sz w:val="24"/>
          <w:szCs w:val="24"/>
        </w:rPr>
      </w:pPr>
      <w:r>
        <w:rPr>
          <w:spacing w:val="-3"/>
          <w:sz w:val="24"/>
          <w:szCs w:val="24"/>
        </w:rPr>
        <w:t>（十六）其他未列明行业。从业人员300人以下的为中小微型企业</w:t>
      </w:r>
      <w:r>
        <w:rPr>
          <w:spacing w:val="-4"/>
          <w:sz w:val="24"/>
          <w:szCs w:val="24"/>
        </w:rPr>
        <w:t>。其中，</w:t>
      </w:r>
      <w:r>
        <w:rPr>
          <w:spacing w:val="-2"/>
          <w:sz w:val="24"/>
          <w:szCs w:val="24"/>
        </w:rPr>
        <w:t>从业人员100人及以上的为中型企业；从业人</w:t>
      </w:r>
      <w:r>
        <w:rPr>
          <w:spacing w:val="-3"/>
          <w:sz w:val="24"/>
          <w:szCs w:val="24"/>
        </w:rPr>
        <w:t>员10人及以上的为小型企业；从</w:t>
      </w:r>
      <w:r>
        <w:rPr>
          <w:spacing w:val="-4"/>
          <w:sz w:val="24"/>
          <w:szCs w:val="24"/>
        </w:rPr>
        <w:t>业人员10人以下的为微型企业。</w:t>
      </w:r>
    </w:p>
    <w:p w14:paraId="50B1317C">
      <w:pPr>
        <w:pStyle w:val="10"/>
        <w:spacing w:before="1" w:line="218" w:lineRule="auto"/>
        <w:ind w:left="509"/>
        <w:rPr>
          <w:sz w:val="24"/>
          <w:szCs w:val="24"/>
        </w:rPr>
      </w:pPr>
      <w:r>
        <w:rPr>
          <w:spacing w:val="-1"/>
          <w:sz w:val="24"/>
          <w:szCs w:val="24"/>
        </w:rPr>
        <w:t>五、企业类型的划分以统计部门的统计数据为依据。</w:t>
      </w:r>
    </w:p>
    <w:p w14:paraId="040A9D46">
      <w:pPr>
        <w:pStyle w:val="10"/>
        <w:spacing w:before="117" w:line="307" w:lineRule="auto"/>
        <w:ind w:left="26" w:right="37" w:firstLine="479"/>
        <w:rPr>
          <w:sz w:val="24"/>
          <w:szCs w:val="24"/>
        </w:rPr>
      </w:pPr>
      <w:r>
        <w:rPr>
          <w:spacing w:val="-3"/>
          <w:sz w:val="24"/>
          <w:szCs w:val="24"/>
        </w:rPr>
        <w:t>六、本规定适用于在中华人民共和国境内依法设立的各类所</w:t>
      </w:r>
      <w:r>
        <w:rPr>
          <w:spacing w:val="-4"/>
          <w:sz w:val="24"/>
          <w:szCs w:val="24"/>
        </w:rPr>
        <w:t>有制和各种组织</w:t>
      </w:r>
      <w:r>
        <w:rPr>
          <w:spacing w:val="-1"/>
          <w:sz w:val="24"/>
          <w:szCs w:val="24"/>
        </w:rPr>
        <w:t>形式的企业。个体工商户和本规定以外的行业，参照本规定进行划型。</w:t>
      </w:r>
    </w:p>
    <w:p w14:paraId="7D33880B">
      <w:pPr>
        <w:pStyle w:val="10"/>
        <w:spacing w:before="3" w:line="307" w:lineRule="auto"/>
        <w:ind w:left="24" w:right="37" w:firstLine="478"/>
        <w:rPr>
          <w:sz w:val="24"/>
          <w:szCs w:val="24"/>
        </w:rPr>
      </w:pPr>
      <w:r>
        <w:rPr>
          <w:spacing w:val="-3"/>
          <w:sz w:val="24"/>
          <w:szCs w:val="24"/>
        </w:rPr>
        <w:t>七、本规定的中型企业标准上限即为大型企业标准的下限，国家</w:t>
      </w:r>
      <w:r>
        <w:rPr>
          <w:spacing w:val="-4"/>
          <w:sz w:val="24"/>
          <w:szCs w:val="24"/>
        </w:rPr>
        <w:t>统计部门据</w:t>
      </w:r>
      <w:r>
        <w:rPr>
          <w:spacing w:val="-3"/>
          <w:sz w:val="24"/>
          <w:szCs w:val="24"/>
        </w:rPr>
        <w:t>此制定大中小微型企业的统计分类。国务院有关部门据此进行相关数据分析，不</w:t>
      </w:r>
      <w:r>
        <w:rPr>
          <w:spacing w:val="-1"/>
          <w:sz w:val="24"/>
          <w:szCs w:val="24"/>
        </w:rPr>
        <w:t>得制定与本规定不一致的企业划型标准。</w:t>
      </w:r>
    </w:p>
    <w:p w14:paraId="3F62344F">
      <w:pPr>
        <w:pStyle w:val="10"/>
        <w:spacing w:before="1" w:line="307" w:lineRule="auto"/>
        <w:ind w:left="22" w:right="37" w:firstLine="484"/>
        <w:rPr>
          <w:sz w:val="24"/>
          <w:szCs w:val="24"/>
        </w:rPr>
      </w:pPr>
      <w:r>
        <w:rPr>
          <w:spacing w:val="-3"/>
          <w:sz w:val="24"/>
          <w:szCs w:val="24"/>
        </w:rPr>
        <w:t>八、本规定由工业和信息化部、国家统计局会同有关部</w:t>
      </w:r>
      <w:r>
        <w:rPr>
          <w:spacing w:val="-4"/>
          <w:sz w:val="24"/>
          <w:szCs w:val="24"/>
        </w:rPr>
        <w:t>门根据《国民经济行</w:t>
      </w:r>
      <w:r>
        <w:rPr>
          <w:spacing w:val="-1"/>
          <w:sz w:val="24"/>
          <w:szCs w:val="24"/>
        </w:rPr>
        <w:t>业分类》修订情况和企业发展变化情况适时修订。</w:t>
      </w:r>
    </w:p>
    <w:p w14:paraId="1183E696">
      <w:pPr>
        <w:pStyle w:val="10"/>
        <w:spacing w:before="1" w:line="218" w:lineRule="auto"/>
        <w:ind w:left="509"/>
        <w:rPr>
          <w:sz w:val="24"/>
          <w:szCs w:val="24"/>
        </w:rPr>
      </w:pPr>
      <w:r>
        <w:rPr>
          <w:spacing w:val="-1"/>
          <w:sz w:val="24"/>
          <w:szCs w:val="24"/>
        </w:rPr>
        <w:t>九、本规定由工业和信息化部、国家统计局会同有关部门负责解释。</w:t>
      </w:r>
    </w:p>
    <w:p w14:paraId="6FC9A1E3">
      <w:pPr>
        <w:pStyle w:val="10"/>
        <w:spacing w:before="117" w:line="310" w:lineRule="auto"/>
        <w:ind w:left="25" w:right="37" w:hanging="1"/>
        <w:rPr>
          <w:sz w:val="24"/>
          <w:szCs w:val="24"/>
        </w:rPr>
      </w:pPr>
      <w:r>
        <w:rPr>
          <w:spacing w:val="-3"/>
          <w:sz w:val="24"/>
          <w:szCs w:val="24"/>
        </w:rPr>
        <w:t>十、本规定自发布之日起执行，原国家经贸委、原国家计委、财政部和国家统计</w:t>
      </w:r>
      <w:r>
        <w:rPr>
          <w:spacing w:val="-2"/>
          <w:sz w:val="24"/>
          <w:szCs w:val="24"/>
        </w:rPr>
        <w:t>局2003年颁布的《中小企业标准暂行规定》同时废止。</w:t>
      </w:r>
    </w:p>
    <w:p w14:paraId="7C2F7661">
      <w:pPr>
        <w:spacing w:line="284" w:lineRule="auto"/>
        <w:rPr>
          <w:rFonts w:hint="eastAsia" w:ascii="Arial" w:eastAsia="宋体"/>
          <w:sz w:val="21"/>
          <w:lang w:eastAsia="zh-CN"/>
        </w:rPr>
      </w:pPr>
      <w:r>
        <w:rPr>
          <w:rFonts w:hint="eastAsia" w:ascii="Arial" w:eastAsia="宋体"/>
          <w:sz w:val="21"/>
          <w:lang w:eastAsia="zh-CN"/>
        </w:rPr>
        <w:br w:type="page"/>
      </w:r>
    </w:p>
    <w:p w14:paraId="109A8801">
      <w:pPr>
        <w:spacing w:line="284" w:lineRule="auto"/>
        <w:rPr>
          <w:rFonts w:ascii="Arial"/>
          <w:sz w:val="21"/>
        </w:rPr>
      </w:pPr>
    </w:p>
    <w:p w14:paraId="4D4C5B73">
      <w:pPr>
        <w:spacing w:line="285" w:lineRule="auto"/>
        <w:rPr>
          <w:rFonts w:ascii="Arial"/>
          <w:sz w:val="21"/>
        </w:rPr>
      </w:pPr>
    </w:p>
    <w:p w14:paraId="7EA6EC74">
      <w:pPr>
        <w:pStyle w:val="10"/>
        <w:spacing w:before="78" w:line="218" w:lineRule="auto"/>
        <w:ind w:left="34"/>
        <w:outlineLvl w:val="2"/>
        <w:rPr>
          <w:sz w:val="24"/>
          <w:szCs w:val="24"/>
        </w:rPr>
      </w:pPr>
      <w:r>
        <w:rPr>
          <w:b/>
          <w:bCs/>
          <w:spacing w:val="-4"/>
          <w:sz w:val="24"/>
          <w:szCs w:val="24"/>
        </w:rPr>
        <w:t>（</w:t>
      </w:r>
      <w:r>
        <w:rPr>
          <w:rFonts w:hint="eastAsia"/>
          <w:b/>
          <w:bCs/>
          <w:spacing w:val="-4"/>
          <w:sz w:val="24"/>
          <w:szCs w:val="24"/>
          <w:lang w:val="en-US" w:eastAsia="zh-CN"/>
        </w:rPr>
        <w:t>二</w:t>
      </w:r>
      <w:r>
        <w:rPr>
          <w:b/>
          <w:bCs/>
          <w:spacing w:val="-4"/>
          <w:sz w:val="24"/>
          <w:szCs w:val="24"/>
        </w:rPr>
        <w:t>）JY企业证明文件</w:t>
      </w:r>
      <w:r>
        <w:rPr>
          <w:spacing w:val="-4"/>
          <w:sz w:val="24"/>
          <w:szCs w:val="24"/>
        </w:rPr>
        <w:t>【如适用】</w:t>
      </w:r>
    </w:p>
    <w:p w14:paraId="24C8793F">
      <w:pPr>
        <w:spacing w:line="325" w:lineRule="auto"/>
        <w:rPr>
          <w:rFonts w:ascii="Arial"/>
          <w:sz w:val="21"/>
        </w:rPr>
      </w:pPr>
    </w:p>
    <w:p w14:paraId="095E1C70">
      <w:pPr>
        <w:spacing w:line="325" w:lineRule="auto"/>
        <w:rPr>
          <w:rFonts w:ascii="Arial"/>
          <w:sz w:val="21"/>
        </w:rPr>
      </w:pPr>
    </w:p>
    <w:p w14:paraId="42E2522A">
      <w:pPr>
        <w:pStyle w:val="10"/>
        <w:spacing w:before="78" w:line="361" w:lineRule="auto"/>
        <w:ind w:left="45" w:right="13" w:firstLine="452"/>
        <w:rPr>
          <w:sz w:val="24"/>
          <w:szCs w:val="24"/>
        </w:rPr>
      </w:pPr>
      <w:r>
        <w:rPr>
          <w:spacing w:val="-4"/>
          <w:sz w:val="24"/>
          <w:szCs w:val="24"/>
        </w:rPr>
        <w:t>【JY企业应当提供由省级及以上JY管理局、JD管理</w:t>
      </w:r>
      <w:r>
        <w:rPr>
          <w:spacing w:val="-5"/>
          <w:sz w:val="24"/>
          <w:szCs w:val="24"/>
        </w:rPr>
        <w:t>局（含新疆生产建设兵</w:t>
      </w:r>
      <w:r>
        <w:rPr>
          <w:spacing w:val="-3"/>
          <w:sz w:val="24"/>
          <w:szCs w:val="24"/>
        </w:rPr>
        <w:t>团）出具的JY企业的证明文件，格式如下】。</w:t>
      </w:r>
    </w:p>
    <w:p w14:paraId="26CD31E7">
      <w:pPr>
        <w:spacing w:line="316" w:lineRule="auto"/>
        <w:rPr>
          <w:rFonts w:ascii="Arial"/>
          <w:sz w:val="21"/>
        </w:rPr>
      </w:pPr>
    </w:p>
    <w:p w14:paraId="0EDCF1BC">
      <w:pPr>
        <w:spacing w:line="317" w:lineRule="auto"/>
        <w:rPr>
          <w:rFonts w:ascii="Arial"/>
          <w:sz w:val="21"/>
        </w:rPr>
      </w:pPr>
    </w:p>
    <w:p w14:paraId="3021C9DF">
      <w:pPr>
        <w:pStyle w:val="10"/>
        <w:spacing w:before="100" w:line="223" w:lineRule="auto"/>
        <w:ind w:left="3174"/>
        <w:rPr>
          <w:sz w:val="31"/>
          <w:szCs w:val="31"/>
        </w:rPr>
      </w:pPr>
      <w:r>
        <w:rPr>
          <w:b/>
          <w:bCs/>
          <w:sz w:val="31"/>
          <w:szCs w:val="31"/>
        </w:rPr>
        <w:t>JY</w:t>
      </w:r>
      <w:r>
        <w:rPr>
          <w:b/>
          <w:bCs/>
          <w:spacing w:val="2"/>
          <w:sz w:val="31"/>
          <w:szCs w:val="31"/>
        </w:rPr>
        <w:t>企业证明函</w:t>
      </w:r>
    </w:p>
    <w:p w14:paraId="2B97E2DA">
      <w:pPr>
        <w:spacing w:line="250" w:lineRule="auto"/>
        <w:rPr>
          <w:rFonts w:ascii="Arial"/>
          <w:sz w:val="21"/>
        </w:rPr>
      </w:pPr>
    </w:p>
    <w:p w14:paraId="1762ED98">
      <w:pPr>
        <w:spacing w:line="250" w:lineRule="auto"/>
        <w:rPr>
          <w:rFonts w:ascii="Arial"/>
          <w:sz w:val="21"/>
        </w:rPr>
      </w:pPr>
    </w:p>
    <w:p w14:paraId="1298027C">
      <w:pPr>
        <w:spacing w:line="251" w:lineRule="auto"/>
        <w:rPr>
          <w:rFonts w:ascii="Arial"/>
          <w:sz w:val="21"/>
        </w:rPr>
      </w:pPr>
    </w:p>
    <w:p w14:paraId="32E3955F">
      <w:pPr>
        <w:pStyle w:val="10"/>
        <w:spacing w:before="78" w:line="361" w:lineRule="auto"/>
        <w:ind w:left="25" w:right="143" w:firstLine="503"/>
        <w:rPr>
          <w:sz w:val="24"/>
          <w:szCs w:val="24"/>
        </w:rPr>
      </w:pPr>
      <w:r>
        <w:rPr>
          <w:spacing w:val="10"/>
          <w:sz w:val="24"/>
          <w:szCs w:val="24"/>
        </w:rPr>
        <w:t>本公司郑重声明，根据财政部、司法部《关于政府采购支持</w:t>
      </w:r>
      <w:r>
        <w:rPr>
          <w:sz w:val="24"/>
          <w:szCs w:val="24"/>
        </w:rPr>
        <w:t>JY</w:t>
      </w:r>
      <w:r>
        <w:rPr>
          <w:spacing w:val="10"/>
          <w:sz w:val="24"/>
          <w:szCs w:val="24"/>
        </w:rPr>
        <w:t>企业发</w:t>
      </w:r>
      <w:r>
        <w:rPr>
          <w:spacing w:val="6"/>
          <w:sz w:val="24"/>
          <w:szCs w:val="24"/>
        </w:rPr>
        <w:t>展有关问题的通知》（财库【2014】68号）的规定</w:t>
      </w:r>
      <w:r>
        <w:rPr>
          <w:spacing w:val="5"/>
          <w:sz w:val="24"/>
          <w:szCs w:val="24"/>
        </w:rPr>
        <w:t>，本公司为</w:t>
      </w:r>
      <w:r>
        <w:rPr>
          <w:sz w:val="24"/>
          <w:szCs w:val="24"/>
        </w:rPr>
        <w:t>JY</w:t>
      </w:r>
      <w:r>
        <w:rPr>
          <w:spacing w:val="5"/>
          <w:sz w:val="24"/>
          <w:szCs w:val="24"/>
        </w:rPr>
        <w:t>企业。</w:t>
      </w:r>
    </w:p>
    <w:p w14:paraId="490CFECD">
      <w:pPr>
        <w:spacing w:line="262" w:lineRule="auto"/>
        <w:rPr>
          <w:rFonts w:ascii="Arial"/>
          <w:sz w:val="21"/>
        </w:rPr>
      </w:pPr>
    </w:p>
    <w:p w14:paraId="4E0A03EA">
      <w:pPr>
        <w:spacing w:line="262" w:lineRule="auto"/>
        <w:rPr>
          <w:rFonts w:ascii="Arial"/>
          <w:sz w:val="21"/>
        </w:rPr>
      </w:pPr>
    </w:p>
    <w:p w14:paraId="2E072F19">
      <w:pPr>
        <w:spacing w:line="263" w:lineRule="auto"/>
        <w:rPr>
          <w:rFonts w:ascii="Arial"/>
          <w:sz w:val="21"/>
        </w:rPr>
      </w:pPr>
    </w:p>
    <w:p w14:paraId="07819E0C">
      <w:pPr>
        <w:spacing w:line="263" w:lineRule="auto"/>
        <w:rPr>
          <w:rFonts w:ascii="Arial"/>
          <w:sz w:val="21"/>
        </w:rPr>
      </w:pPr>
    </w:p>
    <w:p w14:paraId="17108EE0">
      <w:pPr>
        <w:spacing w:line="263" w:lineRule="auto"/>
        <w:rPr>
          <w:rFonts w:ascii="Arial"/>
          <w:sz w:val="21"/>
        </w:rPr>
      </w:pPr>
    </w:p>
    <w:p w14:paraId="6F32B044">
      <w:pPr>
        <w:pStyle w:val="10"/>
        <w:spacing w:before="79" w:line="219" w:lineRule="auto"/>
        <w:ind w:left="4307"/>
        <w:rPr>
          <w:sz w:val="24"/>
          <w:szCs w:val="24"/>
        </w:rPr>
      </w:pPr>
      <w:r>
        <w:rPr>
          <w:spacing w:val="9"/>
          <w:sz w:val="24"/>
          <w:szCs w:val="24"/>
        </w:rPr>
        <w:t>供应商名称（公章</w:t>
      </w:r>
      <w:r>
        <w:rPr>
          <w:spacing w:val="12"/>
          <w:sz w:val="24"/>
          <w:szCs w:val="24"/>
        </w:rPr>
        <w:t>）：</w:t>
      </w:r>
    </w:p>
    <w:p w14:paraId="141758EF">
      <w:pPr>
        <w:pStyle w:val="10"/>
        <w:spacing w:before="185" w:line="219" w:lineRule="auto"/>
        <w:ind w:left="4348"/>
        <w:rPr>
          <w:sz w:val="24"/>
          <w:szCs w:val="24"/>
        </w:rPr>
      </w:pPr>
      <w:r>
        <w:rPr>
          <w:spacing w:val="-11"/>
          <w:sz w:val="24"/>
          <w:szCs w:val="24"/>
        </w:rPr>
        <w:t>日期：年月日</w:t>
      </w:r>
    </w:p>
    <w:p w14:paraId="5B8A232B">
      <w:pPr>
        <w:spacing w:line="258" w:lineRule="auto"/>
        <w:rPr>
          <w:rFonts w:ascii="Arial"/>
          <w:sz w:val="21"/>
        </w:rPr>
      </w:pPr>
    </w:p>
    <w:p w14:paraId="1091864E">
      <w:pPr>
        <w:spacing w:line="258" w:lineRule="auto"/>
        <w:rPr>
          <w:rFonts w:ascii="Arial"/>
          <w:sz w:val="21"/>
        </w:rPr>
      </w:pPr>
    </w:p>
    <w:p w14:paraId="2F950A57">
      <w:pPr>
        <w:spacing w:line="259" w:lineRule="auto"/>
        <w:rPr>
          <w:rFonts w:ascii="Arial"/>
          <w:sz w:val="21"/>
        </w:rPr>
      </w:pPr>
    </w:p>
    <w:p w14:paraId="78C7B230">
      <w:pPr>
        <w:spacing w:line="259" w:lineRule="auto"/>
        <w:rPr>
          <w:rFonts w:ascii="Arial"/>
          <w:sz w:val="21"/>
        </w:rPr>
      </w:pPr>
    </w:p>
    <w:p w14:paraId="356ABE4A">
      <w:pPr>
        <w:pStyle w:val="10"/>
        <w:spacing w:before="78" w:line="218" w:lineRule="auto"/>
        <w:ind w:left="3387"/>
        <w:rPr>
          <w:sz w:val="24"/>
          <w:szCs w:val="24"/>
        </w:rPr>
      </w:pPr>
      <w:r>
        <w:rPr>
          <w:spacing w:val="-4"/>
          <w:sz w:val="24"/>
          <w:szCs w:val="24"/>
        </w:rPr>
        <w:t>省级以上JY管理局、JD管理局</w:t>
      </w:r>
      <w:r>
        <w:rPr>
          <w:spacing w:val="1"/>
          <w:sz w:val="24"/>
          <w:szCs w:val="24"/>
        </w:rPr>
        <w:t>（含新疆生产建设兵团</w:t>
      </w:r>
      <w:r>
        <w:rPr>
          <w:spacing w:val="-9"/>
          <w:sz w:val="24"/>
          <w:szCs w:val="24"/>
        </w:rPr>
        <w:t>）（</w:t>
      </w:r>
      <w:r>
        <w:rPr>
          <w:spacing w:val="1"/>
          <w:sz w:val="24"/>
          <w:szCs w:val="24"/>
        </w:rPr>
        <w:t>盖章</w:t>
      </w:r>
      <w:r>
        <w:rPr>
          <w:spacing w:val="-9"/>
          <w:sz w:val="24"/>
          <w:szCs w:val="24"/>
        </w:rPr>
        <w:t>）：</w:t>
      </w:r>
    </w:p>
    <w:p w14:paraId="1E7C40FE">
      <w:pPr>
        <w:pStyle w:val="10"/>
        <w:spacing w:before="184" w:line="219" w:lineRule="auto"/>
        <w:ind w:left="4384"/>
        <w:rPr>
          <w:sz w:val="24"/>
          <w:szCs w:val="24"/>
        </w:rPr>
      </w:pPr>
      <w:r>
        <w:rPr>
          <w:spacing w:val="-13"/>
          <w:sz w:val="24"/>
          <w:szCs w:val="24"/>
        </w:rPr>
        <w:t>日期：年月日</w:t>
      </w:r>
    </w:p>
    <w:p w14:paraId="68CF5941">
      <w:pPr>
        <w:spacing w:line="334" w:lineRule="auto"/>
        <w:rPr>
          <w:rFonts w:hint="eastAsia" w:ascii="Arial" w:eastAsia="宋体"/>
          <w:sz w:val="21"/>
          <w:lang w:eastAsia="zh-CN"/>
        </w:rPr>
      </w:pPr>
      <w:r>
        <w:rPr>
          <w:rFonts w:hint="eastAsia" w:ascii="Arial" w:eastAsia="宋体"/>
          <w:sz w:val="21"/>
          <w:lang w:eastAsia="zh-CN"/>
        </w:rPr>
        <w:br w:type="page"/>
      </w:r>
    </w:p>
    <w:p w14:paraId="4A5AE4F5">
      <w:pPr>
        <w:spacing w:line="334" w:lineRule="auto"/>
        <w:rPr>
          <w:rFonts w:ascii="Arial"/>
          <w:sz w:val="21"/>
        </w:rPr>
      </w:pPr>
    </w:p>
    <w:p w14:paraId="79035D32">
      <w:pPr>
        <w:pStyle w:val="10"/>
        <w:spacing w:before="78" w:line="219" w:lineRule="auto"/>
        <w:ind w:left="34"/>
        <w:outlineLvl w:val="2"/>
        <w:rPr>
          <w:sz w:val="24"/>
          <w:szCs w:val="24"/>
        </w:rPr>
      </w:pPr>
      <w:r>
        <w:rPr>
          <w:b/>
          <w:bCs/>
          <w:spacing w:val="-3"/>
          <w:sz w:val="24"/>
          <w:szCs w:val="24"/>
        </w:rPr>
        <w:t>（</w:t>
      </w:r>
      <w:r>
        <w:rPr>
          <w:rFonts w:hint="eastAsia"/>
          <w:b/>
          <w:bCs/>
          <w:spacing w:val="-3"/>
          <w:sz w:val="24"/>
          <w:szCs w:val="24"/>
          <w:lang w:val="en-US" w:eastAsia="zh-CN"/>
        </w:rPr>
        <w:t>三</w:t>
      </w:r>
      <w:r>
        <w:rPr>
          <w:b/>
          <w:bCs/>
          <w:spacing w:val="-3"/>
          <w:sz w:val="24"/>
          <w:szCs w:val="24"/>
        </w:rPr>
        <w:t>）残疾人福利性单位声明函</w:t>
      </w:r>
      <w:r>
        <w:rPr>
          <w:spacing w:val="-3"/>
          <w:sz w:val="24"/>
          <w:szCs w:val="24"/>
        </w:rPr>
        <w:t>【如适用】</w:t>
      </w:r>
    </w:p>
    <w:p w14:paraId="38EC58F7">
      <w:pPr>
        <w:spacing w:line="247" w:lineRule="auto"/>
        <w:rPr>
          <w:rFonts w:ascii="Arial"/>
          <w:sz w:val="21"/>
        </w:rPr>
      </w:pPr>
    </w:p>
    <w:p w14:paraId="0305609B">
      <w:pPr>
        <w:spacing w:line="248" w:lineRule="auto"/>
        <w:rPr>
          <w:rFonts w:ascii="Arial"/>
          <w:sz w:val="21"/>
        </w:rPr>
      </w:pPr>
    </w:p>
    <w:p w14:paraId="1D9CC512">
      <w:pPr>
        <w:spacing w:line="248" w:lineRule="auto"/>
        <w:rPr>
          <w:rFonts w:ascii="Arial"/>
          <w:sz w:val="21"/>
        </w:rPr>
      </w:pPr>
    </w:p>
    <w:p w14:paraId="5A9D820D">
      <w:pPr>
        <w:pStyle w:val="10"/>
        <w:spacing w:before="101" w:line="225" w:lineRule="auto"/>
        <w:ind w:left="2412"/>
        <w:rPr>
          <w:sz w:val="31"/>
          <w:szCs w:val="31"/>
        </w:rPr>
      </w:pPr>
      <w:r>
        <w:rPr>
          <w:b/>
          <w:bCs/>
          <w:spacing w:val="6"/>
          <w:sz w:val="31"/>
          <w:szCs w:val="31"/>
        </w:rPr>
        <w:t>残疾人福利性单位声明函</w:t>
      </w:r>
    </w:p>
    <w:p w14:paraId="0C43281A">
      <w:pPr>
        <w:spacing w:line="296" w:lineRule="auto"/>
        <w:rPr>
          <w:rFonts w:ascii="Arial"/>
          <w:sz w:val="21"/>
        </w:rPr>
      </w:pPr>
    </w:p>
    <w:p w14:paraId="728C70E5">
      <w:pPr>
        <w:spacing w:line="296" w:lineRule="auto"/>
        <w:rPr>
          <w:rFonts w:ascii="Arial"/>
          <w:sz w:val="21"/>
        </w:rPr>
      </w:pPr>
    </w:p>
    <w:p w14:paraId="40C6CCCF">
      <w:pPr>
        <w:pStyle w:val="10"/>
        <w:spacing w:before="78" w:line="360" w:lineRule="auto"/>
        <w:ind w:left="24" w:right="181" w:firstLine="480"/>
        <w:jc w:val="both"/>
        <w:rPr>
          <w:sz w:val="24"/>
          <w:szCs w:val="24"/>
        </w:rPr>
      </w:pPr>
      <w:r>
        <w:rPr>
          <w:spacing w:val="-5"/>
          <w:sz w:val="24"/>
          <w:szCs w:val="24"/>
        </w:rPr>
        <w:t>本公司（联合体）郑重声明，根据《财政部民政部</w:t>
      </w:r>
      <w:r>
        <w:rPr>
          <w:spacing w:val="-6"/>
          <w:sz w:val="24"/>
          <w:szCs w:val="24"/>
        </w:rPr>
        <w:t>中国残疾人联合会关于</w:t>
      </w:r>
      <w:r>
        <w:rPr>
          <w:spacing w:val="-2"/>
          <w:sz w:val="24"/>
          <w:szCs w:val="24"/>
        </w:rPr>
        <w:t>促进残疾人就业政府采购政策的通知》（财库〔2017〕141号）的规定，本公司</w:t>
      </w:r>
      <w:r>
        <w:rPr>
          <w:spacing w:val="-4"/>
          <w:sz w:val="24"/>
          <w:szCs w:val="24"/>
        </w:rPr>
        <w:t>（联合体）参加</w:t>
      </w:r>
      <w:r>
        <w:rPr>
          <w:spacing w:val="-4"/>
          <w:sz w:val="24"/>
          <w:szCs w:val="24"/>
          <w:u w:val="single" w:color="auto"/>
        </w:rPr>
        <w:t>（单位名称）</w:t>
      </w:r>
      <w:r>
        <w:rPr>
          <w:spacing w:val="-4"/>
          <w:sz w:val="24"/>
          <w:szCs w:val="24"/>
        </w:rPr>
        <w:t>的</w:t>
      </w:r>
      <w:r>
        <w:rPr>
          <w:spacing w:val="-4"/>
          <w:sz w:val="24"/>
          <w:szCs w:val="24"/>
          <w:u w:val="single" w:color="auto"/>
        </w:rPr>
        <w:t>（项目名称）</w:t>
      </w:r>
      <w:r>
        <w:rPr>
          <w:spacing w:val="-4"/>
          <w:sz w:val="24"/>
          <w:szCs w:val="24"/>
        </w:rPr>
        <w:t>采购活动，提供的工程</w:t>
      </w:r>
      <w:r>
        <w:rPr>
          <w:b/>
          <w:bCs/>
          <w:spacing w:val="-5"/>
          <w:sz w:val="24"/>
          <w:szCs w:val="24"/>
        </w:rPr>
        <w:t>全部由</w:t>
      </w:r>
      <w:r>
        <w:rPr>
          <w:spacing w:val="-4"/>
          <w:sz w:val="24"/>
          <w:szCs w:val="24"/>
        </w:rPr>
        <w:t>符合政策要求的</w:t>
      </w:r>
      <w:r>
        <w:rPr>
          <w:b/>
          <w:bCs/>
          <w:spacing w:val="-4"/>
          <w:sz w:val="24"/>
          <w:szCs w:val="24"/>
        </w:rPr>
        <w:t>残疾人福利性单位承建</w:t>
      </w:r>
      <w:r>
        <w:rPr>
          <w:spacing w:val="-4"/>
          <w:sz w:val="24"/>
          <w:szCs w:val="24"/>
        </w:rPr>
        <w:t>。相关企业（含联合体中的残疾人福利性</w:t>
      </w:r>
      <w:r>
        <w:rPr>
          <w:spacing w:val="-1"/>
          <w:sz w:val="24"/>
          <w:szCs w:val="24"/>
        </w:rPr>
        <w:t>单位、签订分包意向协议书的残疾人福利性单位）的具体情况如下：</w:t>
      </w:r>
    </w:p>
    <w:p w14:paraId="0094CBEA">
      <w:pPr>
        <w:pStyle w:val="10"/>
        <w:spacing w:line="219" w:lineRule="auto"/>
        <w:ind w:left="521"/>
        <w:rPr>
          <w:sz w:val="24"/>
          <w:szCs w:val="24"/>
        </w:rPr>
      </w:pPr>
      <w:r>
        <w:rPr>
          <w:spacing w:val="-2"/>
          <w:sz w:val="24"/>
          <w:szCs w:val="24"/>
        </w:rPr>
        <w:t>1.</w:t>
      </w:r>
      <w:r>
        <w:rPr>
          <w:spacing w:val="-2"/>
          <w:sz w:val="24"/>
          <w:szCs w:val="24"/>
          <w:u w:val="single" w:color="auto"/>
        </w:rPr>
        <w:t>（标的名称</w:t>
      </w:r>
      <w:r>
        <w:rPr>
          <w:spacing w:val="-11"/>
          <w:sz w:val="24"/>
          <w:szCs w:val="24"/>
          <w:u w:val="single" w:color="auto"/>
        </w:rPr>
        <w:t>）</w:t>
      </w:r>
      <w:r>
        <w:rPr>
          <w:spacing w:val="-11"/>
          <w:sz w:val="24"/>
          <w:szCs w:val="24"/>
        </w:rPr>
        <w:t>，</w:t>
      </w:r>
      <w:r>
        <w:rPr>
          <w:spacing w:val="-2"/>
          <w:sz w:val="24"/>
          <w:szCs w:val="24"/>
        </w:rPr>
        <w:t>承建单位为</w:t>
      </w:r>
      <w:r>
        <w:rPr>
          <w:spacing w:val="-2"/>
          <w:sz w:val="24"/>
          <w:szCs w:val="24"/>
          <w:u w:val="single" w:color="auto"/>
        </w:rPr>
        <w:t>（企业名称</w:t>
      </w:r>
      <w:r>
        <w:rPr>
          <w:spacing w:val="-11"/>
          <w:sz w:val="24"/>
          <w:szCs w:val="24"/>
          <w:u w:val="single" w:color="auto"/>
        </w:rPr>
        <w:t>）</w:t>
      </w:r>
      <w:r>
        <w:rPr>
          <w:spacing w:val="-11"/>
          <w:sz w:val="24"/>
          <w:szCs w:val="24"/>
        </w:rPr>
        <w:t>，</w:t>
      </w:r>
      <w:r>
        <w:rPr>
          <w:spacing w:val="-2"/>
          <w:sz w:val="24"/>
          <w:szCs w:val="24"/>
        </w:rPr>
        <w:t>属于残疾人福利性单位；</w:t>
      </w:r>
    </w:p>
    <w:p w14:paraId="1CD0F4F2">
      <w:pPr>
        <w:pStyle w:val="10"/>
        <w:spacing w:before="182" w:line="360" w:lineRule="auto"/>
        <w:ind w:left="518" w:right="122" w:hanging="12"/>
        <w:rPr>
          <w:sz w:val="24"/>
          <w:szCs w:val="24"/>
        </w:rPr>
      </w:pPr>
      <w:r>
        <w:rPr>
          <w:spacing w:val="-5"/>
          <w:sz w:val="24"/>
          <w:szCs w:val="24"/>
        </w:rPr>
        <w:t>2.</w:t>
      </w:r>
      <w:r>
        <w:rPr>
          <w:spacing w:val="-5"/>
          <w:sz w:val="24"/>
          <w:szCs w:val="24"/>
          <w:u w:val="single" w:color="auto"/>
        </w:rPr>
        <w:t>（标的名称</w:t>
      </w:r>
      <w:r>
        <w:rPr>
          <w:spacing w:val="-9"/>
          <w:sz w:val="24"/>
          <w:szCs w:val="24"/>
          <w:u w:val="single" w:color="auto"/>
        </w:rPr>
        <w:t>）</w:t>
      </w:r>
      <w:r>
        <w:rPr>
          <w:spacing w:val="-9"/>
          <w:sz w:val="24"/>
          <w:szCs w:val="24"/>
        </w:rPr>
        <w:t>，</w:t>
      </w:r>
      <w:r>
        <w:rPr>
          <w:spacing w:val="-5"/>
          <w:sz w:val="24"/>
          <w:szCs w:val="24"/>
        </w:rPr>
        <w:t>承建单位为</w:t>
      </w:r>
      <w:r>
        <w:rPr>
          <w:spacing w:val="-5"/>
          <w:sz w:val="24"/>
          <w:szCs w:val="24"/>
          <w:u w:val="single" w:color="auto"/>
        </w:rPr>
        <w:t>（企业名称</w:t>
      </w:r>
      <w:r>
        <w:rPr>
          <w:spacing w:val="-9"/>
          <w:sz w:val="24"/>
          <w:szCs w:val="24"/>
          <w:u w:val="single" w:color="auto"/>
        </w:rPr>
        <w:t>）</w:t>
      </w:r>
      <w:r>
        <w:rPr>
          <w:spacing w:val="-9"/>
          <w:sz w:val="24"/>
          <w:szCs w:val="24"/>
        </w:rPr>
        <w:t>，</w:t>
      </w:r>
      <w:r>
        <w:rPr>
          <w:spacing w:val="-5"/>
          <w:sz w:val="24"/>
          <w:szCs w:val="24"/>
        </w:rPr>
        <w:t>属于残疾人福利性单位；</w:t>
      </w:r>
      <w:r>
        <w:rPr>
          <w:spacing w:val="-13"/>
          <w:sz w:val="24"/>
          <w:szCs w:val="24"/>
        </w:rPr>
        <w:t>……</w:t>
      </w:r>
    </w:p>
    <w:p w14:paraId="0C5F9915">
      <w:pPr>
        <w:pStyle w:val="10"/>
        <w:spacing w:before="3" w:line="359" w:lineRule="auto"/>
        <w:ind w:left="27" w:right="181" w:firstLine="503"/>
        <w:rPr>
          <w:sz w:val="24"/>
          <w:szCs w:val="24"/>
        </w:rPr>
      </w:pPr>
      <w:r>
        <w:rPr>
          <w:spacing w:val="-4"/>
          <w:sz w:val="24"/>
          <w:szCs w:val="24"/>
        </w:rPr>
        <w:t>以上企业，不属于大企业的分支机构，不存在控股股东为大企业的情形，也</w:t>
      </w:r>
      <w:r>
        <w:rPr>
          <w:spacing w:val="-1"/>
          <w:sz w:val="24"/>
          <w:szCs w:val="24"/>
        </w:rPr>
        <w:t>不存在与大企业的负责人为同一人的情形。</w:t>
      </w:r>
    </w:p>
    <w:p w14:paraId="428CDC28">
      <w:pPr>
        <w:pStyle w:val="10"/>
        <w:spacing w:before="1" w:line="218" w:lineRule="auto"/>
        <w:ind w:left="504"/>
        <w:rPr>
          <w:sz w:val="24"/>
          <w:szCs w:val="24"/>
        </w:rPr>
      </w:pPr>
      <w:r>
        <w:rPr>
          <w:sz w:val="24"/>
          <w:szCs w:val="24"/>
        </w:rPr>
        <w:t>本企业对上述声明内容的真实性负责。如有虚</w:t>
      </w:r>
      <w:r>
        <w:rPr>
          <w:spacing w:val="-1"/>
          <w:sz w:val="24"/>
          <w:szCs w:val="24"/>
        </w:rPr>
        <w:t>假，将依法承担相应责任。</w:t>
      </w:r>
    </w:p>
    <w:p w14:paraId="2610AB5B">
      <w:pPr>
        <w:spacing w:line="285" w:lineRule="auto"/>
        <w:rPr>
          <w:rFonts w:ascii="Arial"/>
          <w:sz w:val="21"/>
        </w:rPr>
      </w:pPr>
    </w:p>
    <w:p w14:paraId="35A3E05F">
      <w:pPr>
        <w:spacing w:line="285" w:lineRule="auto"/>
        <w:rPr>
          <w:rFonts w:ascii="Arial"/>
          <w:sz w:val="21"/>
        </w:rPr>
      </w:pPr>
    </w:p>
    <w:p w14:paraId="251A77F1">
      <w:pPr>
        <w:pStyle w:val="10"/>
        <w:spacing w:before="78" w:line="360" w:lineRule="auto"/>
        <w:ind w:left="1112" w:hanging="1086"/>
        <w:rPr>
          <w:sz w:val="24"/>
          <w:szCs w:val="24"/>
        </w:rPr>
      </w:pPr>
      <w:r>
        <w:rPr>
          <w:b/>
          <w:bCs/>
          <w:spacing w:val="-1"/>
          <w:sz w:val="24"/>
          <w:szCs w:val="24"/>
        </w:rPr>
        <w:t>说明：</w:t>
      </w:r>
      <w:r>
        <w:rPr>
          <w:spacing w:val="-1"/>
          <w:sz w:val="24"/>
          <w:szCs w:val="24"/>
        </w:rPr>
        <w:t>1、工程应当全部由符合政策要求的残疾人福利性单位承建；应当严格按</w:t>
      </w:r>
      <w:r>
        <w:rPr>
          <w:spacing w:val="-4"/>
          <w:sz w:val="24"/>
          <w:szCs w:val="24"/>
        </w:rPr>
        <w:t>上述格式及内容进行填写（应当明确每个包的的实施单位及相关数据</w:t>
      </w:r>
      <w:r>
        <w:rPr>
          <w:spacing w:val="-54"/>
          <w:w w:val="86"/>
          <w:sz w:val="24"/>
          <w:szCs w:val="24"/>
        </w:rPr>
        <w:t>），</w:t>
      </w:r>
      <w:r>
        <w:rPr>
          <w:spacing w:val="-1"/>
          <w:sz w:val="24"/>
          <w:szCs w:val="24"/>
        </w:rPr>
        <w:t>否则导致的后果由供应商自行承担；</w:t>
      </w:r>
    </w:p>
    <w:p w14:paraId="20E2F94C">
      <w:pPr>
        <w:pStyle w:val="10"/>
        <w:spacing w:before="1" w:line="218" w:lineRule="auto"/>
        <w:ind w:left="746"/>
        <w:rPr>
          <w:sz w:val="24"/>
          <w:szCs w:val="24"/>
        </w:rPr>
      </w:pPr>
      <w:r>
        <w:rPr>
          <w:spacing w:val="-1"/>
          <w:sz w:val="24"/>
          <w:szCs w:val="24"/>
        </w:rPr>
        <w:t>2、以联合体形式参加的，应当由联合体各方盖章。</w:t>
      </w:r>
    </w:p>
    <w:p w14:paraId="40198932">
      <w:pPr>
        <w:spacing w:line="383" w:lineRule="auto"/>
        <w:rPr>
          <w:rFonts w:ascii="Arial"/>
          <w:sz w:val="21"/>
        </w:rPr>
      </w:pPr>
    </w:p>
    <w:p w14:paraId="32A9CBE5">
      <w:pPr>
        <w:pStyle w:val="10"/>
        <w:spacing w:before="79" w:line="219" w:lineRule="auto"/>
        <w:ind w:left="3340"/>
        <w:rPr>
          <w:rFonts w:hint="eastAsia" w:eastAsia="宋体"/>
          <w:sz w:val="24"/>
          <w:szCs w:val="24"/>
          <w:lang w:eastAsia="zh-CN"/>
        </w:rPr>
      </w:pPr>
      <w:r>
        <w:rPr>
          <w:spacing w:val="-2"/>
          <w:sz w:val="24"/>
          <w:szCs w:val="24"/>
        </w:rPr>
        <w:t>供应商名称（公章</w:t>
      </w:r>
      <w:r>
        <w:rPr>
          <w:spacing w:val="2"/>
          <w:sz w:val="24"/>
          <w:szCs w:val="24"/>
        </w:rPr>
        <w:t>）：</w:t>
      </w:r>
    </w:p>
    <w:p w14:paraId="7517988B">
      <w:pPr>
        <w:spacing w:line="381" w:lineRule="auto"/>
        <w:rPr>
          <w:rFonts w:ascii="Arial"/>
          <w:sz w:val="21"/>
        </w:rPr>
      </w:pPr>
    </w:p>
    <w:p w14:paraId="764E7A5A">
      <w:pPr>
        <w:pStyle w:val="10"/>
        <w:spacing w:before="79" w:line="220" w:lineRule="auto"/>
        <w:ind w:left="3381"/>
        <w:rPr>
          <w:rFonts w:hint="eastAsia" w:eastAsia="宋体"/>
          <w:sz w:val="24"/>
          <w:szCs w:val="24"/>
          <w:lang w:eastAsia="zh-CN"/>
        </w:rPr>
      </w:pPr>
      <w:r>
        <w:rPr>
          <w:spacing w:val="-32"/>
          <w:sz w:val="24"/>
          <w:szCs w:val="24"/>
        </w:rPr>
        <w:t>日期：</w:t>
      </w:r>
    </w:p>
    <w:p w14:paraId="584E1F73">
      <w:pPr>
        <w:spacing w:line="269" w:lineRule="auto"/>
        <w:rPr>
          <w:rFonts w:hint="eastAsia" w:ascii="Arial" w:eastAsia="宋体"/>
          <w:sz w:val="21"/>
          <w:lang w:eastAsia="zh-CN"/>
        </w:rPr>
      </w:pPr>
      <w:r>
        <w:rPr>
          <w:rFonts w:hint="eastAsia" w:ascii="Arial" w:eastAsia="宋体"/>
          <w:sz w:val="21"/>
          <w:lang w:eastAsia="zh-CN"/>
        </w:rPr>
        <w:br w:type="page"/>
      </w:r>
    </w:p>
    <w:p w14:paraId="259D847E">
      <w:pPr>
        <w:spacing w:line="269" w:lineRule="auto"/>
        <w:rPr>
          <w:rFonts w:ascii="Arial"/>
          <w:sz w:val="21"/>
        </w:rPr>
      </w:pPr>
    </w:p>
    <w:p w14:paraId="78DCC3F5">
      <w:pPr>
        <w:spacing w:line="270" w:lineRule="auto"/>
        <w:rPr>
          <w:rFonts w:ascii="Arial"/>
          <w:sz w:val="21"/>
        </w:rPr>
      </w:pPr>
    </w:p>
    <w:p w14:paraId="40AEB4FD">
      <w:pPr>
        <w:pStyle w:val="10"/>
        <w:spacing w:before="91" w:line="219" w:lineRule="auto"/>
        <w:ind w:left="25"/>
        <w:outlineLvl w:val="1"/>
        <w:rPr>
          <w:sz w:val="28"/>
          <w:szCs w:val="28"/>
        </w:rPr>
      </w:pPr>
      <w:r>
        <w:rPr>
          <w:b/>
          <w:bCs/>
          <w:spacing w:val="-3"/>
          <w:sz w:val="28"/>
          <w:szCs w:val="28"/>
        </w:rPr>
        <w:t>三、不参与围标串标承诺书</w:t>
      </w:r>
    </w:p>
    <w:p w14:paraId="6059DE54">
      <w:pPr>
        <w:spacing w:line="247" w:lineRule="auto"/>
        <w:rPr>
          <w:rFonts w:ascii="Arial"/>
          <w:sz w:val="21"/>
        </w:rPr>
      </w:pPr>
    </w:p>
    <w:p w14:paraId="18720699">
      <w:pPr>
        <w:spacing w:line="248" w:lineRule="auto"/>
        <w:rPr>
          <w:rFonts w:ascii="Arial"/>
          <w:sz w:val="21"/>
        </w:rPr>
      </w:pPr>
    </w:p>
    <w:p w14:paraId="47977A5D">
      <w:pPr>
        <w:spacing w:line="248" w:lineRule="auto"/>
        <w:rPr>
          <w:rFonts w:ascii="Arial"/>
          <w:sz w:val="21"/>
        </w:rPr>
      </w:pPr>
    </w:p>
    <w:p w14:paraId="7A2B5B5D">
      <w:pPr>
        <w:spacing w:line="248" w:lineRule="auto"/>
        <w:rPr>
          <w:rFonts w:ascii="Arial"/>
          <w:sz w:val="21"/>
        </w:rPr>
      </w:pPr>
    </w:p>
    <w:p w14:paraId="54AA3723">
      <w:pPr>
        <w:pStyle w:val="10"/>
        <w:spacing w:before="101" w:line="224" w:lineRule="auto"/>
        <w:ind w:left="2578"/>
        <w:rPr>
          <w:sz w:val="31"/>
          <w:szCs w:val="31"/>
        </w:rPr>
      </w:pPr>
      <w:r>
        <w:rPr>
          <w:b/>
          <w:bCs/>
          <w:spacing w:val="6"/>
          <w:sz w:val="31"/>
          <w:szCs w:val="31"/>
        </w:rPr>
        <w:t>不参与围标串标承诺书</w:t>
      </w:r>
    </w:p>
    <w:p w14:paraId="4D3B7E6B">
      <w:pPr>
        <w:spacing w:line="297" w:lineRule="auto"/>
        <w:rPr>
          <w:rFonts w:ascii="Arial"/>
          <w:sz w:val="21"/>
        </w:rPr>
      </w:pPr>
    </w:p>
    <w:p w14:paraId="6B58C52A">
      <w:pPr>
        <w:spacing w:line="297" w:lineRule="auto"/>
        <w:rPr>
          <w:rFonts w:ascii="Arial"/>
          <w:sz w:val="21"/>
        </w:rPr>
      </w:pPr>
    </w:p>
    <w:p w14:paraId="2446BF02">
      <w:pPr>
        <w:pStyle w:val="10"/>
        <w:spacing w:before="78" w:line="362" w:lineRule="auto"/>
        <w:ind w:left="22" w:firstLine="481"/>
        <w:rPr>
          <w:sz w:val="24"/>
          <w:szCs w:val="24"/>
        </w:rPr>
      </w:pPr>
      <w:r>
        <w:rPr>
          <w:sz w:val="24"/>
          <w:szCs w:val="24"/>
        </w:rPr>
        <w:t>本人作为经授权的供应商代表,清楚知晓我单位参</w:t>
      </w:r>
      <w:r>
        <w:rPr>
          <w:spacing w:val="-1"/>
          <w:sz w:val="24"/>
          <w:szCs w:val="24"/>
        </w:rPr>
        <w:t>与本项目竞争性磋商活动,对以下事项作出承诺：</w:t>
      </w:r>
    </w:p>
    <w:p w14:paraId="72FC7BA1">
      <w:pPr>
        <w:spacing w:line="382" w:lineRule="auto"/>
        <w:rPr>
          <w:rFonts w:ascii="Arial"/>
          <w:sz w:val="21"/>
        </w:rPr>
      </w:pPr>
    </w:p>
    <w:p w14:paraId="64C47309">
      <w:pPr>
        <w:pStyle w:val="10"/>
        <w:spacing w:before="78" w:line="360" w:lineRule="auto"/>
        <w:ind w:left="24" w:right="120" w:firstLine="482"/>
        <w:rPr>
          <w:sz w:val="24"/>
          <w:szCs w:val="24"/>
        </w:rPr>
      </w:pPr>
      <w:r>
        <w:rPr>
          <w:spacing w:val="-1"/>
          <w:sz w:val="24"/>
          <w:szCs w:val="24"/>
        </w:rPr>
        <w:t>一、我单位和我本人遵循公开透明、公平竞争、公正和诚实信用的原则,依法依规参与本项目竞标。</w:t>
      </w:r>
    </w:p>
    <w:p w14:paraId="09E64C61">
      <w:pPr>
        <w:pStyle w:val="10"/>
        <w:spacing w:line="216" w:lineRule="auto"/>
        <w:jc w:val="right"/>
        <w:rPr>
          <w:sz w:val="24"/>
          <w:szCs w:val="24"/>
        </w:rPr>
      </w:pPr>
      <w:r>
        <w:rPr>
          <w:spacing w:val="-4"/>
          <w:sz w:val="24"/>
          <w:szCs w:val="24"/>
        </w:rPr>
        <w:t>二、我单位和我本人在本项目政府采购竞争性磋商</w:t>
      </w:r>
      <w:r>
        <w:rPr>
          <w:spacing w:val="-5"/>
          <w:sz w:val="24"/>
          <w:szCs w:val="24"/>
        </w:rPr>
        <w:t>活动中,未参与围标串标。</w:t>
      </w:r>
    </w:p>
    <w:p w14:paraId="6A918C20">
      <w:pPr>
        <w:pStyle w:val="10"/>
        <w:spacing w:before="188" w:line="361" w:lineRule="auto"/>
        <w:ind w:left="24" w:right="58" w:firstLine="479"/>
        <w:rPr>
          <w:sz w:val="24"/>
          <w:szCs w:val="24"/>
        </w:rPr>
      </w:pPr>
      <w:r>
        <w:rPr>
          <w:spacing w:val="-2"/>
          <w:sz w:val="24"/>
          <w:szCs w:val="24"/>
        </w:rPr>
        <w:t>三、我单位如被查实在本项目政府采购竞争性磋商活动中存在围标串</w:t>
      </w:r>
      <w:r>
        <w:rPr>
          <w:spacing w:val="-3"/>
          <w:sz w:val="24"/>
          <w:szCs w:val="24"/>
        </w:rPr>
        <w:t>标的，</w:t>
      </w:r>
      <w:r>
        <w:rPr>
          <w:sz w:val="24"/>
          <w:szCs w:val="24"/>
        </w:rPr>
        <w:t>递交响应文件行为作为实施串通投标违法行为的关键</w:t>
      </w:r>
      <w:r>
        <w:rPr>
          <w:spacing w:val="-1"/>
          <w:sz w:val="24"/>
          <w:szCs w:val="24"/>
        </w:rPr>
        <w:t>环节,由我单位及法定代表人承担相应的法律责任，接受相应行政处罚和失信惩戒。</w:t>
      </w:r>
    </w:p>
    <w:p w14:paraId="43088F54">
      <w:pPr>
        <w:spacing w:line="257" w:lineRule="auto"/>
        <w:rPr>
          <w:rFonts w:ascii="Arial"/>
          <w:sz w:val="21"/>
        </w:rPr>
      </w:pPr>
    </w:p>
    <w:p w14:paraId="35068DCB">
      <w:pPr>
        <w:spacing w:line="257" w:lineRule="auto"/>
        <w:rPr>
          <w:rFonts w:ascii="Arial"/>
          <w:sz w:val="21"/>
        </w:rPr>
      </w:pPr>
    </w:p>
    <w:p w14:paraId="36FAB154">
      <w:pPr>
        <w:spacing w:line="258" w:lineRule="auto"/>
        <w:rPr>
          <w:rFonts w:ascii="Arial"/>
          <w:sz w:val="21"/>
        </w:rPr>
      </w:pPr>
    </w:p>
    <w:p w14:paraId="515C3EB8">
      <w:pPr>
        <w:spacing w:line="258" w:lineRule="auto"/>
        <w:rPr>
          <w:rFonts w:ascii="Arial"/>
          <w:sz w:val="21"/>
        </w:rPr>
      </w:pPr>
    </w:p>
    <w:p w14:paraId="1CAFAB1F">
      <w:pPr>
        <w:pStyle w:val="10"/>
        <w:spacing w:before="79" w:line="219" w:lineRule="auto"/>
        <w:ind w:left="23"/>
        <w:rPr>
          <w:sz w:val="24"/>
          <w:szCs w:val="24"/>
        </w:rPr>
      </w:pPr>
      <w:r>
        <w:rPr>
          <w:spacing w:val="-2"/>
          <w:sz w:val="24"/>
          <w:szCs w:val="24"/>
        </w:rPr>
        <w:t>供应商名称（公章</w:t>
      </w:r>
      <w:r>
        <w:rPr>
          <w:spacing w:val="2"/>
          <w:sz w:val="24"/>
          <w:szCs w:val="24"/>
        </w:rPr>
        <w:t>）：</w:t>
      </w:r>
    </w:p>
    <w:p w14:paraId="282774E3">
      <w:pPr>
        <w:pStyle w:val="10"/>
        <w:spacing w:before="274" w:line="219" w:lineRule="auto"/>
        <w:ind w:left="24"/>
        <w:rPr>
          <w:sz w:val="24"/>
          <w:szCs w:val="24"/>
        </w:rPr>
      </w:pPr>
      <w:r>
        <w:rPr>
          <w:spacing w:val="-1"/>
          <w:sz w:val="24"/>
          <w:szCs w:val="24"/>
        </w:rPr>
        <w:t>法定代表人（负责人或本人）或授权代表（签字或印章</w:t>
      </w:r>
      <w:r>
        <w:rPr>
          <w:spacing w:val="6"/>
          <w:sz w:val="24"/>
          <w:szCs w:val="24"/>
        </w:rPr>
        <w:t>）：</w:t>
      </w:r>
    </w:p>
    <w:p w14:paraId="1DC4632B">
      <w:pPr>
        <w:pStyle w:val="10"/>
        <w:spacing w:before="278" w:line="219" w:lineRule="auto"/>
        <w:ind w:left="64"/>
        <w:rPr>
          <w:sz w:val="24"/>
          <w:szCs w:val="24"/>
        </w:rPr>
      </w:pPr>
      <w:r>
        <w:rPr>
          <w:spacing w:val="-13"/>
          <w:sz w:val="24"/>
          <w:szCs w:val="24"/>
        </w:rPr>
        <w:t>日期：年月日</w:t>
      </w:r>
    </w:p>
    <w:p w14:paraId="2B01E88A">
      <w:pPr>
        <w:spacing w:line="269" w:lineRule="auto"/>
        <w:rPr>
          <w:rFonts w:hint="eastAsia" w:ascii="Arial" w:eastAsia="宋体"/>
          <w:sz w:val="21"/>
          <w:lang w:eastAsia="zh-CN"/>
        </w:rPr>
      </w:pPr>
      <w:r>
        <w:rPr>
          <w:rFonts w:hint="eastAsia" w:ascii="Arial" w:eastAsia="宋体"/>
          <w:sz w:val="21"/>
          <w:lang w:eastAsia="zh-CN"/>
        </w:rPr>
        <w:br w:type="page"/>
      </w:r>
    </w:p>
    <w:p w14:paraId="1BFBC3C0">
      <w:pPr>
        <w:spacing w:line="269" w:lineRule="auto"/>
        <w:rPr>
          <w:rFonts w:ascii="Arial"/>
          <w:sz w:val="21"/>
        </w:rPr>
      </w:pPr>
    </w:p>
    <w:p w14:paraId="337B7CB4">
      <w:pPr>
        <w:spacing w:line="270" w:lineRule="auto"/>
        <w:rPr>
          <w:rFonts w:ascii="Arial"/>
          <w:sz w:val="21"/>
        </w:rPr>
      </w:pPr>
    </w:p>
    <w:p w14:paraId="4A4E0309">
      <w:pPr>
        <w:pStyle w:val="10"/>
        <w:spacing w:before="91" w:line="220" w:lineRule="auto"/>
        <w:ind w:left="51"/>
        <w:outlineLvl w:val="1"/>
        <w:rPr>
          <w:sz w:val="28"/>
          <w:szCs w:val="28"/>
        </w:rPr>
      </w:pPr>
      <w:r>
        <w:rPr>
          <w:b/>
          <w:bCs/>
          <w:spacing w:val="-6"/>
          <w:sz w:val="28"/>
          <w:szCs w:val="28"/>
        </w:rPr>
        <w:t>四、其他资格证明文件</w:t>
      </w:r>
    </w:p>
    <w:p w14:paraId="313D17AC">
      <w:pPr>
        <w:spacing w:line="255" w:lineRule="auto"/>
        <w:rPr>
          <w:rFonts w:ascii="Arial"/>
          <w:sz w:val="21"/>
        </w:rPr>
      </w:pPr>
    </w:p>
    <w:p w14:paraId="2601792E">
      <w:pPr>
        <w:pStyle w:val="10"/>
        <w:spacing w:before="78" w:line="219" w:lineRule="auto"/>
        <w:ind w:left="503"/>
        <w:rPr>
          <w:rFonts w:hint="eastAsia" w:eastAsia="宋体"/>
          <w:sz w:val="24"/>
          <w:szCs w:val="24"/>
          <w:lang w:eastAsia="zh-CN"/>
        </w:rPr>
      </w:pPr>
      <w:r>
        <w:rPr>
          <w:spacing w:val="-1"/>
          <w:sz w:val="24"/>
          <w:szCs w:val="24"/>
        </w:rPr>
        <w:t>供应商认为需提供的其它相关资格证明材料</w:t>
      </w:r>
    </w:p>
    <w:p w14:paraId="3C59F919">
      <w:pPr>
        <w:rPr>
          <w:sz w:val="24"/>
          <w:szCs w:val="24"/>
        </w:rPr>
      </w:pPr>
      <w:r>
        <w:rPr>
          <w:sz w:val="24"/>
          <w:szCs w:val="24"/>
        </w:rPr>
        <w:br w:type="page"/>
      </w:r>
    </w:p>
    <w:p w14:paraId="3C6B09E2">
      <w:pPr>
        <w:pStyle w:val="10"/>
        <w:numPr>
          <w:ilvl w:val="0"/>
          <w:numId w:val="6"/>
        </w:numPr>
        <w:spacing w:before="91" w:line="240" w:lineRule="auto"/>
        <w:ind w:left="25"/>
        <w:outlineLvl w:val="1"/>
        <w:rPr>
          <w:rFonts w:hint="eastAsia" w:ascii="宋体" w:hAnsi="宋体" w:eastAsia="宋体" w:cs="Times New Roman"/>
          <w:b/>
          <w:bCs/>
          <w:spacing w:val="-3"/>
          <w:sz w:val="28"/>
          <w:szCs w:val="28"/>
          <w:lang w:val="en-US" w:eastAsia="zh-CN"/>
        </w:rPr>
      </w:pPr>
      <w:r>
        <w:rPr>
          <w:rFonts w:hint="default" w:ascii="宋体" w:hAnsi="宋体" w:eastAsia="宋体" w:cs="Times New Roman"/>
          <w:b/>
          <w:bCs/>
          <w:spacing w:val="-3"/>
          <w:sz w:val="28"/>
          <w:szCs w:val="28"/>
          <w:lang w:val="en-US" w:eastAsia="zh-CN"/>
        </w:rPr>
        <w:t>联合协议</w:t>
      </w:r>
      <w:r>
        <w:rPr>
          <w:rFonts w:hint="eastAsia" w:ascii="宋体" w:hAnsi="宋体" w:eastAsia="宋体" w:cs="Times New Roman"/>
          <w:b/>
          <w:bCs/>
          <w:spacing w:val="-3"/>
          <w:sz w:val="28"/>
          <w:szCs w:val="28"/>
          <w:lang w:val="en-US" w:eastAsia="zh-CN"/>
        </w:rPr>
        <w:t>书（如是联合体投标请填写）</w:t>
      </w:r>
    </w:p>
    <w:p w14:paraId="60EBB861">
      <w:pPr>
        <w:pStyle w:val="10"/>
        <w:bidi w:val="0"/>
        <w:rPr>
          <w:rFonts w:hint="eastAsia"/>
          <w:lang w:val="en-US" w:eastAsia="zh-CN"/>
        </w:rPr>
      </w:pPr>
    </w:p>
    <w:p w14:paraId="509C053B">
      <w:pPr>
        <w:numPr>
          <w:ilvl w:val="0"/>
          <w:numId w:val="0"/>
        </w:numPr>
        <w:spacing w:line="240" w:lineRule="auto"/>
        <w:ind w:firstLine="480" w:firstLineChars="200"/>
        <w:rPr>
          <w:rFonts w:hint="default"/>
          <w:sz w:val="24"/>
          <w:szCs w:val="24"/>
          <w:lang w:val="en-US" w:eastAsia="zh-CN"/>
        </w:rPr>
      </w:pPr>
      <w:r>
        <w:rPr>
          <w:rFonts w:hint="eastAsia"/>
          <w:sz w:val="24"/>
          <w:szCs w:val="24"/>
          <w:u w:val="single"/>
          <w:lang w:val="en-US" w:eastAsia="zh-CN"/>
        </w:rPr>
        <w:t>（牵头单位名称）</w:t>
      </w:r>
      <w:r>
        <w:rPr>
          <w:rFonts w:hint="default"/>
          <w:sz w:val="24"/>
          <w:szCs w:val="24"/>
          <w:lang w:val="en-US" w:eastAsia="zh-CN"/>
        </w:rPr>
        <w:t>、</w:t>
      </w:r>
      <w:r>
        <w:rPr>
          <w:rFonts w:hint="eastAsia"/>
          <w:sz w:val="24"/>
          <w:szCs w:val="24"/>
          <w:u w:val="single"/>
          <w:lang w:val="en-US" w:eastAsia="zh-CN"/>
        </w:rPr>
        <w:t>（联合体成员单位名称）</w:t>
      </w:r>
      <w:r>
        <w:rPr>
          <w:rFonts w:hint="default"/>
          <w:sz w:val="24"/>
          <w:szCs w:val="24"/>
          <w:lang w:val="en-US" w:eastAsia="zh-CN"/>
        </w:rPr>
        <w:t>就</w:t>
      </w:r>
      <w:r>
        <w:rPr>
          <w:rFonts w:hint="default"/>
          <w:sz w:val="24"/>
          <w:szCs w:val="24"/>
          <w:u w:val="single"/>
          <w:lang w:val="en-US" w:eastAsia="zh-CN"/>
        </w:rPr>
        <w:t>（项目名称）</w:t>
      </w:r>
      <w:r>
        <w:rPr>
          <w:rFonts w:hint="default"/>
          <w:sz w:val="24"/>
          <w:szCs w:val="24"/>
          <w:lang w:val="en-US" w:eastAsia="zh-CN"/>
        </w:rPr>
        <w:t>的</w:t>
      </w:r>
      <w:r>
        <w:rPr>
          <w:rFonts w:hint="eastAsia"/>
          <w:sz w:val="24"/>
          <w:szCs w:val="24"/>
          <w:lang w:val="en-US" w:eastAsia="zh-CN"/>
        </w:rPr>
        <w:t>响应</w:t>
      </w:r>
      <w:r>
        <w:rPr>
          <w:rFonts w:hint="default"/>
          <w:sz w:val="24"/>
          <w:szCs w:val="24"/>
          <w:lang w:val="en-US" w:eastAsia="zh-CN"/>
        </w:rPr>
        <w:t>事宜，经各方充分协商一致，达成如下联合协议。</w:t>
      </w:r>
    </w:p>
    <w:p w14:paraId="5B1FEB39">
      <w:pPr>
        <w:spacing w:line="240" w:lineRule="auto"/>
        <w:rPr>
          <w:rFonts w:hint="default"/>
          <w:sz w:val="24"/>
          <w:szCs w:val="24"/>
          <w:lang w:val="en-US" w:eastAsia="zh-CN"/>
        </w:rPr>
      </w:pPr>
      <w:r>
        <w:rPr>
          <w:rFonts w:hint="default"/>
          <w:sz w:val="24"/>
          <w:szCs w:val="24"/>
          <w:lang w:val="en-US" w:eastAsia="zh-CN"/>
        </w:rPr>
        <w:t>一、由</w:t>
      </w:r>
      <w:r>
        <w:rPr>
          <w:rFonts w:hint="eastAsia"/>
          <w:sz w:val="24"/>
          <w:szCs w:val="24"/>
          <w:u w:val="single"/>
          <w:lang w:val="en-US" w:eastAsia="zh-CN"/>
        </w:rPr>
        <w:t>（牵头单位名称）</w:t>
      </w:r>
      <w:r>
        <w:rPr>
          <w:rFonts w:hint="default"/>
          <w:sz w:val="24"/>
          <w:szCs w:val="24"/>
          <w:lang w:val="en-US" w:eastAsia="zh-CN"/>
        </w:rPr>
        <w:t>牵头，</w:t>
      </w:r>
      <w:r>
        <w:rPr>
          <w:rFonts w:hint="eastAsia"/>
          <w:sz w:val="24"/>
          <w:szCs w:val="24"/>
          <w:u w:val="single"/>
          <w:lang w:val="en-US" w:eastAsia="zh-CN"/>
        </w:rPr>
        <w:t>（联合体成员单位名称）</w:t>
      </w:r>
      <w:r>
        <w:rPr>
          <w:rFonts w:hint="default"/>
          <w:sz w:val="24"/>
          <w:szCs w:val="24"/>
          <w:lang w:val="en-US" w:eastAsia="zh-CN"/>
        </w:rPr>
        <w:t>参加，组成联合体共同进行</w:t>
      </w:r>
      <w:r>
        <w:rPr>
          <w:rFonts w:hint="eastAsia"/>
          <w:sz w:val="24"/>
          <w:szCs w:val="24"/>
          <w:lang w:val="en-US" w:eastAsia="zh-CN"/>
        </w:rPr>
        <w:t>磋商</w:t>
      </w:r>
      <w:r>
        <w:rPr>
          <w:rFonts w:hint="default"/>
          <w:sz w:val="24"/>
          <w:szCs w:val="24"/>
          <w:lang w:val="en-US" w:eastAsia="zh-CN"/>
        </w:rPr>
        <w:t>项目的</w:t>
      </w:r>
      <w:r>
        <w:rPr>
          <w:rFonts w:hint="eastAsia"/>
          <w:sz w:val="24"/>
          <w:szCs w:val="24"/>
          <w:lang w:val="en-US" w:eastAsia="zh-CN"/>
        </w:rPr>
        <w:t>响应</w:t>
      </w:r>
      <w:r>
        <w:rPr>
          <w:rFonts w:hint="default"/>
          <w:sz w:val="24"/>
          <w:szCs w:val="24"/>
          <w:lang w:val="en-US" w:eastAsia="zh-CN"/>
        </w:rPr>
        <w:t>工作。</w:t>
      </w:r>
    </w:p>
    <w:p w14:paraId="4ACDC4A7">
      <w:pPr>
        <w:spacing w:line="240" w:lineRule="auto"/>
        <w:rPr>
          <w:rFonts w:hint="default"/>
          <w:sz w:val="24"/>
          <w:szCs w:val="24"/>
          <w:lang w:val="en-US" w:eastAsia="zh-CN"/>
        </w:rPr>
      </w:pPr>
      <w:r>
        <w:rPr>
          <w:rFonts w:hint="default"/>
          <w:sz w:val="24"/>
          <w:szCs w:val="24"/>
          <w:lang w:val="en-US" w:eastAsia="zh-CN"/>
        </w:rPr>
        <w:t>二、联合体</w:t>
      </w:r>
      <w:r>
        <w:rPr>
          <w:rFonts w:hint="eastAsia"/>
          <w:sz w:val="24"/>
          <w:szCs w:val="24"/>
          <w:lang w:val="en-US" w:eastAsia="zh-CN"/>
        </w:rPr>
        <w:t>成交</w:t>
      </w:r>
      <w:r>
        <w:rPr>
          <w:rFonts w:hint="default"/>
          <w:sz w:val="24"/>
          <w:szCs w:val="24"/>
          <w:lang w:val="en-US" w:eastAsia="zh-CN"/>
        </w:rPr>
        <w:t>后，联合体各方共同与采购人签订合同，就采购合同约定的事项对采购人承担连带责任。</w:t>
      </w:r>
    </w:p>
    <w:p w14:paraId="7779AC01">
      <w:pPr>
        <w:spacing w:line="240" w:lineRule="auto"/>
        <w:rPr>
          <w:rFonts w:hint="default"/>
          <w:sz w:val="24"/>
          <w:szCs w:val="24"/>
          <w:lang w:val="en-US" w:eastAsia="zh-CN"/>
        </w:rPr>
      </w:pPr>
      <w:r>
        <w:rPr>
          <w:rFonts w:hint="default"/>
          <w:sz w:val="24"/>
          <w:szCs w:val="24"/>
          <w:lang w:val="en-US" w:eastAsia="zh-CN"/>
        </w:rPr>
        <w:t>三、联合体各方均同意由牵头人代表其他联合体成员单位按</w:t>
      </w:r>
      <w:r>
        <w:rPr>
          <w:rFonts w:hint="eastAsia"/>
          <w:sz w:val="24"/>
          <w:szCs w:val="24"/>
          <w:lang w:val="en-US" w:eastAsia="zh-CN"/>
        </w:rPr>
        <w:t>磋商文件</w:t>
      </w:r>
      <w:r>
        <w:rPr>
          <w:rFonts w:hint="default"/>
          <w:sz w:val="24"/>
          <w:szCs w:val="24"/>
          <w:lang w:val="en-US" w:eastAsia="zh-CN"/>
        </w:rPr>
        <w:t>要求出具《授权委托书》。</w:t>
      </w:r>
    </w:p>
    <w:p w14:paraId="65C37BCC">
      <w:pPr>
        <w:spacing w:line="24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四、牵头人为项目的总负责单位，组织各参加方进行项目实施工作。</w:t>
      </w:r>
    </w:p>
    <w:p w14:paraId="11EEF597">
      <w:pPr>
        <w:spacing w:line="240" w:lineRule="auto"/>
        <w:rPr>
          <w:rFonts w:hint="default"/>
          <w:sz w:val="24"/>
          <w:szCs w:val="24"/>
          <w:lang w:val="en-US" w:eastAsia="zh-CN"/>
        </w:rPr>
      </w:pPr>
      <w:r>
        <w:rPr>
          <w:rFonts w:hint="default" w:ascii="Times New Roman" w:hAnsi="Times New Roman" w:eastAsia="宋体" w:cs="Times New Roman"/>
          <w:sz w:val="24"/>
          <w:szCs w:val="24"/>
          <w:lang w:val="en-US" w:eastAsia="zh-CN"/>
        </w:rPr>
        <w:t>五、</w:t>
      </w:r>
      <w:r>
        <w:rPr>
          <w:rFonts w:hint="eastAsia" w:ascii="Times New Roman" w:hAnsi="Times New Roman" w:eastAsia="宋体" w:cs="Times New Roman"/>
          <w:sz w:val="24"/>
          <w:szCs w:val="24"/>
          <w:lang w:val="en-US" w:eastAsia="zh-CN"/>
        </w:rPr>
        <w:t>联合体各成员单位内部的职责分工如下：。</w:t>
      </w:r>
    </w:p>
    <w:p w14:paraId="5617A926">
      <w:pPr>
        <w:spacing w:line="240" w:lineRule="auto"/>
        <w:rPr>
          <w:rFonts w:hint="default"/>
          <w:sz w:val="24"/>
          <w:szCs w:val="24"/>
          <w:lang w:val="en-US" w:eastAsia="zh-CN"/>
        </w:rPr>
      </w:pPr>
      <w:r>
        <w:rPr>
          <w:rFonts w:hint="eastAsia"/>
          <w:sz w:val="24"/>
          <w:szCs w:val="24"/>
          <w:lang w:val="en-US" w:eastAsia="zh-CN"/>
        </w:rPr>
        <w:t>六</w:t>
      </w:r>
      <w:r>
        <w:rPr>
          <w:rFonts w:hint="default"/>
          <w:sz w:val="24"/>
          <w:szCs w:val="24"/>
          <w:lang w:val="en-US" w:eastAsia="zh-CN"/>
        </w:rPr>
        <w:t>、以联合体形式参加政府采购活动的，联合体各方不得再单独参加或者与其他供应商另外组成联合体参加同一政府采购活动。</w:t>
      </w:r>
    </w:p>
    <w:p w14:paraId="7324B4B8">
      <w:pPr>
        <w:spacing w:line="240" w:lineRule="auto"/>
        <w:rPr>
          <w:rFonts w:hint="default"/>
          <w:sz w:val="24"/>
          <w:szCs w:val="24"/>
          <w:lang w:val="en-US" w:eastAsia="zh-CN"/>
        </w:rPr>
      </w:pPr>
      <w:r>
        <w:rPr>
          <w:rFonts w:hint="eastAsia"/>
          <w:sz w:val="24"/>
          <w:szCs w:val="24"/>
          <w:lang w:val="en-US" w:eastAsia="zh-CN"/>
        </w:rPr>
        <w:t>七</w:t>
      </w:r>
      <w:r>
        <w:rPr>
          <w:rFonts w:hint="default"/>
          <w:sz w:val="24"/>
          <w:szCs w:val="24"/>
          <w:lang w:val="en-US" w:eastAsia="zh-CN"/>
        </w:rPr>
        <w:t>、其他约定（如有）</w:t>
      </w:r>
    </w:p>
    <w:p w14:paraId="45DCC90A">
      <w:pPr>
        <w:spacing w:line="240" w:lineRule="auto"/>
        <w:rPr>
          <w:rFonts w:hint="default"/>
          <w:sz w:val="24"/>
          <w:szCs w:val="24"/>
          <w:lang w:val="en-US" w:eastAsia="zh-CN"/>
        </w:rPr>
      </w:pPr>
      <w:r>
        <w:rPr>
          <w:rFonts w:hint="default"/>
          <w:sz w:val="24"/>
          <w:szCs w:val="24"/>
          <w:lang w:val="en-US" w:eastAsia="zh-CN"/>
        </w:rPr>
        <w:t>本协议自各方盖章后生效，采购合同履行完毕后自动失效。如未中标，本协议自动终止。</w:t>
      </w:r>
    </w:p>
    <w:p w14:paraId="3EFA97B6">
      <w:pPr>
        <w:spacing w:line="240" w:lineRule="auto"/>
        <w:rPr>
          <w:rFonts w:hint="default"/>
          <w:sz w:val="24"/>
          <w:szCs w:val="24"/>
          <w:lang w:val="en-US" w:eastAsia="zh-CN"/>
        </w:rPr>
      </w:pPr>
    </w:p>
    <w:p w14:paraId="7587F878">
      <w:pPr>
        <w:spacing w:line="240" w:lineRule="auto"/>
        <w:rPr>
          <w:rFonts w:hint="default"/>
          <w:sz w:val="24"/>
          <w:szCs w:val="24"/>
          <w:lang w:val="en-US" w:eastAsia="zh-CN"/>
        </w:rPr>
      </w:pPr>
    </w:p>
    <w:p w14:paraId="4758F130">
      <w:pPr>
        <w:spacing w:line="240" w:lineRule="auto"/>
        <w:rPr>
          <w:rFonts w:hint="default"/>
          <w:sz w:val="24"/>
          <w:szCs w:val="24"/>
          <w:lang w:val="en-US" w:eastAsia="zh-CN"/>
        </w:rPr>
      </w:pPr>
      <w:r>
        <w:rPr>
          <w:rFonts w:hint="default"/>
          <w:sz w:val="24"/>
          <w:szCs w:val="24"/>
          <w:lang w:val="en-US" w:eastAsia="zh-CN"/>
        </w:rPr>
        <w:t>联合体牵头人（盖章）：联合体成员（盖章）：</w:t>
      </w:r>
    </w:p>
    <w:p w14:paraId="04683EFF">
      <w:pPr>
        <w:spacing w:line="240" w:lineRule="auto"/>
        <w:rPr>
          <w:rFonts w:hint="default"/>
          <w:sz w:val="24"/>
          <w:szCs w:val="24"/>
          <w:lang w:val="en-US" w:eastAsia="zh-CN"/>
        </w:rPr>
      </w:pPr>
      <w:r>
        <w:rPr>
          <w:rFonts w:hint="default"/>
          <w:sz w:val="24"/>
          <w:szCs w:val="24"/>
          <w:lang w:val="en-US" w:eastAsia="zh-CN"/>
        </w:rPr>
        <w:t>日期：年月日日期：年月日</w:t>
      </w:r>
    </w:p>
    <w:p w14:paraId="703907E6">
      <w:pPr>
        <w:spacing w:line="240" w:lineRule="auto"/>
        <w:rPr>
          <w:rFonts w:hint="default"/>
          <w:sz w:val="24"/>
          <w:szCs w:val="24"/>
          <w:lang w:val="en-US" w:eastAsia="zh-CN"/>
        </w:rPr>
      </w:pPr>
    </w:p>
    <w:p w14:paraId="606257BD">
      <w:pPr>
        <w:spacing w:line="356" w:lineRule="auto"/>
        <w:rPr>
          <w:rFonts w:hint="eastAsia" w:ascii="Arial" w:eastAsia="宋体"/>
          <w:sz w:val="21"/>
          <w:lang w:eastAsia="zh-CN"/>
        </w:rPr>
      </w:pPr>
      <w:r>
        <w:rPr>
          <w:rFonts w:hint="eastAsia" w:ascii="Arial" w:eastAsia="宋体"/>
          <w:sz w:val="21"/>
          <w:lang w:eastAsia="zh-CN"/>
        </w:rPr>
        <w:br w:type="page"/>
      </w:r>
    </w:p>
    <w:p w14:paraId="3161ADF5">
      <w:pPr>
        <w:spacing w:line="356" w:lineRule="auto"/>
        <w:rPr>
          <w:rFonts w:ascii="Arial"/>
          <w:sz w:val="21"/>
        </w:rPr>
      </w:pPr>
    </w:p>
    <w:p w14:paraId="51E71CF2">
      <w:pPr>
        <w:pStyle w:val="10"/>
        <w:spacing w:before="78" w:line="221" w:lineRule="auto"/>
        <w:ind w:left="502"/>
        <w:rPr>
          <w:b/>
          <w:bCs/>
          <w:sz w:val="24"/>
          <w:szCs w:val="24"/>
        </w:rPr>
      </w:pPr>
      <w:r>
        <w:rPr>
          <w:b/>
          <w:bCs/>
          <w:spacing w:val="-3"/>
          <w:sz w:val="24"/>
          <w:szCs w:val="24"/>
        </w:rPr>
        <w:t>封面：</w:t>
      </w:r>
    </w:p>
    <w:p w14:paraId="7574276C">
      <w:pPr>
        <w:spacing w:line="278" w:lineRule="auto"/>
        <w:rPr>
          <w:rFonts w:ascii="Arial"/>
          <w:sz w:val="21"/>
        </w:rPr>
      </w:pPr>
    </w:p>
    <w:p w14:paraId="77FD6B61">
      <w:pPr>
        <w:spacing w:line="279" w:lineRule="auto"/>
        <w:rPr>
          <w:rFonts w:ascii="Arial"/>
          <w:sz w:val="21"/>
        </w:rPr>
      </w:pPr>
    </w:p>
    <w:p w14:paraId="07D7F54F">
      <w:pPr>
        <w:spacing w:line="279" w:lineRule="auto"/>
        <w:rPr>
          <w:rFonts w:ascii="Arial"/>
          <w:sz w:val="21"/>
        </w:rPr>
      </w:pPr>
    </w:p>
    <w:p w14:paraId="508C87A1">
      <w:pPr>
        <w:spacing w:line="279" w:lineRule="auto"/>
        <w:rPr>
          <w:rFonts w:ascii="Arial"/>
          <w:sz w:val="21"/>
        </w:rPr>
      </w:pPr>
    </w:p>
    <w:p w14:paraId="273E2BF4">
      <w:pPr>
        <w:spacing w:line="279" w:lineRule="auto"/>
        <w:rPr>
          <w:rFonts w:ascii="Arial"/>
          <w:sz w:val="21"/>
        </w:rPr>
      </w:pPr>
    </w:p>
    <w:p w14:paraId="1EC0F1D0">
      <w:pPr>
        <w:pStyle w:val="10"/>
        <w:spacing w:before="269" w:line="222" w:lineRule="auto"/>
        <w:ind w:left="1923"/>
        <w:rPr>
          <w:sz w:val="83"/>
          <w:szCs w:val="83"/>
        </w:rPr>
      </w:pPr>
      <w:r>
        <w:rPr>
          <w:b/>
          <w:bCs/>
          <w:spacing w:val="-39"/>
          <w:sz w:val="83"/>
          <w:szCs w:val="83"/>
        </w:rPr>
        <w:t>响应文件</w:t>
      </w:r>
    </w:p>
    <w:p w14:paraId="65BDA0A0">
      <w:pPr>
        <w:pStyle w:val="10"/>
        <w:spacing w:before="236" w:line="221" w:lineRule="auto"/>
        <w:ind w:left="3060"/>
        <w:rPr>
          <w:sz w:val="55"/>
          <w:szCs w:val="55"/>
        </w:rPr>
      </w:pPr>
      <w:r>
        <w:rPr>
          <w:b/>
          <w:bCs/>
          <w:spacing w:val="1"/>
          <w:sz w:val="55"/>
          <w:szCs w:val="55"/>
        </w:rPr>
        <w:t>报价文件</w:t>
      </w:r>
    </w:p>
    <w:p w14:paraId="252D1385">
      <w:pPr>
        <w:spacing w:line="242" w:lineRule="auto"/>
        <w:rPr>
          <w:rFonts w:ascii="Arial"/>
          <w:sz w:val="21"/>
        </w:rPr>
      </w:pPr>
    </w:p>
    <w:p w14:paraId="2B4D53EA">
      <w:pPr>
        <w:spacing w:line="242" w:lineRule="auto"/>
        <w:rPr>
          <w:rFonts w:ascii="Arial"/>
          <w:sz w:val="21"/>
        </w:rPr>
      </w:pPr>
    </w:p>
    <w:p w14:paraId="1E21A9B0">
      <w:pPr>
        <w:spacing w:line="242" w:lineRule="auto"/>
        <w:rPr>
          <w:rFonts w:ascii="Arial"/>
          <w:sz w:val="21"/>
        </w:rPr>
      </w:pPr>
    </w:p>
    <w:p w14:paraId="566A2FF1">
      <w:pPr>
        <w:spacing w:line="242" w:lineRule="auto"/>
        <w:rPr>
          <w:rFonts w:ascii="Arial"/>
          <w:sz w:val="21"/>
        </w:rPr>
      </w:pPr>
    </w:p>
    <w:p w14:paraId="4B589208">
      <w:pPr>
        <w:spacing w:line="242" w:lineRule="auto"/>
        <w:rPr>
          <w:rFonts w:ascii="Arial"/>
          <w:sz w:val="21"/>
        </w:rPr>
      </w:pPr>
    </w:p>
    <w:p w14:paraId="087FDAA0">
      <w:pPr>
        <w:spacing w:line="243" w:lineRule="auto"/>
        <w:rPr>
          <w:rFonts w:ascii="Arial"/>
          <w:sz w:val="21"/>
        </w:rPr>
      </w:pPr>
    </w:p>
    <w:p w14:paraId="714A409C">
      <w:pPr>
        <w:spacing w:line="243" w:lineRule="auto"/>
        <w:rPr>
          <w:rFonts w:ascii="Arial"/>
          <w:sz w:val="21"/>
        </w:rPr>
      </w:pPr>
    </w:p>
    <w:p w14:paraId="5570794D">
      <w:pPr>
        <w:spacing w:line="243" w:lineRule="auto"/>
        <w:rPr>
          <w:rFonts w:ascii="Arial"/>
          <w:sz w:val="21"/>
        </w:rPr>
      </w:pPr>
    </w:p>
    <w:p w14:paraId="62E9DBE8">
      <w:pPr>
        <w:spacing w:line="243" w:lineRule="auto"/>
        <w:rPr>
          <w:rFonts w:ascii="Arial"/>
          <w:sz w:val="21"/>
        </w:rPr>
      </w:pPr>
    </w:p>
    <w:p w14:paraId="3B843904">
      <w:pPr>
        <w:spacing w:line="243" w:lineRule="auto"/>
        <w:rPr>
          <w:rFonts w:ascii="Arial"/>
          <w:sz w:val="21"/>
        </w:rPr>
      </w:pPr>
    </w:p>
    <w:p w14:paraId="360C9036">
      <w:pPr>
        <w:spacing w:line="243" w:lineRule="auto"/>
        <w:rPr>
          <w:rFonts w:ascii="Arial"/>
          <w:sz w:val="21"/>
        </w:rPr>
      </w:pPr>
    </w:p>
    <w:p w14:paraId="557C80E4">
      <w:pPr>
        <w:spacing w:line="243" w:lineRule="auto"/>
        <w:rPr>
          <w:rFonts w:ascii="Arial"/>
          <w:sz w:val="21"/>
        </w:rPr>
      </w:pPr>
    </w:p>
    <w:p w14:paraId="584FCE60">
      <w:pPr>
        <w:spacing w:line="243" w:lineRule="auto"/>
        <w:rPr>
          <w:rFonts w:ascii="Arial"/>
          <w:sz w:val="21"/>
        </w:rPr>
      </w:pPr>
    </w:p>
    <w:p w14:paraId="0676A6C0">
      <w:pPr>
        <w:spacing w:line="243" w:lineRule="auto"/>
        <w:rPr>
          <w:rFonts w:ascii="Arial"/>
          <w:sz w:val="21"/>
        </w:rPr>
      </w:pPr>
    </w:p>
    <w:p w14:paraId="56696B15">
      <w:pPr>
        <w:spacing w:line="243" w:lineRule="auto"/>
        <w:rPr>
          <w:rFonts w:ascii="Arial"/>
          <w:sz w:val="21"/>
        </w:rPr>
      </w:pPr>
    </w:p>
    <w:p w14:paraId="10BA74B2">
      <w:pPr>
        <w:pStyle w:val="10"/>
        <w:spacing w:before="114" w:line="225" w:lineRule="auto"/>
        <w:ind w:left="453"/>
        <w:rPr>
          <w:rFonts w:hint="eastAsia" w:eastAsia="宋体"/>
          <w:lang w:eastAsia="zh-CN"/>
        </w:rPr>
      </w:pPr>
      <w:r>
        <w:rPr>
          <w:spacing w:val="6"/>
        </w:rPr>
        <w:t>项目编号/包号：</w:t>
      </w:r>
    </w:p>
    <w:p w14:paraId="073A0FFE">
      <w:pPr>
        <w:pStyle w:val="10"/>
        <w:spacing w:before="200" w:line="330" w:lineRule="auto"/>
        <w:ind w:left="448" w:right="160" w:firstLine="5"/>
        <w:rPr>
          <w:rFonts w:hint="eastAsia" w:eastAsia="宋体"/>
          <w:spacing w:val="5"/>
          <w:u w:val="single" w:color="auto"/>
          <w:lang w:eastAsia="zh-CN"/>
        </w:rPr>
      </w:pPr>
      <w:r>
        <w:rPr>
          <w:spacing w:val="5"/>
        </w:rPr>
        <w:t>项目名称：</w:t>
      </w:r>
    </w:p>
    <w:p w14:paraId="69199CCC">
      <w:pPr>
        <w:pStyle w:val="10"/>
        <w:spacing w:before="200" w:line="330" w:lineRule="auto"/>
        <w:ind w:left="448" w:right="160" w:firstLine="5"/>
        <w:rPr>
          <w:rFonts w:hint="eastAsia" w:eastAsia="宋体"/>
          <w:lang w:eastAsia="zh-CN"/>
        </w:rPr>
      </w:pPr>
      <w:r>
        <w:rPr>
          <w:spacing w:val="-14"/>
        </w:rPr>
        <w:t>供应商：</w:t>
      </w:r>
    </w:p>
    <w:p w14:paraId="4AC2D9AC">
      <w:pPr>
        <w:spacing w:line="289" w:lineRule="auto"/>
        <w:rPr>
          <w:rFonts w:ascii="Arial"/>
          <w:sz w:val="21"/>
        </w:rPr>
      </w:pPr>
    </w:p>
    <w:p w14:paraId="7E11708D">
      <w:pPr>
        <w:spacing w:line="289" w:lineRule="auto"/>
        <w:rPr>
          <w:rFonts w:ascii="Arial"/>
          <w:sz w:val="21"/>
        </w:rPr>
      </w:pPr>
    </w:p>
    <w:p w14:paraId="6C610924">
      <w:pPr>
        <w:spacing w:line="289" w:lineRule="auto"/>
        <w:rPr>
          <w:rFonts w:ascii="Arial"/>
          <w:sz w:val="21"/>
        </w:rPr>
      </w:pPr>
    </w:p>
    <w:p w14:paraId="33577B3B">
      <w:pPr>
        <w:spacing w:line="290" w:lineRule="auto"/>
        <w:rPr>
          <w:rFonts w:ascii="Arial"/>
          <w:sz w:val="21"/>
        </w:rPr>
      </w:pPr>
    </w:p>
    <w:p w14:paraId="5CA86915">
      <w:pPr>
        <w:spacing w:line="290" w:lineRule="auto"/>
        <w:rPr>
          <w:rFonts w:ascii="Arial"/>
          <w:sz w:val="21"/>
        </w:rPr>
      </w:pPr>
    </w:p>
    <w:p w14:paraId="167A64E5">
      <w:pPr>
        <w:spacing w:line="290" w:lineRule="auto"/>
        <w:rPr>
          <w:rFonts w:ascii="Arial"/>
          <w:sz w:val="21"/>
        </w:rPr>
      </w:pPr>
    </w:p>
    <w:p w14:paraId="384B3BE6">
      <w:pPr>
        <w:spacing w:line="290" w:lineRule="auto"/>
        <w:rPr>
          <w:rFonts w:ascii="Arial"/>
          <w:sz w:val="21"/>
        </w:rPr>
      </w:pPr>
    </w:p>
    <w:p w14:paraId="5AB91F55">
      <w:pPr>
        <w:spacing w:line="290" w:lineRule="auto"/>
        <w:rPr>
          <w:rFonts w:ascii="Arial"/>
          <w:sz w:val="21"/>
        </w:rPr>
      </w:pPr>
    </w:p>
    <w:p w14:paraId="49A17F37">
      <w:pPr>
        <w:spacing w:line="290" w:lineRule="auto"/>
        <w:rPr>
          <w:rFonts w:ascii="Arial"/>
          <w:sz w:val="21"/>
        </w:rPr>
      </w:pPr>
    </w:p>
    <w:p w14:paraId="66D907E2">
      <w:pPr>
        <w:spacing w:line="290" w:lineRule="auto"/>
        <w:rPr>
          <w:rFonts w:ascii="Arial"/>
          <w:sz w:val="21"/>
        </w:rPr>
      </w:pPr>
    </w:p>
    <w:p w14:paraId="5AB7B52C">
      <w:pPr>
        <w:spacing w:line="290" w:lineRule="auto"/>
        <w:rPr>
          <w:rFonts w:ascii="Arial"/>
          <w:sz w:val="21"/>
        </w:rPr>
      </w:pPr>
    </w:p>
    <w:p w14:paraId="180FD239">
      <w:pPr>
        <w:spacing w:line="290" w:lineRule="auto"/>
        <w:rPr>
          <w:rFonts w:ascii="Arial"/>
          <w:sz w:val="21"/>
        </w:rPr>
      </w:pPr>
    </w:p>
    <w:p w14:paraId="77F7832A">
      <w:pPr>
        <w:pStyle w:val="10"/>
        <w:spacing w:before="101" w:line="225" w:lineRule="auto"/>
        <w:ind w:left="3140"/>
        <w:rPr>
          <w:sz w:val="31"/>
          <w:szCs w:val="31"/>
        </w:rPr>
      </w:pPr>
      <w:r>
        <w:rPr>
          <w:spacing w:val="-6"/>
          <w:sz w:val="31"/>
          <w:szCs w:val="31"/>
        </w:rPr>
        <w:t>年月日</w:t>
      </w:r>
    </w:p>
    <w:p w14:paraId="7590C831">
      <w:pPr>
        <w:spacing w:line="273" w:lineRule="auto"/>
        <w:rPr>
          <w:rFonts w:hint="eastAsia" w:ascii="Arial" w:eastAsia="宋体"/>
          <w:sz w:val="21"/>
          <w:lang w:eastAsia="zh-CN"/>
        </w:rPr>
      </w:pPr>
      <w:r>
        <w:rPr>
          <w:rFonts w:hint="eastAsia" w:ascii="Arial" w:eastAsia="宋体"/>
          <w:sz w:val="21"/>
          <w:lang w:eastAsia="zh-CN"/>
        </w:rPr>
        <w:br w:type="page"/>
      </w:r>
    </w:p>
    <w:p w14:paraId="060452C3">
      <w:pPr>
        <w:spacing w:line="273" w:lineRule="auto"/>
        <w:rPr>
          <w:rFonts w:ascii="Arial"/>
          <w:sz w:val="21"/>
        </w:rPr>
      </w:pPr>
    </w:p>
    <w:p w14:paraId="79EDC185">
      <w:pPr>
        <w:spacing w:line="273" w:lineRule="auto"/>
        <w:rPr>
          <w:rFonts w:ascii="Arial"/>
          <w:sz w:val="21"/>
        </w:rPr>
      </w:pPr>
    </w:p>
    <w:p w14:paraId="17511A02">
      <w:pPr>
        <w:spacing w:line="274" w:lineRule="auto"/>
        <w:rPr>
          <w:rFonts w:ascii="Arial"/>
          <w:sz w:val="21"/>
        </w:rPr>
      </w:pPr>
    </w:p>
    <w:p w14:paraId="5E756030">
      <w:pPr>
        <w:pStyle w:val="10"/>
        <w:spacing w:before="101" w:line="223" w:lineRule="auto"/>
        <w:ind w:left="3159"/>
        <w:outlineLvl w:val="1"/>
        <w:rPr>
          <w:sz w:val="31"/>
          <w:szCs w:val="31"/>
        </w:rPr>
      </w:pPr>
      <w:r>
        <w:rPr>
          <w:b/>
          <w:bCs/>
          <w:spacing w:val="5"/>
          <w:sz w:val="31"/>
          <w:szCs w:val="31"/>
        </w:rPr>
        <w:t>一、报价一览表</w:t>
      </w:r>
    </w:p>
    <w:p w14:paraId="1A1990DA">
      <w:pPr>
        <w:pStyle w:val="10"/>
        <w:spacing w:before="230" w:line="220" w:lineRule="auto"/>
        <w:ind w:left="126"/>
        <w:rPr>
          <w:rFonts w:hint="eastAsia" w:eastAsia="宋体"/>
          <w:sz w:val="24"/>
          <w:szCs w:val="24"/>
          <w:lang w:eastAsia="zh-CN"/>
        </w:rPr>
      </w:pPr>
      <w:r>
        <w:rPr>
          <w:spacing w:val="-3"/>
          <w:sz w:val="24"/>
          <w:szCs w:val="24"/>
        </w:rPr>
        <w:t>项目名称：</w:t>
      </w:r>
    </w:p>
    <w:p w14:paraId="6B49B955">
      <w:pPr>
        <w:pStyle w:val="10"/>
        <w:spacing w:before="179" w:line="219" w:lineRule="auto"/>
        <w:ind w:left="126"/>
        <w:rPr>
          <w:rFonts w:hint="eastAsia" w:eastAsia="宋体"/>
          <w:sz w:val="24"/>
          <w:szCs w:val="24"/>
          <w:lang w:eastAsia="zh-CN"/>
        </w:rPr>
      </w:pPr>
      <w:r>
        <w:rPr>
          <w:spacing w:val="-3"/>
          <w:sz w:val="24"/>
          <w:szCs w:val="24"/>
        </w:rPr>
        <w:t>项目编号：</w:t>
      </w:r>
    </w:p>
    <w:p w14:paraId="540D7D7B">
      <w:pPr>
        <w:spacing w:before="61"/>
      </w:pPr>
    </w:p>
    <w:tbl>
      <w:tblPr>
        <w:tblStyle w:val="43"/>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63"/>
        <w:gridCol w:w="6063"/>
      </w:tblGrid>
      <w:tr w14:paraId="4A761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463" w:type="dxa"/>
            <w:vAlign w:val="top"/>
          </w:tcPr>
          <w:p w14:paraId="5A282B7B">
            <w:pPr>
              <w:pStyle w:val="46"/>
              <w:spacing w:before="217" w:line="219" w:lineRule="auto"/>
              <w:ind w:left="637"/>
            </w:pPr>
            <w:r>
              <w:rPr>
                <w:spacing w:val="-2"/>
              </w:rPr>
              <w:t>供应商名称</w:t>
            </w:r>
          </w:p>
        </w:tc>
        <w:tc>
          <w:tcPr>
            <w:tcW w:w="6063" w:type="dxa"/>
            <w:vAlign w:val="top"/>
          </w:tcPr>
          <w:p w14:paraId="620A2F8C">
            <w:pPr>
              <w:rPr>
                <w:rFonts w:ascii="Arial"/>
                <w:sz w:val="21"/>
              </w:rPr>
            </w:pPr>
          </w:p>
        </w:tc>
      </w:tr>
      <w:tr w14:paraId="06F3F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2463" w:type="dxa"/>
            <w:vAlign w:val="top"/>
          </w:tcPr>
          <w:p w14:paraId="285D0FF0">
            <w:pPr>
              <w:pStyle w:val="46"/>
              <w:spacing w:before="267" w:line="220" w:lineRule="auto"/>
              <w:ind w:left="756"/>
            </w:pPr>
            <w:r>
              <w:rPr>
                <w:rFonts w:hint="eastAsia"/>
                <w:spacing w:val="-3"/>
                <w:lang w:val="en-US" w:eastAsia="zh-CN"/>
              </w:rPr>
              <w:t>采购</w:t>
            </w:r>
            <w:r>
              <w:rPr>
                <w:spacing w:val="-3"/>
              </w:rPr>
              <w:t>范围</w:t>
            </w:r>
          </w:p>
        </w:tc>
        <w:tc>
          <w:tcPr>
            <w:tcW w:w="6063" w:type="dxa"/>
            <w:vAlign w:val="top"/>
          </w:tcPr>
          <w:p w14:paraId="60F53154">
            <w:pPr>
              <w:pStyle w:val="46"/>
              <w:spacing w:before="268" w:line="219" w:lineRule="auto"/>
              <w:ind w:left="114"/>
            </w:pPr>
          </w:p>
        </w:tc>
      </w:tr>
      <w:tr w14:paraId="4FFC7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5" w:hRule="atLeast"/>
        </w:trPr>
        <w:tc>
          <w:tcPr>
            <w:tcW w:w="2463" w:type="dxa"/>
            <w:vAlign w:val="top"/>
          </w:tcPr>
          <w:p w14:paraId="56EEF88D">
            <w:pPr>
              <w:spacing w:line="244" w:lineRule="auto"/>
              <w:rPr>
                <w:rFonts w:ascii="Arial"/>
                <w:sz w:val="21"/>
              </w:rPr>
            </w:pPr>
          </w:p>
          <w:p w14:paraId="5E8A6C93">
            <w:pPr>
              <w:spacing w:line="245" w:lineRule="auto"/>
              <w:rPr>
                <w:rFonts w:ascii="Arial"/>
                <w:sz w:val="21"/>
              </w:rPr>
            </w:pPr>
          </w:p>
          <w:p w14:paraId="582F6F06">
            <w:pPr>
              <w:pStyle w:val="46"/>
              <w:spacing w:before="78" w:line="218" w:lineRule="auto"/>
              <w:ind w:left="996"/>
            </w:pPr>
            <w:r>
              <w:rPr>
                <w:spacing w:val="-4"/>
              </w:rPr>
              <w:t>报价</w:t>
            </w:r>
          </w:p>
          <w:p w14:paraId="5157DCED">
            <w:pPr>
              <w:pStyle w:val="46"/>
              <w:spacing w:before="29" w:line="219" w:lineRule="auto"/>
              <w:ind w:left="289"/>
            </w:pPr>
            <w:r>
              <w:rPr>
                <w:spacing w:val="-3"/>
              </w:rPr>
              <w:t>（详见备注说明）</w:t>
            </w:r>
          </w:p>
        </w:tc>
        <w:tc>
          <w:tcPr>
            <w:tcW w:w="6063" w:type="dxa"/>
            <w:vAlign w:val="top"/>
          </w:tcPr>
          <w:p w14:paraId="1D9713BB">
            <w:pPr>
              <w:spacing w:line="243" w:lineRule="auto"/>
              <w:rPr>
                <w:rFonts w:ascii="Arial"/>
                <w:sz w:val="21"/>
              </w:rPr>
            </w:pPr>
          </w:p>
          <w:p w14:paraId="344E1772">
            <w:pPr>
              <w:spacing w:line="244" w:lineRule="auto"/>
              <w:rPr>
                <w:rFonts w:ascii="Arial"/>
                <w:sz w:val="21"/>
              </w:rPr>
            </w:pPr>
          </w:p>
          <w:p w14:paraId="50678245">
            <w:pPr>
              <w:pStyle w:val="46"/>
              <w:spacing w:before="78" w:line="220" w:lineRule="auto"/>
              <w:ind w:left="117"/>
              <w:rPr>
                <w:rFonts w:hint="eastAsia" w:eastAsia="仿宋"/>
                <w:lang w:eastAsia="zh-CN"/>
              </w:rPr>
            </w:pPr>
            <w:r>
              <w:rPr>
                <w:spacing w:val="-5"/>
              </w:rPr>
              <w:t>大写：</w:t>
            </w:r>
          </w:p>
          <w:p w14:paraId="48139556">
            <w:pPr>
              <w:pStyle w:val="46"/>
              <w:spacing w:before="26" w:line="221" w:lineRule="auto"/>
              <w:ind w:left="120"/>
              <w:rPr>
                <w:rFonts w:hint="eastAsia" w:eastAsia="仿宋"/>
                <w:lang w:eastAsia="zh-CN"/>
              </w:rPr>
            </w:pPr>
            <w:r>
              <w:rPr>
                <w:spacing w:val="-6"/>
              </w:rPr>
              <w:t>小写：</w:t>
            </w:r>
          </w:p>
        </w:tc>
      </w:tr>
      <w:tr w14:paraId="2E936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2463" w:type="dxa"/>
            <w:vAlign w:val="top"/>
          </w:tcPr>
          <w:p w14:paraId="3B778F66">
            <w:pPr>
              <w:pStyle w:val="46"/>
              <w:spacing w:before="198" w:line="220" w:lineRule="auto"/>
              <w:ind w:left="758"/>
            </w:pPr>
            <w:r>
              <w:rPr>
                <w:spacing w:val="-3"/>
              </w:rPr>
              <w:t>质量标准</w:t>
            </w:r>
          </w:p>
        </w:tc>
        <w:tc>
          <w:tcPr>
            <w:tcW w:w="6063" w:type="dxa"/>
            <w:vAlign w:val="top"/>
          </w:tcPr>
          <w:p w14:paraId="250641E1">
            <w:pPr>
              <w:rPr>
                <w:rFonts w:ascii="Arial"/>
                <w:sz w:val="21"/>
              </w:rPr>
            </w:pPr>
          </w:p>
        </w:tc>
      </w:tr>
      <w:tr w14:paraId="4AE9B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2463" w:type="dxa"/>
            <w:vAlign w:val="top"/>
          </w:tcPr>
          <w:p w14:paraId="018DCD3C">
            <w:pPr>
              <w:pStyle w:val="46"/>
              <w:spacing w:before="198" w:line="220" w:lineRule="auto"/>
              <w:jc w:val="center"/>
            </w:pPr>
            <w:r>
              <w:rPr>
                <w:rFonts w:hint="eastAsia"/>
                <w:lang w:val="en-US" w:eastAsia="zh-CN"/>
              </w:rPr>
              <w:t>合同履约期限</w:t>
            </w:r>
          </w:p>
        </w:tc>
        <w:tc>
          <w:tcPr>
            <w:tcW w:w="6063" w:type="dxa"/>
            <w:vAlign w:val="top"/>
          </w:tcPr>
          <w:p w14:paraId="410FE186">
            <w:pPr>
              <w:rPr>
                <w:rFonts w:ascii="Arial"/>
                <w:sz w:val="21"/>
              </w:rPr>
            </w:pPr>
          </w:p>
        </w:tc>
      </w:tr>
      <w:tr w14:paraId="10BD6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0" w:hRule="atLeast"/>
        </w:trPr>
        <w:tc>
          <w:tcPr>
            <w:tcW w:w="2463" w:type="dxa"/>
            <w:vAlign w:val="top"/>
          </w:tcPr>
          <w:p w14:paraId="21DD7BFC">
            <w:pPr>
              <w:spacing w:line="261" w:lineRule="auto"/>
              <w:rPr>
                <w:rFonts w:ascii="Arial"/>
                <w:sz w:val="21"/>
              </w:rPr>
            </w:pPr>
          </w:p>
          <w:p w14:paraId="0CC9B185">
            <w:pPr>
              <w:spacing w:line="262" w:lineRule="auto"/>
              <w:rPr>
                <w:rFonts w:ascii="Arial"/>
                <w:sz w:val="21"/>
              </w:rPr>
            </w:pPr>
          </w:p>
          <w:p w14:paraId="29768424">
            <w:pPr>
              <w:spacing w:line="262" w:lineRule="auto"/>
              <w:rPr>
                <w:rFonts w:ascii="Arial"/>
                <w:sz w:val="21"/>
              </w:rPr>
            </w:pPr>
          </w:p>
          <w:p w14:paraId="399EFDD3">
            <w:pPr>
              <w:pStyle w:val="46"/>
              <w:spacing w:before="78" w:line="221" w:lineRule="auto"/>
              <w:ind w:left="1000"/>
            </w:pPr>
            <w:r>
              <w:rPr>
                <w:spacing w:val="-7"/>
              </w:rPr>
              <w:t>备注</w:t>
            </w:r>
          </w:p>
        </w:tc>
        <w:tc>
          <w:tcPr>
            <w:tcW w:w="6063" w:type="dxa"/>
            <w:vAlign w:val="top"/>
          </w:tcPr>
          <w:p w14:paraId="4FABDE19">
            <w:pPr>
              <w:rPr>
                <w:rFonts w:ascii="Arial"/>
                <w:sz w:val="21"/>
              </w:rPr>
            </w:pPr>
          </w:p>
        </w:tc>
      </w:tr>
    </w:tbl>
    <w:p w14:paraId="6129FC6C">
      <w:pPr>
        <w:pStyle w:val="10"/>
        <w:spacing w:before="145" w:line="219" w:lineRule="auto"/>
        <w:ind w:left="122"/>
        <w:rPr>
          <w:rFonts w:hint="eastAsia" w:eastAsia="宋体"/>
          <w:sz w:val="24"/>
          <w:szCs w:val="24"/>
          <w:lang w:eastAsia="zh-CN"/>
        </w:rPr>
      </w:pPr>
      <w:r>
        <w:rPr>
          <w:spacing w:val="-2"/>
          <w:sz w:val="24"/>
          <w:szCs w:val="24"/>
        </w:rPr>
        <w:t>供应商名称（公章</w:t>
      </w:r>
      <w:r>
        <w:rPr>
          <w:spacing w:val="2"/>
          <w:sz w:val="24"/>
          <w:szCs w:val="24"/>
        </w:rPr>
        <w:t>）：</w:t>
      </w:r>
    </w:p>
    <w:p w14:paraId="09F9F020">
      <w:pPr>
        <w:pStyle w:val="10"/>
        <w:spacing w:before="157" w:line="220" w:lineRule="auto"/>
        <w:ind w:left="163"/>
        <w:rPr>
          <w:rFonts w:hint="eastAsia" w:eastAsia="宋体"/>
          <w:sz w:val="24"/>
          <w:szCs w:val="24"/>
          <w:lang w:eastAsia="zh-CN"/>
        </w:rPr>
      </w:pPr>
      <w:r>
        <w:rPr>
          <w:spacing w:val="-31"/>
          <w:sz w:val="24"/>
          <w:szCs w:val="24"/>
        </w:rPr>
        <w:t>日期：</w:t>
      </w:r>
    </w:p>
    <w:p w14:paraId="0E93DA4D">
      <w:pPr>
        <w:spacing w:line="300" w:lineRule="auto"/>
        <w:rPr>
          <w:rFonts w:ascii="Arial"/>
          <w:sz w:val="21"/>
        </w:rPr>
      </w:pPr>
    </w:p>
    <w:p w14:paraId="4D677373">
      <w:pPr>
        <w:spacing w:line="300" w:lineRule="auto"/>
        <w:rPr>
          <w:rFonts w:ascii="Arial"/>
          <w:sz w:val="21"/>
        </w:rPr>
      </w:pPr>
    </w:p>
    <w:p w14:paraId="07DE6623">
      <w:pPr>
        <w:spacing w:line="301" w:lineRule="auto"/>
        <w:rPr>
          <w:rFonts w:ascii="Arial"/>
          <w:sz w:val="21"/>
        </w:rPr>
      </w:pPr>
    </w:p>
    <w:p w14:paraId="513CE849">
      <w:pPr>
        <w:pStyle w:val="10"/>
        <w:spacing w:before="65" w:line="232" w:lineRule="auto"/>
        <w:ind w:left="120"/>
        <w:rPr>
          <w:sz w:val="20"/>
          <w:szCs w:val="20"/>
        </w:rPr>
      </w:pPr>
      <w:r>
        <w:rPr>
          <w:b/>
          <w:bCs/>
          <w:spacing w:val="-2"/>
          <w:sz w:val="20"/>
          <w:szCs w:val="20"/>
        </w:rPr>
        <w:t>注：</w:t>
      </w:r>
    </w:p>
    <w:p w14:paraId="59A5137F">
      <w:pPr>
        <w:pStyle w:val="10"/>
        <w:spacing w:before="157" w:line="227" w:lineRule="auto"/>
        <w:ind w:left="556"/>
        <w:rPr>
          <w:sz w:val="20"/>
          <w:szCs w:val="20"/>
        </w:rPr>
      </w:pPr>
      <w:r>
        <w:rPr>
          <w:spacing w:val="9"/>
          <w:sz w:val="20"/>
          <w:szCs w:val="20"/>
        </w:rPr>
        <w:t>1.本表内容根据磋商文件要求包括了磋商文件要求提</w:t>
      </w:r>
      <w:r>
        <w:rPr>
          <w:spacing w:val="8"/>
          <w:sz w:val="20"/>
          <w:szCs w:val="20"/>
        </w:rPr>
        <w:t>供的全部内容的所有费用。</w:t>
      </w:r>
    </w:p>
    <w:p w14:paraId="6C7CDB62">
      <w:pPr>
        <w:pStyle w:val="10"/>
        <w:spacing w:before="162" w:line="228" w:lineRule="auto"/>
        <w:ind w:left="543"/>
        <w:rPr>
          <w:sz w:val="20"/>
          <w:szCs w:val="20"/>
        </w:rPr>
      </w:pPr>
      <w:r>
        <w:rPr>
          <w:spacing w:val="7"/>
          <w:sz w:val="20"/>
          <w:szCs w:val="20"/>
        </w:rPr>
        <w:t>2.特殊事项在备注中注明。</w:t>
      </w:r>
    </w:p>
    <w:p w14:paraId="002B3E49">
      <w:pPr>
        <w:pStyle w:val="10"/>
        <w:spacing w:before="164" w:line="228" w:lineRule="auto"/>
        <w:ind w:left="545"/>
        <w:rPr>
          <w:sz w:val="20"/>
          <w:szCs w:val="20"/>
        </w:rPr>
      </w:pPr>
      <w:r>
        <w:rPr>
          <w:spacing w:val="6"/>
          <w:sz w:val="20"/>
          <w:szCs w:val="20"/>
        </w:rPr>
        <w:t>3.表中大写与小写不一致的，以大写为准。</w:t>
      </w:r>
    </w:p>
    <w:p w14:paraId="46319EA7">
      <w:pPr>
        <w:spacing w:line="273" w:lineRule="auto"/>
        <w:rPr>
          <w:rFonts w:hint="eastAsia" w:ascii="Arial" w:eastAsia="宋体"/>
          <w:sz w:val="21"/>
          <w:lang w:eastAsia="zh-CN"/>
        </w:rPr>
      </w:pPr>
      <w:r>
        <w:rPr>
          <w:rFonts w:hint="eastAsia" w:ascii="Arial" w:eastAsia="宋体"/>
          <w:sz w:val="21"/>
          <w:lang w:eastAsia="zh-CN"/>
        </w:rPr>
        <w:br w:type="page"/>
      </w:r>
    </w:p>
    <w:p w14:paraId="587E0FB9">
      <w:pPr>
        <w:spacing w:line="273" w:lineRule="auto"/>
        <w:rPr>
          <w:rFonts w:ascii="Arial"/>
          <w:sz w:val="21"/>
        </w:rPr>
      </w:pPr>
    </w:p>
    <w:p w14:paraId="1C0AFD20">
      <w:pPr>
        <w:spacing w:line="273" w:lineRule="auto"/>
        <w:rPr>
          <w:rFonts w:ascii="Arial"/>
          <w:sz w:val="21"/>
        </w:rPr>
      </w:pPr>
    </w:p>
    <w:p w14:paraId="7F3FC21C">
      <w:pPr>
        <w:spacing w:line="274" w:lineRule="auto"/>
        <w:rPr>
          <w:rFonts w:ascii="Arial"/>
          <w:sz w:val="21"/>
        </w:rPr>
      </w:pPr>
    </w:p>
    <w:p w14:paraId="208A4DE3">
      <w:pPr>
        <w:pStyle w:val="10"/>
        <w:spacing w:before="101" w:line="223" w:lineRule="auto"/>
        <w:ind w:left="2578"/>
        <w:outlineLvl w:val="1"/>
        <w:rPr>
          <w:rFonts w:hint="default" w:eastAsia="宋体"/>
          <w:sz w:val="31"/>
          <w:szCs w:val="31"/>
          <w:lang w:val="en-US" w:eastAsia="zh-CN"/>
        </w:rPr>
      </w:pPr>
      <w:r>
        <w:rPr>
          <w:b/>
          <w:bCs/>
          <w:spacing w:val="6"/>
          <w:sz w:val="31"/>
          <w:szCs w:val="31"/>
        </w:rPr>
        <w:t>二、</w:t>
      </w:r>
      <w:r>
        <w:rPr>
          <w:rFonts w:hint="eastAsia"/>
          <w:b/>
          <w:bCs/>
          <w:spacing w:val="6"/>
          <w:sz w:val="31"/>
          <w:szCs w:val="31"/>
          <w:lang w:val="en-US" w:eastAsia="zh-CN"/>
        </w:rPr>
        <w:t>分项报价表</w:t>
      </w:r>
    </w:p>
    <w:tbl>
      <w:tblPr>
        <w:tblStyle w:val="29"/>
        <w:tblW w:w="9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845"/>
        <w:gridCol w:w="1785"/>
        <w:gridCol w:w="1338"/>
        <w:gridCol w:w="1202"/>
        <w:gridCol w:w="1026"/>
      </w:tblGrid>
      <w:tr w14:paraId="49F53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78681D51">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序号</w:t>
            </w:r>
          </w:p>
        </w:tc>
        <w:tc>
          <w:tcPr>
            <w:tcW w:w="3845" w:type="dxa"/>
            <w:vAlign w:val="center"/>
          </w:tcPr>
          <w:p w14:paraId="7669B5A4">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cs="Times New Roman" w:eastAsiaTheme="minorEastAsia"/>
                <w:b w:val="0"/>
                <w:sz w:val="28"/>
                <w:szCs w:val="28"/>
                <w:shd w:val="clear"/>
                <w:vertAlign w:val="baseline"/>
                <w:lang w:eastAsia="zh-CN"/>
              </w:rPr>
              <w:t>服务</w:t>
            </w:r>
            <w:r>
              <w:rPr>
                <w:rFonts w:hint="eastAsia" w:ascii="Times New Roman" w:hAnsi="Times New Roman" w:cs="Times New Roman" w:eastAsiaTheme="minorEastAsia"/>
                <w:b w:val="0"/>
                <w:sz w:val="28"/>
                <w:szCs w:val="28"/>
                <w:shd w:val="clear"/>
                <w:vertAlign w:val="baseline"/>
                <w:lang w:eastAsia="zh-CN"/>
              </w:rPr>
              <w:t>内容</w:t>
            </w:r>
          </w:p>
        </w:tc>
        <w:tc>
          <w:tcPr>
            <w:tcW w:w="1785" w:type="dxa"/>
            <w:vAlign w:val="center"/>
          </w:tcPr>
          <w:p w14:paraId="32933917">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单价</w:t>
            </w:r>
          </w:p>
        </w:tc>
        <w:tc>
          <w:tcPr>
            <w:tcW w:w="1338" w:type="dxa"/>
            <w:vAlign w:val="center"/>
          </w:tcPr>
          <w:p w14:paraId="4B6E5D45">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cs="Times New Roman" w:eastAsiaTheme="minorEastAsia"/>
                <w:b w:val="0"/>
                <w:sz w:val="28"/>
                <w:szCs w:val="28"/>
                <w:shd w:val="clear"/>
                <w:vertAlign w:val="baseline"/>
                <w:lang w:eastAsia="zh-CN"/>
              </w:rPr>
              <w:t>数量</w:t>
            </w:r>
          </w:p>
        </w:tc>
        <w:tc>
          <w:tcPr>
            <w:tcW w:w="1202" w:type="dxa"/>
            <w:vAlign w:val="center"/>
          </w:tcPr>
          <w:p w14:paraId="046E1E41">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合计（元）</w:t>
            </w:r>
          </w:p>
        </w:tc>
        <w:tc>
          <w:tcPr>
            <w:tcW w:w="1026" w:type="dxa"/>
            <w:vAlign w:val="center"/>
          </w:tcPr>
          <w:p w14:paraId="2C8240F1">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备注</w:t>
            </w:r>
          </w:p>
        </w:tc>
      </w:tr>
      <w:tr w14:paraId="728F3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2B0B7E2D">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val="en-US" w:eastAsia="zh-CN"/>
              </w:rPr>
            </w:pPr>
            <w:r>
              <w:rPr>
                <w:rFonts w:hint="default" w:cs="Times New Roman" w:eastAsiaTheme="minorEastAsia"/>
                <w:b w:val="0"/>
                <w:sz w:val="28"/>
                <w:szCs w:val="28"/>
                <w:shd w:val="clear"/>
                <w:vertAlign w:val="baseline"/>
                <w:lang w:val="en-US" w:eastAsia="zh-CN"/>
              </w:rPr>
              <w:t>1</w:t>
            </w:r>
          </w:p>
        </w:tc>
        <w:tc>
          <w:tcPr>
            <w:tcW w:w="3845" w:type="dxa"/>
            <w:vAlign w:val="center"/>
          </w:tcPr>
          <w:p w14:paraId="5D89F3A0">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785" w:type="dxa"/>
            <w:vAlign w:val="center"/>
          </w:tcPr>
          <w:p w14:paraId="3EBD6AFE">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338" w:type="dxa"/>
            <w:vAlign w:val="center"/>
          </w:tcPr>
          <w:p w14:paraId="6826841C">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202" w:type="dxa"/>
            <w:vAlign w:val="center"/>
          </w:tcPr>
          <w:p w14:paraId="0BE886D5">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14:paraId="105D5649">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r>
      <w:tr w14:paraId="4A98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3493D38D">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val="en-US" w:eastAsia="zh-CN"/>
              </w:rPr>
            </w:pPr>
            <w:r>
              <w:rPr>
                <w:rFonts w:hint="default" w:cs="Times New Roman" w:eastAsiaTheme="minorEastAsia"/>
                <w:b w:val="0"/>
                <w:sz w:val="28"/>
                <w:szCs w:val="28"/>
                <w:shd w:val="clear"/>
                <w:vertAlign w:val="baseline"/>
                <w:lang w:val="en-US" w:eastAsia="zh-CN"/>
              </w:rPr>
              <w:t>2</w:t>
            </w:r>
          </w:p>
        </w:tc>
        <w:tc>
          <w:tcPr>
            <w:tcW w:w="3845" w:type="dxa"/>
            <w:vAlign w:val="center"/>
          </w:tcPr>
          <w:p w14:paraId="0F852380">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785" w:type="dxa"/>
            <w:vAlign w:val="center"/>
          </w:tcPr>
          <w:p w14:paraId="5FE94D84">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338" w:type="dxa"/>
            <w:vAlign w:val="center"/>
          </w:tcPr>
          <w:p w14:paraId="03AA9A8B">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202" w:type="dxa"/>
            <w:vAlign w:val="center"/>
          </w:tcPr>
          <w:p w14:paraId="4DB7FE02">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14:paraId="2387AB85">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r>
      <w:tr w14:paraId="4867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347C1335">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6968" w:type="dxa"/>
            <w:gridSpan w:val="3"/>
            <w:vAlign w:val="center"/>
          </w:tcPr>
          <w:p w14:paraId="1214E76B">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总价</w:t>
            </w:r>
          </w:p>
        </w:tc>
        <w:tc>
          <w:tcPr>
            <w:tcW w:w="1202" w:type="dxa"/>
            <w:vAlign w:val="center"/>
          </w:tcPr>
          <w:p w14:paraId="14ED0917">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14:paraId="6B261BE9">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r>
    </w:tbl>
    <w:p w14:paraId="1F1B026A">
      <w:pPr>
        <w:pStyle w:val="10"/>
        <w:spacing w:before="145" w:line="219" w:lineRule="auto"/>
        <w:ind w:left="122"/>
        <w:rPr>
          <w:rFonts w:hint="eastAsia" w:eastAsia="宋体"/>
          <w:sz w:val="24"/>
          <w:szCs w:val="24"/>
          <w:lang w:eastAsia="zh-CN"/>
        </w:rPr>
      </w:pPr>
      <w:r>
        <w:rPr>
          <w:spacing w:val="-2"/>
          <w:sz w:val="24"/>
          <w:szCs w:val="24"/>
        </w:rPr>
        <w:t>供应商名称（公章</w:t>
      </w:r>
      <w:r>
        <w:rPr>
          <w:spacing w:val="2"/>
          <w:sz w:val="24"/>
          <w:szCs w:val="24"/>
        </w:rPr>
        <w:t>）：</w:t>
      </w:r>
    </w:p>
    <w:p w14:paraId="132944D5">
      <w:pPr>
        <w:pStyle w:val="10"/>
        <w:spacing w:before="157" w:line="220" w:lineRule="auto"/>
        <w:ind w:left="163"/>
        <w:rPr>
          <w:rFonts w:hint="eastAsia" w:eastAsia="宋体"/>
          <w:sz w:val="24"/>
          <w:szCs w:val="24"/>
          <w:lang w:eastAsia="zh-CN"/>
        </w:rPr>
      </w:pPr>
      <w:r>
        <w:rPr>
          <w:spacing w:val="-31"/>
          <w:sz w:val="24"/>
          <w:szCs w:val="24"/>
        </w:rPr>
        <w:t>日期：</w:t>
      </w:r>
    </w:p>
    <w:p w14:paraId="4B5922F9">
      <w:pPr>
        <w:spacing w:line="355" w:lineRule="auto"/>
        <w:rPr>
          <w:rFonts w:hint="eastAsia" w:ascii="Arial" w:eastAsia="宋体"/>
          <w:sz w:val="21"/>
          <w:lang w:eastAsia="zh-CN"/>
        </w:rPr>
      </w:pPr>
      <w:r>
        <w:rPr>
          <w:rFonts w:hint="eastAsia" w:ascii="Arial" w:eastAsia="宋体"/>
          <w:sz w:val="21"/>
          <w:lang w:eastAsia="zh-CN"/>
        </w:rPr>
        <w:br w:type="page"/>
      </w:r>
    </w:p>
    <w:p w14:paraId="357BD307">
      <w:pPr>
        <w:pStyle w:val="10"/>
        <w:spacing w:before="78" w:line="221" w:lineRule="auto"/>
        <w:ind w:left="502"/>
        <w:rPr>
          <w:sz w:val="24"/>
          <w:szCs w:val="24"/>
        </w:rPr>
      </w:pPr>
      <w:r>
        <w:rPr>
          <w:spacing w:val="-3"/>
          <w:sz w:val="24"/>
          <w:szCs w:val="24"/>
        </w:rPr>
        <w:t>封面：</w:t>
      </w:r>
    </w:p>
    <w:p w14:paraId="40BFA132">
      <w:pPr>
        <w:spacing w:line="278" w:lineRule="auto"/>
        <w:rPr>
          <w:rFonts w:ascii="Arial"/>
          <w:sz w:val="21"/>
        </w:rPr>
      </w:pPr>
    </w:p>
    <w:p w14:paraId="151CB451">
      <w:pPr>
        <w:spacing w:line="279" w:lineRule="auto"/>
        <w:rPr>
          <w:rFonts w:ascii="Arial"/>
          <w:sz w:val="21"/>
        </w:rPr>
      </w:pPr>
    </w:p>
    <w:p w14:paraId="2555EFAA">
      <w:pPr>
        <w:spacing w:line="279" w:lineRule="auto"/>
        <w:rPr>
          <w:rFonts w:ascii="Arial"/>
          <w:sz w:val="21"/>
        </w:rPr>
      </w:pPr>
    </w:p>
    <w:p w14:paraId="0C0D8CDD">
      <w:pPr>
        <w:spacing w:line="279" w:lineRule="auto"/>
        <w:rPr>
          <w:rFonts w:ascii="Arial"/>
          <w:sz w:val="21"/>
        </w:rPr>
      </w:pPr>
    </w:p>
    <w:p w14:paraId="50596A31">
      <w:pPr>
        <w:spacing w:line="279" w:lineRule="auto"/>
        <w:rPr>
          <w:rFonts w:ascii="Arial"/>
          <w:sz w:val="21"/>
        </w:rPr>
      </w:pPr>
    </w:p>
    <w:p w14:paraId="6DA796B1">
      <w:pPr>
        <w:pStyle w:val="10"/>
        <w:spacing w:before="269" w:line="222" w:lineRule="auto"/>
        <w:ind w:left="1923"/>
        <w:rPr>
          <w:sz w:val="83"/>
          <w:szCs w:val="83"/>
        </w:rPr>
      </w:pPr>
      <w:r>
        <w:rPr>
          <w:b/>
          <w:bCs/>
          <w:spacing w:val="-39"/>
          <w:sz w:val="83"/>
          <w:szCs w:val="83"/>
        </w:rPr>
        <w:t>响应文件</w:t>
      </w:r>
    </w:p>
    <w:p w14:paraId="30370D1C">
      <w:pPr>
        <w:pStyle w:val="10"/>
        <w:spacing w:before="237" w:line="222" w:lineRule="auto"/>
        <w:ind w:left="2511"/>
        <w:rPr>
          <w:sz w:val="55"/>
          <w:szCs w:val="55"/>
        </w:rPr>
      </w:pPr>
      <w:r>
        <w:rPr>
          <w:b/>
          <w:bCs/>
          <w:sz w:val="55"/>
          <w:szCs w:val="55"/>
        </w:rPr>
        <w:t>商务技术文件</w:t>
      </w:r>
    </w:p>
    <w:p w14:paraId="0F0881B1">
      <w:pPr>
        <w:spacing w:line="242" w:lineRule="auto"/>
        <w:rPr>
          <w:rFonts w:ascii="Arial"/>
          <w:sz w:val="21"/>
        </w:rPr>
      </w:pPr>
    </w:p>
    <w:p w14:paraId="0187BEB6">
      <w:pPr>
        <w:spacing w:line="242" w:lineRule="auto"/>
        <w:rPr>
          <w:rFonts w:ascii="Arial"/>
          <w:sz w:val="21"/>
        </w:rPr>
      </w:pPr>
    </w:p>
    <w:p w14:paraId="25A950D2">
      <w:pPr>
        <w:spacing w:line="242" w:lineRule="auto"/>
        <w:rPr>
          <w:rFonts w:ascii="Arial"/>
          <w:sz w:val="21"/>
        </w:rPr>
      </w:pPr>
    </w:p>
    <w:p w14:paraId="1DD4F170">
      <w:pPr>
        <w:spacing w:line="242" w:lineRule="auto"/>
        <w:rPr>
          <w:rFonts w:ascii="Arial"/>
          <w:sz w:val="21"/>
        </w:rPr>
      </w:pPr>
    </w:p>
    <w:p w14:paraId="59F782F2">
      <w:pPr>
        <w:spacing w:line="242" w:lineRule="auto"/>
        <w:rPr>
          <w:rFonts w:ascii="Arial"/>
          <w:sz w:val="21"/>
        </w:rPr>
      </w:pPr>
    </w:p>
    <w:p w14:paraId="2C9A501D">
      <w:pPr>
        <w:spacing w:line="242" w:lineRule="auto"/>
        <w:rPr>
          <w:rFonts w:ascii="Arial"/>
          <w:sz w:val="21"/>
        </w:rPr>
      </w:pPr>
    </w:p>
    <w:p w14:paraId="7DF6ABFE">
      <w:pPr>
        <w:spacing w:line="242" w:lineRule="auto"/>
        <w:rPr>
          <w:rFonts w:ascii="Arial"/>
          <w:sz w:val="21"/>
        </w:rPr>
      </w:pPr>
    </w:p>
    <w:p w14:paraId="13C19766">
      <w:pPr>
        <w:spacing w:line="242" w:lineRule="auto"/>
        <w:rPr>
          <w:rFonts w:ascii="Arial"/>
          <w:sz w:val="21"/>
        </w:rPr>
      </w:pPr>
    </w:p>
    <w:p w14:paraId="7BA98CD2">
      <w:pPr>
        <w:spacing w:line="242" w:lineRule="auto"/>
        <w:rPr>
          <w:rFonts w:ascii="Arial"/>
          <w:sz w:val="21"/>
        </w:rPr>
      </w:pPr>
    </w:p>
    <w:p w14:paraId="4BA016A5">
      <w:pPr>
        <w:spacing w:line="243" w:lineRule="auto"/>
        <w:rPr>
          <w:rFonts w:ascii="Arial"/>
          <w:sz w:val="21"/>
        </w:rPr>
      </w:pPr>
    </w:p>
    <w:p w14:paraId="2D52C729">
      <w:pPr>
        <w:spacing w:line="243" w:lineRule="auto"/>
        <w:rPr>
          <w:rFonts w:ascii="Arial"/>
          <w:sz w:val="21"/>
        </w:rPr>
      </w:pPr>
    </w:p>
    <w:p w14:paraId="6FD81174">
      <w:pPr>
        <w:spacing w:line="243" w:lineRule="auto"/>
        <w:rPr>
          <w:rFonts w:ascii="Arial"/>
          <w:sz w:val="21"/>
        </w:rPr>
      </w:pPr>
    </w:p>
    <w:p w14:paraId="60B74336">
      <w:pPr>
        <w:spacing w:line="243" w:lineRule="auto"/>
        <w:rPr>
          <w:rFonts w:ascii="Arial"/>
          <w:sz w:val="21"/>
        </w:rPr>
      </w:pPr>
    </w:p>
    <w:p w14:paraId="29F865F5">
      <w:pPr>
        <w:spacing w:line="243" w:lineRule="auto"/>
        <w:rPr>
          <w:rFonts w:ascii="Arial"/>
          <w:sz w:val="21"/>
        </w:rPr>
      </w:pPr>
    </w:p>
    <w:p w14:paraId="39666DA5">
      <w:pPr>
        <w:spacing w:line="243" w:lineRule="auto"/>
        <w:rPr>
          <w:rFonts w:ascii="Arial"/>
          <w:sz w:val="21"/>
        </w:rPr>
      </w:pPr>
    </w:p>
    <w:p w14:paraId="50424D9B">
      <w:pPr>
        <w:pStyle w:val="10"/>
        <w:spacing w:before="114" w:line="225" w:lineRule="auto"/>
        <w:ind w:left="453"/>
        <w:rPr>
          <w:rFonts w:hint="eastAsia" w:eastAsia="宋体"/>
          <w:lang w:eastAsia="zh-CN"/>
        </w:rPr>
      </w:pPr>
      <w:r>
        <w:rPr>
          <w:spacing w:val="6"/>
        </w:rPr>
        <w:t>项目编号/包号：</w:t>
      </w:r>
    </w:p>
    <w:p w14:paraId="087E4270">
      <w:pPr>
        <w:pStyle w:val="10"/>
        <w:spacing w:before="199" w:line="330" w:lineRule="auto"/>
        <w:ind w:left="448" w:right="340" w:firstLine="5"/>
        <w:rPr>
          <w:rFonts w:hint="eastAsia" w:eastAsia="宋体"/>
          <w:spacing w:val="5"/>
          <w:u w:val="single" w:color="auto"/>
          <w:lang w:eastAsia="zh-CN"/>
        </w:rPr>
      </w:pPr>
      <w:r>
        <w:rPr>
          <w:spacing w:val="5"/>
        </w:rPr>
        <w:t>项目名称：</w:t>
      </w:r>
    </w:p>
    <w:p w14:paraId="6B31EC92">
      <w:pPr>
        <w:pStyle w:val="10"/>
        <w:spacing w:before="199" w:line="330" w:lineRule="auto"/>
        <w:ind w:left="448" w:right="340" w:firstLine="5"/>
        <w:rPr>
          <w:rFonts w:hint="eastAsia" w:eastAsia="宋体"/>
          <w:u w:val="none" w:color="auto"/>
          <w:lang w:eastAsia="zh-CN"/>
        </w:rPr>
      </w:pPr>
      <w:r>
        <w:rPr>
          <w:spacing w:val="-14"/>
        </w:rPr>
        <w:t>供应商：</w:t>
      </w:r>
    </w:p>
    <w:p w14:paraId="3D45EC5B">
      <w:pPr>
        <w:pStyle w:val="10"/>
        <w:spacing w:before="199" w:line="330" w:lineRule="auto"/>
        <w:ind w:left="448" w:right="340" w:firstLine="5"/>
        <w:rPr>
          <w:spacing w:val="-6"/>
          <w:sz w:val="31"/>
          <w:szCs w:val="31"/>
        </w:rPr>
      </w:pPr>
    </w:p>
    <w:p w14:paraId="0BB70D72">
      <w:pPr>
        <w:pStyle w:val="10"/>
        <w:spacing w:before="199" w:line="330" w:lineRule="auto"/>
        <w:ind w:left="448" w:right="340" w:firstLine="5"/>
        <w:rPr>
          <w:spacing w:val="-6"/>
          <w:sz w:val="31"/>
          <w:szCs w:val="31"/>
        </w:rPr>
      </w:pPr>
    </w:p>
    <w:p w14:paraId="74AB0B85">
      <w:pPr>
        <w:pStyle w:val="10"/>
        <w:spacing w:before="199" w:line="330" w:lineRule="auto"/>
        <w:ind w:left="448" w:right="340" w:firstLine="5"/>
        <w:rPr>
          <w:spacing w:val="-6"/>
          <w:sz w:val="31"/>
          <w:szCs w:val="31"/>
        </w:rPr>
      </w:pPr>
    </w:p>
    <w:p w14:paraId="603A3289">
      <w:pPr>
        <w:pStyle w:val="10"/>
        <w:spacing w:before="199" w:line="330" w:lineRule="auto"/>
        <w:ind w:left="448" w:right="340" w:firstLine="5"/>
        <w:rPr>
          <w:spacing w:val="-6"/>
          <w:sz w:val="31"/>
          <w:szCs w:val="31"/>
        </w:rPr>
      </w:pPr>
    </w:p>
    <w:p w14:paraId="743CB4C7">
      <w:pPr>
        <w:pStyle w:val="10"/>
        <w:spacing w:before="199" w:line="330" w:lineRule="auto"/>
        <w:ind w:left="448" w:right="340" w:firstLine="5"/>
        <w:rPr>
          <w:spacing w:val="-6"/>
          <w:sz w:val="31"/>
          <w:szCs w:val="31"/>
        </w:rPr>
      </w:pPr>
    </w:p>
    <w:p w14:paraId="15A1A1B0">
      <w:pPr>
        <w:pStyle w:val="10"/>
        <w:spacing w:before="199" w:line="330" w:lineRule="auto"/>
        <w:ind w:right="340"/>
        <w:jc w:val="center"/>
        <w:rPr>
          <w:u w:val="none" w:color="auto"/>
        </w:rPr>
      </w:pPr>
      <w:r>
        <w:rPr>
          <w:spacing w:val="-6"/>
          <w:sz w:val="31"/>
          <w:szCs w:val="31"/>
        </w:rPr>
        <w:t>年月日</w:t>
      </w:r>
    </w:p>
    <w:p w14:paraId="009C0ABB">
      <w:pPr>
        <w:spacing w:line="372" w:lineRule="auto"/>
        <w:rPr>
          <w:rFonts w:hint="eastAsia" w:ascii="Arial" w:eastAsia="宋体"/>
          <w:sz w:val="21"/>
          <w:lang w:eastAsia="zh-CN"/>
        </w:rPr>
      </w:pPr>
      <w:r>
        <w:rPr>
          <w:rFonts w:hint="eastAsia" w:ascii="Arial" w:eastAsia="宋体"/>
          <w:sz w:val="21"/>
          <w:lang w:eastAsia="zh-CN"/>
        </w:rPr>
        <w:br w:type="page"/>
      </w:r>
    </w:p>
    <w:p w14:paraId="597EE473">
      <w:pPr>
        <w:pStyle w:val="10"/>
        <w:spacing w:before="101" w:line="226" w:lineRule="auto"/>
        <w:ind w:left="3382"/>
        <w:outlineLvl w:val="1"/>
        <w:rPr>
          <w:sz w:val="31"/>
          <w:szCs w:val="31"/>
        </w:rPr>
      </w:pPr>
      <w:r>
        <w:rPr>
          <w:b/>
          <w:bCs/>
          <w:spacing w:val="3"/>
          <w:sz w:val="31"/>
          <w:szCs w:val="31"/>
        </w:rPr>
        <w:t>一、响应函</w:t>
      </w:r>
    </w:p>
    <w:p w14:paraId="6EA1465F">
      <w:pPr>
        <w:pStyle w:val="10"/>
        <w:spacing w:before="304" w:line="219" w:lineRule="auto"/>
        <w:ind w:left="23"/>
        <w:rPr>
          <w:sz w:val="24"/>
          <w:szCs w:val="24"/>
        </w:rPr>
      </w:pPr>
      <w:r>
        <w:rPr>
          <w:spacing w:val="11"/>
          <w:sz w:val="24"/>
          <w:szCs w:val="24"/>
        </w:rPr>
        <w:t>致</w:t>
      </w:r>
      <w:r>
        <w:rPr>
          <w:spacing w:val="-33"/>
          <w:sz w:val="24"/>
          <w:szCs w:val="24"/>
        </w:rPr>
        <w:t>：（</w:t>
      </w:r>
      <w:r>
        <w:rPr>
          <w:spacing w:val="11"/>
          <w:sz w:val="24"/>
          <w:szCs w:val="24"/>
        </w:rPr>
        <w:t>采购人）</w:t>
      </w:r>
    </w:p>
    <w:p w14:paraId="5EC5C256">
      <w:pPr>
        <w:pStyle w:val="10"/>
        <w:spacing w:before="183" w:line="351" w:lineRule="auto"/>
        <w:ind w:left="26" w:right="219" w:firstLine="477"/>
        <w:rPr>
          <w:sz w:val="24"/>
          <w:szCs w:val="24"/>
        </w:rPr>
      </w:pPr>
      <w:r>
        <w:rPr>
          <w:spacing w:val="-1"/>
          <w:sz w:val="24"/>
          <w:szCs w:val="24"/>
        </w:rPr>
        <w:t>根据贵方</w:t>
      </w:r>
      <w:r>
        <w:rPr>
          <w:spacing w:val="-1"/>
          <w:sz w:val="24"/>
          <w:szCs w:val="24"/>
          <w:u w:val="single" w:color="auto"/>
        </w:rPr>
        <w:t>（项目名称</w:t>
      </w:r>
      <w:r>
        <w:rPr>
          <w:spacing w:val="-33"/>
          <w:sz w:val="24"/>
          <w:szCs w:val="24"/>
          <w:u w:val="single" w:color="auto"/>
        </w:rPr>
        <w:t>）（</w:t>
      </w:r>
      <w:r>
        <w:rPr>
          <w:spacing w:val="-1"/>
          <w:sz w:val="24"/>
          <w:szCs w:val="24"/>
          <w:u w:val="single" w:color="auto"/>
        </w:rPr>
        <w:t>项目编号）</w:t>
      </w:r>
      <w:r>
        <w:rPr>
          <w:spacing w:val="-1"/>
          <w:sz w:val="24"/>
          <w:szCs w:val="24"/>
        </w:rPr>
        <w:t>项目的竞争性磋商公告</w:t>
      </w:r>
      <w:r>
        <w:rPr>
          <w:spacing w:val="-2"/>
          <w:sz w:val="24"/>
          <w:szCs w:val="24"/>
        </w:rPr>
        <w:t>，签字代表</w:t>
      </w:r>
      <w:r>
        <w:rPr>
          <w:spacing w:val="-2"/>
          <w:sz w:val="24"/>
          <w:szCs w:val="24"/>
          <w:u w:val="single" w:color="auto"/>
        </w:rPr>
        <w:t>（姓</w:t>
      </w:r>
      <w:r>
        <w:rPr>
          <w:spacing w:val="-1"/>
          <w:sz w:val="24"/>
          <w:szCs w:val="24"/>
          <w:u w:val="single" w:color="auto"/>
        </w:rPr>
        <w:t>名、职务）</w:t>
      </w:r>
      <w:r>
        <w:rPr>
          <w:spacing w:val="-1"/>
          <w:sz w:val="24"/>
          <w:szCs w:val="24"/>
        </w:rPr>
        <w:t>经正式授权并代表供应商</w:t>
      </w:r>
      <w:r>
        <w:rPr>
          <w:spacing w:val="-1"/>
          <w:sz w:val="24"/>
          <w:szCs w:val="24"/>
          <w:u w:val="single" w:color="auto"/>
        </w:rPr>
        <w:t>（供应商名称、地址）</w:t>
      </w:r>
      <w:r>
        <w:rPr>
          <w:spacing w:val="-1"/>
          <w:sz w:val="24"/>
          <w:szCs w:val="24"/>
        </w:rPr>
        <w:t>提交下述文件</w:t>
      </w:r>
      <w:r>
        <w:rPr>
          <w:b/>
          <w:bCs/>
          <w:spacing w:val="-1"/>
          <w:sz w:val="24"/>
          <w:szCs w:val="24"/>
        </w:rPr>
        <w:t>：</w:t>
      </w:r>
    </w:p>
    <w:p w14:paraId="7134A996">
      <w:pPr>
        <w:pStyle w:val="10"/>
        <w:spacing w:line="219" w:lineRule="auto"/>
        <w:ind w:left="521"/>
        <w:rPr>
          <w:sz w:val="24"/>
          <w:szCs w:val="24"/>
        </w:rPr>
      </w:pPr>
      <w:r>
        <w:rPr>
          <w:spacing w:val="-4"/>
          <w:sz w:val="24"/>
          <w:szCs w:val="24"/>
        </w:rPr>
        <w:t>1.资格证明文件；</w:t>
      </w:r>
    </w:p>
    <w:p w14:paraId="401728F1">
      <w:pPr>
        <w:pStyle w:val="10"/>
        <w:spacing w:before="134" w:line="218" w:lineRule="auto"/>
        <w:ind w:left="506"/>
        <w:rPr>
          <w:sz w:val="24"/>
          <w:szCs w:val="24"/>
        </w:rPr>
      </w:pPr>
      <w:r>
        <w:rPr>
          <w:spacing w:val="-2"/>
          <w:sz w:val="24"/>
          <w:szCs w:val="24"/>
        </w:rPr>
        <w:t>2.报价文件；</w:t>
      </w:r>
    </w:p>
    <w:p w14:paraId="6C0AAE55">
      <w:pPr>
        <w:pStyle w:val="10"/>
        <w:spacing w:before="140" w:line="219" w:lineRule="auto"/>
        <w:ind w:left="508"/>
        <w:rPr>
          <w:sz w:val="24"/>
          <w:szCs w:val="24"/>
        </w:rPr>
      </w:pPr>
      <w:r>
        <w:rPr>
          <w:spacing w:val="-2"/>
          <w:sz w:val="24"/>
          <w:szCs w:val="24"/>
        </w:rPr>
        <w:t>3.商务技术文件。</w:t>
      </w:r>
    </w:p>
    <w:p w14:paraId="768EB8DA">
      <w:pPr>
        <w:pStyle w:val="10"/>
        <w:spacing w:before="134" w:line="219" w:lineRule="auto"/>
        <w:ind w:left="503"/>
        <w:rPr>
          <w:sz w:val="24"/>
          <w:szCs w:val="24"/>
        </w:rPr>
      </w:pPr>
      <w:r>
        <w:rPr>
          <w:spacing w:val="-1"/>
          <w:sz w:val="24"/>
          <w:szCs w:val="24"/>
        </w:rPr>
        <w:t>根据此函，签字代表宣布同意如下：</w:t>
      </w:r>
    </w:p>
    <w:p w14:paraId="0AF631A3">
      <w:pPr>
        <w:pStyle w:val="10"/>
        <w:spacing w:before="138" w:line="324" w:lineRule="auto"/>
        <w:ind w:left="43" w:firstLine="478"/>
        <w:rPr>
          <w:sz w:val="24"/>
          <w:szCs w:val="24"/>
        </w:rPr>
      </w:pPr>
      <w:r>
        <w:rPr>
          <w:spacing w:val="-4"/>
          <w:sz w:val="24"/>
          <w:szCs w:val="24"/>
        </w:rPr>
        <w:t>1.所附报价一览表中规定的应提交和交付的工程及相关的货物和服务（</w:t>
      </w:r>
      <w:r>
        <w:rPr>
          <w:spacing w:val="-5"/>
          <w:sz w:val="24"/>
          <w:szCs w:val="24"/>
        </w:rPr>
        <w:t>如有）的报价为。</w:t>
      </w:r>
    </w:p>
    <w:p w14:paraId="1445E7ED">
      <w:pPr>
        <w:pStyle w:val="10"/>
        <w:spacing w:before="1" w:line="219" w:lineRule="auto"/>
        <w:ind w:left="506"/>
        <w:rPr>
          <w:sz w:val="24"/>
          <w:szCs w:val="24"/>
        </w:rPr>
      </w:pPr>
      <w:r>
        <w:rPr>
          <w:spacing w:val="-1"/>
          <w:sz w:val="24"/>
          <w:szCs w:val="24"/>
        </w:rPr>
        <w:t>2.我方将按竞争性磋商文件的规定履行合同责任和义务。</w:t>
      </w:r>
    </w:p>
    <w:p w14:paraId="2C174B2C">
      <w:pPr>
        <w:pStyle w:val="10"/>
        <w:spacing w:before="134" w:line="324" w:lineRule="auto"/>
        <w:ind w:left="43" w:right="219" w:firstLine="465"/>
        <w:rPr>
          <w:sz w:val="24"/>
          <w:szCs w:val="24"/>
        </w:rPr>
      </w:pPr>
      <w:r>
        <w:rPr>
          <w:spacing w:val="-1"/>
          <w:sz w:val="24"/>
          <w:szCs w:val="24"/>
        </w:rPr>
        <w:t>3.我方已详细审查全部竞争性磋商文件，包括第</w:t>
      </w:r>
      <w:r>
        <w:rPr>
          <w:spacing w:val="-1"/>
          <w:sz w:val="24"/>
          <w:szCs w:val="24"/>
          <w:u w:val="single" w:color="auto"/>
        </w:rPr>
        <w:t>（编号、</w:t>
      </w:r>
      <w:r>
        <w:rPr>
          <w:spacing w:val="-2"/>
          <w:sz w:val="24"/>
          <w:szCs w:val="24"/>
          <w:u w:val="single" w:color="auto"/>
        </w:rPr>
        <w:t>补遗书</w:t>
      </w:r>
      <w:r>
        <w:rPr>
          <w:spacing w:val="-36"/>
          <w:sz w:val="24"/>
          <w:szCs w:val="24"/>
          <w:u w:val="single" w:color="auto"/>
        </w:rPr>
        <w:t>）（</w:t>
      </w:r>
      <w:r>
        <w:rPr>
          <w:spacing w:val="-2"/>
          <w:sz w:val="24"/>
          <w:szCs w:val="24"/>
          <w:u w:val="single" w:color="auto"/>
        </w:rPr>
        <w:t>如果有</w:t>
      </w:r>
      <w:r>
        <w:rPr>
          <w:spacing w:val="-1"/>
          <w:sz w:val="24"/>
          <w:szCs w:val="24"/>
          <w:u w:val="single" w:color="auto"/>
        </w:rPr>
        <w:t>的话）</w:t>
      </w:r>
      <w:r>
        <w:rPr>
          <w:spacing w:val="-1"/>
          <w:sz w:val="24"/>
          <w:szCs w:val="24"/>
        </w:rPr>
        <w:t>。我方完全理解并同意放弃对这方面有不明及误解的权</w:t>
      </w:r>
      <w:r>
        <w:rPr>
          <w:spacing w:val="-2"/>
          <w:sz w:val="24"/>
          <w:szCs w:val="24"/>
        </w:rPr>
        <w:t>力。</w:t>
      </w:r>
    </w:p>
    <w:p w14:paraId="5FC9FE16">
      <w:pPr>
        <w:pStyle w:val="10"/>
        <w:spacing w:before="1" w:line="218" w:lineRule="auto"/>
        <w:ind w:left="502"/>
        <w:rPr>
          <w:sz w:val="24"/>
          <w:szCs w:val="24"/>
        </w:rPr>
      </w:pPr>
      <w:r>
        <w:rPr>
          <w:spacing w:val="-2"/>
          <w:sz w:val="24"/>
          <w:szCs w:val="24"/>
        </w:rPr>
        <w:t>4.响应有效期为自提交响应文件的截止之日起</w:t>
      </w:r>
      <w:r>
        <w:rPr>
          <w:spacing w:val="-2"/>
          <w:sz w:val="24"/>
          <w:szCs w:val="24"/>
          <w:u w:val="single" w:color="auto"/>
        </w:rPr>
        <w:t>（由供应商填写）</w:t>
      </w:r>
      <w:r>
        <w:rPr>
          <w:spacing w:val="-2"/>
          <w:sz w:val="24"/>
          <w:szCs w:val="24"/>
        </w:rPr>
        <w:t>个日历天。</w:t>
      </w:r>
    </w:p>
    <w:p w14:paraId="59DAC122">
      <w:pPr>
        <w:pStyle w:val="10"/>
        <w:spacing w:before="138" w:line="324" w:lineRule="auto"/>
        <w:ind w:left="25" w:right="165" w:firstLine="482"/>
        <w:rPr>
          <w:sz w:val="24"/>
          <w:szCs w:val="24"/>
        </w:rPr>
      </w:pPr>
      <w:r>
        <w:rPr>
          <w:spacing w:val="4"/>
          <w:sz w:val="24"/>
          <w:szCs w:val="24"/>
        </w:rPr>
        <w:t>5.我方同意提供按照贵方竞争性磋商文件要求的与其磋商响应有关的一切</w:t>
      </w:r>
      <w:r>
        <w:rPr>
          <w:spacing w:val="-2"/>
          <w:sz w:val="24"/>
          <w:szCs w:val="24"/>
        </w:rPr>
        <w:t>数据或资料，采用综合评分法时，我方完全理解贵方不一定接受最低价的响应。</w:t>
      </w:r>
    </w:p>
    <w:p w14:paraId="2A4199B6">
      <w:pPr>
        <w:pStyle w:val="10"/>
        <w:spacing w:before="2" w:line="302" w:lineRule="auto"/>
        <w:ind w:left="24" w:right="219" w:firstLine="480"/>
        <w:rPr>
          <w:sz w:val="24"/>
          <w:szCs w:val="24"/>
        </w:rPr>
      </w:pPr>
      <w:r>
        <w:rPr>
          <w:spacing w:val="-3"/>
          <w:sz w:val="24"/>
          <w:szCs w:val="24"/>
        </w:rPr>
        <w:t>6.本项目如由成交人支付采购代理服务费，我方同意按供应商须知</w:t>
      </w:r>
      <w:r>
        <w:rPr>
          <w:spacing w:val="-4"/>
          <w:sz w:val="24"/>
          <w:szCs w:val="24"/>
        </w:rPr>
        <w:t>前附表中</w:t>
      </w:r>
      <w:r>
        <w:rPr>
          <w:spacing w:val="-1"/>
          <w:sz w:val="24"/>
          <w:szCs w:val="24"/>
        </w:rPr>
        <w:t>规定向采购代理机构支付采购代理服务费。</w:t>
      </w:r>
    </w:p>
    <w:p w14:paraId="266A25E5">
      <w:pPr>
        <w:pStyle w:val="10"/>
        <w:spacing w:before="1" w:line="219" w:lineRule="auto"/>
        <w:ind w:left="509"/>
        <w:rPr>
          <w:sz w:val="24"/>
          <w:szCs w:val="24"/>
        </w:rPr>
      </w:pPr>
      <w:r>
        <w:rPr>
          <w:spacing w:val="-3"/>
          <w:sz w:val="24"/>
          <w:szCs w:val="24"/>
        </w:rPr>
        <w:t>7.重要声明：</w:t>
      </w:r>
    </w:p>
    <w:p w14:paraId="16C9DAB9">
      <w:pPr>
        <w:pStyle w:val="10"/>
        <w:spacing w:before="135" w:line="219" w:lineRule="auto"/>
        <w:ind w:left="521"/>
        <w:rPr>
          <w:sz w:val="24"/>
          <w:szCs w:val="24"/>
        </w:rPr>
      </w:pPr>
      <w:r>
        <w:rPr>
          <w:spacing w:val="-2"/>
          <w:sz w:val="24"/>
          <w:szCs w:val="24"/>
        </w:rPr>
        <w:t>1）与我方单位负责人为同一人的其他单位名称：</w:t>
      </w:r>
    </w:p>
    <w:p w14:paraId="4EB42F7A">
      <w:pPr>
        <w:pStyle w:val="10"/>
        <w:spacing w:before="135" w:line="219" w:lineRule="auto"/>
        <w:ind w:left="859"/>
        <w:rPr>
          <w:sz w:val="24"/>
          <w:szCs w:val="24"/>
        </w:rPr>
      </w:pPr>
      <w:r>
        <w:rPr>
          <w:spacing w:val="-2"/>
          <w:sz w:val="24"/>
          <w:szCs w:val="24"/>
        </w:rPr>
        <w:t>□无；□有，具体单位名称为</w:t>
      </w:r>
      <w:r>
        <w:rPr>
          <w:spacing w:val="-12"/>
          <w:sz w:val="24"/>
          <w:szCs w:val="24"/>
        </w:rPr>
        <w:t>：</w:t>
      </w:r>
      <w:r>
        <w:rPr>
          <w:spacing w:val="-12"/>
          <w:sz w:val="24"/>
          <w:szCs w:val="24"/>
          <w:u w:val="single" w:color="auto"/>
        </w:rPr>
        <w:t>（</w:t>
      </w:r>
      <w:r>
        <w:rPr>
          <w:spacing w:val="-2"/>
          <w:sz w:val="24"/>
          <w:szCs w:val="24"/>
          <w:u w:val="single" w:color="auto"/>
        </w:rPr>
        <w:t>由供应商如实填写）</w:t>
      </w:r>
      <w:r>
        <w:rPr>
          <w:spacing w:val="-2"/>
          <w:sz w:val="24"/>
          <w:szCs w:val="24"/>
        </w:rPr>
        <w:t>。</w:t>
      </w:r>
    </w:p>
    <w:p w14:paraId="36AD6632">
      <w:pPr>
        <w:pStyle w:val="10"/>
        <w:spacing w:before="136" w:line="219" w:lineRule="auto"/>
        <w:ind w:left="506"/>
        <w:rPr>
          <w:sz w:val="24"/>
          <w:szCs w:val="24"/>
        </w:rPr>
      </w:pPr>
      <w:r>
        <w:rPr>
          <w:spacing w:val="-1"/>
          <w:sz w:val="24"/>
          <w:szCs w:val="24"/>
        </w:rPr>
        <w:t>2）与我方存在控股、管理关系的其他单位的名称：</w:t>
      </w:r>
    </w:p>
    <w:p w14:paraId="0F7E28BE">
      <w:pPr>
        <w:pStyle w:val="10"/>
        <w:spacing w:before="134" w:line="219" w:lineRule="auto"/>
        <w:ind w:left="859"/>
        <w:rPr>
          <w:sz w:val="24"/>
          <w:szCs w:val="24"/>
        </w:rPr>
      </w:pPr>
      <w:r>
        <w:rPr>
          <w:spacing w:val="-2"/>
          <w:sz w:val="24"/>
          <w:szCs w:val="24"/>
        </w:rPr>
        <w:t>□无；□有，具体单位名称为</w:t>
      </w:r>
      <w:r>
        <w:rPr>
          <w:spacing w:val="-12"/>
          <w:sz w:val="24"/>
          <w:szCs w:val="24"/>
        </w:rPr>
        <w:t>：</w:t>
      </w:r>
      <w:r>
        <w:rPr>
          <w:spacing w:val="-12"/>
          <w:sz w:val="24"/>
          <w:szCs w:val="24"/>
          <w:u w:val="single" w:color="auto"/>
        </w:rPr>
        <w:t>（</w:t>
      </w:r>
      <w:r>
        <w:rPr>
          <w:spacing w:val="-2"/>
          <w:sz w:val="24"/>
          <w:szCs w:val="24"/>
          <w:u w:val="single" w:color="auto"/>
        </w:rPr>
        <w:t>由供应商如实填写）</w:t>
      </w:r>
      <w:r>
        <w:rPr>
          <w:spacing w:val="-2"/>
          <w:sz w:val="24"/>
          <w:szCs w:val="24"/>
        </w:rPr>
        <w:t>。</w:t>
      </w:r>
    </w:p>
    <w:p w14:paraId="585454D1">
      <w:pPr>
        <w:pStyle w:val="10"/>
        <w:spacing w:before="136" w:line="324" w:lineRule="auto"/>
        <w:ind w:left="25" w:right="245" w:firstLine="482"/>
        <w:rPr>
          <w:sz w:val="24"/>
          <w:szCs w:val="24"/>
        </w:rPr>
      </w:pPr>
      <w:r>
        <w:rPr>
          <w:spacing w:val="-1"/>
          <w:sz w:val="24"/>
          <w:szCs w:val="24"/>
        </w:rPr>
        <w:t>3）参与本项目采购活动前，是否为本项目前期准备提供过整体设计、规范编制或者项目管理、监理、检测等服务：</w:t>
      </w:r>
    </w:p>
    <w:p w14:paraId="465369E8">
      <w:pPr>
        <w:pStyle w:val="10"/>
        <w:spacing w:before="1" w:line="218" w:lineRule="auto"/>
        <w:ind w:left="859"/>
        <w:rPr>
          <w:sz w:val="24"/>
          <w:szCs w:val="24"/>
        </w:rPr>
      </w:pPr>
      <w:r>
        <w:rPr>
          <w:spacing w:val="-1"/>
          <w:sz w:val="24"/>
          <w:szCs w:val="24"/>
        </w:rPr>
        <w:t>□无；□有，已提供的具体服务内容为</w:t>
      </w:r>
      <w:r>
        <w:rPr>
          <w:spacing w:val="-18"/>
          <w:sz w:val="24"/>
          <w:szCs w:val="24"/>
        </w:rPr>
        <w:t>：</w:t>
      </w:r>
      <w:r>
        <w:rPr>
          <w:spacing w:val="-18"/>
          <w:sz w:val="24"/>
          <w:szCs w:val="24"/>
          <w:u w:val="single" w:color="auto"/>
        </w:rPr>
        <w:t>（</w:t>
      </w:r>
      <w:r>
        <w:rPr>
          <w:spacing w:val="-1"/>
          <w:sz w:val="24"/>
          <w:szCs w:val="24"/>
          <w:u w:val="single" w:color="auto"/>
        </w:rPr>
        <w:t>由供应</w:t>
      </w:r>
      <w:r>
        <w:rPr>
          <w:spacing w:val="-2"/>
          <w:sz w:val="24"/>
          <w:szCs w:val="24"/>
          <w:u w:val="single" w:color="auto"/>
        </w:rPr>
        <w:t>商如实填写）</w:t>
      </w:r>
      <w:r>
        <w:rPr>
          <w:spacing w:val="-2"/>
          <w:sz w:val="24"/>
          <w:szCs w:val="24"/>
        </w:rPr>
        <w:t>。</w:t>
      </w:r>
    </w:p>
    <w:p w14:paraId="3DC34688">
      <w:pPr>
        <w:pStyle w:val="10"/>
        <w:spacing w:before="186" w:line="316" w:lineRule="auto"/>
        <w:ind w:left="23" w:right="219" w:firstLine="491"/>
        <w:jc w:val="both"/>
        <w:rPr>
          <w:sz w:val="24"/>
          <w:szCs w:val="24"/>
        </w:rPr>
      </w:pPr>
      <w:r>
        <w:rPr>
          <w:spacing w:val="-4"/>
          <w:sz w:val="24"/>
          <w:szCs w:val="24"/>
        </w:rPr>
        <w:t>（备注：以上3项声明，必须如实选择，选中项用</w:t>
      </w:r>
      <w:r>
        <w:rPr>
          <w:rFonts w:ascii="MS Gothic" w:hAnsi="MS Gothic" w:eastAsia="MS Gothic" w:cs="MS Gothic"/>
          <w:spacing w:val="-5"/>
          <w:sz w:val="24"/>
          <w:szCs w:val="24"/>
        </w:rPr>
        <w:t>☑</w:t>
      </w:r>
      <w:r>
        <w:rPr>
          <w:spacing w:val="-5"/>
          <w:sz w:val="24"/>
          <w:szCs w:val="24"/>
        </w:rPr>
        <w:t>表示，未选中项用□表</w:t>
      </w:r>
      <w:r>
        <w:rPr>
          <w:spacing w:val="-4"/>
          <w:sz w:val="24"/>
          <w:szCs w:val="24"/>
        </w:rPr>
        <w:t>示。①“单位负责人”是指单位法定代表人或者法律、行政法规规定代表单位行</w:t>
      </w:r>
      <w:r>
        <w:rPr>
          <w:spacing w:val="-3"/>
          <w:sz w:val="24"/>
          <w:szCs w:val="24"/>
        </w:rPr>
        <w:t>使职权的主要负责人。②本条所规定的控股、管理关系仅限于直接控股、直接管理关系，不包括间接的控股或管理关系。③供应商如未如实填报，视为提供虚假</w:t>
      </w:r>
      <w:r>
        <w:rPr>
          <w:spacing w:val="-1"/>
          <w:sz w:val="24"/>
          <w:szCs w:val="24"/>
        </w:rPr>
        <w:t>材料谋取中标，应承担相应法律责任。）</w:t>
      </w:r>
    </w:p>
    <w:p w14:paraId="1EACC44F">
      <w:pPr>
        <w:pStyle w:val="10"/>
        <w:spacing w:before="1" w:line="218" w:lineRule="auto"/>
        <w:ind w:left="502"/>
        <w:rPr>
          <w:sz w:val="24"/>
          <w:szCs w:val="24"/>
        </w:rPr>
      </w:pPr>
      <w:r>
        <w:rPr>
          <w:sz w:val="24"/>
          <w:szCs w:val="24"/>
        </w:rPr>
        <w:t>4）我方在本响应文件中所提供的全部资料均真实有</w:t>
      </w:r>
      <w:r>
        <w:rPr>
          <w:spacing w:val="-1"/>
          <w:sz w:val="24"/>
          <w:szCs w:val="24"/>
        </w:rPr>
        <w:t>效，我方承诺对其真实</w:t>
      </w:r>
    </w:p>
    <w:p w14:paraId="0B3AB45C">
      <w:pPr>
        <w:spacing w:line="277" w:lineRule="auto"/>
        <w:rPr>
          <w:rFonts w:hint="eastAsia" w:ascii="Arial" w:eastAsia="宋体"/>
          <w:sz w:val="21"/>
          <w:lang w:eastAsia="zh-CN"/>
        </w:rPr>
      </w:pPr>
      <w:r>
        <w:rPr>
          <w:rFonts w:hint="eastAsia" w:ascii="Arial" w:eastAsia="宋体"/>
          <w:sz w:val="21"/>
          <w:lang w:eastAsia="zh-CN"/>
        </w:rPr>
        <w:br w:type="page"/>
      </w:r>
    </w:p>
    <w:p w14:paraId="0A4187D9">
      <w:pPr>
        <w:pStyle w:val="10"/>
        <w:spacing w:before="78" w:line="219" w:lineRule="auto"/>
        <w:ind w:left="26"/>
        <w:rPr>
          <w:sz w:val="24"/>
          <w:szCs w:val="24"/>
        </w:rPr>
      </w:pPr>
      <w:r>
        <w:rPr>
          <w:spacing w:val="-2"/>
          <w:sz w:val="24"/>
          <w:szCs w:val="24"/>
        </w:rPr>
        <w:t>性负责并承担相应后果。</w:t>
      </w:r>
    </w:p>
    <w:p w14:paraId="168FB5CD">
      <w:pPr>
        <w:pStyle w:val="10"/>
        <w:spacing w:before="135" w:line="325" w:lineRule="auto"/>
        <w:ind w:left="24" w:right="40" w:firstLine="483"/>
        <w:rPr>
          <w:sz w:val="24"/>
          <w:szCs w:val="24"/>
        </w:rPr>
      </w:pPr>
      <w:r>
        <w:rPr>
          <w:spacing w:val="-1"/>
          <w:sz w:val="24"/>
          <w:szCs w:val="24"/>
        </w:rPr>
        <w:t>5）我方承诺本《响应函》的签章对本响应文件全部内容具有约束力并承担</w:t>
      </w:r>
      <w:r>
        <w:rPr>
          <w:spacing w:val="-3"/>
          <w:sz w:val="24"/>
          <w:szCs w:val="24"/>
        </w:rPr>
        <w:t>法律责任。</w:t>
      </w:r>
    </w:p>
    <w:p w14:paraId="624F00D1">
      <w:pPr>
        <w:spacing w:line="270" w:lineRule="auto"/>
        <w:rPr>
          <w:rFonts w:ascii="Arial"/>
          <w:sz w:val="21"/>
        </w:rPr>
      </w:pPr>
    </w:p>
    <w:p w14:paraId="206ED2A9">
      <w:pPr>
        <w:spacing w:line="270" w:lineRule="auto"/>
        <w:rPr>
          <w:rFonts w:ascii="Arial"/>
          <w:sz w:val="21"/>
        </w:rPr>
      </w:pPr>
    </w:p>
    <w:p w14:paraId="4C07449B">
      <w:pPr>
        <w:spacing w:line="270" w:lineRule="auto"/>
        <w:rPr>
          <w:rFonts w:ascii="Arial"/>
          <w:sz w:val="21"/>
        </w:rPr>
      </w:pPr>
    </w:p>
    <w:p w14:paraId="18B4961A">
      <w:pPr>
        <w:spacing w:line="270" w:lineRule="auto"/>
        <w:rPr>
          <w:rFonts w:ascii="Arial"/>
          <w:sz w:val="21"/>
        </w:rPr>
      </w:pPr>
    </w:p>
    <w:p w14:paraId="12B070E7">
      <w:pPr>
        <w:pStyle w:val="10"/>
        <w:spacing w:before="78" w:line="219" w:lineRule="auto"/>
        <w:ind w:left="503"/>
        <w:rPr>
          <w:sz w:val="24"/>
          <w:szCs w:val="24"/>
        </w:rPr>
      </w:pPr>
      <w:r>
        <w:rPr>
          <w:spacing w:val="4"/>
          <w:sz w:val="24"/>
          <w:szCs w:val="24"/>
        </w:rPr>
        <w:t>供应商</w:t>
      </w:r>
      <w:r>
        <w:rPr>
          <w:spacing w:val="-30"/>
          <w:sz w:val="24"/>
          <w:szCs w:val="24"/>
        </w:rPr>
        <w:t>：（</w:t>
      </w:r>
      <w:r>
        <w:rPr>
          <w:spacing w:val="4"/>
          <w:sz w:val="24"/>
          <w:szCs w:val="24"/>
        </w:rPr>
        <w:t>公章）</w:t>
      </w:r>
    </w:p>
    <w:p w14:paraId="0D49C2DD">
      <w:pPr>
        <w:pStyle w:val="10"/>
        <w:spacing w:before="180" w:line="219" w:lineRule="auto"/>
        <w:ind w:left="504"/>
        <w:rPr>
          <w:sz w:val="24"/>
          <w:szCs w:val="24"/>
        </w:rPr>
      </w:pPr>
      <w:r>
        <w:rPr>
          <w:spacing w:val="-1"/>
          <w:sz w:val="24"/>
          <w:szCs w:val="24"/>
        </w:rPr>
        <w:t>法定代表人或授权代表（签字或印章</w:t>
      </w:r>
      <w:r>
        <w:rPr>
          <w:spacing w:val="2"/>
          <w:sz w:val="24"/>
          <w:szCs w:val="24"/>
        </w:rPr>
        <w:t>）：</w:t>
      </w:r>
    </w:p>
    <w:p w14:paraId="42C44B1D">
      <w:pPr>
        <w:pStyle w:val="10"/>
        <w:spacing w:before="183" w:line="227" w:lineRule="auto"/>
        <w:ind w:left="503"/>
        <w:rPr>
          <w:sz w:val="24"/>
          <w:szCs w:val="24"/>
        </w:rPr>
      </w:pPr>
      <w:r>
        <w:rPr>
          <w:spacing w:val="-9"/>
          <w:sz w:val="24"/>
          <w:szCs w:val="24"/>
        </w:rPr>
        <w:t>通讯地址：</w:t>
      </w:r>
    </w:p>
    <w:p w14:paraId="6A3D7AE1">
      <w:pPr>
        <w:pStyle w:val="10"/>
        <w:spacing w:before="173" w:line="219" w:lineRule="auto"/>
        <w:ind w:left="501"/>
        <w:rPr>
          <w:sz w:val="24"/>
          <w:szCs w:val="24"/>
        </w:rPr>
      </w:pPr>
      <w:r>
        <w:rPr>
          <w:spacing w:val="-7"/>
          <w:sz w:val="24"/>
          <w:szCs w:val="24"/>
        </w:rPr>
        <w:t>传真：</w:t>
      </w:r>
    </w:p>
    <w:p w14:paraId="4333834C">
      <w:pPr>
        <w:pStyle w:val="10"/>
        <w:spacing w:before="182" w:line="221" w:lineRule="auto"/>
        <w:ind w:left="531"/>
        <w:rPr>
          <w:sz w:val="24"/>
          <w:szCs w:val="24"/>
        </w:rPr>
      </w:pPr>
      <w:r>
        <w:rPr>
          <w:spacing w:val="-16"/>
          <w:sz w:val="24"/>
          <w:szCs w:val="24"/>
        </w:rPr>
        <w:t>电话：</w:t>
      </w:r>
    </w:p>
    <w:p w14:paraId="6EEC8679">
      <w:pPr>
        <w:pStyle w:val="10"/>
        <w:spacing w:before="257" w:line="220" w:lineRule="auto"/>
        <w:ind w:left="544"/>
        <w:rPr>
          <w:sz w:val="24"/>
          <w:szCs w:val="24"/>
        </w:rPr>
      </w:pPr>
      <w:r>
        <w:rPr>
          <w:spacing w:val="-12"/>
          <w:sz w:val="24"/>
          <w:szCs w:val="24"/>
        </w:rPr>
        <w:t>日期：</w:t>
      </w:r>
    </w:p>
    <w:p w14:paraId="4BA44C0A">
      <w:pPr>
        <w:spacing w:line="272" w:lineRule="auto"/>
        <w:rPr>
          <w:rFonts w:hint="eastAsia" w:ascii="Arial" w:eastAsia="宋体"/>
          <w:sz w:val="21"/>
          <w:lang w:eastAsia="zh-CN"/>
        </w:rPr>
      </w:pPr>
      <w:r>
        <w:rPr>
          <w:rFonts w:hint="eastAsia" w:ascii="Arial" w:eastAsia="宋体"/>
          <w:sz w:val="21"/>
          <w:lang w:eastAsia="zh-CN"/>
        </w:rPr>
        <w:br w:type="page"/>
      </w:r>
    </w:p>
    <w:p w14:paraId="7C63CBB3">
      <w:pPr>
        <w:spacing w:line="272" w:lineRule="auto"/>
        <w:rPr>
          <w:rFonts w:ascii="Arial"/>
          <w:sz w:val="21"/>
        </w:rPr>
      </w:pPr>
    </w:p>
    <w:p w14:paraId="6AE98F17">
      <w:pPr>
        <w:pStyle w:val="10"/>
        <w:spacing w:before="100" w:line="225" w:lineRule="auto"/>
        <w:ind w:left="1390"/>
        <w:outlineLvl w:val="1"/>
        <w:rPr>
          <w:sz w:val="31"/>
          <w:szCs w:val="31"/>
        </w:rPr>
      </w:pPr>
      <w:r>
        <w:rPr>
          <w:b/>
          <w:bCs/>
          <w:spacing w:val="6"/>
          <w:sz w:val="31"/>
          <w:szCs w:val="31"/>
        </w:rPr>
        <w:t>二、法定代表人（单位负责人）身份证明</w:t>
      </w:r>
    </w:p>
    <w:p w14:paraId="24C70258">
      <w:pPr>
        <w:spacing w:line="303" w:lineRule="auto"/>
        <w:rPr>
          <w:rFonts w:ascii="Arial"/>
          <w:sz w:val="21"/>
        </w:rPr>
      </w:pPr>
    </w:p>
    <w:p w14:paraId="08217411">
      <w:pPr>
        <w:pStyle w:val="10"/>
        <w:spacing w:before="78" w:line="219" w:lineRule="auto"/>
        <w:ind w:left="602"/>
        <w:rPr>
          <w:sz w:val="24"/>
          <w:szCs w:val="24"/>
        </w:rPr>
      </w:pPr>
      <w:r>
        <w:rPr>
          <w:spacing w:val="4"/>
          <w:sz w:val="24"/>
          <w:szCs w:val="24"/>
        </w:rPr>
        <w:t>致</w:t>
      </w:r>
      <w:r>
        <w:rPr>
          <w:spacing w:val="-30"/>
          <w:sz w:val="24"/>
          <w:szCs w:val="24"/>
        </w:rPr>
        <w:t>：（</w:t>
      </w:r>
      <w:r>
        <w:rPr>
          <w:spacing w:val="4"/>
          <w:sz w:val="24"/>
          <w:szCs w:val="24"/>
        </w:rPr>
        <w:t>采购人或采购代理机构）</w:t>
      </w:r>
    </w:p>
    <w:p w14:paraId="5A1C8442">
      <w:pPr>
        <w:spacing w:line="260" w:lineRule="auto"/>
        <w:rPr>
          <w:rFonts w:ascii="Arial"/>
          <w:sz w:val="21"/>
        </w:rPr>
      </w:pPr>
    </w:p>
    <w:p w14:paraId="0D7C68FC">
      <w:pPr>
        <w:pStyle w:val="10"/>
        <w:spacing w:before="78" w:line="219" w:lineRule="auto"/>
        <w:ind w:left="1086"/>
        <w:rPr>
          <w:sz w:val="24"/>
          <w:szCs w:val="24"/>
        </w:rPr>
      </w:pPr>
      <w:r>
        <w:rPr>
          <w:spacing w:val="-4"/>
          <w:sz w:val="24"/>
          <w:szCs w:val="24"/>
        </w:rPr>
        <w:t>兹证明，</w:t>
      </w:r>
    </w:p>
    <w:p w14:paraId="31ACEFF8">
      <w:pPr>
        <w:spacing w:line="259" w:lineRule="auto"/>
        <w:rPr>
          <w:rFonts w:ascii="Arial"/>
          <w:sz w:val="21"/>
        </w:rPr>
      </w:pPr>
    </w:p>
    <w:p w14:paraId="066C4D79">
      <w:pPr>
        <w:pStyle w:val="10"/>
        <w:spacing w:before="79" w:line="219" w:lineRule="auto"/>
        <w:ind w:left="602"/>
        <w:rPr>
          <w:rFonts w:hint="eastAsia" w:eastAsia="宋体"/>
          <w:sz w:val="24"/>
          <w:szCs w:val="24"/>
          <w:lang w:eastAsia="zh-CN"/>
        </w:rPr>
      </w:pPr>
      <w:r>
        <w:rPr>
          <w:spacing w:val="-2"/>
          <w:sz w:val="24"/>
          <w:szCs w:val="24"/>
        </w:rPr>
        <w:t>姓名：性别：年龄：职务：</w:t>
      </w:r>
    </w:p>
    <w:p w14:paraId="038C79A6">
      <w:pPr>
        <w:spacing w:line="258" w:lineRule="auto"/>
        <w:rPr>
          <w:rFonts w:ascii="Arial"/>
          <w:sz w:val="21"/>
        </w:rPr>
      </w:pPr>
    </w:p>
    <w:p w14:paraId="71A11BC8">
      <w:pPr>
        <w:pStyle w:val="10"/>
        <w:spacing w:before="78" w:line="219" w:lineRule="auto"/>
        <w:ind w:left="606"/>
        <w:rPr>
          <w:sz w:val="24"/>
          <w:szCs w:val="24"/>
        </w:rPr>
      </w:pPr>
      <w:r>
        <w:rPr>
          <w:sz w:val="24"/>
          <w:szCs w:val="24"/>
        </w:rPr>
        <w:t>系（供应商名</w:t>
      </w:r>
      <w:r>
        <w:rPr>
          <w:spacing w:val="-1"/>
          <w:sz w:val="24"/>
          <w:szCs w:val="24"/>
        </w:rPr>
        <w:t>称</w:t>
      </w:r>
      <w:r>
        <w:rPr>
          <w:rFonts w:hint="eastAsia"/>
          <w:spacing w:val="-1"/>
          <w:sz w:val="24"/>
          <w:szCs w:val="24"/>
          <w:lang w:val="en-US" w:eastAsia="zh-CN"/>
        </w:rPr>
        <w:t>或联合体中牵头单位名称</w:t>
      </w:r>
      <w:r>
        <w:rPr>
          <w:spacing w:val="-1"/>
          <w:sz w:val="24"/>
          <w:szCs w:val="24"/>
        </w:rPr>
        <w:t>）的法定代表人（单位负责人）。</w:t>
      </w:r>
    </w:p>
    <w:p w14:paraId="5D8D5E06">
      <w:pPr>
        <w:spacing w:line="259" w:lineRule="auto"/>
        <w:rPr>
          <w:rFonts w:ascii="Arial"/>
          <w:sz w:val="21"/>
        </w:rPr>
      </w:pPr>
    </w:p>
    <w:p w14:paraId="09B46479">
      <w:pPr>
        <w:pStyle w:val="10"/>
        <w:spacing w:before="79" w:line="219" w:lineRule="auto"/>
        <w:ind w:left="620"/>
        <w:rPr>
          <w:sz w:val="24"/>
          <w:szCs w:val="24"/>
        </w:rPr>
      </w:pPr>
      <w:r>
        <w:rPr>
          <w:spacing w:val="-1"/>
          <w:sz w:val="24"/>
          <w:szCs w:val="24"/>
        </w:rPr>
        <w:t>附：法定代表人（单位负责人）身份证、护照等身份证明文件电子件：</w:t>
      </w:r>
    </w:p>
    <w:p w14:paraId="79AE2D2E">
      <w:pPr>
        <w:spacing w:before="7"/>
      </w:pPr>
    </w:p>
    <w:p w14:paraId="1592D969">
      <w:pPr>
        <w:spacing w:before="7"/>
      </w:pPr>
    </w:p>
    <w:p w14:paraId="78EAC1FE">
      <w:pPr>
        <w:spacing w:before="7"/>
      </w:pPr>
    </w:p>
    <w:p w14:paraId="3ECAC994">
      <w:pPr>
        <w:spacing w:before="6"/>
      </w:pPr>
    </w:p>
    <w:p w14:paraId="7E74DA02">
      <w:pPr>
        <w:spacing w:before="6"/>
      </w:pPr>
    </w:p>
    <w:tbl>
      <w:tblPr>
        <w:tblStyle w:val="43"/>
        <w:tblW w:w="853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31"/>
      </w:tblGrid>
      <w:tr w14:paraId="37665CE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940" w:hRule="atLeast"/>
        </w:trPr>
        <w:tc>
          <w:tcPr>
            <w:tcW w:w="8531" w:type="dxa"/>
            <w:vAlign w:val="top"/>
          </w:tcPr>
          <w:p w14:paraId="515C4DDF">
            <w:pPr>
              <w:rPr>
                <w:rFonts w:ascii="Arial"/>
                <w:sz w:val="21"/>
              </w:rPr>
            </w:pPr>
          </w:p>
        </w:tc>
      </w:tr>
    </w:tbl>
    <w:p w14:paraId="4BA5D26A">
      <w:pPr>
        <w:spacing w:line="292" w:lineRule="auto"/>
        <w:rPr>
          <w:rFonts w:ascii="Arial"/>
          <w:sz w:val="21"/>
        </w:rPr>
      </w:pPr>
    </w:p>
    <w:p w14:paraId="22245E76">
      <w:pPr>
        <w:spacing w:line="292" w:lineRule="auto"/>
        <w:rPr>
          <w:rFonts w:ascii="Arial"/>
          <w:sz w:val="21"/>
        </w:rPr>
      </w:pPr>
    </w:p>
    <w:p w14:paraId="11B70F82">
      <w:pPr>
        <w:pStyle w:val="10"/>
        <w:spacing w:before="78" w:line="219" w:lineRule="auto"/>
        <w:ind w:left="122"/>
        <w:rPr>
          <w:rFonts w:hint="eastAsia" w:eastAsia="宋体"/>
          <w:sz w:val="24"/>
          <w:szCs w:val="24"/>
          <w:lang w:eastAsia="zh-CN"/>
        </w:rPr>
      </w:pPr>
      <w:r>
        <w:rPr>
          <w:spacing w:val="-1"/>
          <w:sz w:val="24"/>
          <w:szCs w:val="24"/>
        </w:rPr>
        <w:t>供应商名称（加盖公章</w:t>
      </w:r>
      <w:r>
        <w:rPr>
          <w:spacing w:val="-4"/>
          <w:sz w:val="24"/>
          <w:szCs w:val="24"/>
        </w:rPr>
        <w:t>）：</w:t>
      </w:r>
    </w:p>
    <w:p w14:paraId="58AB51D6">
      <w:pPr>
        <w:spacing w:line="259" w:lineRule="auto"/>
        <w:rPr>
          <w:rFonts w:ascii="Arial"/>
          <w:sz w:val="21"/>
        </w:rPr>
      </w:pPr>
    </w:p>
    <w:p w14:paraId="108FA041">
      <w:pPr>
        <w:pStyle w:val="10"/>
        <w:spacing w:before="79" w:line="219" w:lineRule="auto"/>
        <w:ind w:left="123"/>
        <w:rPr>
          <w:rFonts w:hint="eastAsia" w:eastAsia="宋体"/>
          <w:sz w:val="24"/>
          <w:szCs w:val="24"/>
          <w:lang w:eastAsia="zh-CN"/>
        </w:rPr>
      </w:pPr>
      <w:r>
        <w:rPr>
          <w:spacing w:val="1"/>
          <w:sz w:val="24"/>
          <w:szCs w:val="24"/>
        </w:rPr>
        <w:t>法定代表人（单位负责人</w:t>
      </w:r>
      <w:r>
        <w:rPr>
          <w:spacing w:val="-9"/>
          <w:sz w:val="24"/>
          <w:szCs w:val="24"/>
        </w:rPr>
        <w:t>）（</w:t>
      </w:r>
      <w:r>
        <w:rPr>
          <w:spacing w:val="1"/>
          <w:sz w:val="24"/>
          <w:szCs w:val="24"/>
        </w:rPr>
        <w:t>签字或签章</w:t>
      </w:r>
      <w:r>
        <w:rPr>
          <w:spacing w:val="-9"/>
          <w:sz w:val="24"/>
          <w:szCs w:val="24"/>
        </w:rPr>
        <w:t>）：</w:t>
      </w:r>
    </w:p>
    <w:p w14:paraId="55D1CEE9">
      <w:pPr>
        <w:spacing w:line="241" w:lineRule="auto"/>
        <w:rPr>
          <w:rFonts w:ascii="Arial"/>
          <w:sz w:val="21"/>
        </w:rPr>
      </w:pPr>
    </w:p>
    <w:p w14:paraId="326E1F6E">
      <w:pPr>
        <w:spacing w:line="242" w:lineRule="auto"/>
        <w:rPr>
          <w:rFonts w:ascii="Arial"/>
          <w:sz w:val="21"/>
        </w:rPr>
      </w:pPr>
    </w:p>
    <w:p w14:paraId="3A32447E">
      <w:pPr>
        <w:spacing w:line="242" w:lineRule="auto"/>
        <w:rPr>
          <w:rFonts w:ascii="Arial"/>
          <w:sz w:val="21"/>
        </w:rPr>
      </w:pPr>
    </w:p>
    <w:p w14:paraId="7E8FC827">
      <w:pPr>
        <w:pStyle w:val="10"/>
        <w:spacing w:before="79" w:line="219" w:lineRule="auto"/>
        <w:ind w:left="163"/>
        <w:rPr>
          <w:sz w:val="24"/>
          <w:szCs w:val="24"/>
        </w:rPr>
      </w:pPr>
      <w:r>
        <w:rPr>
          <w:spacing w:val="-14"/>
          <w:sz w:val="24"/>
          <w:szCs w:val="24"/>
        </w:rPr>
        <w:t>日期：年月日</w:t>
      </w:r>
    </w:p>
    <w:p w14:paraId="393B5FAE">
      <w:pPr>
        <w:spacing w:line="219" w:lineRule="auto"/>
        <w:rPr>
          <w:sz w:val="24"/>
          <w:szCs w:val="24"/>
        </w:rPr>
      </w:pPr>
    </w:p>
    <w:p w14:paraId="6568A776">
      <w:pPr>
        <w:spacing w:line="219" w:lineRule="auto"/>
        <w:rPr>
          <w:sz w:val="24"/>
          <w:szCs w:val="24"/>
        </w:rPr>
      </w:pPr>
    </w:p>
    <w:p w14:paraId="5A30E725">
      <w:pPr>
        <w:spacing w:line="219" w:lineRule="auto"/>
        <w:rPr>
          <w:sz w:val="24"/>
          <w:szCs w:val="24"/>
        </w:rPr>
      </w:pPr>
    </w:p>
    <w:p w14:paraId="78FDBCD5">
      <w:pPr>
        <w:spacing w:line="219" w:lineRule="auto"/>
        <w:rPr>
          <w:sz w:val="24"/>
          <w:szCs w:val="24"/>
        </w:rPr>
      </w:pPr>
    </w:p>
    <w:p w14:paraId="4B2D590C">
      <w:pPr>
        <w:spacing w:line="219" w:lineRule="auto"/>
        <w:rPr>
          <w:sz w:val="24"/>
          <w:szCs w:val="24"/>
        </w:rPr>
      </w:pPr>
    </w:p>
    <w:p w14:paraId="70DAB0DF">
      <w:pPr>
        <w:spacing w:line="219" w:lineRule="auto"/>
        <w:rPr>
          <w:sz w:val="24"/>
          <w:szCs w:val="24"/>
        </w:rPr>
      </w:pPr>
    </w:p>
    <w:p w14:paraId="45568B84">
      <w:pPr>
        <w:spacing w:line="219" w:lineRule="auto"/>
        <w:rPr>
          <w:sz w:val="24"/>
          <w:szCs w:val="24"/>
        </w:rPr>
      </w:pPr>
    </w:p>
    <w:p w14:paraId="08C4D5CC">
      <w:pPr>
        <w:pStyle w:val="10"/>
        <w:bidi w:val="0"/>
      </w:pPr>
      <w:r>
        <w:br w:type="page"/>
      </w:r>
    </w:p>
    <w:p w14:paraId="4580972C">
      <w:pPr>
        <w:pStyle w:val="10"/>
        <w:spacing w:before="101" w:line="224" w:lineRule="auto"/>
        <w:ind w:left="3154"/>
        <w:outlineLvl w:val="1"/>
        <w:rPr>
          <w:sz w:val="31"/>
          <w:szCs w:val="31"/>
        </w:rPr>
      </w:pPr>
      <w:r>
        <w:rPr>
          <w:b/>
          <w:bCs/>
          <w:spacing w:val="5"/>
          <w:sz w:val="31"/>
          <w:szCs w:val="31"/>
        </w:rPr>
        <w:t>三、授权委托书</w:t>
      </w:r>
    </w:p>
    <w:p w14:paraId="64306473">
      <w:pPr>
        <w:pStyle w:val="10"/>
        <w:spacing w:before="308" w:line="360" w:lineRule="auto"/>
        <w:ind w:left="122" w:right="37" w:firstLine="480"/>
        <w:jc w:val="both"/>
        <w:rPr>
          <w:sz w:val="24"/>
          <w:szCs w:val="24"/>
        </w:rPr>
      </w:pPr>
      <w:r>
        <w:rPr>
          <w:sz w:val="24"/>
          <w:szCs w:val="24"/>
        </w:rPr>
        <w:t>本人（姓名）系（供应商名</w:t>
      </w:r>
      <w:r>
        <w:rPr>
          <w:spacing w:val="-1"/>
          <w:sz w:val="24"/>
          <w:szCs w:val="24"/>
        </w:rPr>
        <w:t>称</w:t>
      </w:r>
      <w:r>
        <w:rPr>
          <w:rFonts w:hint="eastAsia"/>
          <w:spacing w:val="-1"/>
          <w:sz w:val="24"/>
          <w:szCs w:val="24"/>
          <w:lang w:val="en-US" w:eastAsia="zh-CN"/>
        </w:rPr>
        <w:t>或联合体中牵头单位名称</w:t>
      </w:r>
      <w:r>
        <w:rPr>
          <w:spacing w:val="-1"/>
          <w:sz w:val="24"/>
          <w:szCs w:val="24"/>
        </w:rPr>
        <w:t>）的法定代表人（单位负责</w:t>
      </w:r>
      <w:r>
        <w:rPr>
          <w:spacing w:val="-3"/>
          <w:sz w:val="24"/>
          <w:szCs w:val="24"/>
        </w:rPr>
        <w:t>人</w:t>
      </w:r>
      <w:r>
        <w:rPr>
          <w:spacing w:val="-10"/>
          <w:sz w:val="24"/>
          <w:szCs w:val="24"/>
        </w:rPr>
        <w:t>），</w:t>
      </w:r>
      <w:r>
        <w:rPr>
          <w:spacing w:val="-3"/>
          <w:sz w:val="24"/>
          <w:szCs w:val="24"/>
        </w:rPr>
        <w:t>现委托（姓名）为我方代理人。</w:t>
      </w:r>
      <w:r>
        <w:rPr>
          <w:spacing w:val="-4"/>
          <w:sz w:val="24"/>
          <w:szCs w:val="24"/>
        </w:rPr>
        <w:t>代理人根据授权，以我方名义签署、</w:t>
      </w:r>
      <w:r>
        <w:rPr>
          <w:spacing w:val="-3"/>
          <w:sz w:val="24"/>
          <w:szCs w:val="24"/>
        </w:rPr>
        <w:t>澄清确认、说明、补正、递交、撤回、修改</w:t>
      </w:r>
      <w:r>
        <w:rPr>
          <w:spacing w:val="-4"/>
          <w:sz w:val="24"/>
          <w:szCs w:val="24"/>
        </w:rPr>
        <w:t>（项目名称）响应文件、</w:t>
      </w:r>
      <w:r>
        <w:rPr>
          <w:spacing w:val="-1"/>
          <w:sz w:val="24"/>
          <w:szCs w:val="24"/>
        </w:rPr>
        <w:t>签订合同和处理有关事宜，其法律后果由我方承担。</w:t>
      </w:r>
    </w:p>
    <w:p w14:paraId="769DA0A3">
      <w:pPr>
        <w:pStyle w:val="10"/>
        <w:spacing w:line="218" w:lineRule="auto"/>
        <w:ind w:left="601"/>
        <w:rPr>
          <w:sz w:val="24"/>
          <w:szCs w:val="24"/>
        </w:rPr>
      </w:pPr>
      <w:r>
        <w:rPr>
          <w:spacing w:val="-2"/>
          <w:sz w:val="24"/>
          <w:szCs w:val="24"/>
        </w:rPr>
        <w:t>委托期限：自本授权委托书签署之日起至响应文件有效期届满之日止。</w:t>
      </w:r>
    </w:p>
    <w:p w14:paraId="50CD4177">
      <w:pPr>
        <w:pStyle w:val="10"/>
        <w:spacing w:before="184" w:line="219" w:lineRule="auto"/>
        <w:ind w:left="601"/>
        <w:rPr>
          <w:sz w:val="24"/>
          <w:szCs w:val="24"/>
        </w:rPr>
      </w:pPr>
      <w:r>
        <w:rPr>
          <w:spacing w:val="-1"/>
          <w:sz w:val="24"/>
          <w:szCs w:val="24"/>
        </w:rPr>
        <w:t>代理人无转委托权。</w:t>
      </w:r>
    </w:p>
    <w:p w14:paraId="7325B58A">
      <w:pPr>
        <w:spacing w:line="425" w:lineRule="auto"/>
        <w:rPr>
          <w:rFonts w:ascii="Arial"/>
          <w:sz w:val="21"/>
        </w:rPr>
      </w:pPr>
    </w:p>
    <w:p w14:paraId="5251B84D">
      <w:pPr>
        <w:pStyle w:val="10"/>
        <w:spacing w:before="78" w:line="219" w:lineRule="auto"/>
        <w:ind w:left="122"/>
        <w:rPr>
          <w:rFonts w:hint="eastAsia" w:eastAsia="宋体"/>
          <w:sz w:val="24"/>
          <w:szCs w:val="24"/>
          <w:lang w:eastAsia="zh-CN"/>
        </w:rPr>
      </w:pPr>
      <w:r>
        <w:rPr>
          <w:spacing w:val="-1"/>
          <w:sz w:val="24"/>
          <w:szCs w:val="24"/>
        </w:rPr>
        <w:t>供应商名称（加盖公章</w:t>
      </w:r>
      <w:r>
        <w:rPr>
          <w:spacing w:val="-4"/>
          <w:sz w:val="24"/>
          <w:szCs w:val="24"/>
        </w:rPr>
        <w:t>）：</w:t>
      </w:r>
    </w:p>
    <w:p w14:paraId="712CC2D5">
      <w:pPr>
        <w:spacing w:line="259" w:lineRule="auto"/>
        <w:rPr>
          <w:rFonts w:ascii="Arial"/>
          <w:sz w:val="21"/>
        </w:rPr>
      </w:pPr>
    </w:p>
    <w:p w14:paraId="674EDAC5">
      <w:pPr>
        <w:pStyle w:val="10"/>
        <w:spacing w:before="79" w:line="219" w:lineRule="auto"/>
        <w:ind w:left="123"/>
        <w:rPr>
          <w:rFonts w:hint="eastAsia" w:eastAsia="宋体"/>
          <w:sz w:val="24"/>
          <w:szCs w:val="24"/>
          <w:lang w:eastAsia="zh-CN"/>
        </w:rPr>
      </w:pPr>
      <w:r>
        <w:rPr>
          <w:spacing w:val="1"/>
          <w:sz w:val="24"/>
          <w:szCs w:val="24"/>
        </w:rPr>
        <w:t>法定代表人（单位负责人</w:t>
      </w:r>
      <w:r>
        <w:rPr>
          <w:spacing w:val="-9"/>
          <w:sz w:val="24"/>
          <w:szCs w:val="24"/>
        </w:rPr>
        <w:t>）（</w:t>
      </w:r>
      <w:r>
        <w:rPr>
          <w:spacing w:val="1"/>
          <w:sz w:val="24"/>
          <w:szCs w:val="24"/>
        </w:rPr>
        <w:t>签字或签章</w:t>
      </w:r>
      <w:r>
        <w:rPr>
          <w:spacing w:val="-9"/>
          <w:sz w:val="24"/>
          <w:szCs w:val="24"/>
        </w:rPr>
        <w:t>）：</w:t>
      </w:r>
    </w:p>
    <w:p w14:paraId="5E04F54C">
      <w:pPr>
        <w:spacing w:line="259" w:lineRule="auto"/>
        <w:rPr>
          <w:rFonts w:ascii="Arial"/>
          <w:sz w:val="21"/>
        </w:rPr>
      </w:pPr>
    </w:p>
    <w:p w14:paraId="4CA2CF45">
      <w:pPr>
        <w:pStyle w:val="10"/>
        <w:spacing w:before="79" w:line="219" w:lineRule="auto"/>
        <w:ind w:left="121"/>
        <w:rPr>
          <w:rFonts w:hint="eastAsia" w:eastAsia="宋体"/>
          <w:spacing w:val="2"/>
          <w:sz w:val="24"/>
          <w:szCs w:val="24"/>
          <w:lang w:eastAsia="zh-CN"/>
        </w:rPr>
      </w:pPr>
      <w:r>
        <w:rPr>
          <w:spacing w:val="-2"/>
          <w:sz w:val="24"/>
          <w:szCs w:val="24"/>
        </w:rPr>
        <w:t>委托代理人（签字或签章</w:t>
      </w:r>
      <w:r>
        <w:rPr>
          <w:spacing w:val="2"/>
          <w:sz w:val="24"/>
          <w:szCs w:val="24"/>
        </w:rPr>
        <w:t>）：</w:t>
      </w:r>
    </w:p>
    <w:p w14:paraId="1F46265C">
      <w:pPr>
        <w:pStyle w:val="10"/>
        <w:spacing w:before="79" w:line="219" w:lineRule="auto"/>
        <w:ind w:left="121"/>
        <w:rPr>
          <w:spacing w:val="2"/>
          <w:sz w:val="24"/>
          <w:szCs w:val="24"/>
        </w:rPr>
      </w:pPr>
    </w:p>
    <w:p w14:paraId="733D4498">
      <w:pPr>
        <w:pStyle w:val="10"/>
        <w:spacing w:before="79" w:line="219" w:lineRule="auto"/>
        <w:ind w:left="121"/>
        <w:rPr>
          <w:rFonts w:hint="eastAsia" w:eastAsia="宋体"/>
          <w:sz w:val="24"/>
          <w:szCs w:val="24"/>
          <w:lang w:eastAsia="zh-CN"/>
        </w:rPr>
      </w:pPr>
      <w:r>
        <w:rPr>
          <w:spacing w:val="-2"/>
          <w:sz w:val="24"/>
          <w:szCs w:val="24"/>
        </w:rPr>
        <w:t>联系电话：</w:t>
      </w:r>
    </w:p>
    <w:p w14:paraId="41F72EF1">
      <w:pPr>
        <w:spacing w:line="260" w:lineRule="auto"/>
        <w:rPr>
          <w:rFonts w:ascii="Arial"/>
          <w:sz w:val="21"/>
        </w:rPr>
      </w:pPr>
    </w:p>
    <w:p w14:paraId="19A8B809">
      <w:pPr>
        <w:pStyle w:val="10"/>
        <w:spacing w:before="78" w:line="219" w:lineRule="auto"/>
        <w:ind w:left="163"/>
        <w:rPr>
          <w:sz w:val="24"/>
          <w:szCs w:val="24"/>
        </w:rPr>
      </w:pPr>
      <w:r>
        <w:rPr>
          <w:spacing w:val="-14"/>
          <w:sz w:val="24"/>
          <w:szCs w:val="24"/>
        </w:rPr>
        <w:t>日期：年月日</w:t>
      </w:r>
    </w:p>
    <w:p w14:paraId="26013312">
      <w:pPr>
        <w:spacing w:line="413" w:lineRule="auto"/>
        <w:rPr>
          <w:rFonts w:ascii="Arial"/>
          <w:sz w:val="21"/>
        </w:rPr>
      </w:pPr>
    </w:p>
    <w:p w14:paraId="42DC148C">
      <w:pPr>
        <w:pStyle w:val="10"/>
        <w:spacing w:before="79" w:line="219" w:lineRule="auto"/>
        <w:ind w:left="140"/>
        <w:rPr>
          <w:sz w:val="24"/>
          <w:szCs w:val="24"/>
        </w:rPr>
      </w:pPr>
      <w:r>
        <w:rPr>
          <w:spacing w:val="-2"/>
          <w:sz w:val="24"/>
          <w:szCs w:val="24"/>
        </w:rPr>
        <w:t>附：法定代表人及委托代理人身份证明文件电子件：</w:t>
      </w:r>
    </w:p>
    <w:p w14:paraId="51319DE5">
      <w:pPr>
        <w:spacing w:line="69" w:lineRule="exact"/>
      </w:pPr>
    </w:p>
    <w:tbl>
      <w:tblPr>
        <w:tblStyle w:val="43"/>
        <w:tblW w:w="853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31"/>
      </w:tblGrid>
      <w:tr w14:paraId="3FCEB27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030" w:hRule="atLeast"/>
        </w:trPr>
        <w:tc>
          <w:tcPr>
            <w:tcW w:w="8531" w:type="dxa"/>
            <w:vAlign w:val="top"/>
          </w:tcPr>
          <w:p w14:paraId="203DCEC4">
            <w:pPr>
              <w:rPr>
                <w:rFonts w:ascii="Arial"/>
                <w:sz w:val="21"/>
              </w:rPr>
            </w:pPr>
          </w:p>
        </w:tc>
      </w:tr>
    </w:tbl>
    <w:p w14:paraId="0327ACC3">
      <w:pPr>
        <w:pStyle w:val="10"/>
        <w:spacing w:before="115" w:line="219" w:lineRule="auto"/>
        <w:ind w:left="605"/>
        <w:rPr>
          <w:sz w:val="24"/>
          <w:szCs w:val="24"/>
        </w:rPr>
      </w:pPr>
      <w:r>
        <w:rPr>
          <w:spacing w:val="-5"/>
          <w:sz w:val="24"/>
          <w:szCs w:val="24"/>
        </w:rPr>
        <w:t>说明：</w:t>
      </w:r>
    </w:p>
    <w:p w14:paraId="4A59D6D3">
      <w:pPr>
        <w:pStyle w:val="10"/>
        <w:spacing w:before="183" w:line="360" w:lineRule="auto"/>
        <w:ind w:left="126" w:right="18" w:firstLine="492"/>
        <w:rPr>
          <w:sz w:val="24"/>
          <w:szCs w:val="24"/>
        </w:rPr>
      </w:pPr>
      <w:r>
        <w:rPr>
          <w:spacing w:val="-8"/>
          <w:sz w:val="24"/>
          <w:szCs w:val="24"/>
        </w:rPr>
        <w:t>1.若供应商为事业单位或其他组织或分支机构，则法定代表人（单位负责人）</w:t>
      </w:r>
      <w:r>
        <w:rPr>
          <w:spacing w:val="-2"/>
          <w:sz w:val="24"/>
          <w:szCs w:val="24"/>
        </w:rPr>
        <w:t>处的签署人可为单位负责人。</w:t>
      </w:r>
    </w:p>
    <w:p w14:paraId="56713782">
      <w:pPr>
        <w:pStyle w:val="10"/>
        <w:spacing w:before="2" w:line="359" w:lineRule="auto"/>
        <w:ind w:left="123" w:right="117" w:firstLine="481"/>
        <w:rPr>
          <w:sz w:val="24"/>
          <w:szCs w:val="24"/>
        </w:rPr>
      </w:pPr>
      <w:r>
        <w:rPr>
          <w:spacing w:val="-3"/>
          <w:sz w:val="24"/>
          <w:szCs w:val="24"/>
        </w:rPr>
        <w:t>2.若响应文件中签字之处均为法定代表人（单位负责人）本人签</w:t>
      </w:r>
      <w:r>
        <w:rPr>
          <w:spacing w:val="-4"/>
          <w:sz w:val="24"/>
          <w:szCs w:val="24"/>
        </w:rPr>
        <w:t>署，则可不</w:t>
      </w:r>
      <w:r>
        <w:rPr>
          <w:sz w:val="24"/>
          <w:szCs w:val="24"/>
        </w:rPr>
        <w:t>提供本《授权委托书》，但须提供《法定代表人（</w:t>
      </w:r>
      <w:r>
        <w:rPr>
          <w:spacing w:val="-1"/>
          <w:sz w:val="24"/>
          <w:szCs w:val="24"/>
        </w:rPr>
        <w:t>单位负责人）身份证明》。</w:t>
      </w:r>
    </w:p>
    <w:p w14:paraId="45A367D9">
      <w:pPr>
        <w:pStyle w:val="10"/>
        <w:spacing w:before="1" w:line="218" w:lineRule="auto"/>
        <w:ind w:left="606"/>
        <w:rPr>
          <w:sz w:val="24"/>
          <w:szCs w:val="24"/>
        </w:rPr>
      </w:pPr>
      <w:r>
        <w:rPr>
          <w:spacing w:val="-1"/>
          <w:sz w:val="24"/>
          <w:szCs w:val="24"/>
        </w:rPr>
        <w:t>3.供应商为自然人的情形，可不提供本《授权委托书》。</w:t>
      </w:r>
    </w:p>
    <w:p w14:paraId="049AD726">
      <w:pPr>
        <w:pStyle w:val="10"/>
        <w:spacing w:before="184" w:line="361" w:lineRule="auto"/>
        <w:ind w:left="121" w:right="117" w:firstLine="480"/>
        <w:rPr>
          <w:sz w:val="24"/>
          <w:szCs w:val="24"/>
        </w:rPr>
      </w:pPr>
      <w:r>
        <w:rPr>
          <w:spacing w:val="-3"/>
          <w:sz w:val="24"/>
          <w:szCs w:val="24"/>
        </w:rPr>
        <w:t>4.供应商应随本《授权委托书》同时提供法定代表人（单位负责人）及</w:t>
      </w:r>
      <w:r>
        <w:rPr>
          <w:spacing w:val="-4"/>
          <w:sz w:val="24"/>
          <w:szCs w:val="24"/>
        </w:rPr>
        <w:t>委托</w:t>
      </w:r>
      <w:r>
        <w:rPr>
          <w:spacing w:val="-3"/>
          <w:sz w:val="24"/>
          <w:szCs w:val="24"/>
        </w:rPr>
        <w:t>代理人的有效的身份证、护照等身份证明文件电子件。提供身份证的，应同时提</w:t>
      </w:r>
      <w:r>
        <w:rPr>
          <w:spacing w:val="-2"/>
          <w:sz w:val="24"/>
          <w:szCs w:val="24"/>
        </w:rPr>
        <w:t>供身份证</w:t>
      </w:r>
      <w:r>
        <w:rPr>
          <w:b/>
          <w:bCs/>
          <w:spacing w:val="-2"/>
          <w:sz w:val="24"/>
          <w:szCs w:val="24"/>
        </w:rPr>
        <w:t>双面</w:t>
      </w:r>
      <w:r>
        <w:rPr>
          <w:spacing w:val="-2"/>
          <w:sz w:val="24"/>
          <w:szCs w:val="24"/>
        </w:rPr>
        <w:t>电子件。</w:t>
      </w:r>
    </w:p>
    <w:p w14:paraId="38CC652C">
      <w:pPr>
        <w:spacing w:line="372" w:lineRule="auto"/>
        <w:rPr>
          <w:rFonts w:hint="eastAsia" w:ascii="Arial" w:eastAsia="宋体"/>
          <w:sz w:val="21"/>
          <w:lang w:eastAsia="zh-CN"/>
        </w:rPr>
      </w:pPr>
      <w:r>
        <w:rPr>
          <w:rFonts w:hint="eastAsia" w:ascii="Arial" w:eastAsia="宋体"/>
          <w:sz w:val="21"/>
          <w:lang w:eastAsia="zh-CN"/>
        </w:rPr>
        <w:br w:type="page"/>
      </w:r>
    </w:p>
    <w:p w14:paraId="3330CA32">
      <w:pPr>
        <w:pStyle w:val="10"/>
        <w:spacing w:before="101" w:line="224" w:lineRule="auto"/>
        <w:ind w:left="1640"/>
        <w:outlineLvl w:val="1"/>
        <w:rPr>
          <w:sz w:val="31"/>
          <w:szCs w:val="31"/>
        </w:rPr>
      </w:pPr>
      <w:r>
        <w:rPr>
          <w:b/>
          <w:bCs/>
          <w:spacing w:val="5"/>
          <w:sz w:val="31"/>
          <w:szCs w:val="31"/>
        </w:rPr>
        <w:t>四、政府采购供应商廉洁自律承诺书</w:t>
      </w:r>
    </w:p>
    <w:p w14:paraId="4B15A438">
      <w:pPr>
        <w:spacing w:line="289" w:lineRule="auto"/>
        <w:rPr>
          <w:rFonts w:ascii="Arial"/>
          <w:sz w:val="21"/>
        </w:rPr>
      </w:pPr>
    </w:p>
    <w:p w14:paraId="63E1F674">
      <w:pPr>
        <w:spacing w:line="290" w:lineRule="auto"/>
        <w:rPr>
          <w:rFonts w:ascii="Arial"/>
          <w:sz w:val="21"/>
        </w:rPr>
      </w:pPr>
    </w:p>
    <w:p w14:paraId="43ACA18E">
      <w:pPr>
        <w:pStyle w:val="10"/>
        <w:spacing w:before="78" w:line="219" w:lineRule="auto"/>
        <w:ind w:left="34"/>
        <w:rPr>
          <w:sz w:val="24"/>
          <w:szCs w:val="24"/>
        </w:rPr>
      </w:pPr>
      <w:r>
        <w:rPr>
          <w:spacing w:val="-2"/>
          <w:sz w:val="24"/>
          <w:szCs w:val="24"/>
        </w:rPr>
        <w:t>（采购人）、（采购代理机构</w:t>
      </w:r>
      <w:r>
        <w:rPr>
          <w:spacing w:val="2"/>
          <w:sz w:val="24"/>
          <w:szCs w:val="24"/>
        </w:rPr>
        <w:t>）：</w:t>
      </w:r>
    </w:p>
    <w:p w14:paraId="3FABBB0F">
      <w:pPr>
        <w:pStyle w:val="10"/>
        <w:spacing w:before="260" w:line="360" w:lineRule="auto"/>
        <w:ind w:left="26" w:right="178" w:firstLine="480"/>
        <w:rPr>
          <w:sz w:val="24"/>
          <w:szCs w:val="24"/>
        </w:rPr>
      </w:pPr>
      <w:r>
        <w:rPr>
          <w:spacing w:val="-3"/>
          <w:sz w:val="24"/>
          <w:szCs w:val="24"/>
        </w:rPr>
        <w:t>我单位响应你单位项目竞争性磋商文件要求参加磋商</w:t>
      </w:r>
      <w:r>
        <w:rPr>
          <w:spacing w:val="-4"/>
          <w:sz w:val="24"/>
          <w:szCs w:val="24"/>
        </w:rPr>
        <w:t>响应。在这次磋商响应</w:t>
      </w:r>
      <w:r>
        <w:rPr>
          <w:spacing w:val="-1"/>
          <w:sz w:val="24"/>
          <w:szCs w:val="24"/>
        </w:rPr>
        <w:t>过程中和成交后，我们将严格遵守国家法律法规要求，并郑重承诺：</w:t>
      </w:r>
    </w:p>
    <w:p w14:paraId="0F9695D5">
      <w:pPr>
        <w:pStyle w:val="10"/>
        <w:spacing w:before="2" w:line="359" w:lineRule="auto"/>
        <w:ind w:left="25" w:right="122" w:firstLine="483"/>
        <w:rPr>
          <w:sz w:val="24"/>
          <w:szCs w:val="24"/>
        </w:rPr>
      </w:pPr>
      <w:r>
        <w:rPr>
          <w:spacing w:val="-2"/>
          <w:sz w:val="24"/>
          <w:szCs w:val="24"/>
        </w:rPr>
        <w:t>一、不向项目有关人员及部门赠送礼金礼物、有价证券、回扣以及中介费、</w:t>
      </w:r>
      <w:r>
        <w:rPr>
          <w:spacing w:val="-1"/>
          <w:sz w:val="24"/>
          <w:szCs w:val="24"/>
        </w:rPr>
        <w:t>介绍费、咨询费等好处费；</w:t>
      </w:r>
    </w:p>
    <w:p w14:paraId="52992007">
      <w:pPr>
        <w:pStyle w:val="10"/>
        <w:spacing w:line="219" w:lineRule="auto"/>
        <w:ind w:left="509"/>
        <w:rPr>
          <w:sz w:val="24"/>
          <w:szCs w:val="24"/>
        </w:rPr>
      </w:pPr>
      <w:r>
        <w:rPr>
          <w:spacing w:val="-1"/>
          <w:sz w:val="24"/>
          <w:szCs w:val="24"/>
        </w:rPr>
        <w:t>二、不为项目有关人员及部门报销应由你方单位或个人支付的费用；</w:t>
      </w:r>
    </w:p>
    <w:p w14:paraId="46437585">
      <w:pPr>
        <w:pStyle w:val="10"/>
        <w:spacing w:before="182" w:line="219" w:lineRule="auto"/>
        <w:jc w:val="right"/>
        <w:rPr>
          <w:sz w:val="24"/>
          <w:szCs w:val="24"/>
        </w:rPr>
      </w:pPr>
      <w:r>
        <w:rPr>
          <w:spacing w:val="-5"/>
          <w:sz w:val="24"/>
          <w:szCs w:val="24"/>
        </w:rPr>
        <w:t>三、不向项目有关人员及部门提供有可能影响公正的宴请和健身娱乐等活动；</w:t>
      </w:r>
    </w:p>
    <w:p w14:paraId="0A53BBEC">
      <w:pPr>
        <w:pStyle w:val="10"/>
        <w:spacing w:before="184" w:line="219" w:lineRule="auto"/>
        <w:ind w:left="528"/>
        <w:rPr>
          <w:sz w:val="24"/>
          <w:szCs w:val="24"/>
        </w:rPr>
      </w:pPr>
      <w:r>
        <w:rPr>
          <w:spacing w:val="-1"/>
          <w:sz w:val="24"/>
          <w:szCs w:val="24"/>
        </w:rPr>
        <w:t>四、不为项目有关人员及部门出国（境）、旅游</w:t>
      </w:r>
      <w:r>
        <w:rPr>
          <w:spacing w:val="-2"/>
          <w:sz w:val="24"/>
          <w:szCs w:val="24"/>
        </w:rPr>
        <w:t>等提供方便；</w:t>
      </w:r>
    </w:p>
    <w:p w14:paraId="72415964">
      <w:pPr>
        <w:pStyle w:val="10"/>
        <w:spacing w:before="183" w:line="360" w:lineRule="auto"/>
        <w:ind w:left="25" w:right="178" w:firstLine="483"/>
        <w:rPr>
          <w:sz w:val="24"/>
          <w:szCs w:val="24"/>
        </w:rPr>
      </w:pPr>
      <w:r>
        <w:rPr>
          <w:spacing w:val="-3"/>
          <w:sz w:val="24"/>
          <w:szCs w:val="24"/>
        </w:rPr>
        <w:t>五、不为项目有关人员个人装修住房、婚丧嫁娶</w:t>
      </w:r>
      <w:r>
        <w:rPr>
          <w:spacing w:val="-4"/>
          <w:sz w:val="24"/>
          <w:szCs w:val="24"/>
        </w:rPr>
        <w:t>、配偶子女工作安排等提供好处；</w:t>
      </w:r>
    </w:p>
    <w:p w14:paraId="0B6A5CE3">
      <w:pPr>
        <w:pStyle w:val="10"/>
        <w:spacing w:before="4" w:line="359" w:lineRule="auto"/>
        <w:ind w:left="26" w:right="73" w:firstLine="480"/>
        <w:rPr>
          <w:sz w:val="24"/>
          <w:szCs w:val="24"/>
        </w:rPr>
      </w:pPr>
      <w:r>
        <w:rPr>
          <w:spacing w:val="-7"/>
          <w:sz w:val="24"/>
          <w:szCs w:val="24"/>
        </w:rPr>
        <w:t>六、严格遵守《中华人民共和国政府采购法》《中华人民共和国招</w:t>
      </w:r>
      <w:r>
        <w:rPr>
          <w:spacing w:val="-8"/>
          <w:sz w:val="24"/>
          <w:szCs w:val="24"/>
        </w:rPr>
        <w:t>标投标法》</w:t>
      </w:r>
      <w:r>
        <w:rPr>
          <w:spacing w:val="-3"/>
          <w:sz w:val="24"/>
          <w:szCs w:val="24"/>
        </w:rPr>
        <w:t>《中华人民共和国民法典》等法律法规，诚实守信，合法经营，坚决抵制</w:t>
      </w:r>
      <w:r>
        <w:rPr>
          <w:spacing w:val="-4"/>
          <w:sz w:val="24"/>
          <w:szCs w:val="24"/>
        </w:rPr>
        <w:t>各种违</w:t>
      </w:r>
      <w:r>
        <w:rPr>
          <w:spacing w:val="-2"/>
          <w:sz w:val="24"/>
          <w:szCs w:val="24"/>
        </w:rPr>
        <w:t>法违纪行为。</w:t>
      </w:r>
    </w:p>
    <w:p w14:paraId="34696C89">
      <w:pPr>
        <w:pStyle w:val="10"/>
        <w:spacing w:before="2" w:line="361" w:lineRule="auto"/>
        <w:ind w:left="26" w:right="178" w:firstLine="482"/>
        <w:jc w:val="both"/>
        <w:rPr>
          <w:sz w:val="24"/>
          <w:szCs w:val="24"/>
        </w:rPr>
      </w:pPr>
      <w:r>
        <w:rPr>
          <w:spacing w:val="-3"/>
          <w:sz w:val="24"/>
          <w:szCs w:val="24"/>
        </w:rPr>
        <w:t>如违反上述承诺，你单位有权立即取消我单位磋</w:t>
      </w:r>
      <w:r>
        <w:rPr>
          <w:spacing w:val="-4"/>
          <w:sz w:val="24"/>
          <w:szCs w:val="24"/>
        </w:rPr>
        <w:t>商响应、成交或在建项目的</w:t>
      </w:r>
      <w:r>
        <w:rPr>
          <w:spacing w:val="-3"/>
          <w:sz w:val="24"/>
          <w:szCs w:val="24"/>
        </w:rPr>
        <w:t>建设资格，有权拒绝我单位在一定时期内进入你单位进行项目建设或其他</w:t>
      </w:r>
      <w:r>
        <w:rPr>
          <w:spacing w:val="-4"/>
          <w:sz w:val="24"/>
          <w:szCs w:val="24"/>
        </w:rPr>
        <w:t>经营活</w:t>
      </w:r>
      <w:r>
        <w:rPr>
          <w:spacing w:val="-1"/>
          <w:sz w:val="24"/>
          <w:szCs w:val="24"/>
        </w:rPr>
        <w:t>动，并通报当地财政局。由此引起的相应损失均由我单位承担。</w:t>
      </w:r>
    </w:p>
    <w:p w14:paraId="612D45A5">
      <w:pPr>
        <w:spacing w:line="262" w:lineRule="auto"/>
        <w:rPr>
          <w:rFonts w:ascii="Arial"/>
          <w:sz w:val="21"/>
        </w:rPr>
      </w:pPr>
    </w:p>
    <w:p w14:paraId="21A99AEB">
      <w:pPr>
        <w:spacing w:line="262" w:lineRule="auto"/>
        <w:rPr>
          <w:rFonts w:ascii="Arial"/>
          <w:sz w:val="21"/>
        </w:rPr>
      </w:pPr>
    </w:p>
    <w:p w14:paraId="20D1981D">
      <w:pPr>
        <w:spacing w:line="262" w:lineRule="auto"/>
        <w:rPr>
          <w:rFonts w:ascii="Arial"/>
          <w:sz w:val="21"/>
        </w:rPr>
      </w:pPr>
    </w:p>
    <w:p w14:paraId="2A77EEC8">
      <w:pPr>
        <w:spacing w:line="262" w:lineRule="auto"/>
        <w:rPr>
          <w:rFonts w:ascii="Arial"/>
          <w:sz w:val="21"/>
        </w:rPr>
      </w:pPr>
    </w:p>
    <w:p w14:paraId="10F385E8">
      <w:pPr>
        <w:spacing w:line="263" w:lineRule="auto"/>
        <w:rPr>
          <w:rFonts w:ascii="Arial"/>
          <w:sz w:val="21"/>
        </w:rPr>
      </w:pPr>
    </w:p>
    <w:p w14:paraId="185A384D">
      <w:pPr>
        <w:pStyle w:val="10"/>
        <w:spacing w:before="79" w:line="219" w:lineRule="auto"/>
        <w:ind w:left="4585"/>
        <w:rPr>
          <w:sz w:val="24"/>
          <w:szCs w:val="24"/>
        </w:rPr>
      </w:pPr>
      <w:r>
        <w:rPr>
          <w:spacing w:val="-2"/>
          <w:sz w:val="24"/>
          <w:szCs w:val="24"/>
        </w:rPr>
        <w:t>供应商名称（公章</w:t>
      </w:r>
      <w:r>
        <w:rPr>
          <w:spacing w:val="2"/>
          <w:sz w:val="24"/>
          <w:szCs w:val="24"/>
        </w:rPr>
        <w:t>）：</w:t>
      </w:r>
    </w:p>
    <w:p w14:paraId="7BF11E36">
      <w:pPr>
        <w:pStyle w:val="10"/>
        <w:spacing w:before="184" w:line="219" w:lineRule="auto"/>
        <w:ind w:left="4624"/>
        <w:rPr>
          <w:sz w:val="24"/>
          <w:szCs w:val="24"/>
        </w:rPr>
      </w:pPr>
      <w:r>
        <w:rPr>
          <w:spacing w:val="-13"/>
          <w:sz w:val="24"/>
          <w:szCs w:val="24"/>
        </w:rPr>
        <w:t>日期：年月日</w:t>
      </w:r>
    </w:p>
    <w:p w14:paraId="1D446473">
      <w:pPr>
        <w:pStyle w:val="10"/>
        <w:spacing w:before="101" w:line="225" w:lineRule="auto"/>
        <w:ind w:left="2837"/>
        <w:outlineLvl w:val="1"/>
        <w:rPr>
          <w:sz w:val="31"/>
          <w:szCs w:val="31"/>
        </w:rPr>
      </w:pPr>
      <w:r>
        <w:rPr>
          <w:b/>
          <w:bCs/>
          <w:spacing w:val="5"/>
          <w:sz w:val="31"/>
          <w:szCs w:val="31"/>
        </w:rPr>
        <w:br w:type="page"/>
      </w:r>
      <w:r>
        <w:rPr>
          <w:b/>
          <w:bCs/>
          <w:spacing w:val="5"/>
          <w:sz w:val="31"/>
          <w:szCs w:val="31"/>
        </w:rPr>
        <w:t>五、商务响应偏离表</w:t>
      </w:r>
    </w:p>
    <w:p w14:paraId="213EE885">
      <w:pPr>
        <w:pStyle w:val="10"/>
        <w:spacing w:before="307" w:line="220" w:lineRule="auto"/>
        <w:ind w:left="126"/>
        <w:rPr>
          <w:sz w:val="24"/>
          <w:szCs w:val="24"/>
        </w:rPr>
      </w:pPr>
      <w:r>
        <w:rPr>
          <w:spacing w:val="-3"/>
          <w:sz w:val="24"/>
          <w:szCs w:val="24"/>
        </w:rPr>
        <w:t>项目名称：</w:t>
      </w:r>
    </w:p>
    <w:p w14:paraId="67F84E88">
      <w:pPr>
        <w:pStyle w:val="10"/>
        <w:spacing w:before="182" w:line="219" w:lineRule="auto"/>
        <w:ind w:left="126"/>
        <w:rPr>
          <w:sz w:val="24"/>
          <w:szCs w:val="24"/>
        </w:rPr>
      </w:pPr>
      <w:r>
        <w:rPr>
          <w:spacing w:val="-2"/>
          <w:sz w:val="24"/>
          <w:szCs w:val="24"/>
        </w:rPr>
        <w:t>项目编号/包号：</w:t>
      </w:r>
    </w:p>
    <w:p w14:paraId="7CE35887">
      <w:pPr>
        <w:spacing w:line="67" w:lineRule="exact"/>
      </w:pPr>
    </w:p>
    <w:tbl>
      <w:tblPr>
        <w:tblStyle w:val="43"/>
        <w:tblW w:w="85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2392"/>
        <w:gridCol w:w="1719"/>
        <w:gridCol w:w="1870"/>
        <w:gridCol w:w="1875"/>
      </w:tblGrid>
      <w:tr w14:paraId="0EC67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725" w:type="dxa"/>
            <w:vAlign w:val="top"/>
          </w:tcPr>
          <w:p w14:paraId="264BE074">
            <w:pPr>
              <w:spacing w:line="253" w:lineRule="auto"/>
              <w:rPr>
                <w:rFonts w:hint="eastAsia" w:ascii="宋体" w:hAnsi="宋体" w:eastAsia="宋体" w:cs="宋体"/>
                <w:sz w:val="21"/>
                <w:szCs w:val="21"/>
              </w:rPr>
            </w:pPr>
          </w:p>
          <w:p w14:paraId="37B4651E">
            <w:pPr>
              <w:pStyle w:val="46"/>
              <w:spacing w:before="65" w:line="229" w:lineRule="auto"/>
              <w:ind w:left="15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392" w:type="dxa"/>
            <w:vAlign w:val="top"/>
          </w:tcPr>
          <w:p w14:paraId="41C27AB6">
            <w:pPr>
              <w:pStyle w:val="46"/>
              <w:spacing w:before="163" w:line="228" w:lineRule="auto"/>
              <w:ind w:left="154"/>
              <w:rPr>
                <w:rFonts w:hint="eastAsia" w:ascii="宋体" w:hAnsi="宋体" w:eastAsia="宋体" w:cs="宋体"/>
                <w:sz w:val="21"/>
                <w:szCs w:val="21"/>
              </w:rPr>
            </w:pPr>
            <w:r>
              <w:rPr>
                <w:rFonts w:hint="eastAsia" w:ascii="宋体" w:hAnsi="宋体" w:eastAsia="宋体" w:cs="宋体"/>
                <w:spacing w:val="8"/>
                <w:sz w:val="21"/>
                <w:szCs w:val="21"/>
              </w:rPr>
              <w:t>竞争性磋商文件的商务</w:t>
            </w:r>
            <w:r>
              <w:rPr>
                <w:rFonts w:hint="eastAsia" w:ascii="宋体" w:hAnsi="宋体" w:eastAsia="宋体" w:cs="宋体"/>
                <w:spacing w:val="3"/>
                <w:sz w:val="21"/>
                <w:szCs w:val="21"/>
              </w:rPr>
              <w:t>条款</w:t>
            </w:r>
          </w:p>
        </w:tc>
        <w:tc>
          <w:tcPr>
            <w:tcW w:w="1719" w:type="dxa"/>
            <w:vAlign w:val="top"/>
          </w:tcPr>
          <w:p w14:paraId="5ED2D7AF">
            <w:pPr>
              <w:pStyle w:val="46"/>
              <w:spacing w:before="164" w:line="289" w:lineRule="auto"/>
              <w:ind w:left="681" w:right="122" w:hanging="540"/>
              <w:rPr>
                <w:rFonts w:hint="eastAsia" w:ascii="宋体" w:hAnsi="宋体" w:eastAsia="宋体" w:cs="宋体"/>
                <w:sz w:val="21"/>
                <w:szCs w:val="21"/>
              </w:rPr>
            </w:pPr>
            <w:r>
              <w:rPr>
                <w:rFonts w:hint="eastAsia" w:ascii="宋体" w:hAnsi="宋体" w:eastAsia="宋体" w:cs="宋体"/>
                <w:spacing w:val="7"/>
                <w:sz w:val="21"/>
                <w:szCs w:val="21"/>
              </w:rPr>
              <w:t>响应文件的响应</w:t>
            </w:r>
            <w:r>
              <w:rPr>
                <w:rFonts w:hint="eastAsia" w:ascii="宋体" w:hAnsi="宋体" w:eastAsia="宋体" w:cs="宋体"/>
                <w:spacing w:val="-8"/>
                <w:sz w:val="21"/>
                <w:szCs w:val="21"/>
              </w:rPr>
              <w:t>内容</w:t>
            </w:r>
          </w:p>
        </w:tc>
        <w:tc>
          <w:tcPr>
            <w:tcW w:w="1870" w:type="dxa"/>
            <w:vAlign w:val="top"/>
          </w:tcPr>
          <w:p w14:paraId="6784AAF2">
            <w:pPr>
              <w:spacing w:line="253" w:lineRule="auto"/>
              <w:rPr>
                <w:rFonts w:hint="eastAsia" w:ascii="宋体" w:hAnsi="宋体" w:eastAsia="宋体" w:cs="宋体"/>
                <w:sz w:val="21"/>
                <w:szCs w:val="21"/>
              </w:rPr>
            </w:pPr>
          </w:p>
          <w:p w14:paraId="1039DA4C">
            <w:pPr>
              <w:pStyle w:val="46"/>
              <w:spacing w:before="65" w:line="228" w:lineRule="auto"/>
              <w:ind w:left="532"/>
              <w:rPr>
                <w:rFonts w:hint="eastAsia" w:ascii="宋体" w:hAnsi="宋体" w:eastAsia="宋体" w:cs="宋体"/>
                <w:sz w:val="21"/>
                <w:szCs w:val="21"/>
              </w:rPr>
            </w:pPr>
            <w:r>
              <w:rPr>
                <w:rFonts w:hint="eastAsia" w:ascii="宋体" w:hAnsi="宋体" w:eastAsia="宋体" w:cs="宋体"/>
                <w:spacing w:val="4"/>
                <w:sz w:val="21"/>
                <w:szCs w:val="21"/>
              </w:rPr>
              <w:t>响应情况</w:t>
            </w:r>
          </w:p>
        </w:tc>
        <w:tc>
          <w:tcPr>
            <w:tcW w:w="1875" w:type="dxa"/>
            <w:vAlign w:val="top"/>
          </w:tcPr>
          <w:p w14:paraId="43A415E6">
            <w:pPr>
              <w:spacing w:line="252" w:lineRule="auto"/>
              <w:rPr>
                <w:rFonts w:hint="eastAsia" w:ascii="宋体" w:hAnsi="宋体" w:eastAsia="宋体" w:cs="宋体"/>
                <w:sz w:val="21"/>
                <w:szCs w:val="21"/>
              </w:rPr>
            </w:pPr>
          </w:p>
          <w:p w14:paraId="3F2471ED">
            <w:pPr>
              <w:pStyle w:val="46"/>
              <w:spacing w:before="65" w:line="228" w:lineRule="auto"/>
              <w:ind w:left="420"/>
              <w:rPr>
                <w:rFonts w:hint="eastAsia" w:ascii="宋体" w:hAnsi="宋体" w:eastAsia="宋体" w:cs="宋体"/>
                <w:sz w:val="21"/>
                <w:szCs w:val="21"/>
              </w:rPr>
            </w:pPr>
            <w:r>
              <w:rPr>
                <w:rFonts w:hint="eastAsia" w:ascii="宋体" w:hAnsi="宋体" w:eastAsia="宋体" w:cs="宋体"/>
                <w:spacing w:val="7"/>
                <w:sz w:val="21"/>
                <w:szCs w:val="21"/>
              </w:rPr>
              <w:t>说明及索引</w:t>
            </w:r>
          </w:p>
        </w:tc>
      </w:tr>
      <w:tr w14:paraId="0F861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725" w:type="dxa"/>
            <w:vAlign w:val="top"/>
          </w:tcPr>
          <w:p w14:paraId="3D7CDBE1">
            <w:pPr>
              <w:pStyle w:val="46"/>
              <w:spacing w:before="110" w:line="270" w:lineRule="exact"/>
              <w:ind w:left="330"/>
              <w:rPr>
                <w:rFonts w:hint="eastAsia" w:ascii="宋体" w:hAnsi="宋体" w:eastAsia="宋体" w:cs="宋体"/>
                <w:sz w:val="21"/>
                <w:szCs w:val="21"/>
              </w:rPr>
            </w:pPr>
            <w:r>
              <w:rPr>
                <w:rFonts w:hint="eastAsia" w:ascii="宋体" w:hAnsi="宋体" w:eastAsia="宋体" w:cs="宋体"/>
                <w:position w:val="1"/>
                <w:sz w:val="21"/>
                <w:szCs w:val="21"/>
              </w:rPr>
              <w:t>1</w:t>
            </w:r>
          </w:p>
        </w:tc>
        <w:tc>
          <w:tcPr>
            <w:tcW w:w="2392" w:type="dxa"/>
            <w:vAlign w:val="top"/>
          </w:tcPr>
          <w:p w14:paraId="26AC7B4B">
            <w:pPr>
              <w:pStyle w:val="46"/>
              <w:spacing w:before="110" w:line="288" w:lineRule="exact"/>
              <w:ind w:left="832"/>
              <w:rPr>
                <w:rFonts w:hint="eastAsia" w:ascii="宋体" w:hAnsi="宋体" w:eastAsia="宋体" w:cs="宋体"/>
                <w:sz w:val="21"/>
                <w:szCs w:val="21"/>
              </w:rPr>
            </w:pPr>
            <w:r>
              <w:rPr>
                <w:rFonts w:hint="eastAsia" w:ascii="宋体" w:hAnsi="宋体" w:eastAsia="宋体" w:cs="宋体"/>
                <w:spacing w:val="4"/>
                <w:position w:val="1"/>
                <w:sz w:val="21"/>
                <w:szCs w:val="21"/>
              </w:rPr>
              <w:t>*******</w:t>
            </w:r>
          </w:p>
        </w:tc>
        <w:tc>
          <w:tcPr>
            <w:tcW w:w="1719" w:type="dxa"/>
            <w:vAlign w:val="top"/>
          </w:tcPr>
          <w:p w14:paraId="303CAE06">
            <w:pPr>
              <w:pStyle w:val="46"/>
              <w:spacing w:before="110" w:line="288" w:lineRule="exact"/>
              <w:ind w:left="497"/>
              <w:rPr>
                <w:rFonts w:hint="eastAsia" w:ascii="宋体" w:hAnsi="宋体" w:eastAsia="宋体" w:cs="宋体"/>
                <w:sz w:val="21"/>
                <w:szCs w:val="21"/>
              </w:rPr>
            </w:pPr>
            <w:r>
              <w:rPr>
                <w:rFonts w:hint="eastAsia" w:ascii="宋体" w:hAnsi="宋体" w:eastAsia="宋体" w:cs="宋体"/>
                <w:spacing w:val="4"/>
                <w:position w:val="1"/>
                <w:sz w:val="21"/>
                <w:szCs w:val="21"/>
              </w:rPr>
              <w:t>*******</w:t>
            </w:r>
          </w:p>
        </w:tc>
        <w:tc>
          <w:tcPr>
            <w:tcW w:w="1870" w:type="dxa"/>
            <w:vAlign w:val="top"/>
          </w:tcPr>
          <w:p w14:paraId="344EBBE5">
            <w:pPr>
              <w:pStyle w:val="46"/>
              <w:spacing w:before="110" w:line="228" w:lineRule="auto"/>
              <w:ind w:left="479"/>
              <w:rPr>
                <w:rFonts w:hint="eastAsia" w:ascii="宋体" w:hAnsi="宋体" w:eastAsia="宋体" w:cs="宋体"/>
                <w:sz w:val="21"/>
                <w:szCs w:val="21"/>
              </w:rPr>
            </w:pPr>
            <w:r>
              <w:rPr>
                <w:rFonts w:hint="eastAsia" w:ascii="宋体" w:hAnsi="宋体" w:eastAsia="宋体" w:cs="宋体"/>
                <w:spacing w:val="4"/>
                <w:sz w:val="21"/>
                <w:szCs w:val="21"/>
              </w:rPr>
              <w:t>响应/偏离</w:t>
            </w:r>
          </w:p>
        </w:tc>
        <w:tc>
          <w:tcPr>
            <w:tcW w:w="1875" w:type="dxa"/>
            <w:vAlign w:val="top"/>
          </w:tcPr>
          <w:p w14:paraId="0892AA01">
            <w:pPr>
              <w:rPr>
                <w:rFonts w:hint="eastAsia" w:ascii="宋体" w:hAnsi="宋体" w:eastAsia="宋体" w:cs="宋体"/>
                <w:sz w:val="21"/>
                <w:szCs w:val="21"/>
              </w:rPr>
            </w:pPr>
          </w:p>
        </w:tc>
      </w:tr>
      <w:tr w14:paraId="37165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725" w:type="dxa"/>
            <w:vAlign w:val="top"/>
          </w:tcPr>
          <w:p w14:paraId="5877DC13">
            <w:pPr>
              <w:pStyle w:val="46"/>
              <w:spacing w:before="112" w:line="270" w:lineRule="exact"/>
              <w:ind w:left="317"/>
              <w:rPr>
                <w:rFonts w:hint="eastAsia" w:ascii="宋体" w:hAnsi="宋体" w:eastAsia="宋体" w:cs="宋体"/>
                <w:sz w:val="21"/>
                <w:szCs w:val="21"/>
              </w:rPr>
            </w:pPr>
            <w:r>
              <w:rPr>
                <w:rFonts w:hint="eastAsia" w:ascii="宋体" w:hAnsi="宋体" w:eastAsia="宋体" w:cs="宋体"/>
                <w:position w:val="1"/>
                <w:sz w:val="21"/>
                <w:szCs w:val="21"/>
              </w:rPr>
              <w:t>2</w:t>
            </w:r>
          </w:p>
        </w:tc>
        <w:tc>
          <w:tcPr>
            <w:tcW w:w="2392" w:type="dxa"/>
            <w:vAlign w:val="top"/>
          </w:tcPr>
          <w:p w14:paraId="1ADF722F">
            <w:pPr>
              <w:pStyle w:val="46"/>
              <w:spacing w:before="112" w:line="288" w:lineRule="exact"/>
              <w:ind w:left="832"/>
              <w:rPr>
                <w:rFonts w:hint="eastAsia" w:ascii="宋体" w:hAnsi="宋体" w:eastAsia="宋体" w:cs="宋体"/>
                <w:sz w:val="21"/>
                <w:szCs w:val="21"/>
              </w:rPr>
            </w:pPr>
            <w:r>
              <w:rPr>
                <w:rFonts w:hint="eastAsia" w:ascii="宋体" w:hAnsi="宋体" w:eastAsia="宋体" w:cs="宋体"/>
                <w:spacing w:val="4"/>
                <w:position w:val="1"/>
                <w:sz w:val="21"/>
                <w:szCs w:val="21"/>
              </w:rPr>
              <w:t>*******</w:t>
            </w:r>
          </w:p>
        </w:tc>
        <w:tc>
          <w:tcPr>
            <w:tcW w:w="1719" w:type="dxa"/>
            <w:vAlign w:val="top"/>
          </w:tcPr>
          <w:p w14:paraId="79C40153">
            <w:pPr>
              <w:pStyle w:val="46"/>
              <w:spacing w:before="112" w:line="288" w:lineRule="exact"/>
              <w:ind w:left="497"/>
              <w:rPr>
                <w:rFonts w:hint="eastAsia" w:ascii="宋体" w:hAnsi="宋体" w:eastAsia="宋体" w:cs="宋体"/>
                <w:sz w:val="21"/>
                <w:szCs w:val="21"/>
              </w:rPr>
            </w:pPr>
            <w:r>
              <w:rPr>
                <w:rFonts w:hint="eastAsia" w:ascii="宋体" w:hAnsi="宋体" w:eastAsia="宋体" w:cs="宋体"/>
                <w:spacing w:val="4"/>
                <w:position w:val="1"/>
                <w:sz w:val="21"/>
                <w:szCs w:val="21"/>
              </w:rPr>
              <w:t>*******</w:t>
            </w:r>
          </w:p>
        </w:tc>
        <w:tc>
          <w:tcPr>
            <w:tcW w:w="1870" w:type="dxa"/>
            <w:vAlign w:val="top"/>
          </w:tcPr>
          <w:p w14:paraId="0D010F7D">
            <w:pPr>
              <w:rPr>
                <w:rFonts w:hint="eastAsia" w:ascii="宋体" w:hAnsi="宋体" w:eastAsia="宋体" w:cs="宋体"/>
                <w:sz w:val="21"/>
                <w:szCs w:val="21"/>
              </w:rPr>
            </w:pPr>
          </w:p>
        </w:tc>
        <w:tc>
          <w:tcPr>
            <w:tcW w:w="1875" w:type="dxa"/>
            <w:vAlign w:val="top"/>
          </w:tcPr>
          <w:p w14:paraId="01AD1711">
            <w:pPr>
              <w:rPr>
                <w:rFonts w:hint="eastAsia" w:ascii="宋体" w:hAnsi="宋体" w:eastAsia="宋体" w:cs="宋体"/>
                <w:sz w:val="21"/>
                <w:szCs w:val="21"/>
              </w:rPr>
            </w:pPr>
          </w:p>
        </w:tc>
      </w:tr>
      <w:tr w14:paraId="21A01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725" w:type="dxa"/>
            <w:vAlign w:val="top"/>
          </w:tcPr>
          <w:p w14:paraId="6806BC94">
            <w:pPr>
              <w:pStyle w:val="46"/>
              <w:spacing w:before="113" w:line="268" w:lineRule="exact"/>
              <w:ind w:left="319"/>
              <w:rPr>
                <w:rFonts w:hint="eastAsia" w:ascii="宋体" w:hAnsi="宋体" w:eastAsia="宋体" w:cs="宋体"/>
                <w:sz w:val="21"/>
                <w:szCs w:val="21"/>
              </w:rPr>
            </w:pPr>
            <w:r>
              <w:rPr>
                <w:rFonts w:hint="eastAsia" w:ascii="宋体" w:hAnsi="宋体" w:eastAsia="宋体" w:cs="宋体"/>
                <w:position w:val="1"/>
                <w:sz w:val="21"/>
                <w:szCs w:val="21"/>
              </w:rPr>
              <w:t>3</w:t>
            </w:r>
          </w:p>
        </w:tc>
        <w:tc>
          <w:tcPr>
            <w:tcW w:w="2392" w:type="dxa"/>
            <w:vAlign w:val="top"/>
          </w:tcPr>
          <w:p w14:paraId="3A6498F6">
            <w:pPr>
              <w:pStyle w:val="46"/>
              <w:spacing w:before="113" w:line="288" w:lineRule="exact"/>
              <w:ind w:left="832"/>
              <w:rPr>
                <w:rFonts w:hint="eastAsia" w:ascii="宋体" w:hAnsi="宋体" w:eastAsia="宋体" w:cs="宋体"/>
                <w:sz w:val="21"/>
                <w:szCs w:val="21"/>
              </w:rPr>
            </w:pPr>
            <w:r>
              <w:rPr>
                <w:rFonts w:hint="eastAsia" w:ascii="宋体" w:hAnsi="宋体" w:eastAsia="宋体" w:cs="宋体"/>
                <w:spacing w:val="4"/>
                <w:position w:val="1"/>
                <w:sz w:val="21"/>
                <w:szCs w:val="21"/>
              </w:rPr>
              <w:t>*******</w:t>
            </w:r>
          </w:p>
        </w:tc>
        <w:tc>
          <w:tcPr>
            <w:tcW w:w="1719" w:type="dxa"/>
            <w:vAlign w:val="top"/>
          </w:tcPr>
          <w:p w14:paraId="5632F45C">
            <w:pPr>
              <w:pStyle w:val="46"/>
              <w:spacing w:before="113" w:line="288" w:lineRule="exact"/>
              <w:ind w:left="497"/>
              <w:rPr>
                <w:rFonts w:hint="eastAsia" w:ascii="宋体" w:hAnsi="宋体" w:eastAsia="宋体" w:cs="宋体"/>
                <w:sz w:val="21"/>
                <w:szCs w:val="21"/>
              </w:rPr>
            </w:pPr>
            <w:r>
              <w:rPr>
                <w:rFonts w:hint="eastAsia" w:ascii="宋体" w:hAnsi="宋体" w:eastAsia="宋体" w:cs="宋体"/>
                <w:spacing w:val="4"/>
                <w:position w:val="1"/>
                <w:sz w:val="21"/>
                <w:szCs w:val="21"/>
              </w:rPr>
              <w:t>*******</w:t>
            </w:r>
          </w:p>
        </w:tc>
        <w:tc>
          <w:tcPr>
            <w:tcW w:w="1870" w:type="dxa"/>
            <w:vAlign w:val="top"/>
          </w:tcPr>
          <w:p w14:paraId="483F110F">
            <w:pPr>
              <w:rPr>
                <w:rFonts w:hint="eastAsia" w:ascii="宋体" w:hAnsi="宋体" w:eastAsia="宋体" w:cs="宋体"/>
                <w:sz w:val="21"/>
                <w:szCs w:val="21"/>
              </w:rPr>
            </w:pPr>
          </w:p>
        </w:tc>
        <w:tc>
          <w:tcPr>
            <w:tcW w:w="1875" w:type="dxa"/>
            <w:vAlign w:val="top"/>
          </w:tcPr>
          <w:p w14:paraId="10F45D19">
            <w:pPr>
              <w:rPr>
                <w:rFonts w:hint="eastAsia" w:ascii="宋体" w:hAnsi="宋体" w:eastAsia="宋体" w:cs="宋体"/>
                <w:sz w:val="21"/>
                <w:szCs w:val="21"/>
              </w:rPr>
            </w:pPr>
          </w:p>
        </w:tc>
      </w:tr>
      <w:tr w14:paraId="15812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725" w:type="dxa"/>
            <w:vAlign w:val="top"/>
          </w:tcPr>
          <w:p w14:paraId="61006965">
            <w:pPr>
              <w:rPr>
                <w:rFonts w:hint="eastAsia" w:ascii="宋体" w:hAnsi="宋体" w:eastAsia="宋体" w:cs="宋体"/>
                <w:sz w:val="21"/>
                <w:szCs w:val="21"/>
              </w:rPr>
            </w:pPr>
          </w:p>
        </w:tc>
        <w:tc>
          <w:tcPr>
            <w:tcW w:w="2392" w:type="dxa"/>
            <w:vAlign w:val="top"/>
          </w:tcPr>
          <w:p w14:paraId="4BC92199">
            <w:pPr>
              <w:rPr>
                <w:rFonts w:hint="eastAsia" w:ascii="宋体" w:hAnsi="宋体" w:eastAsia="宋体" w:cs="宋体"/>
                <w:sz w:val="21"/>
                <w:szCs w:val="21"/>
              </w:rPr>
            </w:pPr>
          </w:p>
        </w:tc>
        <w:tc>
          <w:tcPr>
            <w:tcW w:w="1719" w:type="dxa"/>
            <w:vAlign w:val="top"/>
          </w:tcPr>
          <w:p w14:paraId="35FBE0B7">
            <w:pPr>
              <w:rPr>
                <w:rFonts w:hint="eastAsia" w:ascii="宋体" w:hAnsi="宋体" w:eastAsia="宋体" w:cs="宋体"/>
                <w:sz w:val="21"/>
                <w:szCs w:val="21"/>
              </w:rPr>
            </w:pPr>
          </w:p>
        </w:tc>
        <w:tc>
          <w:tcPr>
            <w:tcW w:w="1870" w:type="dxa"/>
            <w:vAlign w:val="top"/>
          </w:tcPr>
          <w:p w14:paraId="5CB66F64">
            <w:pPr>
              <w:rPr>
                <w:rFonts w:hint="eastAsia" w:ascii="宋体" w:hAnsi="宋体" w:eastAsia="宋体" w:cs="宋体"/>
                <w:sz w:val="21"/>
                <w:szCs w:val="21"/>
              </w:rPr>
            </w:pPr>
          </w:p>
        </w:tc>
        <w:tc>
          <w:tcPr>
            <w:tcW w:w="1875" w:type="dxa"/>
            <w:vAlign w:val="top"/>
          </w:tcPr>
          <w:p w14:paraId="1400A977">
            <w:pPr>
              <w:rPr>
                <w:rFonts w:hint="eastAsia" w:ascii="宋体" w:hAnsi="宋体" w:eastAsia="宋体" w:cs="宋体"/>
                <w:sz w:val="21"/>
                <w:szCs w:val="21"/>
              </w:rPr>
            </w:pPr>
          </w:p>
        </w:tc>
      </w:tr>
      <w:tr w14:paraId="10571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725" w:type="dxa"/>
            <w:vAlign w:val="top"/>
          </w:tcPr>
          <w:p w14:paraId="3BA9A6AC">
            <w:pPr>
              <w:rPr>
                <w:rFonts w:hint="eastAsia" w:ascii="宋体" w:hAnsi="宋体" w:eastAsia="宋体" w:cs="宋体"/>
                <w:sz w:val="21"/>
                <w:szCs w:val="21"/>
              </w:rPr>
            </w:pPr>
          </w:p>
        </w:tc>
        <w:tc>
          <w:tcPr>
            <w:tcW w:w="2392" w:type="dxa"/>
            <w:vAlign w:val="top"/>
          </w:tcPr>
          <w:p w14:paraId="2EF54C02">
            <w:pPr>
              <w:rPr>
                <w:rFonts w:hint="eastAsia" w:ascii="宋体" w:hAnsi="宋体" w:eastAsia="宋体" w:cs="宋体"/>
                <w:sz w:val="21"/>
                <w:szCs w:val="21"/>
              </w:rPr>
            </w:pPr>
          </w:p>
        </w:tc>
        <w:tc>
          <w:tcPr>
            <w:tcW w:w="1719" w:type="dxa"/>
            <w:vAlign w:val="top"/>
          </w:tcPr>
          <w:p w14:paraId="07B845DF">
            <w:pPr>
              <w:rPr>
                <w:rFonts w:hint="eastAsia" w:ascii="宋体" w:hAnsi="宋体" w:eastAsia="宋体" w:cs="宋体"/>
                <w:sz w:val="21"/>
                <w:szCs w:val="21"/>
              </w:rPr>
            </w:pPr>
          </w:p>
        </w:tc>
        <w:tc>
          <w:tcPr>
            <w:tcW w:w="1870" w:type="dxa"/>
            <w:vAlign w:val="top"/>
          </w:tcPr>
          <w:p w14:paraId="52F722D6">
            <w:pPr>
              <w:rPr>
                <w:rFonts w:hint="eastAsia" w:ascii="宋体" w:hAnsi="宋体" w:eastAsia="宋体" w:cs="宋体"/>
                <w:sz w:val="21"/>
                <w:szCs w:val="21"/>
              </w:rPr>
            </w:pPr>
          </w:p>
        </w:tc>
        <w:tc>
          <w:tcPr>
            <w:tcW w:w="1875" w:type="dxa"/>
            <w:vAlign w:val="top"/>
          </w:tcPr>
          <w:p w14:paraId="44F70E7C">
            <w:pPr>
              <w:rPr>
                <w:rFonts w:hint="eastAsia" w:ascii="宋体" w:hAnsi="宋体" w:eastAsia="宋体" w:cs="宋体"/>
                <w:sz w:val="21"/>
                <w:szCs w:val="21"/>
              </w:rPr>
            </w:pPr>
          </w:p>
        </w:tc>
      </w:tr>
      <w:tr w14:paraId="20F55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725" w:type="dxa"/>
            <w:vAlign w:val="top"/>
          </w:tcPr>
          <w:p w14:paraId="79149364">
            <w:pPr>
              <w:rPr>
                <w:rFonts w:hint="eastAsia" w:ascii="宋体" w:hAnsi="宋体" w:eastAsia="宋体" w:cs="宋体"/>
                <w:sz w:val="21"/>
                <w:szCs w:val="21"/>
              </w:rPr>
            </w:pPr>
          </w:p>
        </w:tc>
        <w:tc>
          <w:tcPr>
            <w:tcW w:w="2392" w:type="dxa"/>
            <w:vAlign w:val="top"/>
          </w:tcPr>
          <w:p w14:paraId="4230EB44">
            <w:pPr>
              <w:rPr>
                <w:rFonts w:hint="eastAsia" w:ascii="宋体" w:hAnsi="宋体" w:eastAsia="宋体" w:cs="宋体"/>
                <w:sz w:val="21"/>
                <w:szCs w:val="21"/>
              </w:rPr>
            </w:pPr>
          </w:p>
        </w:tc>
        <w:tc>
          <w:tcPr>
            <w:tcW w:w="1719" w:type="dxa"/>
            <w:vAlign w:val="top"/>
          </w:tcPr>
          <w:p w14:paraId="360D13B6">
            <w:pPr>
              <w:rPr>
                <w:rFonts w:hint="eastAsia" w:ascii="宋体" w:hAnsi="宋体" w:eastAsia="宋体" w:cs="宋体"/>
                <w:sz w:val="21"/>
                <w:szCs w:val="21"/>
              </w:rPr>
            </w:pPr>
          </w:p>
        </w:tc>
        <w:tc>
          <w:tcPr>
            <w:tcW w:w="1870" w:type="dxa"/>
            <w:vAlign w:val="top"/>
          </w:tcPr>
          <w:p w14:paraId="7CDFC016">
            <w:pPr>
              <w:rPr>
                <w:rFonts w:hint="eastAsia" w:ascii="宋体" w:hAnsi="宋体" w:eastAsia="宋体" w:cs="宋体"/>
                <w:sz w:val="21"/>
                <w:szCs w:val="21"/>
              </w:rPr>
            </w:pPr>
          </w:p>
        </w:tc>
        <w:tc>
          <w:tcPr>
            <w:tcW w:w="1875" w:type="dxa"/>
            <w:vAlign w:val="top"/>
          </w:tcPr>
          <w:p w14:paraId="315385FE">
            <w:pPr>
              <w:rPr>
                <w:rFonts w:hint="eastAsia" w:ascii="宋体" w:hAnsi="宋体" w:eastAsia="宋体" w:cs="宋体"/>
                <w:sz w:val="21"/>
                <w:szCs w:val="21"/>
              </w:rPr>
            </w:pPr>
          </w:p>
        </w:tc>
      </w:tr>
      <w:tr w14:paraId="396DE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725" w:type="dxa"/>
            <w:vAlign w:val="top"/>
          </w:tcPr>
          <w:p w14:paraId="43C12ED4">
            <w:pPr>
              <w:rPr>
                <w:rFonts w:hint="eastAsia" w:ascii="宋体" w:hAnsi="宋体" w:eastAsia="宋体" w:cs="宋体"/>
                <w:sz w:val="21"/>
                <w:szCs w:val="21"/>
              </w:rPr>
            </w:pPr>
          </w:p>
        </w:tc>
        <w:tc>
          <w:tcPr>
            <w:tcW w:w="2392" w:type="dxa"/>
            <w:vAlign w:val="top"/>
          </w:tcPr>
          <w:p w14:paraId="6FDCD57C">
            <w:pPr>
              <w:rPr>
                <w:rFonts w:hint="eastAsia" w:ascii="宋体" w:hAnsi="宋体" w:eastAsia="宋体" w:cs="宋体"/>
                <w:sz w:val="21"/>
                <w:szCs w:val="21"/>
              </w:rPr>
            </w:pPr>
          </w:p>
        </w:tc>
        <w:tc>
          <w:tcPr>
            <w:tcW w:w="1719" w:type="dxa"/>
            <w:vAlign w:val="top"/>
          </w:tcPr>
          <w:p w14:paraId="725D62F9">
            <w:pPr>
              <w:rPr>
                <w:rFonts w:hint="eastAsia" w:ascii="宋体" w:hAnsi="宋体" w:eastAsia="宋体" w:cs="宋体"/>
                <w:sz w:val="21"/>
                <w:szCs w:val="21"/>
              </w:rPr>
            </w:pPr>
          </w:p>
        </w:tc>
        <w:tc>
          <w:tcPr>
            <w:tcW w:w="1870" w:type="dxa"/>
            <w:vAlign w:val="top"/>
          </w:tcPr>
          <w:p w14:paraId="46B73E42">
            <w:pPr>
              <w:rPr>
                <w:rFonts w:hint="eastAsia" w:ascii="宋体" w:hAnsi="宋体" w:eastAsia="宋体" w:cs="宋体"/>
                <w:sz w:val="21"/>
                <w:szCs w:val="21"/>
              </w:rPr>
            </w:pPr>
          </w:p>
        </w:tc>
        <w:tc>
          <w:tcPr>
            <w:tcW w:w="1875" w:type="dxa"/>
            <w:vAlign w:val="top"/>
          </w:tcPr>
          <w:p w14:paraId="22E0CAE3">
            <w:pPr>
              <w:rPr>
                <w:rFonts w:hint="eastAsia" w:ascii="宋体" w:hAnsi="宋体" w:eastAsia="宋体" w:cs="宋体"/>
                <w:sz w:val="21"/>
                <w:szCs w:val="21"/>
              </w:rPr>
            </w:pPr>
          </w:p>
        </w:tc>
      </w:tr>
      <w:tr w14:paraId="3EC1C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725" w:type="dxa"/>
            <w:vAlign w:val="top"/>
          </w:tcPr>
          <w:p w14:paraId="56B9A151">
            <w:pPr>
              <w:rPr>
                <w:rFonts w:hint="eastAsia" w:ascii="宋体" w:hAnsi="宋体" w:eastAsia="宋体" w:cs="宋体"/>
                <w:sz w:val="21"/>
                <w:szCs w:val="21"/>
              </w:rPr>
            </w:pPr>
          </w:p>
        </w:tc>
        <w:tc>
          <w:tcPr>
            <w:tcW w:w="2392" w:type="dxa"/>
            <w:vAlign w:val="top"/>
          </w:tcPr>
          <w:p w14:paraId="0B9591A1">
            <w:pPr>
              <w:rPr>
                <w:rFonts w:hint="eastAsia" w:ascii="宋体" w:hAnsi="宋体" w:eastAsia="宋体" w:cs="宋体"/>
                <w:sz w:val="21"/>
                <w:szCs w:val="21"/>
              </w:rPr>
            </w:pPr>
          </w:p>
        </w:tc>
        <w:tc>
          <w:tcPr>
            <w:tcW w:w="1719" w:type="dxa"/>
            <w:vAlign w:val="top"/>
          </w:tcPr>
          <w:p w14:paraId="0BFC6E58">
            <w:pPr>
              <w:rPr>
                <w:rFonts w:hint="eastAsia" w:ascii="宋体" w:hAnsi="宋体" w:eastAsia="宋体" w:cs="宋体"/>
                <w:sz w:val="21"/>
                <w:szCs w:val="21"/>
              </w:rPr>
            </w:pPr>
          </w:p>
        </w:tc>
        <w:tc>
          <w:tcPr>
            <w:tcW w:w="1870" w:type="dxa"/>
            <w:vAlign w:val="top"/>
          </w:tcPr>
          <w:p w14:paraId="7719B9B0">
            <w:pPr>
              <w:rPr>
                <w:rFonts w:hint="eastAsia" w:ascii="宋体" w:hAnsi="宋体" w:eastAsia="宋体" w:cs="宋体"/>
                <w:sz w:val="21"/>
                <w:szCs w:val="21"/>
              </w:rPr>
            </w:pPr>
          </w:p>
        </w:tc>
        <w:tc>
          <w:tcPr>
            <w:tcW w:w="1875" w:type="dxa"/>
            <w:vAlign w:val="top"/>
          </w:tcPr>
          <w:p w14:paraId="6AE0064F">
            <w:pPr>
              <w:rPr>
                <w:rFonts w:hint="eastAsia" w:ascii="宋体" w:hAnsi="宋体" w:eastAsia="宋体" w:cs="宋体"/>
                <w:sz w:val="21"/>
                <w:szCs w:val="21"/>
              </w:rPr>
            </w:pPr>
          </w:p>
        </w:tc>
      </w:tr>
      <w:tr w14:paraId="32D85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725" w:type="dxa"/>
            <w:vAlign w:val="top"/>
          </w:tcPr>
          <w:p w14:paraId="60B47670">
            <w:pPr>
              <w:rPr>
                <w:rFonts w:hint="eastAsia" w:ascii="宋体" w:hAnsi="宋体" w:eastAsia="宋体" w:cs="宋体"/>
                <w:sz w:val="21"/>
                <w:szCs w:val="21"/>
              </w:rPr>
            </w:pPr>
          </w:p>
        </w:tc>
        <w:tc>
          <w:tcPr>
            <w:tcW w:w="2392" w:type="dxa"/>
            <w:vAlign w:val="top"/>
          </w:tcPr>
          <w:p w14:paraId="2AD99D91">
            <w:pPr>
              <w:rPr>
                <w:rFonts w:hint="eastAsia" w:ascii="宋体" w:hAnsi="宋体" w:eastAsia="宋体" w:cs="宋体"/>
                <w:sz w:val="21"/>
                <w:szCs w:val="21"/>
              </w:rPr>
            </w:pPr>
          </w:p>
        </w:tc>
        <w:tc>
          <w:tcPr>
            <w:tcW w:w="1719" w:type="dxa"/>
            <w:vAlign w:val="top"/>
          </w:tcPr>
          <w:p w14:paraId="7F512153">
            <w:pPr>
              <w:rPr>
                <w:rFonts w:hint="eastAsia" w:ascii="宋体" w:hAnsi="宋体" w:eastAsia="宋体" w:cs="宋体"/>
                <w:sz w:val="21"/>
                <w:szCs w:val="21"/>
              </w:rPr>
            </w:pPr>
          </w:p>
        </w:tc>
        <w:tc>
          <w:tcPr>
            <w:tcW w:w="1870" w:type="dxa"/>
            <w:vAlign w:val="top"/>
          </w:tcPr>
          <w:p w14:paraId="6077152B">
            <w:pPr>
              <w:rPr>
                <w:rFonts w:hint="eastAsia" w:ascii="宋体" w:hAnsi="宋体" w:eastAsia="宋体" w:cs="宋体"/>
                <w:sz w:val="21"/>
                <w:szCs w:val="21"/>
              </w:rPr>
            </w:pPr>
          </w:p>
        </w:tc>
        <w:tc>
          <w:tcPr>
            <w:tcW w:w="1875" w:type="dxa"/>
            <w:vAlign w:val="top"/>
          </w:tcPr>
          <w:p w14:paraId="24805802">
            <w:pPr>
              <w:rPr>
                <w:rFonts w:hint="eastAsia" w:ascii="宋体" w:hAnsi="宋体" w:eastAsia="宋体" w:cs="宋体"/>
                <w:sz w:val="21"/>
                <w:szCs w:val="21"/>
              </w:rPr>
            </w:pPr>
          </w:p>
        </w:tc>
      </w:tr>
      <w:tr w14:paraId="1DBDA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25" w:type="dxa"/>
            <w:vAlign w:val="top"/>
          </w:tcPr>
          <w:p w14:paraId="313B5D32">
            <w:pPr>
              <w:pStyle w:val="46"/>
              <w:spacing w:before="127" w:line="324" w:lineRule="exact"/>
              <w:ind w:left="169"/>
              <w:rPr>
                <w:rFonts w:hint="eastAsia" w:ascii="宋体" w:hAnsi="宋体" w:eastAsia="宋体" w:cs="宋体"/>
                <w:sz w:val="21"/>
                <w:szCs w:val="21"/>
              </w:rPr>
            </w:pPr>
            <w:r>
              <w:rPr>
                <w:rFonts w:hint="eastAsia" w:ascii="宋体" w:hAnsi="宋体" w:eastAsia="宋体" w:cs="宋体"/>
                <w:spacing w:val="-2"/>
                <w:position w:val="2"/>
                <w:sz w:val="21"/>
                <w:szCs w:val="21"/>
              </w:rPr>
              <w:t>……</w:t>
            </w:r>
          </w:p>
        </w:tc>
        <w:tc>
          <w:tcPr>
            <w:tcW w:w="2392" w:type="dxa"/>
            <w:vAlign w:val="top"/>
          </w:tcPr>
          <w:p w14:paraId="3A0ACDA0">
            <w:pPr>
              <w:pStyle w:val="46"/>
              <w:spacing w:before="127" w:line="324" w:lineRule="exact"/>
              <w:ind w:left="793"/>
              <w:rPr>
                <w:rFonts w:hint="eastAsia" w:ascii="宋体" w:hAnsi="宋体" w:eastAsia="宋体" w:cs="宋体"/>
                <w:sz w:val="21"/>
                <w:szCs w:val="21"/>
              </w:rPr>
            </w:pPr>
            <w:r>
              <w:rPr>
                <w:rFonts w:hint="eastAsia" w:ascii="宋体" w:hAnsi="宋体" w:eastAsia="宋体" w:cs="宋体"/>
                <w:spacing w:val="4"/>
                <w:position w:val="2"/>
                <w:sz w:val="21"/>
                <w:szCs w:val="21"/>
              </w:rPr>
              <w:t>…………</w:t>
            </w:r>
          </w:p>
        </w:tc>
        <w:tc>
          <w:tcPr>
            <w:tcW w:w="1719" w:type="dxa"/>
            <w:vAlign w:val="top"/>
          </w:tcPr>
          <w:p w14:paraId="79416A47">
            <w:pPr>
              <w:pStyle w:val="46"/>
              <w:spacing w:before="127" w:line="324" w:lineRule="exact"/>
              <w:ind w:left="458"/>
              <w:rPr>
                <w:rFonts w:hint="eastAsia" w:ascii="宋体" w:hAnsi="宋体" w:eastAsia="宋体" w:cs="宋体"/>
                <w:sz w:val="21"/>
                <w:szCs w:val="21"/>
              </w:rPr>
            </w:pPr>
            <w:r>
              <w:rPr>
                <w:rFonts w:hint="eastAsia" w:ascii="宋体" w:hAnsi="宋体" w:eastAsia="宋体" w:cs="宋体"/>
                <w:spacing w:val="4"/>
                <w:position w:val="2"/>
                <w:sz w:val="21"/>
                <w:szCs w:val="21"/>
              </w:rPr>
              <w:t>…………</w:t>
            </w:r>
          </w:p>
        </w:tc>
        <w:tc>
          <w:tcPr>
            <w:tcW w:w="1870" w:type="dxa"/>
            <w:vAlign w:val="top"/>
          </w:tcPr>
          <w:p w14:paraId="6C61B30C">
            <w:pPr>
              <w:pStyle w:val="46"/>
              <w:spacing w:before="127" w:line="324" w:lineRule="exact"/>
              <w:ind w:left="745"/>
              <w:rPr>
                <w:rFonts w:hint="eastAsia" w:ascii="宋体" w:hAnsi="宋体" w:eastAsia="宋体" w:cs="宋体"/>
                <w:sz w:val="21"/>
                <w:szCs w:val="21"/>
              </w:rPr>
            </w:pPr>
            <w:r>
              <w:rPr>
                <w:rFonts w:hint="eastAsia" w:ascii="宋体" w:hAnsi="宋体" w:eastAsia="宋体" w:cs="宋体"/>
                <w:spacing w:val="-2"/>
                <w:position w:val="2"/>
                <w:sz w:val="21"/>
                <w:szCs w:val="21"/>
              </w:rPr>
              <w:t>……</w:t>
            </w:r>
          </w:p>
        </w:tc>
        <w:tc>
          <w:tcPr>
            <w:tcW w:w="1875" w:type="dxa"/>
            <w:vAlign w:val="top"/>
          </w:tcPr>
          <w:p w14:paraId="10E8A49D">
            <w:pPr>
              <w:rPr>
                <w:rFonts w:hint="eastAsia" w:ascii="宋体" w:hAnsi="宋体" w:eastAsia="宋体" w:cs="宋体"/>
                <w:sz w:val="21"/>
                <w:szCs w:val="21"/>
              </w:rPr>
            </w:pPr>
          </w:p>
        </w:tc>
      </w:tr>
    </w:tbl>
    <w:p w14:paraId="7D0C9561">
      <w:pPr>
        <w:spacing w:line="250" w:lineRule="auto"/>
        <w:rPr>
          <w:rFonts w:ascii="Arial"/>
          <w:sz w:val="21"/>
        </w:rPr>
      </w:pPr>
    </w:p>
    <w:p w14:paraId="218AB531">
      <w:pPr>
        <w:spacing w:line="251" w:lineRule="auto"/>
        <w:rPr>
          <w:rFonts w:ascii="Arial"/>
          <w:sz w:val="21"/>
        </w:rPr>
      </w:pPr>
    </w:p>
    <w:p w14:paraId="47848639">
      <w:pPr>
        <w:pStyle w:val="10"/>
        <w:spacing w:before="78" w:line="219" w:lineRule="auto"/>
        <w:ind w:left="602"/>
        <w:rPr>
          <w:sz w:val="24"/>
          <w:szCs w:val="24"/>
        </w:rPr>
      </w:pPr>
      <w:r>
        <w:rPr>
          <w:spacing w:val="-2"/>
          <w:sz w:val="24"/>
          <w:szCs w:val="24"/>
        </w:rPr>
        <w:t>供应商名称（公章</w:t>
      </w:r>
      <w:r>
        <w:rPr>
          <w:spacing w:val="2"/>
          <w:sz w:val="24"/>
          <w:szCs w:val="24"/>
        </w:rPr>
        <w:t>）：</w:t>
      </w:r>
    </w:p>
    <w:p w14:paraId="7785DD90">
      <w:pPr>
        <w:pStyle w:val="10"/>
        <w:spacing w:before="184" w:line="219" w:lineRule="auto"/>
        <w:ind w:left="583"/>
        <w:rPr>
          <w:sz w:val="24"/>
          <w:szCs w:val="24"/>
        </w:rPr>
      </w:pPr>
      <w:r>
        <w:rPr>
          <w:spacing w:val="-13"/>
          <w:sz w:val="24"/>
          <w:szCs w:val="24"/>
        </w:rPr>
        <w:t>日期：年月日</w:t>
      </w:r>
    </w:p>
    <w:p w14:paraId="24D41F75">
      <w:pPr>
        <w:spacing w:line="298" w:lineRule="auto"/>
        <w:rPr>
          <w:rFonts w:ascii="Arial"/>
          <w:sz w:val="21"/>
        </w:rPr>
      </w:pPr>
    </w:p>
    <w:p w14:paraId="710A1882">
      <w:pPr>
        <w:spacing w:line="298" w:lineRule="auto"/>
        <w:rPr>
          <w:rFonts w:ascii="Arial"/>
          <w:sz w:val="21"/>
        </w:rPr>
      </w:pPr>
    </w:p>
    <w:p w14:paraId="12701ED9">
      <w:pPr>
        <w:pStyle w:val="10"/>
        <w:spacing w:before="65" w:line="432" w:lineRule="auto"/>
        <w:ind w:left="126" w:right="179" w:firstLine="414"/>
        <w:rPr>
          <w:sz w:val="20"/>
          <w:szCs w:val="20"/>
        </w:rPr>
      </w:pPr>
      <w:r>
        <w:rPr>
          <w:spacing w:val="9"/>
          <w:sz w:val="20"/>
          <w:szCs w:val="20"/>
        </w:rPr>
        <w:t>注：供应商应按照竞争性磋商文件前附须知表</w:t>
      </w:r>
      <w:r>
        <w:rPr>
          <w:rFonts w:hint="eastAsia"/>
          <w:spacing w:val="9"/>
          <w:sz w:val="20"/>
          <w:szCs w:val="20"/>
          <w:lang w:eastAsia="zh-CN"/>
        </w:rPr>
        <w:t>“</w:t>
      </w:r>
      <w:r>
        <w:rPr>
          <w:color w:val="1F1F1F"/>
          <w:spacing w:val="8"/>
          <w:sz w:val="20"/>
          <w:szCs w:val="20"/>
        </w:rPr>
        <w:t>★</w:t>
      </w:r>
      <w:r>
        <w:rPr>
          <w:rFonts w:hint="eastAsia"/>
          <w:spacing w:val="9"/>
          <w:sz w:val="20"/>
          <w:szCs w:val="20"/>
          <w:lang w:eastAsia="zh-CN"/>
        </w:rPr>
        <w:t>”</w:t>
      </w:r>
      <w:r>
        <w:rPr>
          <w:rFonts w:hint="eastAsia"/>
          <w:spacing w:val="9"/>
          <w:sz w:val="20"/>
          <w:szCs w:val="20"/>
          <w:lang w:val="en-US" w:eastAsia="zh-CN"/>
        </w:rPr>
        <w:t>内容进行</w:t>
      </w:r>
      <w:r>
        <w:rPr>
          <w:spacing w:val="8"/>
          <w:sz w:val="20"/>
          <w:szCs w:val="20"/>
        </w:rPr>
        <w:t>商务要求填写：1.“竞争性磋商文件的商务条款”栏应详细列明竞争性磋商文件中的商务要求。</w:t>
      </w:r>
    </w:p>
    <w:p w14:paraId="48123C34">
      <w:pPr>
        <w:pStyle w:val="10"/>
        <w:spacing w:line="432" w:lineRule="auto"/>
        <w:ind w:left="123" w:right="169" w:firstLine="420"/>
        <w:rPr>
          <w:sz w:val="20"/>
          <w:szCs w:val="20"/>
        </w:rPr>
      </w:pPr>
      <w:r>
        <w:rPr>
          <w:spacing w:val="6"/>
          <w:sz w:val="20"/>
          <w:szCs w:val="20"/>
        </w:rPr>
        <w:t>2.“响应文件的响应内容”栏填写供应商对竞争性磋商文件提出的商务条款作出的明确</w:t>
      </w:r>
      <w:r>
        <w:rPr>
          <w:spacing w:val="7"/>
          <w:sz w:val="20"/>
          <w:szCs w:val="20"/>
        </w:rPr>
        <w:t>响应，并列明具体响应数值或内容，只注明符合、满足等无具体内容表述的，将视为未实质</w:t>
      </w:r>
      <w:r>
        <w:rPr>
          <w:spacing w:val="8"/>
          <w:sz w:val="20"/>
          <w:szCs w:val="20"/>
        </w:rPr>
        <w:t>性满足竞争性磋商文件要求，</w:t>
      </w:r>
      <w:r>
        <w:rPr>
          <w:b/>
          <w:bCs/>
          <w:spacing w:val="8"/>
          <w:sz w:val="20"/>
          <w:szCs w:val="20"/>
        </w:rPr>
        <w:t>响应无效</w:t>
      </w:r>
      <w:r>
        <w:rPr>
          <w:spacing w:val="8"/>
          <w:sz w:val="20"/>
          <w:szCs w:val="20"/>
        </w:rPr>
        <w:t>。</w:t>
      </w:r>
    </w:p>
    <w:p w14:paraId="5D8A40D3">
      <w:pPr>
        <w:pStyle w:val="10"/>
        <w:spacing w:before="1" w:line="227" w:lineRule="auto"/>
        <w:ind w:left="545"/>
        <w:rPr>
          <w:sz w:val="20"/>
          <w:szCs w:val="20"/>
        </w:rPr>
      </w:pPr>
      <w:r>
        <w:rPr>
          <w:spacing w:val="6"/>
          <w:sz w:val="20"/>
          <w:szCs w:val="20"/>
        </w:rPr>
        <w:t>3.“响应情况”栏应据实填写“响应”、“正偏离”或“负偏离</w:t>
      </w:r>
      <w:r>
        <w:rPr>
          <w:spacing w:val="5"/>
          <w:sz w:val="20"/>
          <w:szCs w:val="20"/>
        </w:rPr>
        <w:t>”。</w:t>
      </w:r>
    </w:p>
    <w:p w14:paraId="0EE1442D">
      <w:pPr>
        <w:pStyle w:val="10"/>
        <w:spacing w:before="221" w:line="228" w:lineRule="auto"/>
        <w:ind w:left="540"/>
        <w:rPr>
          <w:sz w:val="20"/>
          <w:szCs w:val="20"/>
        </w:rPr>
      </w:pPr>
      <w:r>
        <w:rPr>
          <w:spacing w:val="8"/>
          <w:sz w:val="20"/>
          <w:szCs w:val="20"/>
        </w:rPr>
        <w:t>4.“说明及索引”栏可填写偏离情况的具</w:t>
      </w:r>
      <w:r>
        <w:rPr>
          <w:spacing w:val="7"/>
          <w:sz w:val="20"/>
          <w:szCs w:val="20"/>
        </w:rPr>
        <w:t>体说明及索引。</w:t>
      </w:r>
    </w:p>
    <w:p w14:paraId="6774E97B">
      <w:pPr>
        <w:pStyle w:val="10"/>
        <w:spacing w:before="222" w:line="433" w:lineRule="auto"/>
        <w:ind w:left="120" w:right="169" w:firstLine="425"/>
        <w:rPr>
          <w:sz w:val="20"/>
          <w:szCs w:val="20"/>
        </w:rPr>
      </w:pPr>
      <w:r>
        <w:rPr>
          <w:spacing w:val="7"/>
          <w:sz w:val="20"/>
          <w:szCs w:val="20"/>
        </w:rPr>
        <w:t>5.对竞争性磋商文件中的所有商务要求，除本表所列明的所有偏离外，均视作供</w:t>
      </w:r>
      <w:r>
        <w:rPr>
          <w:spacing w:val="6"/>
          <w:sz w:val="20"/>
          <w:szCs w:val="20"/>
        </w:rPr>
        <w:t>应商已</w:t>
      </w:r>
      <w:r>
        <w:rPr>
          <w:spacing w:val="8"/>
          <w:sz w:val="20"/>
          <w:szCs w:val="20"/>
        </w:rPr>
        <w:t>对之理解和响应。此表中若无任何文字说明，内容为空白的，</w:t>
      </w:r>
      <w:r>
        <w:rPr>
          <w:b/>
          <w:bCs/>
          <w:spacing w:val="8"/>
          <w:sz w:val="20"/>
          <w:szCs w:val="20"/>
        </w:rPr>
        <w:t>响</w:t>
      </w:r>
      <w:r>
        <w:rPr>
          <w:b/>
          <w:bCs/>
          <w:spacing w:val="7"/>
          <w:sz w:val="20"/>
          <w:szCs w:val="20"/>
        </w:rPr>
        <w:t>应无效</w:t>
      </w:r>
      <w:r>
        <w:rPr>
          <w:spacing w:val="7"/>
          <w:sz w:val="20"/>
          <w:szCs w:val="20"/>
        </w:rPr>
        <w:t>。</w:t>
      </w:r>
    </w:p>
    <w:p w14:paraId="29C86A6A">
      <w:pPr>
        <w:spacing w:line="242" w:lineRule="auto"/>
        <w:rPr>
          <w:rFonts w:hint="eastAsia" w:ascii="Arial" w:eastAsia="宋体"/>
          <w:sz w:val="21"/>
          <w:lang w:eastAsia="zh-CN"/>
        </w:rPr>
      </w:pPr>
      <w:r>
        <w:rPr>
          <w:rFonts w:hint="eastAsia" w:ascii="Arial" w:eastAsia="宋体"/>
          <w:sz w:val="21"/>
          <w:lang w:eastAsia="zh-CN"/>
        </w:rPr>
        <w:br w:type="page"/>
      </w:r>
    </w:p>
    <w:p w14:paraId="31ABB586">
      <w:pPr>
        <w:pStyle w:val="10"/>
        <w:spacing w:before="101" w:line="225" w:lineRule="auto"/>
        <w:ind w:left="3311"/>
        <w:outlineLvl w:val="1"/>
        <w:rPr>
          <w:sz w:val="31"/>
          <w:szCs w:val="31"/>
        </w:rPr>
      </w:pPr>
      <w:r>
        <w:rPr>
          <w:rFonts w:hint="eastAsia"/>
          <w:b/>
          <w:bCs/>
          <w:spacing w:val="6"/>
          <w:sz w:val="31"/>
          <w:szCs w:val="31"/>
          <w:lang w:val="en-US" w:eastAsia="zh-CN"/>
        </w:rPr>
        <w:t>六</w:t>
      </w:r>
      <w:r>
        <w:rPr>
          <w:b/>
          <w:bCs/>
          <w:spacing w:val="6"/>
          <w:sz w:val="31"/>
          <w:szCs w:val="31"/>
        </w:rPr>
        <w:t>、业绩证明文件</w:t>
      </w:r>
    </w:p>
    <w:p w14:paraId="518BF871">
      <w:pPr>
        <w:pStyle w:val="10"/>
        <w:spacing w:before="307" w:line="220" w:lineRule="auto"/>
        <w:ind w:left="446"/>
        <w:rPr>
          <w:sz w:val="24"/>
          <w:szCs w:val="24"/>
        </w:rPr>
      </w:pPr>
      <w:r>
        <w:rPr>
          <w:spacing w:val="-3"/>
          <w:sz w:val="24"/>
          <w:szCs w:val="24"/>
        </w:rPr>
        <w:t>项目名称：</w:t>
      </w:r>
    </w:p>
    <w:p w14:paraId="5AFE3678">
      <w:pPr>
        <w:pStyle w:val="10"/>
        <w:spacing w:before="182" w:line="219" w:lineRule="auto"/>
        <w:ind w:left="446"/>
        <w:rPr>
          <w:sz w:val="24"/>
          <w:szCs w:val="24"/>
        </w:rPr>
      </w:pPr>
      <w:r>
        <w:rPr>
          <w:spacing w:val="-3"/>
          <w:sz w:val="24"/>
          <w:szCs w:val="24"/>
        </w:rPr>
        <w:t>项目编号：</w:t>
      </w:r>
    </w:p>
    <w:p w14:paraId="0D9903A8">
      <w:pPr>
        <w:spacing w:line="68" w:lineRule="exact"/>
      </w:pPr>
    </w:p>
    <w:tbl>
      <w:tblPr>
        <w:tblStyle w:val="43"/>
        <w:tblW w:w="89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1315"/>
        <w:gridCol w:w="1315"/>
        <w:gridCol w:w="1359"/>
        <w:gridCol w:w="1438"/>
        <w:gridCol w:w="1584"/>
        <w:gridCol w:w="1089"/>
      </w:tblGrid>
      <w:tr w14:paraId="1BBFF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800" w:type="dxa"/>
            <w:vAlign w:val="top"/>
          </w:tcPr>
          <w:p w14:paraId="7F367266">
            <w:pPr>
              <w:pStyle w:val="46"/>
              <w:spacing w:before="231" w:line="221" w:lineRule="auto"/>
              <w:ind w:left="165"/>
              <w:rPr>
                <w:rFonts w:hint="eastAsia" w:ascii="宋体" w:hAnsi="宋体" w:eastAsia="宋体" w:cs="宋体"/>
              </w:rPr>
            </w:pPr>
            <w:r>
              <w:rPr>
                <w:rFonts w:hint="eastAsia" w:ascii="宋体" w:hAnsi="宋体" w:eastAsia="宋体" w:cs="宋体"/>
                <w:spacing w:val="-5"/>
              </w:rPr>
              <w:t>序号</w:t>
            </w:r>
          </w:p>
        </w:tc>
        <w:tc>
          <w:tcPr>
            <w:tcW w:w="1315" w:type="dxa"/>
            <w:vAlign w:val="top"/>
          </w:tcPr>
          <w:p w14:paraId="6721DFEA">
            <w:pPr>
              <w:pStyle w:val="46"/>
              <w:spacing w:before="247" w:line="228" w:lineRule="auto"/>
              <w:ind w:left="244"/>
              <w:rPr>
                <w:rFonts w:hint="eastAsia" w:ascii="宋体" w:hAnsi="宋体" w:eastAsia="宋体" w:cs="宋体"/>
                <w:sz w:val="20"/>
                <w:szCs w:val="20"/>
              </w:rPr>
            </w:pPr>
            <w:r>
              <w:rPr>
                <w:rFonts w:hint="eastAsia" w:ascii="宋体" w:hAnsi="宋体" w:eastAsia="宋体" w:cs="宋体"/>
                <w:spacing w:val="6"/>
                <w:sz w:val="20"/>
                <w:szCs w:val="20"/>
              </w:rPr>
              <w:t>项目名称</w:t>
            </w:r>
          </w:p>
        </w:tc>
        <w:tc>
          <w:tcPr>
            <w:tcW w:w="1315" w:type="dxa"/>
            <w:vAlign w:val="top"/>
          </w:tcPr>
          <w:p w14:paraId="4801572C">
            <w:pPr>
              <w:pStyle w:val="46"/>
              <w:spacing w:before="246" w:line="228" w:lineRule="auto"/>
              <w:ind w:left="241"/>
              <w:rPr>
                <w:rFonts w:hint="eastAsia" w:ascii="宋体" w:hAnsi="宋体" w:eastAsia="宋体" w:cs="宋体"/>
                <w:sz w:val="20"/>
                <w:szCs w:val="20"/>
              </w:rPr>
            </w:pPr>
            <w:r>
              <w:rPr>
                <w:rFonts w:hint="eastAsia" w:ascii="宋体" w:hAnsi="宋体" w:eastAsia="宋体" w:cs="宋体"/>
                <w:spacing w:val="7"/>
                <w:sz w:val="20"/>
                <w:szCs w:val="20"/>
              </w:rPr>
              <w:t>标的内容</w:t>
            </w:r>
          </w:p>
        </w:tc>
        <w:tc>
          <w:tcPr>
            <w:tcW w:w="1359" w:type="dxa"/>
            <w:vAlign w:val="top"/>
          </w:tcPr>
          <w:p w14:paraId="65EEC223">
            <w:pPr>
              <w:pStyle w:val="46"/>
              <w:spacing w:before="246" w:line="227" w:lineRule="auto"/>
              <w:ind w:left="158"/>
              <w:rPr>
                <w:rFonts w:hint="eastAsia" w:ascii="宋体" w:hAnsi="宋体" w:eastAsia="宋体" w:cs="宋体"/>
                <w:sz w:val="20"/>
                <w:szCs w:val="20"/>
              </w:rPr>
            </w:pPr>
            <w:r>
              <w:rPr>
                <w:rFonts w:hint="eastAsia" w:ascii="宋体" w:hAnsi="宋体" w:eastAsia="宋体" w:cs="宋体"/>
                <w:spacing w:val="8"/>
                <w:sz w:val="20"/>
                <w:szCs w:val="20"/>
              </w:rPr>
              <w:t>采购人名称</w:t>
            </w:r>
          </w:p>
        </w:tc>
        <w:tc>
          <w:tcPr>
            <w:tcW w:w="1438" w:type="dxa"/>
            <w:vAlign w:val="top"/>
          </w:tcPr>
          <w:p w14:paraId="20DD406E">
            <w:pPr>
              <w:pStyle w:val="46"/>
              <w:spacing w:before="91" w:line="278" w:lineRule="auto"/>
              <w:ind w:left="514" w:right="85" w:hanging="382"/>
              <w:rPr>
                <w:rFonts w:hint="eastAsia" w:ascii="宋体" w:hAnsi="宋体" w:eastAsia="宋体" w:cs="宋体"/>
                <w:sz w:val="20"/>
                <w:szCs w:val="20"/>
              </w:rPr>
            </w:pPr>
            <w:r>
              <w:rPr>
                <w:rFonts w:hint="eastAsia" w:ascii="宋体" w:hAnsi="宋体" w:eastAsia="宋体" w:cs="宋体"/>
                <w:spacing w:val="2"/>
                <w:sz w:val="20"/>
                <w:szCs w:val="20"/>
              </w:rPr>
              <w:t>中标（成交）</w:t>
            </w:r>
            <w:r>
              <w:rPr>
                <w:rFonts w:hint="eastAsia" w:ascii="宋体" w:hAnsi="宋体" w:eastAsia="宋体" w:cs="宋体"/>
                <w:spacing w:val="3"/>
                <w:sz w:val="20"/>
                <w:szCs w:val="20"/>
              </w:rPr>
              <w:t>金额</w:t>
            </w:r>
          </w:p>
        </w:tc>
        <w:tc>
          <w:tcPr>
            <w:tcW w:w="1584" w:type="dxa"/>
            <w:vAlign w:val="top"/>
          </w:tcPr>
          <w:p w14:paraId="0A49EDD7">
            <w:pPr>
              <w:pStyle w:val="46"/>
              <w:spacing w:before="91" w:line="278" w:lineRule="auto"/>
              <w:ind w:left="597" w:right="161" w:hanging="430"/>
              <w:rPr>
                <w:rFonts w:hint="eastAsia" w:ascii="宋体" w:hAnsi="宋体" w:eastAsia="宋体" w:cs="宋体"/>
                <w:sz w:val="20"/>
                <w:szCs w:val="20"/>
              </w:rPr>
            </w:pPr>
            <w:r>
              <w:rPr>
                <w:rFonts w:hint="eastAsia" w:ascii="宋体" w:hAnsi="宋体" w:eastAsia="宋体" w:cs="宋体"/>
                <w:spacing w:val="8"/>
                <w:sz w:val="20"/>
                <w:szCs w:val="20"/>
              </w:rPr>
              <w:t>采购合同签订</w:t>
            </w:r>
            <w:r>
              <w:rPr>
                <w:rFonts w:hint="eastAsia" w:ascii="宋体" w:hAnsi="宋体" w:eastAsia="宋体" w:cs="宋体"/>
                <w:spacing w:val="-1"/>
                <w:sz w:val="20"/>
                <w:szCs w:val="20"/>
              </w:rPr>
              <w:t>时间</w:t>
            </w:r>
          </w:p>
        </w:tc>
        <w:tc>
          <w:tcPr>
            <w:tcW w:w="1089" w:type="dxa"/>
            <w:vAlign w:val="top"/>
          </w:tcPr>
          <w:p w14:paraId="2CB77B63">
            <w:pPr>
              <w:pStyle w:val="46"/>
              <w:spacing w:before="246" w:line="229" w:lineRule="auto"/>
              <w:ind w:left="343"/>
              <w:rPr>
                <w:rFonts w:hint="eastAsia" w:ascii="宋体" w:hAnsi="宋体" w:eastAsia="宋体" w:cs="宋体"/>
                <w:sz w:val="20"/>
                <w:szCs w:val="20"/>
              </w:rPr>
            </w:pPr>
            <w:r>
              <w:rPr>
                <w:rFonts w:hint="eastAsia" w:ascii="宋体" w:hAnsi="宋体" w:eastAsia="宋体" w:cs="宋体"/>
                <w:spacing w:val="3"/>
                <w:sz w:val="20"/>
                <w:szCs w:val="20"/>
              </w:rPr>
              <w:t>备注</w:t>
            </w:r>
          </w:p>
        </w:tc>
      </w:tr>
      <w:tr w14:paraId="71D42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800" w:type="dxa"/>
            <w:vAlign w:val="top"/>
          </w:tcPr>
          <w:p w14:paraId="2462D6E6">
            <w:pPr>
              <w:pStyle w:val="46"/>
              <w:spacing w:before="228" w:line="241" w:lineRule="auto"/>
              <w:ind w:left="363"/>
              <w:rPr>
                <w:rFonts w:hint="eastAsia" w:ascii="宋体" w:hAnsi="宋体" w:eastAsia="宋体" w:cs="宋体"/>
              </w:rPr>
            </w:pPr>
            <w:r>
              <w:rPr>
                <w:rFonts w:hint="eastAsia" w:ascii="宋体" w:hAnsi="宋体" w:eastAsia="宋体" w:cs="宋体"/>
              </w:rPr>
              <w:t>1</w:t>
            </w:r>
          </w:p>
        </w:tc>
        <w:tc>
          <w:tcPr>
            <w:tcW w:w="1315" w:type="dxa"/>
            <w:vAlign w:val="top"/>
          </w:tcPr>
          <w:p w14:paraId="71182630">
            <w:pPr>
              <w:rPr>
                <w:rFonts w:hint="eastAsia" w:ascii="宋体" w:hAnsi="宋体" w:eastAsia="宋体" w:cs="宋体"/>
                <w:sz w:val="21"/>
              </w:rPr>
            </w:pPr>
          </w:p>
        </w:tc>
        <w:tc>
          <w:tcPr>
            <w:tcW w:w="1315" w:type="dxa"/>
            <w:vAlign w:val="top"/>
          </w:tcPr>
          <w:p w14:paraId="0949E3A1">
            <w:pPr>
              <w:rPr>
                <w:rFonts w:hint="eastAsia" w:ascii="宋体" w:hAnsi="宋体" w:eastAsia="宋体" w:cs="宋体"/>
                <w:sz w:val="21"/>
              </w:rPr>
            </w:pPr>
          </w:p>
        </w:tc>
        <w:tc>
          <w:tcPr>
            <w:tcW w:w="1359" w:type="dxa"/>
            <w:vAlign w:val="top"/>
          </w:tcPr>
          <w:p w14:paraId="4D688E1A">
            <w:pPr>
              <w:rPr>
                <w:rFonts w:hint="eastAsia" w:ascii="宋体" w:hAnsi="宋体" w:eastAsia="宋体" w:cs="宋体"/>
                <w:sz w:val="21"/>
              </w:rPr>
            </w:pPr>
          </w:p>
        </w:tc>
        <w:tc>
          <w:tcPr>
            <w:tcW w:w="1438" w:type="dxa"/>
            <w:vAlign w:val="top"/>
          </w:tcPr>
          <w:p w14:paraId="39FF890B">
            <w:pPr>
              <w:rPr>
                <w:rFonts w:hint="eastAsia" w:ascii="宋体" w:hAnsi="宋体" w:eastAsia="宋体" w:cs="宋体"/>
                <w:sz w:val="21"/>
              </w:rPr>
            </w:pPr>
          </w:p>
        </w:tc>
        <w:tc>
          <w:tcPr>
            <w:tcW w:w="1584" w:type="dxa"/>
            <w:vAlign w:val="top"/>
          </w:tcPr>
          <w:p w14:paraId="294E7475">
            <w:pPr>
              <w:rPr>
                <w:rFonts w:hint="eastAsia" w:ascii="宋体" w:hAnsi="宋体" w:eastAsia="宋体" w:cs="宋体"/>
                <w:sz w:val="21"/>
              </w:rPr>
            </w:pPr>
          </w:p>
        </w:tc>
        <w:tc>
          <w:tcPr>
            <w:tcW w:w="1089" w:type="dxa"/>
            <w:vAlign w:val="top"/>
          </w:tcPr>
          <w:p w14:paraId="525FEB3F">
            <w:pPr>
              <w:rPr>
                <w:rFonts w:hint="eastAsia" w:ascii="宋体" w:hAnsi="宋体" w:eastAsia="宋体" w:cs="宋体"/>
                <w:sz w:val="21"/>
              </w:rPr>
            </w:pPr>
          </w:p>
        </w:tc>
      </w:tr>
      <w:tr w14:paraId="72B29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800" w:type="dxa"/>
            <w:vAlign w:val="top"/>
          </w:tcPr>
          <w:p w14:paraId="7C56AACC">
            <w:pPr>
              <w:pStyle w:val="46"/>
              <w:spacing w:before="230" w:line="241" w:lineRule="auto"/>
              <w:ind w:left="348"/>
              <w:rPr>
                <w:rFonts w:hint="eastAsia" w:ascii="宋体" w:hAnsi="宋体" w:eastAsia="宋体" w:cs="宋体"/>
              </w:rPr>
            </w:pPr>
            <w:r>
              <w:rPr>
                <w:rFonts w:hint="eastAsia" w:ascii="宋体" w:hAnsi="宋体" w:eastAsia="宋体" w:cs="宋体"/>
              </w:rPr>
              <w:t>2</w:t>
            </w:r>
          </w:p>
        </w:tc>
        <w:tc>
          <w:tcPr>
            <w:tcW w:w="1315" w:type="dxa"/>
            <w:vAlign w:val="top"/>
          </w:tcPr>
          <w:p w14:paraId="0804562A">
            <w:pPr>
              <w:rPr>
                <w:rFonts w:hint="eastAsia" w:ascii="宋体" w:hAnsi="宋体" w:eastAsia="宋体" w:cs="宋体"/>
                <w:sz w:val="21"/>
              </w:rPr>
            </w:pPr>
          </w:p>
        </w:tc>
        <w:tc>
          <w:tcPr>
            <w:tcW w:w="1315" w:type="dxa"/>
            <w:vAlign w:val="top"/>
          </w:tcPr>
          <w:p w14:paraId="74B8C067">
            <w:pPr>
              <w:rPr>
                <w:rFonts w:hint="eastAsia" w:ascii="宋体" w:hAnsi="宋体" w:eastAsia="宋体" w:cs="宋体"/>
                <w:sz w:val="21"/>
              </w:rPr>
            </w:pPr>
          </w:p>
        </w:tc>
        <w:tc>
          <w:tcPr>
            <w:tcW w:w="1359" w:type="dxa"/>
            <w:vAlign w:val="top"/>
          </w:tcPr>
          <w:p w14:paraId="0D175EC6">
            <w:pPr>
              <w:rPr>
                <w:rFonts w:hint="eastAsia" w:ascii="宋体" w:hAnsi="宋体" w:eastAsia="宋体" w:cs="宋体"/>
                <w:sz w:val="21"/>
              </w:rPr>
            </w:pPr>
          </w:p>
        </w:tc>
        <w:tc>
          <w:tcPr>
            <w:tcW w:w="1438" w:type="dxa"/>
            <w:vAlign w:val="top"/>
          </w:tcPr>
          <w:p w14:paraId="02DED09C">
            <w:pPr>
              <w:rPr>
                <w:rFonts w:hint="eastAsia" w:ascii="宋体" w:hAnsi="宋体" w:eastAsia="宋体" w:cs="宋体"/>
                <w:sz w:val="21"/>
              </w:rPr>
            </w:pPr>
          </w:p>
        </w:tc>
        <w:tc>
          <w:tcPr>
            <w:tcW w:w="1584" w:type="dxa"/>
            <w:vAlign w:val="top"/>
          </w:tcPr>
          <w:p w14:paraId="2446CE96">
            <w:pPr>
              <w:rPr>
                <w:rFonts w:hint="eastAsia" w:ascii="宋体" w:hAnsi="宋体" w:eastAsia="宋体" w:cs="宋体"/>
                <w:sz w:val="21"/>
              </w:rPr>
            </w:pPr>
          </w:p>
        </w:tc>
        <w:tc>
          <w:tcPr>
            <w:tcW w:w="1089" w:type="dxa"/>
            <w:vAlign w:val="top"/>
          </w:tcPr>
          <w:p w14:paraId="54BE20B7">
            <w:pPr>
              <w:rPr>
                <w:rFonts w:hint="eastAsia" w:ascii="宋体" w:hAnsi="宋体" w:eastAsia="宋体" w:cs="宋体"/>
                <w:sz w:val="21"/>
              </w:rPr>
            </w:pPr>
          </w:p>
        </w:tc>
      </w:tr>
      <w:tr w14:paraId="6F229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800" w:type="dxa"/>
            <w:vAlign w:val="top"/>
          </w:tcPr>
          <w:p w14:paraId="4938429A">
            <w:pPr>
              <w:pStyle w:val="46"/>
              <w:spacing w:before="229"/>
              <w:ind w:left="350"/>
              <w:rPr>
                <w:rFonts w:hint="eastAsia" w:ascii="宋体" w:hAnsi="宋体" w:eastAsia="宋体" w:cs="宋体"/>
              </w:rPr>
            </w:pPr>
            <w:r>
              <w:rPr>
                <w:rFonts w:hint="eastAsia" w:ascii="宋体" w:hAnsi="宋体" w:eastAsia="宋体" w:cs="宋体"/>
              </w:rPr>
              <w:t>3</w:t>
            </w:r>
          </w:p>
        </w:tc>
        <w:tc>
          <w:tcPr>
            <w:tcW w:w="1315" w:type="dxa"/>
            <w:vAlign w:val="top"/>
          </w:tcPr>
          <w:p w14:paraId="3DA4EECB">
            <w:pPr>
              <w:rPr>
                <w:rFonts w:hint="eastAsia" w:ascii="宋体" w:hAnsi="宋体" w:eastAsia="宋体" w:cs="宋体"/>
                <w:sz w:val="21"/>
              </w:rPr>
            </w:pPr>
          </w:p>
        </w:tc>
        <w:tc>
          <w:tcPr>
            <w:tcW w:w="1315" w:type="dxa"/>
            <w:vAlign w:val="top"/>
          </w:tcPr>
          <w:p w14:paraId="3F6D4947">
            <w:pPr>
              <w:rPr>
                <w:rFonts w:hint="eastAsia" w:ascii="宋体" w:hAnsi="宋体" w:eastAsia="宋体" w:cs="宋体"/>
                <w:sz w:val="21"/>
              </w:rPr>
            </w:pPr>
          </w:p>
        </w:tc>
        <w:tc>
          <w:tcPr>
            <w:tcW w:w="1359" w:type="dxa"/>
            <w:vAlign w:val="top"/>
          </w:tcPr>
          <w:p w14:paraId="6F78F599">
            <w:pPr>
              <w:rPr>
                <w:rFonts w:hint="eastAsia" w:ascii="宋体" w:hAnsi="宋体" w:eastAsia="宋体" w:cs="宋体"/>
                <w:sz w:val="21"/>
              </w:rPr>
            </w:pPr>
          </w:p>
        </w:tc>
        <w:tc>
          <w:tcPr>
            <w:tcW w:w="1438" w:type="dxa"/>
            <w:vAlign w:val="top"/>
          </w:tcPr>
          <w:p w14:paraId="5518A00A">
            <w:pPr>
              <w:rPr>
                <w:rFonts w:hint="eastAsia" w:ascii="宋体" w:hAnsi="宋体" w:eastAsia="宋体" w:cs="宋体"/>
                <w:sz w:val="21"/>
              </w:rPr>
            </w:pPr>
          </w:p>
        </w:tc>
        <w:tc>
          <w:tcPr>
            <w:tcW w:w="1584" w:type="dxa"/>
            <w:vAlign w:val="top"/>
          </w:tcPr>
          <w:p w14:paraId="5CFC4E31">
            <w:pPr>
              <w:rPr>
                <w:rFonts w:hint="eastAsia" w:ascii="宋体" w:hAnsi="宋体" w:eastAsia="宋体" w:cs="宋体"/>
                <w:sz w:val="21"/>
              </w:rPr>
            </w:pPr>
          </w:p>
        </w:tc>
        <w:tc>
          <w:tcPr>
            <w:tcW w:w="1089" w:type="dxa"/>
            <w:vAlign w:val="top"/>
          </w:tcPr>
          <w:p w14:paraId="63BD86B4">
            <w:pPr>
              <w:rPr>
                <w:rFonts w:hint="eastAsia" w:ascii="宋体" w:hAnsi="宋体" w:eastAsia="宋体" w:cs="宋体"/>
                <w:sz w:val="21"/>
              </w:rPr>
            </w:pPr>
          </w:p>
        </w:tc>
      </w:tr>
      <w:tr w14:paraId="1E1FC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800" w:type="dxa"/>
            <w:vAlign w:val="top"/>
          </w:tcPr>
          <w:p w14:paraId="1489464D">
            <w:pPr>
              <w:pStyle w:val="46"/>
              <w:spacing w:before="243" w:line="378" w:lineRule="exact"/>
              <w:ind w:left="301"/>
              <w:rPr>
                <w:rFonts w:hint="eastAsia" w:ascii="宋体" w:hAnsi="宋体" w:eastAsia="宋体" w:cs="宋体"/>
              </w:rPr>
            </w:pPr>
            <w:r>
              <w:rPr>
                <w:rFonts w:hint="eastAsia" w:ascii="宋体" w:hAnsi="宋体" w:eastAsia="宋体" w:cs="宋体"/>
                <w:position w:val="3"/>
              </w:rPr>
              <w:t>…</w:t>
            </w:r>
          </w:p>
        </w:tc>
        <w:tc>
          <w:tcPr>
            <w:tcW w:w="1315" w:type="dxa"/>
            <w:vAlign w:val="top"/>
          </w:tcPr>
          <w:p w14:paraId="16788EEA">
            <w:pPr>
              <w:rPr>
                <w:rFonts w:hint="eastAsia" w:ascii="宋体" w:hAnsi="宋体" w:eastAsia="宋体" w:cs="宋体"/>
                <w:sz w:val="21"/>
              </w:rPr>
            </w:pPr>
          </w:p>
        </w:tc>
        <w:tc>
          <w:tcPr>
            <w:tcW w:w="1315" w:type="dxa"/>
            <w:vAlign w:val="top"/>
          </w:tcPr>
          <w:p w14:paraId="59566589">
            <w:pPr>
              <w:rPr>
                <w:rFonts w:hint="eastAsia" w:ascii="宋体" w:hAnsi="宋体" w:eastAsia="宋体" w:cs="宋体"/>
                <w:sz w:val="21"/>
              </w:rPr>
            </w:pPr>
          </w:p>
        </w:tc>
        <w:tc>
          <w:tcPr>
            <w:tcW w:w="1359" w:type="dxa"/>
            <w:vAlign w:val="top"/>
          </w:tcPr>
          <w:p w14:paraId="7048608A">
            <w:pPr>
              <w:rPr>
                <w:rFonts w:hint="eastAsia" w:ascii="宋体" w:hAnsi="宋体" w:eastAsia="宋体" w:cs="宋体"/>
                <w:sz w:val="21"/>
              </w:rPr>
            </w:pPr>
          </w:p>
        </w:tc>
        <w:tc>
          <w:tcPr>
            <w:tcW w:w="1438" w:type="dxa"/>
            <w:vAlign w:val="top"/>
          </w:tcPr>
          <w:p w14:paraId="6D254EE9">
            <w:pPr>
              <w:rPr>
                <w:rFonts w:hint="eastAsia" w:ascii="宋体" w:hAnsi="宋体" w:eastAsia="宋体" w:cs="宋体"/>
                <w:sz w:val="21"/>
              </w:rPr>
            </w:pPr>
          </w:p>
        </w:tc>
        <w:tc>
          <w:tcPr>
            <w:tcW w:w="1584" w:type="dxa"/>
            <w:vAlign w:val="top"/>
          </w:tcPr>
          <w:p w14:paraId="43724366">
            <w:pPr>
              <w:rPr>
                <w:rFonts w:hint="eastAsia" w:ascii="宋体" w:hAnsi="宋体" w:eastAsia="宋体" w:cs="宋体"/>
                <w:sz w:val="21"/>
              </w:rPr>
            </w:pPr>
          </w:p>
        </w:tc>
        <w:tc>
          <w:tcPr>
            <w:tcW w:w="1089" w:type="dxa"/>
            <w:vAlign w:val="top"/>
          </w:tcPr>
          <w:p w14:paraId="1445EE19">
            <w:pPr>
              <w:rPr>
                <w:rFonts w:hint="eastAsia" w:ascii="宋体" w:hAnsi="宋体" w:eastAsia="宋体" w:cs="宋体"/>
                <w:sz w:val="21"/>
              </w:rPr>
            </w:pPr>
          </w:p>
        </w:tc>
      </w:tr>
    </w:tbl>
    <w:p w14:paraId="6DA3145C">
      <w:pPr>
        <w:spacing w:line="264" w:lineRule="auto"/>
        <w:rPr>
          <w:rFonts w:ascii="Arial"/>
          <w:sz w:val="21"/>
        </w:rPr>
      </w:pPr>
    </w:p>
    <w:p w14:paraId="24E9A62C">
      <w:pPr>
        <w:spacing w:line="265" w:lineRule="auto"/>
        <w:rPr>
          <w:rFonts w:ascii="Arial"/>
          <w:sz w:val="21"/>
        </w:rPr>
      </w:pPr>
    </w:p>
    <w:p w14:paraId="08622BDE">
      <w:pPr>
        <w:pStyle w:val="10"/>
        <w:spacing w:before="65" w:line="227" w:lineRule="auto"/>
        <w:ind w:left="440"/>
        <w:rPr>
          <w:sz w:val="20"/>
          <w:szCs w:val="20"/>
        </w:rPr>
      </w:pPr>
      <w:r>
        <w:rPr>
          <w:spacing w:val="8"/>
          <w:sz w:val="20"/>
          <w:szCs w:val="20"/>
        </w:rPr>
        <w:t>注：按评标办法中的要求提供证明材料。</w:t>
      </w:r>
    </w:p>
    <w:p w14:paraId="3441ACE0">
      <w:pPr>
        <w:spacing w:line="287" w:lineRule="auto"/>
        <w:rPr>
          <w:rFonts w:ascii="Arial"/>
          <w:sz w:val="21"/>
        </w:rPr>
      </w:pPr>
    </w:p>
    <w:p w14:paraId="3807D8A1">
      <w:pPr>
        <w:spacing w:line="287" w:lineRule="auto"/>
        <w:rPr>
          <w:rFonts w:ascii="Arial"/>
          <w:sz w:val="21"/>
        </w:rPr>
      </w:pPr>
    </w:p>
    <w:p w14:paraId="526D008D">
      <w:pPr>
        <w:spacing w:line="287" w:lineRule="auto"/>
        <w:rPr>
          <w:rFonts w:ascii="Arial"/>
          <w:sz w:val="21"/>
        </w:rPr>
      </w:pPr>
    </w:p>
    <w:p w14:paraId="7EAFCE4F">
      <w:pPr>
        <w:spacing w:line="288" w:lineRule="auto"/>
        <w:rPr>
          <w:rFonts w:ascii="Arial"/>
          <w:sz w:val="21"/>
        </w:rPr>
      </w:pPr>
    </w:p>
    <w:p w14:paraId="13192E17">
      <w:pPr>
        <w:pStyle w:val="10"/>
        <w:spacing w:before="78" w:line="219" w:lineRule="auto"/>
        <w:ind w:left="922"/>
        <w:rPr>
          <w:sz w:val="24"/>
          <w:szCs w:val="24"/>
        </w:rPr>
      </w:pPr>
      <w:r>
        <w:rPr>
          <w:spacing w:val="-2"/>
          <w:sz w:val="24"/>
          <w:szCs w:val="24"/>
        </w:rPr>
        <w:t>供应商名称（公章</w:t>
      </w:r>
      <w:r>
        <w:rPr>
          <w:spacing w:val="2"/>
          <w:sz w:val="24"/>
          <w:szCs w:val="24"/>
        </w:rPr>
        <w:t>）：</w:t>
      </w:r>
    </w:p>
    <w:p w14:paraId="56656033">
      <w:pPr>
        <w:pStyle w:val="10"/>
        <w:spacing w:before="184" w:line="219" w:lineRule="auto"/>
        <w:ind w:left="903"/>
        <w:rPr>
          <w:sz w:val="24"/>
          <w:szCs w:val="24"/>
        </w:rPr>
      </w:pPr>
      <w:r>
        <w:rPr>
          <w:spacing w:val="-13"/>
          <w:sz w:val="24"/>
          <w:szCs w:val="24"/>
        </w:rPr>
        <w:t>日期：年月日</w:t>
      </w:r>
    </w:p>
    <w:p w14:paraId="7892296D">
      <w:pPr>
        <w:spacing w:line="372" w:lineRule="auto"/>
        <w:rPr>
          <w:rFonts w:hint="eastAsia" w:ascii="Arial" w:eastAsia="宋体"/>
          <w:sz w:val="21"/>
          <w:lang w:eastAsia="zh-CN"/>
        </w:rPr>
      </w:pPr>
      <w:r>
        <w:rPr>
          <w:rFonts w:hint="eastAsia" w:ascii="Arial" w:eastAsia="宋体"/>
          <w:sz w:val="21"/>
          <w:lang w:eastAsia="zh-CN"/>
        </w:rPr>
        <w:br w:type="page"/>
      </w:r>
    </w:p>
    <w:p w14:paraId="3CFB022E">
      <w:pPr>
        <w:pStyle w:val="10"/>
        <w:spacing w:before="101" w:line="224" w:lineRule="auto"/>
        <w:ind w:left="3155"/>
        <w:outlineLvl w:val="1"/>
        <w:rPr>
          <w:sz w:val="31"/>
          <w:szCs w:val="31"/>
        </w:rPr>
      </w:pPr>
      <w:r>
        <w:rPr>
          <w:rFonts w:hint="eastAsia"/>
          <w:b/>
          <w:bCs/>
          <w:spacing w:val="5"/>
          <w:sz w:val="31"/>
          <w:szCs w:val="31"/>
          <w:lang w:val="en-US" w:eastAsia="zh-CN"/>
        </w:rPr>
        <w:t>七</w:t>
      </w:r>
      <w:r>
        <w:rPr>
          <w:b/>
          <w:bCs/>
          <w:spacing w:val="5"/>
          <w:sz w:val="31"/>
          <w:szCs w:val="31"/>
        </w:rPr>
        <w:t>、拟派项目团队</w:t>
      </w:r>
    </w:p>
    <w:p w14:paraId="3361AB42">
      <w:pPr>
        <w:spacing w:line="193" w:lineRule="exact"/>
      </w:pPr>
    </w:p>
    <w:tbl>
      <w:tblPr>
        <w:tblStyle w:val="43"/>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8"/>
        <w:gridCol w:w="1142"/>
        <w:gridCol w:w="1203"/>
        <w:gridCol w:w="1139"/>
        <w:gridCol w:w="756"/>
        <w:gridCol w:w="1835"/>
        <w:gridCol w:w="1276"/>
        <w:gridCol w:w="820"/>
      </w:tblGrid>
      <w:tr w14:paraId="4409C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778" w:type="dxa"/>
            <w:vAlign w:val="top"/>
          </w:tcPr>
          <w:p w14:paraId="266CD89C">
            <w:pPr>
              <w:pStyle w:val="46"/>
              <w:spacing w:before="273" w:line="229" w:lineRule="auto"/>
              <w:ind w:left="183"/>
              <w:rPr>
                <w:sz w:val="20"/>
                <w:szCs w:val="20"/>
              </w:rPr>
            </w:pPr>
            <w:r>
              <w:rPr>
                <w:spacing w:val="5"/>
                <w:sz w:val="20"/>
                <w:szCs w:val="20"/>
              </w:rPr>
              <w:t>序号</w:t>
            </w:r>
          </w:p>
        </w:tc>
        <w:tc>
          <w:tcPr>
            <w:tcW w:w="1142" w:type="dxa"/>
            <w:vAlign w:val="top"/>
          </w:tcPr>
          <w:p w14:paraId="654A7431">
            <w:pPr>
              <w:pStyle w:val="46"/>
              <w:spacing w:before="116" w:line="289" w:lineRule="auto"/>
              <w:ind w:left="362" w:right="152" w:hanging="189"/>
              <w:rPr>
                <w:sz w:val="20"/>
                <w:szCs w:val="20"/>
              </w:rPr>
            </w:pPr>
            <w:r>
              <w:rPr>
                <w:spacing w:val="2"/>
                <w:sz w:val="20"/>
                <w:szCs w:val="20"/>
              </w:rPr>
              <w:t>团队成员</w:t>
            </w:r>
            <w:r>
              <w:rPr>
                <w:spacing w:val="4"/>
                <w:sz w:val="20"/>
                <w:szCs w:val="20"/>
              </w:rPr>
              <w:t>姓名</w:t>
            </w:r>
          </w:p>
        </w:tc>
        <w:tc>
          <w:tcPr>
            <w:tcW w:w="1203" w:type="dxa"/>
            <w:vAlign w:val="top"/>
          </w:tcPr>
          <w:p w14:paraId="1370B10E">
            <w:pPr>
              <w:pStyle w:val="46"/>
              <w:spacing w:before="273" w:line="228" w:lineRule="auto"/>
              <w:ind w:left="189"/>
              <w:rPr>
                <w:sz w:val="20"/>
                <w:szCs w:val="20"/>
              </w:rPr>
            </w:pPr>
            <w:r>
              <w:rPr>
                <w:spacing w:val="6"/>
                <w:sz w:val="20"/>
                <w:szCs w:val="20"/>
              </w:rPr>
              <w:t>工作单位</w:t>
            </w:r>
          </w:p>
        </w:tc>
        <w:tc>
          <w:tcPr>
            <w:tcW w:w="1139" w:type="dxa"/>
            <w:vAlign w:val="top"/>
          </w:tcPr>
          <w:p w14:paraId="2B0D7CCB">
            <w:pPr>
              <w:pStyle w:val="46"/>
              <w:spacing w:before="272" w:line="228" w:lineRule="auto"/>
              <w:ind w:left="160"/>
              <w:rPr>
                <w:sz w:val="20"/>
                <w:szCs w:val="20"/>
              </w:rPr>
            </w:pPr>
            <w:r>
              <w:rPr>
                <w:spacing w:val="5"/>
                <w:sz w:val="20"/>
                <w:szCs w:val="20"/>
              </w:rPr>
              <w:t>身份证号</w:t>
            </w:r>
          </w:p>
        </w:tc>
        <w:tc>
          <w:tcPr>
            <w:tcW w:w="756" w:type="dxa"/>
            <w:vAlign w:val="top"/>
          </w:tcPr>
          <w:p w14:paraId="5EA9C6EE">
            <w:pPr>
              <w:pStyle w:val="46"/>
              <w:spacing w:before="273" w:line="230" w:lineRule="auto"/>
              <w:ind w:left="175"/>
              <w:rPr>
                <w:sz w:val="20"/>
                <w:szCs w:val="20"/>
              </w:rPr>
            </w:pPr>
            <w:r>
              <w:rPr>
                <w:spacing w:val="4"/>
                <w:sz w:val="20"/>
                <w:szCs w:val="20"/>
              </w:rPr>
              <w:t>职称</w:t>
            </w:r>
          </w:p>
        </w:tc>
        <w:tc>
          <w:tcPr>
            <w:tcW w:w="1835" w:type="dxa"/>
            <w:vAlign w:val="top"/>
          </w:tcPr>
          <w:p w14:paraId="5FAC9504">
            <w:pPr>
              <w:pStyle w:val="46"/>
              <w:spacing w:before="116" w:line="289" w:lineRule="auto"/>
              <w:ind w:left="192" w:right="105" w:hanging="78"/>
              <w:rPr>
                <w:sz w:val="20"/>
                <w:szCs w:val="20"/>
              </w:rPr>
            </w:pPr>
            <w:r>
              <w:rPr>
                <w:spacing w:val="1"/>
                <w:sz w:val="20"/>
                <w:szCs w:val="20"/>
              </w:rPr>
              <w:t>注册证书（岗位证</w:t>
            </w:r>
            <w:r>
              <w:rPr>
                <w:spacing w:val="8"/>
                <w:sz w:val="20"/>
                <w:szCs w:val="20"/>
              </w:rPr>
              <w:t>书）名称及编号</w:t>
            </w:r>
          </w:p>
        </w:tc>
        <w:tc>
          <w:tcPr>
            <w:tcW w:w="1276" w:type="dxa"/>
            <w:vAlign w:val="top"/>
          </w:tcPr>
          <w:p w14:paraId="52C6051E">
            <w:pPr>
              <w:pStyle w:val="46"/>
              <w:spacing w:before="117" w:line="228" w:lineRule="auto"/>
              <w:ind w:left="119"/>
              <w:rPr>
                <w:sz w:val="20"/>
                <w:szCs w:val="20"/>
              </w:rPr>
            </w:pPr>
            <w:r>
              <w:rPr>
                <w:spacing w:val="8"/>
                <w:sz w:val="20"/>
                <w:szCs w:val="20"/>
              </w:rPr>
              <w:t>在团队中职</w:t>
            </w:r>
          </w:p>
          <w:p w14:paraId="19CFF83A">
            <w:pPr>
              <w:pStyle w:val="46"/>
              <w:spacing w:before="64" w:line="228" w:lineRule="auto"/>
              <w:ind w:left="122"/>
              <w:rPr>
                <w:sz w:val="20"/>
                <w:szCs w:val="20"/>
              </w:rPr>
            </w:pPr>
            <w:r>
              <w:rPr>
                <w:spacing w:val="5"/>
                <w:sz w:val="20"/>
                <w:szCs w:val="20"/>
              </w:rPr>
              <w:t>务（岗位）</w:t>
            </w:r>
          </w:p>
        </w:tc>
        <w:tc>
          <w:tcPr>
            <w:tcW w:w="820" w:type="dxa"/>
            <w:vAlign w:val="top"/>
          </w:tcPr>
          <w:p w14:paraId="35E34459">
            <w:pPr>
              <w:pStyle w:val="46"/>
              <w:spacing w:before="116" w:line="289" w:lineRule="auto"/>
              <w:ind w:left="209" w:right="145" w:hanging="22"/>
              <w:rPr>
                <w:sz w:val="20"/>
                <w:szCs w:val="20"/>
              </w:rPr>
            </w:pPr>
            <w:r>
              <w:rPr>
                <w:spacing w:val="-6"/>
                <w:sz w:val="20"/>
                <w:szCs w:val="20"/>
              </w:rPr>
              <w:t>自有/</w:t>
            </w:r>
            <w:r>
              <w:rPr>
                <w:spacing w:val="2"/>
                <w:sz w:val="20"/>
                <w:szCs w:val="20"/>
              </w:rPr>
              <w:t>外聘</w:t>
            </w:r>
          </w:p>
        </w:tc>
      </w:tr>
      <w:tr w14:paraId="4681B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778" w:type="dxa"/>
            <w:vAlign w:val="top"/>
          </w:tcPr>
          <w:p w14:paraId="470425E5">
            <w:pPr>
              <w:pStyle w:val="46"/>
              <w:spacing w:before="235" w:line="270" w:lineRule="exact"/>
              <w:ind w:left="358"/>
              <w:rPr>
                <w:sz w:val="20"/>
                <w:szCs w:val="20"/>
              </w:rPr>
            </w:pPr>
            <w:r>
              <w:rPr>
                <w:position w:val="1"/>
                <w:sz w:val="20"/>
                <w:szCs w:val="20"/>
              </w:rPr>
              <w:t>1</w:t>
            </w:r>
          </w:p>
        </w:tc>
        <w:tc>
          <w:tcPr>
            <w:tcW w:w="1142" w:type="dxa"/>
            <w:vAlign w:val="top"/>
          </w:tcPr>
          <w:p w14:paraId="122FB494">
            <w:pPr>
              <w:rPr>
                <w:rFonts w:ascii="Arial"/>
                <w:sz w:val="21"/>
              </w:rPr>
            </w:pPr>
          </w:p>
        </w:tc>
        <w:tc>
          <w:tcPr>
            <w:tcW w:w="1203" w:type="dxa"/>
            <w:vAlign w:val="top"/>
          </w:tcPr>
          <w:p w14:paraId="56F13E36">
            <w:pPr>
              <w:rPr>
                <w:rFonts w:ascii="Arial"/>
                <w:sz w:val="21"/>
              </w:rPr>
            </w:pPr>
          </w:p>
        </w:tc>
        <w:tc>
          <w:tcPr>
            <w:tcW w:w="1139" w:type="dxa"/>
            <w:vAlign w:val="top"/>
          </w:tcPr>
          <w:p w14:paraId="0CE979D0">
            <w:pPr>
              <w:rPr>
                <w:rFonts w:ascii="Arial"/>
                <w:sz w:val="21"/>
              </w:rPr>
            </w:pPr>
          </w:p>
        </w:tc>
        <w:tc>
          <w:tcPr>
            <w:tcW w:w="756" w:type="dxa"/>
            <w:vAlign w:val="top"/>
          </w:tcPr>
          <w:p w14:paraId="5ADA685A">
            <w:pPr>
              <w:rPr>
                <w:rFonts w:ascii="Arial"/>
                <w:sz w:val="21"/>
              </w:rPr>
            </w:pPr>
          </w:p>
        </w:tc>
        <w:tc>
          <w:tcPr>
            <w:tcW w:w="1835" w:type="dxa"/>
            <w:vAlign w:val="top"/>
          </w:tcPr>
          <w:p w14:paraId="7719D583">
            <w:pPr>
              <w:rPr>
                <w:rFonts w:ascii="Arial"/>
                <w:sz w:val="21"/>
              </w:rPr>
            </w:pPr>
          </w:p>
        </w:tc>
        <w:tc>
          <w:tcPr>
            <w:tcW w:w="1276" w:type="dxa"/>
            <w:vAlign w:val="top"/>
          </w:tcPr>
          <w:p w14:paraId="7D6BE64E">
            <w:pPr>
              <w:rPr>
                <w:rFonts w:ascii="Arial"/>
                <w:sz w:val="21"/>
              </w:rPr>
            </w:pPr>
          </w:p>
        </w:tc>
        <w:tc>
          <w:tcPr>
            <w:tcW w:w="820" w:type="dxa"/>
            <w:vAlign w:val="top"/>
          </w:tcPr>
          <w:p w14:paraId="664C6F92">
            <w:pPr>
              <w:rPr>
                <w:rFonts w:ascii="Arial"/>
                <w:sz w:val="21"/>
              </w:rPr>
            </w:pPr>
          </w:p>
        </w:tc>
      </w:tr>
      <w:tr w14:paraId="24127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778" w:type="dxa"/>
            <w:vAlign w:val="top"/>
          </w:tcPr>
          <w:p w14:paraId="5954E83D">
            <w:pPr>
              <w:pStyle w:val="46"/>
              <w:spacing w:before="235" w:line="270" w:lineRule="exact"/>
              <w:ind w:left="345"/>
              <w:rPr>
                <w:sz w:val="20"/>
                <w:szCs w:val="20"/>
              </w:rPr>
            </w:pPr>
            <w:r>
              <w:rPr>
                <w:position w:val="1"/>
                <w:sz w:val="20"/>
                <w:szCs w:val="20"/>
              </w:rPr>
              <w:t>2</w:t>
            </w:r>
          </w:p>
        </w:tc>
        <w:tc>
          <w:tcPr>
            <w:tcW w:w="1142" w:type="dxa"/>
            <w:vAlign w:val="top"/>
          </w:tcPr>
          <w:p w14:paraId="47231B12">
            <w:pPr>
              <w:rPr>
                <w:rFonts w:ascii="Arial"/>
                <w:sz w:val="21"/>
              </w:rPr>
            </w:pPr>
          </w:p>
        </w:tc>
        <w:tc>
          <w:tcPr>
            <w:tcW w:w="1203" w:type="dxa"/>
            <w:vAlign w:val="top"/>
          </w:tcPr>
          <w:p w14:paraId="0C4619A5">
            <w:pPr>
              <w:rPr>
                <w:rFonts w:ascii="Arial"/>
                <w:sz w:val="21"/>
              </w:rPr>
            </w:pPr>
          </w:p>
        </w:tc>
        <w:tc>
          <w:tcPr>
            <w:tcW w:w="1139" w:type="dxa"/>
            <w:vAlign w:val="top"/>
          </w:tcPr>
          <w:p w14:paraId="45BA2BA3">
            <w:pPr>
              <w:rPr>
                <w:rFonts w:ascii="Arial"/>
                <w:sz w:val="21"/>
              </w:rPr>
            </w:pPr>
          </w:p>
        </w:tc>
        <w:tc>
          <w:tcPr>
            <w:tcW w:w="756" w:type="dxa"/>
            <w:vAlign w:val="top"/>
          </w:tcPr>
          <w:p w14:paraId="1AA28D18">
            <w:pPr>
              <w:rPr>
                <w:rFonts w:ascii="Arial"/>
                <w:sz w:val="21"/>
              </w:rPr>
            </w:pPr>
          </w:p>
        </w:tc>
        <w:tc>
          <w:tcPr>
            <w:tcW w:w="1835" w:type="dxa"/>
            <w:vAlign w:val="top"/>
          </w:tcPr>
          <w:p w14:paraId="763FDCE6">
            <w:pPr>
              <w:rPr>
                <w:rFonts w:ascii="Arial"/>
                <w:sz w:val="21"/>
              </w:rPr>
            </w:pPr>
          </w:p>
        </w:tc>
        <w:tc>
          <w:tcPr>
            <w:tcW w:w="1276" w:type="dxa"/>
            <w:vAlign w:val="top"/>
          </w:tcPr>
          <w:p w14:paraId="243CE79F">
            <w:pPr>
              <w:rPr>
                <w:rFonts w:ascii="Arial"/>
                <w:sz w:val="21"/>
              </w:rPr>
            </w:pPr>
          </w:p>
        </w:tc>
        <w:tc>
          <w:tcPr>
            <w:tcW w:w="820" w:type="dxa"/>
            <w:vAlign w:val="top"/>
          </w:tcPr>
          <w:p w14:paraId="264B00A2">
            <w:pPr>
              <w:rPr>
                <w:rFonts w:ascii="Arial"/>
                <w:sz w:val="21"/>
              </w:rPr>
            </w:pPr>
          </w:p>
        </w:tc>
      </w:tr>
      <w:tr w14:paraId="71C25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778" w:type="dxa"/>
            <w:vAlign w:val="top"/>
          </w:tcPr>
          <w:p w14:paraId="08FB84EB">
            <w:pPr>
              <w:pStyle w:val="46"/>
              <w:spacing w:before="236" w:line="268" w:lineRule="exact"/>
              <w:ind w:left="346"/>
              <w:rPr>
                <w:sz w:val="20"/>
                <w:szCs w:val="20"/>
              </w:rPr>
            </w:pPr>
            <w:r>
              <w:rPr>
                <w:position w:val="1"/>
                <w:sz w:val="20"/>
                <w:szCs w:val="20"/>
              </w:rPr>
              <w:t>3</w:t>
            </w:r>
          </w:p>
        </w:tc>
        <w:tc>
          <w:tcPr>
            <w:tcW w:w="1142" w:type="dxa"/>
            <w:vAlign w:val="top"/>
          </w:tcPr>
          <w:p w14:paraId="193E0A10">
            <w:pPr>
              <w:rPr>
                <w:rFonts w:ascii="Arial"/>
                <w:sz w:val="21"/>
              </w:rPr>
            </w:pPr>
          </w:p>
        </w:tc>
        <w:tc>
          <w:tcPr>
            <w:tcW w:w="1203" w:type="dxa"/>
            <w:vAlign w:val="top"/>
          </w:tcPr>
          <w:p w14:paraId="084B3893">
            <w:pPr>
              <w:rPr>
                <w:rFonts w:ascii="Arial"/>
                <w:sz w:val="21"/>
              </w:rPr>
            </w:pPr>
          </w:p>
        </w:tc>
        <w:tc>
          <w:tcPr>
            <w:tcW w:w="1139" w:type="dxa"/>
            <w:vAlign w:val="top"/>
          </w:tcPr>
          <w:p w14:paraId="27CD144D">
            <w:pPr>
              <w:rPr>
                <w:rFonts w:ascii="Arial"/>
                <w:sz w:val="21"/>
              </w:rPr>
            </w:pPr>
          </w:p>
        </w:tc>
        <w:tc>
          <w:tcPr>
            <w:tcW w:w="756" w:type="dxa"/>
            <w:vAlign w:val="top"/>
          </w:tcPr>
          <w:p w14:paraId="751491D2">
            <w:pPr>
              <w:rPr>
                <w:rFonts w:ascii="Arial"/>
                <w:sz w:val="21"/>
              </w:rPr>
            </w:pPr>
          </w:p>
        </w:tc>
        <w:tc>
          <w:tcPr>
            <w:tcW w:w="1835" w:type="dxa"/>
            <w:vAlign w:val="top"/>
          </w:tcPr>
          <w:p w14:paraId="5EAC740E">
            <w:pPr>
              <w:rPr>
                <w:rFonts w:ascii="Arial"/>
                <w:sz w:val="21"/>
              </w:rPr>
            </w:pPr>
          </w:p>
        </w:tc>
        <w:tc>
          <w:tcPr>
            <w:tcW w:w="1276" w:type="dxa"/>
            <w:vAlign w:val="top"/>
          </w:tcPr>
          <w:p w14:paraId="227E327A">
            <w:pPr>
              <w:rPr>
                <w:rFonts w:ascii="Arial"/>
                <w:sz w:val="21"/>
              </w:rPr>
            </w:pPr>
          </w:p>
        </w:tc>
        <w:tc>
          <w:tcPr>
            <w:tcW w:w="820" w:type="dxa"/>
            <w:vAlign w:val="top"/>
          </w:tcPr>
          <w:p w14:paraId="2038F237">
            <w:pPr>
              <w:rPr>
                <w:rFonts w:ascii="Arial"/>
                <w:sz w:val="21"/>
              </w:rPr>
            </w:pPr>
          </w:p>
        </w:tc>
      </w:tr>
      <w:tr w14:paraId="00187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778" w:type="dxa"/>
            <w:vAlign w:val="top"/>
          </w:tcPr>
          <w:p w14:paraId="257967CF">
            <w:pPr>
              <w:pStyle w:val="46"/>
              <w:spacing w:before="235" w:line="270" w:lineRule="exact"/>
              <w:ind w:left="341"/>
              <w:rPr>
                <w:sz w:val="20"/>
                <w:szCs w:val="20"/>
              </w:rPr>
            </w:pPr>
            <w:r>
              <w:rPr>
                <w:position w:val="1"/>
                <w:sz w:val="20"/>
                <w:szCs w:val="20"/>
              </w:rPr>
              <w:t>4</w:t>
            </w:r>
          </w:p>
        </w:tc>
        <w:tc>
          <w:tcPr>
            <w:tcW w:w="1142" w:type="dxa"/>
            <w:vAlign w:val="top"/>
          </w:tcPr>
          <w:p w14:paraId="4F506878">
            <w:pPr>
              <w:rPr>
                <w:rFonts w:ascii="Arial"/>
                <w:sz w:val="21"/>
              </w:rPr>
            </w:pPr>
          </w:p>
        </w:tc>
        <w:tc>
          <w:tcPr>
            <w:tcW w:w="1203" w:type="dxa"/>
            <w:vAlign w:val="top"/>
          </w:tcPr>
          <w:p w14:paraId="00006DFE">
            <w:pPr>
              <w:rPr>
                <w:rFonts w:ascii="Arial"/>
                <w:sz w:val="21"/>
              </w:rPr>
            </w:pPr>
          </w:p>
        </w:tc>
        <w:tc>
          <w:tcPr>
            <w:tcW w:w="1139" w:type="dxa"/>
            <w:vAlign w:val="top"/>
          </w:tcPr>
          <w:p w14:paraId="4C25DB74">
            <w:pPr>
              <w:rPr>
                <w:rFonts w:ascii="Arial"/>
                <w:sz w:val="21"/>
              </w:rPr>
            </w:pPr>
          </w:p>
        </w:tc>
        <w:tc>
          <w:tcPr>
            <w:tcW w:w="756" w:type="dxa"/>
            <w:vAlign w:val="top"/>
          </w:tcPr>
          <w:p w14:paraId="652A1E40">
            <w:pPr>
              <w:rPr>
                <w:rFonts w:ascii="Arial"/>
                <w:sz w:val="21"/>
              </w:rPr>
            </w:pPr>
          </w:p>
        </w:tc>
        <w:tc>
          <w:tcPr>
            <w:tcW w:w="1835" w:type="dxa"/>
            <w:vAlign w:val="top"/>
          </w:tcPr>
          <w:p w14:paraId="3E1946CE">
            <w:pPr>
              <w:rPr>
                <w:rFonts w:ascii="Arial"/>
                <w:sz w:val="21"/>
              </w:rPr>
            </w:pPr>
          </w:p>
        </w:tc>
        <w:tc>
          <w:tcPr>
            <w:tcW w:w="1276" w:type="dxa"/>
            <w:vAlign w:val="top"/>
          </w:tcPr>
          <w:p w14:paraId="1BAC341D">
            <w:pPr>
              <w:rPr>
                <w:rFonts w:ascii="Arial"/>
                <w:sz w:val="21"/>
              </w:rPr>
            </w:pPr>
          </w:p>
        </w:tc>
        <w:tc>
          <w:tcPr>
            <w:tcW w:w="820" w:type="dxa"/>
            <w:vAlign w:val="top"/>
          </w:tcPr>
          <w:p w14:paraId="74D808DF">
            <w:pPr>
              <w:rPr>
                <w:rFonts w:ascii="Arial"/>
                <w:sz w:val="21"/>
              </w:rPr>
            </w:pPr>
          </w:p>
        </w:tc>
      </w:tr>
      <w:tr w14:paraId="05DE8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778" w:type="dxa"/>
            <w:vAlign w:val="top"/>
          </w:tcPr>
          <w:p w14:paraId="21E59721">
            <w:pPr>
              <w:pStyle w:val="46"/>
              <w:spacing w:before="237" w:line="268" w:lineRule="exact"/>
              <w:ind w:left="346"/>
              <w:rPr>
                <w:sz w:val="20"/>
                <w:szCs w:val="20"/>
              </w:rPr>
            </w:pPr>
            <w:r>
              <w:rPr>
                <w:position w:val="1"/>
                <w:sz w:val="20"/>
                <w:szCs w:val="20"/>
              </w:rPr>
              <w:t>5</w:t>
            </w:r>
          </w:p>
        </w:tc>
        <w:tc>
          <w:tcPr>
            <w:tcW w:w="1142" w:type="dxa"/>
            <w:vAlign w:val="top"/>
          </w:tcPr>
          <w:p w14:paraId="2C276A7E">
            <w:pPr>
              <w:rPr>
                <w:rFonts w:ascii="Arial"/>
                <w:sz w:val="21"/>
              </w:rPr>
            </w:pPr>
          </w:p>
        </w:tc>
        <w:tc>
          <w:tcPr>
            <w:tcW w:w="1203" w:type="dxa"/>
            <w:vAlign w:val="top"/>
          </w:tcPr>
          <w:p w14:paraId="3BD28C66">
            <w:pPr>
              <w:rPr>
                <w:rFonts w:ascii="Arial"/>
                <w:sz w:val="21"/>
              </w:rPr>
            </w:pPr>
          </w:p>
        </w:tc>
        <w:tc>
          <w:tcPr>
            <w:tcW w:w="1139" w:type="dxa"/>
            <w:vAlign w:val="top"/>
          </w:tcPr>
          <w:p w14:paraId="6078D107">
            <w:pPr>
              <w:rPr>
                <w:rFonts w:ascii="Arial"/>
                <w:sz w:val="21"/>
              </w:rPr>
            </w:pPr>
          </w:p>
        </w:tc>
        <w:tc>
          <w:tcPr>
            <w:tcW w:w="756" w:type="dxa"/>
            <w:vAlign w:val="top"/>
          </w:tcPr>
          <w:p w14:paraId="744D652D">
            <w:pPr>
              <w:rPr>
                <w:rFonts w:ascii="Arial"/>
                <w:sz w:val="21"/>
              </w:rPr>
            </w:pPr>
          </w:p>
        </w:tc>
        <w:tc>
          <w:tcPr>
            <w:tcW w:w="1835" w:type="dxa"/>
            <w:vAlign w:val="top"/>
          </w:tcPr>
          <w:p w14:paraId="09C12EC7">
            <w:pPr>
              <w:rPr>
                <w:rFonts w:ascii="Arial"/>
                <w:sz w:val="21"/>
              </w:rPr>
            </w:pPr>
          </w:p>
        </w:tc>
        <w:tc>
          <w:tcPr>
            <w:tcW w:w="1276" w:type="dxa"/>
            <w:vAlign w:val="top"/>
          </w:tcPr>
          <w:p w14:paraId="429E9110">
            <w:pPr>
              <w:rPr>
                <w:rFonts w:ascii="Arial"/>
                <w:sz w:val="21"/>
              </w:rPr>
            </w:pPr>
          </w:p>
        </w:tc>
        <w:tc>
          <w:tcPr>
            <w:tcW w:w="820" w:type="dxa"/>
            <w:vAlign w:val="top"/>
          </w:tcPr>
          <w:p w14:paraId="31A8623A">
            <w:pPr>
              <w:rPr>
                <w:rFonts w:ascii="Arial"/>
                <w:sz w:val="21"/>
              </w:rPr>
            </w:pPr>
          </w:p>
        </w:tc>
      </w:tr>
      <w:tr w14:paraId="661AD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778" w:type="dxa"/>
            <w:vAlign w:val="top"/>
          </w:tcPr>
          <w:p w14:paraId="1A751A8F">
            <w:pPr>
              <w:pStyle w:val="46"/>
              <w:spacing w:before="237" w:line="269" w:lineRule="exact"/>
              <w:ind w:left="344"/>
              <w:rPr>
                <w:sz w:val="20"/>
                <w:szCs w:val="20"/>
              </w:rPr>
            </w:pPr>
            <w:r>
              <w:rPr>
                <w:position w:val="1"/>
                <w:sz w:val="20"/>
                <w:szCs w:val="20"/>
              </w:rPr>
              <w:t>6</w:t>
            </w:r>
          </w:p>
        </w:tc>
        <w:tc>
          <w:tcPr>
            <w:tcW w:w="1142" w:type="dxa"/>
            <w:vAlign w:val="top"/>
          </w:tcPr>
          <w:p w14:paraId="57AF4954">
            <w:pPr>
              <w:rPr>
                <w:rFonts w:ascii="Arial"/>
                <w:sz w:val="21"/>
              </w:rPr>
            </w:pPr>
          </w:p>
        </w:tc>
        <w:tc>
          <w:tcPr>
            <w:tcW w:w="1203" w:type="dxa"/>
            <w:vAlign w:val="top"/>
          </w:tcPr>
          <w:p w14:paraId="45C1BE10">
            <w:pPr>
              <w:rPr>
                <w:rFonts w:ascii="Arial"/>
                <w:sz w:val="21"/>
              </w:rPr>
            </w:pPr>
          </w:p>
        </w:tc>
        <w:tc>
          <w:tcPr>
            <w:tcW w:w="1139" w:type="dxa"/>
            <w:vAlign w:val="top"/>
          </w:tcPr>
          <w:p w14:paraId="71E4A365">
            <w:pPr>
              <w:rPr>
                <w:rFonts w:ascii="Arial"/>
                <w:sz w:val="21"/>
              </w:rPr>
            </w:pPr>
          </w:p>
        </w:tc>
        <w:tc>
          <w:tcPr>
            <w:tcW w:w="756" w:type="dxa"/>
            <w:vAlign w:val="top"/>
          </w:tcPr>
          <w:p w14:paraId="1041E833">
            <w:pPr>
              <w:rPr>
                <w:rFonts w:ascii="Arial"/>
                <w:sz w:val="21"/>
              </w:rPr>
            </w:pPr>
          </w:p>
        </w:tc>
        <w:tc>
          <w:tcPr>
            <w:tcW w:w="1835" w:type="dxa"/>
            <w:vAlign w:val="top"/>
          </w:tcPr>
          <w:p w14:paraId="0515030D">
            <w:pPr>
              <w:rPr>
                <w:rFonts w:ascii="Arial"/>
                <w:sz w:val="21"/>
              </w:rPr>
            </w:pPr>
          </w:p>
        </w:tc>
        <w:tc>
          <w:tcPr>
            <w:tcW w:w="1276" w:type="dxa"/>
            <w:vAlign w:val="top"/>
          </w:tcPr>
          <w:p w14:paraId="52A63700">
            <w:pPr>
              <w:rPr>
                <w:rFonts w:ascii="Arial"/>
                <w:sz w:val="21"/>
              </w:rPr>
            </w:pPr>
          </w:p>
        </w:tc>
        <w:tc>
          <w:tcPr>
            <w:tcW w:w="820" w:type="dxa"/>
            <w:vAlign w:val="top"/>
          </w:tcPr>
          <w:p w14:paraId="5DC54C74">
            <w:pPr>
              <w:rPr>
                <w:rFonts w:ascii="Arial"/>
                <w:sz w:val="21"/>
              </w:rPr>
            </w:pPr>
          </w:p>
        </w:tc>
      </w:tr>
      <w:tr w14:paraId="713A8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778" w:type="dxa"/>
            <w:vAlign w:val="top"/>
          </w:tcPr>
          <w:p w14:paraId="03043F64">
            <w:pPr>
              <w:pStyle w:val="46"/>
              <w:spacing w:before="237" w:line="268" w:lineRule="exact"/>
              <w:ind w:left="347"/>
              <w:rPr>
                <w:sz w:val="20"/>
                <w:szCs w:val="20"/>
              </w:rPr>
            </w:pPr>
            <w:r>
              <w:rPr>
                <w:position w:val="1"/>
                <w:sz w:val="20"/>
                <w:szCs w:val="20"/>
              </w:rPr>
              <w:t>7</w:t>
            </w:r>
          </w:p>
        </w:tc>
        <w:tc>
          <w:tcPr>
            <w:tcW w:w="1142" w:type="dxa"/>
            <w:vAlign w:val="top"/>
          </w:tcPr>
          <w:p w14:paraId="3E3F2631">
            <w:pPr>
              <w:rPr>
                <w:rFonts w:ascii="Arial"/>
                <w:sz w:val="21"/>
              </w:rPr>
            </w:pPr>
          </w:p>
        </w:tc>
        <w:tc>
          <w:tcPr>
            <w:tcW w:w="1203" w:type="dxa"/>
            <w:vAlign w:val="top"/>
          </w:tcPr>
          <w:p w14:paraId="7D6ACADD">
            <w:pPr>
              <w:rPr>
                <w:rFonts w:ascii="Arial"/>
                <w:sz w:val="21"/>
              </w:rPr>
            </w:pPr>
          </w:p>
        </w:tc>
        <w:tc>
          <w:tcPr>
            <w:tcW w:w="1139" w:type="dxa"/>
            <w:vAlign w:val="top"/>
          </w:tcPr>
          <w:p w14:paraId="74CE8478">
            <w:pPr>
              <w:rPr>
                <w:rFonts w:ascii="Arial"/>
                <w:sz w:val="21"/>
              </w:rPr>
            </w:pPr>
          </w:p>
        </w:tc>
        <w:tc>
          <w:tcPr>
            <w:tcW w:w="756" w:type="dxa"/>
            <w:vAlign w:val="top"/>
          </w:tcPr>
          <w:p w14:paraId="71F90975">
            <w:pPr>
              <w:rPr>
                <w:rFonts w:ascii="Arial"/>
                <w:sz w:val="21"/>
              </w:rPr>
            </w:pPr>
          </w:p>
        </w:tc>
        <w:tc>
          <w:tcPr>
            <w:tcW w:w="1835" w:type="dxa"/>
            <w:vAlign w:val="top"/>
          </w:tcPr>
          <w:p w14:paraId="6DBD5E05">
            <w:pPr>
              <w:rPr>
                <w:rFonts w:ascii="Arial"/>
                <w:sz w:val="21"/>
              </w:rPr>
            </w:pPr>
          </w:p>
        </w:tc>
        <w:tc>
          <w:tcPr>
            <w:tcW w:w="1276" w:type="dxa"/>
            <w:vAlign w:val="top"/>
          </w:tcPr>
          <w:p w14:paraId="5CB79CCF">
            <w:pPr>
              <w:rPr>
                <w:rFonts w:ascii="Arial"/>
                <w:sz w:val="21"/>
              </w:rPr>
            </w:pPr>
          </w:p>
        </w:tc>
        <w:tc>
          <w:tcPr>
            <w:tcW w:w="820" w:type="dxa"/>
            <w:vAlign w:val="top"/>
          </w:tcPr>
          <w:p w14:paraId="2ABED272">
            <w:pPr>
              <w:rPr>
                <w:rFonts w:ascii="Arial"/>
                <w:sz w:val="21"/>
              </w:rPr>
            </w:pPr>
          </w:p>
        </w:tc>
      </w:tr>
      <w:tr w14:paraId="6D8E1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778" w:type="dxa"/>
            <w:vAlign w:val="top"/>
          </w:tcPr>
          <w:p w14:paraId="3455CDF6">
            <w:pPr>
              <w:pStyle w:val="46"/>
              <w:spacing w:before="237" w:line="268" w:lineRule="exact"/>
              <w:ind w:left="343"/>
              <w:rPr>
                <w:sz w:val="20"/>
                <w:szCs w:val="20"/>
              </w:rPr>
            </w:pPr>
            <w:r>
              <w:rPr>
                <w:position w:val="1"/>
                <w:sz w:val="20"/>
                <w:szCs w:val="20"/>
              </w:rPr>
              <w:t>8</w:t>
            </w:r>
          </w:p>
        </w:tc>
        <w:tc>
          <w:tcPr>
            <w:tcW w:w="1142" w:type="dxa"/>
            <w:vAlign w:val="top"/>
          </w:tcPr>
          <w:p w14:paraId="67E90DC5">
            <w:pPr>
              <w:rPr>
                <w:rFonts w:ascii="Arial"/>
                <w:sz w:val="21"/>
              </w:rPr>
            </w:pPr>
          </w:p>
        </w:tc>
        <w:tc>
          <w:tcPr>
            <w:tcW w:w="1203" w:type="dxa"/>
            <w:vAlign w:val="top"/>
          </w:tcPr>
          <w:p w14:paraId="3285042D">
            <w:pPr>
              <w:rPr>
                <w:rFonts w:ascii="Arial"/>
                <w:sz w:val="21"/>
              </w:rPr>
            </w:pPr>
          </w:p>
        </w:tc>
        <w:tc>
          <w:tcPr>
            <w:tcW w:w="1139" w:type="dxa"/>
            <w:vAlign w:val="top"/>
          </w:tcPr>
          <w:p w14:paraId="6FD69024">
            <w:pPr>
              <w:rPr>
                <w:rFonts w:ascii="Arial"/>
                <w:sz w:val="21"/>
              </w:rPr>
            </w:pPr>
          </w:p>
        </w:tc>
        <w:tc>
          <w:tcPr>
            <w:tcW w:w="756" w:type="dxa"/>
            <w:vAlign w:val="top"/>
          </w:tcPr>
          <w:p w14:paraId="55A818A2">
            <w:pPr>
              <w:rPr>
                <w:rFonts w:ascii="Arial"/>
                <w:sz w:val="21"/>
              </w:rPr>
            </w:pPr>
          </w:p>
        </w:tc>
        <w:tc>
          <w:tcPr>
            <w:tcW w:w="1835" w:type="dxa"/>
            <w:vAlign w:val="top"/>
          </w:tcPr>
          <w:p w14:paraId="73169817">
            <w:pPr>
              <w:rPr>
                <w:rFonts w:ascii="Arial"/>
                <w:sz w:val="21"/>
              </w:rPr>
            </w:pPr>
          </w:p>
        </w:tc>
        <w:tc>
          <w:tcPr>
            <w:tcW w:w="1276" w:type="dxa"/>
            <w:vAlign w:val="top"/>
          </w:tcPr>
          <w:p w14:paraId="3183E051">
            <w:pPr>
              <w:rPr>
                <w:rFonts w:ascii="Arial"/>
                <w:sz w:val="21"/>
              </w:rPr>
            </w:pPr>
          </w:p>
        </w:tc>
        <w:tc>
          <w:tcPr>
            <w:tcW w:w="820" w:type="dxa"/>
            <w:vAlign w:val="top"/>
          </w:tcPr>
          <w:p w14:paraId="3D83CB56">
            <w:pPr>
              <w:rPr>
                <w:rFonts w:ascii="Arial"/>
                <w:sz w:val="21"/>
              </w:rPr>
            </w:pPr>
          </w:p>
        </w:tc>
      </w:tr>
      <w:tr w14:paraId="630BF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778" w:type="dxa"/>
            <w:vAlign w:val="top"/>
          </w:tcPr>
          <w:p w14:paraId="04F1C12E">
            <w:pPr>
              <w:pStyle w:val="46"/>
              <w:spacing w:before="239" w:line="268" w:lineRule="exact"/>
              <w:ind w:left="343"/>
              <w:rPr>
                <w:sz w:val="20"/>
                <w:szCs w:val="20"/>
              </w:rPr>
            </w:pPr>
            <w:r>
              <w:rPr>
                <w:position w:val="1"/>
                <w:sz w:val="20"/>
                <w:szCs w:val="20"/>
              </w:rPr>
              <w:t>9</w:t>
            </w:r>
          </w:p>
        </w:tc>
        <w:tc>
          <w:tcPr>
            <w:tcW w:w="1142" w:type="dxa"/>
            <w:vAlign w:val="top"/>
          </w:tcPr>
          <w:p w14:paraId="047B2091">
            <w:pPr>
              <w:rPr>
                <w:rFonts w:ascii="Arial"/>
                <w:sz w:val="21"/>
              </w:rPr>
            </w:pPr>
          </w:p>
        </w:tc>
        <w:tc>
          <w:tcPr>
            <w:tcW w:w="1203" w:type="dxa"/>
            <w:vAlign w:val="top"/>
          </w:tcPr>
          <w:p w14:paraId="07092516">
            <w:pPr>
              <w:rPr>
                <w:rFonts w:ascii="Arial"/>
                <w:sz w:val="21"/>
              </w:rPr>
            </w:pPr>
          </w:p>
        </w:tc>
        <w:tc>
          <w:tcPr>
            <w:tcW w:w="1139" w:type="dxa"/>
            <w:vAlign w:val="top"/>
          </w:tcPr>
          <w:p w14:paraId="7D756390">
            <w:pPr>
              <w:rPr>
                <w:rFonts w:ascii="Arial"/>
                <w:sz w:val="21"/>
              </w:rPr>
            </w:pPr>
          </w:p>
        </w:tc>
        <w:tc>
          <w:tcPr>
            <w:tcW w:w="756" w:type="dxa"/>
            <w:vAlign w:val="top"/>
          </w:tcPr>
          <w:p w14:paraId="4FB4A335">
            <w:pPr>
              <w:rPr>
                <w:rFonts w:ascii="Arial"/>
                <w:sz w:val="21"/>
              </w:rPr>
            </w:pPr>
          </w:p>
        </w:tc>
        <w:tc>
          <w:tcPr>
            <w:tcW w:w="1835" w:type="dxa"/>
            <w:vAlign w:val="top"/>
          </w:tcPr>
          <w:p w14:paraId="6E153964">
            <w:pPr>
              <w:rPr>
                <w:rFonts w:ascii="Arial"/>
                <w:sz w:val="21"/>
              </w:rPr>
            </w:pPr>
          </w:p>
        </w:tc>
        <w:tc>
          <w:tcPr>
            <w:tcW w:w="1276" w:type="dxa"/>
            <w:vAlign w:val="top"/>
          </w:tcPr>
          <w:p w14:paraId="0CAA18AD">
            <w:pPr>
              <w:rPr>
                <w:rFonts w:ascii="Arial"/>
                <w:sz w:val="21"/>
              </w:rPr>
            </w:pPr>
          </w:p>
        </w:tc>
        <w:tc>
          <w:tcPr>
            <w:tcW w:w="820" w:type="dxa"/>
            <w:vAlign w:val="top"/>
          </w:tcPr>
          <w:p w14:paraId="19671AA9">
            <w:pPr>
              <w:rPr>
                <w:rFonts w:ascii="Arial"/>
                <w:sz w:val="21"/>
              </w:rPr>
            </w:pPr>
          </w:p>
        </w:tc>
      </w:tr>
      <w:tr w14:paraId="40C78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778" w:type="dxa"/>
            <w:vAlign w:val="top"/>
          </w:tcPr>
          <w:p w14:paraId="654AB44F">
            <w:pPr>
              <w:pStyle w:val="46"/>
              <w:spacing w:before="243" w:line="268" w:lineRule="exact"/>
              <w:ind w:left="305"/>
              <w:rPr>
                <w:sz w:val="20"/>
                <w:szCs w:val="20"/>
              </w:rPr>
            </w:pPr>
            <w:r>
              <w:rPr>
                <w:spacing w:val="-7"/>
                <w:position w:val="1"/>
                <w:sz w:val="20"/>
                <w:szCs w:val="20"/>
              </w:rPr>
              <w:t>10</w:t>
            </w:r>
          </w:p>
        </w:tc>
        <w:tc>
          <w:tcPr>
            <w:tcW w:w="1142" w:type="dxa"/>
            <w:vAlign w:val="top"/>
          </w:tcPr>
          <w:p w14:paraId="48477A3A">
            <w:pPr>
              <w:rPr>
                <w:rFonts w:ascii="Arial"/>
                <w:sz w:val="21"/>
              </w:rPr>
            </w:pPr>
          </w:p>
        </w:tc>
        <w:tc>
          <w:tcPr>
            <w:tcW w:w="1203" w:type="dxa"/>
            <w:vAlign w:val="top"/>
          </w:tcPr>
          <w:p w14:paraId="65555902">
            <w:pPr>
              <w:rPr>
                <w:rFonts w:ascii="Arial"/>
                <w:sz w:val="21"/>
              </w:rPr>
            </w:pPr>
          </w:p>
        </w:tc>
        <w:tc>
          <w:tcPr>
            <w:tcW w:w="1139" w:type="dxa"/>
            <w:vAlign w:val="top"/>
          </w:tcPr>
          <w:p w14:paraId="01CFB0E2">
            <w:pPr>
              <w:rPr>
                <w:rFonts w:ascii="Arial"/>
                <w:sz w:val="21"/>
              </w:rPr>
            </w:pPr>
          </w:p>
        </w:tc>
        <w:tc>
          <w:tcPr>
            <w:tcW w:w="756" w:type="dxa"/>
            <w:vAlign w:val="top"/>
          </w:tcPr>
          <w:p w14:paraId="12C58601">
            <w:pPr>
              <w:rPr>
                <w:rFonts w:ascii="Arial"/>
                <w:sz w:val="21"/>
              </w:rPr>
            </w:pPr>
          </w:p>
        </w:tc>
        <w:tc>
          <w:tcPr>
            <w:tcW w:w="1835" w:type="dxa"/>
            <w:vAlign w:val="top"/>
          </w:tcPr>
          <w:p w14:paraId="36D478D9">
            <w:pPr>
              <w:rPr>
                <w:rFonts w:ascii="Arial"/>
                <w:sz w:val="21"/>
              </w:rPr>
            </w:pPr>
          </w:p>
        </w:tc>
        <w:tc>
          <w:tcPr>
            <w:tcW w:w="1276" w:type="dxa"/>
            <w:vAlign w:val="top"/>
          </w:tcPr>
          <w:p w14:paraId="0961B23B">
            <w:pPr>
              <w:rPr>
                <w:rFonts w:ascii="Arial"/>
                <w:sz w:val="21"/>
              </w:rPr>
            </w:pPr>
          </w:p>
        </w:tc>
        <w:tc>
          <w:tcPr>
            <w:tcW w:w="820" w:type="dxa"/>
            <w:vAlign w:val="top"/>
          </w:tcPr>
          <w:p w14:paraId="05F4A37E">
            <w:pPr>
              <w:rPr>
                <w:rFonts w:ascii="Arial"/>
                <w:sz w:val="21"/>
              </w:rPr>
            </w:pPr>
          </w:p>
        </w:tc>
      </w:tr>
    </w:tbl>
    <w:p w14:paraId="5F376885">
      <w:pPr>
        <w:spacing w:line="264" w:lineRule="auto"/>
        <w:rPr>
          <w:rFonts w:ascii="Arial"/>
          <w:sz w:val="21"/>
        </w:rPr>
      </w:pPr>
    </w:p>
    <w:p w14:paraId="18B4988B">
      <w:pPr>
        <w:spacing w:line="265" w:lineRule="auto"/>
        <w:rPr>
          <w:rFonts w:ascii="Arial"/>
          <w:sz w:val="21"/>
        </w:rPr>
      </w:pPr>
    </w:p>
    <w:p w14:paraId="4CD58B3E">
      <w:pPr>
        <w:pStyle w:val="10"/>
        <w:spacing w:before="65" w:line="227" w:lineRule="auto"/>
        <w:ind w:left="277"/>
        <w:rPr>
          <w:sz w:val="20"/>
          <w:szCs w:val="20"/>
        </w:rPr>
      </w:pPr>
      <w:r>
        <w:rPr>
          <w:spacing w:val="9"/>
          <w:sz w:val="20"/>
          <w:szCs w:val="20"/>
        </w:rPr>
        <w:t>注：按竞争性磋商文件要求在本表后附相关人员证书。</w:t>
      </w:r>
    </w:p>
    <w:p w14:paraId="2C4F44C3">
      <w:pPr>
        <w:spacing w:line="310" w:lineRule="auto"/>
        <w:rPr>
          <w:rFonts w:ascii="Arial"/>
          <w:sz w:val="21"/>
        </w:rPr>
      </w:pPr>
    </w:p>
    <w:p w14:paraId="64A2E476">
      <w:pPr>
        <w:spacing w:line="310" w:lineRule="auto"/>
        <w:rPr>
          <w:rFonts w:ascii="Arial"/>
          <w:sz w:val="21"/>
        </w:rPr>
      </w:pPr>
    </w:p>
    <w:p w14:paraId="3552F850">
      <w:pPr>
        <w:spacing w:line="372" w:lineRule="auto"/>
        <w:rPr>
          <w:rFonts w:hint="eastAsia" w:ascii="Arial" w:eastAsia="宋体"/>
          <w:sz w:val="21"/>
          <w:lang w:eastAsia="zh-CN"/>
        </w:rPr>
      </w:pPr>
      <w:r>
        <w:rPr>
          <w:rFonts w:hint="eastAsia" w:ascii="Arial" w:eastAsia="宋体"/>
          <w:sz w:val="21"/>
          <w:lang w:eastAsia="zh-CN"/>
        </w:rPr>
        <w:br w:type="page"/>
      </w:r>
    </w:p>
    <w:p w14:paraId="639FEAE8">
      <w:pPr>
        <w:pStyle w:val="10"/>
        <w:spacing w:before="100" w:line="225" w:lineRule="auto"/>
        <w:ind w:left="2840"/>
        <w:outlineLvl w:val="1"/>
        <w:rPr>
          <w:sz w:val="31"/>
          <w:szCs w:val="31"/>
        </w:rPr>
      </w:pPr>
      <w:r>
        <w:rPr>
          <w:rFonts w:hint="eastAsia"/>
          <w:b/>
          <w:bCs/>
          <w:spacing w:val="5"/>
          <w:sz w:val="31"/>
          <w:szCs w:val="31"/>
          <w:lang w:val="en-US" w:eastAsia="zh-CN"/>
        </w:rPr>
        <w:t>八</w:t>
      </w:r>
      <w:r>
        <w:rPr>
          <w:b/>
          <w:bCs/>
          <w:spacing w:val="5"/>
          <w:sz w:val="31"/>
          <w:szCs w:val="31"/>
        </w:rPr>
        <w:t>、技术响应偏离表</w:t>
      </w:r>
    </w:p>
    <w:p w14:paraId="68AE6CE6">
      <w:pPr>
        <w:pStyle w:val="10"/>
        <w:spacing w:before="307" w:line="220" w:lineRule="auto"/>
        <w:ind w:left="126"/>
        <w:rPr>
          <w:sz w:val="24"/>
          <w:szCs w:val="24"/>
        </w:rPr>
      </w:pPr>
      <w:r>
        <w:rPr>
          <w:spacing w:val="-3"/>
          <w:sz w:val="24"/>
          <w:szCs w:val="24"/>
        </w:rPr>
        <w:t>项目名称：</w:t>
      </w:r>
    </w:p>
    <w:p w14:paraId="2B72834C">
      <w:pPr>
        <w:pStyle w:val="10"/>
        <w:spacing w:before="182" w:line="219" w:lineRule="auto"/>
        <w:ind w:left="126"/>
        <w:rPr>
          <w:sz w:val="24"/>
          <w:szCs w:val="24"/>
        </w:rPr>
      </w:pPr>
      <w:r>
        <w:rPr>
          <w:spacing w:val="-2"/>
          <w:sz w:val="24"/>
          <w:szCs w:val="24"/>
        </w:rPr>
        <w:t>项目编号/包号：</w:t>
      </w:r>
    </w:p>
    <w:p w14:paraId="52378F3B">
      <w:pPr>
        <w:spacing w:line="68" w:lineRule="exact"/>
      </w:pPr>
    </w:p>
    <w:tbl>
      <w:tblPr>
        <w:tblStyle w:val="43"/>
        <w:tblW w:w="85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8"/>
        <w:gridCol w:w="2176"/>
        <w:gridCol w:w="1555"/>
        <w:gridCol w:w="2045"/>
        <w:gridCol w:w="2049"/>
      </w:tblGrid>
      <w:tr w14:paraId="34260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698" w:type="dxa"/>
            <w:vAlign w:val="top"/>
          </w:tcPr>
          <w:p w14:paraId="1C714DEE">
            <w:pPr>
              <w:pStyle w:val="46"/>
              <w:spacing w:before="246" w:line="229" w:lineRule="auto"/>
              <w:ind w:left="143"/>
              <w:rPr>
                <w:sz w:val="20"/>
                <w:szCs w:val="20"/>
              </w:rPr>
            </w:pPr>
            <w:r>
              <w:rPr>
                <w:spacing w:val="5"/>
                <w:sz w:val="20"/>
                <w:szCs w:val="20"/>
              </w:rPr>
              <w:t>序号</w:t>
            </w:r>
          </w:p>
        </w:tc>
        <w:tc>
          <w:tcPr>
            <w:tcW w:w="2176" w:type="dxa"/>
            <w:vAlign w:val="top"/>
          </w:tcPr>
          <w:p w14:paraId="1DF72190">
            <w:pPr>
              <w:pStyle w:val="46"/>
              <w:spacing w:before="91" w:line="278" w:lineRule="auto"/>
              <w:ind w:left="671" w:right="145" w:hanging="521"/>
              <w:rPr>
                <w:sz w:val="20"/>
                <w:szCs w:val="20"/>
              </w:rPr>
            </w:pPr>
            <w:r>
              <w:rPr>
                <w:spacing w:val="8"/>
                <w:sz w:val="20"/>
                <w:szCs w:val="20"/>
              </w:rPr>
              <w:t>竞争性磋商文件技术</w:t>
            </w:r>
            <w:r>
              <w:rPr>
                <w:spacing w:val="7"/>
                <w:sz w:val="20"/>
                <w:szCs w:val="20"/>
              </w:rPr>
              <w:t>要求条款</w:t>
            </w:r>
          </w:p>
        </w:tc>
        <w:tc>
          <w:tcPr>
            <w:tcW w:w="1555" w:type="dxa"/>
            <w:vAlign w:val="top"/>
          </w:tcPr>
          <w:p w14:paraId="14B7F6B2">
            <w:pPr>
              <w:pStyle w:val="46"/>
              <w:spacing w:before="91" w:line="278" w:lineRule="auto"/>
              <w:ind w:left="360" w:right="147" w:hanging="197"/>
              <w:rPr>
                <w:sz w:val="20"/>
                <w:szCs w:val="20"/>
              </w:rPr>
            </w:pPr>
            <w:r>
              <w:rPr>
                <w:spacing w:val="6"/>
                <w:sz w:val="20"/>
                <w:szCs w:val="20"/>
              </w:rPr>
              <w:t>响应文件内容</w:t>
            </w:r>
            <w:r>
              <w:rPr>
                <w:spacing w:val="7"/>
                <w:sz w:val="20"/>
                <w:szCs w:val="20"/>
              </w:rPr>
              <w:t>对应简述</w:t>
            </w:r>
          </w:p>
        </w:tc>
        <w:tc>
          <w:tcPr>
            <w:tcW w:w="2045" w:type="dxa"/>
            <w:vAlign w:val="top"/>
          </w:tcPr>
          <w:p w14:paraId="038DB51A">
            <w:pPr>
              <w:pStyle w:val="46"/>
              <w:spacing w:before="247" w:line="228" w:lineRule="auto"/>
              <w:ind w:left="620"/>
              <w:rPr>
                <w:sz w:val="20"/>
                <w:szCs w:val="20"/>
              </w:rPr>
            </w:pPr>
            <w:r>
              <w:rPr>
                <w:spacing w:val="4"/>
                <w:sz w:val="20"/>
                <w:szCs w:val="20"/>
              </w:rPr>
              <w:t>响应情况</w:t>
            </w:r>
          </w:p>
        </w:tc>
        <w:tc>
          <w:tcPr>
            <w:tcW w:w="2049" w:type="dxa"/>
            <w:vAlign w:val="top"/>
          </w:tcPr>
          <w:p w14:paraId="618B3BF1">
            <w:pPr>
              <w:pStyle w:val="46"/>
              <w:spacing w:before="246" w:line="228" w:lineRule="auto"/>
              <w:ind w:left="294"/>
              <w:rPr>
                <w:sz w:val="20"/>
                <w:szCs w:val="20"/>
              </w:rPr>
            </w:pPr>
            <w:r>
              <w:rPr>
                <w:spacing w:val="8"/>
                <w:sz w:val="20"/>
                <w:szCs w:val="20"/>
              </w:rPr>
              <w:t>证明资料及索引</w:t>
            </w:r>
          </w:p>
        </w:tc>
      </w:tr>
      <w:tr w14:paraId="00EBD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698" w:type="dxa"/>
            <w:vAlign w:val="top"/>
          </w:tcPr>
          <w:p w14:paraId="0524D33B">
            <w:pPr>
              <w:pStyle w:val="46"/>
              <w:spacing w:before="243" w:line="270" w:lineRule="exact"/>
              <w:ind w:left="316"/>
              <w:rPr>
                <w:sz w:val="20"/>
                <w:szCs w:val="20"/>
              </w:rPr>
            </w:pPr>
            <w:r>
              <w:rPr>
                <w:position w:val="1"/>
                <w:sz w:val="20"/>
                <w:szCs w:val="20"/>
              </w:rPr>
              <w:t>1</w:t>
            </w:r>
          </w:p>
        </w:tc>
        <w:tc>
          <w:tcPr>
            <w:tcW w:w="2176" w:type="dxa"/>
            <w:vAlign w:val="top"/>
          </w:tcPr>
          <w:p w14:paraId="2E398B44">
            <w:pPr>
              <w:pStyle w:val="46"/>
              <w:spacing w:before="243" w:line="288" w:lineRule="exact"/>
              <w:ind w:left="669"/>
              <w:rPr>
                <w:sz w:val="20"/>
                <w:szCs w:val="20"/>
              </w:rPr>
            </w:pPr>
            <w:r>
              <w:rPr>
                <w:spacing w:val="4"/>
                <w:position w:val="1"/>
                <w:sz w:val="20"/>
                <w:szCs w:val="20"/>
              </w:rPr>
              <w:t>********</w:t>
            </w:r>
          </w:p>
        </w:tc>
        <w:tc>
          <w:tcPr>
            <w:tcW w:w="1555" w:type="dxa"/>
            <w:vAlign w:val="top"/>
          </w:tcPr>
          <w:p w14:paraId="3C7D0213">
            <w:pPr>
              <w:pStyle w:val="46"/>
              <w:spacing w:before="243" w:line="288" w:lineRule="exact"/>
              <w:ind w:left="466"/>
              <w:rPr>
                <w:sz w:val="20"/>
                <w:szCs w:val="20"/>
              </w:rPr>
            </w:pPr>
            <w:r>
              <w:rPr>
                <w:spacing w:val="3"/>
                <w:position w:val="1"/>
                <w:sz w:val="20"/>
                <w:szCs w:val="20"/>
              </w:rPr>
              <w:t>******</w:t>
            </w:r>
          </w:p>
        </w:tc>
        <w:tc>
          <w:tcPr>
            <w:tcW w:w="2045" w:type="dxa"/>
            <w:vAlign w:val="top"/>
          </w:tcPr>
          <w:p w14:paraId="29E3A579">
            <w:pPr>
              <w:pStyle w:val="46"/>
              <w:spacing w:before="86" w:line="278" w:lineRule="auto"/>
              <w:ind w:left="927" w:right="181" w:hanging="727"/>
              <w:rPr>
                <w:sz w:val="20"/>
                <w:szCs w:val="20"/>
              </w:rPr>
            </w:pPr>
            <w:r>
              <w:rPr>
                <w:spacing w:val="6"/>
                <w:sz w:val="20"/>
                <w:szCs w:val="20"/>
              </w:rPr>
              <w:t>响应/正偏离/负偏</w:t>
            </w:r>
            <w:r>
              <w:rPr>
                <w:sz w:val="20"/>
                <w:szCs w:val="20"/>
              </w:rPr>
              <w:t>离</w:t>
            </w:r>
          </w:p>
        </w:tc>
        <w:tc>
          <w:tcPr>
            <w:tcW w:w="2049" w:type="dxa"/>
            <w:vAlign w:val="top"/>
          </w:tcPr>
          <w:p w14:paraId="3FDC168C">
            <w:pPr>
              <w:rPr>
                <w:rFonts w:ascii="Arial"/>
                <w:sz w:val="21"/>
              </w:rPr>
            </w:pPr>
          </w:p>
        </w:tc>
      </w:tr>
      <w:tr w14:paraId="3971C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698" w:type="dxa"/>
            <w:vAlign w:val="top"/>
          </w:tcPr>
          <w:p w14:paraId="7C2D8D3B">
            <w:pPr>
              <w:pStyle w:val="46"/>
              <w:spacing w:before="245" w:line="270" w:lineRule="exact"/>
              <w:ind w:left="303"/>
              <w:rPr>
                <w:sz w:val="20"/>
                <w:szCs w:val="20"/>
              </w:rPr>
            </w:pPr>
            <w:r>
              <w:rPr>
                <w:position w:val="1"/>
                <w:sz w:val="20"/>
                <w:szCs w:val="20"/>
              </w:rPr>
              <w:t>2</w:t>
            </w:r>
          </w:p>
        </w:tc>
        <w:tc>
          <w:tcPr>
            <w:tcW w:w="2176" w:type="dxa"/>
            <w:vAlign w:val="top"/>
          </w:tcPr>
          <w:p w14:paraId="34D407D9">
            <w:pPr>
              <w:pStyle w:val="46"/>
              <w:spacing w:before="245" w:line="288" w:lineRule="exact"/>
              <w:ind w:left="669"/>
              <w:rPr>
                <w:sz w:val="20"/>
                <w:szCs w:val="20"/>
              </w:rPr>
            </w:pPr>
            <w:r>
              <w:rPr>
                <w:spacing w:val="4"/>
                <w:position w:val="1"/>
                <w:sz w:val="20"/>
                <w:szCs w:val="20"/>
              </w:rPr>
              <w:t>********</w:t>
            </w:r>
          </w:p>
        </w:tc>
        <w:tc>
          <w:tcPr>
            <w:tcW w:w="1555" w:type="dxa"/>
            <w:vAlign w:val="top"/>
          </w:tcPr>
          <w:p w14:paraId="628F4BF7">
            <w:pPr>
              <w:pStyle w:val="46"/>
              <w:spacing w:before="245" w:line="288" w:lineRule="exact"/>
              <w:ind w:left="466"/>
              <w:rPr>
                <w:sz w:val="20"/>
                <w:szCs w:val="20"/>
              </w:rPr>
            </w:pPr>
            <w:r>
              <w:rPr>
                <w:spacing w:val="3"/>
                <w:position w:val="1"/>
                <w:sz w:val="20"/>
                <w:szCs w:val="20"/>
              </w:rPr>
              <w:t>******</w:t>
            </w:r>
          </w:p>
        </w:tc>
        <w:tc>
          <w:tcPr>
            <w:tcW w:w="2045" w:type="dxa"/>
            <w:vAlign w:val="top"/>
          </w:tcPr>
          <w:p w14:paraId="7097CEA6">
            <w:pPr>
              <w:pStyle w:val="46"/>
              <w:spacing w:before="88" w:line="277" w:lineRule="auto"/>
              <w:ind w:left="927" w:right="181" w:hanging="727"/>
              <w:rPr>
                <w:sz w:val="20"/>
                <w:szCs w:val="20"/>
              </w:rPr>
            </w:pPr>
            <w:r>
              <w:rPr>
                <w:spacing w:val="6"/>
                <w:sz w:val="20"/>
                <w:szCs w:val="20"/>
              </w:rPr>
              <w:t>响应/正偏离/负偏</w:t>
            </w:r>
            <w:r>
              <w:rPr>
                <w:sz w:val="20"/>
                <w:szCs w:val="20"/>
              </w:rPr>
              <w:t>离</w:t>
            </w:r>
          </w:p>
        </w:tc>
        <w:tc>
          <w:tcPr>
            <w:tcW w:w="2049" w:type="dxa"/>
            <w:vAlign w:val="top"/>
          </w:tcPr>
          <w:p w14:paraId="1AA188F3">
            <w:pPr>
              <w:rPr>
                <w:rFonts w:ascii="Arial"/>
                <w:sz w:val="21"/>
              </w:rPr>
            </w:pPr>
          </w:p>
        </w:tc>
      </w:tr>
      <w:tr w14:paraId="65B53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8" w:type="dxa"/>
            <w:vAlign w:val="top"/>
          </w:tcPr>
          <w:p w14:paraId="7A33DD1C">
            <w:pPr>
              <w:pStyle w:val="46"/>
              <w:spacing w:before="210" w:line="269" w:lineRule="exact"/>
              <w:ind w:left="304"/>
              <w:rPr>
                <w:sz w:val="20"/>
                <w:szCs w:val="20"/>
              </w:rPr>
            </w:pPr>
            <w:r>
              <w:rPr>
                <w:position w:val="1"/>
                <w:sz w:val="20"/>
                <w:szCs w:val="20"/>
              </w:rPr>
              <w:t>3</w:t>
            </w:r>
          </w:p>
        </w:tc>
        <w:tc>
          <w:tcPr>
            <w:tcW w:w="2176" w:type="dxa"/>
            <w:vAlign w:val="top"/>
          </w:tcPr>
          <w:p w14:paraId="4C97B0E0">
            <w:pPr>
              <w:pStyle w:val="46"/>
              <w:spacing w:before="210" w:line="288" w:lineRule="exact"/>
              <w:ind w:left="669"/>
              <w:rPr>
                <w:sz w:val="20"/>
                <w:szCs w:val="20"/>
              </w:rPr>
            </w:pPr>
            <w:r>
              <w:rPr>
                <w:spacing w:val="4"/>
                <w:position w:val="1"/>
                <w:sz w:val="20"/>
                <w:szCs w:val="20"/>
              </w:rPr>
              <w:t>********</w:t>
            </w:r>
          </w:p>
        </w:tc>
        <w:tc>
          <w:tcPr>
            <w:tcW w:w="1555" w:type="dxa"/>
            <w:vAlign w:val="top"/>
          </w:tcPr>
          <w:p w14:paraId="25998EEF">
            <w:pPr>
              <w:pStyle w:val="46"/>
              <w:spacing w:before="210" w:line="288" w:lineRule="exact"/>
              <w:ind w:left="466"/>
              <w:rPr>
                <w:sz w:val="20"/>
                <w:szCs w:val="20"/>
              </w:rPr>
            </w:pPr>
            <w:r>
              <w:rPr>
                <w:spacing w:val="3"/>
                <w:position w:val="1"/>
                <w:sz w:val="20"/>
                <w:szCs w:val="20"/>
              </w:rPr>
              <w:t>******</w:t>
            </w:r>
          </w:p>
        </w:tc>
        <w:tc>
          <w:tcPr>
            <w:tcW w:w="2045" w:type="dxa"/>
            <w:vAlign w:val="top"/>
          </w:tcPr>
          <w:p w14:paraId="2166DE4D">
            <w:pPr>
              <w:pStyle w:val="46"/>
              <w:spacing w:before="54" w:line="260" w:lineRule="auto"/>
              <w:ind w:left="927" w:right="181" w:hanging="727"/>
              <w:rPr>
                <w:sz w:val="20"/>
                <w:szCs w:val="20"/>
              </w:rPr>
            </w:pPr>
            <w:r>
              <w:rPr>
                <w:spacing w:val="6"/>
                <w:sz w:val="20"/>
                <w:szCs w:val="20"/>
              </w:rPr>
              <w:t>响应/正偏离/负偏</w:t>
            </w:r>
            <w:r>
              <w:rPr>
                <w:sz w:val="20"/>
                <w:szCs w:val="20"/>
              </w:rPr>
              <w:t>离</w:t>
            </w:r>
          </w:p>
        </w:tc>
        <w:tc>
          <w:tcPr>
            <w:tcW w:w="2049" w:type="dxa"/>
            <w:vAlign w:val="top"/>
          </w:tcPr>
          <w:p w14:paraId="1781C22A">
            <w:pPr>
              <w:rPr>
                <w:rFonts w:ascii="Arial"/>
                <w:sz w:val="21"/>
              </w:rPr>
            </w:pPr>
          </w:p>
        </w:tc>
      </w:tr>
      <w:tr w14:paraId="23991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98" w:type="dxa"/>
            <w:vAlign w:val="top"/>
          </w:tcPr>
          <w:p w14:paraId="70528D55">
            <w:pPr>
              <w:rPr>
                <w:rFonts w:ascii="Arial"/>
                <w:sz w:val="21"/>
              </w:rPr>
            </w:pPr>
          </w:p>
        </w:tc>
        <w:tc>
          <w:tcPr>
            <w:tcW w:w="2176" w:type="dxa"/>
            <w:vAlign w:val="top"/>
          </w:tcPr>
          <w:p w14:paraId="2422125B">
            <w:pPr>
              <w:rPr>
                <w:rFonts w:ascii="Arial"/>
                <w:sz w:val="21"/>
              </w:rPr>
            </w:pPr>
          </w:p>
        </w:tc>
        <w:tc>
          <w:tcPr>
            <w:tcW w:w="1555" w:type="dxa"/>
            <w:vAlign w:val="top"/>
          </w:tcPr>
          <w:p w14:paraId="2E4F012A">
            <w:pPr>
              <w:rPr>
                <w:rFonts w:ascii="Arial"/>
                <w:sz w:val="21"/>
              </w:rPr>
            </w:pPr>
          </w:p>
        </w:tc>
        <w:tc>
          <w:tcPr>
            <w:tcW w:w="2045" w:type="dxa"/>
            <w:vAlign w:val="top"/>
          </w:tcPr>
          <w:p w14:paraId="49872BC4">
            <w:pPr>
              <w:rPr>
                <w:rFonts w:ascii="Arial"/>
                <w:sz w:val="21"/>
              </w:rPr>
            </w:pPr>
          </w:p>
        </w:tc>
        <w:tc>
          <w:tcPr>
            <w:tcW w:w="2049" w:type="dxa"/>
            <w:vAlign w:val="top"/>
          </w:tcPr>
          <w:p w14:paraId="43610EC7">
            <w:pPr>
              <w:rPr>
                <w:rFonts w:ascii="Arial"/>
                <w:sz w:val="21"/>
              </w:rPr>
            </w:pPr>
          </w:p>
        </w:tc>
      </w:tr>
      <w:tr w14:paraId="63FD0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98" w:type="dxa"/>
            <w:vAlign w:val="top"/>
          </w:tcPr>
          <w:p w14:paraId="0EC1C4E5">
            <w:pPr>
              <w:rPr>
                <w:rFonts w:ascii="Arial"/>
                <w:sz w:val="21"/>
              </w:rPr>
            </w:pPr>
          </w:p>
        </w:tc>
        <w:tc>
          <w:tcPr>
            <w:tcW w:w="2176" w:type="dxa"/>
            <w:vAlign w:val="top"/>
          </w:tcPr>
          <w:p w14:paraId="67B1E603">
            <w:pPr>
              <w:rPr>
                <w:rFonts w:ascii="Arial"/>
                <w:sz w:val="21"/>
              </w:rPr>
            </w:pPr>
          </w:p>
        </w:tc>
        <w:tc>
          <w:tcPr>
            <w:tcW w:w="1555" w:type="dxa"/>
            <w:vAlign w:val="top"/>
          </w:tcPr>
          <w:p w14:paraId="2617511D">
            <w:pPr>
              <w:rPr>
                <w:rFonts w:ascii="Arial"/>
                <w:sz w:val="21"/>
              </w:rPr>
            </w:pPr>
          </w:p>
        </w:tc>
        <w:tc>
          <w:tcPr>
            <w:tcW w:w="2045" w:type="dxa"/>
            <w:vAlign w:val="top"/>
          </w:tcPr>
          <w:p w14:paraId="2D2D0E9D">
            <w:pPr>
              <w:rPr>
                <w:rFonts w:ascii="Arial"/>
                <w:sz w:val="21"/>
              </w:rPr>
            </w:pPr>
          </w:p>
        </w:tc>
        <w:tc>
          <w:tcPr>
            <w:tcW w:w="2049" w:type="dxa"/>
            <w:vAlign w:val="top"/>
          </w:tcPr>
          <w:p w14:paraId="013EEFF2">
            <w:pPr>
              <w:rPr>
                <w:rFonts w:ascii="Arial"/>
                <w:sz w:val="21"/>
              </w:rPr>
            </w:pPr>
          </w:p>
        </w:tc>
      </w:tr>
      <w:tr w14:paraId="30957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98" w:type="dxa"/>
            <w:vAlign w:val="top"/>
          </w:tcPr>
          <w:p w14:paraId="6F822FF0">
            <w:pPr>
              <w:rPr>
                <w:rFonts w:ascii="Arial"/>
                <w:sz w:val="21"/>
              </w:rPr>
            </w:pPr>
          </w:p>
        </w:tc>
        <w:tc>
          <w:tcPr>
            <w:tcW w:w="2176" w:type="dxa"/>
            <w:vAlign w:val="top"/>
          </w:tcPr>
          <w:p w14:paraId="650C517E">
            <w:pPr>
              <w:rPr>
                <w:rFonts w:ascii="Arial"/>
                <w:sz w:val="21"/>
              </w:rPr>
            </w:pPr>
          </w:p>
        </w:tc>
        <w:tc>
          <w:tcPr>
            <w:tcW w:w="1555" w:type="dxa"/>
            <w:vAlign w:val="top"/>
          </w:tcPr>
          <w:p w14:paraId="72D0751B">
            <w:pPr>
              <w:rPr>
                <w:rFonts w:ascii="Arial"/>
                <w:sz w:val="21"/>
              </w:rPr>
            </w:pPr>
          </w:p>
        </w:tc>
        <w:tc>
          <w:tcPr>
            <w:tcW w:w="2045" w:type="dxa"/>
            <w:vAlign w:val="top"/>
          </w:tcPr>
          <w:p w14:paraId="4EA22ED0">
            <w:pPr>
              <w:rPr>
                <w:rFonts w:ascii="Arial"/>
                <w:sz w:val="21"/>
              </w:rPr>
            </w:pPr>
          </w:p>
        </w:tc>
        <w:tc>
          <w:tcPr>
            <w:tcW w:w="2049" w:type="dxa"/>
            <w:vAlign w:val="top"/>
          </w:tcPr>
          <w:p w14:paraId="349CB6EF">
            <w:pPr>
              <w:rPr>
                <w:rFonts w:ascii="Arial"/>
                <w:sz w:val="21"/>
              </w:rPr>
            </w:pPr>
          </w:p>
        </w:tc>
      </w:tr>
      <w:tr w14:paraId="1A3BD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98" w:type="dxa"/>
            <w:vAlign w:val="top"/>
          </w:tcPr>
          <w:p w14:paraId="657D67A9">
            <w:pPr>
              <w:rPr>
                <w:rFonts w:ascii="Arial"/>
                <w:sz w:val="21"/>
              </w:rPr>
            </w:pPr>
          </w:p>
        </w:tc>
        <w:tc>
          <w:tcPr>
            <w:tcW w:w="2176" w:type="dxa"/>
            <w:vAlign w:val="top"/>
          </w:tcPr>
          <w:p w14:paraId="4DDA6269">
            <w:pPr>
              <w:rPr>
                <w:rFonts w:ascii="Arial"/>
                <w:sz w:val="21"/>
              </w:rPr>
            </w:pPr>
          </w:p>
        </w:tc>
        <w:tc>
          <w:tcPr>
            <w:tcW w:w="1555" w:type="dxa"/>
            <w:vAlign w:val="top"/>
          </w:tcPr>
          <w:p w14:paraId="168492B5">
            <w:pPr>
              <w:rPr>
                <w:rFonts w:ascii="Arial"/>
                <w:sz w:val="21"/>
              </w:rPr>
            </w:pPr>
          </w:p>
        </w:tc>
        <w:tc>
          <w:tcPr>
            <w:tcW w:w="2045" w:type="dxa"/>
            <w:vAlign w:val="top"/>
          </w:tcPr>
          <w:p w14:paraId="4C948AE9">
            <w:pPr>
              <w:rPr>
                <w:rFonts w:ascii="Arial"/>
                <w:sz w:val="21"/>
              </w:rPr>
            </w:pPr>
          </w:p>
        </w:tc>
        <w:tc>
          <w:tcPr>
            <w:tcW w:w="2049" w:type="dxa"/>
            <w:vAlign w:val="top"/>
          </w:tcPr>
          <w:p w14:paraId="30C6C20D">
            <w:pPr>
              <w:rPr>
                <w:rFonts w:ascii="Arial"/>
                <w:sz w:val="21"/>
              </w:rPr>
            </w:pPr>
          </w:p>
        </w:tc>
      </w:tr>
      <w:tr w14:paraId="29548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698" w:type="dxa"/>
            <w:vAlign w:val="top"/>
          </w:tcPr>
          <w:p w14:paraId="12A9C34D">
            <w:pPr>
              <w:pStyle w:val="46"/>
              <w:spacing w:before="135" w:line="324" w:lineRule="exact"/>
              <w:ind w:left="157"/>
              <w:rPr>
                <w:sz w:val="20"/>
                <w:szCs w:val="20"/>
              </w:rPr>
            </w:pPr>
            <w:r>
              <w:rPr>
                <w:spacing w:val="-2"/>
                <w:position w:val="2"/>
                <w:sz w:val="20"/>
                <w:szCs w:val="20"/>
              </w:rPr>
              <w:t>……</w:t>
            </w:r>
          </w:p>
        </w:tc>
        <w:tc>
          <w:tcPr>
            <w:tcW w:w="2176" w:type="dxa"/>
            <w:vAlign w:val="top"/>
          </w:tcPr>
          <w:p w14:paraId="65D3505E">
            <w:pPr>
              <w:pStyle w:val="46"/>
              <w:spacing w:before="135" w:line="324" w:lineRule="exact"/>
              <w:ind w:left="683"/>
              <w:rPr>
                <w:sz w:val="20"/>
                <w:szCs w:val="20"/>
              </w:rPr>
            </w:pPr>
            <w:r>
              <w:rPr>
                <w:spacing w:val="4"/>
                <w:position w:val="2"/>
                <w:sz w:val="20"/>
                <w:szCs w:val="20"/>
              </w:rPr>
              <w:t>…………</w:t>
            </w:r>
          </w:p>
        </w:tc>
        <w:tc>
          <w:tcPr>
            <w:tcW w:w="1555" w:type="dxa"/>
            <w:vAlign w:val="top"/>
          </w:tcPr>
          <w:p w14:paraId="15B13527">
            <w:pPr>
              <w:pStyle w:val="46"/>
              <w:spacing w:before="135" w:line="324" w:lineRule="exact"/>
              <w:ind w:left="166"/>
              <w:rPr>
                <w:sz w:val="20"/>
                <w:szCs w:val="20"/>
              </w:rPr>
            </w:pPr>
            <w:r>
              <w:rPr>
                <w:spacing w:val="6"/>
                <w:position w:val="2"/>
                <w:sz w:val="20"/>
                <w:szCs w:val="20"/>
              </w:rPr>
              <w:t>………………</w:t>
            </w:r>
          </w:p>
        </w:tc>
        <w:tc>
          <w:tcPr>
            <w:tcW w:w="2045" w:type="dxa"/>
            <w:vAlign w:val="top"/>
          </w:tcPr>
          <w:p w14:paraId="2224CDAC">
            <w:pPr>
              <w:pStyle w:val="46"/>
              <w:spacing w:before="135" w:line="324" w:lineRule="exact"/>
              <w:ind w:left="622"/>
              <w:rPr>
                <w:sz w:val="20"/>
                <w:szCs w:val="20"/>
              </w:rPr>
            </w:pPr>
            <w:r>
              <w:rPr>
                <w:spacing w:val="4"/>
                <w:position w:val="2"/>
                <w:sz w:val="20"/>
                <w:szCs w:val="20"/>
              </w:rPr>
              <w:t>…………</w:t>
            </w:r>
          </w:p>
        </w:tc>
        <w:tc>
          <w:tcPr>
            <w:tcW w:w="2049" w:type="dxa"/>
            <w:vAlign w:val="top"/>
          </w:tcPr>
          <w:p w14:paraId="1B44D504">
            <w:pPr>
              <w:rPr>
                <w:rFonts w:ascii="Arial"/>
                <w:sz w:val="21"/>
              </w:rPr>
            </w:pPr>
          </w:p>
        </w:tc>
      </w:tr>
    </w:tbl>
    <w:p w14:paraId="0EEE3B9F">
      <w:pPr>
        <w:spacing w:line="250" w:lineRule="auto"/>
        <w:rPr>
          <w:rFonts w:ascii="Arial"/>
          <w:sz w:val="21"/>
        </w:rPr>
      </w:pPr>
    </w:p>
    <w:p w14:paraId="36B8BED7">
      <w:pPr>
        <w:spacing w:line="250" w:lineRule="auto"/>
        <w:rPr>
          <w:rFonts w:ascii="Arial"/>
          <w:sz w:val="21"/>
        </w:rPr>
      </w:pPr>
    </w:p>
    <w:p w14:paraId="3930CFCB">
      <w:pPr>
        <w:pStyle w:val="10"/>
        <w:spacing w:before="78" w:line="219" w:lineRule="auto"/>
        <w:ind w:left="4684"/>
        <w:rPr>
          <w:sz w:val="24"/>
          <w:szCs w:val="24"/>
        </w:rPr>
      </w:pPr>
      <w:r>
        <w:rPr>
          <w:spacing w:val="-2"/>
          <w:sz w:val="24"/>
          <w:szCs w:val="24"/>
        </w:rPr>
        <w:t>供应商名称（公章</w:t>
      </w:r>
      <w:r>
        <w:rPr>
          <w:spacing w:val="2"/>
          <w:sz w:val="24"/>
          <w:szCs w:val="24"/>
        </w:rPr>
        <w:t>）：</w:t>
      </w:r>
    </w:p>
    <w:p w14:paraId="2CBC76D1">
      <w:pPr>
        <w:pStyle w:val="10"/>
        <w:spacing w:before="184" w:line="219" w:lineRule="auto"/>
        <w:ind w:left="4723"/>
        <w:rPr>
          <w:sz w:val="24"/>
          <w:szCs w:val="24"/>
        </w:rPr>
      </w:pPr>
      <w:r>
        <w:rPr>
          <w:spacing w:val="-13"/>
          <w:sz w:val="24"/>
          <w:szCs w:val="24"/>
        </w:rPr>
        <w:t>日期：年月日</w:t>
      </w:r>
    </w:p>
    <w:p w14:paraId="50D8A67D">
      <w:pPr>
        <w:spacing w:line="298" w:lineRule="auto"/>
        <w:rPr>
          <w:rFonts w:ascii="Arial"/>
          <w:sz w:val="21"/>
        </w:rPr>
      </w:pPr>
    </w:p>
    <w:p w14:paraId="57C471E0">
      <w:pPr>
        <w:spacing w:line="299" w:lineRule="auto"/>
        <w:rPr>
          <w:rFonts w:ascii="Arial"/>
          <w:sz w:val="21"/>
        </w:rPr>
      </w:pPr>
    </w:p>
    <w:p w14:paraId="023E9C01">
      <w:pPr>
        <w:pStyle w:val="10"/>
        <w:spacing w:before="66" w:line="433" w:lineRule="auto"/>
        <w:ind w:left="143" w:right="40" w:firstLine="397"/>
        <w:rPr>
          <w:sz w:val="20"/>
          <w:szCs w:val="20"/>
        </w:rPr>
      </w:pPr>
      <w:r>
        <w:rPr>
          <w:spacing w:val="7"/>
          <w:sz w:val="20"/>
          <w:szCs w:val="20"/>
        </w:rPr>
        <w:t>注：对竞争性磋商文件中的所有技术要求，除本表所列明的所有偏离外，均视作供应商</w:t>
      </w:r>
      <w:r>
        <w:rPr>
          <w:spacing w:val="3"/>
          <w:sz w:val="20"/>
          <w:szCs w:val="20"/>
        </w:rPr>
        <w:t>已对之理解和响应。此表中若无任何文字说明，内容为空白的，</w:t>
      </w:r>
      <w:r>
        <w:rPr>
          <w:b/>
          <w:bCs/>
          <w:spacing w:val="3"/>
          <w:sz w:val="20"/>
          <w:szCs w:val="20"/>
        </w:rPr>
        <w:t>视为完全满足磋</w:t>
      </w:r>
      <w:r>
        <w:rPr>
          <w:b/>
          <w:bCs/>
          <w:spacing w:val="2"/>
          <w:sz w:val="20"/>
          <w:szCs w:val="20"/>
        </w:rPr>
        <w:t>商文件要求</w:t>
      </w:r>
      <w:r>
        <w:rPr>
          <w:spacing w:val="2"/>
          <w:sz w:val="20"/>
          <w:szCs w:val="20"/>
        </w:rPr>
        <w:t>。</w:t>
      </w:r>
    </w:p>
    <w:p w14:paraId="38663D6B">
      <w:pPr>
        <w:spacing w:line="273" w:lineRule="auto"/>
        <w:rPr>
          <w:rFonts w:hint="eastAsia" w:ascii="Arial" w:eastAsia="宋体"/>
          <w:sz w:val="21"/>
          <w:lang w:eastAsia="zh-CN"/>
        </w:rPr>
      </w:pPr>
      <w:r>
        <w:rPr>
          <w:rFonts w:hint="eastAsia" w:ascii="Arial" w:eastAsia="宋体"/>
          <w:sz w:val="21"/>
          <w:lang w:eastAsia="zh-CN"/>
        </w:rPr>
        <w:br w:type="page"/>
      </w:r>
    </w:p>
    <w:p w14:paraId="265218CE">
      <w:pPr>
        <w:pStyle w:val="10"/>
        <w:spacing w:before="101" w:line="225" w:lineRule="auto"/>
        <w:ind w:left="3217"/>
        <w:outlineLvl w:val="1"/>
        <w:rPr>
          <w:sz w:val="31"/>
          <w:szCs w:val="31"/>
        </w:rPr>
      </w:pPr>
      <w:r>
        <w:rPr>
          <w:rFonts w:hint="eastAsia"/>
          <w:b/>
          <w:bCs/>
          <w:spacing w:val="4"/>
          <w:sz w:val="31"/>
          <w:szCs w:val="31"/>
          <w:lang w:val="en-US" w:eastAsia="zh-CN"/>
        </w:rPr>
        <w:t>九</w:t>
      </w:r>
      <w:r>
        <w:rPr>
          <w:b/>
          <w:bCs/>
          <w:spacing w:val="4"/>
          <w:sz w:val="31"/>
          <w:szCs w:val="31"/>
        </w:rPr>
        <w:t>、技术方案</w:t>
      </w:r>
    </w:p>
    <w:p w14:paraId="121CC153">
      <w:pPr>
        <w:pStyle w:val="10"/>
        <w:spacing w:before="306" w:line="362" w:lineRule="auto"/>
        <w:ind w:left="23" w:firstLine="480"/>
        <w:rPr>
          <w:sz w:val="24"/>
          <w:szCs w:val="24"/>
        </w:rPr>
      </w:pPr>
      <w:r>
        <w:rPr>
          <w:spacing w:val="-5"/>
          <w:sz w:val="24"/>
          <w:szCs w:val="24"/>
        </w:rPr>
        <w:t>供应商应按照竞争性磋商文件的要求，提供详细的</w:t>
      </w:r>
      <w:r>
        <w:rPr>
          <w:rFonts w:hint="eastAsia"/>
          <w:spacing w:val="-5"/>
          <w:sz w:val="24"/>
          <w:szCs w:val="24"/>
          <w:lang w:val="en-US" w:eastAsia="zh-CN"/>
        </w:rPr>
        <w:t>项目</w:t>
      </w:r>
      <w:r>
        <w:rPr>
          <w:spacing w:val="-5"/>
          <w:sz w:val="24"/>
          <w:szCs w:val="24"/>
        </w:rPr>
        <w:t>实施</w:t>
      </w:r>
      <w:r>
        <w:rPr>
          <w:rFonts w:hint="eastAsia"/>
          <w:spacing w:val="-5"/>
          <w:sz w:val="24"/>
          <w:szCs w:val="24"/>
          <w:lang w:val="en-US" w:eastAsia="zh-CN"/>
        </w:rPr>
        <w:t>方案</w:t>
      </w:r>
      <w:r>
        <w:rPr>
          <w:spacing w:val="-5"/>
          <w:sz w:val="24"/>
          <w:szCs w:val="24"/>
        </w:rPr>
        <w:t>及相关服务方案，</w:t>
      </w:r>
      <w:r>
        <w:rPr>
          <w:spacing w:val="-1"/>
          <w:sz w:val="24"/>
          <w:szCs w:val="24"/>
        </w:rPr>
        <w:t>包括文字描述或图表显示。格式自拟。</w:t>
      </w:r>
    </w:p>
    <w:p w14:paraId="4B97CB2F">
      <w:pPr>
        <w:pStyle w:val="10"/>
        <w:spacing w:before="101" w:line="225" w:lineRule="auto"/>
        <w:outlineLvl w:val="1"/>
        <w:rPr>
          <w:rFonts w:hint="eastAsia" w:ascii="宋体" w:hAnsi="宋体" w:eastAsia="宋体" w:cs="Times New Roman"/>
          <w:b/>
          <w:bCs/>
          <w:spacing w:val="4"/>
          <w:sz w:val="31"/>
          <w:szCs w:val="31"/>
          <w:lang w:val="en-US" w:eastAsia="zh-CN"/>
        </w:rPr>
      </w:pPr>
      <w:r>
        <w:rPr>
          <w:rFonts w:hint="eastAsia" w:ascii="宋体" w:hAnsi="宋体" w:eastAsia="宋体" w:cs="Times New Roman"/>
          <w:b/>
          <w:bCs/>
          <w:spacing w:val="4"/>
          <w:sz w:val="31"/>
          <w:szCs w:val="31"/>
          <w:lang w:val="en-US" w:eastAsia="zh-CN"/>
        </w:rPr>
        <w:br w:type="page"/>
      </w:r>
      <w:r>
        <w:rPr>
          <w:rFonts w:hint="eastAsia" w:ascii="宋体" w:hAnsi="宋体" w:eastAsia="宋体" w:cs="Times New Roman"/>
          <w:b/>
          <w:bCs/>
          <w:spacing w:val="4"/>
          <w:sz w:val="31"/>
          <w:szCs w:val="31"/>
          <w:lang w:val="en-US" w:eastAsia="zh-CN"/>
        </w:rPr>
        <w:t>十、供应商认为需要提供的其它商务、技术资料和说明。</w:t>
      </w:r>
    </w:p>
    <w:p w14:paraId="731EDECC">
      <w:pPr>
        <w:rPr>
          <w:rFonts w:hint="default" w:ascii="Times New Roman" w:hAnsi="Times New Roman" w:cs="Times New Roman" w:eastAsiaTheme="minorEastAsia"/>
          <w:sz w:val="28"/>
          <w:szCs w:val="28"/>
          <w:u w:val="single"/>
        </w:rPr>
      </w:pPr>
    </w:p>
    <w:sectPr>
      <w:headerReference r:id="rId3" w:type="default"/>
      <w:footerReference r:id="rId4" w:type="default"/>
      <w:pgSz w:w="11906" w:h="16838"/>
      <w:pgMar w:top="1383" w:right="1417" w:bottom="1383"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0" w:csb1="00000000"/>
  </w:font>
  <w:font w:name="MS Gothic">
    <w:panose1 w:val="020B0609070205080204"/>
    <w:charset w:val="86"/>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1F683">
    <w:pPr>
      <w:spacing w:before="55" w:after="2" w:line="180" w:lineRule="auto"/>
      <w:rPr>
        <w:rFonts w:ascii="宋体" w:hAnsi="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DFB7B">
                          <w:pPr>
                            <w:pStyle w:val="16"/>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19FDFB7B">
                    <w:pPr>
                      <w:pStyle w:val="16"/>
                    </w:pPr>
                    <w:r>
                      <w:fldChar w:fldCharType="begin"/>
                    </w:r>
                    <w:r>
                      <w:instrText xml:space="preserve"> PAGE  \* MERGEFORMAT </w:instrText>
                    </w:r>
                    <w:r>
                      <w:fldChar w:fldCharType="separate"/>
                    </w:r>
                    <w:r>
                      <w:t>98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EF2C9">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E6764"/>
    <w:multiLevelType w:val="singleLevel"/>
    <w:tmpl w:val="80EE6764"/>
    <w:lvl w:ilvl="0" w:tentative="0">
      <w:start w:val="5"/>
      <w:numFmt w:val="chineseCounting"/>
      <w:suff w:val="nothing"/>
      <w:lvlText w:val="%1、"/>
      <w:lvlJc w:val="left"/>
      <w:rPr>
        <w:rFonts w:hint="eastAsia"/>
      </w:rPr>
    </w:lvl>
  </w:abstractNum>
  <w:abstractNum w:abstractNumId="1">
    <w:nsid w:val="C577CC07"/>
    <w:multiLevelType w:val="singleLevel"/>
    <w:tmpl w:val="C577CC07"/>
    <w:lvl w:ilvl="0" w:tentative="0">
      <w:start w:val="1"/>
      <w:numFmt w:val="decimal"/>
      <w:suff w:val="nothing"/>
      <w:lvlText w:val="%1、"/>
      <w:lvlJc w:val="left"/>
    </w:lvl>
  </w:abstractNum>
  <w:abstractNum w:abstractNumId="2">
    <w:nsid w:val="F3D1BB6F"/>
    <w:multiLevelType w:val="singleLevel"/>
    <w:tmpl w:val="F3D1BB6F"/>
    <w:lvl w:ilvl="0" w:tentative="0">
      <w:start w:val="5"/>
      <w:numFmt w:val="chineseCounting"/>
      <w:suff w:val="nothing"/>
      <w:lvlText w:val="%1、"/>
      <w:lvlJc w:val="left"/>
      <w:rPr>
        <w:rFonts w:hint="eastAsia"/>
      </w:rPr>
    </w:lvl>
  </w:abstractNum>
  <w:abstractNum w:abstractNumId="3">
    <w:nsid w:val="F90EE9FF"/>
    <w:multiLevelType w:val="singleLevel"/>
    <w:tmpl w:val="F90EE9FF"/>
    <w:lvl w:ilvl="0" w:tentative="0">
      <w:start w:val="2"/>
      <w:numFmt w:val="decimal"/>
      <w:lvlText w:val="%1."/>
      <w:lvlJc w:val="left"/>
      <w:pPr>
        <w:tabs>
          <w:tab w:val="left" w:pos="312"/>
        </w:tabs>
      </w:pPr>
    </w:lvl>
  </w:abstractNum>
  <w:abstractNum w:abstractNumId="4">
    <w:nsid w:val="0DA5F0CB"/>
    <w:multiLevelType w:val="singleLevel"/>
    <w:tmpl w:val="0DA5F0CB"/>
    <w:lvl w:ilvl="0" w:tentative="0">
      <w:start w:val="1"/>
      <w:numFmt w:val="chineseCounting"/>
      <w:suff w:val="nothing"/>
      <w:lvlText w:val="（%1）"/>
      <w:lvlJc w:val="left"/>
      <w:rPr>
        <w:rFonts w:hint="eastAsia"/>
      </w:rPr>
    </w:lvl>
  </w:abstractNum>
  <w:abstractNum w:abstractNumId="5">
    <w:nsid w:val="731D0F9A"/>
    <w:multiLevelType w:val="singleLevel"/>
    <w:tmpl w:val="731D0F9A"/>
    <w:lvl w:ilvl="0" w:tentative="0">
      <w:start w:val="1"/>
      <w:numFmt w:val="chineseCounting"/>
      <w:suff w:val="nothing"/>
      <w:lvlText w:val="%1、"/>
      <w:lvlJc w:val="left"/>
      <w:pPr>
        <w:ind w:left="560" w:leftChars="0" w:firstLine="0" w:firstLineChars="0"/>
      </w:pPr>
      <w:rPr>
        <w:rFonts w:hint="eastAsia"/>
      </w:r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3MTMzMTJhZmI4ZmZjNjFjNTE3ZTRiYzk2YTcyMDYifQ=="/>
  </w:docVars>
  <w:rsids>
    <w:rsidRoot w:val="00854E9C"/>
    <w:rsid w:val="00032292"/>
    <w:rsid w:val="00057F12"/>
    <w:rsid w:val="00062498"/>
    <w:rsid w:val="000909BE"/>
    <w:rsid w:val="000B59CB"/>
    <w:rsid w:val="000E54D5"/>
    <w:rsid w:val="0011121D"/>
    <w:rsid w:val="00112679"/>
    <w:rsid w:val="001532B0"/>
    <w:rsid w:val="00154925"/>
    <w:rsid w:val="00177961"/>
    <w:rsid w:val="00197BC6"/>
    <w:rsid w:val="001D1D33"/>
    <w:rsid w:val="00224299"/>
    <w:rsid w:val="00250EA7"/>
    <w:rsid w:val="00262990"/>
    <w:rsid w:val="002713B7"/>
    <w:rsid w:val="00273618"/>
    <w:rsid w:val="00275BF7"/>
    <w:rsid w:val="002E0F98"/>
    <w:rsid w:val="0031728E"/>
    <w:rsid w:val="00362B38"/>
    <w:rsid w:val="00383285"/>
    <w:rsid w:val="003844B4"/>
    <w:rsid w:val="003938A0"/>
    <w:rsid w:val="003A4BA5"/>
    <w:rsid w:val="003C468C"/>
    <w:rsid w:val="003C4C92"/>
    <w:rsid w:val="003C6D20"/>
    <w:rsid w:val="003E1FC8"/>
    <w:rsid w:val="00401459"/>
    <w:rsid w:val="00405077"/>
    <w:rsid w:val="00413F03"/>
    <w:rsid w:val="004407EC"/>
    <w:rsid w:val="0045780B"/>
    <w:rsid w:val="004D1F53"/>
    <w:rsid w:val="004D2614"/>
    <w:rsid w:val="004F2A41"/>
    <w:rsid w:val="00504A84"/>
    <w:rsid w:val="00516638"/>
    <w:rsid w:val="00584F01"/>
    <w:rsid w:val="005B5F9D"/>
    <w:rsid w:val="005E21D5"/>
    <w:rsid w:val="005F02EC"/>
    <w:rsid w:val="0061192B"/>
    <w:rsid w:val="00624183"/>
    <w:rsid w:val="00646FA9"/>
    <w:rsid w:val="00657410"/>
    <w:rsid w:val="0069043F"/>
    <w:rsid w:val="006A41AB"/>
    <w:rsid w:val="006B63A6"/>
    <w:rsid w:val="006D3C0B"/>
    <w:rsid w:val="006E0FA3"/>
    <w:rsid w:val="00702368"/>
    <w:rsid w:val="00707821"/>
    <w:rsid w:val="00745A71"/>
    <w:rsid w:val="00770061"/>
    <w:rsid w:val="007A6510"/>
    <w:rsid w:val="007A6B02"/>
    <w:rsid w:val="007C0737"/>
    <w:rsid w:val="007D0998"/>
    <w:rsid w:val="00804270"/>
    <w:rsid w:val="008175E4"/>
    <w:rsid w:val="00822502"/>
    <w:rsid w:val="008412F9"/>
    <w:rsid w:val="00845FEC"/>
    <w:rsid w:val="00854E9C"/>
    <w:rsid w:val="00872F88"/>
    <w:rsid w:val="00880975"/>
    <w:rsid w:val="00895518"/>
    <w:rsid w:val="00895875"/>
    <w:rsid w:val="008A0DE7"/>
    <w:rsid w:val="008A5808"/>
    <w:rsid w:val="00902B13"/>
    <w:rsid w:val="00904793"/>
    <w:rsid w:val="009072EC"/>
    <w:rsid w:val="00915F5A"/>
    <w:rsid w:val="009561E2"/>
    <w:rsid w:val="0097332A"/>
    <w:rsid w:val="009817A6"/>
    <w:rsid w:val="00A40DD8"/>
    <w:rsid w:val="00A55ABB"/>
    <w:rsid w:val="00A67D04"/>
    <w:rsid w:val="00A87E1E"/>
    <w:rsid w:val="00A94916"/>
    <w:rsid w:val="00AA7853"/>
    <w:rsid w:val="00AB5ADF"/>
    <w:rsid w:val="00AD378B"/>
    <w:rsid w:val="00AF137F"/>
    <w:rsid w:val="00B03D57"/>
    <w:rsid w:val="00B22B8A"/>
    <w:rsid w:val="00B41DEE"/>
    <w:rsid w:val="00B65511"/>
    <w:rsid w:val="00B73AC8"/>
    <w:rsid w:val="00B866D6"/>
    <w:rsid w:val="00B9225C"/>
    <w:rsid w:val="00BA4488"/>
    <w:rsid w:val="00BE4837"/>
    <w:rsid w:val="00BF0B73"/>
    <w:rsid w:val="00C25585"/>
    <w:rsid w:val="00C65FE3"/>
    <w:rsid w:val="00C84624"/>
    <w:rsid w:val="00CD3305"/>
    <w:rsid w:val="00CF4054"/>
    <w:rsid w:val="00D067C2"/>
    <w:rsid w:val="00D314A1"/>
    <w:rsid w:val="00D72BB0"/>
    <w:rsid w:val="00D978A2"/>
    <w:rsid w:val="00E45036"/>
    <w:rsid w:val="00E53900"/>
    <w:rsid w:val="00E7731F"/>
    <w:rsid w:val="00E83497"/>
    <w:rsid w:val="00E94E37"/>
    <w:rsid w:val="00E9767C"/>
    <w:rsid w:val="00EB281E"/>
    <w:rsid w:val="00EE46F3"/>
    <w:rsid w:val="00EF1DF8"/>
    <w:rsid w:val="00EF2254"/>
    <w:rsid w:val="00EF7C5B"/>
    <w:rsid w:val="00F45C76"/>
    <w:rsid w:val="00F527BD"/>
    <w:rsid w:val="00F65ADD"/>
    <w:rsid w:val="00F70207"/>
    <w:rsid w:val="00F77DF6"/>
    <w:rsid w:val="00F8363F"/>
    <w:rsid w:val="00FC0460"/>
    <w:rsid w:val="00FC299D"/>
    <w:rsid w:val="018823E2"/>
    <w:rsid w:val="0197670B"/>
    <w:rsid w:val="01A544B3"/>
    <w:rsid w:val="01F93068"/>
    <w:rsid w:val="027D1601"/>
    <w:rsid w:val="027F0C8A"/>
    <w:rsid w:val="02975C2C"/>
    <w:rsid w:val="02B31439"/>
    <w:rsid w:val="02CF57C0"/>
    <w:rsid w:val="03070C64"/>
    <w:rsid w:val="0332621A"/>
    <w:rsid w:val="034F7FF4"/>
    <w:rsid w:val="03AD28E2"/>
    <w:rsid w:val="03B43AE2"/>
    <w:rsid w:val="03C31BA3"/>
    <w:rsid w:val="03CC65BF"/>
    <w:rsid w:val="040C0819"/>
    <w:rsid w:val="04126E2F"/>
    <w:rsid w:val="04520BEF"/>
    <w:rsid w:val="04A87A50"/>
    <w:rsid w:val="04C14DAD"/>
    <w:rsid w:val="04C307C7"/>
    <w:rsid w:val="04C53E4B"/>
    <w:rsid w:val="04CA6D21"/>
    <w:rsid w:val="04EE7963"/>
    <w:rsid w:val="05397915"/>
    <w:rsid w:val="05432019"/>
    <w:rsid w:val="055108BB"/>
    <w:rsid w:val="056D52E8"/>
    <w:rsid w:val="05A72BE0"/>
    <w:rsid w:val="05AF5AB7"/>
    <w:rsid w:val="05C70C5A"/>
    <w:rsid w:val="05EC37DD"/>
    <w:rsid w:val="05F257ED"/>
    <w:rsid w:val="06255A88"/>
    <w:rsid w:val="066421C7"/>
    <w:rsid w:val="066F1F5D"/>
    <w:rsid w:val="069C7C11"/>
    <w:rsid w:val="06CF0F7F"/>
    <w:rsid w:val="06DE5C00"/>
    <w:rsid w:val="07405339"/>
    <w:rsid w:val="075336DE"/>
    <w:rsid w:val="07671ACA"/>
    <w:rsid w:val="078C182C"/>
    <w:rsid w:val="07EA0E72"/>
    <w:rsid w:val="07FF02EE"/>
    <w:rsid w:val="08135A38"/>
    <w:rsid w:val="08404F36"/>
    <w:rsid w:val="086C1A35"/>
    <w:rsid w:val="08AC24CE"/>
    <w:rsid w:val="08DC7725"/>
    <w:rsid w:val="08E07822"/>
    <w:rsid w:val="091D21CC"/>
    <w:rsid w:val="092B5268"/>
    <w:rsid w:val="096F17B4"/>
    <w:rsid w:val="0A043E59"/>
    <w:rsid w:val="0A0855DF"/>
    <w:rsid w:val="0A0A73CC"/>
    <w:rsid w:val="0A107ED7"/>
    <w:rsid w:val="0A216BB3"/>
    <w:rsid w:val="0A2A3A6B"/>
    <w:rsid w:val="0A363205"/>
    <w:rsid w:val="0A4E6440"/>
    <w:rsid w:val="0A5F652B"/>
    <w:rsid w:val="0A8D01BA"/>
    <w:rsid w:val="0A9D041D"/>
    <w:rsid w:val="0AD520B3"/>
    <w:rsid w:val="0B114967"/>
    <w:rsid w:val="0B2D61F5"/>
    <w:rsid w:val="0B97390C"/>
    <w:rsid w:val="0B9F3D21"/>
    <w:rsid w:val="0BA92503"/>
    <w:rsid w:val="0BF56037"/>
    <w:rsid w:val="0CA2050C"/>
    <w:rsid w:val="0CA60ED7"/>
    <w:rsid w:val="0CAA625A"/>
    <w:rsid w:val="0CCD5339"/>
    <w:rsid w:val="0CF27873"/>
    <w:rsid w:val="0D224C0A"/>
    <w:rsid w:val="0D5A25F6"/>
    <w:rsid w:val="0D6E071F"/>
    <w:rsid w:val="0D870F11"/>
    <w:rsid w:val="0D921B4A"/>
    <w:rsid w:val="0DB14818"/>
    <w:rsid w:val="0DC95E8B"/>
    <w:rsid w:val="0E0464E0"/>
    <w:rsid w:val="0E440BB0"/>
    <w:rsid w:val="0E543124"/>
    <w:rsid w:val="0E6F48A6"/>
    <w:rsid w:val="0E7C2FD9"/>
    <w:rsid w:val="0F0721DA"/>
    <w:rsid w:val="0F3E6E18"/>
    <w:rsid w:val="0F5D63CD"/>
    <w:rsid w:val="0F9D1A23"/>
    <w:rsid w:val="0FA63AAE"/>
    <w:rsid w:val="0FAF044F"/>
    <w:rsid w:val="0FC365A2"/>
    <w:rsid w:val="0FC760A3"/>
    <w:rsid w:val="0FD02A96"/>
    <w:rsid w:val="0FED3BB2"/>
    <w:rsid w:val="0FFA4FC9"/>
    <w:rsid w:val="10475ACA"/>
    <w:rsid w:val="10A110B4"/>
    <w:rsid w:val="10B61896"/>
    <w:rsid w:val="10C1325E"/>
    <w:rsid w:val="10DB1C9F"/>
    <w:rsid w:val="10DF26A3"/>
    <w:rsid w:val="10E21D72"/>
    <w:rsid w:val="10E33830"/>
    <w:rsid w:val="10E458CA"/>
    <w:rsid w:val="1164596F"/>
    <w:rsid w:val="117E26E5"/>
    <w:rsid w:val="11B06C88"/>
    <w:rsid w:val="120C0F58"/>
    <w:rsid w:val="12152F8F"/>
    <w:rsid w:val="12212740"/>
    <w:rsid w:val="1249414E"/>
    <w:rsid w:val="129B31C9"/>
    <w:rsid w:val="12A62454"/>
    <w:rsid w:val="12FB3D0F"/>
    <w:rsid w:val="13051003"/>
    <w:rsid w:val="131B635F"/>
    <w:rsid w:val="13990439"/>
    <w:rsid w:val="13D9323B"/>
    <w:rsid w:val="13DF1289"/>
    <w:rsid w:val="13EA35C5"/>
    <w:rsid w:val="14050106"/>
    <w:rsid w:val="1425602A"/>
    <w:rsid w:val="142A7E88"/>
    <w:rsid w:val="144C328F"/>
    <w:rsid w:val="145B57FC"/>
    <w:rsid w:val="14816EF4"/>
    <w:rsid w:val="14916BA5"/>
    <w:rsid w:val="14BA5827"/>
    <w:rsid w:val="14BE482C"/>
    <w:rsid w:val="14E60C13"/>
    <w:rsid w:val="14ED1B04"/>
    <w:rsid w:val="14FE784E"/>
    <w:rsid w:val="157062A4"/>
    <w:rsid w:val="15F24D42"/>
    <w:rsid w:val="169D71E8"/>
    <w:rsid w:val="16A900BB"/>
    <w:rsid w:val="16B35411"/>
    <w:rsid w:val="16D178F5"/>
    <w:rsid w:val="16D35CC0"/>
    <w:rsid w:val="170D3106"/>
    <w:rsid w:val="172F2B7E"/>
    <w:rsid w:val="17A87E47"/>
    <w:rsid w:val="17C23110"/>
    <w:rsid w:val="17C23271"/>
    <w:rsid w:val="17ED4E8E"/>
    <w:rsid w:val="17FA6D4D"/>
    <w:rsid w:val="180A7985"/>
    <w:rsid w:val="181B7ED6"/>
    <w:rsid w:val="183049C9"/>
    <w:rsid w:val="188B534B"/>
    <w:rsid w:val="18905905"/>
    <w:rsid w:val="18CC77BD"/>
    <w:rsid w:val="19035452"/>
    <w:rsid w:val="191D2361"/>
    <w:rsid w:val="19297EBB"/>
    <w:rsid w:val="195014AA"/>
    <w:rsid w:val="197B1F90"/>
    <w:rsid w:val="197F766C"/>
    <w:rsid w:val="19B45B4F"/>
    <w:rsid w:val="19F3263E"/>
    <w:rsid w:val="1A071055"/>
    <w:rsid w:val="1A1E6CC4"/>
    <w:rsid w:val="1AF10274"/>
    <w:rsid w:val="1B371B06"/>
    <w:rsid w:val="1B3853CA"/>
    <w:rsid w:val="1B8A66C7"/>
    <w:rsid w:val="1BD071F5"/>
    <w:rsid w:val="1BF12290"/>
    <w:rsid w:val="1BF34C27"/>
    <w:rsid w:val="1BFEC89E"/>
    <w:rsid w:val="1C1C325F"/>
    <w:rsid w:val="1C20344D"/>
    <w:rsid w:val="1C9135A4"/>
    <w:rsid w:val="1CA17753"/>
    <w:rsid w:val="1CDC4DD5"/>
    <w:rsid w:val="1CE65A14"/>
    <w:rsid w:val="1CFE521E"/>
    <w:rsid w:val="1D045D16"/>
    <w:rsid w:val="1D101429"/>
    <w:rsid w:val="1D3C246B"/>
    <w:rsid w:val="1D3C768A"/>
    <w:rsid w:val="1D892C79"/>
    <w:rsid w:val="1E2B73DD"/>
    <w:rsid w:val="1E5F67A8"/>
    <w:rsid w:val="1E6826AB"/>
    <w:rsid w:val="1E80114A"/>
    <w:rsid w:val="1F443106"/>
    <w:rsid w:val="1F664E2A"/>
    <w:rsid w:val="1F6B7FA1"/>
    <w:rsid w:val="1FA72182"/>
    <w:rsid w:val="1FE62B24"/>
    <w:rsid w:val="1FF025B6"/>
    <w:rsid w:val="1FFC2999"/>
    <w:rsid w:val="20031C3F"/>
    <w:rsid w:val="200D4F69"/>
    <w:rsid w:val="20106605"/>
    <w:rsid w:val="20167FA8"/>
    <w:rsid w:val="20416343"/>
    <w:rsid w:val="20466FF7"/>
    <w:rsid w:val="206F7868"/>
    <w:rsid w:val="20A7403F"/>
    <w:rsid w:val="20E468E3"/>
    <w:rsid w:val="20EF7337"/>
    <w:rsid w:val="210B3804"/>
    <w:rsid w:val="212913C1"/>
    <w:rsid w:val="21511E4F"/>
    <w:rsid w:val="21AC0FAC"/>
    <w:rsid w:val="21B87493"/>
    <w:rsid w:val="21D04698"/>
    <w:rsid w:val="21F07200"/>
    <w:rsid w:val="21F62EBD"/>
    <w:rsid w:val="220402FD"/>
    <w:rsid w:val="220C4CDC"/>
    <w:rsid w:val="221A5FC5"/>
    <w:rsid w:val="221B5C2F"/>
    <w:rsid w:val="222E1C63"/>
    <w:rsid w:val="223A10C5"/>
    <w:rsid w:val="22525B39"/>
    <w:rsid w:val="22A77705"/>
    <w:rsid w:val="23221C49"/>
    <w:rsid w:val="2326370F"/>
    <w:rsid w:val="234611FA"/>
    <w:rsid w:val="23511E39"/>
    <w:rsid w:val="23637918"/>
    <w:rsid w:val="23664A1C"/>
    <w:rsid w:val="239E3A26"/>
    <w:rsid w:val="23C14C3E"/>
    <w:rsid w:val="2444412B"/>
    <w:rsid w:val="248E1AB7"/>
    <w:rsid w:val="24F37DA3"/>
    <w:rsid w:val="24F53213"/>
    <w:rsid w:val="251E295E"/>
    <w:rsid w:val="25616BF7"/>
    <w:rsid w:val="25656BFC"/>
    <w:rsid w:val="25F478CC"/>
    <w:rsid w:val="26136E9E"/>
    <w:rsid w:val="26907B25"/>
    <w:rsid w:val="26BD6B08"/>
    <w:rsid w:val="26C66091"/>
    <w:rsid w:val="26D74864"/>
    <w:rsid w:val="27301857"/>
    <w:rsid w:val="277F8B19"/>
    <w:rsid w:val="279F738C"/>
    <w:rsid w:val="27D663B3"/>
    <w:rsid w:val="27DB5705"/>
    <w:rsid w:val="27E65454"/>
    <w:rsid w:val="27EF4BF5"/>
    <w:rsid w:val="27FD3DA1"/>
    <w:rsid w:val="281E645D"/>
    <w:rsid w:val="28237BC7"/>
    <w:rsid w:val="28834023"/>
    <w:rsid w:val="28B01215"/>
    <w:rsid w:val="28B03C18"/>
    <w:rsid w:val="28BF3AB9"/>
    <w:rsid w:val="28C01E2B"/>
    <w:rsid w:val="28E6363A"/>
    <w:rsid w:val="2A155EC2"/>
    <w:rsid w:val="2A442896"/>
    <w:rsid w:val="2A683FD1"/>
    <w:rsid w:val="2A697D6D"/>
    <w:rsid w:val="2AC76974"/>
    <w:rsid w:val="2ADB7170"/>
    <w:rsid w:val="2AE112B3"/>
    <w:rsid w:val="2B0A5203"/>
    <w:rsid w:val="2B221916"/>
    <w:rsid w:val="2BB227A2"/>
    <w:rsid w:val="2BCE70A3"/>
    <w:rsid w:val="2BEE6525"/>
    <w:rsid w:val="2C002302"/>
    <w:rsid w:val="2C317389"/>
    <w:rsid w:val="2C5A021C"/>
    <w:rsid w:val="2C640943"/>
    <w:rsid w:val="2CB36F3E"/>
    <w:rsid w:val="2CC30841"/>
    <w:rsid w:val="2CD02638"/>
    <w:rsid w:val="2D295360"/>
    <w:rsid w:val="2D551D95"/>
    <w:rsid w:val="2D7623B6"/>
    <w:rsid w:val="2D90387C"/>
    <w:rsid w:val="2DBE5E99"/>
    <w:rsid w:val="2DDC1CCB"/>
    <w:rsid w:val="2DF91630"/>
    <w:rsid w:val="2E9F30A1"/>
    <w:rsid w:val="2ED24AAD"/>
    <w:rsid w:val="2EF97E0E"/>
    <w:rsid w:val="2F4A3E20"/>
    <w:rsid w:val="2F4E3708"/>
    <w:rsid w:val="2F8A52E3"/>
    <w:rsid w:val="2FD00FEB"/>
    <w:rsid w:val="2FD44E34"/>
    <w:rsid w:val="2FEC3129"/>
    <w:rsid w:val="2FF33398"/>
    <w:rsid w:val="2FFB03B1"/>
    <w:rsid w:val="2FFF709B"/>
    <w:rsid w:val="3049300A"/>
    <w:rsid w:val="305024F2"/>
    <w:rsid w:val="309B1C14"/>
    <w:rsid w:val="311C34A8"/>
    <w:rsid w:val="31292D3A"/>
    <w:rsid w:val="312D45A2"/>
    <w:rsid w:val="31596B1C"/>
    <w:rsid w:val="31763FCB"/>
    <w:rsid w:val="31764F04"/>
    <w:rsid w:val="31CA36BD"/>
    <w:rsid w:val="31EB4ECF"/>
    <w:rsid w:val="324F174E"/>
    <w:rsid w:val="325F4087"/>
    <w:rsid w:val="3285463F"/>
    <w:rsid w:val="32AE7E18"/>
    <w:rsid w:val="32EE3061"/>
    <w:rsid w:val="33464251"/>
    <w:rsid w:val="335D54C4"/>
    <w:rsid w:val="335E2586"/>
    <w:rsid w:val="338709C6"/>
    <w:rsid w:val="339029A4"/>
    <w:rsid w:val="33A8380B"/>
    <w:rsid w:val="33CA1115"/>
    <w:rsid w:val="33E34B07"/>
    <w:rsid w:val="33EC2F20"/>
    <w:rsid w:val="33FD65A8"/>
    <w:rsid w:val="3422536C"/>
    <w:rsid w:val="343DAEEE"/>
    <w:rsid w:val="344F6642"/>
    <w:rsid w:val="34502F77"/>
    <w:rsid w:val="34821566"/>
    <w:rsid w:val="349719F9"/>
    <w:rsid w:val="34B921F7"/>
    <w:rsid w:val="34C446EB"/>
    <w:rsid w:val="356F7390"/>
    <w:rsid w:val="35DFD50E"/>
    <w:rsid w:val="35E3397E"/>
    <w:rsid w:val="35FE2075"/>
    <w:rsid w:val="360176FC"/>
    <w:rsid w:val="367E011C"/>
    <w:rsid w:val="37033819"/>
    <w:rsid w:val="3725028A"/>
    <w:rsid w:val="379B5936"/>
    <w:rsid w:val="37A8186B"/>
    <w:rsid w:val="37DA495E"/>
    <w:rsid w:val="37DE64B5"/>
    <w:rsid w:val="37F81519"/>
    <w:rsid w:val="380F4F4D"/>
    <w:rsid w:val="381C20D2"/>
    <w:rsid w:val="38426396"/>
    <w:rsid w:val="3862715F"/>
    <w:rsid w:val="387A4053"/>
    <w:rsid w:val="38C03B65"/>
    <w:rsid w:val="390D5DCA"/>
    <w:rsid w:val="391D4903"/>
    <w:rsid w:val="394A7201"/>
    <w:rsid w:val="394F1572"/>
    <w:rsid w:val="3962605C"/>
    <w:rsid w:val="398A4489"/>
    <w:rsid w:val="39932928"/>
    <w:rsid w:val="39AC484E"/>
    <w:rsid w:val="39DE350D"/>
    <w:rsid w:val="3A234547"/>
    <w:rsid w:val="3A341637"/>
    <w:rsid w:val="3A3E3010"/>
    <w:rsid w:val="3A486714"/>
    <w:rsid w:val="3A7D0757"/>
    <w:rsid w:val="3A9D7939"/>
    <w:rsid w:val="3AF55386"/>
    <w:rsid w:val="3B106ED1"/>
    <w:rsid w:val="3B120FE1"/>
    <w:rsid w:val="3B136D3B"/>
    <w:rsid w:val="3B604216"/>
    <w:rsid w:val="3B640BBC"/>
    <w:rsid w:val="3B6B4851"/>
    <w:rsid w:val="3B736787"/>
    <w:rsid w:val="3BB70A8F"/>
    <w:rsid w:val="3BCE07F5"/>
    <w:rsid w:val="3BD23926"/>
    <w:rsid w:val="3C043F9B"/>
    <w:rsid w:val="3C4B2BBB"/>
    <w:rsid w:val="3C527533"/>
    <w:rsid w:val="3C6F45F5"/>
    <w:rsid w:val="3C777E46"/>
    <w:rsid w:val="3CBB2DD0"/>
    <w:rsid w:val="3CD12DB5"/>
    <w:rsid w:val="3CEC78A9"/>
    <w:rsid w:val="3D8E52AA"/>
    <w:rsid w:val="3D981CB9"/>
    <w:rsid w:val="3DA26F90"/>
    <w:rsid w:val="3DAA5DD4"/>
    <w:rsid w:val="3DB159B2"/>
    <w:rsid w:val="3DFA2393"/>
    <w:rsid w:val="3DFC009D"/>
    <w:rsid w:val="3E073FF4"/>
    <w:rsid w:val="3E078BAD"/>
    <w:rsid w:val="3E2E3D2D"/>
    <w:rsid w:val="3E7F49A7"/>
    <w:rsid w:val="3E8971C7"/>
    <w:rsid w:val="3EBE2144"/>
    <w:rsid w:val="3EDF5787"/>
    <w:rsid w:val="3EEB606C"/>
    <w:rsid w:val="3F2008D9"/>
    <w:rsid w:val="3F5879C6"/>
    <w:rsid w:val="3F752813"/>
    <w:rsid w:val="3FBF6796"/>
    <w:rsid w:val="3FC27A03"/>
    <w:rsid w:val="3FC6535B"/>
    <w:rsid w:val="3FCA3298"/>
    <w:rsid w:val="3FDA4D4C"/>
    <w:rsid w:val="3FE3021B"/>
    <w:rsid w:val="40373B7D"/>
    <w:rsid w:val="403B1067"/>
    <w:rsid w:val="403D7C34"/>
    <w:rsid w:val="406E1CA9"/>
    <w:rsid w:val="40A8726B"/>
    <w:rsid w:val="40C44B57"/>
    <w:rsid w:val="40D12ACA"/>
    <w:rsid w:val="411425A0"/>
    <w:rsid w:val="413501A4"/>
    <w:rsid w:val="4158761D"/>
    <w:rsid w:val="415A7BC3"/>
    <w:rsid w:val="415F7725"/>
    <w:rsid w:val="4162149D"/>
    <w:rsid w:val="416C3E2A"/>
    <w:rsid w:val="41722A91"/>
    <w:rsid w:val="418C0DF0"/>
    <w:rsid w:val="41E20DBB"/>
    <w:rsid w:val="420F5E8F"/>
    <w:rsid w:val="423A5154"/>
    <w:rsid w:val="42647EE0"/>
    <w:rsid w:val="42C41CEC"/>
    <w:rsid w:val="42E72782"/>
    <w:rsid w:val="432B3EF8"/>
    <w:rsid w:val="434F77FF"/>
    <w:rsid w:val="435661B0"/>
    <w:rsid w:val="436F24CD"/>
    <w:rsid w:val="438A6A89"/>
    <w:rsid w:val="43B945E4"/>
    <w:rsid w:val="43DC2617"/>
    <w:rsid w:val="43F54230"/>
    <w:rsid w:val="440343FF"/>
    <w:rsid w:val="4416305A"/>
    <w:rsid w:val="44344EA9"/>
    <w:rsid w:val="445168C1"/>
    <w:rsid w:val="445E1615"/>
    <w:rsid w:val="44736E22"/>
    <w:rsid w:val="44801C3A"/>
    <w:rsid w:val="44A93977"/>
    <w:rsid w:val="44DD0A3D"/>
    <w:rsid w:val="44DE662D"/>
    <w:rsid w:val="44FE09FA"/>
    <w:rsid w:val="45316909"/>
    <w:rsid w:val="453A003B"/>
    <w:rsid w:val="4570263D"/>
    <w:rsid w:val="458C7E7F"/>
    <w:rsid w:val="45CF2E79"/>
    <w:rsid w:val="45E23B5A"/>
    <w:rsid w:val="45F054E5"/>
    <w:rsid w:val="461D76DD"/>
    <w:rsid w:val="46243BE7"/>
    <w:rsid w:val="46641DBB"/>
    <w:rsid w:val="46D911A3"/>
    <w:rsid w:val="470A0C21"/>
    <w:rsid w:val="474225B0"/>
    <w:rsid w:val="474D694B"/>
    <w:rsid w:val="47805554"/>
    <w:rsid w:val="47A65E5C"/>
    <w:rsid w:val="47AA14A8"/>
    <w:rsid w:val="47B95DF9"/>
    <w:rsid w:val="47DE602A"/>
    <w:rsid w:val="47ECAF80"/>
    <w:rsid w:val="47F837F7"/>
    <w:rsid w:val="48195519"/>
    <w:rsid w:val="483C7BA6"/>
    <w:rsid w:val="48876B23"/>
    <w:rsid w:val="48B9571B"/>
    <w:rsid w:val="48E72B46"/>
    <w:rsid w:val="48F51616"/>
    <w:rsid w:val="49241BD3"/>
    <w:rsid w:val="49871E26"/>
    <w:rsid w:val="49BE520E"/>
    <w:rsid w:val="49FB6308"/>
    <w:rsid w:val="4A4F6337"/>
    <w:rsid w:val="4AB4263E"/>
    <w:rsid w:val="4AB921AD"/>
    <w:rsid w:val="4AD3627A"/>
    <w:rsid w:val="4AE7656F"/>
    <w:rsid w:val="4AF33C1D"/>
    <w:rsid w:val="4AF9142F"/>
    <w:rsid w:val="4B1834B6"/>
    <w:rsid w:val="4B2E0F3D"/>
    <w:rsid w:val="4BE9687B"/>
    <w:rsid w:val="4C160AFB"/>
    <w:rsid w:val="4C5C34DD"/>
    <w:rsid w:val="4C727458"/>
    <w:rsid w:val="4CB92217"/>
    <w:rsid w:val="4CE60F89"/>
    <w:rsid w:val="4D3865AB"/>
    <w:rsid w:val="4D6EFFE4"/>
    <w:rsid w:val="4D890357"/>
    <w:rsid w:val="4D936409"/>
    <w:rsid w:val="4D941335"/>
    <w:rsid w:val="4DA407B0"/>
    <w:rsid w:val="4DD30CB1"/>
    <w:rsid w:val="4DF125F8"/>
    <w:rsid w:val="4E5E2FEC"/>
    <w:rsid w:val="4E685132"/>
    <w:rsid w:val="4E7E61B9"/>
    <w:rsid w:val="4EA34327"/>
    <w:rsid w:val="4ECD188D"/>
    <w:rsid w:val="4ED67027"/>
    <w:rsid w:val="4ED824E8"/>
    <w:rsid w:val="4EE57E01"/>
    <w:rsid w:val="4F140DA5"/>
    <w:rsid w:val="4F592159"/>
    <w:rsid w:val="4F9F235C"/>
    <w:rsid w:val="50277BFE"/>
    <w:rsid w:val="5055599B"/>
    <w:rsid w:val="50682A22"/>
    <w:rsid w:val="50845547"/>
    <w:rsid w:val="50BD6A7A"/>
    <w:rsid w:val="50C860AF"/>
    <w:rsid w:val="50D907D2"/>
    <w:rsid w:val="50FE0903"/>
    <w:rsid w:val="512A0A9E"/>
    <w:rsid w:val="51711289"/>
    <w:rsid w:val="51A01DEB"/>
    <w:rsid w:val="51A653CF"/>
    <w:rsid w:val="51BA094C"/>
    <w:rsid w:val="51BA7767"/>
    <w:rsid w:val="51FA302C"/>
    <w:rsid w:val="520E069C"/>
    <w:rsid w:val="521757D0"/>
    <w:rsid w:val="52192A1A"/>
    <w:rsid w:val="521C7446"/>
    <w:rsid w:val="523A2A8F"/>
    <w:rsid w:val="524D13AE"/>
    <w:rsid w:val="52CD24EF"/>
    <w:rsid w:val="52E361B6"/>
    <w:rsid w:val="52EB7081"/>
    <w:rsid w:val="534266D4"/>
    <w:rsid w:val="53542877"/>
    <w:rsid w:val="536C6901"/>
    <w:rsid w:val="5392138D"/>
    <w:rsid w:val="53964FD7"/>
    <w:rsid w:val="53B06098"/>
    <w:rsid w:val="54085ED4"/>
    <w:rsid w:val="54127159"/>
    <w:rsid w:val="546A5122"/>
    <w:rsid w:val="54975AD9"/>
    <w:rsid w:val="549D01C5"/>
    <w:rsid w:val="54A148D9"/>
    <w:rsid w:val="54CE2E6E"/>
    <w:rsid w:val="551144DB"/>
    <w:rsid w:val="557405D2"/>
    <w:rsid w:val="55A0196B"/>
    <w:rsid w:val="55AA2FBB"/>
    <w:rsid w:val="55C73392"/>
    <w:rsid w:val="55D55173"/>
    <w:rsid w:val="56075B94"/>
    <w:rsid w:val="56175763"/>
    <w:rsid w:val="567D5B8A"/>
    <w:rsid w:val="569C1BD0"/>
    <w:rsid w:val="56A43446"/>
    <w:rsid w:val="56A91FD0"/>
    <w:rsid w:val="56AF34AD"/>
    <w:rsid w:val="56D93FE2"/>
    <w:rsid w:val="56D95B25"/>
    <w:rsid w:val="56F55413"/>
    <w:rsid w:val="56FFE5C8"/>
    <w:rsid w:val="57550FB5"/>
    <w:rsid w:val="575B6A87"/>
    <w:rsid w:val="576424DD"/>
    <w:rsid w:val="577105B3"/>
    <w:rsid w:val="577C51AA"/>
    <w:rsid w:val="57936D9A"/>
    <w:rsid w:val="57BE598B"/>
    <w:rsid w:val="5800267C"/>
    <w:rsid w:val="581C3A31"/>
    <w:rsid w:val="5886243F"/>
    <w:rsid w:val="588C54C6"/>
    <w:rsid w:val="588F4582"/>
    <w:rsid w:val="58A11F60"/>
    <w:rsid w:val="58EF3626"/>
    <w:rsid w:val="591E4C5E"/>
    <w:rsid w:val="59231526"/>
    <w:rsid w:val="592D44A4"/>
    <w:rsid w:val="596C0CB3"/>
    <w:rsid w:val="596C2A61"/>
    <w:rsid w:val="599C1071"/>
    <w:rsid w:val="59D275CB"/>
    <w:rsid w:val="59EC3EFC"/>
    <w:rsid w:val="5A294338"/>
    <w:rsid w:val="5A443BC9"/>
    <w:rsid w:val="5A631A46"/>
    <w:rsid w:val="5A813F6F"/>
    <w:rsid w:val="5A88507C"/>
    <w:rsid w:val="5ABC1D3D"/>
    <w:rsid w:val="5ABD3364"/>
    <w:rsid w:val="5AC02181"/>
    <w:rsid w:val="5B0122A1"/>
    <w:rsid w:val="5B0614B2"/>
    <w:rsid w:val="5B1974D3"/>
    <w:rsid w:val="5B487198"/>
    <w:rsid w:val="5B6360E6"/>
    <w:rsid w:val="5B682E38"/>
    <w:rsid w:val="5B903A80"/>
    <w:rsid w:val="5BAA7871"/>
    <w:rsid w:val="5BAD375B"/>
    <w:rsid w:val="5BB21A87"/>
    <w:rsid w:val="5C2E4C8F"/>
    <w:rsid w:val="5C6E742D"/>
    <w:rsid w:val="5C8D270B"/>
    <w:rsid w:val="5CF029A4"/>
    <w:rsid w:val="5CFDA213"/>
    <w:rsid w:val="5CFF490E"/>
    <w:rsid w:val="5D211C7A"/>
    <w:rsid w:val="5D2C42B6"/>
    <w:rsid w:val="5D7D61D4"/>
    <w:rsid w:val="5D957D0C"/>
    <w:rsid w:val="5DC851C2"/>
    <w:rsid w:val="5DD469F2"/>
    <w:rsid w:val="5DFF3DA3"/>
    <w:rsid w:val="5E4135CD"/>
    <w:rsid w:val="5E522932"/>
    <w:rsid w:val="5E911DC4"/>
    <w:rsid w:val="5EDF003D"/>
    <w:rsid w:val="5EEF64E5"/>
    <w:rsid w:val="5EF4BA9E"/>
    <w:rsid w:val="5EF5E5F9"/>
    <w:rsid w:val="5F25CA5C"/>
    <w:rsid w:val="5F6B8C57"/>
    <w:rsid w:val="5F70492E"/>
    <w:rsid w:val="5F876ADF"/>
    <w:rsid w:val="5F9F5A26"/>
    <w:rsid w:val="5FA57075"/>
    <w:rsid w:val="5FC67B8D"/>
    <w:rsid w:val="5FCF4F74"/>
    <w:rsid w:val="5FD45774"/>
    <w:rsid w:val="5FF62C24"/>
    <w:rsid w:val="60057733"/>
    <w:rsid w:val="603069FA"/>
    <w:rsid w:val="608E76FF"/>
    <w:rsid w:val="60B10A9B"/>
    <w:rsid w:val="60B3541A"/>
    <w:rsid w:val="60CB31F0"/>
    <w:rsid w:val="60F87065"/>
    <w:rsid w:val="61216D71"/>
    <w:rsid w:val="613167C1"/>
    <w:rsid w:val="615949C4"/>
    <w:rsid w:val="6164392E"/>
    <w:rsid w:val="61886ECB"/>
    <w:rsid w:val="61AA7508"/>
    <w:rsid w:val="61C91735"/>
    <w:rsid w:val="61FE20B4"/>
    <w:rsid w:val="62042C5C"/>
    <w:rsid w:val="621674EE"/>
    <w:rsid w:val="62283FE9"/>
    <w:rsid w:val="622B0FE0"/>
    <w:rsid w:val="624301C7"/>
    <w:rsid w:val="6284369F"/>
    <w:rsid w:val="62D84B61"/>
    <w:rsid w:val="63063677"/>
    <w:rsid w:val="63375A83"/>
    <w:rsid w:val="63414F5F"/>
    <w:rsid w:val="63BE65AF"/>
    <w:rsid w:val="63CC3D7A"/>
    <w:rsid w:val="63EB09A3"/>
    <w:rsid w:val="64337180"/>
    <w:rsid w:val="64815144"/>
    <w:rsid w:val="64B71356"/>
    <w:rsid w:val="64FB0BF5"/>
    <w:rsid w:val="652A335A"/>
    <w:rsid w:val="658951C3"/>
    <w:rsid w:val="65DF57FE"/>
    <w:rsid w:val="66083B12"/>
    <w:rsid w:val="663E14A5"/>
    <w:rsid w:val="66421990"/>
    <w:rsid w:val="66D17D0C"/>
    <w:rsid w:val="66FF548B"/>
    <w:rsid w:val="6717678D"/>
    <w:rsid w:val="671D5DB9"/>
    <w:rsid w:val="6731565A"/>
    <w:rsid w:val="675C5FA0"/>
    <w:rsid w:val="67666951"/>
    <w:rsid w:val="679D64DC"/>
    <w:rsid w:val="67CFBB82"/>
    <w:rsid w:val="67D233CD"/>
    <w:rsid w:val="67D60943"/>
    <w:rsid w:val="67E55DF3"/>
    <w:rsid w:val="6865081C"/>
    <w:rsid w:val="68C64CC0"/>
    <w:rsid w:val="68D83F4F"/>
    <w:rsid w:val="68E001DE"/>
    <w:rsid w:val="690F51B7"/>
    <w:rsid w:val="691D668F"/>
    <w:rsid w:val="6935E3FF"/>
    <w:rsid w:val="693C5675"/>
    <w:rsid w:val="697414BE"/>
    <w:rsid w:val="69A35A52"/>
    <w:rsid w:val="69F557BF"/>
    <w:rsid w:val="6A136F29"/>
    <w:rsid w:val="6A403639"/>
    <w:rsid w:val="6A5B616F"/>
    <w:rsid w:val="6A767EB0"/>
    <w:rsid w:val="6A7E12E7"/>
    <w:rsid w:val="6AAD4C88"/>
    <w:rsid w:val="6AB468B2"/>
    <w:rsid w:val="6B0A7CDD"/>
    <w:rsid w:val="6B0B082E"/>
    <w:rsid w:val="6B217424"/>
    <w:rsid w:val="6B4F25BD"/>
    <w:rsid w:val="6B5628C0"/>
    <w:rsid w:val="6B89D77C"/>
    <w:rsid w:val="6B8A6D77"/>
    <w:rsid w:val="6B8F6870"/>
    <w:rsid w:val="6B9E74FB"/>
    <w:rsid w:val="6BB82A0C"/>
    <w:rsid w:val="6BCF5A5D"/>
    <w:rsid w:val="6BDF1A3A"/>
    <w:rsid w:val="6BE871E4"/>
    <w:rsid w:val="6C045086"/>
    <w:rsid w:val="6C1A459F"/>
    <w:rsid w:val="6C2911BA"/>
    <w:rsid w:val="6C320541"/>
    <w:rsid w:val="6C674B5D"/>
    <w:rsid w:val="6CAC317F"/>
    <w:rsid w:val="6CD72490"/>
    <w:rsid w:val="6CF622E4"/>
    <w:rsid w:val="6D1645CB"/>
    <w:rsid w:val="6D3A645A"/>
    <w:rsid w:val="6D5034E2"/>
    <w:rsid w:val="6D5D3185"/>
    <w:rsid w:val="6D7B40B1"/>
    <w:rsid w:val="6D881C30"/>
    <w:rsid w:val="6DB93296"/>
    <w:rsid w:val="6DDB402E"/>
    <w:rsid w:val="6E044415"/>
    <w:rsid w:val="6E3DACCC"/>
    <w:rsid w:val="6E6C6E8D"/>
    <w:rsid w:val="6EF833B6"/>
    <w:rsid w:val="6F092237"/>
    <w:rsid w:val="6F374EF2"/>
    <w:rsid w:val="6F7F7A45"/>
    <w:rsid w:val="6F7FA99D"/>
    <w:rsid w:val="6F9F7494"/>
    <w:rsid w:val="6FA541DE"/>
    <w:rsid w:val="6FBD1356"/>
    <w:rsid w:val="6FBD4503"/>
    <w:rsid w:val="7030431E"/>
    <w:rsid w:val="70364D64"/>
    <w:rsid w:val="7037034D"/>
    <w:rsid w:val="70D146FF"/>
    <w:rsid w:val="7135597E"/>
    <w:rsid w:val="713F488B"/>
    <w:rsid w:val="713FBCD3"/>
    <w:rsid w:val="71453E6C"/>
    <w:rsid w:val="714D7E0C"/>
    <w:rsid w:val="71702B61"/>
    <w:rsid w:val="717113A2"/>
    <w:rsid w:val="71761774"/>
    <w:rsid w:val="717F1AE1"/>
    <w:rsid w:val="71802A62"/>
    <w:rsid w:val="71F53BE0"/>
    <w:rsid w:val="72060785"/>
    <w:rsid w:val="720853C5"/>
    <w:rsid w:val="721B1866"/>
    <w:rsid w:val="724E41C2"/>
    <w:rsid w:val="726613A4"/>
    <w:rsid w:val="7303695D"/>
    <w:rsid w:val="731018FE"/>
    <w:rsid w:val="731E721E"/>
    <w:rsid w:val="735A0468"/>
    <w:rsid w:val="735A1725"/>
    <w:rsid w:val="7380242B"/>
    <w:rsid w:val="738A61FB"/>
    <w:rsid w:val="73ED0D5E"/>
    <w:rsid w:val="73FF850F"/>
    <w:rsid w:val="74247931"/>
    <w:rsid w:val="74303698"/>
    <w:rsid w:val="745F5B50"/>
    <w:rsid w:val="747D86D8"/>
    <w:rsid w:val="747F5FF7"/>
    <w:rsid w:val="749C03BF"/>
    <w:rsid w:val="74BA6B1C"/>
    <w:rsid w:val="74CF1C9F"/>
    <w:rsid w:val="74CFC9E7"/>
    <w:rsid w:val="74F04129"/>
    <w:rsid w:val="750A0E63"/>
    <w:rsid w:val="751E2665"/>
    <w:rsid w:val="753B5BA7"/>
    <w:rsid w:val="753D216C"/>
    <w:rsid w:val="75887F9D"/>
    <w:rsid w:val="76127D6E"/>
    <w:rsid w:val="761F52E4"/>
    <w:rsid w:val="76284EA7"/>
    <w:rsid w:val="766528BB"/>
    <w:rsid w:val="76944474"/>
    <w:rsid w:val="7698298C"/>
    <w:rsid w:val="76A12CDB"/>
    <w:rsid w:val="76F23AC1"/>
    <w:rsid w:val="76F6685F"/>
    <w:rsid w:val="770A4F84"/>
    <w:rsid w:val="770C1201"/>
    <w:rsid w:val="7747AA4A"/>
    <w:rsid w:val="77768023"/>
    <w:rsid w:val="777A2396"/>
    <w:rsid w:val="77AD4519"/>
    <w:rsid w:val="77AE4819"/>
    <w:rsid w:val="77C41687"/>
    <w:rsid w:val="77DF4603"/>
    <w:rsid w:val="77EB390A"/>
    <w:rsid w:val="77EB3C11"/>
    <w:rsid w:val="77F0353E"/>
    <w:rsid w:val="77FB3E92"/>
    <w:rsid w:val="77FF8832"/>
    <w:rsid w:val="781E299D"/>
    <w:rsid w:val="7856695F"/>
    <w:rsid w:val="785D3E5E"/>
    <w:rsid w:val="7865310C"/>
    <w:rsid w:val="787364E6"/>
    <w:rsid w:val="78760DAF"/>
    <w:rsid w:val="78801A56"/>
    <w:rsid w:val="78A340B1"/>
    <w:rsid w:val="78BE2F29"/>
    <w:rsid w:val="79600FC2"/>
    <w:rsid w:val="79613412"/>
    <w:rsid w:val="796230E1"/>
    <w:rsid w:val="7996392F"/>
    <w:rsid w:val="79E42E76"/>
    <w:rsid w:val="79F73D04"/>
    <w:rsid w:val="7A013EC0"/>
    <w:rsid w:val="7A0A24E6"/>
    <w:rsid w:val="7A2C32EF"/>
    <w:rsid w:val="7A791E22"/>
    <w:rsid w:val="7A792EE6"/>
    <w:rsid w:val="7A7E254E"/>
    <w:rsid w:val="7AA64004"/>
    <w:rsid w:val="7AAB73BC"/>
    <w:rsid w:val="7AAF13E2"/>
    <w:rsid w:val="7AC8601E"/>
    <w:rsid w:val="7AF375C9"/>
    <w:rsid w:val="7AF41C4A"/>
    <w:rsid w:val="7AFF8F0D"/>
    <w:rsid w:val="7B1D88D3"/>
    <w:rsid w:val="7B77A71C"/>
    <w:rsid w:val="7B7A2288"/>
    <w:rsid w:val="7B7BED56"/>
    <w:rsid w:val="7B7D4202"/>
    <w:rsid w:val="7BAF01C5"/>
    <w:rsid w:val="7BBA531B"/>
    <w:rsid w:val="7BBE2843"/>
    <w:rsid w:val="7BC7E77D"/>
    <w:rsid w:val="7BF2DA0A"/>
    <w:rsid w:val="7BF40D0B"/>
    <w:rsid w:val="7C037670"/>
    <w:rsid w:val="7C275570"/>
    <w:rsid w:val="7C302B37"/>
    <w:rsid w:val="7C343506"/>
    <w:rsid w:val="7C6A0F66"/>
    <w:rsid w:val="7C7C0244"/>
    <w:rsid w:val="7CD43374"/>
    <w:rsid w:val="7CD58213"/>
    <w:rsid w:val="7CF91954"/>
    <w:rsid w:val="7CFDCF4F"/>
    <w:rsid w:val="7D127334"/>
    <w:rsid w:val="7D52198F"/>
    <w:rsid w:val="7D58777C"/>
    <w:rsid w:val="7D9330EC"/>
    <w:rsid w:val="7DAE4EA7"/>
    <w:rsid w:val="7DCA74A7"/>
    <w:rsid w:val="7DCC7DEE"/>
    <w:rsid w:val="7DCD20BE"/>
    <w:rsid w:val="7DD3DF10"/>
    <w:rsid w:val="7DD56C01"/>
    <w:rsid w:val="7DDFC1BB"/>
    <w:rsid w:val="7DED5D95"/>
    <w:rsid w:val="7DFFBCFE"/>
    <w:rsid w:val="7E160E13"/>
    <w:rsid w:val="7E751475"/>
    <w:rsid w:val="7E872C80"/>
    <w:rsid w:val="7F376DBE"/>
    <w:rsid w:val="7F451F89"/>
    <w:rsid w:val="7F5D77C4"/>
    <w:rsid w:val="7F9E16B9"/>
    <w:rsid w:val="7F9E9A0C"/>
    <w:rsid w:val="7FB47354"/>
    <w:rsid w:val="7FB6C254"/>
    <w:rsid w:val="7FBC94CD"/>
    <w:rsid w:val="7FCF6DFC"/>
    <w:rsid w:val="7FCFDD4F"/>
    <w:rsid w:val="7FD070D3"/>
    <w:rsid w:val="7FD620BA"/>
    <w:rsid w:val="7FDBFD88"/>
    <w:rsid w:val="7FE79733"/>
    <w:rsid w:val="7FEC4B73"/>
    <w:rsid w:val="7FEF3DA5"/>
    <w:rsid w:val="7FF2C3CE"/>
    <w:rsid w:val="7FF6953D"/>
    <w:rsid w:val="7FF6C021"/>
    <w:rsid w:val="7FF7E35B"/>
    <w:rsid w:val="7FFB6C9E"/>
    <w:rsid w:val="7FFC5791"/>
    <w:rsid w:val="7FFD4226"/>
    <w:rsid w:val="7FFD615F"/>
    <w:rsid w:val="7FFDCDF3"/>
    <w:rsid w:val="7FFE5188"/>
    <w:rsid w:val="7FFFBFB3"/>
    <w:rsid w:val="86EE5EB7"/>
    <w:rsid w:val="9AFBC4C2"/>
    <w:rsid w:val="9D4B5CFF"/>
    <w:rsid w:val="A2FE80EA"/>
    <w:rsid w:val="A3FF69B6"/>
    <w:rsid w:val="A74E1550"/>
    <w:rsid w:val="A783B4C3"/>
    <w:rsid w:val="AC4EB4CC"/>
    <w:rsid w:val="B797C1EC"/>
    <w:rsid w:val="B7EB2128"/>
    <w:rsid w:val="BA7B23C6"/>
    <w:rsid w:val="BDB48498"/>
    <w:rsid w:val="BDEF5959"/>
    <w:rsid w:val="BE2FAC69"/>
    <w:rsid w:val="BECF7CD7"/>
    <w:rsid w:val="BEEF1076"/>
    <w:rsid w:val="BF670674"/>
    <w:rsid w:val="BFABDE14"/>
    <w:rsid w:val="BFFBCAAC"/>
    <w:rsid w:val="C3FF52A6"/>
    <w:rsid w:val="C6FFFAFA"/>
    <w:rsid w:val="CF6661AF"/>
    <w:rsid w:val="D77FF384"/>
    <w:rsid w:val="D7B67769"/>
    <w:rsid w:val="D7FF0D12"/>
    <w:rsid w:val="D97C9267"/>
    <w:rsid w:val="DB7F9718"/>
    <w:rsid w:val="DBD7461E"/>
    <w:rsid w:val="DBF9852A"/>
    <w:rsid w:val="DFBFCA50"/>
    <w:rsid w:val="DFFF301F"/>
    <w:rsid w:val="E2A3E5E9"/>
    <w:rsid w:val="E3F301CA"/>
    <w:rsid w:val="E5DCDE8A"/>
    <w:rsid w:val="EAEF8B6A"/>
    <w:rsid w:val="EAFD73FC"/>
    <w:rsid w:val="EB5FBC2A"/>
    <w:rsid w:val="EBFDEA73"/>
    <w:rsid w:val="ED77B0BB"/>
    <w:rsid w:val="EEBE023B"/>
    <w:rsid w:val="EEE9A464"/>
    <w:rsid w:val="EFBDFE73"/>
    <w:rsid w:val="EFDEB4D9"/>
    <w:rsid w:val="EFFE0400"/>
    <w:rsid w:val="F2FBA908"/>
    <w:rsid w:val="F4F61BFB"/>
    <w:rsid w:val="F53F8D14"/>
    <w:rsid w:val="F5F9D69D"/>
    <w:rsid w:val="F72BCABD"/>
    <w:rsid w:val="F767AC95"/>
    <w:rsid w:val="F77F9883"/>
    <w:rsid w:val="F7A7BADF"/>
    <w:rsid w:val="F97C87AE"/>
    <w:rsid w:val="F9FF8FCE"/>
    <w:rsid w:val="FA747CC0"/>
    <w:rsid w:val="FE734873"/>
    <w:rsid w:val="FEBF2202"/>
    <w:rsid w:val="FEFD9895"/>
    <w:rsid w:val="FF1FE0A8"/>
    <w:rsid w:val="FF7DDEFF"/>
    <w:rsid w:val="FFD46A8F"/>
    <w:rsid w:val="FFDFF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340" w:after="330" w:line="578" w:lineRule="atLeast"/>
      <w:jc w:val="center"/>
      <w:outlineLvl w:val="0"/>
    </w:pPr>
    <w:rPr>
      <w:rFonts w:hint="eastAsia" w:ascii="宋体" w:hAnsi="宋体" w:eastAsia="宋体"/>
      <w:b/>
      <w:sz w:val="36"/>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pPr>
    <w:rPr>
      <w:kern w:val="0"/>
      <w:sz w:val="20"/>
    </w:rPr>
  </w:style>
  <w:style w:type="paragraph" w:styleId="7">
    <w:name w:val="toa heading"/>
    <w:basedOn w:val="1"/>
    <w:next w:val="1"/>
    <w:qFormat/>
    <w:uiPriority w:val="0"/>
    <w:pPr>
      <w:spacing w:before="120"/>
    </w:pPr>
    <w:rPr>
      <w:rFonts w:ascii="Arial" w:hAnsi="Arial" w:eastAsia="仿宋"/>
      <w:sz w:val="24"/>
      <w:szCs w:val="20"/>
    </w:rPr>
  </w:style>
  <w:style w:type="paragraph" w:styleId="8">
    <w:name w:val="index 5"/>
    <w:basedOn w:val="1"/>
    <w:next w:val="1"/>
    <w:qFormat/>
    <w:uiPriority w:val="0"/>
    <w:pPr>
      <w:ind w:left="1680"/>
    </w:pPr>
  </w:style>
  <w:style w:type="paragraph" w:styleId="9">
    <w:name w:val="annotation text"/>
    <w:basedOn w:val="1"/>
    <w:link w:val="44"/>
    <w:qFormat/>
    <w:uiPriority w:val="0"/>
    <w:pPr>
      <w:jc w:val="left"/>
    </w:pPr>
  </w:style>
  <w:style w:type="paragraph" w:styleId="10">
    <w:name w:val="Body Text"/>
    <w:basedOn w:val="1"/>
    <w:qFormat/>
    <w:uiPriority w:val="0"/>
    <w:pPr>
      <w:tabs>
        <w:tab w:val="left" w:pos="567"/>
      </w:tabs>
      <w:spacing w:before="120" w:line="22" w:lineRule="atLeast"/>
    </w:pPr>
    <w:rPr>
      <w:rFonts w:ascii="宋体" w:hAnsi="宋体"/>
      <w:sz w:val="24"/>
    </w:rPr>
  </w:style>
  <w:style w:type="paragraph" w:styleId="11">
    <w:name w:val="Body Text Indent"/>
    <w:basedOn w:val="1"/>
    <w:next w:val="12"/>
    <w:qFormat/>
    <w:uiPriority w:val="0"/>
    <w:pPr>
      <w:ind w:firstLine="645"/>
    </w:pPr>
    <w:rPr>
      <w:rFonts w:ascii="Arial" w:hAnsi="Arial" w:eastAsia="仿宋_GB2312"/>
      <w:sz w:val="28"/>
    </w:rPr>
  </w:style>
  <w:style w:type="paragraph" w:styleId="12">
    <w:name w:val="Body Text First Indent 2"/>
    <w:basedOn w:val="11"/>
    <w:next w:val="6"/>
    <w:qFormat/>
    <w:uiPriority w:val="0"/>
    <w:pPr>
      <w:spacing w:after="120"/>
      <w:ind w:left="420" w:leftChars="200" w:firstLine="420" w:firstLineChars="200"/>
    </w:pPr>
    <w:rPr>
      <w:sz w:val="21"/>
    </w:rPr>
  </w:style>
  <w:style w:type="paragraph" w:styleId="13">
    <w:name w:val="List 2"/>
    <w:basedOn w:val="1"/>
    <w:qFormat/>
    <w:uiPriority w:val="0"/>
    <w:pPr>
      <w:ind w:left="100" w:leftChars="200" w:hanging="200" w:hangingChars="200"/>
    </w:pPr>
  </w:style>
  <w:style w:type="paragraph" w:styleId="14">
    <w:name w:val="Plain Text"/>
    <w:basedOn w:val="1"/>
    <w:qFormat/>
    <w:uiPriority w:val="0"/>
    <w:rPr>
      <w:rFonts w:ascii="宋体" w:hAnsi="Courier New"/>
      <w:szCs w:val="20"/>
    </w:rPr>
  </w:style>
  <w:style w:type="paragraph" w:styleId="15">
    <w:name w:val="Body Text Indent 2"/>
    <w:basedOn w:val="1"/>
    <w:qFormat/>
    <w:uiPriority w:val="0"/>
    <w:pPr>
      <w:spacing w:line="500" w:lineRule="exact"/>
      <w:ind w:firstLine="442" w:firstLineChars="200"/>
    </w:pPr>
    <w:rPr>
      <w:rFonts w:ascii="Calibri" w:hAnsi="Calibri" w:cs="黑体"/>
    </w:rPr>
  </w:style>
  <w:style w:type="paragraph" w:styleId="16">
    <w:name w:val="footer"/>
    <w:basedOn w:val="1"/>
    <w:next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spacing w:before="120" w:after="120"/>
    </w:pPr>
    <w:rPr>
      <w:rFonts w:eastAsia="宋体"/>
      <w:bCs/>
      <w:caps/>
      <w:sz w:val="30"/>
      <w:szCs w:val="30"/>
    </w:rPr>
  </w:style>
  <w:style w:type="paragraph" w:styleId="19">
    <w:name w:val="Subtitle"/>
    <w:basedOn w:val="20"/>
    <w:next w:val="20"/>
    <w:link w:val="58"/>
    <w:qFormat/>
    <w:uiPriority w:val="11"/>
    <w:pPr>
      <w:spacing w:before="240" w:after="60" w:line="312" w:lineRule="auto"/>
      <w:jc w:val="center"/>
      <w:outlineLvl w:val="1"/>
    </w:pPr>
    <w:rPr>
      <w:rFonts w:ascii="Calibri Light" w:hAnsi="Calibri Light" w:cs="Times New Roman"/>
      <w:b/>
      <w:bCs/>
      <w:kern w:val="28"/>
      <w:sz w:val="32"/>
      <w:szCs w:val="32"/>
    </w:rPr>
  </w:style>
  <w:style w:type="paragraph" w:customStyle="1" w:styleId="20">
    <w:name w:val="Normal_2_0"/>
    <w:next w:val="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Footnote Text_2"/>
    <w:basedOn w:val="20"/>
    <w:qFormat/>
    <w:uiPriority w:val="0"/>
    <w:pPr>
      <w:snapToGrid w:val="0"/>
      <w:jc w:val="left"/>
    </w:pPr>
    <w:rPr>
      <w:rFonts w:eastAsia="Times New Roman"/>
      <w:sz w:val="18"/>
      <w:szCs w:val="18"/>
    </w:rPr>
  </w:style>
  <w:style w:type="paragraph" w:styleId="22">
    <w:name w:val="footnote text"/>
    <w:basedOn w:val="1"/>
    <w:qFormat/>
    <w:uiPriority w:val="0"/>
    <w:pPr>
      <w:snapToGrid w:val="0"/>
      <w:jc w:val="left"/>
    </w:pPr>
    <w:rPr>
      <w:sz w:val="18"/>
    </w:rPr>
  </w:style>
  <w:style w:type="paragraph" w:styleId="2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4">
    <w:name w:val="index 1"/>
    <w:basedOn w:val="1"/>
    <w:next w:val="1"/>
    <w:qFormat/>
    <w:uiPriority w:val="0"/>
    <w:rPr>
      <w:rFonts w:eastAsia="仿宋_GB2312"/>
      <w:b/>
      <w:sz w:val="24"/>
    </w:rPr>
  </w:style>
  <w:style w:type="paragraph" w:styleId="25">
    <w:name w:val="Title"/>
    <w:basedOn w:val="1"/>
    <w:next w:val="1"/>
    <w:link w:val="56"/>
    <w:qFormat/>
    <w:uiPriority w:val="10"/>
    <w:pPr>
      <w:spacing w:before="60" w:after="60"/>
      <w:jc w:val="center"/>
      <w:outlineLvl w:val="0"/>
    </w:pPr>
    <w:rPr>
      <w:rFonts w:ascii="Cambria" w:hAnsi="Cambria" w:cs="Times New Roman"/>
      <w:b/>
      <w:bCs/>
      <w:szCs w:val="32"/>
    </w:rPr>
  </w:style>
  <w:style w:type="paragraph" w:styleId="26">
    <w:name w:val="annotation subject"/>
    <w:basedOn w:val="9"/>
    <w:next w:val="9"/>
    <w:link w:val="45"/>
    <w:qFormat/>
    <w:uiPriority w:val="0"/>
    <w:rPr>
      <w:b/>
      <w:bCs/>
    </w:rPr>
  </w:style>
  <w:style w:type="paragraph" w:styleId="27">
    <w:name w:val="Body Text First Indent"/>
    <w:basedOn w:val="10"/>
    <w:qFormat/>
    <w:uiPriority w:val="0"/>
    <w:pPr>
      <w:ind w:firstLine="420"/>
    </w:pPr>
    <w:rPr>
      <w:rFonts w:eastAsia="楷体_GB2312"/>
      <w:sz w:val="32"/>
      <w:szCs w:val="20"/>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rPr>
  </w:style>
  <w:style w:type="character" w:styleId="32">
    <w:name w:val="page number"/>
    <w:basedOn w:val="30"/>
    <w:qFormat/>
    <w:uiPriority w:val="0"/>
  </w:style>
  <w:style w:type="character" w:styleId="33">
    <w:name w:val="Hyperlink"/>
    <w:basedOn w:val="30"/>
    <w:unhideWhenUsed/>
    <w:qFormat/>
    <w:uiPriority w:val="99"/>
    <w:rPr>
      <w:color w:val="0000FF" w:themeColor="hyperlink"/>
      <w:u w:val="single"/>
      <w14:textFill>
        <w14:solidFill>
          <w14:schemeClr w14:val="hlink"/>
        </w14:solidFill>
      </w14:textFill>
    </w:rPr>
  </w:style>
  <w:style w:type="character" w:styleId="34">
    <w:name w:val="annotation reference"/>
    <w:basedOn w:val="30"/>
    <w:qFormat/>
    <w:uiPriority w:val="0"/>
    <w:rPr>
      <w:sz w:val="21"/>
      <w:szCs w:val="21"/>
    </w:rPr>
  </w:style>
  <w:style w:type="character" w:styleId="35">
    <w:name w:val="footnote reference"/>
    <w:qFormat/>
    <w:uiPriority w:val="0"/>
    <w:rPr>
      <w:vertAlign w:val="superscript"/>
    </w:rPr>
  </w:style>
  <w:style w:type="character" w:styleId="36">
    <w:name w:val="HTML Sample"/>
    <w:basedOn w:val="30"/>
    <w:qFormat/>
    <w:uiPriority w:val="0"/>
    <w:rPr>
      <w:rFonts w:ascii="Courier New" w:hAnsi="Courier New"/>
    </w:rPr>
  </w:style>
  <w:style w:type="paragraph" w:customStyle="1" w:styleId="37">
    <w:name w:val="列表段落1"/>
    <w:basedOn w:val="1"/>
    <w:qFormat/>
    <w:uiPriority w:val="34"/>
    <w:pPr>
      <w:ind w:firstLine="420" w:firstLineChars="200"/>
    </w:pPr>
    <w:rPr>
      <w:rFonts w:ascii="Calibri" w:hAnsi="Calibri"/>
      <w:szCs w:val="22"/>
    </w:rPr>
  </w:style>
  <w:style w:type="paragraph" w:customStyle="1" w:styleId="38">
    <w:name w:val="正文_6"/>
    <w:qFormat/>
    <w:uiPriority w:val="0"/>
    <w:rPr>
      <w:rFonts w:ascii="Times New Roman" w:hAnsi="Times New Roman" w:eastAsia="宋体" w:cs="Times New Roman"/>
      <w:sz w:val="24"/>
      <w:szCs w:val="24"/>
      <w:lang w:val="en-US" w:eastAsia="zh-CN" w:bidi="ar-SA"/>
    </w:rPr>
  </w:style>
  <w:style w:type="paragraph" w:customStyle="1" w:styleId="39">
    <w:name w:val="样式 样式 行距: 1.5 倍行距 + 首行缩进:  2 字符"/>
    <w:basedOn w:val="1"/>
    <w:qFormat/>
    <w:uiPriority w:val="0"/>
    <w:rPr>
      <w:rFonts w:cs="宋体"/>
      <w:sz w:val="24"/>
    </w:rPr>
  </w:style>
  <w:style w:type="paragraph" w:customStyle="1" w:styleId="40">
    <w:name w:val="BodyTextIndent2"/>
    <w:basedOn w:val="1"/>
    <w:qFormat/>
    <w:uiPriority w:val="0"/>
    <w:pPr>
      <w:spacing w:line="360" w:lineRule="auto"/>
      <w:ind w:left="645"/>
      <w:textAlignment w:val="baseline"/>
    </w:pPr>
  </w:style>
  <w:style w:type="paragraph" w:customStyle="1" w:styleId="41">
    <w:name w:val="列出段落1"/>
    <w:basedOn w:val="1"/>
    <w:qFormat/>
    <w:uiPriority w:val="34"/>
    <w:pPr>
      <w:ind w:firstLine="420" w:firstLineChars="200"/>
    </w:pPr>
    <w:rPr>
      <w:rFonts w:ascii="Calibri" w:hAnsi="Calibri"/>
      <w:sz w:val="28"/>
      <w:szCs w:val="21"/>
    </w:rPr>
  </w:style>
  <w:style w:type="paragraph" w:customStyle="1" w:styleId="42">
    <w:name w:val="修订1"/>
    <w:hidden/>
    <w:semiHidden/>
    <w:qFormat/>
    <w:uiPriority w:val="99"/>
    <w:rPr>
      <w:rFonts w:ascii="Times New Roman" w:hAnsi="Times New Roman" w:eastAsia="宋体" w:cs="Times New Roman"/>
      <w:kern w:val="2"/>
      <w:sz w:val="21"/>
      <w:szCs w:val="24"/>
      <w:lang w:val="en-US" w:eastAsia="zh-CN" w:bidi="ar-SA"/>
    </w:rPr>
  </w:style>
  <w:style w:type="table" w:customStyle="1" w:styleId="43">
    <w:name w:val="Table Normal"/>
    <w:unhideWhenUsed/>
    <w:qFormat/>
    <w:uiPriority w:val="0"/>
    <w:tblPr>
      <w:tblCellMar>
        <w:top w:w="0" w:type="dxa"/>
        <w:left w:w="0" w:type="dxa"/>
        <w:bottom w:w="0" w:type="dxa"/>
        <w:right w:w="0" w:type="dxa"/>
      </w:tblCellMar>
    </w:tblPr>
  </w:style>
  <w:style w:type="character" w:customStyle="1" w:styleId="44">
    <w:name w:val="批注文字 字符"/>
    <w:basedOn w:val="30"/>
    <w:link w:val="9"/>
    <w:qFormat/>
    <w:uiPriority w:val="0"/>
    <w:rPr>
      <w:kern w:val="2"/>
      <w:sz w:val="21"/>
      <w:szCs w:val="24"/>
    </w:rPr>
  </w:style>
  <w:style w:type="character" w:customStyle="1" w:styleId="45">
    <w:name w:val="批注主题 字符"/>
    <w:basedOn w:val="44"/>
    <w:link w:val="26"/>
    <w:qFormat/>
    <w:uiPriority w:val="0"/>
    <w:rPr>
      <w:b/>
      <w:bCs/>
      <w:kern w:val="2"/>
      <w:sz w:val="21"/>
      <w:szCs w:val="24"/>
    </w:rPr>
  </w:style>
  <w:style w:type="paragraph" w:customStyle="1" w:styleId="46">
    <w:name w:val="Table Text"/>
    <w:basedOn w:val="1"/>
    <w:semiHidden/>
    <w:qFormat/>
    <w:uiPriority w:val="0"/>
    <w:rPr>
      <w:rFonts w:ascii="仿宋" w:hAnsi="仿宋" w:eastAsia="仿宋" w:cs="仿宋"/>
      <w:sz w:val="24"/>
      <w:szCs w:val="24"/>
      <w:lang w:val="en-US" w:eastAsia="en-US" w:bidi="ar-SA"/>
    </w:rPr>
  </w:style>
  <w:style w:type="paragraph" w:customStyle="1" w:styleId="47">
    <w:name w:val="正文_1_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48">
    <w:name w:val="正文缩进2"/>
    <w:basedOn w:val="1"/>
    <w:qFormat/>
    <w:uiPriority w:val="0"/>
    <w:pPr>
      <w:wordWrap w:val="0"/>
      <w:ind w:firstLine="200" w:firstLineChars="200"/>
    </w:pPr>
  </w:style>
  <w:style w:type="paragraph" w:customStyle="1" w:styleId="49">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50">
    <w:name w:val="p0"/>
    <w:basedOn w:val="1"/>
    <w:qFormat/>
    <w:uiPriority w:val="0"/>
    <w:pPr>
      <w:widowControl/>
      <w:snapToGrid w:val="0"/>
      <w:spacing w:line="312" w:lineRule="atLeast"/>
      <w:textAlignment w:val="baseline"/>
    </w:pPr>
    <w:rPr>
      <w:kern w:val="0"/>
      <w:szCs w:val="21"/>
    </w:rPr>
  </w:style>
  <w:style w:type="paragraph" w:styleId="51">
    <w:name w:val="List Paragraph"/>
    <w:basedOn w:val="1"/>
    <w:qFormat/>
    <w:uiPriority w:val="34"/>
    <w:pPr>
      <w:ind w:firstLine="420" w:firstLineChars="200"/>
    </w:pPr>
  </w:style>
  <w:style w:type="paragraph" w:styleId="52">
    <w:name w:val="No Spacing"/>
    <w:qFormat/>
    <w:uiPriority w:val="1"/>
    <w:pPr>
      <w:widowControl w:val="0"/>
    </w:pPr>
    <w:rPr>
      <w:rFonts w:ascii="宋体" w:hAnsi="宋体" w:eastAsia="宋体" w:cstheme="minorBidi"/>
      <w:kern w:val="2"/>
      <w:sz w:val="21"/>
      <w:szCs w:val="22"/>
      <w:lang w:val="en-US" w:eastAsia="zh-CN" w:bidi="ar-SA"/>
    </w:rPr>
  </w:style>
  <w:style w:type="paragraph" w:customStyle="1" w:styleId="53">
    <w:name w:val="zhang"/>
    <w:basedOn w:val="1"/>
    <w:qFormat/>
    <w:uiPriority w:val="0"/>
    <w:pPr>
      <w:spacing w:before="100" w:beforeLines="0" w:beforeAutospacing="1" w:after="100" w:afterLines="0" w:afterAutospacing="1"/>
    </w:pPr>
    <w:rPr>
      <w:b/>
      <w:bCs/>
      <w:smallCaps/>
      <w:color w:val="000000"/>
      <w:sz w:val="20"/>
      <w:szCs w:val="20"/>
    </w:rPr>
  </w:style>
  <w:style w:type="paragraph" w:customStyle="1" w:styleId="54">
    <w:name w:val="Heading 1_0"/>
    <w:basedOn w:val="20"/>
    <w:next w:val="20"/>
    <w:qFormat/>
    <w:uiPriority w:val="0"/>
    <w:pPr>
      <w:keepNext/>
      <w:keepLines/>
      <w:spacing w:before="340" w:after="330" w:line="578" w:lineRule="auto"/>
      <w:outlineLvl w:val="0"/>
    </w:pPr>
    <w:rPr>
      <w:rFonts w:eastAsia="Times New Roman"/>
      <w:b/>
      <w:bCs/>
      <w:kern w:val="44"/>
      <w:sz w:val="44"/>
      <w:szCs w:val="44"/>
    </w:rPr>
  </w:style>
  <w:style w:type="paragraph" w:customStyle="1" w:styleId="55">
    <w:name w:val="p0_0"/>
    <w:basedOn w:val="20"/>
    <w:qFormat/>
    <w:uiPriority w:val="0"/>
    <w:pPr>
      <w:widowControl/>
    </w:pPr>
    <w:rPr>
      <w:rFonts w:ascii="Calibri" w:hAnsi="Calibri" w:eastAsia="Times New Roman"/>
      <w:kern w:val="0"/>
      <w:sz w:val="20"/>
      <w:szCs w:val="21"/>
    </w:rPr>
  </w:style>
  <w:style w:type="character" w:customStyle="1" w:styleId="56">
    <w:name w:val="标题 Char"/>
    <w:link w:val="25"/>
    <w:qFormat/>
    <w:uiPriority w:val="10"/>
    <w:rPr>
      <w:rFonts w:ascii="Cambria" w:hAnsi="Cambria" w:cs="Times New Roman"/>
      <w:b/>
      <w:bCs/>
      <w:szCs w:val="32"/>
    </w:rPr>
  </w:style>
  <w:style w:type="paragraph" w:customStyle="1" w:styleId="57">
    <w:name w:val="Title"/>
    <w:basedOn w:val="20"/>
    <w:next w:val="20"/>
    <w:qFormat/>
    <w:uiPriority w:val="10"/>
    <w:pPr>
      <w:spacing w:before="240" w:after="60"/>
      <w:jc w:val="center"/>
      <w:outlineLvl w:val="0"/>
    </w:pPr>
    <w:rPr>
      <w:rFonts w:ascii="Cambria" w:hAnsi="Cambria" w:eastAsia="Times New Roman"/>
      <w:b/>
      <w:sz w:val="32"/>
    </w:rPr>
  </w:style>
  <w:style w:type="character" w:customStyle="1" w:styleId="58">
    <w:name w:val="副标题 Char"/>
    <w:link w:val="19"/>
    <w:qFormat/>
    <w:uiPriority w:val="11"/>
    <w:rPr>
      <w:rFonts w:ascii="Calibri Light" w:hAnsi="Calibri Light" w:cs="Times New Roman"/>
      <w:b/>
      <w:bCs/>
      <w:kern w:val="28"/>
      <w:sz w:val="32"/>
      <w:szCs w:val="32"/>
    </w:rPr>
  </w:style>
  <w:style w:type="paragraph" w:customStyle="1" w:styleId="59">
    <w:name w:val="Normal (Web)"/>
    <w:basedOn w:val="20"/>
    <w:qFormat/>
    <w:uiPriority w:val="99"/>
    <w:pPr>
      <w:widowControl/>
      <w:spacing w:before="100" w:beforeAutospacing="1" w:after="100" w:afterAutospacing="1"/>
      <w:jc w:val="left"/>
    </w:pPr>
    <w:rPr>
      <w:rFonts w:ascii="宋体" w:hAnsi="宋体" w:eastAsia="Times New Roman"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106</Pages>
  <Words>18105</Words>
  <Characters>19610</Characters>
  <Lines>202</Lines>
  <Paragraphs>56</Paragraphs>
  <TotalTime>62</TotalTime>
  <ScaleCrop>false</ScaleCrop>
  <LinksUpToDate>false</LinksUpToDate>
  <CharactersWithSpaces>19616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2023-05-13T09:38:00Z</dcterms:created>
  <dc:creator>lenovo</dc:creator>
  <cp:lastModifiedBy>pi u</cp:lastModifiedBy>
  <dcterms:modified xsi:type="dcterms:W3CDTF">2026-05-21T12:08:31Z</dcterms:modified>
  <dc:title>货物类政府采购公开招标文件</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99602D437C2341FEA1E1A82E06365C68</vt:lpwstr>
  </property>
  <property fmtid="{D5CDD505-2E9C-101B-9397-08002B2CF9AE}" pid="4" name="KSOSaveFontToCloudKey">
    <vt:lpwstr>260772819_embed</vt:lpwstr>
  </property>
  <property fmtid="{D5CDD505-2E9C-101B-9397-08002B2CF9AE}" pid="5" name="KSOTemplateDocerSaveRecord">
    <vt:lpwstr>eyJoZGlkIjoiMTZjZmJlYzZhNTk3YTEzNmY1YTVmNzUyYTlkM2UzNjkiLCJ1c2VySWQiOiI2NTA2MTU2NzIifQ==</vt:lpwstr>
  </property>
</Properties>
</file>