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0A7FB">
      <w:pPr>
        <w:spacing w:line="1000" w:lineRule="exact"/>
        <w:ind w:right="-319" w:rightChars="-152"/>
        <w:jc w:val="center"/>
        <w:rPr>
          <w:rFonts w:ascii="宋体" w:hAnsi="宋体" w:cs="宋体"/>
          <w:b/>
          <w:bCs/>
          <w:color w:val="auto"/>
          <w:sz w:val="44"/>
          <w:szCs w:val="44"/>
          <w:highlight w:val="none"/>
        </w:rPr>
      </w:pPr>
    </w:p>
    <w:p w14:paraId="661636BB">
      <w:pPr>
        <w:spacing w:line="1000" w:lineRule="exact"/>
        <w:ind w:right="-319" w:rightChars="-152"/>
        <w:jc w:val="center"/>
        <w:rPr>
          <w:rFonts w:hint="eastAsia" w:ascii="宋体" w:hAnsi="宋体" w:cs="宋体"/>
          <w:b/>
          <w:bCs/>
          <w:color w:val="auto"/>
          <w:sz w:val="36"/>
          <w:szCs w:val="36"/>
          <w:highlight w:val="none"/>
          <w:lang w:eastAsia="zh-CN"/>
        </w:rPr>
      </w:pPr>
      <w:r>
        <w:rPr>
          <w:rFonts w:hint="eastAsia" w:ascii="宋体" w:hAnsi="宋体" w:cs="宋体"/>
          <w:b/>
          <w:bCs/>
          <w:color w:val="auto"/>
          <w:sz w:val="36"/>
          <w:szCs w:val="36"/>
          <w:highlight w:val="none"/>
          <w:lang w:eastAsia="zh-CN"/>
        </w:rPr>
        <w:t>克拉玛依市乌尔禾区瑞翔幼儿园智慧幼儿园采购项目</w:t>
      </w:r>
    </w:p>
    <w:p w14:paraId="046B94B2">
      <w:pPr>
        <w:spacing w:line="1000" w:lineRule="exact"/>
        <w:ind w:right="-319" w:rightChars="-152"/>
        <w:jc w:val="center"/>
        <w:rPr>
          <w:rFonts w:hint="eastAsia" w:ascii="宋体" w:hAnsi="宋体" w:eastAsia="宋体" w:cs="宋体"/>
          <w:b/>
          <w:bCs/>
          <w:color w:val="auto"/>
          <w:sz w:val="36"/>
          <w:szCs w:val="36"/>
          <w:highlight w:val="none"/>
          <w:lang w:val="en-US" w:eastAsia="zh-CN"/>
        </w:rPr>
      </w:pPr>
      <w:r>
        <w:rPr>
          <w:rFonts w:hint="eastAsia" w:ascii="宋体" w:hAnsi="宋体" w:cs="宋体"/>
          <w:b/>
          <w:bCs/>
          <w:color w:val="auto"/>
          <w:sz w:val="36"/>
          <w:szCs w:val="36"/>
          <w:highlight w:val="none"/>
          <w:lang w:eastAsia="zh-CN"/>
        </w:rPr>
        <w:t>招标</w:t>
      </w:r>
      <w:r>
        <w:rPr>
          <w:rFonts w:hint="eastAsia" w:ascii="宋体" w:hAnsi="宋体" w:cs="宋体"/>
          <w:b/>
          <w:bCs/>
          <w:color w:val="auto"/>
          <w:sz w:val="36"/>
          <w:szCs w:val="36"/>
          <w:highlight w:val="none"/>
        </w:rPr>
        <w:t>文件</w:t>
      </w:r>
      <w:r>
        <w:rPr>
          <w:rFonts w:hint="eastAsia" w:ascii="宋体" w:hAnsi="宋体" w:cs="宋体"/>
          <w:b/>
          <w:bCs/>
          <w:color w:val="auto"/>
          <w:sz w:val="36"/>
          <w:szCs w:val="36"/>
          <w:highlight w:val="none"/>
          <w:lang w:val="en-US" w:eastAsia="zh-CN"/>
        </w:rPr>
        <w:t>二次</w:t>
      </w:r>
    </w:p>
    <w:p w14:paraId="7EA5A64E">
      <w:pPr>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br w:type="textWrapping"/>
      </w:r>
    </w:p>
    <w:p w14:paraId="45EF044B">
      <w:pPr>
        <w:spacing w:line="660" w:lineRule="exact"/>
        <w:jc w:val="center"/>
        <w:rPr>
          <w:rFonts w:ascii="宋体" w:hAnsi="宋体" w:cs="宋体"/>
          <w:color w:val="auto"/>
          <w:sz w:val="24"/>
          <w:highlight w:val="none"/>
        </w:rPr>
      </w:pPr>
      <w:r>
        <w:rPr>
          <w:rFonts w:hint="eastAsia" w:ascii="宋体" w:hAnsi="宋体" w:cs="宋体"/>
          <w:b/>
          <w:color w:val="auto"/>
          <w:sz w:val="28"/>
          <w:szCs w:val="28"/>
          <w:highlight w:val="none"/>
        </w:rPr>
        <w:t>（编号：</w:t>
      </w:r>
      <w:r>
        <w:rPr>
          <w:rFonts w:hint="eastAsia" w:ascii="宋体" w:hAnsi="宋体" w:cs="宋体"/>
          <w:b/>
          <w:color w:val="auto"/>
          <w:sz w:val="28"/>
          <w:szCs w:val="28"/>
          <w:highlight w:val="none"/>
          <w:lang w:eastAsia="zh-CN"/>
        </w:rPr>
        <w:t>YXZB[ZC]2026-29</w:t>
      </w:r>
      <w:r>
        <w:rPr>
          <w:rFonts w:hint="eastAsia" w:ascii="宋体" w:hAnsi="宋体" w:cs="宋体"/>
          <w:b/>
          <w:color w:val="auto"/>
          <w:sz w:val="28"/>
          <w:szCs w:val="28"/>
          <w:highlight w:val="none"/>
        </w:rPr>
        <w:t>）</w:t>
      </w:r>
    </w:p>
    <w:p w14:paraId="352ECB0E">
      <w:pPr>
        <w:pStyle w:val="9"/>
        <w:rPr>
          <w:rFonts w:ascii="宋体" w:hAnsi="宋体" w:cs="宋体"/>
          <w:color w:val="auto"/>
          <w:highlight w:val="none"/>
        </w:rPr>
      </w:pPr>
    </w:p>
    <w:p w14:paraId="3773E730">
      <w:pPr>
        <w:pStyle w:val="9"/>
        <w:rPr>
          <w:rFonts w:ascii="宋体" w:hAnsi="宋体" w:cs="宋体"/>
          <w:color w:val="auto"/>
          <w:highlight w:val="none"/>
        </w:rPr>
      </w:pPr>
    </w:p>
    <w:p w14:paraId="1EF89CDF">
      <w:pPr>
        <w:pStyle w:val="9"/>
        <w:rPr>
          <w:rFonts w:ascii="宋体" w:hAnsi="宋体" w:cs="宋体"/>
          <w:color w:val="auto"/>
          <w:highlight w:val="none"/>
        </w:rPr>
      </w:pPr>
    </w:p>
    <w:p w14:paraId="1D61A090">
      <w:pPr>
        <w:pStyle w:val="9"/>
        <w:rPr>
          <w:rFonts w:ascii="宋体" w:hAnsi="宋体" w:cs="宋体"/>
          <w:color w:val="auto"/>
          <w:highlight w:val="none"/>
        </w:rPr>
      </w:pPr>
    </w:p>
    <w:p w14:paraId="016CB3CC">
      <w:pPr>
        <w:pStyle w:val="9"/>
        <w:rPr>
          <w:rFonts w:ascii="宋体" w:hAnsi="宋体" w:cs="宋体"/>
          <w:color w:val="auto"/>
          <w:highlight w:val="none"/>
        </w:rPr>
      </w:pPr>
    </w:p>
    <w:p w14:paraId="533AEBA6">
      <w:pPr>
        <w:spacing w:line="480" w:lineRule="auto"/>
        <w:ind w:firstLine="1124" w:firstLineChars="400"/>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采 购 人：</w:t>
      </w:r>
      <w:r>
        <w:rPr>
          <w:rFonts w:hint="eastAsia" w:ascii="宋体" w:hAnsi="宋体" w:cs="宋体"/>
          <w:b/>
          <w:bCs/>
          <w:color w:val="auto"/>
          <w:sz w:val="28"/>
          <w:szCs w:val="28"/>
          <w:highlight w:val="none"/>
          <w:lang w:eastAsia="zh-CN"/>
        </w:rPr>
        <w:t>克拉玛依市乌尔禾区瑞翔幼儿园</w:t>
      </w:r>
    </w:p>
    <w:p w14:paraId="3893A093">
      <w:pPr>
        <w:spacing w:line="480" w:lineRule="auto"/>
        <w:ind w:firstLine="1124" w:firstLineChars="400"/>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联 系 人：</w:t>
      </w:r>
      <w:r>
        <w:rPr>
          <w:rFonts w:hint="eastAsia" w:ascii="宋体" w:hAnsi="宋体" w:cs="宋体"/>
          <w:b/>
          <w:bCs/>
          <w:color w:val="auto"/>
          <w:sz w:val="28"/>
          <w:szCs w:val="28"/>
          <w:highlight w:val="none"/>
          <w:lang w:val="en-US" w:eastAsia="zh-CN"/>
        </w:rPr>
        <w:t>张美艳</w:t>
      </w:r>
    </w:p>
    <w:p w14:paraId="08C43E06">
      <w:pPr>
        <w:spacing w:line="480" w:lineRule="auto"/>
        <w:ind w:firstLine="1124" w:firstLineChars="400"/>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联系电话：</w:t>
      </w:r>
      <w:r>
        <w:rPr>
          <w:rFonts w:hint="eastAsia" w:ascii="宋体" w:hAnsi="宋体" w:cs="宋体"/>
          <w:b/>
          <w:bCs/>
          <w:color w:val="auto"/>
          <w:sz w:val="28"/>
          <w:szCs w:val="28"/>
          <w:highlight w:val="none"/>
          <w:lang w:val="en-US" w:eastAsia="zh-CN"/>
        </w:rPr>
        <w:t>0990-6964180</w:t>
      </w:r>
    </w:p>
    <w:p w14:paraId="2CBCE99D">
      <w:pPr>
        <w:spacing w:line="480" w:lineRule="auto"/>
        <w:ind w:firstLine="1124" w:firstLineChars="400"/>
        <w:rPr>
          <w:rFonts w:ascii="宋体" w:hAnsi="宋体" w:cs="宋体"/>
          <w:b/>
          <w:bCs/>
          <w:color w:val="auto"/>
          <w:sz w:val="28"/>
          <w:szCs w:val="28"/>
          <w:highlight w:val="none"/>
        </w:rPr>
      </w:pPr>
      <w:r>
        <w:rPr>
          <w:rFonts w:hint="eastAsia" w:ascii="宋体" w:hAnsi="宋体" w:cs="宋体"/>
          <w:b/>
          <w:bCs/>
          <w:color w:val="auto"/>
          <w:sz w:val="28"/>
          <w:szCs w:val="28"/>
          <w:highlight w:val="none"/>
        </w:rPr>
        <w:t>采购代理机构：新疆永信工程造价咨询有限公司</w:t>
      </w:r>
    </w:p>
    <w:p w14:paraId="3800F554">
      <w:pPr>
        <w:spacing w:line="480" w:lineRule="auto"/>
        <w:ind w:firstLine="1124" w:firstLineChars="400"/>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联 系 人：</w:t>
      </w:r>
      <w:r>
        <w:rPr>
          <w:rFonts w:hint="eastAsia" w:ascii="宋体" w:hAnsi="宋体" w:cs="宋体"/>
          <w:b/>
          <w:bCs/>
          <w:color w:val="auto"/>
          <w:sz w:val="28"/>
          <w:szCs w:val="28"/>
          <w:highlight w:val="none"/>
          <w:lang w:val="en-US" w:eastAsia="zh-CN"/>
        </w:rPr>
        <w:t>李彦霖、刘其利、陈婧怡、任薇潼</w:t>
      </w:r>
    </w:p>
    <w:p w14:paraId="1A2BD76E">
      <w:pPr>
        <w:spacing w:line="480" w:lineRule="auto"/>
        <w:rPr>
          <w:rFonts w:hint="default" w:ascii="宋体" w:hAnsi="宋体" w:eastAsia="宋体" w:cs="宋体"/>
          <w:color w:val="auto"/>
          <w:sz w:val="28"/>
          <w:szCs w:val="28"/>
          <w:highlight w:val="none"/>
          <w:lang w:val="en-US" w:eastAsia="zh-CN"/>
        </w:rPr>
      </w:pPr>
      <w:r>
        <w:rPr>
          <w:rFonts w:hint="eastAsia" w:ascii="宋体" w:hAnsi="宋体" w:cs="宋体"/>
          <w:b/>
          <w:bCs/>
          <w:color w:val="auto"/>
          <w:sz w:val="28"/>
          <w:szCs w:val="28"/>
          <w:highlight w:val="none"/>
        </w:rPr>
        <w:t xml:space="preserve">        联系电话：</w:t>
      </w:r>
      <w:r>
        <w:rPr>
          <w:rFonts w:hint="eastAsia" w:ascii="宋体" w:hAnsi="宋体" w:cs="宋体"/>
          <w:b/>
          <w:bCs/>
          <w:color w:val="auto"/>
          <w:sz w:val="28"/>
          <w:szCs w:val="28"/>
          <w:highlight w:val="none"/>
          <w:lang w:val="en-US" w:eastAsia="zh-CN"/>
        </w:rPr>
        <w:t>15899390011、0990-6881236</w:t>
      </w:r>
    </w:p>
    <w:p w14:paraId="086B5772">
      <w:pPr>
        <w:spacing w:line="360" w:lineRule="auto"/>
        <w:jc w:val="center"/>
        <w:rPr>
          <w:rFonts w:ascii="宋体" w:hAnsi="宋体" w:cs="宋体"/>
          <w:b/>
          <w:color w:val="auto"/>
          <w:sz w:val="28"/>
          <w:szCs w:val="28"/>
          <w:highlight w:val="none"/>
        </w:rPr>
      </w:pPr>
    </w:p>
    <w:p w14:paraId="45D0BF3A">
      <w:pPr>
        <w:pStyle w:val="9"/>
        <w:rPr>
          <w:rFonts w:ascii="宋体" w:hAnsi="宋体" w:cs="宋体"/>
          <w:color w:val="auto"/>
          <w:highlight w:val="none"/>
        </w:rPr>
      </w:pPr>
    </w:p>
    <w:p w14:paraId="63DE1B85">
      <w:pPr>
        <w:spacing w:line="360" w:lineRule="auto"/>
        <w:jc w:val="center"/>
        <w:rPr>
          <w:rFonts w:ascii="宋体" w:hAnsi="宋体" w:cs="宋体"/>
          <w:color w:val="auto"/>
          <w:highlight w:val="none"/>
        </w:rPr>
      </w:pPr>
      <w:r>
        <w:rPr>
          <w:rFonts w:hint="eastAsia" w:ascii="宋体" w:hAnsi="宋体" w:cs="宋体"/>
          <w:b/>
          <w:color w:val="auto"/>
          <w:sz w:val="28"/>
          <w:szCs w:val="28"/>
          <w:highlight w:val="none"/>
          <w:lang w:val="en-US" w:eastAsia="zh-CN"/>
        </w:rPr>
        <w:t>2026年4月</w:t>
      </w:r>
    </w:p>
    <w:p w14:paraId="61CB86AC">
      <w:pPr>
        <w:pageBreakBefore/>
        <w:spacing w:line="500" w:lineRule="exact"/>
        <w:jc w:val="center"/>
        <w:rPr>
          <w:rFonts w:hint="eastAsia" w:ascii="宋体" w:hAnsi="宋体" w:cs="宋体"/>
          <w:b/>
          <w:bCs/>
          <w:color w:val="auto"/>
          <w:sz w:val="32"/>
          <w:szCs w:val="32"/>
          <w:highlight w:val="none"/>
        </w:rPr>
        <w:sectPr>
          <w:headerReference r:id="rId3" w:type="default"/>
          <w:pgSz w:w="11906" w:h="16838"/>
          <w:pgMar w:top="1440" w:right="1080" w:bottom="1440" w:left="1080" w:header="851" w:footer="992" w:gutter="0"/>
          <w:pgNumType w:fmt="numberInDash"/>
          <w:cols w:space="425" w:num="1"/>
          <w:docGrid w:type="lines" w:linePitch="312" w:charSpace="0"/>
        </w:sectPr>
      </w:pPr>
    </w:p>
    <w:p w14:paraId="4F7830A7">
      <w:pPr>
        <w:keepNext w:val="0"/>
        <w:keepLines w:val="0"/>
        <w:pageBreakBefore/>
        <w:widowControl w:val="0"/>
        <w:kinsoku/>
        <w:wordWrap/>
        <w:overflowPunct/>
        <w:topLinePunct w:val="0"/>
        <w:autoSpaceDE/>
        <w:autoSpaceDN/>
        <w:bidi w:val="0"/>
        <w:adjustRightInd/>
        <w:snapToGrid/>
        <w:spacing w:line="500" w:lineRule="exact"/>
        <w:jc w:val="center"/>
        <w:textAlignment w:val="auto"/>
        <w:rPr>
          <w:rFonts w:ascii="宋体" w:hAnsi="宋体" w:cs="宋体"/>
          <w:b/>
          <w:color w:val="auto"/>
          <w:kern w:val="2"/>
          <w:sz w:val="24"/>
          <w:szCs w:val="24"/>
          <w:highlight w:val="none"/>
        </w:rPr>
      </w:pPr>
      <w:r>
        <w:rPr>
          <w:rFonts w:hint="eastAsia" w:ascii="宋体" w:hAnsi="宋体" w:cs="宋体"/>
          <w:b/>
          <w:bCs/>
          <w:color w:val="auto"/>
          <w:sz w:val="32"/>
          <w:szCs w:val="32"/>
          <w:highlight w:val="none"/>
        </w:rPr>
        <w:t>总  目  录</w:t>
      </w:r>
    </w:p>
    <w:p w14:paraId="2152BC34">
      <w:pPr>
        <w:pStyle w:val="28"/>
        <w:tabs>
          <w:tab w:val="right" w:leader="dot" w:pos="9185"/>
        </w:tabs>
        <w:spacing w:line="600" w:lineRule="auto"/>
        <w:rPr>
          <w:rFonts w:hint="eastAsia" w:ascii="宋体" w:hAnsi="宋体" w:eastAsia="宋体" w:cs="宋体"/>
          <w:b/>
          <w:color w:val="auto"/>
          <w:kern w:val="2"/>
          <w:sz w:val="24"/>
          <w:szCs w:val="24"/>
          <w:highlight w:val="none"/>
          <w:lang w:eastAsia="zh-CN"/>
        </w:rPr>
      </w:pPr>
      <w:r>
        <w:rPr>
          <w:rFonts w:hint="eastAsia" w:ascii="宋体" w:hAnsi="宋体" w:cs="宋体"/>
          <w:b/>
          <w:color w:val="auto"/>
          <w:kern w:val="2"/>
          <w:sz w:val="24"/>
          <w:szCs w:val="24"/>
          <w:highlight w:val="none"/>
        </w:rPr>
        <w:t>第一章、</w:t>
      </w:r>
      <w:r>
        <w:rPr>
          <w:rFonts w:hint="eastAsia" w:ascii="宋体" w:hAnsi="宋体" w:cs="宋体"/>
          <w:b/>
          <w:color w:val="auto"/>
          <w:kern w:val="2"/>
          <w:sz w:val="24"/>
          <w:szCs w:val="24"/>
          <w:highlight w:val="none"/>
          <w:lang w:eastAsia="zh-CN"/>
        </w:rPr>
        <w:t>招标</w:t>
      </w:r>
      <w:r>
        <w:rPr>
          <w:rFonts w:hint="eastAsia" w:ascii="宋体" w:hAnsi="宋体" w:cs="宋体"/>
          <w:b/>
          <w:color w:val="auto"/>
          <w:kern w:val="2"/>
          <w:sz w:val="24"/>
          <w:szCs w:val="24"/>
          <w:highlight w:val="none"/>
        </w:rPr>
        <w:t>公告</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5</w:t>
      </w:r>
    </w:p>
    <w:p w14:paraId="46F12093">
      <w:pPr>
        <w:pStyle w:val="28"/>
        <w:tabs>
          <w:tab w:val="right" w:leader="dot" w:pos="9185"/>
        </w:tabs>
        <w:spacing w:line="600" w:lineRule="auto"/>
        <w:rPr>
          <w:rFonts w:hint="eastAsia" w:ascii="宋体" w:hAnsi="宋体" w:eastAsia="宋体" w:cs="宋体"/>
          <w:b/>
          <w:color w:val="auto"/>
          <w:kern w:val="2"/>
          <w:sz w:val="24"/>
          <w:szCs w:val="24"/>
          <w:highlight w:val="none"/>
          <w:lang w:eastAsia="zh-CN"/>
        </w:rPr>
      </w:pPr>
      <w:r>
        <w:rPr>
          <w:rFonts w:hint="eastAsia" w:ascii="宋体" w:hAnsi="宋体" w:cs="宋体"/>
          <w:b/>
          <w:color w:val="auto"/>
          <w:kern w:val="2"/>
          <w:sz w:val="24"/>
          <w:szCs w:val="24"/>
          <w:highlight w:val="none"/>
        </w:rPr>
        <w:t>第二章、供应商须知</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6</w:t>
      </w:r>
    </w:p>
    <w:p w14:paraId="68928283">
      <w:pPr>
        <w:pStyle w:val="28"/>
        <w:tabs>
          <w:tab w:val="right" w:leader="dot" w:pos="9185"/>
        </w:tabs>
        <w:spacing w:line="600" w:lineRule="auto"/>
        <w:rPr>
          <w:rFonts w:hint="eastAsia" w:ascii="宋体" w:hAnsi="宋体" w:eastAsia="宋体" w:cs="宋体"/>
          <w:b/>
          <w:color w:val="auto"/>
          <w:kern w:val="2"/>
          <w:sz w:val="24"/>
          <w:szCs w:val="24"/>
          <w:highlight w:val="none"/>
          <w:lang w:eastAsia="zh-CN"/>
        </w:rPr>
      </w:pPr>
      <w:r>
        <w:rPr>
          <w:rFonts w:hint="eastAsia" w:ascii="宋体" w:hAnsi="宋体" w:cs="宋体"/>
          <w:b/>
          <w:color w:val="auto"/>
          <w:kern w:val="2"/>
          <w:sz w:val="24"/>
          <w:szCs w:val="24"/>
          <w:highlight w:val="none"/>
        </w:rPr>
        <w:t>第三章、项目采购需求</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rPr>
        <w:t>2</w:t>
      </w:r>
      <w:r>
        <w:rPr>
          <w:rFonts w:hint="eastAsia" w:ascii="宋体" w:hAnsi="宋体" w:cs="宋体"/>
          <w:b/>
          <w:color w:val="auto"/>
          <w:kern w:val="2"/>
          <w:sz w:val="24"/>
          <w:szCs w:val="24"/>
          <w:highlight w:val="none"/>
          <w:lang w:val="en-US" w:eastAsia="zh-CN"/>
        </w:rPr>
        <w:t>8</w:t>
      </w:r>
    </w:p>
    <w:p w14:paraId="2150031E">
      <w:pPr>
        <w:pStyle w:val="28"/>
        <w:tabs>
          <w:tab w:val="right" w:leader="dot" w:pos="9185"/>
        </w:tabs>
        <w:spacing w:line="600" w:lineRule="auto"/>
        <w:rPr>
          <w:rFonts w:hint="default"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rPr>
        <w:t>第四章、合同协议书</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71</w:t>
      </w:r>
    </w:p>
    <w:p w14:paraId="352880D6">
      <w:pPr>
        <w:pStyle w:val="28"/>
        <w:tabs>
          <w:tab w:val="right" w:leader="dot" w:pos="9185"/>
        </w:tabs>
        <w:spacing w:line="600" w:lineRule="auto"/>
        <w:rPr>
          <w:rFonts w:hint="default"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rPr>
        <w:t>第五章、</w:t>
      </w:r>
      <w:r>
        <w:rPr>
          <w:rFonts w:hint="eastAsia" w:ascii="宋体" w:hAnsi="宋体" w:cs="宋体"/>
          <w:b/>
          <w:color w:val="auto"/>
          <w:kern w:val="2"/>
          <w:sz w:val="24"/>
          <w:szCs w:val="24"/>
          <w:highlight w:val="none"/>
          <w:lang w:eastAsia="zh-CN"/>
        </w:rPr>
        <w:t>投标文件</w:t>
      </w:r>
      <w:r>
        <w:rPr>
          <w:rFonts w:hint="eastAsia" w:ascii="宋体" w:hAnsi="宋体" w:cs="宋体"/>
          <w:b/>
          <w:color w:val="auto"/>
          <w:kern w:val="2"/>
          <w:sz w:val="24"/>
          <w:szCs w:val="24"/>
          <w:highlight w:val="none"/>
        </w:rPr>
        <w:t>格式</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75</w:t>
      </w:r>
    </w:p>
    <w:p w14:paraId="0CB097B4">
      <w:pPr>
        <w:pStyle w:val="28"/>
        <w:tabs>
          <w:tab w:val="right" w:leader="dot" w:pos="9185"/>
        </w:tabs>
        <w:spacing w:line="600" w:lineRule="auto"/>
        <w:rPr>
          <w:rFonts w:hint="default"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rPr>
        <w:t>第六章、评标标准（</w:t>
      </w:r>
      <w:r>
        <w:rPr>
          <w:rFonts w:hint="eastAsia" w:ascii="宋体" w:hAnsi="宋体" w:cs="宋体"/>
          <w:b/>
          <w:color w:val="auto"/>
          <w:kern w:val="2"/>
          <w:sz w:val="24"/>
          <w:szCs w:val="24"/>
          <w:highlight w:val="none"/>
          <w:lang w:eastAsia="zh-CN"/>
        </w:rPr>
        <w:t>综合评分法</w:t>
      </w:r>
      <w:r>
        <w:rPr>
          <w:rFonts w:hint="eastAsia" w:ascii="宋体" w:hAnsi="宋体" w:cs="宋体"/>
          <w:b/>
          <w:color w:val="auto"/>
          <w:kern w:val="2"/>
          <w:sz w:val="24"/>
          <w:szCs w:val="24"/>
          <w:highlight w:val="none"/>
        </w:rPr>
        <w:t>）</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105</w:t>
      </w:r>
    </w:p>
    <w:p w14:paraId="3B1728C6">
      <w:pPr>
        <w:spacing w:line="312" w:lineRule="auto"/>
        <w:jc w:val="center"/>
        <w:rPr>
          <w:rFonts w:ascii="宋体" w:hAnsi="宋体" w:cs="宋体"/>
          <w:b/>
          <w:color w:val="auto"/>
          <w:sz w:val="30"/>
          <w:szCs w:val="30"/>
          <w:highlight w:val="none"/>
        </w:rPr>
      </w:pPr>
    </w:p>
    <w:p w14:paraId="7584C8EA">
      <w:pPr>
        <w:spacing w:line="312" w:lineRule="auto"/>
        <w:jc w:val="center"/>
        <w:rPr>
          <w:rFonts w:ascii="宋体" w:hAnsi="宋体" w:cs="宋体"/>
          <w:b/>
          <w:color w:val="auto"/>
          <w:sz w:val="30"/>
          <w:szCs w:val="30"/>
          <w:highlight w:val="none"/>
        </w:rPr>
      </w:pPr>
    </w:p>
    <w:p w14:paraId="408FE9E7">
      <w:pPr>
        <w:spacing w:line="312" w:lineRule="auto"/>
        <w:jc w:val="center"/>
        <w:rPr>
          <w:rFonts w:ascii="宋体" w:hAnsi="宋体" w:cs="宋体"/>
          <w:b/>
          <w:color w:val="auto"/>
          <w:sz w:val="30"/>
          <w:szCs w:val="30"/>
          <w:highlight w:val="none"/>
        </w:rPr>
      </w:pPr>
    </w:p>
    <w:p w14:paraId="7B0F3858">
      <w:pPr>
        <w:spacing w:line="312" w:lineRule="auto"/>
        <w:jc w:val="center"/>
        <w:rPr>
          <w:rFonts w:ascii="宋体" w:hAnsi="宋体" w:cs="宋体"/>
          <w:b/>
          <w:color w:val="auto"/>
          <w:sz w:val="30"/>
          <w:szCs w:val="30"/>
          <w:highlight w:val="none"/>
        </w:rPr>
      </w:pPr>
    </w:p>
    <w:p w14:paraId="56EAD28E">
      <w:pPr>
        <w:spacing w:line="312" w:lineRule="auto"/>
        <w:jc w:val="center"/>
        <w:rPr>
          <w:rFonts w:ascii="宋体" w:hAnsi="宋体" w:cs="宋体"/>
          <w:b/>
          <w:color w:val="auto"/>
          <w:sz w:val="30"/>
          <w:szCs w:val="30"/>
          <w:highlight w:val="none"/>
        </w:rPr>
      </w:pPr>
    </w:p>
    <w:p w14:paraId="783E9AB2">
      <w:pPr>
        <w:spacing w:line="312" w:lineRule="auto"/>
        <w:jc w:val="center"/>
        <w:rPr>
          <w:rFonts w:ascii="宋体" w:hAnsi="宋体" w:cs="宋体"/>
          <w:b/>
          <w:color w:val="auto"/>
          <w:sz w:val="30"/>
          <w:szCs w:val="30"/>
          <w:highlight w:val="none"/>
        </w:rPr>
      </w:pPr>
    </w:p>
    <w:p w14:paraId="3BF47AE1">
      <w:pPr>
        <w:tabs>
          <w:tab w:val="left" w:pos="1230"/>
          <w:tab w:val="left" w:pos="1275"/>
        </w:tabs>
        <w:spacing w:line="34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6CA06FE6">
      <w:pPr>
        <w:keepNext w:val="0"/>
        <w:keepLines w:val="0"/>
        <w:pageBreakBefore/>
        <w:widowControl w:val="0"/>
        <w:numPr>
          <w:ilvl w:val="0"/>
          <w:numId w:val="2"/>
        </w:numPr>
        <w:tabs>
          <w:tab w:val="left" w:pos="1230"/>
          <w:tab w:val="left" w:pos="1275"/>
        </w:tabs>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eastAsia="zh-CN"/>
        </w:rPr>
        <w:t>招标</w:t>
      </w:r>
      <w:r>
        <w:rPr>
          <w:rFonts w:hint="eastAsia" w:ascii="宋体" w:hAnsi="宋体" w:cs="宋体"/>
          <w:b/>
          <w:bCs/>
          <w:color w:val="auto"/>
          <w:sz w:val="32"/>
          <w:szCs w:val="32"/>
          <w:highlight w:val="none"/>
        </w:rPr>
        <w:t>公告</w:t>
      </w:r>
    </w:p>
    <w:p w14:paraId="6CC20DB2">
      <w:pPr>
        <w:pStyle w:val="9"/>
        <w:numPr>
          <w:ilvl w:val="0"/>
          <w:numId w:val="0"/>
        </w:numPr>
        <w:rPr>
          <w:rFonts w:hint="eastAsia"/>
          <w:color w:val="auto"/>
          <w:highlight w:val="none"/>
        </w:rPr>
      </w:pPr>
    </w:p>
    <w:p w14:paraId="2C283FF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0F059C3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克拉玛依市乌尔禾区瑞翔幼儿园智慧幼儿园采购项目</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none"/>
          <w:lang w:val="en-US" w:eastAsia="zh-CN"/>
        </w:rPr>
        <w:t>招标</w:t>
      </w:r>
      <w:r>
        <w:rPr>
          <w:rFonts w:hint="eastAsia" w:ascii="宋体" w:hAnsi="宋体" w:eastAsia="宋体" w:cs="宋体"/>
          <w:color w:val="auto"/>
          <w:sz w:val="24"/>
          <w:szCs w:val="24"/>
          <w:highlight w:val="none"/>
        </w:rPr>
        <w:t>项目的潜在供应商应在</w:t>
      </w:r>
      <w:r>
        <w:rPr>
          <w:rFonts w:hint="eastAsia" w:ascii="宋体" w:hAnsi="宋体" w:eastAsia="宋体" w:cs="宋体"/>
          <w:color w:val="auto"/>
          <w:sz w:val="24"/>
          <w:szCs w:val="24"/>
          <w:highlight w:val="none"/>
          <w:u w:val="single"/>
          <w:lang w:val="en-US" w:eastAsia="zh-CN"/>
        </w:rPr>
        <w:t>（新疆政府采购网）</w:t>
      </w:r>
      <w:r>
        <w:rPr>
          <w:rFonts w:hint="eastAsia" w:ascii="宋体" w:hAnsi="宋体" w:eastAsia="宋体" w:cs="宋体"/>
          <w:color w:val="auto"/>
          <w:sz w:val="24"/>
          <w:szCs w:val="24"/>
          <w:highlight w:val="none"/>
        </w:rPr>
        <w:t>获取</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rPr>
        <w:t>文件，并于</w:t>
      </w:r>
      <w:r>
        <w:rPr>
          <w:rFonts w:hint="eastAsia" w:ascii="宋体" w:hAnsi="宋体" w:cs="宋体"/>
          <w:color w:val="auto"/>
          <w:sz w:val="24"/>
          <w:szCs w:val="24"/>
          <w:highlight w:val="none"/>
          <w:u w:val="single"/>
          <w:shd w:val="clear" w:color="FFFFFF"/>
          <w:lang w:val="en-US" w:eastAsia="zh-CN"/>
        </w:rPr>
        <w:t>2026年6月11日</w:t>
      </w:r>
      <w:r>
        <w:rPr>
          <w:rFonts w:hint="eastAsia" w:ascii="宋体" w:hAnsi="宋体" w:eastAsia="宋体" w:cs="宋体"/>
          <w:bCs/>
          <w:color w:val="auto"/>
          <w:sz w:val="24"/>
          <w:szCs w:val="24"/>
          <w:highlight w:val="none"/>
          <w:u w:val="single"/>
          <w:shd w:val="clear" w:color="FFFFFF"/>
          <w:lang w:val="en-US" w:eastAsia="zh-CN"/>
        </w:rPr>
        <w:t>1</w:t>
      </w:r>
      <w:r>
        <w:rPr>
          <w:rFonts w:hint="eastAsia" w:ascii="宋体" w:hAnsi="宋体" w:cs="宋体"/>
          <w:bCs/>
          <w:color w:val="auto"/>
          <w:sz w:val="24"/>
          <w:szCs w:val="24"/>
          <w:highlight w:val="none"/>
          <w:u w:val="single"/>
          <w:shd w:val="clear" w:color="FFFFFF"/>
          <w:lang w:val="en-US" w:eastAsia="zh-CN"/>
        </w:rPr>
        <w:t>0</w:t>
      </w:r>
      <w:r>
        <w:rPr>
          <w:rFonts w:hint="eastAsia" w:ascii="宋体" w:hAnsi="宋体" w:eastAsia="宋体" w:cs="宋体"/>
          <w:bCs/>
          <w:color w:val="auto"/>
          <w:sz w:val="24"/>
          <w:szCs w:val="24"/>
          <w:highlight w:val="none"/>
          <w:u w:val="single"/>
          <w:shd w:val="clear" w:color="FFFFFF"/>
        </w:rPr>
        <w:t>点</w:t>
      </w:r>
      <w:r>
        <w:rPr>
          <w:rFonts w:hint="eastAsia" w:ascii="宋体" w:hAnsi="宋体" w:cs="宋体"/>
          <w:bCs/>
          <w:color w:val="auto"/>
          <w:sz w:val="24"/>
          <w:szCs w:val="24"/>
          <w:highlight w:val="none"/>
          <w:u w:val="single"/>
          <w:shd w:val="clear" w:color="FFFFFF"/>
          <w:lang w:val="en-US" w:eastAsia="zh-CN"/>
        </w:rPr>
        <w:t>30</w:t>
      </w:r>
      <w:r>
        <w:rPr>
          <w:rFonts w:hint="eastAsia" w:ascii="宋体" w:hAnsi="宋体" w:eastAsia="宋体" w:cs="宋体"/>
          <w:bCs/>
          <w:color w:val="auto"/>
          <w:sz w:val="24"/>
          <w:szCs w:val="24"/>
          <w:highlight w:val="none"/>
          <w:u w:val="single"/>
          <w:shd w:val="clear" w:color="FFFFFF"/>
        </w:rPr>
        <w:t>分</w:t>
      </w:r>
      <w:r>
        <w:rPr>
          <w:rFonts w:hint="eastAsia" w:ascii="宋体" w:hAnsi="宋体" w:eastAsia="宋体" w:cs="宋体"/>
          <w:bCs/>
          <w:color w:val="auto"/>
          <w:sz w:val="24"/>
          <w:szCs w:val="24"/>
          <w:highlight w:val="none"/>
        </w:rPr>
        <w:t>（北京时间）前提交</w:t>
      </w:r>
      <w:r>
        <w:rPr>
          <w:rFonts w:hint="eastAsia" w:ascii="宋体" w:hAnsi="宋体" w:cs="宋体"/>
          <w:bCs/>
          <w:color w:val="auto"/>
          <w:sz w:val="24"/>
          <w:szCs w:val="24"/>
          <w:highlight w:val="none"/>
          <w:lang w:eastAsia="zh-CN"/>
        </w:rPr>
        <w:t>投标文件</w:t>
      </w:r>
      <w:r>
        <w:rPr>
          <w:rFonts w:hint="eastAsia" w:ascii="宋体" w:hAnsi="宋体" w:eastAsia="宋体" w:cs="宋体"/>
          <w:color w:val="auto"/>
          <w:sz w:val="24"/>
          <w:szCs w:val="24"/>
          <w:highlight w:val="none"/>
        </w:rPr>
        <w:t>。</w:t>
      </w:r>
    </w:p>
    <w:p w14:paraId="11C86A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bookmarkStart w:id="0" w:name="_Toc35393629"/>
      <w:bookmarkStart w:id="1" w:name="_Toc28359089"/>
      <w:bookmarkStart w:id="2" w:name="_Toc35393798"/>
      <w:bookmarkStart w:id="3" w:name="_Toc28359012"/>
      <w:r>
        <w:rPr>
          <w:rFonts w:hint="eastAsia" w:ascii="宋体" w:hAnsi="宋体" w:eastAsia="宋体" w:cs="宋体"/>
          <w:b/>
          <w:bCs/>
          <w:color w:val="auto"/>
          <w:sz w:val="24"/>
          <w:szCs w:val="24"/>
          <w:highlight w:val="none"/>
        </w:rPr>
        <w:t>一、项目基本情况</w:t>
      </w:r>
      <w:bookmarkEnd w:id="0"/>
      <w:bookmarkEnd w:id="1"/>
      <w:bookmarkEnd w:id="2"/>
      <w:bookmarkEnd w:id="3"/>
    </w:p>
    <w:p w14:paraId="388F52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YXZB[ZC]2026-29</w:t>
      </w:r>
    </w:p>
    <w:p w14:paraId="7239D4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克拉玛依市乌尔禾区瑞翔幼儿园智慧幼儿园采购项目</w:t>
      </w:r>
    </w:p>
    <w:p w14:paraId="732F8D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采购方式：公开招标</w:t>
      </w:r>
    </w:p>
    <w:p w14:paraId="6B869A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¥657540</w:t>
      </w:r>
      <w:r>
        <w:rPr>
          <w:rFonts w:hint="eastAsia" w:ascii="宋体" w:hAnsi="宋体" w:eastAsia="宋体" w:cs="宋体"/>
          <w:color w:val="auto"/>
          <w:sz w:val="24"/>
          <w:szCs w:val="24"/>
          <w:highlight w:val="none"/>
          <w:lang w:val="en-US" w:eastAsia="zh-CN"/>
        </w:rPr>
        <w:t>元</w:t>
      </w:r>
    </w:p>
    <w:p w14:paraId="652976E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最高限价（如有）：</w:t>
      </w:r>
      <w:r>
        <w:rPr>
          <w:rFonts w:hint="eastAsia" w:ascii="宋体" w:hAnsi="宋体" w:eastAsia="宋体" w:cs="宋体"/>
          <w:color w:val="auto"/>
          <w:sz w:val="24"/>
          <w:szCs w:val="24"/>
          <w:highlight w:val="none"/>
          <w:lang w:val="en-US" w:eastAsia="zh-CN"/>
        </w:rPr>
        <w:t>无</w:t>
      </w:r>
    </w:p>
    <w:p w14:paraId="28EE5B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采购需求：详见</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rPr>
        <w:t>文件</w:t>
      </w:r>
    </w:p>
    <w:p w14:paraId="091099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r>
        <w:rPr>
          <w:rFonts w:hint="eastAsia" w:ascii="宋体" w:hAnsi="宋体" w:cs="宋体"/>
          <w:color w:val="auto"/>
          <w:kern w:val="2"/>
          <w:sz w:val="24"/>
          <w:szCs w:val="24"/>
          <w:highlight w:val="none"/>
          <w:lang w:val="en-US" w:eastAsia="zh-CN" w:bidi="ar-SA"/>
        </w:rPr>
        <w:t>合同签订生效之日起20个日历日内，中标供应商须完成全部设备供货、现场安装调试、系统集成及联调联试，整体项目达到正式验收标准。</w:t>
      </w:r>
    </w:p>
    <w:p w14:paraId="7A5966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备注：本项目中小企业划分标准所属行业为</w:t>
      </w:r>
      <w:r>
        <w:rPr>
          <w:rFonts w:hint="eastAsia" w:ascii="宋体" w:hAnsi="宋体" w:eastAsia="宋体" w:cs="宋体"/>
          <w:color w:val="auto"/>
          <w:sz w:val="24"/>
          <w:szCs w:val="24"/>
          <w:highlight w:val="none"/>
          <w:lang w:val="en-US" w:eastAsia="zh-CN"/>
        </w:rPr>
        <w:t>工业</w:t>
      </w:r>
      <w:r>
        <w:rPr>
          <w:rFonts w:hint="eastAsia" w:ascii="宋体" w:hAnsi="宋体" w:eastAsia="宋体" w:cs="宋体"/>
          <w:color w:val="auto"/>
          <w:sz w:val="24"/>
          <w:szCs w:val="24"/>
          <w:highlight w:val="none"/>
        </w:rPr>
        <w:t>。</w:t>
      </w:r>
    </w:p>
    <w:p w14:paraId="3611C08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w:t>
      </w:r>
    </w:p>
    <w:p w14:paraId="5C07B3E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bookmarkStart w:id="4" w:name="_Toc28359090"/>
      <w:bookmarkStart w:id="5" w:name="_Toc28359013"/>
      <w:bookmarkStart w:id="6" w:name="_Toc35393799"/>
      <w:bookmarkStart w:id="7" w:name="_Toc35393630"/>
      <w:r>
        <w:rPr>
          <w:rFonts w:hint="eastAsia" w:ascii="宋体" w:hAnsi="宋体" w:eastAsia="宋体" w:cs="宋体"/>
          <w:b/>
          <w:bCs/>
          <w:color w:val="auto"/>
          <w:sz w:val="24"/>
          <w:szCs w:val="24"/>
          <w:highlight w:val="none"/>
        </w:rPr>
        <w:t>二、申请人的资格要求：</w:t>
      </w:r>
      <w:bookmarkEnd w:id="4"/>
      <w:bookmarkEnd w:id="5"/>
      <w:bookmarkEnd w:id="6"/>
      <w:bookmarkEnd w:id="7"/>
    </w:p>
    <w:p w14:paraId="712D575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bookmarkStart w:id="8" w:name="_Toc28359091"/>
      <w:bookmarkStart w:id="9" w:name="_Toc28359014"/>
      <w:r>
        <w:rPr>
          <w:rFonts w:hint="eastAsia" w:ascii="宋体" w:hAnsi="宋体" w:cs="宋体"/>
          <w:color w:val="auto"/>
          <w:sz w:val="24"/>
          <w:highlight w:val="none"/>
        </w:rPr>
        <w:t>1.满足《中华人民共和国政府采购法》第二十二条规定；</w:t>
      </w:r>
    </w:p>
    <w:p w14:paraId="4A80372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u w:val="none"/>
        </w:rPr>
      </w:pPr>
      <w:r>
        <w:rPr>
          <w:rFonts w:hint="eastAsia" w:ascii="宋体" w:hAnsi="宋体" w:cs="宋体"/>
          <w:color w:val="auto"/>
          <w:sz w:val="24"/>
          <w:highlight w:val="none"/>
          <w:u w:val="none"/>
        </w:rPr>
        <w:t>2.落实政府采购政策需满足的资格要求：</w:t>
      </w:r>
      <w:r>
        <w:rPr>
          <w:rFonts w:hint="eastAsia" w:ascii="宋体" w:hAnsi="宋体" w:cs="宋体"/>
          <w:color w:val="auto"/>
          <w:sz w:val="24"/>
          <w:highlight w:val="none"/>
          <w:u w:val="none"/>
          <w:lang w:val="en-US" w:eastAsia="zh-CN"/>
        </w:rPr>
        <w:t>本项目专门面向中小微企业</w:t>
      </w:r>
      <w:r>
        <w:rPr>
          <w:rFonts w:hint="eastAsia" w:ascii="宋体" w:hAnsi="宋体" w:cs="宋体"/>
          <w:color w:val="auto"/>
          <w:sz w:val="24"/>
          <w:highlight w:val="none"/>
          <w:u w:val="none"/>
        </w:rPr>
        <w:t>。</w:t>
      </w:r>
    </w:p>
    <w:p w14:paraId="27329FC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kern w:val="0"/>
          <w:sz w:val="24"/>
          <w:highlight w:val="none"/>
        </w:rPr>
        <w:t>本项目的特定资格要求：</w:t>
      </w:r>
      <w:r>
        <w:rPr>
          <w:rFonts w:hint="eastAsia" w:ascii="宋体" w:hAnsi="宋体" w:cs="宋体"/>
          <w:color w:val="auto"/>
          <w:kern w:val="0"/>
          <w:sz w:val="24"/>
          <w:highlight w:val="none"/>
          <w:lang w:val="en-US" w:eastAsia="zh-CN"/>
        </w:rPr>
        <w:t>无</w:t>
      </w:r>
      <w:r>
        <w:rPr>
          <w:rFonts w:hint="eastAsia"/>
          <w:color w:val="auto"/>
          <w:sz w:val="24"/>
          <w:highlight w:val="none"/>
          <w:lang w:eastAsia="zh-CN"/>
        </w:rPr>
        <w:t>。</w:t>
      </w:r>
    </w:p>
    <w:p w14:paraId="657F4B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.本项目不接受联合体投标</w:t>
      </w:r>
      <w:r>
        <w:rPr>
          <w:rFonts w:hint="eastAsia" w:ascii="宋体" w:hAnsi="宋体" w:eastAsia="宋体" w:cs="宋体"/>
          <w:color w:val="auto"/>
          <w:sz w:val="24"/>
          <w:szCs w:val="24"/>
          <w:highlight w:val="none"/>
          <w:lang w:eastAsia="zh-CN"/>
        </w:rPr>
        <w:t>。</w:t>
      </w:r>
    </w:p>
    <w:p w14:paraId="1A61248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bookmarkStart w:id="10" w:name="_Toc35393631"/>
      <w:bookmarkStart w:id="11" w:name="_Toc35393800"/>
      <w:r>
        <w:rPr>
          <w:rFonts w:hint="eastAsia" w:ascii="宋体" w:hAnsi="宋体" w:eastAsia="宋体" w:cs="宋体"/>
          <w:b/>
          <w:bCs/>
          <w:color w:val="auto"/>
          <w:sz w:val="24"/>
          <w:szCs w:val="24"/>
          <w:highlight w:val="none"/>
        </w:rPr>
        <w:t>三、获取</w:t>
      </w:r>
      <w:r>
        <w:rPr>
          <w:rFonts w:hint="eastAsia" w:ascii="宋体" w:hAnsi="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文件</w:t>
      </w:r>
      <w:bookmarkEnd w:id="8"/>
      <w:bookmarkEnd w:id="9"/>
      <w:bookmarkEnd w:id="10"/>
      <w:bookmarkEnd w:id="11"/>
    </w:p>
    <w:p w14:paraId="07D3D4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2026年5月22</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2026年6月10</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，每天上午</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 xml:space="preserve"> 14:00</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，下午</w:t>
      </w:r>
      <w:r>
        <w:rPr>
          <w:rFonts w:hint="eastAsia" w:ascii="宋体" w:hAnsi="宋体" w:cs="宋体"/>
          <w:color w:val="auto"/>
          <w:sz w:val="24"/>
          <w:szCs w:val="24"/>
          <w:highlight w:val="none"/>
          <w:u w:val="single"/>
          <w:lang w:val="en-US" w:eastAsia="zh-CN"/>
        </w:rPr>
        <w:t xml:space="preserve"> 14:00 </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23:59</w:t>
      </w:r>
      <w:r>
        <w:rPr>
          <w:rFonts w:hint="eastAsia" w:ascii="宋体" w:hAnsi="宋体" w:eastAsia="宋体" w:cs="宋体"/>
          <w:color w:val="auto"/>
          <w:sz w:val="24"/>
          <w:szCs w:val="24"/>
          <w:highlight w:val="none"/>
        </w:rPr>
        <w:t>（北京时间，法定节假日除外）</w:t>
      </w:r>
    </w:p>
    <w:p w14:paraId="1B3E3B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新疆政府采购网政采云平台（www.zcygov.cn）</w:t>
      </w:r>
    </w:p>
    <w:p w14:paraId="2E5D29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eastAsia="zh-CN"/>
        </w:rPr>
        <w:t>线上</w:t>
      </w:r>
      <w:r>
        <w:rPr>
          <w:rFonts w:hint="eastAsia"/>
          <w:color w:val="auto"/>
          <w:sz w:val="24"/>
          <w:szCs w:val="24"/>
          <w:highlight w:val="none"/>
        </w:rPr>
        <w:t>获取</w:t>
      </w:r>
      <w:r>
        <w:rPr>
          <w:rFonts w:hint="eastAsia"/>
          <w:color w:val="auto"/>
          <w:sz w:val="24"/>
          <w:szCs w:val="24"/>
          <w:highlight w:val="none"/>
          <w:lang w:eastAsia="zh-CN"/>
        </w:rPr>
        <w:t>，</w:t>
      </w:r>
      <w:r>
        <w:rPr>
          <w:rFonts w:hint="eastAsia" w:ascii="宋体" w:hAnsi="宋体" w:eastAsia="宋体" w:cs="宋体"/>
          <w:color w:val="auto"/>
          <w:sz w:val="24"/>
          <w:szCs w:val="24"/>
          <w:highlight w:val="none"/>
          <w:lang w:eastAsia="zh-CN"/>
        </w:rPr>
        <w:t>供应商登录政采云平台https://www.zcygov.cn/,在线申请获取</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文件（进入“项目采购”应用，在获取采购文件菜单中选择项目，申请获取采购文件，审核通过后可下载招标文件，如有操作性问题，可与政采云在线客服进行咨询，咨询电话</w:t>
      </w:r>
      <w:r>
        <w:rPr>
          <w:rFonts w:hint="eastAsia" w:ascii="宋体" w:hAnsi="宋体" w:cs="宋体"/>
          <w:color w:val="auto"/>
          <w:sz w:val="24"/>
          <w:szCs w:val="24"/>
          <w:highlight w:val="none"/>
          <w:lang w:val="en-US" w:eastAsia="zh-CN"/>
        </w:rPr>
        <w:t>95763</w:t>
      </w:r>
      <w:r>
        <w:rPr>
          <w:rFonts w:hint="eastAsia" w:ascii="宋体" w:hAnsi="宋体" w:eastAsia="宋体" w:cs="宋体"/>
          <w:color w:val="auto"/>
          <w:sz w:val="24"/>
          <w:szCs w:val="24"/>
          <w:highlight w:val="none"/>
          <w:lang w:eastAsia="zh-CN"/>
        </w:rPr>
        <w:t>）</w:t>
      </w:r>
    </w:p>
    <w:p w14:paraId="40321D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元/份</w:t>
      </w:r>
    </w:p>
    <w:p w14:paraId="1CC3C78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bookmarkStart w:id="12" w:name="_Toc28359092"/>
      <w:bookmarkStart w:id="13" w:name="_Toc28359015"/>
      <w:bookmarkStart w:id="14" w:name="_Toc35393801"/>
      <w:bookmarkStart w:id="15" w:name="_Toc35393632"/>
      <w:r>
        <w:rPr>
          <w:rFonts w:hint="eastAsia" w:ascii="宋体" w:hAnsi="宋体" w:eastAsia="宋体" w:cs="宋体"/>
          <w:b/>
          <w:bCs/>
          <w:color w:val="auto"/>
          <w:sz w:val="24"/>
          <w:szCs w:val="24"/>
          <w:highlight w:val="none"/>
        </w:rPr>
        <w:t>四、</w:t>
      </w:r>
      <w:r>
        <w:rPr>
          <w:rFonts w:hint="eastAsia" w:ascii="宋体" w:hAnsi="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提交</w:t>
      </w:r>
      <w:bookmarkEnd w:id="12"/>
      <w:bookmarkEnd w:id="13"/>
      <w:bookmarkEnd w:id="14"/>
      <w:bookmarkEnd w:id="15"/>
    </w:p>
    <w:p w14:paraId="5693B3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u w:val="single"/>
          <w:lang w:val="en-US" w:eastAsia="zh-CN"/>
        </w:rPr>
        <w:t>2026年6月11日10</w:t>
      </w:r>
      <w:r>
        <w:rPr>
          <w:rFonts w:hint="eastAsia" w:ascii="宋体" w:hAnsi="宋体" w:eastAsia="宋体" w:cs="宋体"/>
          <w:color w:val="auto"/>
          <w:sz w:val="24"/>
          <w:szCs w:val="24"/>
          <w:highlight w:val="none"/>
          <w:u w:val="single"/>
        </w:rPr>
        <w:t>点</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cs="宋体"/>
          <w:color w:val="auto"/>
          <w:sz w:val="24"/>
          <w:szCs w:val="24"/>
          <w:highlight w:val="none"/>
          <w:lang w:val="en-US" w:eastAsia="zh-CN"/>
        </w:rPr>
        <w:t xml:space="preserve"> </w:t>
      </w:r>
    </w:p>
    <w:p w14:paraId="5FC7E2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aps w:val="0"/>
          <w:color w:val="auto"/>
          <w:spacing w:val="0"/>
          <w:sz w:val="24"/>
          <w:szCs w:val="24"/>
          <w:highlight w:val="none"/>
          <w:shd w:val="clear" w:fill="FFFFFF"/>
        </w:rPr>
        <w:t>投标地点（网址）：</w:t>
      </w:r>
      <w:r>
        <w:rPr>
          <w:rFonts w:hint="eastAsia" w:ascii="宋体" w:hAnsi="宋体" w:eastAsia="宋体" w:cs="宋体"/>
          <w:color w:val="auto"/>
          <w:sz w:val="24"/>
          <w:szCs w:val="24"/>
          <w:highlight w:val="none"/>
        </w:rPr>
        <w:t>新疆政府采购网政采云平台（www.zcygov.cn）</w:t>
      </w:r>
    </w:p>
    <w:p w14:paraId="2C7747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bookmarkStart w:id="16" w:name="_Toc35393633"/>
      <w:bookmarkStart w:id="17" w:name="_Toc28359016"/>
      <w:bookmarkStart w:id="18" w:name="_Toc28359093"/>
      <w:bookmarkStart w:id="19" w:name="_Toc35393802"/>
      <w:r>
        <w:rPr>
          <w:rFonts w:hint="eastAsia" w:ascii="宋体" w:hAnsi="宋体" w:eastAsia="宋体" w:cs="宋体"/>
          <w:b/>
          <w:bCs/>
          <w:color w:val="auto"/>
          <w:sz w:val="24"/>
          <w:szCs w:val="24"/>
          <w:highlight w:val="none"/>
        </w:rPr>
        <w:t>五、开启</w:t>
      </w:r>
      <w:bookmarkEnd w:id="16"/>
      <w:bookmarkEnd w:id="17"/>
      <w:bookmarkEnd w:id="18"/>
      <w:bookmarkEnd w:id="19"/>
    </w:p>
    <w:p w14:paraId="6E8AB99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2026年6月11日10</w:t>
      </w:r>
      <w:r>
        <w:rPr>
          <w:rFonts w:hint="eastAsia" w:ascii="宋体" w:hAnsi="宋体" w:eastAsia="宋体" w:cs="宋体"/>
          <w:color w:val="auto"/>
          <w:sz w:val="24"/>
          <w:szCs w:val="24"/>
          <w:highlight w:val="none"/>
          <w:u w:val="single"/>
        </w:rPr>
        <w:t>点</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cs="宋体"/>
          <w:color w:val="auto"/>
          <w:sz w:val="24"/>
          <w:szCs w:val="24"/>
          <w:highlight w:val="none"/>
          <w:lang w:val="en-US" w:eastAsia="zh-CN"/>
        </w:rPr>
        <w:t xml:space="preserve"> </w:t>
      </w:r>
    </w:p>
    <w:p w14:paraId="3590E0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shd w:val="clear" w:fill="FFFFFF"/>
        </w:rPr>
        <w:t>开标地点：新疆政府采购网政采云平台（www.zcygov.cn）</w:t>
      </w:r>
      <w:r>
        <w:rPr>
          <w:rFonts w:hint="eastAsia" w:ascii="宋体" w:hAnsi="宋体" w:eastAsia="宋体" w:cs="宋体"/>
          <w:i w:val="0"/>
          <w:caps w:val="0"/>
          <w:color w:val="auto"/>
          <w:spacing w:val="0"/>
          <w:sz w:val="24"/>
          <w:szCs w:val="24"/>
          <w:highlight w:val="none"/>
          <w:shd w:val="clear" w:fill="FFFFFF"/>
          <w:lang w:eastAsia="zh-CN"/>
        </w:rPr>
        <w:t>，</w:t>
      </w:r>
      <w:r>
        <w:rPr>
          <w:rFonts w:hint="eastAsia" w:ascii="宋体" w:hAnsi="宋体" w:eastAsia="宋体" w:cs="宋体"/>
          <w:i w:val="0"/>
          <w:caps w:val="0"/>
          <w:color w:val="auto"/>
          <w:spacing w:val="0"/>
          <w:sz w:val="24"/>
          <w:szCs w:val="24"/>
          <w:highlight w:val="none"/>
          <w:shd w:val="clear" w:fill="FFFFFF"/>
          <w:lang w:val="zh-CN"/>
        </w:rPr>
        <w:t>新疆永信工程造价咨询有限公司</w:t>
      </w:r>
      <w:r>
        <w:rPr>
          <w:rFonts w:hint="eastAsia" w:ascii="宋体" w:hAnsi="宋体" w:eastAsia="宋体" w:cs="宋体"/>
          <w:i w:val="0"/>
          <w:caps w:val="0"/>
          <w:color w:val="auto"/>
          <w:spacing w:val="0"/>
          <w:sz w:val="24"/>
          <w:szCs w:val="24"/>
          <w:highlight w:val="none"/>
          <w:shd w:val="clear" w:fill="FFFFFF"/>
        </w:rPr>
        <w:t>4楼401-</w:t>
      </w:r>
      <w:r>
        <w:rPr>
          <w:rFonts w:hint="eastAsia" w:ascii="宋体" w:hAnsi="宋体" w:eastAsia="宋体" w:cs="宋体"/>
          <w:color w:val="auto"/>
          <w:sz w:val="24"/>
          <w:szCs w:val="24"/>
          <w:highlight w:val="none"/>
          <w:lang w:val="en-US" w:eastAsia="zh-CN"/>
        </w:rPr>
        <w:t>6评标</w:t>
      </w:r>
      <w:r>
        <w:rPr>
          <w:rFonts w:hint="eastAsia" w:ascii="宋体" w:hAnsi="宋体" w:eastAsia="宋体" w:cs="宋体"/>
          <w:i w:val="0"/>
          <w:caps w:val="0"/>
          <w:color w:val="auto"/>
          <w:spacing w:val="0"/>
          <w:sz w:val="24"/>
          <w:szCs w:val="24"/>
          <w:highlight w:val="none"/>
          <w:shd w:val="clear" w:fill="FFFFFF"/>
        </w:rPr>
        <w:t>室</w:t>
      </w:r>
    </w:p>
    <w:p w14:paraId="613D32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bookmarkStart w:id="20" w:name="_Toc28359017"/>
      <w:bookmarkStart w:id="21" w:name="_Toc28359094"/>
      <w:bookmarkStart w:id="22" w:name="_Toc35393803"/>
      <w:bookmarkStart w:id="23" w:name="_Toc35393634"/>
      <w:r>
        <w:rPr>
          <w:rFonts w:hint="eastAsia" w:ascii="宋体" w:hAnsi="宋体" w:eastAsia="宋体" w:cs="宋体"/>
          <w:b/>
          <w:bCs/>
          <w:color w:val="auto"/>
          <w:sz w:val="24"/>
          <w:szCs w:val="24"/>
          <w:highlight w:val="none"/>
        </w:rPr>
        <w:t>六、公告期限</w:t>
      </w:r>
      <w:bookmarkEnd w:id="20"/>
      <w:bookmarkEnd w:id="21"/>
      <w:bookmarkEnd w:id="22"/>
      <w:bookmarkEnd w:id="23"/>
    </w:p>
    <w:p w14:paraId="1FE1DFF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w:t>
      </w:r>
    </w:p>
    <w:p w14:paraId="11069F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bookmarkStart w:id="24" w:name="_Toc35393635"/>
      <w:bookmarkStart w:id="25" w:name="_Toc35393804"/>
      <w:r>
        <w:rPr>
          <w:rFonts w:hint="eastAsia" w:ascii="宋体" w:hAnsi="宋体" w:eastAsia="宋体" w:cs="宋体"/>
          <w:b/>
          <w:bCs/>
          <w:color w:val="auto"/>
          <w:sz w:val="24"/>
          <w:szCs w:val="24"/>
          <w:highlight w:val="none"/>
        </w:rPr>
        <w:t>七、其他补充事宜</w:t>
      </w:r>
      <w:bookmarkEnd w:id="24"/>
      <w:bookmarkEnd w:id="25"/>
    </w:p>
    <w:p w14:paraId="061B4E31">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kern w:val="2"/>
          <w:sz w:val="24"/>
          <w:szCs w:val="24"/>
          <w:highlight w:val="none"/>
          <w:lang w:val="en-US" w:eastAsia="zh-CN" w:bidi="ar-SA"/>
        </w:rPr>
      </w:pPr>
      <w:bookmarkStart w:id="26" w:name="_Toc35393805"/>
      <w:bookmarkStart w:id="27" w:name="_Toc28359095"/>
      <w:bookmarkStart w:id="28" w:name="_Toc28359018"/>
      <w:bookmarkStart w:id="29" w:name="_Toc35393636"/>
      <w:r>
        <w:rPr>
          <w:rFonts w:hint="eastAsia" w:ascii="宋体" w:hAnsi="宋体" w:eastAsia="宋体" w:cs="宋体"/>
          <w:color w:val="auto"/>
          <w:kern w:val="2"/>
          <w:sz w:val="24"/>
          <w:szCs w:val="24"/>
          <w:highlight w:val="none"/>
          <w:lang w:val="en-US" w:eastAsia="zh-CN" w:bidi="ar-SA"/>
        </w:rPr>
        <w:t xml:space="preserve">1.本项目采用全流程不见面电子开评标，供应商需要使用 CA 加密设备，供应商可通过新疆数字证书认证中心官网（https://www.xjca.com.cn/）或下载“新疆政务通”APP 自行进行申领。 </w:t>
      </w:r>
    </w:p>
    <w:p w14:paraId="3669641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2.本项目实行网上投标，采用加密电子响应文件(供应商须使用 CA 加密设备通过政采云电子投标客户端制作响应文件)。若供应商参与投标，自行承担投标一切费用。 </w:t>
      </w:r>
    </w:p>
    <w:p w14:paraId="3AB04E05">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3.各供应商在开标前应确保成为新疆维吾尔自治区政府采购网正式注册入库供应商，并完成 CA 数字证书申领。因未注册入库、未办理 CA 数字证书等原因造成无法投标或投标失败等后果由供应商自行承担。   </w:t>
      </w:r>
    </w:p>
    <w:p w14:paraId="3F3E8871">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4.供应商将政采云电子交易客户端下载、安装完成后，可通过账号密码或 CA 登录客户端进行响应文件制作。在使用政采云投标客户端时，建议使用 WIN7+64 位及以上操作系统。客户端请至新疆政府采购网（http://www.ccgp-xinjiang.gov.cn/）下载专区查看，如有问题可拨打政采云客户服务热线 95763 进行咨询。           </w:t>
      </w:r>
    </w:p>
    <w:p w14:paraId="0760D6F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5.供应商在开标时须使用制作加密电子响应文件所使用的 CA 锁及电脑，电脑须提前配置好浏览器（建议使用谷歌浏览器），以便开标时解锁。</w:t>
      </w:r>
    </w:p>
    <w:p w14:paraId="742D6A54">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lang w:val="en-US" w:eastAsia="zh-CN"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ascii="宋体" w:hAnsi="宋体" w:eastAsia="宋体" w:cs="宋体"/>
          <w:b/>
          <w:bCs/>
          <w:color w:val="auto"/>
          <w:sz w:val="24"/>
          <w:szCs w:val="24"/>
          <w:highlight w:val="none"/>
        </w:rPr>
        <w:t>八、凡对本次采购提出询问，请按以下方式联系。</w:t>
      </w:r>
      <w:bookmarkEnd w:id="26"/>
      <w:bookmarkEnd w:id="27"/>
      <w:bookmarkEnd w:id="28"/>
      <w:bookmarkEnd w:id="29"/>
    </w:p>
    <w:p w14:paraId="197CF4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rPr>
      </w:pPr>
      <w:bookmarkStart w:id="30" w:name="_Toc28359019"/>
      <w:bookmarkStart w:id="31" w:name="_Toc28359096"/>
      <w:bookmarkStart w:id="32" w:name="_Toc35393637"/>
      <w:bookmarkStart w:id="33" w:name="_Toc35393806"/>
      <w:r>
        <w:rPr>
          <w:rFonts w:hint="eastAsia" w:ascii="宋体" w:hAnsi="宋体" w:eastAsia="宋体" w:cs="宋体"/>
          <w:color w:val="auto"/>
          <w:sz w:val="24"/>
          <w:szCs w:val="24"/>
          <w:highlight w:val="none"/>
          <w:u w:val="none"/>
        </w:rPr>
        <w:t>1.采购人信息</w:t>
      </w:r>
      <w:bookmarkEnd w:id="30"/>
      <w:bookmarkEnd w:id="31"/>
      <w:bookmarkEnd w:id="32"/>
      <w:bookmarkEnd w:id="33"/>
    </w:p>
    <w:p w14:paraId="62FF48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    称：</w:t>
      </w:r>
      <w:r>
        <w:rPr>
          <w:rFonts w:hint="eastAsia" w:ascii="宋体" w:hAnsi="宋体" w:cs="宋体"/>
          <w:color w:val="auto"/>
          <w:sz w:val="24"/>
          <w:szCs w:val="24"/>
          <w:highlight w:val="none"/>
          <w:u w:val="none"/>
          <w:lang w:eastAsia="zh-CN"/>
        </w:rPr>
        <w:t>克拉玛依市乌尔禾区瑞翔幼儿园</w:t>
      </w:r>
    </w:p>
    <w:p w14:paraId="410E48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w:t>
      </w:r>
      <w:r>
        <w:rPr>
          <w:rFonts w:hint="eastAsia" w:ascii="宋体" w:hAnsi="宋体" w:cs="宋体"/>
          <w:color w:val="auto"/>
          <w:sz w:val="24"/>
          <w:szCs w:val="24"/>
          <w:highlight w:val="none"/>
          <w:u w:val="none"/>
          <w:lang w:eastAsia="zh-CN"/>
        </w:rPr>
        <w:t>克拉玛依市乌尔禾区玉缘路4号</w:t>
      </w:r>
    </w:p>
    <w:p w14:paraId="15953E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eastAsia="zh-CN"/>
        </w:rPr>
        <w:t>0990-6964180</w:t>
      </w:r>
    </w:p>
    <w:p w14:paraId="5D5DA9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rPr>
      </w:pPr>
      <w:bookmarkStart w:id="34" w:name="_Toc28359020"/>
      <w:bookmarkStart w:id="35" w:name="_Toc35393638"/>
      <w:bookmarkStart w:id="36" w:name="_Toc28359097"/>
      <w:bookmarkStart w:id="37" w:name="_Toc35393807"/>
      <w:r>
        <w:rPr>
          <w:rFonts w:hint="eastAsia" w:ascii="宋体" w:hAnsi="宋体" w:eastAsia="宋体" w:cs="宋体"/>
          <w:color w:val="auto"/>
          <w:sz w:val="24"/>
          <w:szCs w:val="24"/>
          <w:highlight w:val="none"/>
          <w:u w:val="none"/>
        </w:rPr>
        <w:t>2.采购代理机构信息</w:t>
      </w:r>
      <w:bookmarkEnd w:id="34"/>
      <w:bookmarkEnd w:id="35"/>
      <w:bookmarkEnd w:id="36"/>
      <w:bookmarkEnd w:id="37"/>
    </w:p>
    <w:p w14:paraId="3E808C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    称：</w:t>
      </w:r>
      <w:r>
        <w:rPr>
          <w:rFonts w:hint="eastAsia" w:ascii="宋体" w:hAnsi="宋体" w:eastAsia="宋体" w:cs="宋体"/>
          <w:color w:val="auto"/>
          <w:sz w:val="24"/>
          <w:szCs w:val="24"/>
          <w:highlight w:val="none"/>
          <w:u w:val="none"/>
          <w:lang w:eastAsia="zh-CN"/>
        </w:rPr>
        <w:t>新疆永信工程造价咨询有限公司</w:t>
      </w:r>
    </w:p>
    <w:p w14:paraId="505072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none"/>
          <w:lang w:eastAsia="zh-CN"/>
        </w:rPr>
        <w:t>新疆克拉玛依市胜利路47号</w:t>
      </w:r>
    </w:p>
    <w:p w14:paraId="426A30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15899390011</w:t>
      </w:r>
      <w:r>
        <w:rPr>
          <w:rFonts w:hint="eastAsia" w:ascii="宋体" w:hAnsi="宋体" w:eastAsia="宋体" w:cs="宋体"/>
          <w:color w:val="auto"/>
          <w:sz w:val="24"/>
          <w:szCs w:val="24"/>
          <w:highlight w:val="none"/>
          <w:u w:val="none"/>
          <w:lang w:eastAsia="zh-CN"/>
        </w:rPr>
        <w:t>　</w:t>
      </w:r>
    </w:p>
    <w:p w14:paraId="1F08E3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rPr>
      </w:pPr>
      <w:bookmarkStart w:id="38" w:name="_Toc28359021"/>
      <w:bookmarkStart w:id="39" w:name="_Toc35393639"/>
      <w:bookmarkStart w:id="40" w:name="_Toc35393808"/>
      <w:bookmarkStart w:id="41" w:name="_Toc28359098"/>
      <w:r>
        <w:rPr>
          <w:rFonts w:hint="eastAsia" w:ascii="宋体" w:hAnsi="宋体" w:eastAsia="宋体" w:cs="宋体"/>
          <w:color w:val="auto"/>
          <w:sz w:val="24"/>
          <w:szCs w:val="24"/>
          <w:highlight w:val="none"/>
          <w:u w:val="none"/>
        </w:rPr>
        <w:t>3.项目联系方式</w:t>
      </w:r>
      <w:bookmarkEnd w:id="38"/>
      <w:bookmarkEnd w:id="39"/>
      <w:bookmarkEnd w:id="40"/>
      <w:bookmarkEnd w:id="41"/>
    </w:p>
    <w:p w14:paraId="4BA198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项目联系人：</w:t>
      </w:r>
      <w:r>
        <w:rPr>
          <w:rFonts w:hint="eastAsia" w:ascii="宋体" w:hAnsi="宋体" w:cs="宋体"/>
          <w:color w:val="auto"/>
          <w:sz w:val="24"/>
          <w:szCs w:val="24"/>
          <w:highlight w:val="none"/>
          <w:u w:val="none"/>
          <w:lang w:val="en-US" w:eastAsia="zh-CN"/>
        </w:rPr>
        <w:t>李彦霖、刘其利、陈婧怡、任薇潼</w:t>
      </w:r>
    </w:p>
    <w:p w14:paraId="13073AC1">
      <w:pPr>
        <w:pStyle w:val="18"/>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电　　 话：</w:t>
      </w:r>
      <w:r>
        <w:rPr>
          <w:rFonts w:hint="eastAsia" w:cs="宋体"/>
          <w:color w:val="auto"/>
          <w:sz w:val="24"/>
          <w:szCs w:val="24"/>
          <w:highlight w:val="none"/>
          <w:u w:val="none"/>
          <w:lang w:val="en-US" w:eastAsia="zh-CN"/>
        </w:rPr>
        <w:t>15899390011</w:t>
      </w:r>
      <w:r>
        <w:rPr>
          <w:rFonts w:hint="eastAsia"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eastAsia="zh-CN"/>
        </w:rPr>
        <w:t>0990-6881236</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w:t>
      </w:r>
    </w:p>
    <w:p w14:paraId="08506B49">
      <w:pPr>
        <w:keepNext w:val="0"/>
        <w:keepLines w:val="0"/>
        <w:pageBreakBefore/>
        <w:widowControl w:val="0"/>
        <w:kinsoku/>
        <w:wordWrap/>
        <w:overflowPunct/>
        <w:topLinePunct w:val="0"/>
        <w:autoSpaceDE/>
        <w:autoSpaceDN/>
        <w:bidi w:val="0"/>
        <w:adjustRightInd/>
        <w:snapToGrid/>
        <w:jc w:val="center"/>
        <w:textAlignment w:val="auto"/>
        <w:rPr>
          <w:rFonts w:ascii="宋体" w:hAnsi="宋体" w:cs="宋体"/>
          <w:b/>
          <w:bCs/>
          <w:color w:val="auto"/>
          <w:sz w:val="24"/>
          <w:highlight w:val="none"/>
        </w:rPr>
      </w:pPr>
      <w:bookmarkStart w:id="42" w:name="_Toc17277_WPSOffice_Level1"/>
      <w:r>
        <w:rPr>
          <w:rFonts w:hint="eastAsia" w:ascii="宋体" w:hAnsi="宋体" w:cs="宋体"/>
          <w:b/>
          <w:bCs/>
          <w:color w:val="auto"/>
          <w:sz w:val="30"/>
          <w:szCs w:val="30"/>
          <w:highlight w:val="none"/>
        </w:rPr>
        <w:t>第二章、供应商须知</w:t>
      </w:r>
      <w:bookmarkEnd w:id="42"/>
    </w:p>
    <w:p w14:paraId="3AC5A303">
      <w:pPr>
        <w:spacing w:line="360" w:lineRule="auto"/>
        <w:jc w:val="center"/>
        <w:rPr>
          <w:rFonts w:ascii="宋体" w:hAnsi="宋体" w:eastAsia="宋体" w:cs="宋体"/>
          <w:b/>
          <w:color w:val="auto"/>
          <w:sz w:val="28"/>
          <w:szCs w:val="28"/>
          <w:highlight w:val="none"/>
        </w:rPr>
      </w:pPr>
      <w:bookmarkStart w:id="43" w:name="_Toc19876_WPSOffice_Level1"/>
      <w:r>
        <w:rPr>
          <w:rFonts w:hint="eastAsia" w:ascii="宋体" w:hAnsi="宋体" w:eastAsia="宋体" w:cs="宋体"/>
          <w:b/>
          <w:color w:val="auto"/>
          <w:sz w:val="28"/>
          <w:szCs w:val="28"/>
          <w:highlight w:val="none"/>
        </w:rPr>
        <w:t>前</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附</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表</w:t>
      </w:r>
      <w:bookmarkEnd w:id="43"/>
    </w:p>
    <w:tbl>
      <w:tblPr>
        <w:tblStyle w:val="22"/>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9378"/>
      </w:tblGrid>
      <w:tr w14:paraId="06AB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1" w:type="dxa"/>
            <w:vAlign w:val="center"/>
          </w:tcPr>
          <w:p w14:paraId="560AAB70">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项号</w:t>
            </w:r>
          </w:p>
        </w:tc>
        <w:tc>
          <w:tcPr>
            <w:tcW w:w="9378" w:type="dxa"/>
            <w:vAlign w:val="center"/>
          </w:tcPr>
          <w:p w14:paraId="11E58D48">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内容规定</w:t>
            </w:r>
          </w:p>
        </w:tc>
      </w:tr>
      <w:tr w14:paraId="3BA5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61" w:type="dxa"/>
            <w:vAlign w:val="center"/>
          </w:tcPr>
          <w:p w14:paraId="45291D08">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9378" w:type="dxa"/>
            <w:vAlign w:val="center"/>
          </w:tcPr>
          <w:p w14:paraId="36AB3D64">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采购项目名称：克拉玛依市乌尔禾区瑞翔幼儿园智慧幼儿园采购项目</w:t>
            </w:r>
          </w:p>
          <w:p w14:paraId="0A2677E0">
            <w:pPr>
              <w:keepNext w:val="0"/>
              <w:keepLines w:val="0"/>
              <w:widowControl w:val="0"/>
              <w:suppressLineNumbers w:val="0"/>
              <w:spacing w:before="0" w:beforeAutospacing="0" w:after="0" w:afterAutospacing="0" w:line="360" w:lineRule="exact"/>
              <w:ind w:left="0" w:right="0"/>
              <w:jc w:val="left"/>
              <w:rPr>
                <w:rStyle w:val="25"/>
                <w:rFonts w:hint="default" w:ascii="Times New Roman" w:hAnsi="宋体" w:eastAsia="宋体" w:cs="宋体"/>
                <w:b w:val="0"/>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招标文件编号：YXZB[ZC]2026-29</w:t>
            </w:r>
          </w:p>
        </w:tc>
      </w:tr>
      <w:tr w14:paraId="5CE3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661" w:type="dxa"/>
            <w:vAlign w:val="center"/>
          </w:tcPr>
          <w:p w14:paraId="42B9F2D7">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9378" w:type="dxa"/>
            <w:vAlign w:val="center"/>
          </w:tcPr>
          <w:p w14:paraId="3E4479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Style w:val="25"/>
                <w:rFonts w:hint="eastAsia" w:ascii="宋体" w:hAnsi="宋体" w:eastAsia="宋体" w:cs="宋体"/>
                <w:b w:val="0"/>
                <w:color w:val="auto"/>
                <w:kern w:val="0"/>
                <w:szCs w:val="21"/>
                <w:highlight w:val="none"/>
                <w:lang w:eastAsia="zh-CN"/>
              </w:rPr>
            </w:pPr>
            <w:r>
              <w:rPr>
                <w:rStyle w:val="25"/>
                <w:rFonts w:hint="eastAsia" w:ascii="宋体" w:hAnsi="宋体" w:eastAsia="宋体" w:cs="宋体"/>
                <w:b w:val="0"/>
                <w:color w:val="auto"/>
                <w:kern w:val="0"/>
                <w:szCs w:val="21"/>
                <w:highlight w:val="none"/>
              </w:rPr>
              <w:t>采购人：</w:t>
            </w:r>
            <w:r>
              <w:rPr>
                <w:rStyle w:val="25"/>
                <w:rFonts w:hint="eastAsia" w:ascii="宋体" w:hAnsi="宋体" w:eastAsia="宋体" w:cs="宋体"/>
                <w:b w:val="0"/>
                <w:color w:val="auto"/>
                <w:kern w:val="0"/>
                <w:szCs w:val="21"/>
                <w:highlight w:val="none"/>
                <w:lang w:eastAsia="zh-CN"/>
              </w:rPr>
              <w:t>克拉玛依市乌尔禾区瑞翔幼儿园</w:t>
            </w:r>
          </w:p>
          <w:p w14:paraId="083379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Style w:val="25"/>
                <w:rFonts w:hint="eastAsia" w:ascii="宋体" w:hAnsi="宋体" w:eastAsia="宋体" w:cs="宋体"/>
                <w:b w:val="0"/>
                <w:color w:val="auto"/>
                <w:kern w:val="0"/>
                <w:szCs w:val="21"/>
                <w:highlight w:val="none"/>
                <w:lang w:eastAsia="zh-CN"/>
              </w:rPr>
            </w:pPr>
            <w:r>
              <w:rPr>
                <w:rStyle w:val="25"/>
                <w:rFonts w:hint="eastAsia" w:ascii="宋体" w:hAnsi="宋体" w:eastAsia="宋体" w:cs="宋体"/>
                <w:b w:val="0"/>
                <w:color w:val="auto"/>
                <w:kern w:val="0"/>
                <w:szCs w:val="21"/>
                <w:highlight w:val="none"/>
              </w:rPr>
              <w:t>联系人：</w:t>
            </w:r>
            <w:r>
              <w:rPr>
                <w:rStyle w:val="25"/>
                <w:rFonts w:hint="eastAsia" w:ascii="宋体" w:hAnsi="宋体" w:eastAsia="宋体" w:cs="宋体"/>
                <w:b w:val="0"/>
                <w:color w:val="auto"/>
                <w:kern w:val="0"/>
                <w:szCs w:val="21"/>
                <w:highlight w:val="none"/>
                <w:lang w:eastAsia="zh-CN"/>
              </w:rPr>
              <w:t>张美艳</w:t>
            </w:r>
          </w:p>
          <w:p w14:paraId="171B0A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Style w:val="25"/>
                <w:rFonts w:hint="eastAsia" w:ascii="宋体" w:hAnsi="宋体" w:eastAsia="宋体" w:cs="宋体"/>
                <w:b w:val="0"/>
                <w:color w:val="auto"/>
                <w:kern w:val="0"/>
                <w:szCs w:val="21"/>
                <w:highlight w:val="none"/>
                <w:lang w:eastAsia="zh-CN"/>
              </w:rPr>
            </w:pPr>
            <w:r>
              <w:rPr>
                <w:rStyle w:val="25"/>
                <w:rFonts w:hint="eastAsia" w:ascii="宋体" w:hAnsi="宋体" w:eastAsia="宋体" w:cs="宋体"/>
                <w:b w:val="0"/>
                <w:color w:val="auto"/>
                <w:kern w:val="0"/>
                <w:szCs w:val="21"/>
                <w:highlight w:val="none"/>
              </w:rPr>
              <w:t>联系电话：</w:t>
            </w:r>
            <w:r>
              <w:rPr>
                <w:rStyle w:val="25"/>
                <w:rFonts w:hint="eastAsia" w:ascii="宋体" w:hAnsi="宋体" w:eastAsia="宋体" w:cs="宋体"/>
                <w:b w:val="0"/>
                <w:color w:val="auto"/>
                <w:kern w:val="0"/>
                <w:szCs w:val="21"/>
                <w:highlight w:val="none"/>
                <w:lang w:eastAsia="zh-CN"/>
              </w:rPr>
              <w:t>0990-6964180</w:t>
            </w:r>
          </w:p>
          <w:p w14:paraId="3EBDD491">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jc w:val="left"/>
              <w:textAlignment w:val="auto"/>
              <w:rPr>
                <w:rFonts w:hint="default" w:ascii="宋体" w:hAnsi="宋体" w:eastAsia="宋体" w:cs="宋体"/>
                <w:color w:val="auto"/>
                <w:kern w:val="0"/>
                <w:sz w:val="21"/>
                <w:szCs w:val="21"/>
                <w:highlight w:val="none"/>
                <w:lang w:val="en-US" w:eastAsia="zh-CN" w:bidi="ar-SA"/>
              </w:rPr>
            </w:pPr>
            <w:r>
              <w:rPr>
                <w:rStyle w:val="25"/>
                <w:rFonts w:hint="eastAsia" w:ascii="Times New Roman" w:hAnsi="Times New Roman" w:eastAsia="宋体" w:cs="宋体"/>
                <w:b w:val="0"/>
                <w:color w:val="auto"/>
                <w:kern w:val="2"/>
                <w:sz w:val="21"/>
                <w:szCs w:val="21"/>
                <w:highlight w:val="none"/>
                <w:lang w:val="en-US" w:eastAsia="zh-CN" w:bidi="ar-SA"/>
              </w:rPr>
              <w:t>地址：</w:t>
            </w:r>
            <w:r>
              <w:rPr>
                <w:rStyle w:val="25"/>
                <w:rFonts w:hint="eastAsia" w:ascii="Times New Roman" w:hAnsi="Times New Roman" w:eastAsia="宋体" w:cs="宋体"/>
                <w:b w:val="0"/>
                <w:color w:val="auto"/>
                <w:kern w:val="0"/>
                <w:sz w:val="21"/>
                <w:szCs w:val="21"/>
                <w:highlight w:val="none"/>
                <w:lang w:val="en-US" w:eastAsia="zh-CN" w:bidi="ar-SA"/>
              </w:rPr>
              <w:t>克拉玛依市乌尔禾区玉缘路4号</w:t>
            </w:r>
            <w:r>
              <w:rPr>
                <w:rStyle w:val="25"/>
                <w:rFonts w:hint="eastAsia" w:ascii="宋体" w:hAnsi="宋体" w:eastAsia="宋体" w:cs="宋体"/>
                <w:b w:val="0"/>
                <w:color w:val="auto"/>
                <w:kern w:val="0"/>
                <w:sz w:val="21"/>
                <w:szCs w:val="21"/>
                <w:highlight w:val="none"/>
                <w:lang w:val="en-US" w:eastAsia="zh-CN" w:bidi="ar-SA"/>
              </w:rPr>
              <w:t> </w:t>
            </w:r>
          </w:p>
        </w:tc>
      </w:tr>
      <w:tr w14:paraId="1F04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661" w:type="dxa"/>
            <w:vAlign w:val="center"/>
          </w:tcPr>
          <w:p w14:paraId="310B6383">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9378" w:type="dxa"/>
            <w:vAlign w:val="center"/>
          </w:tcPr>
          <w:p w14:paraId="4D063F2C">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jc w:val="left"/>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采购代理机构：新疆永信工程造价咨询有限公司 </w:t>
            </w:r>
          </w:p>
          <w:p w14:paraId="430B7FA3">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jc w:val="left"/>
              <w:textAlignment w:val="auto"/>
              <w:rPr>
                <w:rFonts w:hint="eastAsia" w:ascii="宋体" w:hAnsi="宋体" w:eastAsia="宋体" w:cs="宋体"/>
                <w:color w:val="auto"/>
                <w:kern w:val="0"/>
                <w:sz w:val="21"/>
                <w:szCs w:val="21"/>
                <w:highlight w:val="none"/>
                <w:lang w:val="en-US" w:eastAsia="zh-CN" w:bidi="ar-SA"/>
              </w:rPr>
            </w:pPr>
            <w:r>
              <w:rPr>
                <w:rStyle w:val="25"/>
                <w:rFonts w:hint="eastAsia" w:ascii="Times New Roman" w:hAnsi="Times New Roman" w:eastAsia="宋体" w:cs="宋体"/>
                <w:b w:val="0"/>
                <w:color w:val="auto"/>
                <w:kern w:val="2"/>
                <w:sz w:val="21"/>
                <w:szCs w:val="21"/>
                <w:highlight w:val="none"/>
                <w:lang w:val="en-US" w:eastAsia="zh-CN" w:bidi="ar-SA"/>
              </w:rPr>
              <w:t>联系人：李彦霖、刘其利、陈婧怡、任薇潼</w:t>
            </w:r>
          </w:p>
          <w:p w14:paraId="59CD0361">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jc w:val="left"/>
              <w:textAlignment w:val="auto"/>
              <w:rPr>
                <w:rFonts w:hint="eastAsia" w:ascii="宋体" w:hAnsi="宋体" w:eastAsia="宋体" w:cs="宋体"/>
                <w:color w:val="auto"/>
                <w:kern w:val="0"/>
                <w:sz w:val="21"/>
                <w:szCs w:val="21"/>
                <w:highlight w:val="none"/>
                <w:lang w:val="en-US" w:eastAsia="zh-CN" w:bidi="ar-SA"/>
              </w:rPr>
            </w:pPr>
            <w:r>
              <w:rPr>
                <w:rStyle w:val="25"/>
                <w:rFonts w:hint="eastAsia" w:ascii="Times New Roman" w:hAnsi="Times New Roman" w:eastAsia="宋体" w:cs="宋体"/>
                <w:b w:val="0"/>
                <w:color w:val="auto"/>
                <w:kern w:val="2"/>
                <w:sz w:val="21"/>
                <w:szCs w:val="21"/>
                <w:highlight w:val="none"/>
                <w:lang w:val="en-US" w:eastAsia="zh-CN" w:bidi="ar-SA"/>
              </w:rPr>
              <w:t>联系电话：</w:t>
            </w:r>
            <w:r>
              <w:rPr>
                <w:rFonts w:hint="eastAsia" w:ascii="宋体" w:hAnsi="宋体" w:eastAsia="宋体" w:cs="宋体"/>
                <w:color w:val="auto"/>
                <w:kern w:val="0"/>
                <w:sz w:val="21"/>
                <w:szCs w:val="21"/>
                <w:highlight w:val="none"/>
                <w:lang w:val="en-US" w:eastAsia="zh-CN" w:bidi="ar-SA"/>
              </w:rPr>
              <w:t>15899390011、0990-6881236  </w:t>
            </w:r>
          </w:p>
          <w:p w14:paraId="46549C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宋体" w:hAnsi="宋体" w:eastAsia="宋体" w:cs="宋体"/>
                <w:color w:val="auto"/>
                <w:szCs w:val="21"/>
                <w:highlight w:val="none"/>
              </w:rPr>
            </w:pPr>
            <w:r>
              <w:rPr>
                <w:rStyle w:val="25"/>
                <w:rFonts w:hint="eastAsia" w:ascii="宋体" w:hAnsi="宋体" w:eastAsia="宋体" w:cs="宋体"/>
                <w:b w:val="0"/>
                <w:color w:val="auto"/>
                <w:szCs w:val="21"/>
                <w:highlight w:val="none"/>
              </w:rPr>
              <w:t>地址：</w:t>
            </w:r>
            <w:r>
              <w:rPr>
                <w:rFonts w:hint="eastAsia" w:ascii="宋体" w:hAnsi="宋体" w:eastAsia="宋体" w:cs="宋体"/>
                <w:color w:val="auto"/>
                <w:szCs w:val="21"/>
                <w:highlight w:val="none"/>
              </w:rPr>
              <w:t>新疆克拉玛依市胜利路47号 </w:t>
            </w:r>
          </w:p>
        </w:tc>
      </w:tr>
      <w:tr w14:paraId="1979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61" w:type="dxa"/>
            <w:vAlign w:val="center"/>
          </w:tcPr>
          <w:p w14:paraId="2AE7FA8E">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9378" w:type="dxa"/>
            <w:vAlign w:val="center"/>
          </w:tcPr>
          <w:p w14:paraId="67C477F9">
            <w:pPr>
              <w:keepNext w:val="0"/>
              <w:keepLines w:val="0"/>
              <w:widowControl w:val="0"/>
              <w:suppressLineNumbers w:val="0"/>
              <w:spacing w:before="0" w:beforeAutospacing="0" w:after="0" w:afterAutospacing="0" w:line="360" w:lineRule="exact"/>
              <w:ind w:left="0" w:right="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投标文件有效期：递交投标文件截止之日起90天（日历日）</w:t>
            </w:r>
          </w:p>
        </w:tc>
      </w:tr>
      <w:tr w14:paraId="6968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661" w:type="dxa"/>
            <w:vAlign w:val="center"/>
          </w:tcPr>
          <w:p w14:paraId="27040F04">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9378" w:type="dxa"/>
            <w:vAlign w:val="center"/>
          </w:tcPr>
          <w:p w14:paraId="4B47EF71">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投标文件的份数：</w:t>
            </w:r>
            <w:r>
              <w:rPr>
                <w:rFonts w:hint="eastAsia" w:ascii="宋体" w:hAnsi="宋体" w:eastAsia="宋体" w:cs="宋体"/>
                <w:b/>
                <w:bCs/>
                <w:color w:val="auto"/>
                <w:kern w:val="2"/>
                <w:sz w:val="21"/>
                <w:szCs w:val="21"/>
                <w:highlight w:val="none"/>
                <w:lang w:val="en-US" w:eastAsia="zh-CN" w:bidi="ar"/>
              </w:rPr>
              <w:t xml:space="preserve">投标文件份数及要求： </w:t>
            </w:r>
          </w:p>
          <w:p w14:paraId="69B60256">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 xml:space="preserve">1.一份电子加密标书（“.jmbs”格式），一份备份标书文件（“.bfbs”格式）。 </w:t>
            </w:r>
          </w:p>
          <w:p w14:paraId="708CFC21">
            <w:pPr>
              <w:keepNext w:val="0"/>
              <w:keepLines w:val="0"/>
              <w:widowControl w:val="0"/>
              <w:suppressLineNumbers w:val="0"/>
              <w:spacing w:before="0" w:beforeAutospacing="0" w:after="0" w:afterAutospacing="0" w:line="360" w:lineRule="exact"/>
              <w:ind w:left="0" w:leftChars="0" w:right="0" w:rightChars="0"/>
              <w:jc w:val="left"/>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b/>
                <w:bCs/>
                <w:color w:val="auto"/>
                <w:kern w:val="2"/>
                <w:sz w:val="21"/>
                <w:szCs w:val="21"/>
                <w:highlight w:val="none"/>
                <w:lang w:val="en-US" w:eastAsia="zh-CN" w:bidi="ar"/>
              </w:rPr>
              <w:t>2.每份电子投标文件应包括资格证明文件、商务部分和技术部分三部分。</w:t>
            </w:r>
          </w:p>
        </w:tc>
      </w:tr>
      <w:tr w14:paraId="04F8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61" w:type="dxa"/>
            <w:vAlign w:val="center"/>
          </w:tcPr>
          <w:p w14:paraId="7BF660E2">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9378" w:type="dxa"/>
            <w:vAlign w:val="center"/>
          </w:tcPr>
          <w:p w14:paraId="72FAD942">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投标文件的上传和递交：</w:t>
            </w:r>
          </w:p>
          <w:p w14:paraId="5B00A144">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1、电子加密投标文件</w:t>
            </w:r>
          </w:p>
          <w:p w14:paraId="4ACDEE67">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①投标文件制作完成并生成加密标书，在投标截止时间前，供应商需将加密的投标文件上传至政采云平台。</w:t>
            </w:r>
          </w:p>
          <w:p w14:paraId="715DD07D">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②供应商未能在投标截止时间前成功上传电子加密投标文件的投标无效。</w:t>
            </w:r>
          </w:p>
          <w:p w14:paraId="59E435DF">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③供应商成功上传电子加密投标文件后，可自行打印投标文件接收回执。</w:t>
            </w:r>
          </w:p>
          <w:p w14:paraId="30D7F4C9">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2、备份投标文件</w:t>
            </w:r>
          </w:p>
          <w:p w14:paraId="373A37D2">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①供应商在投标截止时间前将加密的投标文件上传至政府采购云平台，还可以在投标截止时间前以电子邮件方式提供备份投标文件 1 份（接收人邮箱：464799073@qq.com，接收人电话：15899390011），“备份投标文件”</w:t>
            </w:r>
          </w:p>
          <w:p w14:paraId="5E2CA009">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由供应商自愿提供，采购文件不作强制性要求，如不提供或未按要求提供的，不会因此失去投标资格。</w:t>
            </w:r>
          </w:p>
          <w:p w14:paraId="4E7B12AA">
            <w:pPr>
              <w:keepNext w:val="0"/>
              <w:keepLines w:val="0"/>
              <w:widowControl w:val="0"/>
              <w:suppressLineNumbers w:val="0"/>
              <w:spacing w:before="0" w:beforeAutospacing="0" w:after="0" w:afterAutospacing="0" w:line="360" w:lineRule="exact"/>
              <w:ind w:left="0" w:leftChars="0" w:right="0" w:rightChars="0"/>
              <w:jc w:val="lef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2"/>
                <w:sz w:val="21"/>
                <w:szCs w:val="21"/>
                <w:highlight w:val="none"/>
                <w:lang w:val="en-US" w:eastAsia="zh-CN" w:bidi="ar"/>
              </w:rPr>
              <w:t>②备份投标文件提供要求：供应商可以将备份投标文件打包压缩并加密，压缩包命名为“XX 单位备份投标文件”，加密密码由供应商自行保管；送达时间以采购代理机构实际接收时间为准。“备份投标文件”逾期或未按要求提供的视为未提供，建议供应商提前 1 日办理邮件提供事宜。</w:t>
            </w:r>
          </w:p>
        </w:tc>
      </w:tr>
      <w:tr w14:paraId="3A0B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61" w:type="dxa"/>
            <w:vAlign w:val="center"/>
          </w:tcPr>
          <w:p w14:paraId="76164F4E">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9378" w:type="dxa"/>
            <w:vAlign w:val="center"/>
          </w:tcPr>
          <w:p w14:paraId="26F4D5BF">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投标文件的解密： </w:t>
            </w:r>
          </w:p>
          <w:p w14:paraId="39D44777">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①在开标时间开始后，待采购代理机构发出解密通知后，供应商按照平台提示和采购文件的规定在 30 分钟内完成在线解密投标文件。供应商未按规定完成解密，视为放弃投标。 </w:t>
            </w:r>
          </w:p>
          <w:p w14:paraId="07B335A4">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②通过“政府采购云平台”上传递交的投标文件，因“政府采购云平台”系统问题无法按时解密，供应商提供了备份投标文件的，方可以备份投标文件为依据进行评审，其他因供应商原因导致无法解密的，投标无效。 </w:t>
            </w:r>
          </w:p>
          <w:p w14:paraId="39D7A28E">
            <w:pPr>
              <w:keepNext w:val="0"/>
              <w:keepLines w:val="0"/>
              <w:widowControl w:val="0"/>
              <w:suppressLineNumbers w:val="0"/>
              <w:spacing w:before="0" w:beforeAutospacing="0" w:after="0" w:afterAutospacing="0" w:line="360" w:lineRule="exact"/>
              <w:ind w:left="0" w:leftChars="0" w:right="0" w:rightChars="0"/>
              <w:jc w:val="lef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2"/>
                <w:sz w:val="21"/>
                <w:szCs w:val="21"/>
                <w:highlight w:val="none"/>
                <w:lang w:val="en-US" w:eastAsia="zh-CN" w:bidi="ar"/>
              </w:rPr>
              <w:t>③通过“政府采购云平台”成功上传递交的“电子加密投标文件”已按时解密的，“备份投标文件”自动失效。投标截止时间前，供应商仅提供了“备份投标文件”而未将“电子加密投标文件”成功上传至“政府采购云平台”的，投标无效。</w:t>
            </w:r>
          </w:p>
        </w:tc>
      </w:tr>
      <w:tr w14:paraId="20F0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61" w:type="dxa"/>
            <w:vAlign w:val="center"/>
          </w:tcPr>
          <w:p w14:paraId="7AEB2DE1">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9378" w:type="dxa"/>
            <w:vAlign w:val="center"/>
          </w:tcPr>
          <w:p w14:paraId="7FDA86E8">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评审小组由采购代理机构依法组建； </w:t>
            </w:r>
          </w:p>
          <w:p w14:paraId="6A25023F">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评标专家确定方式：评审专家由采购人或采购代理机构从政府采购云平台专家库中随机抽取。</w:t>
            </w:r>
          </w:p>
          <w:p w14:paraId="32C07731">
            <w:pPr>
              <w:keepNext w:val="0"/>
              <w:keepLines w:val="0"/>
              <w:widowControl w:val="0"/>
              <w:suppressLineNumbers w:val="0"/>
              <w:spacing w:before="0" w:beforeAutospacing="0" w:after="0" w:afterAutospacing="0" w:line="360" w:lineRule="exact"/>
              <w:ind w:left="0" w:leftChars="0" w:right="0" w:rightChars="0"/>
              <w:jc w:val="lef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2"/>
                <w:sz w:val="21"/>
                <w:szCs w:val="21"/>
                <w:highlight w:val="none"/>
                <w:lang w:val="en-US" w:eastAsia="zh-CN" w:bidi="ar"/>
              </w:rPr>
              <w:t>其中采购人代表1人，政府采购云平台专家库中随机抽取专家4人</w:t>
            </w:r>
          </w:p>
        </w:tc>
      </w:tr>
      <w:tr w14:paraId="2CBA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61" w:type="dxa"/>
            <w:vAlign w:val="center"/>
          </w:tcPr>
          <w:p w14:paraId="621C053F">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9378" w:type="dxa"/>
            <w:vAlign w:val="center"/>
          </w:tcPr>
          <w:p w14:paraId="7D098BEC">
            <w:pPr>
              <w:keepNext w:val="0"/>
              <w:keepLines w:val="0"/>
              <w:widowControl w:val="0"/>
              <w:suppressLineNumbers w:val="0"/>
              <w:spacing w:before="0" w:beforeAutospacing="0" w:after="0" w:afterAutospacing="0" w:line="360" w:lineRule="exact"/>
              <w:ind w:left="0" w:right="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人不统一组织各供应商实地考察。于规定截止时间前以书面形式（必须加盖供应商公章）送达或传真至采购代理机构（同时将疑问电子版发464799073@qq.com）。采购人和采购代理机构将视情况予以答复，并发至新疆政府采购网政采云平台各供应商自行查阅下载。</w:t>
            </w:r>
          </w:p>
        </w:tc>
      </w:tr>
      <w:tr w14:paraId="3880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661" w:type="dxa"/>
            <w:vAlign w:val="center"/>
          </w:tcPr>
          <w:p w14:paraId="3A809973">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9378" w:type="dxa"/>
            <w:vAlign w:val="center"/>
          </w:tcPr>
          <w:p w14:paraId="19C81A05">
            <w:pPr>
              <w:keepNext w:val="0"/>
              <w:keepLines w:val="0"/>
              <w:widowControl w:val="0"/>
              <w:suppressLineNumbers w:val="0"/>
              <w:spacing w:before="0" w:beforeAutospacing="0" w:after="0" w:afterAutospacing="0" w:line="360" w:lineRule="exact"/>
              <w:ind w:left="0" w:right="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递交投标文件时间：2026年</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11</w:t>
            </w:r>
            <w:r>
              <w:rPr>
                <w:rFonts w:hint="eastAsia" w:ascii="宋体" w:hAnsi="宋体" w:eastAsia="宋体" w:cs="宋体"/>
                <w:color w:val="auto"/>
                <w:kern w:val="2"/>
                <w:sz w:val="21"/>
                <w:szCs w:val="21"/>
                <w:highlight w:val="none"/>
                <w:lang w:val="en-US" w:eastAsia="zh-CN" w:bidi="ar-SA"/>
              </w:rPr>
              <w:t>日10:00-10:30</w:t>
            </w:r>
          </w:p>
          <w:p w14:paraId="52E1D1F8">
            <w:pPr>
              <w:keepNext w:val="0"/>
              <w:keepLines w:val="0"/>
              <w:widowControl w:val="0"/>
              <w:suppressLineNumbers w:val="0"/>
              <w:spacing w:before="0" w:beforeAutospacing="0" w:after="0" w:afterAutospacing="0" w:line="360" w:lineRule="exact"/>
              <w:ind w:left="0" w:right="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递交投标文件截止时间：2026年</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11</w:t>
            </w:r>
            <w:r>
              <w:rPr>
                <w:rFonts w:hint="eastAsia" w:ascii="宋体" w:hAnsi="宋体" w:eastAsia="宋体" w:cs="宋体"/>
                <w:color w:val="auto"/>
                <w:kern w:val="2"/>
                <w:sz w:val="21"/>
                <w:szCs w:val="21"/>
                <w:highlight w:val="none"/>
                <w:lang w:val="en-US" w:eastAsia="zh-CN" w:bidi="ar-SA"/>
              </w:rPr>
              <w:t>日10:30</w:t>
            </w:r>
          </w:p>
          <w:p w14:paraId="5B37DE06">
            <w:pPr>
              <w:keepNext w:val="0"/>
              <w:keepLines w:val="0"/>
              <w:widowControl w:val="0"/>
              <w:suppressLineNumbers w:val="0"/>
              <w:spacing w:before="0" w:beforeAutospacing="0" w:after="0" w:afterAutospacing="0" w:line="360" w:lineRule="exact"/>
              <w:ind w:left="0" w:right="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递交投标文件地点：新疆政府采购网政采云平台线上递交</w:t>
            </w:r>
          </w:p>
        </w:tc>
      </w:tr>
      <w:tr w14:paraId="1BDD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61" w:type="dxa"/>
            <w:vAlign w:val="center"/>
          </w:tcPr>
          <w:p w14:paraId="0A6B9E79">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9378" w:type="dxa"/>
            <w:vAlign w:val="center"/>
          </w:tcPr>
          <w:p w14:paraId="1628D0AC">
            <w:pPr>
              <w:keepNext w:val="0"/>
              <w:keepLines w:val="0"/>
              <w:widowControl w:val="0"/>
              <w:suppressLineNumbers w:val="0"/>
              <w:spacing w:before="0" w:beforeAutospacing="0" w:after="0" w:afterAutospacing="0" w:line="360" w:lineRule="exact"/>
              <w:ind w:left="0" w:right="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开标时间：2026年</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11</w:t>
            </w:r>
            <w:r>
              <w:rPr>
                <w:rFonts w:hint="eastAsia" w:ascii="宋体" w:hAnsi="宋体" w:eastAsia="宋体" w:cs="宋体"/>
                <w:color w:val="auto"/>
                <w:kern w:val="2"/>
                <w:sz w:val="21"/>
                <w:szCs w:val="21"/>
                <w:highlight w:val="none"/>
                <w:lang w:val="en-US" w:eastAsia="zh-CN" w:bidi="ar-SA"/>
              </w:rPr>
              <w:t>日10:30</w:t>
            </w:r>
          </w:p>
          <w:p w14:paraId="38868595">
            <w:pPr>
              <w:keepNext w:val="0"/>
              <w:keepLines w:val="0"/>
              <w:widowControl w:val="0"/>
              <w:suppressLineNumbers w:val="0"/>
              <w:spacing w:before="0" w:beforeAutospacing="0" w:after="0" w:afterAutospacing="0" w:line="360" w:lineRule="exact"/>
              <w:ind w:left="0" w:right="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开标地点：</w:t>
            </w:r>
            <w:r>
              <w:rPr>
                <w:rFonts w:hint="eastAsia" w:ascii="宋体" w:hAnsi="宋体" w:eastAsia="宋体" w:cs="宋体"/>
                <w:color w:val="auto"/>
                <w:kern w:val="2"/>
                <w:sz w:val="21"/>
                <w:szCs w:val="21"/>
                <w:highlight w:val="none"/>
                <w:lang w:val="zh-CN" w:eastAsia="zh-CN" w:bidi="ar-SA"/>
              </w:rPr>
              <w:t>新疆永信工程造价咨询有限公司</w:t>
            </w:r>
            <w:r>
              <w:rPr>
                <w:rFonts w:hint="eastAsia" w:ascii="宋体" w:hAnsi="宋体" w:eastAsia="宋体" w:cs="宋体"/>
                <w:color w:val="auto"/>
                <w:kern w:val="2"/>
                <w:sz w:val="21"/>
                <w:szCs w:val="21"/>
                <w:highlight w:val="none"/>
                <w:lang w:val="en-US" w:eastAsia="zh-CN" w:bidi="ar-SA"/>
              </w:rPr>
              <w:t>4楼401-3开标室</w:t>
            </w:r>
            <w:r>
              <w:rPr>
                <w:rFonts w:hint="eastAsia" w:ascii="宋体" w:hAnsi="宋体" w:eastAsia="宋体" w:cs="宋体"/>
                <w:color w:val="auto"/>
                <w:kern w:val="2"/>
                <w:sz w:val="21"/>
                <w:szCs w:val="21"/>
                <w:highlight w:val="none"/>
                <w:lang w:val="zh-CN" w:eastAsia="zh-CN" w:bidi="ar-SA"/>
              </w:rPr>
              <w:t>（克拉玛依市胜利路47号）</w:t>
            </w:r>
          </w:p>
        </w:tc>
      </w:tr>
      <w:tr w14:paraId="5ED1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661" w:type="dxa"/>
            <w:vAlign w:val="center"/>
          </w:tcPr>
          <w:p w14:paraId="385A436B">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9378" w:type="dxa"/>
            <w:vAlign w:val="center"/>
          </w:tcPr>
          <w:p w14:paraId="4688665E">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采购项目总预算：</w:t>
            </w:r>
          </w:p>
          <w:p w14:paraId="4690DB55">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采购预算为¥657540元(大写：人民币陆拾伍万柒仟伍佰肆拾元整)；供应商的商务报价如超过采购预算，则供应商投标文件作无效响应处理。</w:t>
            </w:r>
          </w:p>
        </w:tc>
      </w:tr>
      <w:tr w14:paraId="7BBF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61" w:type="dxa"/>
            <w:vAlign w:val="center"/>
          </w:tcPr>
          <w:p w14:paraId="655A0755">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w:t>
            </w:r>
          </w:p>
        </w:tc>
        <w:tc>
          <w:tcPr>
            <w:tcW w:w="9378" w:type="dxa"/>
            <w:vAlign w:val="center"/>
          </w:tcPr>
          <w:p w14:paraId="68819F8E">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1.政府采购政策：</w:t>
            </w:r>
          </w:p>
          <w:p w14:paraId="6A843124">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本项目专门面向中小企业采购。中小微企业提供《中小企业声明函》。</w:t>
            </w:r>
          </w:p>
          <w:p w14:paraId="40688D4E">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2.根据工信部等部委发布的《关于印发中小企业划型标准规定的通知》（工信部联企业〔2011〕300号）、财政部、工业和信息化部《政府采购促进中小企业发展管理办法 》（财库[2020]46号文）规定、财政部《关于进一步加大政府采购支持中小企业力度的通知》（财库〔2022〕19号）、新疆维吾尔自治区财政厅、新疆生产建设兵团财政局《关于落实好政府采购支持中小企业发展的通知》（新财购〔2022〕22号文）规定。</w:t>
            </w:r>
          </w:p>
          <w:p w14:paraId="2454CCE5">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本项目中小企业划分标准所属行业为</w:t>
            </w:r>
            <w:r>
              <w:rPr>
                <w:rFonts w:hint="eastAsia" w:ascii="宋体" w:hAnsi="宋体" w:eastAsia="宋体" w:cs="宋体"/>
                <w:b/>
                <w:bCs/>
                <w:color w:val="auto"/>
                <w:kern w:val="2"/>
                <w:sz w:val="21"/>
                <w:szCs w:val="21"/>
                <w:highlight w:val="none"/>
                <w:lang w:val="en-US" w:eastAsia="zh-CN" w:bidi="ar-SA"/>
              </w:rPr>
              <w:t>工业</w:t>
            </w:r>
            <w:r>
              <w:rPr>
                <w:rFonts w:hint="eastAsia" w:ascii="宋体" w:hAnsi="宋体" w:eastAsia="宋体" w:cs="宋体"/>
                <w:color w:val="auto"/>
                <w:kern w:val="2"/>
                <w:sz w:val="21"/>
                <w:szCs w:val="21"/>
                <w:highlight w:val="none"/>
                <w:lang w:val="en-US" w:eastAsia="zh-CN" w:bidi="ar-SA"/>
              </w:rPr>
              <w:t>。</w:t>
            </w:r>
          </w:p>
        </w:tc>
      </w:tr>
      <w:tr w14:paraId="62D7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61" w:type="dxa"/>
            <w:vAlign w:val="center"/>
          </w:tcPr>
          <w:p w14:paraId="3877EC95">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w:t>
            </w:r>
          </w:p>
        </w:tc>
        <w:tc>
          <w:tcPr>
            <w:tcW w:w="9378" w:type="dxa"/>
            <w:vAlign w:val="center"/>
          </w:tcPr>
          <w:p w14:paraId="6362BA64">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异常低价审查程序：</w:t>
            </w:r>
          </w:p>
          <w:p w14:paraId="3744329D">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（一）政府采购评审中出现下列情形之一的，评审委员会应当启动异常低价投标（响应）审查程序： </w:t>
            </w:r>
          </w:p>
          <w:p w14:paraId="4D16C37C">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1.投标（响应）报价低于全部通过符合性审查供应商投标（响应）报价平均值</w:t>
            </w:r>
            <w:r>
              <w:rPr>
                <w:rFonts w:hint="eastAsia" w:ascii="宋体" w:hAnsi="宋体"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%的，即投标（响应）报价&lt;全部通过符合性审查供应商投标（响应）报价平均值×</w:t>
            </w:r>
            <w:r>
              <w:rPr>
                <w:rFonts w:hint="eastAsia" w:ascii="宋体" w:hAnsi="宋体"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 </w:t>
            </w:r>
          </w:p>
          <w:p w14:paraId="2C3A4C09">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2.投标（响应）报价低于通过符合性审查的次低报价供应商投标（响应）报价</w:t>
            </w:r>
            <w:r>
              <w:rPr>
                <w:rFonts w:hint="eastAsia" w:ascii="宋体" w:hAnsi="宋体"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%的，即投标（响应）报价&lt;通过符合性审查的次低报价供应商投标（响应）报价×</w:t>
            </w:r>
            <w:r>
              <w:rPr>
                <w:rFonts w:hint="eastAsia" w:ascii="宋体" w:hAnsi="宋体"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 </w:t>
            </w:r>
          </w:p>
          <w:p w14:paraId="75150FD8">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3.投标（响应）报价低于采购项目最高限价</w:t>
            </w:r>
            <w:r>
              <w:rPr>
                <w:rFonts w:hint="eastAsia" w:ascii="宋体" w:hAnsi="宋体"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%的，即投标（响应）报价&lt;采购项目最高限价×</w:t>
            </w:r>
            <w:r>
              <w:rPr>
                <w:rFonts w:hint="eastAsia" w:ascii="宋体" w:hAnsi="宋体"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 </w:t>
            </w:r>
          </w:p>
          <w:p w14:paraId="79B14E69">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4.评审委员会基于专业判断，认为供应商报价过低，有可能影响产品质量或者不能诚信履约的其他情形。 </w:t>
            </w:r>
          </w:p>
          <w:p w14:paraId="07F2FD29">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采购人可以结合具体项目实际情况，提高上述第1项至第3项中启动异常低价投标（响应）审查的数值标准，但是最高不得超过65%。 </w:t>
            </w:r>
          </w:p>
          <w:p w14:paraId="06C1EF28">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相关法律法规对供应商报价有规定的，从其规定。 </w:t>
            </w:r>
          </w:p>
          <w:p w14:paraId="515ED30E">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60FA2C29">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6FFA6F1E">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74875A66">
            <w:pPr>
              <w:keepNext w:val="0"/>
              <w:keepLines w:val="0"/>
              <w:widowControl w:val="0"/>
              <w:suppressLineNumbers w:val="0"/>
              <w:spacing w:before="0" w:beforeAutospacing="0" w:after="0" w:afterAutospacing="0" w:line="360" w:lineRule="exact"/>
              <w:ind w:left="0" w:right="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异常低价投标（响应）审查的启动原因、审查意见和审查结果应当在评审报告中记录，并随供应商提供的相关书面说明及证明材料，以及评审委员会有关互联网浏览、查询历史一并归档。 </w:t>
            </w:r>
          </w:p>
        </w:tc>
      </w:tr>
      <w:tr w14:paraId="02EB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61" w:type="dxa"/>
            <w:vAlign w:val="center"/>
          </w:tcPr>
          <w:p w14:paraId="0FCA45E8">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w:t>
            </w:r>
          </w:p>
        </w:tc>
        <w:tc>
          <w:tcPr>
            <w:tcW w:w="9378" w:type="dxa"/>
            <w:vAlign w:val="center"/>
          </w:tcPr>
          <w:p w14:paraId="4A11A05A">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注意事项：</w:t>
            </w:r>
          </w:p>
          <w:p w14:paraId="18D4CE92">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（1）供应商应当在响应截止时间前，将生成的“电子加密响应文件”上传递交至“政府采购云平台”，响应截止时间以后上传递交的响应文件将被“政府采购云平台”拒收。 </w:t>
            </w:r>
          </w:p>
          <w:p w14:paraId="152BB958">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（2）供应商登录政采云平台，在开标时间后30分钟内用“项目采购-开标评标”功能进行解密响应文件。若供应商在规定时间内未按时解密的，视为无效响应。解密与加密响应文件须使用同一个 CA。 </w:t>
            </w:r>
          </w:p>
          <w:p w14:paraId="3BC06110">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（3）供应商应提前上传电子响应文件，以便在上传时遇到技术问题，有充足的时间请教平台的技术人员（平台客服电话95763）。</w:t>
            </w:r>
          </w:p>
        </w:tc>
      </w:tr>
      <w:tr w14:paraId="66A4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61" w:type="dxa"/>
            <w:vAlign w:val="center"/>
          </w:tcPr>
          <w:p w14:paraId="15C99A05">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w:t>
            </w:r>
          </w:p>
        </w:tc>
        <w:tc>
          <w:tcPr>
            <w:tcW w:w="9378" w:type="dxa"/>
            <w:vAlign w:val="center"/>
          </w:tcPr>
          <w:p w14:paraId="36BDD352">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代采购代理费：本项目采购代理费由成交供应商进行支付，总金额为人民币7890元（大写：人民币柒仟捌佰玖拾元整），成交供应商领取成交通知书时支付采购代理费。</w:t>
            </w:r>
          </w:p>
          <w:p w14:paraId="2B32D744">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单位名称：新疆永信工程造价咨询有限公司  开户行：中国工商银行股份有限公司克拉玛依东风支行</w:t>
            </w:r>
          </w:p>
          <w:p w14:paraId="52D37EA6">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银行账号：3003022009200012194           行  号：102882000045</w:t>
            </w:r>
          </w:p>
          <w:p w14:paraId="20B9EB06">
            <w:pPr>
              <w:keepNext w:val="0"/>
              <w:keepLines w:val="0"/>
              <w:widowControl w:val="0"/>
              <w:suppressLineNumbers w:val="0"/>
              <w:spacing w:before="0" w:beforeAutospacing="0" w:after="0" w:afterAutospacing="0" w:line="360" w:lineRule="exact"/>
              <w:ind w:left="0" w:right="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财务联系电话：18609906001、0990-6883442</w:t>
            </w:r>
          </w:p>
        </w:tc>
      </w:tr>
    </w:tbl>
    <w:p w14:paraId="03E32A18">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6D6711B2">
      <w:pPr>
        <w:rPr>
          <w:rFonts w:ascii="宋体" w:hAnsi="宋体" w:cs="宋体"/>
          <w:b/>
          <w:bCs/>
          <w:color w:val="auto"/>
          <w:sz w:val="24"/>
          <w:highlight w:val="none"/>
        </w:rPr>
      </w:pPr>
      <w:r>
        <w:rPr>
          <w:rFonts w:hint="eastAsia" w:ascii="宋体" w:hAnsi="宋体" w:cs="宋体"/>
          <w:b/>
          <w:bCs/>
          <w:color w:val="auto"/>
          <w:sz w:val="24"/>
          <w:highlight w:val="none"/>
        </w:rPr>
        <w:t>一、说明</w:t>
      </w:r>
    </w:p>
    <w:p w14:paraId="5D58B646">
      <w:pPr>
        <w:pStyle w:val="12"/>
        <w:spacing w:line="360" w:lineRule="auto"/>
        <w:ind w:firstLine="480" w:firstLineChars="200"/>
        <w:outlineLvl w:val="1"/>
        <w:rPr>
          <w:rFonts w:hAnsi="宋体" w:cs="宋体"/>
          <w:color w:val="auto"/>
          <w:sz w:val="24"/>
          <w:highlight w:val="none"/>
        </w:rPr>
      </w:pPr>
      <w:bookmarkStart w:id="44" w:name="_Toc243907571"/>
      <w:bookmarkStart w:id="45" w:name="_Toc243906311"/>
      <w:bookmarkStart w:id="46" w:name="_Toc233274811"/>
      <w:bookmarkStart w:id="47" w:name="_Toc246216180"/>
      <w:bookmarkStart w:id="48" w:name="_Toc6629"/>
      <w:r>
        <w:rPr>
          <w:rFonts w:hint="eastAsia" w:hAnsi="宋体" w:cs="宋体"/>
          <w:color w:val="auto"/>
          <w:sz w:val="24"/>
          <w:highlight w:val="none"/>
        </w:rPr>
        <w:t>1、适用范围</w:t>
      </w:r>
      <w:bookmarkEnd w:id="44"/>
      <w:bookmarkEnd w:id="45"/>
      <w:bookmarkEnd w:id="46"/>
      <w:bookmarkEnd w:id="47"/>
      <w:r>
        <w:rPr>
          <w:rFonts w:hint="eastAsia" w:hAnsi="宋体" w:cs="宋体"/>
          <w:color w:val="auto"/>
          <w:sz w:val="24"/>
          <w:highlight w:val="none"/>
        </w:rPr>
        <w:t>及招标依据</w:t>
      </w:r>
      <w:bookmarkEnd w:id="48"/>
    </w:p>
    <w:p w14:paraId="6E99659B">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1.1 适用范围</w:t>
      </w:r>
    </w:p>
    <w:p w14:paraId="2B1EE081">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本</w:t>
      </w:r>
      <w:r>
        <w:rPr>
          <w:rFonts w:hint="eastAsia" w:hAnsi="宋体" w:cs="宋体"/>
          <w:color w:val="auto"/>
          <w:sz w:val="24"/>
          <w:highlight w:val="none"/>
          <w:lang w:eastAsia="zh-CN"/>
        </w:rPr>
        <w:t>招标</w:t>
      </w:r>
      <w:r>
        <w:rPr>
          <w:rFonts w:hint="eastAsia" w:hAnsi="宋体" w:cs="宋体"/>
          <w:color w:val="auto"/>
          <w:sz w:val="24"/>
          <w:highlight w:val="none"/>
        </w:rPr>
        <w:t>文件仅适用于</w:t>
      </w:r>
      <w:r>
        <w:rPr>
          <w:rFonts w:hint="eastAsia" w:hAnsi="宋体" w:cs="宋体"/>
          <w:color w:val="auto"/>
          <w:sz w:val="24"/>
          <w:highlight w:val="none"/>
          <w:lang w:eastAsia="zh-CN"/>
        </w:rPr>
        <w:t>克拉玛依市乌尔禾区瑞翔幼儿园智慧幼儿园采购项目</w:t>
      </w:r>
      <w:r>
        <w:rPr>
          <w:rFonts w:hint="eastAsia" w:hAnsi="宋体" w:cs="宋体"/>
          <w:color w:val="auto"/>
          <w:sz w:val="24"/>
          <w:szCs w:val="24"/>
          <w:highlight w:val="none"/>
        </w:rPr>
        <w:t>。</w:t>
      </w:r>
    </w:p>
    <w:p w14:paraId="53F61A99">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1.2招标依据</w:t>
      </w:r>
    </w:p>
    <w:p w14:paraId="15A29CB6">
      <w:pPr>
        <w:widowControl/>
        <w:spacing w:line="360" w:lineRule="auto"/>
        <w:ind w:firstLine="480" w:firstLineChars="200"/>
        <w:rPr>
          <w:rFonts w:hint="eastAsia" w:ascii="宋体" w:hAnsi="宋体" w:eastAsia="宋体" w:cs="宋体"/>
          <w:color w:val="auto"/>
          <w:kern w:val="2"/>
          <w:sz w:val="24"/>
          <w:szCs w:val="21"/>
          <w:highlight w:val="none"/>
          <w:lang w:val="en-US" w:eastAsia="zh-CN" w:bidi="ar-SA"/>
        </w:rPr>
      </w:pPr>
      <w:bookmarkStart w:id="49" w:name="_Toc243907572"/>
      <w:bookmarkStart w:id="50" w:name="_Toc246216181"/>
      <w:bookmarkStart w:id="51" w:name="_Toc20877"/>
      <w:bookmarkStart w:id="52" w:name="_Toc233274812"/>
      <w:bookmarkStart w:id="53" w:name="_Toc243906312"/>
      <w:r>
        <w:rPr>
          <w:rFonts w:hint="eastAsia" w:ascii="宋体" w:hAnsi="宋体" w:eastAsia="宋体" w:cs="宋体"/>
          <w:color w:val="auto"/>
          <w:kern w:val="2"/>
          <w:sz w:val="24"/>
          <w:szCs w:val="21"/>
          <w:highlight w:val="none"/>
          <w:lang w:val="en-US" w:eastAsia="zh-CN" w:bidi="ar-SA"/>
        </w:rPr>
        <w:t>根据《中华人民共和国政府采购法》、《中华人民共和国政府采购法实施条例》、《政府采购货物和服务招标投标管理办法》（财政部令第87号）及有关法律、法规。</w:t>
      </w:r>
    </w:p>
    <w:p w14:paraId="1BA4F8ED">
      <w:pPr>
        <w:pStyle w:val="12"/>
        <w:spacing w:line="360" w:lineRule="auto"/>
        <w:ind w:firstLine="480" w:firstLineChars="200"/>
        <w:outlineLvl w:val="1"/>
        <w:rPr>
          <w:rFonts w:hAnsi="宋体" w:cs="宋体"/>
          <w:color w:val="auto"/>
          <w:sz w:val="24"/>
          <w:highlight w:val="none"/>
        </w:rPr>
      </w:pPr>
      <w:r>
        <w:rPr>
          <w:rFonts w:hint="eastAsia" w:hAnsi="宋体" w:cs="宋体"/>
          <w:color w:val="auto"/>
          <w:sz w:val="24"/>
          <w:highlight w:val="none"/>
        </w:rPr>
        <w:t>2、定义</w:t>
      </w:r>
      <w:bookmarkEnd w:id="49"/>
      <w:bookmarkEnd w:id="50"/>
      <w:bookmarkEnd w:id="51"/>
      <w:bookmarkEnd w:id="52"/>
      <w:bookmarkEnd w:id="53"/>
    </w:p>
    <w:p w14:paraId="4AC778A4">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2.1 “采购人”系指</w:t>
      </w:r>
      <w:r>
        <w:rPr>
          <w:rFonts w:hint="eastAsia" w:hAnsi="宋体" w:cs="宋体"/>
          <w:color w:val="auto"/>
          <w:sz w:val="24"/>
          <w:highlight w:val="none"/>
          <w:lang w:eastAsia="zh-CN"/>
        </w:rPr>
        <w:t>克拉玛依市乌尔禾区瑞翔幼儿园</w:t>
      </w:r>
      <w:r>
        <w:rPr>
          <w:rFonts w:hint="eastAsia" w:hAnsi="宋体" w:cs="宋体"/>
          <w:color w:val="auto"/>
          <w:sz w:val="24"/>
          <w:highlight w:val="none"/>
        </w:rPr>
        <w:t>，在签订和执行合同阶段称“买方”。</w:t>
      </w:r>
    </w:p>
    <w:p w14:paraId="27E48535">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 xml:space="preserve">2.2 </w:t>
      </w:r>
      <w:r>
        <w:rPr>
          <w:rFonts w:hint="eastAsia" w:hAnsi="宋体" w:cs="宋体"/>
          <w:color w:val="auto"/>
          <w:sz w:val="24"/>
          <w:szCs w:val="24"/>
          <w:highlight w:val="none"/>
        </w:rPr>
        <w:t>“采购代理机构”</w:t>
      </w:r>
      <w:r>
        <w:rPr>
          <w:rFonts w:hint="eastAsia" w:hAnsi="宋体" w:cs="宋体"/>
          <w:color w:val="auto"/>
          <w:sz w:val="24"/>
          <w:highlight w:val="none"/>
        </w:rPr>
        <w:t>系指</w:t>
      </w:r>
      <w:r>
        <w:rPr>
          <w:rFonts w:hint="eastAsia" w:hAnsi="宋体" w:cs="宋体"/>
          <w:color w:val="auto"/>
          <w:sz w:val="24"/>
          <w:highlight w:val="none"/>
          <w:lang w:val="zh-CN"/>
        </w:rPr>
        <w:t>新疆永信工程造价咨询有限公司</w:t>
      </w:r>
      <w:r>
        <w:rPr>
          <w:rFonts w:hint="eastAsia" w:hAnsi="宋体" w:cs="宋体"/>
          <w:color w:val="auto"/>
          <w:sz w:val="24"/>
          <w:highlight w:val="none"/>
        </w:rPr>
        <w:t>。</w:t>
      </w:r>
    </w:p>
    <w:p w14:paraId="3ACC178D">
      <w:pPr>
        <w:pStyle w:val="12"/>
        <w:spacing w:line="360" w:lineRule="auto"/>
        <w:ind w:firstLine="480" w:firstLineChars="200"/>
        <w:rPr>
          <w:rFonts w:hAnsi="宋体" w:cs="宋体"/>
          <w:color w:val="auto"/>
          <w:sz w:val="24"/>
          <w:highlight w:val="none"/>
          <w:lang w:val="zh-CN"/>
        </w:rPr>
      </w:pPr>
      <w:bookmarkStart w:id="54" w:name="_Toc246216182"/>
      <w:bookmarkStart w:id="55" w:name="_Toc243906313"/>
      <w:bookmarkStart w:id="56" w:name="_Toc233274813"/>
      <w:bookmarkStart w:id="57" w:name="_Toc243907573"/>
      <w:r>
        <w:rPr>
          <w:rFonts w:hint="eastAsia" w:hAnsi="宋体" w:cs="宋体"/>
          <w:color w:val="auto"/>
          <w:sz w:val="24"/>
          <w:highlight w:val="none"/>
          <w:lang w:val="zh-CN"/>
        </w:rPr>
        <w:t>2.3 “供应商”系指具备资格并响应招标文件要求提交投标文件的法人，供应商若中标，在签订和执行合同阶段称“卖方”。</w:t>
      </w:r>
    </w:p>
    <w:p w14:paraId="3927BA47">
      <w:pPr>
        <w:pStyle w:val="12"/>
        <w:spacing w:line="360" w:lineRule="auto"/>
        <w:ind w:firstLine="480" w:firstLineChars="200"/>
        <w:rPr>
          <w:rFonts w:hAnsi="宋体" w:cs="宋体"/>
          <w:color w:val="auto"/>
          <w:sz w:val="24"/>
          <w:highlight w:val="none"/>
          <w:lang w:val="zh-CN"/>
        </w:rPr>
      </w:pPr>
      <w:r>
        <w:rPr>
          <w:rFonts w:hint="eastAsia" w:hAnsi="宋体" w:cs="宋体"/>
          <w:color w:val="auto"/>
          <w:sz w:val="24"/>
          <w:highlight w:val="none"/>
          <w:lang w:val="zh-CN"/>
        </w:rPr>
        <w:t>2.4 “招标文件”系指由采购人向供应商发出的本采购项目的全部文件（包括修改文件、项目采购需求、补充文件、答疑纪要、各种通知和附件等）。</w:t>
      </w:r>
    </w:p>
    <w:p w14:paraId="60667BEA">
      <w:pPr>
        <w:pStyle w:val="12"/>
        <w:spacing w:line="360" w:lineRule="auto"/>
        <w:ind w:firstLine="480" w:firstLineChars="200"/>
        <w:rPr>
          <w:rFonts w:hAnsi="宋体" w:cs="宋体"/>
          <w:color w:val="auto"/>
          <w:sz w:val="24"/>
          <w:highlight w:val="none"/>
          <w:shd w:val="clear" w:color="FFFFFF" w:fill="D9D9D9"/>
          <w:lang w:val="zh-CN"/>
        </w:rPr>
      </w:pPr>
      <w:r>
        <w:rPr>
          <w:rFonts w:hint="eastAsia" w:hAnsi="宋体" w:cs="宋体"/>
          <w:color w:val="auto"/>
          <w:sz w:val="24"/>
          <w:highlight w:val="none"/>
          <w:lang w:val="zh-CN"/>
        </w:rPr>
        <w:t>2.5 “投标文件”系指供应商根据招标文件提交的所有文件及电子文档</w:t>
      </w:r>
      <w:r>
        <w:rPr>
          <w:rFonts w:hint="eastAsia" w:hAnsi="宋体" w:cs="宋体"/>
          <w:color w:val="auto"/>
          <w:sz w:val="24"/>
          <w:szCs w:val="24"/>
          <w:highlight w:val="none"/>
        </w:rPr>
        <w:t>（不加密光盘或U盘）</w:t>
      </w:r>
      <w:r>
        <w:rPr>
          <w:rFonts w:hint="eastAsia" w:hAnsi="宋体" w:cs="宋体"/>
          <w:color w:val="auto"/>
          <w:sz w:val="24"/>
          <w:highlight w:val="none"/>
          <w:lang w:val="zh-CN"/>
        </w:rPr>
        <w:t>。</w:t>
      </w:r>
    </w:p>
    <w:p w14:paraId="731DF42A">
      <w:pPr>
        <w:pStyle w:val="12"/>
        <w:spacing w:line="360" w:lineRule="auto"/>
        <w:ind w:firstLine="480" w:firstLineChars="200"/>
        <w:rPr>
          <w:rFonts w:hint="eastAsia" w:hAnsi="宋体" w:cs="宋体"/>
          <w:color w:val="auto"/>
          <w:sz w:val="24"/>
          <w:highlight w:val="none"/>
        </w:rPr>
      </w:pPr>
      <w:r>
        <w:rPr>
          <w:rFonts w:hint="eastAsia" w:hAnsi="宋体" w:cs="宋体"/>
          <w:color w:val="auto"/>
          <w:sz w:val="24"/>
          <w:highlight w:val="none"/>
          <w:lang w:val="zh-CN"/>
        </w:rPr>
        <w:t>2.</w:t>
      </w:r>
      <w:r>
        <w:rPr>
          <w:rFonts w:hint="eastAsia" w:hAnsi="宋体" w:cs="宋体"/>
          <w:color w:val="auto"/>
          <w:sz w:val="24"/>
          <w:highlight w:val="none"/>
          <w:lang w:val="en-US" w:eastAsia="zh-CN"/>
        </w:rPr>
        <w:t>6</w:t>
      </w:r>
      <w:r>
        <w:rPr>
          <w:rFonts w:hint="eastAsia" w:hAnsi="宋体" w:cs="宋体"/>
          <w:color w:val="auto"/>
          <w:sz w:val="24"/>
          <w:highlight w:val="none"/>
          <w:lang w:val="zh-CN"/>
        </w:rPr>
        <w:t xml:space="preserve"> “服务”</w:t>
      </w:r>
      <w:r>
        <w:rPr>
          <w:rFonts w:hint="eastAsia" w:hAnsi="宋体" w:cs="宋体"/>
          <w:color w:val="auto"/>
          <w:sz w:val="24"/>
          <w:highlight w:val="none"/>
        </w:rPr>
        <w:t>系指按合同条款、技术规范及标准、项目采购需求、本竞争性</w:t>
      </w:r>
      <w:r>
        <w:rPr>
          <w:rFonts w:hint="eastAsia" w:hAnsi="宋体" w:cs="宋体"/>
          <w:color w:val="auto"/>
          <w:sz w:val="24"/>
          <w:highlight w:val="none"/>
          <w:lang w:eastAsia="zh-CN"/>
        </w:rPr>
        <w:t>招标</w:t>
      </w:r>
      <w:r>
        <w:rPr>
          <w:rFonts w:hint="eastAsia" w:hAnsi="宋体" w:cs="宋体"/>
          <w:color w:val="auto"/>
          <w:sz w:val="24"/>
          <w:highlight w:val="none"/>
        </w:rPr>
        <w:t>文件规定，成交供应商</w:t>
      </w:r>
      <w:r>
        <w:rPr>
          <w:rFonts w:hint="eastAsia" w:hAnsi="宋体" w:cs="宋体"/>
          <w:color w:val="auto"/>
          <w:sz w:val="24"/>
          <w:highlight w:val="none"/>
          <w:lang w:val="en-US" w:eastAsia="zh-CN"/>
        </w:rPr>
        <w:t>保证</w:t>
      </w:r>
      <w:r>
        <w:rPr>
          <w:rFonts w:hint="eastAsia" w:hAnsi="宋体" w:cs="宋体"/>
          <w:color w:val="auto"/>
          <w:sz w:val="24"/>
          <w:highlight w:val="none"/>
          <w:lang w:eastAsia="zh-CN"/>
        </w:rPr>
        <w:t>完成克拉玛依市乌尔禾区瑞翔幼儿园智慧幼儿园采购项目</w:t>
      </w:r>
      <w:r>
        <w:rPr>
          <w:rFonts w:hint="eastAsia" w:hAnsi="宋体" w:cs="宋体"/>
          <w:color w:val="auto"/>
          <w:sz w:val="24"/>
          <w:highlight w:val="none"/>
          <w:lang w:val="en-US" w:eastAsia="zh-CN"/>
        </w:rPr>
        <w:t>所包含的全部工作内容，</w:t>
      </w:r>
      <w:r>
        <w:rPr>
          <w:rFonts w:hint="eastAsia" w:hAnsi="宋体" w:cs="宋体"/>
          <w:color w:val="auto"/>
          <w:sz w:val="24"/>
          <w:highlight w:val="none"/>
          <w:lang w:eastAsia="zh-CN"/>
        </w:rPr>
        <w:t>以及合同条款、项目采购需求、本招标文件约定的全部内容及责任和义务。</w:t>
      </w:r>
    </w:p>
    <w:p w14:paraId="7E1C83FB">
      <w:pPr>
        <w:pStyle w:val="12"/>
        <w:spacing w:line="360" w:lineRule="auto"/>
        <w:ind w:firstLine="480" w:firstLineChars="200"/>
        <w:rPr>
          <w:rFonts w:hAnsi="宋体" w:cs="宋体"/>
          <w:color w:val="auto"/>
          <w:sz w:val="24"/>
          <w:highlight w:val="none"/>
          <w:lang w:val="zh-CN"/>
        </w:rPr>
      </w:pPr>
      <w:r>
        <w:rPr>
          <w:rFonts w:hint="eastAsia" w:hAnsi="宋体" w:cs="宋体"/>
          <w:color w:val="auto"/>
          <w:sz w:val="24"/>
          <w:highlight w:val="none"/>
          <w:lang w:val="zh-CN"/>
        </w:rPr>
        <w:t>2.</w:t>
      </w:r>
      <w:r>
        <w:rPr>
          <w:rFonts w:hint="eastAsia" w:hAnsi="宋体" w:cs="宋体"/>
          <w:color w:val="auto"/>
          <w:sz w:val="24"/>
          <w:highlight w:val="none"/>
          <w:lang w:val="en-US" w:eastAsia="zh-CN"/>
        </w:rPr>
        <w:t>7</w:t>
      </w:r>
      <w:r>
        <w:rPr>
          <w:rFonts w:hint="eastAsia" w:hAnsi="宋体" w:cs="宋体"/>
          <w:color w:val="auto"/>
          <w:sz w:val="24"/>
          <w:highlight w:val="none"/>
        </w:rPr>
        <w:t xml:space="preserve"> </w:t>
      </w:r>
      <w:r>
        <w:rPr>
          <w:rFonts w:hint="eastAsia" w:hAnsi="宋体" w:cs="宋体"/>
          <w:color w:val="auto"/>
          <w:sz w:val="24"/>
          <w:highlight w:val="none"/>
          <w:lang w:val="zh-CN"/>
        </w:rPr>
        <w:t xml:space="preserve">凡提及的“天、日期、星期、月份和年份”系指公历日历的日历天、日期、星期、月份和年份。 </w:t>
      </w:r>
    </w:p>
    <w:p w14:paraId="1383AF76">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3、</w:t>
      </w:r>
      <w:bookmarkEnd w:id="54"/>
      <w:bookmarkEnd w:id="55"/>
      <w:bookmarkEnd w:id="56"/>
      <w:bookmarkEnd w:id="57"/>
      <w:r>
        <w:rPr>
          <w:rFonts w:hint="eastAsia" w:hAnsi="宋体" w:cs="宋体"/>
          <w:color w:val="auto"/>
          <w:sz w:val="24"/>
          <w:highlight w:val="none"/>
        </w:rPr>
        <w:t>采购范围及服务期限</w:t>
      </w:r>
    </w:p>
    <w:p w14:paraId="64E986DA">
      <w:pPr>
        <w:pStyle w:val="44"/>
        <w:keepNext w:val="0"/>
        <w:keepLines w:val="0"/>
        <w:pageBreakBefore w:val="0"/>
        <w:widowControl w:val="0"/>
        <w:kinsoku/>
        <w:wordWrap/>
        <w:overflowPunct/>
        <w:topLinePunct w:val="0"/>
        <w:bidi w:val="0"/>
        <w:snapToGrid/>
        <w:spacing w:beforeAutospacing="0" w:line="440" w:lineRule="exact"/>
        <w:ind w:firstLine="482" w:firstLineChars="200"/>
        <w:jc w:val="both"/>
        <w:textAlignment w:val="auto"/>
        <w:rPr>
          <w:rFonts w:hint="eastAsia" w:ascii="宋体" w:hAnsi="宋体" w:cs="宋体"/>
          <w:color w:val="auto"/>
          <w:sz w:val="24"/>
          <w:highlight w:val="none"/>
        </w:rPr>
      </w:pPr>
      <w:r>
        <w:rPr>
          <w:rFonts w:hint="eastAsia" w:ascii="宋体" w:hAnsi="宋体" w:cs="宋体"/>
          <w:b/>
          <w:bCs/>
          <w:color w:val="auto"/>
          <w:sz w:val="24"/>
          <w:highlight w:val="none"/>
        </w:rPr>
        <w:t>3.1采购范围</w:t>
      </w:r>
      <w:r>
        <w:rPr>
          <w:rFonts w:hint="eastAsia" w:ascii="宋体" w:hAnsi="宋体" w:cs="宋体"/>
          <w:color w:val="auto"/>
          <w:sz w:val="24"/>
          <w:highlight w:val="none"/>
        </w:rPr>
        <w:t>：</w:t>
      </w:r>
    </w:p>
    <w:p w14:paraId="5FC21690">
      <w:pPr>
        <w:pStyle w:val="44"/>
        <w:keepNext w:val="0"/>
        <w:keepLines w:val="0"/>
        <w:pageBreakBefore w:val="0"/>
        <w:widowControl w:val="0"/>
        <w:kinsoku/>
        <w:wordWrap/>
        <w:overflowPunct/>
        <w:topLinePunct w:val="0"/>
        <w:bidi w:val="0"/>
        <w:snapToGrid/>
        <w:spacing w:beforeAutospacing="0" w:line="440" w:lineRule="exact"/>
        <w:ind w:firstLine="480" w:firstLineChars="200"/>
        <w:jc w:val="both"/>
        <w:textAlignment w:val="auto"/>
        <w:rPr>
          <w:rFonts w:hint="default" w:ascii="宋体" w:hAnsi="宋体" w:eastAsia="宋体" w:cs="宋体"/>
          <w:b/>
          <w:bCs/>
          <w:color w:val="auto"/>
          <w:kern w:val="2"/>
          <w:sz w:val="24"/>
          <w:szCs w:val="24"/>
          <w:highlight w:val="none"/>
          <w:lang w:val="en-US" w:eastAsia="zh-CN" w:bidi="ar-SA"/>
        </w:rPr>
      </w:pPr>
      <w:r>
        <w:rPr>
          <w:rFonts w:hint="eastAsia" w:hAnsi="宋体" w:cs="宋体"/>
          <w:color w:val="auto"/>
          <w:sz w:val="24"/>
          <w:highlight w:val="none"/>
          <w:lang w:val="en-US" w:eastAsia="zh-CN"/>
        </w:rPr>
        <w:t>完成克拉玛依市乌尔禾区瑞翔幼儿园智慧幼儿园采购项目所包含的全部工作内容，</w:t>
      </w:r>
      <w:r>
        <w:rPr>
          <w:rFonts w:hint="eastAsia" w:ascii="宋体" w:hAnsi="宋体" w:cs="宋体"/>
          <w:color w:val="auto"/>
          <w:sz w:val="24"/>
          <w:szCs w:val="24"/>
          <w:highlight w:val="none"/>
          <w:lang w:val="en-US" w:eastAsia="zh-CN"/>
        </w:rPr>
        <w:t>包括货物的供应、运输、装卸（卸至采购人指定地点）、安装、调试、技术资料移交、培训以及售后服务（质保期内的软硬件升级）、税费等供应商应承担的所有工作，并配合采购人完成与此服务相关的合同条款、技术规范及标准、项目采购需求、本招标文件约定的全部内容及责任和义务。</w:t>
      </w:r>
    </w:p>
    <w:p w14:paraId="327FB718">
      <w:pPr>
        <w:pStyle w:val="9"/>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3.2采购预算：¥</w:t>
      </w:r>
      <w:r>
        <w:rPr>
          <w:rFonts w:hint="eastAsia" w:ascii="宋体" w:hAnsi="宋体" w:cs="宋体"/>
          <w:b/>
          <w:bCs/>
          <w:color w:val="auto"/>
          <w:kern w:val="2"/>
          <w:sz w:val="24"/>
          <w:szCs w:val="24"/>
          <w:highlight w:val="none"/>
          <w:lang w:val="en-US" w:eastAsia="zh-CN" w:bidi="ar-SA"/>
        </w:rPr>
        <w:t>657540</w:t>
      </w:r>
      <w:r>
        <w:rPr>
          <w:rFonts w:hint="eastAsia" w:ascii="宋体" w:hAnsi="宋体" w:eastAsia="宋体" w:cs="宋体"/>
          <w:b/>
          <w:bCs/>
          <w:color w:val="auto"/>
          <w:kern w:val="2"/>
          <w:sz w:val="24"/>
          <w:szCs w:val="24"/>
          <w:highlight w:val="none"/>
          <w:lang w:val="en-US" w:eastAsia="zh-CN" w:bidi="ar-SA"/>
        </w:rPr>
        <w:t>元（大写：人民币</w:t>
      </w:r>
      <w:r>
        <w:rPr>
          <w:rFonts w:hint="eastAsia" w:ascii="宋体" w:hAnsi="宋体" w:cs="宋体"/>
          <w:b/>
          <w:bCs/>
          <w:color w:val="auto"/>
          <w:kern w:val="2"/>
          <w:sz w:val="24"/>
          <w:szCs w:val="24"/>
          <w:highlight w:val="none"/>
          <w:lang w:val="en-US" w:eastAsia="zh-CN" w:bidi="ar-SA"/>
        </w:rPr>
        <w:t>陆拾伍万柒仟伍佰肆拾</w:t>
      </w:r>
      <w:r>
        <w:rPr>
          <w:rFonts w:hint="eastAsia" w:ascii="宋体" w:hAnsi="宋体" w:eastAsia="宋体" w:cs="宋体"/>
          <w:b/>
          <w:bCs/>
          <w:color w:val="auto"/>
          <w:kern w:val="2"/>
          <w:sz w:val="24"/>
          <w:szCs w:val="24"/>
          <w:highlight w:val="none"/>
          <w:lang w:val="en-US" w:eastAsia="zh-CN" w:bidi="ar-SA"/>
        </w:rPr>
        <w:t>元整）；</w:t>
      </w:r>
    </w:p>
    <w:p w14:paraId="61361904">
      <w:pPr>
        <w:pStyle w:val="8"/>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w:t>
      </w:r>
      <w:r>
        <w:rPr>
          <w:rFonts w:hint="eastAsia" w:ascii="宋体" w:hAnsi="宋体" w:cs="宋体"/>
          <w:b/>
          <w:bCs/>
          <w:color w:val="auto"/>
          <w:sz w:val="24"/>
          <w:highlight w:val="none"/>
          <w:lang w:val="en-US" w:eastAsia="zh-CN"/>
        </w:rPr>
        <w:t>3供货时间</w:t>
      </w:r>
      <w:r>
        <w:rPr>
          <w:rFonts w:hint="eastAsia" w:ascii="宋体" w:hAnsi="宋体" w:cs="宋体"/>
          <w:b/>
          <w:bCs/>
          <w:color w:val="auto"/>
          <w:sz w:val="24"/>
          <w:highlight w:val="none"/>
        </w:rPr>
        <w:t>：</w:t>
      </w:r>
      <w:r>
        <w:rPr>
          <w:rFonts w:hint="eastAsia" w:ascii="宋体" w:hAnsi="宋体" w:cs="宋体"/>
          <w:color w:val="auto"/>
          <w:kern w:val="2"/>
          <w:sz w:val="24"/>
          <w:szCs w:val="24"/>
          <w:highlight w:val="none"/>
          <w:lang w:val="en-US" w:eastAsia="zh-CN" w:bidi="ar-SA"/>
        </w:rPr>
        <w:t>合同签订生效之日起20个日历日内，中标供应商须完成全部设备供货、现场安装调试、系统集成及联调联试，整体项目达到正式验收标准。</w:t>
      </w:r>
    </w:p>
    <w:p w14:paraId="15ED2CE0">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3.4质保期：</w:t>
      </w:r>
    </w:p>
    <w:p w14:paraId="407452DC">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3.3.1投标产品质量保证期2年。</w:t>
      </w:r>
    </w:p>
    <w:p w14:paraId="6F695AB9">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3.3.2投标产品属于国家规定“三包”范围的，其产品质量保证期不得低于“三包”规定。</w:t>
      </w:r>
    </w:p>
    <w:p w14:paraId="7B8B647A">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3.3.3投标人的质量保证期承诺优于国家“三包”规定的，按投标人实际承诺执行。</w:t>
      </w:r>
    </w:p>
    <w:p w14:paraId="3B19FEEF">
      <w:pPr>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3.3.4投标产品由制造商（指产品生产制造商，或其负责销售、售后服务机构，以下同）负责标准售后服务的，应当在投标文件中予以明确说明，并附制造商售后服务承诺。</w:t>
      </w:r>
    </w:p>
    <w:p w14:paraId="683470F5">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3.5付款方式：合同签订且设备安装、验收合格正常使用后支付合同总金额的100%（成交供应商须开具合法有效网上可查的发票进行结算）。</w:t>
      </w:r>
    </w:p>
    <w:p w14:paraId="095FC22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w:t>
      </w:r>
      <w:r>
        <w:rPr>
          <w:rFonts w:hint="eastAsia" w:ascii="宋体" w:hAnsi="宋体" w:cs="宋体"/>
          <w:color w:val="auto"/>
          <w:sz w:val="24"/>
          <w:highlight w:val="none"/>
        </w:rPr>
        <w:t>、合格供应商资格要求</w:t>
      </w:r>
    </w:p>
    <w:p w14:paraId="6FC14F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4.1详见第一章“</w:t>
      </w:r>
      <w:r>
        <w:rPr>
          <w:rFonts w:hint="eastAsia" w:ascii="宋体" w:hAnsi="宋体" w:cs="宋体"/>
          <w:color w:val="auto"/>
          <w:sz w:val="24"/>
          <w:highlight w:val="none"/>
          <w:lang w:eastAsia="zh-CN"/>
        </w:rPr>
        <w:t>招标</w:t>
      </w:r>
      <w:r>
        <w:rPr>
          <w:rFonts w:hint="eastAsia" w:ascii="宋体" w:hAnsi="宋体" w:cs="宋体"/>
          <w:color w:val="auto"/>
          <w:sz w:val="24"/>
          <w:highlight w:val="none"/>
        </w:rPr>
        <w:t>公告”中的供应商资格要求。</w:t>
      </w:r>
    </w:p>
    <w:p w14:paraId="0739123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4.2采购有关规定</w:t>
      </w:r>
    </w:p>
    <w:p w14:paraId="1D83C79A">
      <w:pPr>
        <w:snapToGrid w:val="0"/>
        <w:spacing w:line="360" w:lineRule="auto"/>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4.2.1供应商负责人为同一人或者存在直接控股、管理关系的不同供应商，不得参加同一合同项下的政府采购活动。</w:t>
      </w:r>
    </w:p>
    <w:p w14:paraId="73CEA51C">
      <w:pPr>
        <w:snapToGrid w:val="0"/>
        <w:spacing w:line="360" w:lineRule="auto"/>
        <w:ind w:firstLine="479" w:firstLineChars="199"/>
        <w:rPr>
          <w:rFonts w:ascii="宋体" w:hAnsi="宋体" w:cs="宋体"/>
          <w:b/>
          <w:bCs/>
          <w:color w:val="auto"/>
          <w:sz w:val="24"/>
          <w:highlight w:val="none"/>
        </w:rPr>
      </w:pPr>
      <w:r>
        <w:rPr>
          <w:rFonts w:hint="eastAsia" w:ascii="宋体" w:hAnsi="宋体" w:cs="宋体"/>
          <w:b/>
          <w:bCs/>
          <w:color w:val="auto"/>
          <w:sz w:val="24"/>
          <w:highlight w:val="none"/>
        </w:rPr>
        <w:t>4.2.2为采购项目提供整体设计、规范编制或者项目管理、监理、检测等服务的供应商，不得再参加该采购项目的其他采购活动。</w:t>
      </w:r>
    </w:p>
    <w:p w14:paraId="399C4B96">
      <w:pPr>
        <w:snapToGrid w:val="0"/>
        <w:spacing w:line="360" w:lineRule="auto"/>
        <w:ind w:firstLine="479" w:firstLineChars="199"/>
        <w:rPr>
          <w:rFonts w:ascii="宋体" w:hAnsi="宋体" w:cs="宋体"/>
          <w:b/>
          <w:bCs/>
          <w:color w:val="auto"/>
          <w:sz w:val="24"/>
          <w:highlight w:val="none"/>
        </w:rPr>
      </w:pPr>
      <w:r>
        <w:rPr>
          <w:rFonts w:hint="eastAsia" w:ascii="宋体" w:hAnsi="宋体" w:cs="宋体"/>
          <w:b/>
          <w:bCs/>
          <w:color w:val="auto"/>
          <w:sz w:val="24"/>
          <w:highlight w:val="none"/>
        </w:rPr>
        <w:t>4.2.3在单一品目的货物采购招标中，同一品牌同一型号的产品有多家供应商参加采购，只能按照一家供应商计算。</w:t>
      </w:r>
    </w:p>
    <w:p w14:paraId="5068319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4.2.4同一分包的货物，制造商参与采购的，不得再委托代理商参与采购。</w:t>
      </w:r>
    </w:p>
    <w:p w14:paraId="2A758206">
      <w:pPr>
        <w:pStyle w:val="35"/>
        <w:spacing w:line="360" w:lineRule="auto"/>
        <w:ind w:left="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5、回避。政府采购活动中，采购人员及相关人员与供应商有下列利害关系之一的，应当回避：</w:t>
      </w:r>
    </w:p>
    <w:p w14:paraId="4CCF2272">
      <w:pPr>
        <w:pStyle w:val="35"/>
        <w:spacing w:line="360" w:lineRule="auto"/>
        <w:ind w:left="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5.1参加采购活动前3年内与供应商存在劳动关系；</w:t>
      </w:r>
    </w:p>
    <w:p w14:paraId="4448A7A4">
      <w:pPr>
        <w:pStyle w:val="35"/>
        <w:spacing w:line="360" w:lineRule="auto"/>
        <w:ind w:left="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5.2参加采购活动前3年内担任供应商的董事、监事；</w:t>
      </w:r>
    </w:p>
    <w:p w14:paraId="6355D47B">
      <w:pPr>
        <w:pStyle w:val="35"/>
        <w:spacing w:line="360" w:lineRule="auto"/>
        <w:ind w:left="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5.3参加采购活动前3年内是供应商的控股股东或者实际控制人；</w:t>
      </w:r>
    </w:p>
    <w:p w14:paraId="017E06F4">
      <w:pPr>
        <w:pStyle w:val="35"/>
        <w:spacing w:line="360" w:lineRule="auto"/>
        <w:ind w:left="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5.4与供应商的法定代表人或者负责人有夫妻、直系血亲、三代以内旁系血亲或者近姻亲关系；</w:t>
      </w:r>
    </w:p>
    <w:p w14:paraId="2FB5D558">
      <w:pPr>
        <w:pStyle w:val="35"/>
        <w:spacing w:line="360" w:lineRule="auto"/>
        <w:ind w:left="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5.5与供应商有其他可能影响政府采购活动公平、公正进行的关系。</w:t>
      </w:r>
    </w:p>
    <w:p w14:paraId="688C450B">
      <w:pPr>
        <w:pStyle w:val="35"/>
        <w:spacing w:line="360" w:lineRule="auto"/>
        <w:ind w:left="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Pr>
          <w:rFonts w:hint="eastAsia" w:hAnsi="宋体" w:cs="宋体"/>
          <w:color w:val="auto"/>
          <w:kern w:val="2"/>
          <w:sz w:val="24"/>
          <w:szCs w:val="24"/>
          <w:highlight w:val="none"/>
          <w:lang w:eastAsia="zh-CN"/>
        </w:rPr>
        <w:t>评标</w:t>
      </w:r>
      <w:r>
        <w:rPr>
          <w:rFonts w:hint="eastAsia" w:hAnsi="宋体" w:cs="宋体"/>
          <w:color w:val="auto"/>
          <w:kern w:val="2"/>
          <w:sz w:val="24"/>
          <w:szCs w:val="24"/>
          <w:highlight w:val="none"/>
        </w:rPr>
        <w:t>小组成员。</w:t>
      </w:r>
    </w:p>
    <w:p w14:paraId="7A7B6CFF">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14:paraId="75136233">
      <w:pPr>
        <w:pStyle w:val="12"/>
        <w:spacing w:line="360" w:lineRule="auto"/>
        <w:ind w:firstLine="480" w:firstLineChars="200"/>
        <w:rPr>
          <w:rFonts w:hAnsi="宋体" w:cs="宋体"/>
          <w:color w:val="auto"/>
          <w:sz w:val="24"/>
          <w:highlight w:val="none"/>
        </w:rPr>
      </w:pPr>
      <w:bookmarkStart w:id="58" w:name="_Toc245897276"/>
      <w:bookmarkStart w:id="59" w:name="_Toc233274816"/>
      <w:bookmarkStart w:id="60" w:name="_Toc243907576"/>
      <w:bookmarkStart w:id="61" w:name="_Toc243906316"/>
      <w:r>
        <w:rPr>
          <w:rFonts w:hint="eastAsia" w:hAnsi="宋体" w:cs="宋体"/>
          <w:color w:val="auto"/>
          <w:sz w:val="24"/>
          <w:highlight w:val="none"/>
        </w:rPr>
        <w:t>6、实地考察和费用</w:t>
      </w:r>
    </w:p>
    <w:p w14:paraId="316E4CB3">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6.1实地考察</w:t>
      </w:r>
    </w:p>
    <w:p w14:paraId="2DC840DC">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不组织统一实地考察。供应商须对采购项目的现场及采购项目所涉及的国家、自治区、克拉玛依地区、相关部门等与此相关的政策进行充分的调查、研究，参观并考察项目情况及其周围环境（包括当地气候条件及自然环境等）以取得所有与准备</w:t>
      </w:r>
      <w:r>
        <w:rPr>
          <w:rFonts w:hint="eastAsia" w:hAnsi="宋体" w:cs="宋体"/>
          <w:color w:val="auto"/>
          <w:sz w:val="24"/>
          <w:szCs w:val="24"/>
          <w:highlight w:val="none"/>
          <w:lang w:eastAsia="zh-CN"/>
        </w:rPr>
        <w:t>投标</w:t>
      </w:r>
      <w:r>
        <w:rPr>
          <w:rFonts w:hint="eastAsia" w:hAnsi="宋体" w:cs="宋体"/>
          <w:color w:val="auto"/>
          <w:sz w:val="24"/>
          <w:szCs w:val="24"/>
          <w:highlight w:val="none"/>
        </w:rPr>
        <w:t>和实施</w:t>
      </w:r>
      <w:r>
        <w:rPr>
          <w:rFonts w:hint="eastAsia" w:hAnsi="宋体" w:cs="宋体"/>
          <w:color w:val="auto"/>
          <w:sz w:val="24"/>
          <w:szCs w:val="24"/>
          <w:highlight w:val="none"/>
          <w:lang w:eastAsia="zh-CN"/>
        </w:rPr>
        <w:t>投标</w:t>
      </w:r>
      <w:r>
        <w:rPr>
          <w:rFonts w:hint="eastAsia" w:hAnsi="宋体" w:cs="宋体"/>
          <w:color w:val="auto"/>
          <w:sz w:val="24"/>
          <w:szCs w:val="24"/>
          <w:highlight w:val="none"/>
        </w:rPr>
        <w:t>有关的必要资料及信息。实地考察所发生的任何费用均由供应商自理。</w:t>
      </w:r>
    </w:p>
    <w:p w14:paraId="3D99792D">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6.2参与</w:t>
      </w:r>
      <w:r>
        <w:rPr>
          <w:rFonts w:hint="eastAsia" w:hAnsi="宋体" w:cs="宋体"/>
          <w:color w:val="auto"/>
          <w:sz w:val="24"/>
          <w:highlight w:val="none"/>
          <w:lang w:eastAsia="zh-CN"/>
        </w:rPr>
        <w:t>投标</w:t>
      </w:r>
      <w:r>
        <w:rPr>
          <w:rFonts w:hint="eastAsia" w:hAnsi="宋体" w:cs="宋体"/>
          <w:color w:val="auto"/>
          <w:sz w:val="24"/>
          <w:highlight w:val="none"/>
        </w:rPr>
        <w:t>费用</w:t>
      </w:r>
    </w:p>
    <w:p w14:paraId="0D8A34B0">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6.2.1供应商应承担所有与</w:t>
      </w:r>
      <w:r>
        <w:rPr>
          <w:rFonts w:hint="eastAsia" w:hAnsi="宋体" w:cs="宋体"/>
          <w:color w:val="auto"/>
          <w:sz w:val="24"/>
          <w:highlight w:val="none"/>
          <w:lang w:eastAsia="zh-CN"/>
        </w:rPr>
        <w:t>投标</w:t>
      </w:r>
      <w:r>
        <w:rPr>
          <w:rFonts w:hint="eastAsia" w:hAnsi="宋体" w:cs="宋体"/>
          <w:color w:val="auto"/>
          <w:sz w:val="24"/>
          <w:highlight w:val="none"/>
        </w:rPr>
        <w:t>准备和</w:t>
      </w:r>
      <w:r>
        <w:rPr>
          <w:rFonts w:hint="eastAsia" w:hAnsi="宋体" w:cs="宋体"/>
          <w:color w:val="auto"/>
          <w:sz w:val="24"/>
          <w:highlight w:val="none"/>
          <w:lang w:eastAsia="zh-CN"/>
        </w:rPr>
        <w:t>投标</w:t>
      </w:r>
      <w:r>
        <w:rPr>
          <w:rFonts w:hint="eastAsia" w:hAnsi="宋体" w:cs="宋体"/>
          <w:color w:val="auto"/>
          <w:sz w:val="24"/>
          <w:highlight w:val="none"/>
        </w:rPr>
        <w:t>有关的全部费用，不论</w:t>
      </w:r>
      <w:r>
        <w:rPr>
          <w:rFonts w:hint="eastAsia" w:hAnsi="宋体" w:cs="宋体"/>
          <w:color w:val="auto"/>
          <w:sz w:val="24"/>
          <w:highlight w:val="none"/>
          <w:lang w:eastAsia="zh-CN"/>
        </w:rPr>
        <w:t>投标</w:t>
      </w:r>
      <w:r>
        <w:rPr>
          <w:rFonts w:hint="eastAsia" w:hAnsi="宋体" w:cs="宋体"/>
          <w:color w:val="auto"/>
          <w:sz w:val="24"/>
          <w:highlight w:val="none"/>
        </w:rPr>
        <w:t>结果如何，采购人和采购代理机构无义务和责任承担供应商所发生的一切费用。</w:t>
      </w:r>
    </w:p>
    <w:p w14:paraId="25022E1D">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6.2.2供应商在</w:t>
      </w:r>
      <w:r>
        <w:rPr>
          <w:rFonts w:hint="eastAsia" w:hAnsi="宋体" w:cs="宋体"/>
          <w:color w:val="auto"/>
          <w:sz w:val="24"/>
          <w:highlight w:val="none"/>
          <w:lang w:eastAsia="zh-CN"/>
        </w:rPr>
        <w:t>投标</w:t>
      </w:r>
      <w:r>
        <w:rPr>
          <w:rFonts w:hint="eastAsia" w:hAnsi="宋体" w:cs="宋体"/>
          <w:color w:val="auto"/>
          <w:sz w:val="24"/>
          <w:highlight w:val="none"/>
        </w:rPr>
        <w:t>准备、实地考察和</w:t>
      </w:r>
      <w:r>
        <w:rPr>
          <w:rFonts w:hint="eastAsia" w:hAnsi="宋体" w:cs="宋体"/>
          <w:color w:val="auto"/>
          <w:sz w:val="24"/>
          <w:highlight w:val="none"/>
          <w:lang w:eastAsia="zh-CN"/>
        </w:rPr>
        <w:t>投标</w:t>
      </w:r>
      <w:r>
        <w:rPr>
          <w:rFonts w:hint="eastAsia" w:hAnsi="宋体" w:cs="宋体"/>
          <w:color w:val="auto"/>
          <w:sz w:val="24"/>
          <w:highlight w:val="none"/>
        </w:rPr>
        <w:t>的全过程中，如果发生人身伤亡、财物或其它任何损失，不论何种原因所造成，均由供应商自行承担全部责任和损失。</w:t>
      </w:r>
    </w:p>
    <w:p w14:paraId="64D89187">
      <w:pPr>
        <w:pStyle w:val="12"/>
        <w:spacing w:line="360" w:lineRule="auto"/>
        <w:ind w:firstLine="480" w:firstLineChars="200"/>
        <w:rPr>
          <w:rFonts w:hAnsi="宋体" w:cs="宋体"/>
          <w:color w:val="auto"/>
          <w:sz w:val="24"/>
          <w:highlight w:val="none"/>
          <w:lang w:val="zh-CN"/>
        </w:rPr>
      </w:pPr>
      <w:r>
        <w:rPr>
          <w:rFonts w:hint="eastAsia" w:hAnsi="宋体" w:cs="宋体"/>
          <w:color w:val="auto"/>
          <w:sz w:val="24"/>
          <w:highlight w:val="none"/>
        </w:rPr>
        <w:t>7</w:t>
      </w:r>
      <w:r>
        <w:rPr>
          <w:rFonts w:hint="eastAsia" w:hAnsi="宋体" w:cs="宋体"/>
          <w:color w:val="auto"/>
          <w:sz w:val="24"/>
          <w:highlight w:val="none"/>
          <w:lang w:val="zh-CN"/>
        </w:rPr>
        <w:t>、法律适用</w:t>
      </w:r>
      <w:bookmarkEnd w:id="58"/>
      <w:bookmarkEnd w:id="59"/>
      <w:bookmarkEnd w:id="60"/>
      <w:bookmarkEnd w:id="61"/>
    </w:p>
    <w:p w14:paraId="2F631E1B">
      <w:pPr>
        <w:pStyle w:val="12"/>
        <w:spacing w:line="360" w:lineRule="auto"/>
        <w:ind w:firstLine="480" w:firstLineChars="200"/>
        <w:rPr>
          <w:rFonts w:hAnsi="宋体" w:cs="宋体"/>
          <w:color w:val="auto"/>
          <w:sz w:val="24"/>
          <w:highlight w:val="none"/>
          <w:lang w:val="zh-CN"/>
        </w:rPr>
      </w:pPr>
      <w:r>
        <w:rPr>
          <w:rFonts w:hint="eastAsia" w:hAnsi="宋体" w:cs="宋体"/>
          <w:color w:val="auto"/>
          <w:sz w:val="24"/>
          <w:highlight w:val="none"/>
        </w:rPr>
        <w:t>7</w:t>
      </w:r>
      <w:r>
        <w:rPr>
          <w:rFonts w:hint="eastAsia" w:hAnsi="宋体" w:cs="宋体"/>
          <w:color w:val="auto"/>
          <w:sz w:val="24"/>
          <w:highlight w:val="none"/>
          <w:lang w:val="zh-CN"/>
        </w:rPr>
        <w:t>.1本次</w:t>
      </w:r>
      <w:r>
        <w:rPr>
          <w:rFonts w:hint="eastAsia" w:hAnsi="宋体" w:cs="宋体"/>
          <w:color w:val="auto"/>
          <w:sz w:val="24"/>
          <w:highlight w:val="none"/>
          <w:lang w:eastAsia="zh-CN"/>
        </w:rPr>
        <w:t>投标</w:t>
      </w:r>
      <w:r>
        <w:rPr>
          <w:rFonts w:hint="eastAsia" w:hAnsi="宋体" w:cs="宋体"/>
          <w:color w:val="auto"/>
          <w:sz w:val="24"/>
          <w:highlight w:val="none"/>
          <w:lang w:val="zh-CN"/>
        </w:rPr>
        <w:t>活动及由本次</w:t>
      </w:r>
      <w:r>
        <w:rPr>
          <w:rFonts w:hint="eastAsia" w:hAnsi="宋体" w:cs="宋体"/>
          <w:color w:val="auto"/>
          <w:sz w:val="24"/>
          <w:highlight w:val="none"/>
          <w:lang w:eastAsia="zh-CN"/>
        </w:rPr>
        <w:t>投标</w:t>
      </w:r>
      <w:r>
        <w:rPr>
          <w:rFonts w:hint="eastAsia" w:hAnsi="宋体" w:cs="宋体"/>
          <w:color w:val="auto"/>
          <w:sz w:val="24"/>
          <w:highlight w:val="none"/>
          <w:lang w:val="zh-CN"/>
        </w:rPr>
        <w:t>产生的合同受中国法律制约和保护。</w:t>
      </w:r>
    </w:p>
    <w:p w14:paraId="7A98E8E5">
      <w:pPr>
        <w:pStyle w:val="12"/>
        <w:spacing w:line="360" w:lineRule="auto"/>
        <w:ind w:firstLine="480" w:firstLineChars="200"/>
        <w:rPr>
          <w:rFonts w:hAnsi="宋体" w:cs="宋体"/>
          <w:color w:val="auto"/>
          <w:sz w:val="24"/>
          <w:highlight w:val="none"/>
          <w:lang w:val="zh-CN"/>
        </w:rPr>
      </w:pPr>
      <w:bookmarkStart w:id="62" w:name="_Toc245897277"/>
      <w:bookmarkStart w:id="63" w:name="_Toc243906317"/>
      <w:bookmarkStart w:id="64" w:name="_Toc233274817"/>
      <w:bookmarkStart w:id="65" w:name="_Toc243907577"/>
      <w:r>
        <w:rPr>
          <w:rFonts w:hint="eastAsia" w:hAnsi="宋体" w:cs="宋体"/>
          <w:color w:val="auto"/>
          <w:sz w:val="24"/>
          <w:highlight w:val="none"/>
        </w:rPr>
        <w:t>8</w:t>
      </w:r>
      <w:r>
        <w:rPr>
          <w:rFonts w:hint="eastAsia" w:hAnsi="宋体" w:cs="宋体"/>
          <w:color w:val="auto"/>
          <w:sz w:val="24"/>
          <w:highlight w:val="none"/>
          <w:lang w:val="zh-CN"/>
        </w:rPr>
        <w:t>、招标文件的约束力</w:t>
      </w:r>
      <w:bookmarkEnd w:id="62"/>
      <w:bookmarkEnd w:id="63"/>
      <w:bookmarkEnd w:id="64"/>
      <w:bookmarkEnd w:id="65"/>
    </w:p>
    <w:p w14:paraId="1775342B">
      <w:pPr>
        <w:pStyle w:val="12"/>
        <w:spacing w:line="360" w:lineRule="auto"/>
        <w:ind w:firstLine="480" w:firstLineChars="200"/>
        <w:rPr>
          <w:rFonts w:hAnsi="宋体" w:cs="宋体"/>
          <w:color w:val="auto"/>
          <w:sz w:val="24"/>
          <w:highlight w:val="none"/>
          <w:lang w:val="zh-CN"/>
        </w:rPr>
      </w:pPr>
      <w:r>
        <w:rPr>
          <w:rFonts w:hint="eastAsia" w:hAnsi="宋体" w:cs="宋体"/>
          <w:color w:val="auto"/>
          <w:sz w:val="24"/>
          <w:highlight w:val="none"/>
        </w:rPr>
        <w:t>8</w:t>
      </w:r>
      <w:r>
        <w:rPr>
          <w:rFonts w:hint="eastAsia" w:hAnsi="宋体" w:cs="宋体"/>
          <w:color w:val="auto"/>
          <w:sz w:val="24"/>
          <w:highlight w:val="none"/>
          <w:lang w:val="zh-CN"/>
        </w:rPr>
        <w:t>.1供应商若中标，即被认为接受了本招标文件中的所有条件和规定。是采购人与中标供应商签订合同的依据且是合同的组成部分。</w:t>
      </w:r>
    </w:p>
    <w:p w14:paraId="15BAAD12">
      <w:pPr>
        <w:pStyle w:val="12"/>
        <w:spacing w:line="360" w:lineRule="auto"/>
        <w:rPr>
          <w:rFonts w:hAnsi="宋体" w:cs="宋体"/>
          <w:b/>
          <w:bCs/>
          <w:color w:val="auto"/>
          <w:sz w:val="28"/>
          <w:szCs w:val="28"/>
          <w:highlight w:val="none"/>
        </w:rPr>
      </w:pPr>
      <w:r>
        <w:rPr>
          <w:rFonts w:hint="eastAsia" w:hAnsi="宋体" w:cs="宋体"/>
          <w:b/>
          <w:bCs/>
          <w:color w:val="auto"/>
          <w:sz w:val="28"/>
          <w:szCs w:val="28"/>
          <w:highlight w:val="none"/>
        </w:rPr>
        <w:t>二、</w:t>
      </w:r>
      <w:r>
        <w:rPr>
          <w:rFonts w:hint="eastAsia" w:hAnsi="宋体" w:cs="宋体"/>
          <w:b/>
          <w:bCs/>
          <w:color w:val="auto"/>
          <w:sz w:val="28"/>
          <w:szCs w:val="28"/>
          <w:highlight w:val="none"/>
          <w:lang w:eastAsia="zh-CN"/>
        </w:rPr>
        <w:t>招标</w:t>
      </w:r>
      <w:r>
        <w:rPr>
          <w:rFonts w:hint="eastAsia" w:hAnsi="宋体" w:cs="宋体"/>
          <w:b/>
          <w:bCs/>
          <w:color w:val="auto"/>
          <w:sz w:val="28"/>
          <w:szCs w:val="28"/>
          <w:highlight w:val="none"/>
        </w:rPr>
        <w:t>文件</w:t>
      </w:r>
    </w:p>
    <w:p w14:paraId="29C5B22D">
      <w:pPr>
        <w:pStyle w:val="12"/>
        <w:spacing w:line="360" w:lineRule="auto"/>
        <w:ind w:firstLine="480" w:firstLineChars="200"/>
        <w:rPr>
          <w:rFonts w:hAnsi="宋体" w:cs="宋体"/>
          <w:color w:val="auto"/>
          <w:sz w:val="24"/>
          <w:highlight w:val="none"/>
        </w:rPr>
      </w:pPr>
      <w:bookmarkStart w:id="66" w:name="_Toc243907579"/>
      <w:bookmarkStart w:id="67" w:name="_Toc233274819"/>
      <w:bookmarkStart w:id="68" w:name="_Toc246216188"/>
      <w:bookmarkStart w:id="69" w:name="_Toc243906319"/>
      <w:r>
        <w:rPr>
          <w:rFonts w:hint="eastAsia" w:hAnsi="宋体" w:cs="宋体"/>
          <w:color w:val="auto"/>
          <w:sz w:val="24"/>
          <w:highlight w:val="none"/>
        </w:rPr>
        <w:t>9、</w:t>
      </w:r>
      <w:r>
        <w:rPr>
          <w:rFonts w:hint="eastAsia" w:hAnsi="宋体" w:cs="宋体"/>
          <w:color w:val="auto"/>
          <w:sz w:val="24"/>
          <w:highlight w:val="none"/>
          <w:lang w:eastAsia="zh-CN"/>
        </w:rPr>
        <w:t>招标</w:t>
      </w:r>
      <w:r>
        <w:rPr>
          <w:rFonts w:hint="eastAsia" w:hAnsi="宋体" w:cs="宋体"/>
          <w:color w:val="auto"/>
          <w:sz w:val="24"/>
          <w:highlight w:val="none"/>
        </w:rPr>
        <w:t>文件的组成</w:t>
      </w:r>
      <w:bookmarkEnd w:id="66"/>
      <w:bookmarkEnd w:id="67"/>
      <w:bookmarkEnd w:id="68"/>
      <w:bookmarkEnd w:id="69"/>
    </w:p>
    <w:p w14:paraId="41685A83">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9.1 本</w:t>
      </w:r>
      <w:r>
        <w:rPr>
          <w:rFonts w:hint="eastAsia" w:hAnsi="宋体" w:cs="宋体"/>
          <w:color w:val="auto"/>
          <w:sz w:val="24"/>
          <w:highlight w:val="none"/>
          <w:lang w:eastAsia="zh-CN"/>
        </w:rPr>
        <w:t>招标</w:t>
      </w:r>
      <w:r>
        <w:rPr>
          <w:rFonts w:hint="eastAsia" w:hAnsi="宋体" w:cs="宋体"/>
          <w:color w:val="auto"/>
          <w:sz w:val="24"/>
          <w:highlight w:val="none"/>
        </w:rPr>
        <w:t>文件是对</w:t>
      </w:r>
      <w:r>
        <w:rPr>
          <w:rFonts w:hint="eastAsia" w:hAnsi="宋体" w:cs="宋体"/>
          <w:color w:val="auto"/>
          <w:sz w:val="24"/>
          <w:highlight w:val="none"/>
          <w:lang w:eastAsia="zh-CN"/>
        </w:rPr>
        <w:t>克拉玛依市乌尔禾区瑞翔幼儿园智慧幼儿园采购项目招标</w:t>
      </w:r>
      <w:r>
        <w:rPr>
          <w:rFonts w:hint="eastAsia" w:hAnsi="宋体" w:cs="宋体"/>
          <w:color w:val="auto"/>
          <w:sz w:val="24"/>
          <w:highlight w:val="none"/>
        </w:rPr>
        <w:t>程序、合同条款进行说明。</w:t>
      </w:r>
      <w:r>
        <w:rPr>
          <w:rFonts w:hint="eastAsia" w:hAnsi="宋体" w:cs="宋体"/>
          <w:color w:val="auto"/>
          <w:sz w:val="24"/>
          <w:highlight w:val="none"/>
          <w:lang w:eastAsia="zh-CN"/>
        </w:rPr>
        <w:t>招标</w:t>
      </w:r>
      <w:r>
        <w:rPr>
          <w:rFonts w:hint="eastAsia" w:hAnsi="宋体" w:cs="宋体"/>
          <w:color w:val="auto"/>
          <w:sz w:val="24"/>
          <w:highlight w:val="none"/>
        </w:rPr>
        <w:t>文件包括下列内容：</w:t>
      </w:r>
    </w:p>
    <w:p w14:paraId="3A4C1265">
      <w:pPr>
        <w:pStyle w:val="12"/>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第一章、</w:t>
      </w:r>
      <w:r>
        <w:rPr>
          <w:rFonts w:hint="eastAsia" w:hAnsi="宋体" w:cs="宋体"/>
          <w:color w:val="auto"/>
          <w:sz w:val="24"/>
          <w:highlight w:val="none"/>
          <w:lang w:eastAsia="zh-CN"/>
        </w:rPr>
        <w:t>招标</w:t>
      </w:r>
      <w:r>
        <w:rPr>
          <w:rFonts w:hint="eastAsia" w:hAnsi="宋体" w:cs="宋体"/>
          <w:color w:val="auto"/>
          <w:sz w:val="24"/>
          <w:highlight w:val="none"/>
        </w:rPr>
        <w:t>公告</w:t>
      </w:r>
    </w:p>
    <w:p w14:paraId="38C84394">
      <w:pPr>
        <w:pStyle w:val="12"/>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第二章、供应商须知</w:t>
      </w:r>
    </w:p>
    <w:p w14:paraId="3C5973FD">
      <w:pPr>
        <w:pStyle w:val="12"/>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第三章、项目采购需求</w:t>
      </w:r>
    </w:p>
    <w:p w14:paraId="070271E1">
      <w:pPr>
        <w:pStyle w:val="12"/>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第四章、合同协议书</w:t>
      </w:r>
    </w:p>
    <w:p w14:paraId="225ED9CB">
      <w:pPr>
        <w:pStyle w:val="12"/>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第五章、</w:t>
      </w:r>
      <w:r>
        <w:rPr>
          <w:rFonts w:hint="eastAsia" w:hAnsi="宋体" w:cs="宋体"/>
          <w:color w:val="auto"/>
          <w:sz w:val="24"/>
          <w:highlight w:val="none"/>
          <w:lang w:eastAsia="zh-CN"/>
        </w:rPr>
        <w:t>投标文件</w:t>
      </w:r>
      <w:r>
        <w:rPr>
          <w:rFonts w:hint="eastAsia" w:hAnsi="宋体" w:cs="宋体"/>
          <w:color w:val="auto"/>
          <w:sz w:val="24"/>
          <w:highlight w:val="none"/>
        </w:rPr>
        <w:t>格式</w:t>
      </w:r>
    </w:p>
    <w:p w14:paraId="6AFBDF10">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第六章、评标标准（</w:t>
      </w:r>
      <w:r>
        <w:rPr>
          <w:rFonts w:hint="eastAsia" w:hAnsi="宋体" w:cs="宋体"/>
          <w:color w:val="auto"/>
          <w:sz w:val="24"/>
          <w:highlight w:val="none"/>
          <w:lang w:eastAsia="zh-CN"/>
        </w:rPr>
        <w:t>综合评分法</w:t>
      </w:r>
      <w:r>
        <w:rPr>
          <w:rFonts w:hint="eastAsia" w:hAnsi="宋体" w:cs="宋体"/>
          <w:color w:val="auto"/>
          <w:sz w:val="24"/>
          <w:highlight w:val="none"/>
        </w:rPr>
        <w:t>）</w:t>
      </w:r>
    </w:p>
    <w:p w14:paraId="6485EE5C">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 xml:space="preserve">9.2 </w:t>
      </w:r>
      <w:r>
        <w:rPr>
          <w:rFonts w:hint="eastAsia" w:hAnsi="宋体" w:cs="宋体"/>
          <w:color w:val="auto"/>
          <w:sz w:val="24"/>
          <w:highlight w:val="none"/>
          <w:lang w:eastAsia="zh-CN"/>
        </w:rPr>
        <w:t>招标</w:t>
      </w:r>
      <w:r>
        <w:rPr>
          <w:rFonts w:hint="eastAsia" w:hAnsi="宋体" w:cs="宋体"/>
          <w:color w:val="auto"/>
          <w:sz w:val="24"/>
          <w:highlight w:val="none"/>
        </w:rPr>
        <w:t>文件以中文编印，以中文文本为准。</w:t>
      </w:r>
    </w:p>
    <w:p w14:paraId="74BEDD5C">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9.3 除非有特殊要求，</w:t>
      </w:r>
      <w:r>
        <w:rPr>
          <w:rFonts w:hint="eastAsia" w:hAnsi="宋体" w:cs="宋体"/>
          <w:color w:val="auto"/>
          <w:sz w:val="24"/>
          <w:highlight w:val="none"/>
          <w:lang w:eastAsia="zh-CN"/>
        </w:rPr>
        <w:t>招标</w:t>
      </w:r>
      <w:r>
        <w:rPr>
          <w:rFonts w:hint="eastAsia" w:hAnsi="宋体" w:cs="宋体"/>
          <w:color w:val="auto"/>
          <w:sz w:val="24"/>
          <w:highlight w:val="none"/>
        </w:rPr>
        <w:t>文件不单独提供采购项目使用地的自然环境、气候条件、劳动力及公用设施等情况，供应商被视为熟悉上述条件或若</w:t>
      </w:r>
      <w:r>
        <w:rPr>
          <w:rFonts w:hint="eastAsia" w:hAnsi="宋体" w:cs="宋体"/>
          <w:color w:val="auto"/>
          <w:sz w:val="24"/>
          <w:highlight w:val="none"/>
          <w:lang w:val="zh-CN"/>
        </w:rPr>
        <w:t>中标</w:t>
      </w:r>
      <w:r>
        <w:rPr>
          <w:rFonts w:hint="eastAsia" w:hAnsi="宋体" w:cs="宋体"/>
          <w:color w:val="auto"/>
          <w:sz w:val="24"/>
          <w:highlight w:val="none"/>
        </w:rPr>
        <w:t>履行合同有关的一切情况。</w:t>
      </w:r>
    </w:p>
    <w:p w14:paraId="03898583">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9.4采购人向供应商提供的有关数据和资料，是采购人现有的能被供应商利用的资料，供应商对此做出的推论、理解和结论自行负责。</w:t>
      </w:r>
    </w:p>
    <w:p w14:paraId="3BD5332A">
      <w:pPr>
        <w:pStyle w:val="12"/>
        <w:spacing w:line="360" w:lineRule="auto"/>
        <w:ind w:firstLine="482" w:firstLineChars="200"/>
        <w:rPr>
          <w:rFonts w:hint="default" w:hAnsi="宋体" w:eastAsia="宋体" w:cs="宋体"/>
          <w:color w:val="auto"/>
          <w:sz w:val="24"/>
          <w:highlight w:val="none"/>
          <w:lang w:val="en-US" w:eastAsia="zh-CN"/>
        </w:rPr>
      </w:pPr>
      <w:bookmarkStart w:id="70" w:name="_Toc233274820"/>
      <w:bookmarkStart w:id="71" w:name="_Toc243907580"/>
      <w:bookmarkStart w:id="72" w:name="_Toc245897280"/>
      <w:bookmarkStart w:id="73" w:name="_Toc243906320"/>
      <w:r>
        <w:rPr>
          <w:rFonts w:hint="eastAsia" w:hAnsi="宋体" w:cs="宋体"/>
          <w:b/>
          <w:bCs/>
          <w:color w:val="auto"/>
          <w:sz w:val="24"/>
          <w:highlight w:val="none"/>
          <w:lang w:val="en-US" w:eastAsia="zh-CN"/>
        </w:rPr>
        <w:t>9.5供应商</w:t>
      </w:r>
      <w:r>
        <w:rPr>
          <w:rFonts w:hint="eastAsia" w:hAnsi="宋体" w:cs="宋体"/>
          <w:b/>
          <w:bCs/>
          <w:color w:val="auto"/>
          <w:sz w:val="24"/>
          <w:highlight w:val="none"/>
        </w:rPr>
        <w:t>应认真审阅和理解</w:t>
      </w:r>
      <w:r>
        <w:rPr>
          <w:rFonts w:hint="eastAsia" w:hAnsi="宋体" w:cs="宋体"/>
          <w:b/>
          <w:bCs/>
          <w:color w:val="auto"/>
          <w:sz w:val="24"/>
          <w:highlight w:val="none"/>
          <w:lang w:eastAsia="zh-CN"/>
        </w:rPr>
        <w:t>采购文件</w:t>
      </w:r>
      <w:r>
        <w:rPr>
          <w:rFonts w:hint="eastAsia" w:hAnsi="宋体" w:cs="宋体"/>
          <w:b/>
          <w:bCs/>
          <w:color w:val="auto"/>
          <w:sz w:val="24"/>
          <w:highlight w:val="none"/>
        </w:rPr>
        <w:t>所有内容，尤其注意可能引起“否决投标”、“拒绝评审”、“无效投标”、“评审不予通过”等的条款，按照</w:t>
      </w:r>
      <w:r>
        <w:rPr>
          <w:rFonts w:hint="eastAsia" w:hAnsi="宋体" w:cs="宋体"/>
          <w:b/>
          <w:bCs/>
          <w:color w:val="auto"/>
          <w:sz w:val="24"/>
          <w:highlight w:val="none"/>
          <w:lang w:eastAsia="zh-CN"/>
        </w:rPr>
        <w:t>采购文件</w:t>
      </w:r>
      <w:r>
        <w:rPr>
          <w:rFonts w:hint="eastAsia" w:hAnsi="宋体" w:cs="宋体"/>
          <w:b/>
          <w:bCs/>
          <w:color w:val="auto"/>
          <w:sz w:val="24"/>
          <w:highlight w:val="none"/>
        </w:rPr>
        <w:t>要求编制</w:t>
      </w:r>
      <w:r>
        <w:rPr>
          <w:rFonts w:hint="eastAsia" w:hAnsi="宋体" w:cs="宋体"/>
          <w:b/>
          <w:bCs/>
          <w:color w:val="auto"/>
          <w:sz w:val="24"/>
          <w:highlight w:val="none"/>
          <w:lang w:val="en-US" w:eastAsia="zh-CN"/>
        </w:rPr>
        <w:t>投标</w:t>
      </w:r>
      <w:r>
        <w:rPr>
          <w:rFonts w:hint="eastAsia" w:hAnsi="宋体" w:cs="宋体"/>
          <w:b/>
          <w:bCs/>
          <w:color w:val="auto"/>
          <w:sz w:val="24"/>
          <w:highlight w:val="none"/>
          <w:lang w:eastAsia="zh-CN"/>
        </w:rPr>
        <w:t>文件</w:t>
      </w:r>
      <w:r>
        <w:rPr>
          <w:rFonts w:hint="eastAsia" w:hAnsi="宋体" w:cs="宋体"/>
          <w:b/>
          <w:bCs/>
          <w:color w:val="auto"/>
          <w:sz w:val="24"/>
          <w:highlight w:val="none"/>
        </w:rPr>
        <w:t>。任何对</w:t>
      </w:r>
      <w:r>
        <w:rPr>
          <w:rFonts w:hint="eastAsia" w:hAnsi="宋体" w:cs="宋体"/>
          <w:b/>
          <w:bCs/>
          <w:color w:val="auto"/>
          <w:sz w:val="24"/>
          <w:highlight w:val="none"/>
          <w:lang w:eastAsia="zh-CN"/>
        </w:rPr>
        <w:t>采购文件</w:t>
      </w:r>
      <w:r>
        <w:rPr>
          <w:rFonts w:hint="eastAsia" w:hAnsi="宋体" w:cs="宋体"/>
          <w:b/>
          <w:bCs/>
          <w:color w:val="auto"/>
          <w:sz w:val="24"/>
          <w:highlight w:val="none"/>
        </w:rPr>
        <w:t>的忽略或误解不能作为</w:t>
      </w:r>
      <w:r>
        <w:rPr>
          <w:rFonts w:hint="eastAsia" w:hAnsi="宋体" w:cs="宋体"/>
          <w:b/>
          <w:bCs/>
          <w:color w:val="auto"/>
          <w:sz w:val="24"/>
          <w:highlight w:val="none"/>
          <w:lang w:val="en-US" w:eastAsia="zh-CN"/>
        </w:rPr>
        <w:t>投标</w:t>
      </w:r>
      <w:r>
        <w:rPr>
          <w:rFonts w:hint="eastAsia" w:hAnsi="宋体" w:cs="宋体"/>
          <w:b/>
          <w:bCs/>
          <w:color w:val="auto"/>
          <w:sz w:val="24"/>
          <w:highlight w:val="none"/>
          <w:lang w:eastAsia="zh-CN"/>
        </w:rPr>
        <w:t>文件</w:t>
      </w:r>
      <w:r>
        <w:rPr>
          <w:rFonts w:hint="eastAsia" w:hAnsi="宋体" w:cs="宋体"/>
          <w:b/>
          <w:bCs/>
          <w:color w:val="auto"/>
          <w:sz w:val="24"/>
          <w:highlight w:val="none"/>
        </w:rPr>
        <w:t>存在缺陷或瑕疵的理由，其风险由</w:t>
      </w:r>
      <w:r>
        <w:rPr>
          <w:rFonts w:hint="eastAsia" w:hAnsi="宋体" w:cs="宋体"/>
          <w:b/>
          <w:bCs/>
          <w:color w:val="auto"/>
          <w:sz w:val="24"/>
          <w:highlight w:val="none"/>
          <w:lang w:val="en-US" w:eastAsia="zh-CN"/>
        </w:rPr>
        <w:t>供应商</w:t>
      </w:r>
      <w:r>
        <w:rPr>
          <w:rFonts w:hint="eastAsia" w:hAnsi="宋体" w:cs="宋体"/>
          <w:b/>
          <w:bCs/>
          <w:color w:val="auto"/>
          <w:sz w:val="24"/>
          <w:highlight w:val="none"/>
        </w:rPr>
        <w:t>承担。</w:t>
      </w:r>
    </w:p>
    <w:p w14:paraId="67F89339">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10、</w:t>
      </w:r>
      <w:r>
        <w:rPr>
          <w:rFonts w:hint="eastAsia" w:hAnsi="宋体" w:cs="宋体"/>
          <w:color w:val="auto"/>
          <w:sz w:val="24"/>
          <w:highlight w:val="none"/>
          <w:lang w:eastAsia="zh-CN"/>
        </w:rPr>
        <w:t>招标</w:t>
      </w:r>
      <w:r>
        <w:rPr>
          <w:rFonts w:hint="eastAsia" w:hAnsi="宋体" w:cs="宋体"/>
          <w:color w:val="auto"/>
          <w:sz w:val="24"/>
          <w:highlight w:val="none"/>
        </w:rPr>
        <w:t>文件的澄清</w:t>
      </w:r>
      <w:bookmarkEnd w:id="70"/>
      <w:bookmarkEnd w:id="71"/>
      <w:bookmarkEnd w:id="72"/>
      <w:bookmarkEnd w:id="73"/>
    </w:p>
    <w:p w14:paraId="525E1D97">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10.1 供应商对</w:t>
      </w:r>
      <w:r>
        <w:rPr>
          <w:rFonts w:hint="eastAsia" w:hAnsi="宋体" w:cs="宋体"/>
          <w:color w:val="auto"/>
          <w:sz w:val="24"/>
          <w:highlight w:val="none"/>
          <w:lang w:eastAsia="zh-CN"/>
        </w:rPr>
        <w:t>招标</w:t>
      </w:r>
      <w:r>
        <w:rPr>
          <w:rFonts w:hint="eastAsia" w:hAnsi="宋体" w:cs="宋体"/>
          <w:color w:val="auto"/>
          <w:sz w:val="24"/>
          <w:highlight w:val="none"/>
        </w:rPr>
        <w:t>文件如有疑问，可要求澄清，应按</w:t>
      </w:r>
      <w:r>
        <w:rPr>
          <w:rFonts w:hint="eastAsia" w:hAnsi="宋体" w:cs="宋体"/>
          <w:color w:val="auto"/>
          <w:sz w:val="24"/>
          <w:highlight w:val="none"/>
          <w:lang w:eastAsia="zh-CN"/>
        </w:rPr>
        <w:t>招标</w:t>
      </w:r>
      <w:r>
        <w:rPr>
          <w:rFonts w:hint="eastAsia" w:hAnsi="宋体" w:cs="宋体"/>
          <w:color w:val="auto"/>
          <w:sz w:val="24"/>
          <w:highlight w:val="none"/>
        </w:rPr>
        <w:t>文件“供应商须知前附表第6条”以书面形式（必须加盖供应商公章）送达或传真至采购代理机构（同时将疑问电子版发至</w:t>
      </w:r>
      <w:r>
        <w:rPr>
          <w:rFonts w:hint="eastAsia" w:hAnsi="宋体" w:cs="宋体"/>
          <w:color w:val="auto"/>
          <w:sz w:val="24"/>
          <w:highlight w:val="none"/>
          <w:lang w:val="en-US" w:eastAsia="zh-CN"/>
        </w:rPr>
        <w:t>464799073</w:t>
      </w:r>
      <w:r>
        <w:rPr>
          <w:rFonts w:hint="eastAsia" w:hAnsi="宋体" w:cs="宋体"/>
          <w:color w:val="auto"/>
          <w:sz w:val="24"/>
          <w:highlight w:val="none"/>
        </w:rPr>
        <w:t>@qq.com）。采购人和采购代理机构将视情况予以答复，并发至</w:t>
      </w:r>
      <w:r>
        <w:rPr>
          <w:rFonts w:hint="eastAsia" w:hAnsi="宋体" w:cs="宋体"/>
          <w:color w:val="auto"/>
          <w:sz w:val="24"/>
          <w:highlight w:val="none"/>
          <w:lang w:val="en-US" w:eastAsia="zh-CN"/>
        </w:rPr>
        <w:t>新疆政府采购网政采云平台</w:t>
      </w:r>
      <w:r>
        <w:rPr>
          <w:rFonts w:hint="eastAsia" w:hAnsi="宋体" w:cs="宋体"/>
          <w:color w:val="auto"/>
          <w:sz w:val="24"/>
          <w:highlight w:val="none"/>
          <w:lang w:eastAsia="zh-CN"/>
        </w:rPr>
        <w:t>各</w:t>
      </w:r>
      <w:r>
        <w:rPr>
          <w:rFonts w:hint="eastAsia" w:hAnsi="宋体" w:cs="宋体"/>
          <w:color w:val="auto"/>
          <w:sz w:val="24"/>
          <w:highlight w:val="none"/>
        </w:rPr>
        <w:t>位供应商</w:t>
      </w:r>
      <w:r>
        <w:rPr>
          <w:rFonts w:hint="eastAsia" w:hAnsi="宋体" w:cs="宋体"/>
          <w:color w:val="auto"/>
          <w:sz w:val="24"/>
          <w:highlight w:val="none"/>
          <w:lang w:val="en-US" w:eastAsia="zh-CN"/>
        </w:rPr>
        <w:t>自行登录网站查阅</w:t>
      </w:r>
      <w:r>
        <w:rPr>
          <w:rFonts w:hint="eastAsia" w:ascii="宋体" w:hAnsi="宋体" w:cs="宋体"/>
          <w:color w:val="auto"/>
          <w:sz w:val="24"/>
          <w:highlight w:val="none"/>
          <w:lang w:val="en-US" w:eastAsia="zh-CN"/>
        </w:rPr>
        <w:t>。</w:t>
      </w:r>
      <w:r>
        <w:rPr>
          <w:rFonts w:hint="eastAsia" w:hAnsi="宋体" w:cs="宋体"/>
          <w:color w:val="auto"/>
          <w:sz w:val="24"/>
          <w:highlight w:val="none"/>
        </w:rPr>
        <w:t>答复中包括所提问题，但不包括问题的来源。</w:t>
      </w:r>
    </w:p>
    <w:p w14:paraId="5DC28C99">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10.2 如果上述答复涉及对</w:t>
      </w:r>
      <w:r>
        <w:rPr>
          <w:rFonts w:hint="eastAsia" w:hAnsi="宋体" w:cs="宋体"/>
          <w:color w:val="auto"/>
          <w:sz w:val="24"/>
          <w:highlight w:val="none"/>
          <w:lang w:eastAsia="zh-CN"/>
        </w:rPr>
        <w:t>招标</w:t>
      </w:r>
      <w:r>
        <w:rPr>
          <w:rFonts w:hint="eastAsia" w:hAnsi="宋体" w:cs="宋体"/>
          <w:color w:val="auto"/>
          <w:sz w:val="24"/>
          <w:highlight w:val="none"/>
        </w:rPr>
        <w:t>文件的修改或补充，则它将被视为</w:t>
      </w:r>
      <w:r>
        <w:rPr>
          <w:rFonts w:hint="eastAsia" w:hAnsi="宋体" w:cs="宋体"/>
          <w:color w:val="auto"/>
          <w:sz w:val="24"/>
          <w:highlight w:val="none"/>
          <w:lang w:eastAsia="zh-CN"/>
        </w:rPr>
        <w:t>招标</w:t>
      </w:r>
      <w:r>
        <w:rPr>
          <w:rFonts w:hint="eastAsia" w:hAnsi="宋体" w:cs="宋体"/>
          <w:color w:val="auto"/>
          <w:sz w:val="24"/>
          <w:highlight w:val="none"/>
        </w:rPr>
        <w:t>文件的组成部分。凡原先所发</w:t>
      </w:r>
      <w:r>
        <w:rPr>
          <w:rFonts w:hint="eastAsia" w:hAnsi="宋体" w:cs="宋体"/>
          <w:color w:val="auto"/>
          <w:sz w:val="24"/>
          <w:highlight w:val="none"/>
          <w:lang w:eastAsia="zh-CN"/>
        </w:rPr>
        <w:t>招标</w:t>
      </w:r>
      <w:r>
        <w:rPr>
          <w:rFonts w:hint="eastAsia" w:hAnsi="宋体" w:cs="宋体"/>
          <w:color w:val="auto"/>
          <w:sz w:val="24"/>
          <w:highlight w:val="none"/>
        </w:rPr>
        <w:t>文件中的内容与答复中的内容不一致之处，以最后</w:t>
      </w:r>
      <w:r>
        <w:rPr>
          <w:rFonts w:hint="eastAsia" w:hAnsi="宋体" w:cs="宋体"/>
          <w:color w:val="auto"/>
          <w:sz w:val="24"/>
          <w:highlight w:val="none"/>
          <w:lang w:eastAsia="zh-CN"/>
        </w:rPr>
        <w:t>发布</w:t>
      </w:r>
      <w:r>
        <w:rPr>
          <w:rFonts w:hint="eastAsia" w:hAnsi="宋体" w:cs="宋体"/>
          <w:color w:val="auto"/>
          <w:sz w:val="24"/>
          <w:highlight w:val="none"/>
        </w:rPr>
        <w:t>答复为准。任何电话或口头咨询和答复的意思解释均不具有法律约束力。</w:t>
      </w:r>
    </w:p>
    <w:p w14:paraId="48C2F0FB">
      <w:pPr>
        <w:pStyle w:val="12"/>
        <w:spacing w:line="360" w:lineRule="auto"/>
        <w:ind w:firstLine="482" w:firstLineChars="200"/>
        <w:rPr>
          <w:rFonts w:hint="default" w:ascii="宋体" w:hAnsi="宋体" w:eastAsia="宋体" w:cs="宋体"/>
          <w:b/>
          <w:bCs/>
          <w:color w:val="auto"/>
          <w:sz w:val="24"/>
          <w:highlight w:val="none"/>
          <w:lang w:val="en-US" w:eastAsia="zh-CN"/>
        </w:rPr>
      </w:pPr>
      <w:bookmarkStart w:id="74" w:name="_Toc233274821"/>
      <w:bookmarkStart w:id="75" w:name="_Toc243906321"/>
      <w:bookmarkStart w:id="76" w:name="_Toc245897281"/>
      <w:bookmarkStart w:id="77" w:name="_Toc243907581"/>
      <w:r>
        <w:rPr>
          <w:rFonts w:hint="eastAsia" w:ascii="宋体" w:hAnsi="宋体" w:eastAsia="宋体" w:cs="宋体"/>
          <w:b/>
          <w:bCs/>
          <w:color w:val="auto"/>
          <w:sz w:val="24"/>
          <w:highlight w:val="none"/>
          <w:lang w:val="en-US" w:eastAsia="zh-CN"/>
        </w:rPr>
        <w:t>10.3</w:t>
      </w:r>
      <w:r>
        <w:rPr>
          <w:rFonts w:hint="eastAsia" w:ascii="宋体" w:hAnsi="宋体" w:eastAsia="宋体" w:cs="宋体"/>
          <w:b/>
          <w:bCs/>
          <w:color w:val="auto"/>
          <w:sz w:val="24"/>
          <w:highlight w:val="none"/>
        </w:rPr>
        <w:t>各</w:t>
      </w:r>
      <w:r>
        <w:rPr>
          <w:rFonts w:hint="eastAsia" w:ascii="宋体" w:hAnsi="宋体" w:eastAsia="宋体" w:cs="宋体"/>
          <w:b/>
          <w:bCs/>
          <w:color w:val="auto"/>
          <w:sz w:val="24"/>
          <w:highlight w:val="none"/>
          <w:lang w:val="en-US" w:eastAsia="zh-CN"/>
        </w:rPr>
        <w:t>供应商</w:t>
      </w:r>
      <w:r>
        <w:rPr>
          <w:rFonts w:hint="eastAsia" w:ascii="宋体" w:hAnsi="宋体" w:eastAsia="宋体" w:cs="宋体"/>
          <w:b/>
          <w:bCs/>
          <w:color w:val="auto"/>
          <w:sz w:val="24"/>
          <w:highlight w:val="none"/>
        </w:rPr>
        <w:t>随时关注新疆政府采购网发布的澄清、更正通知等。</w:t>
      </w:r>
    </w:p>
    <w:p w14:paraId="03959AE7">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11、</w:t>
      </w:r>
      <w:r>
        <w:rPr>
          <w:rFonts w:hint="eastAsia" w:hAnsi="宋体" w:cs="宋体"/>
          <w:color w:val="auto"/>
          <w:sz w:val="24"/>
          <w:highlight w:val="none"/>
          <w:lang w:eastAsia="zh-CN"/>
        </w:rPr>
        <w:t>招标</w:t>
      </w:r>
      <w:r>
        <w:rPr>
          <w:rFonts w:hint="eastAsia" w:hAnsi="宋体" w:cs="宋体"/>
          <w:color w:val="auto"/>
          <w:sz w:val="24"/>
          <w:highlight w:val="none"/>
        </w:rPr>
        <w:t>文件的修改和补充</w:t>
      </w:r>
      <w:bookmarkEnd w:id="74"/>
      <w:bookmarkEnd w:id="75"/>
      <w:bookmarkEnd w:id="76"/>
      <w:bookmarkEnd w:id="77"/>
    </w:p>
    <w:p w14:paraId="0F623A14">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11.1在递交</w:t>
      </w:r>
      <w:r>
        <w:rPr>
          <w:rFonts w:hint="eastAsia" w:hAnsi="宋体" w:cs="宋体"/>
          <w:color w:val="auto"/>
          <w:sz w:val="24"/>
          <w:highlight w:val="none"/>
          <w:lang w:eastAsia="zh-CN"/>
        </w:rPr>
        <w:t>投标文件</w:t>
      </w:r>
      <w:r>
        <w:rPr>
          <w:rFonts w:hint="eastAsia" w:hAnsi="宋体" w:cs="宋体"/>
          <w:color w:val="auto"/>
          <w:sz w:val="24"/>
          <w:highlight w:val="none"/>
        </w:rPr>
        <w:t>截止</w:t>
      </w:r>
      <w:r>
        <w:rPr>
          <w:rFonts w:hint="eastAsia" w:hAnsi="宋体" w:cs="宋体"/>
          <w:color w:val="auto"/>
          <w:sz w:val="24"/>
          <w:highlight w:val="none"/>
          <w:lang w:eastAsia="zh-CN"/>
        </w:rPr>
        <w:t>日期前的任何时候</w:t>
      </w:r>
      <w:r>
        <w:rPr>
          <w:rFonts w:hint="eastAsia" w:hAnsi="宋体" w:cs="宋体"/>
          <w:color w:val="auto"/>
          <w:sz w:val="24"/>
          <w:highlight w:val="none"/>
        </w:rPr>
        <w:t>，采购人可主动地或依据供应商要求澄清的疑问而修改、补充</w:t>
      </w:r>
      <w:r>
        <w:rPr>
          <w:rFonts w:hint="eastAsia" w:hAnsi="宋体" w:cs="宋体"/>
          <w:color w:val="auto"/>
          <w:sz w:val="24"/>
          <w:highlight w:val="none"/>
          <w:lang w:eastAsia="zh-CN"/>
        </w:rPr>
        <w:t>招标</w:t>
      </w:r>
      <w:r>
        <w:rPr>
          <w:rFonts w:hint="eastAsia" w:hAnsi="宋体" w:cs="宋体"/>
          <w:color w:val="auto"/>
          <w:sz w:val="24"/>
          <w:highlight w:val="none"/>
        </w:rPr>
        <w:t>文件，采购代理机构将对修改和补充的内容</w:t>
      </w:r>
      <w:r>
        <w:rPr>
          <w:rFonts w:hint="eastAsia" w:ascii="宋体" w:hAnsi="宋体" w:eastAsia="宋体" w:cs="宋体"/>
          <w:color w:val="auto"/>
          <w:sz w:val="24"/>
          <w:highlight w:val="none"/>
        </w:rPr>
        <w:t>发至</w:t>
      </w:r>
      <w:r>
        <w:rPr>
          <w:rFonts w:hint="eastAsia" w:hAnsi="宋体" w:cs="宋体"/>
          <w:color w:val="auto"/>
          <w:sz w:val="24"/>
          <w:highlight w:val="none"/>
          <w:lang w:val="en-US" w:eastAsia="zh-CN"/>
        </w:rPr>
        <w:t>新疆政府采购网政采云平台</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rPr>
        <w:t>所有获取</w:t>
      </w:r>
      <w:r>
        <w:rPr>
          <w:rFonts w:hint="eastAsia" w:hAnsi="宋体" w:cs="宋体"/>
          <w:color w:val="auto"/>
          <w:sz w:val="24"/>
          <w:highlight w:val="none"/>
          <w:lang w:eastAsia="zh-CN"/>
        </w:rPr>
        <w:t>招标</w:t>
      </w:r>
      <w:r>
        <w:rPr>
          <w:rFonts w:hint="eastAsia" w:ascii="宋体" w:hAnsi="宋体" w:cs="宋体"/>
          <w:color w:val="auto"/>
          <w:sz w:val="24"/>
          <w:highlight w:val="none"/>
        </w:rPr>
        <w:t>文件的每位</w:t>
      </w:r>
      <w:r>
        <w:rPr>
          <w:rFonts w:hint="eastAsia" w:hAnsi="宋体" w:cs="宋体"/>
          <w:color w:val="auto"/>
          <w:sz w:val="24"/>
          <w:highlight w:val="none"/>
          <w:lang w:eastAsia="zh-CN"/>
        </w:rPr>
        <w:t>供应商</w:t>
      </w:r>
      <w:r>
        <w:rPr>
          <w:rFonts w:hint="eastAsia" w:ascii="宋体" w:hAnsi="宋体" w:cs="宋体"/>
          <w:color w:val="auto"/>
          <w:sz w:val="24"/>
          <w:highlight w:val="none"/>
          <w:lang w:val="en-US" w:eastAsia="zh-CN"/>
        </w:rPr>
        <w:t>自行登录网站查阅</w:t>
      </w:r>
      <w:r>
        <w:rPr>
          <w:rFonts w:hint="eastAsia" w:ascii="宋体" w:hAnsi="宋体" w:cs="宋体"/>
          <w:color w:val="auto"/>
          <w:sz w:val="24"/>
          <w:highlight w:val="none"/>
        </w:rPr>
        <w:t>，</w:t>
      </w:r>
      <w:r>
        <w:rPr>
          <w:rFonts w:hint="eastAsia" w:hAnsi="宋体" w:cs="宋体"/>
          <w:color w:val="auto"/>
          <w:sz w:val="24"/>
          <w:highlight w:val="none"/>
        </w:rPr>
        <w:t>修改和/或补充文件将作为</w:t>
      </w:r>
      <w:r>
        <w:rPr>
          <w:rFonts w:hint="eastAsia" w:hAnsi="宋体" w:cs="宋体"/>
          <w:color w:val="auto"/>
          <w:sz w:val="24"/>
          <w:highlight w:val="none"/>
          <w:lang w:eastAsia="zh-CN"/>
        </w:rPr>
        <w:t>招标</w:t>
      </w:r>
      <w:r>
        <w:rPr>
          <w:rFonts w:hint="eastAsia" w:hAnsi="宋体" w:cs="宋体"/>
          <w:color w:val="auto"/>
          <w:sz w:val="24"/>
          <w:highlight w:val="none"/>
        </w:rPr>
        <w:t>文件的组成部分，对所有供应商具有约束力。</w:t>
      </w:r>
    </w:p>
    <w:p w14:paraId="2767CC54">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11.2为使供应商在准备</w:t>
      </w:r>
      <w:r>
        <w:rPr>
          <w:rFonts w:hint="eastAsia" w:hAnsi="宋体" w:cs="宋体"/>
          <w:color w:val="auto"/>
          <w:sz w:val="24"/>
          <w:highlight w:val="none"/>
          <w:lang w:eastAsia="zh-CN"/>
        </w:rPr>
        <w:t>投标文件</w:t>
      </w:r>
      <w:r>
        <w:rPr>
          <w:rFonts w:hint="eastAsia" w:hAnsi="宋体" w:cs="宋体"/>
          <w:color w:val="auto"/>
          <w:sz w:val="24"/>
          <w:highlight w:val="none"/>
        </w:rPr>
        <w:t>时有合理的时间考虑</w:t>
      </w:r>
      <w:r>
        <w:rPr>
          <w:rFonts w:hint="eastAsia" w:hAnsi="宋体" w:cs="宋体"/>
          <w:color w:val="auto"/>
          <w:sz w:val="24"/>
          <w:highlight w:val="none"/>
          <w:lang w:eastAsia="zh-CN"/>
        </w:rPr>
        <w:t>招标</w:t>
      </w:r>
      <w:r>
        <w:rPr>
          <w:rFonts w:hint="eastAsia" w:hAnsi="宋体" w:cs="宋体"/>
          <w:color w:val="auto"/>
          <w:sz w:val="24"/>
          <w:highlight w:val="none"/>
        </w:rPr>
        <w:t>文件的修改和/或补充，采购代理机构可延长递交</w:t>
      </w:r>
      <w:r>
        <w:rPr>
          <w:rFonts w:hint="eastAsia" w:hAnsi="宋体" w:cs="宋体"/>
          <w:color w:val="auto"/>
          <w:sz w:val="24"/>
          <w:highlight w:val="none"/>
          <w:lang w:eastAsia="zh-CN"/>
        </w:rPr>
        <w:t>投标文件</w:t>
      </w:r>
      <w:r>
        <w:rPr>
          <w:rFonts w:hint="eastAsia" w:hAnsi="宋体" w:cs="宋体"/>
          <w:color w:val="auto"/>
          <w:sz w:val="24"/>
          <w:highlight w:val="none"/>
        </w:rPr>
        <w:t>截止时间和开启时间，但至少应当在规定的递交</w:t>
      </w:r>
      <w:r>
        <w:rPr>
          <w:rFonts w:hint="eastAsia" w:hAnsi="宋体" w:cs="宋体"/>
          <w:color w:val="auto"/>
          <w:sz w:val="24"/>
          <w:highlight w:val="none"/>
          <w:lang w:eastAsia="zh-CN"/>
        </w:rPr>
        <w:t>投标文件</w:t>
      </w:r>
      <w:r>
        <w:rPr>
          <w:rFonts w:hint="eastAsia" w:hAnsi="宋体" w:cs="宋体"/>
          <w:color w:val="auto"/>
          <w:sz w:val="24"/>
          <w:highlight w:val="none"/>
        </w:rPr>
        <w:t>的截止时间3个工作日前</w:t>
      </w:r>
      <w:r>
        <w:rPr>
          <w:rFonts w:hint="eastAsia" w:ascii="宋体" w:hAnsi="宋体" w:cs="宋体"/>
          <w:color w:val="auto"/>
          <w:sz w:val="24"/>
          <w:highlight w:val="none"/>
          <w:lang w:val="en-US" w:eastAsia="zh-CN"/>
        </w:rPr>
        <w:t>在新疆</w:t>
      </w:r>
      <w:r>
        <w:rPr>
          <w:rFonts w:hint="eastAsia" w:hAnsi="宋体" w:cs="宋体"/>
          <w:color w:val="auto"/>
          <w:sz w:val="24"/>
          <w:highlight w:val="none"/>
          <w:lang w:val="en-US" w:eastAsia="zh-CN"/>
        </w:rPr>
        <w:t>政府采购</w:t>
      </w:r>
      <w:r>
        <w:rPr>
          <w:rFonts w:hint="eastAsia" w:ascii="宋体" w:hAnsi="宋体" w:cs="宋体"/>
          <w:color w:val="auto"/>
          <w:sz w:val="24"/>
          <w:highlight w:val="none"/>
          <w:lang w:val="en-US" w:eastAsia="zh-CN"/>
        </w:rPr>
        <w:t>网</w:t>
      </w:r>
      <w:r>
        <w:rPr>
          <w:rFonts w:hint="eastAsia" w:hAnsi="宋体" w:cs="宋体"/>
          <w:color w:val="auto"/>
          <w:sz w:val="24"/>
          <w:highlight w:val="none"/>
        </w:rPr>
        <w:t>通知所有领取</w:t>
      </w:r>
      <w:r>
        <w:rPr>
          <w:rFonts w:hint="eastAsia" w:hAnsi="宋体" w:cs="宋体"/>
          <w:color w:val="auto"/>
          <w:sz w:val="24"/>
          <w:highlight w:val="none"/>
          <w:lang w:eastAsia="zh-CN"/>
        </w:rPr>
        <w:t>招标</w:t>
      </w:r>
      <w:r>
        <w:rPr>
          <w:rFonts w:hint="eastAsia" w:hAnsi="宋体" w:cs="宋体"/>
          <w:color w:val="auto"/>
          <w:sz w:val="24"/>
          <w:highlight w:val="none"/>
        </w:rPr>
        <w:t>文件的每位供应商。</w:t>
      </w:r>
    </w:p>
    <w:p w14:paraId="5EBA0FB1">
      <w:pPr>
        <w:pStyle w:val="12"/>
        <w:numPr>
          <w:ilvl w:val="0"/>
          <w:numId w:val="0"/>
        </w:numPr>
        <w:spacing w:line="360" w:lineRule="auto"/>
        <w:rPr>
          <w:rFonts w:hAnsi="宋体" w:cs="宋体"/>
          <w:b/>
          <w:bCs/>
          <w:color w:val="auto"/>
          <w:sz w:val="24"/>
          <w:highlight w:val="none"/>
        </w:rPr>
      </w:pPr>
      <w:r>
        <w:rPr>
          <w:rFonts w:hint="eastAsia" w:ascii="宋体" w:hAnsi="宋体" w:eastAsia="宋体" w:cs="宋体"/>
          <w:b/>
          <w:bCs/>
          <w:color w:val="auto"/>
          <w:kern w:val="2"/>
          <w:sz w:val="24"/>
          <w:szCs w:val="21"/>
          <w:highlight w:val="none"/>
          <w:lang w:val="en-US" w:eastAsia="zh-CN" w:bidi="ar-SA"/>
        </w:rPr>
        <w:t>三、</w:t>
      </w:r>
      <w:r>
        <w:rPr>
          <w:rFonts w:hint="eastAsia" w:hAnsi="宋体" w:cs="宋体"/>
          <w:b/>
          <w:bCs/>
          <w:color w:val="auto"/>
          <w:sz w:val="24"/>
          <w:highlight w:val="none"/>
          <w:lang w:eastAsia="zh-CN"/>
        </w:rPr>
        <w:t>投标文件</w:t>
      </w:r>
      <w:r>
        <w:rPr>
          <w:rFonts w:hint="eastAsia" w:hAnsi="宋体" w:cs="宋体"/>
          <w:b/>
          <w:bCs/>
          <w:color w:val="auto"/>
          <w:sz w:val="24"/>
          <w:highlight w:val="none"/>
        </w:rPr>
        <w:t>的编写</w:t>
      </w:r>
    </w:p>
    <w:p w14:paraId="31609687">
      <w:pPr>
        <w:pStyle w:val="12"/>
        <w:spacing w:line="360" w:lineRule="auto"/>
        <w:ind w:firstLine="480" w:firstLineChars="200"/>
        <w:outlineLvl w:val="1"/>
        <w:rPr>
          <w:rFonts w:hAnsi="宋体" w:cs="宋体"/>
          <w:color w:val="auto"/>
          <w:sz w:val="24"/>
          <w:szCs w:val="24"/>
          <w:highlight w:val="none"/>
        </w:rPr>
      </w:pPr>
      <w:bookmarkStart w:id="78" w:name="_Toc233274823"/>
      <w:bookmarkStart w:id="79" w:name="_Toc243907583"/>
      <w:bookmarkStart w:id="80" w:name="_Toc245897283"/>
      <w:bookmarkStart w:id="81" w:name="_Toc243906323"/>
      <w:bookmarkStart w:id="82" w:name="_Toc24796"/>
      <w:r>
        <w:rPr>
          <w:rFonts w:hint="eastAsia" w:hAnsi="宋体" w:cs="宋体"/>
          <w:color w:val="auto"/>
          <w:sz w:val="24"/>
          <w:szCs w:val="24"/>
          <w:highlight w:val="none"/>
        </w:rPr>
        <w:t>1</w:t>
      </w:r>
      <w:bookmarkEnd w:id="78"/>
      <w:r>
        <w:rPr>
          <w:rFonts w:hint="eastAsia" w:hAnsi="宋体" w:cs="宋体"/>
          <w:color w:val="auto"/>
          <w:sz w:val="24"/>
          <w:szCs w:val="24"/>
          <w:highlight w:val="none"/>
        </w:rPr>
        <w:t>2、</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的编写</w:t>
      </w:r>
      <w:bookmarkEnd w:id="79"/>
      <w:bookmarkEnd w:id="80"/>
      <w:bookmarkEnd w:id="81"/>
    </w:p>
    <w:p w14:paraId="02D69549">
      <w:pPr>
        <w:spacing w:line="360" w:lineRule="auto"/>
        <w:ind w:firstLine="481"/>
        <w:rPr>
          <w:rFonts w:ascii="宋体" w:hAnsi="宋体" w:cs="宋体"/>
          <w:color w:val="auto"/>
          <w:sz w:val="24"/>
          <w:highlight w:val="none"/>
        </w:rPr>
      </w:pPr>
      <w:r>
        <w:rPr>
          <w:rFonts w:hint="eastAsia" w:ascii="宋体" w:hAnsi="宋体" w:cs="宋体"/>
          <w:color w:val="auto"/>
          <w:sz w:val="24"/>
          <w:highlight w:val="none"/>
        </w:rPr>
        <w:t>12.1供应商必须详细阅读</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文件的章、节、条款、格式等所有内容，按</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文件的要求提交</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，并保证所提供的全部文件及相关资料的真实性，以使其对</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文件做出实质性响应。供应商应仔细阅读并充分理解</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文件、技术规范及标准、项目采购需求、合同条款后编制</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w:t>
      </w:r>
    </w:p>
    <w:p w14:paraId="2CAD8E99">
      <w:pPr>
        <w:pStyle w:val="12"/>
        <w:spacing w:line="360" w:lineRule="auto"/>
        <w:ind w:firstLine="480" w:firstLineChars="200"/>
        <w:outlineLvl w:val="1"/>
        <w:rPr>
          <w:rFonts w:hAnsi="宋体" w:cs="宋体"/>
          <w:color w:val="auto"/>
          <w:sz w:val="24"/>
          <w:szCs w:val="24"/>
          <w:highlight w:val="none"/>
        </w:rPr>
      </w:pPr>
      <w:bookmarkStart w:id="83" w:name="_Toc245897284"/>
      <w:bookmarkStart w:id="84" w:name="_Toc243907584"/>
      <w:bookmarkStart w:id="85" w:name="_Toc233274824"/>
      <w:bookmarkStart w:id="86" w:name="_Toc243906324"/>
      <w:r>
        <w:rPr>
          <w:rFonts w:hint="eastAsia" w:hAnsi="宋体" w:cs="宋体"/>
          <w:color w:val="auto"/>
          <w:sz w:val="24"/>
          <w:szCs w:val="24"/>
          <w:highlight w:val="none"/>
        </w:rPr>
        <w:t>13、</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的语言及计量单位</w:t>
      </w:r>
      <w:bookmarkEnd w:id="83"/>
      <w:bookmarkEnd w:id="84"/>
      <w:bookmarkEnd w:id="85"/>
      <w:bookmarkEnd w:id="86"/>
    </w:p>
    <w:p w14:paraId="5754093F">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13.1 </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及供应商和采购人及采购代理机构就有关</w:t>
      </w:r>
      <w:r>
        <w:rPr>
          <w:rFonts w:hint="eastAsia" w:hAnsi="宋体" w:cs="宋体"/>
          <w:color w:val="auto"/>
          <w:sz w:val="24"/>
          <w:szCs w:val="24"/>
          <w:highlight w:val="none"/>
          <w:lang w:eastAsia="zh-CN"/>
        </w:rPr>
        <w:t>发布</w:t>
      </w:r>
      <w:r>
        <w:rPr>
          <w:rFonts w:hint="eastAsia" w:hAnsi="宋体" w:cs="宋体"/>
          <w:color w:val="auto"/>
          <w:sz w:val="24"/>
          <w:szCs w:val="24"/>
          <w:highlight w:val="none"/>
        </w:rPr>
        <w:t>的所有文件和来往函件，应以中文书写。供应商可以提交用其他语言（原文）打印的资料，但必须翻译成中文，当原文和译文（中文）之间存有差异和/或矛盾时，以中文为准。</w:t>
      </w:r>
    </w:p>
    <w:p w14:paraId="441B6DF7">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13.2 除在</w:t>
      </w:r>
      <w:r>
        <w:rPr>
          <w:rFonts w:hint="eastAsia" w:hAnsi="宋体" w:cs="宋体"/>
          <w:color w:val="auto"/>
          <w:sz w:val="24"/>
          <w:szCs w:val="24"/>
          <w:highlight w:val="none"/>
          <w:lang w:eastAsia="zh-CN"/>
        </w:rPr>
        <w:t>招标</w:t>
      </w:r>
      <w:r>
        <w:rPr>
          <w:rFonts w:hint="eastAsia" w:hAnsi="宋体" w:cs="宋体"/>
          <w:color w:val="auto"/>
          <w:sz w:val="24"/>
          <w:szCs w:val="24"/>
          <w:highlight w:val="none"/>
        </w:rPr>
        <w:t>文件的项目采购需求中另有规定外，计量单位应使用中华人民共和国法定计量单位（国际单位制和国家选定的其它计量单位）。如供应商采用其它计量单位，需事先得到采购人的同意。</w:t>
      </w:r>
    </w:p>
    <w:p w14:paraId="09AE93C8">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14、知识产权</w:t>
      </w:r>
    </w:p>
    <w:p w14:paraId="0FCA0673">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14.1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14:paraId="6896FA9B">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14.2 采购人享有本项目实施过程中产生的知识成果及知识产权。</w:t>
      </w:r>
    </w:p>
    <w:p w14:paraId="22A44D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14.3供应商如欲在项目实施过程中采用自有知识成果，需在</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中声明，并提供相关知识产权证明文件。使用该知识成果后，供应商需承诺提供无限期技术支持，采购人享有永久使用权。</w:t>
      </w:r>
    </w:p>
    <w:p w14:paraId="242CEAF7">
      <w:pPr>
        <w:spacing w:line="360" w:lineRule="auto"/>
        <w:ind w:firstLine="460" w:firstLineChars="192"/>
        <w:rPr>
          <w:rFonts w:ascii="宋体" w:hAnsi="宋体" w:cs="宋体"/>
          <w:color w:val="auto"/>
          <w:sz w:val="24"/>
          <w:highlight w:val="none"/>
        </w:rPr>
      </w:pPr>
      <w:r>
        <w:rPr>
          <w:rFonts w:hint="eastAsia" w:ascii="宋体" w:hAnsi="宋体" w:cs="宋体"/>
          <w:color w:val="auto"/>
          <w:sz w:val="24"/>
          <w:highlight w:val="none"/>
        </w:rPr>
        <w:t xml:space="preserve">14.4 供应商如采用其所不拥有的知识产权，则在其商务报价中必须包括合法获取该知识产权的相关费用。 </w:t>
      </w:r>
    </w:p>
    <w:p w14:paraId="2454F43F">
      <w:pPr>
        <w:pStyle w:val="12"/>
        <w:spacing w:line="360" w:lineRule="auto"/>
        <w:ind w:firstLine="480" w:firstLineChars="200"/>
        <w:outlineLvl w:val="1"/>
        <w:rPr>
          <w:rFonts w:hAnsi="宋体" w:cs="宋体"/>
          <w:b/>
          <w:color w:val="auto"/>
          <w:sz w:val="24"/>
          <w:szCs w:val="24"/>
          <w:highlight w:val="none"/>
        </w:rPr>
      </w:pPr>
      <w:bookmarkStart w:id="87" w:name="_Toc243907585"/>
      <w:bookmarkStart w:id="88" w:name="_Toc245897285"/>
      <w:bookmarkStart w:id="89" w:name="_Toc233274825"/>
      <w:bookmarkStart w:id="90" w:name="_Toc243906325"/>
      <w:r>
        <w:rPr>
          <w:rFonts w:hint="eastAsia" w:hAnsi="宋体" w:cs="宋体"/>
          <w:color w:val="auto"/>
          <w:sz w:val="24"/>
          <w:szCs w:val="24"/>
          <w:highlight w:val="none"/>
        </w:rPr>
        <w:t>15、</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的组成</w:t>
      </w:r>
      <w:bookmarkEnd w:id="87"/>
      <w:bookmarkEnd w:id="88"/>
      <w:bookmarkEnd w:id="89"/>
      <w:bookmarkEnd w:id="90"/>
      <w:r>
        <w:rPr>
          <w:rFonts w:hint="eastAsia" w:ascii="宋体" w:hAnsi="宋体" w:eastAsia="宋体" w:cs="宋体"/>
          <w:b/>
          <w:color w:val="auto"/>
          <w:sz w:val="24"/>
          <w:szCs w:val="24"/>
          <w:highlight w:val="none"/>
          <w:lang w:val="en-US" w:eastAsia="zh-CN"/>
        </w:rPr>
        <w:t>（包含以下内容但不限于以下内容）</w:t>
      </w:r>
    </w:p>
    <w:p w14:paraId="68949472">
      <w:pPr>
        <w:pStyle w:val="12"/>
        <w:spacing w:line="360" w:lineRule="auto"/>
        <w:ind w:firstLine="482" w:firstLineChars="200"/>
        <w:outlineLvl w:val="1"/>
        <w:rPr>
          <w:rFonts w:hAnsi="宋体" w:cs="宋体"/>
          <w:b/>
          <w:color w:val="auto"/>
          <w:sz w:val="24"/>
          <w:szCs w:val="24"/>
          <w:highlight w:val="none"/>
        </w:rPr>
      </w:pPr>
      <w:r>
        <w:rPr>
          <w:rFonts w:hint="eastAsia" w:hAnsi="宋体" w:cs="宋体"/>
          <w:b/>
          <w:bCs/>
          <w:color w:val="auto"/>
          <w:sz w:val="24"/>
          <w:highlight w:val="none"/>
          <w:lang w:eastAsia="zh-CN"/>
        </w:rPr>
        <w:t>投标文件</w:t>
      </w:r>
      <w:r>
        <w:rPr>
          <w:rFonts w:hint="eastAsia" w:ascii="宋体" w:hAnsi="宋体" w:cs="宋体"/>
          <w:b/>
          <w:bCs/>
          <w:color w:val="auto"/>
          <w:sz w:val="24"/>
          <w:highlight w:val="none"/>
        </w:rPr>
        <w:t>由由资格证明文件、商务</w:t>
      </w:r>
      <w:r>
        <w:rPr>
          <w:rFonts w:hint="eastAsia" w:ascii="宋体" w:hAnsi="宋体" w:cs="宋体"/>
          <w:b/>
          <w:bCs/>
          <w:color w:val="auto"/>
          <w:sz w:val="24"/>
          <w:highlight w:val="none"/>
          <w:lang w:val="en-US" w:eastAsia="zh-CN"/>
        </w:rPr>
        <w:t>文件</w:t>
      </w:r>
      <w:r>
        <w:rPr>
          <w:rFonts w:hint="eastAsia" w:ascii="宋体" w:hAnsi="宋体" w:cs="宋体"/>
          <w:b/>
          <w:bCs/>
          <w:color w:val="auto"/>
          <w:sz w:val="24"/>
          <w:highlight w:val="none"/>
        </w:rPr>
        <w:t>、技术</w:t>
      </w:r>
      <w:r>
        <w:rPr>
          <w:rFonts w:hint="eastAsia" w:ascii="宋体" w:hAnsi="宋体" w:cs="宋体"/>
          <w:b/>
          <w:bCs/>
          <w:color w:val="auto"/>
          <w:sz w:val="24"/>
          <w:highlight w:val="none"/>
          <w:lang w:val="en-US" w:eastAsia="zh-CN"/>
        </w:rPr>
        <w:t>文件</w:t>
      </w:r>
      <w:r>
        <w:rPr>
          <w:rFonts w:hint="eastAsia" w:ascii="宋体" w:hAnsi="宋体" w:cs="宋体"/>
          <w:b/>
          <w:bCs/>
          <w:color w:val="auto"/>
          <w:sz w:val="24"/>
          <w:highlight w:val="none"/>
        </w:rPr>
        <w:t>组成</w:t>
      </w:r>
      <w:r>
        <w:rPr>
          <w:rFonts w:hint="eastAsia" w:hAnsi="宋体" w:cs="宋体"/>
          <w:b/>
          <w:color w:val="auto"/>
          <w:sz w:val="24"/>
          <w:szCs w:val="24"/>
          <w:highlight w:val="none"/>
        </w:rPr>
        <w:t>：</w:t>
      </w:r>
    </w:p>
    <w:p w14:paraId="38C472CF">
      <w:pPr>
        <w:keepNext w:val="0"/>
        <w:keepLines w:val="0"/>
        <w:widowControl w:val="0"/>
        <w:suppressLineNumbers w:val="0"/>
        <w:spacing w:before="0" w:beforeAutospacing="0" w:after="0" w:afterAutospacing="0" w:line="360" w:lineRule="auto"/>
        <w:ind w:left="420" w:leftChars="0" w:right="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15.1资格证明文件：</w:t>
      </w:r>
    </w:p>
    <w:p w14:paraId="6360681D">
      <w:pPr>
        <w:keepNext w:val="0"/>
        <w:keepLines w:val="0"/>
        <w:widowControl w:val="0"/>
        <w:numPr>
          <w:ilvl w:val="0"/>
          <w:numId w:val="3"/>
        </w:numPr>
        <w:suppressLineNumbers w:val="0"/>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符合《中华人民共和国政府采购法》第二十二条规定的证明文件；</w:t>
      </w:r>
    </w:p>
    <w:p w14:paraId="4D19DB3F">
      <w:pPr>
        <w:keepNext w:val="0"/>
        <w:keepLines w:val="0"/>
        <w:widowControl w:val="0"/>
        <w:suppressLineNumbers w:val="0"/>
        <w:spacing w:before="0" w:beforeAutospacing="0" w:after="0" w:afterAutospacing="0" w:line="360" w:lineRule="auto"/>
        <w:ind w:left="420" w:leftChars="0" w:right="0"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①具有独立承担民事责任的能力</w:t>
      </w:r>
    </w:p>
    <w:p w14:paraId="19E4924B">
      <w:pPr>
        <w:keepNext w:val="0"/>
        <w:keepLines w:val="0"/>
        <w:widowControl w:val="0"/>
        <w:suppressLineNumbers w:val="0"/>
        <w:spacing w:before="0" w:beforeAutospacing="0" w:after="0" w:afterAutospacing="0" w:line="360" w:lineRule="auto"/>
        <w:ind w:left="420" w:leftChars="0" w:right="0"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②具有良好的商业信誉和健全的财务会计制度（提供（2024年至今任意一年）的财务审计报告（包括资产负债表、利润表、现金流量表及财务报表附注，成立不满一年企业提供情况说明或银行提供的资信证明））</w:t>
      </w:r>
    </w:p>
    <w:p w14:paraId="13C31211">
      <w:pPr>
        <w:keepNext w:val="0"/>
        <w:keepLines w:val="0"/>
        <w:widowControl w:val="0"/>
        <w:suppressLineNumbers w:val="0"/>
        <w:spacing w:before="0" w:beforeAutospacing="0" w:after="0" w:afterAutospacing="0" w:line="360" w:lineRule="auto"/>
        <w:ind w:left="420" w:leftChars="0" w:right="0"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③具有履行合同所必需的设备和专业技术能力</w:t>
      </w:r>
    </w:p>
    <w:p w14:paraId="218751C3">
      <w:pPr>
        <w:keepNext w:val="0"/>
        <w:keepLines w:val="0"/>
        <w:widowControl w:val="0"/>
        <w:suppressLineNumbers w:val="0"/>
        <w:spacing w:before="0" w:beforeAutospacing="0" w:after="0" w:afterAutospacing="0" w:line="360" w:lineRule="auto"/>
        <w:ind w:left="420" w:leftChars="0" w:right="0"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④有依法缴纳税收和社会保障资金的良好记录（提供税务部门出具的近半年内任意一个月的完税证明及企业缴纳社保证明材料）</w:t>
      </w:r>
    </w:p>
    <w:p w14:paraId="0CBB924C">
      <w:pPr>
        <w:keepNext w:val="0"/>
        <w:keepLines w:val="0"/>
        <w:widowControl w:val="0"/>
        <w:suppressLineNumbers w:val="0"/>
        <w:spacing w:before="0" w:beforeAutospacing="0" w:after="0" w:afterAutospacing="0" w:line="360" w:lineRule="auto"/>
        <w:ind w:left="420" w:leftChars="0" w:right="0"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⑤参加政府采购活动前三年内，在经营活动中没有重大违法记录</w:t>
      </w:r>
    </w:p>
    <w:p w14:paraId="209D7879">
      <w:pPr>
        <w:keepNext w:val="0"/>
        <w:keepLines w:val="0"/>
        <w:widowControl w:val="0"/>
        <w:numPr>
          <w:ilvl w:val="0"/>
          <w:numId w:val="3"/>
        </w:numPr>
        <w:suppressLineNumbers w:val="0"/>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法定代表人资格证明书；</w:t>
      </w:r>
    </w:p>
    <w:p w14:paraId="7E6862FA">
      <w:pPr>
        <w:keepNext w:val="0"/>
        <w:keepLines w:val="0"/>
        <w:widowControl w:val="0"/>
        <w:numPr>
          <w:ilvl w:val="0"/>
          <w:numId w:val="3"/>
        </w:numPr>
        <w:suppressLineNumbers w:val="0"/>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法定代表人授权委托书；</w:t>
      </w:r>
    </w:p>
    <w:p w14:paraId="3BCCD997">
      <w:pPr>
        <w:keepNext w:val="0"/>
        <w:keepLines w:val="0"/>
        <w:widowControl w:val="0"/>
        <w:numPr>
          <w:ilvl w:val="0"/>
          <w:numId w:val="3"/>
        </w:numPr>
        <w:suppressLineNumbers w:val="0"/>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不参与围标串标承诺书；</w:t>
      </w:r>
    </w:p>
    <w:p w14:paraId="69986909">
      <w:pPr>
        <w:keepNext w:val="0"/>
        <w:keepLines w:val="0"/>
        <w:widowControl w:val="0"/>
        <w:suppressLineNumbers w:val="0"/>
        <w:spacing w:before="0" w:beforeAutospacing="0" w:after="0" w:afterAutospacing="0" w:line="360" w:lineRule="auto"/>
        <w:ind w:left="420" w:leftChars="0" w:right="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15.2商务文件：</w:t>
      </w:r>
    </w:p>
    <w:p w14:paraId="1BBA3ECF">
      <w:pPr>
        <w:keepNext w:val="0"/>
        <w:keepLines w:val="0"/>
        <w:widowControl w:val="0"/>
        <w:numPr>
          <w:ilvl w:val="0"/>
          <w:numId w:val="4"/>
        </w:numPr>
        <w:suppressLineNumbers w:val="0"/>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投标函；</w:t>
      </w:r>
    </w:p>
    <w:p w14:paraId="18690A3A">
      <w:pPr>
        <w:keepNext w:val="0"/>
        <w:keepLines w:val="0"/>
        <w:widowControl w:val="0"/>
        <w:numPr>
          <w:ilvl w:val="0"/>
          <w:numId w:val="4"/>
        </w:numPr>
        <w:suppressLineNumbers w:val="0"/>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商务报价一览表；</w:t>
      </w:r>
    </w:p>
    <w:p w14:paraId="1E0DB23B">
      <w:pPr>
        <w:keepNext w:val="0"/>
        <w:keepLines w:val="0"/>
        <w:widowControl w:val="0"/>
        <w:numPr>
          <w:ilvl w:val="0"/>
          <w:numId w:val="4"/>
        </w:numPr>
        <w:suppressLineNumbers w:val="0"/>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商务报价明细表；</w:t>
      </w:r>
    </w:p>
    <w:p w14:paraId="655B6E5A">
      <w:pPr>
        <w:keepNext w:val="0"/>
        <w:keepLines w:val="0"/>
        <w:widowControl w:val="0"/>
        <w:numPr>
          <w:ilvl w:val="0"/>
          <w:numId w:val="4"/>
        </w:numPr>
        <w:suppressLineNumbers w:val="0"/>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商务条款偏离表；</w:t>
      </w:r>
    </w:p>
    <w:p w14:paraId="4CA72A07">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中小企业声明函（</w:t>
      </w:r>
      <w:r>
        <w:rPr>
          <w:rFonts w:hint="eastAsia" w:ascii="宋体" w:hAnsi="宋体" w:eastAsia="宋体" w:cs="宋体"/>
          <w:color w:val="auto"/>
          <w:kern w:val="2"/>
          <w:sz w:val="24"/>
          <w:szCs w:val="24"/>
          <w:highlight w:val="none"/>
          <w:lang w:val="en-US" w:eastAsia="zh-CN"/>
        </w:rPr>
        <w:t>货物</w:t>
      </w:r>
      <w:r>
        <w:rPr>
          <w:rFonts w:hint="eastAsia" w:ascii="宋体" w:hAnsi="宋体" w:eastAsia="宋体" w:cs="宋体"/>
          <w:color w:val="auto"/>
          <w:kern w:val="2"/>
          <w:sz w:val="24"/>
          <w:szCs w:val="24"/>
          <w:highlight w:val="none"/>
        </w:rPr>
        <w:t>）</w:t>
      </w:r>
    </w:p>
    <w:p w14:paraId="6C1E38DE">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供应商资格声明；</w:t>
      </w:r>
    </w:p>
    <w:p w14:paraId="4B9C3E0B">
      <w:pPr>
        <w:keepNext w:val="0"/>
        <w:keepLines w:val="0"/>
        <w:widowControl w:val="0"/>
        <w:numPr>
          <w:ilvl w:val="0"/>
          <w:numId w:val="4"/>
        </w:numPr>
        <w:suppressLineNumbers w:val="0"/>
        <w:tabs>
          <w:tab w:val="left" w:pos="360"/>
          <w:tab w:val="left" w:pos="1800"/>
        </w:tabs>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项目负责人简历表；</w:t>
      </w:r>
    </w:p>
    <w:p w14:paraId="42D4E784">
      <w:pPr>
        <w:keepNext w:val="0"/>
        <w:keepLines w:val="0"/>
        <w:widowControl w:val="0"/>
        <w:numPr>
          <w:ilvl w:val="0"/>
          <w:numId w:val="4"/>
        </w:numPr>
        <w:suppressLineNumbers w:val="0"/>
        <w:tabs>
          <w:tab w:val="left" w:pos="360"/>
          <w:tab w:val="left" w:pos="1800"/>
        </w:tabs>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项目管理、服务及其它人员情况表；</w:t>
      </w:r>
    </w:p>
    <w:p w14:paraId="081BD330">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近三年（自2023年1月1日至今）类似项目业绩表（附发票、合同或者中标/成交通知书等复印件。如提供证明材料为合同，须提供业绩合同主要页（含：首页、采购内容信息页、合同金额页、签字盖章页），时间以合同签订日期为准）；</w:t>
      </w:r>
    </w:p>
    <w:p w14:paraId="1CABA5BC">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售后服务承诺书；</w:t>
      </w:r>
    </w:p>
    <w:p w14:paraId="1C80C44A">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虚假应标承担责任声明；</w:t>
      </w:r>
    </w:p>
    <w:p w14:paraId="7FA5234A">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反商业贿赂承诺书；</w:t>
      </w:r>
    </w:p>
    <w:p w14:paraId="1F7C825D">
      <w:pPr>
        <w:keepNext w:val="0"/>
        <w:keepLines w:val="0"/>
        <w:widowControl w:val="0"/>
        <w:numPr>
          <w:ilvl w:val="0"/>
          <w:numId w:val="4"/>
        </w:numPr>
        <w:suppressLineNumbers w:val="0"/>
        <w:spacing w:before="0" w:beforeAutospacing="0" w:after="0" w:afterAutospacing="0" w:line="360" w:lineRule="auto"/>
        <w:ind w:left="0" w:right="0" w:firstLine="42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供应商认为有必要提供的其他商务资料；</w:t>
      </w:r>
    </w:p>
    <w:p w14:paraId="2B391DBC">
      <w:pPr>
        <w:keepNext w:val="0"/>
        <w:keepLines w:val="0"/>
        <w:widowControl w:val="0"/>
        <w:suppressLineNumbers w:val="0"/>
        <w:spacing w:before="0" w:beforeAutospacing="0" w:after="0" w:afterAutospacing="0" w:line="360" w:lineRule="auto"/>
        <w:ind w:left="420" w:leftChars="0" w:right="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15.3技术文件：</w:t>
      </w:r>
    </w:p>
    <w:p w14:paraId="6D2C08D1">
      <w:pPr>
        <w:keepNext w:val="0"/>
        <w:keepLines w:val="0"/>
        <w:widowControl w:val="0"/>
        <w:numPr>
          <w:ilvl w:val="0"/>
          <w:numId w:val="5"/>
        </w:numPr>
        <w:suppressLineNumbers w:val="0"/>
        <w:tabs>
          <w:tab w:val="left" w:pos="360"/>
          <w:tab w:val="left" w:pos="1800"/>
        </w:tabs>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技术条款偏离表；（技术条款偏离表中响应文件条款应为供应商提供设备的实际技术参数（或规格），不能完全复制《第三章 采购需求》中的技术参数，否则将视为未实质性响应招标文件要求。）</w:t>
      </w:r>
    </w:p>
    <w:p w14:paraId="1C95A8CF">
      <w:pPr>
        <w:keepNext w:val="0"/>
        <w:keepLines w:val="0"/>
        <w:widowControl w:val="0"/>
        <w:numPr>
          <w:ilvl w:val="0"/>
          <w:numId w:val="5"/>
        </w:numPr>
        <w:suppressLineNumbers w:val="0"/>
        <w:tabs>
          <w:tab w:val="left" w:pos="360"/>
          <w:tab w:val="left" w:pos="1800"/>
        </w:tabs>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产品详细配置清单；</w:t>
      </w:r>
    </w:p>
    <w:p w14:paraId="7EB91C8A">
      <w:pPr>
        <w:keepNext w:val="0"/>
        <w:keepLines w:val="0"/>
        <w:widowControl w:val="0"/>
        <w:numPr>
          <w:ilvl w:val="0"/>
          <w:numId w:val="5"/>
        </w:numPr>
        <w:suppressLineNumbers w:val="0"/>
        <w:tabs>
          <w:tab w:val="left" w:pos="360"/>
          <w:tab w:val="left" w:pos="1800"/>
        </w:tabs>
        <w:spacing w:before="0" w:beforeAutospacing="0" w:after="0" w:afterAutospacing="0" w:line="360" w:lineRule="auto"/>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技术支持资料；供应商所投产品（且为所投型号）应提供具有检测资质的部门出具的检验检测报告（反映主要参数内容的部分，原件扫描件）、制造商对外公开发行的印刷版彩页或技术白皮书等。（国家无需检测的设备可以不提供检验报告）</w:t>
      </w:r>
    </w:p>
    <w:p w14:paraId="57BF51DD">
      <w:pPr>
        <w:keepNext w:val="0"/>
        <w:keepLines w:val="0"/>
        <w:widowControl w:val="0"/>
        <w:numPr>
          <w:ilvl w:val="0"/>
          <w:numId w:val="5"/>
        </w:numPr>
        <w:suppressLineNumbers w:val="0"/>
        <w:spacing w:before="0" w:beforeAutospacing="0" w:after="0" w:afterAutospacing="0" w:line="360" w:lineRule="auto"/>
        <w:ind w:left="0" w:right="0" w:firstLine="42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供货服务方案；</w:t>
      </w:r>
    </w:p>
    <w:p w14:paraId="02402CD3">
      <w:pPr>
        <w:keepNext w:val="0"/>
        <w:keepLines w:val="0"/>
        <w:widowControl w:val="0"/>
        <w:numPr>
          <w:ilvl w:val="0"/>
          <w:numId w:val="5"/>
        </w:numPr>
        <w:suppressLineNumbers w:val="0"/>
        <w:spacing w:before="0" w:beforeAutospacing="0" w:after="0" w:afterAutospacing="0" w:line="360" w:lineRule="auto"/>
        <w:ind w:left="0" w:right="0" w:firstLine="42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供应商认为有必要提供的其他技术文件资料。</w:t>
      </w:r>
    </w:p>
    <w:p w14:paraId="7B04BC9A">
      <w:pPr>
        <w:pStyle w:val="12"/>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特别说明：①上述各种证件、证书复印件须加盖供应商公章。如未按要求加盖供应商公章者，可能导致其</w:t>
      </w:r>
      <w:r>
        <w:rPr>
          <w:rFonts w:hint="eastAsia" w:hAnsi="宋体" w:cs="宋体"/>
          <w:b/>
          <w:color w:val="auto"/>
          <w:sz w:val="24"/>
          <w:szCs w:val="24"/>
          <w:highlight w:val="none"/>
          <w:lang w:eastAsia="zh-CN"/>
        </w:rPr>
        <w:t>投标文件</w:t>
      </w:r>
      <w:r>
        <w:rPr>
          <w:rFonts w:hint="eastAsia" w:hAnsi="宋体" w:cs="宋体"/>
          <w:b/>
          <w:color w:val="auto"/>
          <w:sz w:val="24"/>
          <w:szCs w:val="24"/>
          <w:highlight w:val="none"/>
        </w:rPr>
        <w:t>无效。</w:t>
      </w:r>
    </w:p>
    <w:p w14:paraId="17275A87">
      <w:pPr>
        <w:pStyle w:val="12"/>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②供应商应如实提供资料，并保证真实可靠，不得弄虚作假。如供应商隐瞒事实真相、弄虚作假，一经查实，取消该供应商的</w:t>
      </w:r>
      <w:r>
        <w:rPr>
          <w:rFonts w:hint="eastAsia" w:hAnsi="宋体" w:cs="宋体"/>
          <w:b/>
          <w:color w:val="auto"/>
          <w:sz w:val="24"/>
          <w:szCs w:val="24"/>
          <w:highlight w:val="none"/>
          <w:lang w:eastAsia="zh-CN"/>
        </w:rPr>
        <w:t>投标</w:t>
      </w:r>
      <w:r>
        <w:rPr>
          <w:rFonts w:hint="eastAsia" w:hAnsi="宋体" w:cs="宋体"/>
          <w:b/>
          <w:color w:val="auto"/>
          <w:sz w:val="24"/>
          <w:szCs w:val="24"/>
          <w:highlight w:val="none"/>
        </w:rPr>
        <w:t>资格，若</w:t>
      </w:r>
      <w:r>
        <w:rPr>
          <w:rFonts w:hint="eastAsia" w:hAnsi="宋体" w:cs="宋体"/>
          <w:b/>
          <w:color w:val="auto"/>
          <w:sz w:val="24"/>
          <w:szCs w:val="24"/>
          <w:highlight w:val="none"/>
          <w:lang w:eastAsia="zh-CN"/>
        </w:rPr>
        <w:t>中标</w:t>
      </w:r>
      <w:r>
        <w:rPr>
          <w:rFonts w:hint="eastAsia" w:hAnsi="宋体" w:cs="宋体"/>
          <w:b/>
          <w:color w:val="auto"/>
          <w:sz w:val="24"/>
          <w:szCs w:val="24"/>
          <w:highlight w:val="none"/>
        </w:rPr>
        <w:t>的，取消其</w:t>
      </w:r>
      <w:r>
        <w:rPr>
          <w:rFonts w:hint="eastAsia" w:hAnsi="宋体" w:cs="宋体"/>
          <w:b/>
          <w:color w:val="auto"/>
          <w:sz w:val="24"/>
          <w:szCs w:val="24"/>
          <w:highlight w:val="none"/>
          <w:lang w:eastAsia="zh-CN"/>
        </w:rPr>
        <w:t>中标</w:t>
      </w:r>
      <w:r>
        <w:rPr>
          <w:rFonts w:hint="eastAsia" w:hAnsi="宋体" w:cs="宋体"/>
          <w:b/>
          <w:color w:val="auto"/>
          <w:sz w:val="24"/>
          <w:szCs w:val="24"/>
          <w:highlight w:val="none"/>
        </w:rPr>
        <w:t>资格。</w:t>
      </w:r>
    </w:p>
    <w:p w14:paraId="18923985">
      <w:pPr>
        <w:pStyle w:val="12"/>
        <w:spacing w:line="360" w:lineRule="auto"/>
        <w:ind w:firstLine="480"/>
        <w:outlineLvl w:val="1"/>
        <w:rPr>
          <w:rFonts w:hAnsi="宋体" w:cs="宋体"/>
          <w:color w:val="auto"/>
          <w:sz w:val="24"/>
          <w:szCs w:val="24"/>
          <w:highlight w:val="none"/>
        </w:rPr>
      </w:pPr>
      <w:bookmarkStart w:id="91" w:name="_Toc245897286"/>
      <w:bookmarkStart w:id="92" w:name="_Toc246216196"/>
      <w:bookmarkStart w:id="93" w:name="_Toc233274827"/>
      <w:bookmarkStart w:id="94" w:name="_Toc243907587"/>
      <w:bookmarkStart w:id="95" w:name="_Toc243906326"/>
      <w:r>
        <w:rPr>
          <w:rFonts w:hint="eastAsia" w:hAnsi="宋体" w:cs="宋体"/>
          <w:color w:val="auto"/>
          <w:sz w:val="24"/>
          <w:szCs w:val="24"/>
          <w:highlight w:val="none"/>
        </w:rPr>
        <w:t>16、</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格式</w:t>
      </w:r>
      <w:bookmarkEnd w:id="91"/>
    </w:p>
    <w:p w14:paraId="33361575">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16.1供应商应按</w:t>
      </w:r>
      <w:r>
        <w:rPr>
          <w:rFonts w:hint="eastAsia" w:hAnsi="宋体" w:cs="宋体"/>
          <w:color w:val="auto"/>
          <w:sz w:val="24"/>
          <w:szCs w:val="24"/>
          <w:highlight w:val="none"/>
          <w:lang w:eastAsia="zh-CN"/>
        </w:rPr>
        <w:t>招标</w:t>
      </w:r>
      <w:r>
        <w:rPr>
          <w:rFonts w:hint="eastAsia" w:hAnsi="宋体" w:cs="宋体"/>
          <w:color w:val="auto"/>
          <w:sz w:val="24"/>
          <w:szCs w:val="24"/>
          <w:highlight w:val="none"/>
        </w:rPr>
        <w:t>文件提供的格式及商务报价说明完整地填写所提供的合同货物、服务以及单价等内容。</w:t>
      </w:r>
    </w:p>
    <w:p w14:paraId="23743C27">
      <w:pPr>
        <w:pStyle w:val="12"/>
        <w:spacing w:line="360" w:lineRule="auto"/>
        <w:ind w:firstLine="480" w:firstLineChars="200"/>
        <w:outlineLvl w:val="1"/>
        <w:rPr>
          <w:rFonts w:hAnsi="宋体" w:cs="宋体"/>
          <w:color w:val="auto"/>
          <w:sz w:val="24"/>
          <w:szCs w:val="24"/>
          <w:highlight w:val="none"/>
        </w:rPr>
      </w:pPr>
      <w:r>
        <w:rPr>
          <w:rFonts w:hint="eastAsia" w:hAnsi="宋体" w:cs="宋体"/>
          <w:color w:val="auto"/>
          <w:sz w:val="24"/>
          <w:szCs w:val="24"/>
          <w:highlight w:val="none"/>
        </w:rPr>
        <w:t>17、商务报价</w:t>
      </w:r>
      <w:bookmarkEnd w:id="92"/>
      <w:bookmarkEnd w:id="93"/>
      <w:bookmarkEnd w:id="94"/>
      <w:bookmarkEnd w:id="95"/>
    </w:p>
    <w:p w14:paraId="060AECC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w:t>
      </w:r>
      <w:r>
        <w:rPr>
          <w:rFonts w:hint="eastAsia" w:ascii="宋体" w:hAnsi="宋体" w:cs="宋体"/>
          <w:color w:val="auto"/>
          <w:sz w:val="24"/>
          <w:highlight w:val="none"/>
          <w:lang w:val="en-US" w:eastAsia="zh-CN"/>
        </w:rPr>
        <w:t>商务</w:t>
      </w:r>
      <w:r>
        <w:rPr>
          <w:rFonts w:hint="eastAsia" w:ascii="宋体" w:hAnsi="宋体" w:cs="宋体"/>
          <w:color w:val="auto"/>
          <w:sz w:val="24"/>
          <w:highlight w:val="none"/>
        </w:rPr>
        <w:t>报价为本</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lang w:eastAsia="zh-CN"/>
        </w:rPr>
        <w:t>文件</w:t>
      </w:r>
      <w:r>
        <w:rPr>
          <w:rFonts w:hint="eastAsia" w:ascii="宋体" w:hAnsi="宋体" w:cs="宋体"/>
          <w:color w:val="auto"/>
          <w:sz w:val="24"/>
          <w:highlight w:val="none"/>
          <w:lang w:val="en-US" w:eastAsia="zh-CN"/>
        </w:rPr>
        <w:t>采购需求中</w:t>
      </w:r>
      <w:r>
        <w:rPr>
          <w:rFonts w:hint="eastAsia" w:ascii="宋体" w:hAnsi="宋体" w:cs="宋体"/>
          <w:color w:val="auto"/>
          <w:sz w:val="24"/>
          <w:highlight w:val="none"/>
        </w:rPr>
        <w:t>所确定的全部内容的价格体现。</w:t>
      </w:r>
      <w:r>
        <w:rPr>
          <w:rFonts w:hint="eastAsia" w:ascii="宋体" w:hAnsi="宋体" w:cs="宋体"/>
          <w:color w:val="auto"/>
          <w:sz w:val="24"/>
          <w:highlight w:val="none"/>
          <w:lang w:val="en-US" w:eastAsia="zh-CN"/>
        </w:rPr>
        <w:t>如有缺漏项或</w:t>
      </w:r>
      <w:r>
        <w:rPr>
          <w:rFonts w:hint="eastAsia" w:ascii="宋体" w:hAnsi="宋体" w:cs="宋体"/>
          <w:color w:val="auto"/>
          <w:sz w:val="24"/>
          <w:highlight w:val="none"/>
        </w:rPr>
        <w:t>任何有选择的报价将不予接受（除非采购人另有约定），在</w:t>
      </w:r>
      <w:r>
        <w:rPr>
          <w:rFonts w:hint="eastAsia" w:ascii="宋体" w:hAnsi="宋体" w:cs="宋体"/>
          <w:color w:val="auto"/>
          <w:sz w:val="24"/>
          <w:highlight w:val="none"/>
          <w:lang w:eastAsia="zh-CN"/>
        </w:rPr>
        <w:t>评审</w:t>
      </w:r>
      <w:r>
        <w:rPr>
          <w:rFonts w:hint="eastAsia" w:ascii="宋体" w:hAnsi="宋体" w:cs="宋体"/>
          <w:color w:val="auto"/>
          <w:sz w:val="24"/>
          <w:highlight w:val="none"/>
        </w:rPr>
        <w:t>时将其视为</w:t>
      </w:r>
      <w:r>
        <w:rPr>
          <w:rFonts w:hint="eastAsia" w:ascii="宋体" w:hAnsi="宋体" w:cs="宋体"/>
          <w:color w:val="auto"/>
          <w:sz w:val="24"/>
          <w:highlight w:val="none"/>
          <w:lang w:eastAsia="zh-CN"/>
        </w:rPr>
        <w:t>无效响应</w:t>
      </w:r>
      <w:r>
        <w:rPr>
          <w:rFonts w:hint="eastAsia" w:ascii="宋体" w:hAnsi="宋体" w:cs="宋体"/>
          <w:color w:val="auto"/>
          <w:sz w:val="24"/>
          <w:highlight w:val="none"/>
        </w:rPr>
        <w:t>。</w:t>
      </w:r>
    </w:p>
    <w:p w14:paraId="255B4EE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17.2商务价格应包括：价格部分是对所投货物价格构成的说明，每一项货物仅接受一个价格。商务报价包括供应商为实施本项目提供全部货物及服务内容所包括的全部价格的体现。</w:t>
      </w:r>
    </w:p>
    <w:p w14:paraId="4F1BCC9B">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任何因供应商忽视或误解采购范围、技术规范及标准、项目采购需求、合同条款和项目现场情况，若成交，采购人将不予批准由此而产生的索赔或服务期限延长申请。</w:t>
      </w:r>
    </w:p>
    <w:p w14:paraId="032BC9FF">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商务报价中不得包含合同条款、技术规范及标准、项目采购需求、本</w:t>
      </w:r>
      <w:r>
        <w:rPr>
          <w:rFonts w:hint="eastAsia" w:ascii="宋体" w:hAnsi="宋体" w:cs="宋体"/>
          <w:b/>
          <w:color w:val="auto"/>
          <w:sz w:val="24"/>
          <w:highlight w:val="none"/>
          <w:lang w:eastAsia="zh-CN"/>
        </w:rPr>
        <w:t>招标</w:t>
      </w:r>
      <w:r>
        <w:rPr>
          <w:rFonts w:hint="eastAsia" w:ascii="宋体" w:hAnsi="宋体" w:cs="宋体"/>
          <w:b/>
          <w:color w:val="auto"/>
          <w:sz w:val="24"/>
          <w:highlight w:val="none"/>
        </w:rPr>
        <w:t>文件要求以外的其他内容。</w:t>
      </w:r>
    </w:p>
    <w:p w14:paraId="1FEA62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17.2商务报价总价应包括的内容和计价因素</w:t>
      </w:r>
    </w:p>
    <w:p w14:paraId="01797425">
      <w:pPr>
        <w:pStyle w:val="44"/>
        <w:keepNext w:val="0"/>
        <w:keepLines w:val="0"/>
        <w:pageBreakBefore w:val="0"/>
        <w:widowControl w:val="0"/>
        <w:kinsoku/>
        <w:wordWrap/>
        <w:overflowPunct/>
        <w:topLinePunct w:val="0"/>
        <w:bidi w:val="0"/>
        <w:snapToGrid/>
        <w:spacing w:beforeAutospacing="0" w:line="440" w:lineRule="exact"/>
        <w:ind w:firstLine="480" w:firstLineChars="200"/>
        <w:jc w:val="both"/>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w:t>
      </w:r>
      <w:r>
        <w:rPr>
          <w:rFonts w:hint="eastAsia" w:hAnsi="宋体" w:cs="宋体"/>
          <w:color w:val="auto"/>
          <w:sz w:val="24"/>
          <w:highlight w:val="none"/>
          <w:lang w:val="en-US" w:eastAsia="zh-CN"/>
        </w:rPr>
        <w:t>商务报价为含税价，应是完成招标文件及合同条款上所列采购范围及供货工作所需的全部费用，包括货物的供应、运输、装卸（卸至采购人指定地点）、安装、调试、技术资料移交、培训以及售后服务（质保期内的软硬件升级）、税费及利润等一切费用，及采购代理机构的成交服务费，供应商不得以任何理由予以重复，未列和没有填写的项目费用，视为已考虑在商务报价中</w:t>
      </w:r>
      <w:r>
        <w:rPr>
          <w:rFonts w:hint="eastAsia" w:hAnsi="宋体" w:cs="宋体"/>
          <w:color w:val="auto"/>
          <w:sz w:val="24"/>
          <w:highlight w:val="none"/>
        </w:rPr>
        <w:t>。</w:t>
      </w:r>
    </w:p>
    <w:p w14:paraId="3D7A91A6">
      <w:pPr>
        <w:spacing w:line="360" w:lineRule="auto"/>
        <w:ind w:firstLine="240" w:firstLineChars="100"/>
        <w:rPr>
          <w:rFonts w:ascii="宋体" w:hAnsi="宋体" w:cs="宋体"/>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）供应商根据对本</w:t>
      </w:r>
      <w:r>
        <w:rPr>
          <w:rFonts w:hint="eastAsia" w:ascii="宋体" w:hAnsi="宋体" w:cs="宋体"/>
          <w:bCs/>
          <w:color w:val="auto"/>
          <w:sz w:val="24"/>
          <w:highlight w:val="none"/>
          <w:lang w:eastAsia="zh-CN"/>
        </w:rPr>
        <w:t>招标</w:t>
      </w:r>
      <w:r>
        <w:rPr>
          <w:rFonts w:hint="eastAsia" w:ascii="宋体" w:hAnsi="宋体" w:cs="宋体"/>
          <w:bCs/>
          <w:color w:val="auto"/>
          <w:sz w:val="24"/>
          <w:highlight w:val="none"/>
        </w:rPr>
        <w:t>文件、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14:paraId="4F963241">
      <w:pPr>
        <w:spacing w:line="360" w:lineRule="auto"/>
        <w:ind w:firstLine="480" w:firstLineChars="200"/>
        <w:rPr>
          <w:rFonts w:hint="eastAsia" w:ascii="宋体" w:hAnsi="宋体" w:cs="宋体"/>
          <w:color w:val="auto"/>
          <w:sz w:val="24"/>
          <w:highlight w:val="none"/>
        </w:rPr>
      </w:pPr>
      <w:bookmarkStart w:id="96" w:name="_Toc243906327"/>
      <w:bookmarkStart w:id="97" w:name="_Toc243907588"/>
      <w:bookmarkStart w:id="98" w:name="_Toc233274828"/>
      <w:bookmarkStart w:id="99" w:name="_Toc246216197"/>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采购范围、本</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文件及合同约定等完成本采购项目的全部费用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以及</w:t>
      </w:r>
      <w:r>
        <w:rPr>
          <w:rFonts w:hint="eastAsia" w:ascii="宋体" w:hAnsi="宋体" w:cs="宋体"/>
          <w:color w:val="auto"/>
          <w:sz w:val="24"/>
          <w:highlight w:val="none"/>
        </w:rPr>
        <w:t>供应商认为需包含的其它费用</w:t>
      </w:r>
      <w:r>
        <w:rPr>
          <w:rFonts w:hint="eastAsia" w:ascii="宋体" w:hAnsi="宋体" w:cs="宋体"/>
          <w:color w:val="auto"/>
          <w:sz w:val="24"/>
          <w:highlight w:val="none"/>
          <w:lang w:eastAsia="zh-CN"/>
        </w:rPr>
        <w:t>。</w:t>
      </w:r>
    </w:p>
    <w:p w14:paraId="0779FB5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17.3供应商应按照</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文件所附的格式完整地填写商务报价一览表。供应商应对采购范围内的全部内容进行报价。</w:t>
      </w:r>
    </w:p>
    <w:p w14:paraId="384096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供应商若</w:t>
      </w:r>
      <w:r>
        <w:rPr>
          <w:rFonts w:hint="eastAsia" w:ascii="宋体" w:hAnsi="宋体" w:cs="宋体"/>
          <w:color w:val="auto"/>
          <w:sz w:val="24"/>
          <w:highlight w:val="none"/>
          <w:lang w:eastAsia="zh-CN"/>
        </w:rPr>
        <w:t>中标</w:t>
      </w:r>
      <w:r>
        <w:rPr>
          <w:rFonts w:hint="eastAsia" w:ascii="宋体" w:hAnsi="宋体" w:cs="宋体"/>
          <w:color w:val="auto"/>
          <w:sz w:val="24"/>
          <w:highlight w:val="none"/>
        </w:rPr>
        <w:t>，不得以任何理由在合同执行期间予以价格调整。任何包含价格调整的要求将被认为是非响应而予以拒绝。</w:t>
      </w:r>
    </w:p>
    <w:bookmarkEnd w:id="96"/>
    <w:bookmarkEnd w:id="97"/>
    <w:bookmarkEnd w:id="98"/>
    <w:bookmarkEnd w:id="99"/>
    <w:p w14:paraId="67E8BFB1">
      <w:pPr>
        <w:pStyle w:val="12"/>
        <w:spacing w:line="360" w:lineRule="auto"/>
        <w:ind w:firstLine="480" w:firstLineChars="200"/>
        <w:rPr>
          <w:rFonts w:hAnsi="宋体" w:cs="宋体"/>
          <w:color w:val="auto"/>
          <w:sz w:val="24"/>
          <w:szCs w:val="24"/>
          <w:highlight w:val="none"/>
        </w:rPr>
      </w:pPr>
      <w:bookmarkStart w:id="100" w:name="_Toc245897288"/>
      <w:r>
        <w:rPr>
          <w:rFonts w:hint="eastAsia" w:hAnsi="宋体" w:cs="宋体"/>
          <w:color w:val="auto"/>
          <w:sz w:val="24"/>
          <w:szCs w:val="24"/>
          <w:highlight w:val="none"/>
        </w:rPr>
        <w:t>18、商务报价货币</w:t>
      </w:r>
      <w:bookmarkEnd w:id="100"/>
    </w:p>
    <w:p w14:paraId="5EB7E854">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18.1商务报价一览表和</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中的所有报价一律使用人民币（RMB）填报。</w:t>
      </w:r>
    </w:p>
    <w:p w14:paraId="2E07EC5D">
      <w:pPr>
        <w:pStyle w:val="12"/>
        <w:spacing w:line="360" w:lineRule="auto"/>
        <w:ind w:firstLine="480" w:firstLineChars="200"/>
        <w:rPr>
          <w:rFonts w:hAnsi="宋体" w:cs="宋体"/>
          <w:color w:val="auto"/>
          <w:sz w:val="24"/>
          <w:szCs w:val="24"/>
          <w:highlight w:val="none"/>
        </w:rPr>
      </w:pPr>
      <w:bookmarkStart w:id="101" w:name="_Toc245897289"/>
      <w:bookmarkStart w:id="102" w:name="_Toc243906328"/>
      <w:bookmarkStart w:id="103" w:name="_Toc233274829"/>
      <w:bookmarkStart w:id="104" w:name="_Toc243907589"/>
      <w:r>
        <w:rPr>
          <w:rFonts w:hint="eastAsia" w:hAnsi="宋体" w:cs="宋体"/>
          <w:color w:val="auto"/>
          <w:sz w:val="24"/>
          <w:szCs w:val="24"/>
          <w:highlight w:val="none"/>
        </w:rPr>
        <w:t>19、供应商资格证明文件</w:t>
      </w:r>
      <w:bookmarkEnd w:id="101"/>
      <w:bookmarkEnd w:id="102"/>
      <w:bookmarkEnd w:id="103"/>
      <w:bookmarkEnd w:id="104"/>
    </w:p>
    <w:p w14:paraId="5A528435">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19.1 供应商必须提交证明其有资格参加</w:t>
      </w:r>
      <w:r>
        <w:rPr>
          <w:rFonts w:hint="eastAsia" w:hAnsi="宋体" w:cs="宋体"/>
          <w:color w:val="auto"/>
          <w:sz w:val="24"/>
          <w:szCs w:val="24"/>
          <w:highlight w:val="none"/>
          <w:lang w:eastAsia="zh-CN"/>
        </w:rPr>
        <w:t>投标</w:t>
      </w:r>
      <w:r>
        <w:rPr>
          <w:rFonts w:hint="eastAsia" w:hAnsi="宋体" w:cs="宋体"/>
          <w:color w:val="auto"/>
          <w:sz w:val="24"/>
          <w:szCs w:val="24"/>
          <w:highlight w:val="none"/>
        </w:rPr>
        <w:t>和</w:t>
      </w:r>
      <w:r>
        <w:rPr>
          <w:rFonts w:hint="eastAsia" w:hAnsi="宋体" w:cs="宋体"/>
          <w:color w:val="auto"/>
          <w:sz w:val="24"/>
          <w:szCs w:val="24"/>
          <w:highlight w:val="none"/>
          <w:lang w:eastAsia="zh-CN"/>
        </w:rPr>
        <w:t>中标</w:t>
      </w:r>
      <w:r>
        <w:rPr>
          <w:rFonts w:hint="eastAsia" w:hAnsi="宋体" w:cs="宋体"/>
          <w:color w:val="auto"/>
          <w:sz w:val="24"/>
          <w:szCs w:val="24"/>
          <w:highlight w:val="none"/>
        </w:rPr>
        <w:t>后有能力履行合同的文件。</w:t>
      </w:r>
    </w:p>
    <w:p w14:paraId="0BA563C3">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19.2供应商须提交证明其拟供货物和服务符合</w:t>
      </w:r>
      <w:r>
        <w:rPr>
          <w:rFonts w:hint="eastAsia" w:hAnsi="宋体" w:cs="宋体"/>
          <w:color w:val="auto"/>
          <w:sz w:val="24"/>
          <w:szCs w:val="24"/>
          <w:highlight w:val="none"/>
          <w:lang w:eastAsia="zh-CN"/>
        </w:rPr>
        <w:t>招标</w:t>
      </w:r>
      <w:r>
        <w:rPr>
          <w:rFonts w:hint="eastAsia" w:hAnsi="宋体" w:cs="宋体"/>
          <w:color w:val="auto"/>
          <w:sz w:val="24"/>
          <w:szCs w:val="24"/>
          <w:highlight w:val="none"/>
        </w:rPr>
        <w:t>文件、技术规范及标准、项目采购需求规定的技术</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，作为</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的一部分。</w:t>
      </w:r>
    </w:p>
    <w:p w14:paraId="4A998488">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19.3上述文件可以是文字资料、图纸和数据，并须提供主要技术性能的详细描述及设备清单和所提供服务的详细说明；</w:t>
      </w:r>
    </w:p>
    <w:p w14:paraId="16A3246A">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19.4供应商应逐条对</w:t>
      </w:r>
      <w:r>
        <w:rPr>
          <w:rFonts w:hint="eastAsia" w:hAnsi="宋体" w:cs="宋体"/>
          <w:color w:val="auto"/>
          <w:sz w:val="24"/>
          <w:szCs w:val="24"/>
          <w:highlight w:val="none"/>
          <w:lang w:eastAsia="zh-CN"/>
        </w:rPr>
        <w:t>招标</w:t>
      </w:r>
      <w:r>
        <w:rPr>
          <w:rFonts w:hint="eastAsia" w:hAnsi="宋体" w:cs="宋体"/>
          <w:color w:val="auto"/>
          <w:sz w:val="24"/>
          <w:szCs w:val="24"/>
          <w:highlight w:val="none"/>
        </w:rPr>
        <w:t>文件、项目采购需求、合同条款等进行仔细阅读，提出自己提供的服务是否对其做出了实质性的响应。</w:t>
      </w:r>
    </w:p>
    <w:p w14:paraId="0C2B6AD5">
      <w:pPr>
        <w:pStyle w:val="12"/>
        <w:spacing w:line="360" w:lineRule="auto"/>
        <w:ind w:firstLine="480" w:firstLineChars="200"/>
        <w:rPr>
          <w:rFonts w:hAnsi="宋体" w:cs="宋体"/>
          <w:color w:val="auto"/>
          <w:sz w:val="24"/>
          <w:szCs w:val="24"/>
          <w:highlight w:val="none"/>
        </w:rPr>
      </w:pPr>
      <w:bookmarkStart w:id="105" w:name="_Toc245897291"/>
      <w:bookmarkStart w:id="106" w:name="_Toc243907591"/>
      <w:bookmarkStart w:id="107" w:name="_Toc243906330"/>
      <w:bookmarkStart w:id="108" w:name="_Toc233274831"/>
      <w:r>
        <w:rPr>
          <w:rFonts w:hint="eastAsia" w:hAnsi="宋体" w:cs="宋体"/>
          <w:color w:val="auto"/>
          <w:sz w:val="24"/>
          <w:szCs w:val="24"/>
          <w:highlight w:val="none"/>
        </w:rPr>
        <w:t>20、</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有效期</w:t>
      </w:r>
      <w:bookmarkEnd w:id="105"/>
      <w:bookmarkEnd w:id="106"/>
      <w:bookmarkEnd w:id="107"/>
      <w:bookmarkEnd w:id="108"/>
    </w:p>
    <w:p w14:paraId="2751ECBB">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20.1</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有效期为递交</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截止之日起</w:t>
      </w:r>
      <w:r>
        <w:rPr>
          <w:rFonts w:hint="eastAsia" w:hAnsi="宋体" w:cs="宋体"/>
          <w:color w:val="auto"/>
          <w:sz w:val="24"/>
          <w:szCs w:val="24"/>
          <w:highlight w:val="none"/>
          <w:lang w:val="en-US" w:eastAsia="zh-CN"/>
        </w:rPr>
        <w:t>90</w:t>
      </w:r>
      <w:r>
        <w:rPr>
          <w:rFonts w:hint="eastAsia" w:hAnsi="宋体" w:cs="宋体"/>
          <w:color w:val="auto"/>
          <w:sz w:val="24"/>
          <w:szCs w:val="24"/>
          <w:highlight w:val="none"/>
        </w:rPr>
        <w:t>天（日历日）。供应商的</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有效期比规定的有效期短的，将被视为非响应而予以拒绝。</w:t>
      </w:r>
    </w:p>
    <w:p w14:paraId="23CB6291">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20.2 特殊情况下，在原有效期届满之前，采购人可征得供应商的同意延长其有效期，这种要求与答复均应以书面形式。供应商拒绝延长的，其</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失效。同意延长有效期的供应商，既不要求也不允许其修改</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w:t>
      </w:r>
    </w:p>
    <w:p w14:paraId="39AE98B7">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21、</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的签署及规定</w:t>
      </w:r>
    </w:p>
    <w:p w14:paraId="7122F913">
      <w:pPr>
        <w:pStyle w:val="12"/>
        <w:keepNext w:val="0"/>
        <w:keepLines w:val="0"/>
        <w:pageBreakBefore w:val="0"/>
        <w:kinsoku/>
        <w:wordWrap/>
        <w:overflowPunct/>
        <w:topLinePunct w:val="0"/>
        <w:autoSpaceDE/>
        <w:autoSpaceDN/>
        <w:bidi w:val="0"/>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2</w:t>
      </w:r>
      <w:r>
        <w:rPr>
          <w:rFonts w:hint="eastAsia" w:hAnsi="宋体" w:cs="宋体"/>
          <w:color w:val="auto"/>
          <w:sz w:val="24"/>
          <w:highlight w:val="none"/>
          <w:lang w:val="en-US" w:eastAsia="zh-CN"/>
        </w:rPr>
        <w:t>1</w:t>
      </w:r>
      <w:r>
        <w:rPr>
          <w:rFonts w:hint="eastAsia" w:hAnsi="宋体" w:cs="宋体"/>
          <w:color w:val="auto"/>
          <w:sz w:val="24"/>
          <w:highlight w:val="none"/>
        </w:rPr>
        <w:t>.1</w:t>
      </w:r>
      <w:r>
        <w:rPr>
          <w:rFonts w:hint="eastAsia" w:ascii="宋体" w:hAnsi="宋体" w:eastAsia="宋体" w:cs="宋体"/>
          <w:color w:val="auto"/>
          <w:sz w:val="24"/>
          <w:szCs w:val="24"/>
          <w:highlight w:val="none"/>
        </w:rPr>
        <w:t>供应商应</w:t>
      </w:r>
      <w:r>
        <w:rPr>
          <w:rFonts w:hint="eastAsia" w:hAnsi="宋体" w:eastAsia="宋体" w:cs="宋体"/>
          <w:color w:val="auto"/>
          <w:sz w:val="24"/>
          <w:szCs w:val="24"/>
          <w:highlight w:val="none"/>
          <w:lang w:eastAsia="zh-CN"/>
        </w:rPr>
        <w:t>按前附表</w:t>
      </w:r>
      <w:r>
        <w:rPr>
          <w:rFonts w:hint="eastAsia" w:ascii="宋体" w:hAnsi="宋体" w:eastAsia="宋体" w:cs="宋体"/>
          <w:color w:val="auto"/>
          <w:sz w:val="24"/>
          <w:szCs w:val="24"/>
          <w:highlight w:val="none"/>
        </w:rPr>
        <w:t>规定的</w:t>
      </w:r>
      <w:r>
        <w:rPr>
          <w:rFonts w:hint="eastAsia" w:hAnsi="宋体" w:eastAsia="宋体" w:cs="宋体"/>
          <w:color w:val="auto"/>
          <w:sz w:val="24"/>
          <w:szCs w:val="24"/>
          <w:highlight w:val="none"/>
          <w:lang w:eastAsia="zh-CN"/>
        </w:rPr>
        <w:t>要求提交</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内要求有盖章及签字的必须有盖章签字，所盖章必须是红章。</w:t>
      </w:r>
    </w:p>
    <w:p w14:paraId="66B62A65">
      <w:pPr>
        <w:pStyle w:val="12"/>
        <w:keepNext w:val="0"/>
        <w:keepLines w:val="0"/>
        <w:pageBreakBefore w:val="0"/>
        <w:kinsoku/>
        <w:wordWrap/>
        <w:overflowPunct/>
        <w:topLinePunct w:val="0"/>
        <w:autoSpaceDE/>
        <w:autoSpaceDN/>
        <w:bidi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21.</w:t>
      </w:r>
      <w:r>
        <w:rPr>
          <w:rFonts w:hint="eastAsia" w:hAnsi="宋体" w:cs="宋体"/>
          <w:color w:val="auto"/>
          <w:sz w:val="24"/>
          <w:szCs w:val="24"/>
          <w:highlight w:val="none"/>
          <w:lang w:val="en-US" w:eastAsia="zh-CN"/>
        </w:rPr>
        <w:t>2</w:t>
      </w:r>
      <w:r>
        <w:rPr>
          <w:rFonts w:hint="eastAsia" w:hAnsi="宋体" w:cs="宋体"/>
          <w:color w:val="auto"/>
          <w:sz w:val="24"/>
          <w:szCs w:val="24"/>
          <w:highlight w:val="none"/>
        </w:rPr>
        <w:t>除供应商对错误做必要修改外，</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中不许有增删、涂改或改写。若确有修改必须由签署</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的委托代理人签字或盖章</w:t>
      </w:r>
      <w:r>
        <w:rPr>
          <w:rFonts w:hint="eastAsia" w:hAnsi="宋体" w:cs="宋体"/>
          <w:color w:val="auto"/>
          <w:sz w:val="24"/>
          <w:highlight w:val="none"/>
        </w:rPr>
        <w:t>。</w:t>
      </w:r>
    </w:p>
    <w:p w14:paraId="05545762">
      <w:pPr>
        <w:pStyle w:val="12"/>
        <w:spacing w:line="360" w:lineRule="auto"/>
        <w:outlineLvl w:val="1"/>
        <w:rPr>
          <w:rFonts w:hAnsi="宋体" w:cs="宋体"/>
          <w:b/>
          <w:bCs/>
          <w:color w:val="auto"/>
          <w:sz w:val="24"/>
          <w:szCs w:val="24"/>
          <w:highlight w:val="none"/>
        </w:rPr>
      </w:pPr>
      <w:r>
        <w:rPr>
          <w:rFonts w:hint="eastAsia" w:hAnsi="宋体" w:cs="宋体"/>
          <w:b/>
          <w:bCs/>
          <w:color w:val="auto"/>
          <w:sz w:val="24"/>
          <w:szCs w:val="24"/>
          <w:highlight w:val="none"/>
        </w:rPr>
        <w:t>四、</w:t>
      </w:r>
      <w:r>
        <w:rPr>
          <w:rFonts w:hint="eastAsia" w:hAnsi="宋体" w:cs="宋体"/>
          <w:b/>
          <w:bCs/>
          <w:color w:val="auto"/>
          <w:sz w:val="24"/>
          <w:szCs w:val="24"/>
          <w:highlight w:val="none"/>
          <w:lang w:eastAsia="zh-CN"/>
        </w:rPr>
        <w:t>投标文件</w:t>
      </w:r>
      <w:r>
        <w:rPr>
          <w:rFonts w:hint="eastAsia" w:hAnsi="宋体" w:cs="宋体"/>
          <w:b/>
          <w:bCs/>
          <w:color w:val="auto"/>
          <w:sz w:val="24"/>
          <w:szCs w:val="24"/>
          <w:highlight w:val="none"/>
        </w:rPr>
        <w:t>的递交、修改和撤回</w:t>
      </w:r>
      <w:bookmarkEnd w:id="82"/>
    </w:p>
    <w:p w14:paraId="167698DF">
      <w:pPr>
        <w:spacing w:line="360" w:lineRule="auto"/>
        <w:ind w:firstLine="480" w:firstLineChars="200"/>
        <w:outlineLvl w:val="1"/>
        <w:rPr>
          <w:rFonts w:hint="eastAsia" w:ascii="宋体" w:hAnsi="宋体" w:eastAsia="宋体" w:cs="宋体"/>
          <w:color w:val="auto"/>
          <w:sz w:val="24"/>
          <w:highlight w:val="none"/>
          <w:lang w:eastAsia="zh-CN"/>
        </w:rPr>
      </w:pPr>
      <w:bookmarkStart w:id="109" w:name="_Toc233274835"/>
      <w:bookmarkStart w:id="110" w:name="_Toc243907595"/>
      <w:bookmarkStart w:id="111" w:name="_Toc245897295"/>
      <w:bookmarkStart w:id="112" w:name="_Toc243906334"/>
      <w:bookmarkStart w:id="113" w:name="_Toc246216209"/>
      <w:bookmarkStart w:id="114" w:name="_Toc19823"/>
      <w:bookmarkStart w:id="115" w:name="_Toc243907600"/>
      <w:bookmarkStart w:id="116" w:name="_Toc233274840"/>
      <w:bookmarkStart w:id="117" w:name="_Toc243906339"/>
      <w:r>
        <w:rPr>
          <w:rFonts w:hint="eastAsia" w:ascii="宋体" w:hAnsi="宋体" w:cs="宋体"/>
          <w:color w:val="auto"/>
          <w:sz w:val="24"/>
          <w:highlight w:val="none"/>
        </w:rPr>
        <w:t>22、</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的</w:t>
      </w:r>
      <w:bookmarkEnd w:id="109"/>
      <w:bookmarkEnd w:id="110"/>
      <w:bookmarkEnd w:id="111"/>
      <w:bookmarkEnd w:id="112"/>
      <w:r>
        <w:rPr>
          <w:rFonts w:hint="eastAsia" w:ascii="宋体" w:hAnsi="宋体" w:cs="宋体"/>
          <w:color w:val="auto"/>
          <w:sz w:val="24"/>
          <w:highlight w:val="none"/>
          <w:lang w:val="en-US" w:eastAsia="zh-CN"/>
        </w:rPr>
        <w:t>递交</w:t>
      </w:r>
    </w:p>
    <w:p w14:paraId="17512400">
      <w:pPr>
        <w:pStyle w:val="12"/>
        <w:keepNext w:val="0"/>
        <w:keepLines w:val="0"/>
        <w:pageBreakBefore w:val="0"/>
        <w:kinsoku/>
        <w:wordWrap/>
        <w:overflowPunct/>
        <w:topLinePunct w:val="0"/>
        <w:autoSpaceDE/>
        <w:autoSpaceDN/>
        <w:bidi w:val="0"/>
        <w:spacing w:line="440" w:lineRule="exact"/>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22.1</w:t>
      </w:r>
      <w:bookmarkStart w:id="118" w:name="_Toc32392"/>
      <w:r>
        <w:rPr>
          <w:rFonts w:hint="eastAsia" w:ascii="宋体" w:hAnsi="宋体" w:cs="宋体"/>
          <w:b/>
          <w:color w:val="auto"/>
          <w:sz w:val="24"/>
          <w:highlight w:val="none"/>
          <w:lang w:val="en-US" w:eastAsia="zh-CN"/>
        </w:rPr>
        <w:t>供应商按时递交电子版</w:t>
      </w:r>
      <w:r>
        <w:rPr>
          <w:rFonts w:hint="eastAsia" w:hAnsi="宋体" w:cs="宋体"/>
          <w:b/>
          <w:color w:val="auto"/>
          <w:sz w:val="24"/>
          <w:highlight w:val="none"/>
          <w:lang w:val="en-US" w:eastAsia="zh-CN"/>
        </w:rPr>
        <w:t>投标文件</w:t>
      </w:r>
      <w:r>
        <w:rPr>
          <w:rFonts w:hint="eastAsia" w:hAnsi="宋体" w:cs="宋体"/>
          <w:color w:val="auto"/>
          <w:sz w:val="24"/>
          <w:szCs w:val="24"/>
          <w:highlight w:val="none"/>
        </w:rPr>
        <w:t>。</w:t>
      </w:r>
      <w:bookmarkEnd w:id="118"/>
    </w:p>
    <w:p w14:paraId="07E8D626">
      <w:pPr>
        <w:widowControl/>
        <w:spacing w:line="360" w:lineRule="auto"/>
        <w:ind w:firstLine="480" w:firstLineChars="200"/>
        <w:rPr>
          <w:rFonts w:ascii="宋体" w:hAnsi="宋体" w:cs="宋体"/>
          <w:color w:val="auto"/>
          <w:sz w:val="24"/>
          <w:highlight w:val="none"/>
        </w:rPr>
      </w:pPr>
      <w:bookmarkStart w:id="119" w:name="_Toc243906335"/>
      <w:bookmarkStart w:id="120" w:name="_Toc233274836"/>
      <w:bookmarkStart w:id="121" w:name="_Toc243907596"/>
      <w:bookmarkStart w:id="122" w:name="_Toc245897296"/>
      <w:r>
        <w:rPr>
          <w:rFonts w:hint="eastAsia" w:ascii="宋体" w:hAnsi="宋体" w:cs="宋体"/>
          <w:color w:val="auto"/>
          <w:sz w:val="24"/>
          <w:highlight w:val="none"/>
        </w:rPr>
        <w:t>23、递交</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截止时间</w:t>
      </w:r>
      <w:bookmarkEnd w:id="119"/>
      <w:bookmarkEnd w:id="120"/>
      <w:bookmarkEnd w:id="121"/>
      <w:bookmarkEnd w:id="122"/>
    </w:p>
    <w:p w14:paraId="51A1FA1B">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所有</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都必须按采购人在</w:t>
      </w:r>
      <w:r>
        <w:rPr>
          <w:rFonts w:hint="eastAsia" w:ascii="宋体" w:hAnsi="宋体" w:eastAsia="宋体" w:cs="宋体"/>
          <w:color w:val="auto"/>
          <w:kern w:val="2"/>
          <w:sz w:val="24"/>
          <w:szCs w:val="24"/>
          <w:highlight w:val="none"/>
          <w:lang w:val="en-US" w:eastAsia="zh-CN" w:bidi="ar-SA"/>
        </w:rPr>
        <w:t>前附表</w:t>
      </w:r>
      <w:r>
        <w:rPr>
          <w:rFonts w:hint="eastAsia" w:ascii="宋体" w:hAnsi="宋体" w:cs="宋体"/>
          <w:color w:val="auto"/>
          <w:sz w:val="24"/>
          <w:highlight w:val="none"/>
        </w:rPr>
        <w:t>中规定的截止时间之前</w:t>
      </w:r>
      <w:r>
        <w:rPr>
          <w:rFonts w:hint="eastAsia" w:ascii="宋体" w:hAnsi="宋体" w:eastAsia="宋体" w:cs="宋体"/>
          <w:color w:val="auto"/>
          <w:kern w:val="2"/>
          <w:sz w:val="24"/>
          <w:szCs w:val="24"/>
          <w:highlight w:val="none"/>
          <w:lang w:val="en-US" w:eastAsia="zh-CN" w:bidi="ar-SA"/>
        </w:rPr>
        <w:t>电子递交</w:t>
      </w:r>
      <w:r>
        <w:rPr>
          <w:rFonts w:hint="eastAsia" w:ascii="宋体" w:hAnsi="宋体" w:cs="宋体"/>
          <w:color w:val="auto"/>
          <w:sz w:val="24"/>
          <w:highlight w:val="none"/>
        </w:rPr>
        <w:t>。</w:t>
      </w:r>
    </w:p>
    <w:p w14:paraId="08EF3B00">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23.2出现因</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文件的修改推迟截止日期时，则按采购代理机构修改通知规定的时间递交</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。在此情况下，采购人和采购代理机构与供应商之间受截止期制约的所有权利和义务应延长至新的截止期。</w:t>
      </w:r>
    </w:p>
    <w:p w14:paraId="0451CF8D">
      <w:pPr>
        <w:widowControl/>
        <w:spacing w:line="360" w:lineRule="auto"/>
        <w:ind w:firstLine="480" w:firstLineChars="200"/>
        <w:rPr>
          <w:rFonts w:hint="eastAsia" w:ascii="宋体" w:hAnsi="宋体" w:eastAsia="宋体" w:cs="宋体"/>
          <w:color w:val="auto"/>
          <w:sz w:val="24"/>
          <w:highlight w:val="none"/>
          <w:lang w:eastAsia="zh-CN"/>
        </w:rPr>
      </w:pPr>
      <w:bookmarkStart w:id="123" w:name="_Toc243906336"/>
      <w:bookmarkStart w:id="124" w:name="_Toc233274837"/>
      <w:bookmarkStart w:id="125" w:name="_Toc243907597"/>
      <w:bookmarkStart w:id="126" w:name="_Toc245897297"/>
      <w:r>
        <w:rPr>
          <w:rFonts w:hint="eastAsia" w:ascii="宋体" w:hAnsi="宋体" w:cs="宋体"/>
          <w:color w:val="auto"/>
          <w:sz w:val="24"/>
          <w:highlight w:val="none"/>
        </w:rPr>
        <w:t>24、迟交的</w:t>
      </w:r>
      <w:bookmarkEnd w:id="123"/>
      <w:bookmarkEnd w:id="124"/>
      <w:bookmarkEnd w:id="125"/>
      <w:bookmarkEnd w:id="126"/>
      <w:r>
        <w:rPr>
          <w:rFonts w:hint="eastAsia" w:ascii="宋体" w:hAnsi="宋体" w:cs="宋体"/>
          <w:color w:val="auto"/>
          <w:sz w:val="24"/>
          <w:highlight w:val="none"/>
          <w:lang w:eastAsia="zh-CN"/>
        </w:rPr>
        <w:t>投标文件</w:t>
      </w:r>
    </w:p>
    <w:p w14:paraId="227A773E">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 采购人将拒绝并原封退回在其规定的截止时间后送达的</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w:t>
      </w:r>
    </w:p>
    <w:p w14:paraId="0482A61B">
      <w:pPr>
        <w:widowControl/>
        <w:spacing w:line="360" w:lineRule="auto"/>
        <w:ind w:firstLine="480" w:firstLineChars="200"/>
        <w:rPr>
          <w:rFonts w:ascii="宋体" w:hAnsi="宋体" w:cs="宋体"/>
          <w:color w:val="auto"/>
          <w:sz w:val="24"/>
          <w:highlight w:val="none"/>
        </w:rPr>
      </w:pPr>
      <w:bookmarkStart w:id="127" w:name="_Toc243907598"/>
      <w:bookmarkStart w:id="128" w:name="_Toc233274838"/>
      <w:bookmarkStart w:id="129" w:name="_Toc243906337"/>
      <w:bookmarkStart w:id="130" w:name="_Toc245897298"/>
      <w:r>
        <w:rPr>
          <w:rFonts w:hint="eastAsia" w:ascii="宋体" w:hAnsi="宋体" w:cs="宋体"/>
          <w:color w:val="auto"/>
          <w:sz w:val="24"/>
          <w:highlight w:val="none"/>
        </w:rPr>
        <w:t>25、</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的修改和撤回</w:t>
      </w:r>
      <w:bookmarkEnd w:id="127"/>
      <w:bookmarkEnd w:id="128"/>
      <w:bookmarkEnd w:id="129"/>
      <w:bookmarkEnd w:id="130"/>
    </w:p>
    <w:p w14:paraId="4C06CA4E">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 供应商在提交</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后可在截止时间前对其</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进行修改或撤回，但采购人须在截止时间之前收到该修改或撤回的书面通知，该通知须有法定代表人或经有效授权的委托代理人签字或盖章。</w:t>
      </w:r>
    </w:p>
    <w:p w14:paraId="5914B960">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供应商对</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修改的书面材料或撤回的通知应按第22条和第23条规定进行编写、密封、标记和递交，并注明“修改</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”或“撤回</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”字样。</w:t>
      </w:r>
    </w:p>
    <w:p w14:paraId="1AFE3197">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25.3截止时间之后，供应商不得对</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做任何修改。</w:t>
      </w:r>
    </w:p>
    <w:p w14:paraId="717741A2">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25.4 供应商不得在截止时间起至</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有效期期满前撤回</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w:t>
      </w:r>
    </w:p>
    <w:p w14:paraId="1DB8252C">
      <w:pPr>
        <w:widowControl/>
        <w:spacing w:line="360" w:lineRule="auto"/>
        <w:ind w:firstLine="480" w:firstLineChars="200"/>
        <w:rPr>
          <w:rFonts w:hint="eastAsia" w:ascii="宋体" w:hAnsi="宋体" w:eastAsia="宋体" w:cs="宋体"/>
          <w:color w:val="auto"/>
          <w:sz w:val="24"/>
          <w:highlight w:val="none"/>
          <w:lang w:eastAsia="zh-CN"/>
        </w:rPr>
      </w:pPr>
      <w:bookmarkStart w:id="131" w:name="_Toc245897299"/>
      <w:bookmarkStart w:id="132" w:name="_Toc243907599"/>
      <w:bookmarkStart w:id="133" w:name="_Toc233274839"/>
      <w:bookmarkStart w:id="134" w:name="_Toc243906338"/>
      <w:r>
        <w:rPr>
          <w:rFonts w:hint="eastAsia" w:ascii="宋体" w:hAnsi="宋体" w:cs="宋体"/>
          <w:color w:val="auto"/>
          <w:sz w:val="24"/>
          <w:highlight w:val="none"/>
        </w:rPr>
        <w:t>26、递交</w:t>
      </w:r>
      <w:bookmarkEnd w:id="131"/>
      <w:bookmarkEnd w:id="132"/>
      <w:bookmarkEnd w:id="133"/>
      <w:bookmarkEnd w:id="134"/>
      <w:r>
        <w:rPr>
          <w:rFonts w:hint="eastAsia" w:ascii="宋体" w:hAnsi="宋体" w:cs="宋体"/>
          <w:color w:val="auto"/>
          <w:sz w:val="24"/>
          <w:highlight w:val="none"/>
          <w:lang w:eastAsia="zh-CN"/>
        </w:rPr>
        <w:t>投标文件</w:t>
      </w:r>
    </w:p>
    <w:p w14:paraId="0150E274">
      <w:pPr>
        <w:pStyle w:val="12"/>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highlight w:val="none"/>
        </w:rPr>
      </w:pPr>
      <w:bookmarkStart w:id="135" w:name="_Toc28405"/>
      <w:r>
        <w:rPr>
          <w:rFonts w:hint="eastAsia" w:hAnsi="宋体" w:cs="宋体"/>
          <w:color w:val="auto"/>
          <w:sz w:val="24"/>
          <w:szCs w:val="24"/>
          <w:highlight w:val="none"/>
          <w:lang w:val="en-US" w:eastAsia="zh-CN"/>
        </w:rPr>
        <w:t>26</w:t>
      </w:r>
      <w:r>
        <w:rPr>
          <w:rFonts w:hint="eastAsia" w:hAnsi="宋体" w:cs="宋体"/>
          <w:color w:val="auto"/>
          <w:sz w:val="24"/>
          <w:szCs w:val="24"/>
          <w:highlight w:val="none"/>
        </w:rPr>
        <w:t>.1</w:t>
      </w:r>
      <w:r>
        <w:rPr>
          <w:rFonts w:hint="eastAsia" w:ascii="宋体" w:hAnsi="宋体" w:eastAsia="宋体" w:cs="宋体"/>
          <w:color w:val="auto"/>
          <w:kern w:val="2"/>
          <w:sz w:val="24"/>
          <w:szCs w:val="24"/>
          <w:highlight w:val="none"/>
          <w:lang w:val="en-US" w:eastAsia="zh-CN" w:bidi="ar-SA"/>
        </w:rPr>
        <w:t>本项目实行“不见面”网上评标系统，供应商的法定代表人或其委托代理人无需到开标现场递交投标文件，但在开标、评标过程中请各供应商法定代表人或授权委托人等待在电脑屏幕跟前，及时配合开标、评标过程中的工作，直至采购代理机构告知开标、评标结束，如在开标、评标过程中未及时处理造成影响的后果由供应商自行承担</w:t>
      </w:r>
      <w:r>
        <w:rPr>
          <w:rFonts w:hint="eastAsia" w:hAnsi="宋体" w:cs="宋体"/>
          <w:color w:val="auto"/>
          <w:sz w:val="24"/>
          <w:szCs w:val="24"/>
          <w:highlight w:val="none"/>
        </w:rPr>
        <w:t>。</w:t>
      </w:r>
      <w:bookmarkEnd w:id="135"/>
    </w:p>
    <w:p w14:paraId="61D56B7B">
      <w:pPr>
        <w:pStyle w:val="12"/>
        <w:keepNext w:val="0"/>
        <w:keepLines w:val="0"/>
        <w:pageBreakBefore w:val="0"/>
        <w:kinsoku/>
        <w:wordWrap/>
        <w:overflowPunct/>
        <w:topLinePunct w:val="0"/>
        <w:autoSpaceDE/>
        <w:autoSpaceDN/>
        <w:bidi w:val="0"/>
        <w:spacing w:line="440" w:lineRule="exact"/>
        <w:ind w:firstLine="482" w:firstLineChars="200"/>
        <w:outlineLvl w:val="1"/>
        <w:rPr>
          <w:rFonts w:hint="eastAsia" w:hAnsi="宋体" w:cs="宋体"/>
          <w:b/>
          <w:bCs/>
          <w:color w:val="auto"/>
          <w:sz w:val="24"/>
          <w:szCs w:val="24"/>
          <w:highlight w:val="none"/>
        </w:rPr>
      </w:pPr>
      <w:bookmarkStart w:id="136" w:name="_Toc27757"/>
      <w:r>
        <w:rPr>
          <w:rFonts w:hint="eastAsia" w:hAnsi="宋体" w:cs="宋体"/>
          <w:b/>
          <w:bCs/>
          <w:color w:val="auto"/>
          <w:sz w:val="24"/>
          <w:szCs w:val="24"/>
          <w:highlight w:val="none"/>
        </w:rPr>
        <w:t>2</w:t>
      </w:r>
      <w:r>
        <w:rPr>
          <w:rFonts w:hint="eastAsia" w:hAnsi="宋体" w:cs="宋体"/>
          <w:b/>
          <w:bCs/>
          <w:color w:val="auto"/>
          <w:sz w:val="24"/>
          <w:szCs w:val="24"/>
          <w:highlight w:val="none"/>
          <w:lang w:val="en-US" w:eastAsia="zh-CN"/>
        </w:rPr>
        <w:t>6</w:t>
      </w:r>
      <w:r>
        <w:rPr>
          <w:rFonts w:hint="eastAsia" w:hAnsi="宋体" w:cs="宋体"/>
          <w:b/>
          <w:bCs/>
          <w:color w:val="auto"/>
          <w:sz w:val="24"/>
          <w:szCs w:val="24"/>
          <w:highlight w:val="none"/>
        </w:rPr>
        <w:t>.2有下列情形之一的，采购人不予接收其投标文件：</w:t>
      </w:r>
      <w:bookmarkEnd w:id="136"/>
    </w:p>
    <w:p w14:paraId="38813252">
      <w:pPr>
        <w:spacing w:line="360" w:lineRule="auto"/>
        <w:ind w:firstLine="480" w:firstLineChars="200"/>
        <w:rPr>
          <w:rFonts w:ascii="宋体" w:hAnsi="宋体" w:cs="宋体"/>
          <w:color w:val="auto"/>
          <w:sz w:val="24"/>
          <w:highlight w:val="none"/>
        </w:rPr>
      </w:pPr>
      <w:r>
        <w:rPr>
          <w:rFonts w:hint="eastAsia" w:hAnsi="宋体" w:cs="宋体"/>
          <w:color w:val="auto"/>
          <w:sz w:val="24"/>
          <w:szCs w:val="24"/>
          <w:highlight w:val="none"/>
        </w:rPr>
        <w:t>供应商在递交</w:t>
      </w:r>
      <w:r>
        <w:rPr>
          <w:rFonts w:hint="eastAsia" w:hAnsi="宋体" w:cs="宋体"/>
          <w:color w:val="auto"/>
          <w:sz w:val="24"/>
          <w:szCs w:val="24"/>
          <w:highlight w:val="none"/>
          <w:lang w:eastAsia="zh-CN"/>
        </w:rPr>
        <w:t>投标文件</w:t>
      </w:r>
      <w:r>
        <w:rPr>
          <w:rFonts w:hint="eastAsia" w:hAnsi="宋体" w:cs="宋体"/>
          <w:color w:val="auto"/>
          <w:sz w:val="24"/>
          <w:szCs w:val="24"/>
          <w:highlight w:val="none"/>
        </w:rPr>
        <w:t>截止时间后</w:t>
      </w:r>
      <w:r>
        <w:rPr>
          <w:rFonts w:hint="eastAsia" w:ascii="宋体" w:hAnsi="宋体" w:eastAsia="宋体" w:cs="宋体"/>
          <w:color w:val="auto"/>
          <w:kern w:val="2"/>
          <w:sz w:val="24"/>
          <w:szCs w:val="24"/>
          <w:highlight w:val="none"/>
          <w:lang w:val="en-US" w:eastAsia="zh-CN" w:bidi="ar-SA"/>
        </w:rPr>
        <w:t>电子递交</w:t>
      </w:r>
      <w:r>
        <w:rPr>
          <w:rFonts w:hint="eastAsia" w:hAnsi="宋体" w:cs="宋体"/>
          <w:color w:val="auto"/>
          <w:sz w:val="24"/>
          <w:szCs w:val="24"/>
          <w:highlight w:val="none"/>
        </w:rPr>
        <w:t>或未</w:t>
      </w:r>
      <w:r>
        <w:rPr>
          <w:rFonts w:hint="eastAsia" w:ascii="宋体" w:hAnsi="宋体" w:eastAsia="宋体" w:cs="宋体"/>
          <w:color w:val="auto"/>
          <w:kern w:val="2"/>
          <w:sz w:val="24"/>
          <w:szCs w:val="24"/>
          <w:highlight w:val="none"/>
          <w:lang w:val="en-US" w:eastAsia="zh-CN" w:bidi="ar-SA"/>
        </w:rPr>
        <w:t>电子递交</w:t>
      </w:r>
      <w:r>
        <w:rPr>
          <w:rFonts w:hint="eastAsia" w:hAnsi="宋体" w:cs="宋体"/>
          <w:color w:val="auto"/>
          <w:sz w:val="24"/>
          <w:szCs w:val="24"/>
          <w:highlight w:val="none"/>
        </w:rPr>
        <w:t>到指定地点的</w:t>
      </w:r>
      <w:r>
        <w:rPr>
          <w:rFonts w:hint="eastAsia" w:hAnsi="宋体" w:cs="宋体"/>
          <w:color w:val="auto"/>
          <w:sz w:val="24"/>
          <w:szCs w:val="24"/>
          <w:highlight w:val="none"/>
          <w:lang w:eastAsia="zh-CN"/>
        </w:rPr>
        <w:t>投标文件</w:t>
      </w:r>
      <w:r>
        <w:rPr>
          <w:rFonts w:hint="eastAsia" w:ascii="宋体" w:hAnsi="宋体" w:cs="宋体"/>
          <w:color w:val="auto"/>
          <w:sz w:val="24"/>
          <w:highlight w:val="none"/>
        </w:rPr>
        <w:t>。</w:t>
      </w:r>
    </w:p>
    <w:p w14:paraId="4AD4B32B">
      <w:pPr>
        <w:spacing w:line="360" w:lineRule="auto"/>
        <w:outlineLvl w:val="1"/>
        <w:rPr>
          <w:rFonts w:ascii="宋体" w:hAnsi="宋体" w:cs="宋体"/>
          <w:b/>
          <w:bCs/>
          <w:color w:val="auto"/>
          <w:sz w:val="24"/>
          <w:highlight w:val="none"/>
        </w:rPr>
      </w:pPr>
      <w:r>
        <w:rPr>
          <w:rFonts w:hint="eastAsia" w:ascii="宋体" w:hAnsi="宋体" w:cs="宋体"/>
          <w:b/>
          <w:bCs/>
          <w:color w:val="auto"/>
          <w:sz w:val="24"/>
          <w:highlight w:val="none"/>
        </w:rPr>
        <w:t>五、</w:t>
      </w:r>
      <w:bookmarkEnd w:id="113"/>
      <w:bookmarkEnd w:id="114"/>
      <w:bookmarkEnd w:id="115"/>
      <w:bookmarkEnd w:id="116"/>
      <w:bookmarkEnd w:id="117"/>
      <w:r>
        <w:rPr>
          <w:rFonts w:hint="eastAsia" w:ascii="宋体" w:hAnsi="宋体" w:cs="宋体"/>
          <w:b/>
          <w:bCs/>
          <w:color w:val="auto"/>
          <w:sz w:val="24"/>
          <w:highlight w:val="none"/>
        </w:rPr>
        <w:t>开标、</w:t>
      </w:r>
      <w:r>
        <w:rPr>
          <w:rFonts w:hint="eastAsia" w:ascii="宋体" w:hAnsi="宋体" w:cs="宋体"/>
          <w:b/>
          <w:color w:val="auto"/>
          <w:sz w:val="24"/>
          <w:highlight w:val="none"/>
        </w:rPr>
        <w:t>评标</w:t>
      </w:r>
      <w:r>
        <w:rPr>
          <w:rFonts w:hint="eastAsia" w:ascii="宋体" w:hAnsi="宋体" w:cs="宋体"/>
          <w:b/>
          <w:bCs/>
          <w:color w:val="auto"/>
          <w:sz w:val="24"/>
          <w:highlight w:val="none"/>
        </w:rPr>
        <w:t>、确定中标供应商</w:t>
      </w:r>
    </w:p>
    <w:p w14:paraId="1122DDC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ascii="宋体" w:hAnsi="宋体" w:cs="宋体"/>
          <w:color w:val="auto"/>
          <w:sz w:val="24"/>
          <w:highlight w:val="none"/>
        </w:rPr>
      </w:pPr>
      <w:bookmarkStart w:id="137" w:name="_Toc243907601"/>
      <w:bookmarkStart w:id="138" w:name="_Toc243906340"/>
      <w:bookmarkStart w:id="139" w:name="_Toc245897301"/>
      <w:bookmarkStart w:id="140" w:name="_Toc233274841"/>
      <w:bookmarkStart w:id="141" w:name="_Toc233274847"/>
      <w:bookmarkStart w:id="142" w:name="_Toc245897308"/>
      <w:bookmarkStart w:id="143" w:name="_Toc243906348"/>
      <w:bookmarkStart w:id="144" w:name="_Toc243907609"/>
      <w:bookmarkStart w:id="145" w:name="_Toc22731"/>
      <w:r>
        <w:rPr>
          <w:rFonts w:hint="eastAsia" w:ascii="宋体" w:hAnsi="宋体" w:cs="宋体"/>
          <w:color w:val="auto"/>
          <w:sz w:val="24"/>
          <w:highlight w:val="none"/>
        </w:rPr>
        <w:t>27、</w:t>
      </w:r>
      <w:bookmarkEnd w:id="137"/>
      <w:bookmarkEnd w:id="138"/>
      <w:bookmarkEnd w:id="139"/>
      <w:bookmarkEnd w:id="140"/>
      <w:r>
        <w:rPr>
          <w:rFonts w:hint="eastAsia" w:ascii="宋体" w:hAnsi="宋体" w:cs="宋体"/>
          <w:color w:val="auto"/>
          <w:sz w:val="24"/>
          <w:highlight w:val="none"/>
          <w:lang w:eastAsia="zh-CN"/>
        </w:rPr>
        <w:t>开标</w:t>
      </w:r>
      <w:r>
        <w:rPr>
          <w:rFonts w:hint="eastAsia" w:ascii="宋体" w:hAnsi="宋体" w:cs="宋体"/>
          <w:color w:val="auto"/>
          <w:sz w:val="24"/>
          <w:highlight w:val="none"/>
        </w:rPr>
        <w:t>会议</w:t>
      </w:r>
    </w:p>
    <w:p w14:paraId="45AE0A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27.1采购人在本供应商须知前附表第8项规定的时间和地点组织</w:t>
      </w:r>
      <w:r>
        <w:rPr>
          <w:rFonts w:hint="eastAsia" w:ascii="宋体" w:hAnsi="宋体" w:cs="宋体"/>
          <w:color w:val="auto"/>
          <w:sz w:val="24"/>
          <w:highlight w:val="none"/>
          <w:lang w:eastAsia="zh-CN"/>
        </w:rPr>
        <w:t>评标</w:t>
      </w:r>
      <w:r>
        <w:rPr>
          <w:rFonts w:hint="eastAsia" w:ascii="宋体" w:hAnsi="宋体" w:cs="宋体"/>
          <w:color w:val="auto"/>
          <w:sz w:val="24"/>
          <w:highlight w:val="none"/>
        </w:rPr>
        <w:t>会议。</w:t>
      </w:r>
    </w:p>
    <w:p w14:paraId="677DBAD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27.2</w:t>
      </w:r>
      <w:r>
        <w:rPr>
          <w:rFonts w:hint="eastAsia" w:ascii="宋体" w:hAnsi="宋体" w:eastAsia="宋体" w:cs="宋体"/>
          <w:b/>
          <w:color w:val="auto"/>
          <w:kern w:val="2"/>
          <w:sz w:val="24"/>
          <w:szCs w:val="24"/>
          <w:highlight w:val="none"/>
          <w:lang w:val="en-US" w:eastAsia="zh-CN" w:bidi="ar-SA"/>
        </w:rPr>
        <w:t>本项目实行“不见面”网上评标系统，供应商的法定代表人或其委托代理人无需到开标现场递交投标文件</w:t>
      </w:r>
      <w:r>
        <w:rPr>
          <w:rFonts w:hint="eastAsia" w:ascii="宋体" w:hAnsi="宋体" w:cs="宋体"/>
          <w:color w:val="auto"/>
          <w:sz w:val="24"/>
          <w:highlight w:val="none"/>
        </w:rPr>
        <w:t>。</w:t>
      </w:r>
    </w:p>
    <w:p w14:paraId="646C14F7">
      <w:pPr>
        <w:pStyle w:val="9"/>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27.3供应商法定代表人委托代理人须是本企业的人员。</w:t>
      </w:r>
    </w:p>
    <w:p w14:paraId="135D57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27.4</w:t>
      </w:r>
      <w:r>
        <w:rPr>
          <w:rFonts w:hint="eastAsia" w:ascii="宋体" w:hAnsi="宋体" w:cs="宋体"/>
          <w:color w:val="auto"/>
          <w:sz w:val="24"/>
          <w:highlight w:val="none"/>
          <w:lang w:eastAsia="zh-CN"/>
        </w:rPr>
        <w:t>评标</w:t>
      </w:r>
      <w:r>
        <w:rPr>
          <w:rFonts w:hint="eastAsia" w:ascii="宋体" w:hAnsi="宋体" w:cs="宋体"/>
          <w:color w:val="auto"/>
          <w:sz w:val="24"/>
          <w:highlight w:val="none"/>
        </w:rPr>
        <w:t>会议由采购代理机构组织并主持。</w:t>
      </w:r>
    </w:p>
    <w:p w14:paraId="3BBBCF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27.5在</w:t>
      </w:r>
      <w:r>
        <w:rPr>
          <w:rFonts w:hint="eastAsia" w:ascii="宋体" w:hAnsi="宋体" w:cs="宋体"/>
          <w:color w:val="auto"/>
          <w:sz w:val="24"/>
          <w:highlight w:val="none"/>
          <w:lang w:eastAsia="zh-CN"/>
        </w:rPr>
        <w:t>评标</w:t>
      </w:r>
      <w:r>
        <w:rPr>
          <w:rFonts w:hint="eastAsia" w:ascii="宋体" w:hAnsi="宋体" w:cs="宋体"/>
          <w:color w:val="auto"/>
          <w:sz w:val="24"/>
          <w:highlight w:val="none"/>
        </w:rPr>
        <w:t>过程中，工作人员如发现</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组成部分不齐全，由评标委员会认定其有效性。评标委员会认定的无效</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将不进入详细评标阶段。</w:t>
      </w:r>
    </w:p>
    <w:p w14:paraId="659D885E">
      <w:pPr>
        <w:spacing w:line="360" w:lineRule="auto"/>
        <w:ind w:firstLine="480" w:firstLineChars="200"/>
        <w:outlineLvl w:val="1"/>
        <w:rPr>
          <w:rFonts w:ascii="宋体" w:hAnsi="宋体" w:cs="宋体"/>
          <w:color w:val="auto"/>
          <w:sz w:val="24"/>
          <w:highlight w:val="none"/>
        </w:rPr>
      </w:pPr>
      <w:bookmarkStart w:id="146" w:name="_Toc243907602"/>
      <w:bookmarkStart w:id="147" w:name="_Toc245897302"/>
      <w:bookmarkStart w:id="148" w:name="_Toc243906341"/>
      <w:bookmarkStart w:id="149" w:name="_Toc233274842"/>
      <w:bookmarkStart w:id="150" w:name="_Toc243907605"/>
      <w:bookmarkStart w:id="151" w:name="_Toc233274843"/>
      <w:bookmarkStart w:id="152" w:name="_Toc245897304"/>
      <w:bookmarkStart w:id="153" w:name="_Toc243906344"/>
      <w:r>
        <w:rPr>
          <w:rFonts w:hint="eastAsia" w:ascii="宋体" w:hAnsi="宋体" w:cs="宋体"/>
          <w:color w:val="auto"/>
          <w:sz w:val="24"/>
          <w:highlight w:val="none"/>
        </w:rPr>
        <w:t>28、</w:t>
      </w:r>
      <w:bookmarkEnd w:id="146"/>
      <w:bookmarkEnd w:id="147"/>
      <w:bookmarkEnd w:id="148"/>
      <w:bookmarkEnd w:id="149"/>
      <w:r>
        <w:rPr>
          <w:rFonts w:hint="eastAsia" w:ascii="宋体" w:hAnsi="宋体" w:cs="宋体"/>
          <w:b/>
          <w:bCs/>
          <w:color w:val="auto"/>
          <w:sz w:val="24"/>
          <w:highlight w:val="none"/>
        </w:rPr>
        <w:t>评标委员会</w:t>
      </w:r>
    </w:p>
    <w:p w14:paraId="0F132B30">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28</w:t>
      </w:r>
      <w:r>
        <w:rPr>
          <w:rFonts w:hint="eastAsia" w:ascii="宋体" w:hAnsi="宋体" w:cs="宋体"/>
          <w:color w:val="auto"/>
          <w:sz w:val="24"/>
          <w:highlight w:val="none"/>
        </w:rPr>
        <w:t>.1成立评标委员会。采购代理机构根据本次采购的特点和有关规定组成评标委员会，评标委员会根据招标文件、投标文件和采购标准对供应商进行评价、比较，向采购人推荐中标候选人。</w:t>
      </w:r>
    </w:p>
    <w:p w14:paraId="277E395A">
      <w:pPr>
        <w:widowControl/>
        <w:numPr>
          <w:ilvl w:val="0"/>
          <w:numId w:val="0"/>
        </w:num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.2评标委员会由采购人代表和有关专家共</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人或以上的单数组成，其中专家的人数不得少于成员总数的三分之二</w:t>
      </w:r>
      <w:r>
        <w:rPr>
          <w:rFonts w:hint="eastAsia" w:ascii="宋体" w:hAnsi="宋体" w:cs="宋体"/>
          <w:color w:val="auto"/>
          <w:sz w:val="24"/>
          <w:highlight w:val="none"/>
          <w:lang w:eastAsia="zh-CN"/>
        </w:rPr>
        <w:t>。</w:t>
      </w:r>
    </w:p>
    <w:p w14:paraId="21AD60F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color w:val="auto"/>
          <w:highlight w:val="none"/>
        </w:rPr>
      </w:pPr>
      <w:r>
        <w:rPr>
          <w:rFonts w:hint="eastAsia" w:ascii="宋体" w:hAnsi="宋体" w:cs="宋体"/>
          <w:b/>
          <w:color w:val="auto"/>
          <w:sz w:val="24"/>
          <w:highlight w:val="none"/>
          <w:lang w:val="en-US" w:eastAsia="zh-CN"/>
        </w:rPr>
        <w:t>29</w:t>
      </w:r>
      <w:r>
        <w:rPr>
          <w:rFonts w:hint="eastAsia" w:ascii="宋体" w:hAnsi="宋体" w:cs="宋体"/>
          <w:b/>
          <w:color w:val="auto"/>
          <w:sz w:val="24"/>
          <w:highlight w:val="none"/>
        </w:rPr>
        <w:t>、评标</w:t>
      </w:r>
    </w:p>
    <w:p w14:paraId="3F06C8A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29.1评标程序</w:t>
      </w:r>
    </w:p>
    <w:p w14:paraId="5C122A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 xml:space="preserve">A登录开标系统。 </w:t>
      </w:r>
    </w:p>
    <w:p w14:paraId="339B928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 xml:space="preserve">B递交投标文件。供应商投标文件须在投标截止时间前上传电子版投标文件，否则为无效供应商。 </w:t>
      </w:r>
    </w:p>
    <w:p w14:paraId="5E96FDA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注：有时间限制，响应截止时间止不允许供应商上传投标文件包括截止时间临界点。供应商必须在新疆政府采购网政采云平台系统规定的投标时间内上传投标文件。</w:t>
      </w:r>
    </w:p>
    <w:p w14:paraId="413AD95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 xml:space="preserve">C投标文件解密。采购代理机构在开标过程中触发“开始解密”功能后，供应商在有效的解密时间（30分钟）内对自家投标文件及时进行解密。 </w:t>
      </w:r>
    </w:p>
    <w:p w14:paraId="6FE7B03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注：供应商登录开标系统后，系统会提示信息通知供应商进行投标文件的解密工作，如果投标文件在有效时间内未进行解密，则系统默认供应商放弃此项目投标资格。</w:t>
      </w:r>
    </w:p>
    <w:p w14:paraId="4889980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D开启报价签字时间规定在20分钟之内，请各供应商及时进行签字确认。</w:t>
      </w:r>
    </w:p>
    <w:p w14:paraId="2C8A1F5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29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评标委员会在评标过程中，不得改变招标文件所确定的技术和服务等要求、评审程序、评定中标的标准和合同文本等事项。</w:t>
      </w:r>
    </w:p>
    <w:p w14:paraId="47545D0C">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lang w:val="en-US" w:eastAsia="zh-CN"/>
        </w:rPr>
        <w:t>29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参加采购活动的供应商，应当按照招标文件的规定一次报出不得更改的价格。</w:t>
      </w:r>
    </w:p>
    <w:p w14:paraId="6B7D7BF4">
      <w:pPr>
        <w:widowControl/>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lang w:val="en-US" w:eastAsia="zh-CN"/>
        </w:rPr>
        <w:t>29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如果投标文件实质上没有响应招标文件的要求，评标委员会将予以拒绝，供应商不得通过修正或撤消不符合要求的偏离或保留，而使其成为实质上响应。</w:t>
      </w:r>
    </w:p>
    <w:bookmarkEnd w:id="150"/>
    <w:bookmarkEnd w:id="151"/>
    <w:bookmarkEnd w:id="152"/>
    <w:bookmarkEnd w:id="153"/>
    <w:p w14:paraId="67B9FDE3">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color w:val="auto"/>
          <w:sz w:val="24"/>
          <w:highlight w:val="none"/>
        </w:rPr>
      </w:pPr>
      <w:bookmarkStart w:id="154" w:name="_Toc20715"/>
      <w:bookmarkStart w:id="155" w:name="_Toc224620150"/>
      <w:bookmarkStart w:id="156" w:name="_Toc224622928"/>
      <w:bookmarkStart w:id="157" w:name="_Toc224623663"/>
      <w:bookmarkStart w:id="158" w:name="_Toc224623557"/>
      <w:bookmarkStart w:id="159" w:name="_Toc243907606"/>
      <w:bookmarkStart w:id="160" w:name="_Toc243906345"/>
      <w:bookmarkStart w:id="161" w:name="_Toc245897305"/>
      <w:bookmarkStart w:id="162" w:name="_Toc224624767"/>
      <w:bookmarkStart w:id="163" w:name="_Toc224623451"/>
      <w:bookmarkStart w:id="164" w:name="_Toc224624628"/>
      <w:bookmarkStart w:id="165" w:name="_Toc224620071"/>
      <w:bookmarkStart w:id="166" w:name="_Toc224624488"/>
      <w:r>
        <w:rPr>
          <w:rFonts w:hint="eastAsia" w:ascii="宋体" w:hAnsi="宋体" w:cs="宋体"/>
          <w:b/>
          <w:color w:val="auto"/>
          <w:sz w:val="24"/>
          <w:highlight w:val="none"/>
          <w:lang w:val="en-US" w:eastAsia="zh-CN"/>
        </w:rPr>
        <w:t>30</w:t>
      </w:r>
      <w:r>
        <w:rPr>
          <w:rFonts w:hint="eastAsia" w:ascii="宋体" w:hAnsi="宋体" w:cs="宋体"/>
          <w:b/>
          <w:color w:val="auto"/>
          <w:sz w:val="24"/>
          <w:highlight w:val="none"/>
        </w:rPr>
        <w:t>、重大偏离</w:t>
      </w:r>
      <w:bookmarkEnd w:id="154"/>
    </w:p>
    <w:p w14:paraId="1F85631E">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重大偏离是指实质上影响合同的采购范围、质量和性能、项目周期等，或者实质上不满足招标文件的要求，而且限制了采购人的权力或减轻了供应商的义务。纠正或承认这些偏离将会对其他实质上响应要求的供应商合理的竞争地位产生不公正的影响。</w:t>
      </w:r>
    </w:p>
    <w:p w14:paraId="7242D93C">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highlight w:val="none"/>
        </w:rPr>
      </w:pPr>
      <w:bookmarkStart w:id="167" w:name="_Toc22298"/>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w:t>
      </w:r>
      <w:bookmarkEnd w:id="167"/>
      <w:r>
        <w:rPr>
          <w:rFonts w:hint="eastAsia" w:ascii="宋体" w:hAnsi="宋体" w:cs="宋体"/>
          <w:b/>
          <w:color w:val="auto"/>
          <w:sz w:val="24"/>
          <w:highlight w:val="none"/>
        </w:rPr>
        <w:t>在招标采购中，出现下列情形之一的，应予废标</w:t>
      </w:r>
    </w:p>
    <w:p w14:paraId="7DB0487B">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.1符合专业条件的供应商或者对招标文件作实质响应的供应商不足三家的；</w:t>
      </w:r>
    </w:p>
    <w:p w14:paraId="34A2F1C9">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.2出现影响采购公正的违法、违规行为的；</w:t>
      </w:r>
    </w:p>
    <w:p w14:paraId="6C1F11BC">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.3因重大变故，采购任务取消的；</w:t>
      </w:r>
    </w:p>
    <w:p w14:paraId="59BA1E52">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.4《中华人民共和国政府采购法》及相关法律法规及招标文件明确规定废标的其他情形。</w:t>
      </w:r>
    </w:p>
    <w:p w14:paraId="462EF06F">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highlight w:val="none"/>
        </w:rPr>
      </w:pPr>
      <w:bookmarkStart w:id="168" w:name="_Toc15179"/>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、供应商串通投标</w:t>
      </w:r>
      <w:bookmarkEnd w:id="168"/>
    </w:p>
    <w:p w14:paraId="472FE607">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有下列情形之一的，视为供应商串通投标，其投标无效：</w:t>
      </w:r>
    </w:p>
    <w:p w14:paraId="4D45BC80">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.1不同供应商的投标文件由同一单位或者个人编制；</w:t>
      </w:r>
    </w:p>
    <w:p w14:paraId="6DA9C98D">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.2不同供应商委托同一单位或者个人办理投标事宜；</w:t>
      </w:r>
    </w:p>
    <w:p w14:paraId="2E6B87FD">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.3不同供应商的投标文件载明的项目管理成员或者联系人员为同一人；</w:t>
      </w:r>
    </w:p>
    <w:p w14:paraId="0B7E5BB0">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.4不同供应商的投标文件异常一致或者</w:t>
      </w:r>
      <w:r>
        <w:rPr>
          <w:rFonts w:hint="eastAsia" w:ascii="宋体" w:hAnsi="宋体" w:cs="宋体"/>
          <w:b/>
          <w:color w:val="auto"/>
          <w:sz w:val="24"/>
          <w:highlight w:val="none"/>
          <w:lang w:eastAsia="zh-CN"/>
        </w:rPr>
        <w:t>商务报价</w:t>
      </w:r>
      <w:r>
        <w:rPr>
          <w:rFonts w:hint="eastAsia" w:ascii="宋体" w:hAnsi="宋体" w:cs="宋体"/>
          <w:b/>
          <w:color w:val="auto"/>
          <w:sz w:val="24"/>
          <w:highlight w:val="none"/>
        </w:rPr>
        <w:t>呈规律性差异；</w:t>
      </w:r>
    </w:p>
    <w:p w14:paraId="05BCF750">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.5不同供应商的投标文件相互混装；</w:t>
      </w:r>
    </w:p>
    <w:p w14:paraId="5B25A3FB">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szCs w:val="20"/>
          <w:highlight w:val="none"/>
        </w:rPr>
      </w:pPr>
      <w:bookmarkStart w:id="169" w:name="_Toc6184"/>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、投标无效：供应商存在下列情况之一的，其投标无效:</w:t>
      </w:r>
      <w:bookmarkEnd w:id="169"/>
    </w:p>
    <w:p w14:paraId="1C762605">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szCs w:val="20"/>
          <w:highlight w:val="none"/>
        </w:rPr>
      </w:pPr>
      <w:bookmarkStart w:id="170" w:name="_Toc23413"/>
      <w:r>
        <w:rPr>
          <w:rFonts w:hint="eastAsia" w:ascii="宋体" w:hAnsi="宋体" w:cs="宋体"/>
          <w:b/>
          <w:color w:val="auto"/>
          <w:sz w:val="24"/>
          <w:szCs w:val="20"/>
          <w:highlight w:val="none"/>
        </w:rPr>
        <w:t>3</w:t>
      </w:r>
      <w:r>
        <w:rPr>
          <w:rFonts w:hint="eastAsia" w:ascii="宋体" w:hAnsi="宋体" w:cs="宋体"/>
          <w:b/>
          <w:color w:val="auto"/>
          <w:sz w:val="24"/>
          <w:szCs w:val="20"/>
          <w:highlight w:val="none"/>
          <w:lang w:val="en-US" w:eastAsia="zh-CN"/>
        </w:rPr>
        <w:t>3</w:t>
      </w:r>
      <w:r>
        <w:rPr>
          <w:rFonts w:hint="eastAsia" w:ascii="宋体" w:hAnsi="宋体" w:cs="宋体"/>
          <w:b/>
          <w:color w:val="auto"/>
          <w:sz w:val="24"/>
          <w:szCs w:val="20"/>
          <w:highlight w:val="none"/>
        </w:rPr>
        <w:t>.</w:t>
      </w:r>
      <w:r>
        <w:rPr>
          <w:rFonts w:hint="eastAsia" w:ascii="宋体" w:hAnsi="宋体" w:cs="宋体"/>
          <w:b/>
          <w:color w:val="auto"/>
          <w:sz w:val="24"/>
          <w:szCs w:val="20"/>
          <w:highlight w:val="none"/>
          <w:lang w:val="en-US" w:eastAsia="zh-CN"/>
        </w:rPr>
        <w:t>1</w:t>
      </w:r>
      <w:r>
        <w:rPr>
          <w:rFonts w:hint="eastAsia" w:ascii="宋体" w:hAnsi="宋体" w:cs="宋体"/>
          <w:b/>
          <w:color w:val="auto"/>
          <w:sz w:val="24"/>
          <w:highlight w:val="none"/>
        </w:rPr>
        <w:t>投标文件未经供应商盖章和单位负责人签字的；</w:t>
      </w:r>
      <w:bookmarkEnd w:id="170"/>
    </w:p>
    <w:p w14:paraId="21FADBE2">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szCs w:val="20"/>
          <w:highlight w:val="none"/>
        </w:rPr>
      </w:pPr>
      <w:bookmarkStart w:id="171" w:name="_Toc10757"/>
      <w:r>
        <w:rPr>
          <w:rFonts w:hint="eastAsia" w:ascii="宋体" w:hAnsi="宋体" w:cs="宋体"/>
          <w:b/>
          <w:color w:val="auto"/>
          <w:sz w:val="24"/>
          <w:szCs w:val="20"/>
          <w:highlight w:val="none"/>
        </w:rPr>
        <w:t>3</w:t>
      </w:r>
      <w:r>
        <w:rPr>
          <w:rFonts w:hint="eastAsia" w:ascii="宋体" w:hAnsi="宋体" w:cs="宋体"/>
          <w:b/>
          <w:color w:val="auto"/>
          <w:sz w:val="24"/>
          <w:szCs w:val="20"/>
          <w:highlight w:val="none"/>
          <w:lang w:val="en-US" w:eastAsia="zh-CN"/>
        </w:rPr>
        <w:t>3</w:t>
      </w:r>
      <w:r>
        <w:rPr>
          <w:rFonts w:hint="eastAsia" w:ascii="宋体" w:hAnsi="宋体" w:cs="宋体"/>
          <w:b/>
          <w:color w:val="auto"/>
          <w:sz w:val="24"/>
          <w:szCs w:val="20"/>
          <w:highlight w:val="none"/>
        </w:rPr>
        <w:t>.</w:t>
      </w:r>
      <w:r>
        <w:rPr>
          <w:rFonts w:hint="eastAsia" w:ascii="宋体" w:hAnsi="宋体" w:cs="宋体"/>
          <w:b/>
          <w:color w:val="auto"/>
          <w:sz w:val="24"/>
          <w:szCs w:val="20"/>
          <w:highlight w:val="none"/>
          <w:lang w:val="en-US" w:eastAsia="zh-CN"/>
        </w:rPr>
        <w:t>2</w:t>
      </w:r>
      <w:r>
        <w:rPr>
          <w:rFonts w:hint="eastAsia" w:ascii="宋体" w:hAnsi="宋体" w:cs="宋体"/>
          <w:b/>
          <w:color w:val="auto"/>
          <w:sz w:val="24"/>
          <w:szCs w:val="20"/>
          <w:highlight w:val="none"/>
        </w:rPr>
        <w:t>不具备招标文件中规定的资格要求的；</w:t>
      </w:r>
      <w:bookmarkEnd w:id="171"/>
    </w:p>
    <w:p w14:paraId="359BDF89">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highlight w:val="none"/>
        </w:rPr>
      </w:pPr>
      <w:bookmarkStart w:id="172" w:name="_Toc3541"/>
      <w:r>
        <w:rPr>
          <w:rFonts w:hint="eastAsia" w:ascii="宋体" w:hAnsi="宋体" w:cs="宋体"/>
          <w:b/>
          <w:color w:val="auto"/>
          <w:sz w:val="24"/>
          <w:szCs w:val="20"/>
          <w:highlight w:val="none"/>
        </w:rPr>
        <w:t>3</w:t>
      </w:r>
      <w:r>
        <w:rPr>
          <w:rFonts w:hint="eastAsia" w:ascii="宋体" w:hAnsi="宋体" w:cs="宋体"/>
          <w:b/>
          <w:color w:val="auto"/>
          <w:sz w:val="24"/>
          <w:szCs w:val="20"/>
          <w:highlight w:val="none"/>
          <w:lang w:val="en-US" w:eastAsia="zh-CN"/>
        </w:rPr>
        <w:t>3</w:t>
      </w:r>
      <w:r>
        <w:rPr>
          <w:rFonts w:hint="eastAsia" w:ascii="宋体" w:hAnsi="宋体" w:cs="宋体"/>
          <w:b/>
          <w:color w:val="auto"/>
          <w:sz w:val="24"/>
          <w:szCs w:val="20"/>
          <w:highlight w:val="none"/>
        </w:rPr>
        <w:t>.</w:t>
      </w:r>
      <w:r>
        <w:rPr>
          <w:rFonts w:hint="eastAsia" w:ascii="宋体" w:hAnsi="宋体" w:cs="宋体"/>
          <w:b/>
          <w:color w:val="auto"/>
          <w:sz w:val="24"/>
          <w:szCs w:val="20"/>
          <w:highlight w:val="none"/>
          <w:lang w:val="en-US" w:eastAsia="zh-CN"/>
        </w:rPr>
        <w:t>3</w:t>
      </w:r>
      <w:r>
        <w:rPr>
          <w:rFonts w:hint="eastAsia" w:ascii="宋体" w:hAnsi="宋体" w:cs="宋体"/>
          <w:b/>
          <w:color w:val="auto"/>
          <w:sz w:val="24"/>
          <w:highlight w:val="none"/>
        </w:rPr>
        <w:t>未按中标文件规定的格式填写，内容不全或关键字迹模糊、无法辨认的；</w:t>
      </w:r>
      <w:bookmarkEnd w:id="172"/>
    </w:p>
    <w:p w14:paraId="60969BDC">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highlight w:val="none"/>
        </w:rPr>
      </w:pPr>
      <w:bookmarkStart w:id="173" w:name="_Toc5591"/>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同一供应商提供两份或多份不同的投标文件，或在一份投标文件中对同一招标货物报有两个或多个报价，且未说明哪一个为最终报价的；</w:t>
      </w:r>
      <w:bookmarkEnd w:id="173"/>
    </w:p>
    <w:p w14:paraId="238A8295">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szCs w:val="20"/>
          <w:highlight w:val="none"/>
        </w:rPr>
      </w:pPr>
      <w:bookmarkStart w:id="174" w:name="_Toc15791"/>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供应商的商务报价高于采购预算的</w:t>
      </w:r>
      <w:r>
        <w:rPr>
          <w:rFonts w:hint="eastAsia" w:ascii="宋体" w:hAnsi="宋体" w:cs="宋体"/>
          <w:b/>
          <w:color w:val="auto"/>
          <w:sz w:val="24"/>
          <w:szCs w:val="20"/>
          <w:highlight w:val="none"/>
        </w:rPr>
        <w:t>；</w:t>
      </w:r>
      <w:bookmarkEnd w:id="174"/>
    </w:p>
    <w:p w14:paraId="0822EBD1">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szCs w:val="20"/>
          <w:highlight w:val="none"/>
        </w:rPr>
      </w:pPr>
      <w:bookmarkStart w:id="175" w:name="_Toc14333"/>
      <w:r>
        <w:rPr>
          <w:rFonts w:hint="eastAsia" w:ascii="宋体" w:hAnsi="宋体" w:cs="宋体"/>
          <w:b/>
          <w:color w:val="auto"/>
          <w:sz w:val="24"/>
          <w:szCs w:val="20"/>
          <w:highlight w:val="none"/>
        </w:rPr>
        <w:t>3</w:t>
      </w:r>
      <w:r>
        <w:rPr>
          <w:rFonts w:hint="eastAsia" w:ascii="宋体" w:hAnsi="宋体" w:cs="宋体"/>
          <w:b/>
          <w:color w:val="auto"/>
          <w:sz w:val="24"/>
          <w:szCs w:val="20"/>
          <w:highlight w:val="none"/>
          <w:lang w:val="en-US" w:eastAsia="zh-CN"/>
        </w:rPr>
        <w:t>3</w:t>
      </w:r>
      <w:r>
        <w:rPr>
          <w:rFonts w:hint="eastAsia" w:ascii="宋体" w:hAnsi="宋体" w:cs="宋体"/>
          <w:b/>
          <w:color w:val="auto"/>
          <w:sz w:val="24"/>
          <w:szCs w:val="20"/>
          <w:highlight w:val="none"/>
        </w:rPr>
        <w:t>.</w:t>
      </w:r>
      <w:r>
        <w:rPr>
          <w:rFonts w:hint="eastAsia" w:ascii="宋体" w:hAnsi="宋体" w:cs="宋体"/>
          <w:b/>
          <w:color w:val="auto"/>
          <w:sz w:val="24"/>
          <w:szCs w:val="20"/>
          <w:highlight w:val="none"/>
          <w:lang w:val="en-US" w:eastAsia="zh-CN"/>
        </w:rPr>
        <w:t>6</w:t>
      </w:r>
      <w:r>
        <w:rPr>
          <w:rFonts w:hint="eastAsia" w:ascii="宋体" w:hAnsi="宋体" w:cs="宋体"/>
          <w:b/>
          <w:color w:val="auto"/>
          <w:sz w:val="24"/>
          <w:szCs w:val="20"/>
          <w:highlight w:val="none"/>
        </w:rPr>
        <w:t>投标文件含有采购人不能接受的附加条件的;</w:t>
      </w:r>
      <w:bookmarkEnd w:id="175"/>
    </w:p>
    <w:p w14:paraId="74F8A515">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color w:val="auto"/>
          <w:sz w:val="24"/>
          <w:highlight w:val="none"/>
        </w:rPr>
      </w:pPr>
      <w:r>
        <w:rPr>
          <w:rFonts w:hint="eastAsia" w:ascii="宋体" w:hAnsi="宋体" w:cs="宋体"/>
          <w:b/>
          <w:color w:val="auto"/>
          <w:sz w:val="24"/>
          <w:szCs w:val="20"/>
          <w:highlight w:val="none"/>
        </w:rPr>
        <w:t>3</w:t>
      </w:r>
      <w:r>
        <w:rPr>
          <w:rFonts w:hint="eastAsia" w:ascii="宋体" w:hAnsi="宋体" w:cs="宋体"/>
          <w:b/>
          <w:color w:val="auto"/>
          <w:sz w:val="24"/>
          <w:szCs w:val="20"/>
          <w:highlight w:val="none"/>
          <w:lang w:val="en-US" w:eastAsia="zh-CN"/>
        </w:rPr>
        <w:t>3</w:t>
      </w:r>
      <w:r>
        <w:rPr>
          <w:rFonts w:hint="eastAsia" w:ascii="宋体" w:hAnsi="宋体" w:cs="宋体"/>
          <w:b/>
          <w:color w:val="auto"/>
          <w:sz w:val="24"/>
          <w:szCs w:val="20"/>
          <w:highlight w:val="none"/>
        </w:rPr>
        <w:t>.</w:t>
      </w:r>
      <w:r>
        <w:rPr>
          <w:rFonts w:hint="eastAsia" w:ascii="宋体" w:hAnsi="宋体" w:cs="宋体"/>
          <w:b/>
          <w:color w:val="auto"/>
          <w:sz w:val="24"/>
          <w:szCs w:val="20"/>
          <w:highlight w:val="none"/>
          <w:lang w:val="en-US" w:eastAsia="zh-CN"/>
        </w:rPr>
        <w:t>7</w:t>
      </w:r>
      <w:r>
        <w:rPr>
          <w:rFonts w:hint="eastAsia" w:ascii="宋体" w:hAnsi="宋体" w:cs="宋体"/>
          <w:b/>
          <w:color w:val="auto"/>
          <w:sz w:val="24"/>
          <w:szCs w:val="20"/>
          <w:highlight w:val="none"/>
        </w:rPr>
        <w:t>《中华人民共和国政府采购法》、《中华人民共和国政府采购法实施条例》、《政府采购货物和服务招标投标管理办法》及相关法律法规及招标文件明确规定可以作无效投标文件的其他情形。</w:t>
      </w:r>
      <w:bookmarkEnd w:id="155"/>
      <w:bookmarkEnd w:id="156"/>
      <w:bookmarkEnd w:id="157"/>
      <w:bookmarkEnd w:id="158"/>
      <w:bookmarkEnd w:id="159"/>
      <w:bookmarkEnd w:id="160"/>
      <w:bookmarkEnd w:id="161"/>
      <w:bookmarkEnd w:id="162"/>
      <w:bookmarkEnd w:id="163"/>
      <w:bookmarkEnd w:id="164"/>
      <w:bookmarkEnd w:id="165"/>
      <w:bookmarkEnd w:id="166"/>
    </w:p>
    <w:p w14:paraId="4972AF0B">
      <w:pPr>
        <w:keepNext w:val="0"/>
        <w:keepLines w:val="0"/>
        <w:pageBreakBefore w:val="0"/>
        <w:kinsoku/>
        <w:wordWrap/>
        <w:overflowPunct/>
        <w:topLinePunct w:val="0"/>
        <w:autoSpaceDE/>
        <w:autoSpaceDN/>
        <w:bidi w:val="0"/>
        <w:spacing w:line="44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34、评标办法及定标原则</w:t>
      </w:r>
    </w:p>
    <w:bookmarkEnd w:id="141"/>
    <w:bookmarkEnd w:id="142"/>
    <w:bookmarkEnd w:id="143"/>
    <w:bookmarkEnd w:id="144"/>
    <w:p w14:paraId="0F9B306C">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szCs w:val="20"/>
          <w:highlight w:val="none"/>
        </w:rPr>
      </w:pPr>
      <w:r>
        <w:rPr>
          <w:rFonts w:hint="eastAsia" w:ascii="宋体" w:hAnsi="宋体" w:cs="宋体"/>
          <w:b/>
          <w:color w:val="auto"/>
          <w:sz w:val="24"/>
          <w:szCs w:val="20"/>
          <w:highlight w:val="none"/>
        </w:rPr>
        <w:t>3</w:t>
      </w:r>
      <w:r>
        <w:rPr>
          <w:rFonts w:hint="eastAsia" w:ascii="宋体" w:hAnsi="宋体" w:cs="宋体"/>
          <w:b/>
          <w:color w:val="auto"/>
          <w:sz w:val="24"/>
          <w:szCs w:val="20"/>
          <w:highlight w:val="none"/>
          <w:lang w:val="en-US" w:eastAsia="zh-CN"/>
        </w:rPr>
        <w:t>4</w:t>
      </w:r>
      <w:r>
        <w:rPr>
          <w:rFonts w:hint="eastAsia" w:ascii="宋体" w:hAnsi="宋体" w:cs="宋体"/>
          <w:b/>
          <w:color w:val="auto"/>
          <w:sz w:val="24"/>
          <w:szCs w:val="20"/>
          <w:highlight w:val="none"/>
        </w:rPr>
        <w:t>.1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3B9335A0">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szCs w:val="20"/>
          <w:highlight w:val="none"/>
        </w:rPr>
      </w:pPr>
      <w:r>
        <w:rPr>
          <w:rFonts w:hint="eastAsia" w:ascii="宋体" w:hAnsi="宋体" w:cs="宋体"/>
          <w:b/>
          <w:color w:val="auto"/>
          <w:sz w:val="24"/>
          <w:szCs w:val="20"/>
          <w:highlight w:val="none"/>
        </w:rPr>
        <w:t>3</w:t>
      </w:r>
      <w:r>
        <w:rPr>
          <w:rFonts w:hint="eastAsia" w:ascii="宋体" w:hAnsi="宋体" w:cs="宋体"/>
          <w:b/>
          <w:color w:val="auto"/>
          <w:sz w:val="24"/>
          <w:szCs w:val="20"/>
          <w:highlight w:val="none"/>
          <w:lang w:val="en-US" w:eastAsia="zh-CN"/>
        </w:rPr>
        <w:t>4</w:t>
      </w:r>
      <w:r>
        <w:rPr>
          <w:rFonts w:hint="eastAsia" w:ascii="宋体" w:hAnsi="宋体" w:cs="宋体"/>
          <w:b/>
          <w:color w:val="auto"/>
          <w:sz w:val="24"/>
          <w:szCs w:val="20"/>
          <w:highlight w:val="none"/>
        </w:rPr>
        <w:t>.1.2登录“中国执行信息公开网”（网址：</w:t>
      </w:r>
      <w:r>
        <w:rPr>
          <w:rFonts w:hint="eastAsia" w:ascii="宋体" w:hAnsi="宋体" w:cs="宋体"/>
          <w:b/>
          <w:color w:val="auto"/>
          <w:sz w:val="24"/>
          <w:szCs w:val="20"/>
          <w:highlight w:val="none"/>
        </w:rPr>
        <w:drawing>
          <wp:inline distT="0" distB="0" distL="114300" distR="114300">
            <wp:extent cx="190500" cy="144780"/>
            <wp:effectExtent l="0" t="0" r="0" b="7620"/>
            <wp:docPr id="1" name="图片 1" descr="[5UQ[BL(6~BS2JV6W}N6[%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UQ[BL(6~BS2JV6W}N6[%S"/>
                    <pic:cNvPicPr>
                      <a:picLocks noChangeAspect="1"/>
                    </pic:cNvPicPr>
                  </pic:nvPicPr>
                  <pic:blipFill>
                    <a:blip r:embed="rId8"/>
                    <a:stretch>
                      <a:fillRect/>
                    </a:stretch>
                  </pic:blipFill>
                  <pic:spPr>
                    <a:xfrm>
                      <a:off x="0" y="0"/>
                      <a:ext cx="190500" cy="144780"/>
                    </a:xfrm>
                    <a:prstGeom prst="rect">
                      <a:avLst/>
                    </a:prstGeom>
                    <a:noFill/>
                    <a:ln>
                      <a:noFill/>
                    </a:ln>
                  </pic:spPr>
                </pic:pic>
              </a:graphicData>
            </a:graphic>
          </wp:inline>
        </w:drawing>
      </w:r>
      <w:r>
        <w:rPr>
          <w:rFonts w:hint="eastAsia" w:ascii="宋体" w:hAnsi="宋体" w:cs="宋体"/>
          <w:b/>
          <w:color w:val="auto"/>
          <w:sz w:val="24"/>
          <w:szCs w:val="20"/>
          <w:highlight w:val="none"/>
        </w:rPr>
        <w:t xml:space="preserve">shixin.court.gov.cn）失信被执行人名单库查询。（如查询到该公司信息，说明该公司为失信被执行人），拒绝参与政府采购活动，同时对信用信息查询记录和证据进行打印存档。 </w:t>
      </w:r>
    </w:p>
    <w:p w14:paraId="0BC9C09B">
      <w:pPr>
        <w:spacing w:line="360" w:lineRule="auto"/>
        <w:ind w:firstLine="482" w:firstLineChars="200"/>
        <w:rPr>
          <w:rFonts w:hint="eastAsia" w:ascii="宋体" w:hAnsi="宋体" w:cs="宋体"/>
          <w:b/>
          <w:color w:val="auto"/>
          <w:sz w:val="24"/>
          <w:szCs w:val="20"/>
          <w:highlight w:val="none"/>
        </w:rPr>
      </w:pPr>
      <w:r>
        <w:rPr>
          <w:rFonts w:hint="eastAsia" w:ascii="宋体" w:hAnsi="宋体" w:cs="宋体"/>
          <w:b/>
          <w:color w:val="auto"/>
          <w:sz w:val="24"/>
          <w:szCs w:val="20"/>
          <w:highlight w:val="none"/>
        </w:rPr>
        <w:t>3</w:t>
      </w:r>
      <w:r>
        <w:rPr>
          <w:rFonts w:hint="eastAsia" w:ascii="宋体" w:hAnsi="宋体" w:cs="宋体"/>
          <w:b/>
          <w:color w:val="auto"/>
          <w:sz w:val="24"/>
          <w:szCs w:val="20"/>
          <w:highlight w:val="none"/>
          <w:lang w:val="en-US" w:eastAsia="zh-CN"/>
        </w:rPr>
        <w:t>4</w:t>
      </w:r>
      <w:r>
        <w:rPr>
          <w:rFonts w:hint="eastAsia" w:ascii="宋体" w:hAnsi="宋体" w:cs="宋体"/>
          <w:b/>
          <w:color w:val="auto"/>
          <w:sz w:val="24"/>
          <w:szCs w:val="20"/>
          <w:highlight w:val="none"/>
        </w:rPr>
        <w:t>.2评标方法：本项目评审采用综合评分法，总分100分</w:t>
      </w:r>
      <w:r>
        <w:rPr>
          <w:rFonts w:hint="eastAsia" w:ascii="宋体" w:hAnsi="宋体" w:cs="宋体"/>
          <w:b/>
          <w:color w:val="auto"/>
          <w:sz w:val="24"/>
          <w:szCs w:val="20"/>
          <w:highlight w:val="none"/>
          <w:lang w:eastAsia="zh-CN"/>
        </w:rPr>
        <w:t>，</w:t>
      </w:r>
      <w:r>
        <w:rPr>
          <w:rFonts w:hint="eastAsia" w:ascii="宋体" w:hAnsi="宋体" w:cs="宋体"/>
          <w:b/>
          <w:color w:val="auto"/>
          <w:sz w:val="24"/>
          <w:szCs w:val="20"/>
          <w:highlight w:val="none"/>
        </w:rPr>
        <w:t>具体评</w:t>
      </w:r>
      <w:r>
        <w:rPr>
          <w:rFonts w:hint="eastAsia" w:ascii="宋体" w:hAnsi="宋体" w:cs="宋体"/>
          <w:b/>
          <w:color w:val="auto"/>
          <w:sz w:val="24"/>
          <w:szCs w:val="20"/>
          <w:highlight w:val="none"/>
          <w:lang w:eastAsia="zh-CN"/>
        </w:rPr>
        <w:t>标方法</w:t>
      </w:r>
      <w:r>
        <w:rPr>
          <w:rFonts w:hint="eastAsia" w:ascii="宋体" w:hAnsi="宋体" w:cs="宋体"/>
          <w:b/>
          <w:color w:val="auto"/>
          <w:sz w:val="24"/>
          <w:szCs w:val="20"/>
          <w:highlight w:val="none"/>
        </w:rPr>
        <w:t>详见本</w:t>
      </w:r>
      <w:r>
        <w:rPr>
          <w:rFonts w:hint="eastAsia" w:ascii="宋体" w:hAnsi="宋体" w:cs="宋体"/>
          <w:b/>
          <w:color w:val="auto"/>
          <w:sz w:val="24"/>
          <w:szCs w:val="20"/>
          <w:highlight w:val="none"/>
          <w:lang w:eastAsia="zh-CN"/>
        </w:rPr>
        <w:t>招标</w:t>
      </w:r>
      <w:r>
        <w:rPr>
          <w:rFonts w:hint="eastAsia" w:ascii="宋体" w:hAnsi="宋体" w:cs="宋体"/>
          <w:b/>
          <w:color w:val="auto"/>
          <w:sz w:val="24"/>
          <w:szCs w:val="20"/>
          <w:highlight w:val="none"/>
        </w:rPr>
        <w:t>文件第六章“评标标准（综合评分法）”</w:t>
      </w:r>
    </w:p>
    <w:p w14:paraId="132E9848">
      <w:pPr>
        <w:spacing w:line="480" w:lineRule="exact"/>
        <w:ind w:firstLine="482" w:firstLineChars="200"/>
        <w:outlineLvl w:val="1"/>
        <w:rPr>
          <w:rFonts w:hint="default" w:ascii="宋体" w:hAnsi="宋体" w:cs="宋体"/>
          <w:b/>
          <w:color w:val="auto"/>
          <w:sz w:val="24"/>
          <w:szCs w:val="20"/>
          <w:highlight w:val="none"/>
          <w:lang w:val="en-US" w:eastAsia="zh-CN"/>
        </w:rPr>
      </w:pPr>
      <w:r>
        <w:rPr>
          <w:rFonts w:hint="eastAsia" w:ascii="宋体" w:hAnsi="宋体" w:cs="宋体"/>
          <w:b/>
          <w:color w:val="auto"/>
          <w:sz w:val="24"/>
          <w:szCs w:val="20"/>
          <w:highlight w:val="none"/>
          <w:lang w:val="en-US" w:eastAsia="zh-CN"/>
        </w:rPr>
        <w:t>本项目分两阶段评审，初审和详细评审，通过初审单位将进入第二阶段详细评审。</w:t>
      </w:r>
    </w:p>
    <w:p w14:paraId="7D042FD6">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34.3</w:t>
      </w:r>
      <w:r>
        <w:rPr>
          <w:rFonts w:hint="eastAsia" w:ascii="宋体" w:hAnsi="宋体" w:cs="宋体"/>
          <w:b/>
          <w:color w:val="auto"/>
          <w:sz w:val="24"/>
          <w:highlight w:val="none"/>
          <w:lang w:eastAsia="zh-CN"/>
        </w:rPr>
        <w:t>投标文件</w:t>
      </w:r>
      <w:r>
        <w:rPr>
          <w:rFonts w:hint="eastAsia" w:ascii="宋体" w:hAnsi="宋体" w:cs="宋体"/>
          <w:b/>
          <w:color w:val="auto"/>
          <w:sz w:val="24"/>
          <w:highlight w:val="none"/>
        </w:rPr>
        <w:t>初审。初审分为资格性审查和符合性审查。</w:t>
      </w:r>
      <w:r>
        <w:rPr>
          <w:rFonts w:hint="eastAsia" w:ascii="宋体" w:hAnsi="宋体" w:cs="宋体"/>
          <w:b/>
          <w:color w:val="auto"/>
          <w:sz w:val="24"/>
          <w:highlight w:val="none"/>
          <w:lang w:eastAsia="zh-CN"/>
        </w:rPr>
        <w:t>投标文件</w:t>
      </w:r>
      <w:r>
        <w:rPr>
          <w:rFonts w:hint="eastAsia" w:ascii="宋体" w:hAnsi="宋体" w:cs="宋体"/>
          <w:b/>
          <w:color w:val="auto"/>
          <w:sz w:val="24"/>
          <w:highlight w:val="none"/>
        </w:rPr>
        <w:t>初审由</w:t>
      </w:r>
      <w:r>
        <w:rPr>
          <w:rFonts w:hint="eastAsia" w:ascii="宋体" w:hAnsi="宋体" w:cs="宋体"/>
          <w:b/>
          <w:color w:val="auto"/>
          <w:sz w:val="24"/>
          <w:highlight w:val="none"/>
          <w:lang w:eastAsia="zh-CN"/>
        </w:rPr>
        <w:t>评标委员会</w:t>
      </w:r>
      <w:r>
        <w:rPr>
          <w:rFonts w:hint="eastAsia" w:ascii="宋体" w:hAnsi="宋体" w:cs="宋体"/>
          <w:b/>
          <w:color w:val="auto"/>
          <w:sz w:val="24"/>
          <w:highlight w:val="none"/>
        </w:rPr>
        <w:t>根据各供应商</w:t>
      </w:r>
      <w:r>
        <w:rPr>
          <w:rFonts w:hint="eastAsia" w:ascii="宋体" w:hAnsi="宋体" w:cs="宋体"/>
          <w:b/>
          <w:color w:val="auto"/>
          <w:sz w:val="24"/>
          <w:highlight w:val="none"/>
          <w:lang w:eastAsia="zh-CN"/>
        </w:rPr>
        <w:t>投标文件</w:t>
      </w:r>
      <w:r>
        <w:rPr>
          <w:rFonts w:hint="eastAsia" w:ascii="宋体" w:hAnsi="宋体" w:cs="宋体"/>
          <w:b/>
          <w:color w:val="auto"/>
          <w:sz w:val="24"/>
          <w:highlight w:val="none"/>
        </w:rPr>
        <w:t>进行评审，</w:t>
      </w:r>
      <w:r>
        <w:rPr>
          <w:rFonts w:hint="eastAsia" w:ascii="宋体" w:hAnsi="宋体" w:cs="宋体"/>
          <w:b/>
          <w:color w:val="auto"/>
          <w:sz w:val="24"/>
          <w:szCs w:val="20"/>
          <w:highlight w:val="none"/>
        </w:rPr>
        <w:t>初</w:t>
      </w:r>
      <w:r>
        <w:rPr>
          <w:rFonts w:hint="eastAsia" w:ascii="宋体" w:hAnsi="宋体" w:cs="宋体"/>
          <w:b/>
          <w:color w:val="auto"/>
          <w:sz w:val="24"/>
          <w:highlight w:val="none"/>
        </w:rPr>
        <w:t>审内容详见第六章“评审标准（综合评分法）。未通过初审的供应商其</w:t>
      </w:r>
      <w:r>
        <w:rPr>
          <w:rFonts w:hint="eastAsia" w:ascii="宋体" w:hAnsi="宋体" w:cs="宋体"/>
          <w:b/>
          <w:color w:val="auto"/>
          <w:sz w:val="24"/>
          <w:highlight w:val="none"/>
          <w:lang w:eastAsia="zh-CN"/>
        </w:rPr>
        <w:t>投标文件</w:t>
      </w:r>
      <w:r>
        <w:rPr>
          <w:rFonts w:hint="eastAsia" w:ascii="宋体" w:hAnsi="宋体" w:cs="宋体"/>
          <w:b/>
          <w:color w:val="auto"/>
          <w:sz w:val="24"/>
          <w:highlight w:val="none"/>
        </w:rPr>
        <w:t>按照无效</w:t>
      </w:r>
      <w:r>
        <w:rPr>
          <w:rFonts w:hint="eastAsia" w:ascii="宋体" w:hAnsi="宋体" w:cs="宋体"/>
          <w:b/>
          <w:color w:val="auto"/>
          <w:sz w:val="24"/>
          <w:highlight w:val="none"/>
          <w:lang w:eastAsia="zh-CN"/>
        </w:rPr>
        <w:t>投标文件</w:t>
      </w:r>
      <w:r>
        <w:rPr>
          <w:rFonts w:hint="eastAsia" w:ascii="宋体" w:hAnsi="宋体" w:cs="宋体"/>
          <w:b/>
          <w:color w:val="auto"/>
          <w:sz w:val="24"/>
          <w:highlight w:val="none"/>
        </w:rPr>
        <w:t>处理。</w:t>
      </w:r>
    </w:p>
    <w:p w14:paraId="100C388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34.3.1资格性检查。依据法律法规和</w:t>
      </w:r>
      <w:r>
        <w:rPr>
          <w:rFonts w:hint="eastAsia" w:ascii="宋体" w:hAnsi="宋体" w:cs="宋体"/>
          <w:b/>
          <w:color w:val="auto"/>
          <w:sz w:val="24"/>
          <w:highlight w:val="none"/>
          <w:lang w:eastAsia="zh-CN"/>
        </w:rPr>
        <w:t>招标</w:t>
      </w:r>
      <w:r>
        <w:rPr>
          <w:rFonts w:hint="eastAsia" w:ascii="宋体" w:hAnsi="宋体" w:cs="宋体"/>
          <w:b/>
          <w:color w:val="auto"/>
          <w:sz w:val="24"/>
          <w:highlight w:val="none"/>
        </w:rPr>
        <w:t>文件的规定，对</w:t>
      </w:r>
      <w:r>
        <w:rPr>
          <w:rFonts w:hint="eastAsia" w:ascii="宋体" w:hAnsi="宋体" w:cs="宋体"/>
          <w:b/>
          <w:color w:val="auto"/>
          <w:sz w:val="24"/>
          <w:highlight w:val="none"/>
          <w:lang w:eastAsia="zh-CN"/>
        </w:rPr>
        <w:t>投标文件</w:t>
      </w:r>
      <w:r>
        <w:rPr>
          <w:rFonts w:hint="eastAsia" w:ascii="宋体" w:hAnsi="宋体" w:cs="宋体"/>
          <w:b/>
          <w:color w:val="auto"/>
          <w:sz w:val="24"/>
          <w:highlight w:val="none"/>
        </w:rPr>
        <w:t>中的资格条件等进行审查，以确定供应商是否具备</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资格。</w:t>
      </w:r>
    </w:p>
    <w:p w14:paraId="3D8E2335">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34.3.2符合性检查。依据</w:t>
      </w:r>
      <w:r>
        <w:rPr>
          <w:rFonts w:hint="eastAsia" w:ascii="宋体" w:hAnsi="宋体" w:cs="宋体"/>
          <w:b/>
          <w:color w:val="auto"/>
          <w:sz w:val="24"/>
          <w:highlight w:val="none"/>
          <w:lang w:eastAsia="zh-CN"/>
        </w:rPr>
        <w:t>招标</w:t>
      </w:r>
      <w:r>
        <w:rPr>
          <w:rFonts w:hint="eastAsia" w:ascii="宋体" w:hAnsi="宋体" w:cs="宋体"/>
          <w:b/>
          <w:color w:val="auto"/>
          <w:sz w:val="24"/>
          <w:highlight w:val="none"/>
        </w:rPr>
        <w:t>文件的规定，从</w:t>
      </w:r>
      <w:r>
        <w:rPr>
          <w:rFonts w:hint="eastAsia" w:ascii="宋体" w:hAnsi="宋体" w:cs="宋体"/>
          <w:b/>
          <w:color w:val="auto"/>
          <w:sz w:val="24"/>
          <w:highlight w:val="none"/>
          <w:lang w:eastAsia="zh-CN"/>
        </w:rPr>
        <w:t>投标文件</w:t>
      </w:r>
      <w:r>
        <w:rPr>
          <w:rFonts w:hint="eastAsia" w:ascii="宋体" w:hAnsi="宋体" w:cs="宋体"/>
          <w:b/>
          <w:color w:val="auto"/>
          <w:sz w:val="24"/>
          <w:highlight w:val="none"/>
        </w:rPr>
        <w:t>的有效性、完整性和对</w:t>
      </w:r>
      <w:r>
        <w:rPr>
          <w:rFonts w:hint="eastAsia" w:ascii="宋体" w:hAnsi="宋体" w:cs="宋体"/>
          <w:b/>
          <w:color w:val="auto"/>
          <w:sz w:val="24"/>
          <w:highlight w:val="none"/>
          <w:lang w:eastAsia="zh-CN"/>
        </w:rPr>
        <w:t>招标</w:t>
      </w:r>
      <w:r>
        <w:rPr>
          <w:rFonts w:hint="eastAsia" w:ascii="宋体" w:hAnsi="宋体" w:cs="宋体"/>
          <w:b/>
          <w:color w:val="auto"/>
          <w:sz w:val="24"/>
          <w:highlight w:val="none"/>
        </w:rPr>
        <w:t>文件的响应程度进行审查，以确定是否对</w:t>
      </w:r>
      <w:r>
        <w:rPr>
          <w:rFonts w:hint="eastAsia" w:ascii="宋体" w:hAnsi="宋体" w:cs="宋体"/>
          <w:b/>
          <w:color w:val="auto"/>
          <w:sz w:val="24"/>
          <w:highlight w:val="none"/>
          <w:lang w:eastAsia="zh-CN"/>
        </w:rPr>
        <w:t>招标</w:t>
      </w:r>
      <w:r>
        <w:rPr>
          <w:rFonts w:hint="eastAsia" w:ascii="宋体" w:hAnsi="宋体" w:cs="宋体"/>
          <w:b/>
          <w:color w:val="auto"/>
          <w:sz w:val="24"/>
          <w:highlight w:val="none"/>
        </w:rPr>
        <w:t>文件的实质性要求作出响应。</w:t>
      </w:r>
    </w:p>
    <w:p w14:paraId="20D5E604">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34.</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澄清有关问题。对</w:t>
      </w:r>
      <w:r>
        <w:rPr>
          <w:rFonts w:hint="eastAsia" w:ascii="宋体" w:hAnsi="宋体" w:cs="宋体"/>
          <w:b/>
          <w:color w:val="auto"/>
          <w:sz w:val="24"/>
          <w:highlight w:val="none"/>
          <w:lang w:eastAsia="zh-CN"/>
        </w:rPr>
        <w:t>投标文件</w:t>
      </w:r>
      <w:r>
        <w:rPr>
          <w:rFonts w:hint="eastAsia" w:ascii="宋体" w:hAnsi="宋体" w:cs="宋体"/>
          <w:b/>
          <w:color w:val="auto"/>
          <w:sz w:val="24"/>
          <w:highlight w:val="none"/>
        </w:rPr>
        <w:t>中含义不明确、同类问题表述不一致或者有明显文字和计算错误的内容，</w:t>
      </w:r>
      <w:r>
        <w:rPr>
          <w:rFonts w:hint="eastAsia" w:ascii="宋体" w:hAnsi="宋体" w:cs="宋体"/>
          <w:b/>
          <w:color w:val="auto"/>
          <w:sz w:val="24"/>
          <w:highlight w:val="none"/>
          <w:lang w:eastAsia="zh-CN"/>
        </w:rPr>
        <w:t>评标委员会</w:t>
      </w:r>
      <w:r>
        <w:rPr>
          <w:rFonts w:hint="eastAsia" w:ascii="宋体" w:hAnsi="宋体" w:cs="宋体"/>
          <w:b/>
          <w:color w:val="auto"/>
          <w:sz w:val="24"/>
          <w:highlight w:val="none"/>
        </w:rPr>
        <w:t>可以书面形式要求供应商作出必要的澄清、说明或者纠正。供应商的澄清、说明或者补正应当采用书面形式，由其授权的代表签字，并不得超出</w:t>
      </w:r>
      <w:r>
        <w:rPr>
          <w:rFonts w:hint="eastAsia" w:ascii="宋体" w:hAnsi="宋体" w:cs="宋体"/>
          <w:b/>
          <w:color w:val="auto"/>
          <w:sz w:val="24"/>
          <w:highlight w:val="none"/>
          <w:lang w:eastAsia="zh-CN"/>
        </w:rPr>
        <w:t>投标文件</w:t>
      </w:r>
      <w:r>
        <w:rPr>
          <w:rFonts w:hint="eastAsia" w:ascii="宋体" w:hAnsi="宋体" w:cs="宋体"/>
          <w:b/>
          <w:color w:val="auto"/>
          <w:sz w:val="24"/>
          <w:highlight w:val="none"/>
        </w:rPr>
        <w:t>的范围或者改变</w:t>
      </w:r>
      <w:r>
        <w:rPr>
          <w:rFonts w:hint="eastAsia" w:ascii="宋体" w:hAnsi="宋体" w:cs="宋体"/>
          <w:b/>
          <w:color w:val="auto"/>
          <w:sz w:val="24"/>
          <w:highlight w:val="none"/>
          <w:lang w:eastAsia="zh-CN"/>
        </w:rPr>
        <w:t>投标文件</w:t>
      </w:r>
      <w:r>
        <w:rPr>
          <w:rFonts w:hint="eastAsia" w:ascii="宋体" w:hAnsi="宋体" w:cs="宋体"/>
          <w:b/>
          <w:color w:val="auto"/>
          <w:sz w:val="24"/>
          <w:highlight w:val="none"/>
        </w:rPr>
        <w:t>的实质性内容。</w:t>
      </w:r>
    </w:p>
    <w:p w14:paraId="4836614B">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34.</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比较与评价。</w:t>
      </w:r>
      <w:r>
        <w:rPr>
          <w:rFonts w:hint="eastAsia" w:hAnsi="宋体" w:cs="宋体"/>
          <w:b/>
          <w:color w:val="auto"/>
          <w:sz w:val="24"/>
          <w:highlight w:val="none"/>
        </w:rPr>
        <w:t>评标委员会</w:t>
      </w:r>
      <w:r>
        <w:rPr>
          <w:rFonts w:hint="eastAsia" w:ascii="宋体" w:hAnsi="宋体" w:cs="宋体"/>
          <w:b/>
          <w:color w:val="auto"/>
          <w:sz w:val="24"/>
          <w:highlight w:val="none"/>
        </w:rPr>
        <w:t>按</w:t>
      </w:r>
      <w:r>
        <w:rPr>
          <w:rFonts w:hint="eastAsia" w:ascii="宋体" w:hAnsi="宋体" w:cs="宋体"/>
          <w:b/>
          <w:color w:val="auto"/>
          <w:sz w:val="24"/>
          <w:highlight w:val="none"/>
          <w:lang w:eastAsia="zh-CN"/>
        </w:rPr>
        <w:t>招标</w:t>
      </w:r>
      <w:r>
        <w:rPr>
          <w:rFonts w:hint="eastAsia" w:ascii="宋体" w:hAnsi="宋体" w:cs="宋体"/>
          <w:b/>
          <w:color w:val="auto"/>
          <w:sz w:val="24"/>
          <w:highlight w:val="none"/>
        </w:rPr>
        <w:t>文件中规定的</w:t>
      </w:r>
      <w:r>
        <w:rPr>
          <w:rFonts w:hint="eastAsia" w:ascii="宋体" w:hAnsi="宋体" w:cs="宋体"/>
          <w:b/>
          <w:color w:val="auto"/>
          <w:sz w:val="24"/>
          <w:highlight w:val="none"/>
          <w:lang w:eastAsia="zh-CN"/>
        </w:rPr>
        <w:t>评标</w:t>
      </w:r>
      <w:r>
        <w:rPr>
          <w:rFonts w:hint="eastAsia" w:ascii="宋体" w:hAnsi="宋体" w:cs="宋体"/>
          <w:b/>
          <w:color w:val="auto"/>
          <w:sz w:val="24"/>
          <w:highlight w:val="none"/>
        </w:rPr>
        <w:t>方法和标准，</w:t>
      </w:r>
      <w:r>
        <w:rPr>
          <w:rFonts w:hint="eastAsia" w:hAnsi="宋体" w:cs="宋体"/>
          <w:b/>
          <w:color w:val="auto"/>
          <w:sz w:val="24"/>
          <w:highlight w:val="none"/>
        </w:rPr>
        <w:t>对投标文件进行商务部分和技术部分评估，综合比较与评价</w:t>
      </w:r>
      <w:r>
        <w:rPr>
          <w:rFonts w:hint="eastAsia" w:ascii="宋体" w:hAnsi="宋体" w:cs="宋体"/>
          <w:b/>
          <w:color w:val="auto"/>
          <w:sz w:val="24"/>
          <w:highlight w:val="none"/>
        </w:rPr>
        <w:t>。</w:t>
      </w:r>
    </w:p>
    <w:p w14:paraId="4BDCE3EA">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bCs/>
          <w:color w:val="auto"/>
          <w:sz w:val="24"/>
          <w:szCs w:val="20"/>
          <w:highlight w:val="none"/>
        </w:rPr>
      </w:pPr>
      <w:r>
        <w:rPr>
          <w:rFonts w:hint="eastAsia" w:ascii="宋体" w:hAnsi="宋体" w:cs="宋体"/>
          <w:b/>
          <w:bCs/>
          <w:color w:val="auto"/>
          <w:sz w:val="24"/>
          <w:szCs w:val="20"/>
          <w:highlight w:val="none"/>
        </w:rPr>
        <w:t>3</w:t>
      </w:r>
      <w:r>
        <w:rPr>
          <w:rFonts w:hint="eastAsia" w:ascii="宋体" w:hAnsi="宋体" w:cs="宋体"/>
          <w:b/>
          <w:bCs/>
          <w:color w:val="auto"/>
          <w:sz w:val="24"/>
          <w:szCs w:val="20"/>
          <w:highlight w:val="none"/>
          <w:lang w:val="en-US" w:eastAsia="zh-CN"/>
        </w:rPr>
        <w:t>5、</w:t>
      </w:r>
      <w:r>
        <w:rPr>
          <w:rFonts w:hint="eastAsia" w:ascii="宋体" w:hAnsi="宋体" w:cs="宋体"/>
          <w:b/>
          <w:bCs/>
          <w:color w:val="auto"/>
          <w:sz w:val="24"/>
          <w:szCs w:val="20"/>
          <w:highlight w:val="none"/>
        </w:rPr>
        <w:t>商务报价错误的修正</w:t>
      </w:r>
    </w:p>
    <w:p w14:paraId="6EA8160B">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w:t>
      </w:r>
      <w:r>
        <w:rPr>
          <w:rFonts w:hint="eastAsia" w:ascii="宋体" w:hAnsi="宋体" w:cs="宋体"/>
          <w:b/>
          <w:bCs/>
          <w:color w:val="auto"/>
          <w:sz w:val="24"/>
          <w:highlight w:val="none"/>
          <w:lang w:val="en-US" w:eastAsia="zh-CN"/>
        </w:rPr>
        <w:t>5.1</w:t>
      </w:r>
      <w:r>
        <w:rPr>
          <w:rFonts w:hint="eastAsia" w:ascii="宋体" w:hAnsi="宋体" w:cs="宋体"/>
          <w:b/>
          <w:bCs/>
          <w:color w:val="auto"/>
          <w:sz w:val="24"/>
          <w:highlight w:val="none"/>
        </w:rPr>
        <w:t>如果发现商务报价存在计算或表达上错误，则按下列原则进行修正：</w:t>
      </w:r>
    </w:p>
    <w:p w14:paraId="2F383923">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（1）开标时，投标文件中开标一览表(报价表)内容与投标文件中明细表内容不一致的，以开标一览表(报价表)为准。</w:t>
      </w:r>
    </w:p>
    <w:p w14:paraId="3DB1EC49">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（2）投标文件的大写金额和小写金额不一致的，以大写金额为准；</w:t>
      </w:r>
    </w:p>
    <w:p w14:paraId="5D6AFA16">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总价金额与按单价汇总金额不一致的，以单价金额计算结果为准；单价金额小数点或者百分比有明显错位的，以开标一览表的总价为准，并修改单价；对不同文字文本投标文件的解释发生异议的，以中文文本为准。</w:t>
      </w:r>
    </w:p>
    <w:p w14:paraId="03E4A807">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color w:val="auto"/>
          <w:sz w:val="24"/>
          <w:szCs w:val="20"/>
          <w:highlight w:val="none"/>
        </w:rPr>
      </w:pPr>
      <w:r>
        <w:rPr>
          <w:rFonts w:hint="eastAsia" w:ascii="宋体" w:hAnsi="宋体" w:cs="宋体"/>
          <w:b/>
          <w:bCs/>
          <w:color w:val="auto"/>
          <w:sz w:val="24"/>
          <w:highlight w:val="none"/>
        </w:rPr>
        <w:t>3</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2同时出现两种以上不一致的，按照前款规定的顺序修正。修正后的报价按照财政部公布第87号令 《政府采购货物和服务招标投标管理办法》第五十一条第二款的规定经供应商确认后产生约束力，供应商不确认的，其投标无效。</w:t>
      </w:r>
    </w:p>
    <w:p w14:paraId="4C025C46">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cs="宋体"/>
          <w:b/>
          <w:color w:val="auto"/>
          <w:sz w:val="24"/>
          <w:highlight w:val="none"/>
        </w:rPr>
      </w:pPr>
      <w:bookmarkStart w:id="176" w:name="_Toc9198"/>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5.3</w:t>
      </w:r>
      <w:r>
        <w:rPr>
          <w:rFonts w:hint="eastAsia" w:ascii="宋体" w:hAnsi="宋体" w:cs="宋体"/>
          <w:b/>
          <w:color w:val="auto"/>
          <w:sz w:val="24"/>
          <w:highlight w:val="none"/>
        </w:rPr>
        <w:t>评标委员会认为供应商的报价明显低于其他供应商的报价，有可能影响产品质量或者不能诚信履约的，应当要求其在评标现场合理的时间内提供书面说明，必要时提交相关证明材料；供应商不能证明其报价合理性的，评标委员会应当将其作为无效投标处理。</w:t>
      </w:r>
      <w:bookmarkEnd w:id="176"/>
    </w:p>
    <w:p w14:paraId="12E52B80">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b/>
          <w:bCs/>
          <w:color w:val="auto"/>
          <w:sz w:val="24"/>
          <w:highlight w:val="none"/>
        </w:rPr>
        <w:t>确定</w:t>
      </w:r>
      <w:r>
        <w:rPr>
          <w:rFonts w:hint="eastAsia" w:ascii="宋体" w:hAnsi="宋体" w:cs="宋体"/>
          <w:b/>
          <w:color w:val="auto"/>
          <w:sz w:val="24"/>
          <w:highlight w:val="none"/>
        </w:rPr>
        <w:t>中标供应商</w:t>
      </w:r>
    </w:p>
    <w:p w14:paraId="46A54DC2">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.1各供应商的</w:t>
      </w:r>
      <w:r>
        <w:rPr>
          <w:rFonts w:hint="eastAsia" w:ascii="宋体" w:hAnsi="宋体" w:cs="宋体"/>
          <w:b/>
          <w:color w:val="auto"/>
          <w:sz w:val="24"/>
          <w:highlight w:val="none"/>
          <w:lang w:eastAsia="zh-CN"/>
        </w:rPr>
        <w:t>综合</w:t>
      </w:r>
      <w:r>
        <w:rPr>
          <w:rFonts w:hint="eastAsia" w:ascii="宋体" w:hAnsi="宋体" w:cs="宋体"/>
          <w:b/>
          <w:color w:val="auto"/>
          <w:sz w:val="24"/>
          <w:highlight w:val="none"/>
        </w:rPr>
        <w:t>得分由高至低排序，</w:t>
      </w:r>
      <w:r>
        <w:rPr>
          <w:rFonts w:hint="eastAsia" w:ascii="宋体" w:hAnsi="宋体" w:cs="宋体"/>
          <w:b/>
          <w:color w:val="auto"/>
          <w:sz w:val="24"/>
          <w:highlight w:val="none"/>
          <w:lang w:eastAsia="zh-CN"/>
        </w:rPr>
        <w:t>综合</w:t>
      </w:r>
      <w:r>
        <w:rPr>
          <w:rFonts w:hint="eastAsia" w:ascii="宋体" w:hAnsi="宋体" w:cs="宋体"/>
          <w:b/>
          <w:color w:val="auto"/>
          <w:sz w:val="24"/>
          <w:highlight w:val="none"/>
        </w:rPr>
        <w:t>得分排列前3名的供应商被推荐为</w:t>
      </w:r>
      <w:r>
        <w:rPr>
          <w:rFonts w:hint="eastAsia" w:ascii="宋体" w:hAnsi="宋体" w:cs="宋体"/>
          <w:b/>
          <w:color w:val="auto"/>
          <w:sz w:val="24"/>
          <w:highlight w:val="none"/>
          <w:lang w:eastAsia="zh-CN"/>
        </w:rPr>
        <w:t>中标</w:t>
      </w:r>
      <w:r>
        <w:rPr>
          <w:rFonts w:hint="eastAsia" w:ascii="宋体" w:hAnsi="宋体" w:cs="宋体"/>
          <w:b/>
          <w:color w:val="auto"/>
          <w:sz w:val="24"/>
          <w:highlight w:val="none"/>
        </w:rPr>
        <w:t>候选供应商。</w:t>
      </w:r>
      <w:r>
        <w:rPr>
          <w:rFonts w:hint="eastAsia" w:ascii="宋体" w:hAnsi="宋体" w:cs="宋体"/>
          <w:b/>
          <w:color w:val="auto"/>
          <w:sz w:val="24"/>
          <w:highlight w:val="none"/>
          <w:lang w:eastAsia="zh-CN"/>
        </w:rPr>
        <w:t>综合</w:t>
      </w:r>
      <w:r>
        <w:rPr>
          <w:rFonts w:hint="eastAsia" w:ascii="宋体" w:hAnsi="宋体" w:cs="宋体"/>
          <w:b/>
          <w:color w:val="auto"/>
          <w:sz w:val="24"/>
          <w:highlight w:val="none"/>
        </w:rPr>
        <w:t>得分相同的，</w:t>
      </w:r>
      <w:r>
        <w:rPr>
          <w:rFonts w:hint="eastAsia" w:ascii="宋体" w:hAnsi="宋体" w:cs="宋体"/>
          <w:b/>
          <w:color w:val="auto"/>
          <w:sz w:val="24"/>
          <w:highlight w:val="none"/>
          <w:lang w:eastAsia="zh-CN"/>
        </w:rPr>
        <w:t>则</w:t>
      </w:r>
      <w:r>
        <w:rPr>
          <w:rFonts w:hint="eastAsia" w:ascii="宋体" w:hAnsi="宋体" w:cs="宋体"/>
          <w:b/>
          <w:color w:val="auto"/>
          <w:sz w:val="24"/>
          <w:highlight w:val="none"/>
        </w:rPr>
        <w:t>按</w:t>
      </w:r>
      <w:r>
        <w:rPr>
          <w:rFonts w:hint="eastAsia" w:ascii="宋体" w:hAnsi="宋体" w:cs="宋体"/>
          <w:b/>
          <w:color w:val="auto"/>
          <w:sz w:val="24"/>
          <w:highlight w:val="none"/>
          <w:lang w:eastAsia="zh-CN"/>
        </w:rPr>
        <w:t>商务报价</w:t>
      </w:r>
      <w:r>
        <w:rPr>
          <w:rFonts w:hint="eastAsia" w:ascii="宋体" w:hAnsi="宋体" w:cs="宋体"/>
          <w:b/>
          <w:color w:val="auto"/>
          <w:sz w:val="24"/>
          <w:highlight w:val="none"/>
        </w:rPr>
        <w:t>由低到高的顺序推荐。如综合得分且</w:t>
      </w:r>
      <w:r>
        <w:rPr>
          <w:rFonts w:hint="eastAsia" w:ascii="宋体" w:hAnsi="宋体" w:cs="宋体"/>
          <w:b/>
          <w:color w:val="auto"/>
          <w:sz w:val="24"/>
          <w:highlight w:val="none"/>
          <w:lang w:eastAsia="zh-CN"/>
        </w:rPr>
        <w:t>商务报价</w:t>
      </w:r>
      <w:r>
        <w:rPr>
          <w:rFonts w:hint="eastAsia" w:ascii="宋体" w:hAnsi="宋体" w:cs="宋体"/>
          <w:b/>
          <w:color w:val="auto"/>
          <w:sz w:val="24"/>
          <w:highlight w:val="none"/>
          <w:lang w:val="en-US" w:eastAsia="zh-CN"/>
        </w:rPr>
        <w:t>均</w:t>
      </w:r>
      <w:r>
        <w:rPr>
          <w:rFonts w:hint="eastAsia" w:ascii="宋体" w:hAnsi="宋体" w:cs="宋体"/>
          <w:b/>
          <w:color w:val="auto"/>
          <w:sz w:val="24"/>
          <w:highlight w:val="none"/>
        </w:rPr>
        <w:t>相同，则按技术</w:t>
      </w:r>
      <w:r>
        <w:rPr>
          <w:rFonts w:hint="eastAsia" w:ascii="宋体" w:hAnsi="宋体" w:cs="宋体"/>
          <w:b/>
          <w:color w:val="auto"/>
          <w:sz w:val="24"/>
          <w:highlight w:val="none"/>
          <w:lang w:val="en-US" w:eastAsia="zh-CN"/>
        </w:rPr>
        <w:t>+商务</w:t>
      </w:r>
      <w:r>
        <w:rPr>
          <w:rFonts w:hint="eastAsia" w:ascii="宋体" w:hAnsi="宋体" w:cs="宋体"/>
          <w:b/>
          <w:color w:val="auto"/>
          <w:sz w:val="24"/>
          <w:highlight w:val="none"/>
        </w:rPr>
        <w:t>部分</w:t>
      </w:r>
      <w:r>
        <w:rPr>
          <w:rFonts w:hint="eastAsia" w:ascii="宋体" w:hAnsi="宋体" w:cs="宋体"/>
          <w:b/>
          <w:color w:val="auto"/>
          <w:sz w:val="24"/>
          <w:highlight w:val="none"/>
          <w:lang w:eastAsia="zh-CN"/>
        </w:rPr>
        <w:t>合计</w:t>
      </w:r>
      <w:r>
        <w:rPr>
          <w:rFonts w:hint="eastAsia" w:ascii="宋体" w:hAnsi="宋体" w:cs="宋体"/>
          <w:b/>
          <w:color w:val="auto"/>
          <w:sz w:val="24"/>
          <w:highlight w:val="none"/>
        </w:rPr>
        <w:t>得分由高至低顺序排列，如出现综合得分、</w:t>
      </w:r>
      <w:r>
        <w:rPr>
          <w:rFonts w:hint="eastAsia" w:ascii="宋体" w:hAnsi="宋体" w:cs="宋体"/>
          <w:b/>
          <w:color w:val="auto"/>
          <w:sz w:val="24"/>
          <w:highlight w:val="none"/>
          <w:lang w:eastAsia="zh-CN"/>
        </w:rPr>
        <w:t>商务报价</w:t>
      </w:r>
      <w:r>
        <w:rPr>
          <w:rFonts w:hint="eastAsia" w:ascii="宋体" w:hAnsi="宋体" w:cs="宋体"/>
          <w:b/>
          <w:color w:val="auto"/>
          <w:sz w:val="24"/>
          <w:highlight w:val="none"/>
        </w:rPr>
        <w:t>且技术</w:t>
      </w:r>
      <w:r>
        <w:rPr>
          <w:rFonts w:hint="eastAsia" w:ascii="宋体" w:hAnsi="宋体" w:cs="宋体"/>
          <w:b/>
          <w:color w:val="auto"/>
          <w:sz w:val="24"/>
          <w:highlight w:val="none"/>
          <w:lang w:val="en-US" w:eastAsia="zh-CN"/>
        </w:rPr>
        <w:t>+商务</w:t>
      </w:r>
      <w:r>
        <w:rPr>
          <w:rFonts w:hint="eastAsia" w:ascii="宋体" w:hAnsi="宋体" w:cs="宋体"/>
          <w:b/>
          <w:color w:val="auto"/>
          <w:sz w:val="24"/>
          <w:highlight w:val="none"/>
        </w:rPr>
        <w:t>部分</w:t>
      </w:r>
      <w:r>
        <w:rPr>
          <w:rFonts w:hint="eastAsia" w:ascii="宋体" w:hAnsi="宋体" w:cs="宋体"/>
          <w:b/>
          <w:color w:val="auto"/>
          <w:sz w:val="24"/>
          <w:highlight w:val="none"/>
          <w:lang w:val="en-US" w:eastAsia="zh-CN"/>
        </w:rPr>
        <w:t>合计</w:t>
      </w:r>
      <w:r>
        <w:rPr>
          <w:rFonts w:hint="eastAsia" w:ascii="宋体" w:hAnsi="宋体" w:cs="宋体"/>
          <w:b/>
          <w:color w:val="auto"/>
          <w:sz w:val="24"/>
          <w:highlight w:val="none"/>
        </w:rPr>
        <w:t>得分也均相同时，则由评标委员会投票确定其排序</w:t>
      </w:r>
      <w:r>
        <w:rPr>
          <w:rFonts w:hint="eastAsia" w:ascii="宋体" w:hAnsi="宋体" w:cs="宋体"/>
          <w:color w:val="auto"/>
          <w:sz w:val="24"/>
          <w:highlight w:val="none"/>
        </w:rPr>
        <w:t>。</w:t>
      </w:r>
    </w:p>
    <w:p w14:paraId="3404F413">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.2 采购人根据评标委员会推荐的中标候选人及有关规定确定中标供应商。</w:t>
      </w:r>
    </w:p>
    <w:p w14:paraId="182FFC9A">
      <w:pPr>
        <w:keepNext w:val="0"/>
        <w:keepLines w:val="0"/>
        <w:pageBreakBefore w:val="0"/>
        <w:kinsoku/>
        <w:wordWrap/>
        <w:overflowPunct/>
        <w:topLinePunct w:val="0"/>
        <w:autoSpaceDE/>
        <w:autoSpaceDN/>
        <w:bidi w:val="0"/>
        <w:spacing w:line="440" w:lineRule="exact"/>
        <w:ind w:firstLine="482" w:firstLineChars="200"/>
        <w:rPr>
          <w:rFonts w:ascii="仿宋_GB2312" w:hAnsi="仿宋_GB2312" w:eastAsia="仿宋_GB2312" w:cs="仿宋_GB2312"/>
          <w:b/>
          <w:color w:val="auto"/>
          <w:sz w:val="24"/>
          <w:szCs w:val="20"/>
          <w:highlight w:val="none"/>
        </w:rPr>
      </w:pPr>
      <w:r>
        <w:rPr>
          <w:rFonts w:hint="eastAsia" w:ascii="宋体" w:hAnsi="宋体" w:cs="宋体"/>
          <w:b/>
          <w:color w:val="auto"/>
          <w:sz w:val="24"/>
          <w:highlight w:val="none"/>
        </w:rPr>
        <w:t>注：评分计算保留两位小数，第三位小数四舍五入</w:t>
      </w:r>
      <w:r>
        <w:rPr>
          <w:rFonts w:hint="eastAsia" w:ascii="仿宋_GB2312" w:hAnsi="仿宋_GB2312" w:eastAsia="仿宋_GB2312" w:cs="仿宋_GB2312"/>
          <w:b/>
          <w:color w:val="auto"/>
          <w:sz w:val="24"/>
          <w:szCs w:val="20"/>
          <w:highlight w:val="none"/>
        </w:rPr>
        <w:t>。</w:t>
      </w:r>
    </w:p>
    <w:p w14:paraId="15B0E2A6">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.3采购代理机构应当在评审结束后2个工作日内将评审报告送采购人确认。</w:t>
      </w:r>
    </w:p>
    <w:p w14:paraId="3C59DD2C">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.4采购人应当在收到评标报告后5个工作日内，按照评标报告中推荐的中标候选人顺序确定中标供应商；也可以事先授权评标委员会直接确定中标供应商。</w:t>
      </w:r>
    </w:p>
    <w:p w14:paraId="42AE1765">
      <w:pPr>
        <w:keepNext w:val="0"/>
        <w:keepLines w:val="0"/>
        <w:pageBreakBefore w:val="0"/>
        <w:kinsoku/>
        <w:wordWrap/>
        <w:overflowPunct/>
        <w:topLinePunct w:val="0"/>
        <w:autoSpaceDE/>
        <w:autoSpaceDN/>
        <w:bidi w:val="0"/>
        <w:spacing w:line="440" w:lineRule="exact"/>
        <w:ind w:firstLine="482" w:firstLineChars="200"/>
        <w:rPr>
          <w:rFonts w:hint="eastAsia" w:ascii="宋体" w:hAnsi="宋体" w:cs="宋体"/>
          <w:b/>
          <w:color w:val="auto"/>
          <w:sz w:val="24"/>
          <w:szCs w:val="20"/>
          <w:highlight w:val="none"/>
        </w:rPr>
      </w:pPr>
      <w:r>
        <w:rPr>
          <w:rFonts w:hint="eastAsia" w:ascii="宋体" w:hAnsi="宋体" w:cs="宋体"/>
          <w:b/>
          <w:color w:val="auto"/>
          <w:sz w:val="24"/>
          <w:szCs w:val="20"/>
          <w:highlight w:val="none"/>
        </w:rPr>
        <w:t>3</w:t>
      </w:r>
      <w:r>
        <w:rPr>
          <w:rFonts w:hint="eastAsia" w:ascii="宋体" w:hAnsi="宋体" w:cs="宋体"/>
          <w:b/>
          <w:color w:val="auto"/>
          <w:sz w:val="24"/>
          <w:szCs w:val="20"/>
          <w:highlight w:val="none"/>
          <w:lang w:val="en-US" w:eastAsia="zh-CN"/>
        </w:rPr>
        <w:t>6</w:t>
      </w:r>
      <w:r>
        <w:rPr>
          <w:rFonts w:hint="eastAsia" w:ascii="宋体" w:hAnsi="宋体" w:cs="宋体"/>
          <w:b/>
          <w:color w:val="auto"/>
          <w:sz w:val="24"/>
          <w:szCs w:val="20"/>
          <w:highlight w:val="none"/>
        </w:rPr>
        <w:t>.5中标供应商因不可抗力或者自身原因不能履行政府采购合同的，采购人可以与排位在中标供应商之后第一位的中标候选人签订政府采购合同，以此类推。</w:t>
      </w:r>
    </w:p>
    <w:p w14:paraId="52F57CCF">
      <w:pPr>
        <w:spacing w:line="360" w:lineRule="auto"/>
        <w:ind w:firstLine="482" w:firstLineChars="200"/>
        <w:outlineLvl w:val="1"/>
        <w:rPr>
          <w:rFonts w:hint="eastAsia" w:ascii="宋体" w:hAnsi="宋体" w:cs="宋体"/>
          <w:color w:val="auto"/>
          <w:sz w:val="24"/>
          <w:highlight w:val="none"/>
        </w:rPr>
      </w:pPr>
      <w:r>
        <w:rPr>
          <w:rFonts w:hint="eastAsia" w:ascii="宋体" w:hAnsi="宋体" w:cs="宋体"/>
          <w:b/>
          <w:color w:val="auto"/>
          <w:sz w:val="24"/>
          <w:szCs w:val="20"/>
          <w:highlight w:val="none"/>
        </w:rPr>
        <w:t>3</w:t>
      </w:r>
      <w:r>
        <w:rPr>
          <w:rFonts w:hint="eastAsia" w:ascii="宋体" w:hAnsi="宋体" w:cs="宋体"/>
          <w:b/>
          <w:color w:val="auto"/>
          <w:sz w:val="24"/>
          <w:szCs w:val="20"/>
          <w:highlight w:val="none"/>
          <w:lang w:val="en-US" w:eastAsia="zh-CN"/>
        </w:rPr>
        <w:t>6</w:t>
      </w:r>
      <w:r>
        <w:rPr>
          <w:rFonts w:hint="eastAsia" w:ascii="宋体" w:hAnsi="宋体" w:cs="宋体"/>
          <w:b/>
          <w:color w:val="auto"/>
          <w:sz w:val="24"/>
          <w:szCs w:val="20"/>
          <w:highlight w:val="none"/>
        </w:rPr>
        <w:t>.6在确定中标供应商前，招标采购单位不得与供应商就投标价格、投标方案等实质性内容进行</w:t>
      </w:r>
      <w:r>
        <w:rPr>
          <w:rFonts w:hint="eastAsia" w:ascii="宋体" w:hAnsi="宋体" w:cs="宋体"/>
          <w:b/>
          <w:color w:val="auto"/>
          <w:sz w:val="24"/>
          <w:szCs w:val="20"/>
          <w:highlight w:val="none"/>
          <w:lang w:eastAsia="zh-CN"/>
        </w:rPr>
        <w:t>投标</w:t>
      </w:r>
      <w:r>
        <w:rPr>
          <w:rFonts w:hint="eastAsia" w:ascii="宋体" w:hAnsi="宋体" w:cs="宋体"/>
          <w:b/>
          <w:color w:val="auto"/>
          <w:sz w:val="24"/>
          <w:szCs w:val="20"/>
          <w:highlight w:val="none"/>
        </w:rPr>
        <w:t>。</w:t>
      </w:r>
    </w:p>
    <w:p w14:paraId="14812FC6">
      <w:pPr>
        <w:spacing w:line="360" w:lineRule="auto"/>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、采购人依法接受和拒绝任一或所有供应商的权力</w:t>
      </w:r>
    </w:p>
    <w:p w14:paraId="777ADEF7">
      <w:pPr>
        <w:keepNext w:val="0"/>
        <w:keepLines w:val="0"/>
        <w:pageBreakBefore w:val="0"/>
        <w:kinsoku/>
        <w:wordWrap/>
        <w:overflowPunct/>
        <w:topLinePunct w:val="0"/>
        <w:autoSpaceDE/>
        <w:autoSpaceDN/>
        <w:bidi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采购人保留确定中标供应商之前的任何时候依法接受或拒绝任一或所有供应商的权力，对受影响的供应商不承担任何责任，也无义务向受影响的供应商解释采取这一行动的理由。</w:t>
      </w:r>
    </w:p>
    <w:p w14:paraId="53C224BB">
      <w:pPr>
        <w:keepNext w:val="0"/>
        <w:keepLines w:val="0"/>
        <w:pageBreakBefore w:val="0"/>
        <w:kinsoku/>
        <w:wordWrap/>
        <w:overflowPunct/>
        <w:topLinePunct w:val="0"/>
        <w:autoSpaceDE/>
        <w:autoSpaceDN/>
        <w:bidi w:val="0"/>
        <w:spacing w:line="440" w:lineRule="exact"/>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、中标通知书</w:t>
      </w:r>
    </w:p>
    <w:p w14:paraId="42690024">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.1采购人确定中标供应商后，及时通知采购代理机构，采购代理机构将按程序公告中标结果，同时向中标供应商发出中标通知书，中标通知书一经发出即发生法律效力。</w:t>
      </w:r>
    </w:p>
    <w:p w14:paraId="186F0940">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.2《中标通知书》将是合同的组成部分。</w:t>
      </w:r>
    </w:p>
    <w:p w14:paraId="228A07F2">
      <w:pPr>
        <w:keepNext w:val="0"/>
        <w:keepLines w:val="0"/>
        <w:pageBreakBefore w:val="0"/>
        <w:kinsoku/>
        <w:wordWrap/>
        <w:overflowPunct/>
        <w:topLinePunct w:val="0"/>
        <w:autoSpaceDE/>
        <w:autoSpaceDN/>
        <w:bidi w:val="0"/>
        <w:spacing w:line="440" w:lineRule="exact"/>
        <w:ind w:firstLine="480" w:firstLineChars="200"/>
        <w:outlineLvl w:val="1"/>
        <w:rPr>
          <w:rFonts w:hint="eastAsia" w:ascii="宋体" w:hAnsi="宋体" w:cs="宋体"/>
          <w:color w:val="auto"/>
          <w:sz w:val="24"/>
          <w:highlight w:val="none"/>
        </w:rPr>
      </w:pPr>
      <w:bookmarkStart w:id="177" w:name="_Toc5897"/>
      <w:r>
        <w:rPr>
          <w:rFonts w:hint="eastAsia" w:ascii="宋体" w:hAnsi="宋体" w:cs="宋体"/>
          <w:color w:val="auto"/>
          <w:sz w:val="24"/>
          <w:highlight w:val="none"/>
          <w:lang w:val="en-US" w:eastAsia="zh-CN"/>
        </w:rPr>
        <w:t>39</w:t>
      </w:r>
      <w:r>
        <w:rPr>
          <w:rFonts w:hint="eastAsia" w:ascii="宋体" w:hAnsi="宋体" w:cs="宋体"/>
          <w:color w:val="auto"/>
          <w:sz w:val="24"/>
          <w:highlight w:val="none"/>
        </w:rPr>
        <w:t>、纪律与保密事项</w:t>
      </w:r>
      <w:bookmarkEnd w:id="177"/>
    </w:p>
    <w:p w14:paraId="7C850BE6">
      <w:pPr>
        <w:keepNext w:val="0"/>
        <w:keepLines w:val="0"/>
        <w:pageBreakBefore w:val="0"/>
        <w:kinsoku/>
        <w:wordWrap/>
        <w:overflowPunct/>
        <w:topLinePunct w:val="0"/>
        <w:autoSpaceDE/>
        <w:autoSpaceDN/>
        <w:bidi w:val="0"/>
        <w:spacing w:line="440" w:lineRule="exact"/>
        <w:ind w:firstLine="482"/>
        <w:rPr>
          <w:rFonts w:hint="eastAsia" w:ascii="宋体" w:hAnsi="宋体" w:cs="宋体"/>
          <w:color w:val="auto"/>
          <w:sz w:val="24"/>
          <w:highlight w:val="none"/>
        </w:rPr>
      </w:pPr>
      <w:r>
        <w:rPr>
          <w:rFonts w:hint="eastAsia" w:ascii="宋体" w:hAnsi="宋体" w:cs="宋体"/>
          <w:color w:val="auto"/>
          <w:sz w:val="24"/>
          <w:highlight w:val="none"/>
          <w:lang w:val="en-US" w:eastAsia="zh-CN"/>
        </w:rPr>
        <w:t>39</w:t>
      </w:r>
      <w:r>
        <w:rPr>
          <w:rFonts w:hint="eastAsia" w:ascii="宋体" w:hAnsi="宋体" w:cs="宋体"/>
          <w:color w:val="auto"/>
          <w:sz w:val="24"/>
          <w:highlight w:val="none"/>
        </w:rPr>
        <w:t>.1凡参与公开招标工作的有关人员均应自觉接受有关主管部门的监督，不得向他人透露可能影响公平竞争的有关公开的其他情况。</w:t>
      </w:r>
    </w:p>
    <w:p w14:paraId="3E1998B1">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39</w:t>
      </w:r>
      <w:r>
        <w:rPr>
          <w:rFonts w:hint="eastAsia" w:ascii="宋体" w:hAnsi="宋体" w:cs="宋体"/>
          <w:color w:val="auto"/>
          <w:sz w:val="24"/>
          <w:highlight w:val="none"/>
        </w:rPr>
        <w:t>.2领取本招标文件及其它相关资料者，应对文件进行保密，不得用作本次公开以外的任何用途。由采购人向供应商提供的技术资料和所有其它资料，均视为保密资料，除非得到采购人的同意，不得向第三方透露。</w:t>
      </w:r>
    </w:p>
    <w:p w14:paraId="2E342C98">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39</w:t>
      </w:r>
      <w:r>
        <w:rPr>
          <w:rFonts w:hint="eastAsia" w:ascii="宋体" w:hAnsi="宋体" w:cs="宋体"/>
          <w:color w:val="auto"/>
          <w:sz w:val="24"/>
          <w:highlight w:val="none"/>
        </w:rPr>
        <w:t>.3供应商不得与采购人串通，不得向采购人或者评标委员会成员行贿谋取</w:t>
      </w:r>
      <w:r>
        <w:rPr>
          <w:rFonts w:hint="eastAsia" w:ascii="宋体" w:hAnsi="宋体" w:cs="宋体"/>
          <w:color w:val="auto"/>
          <w:sz w:val="24"/>
          <w:highlight w:val="none"/>
          <w:lang w:eastAsia="zh-CN"/>
        </w:rPr>
        <w:t>中标</w:t>
      </w:r>
      <w:r>
        <w:rPr>
          <w:rFonts w:hint="eastAsia" w:ascii="宋体" w:hAnsi="宋体" w:cs="宋体"/>
          <w:color w:val="auto"/>
          <w:sz w:val="24"/>
          <w:highlight w:val="none"/>
        </w:rPr>
        <w:t>，不得以他人名义参与公开或者以其它任何方式弄虚作假骗取参与公开；供应商不得以任何方式干扰、影响评审工作。</w:t>
      </w:r>
      <w:r>
        <w:rPr>
          <w:rFonts w:hint="eastAsia" w:ascii="宋体" w:hAnsi="宋体" w:cs="宋体"/>
          <w:b/>
          <w:bCs/>
          <w:color w:val="auto"/>
          <w:sz w:val="24"/>
          <w:highlight w:val="none"/>
        </w:rPr>
        <w:t>如果供应商或者其他利害关系人通过捏造事实、伪造证明材料等方式提出质疑，干扰政府采购活动正常进行的，属于严重不良行为，采购人、采购代理机构将提请财政部门将其列入不良行为记录名单，并依法予以处罚</w:t>
      </w:r>
      <w:r>
        <w:rPr>
          <w:rFonts w:hint="eastAsia" w:ascii="宋体" w:hAnsi="宋体" w:cs="宋体"/>
          <w:color w:val="auto"/>
          <w:sz w:val="24"/>
          <w:highlight w:val="none"/>
        </w:rPr>
        <w:t>。</w:t>
      </w:r>
    </w:p>
    <w:p w14:paraId="75649EAA">
      <w:pPr>
        <w:keepNext w:val="0"/>
        <w:keepLines w:val="0"/>
        <w:pageBreakBefore w:val="0"/>
        <w:kinsoku/>
        <w:wordWrap/>
        <w:overflowPunct/>
        <w:topLinePunct w:val="0"/>
        <w:autoSpaceDE/>
        <w:autoSpaceDN/>
        <w:bidi w:val="0"/>
        <w:spacing w:line="440" w:lineRule="exact"/>
        <w:ind w:firstLine="481"/>
        <w:rPr>
          <w:rFonts w:hint="eastAsia" w:ascii="宋体" w:hAnsi="宋体" w:cs="宋体"/>
          <w:color w:val="auto"/>
          <w:sz w:val="24"/>
          <w:highlight w:val="none"/>
        </w:rPr>
      </w:pPr>
      <w:r>
        <w:rPr>
          <w:rFonts w:hint="eastAsia" w:ascii="宋体" w:hAnsi="宋体" w:cs="宋体"/>
          <w:color w:val="auto"/>
          <w:sz w:val="24"/>
          <w:highlight w:val="none"/>
          <w:lang w:val="en-US" w:eastAsia="zh-CN"/>
        </w:rPr>
        <w:t>39</w:t>
      </w:r>
      <w:r>
        <w:rPr>
          <w:rFonts w:hint="eastAsia" w:ascii="宋体" w:hAnsi="宋体" w:cs="宋体"/>
          <w:color w:val="auto"/>
          <w:sz w:val="24"/>
          <w:highlight w:val="none"/>
        </w:rPr>
        <w:t>.4供应商不得在公开采购过程中互相串通、结盟、损害公开的公正性和竞争性，或以任何方式影响其他供应商参与正当公开。扰乱公开市场，破坏公平竞争原则。如供应商在公开招标过程中互相串通，一经查实，将取消公开招标资格。</w:t>
      </w:r>
    </w:p>
    <w:p w14:paraId="1148B36B">
      <w:pPr>
        <w:keepNext w:val="0"/>
        <w:keepLines w:val="0"/>
        <w:pageBreakBefore w:val="0"/>
        <w:kinsoku/>
        <w:wordWrap/>
        <w:overflowPunct/>
        <w:topLinePunct w:val="0"/>
        <w:autoSpaceDE/>
        <w:autoSpaceDN/>
        <w:bidi w:val="0"/>
        <w:spacing w:line="440" w:lineRule="exact"/>
        <w:ind w:firstLine="482"/>
        <w:rPr>
          <w:rFonts w:hint="eastAsia" w:ascii="宋体" w:hAnsi="宋体" w:cs="宋体"/>
          <w:color w:val="auto"/>
          <w:sz w:val="24"/>
          <w:highlight w:val="none"/>
        </w:rPr>
      </w:pPr>
      <w:r>
        <w:rPr>
          <w:rFonts w:hint="eastAsia" w:ascii="宋体" w:hAnsi="宋体" w:cs="宋体"/>
          <w:color w:val="auto"/>
          <w:sz w:val="24"/>
          <w:highlight w:val="none"/>
          <w:lang w:val="en-US" w:eastAsia="zh-CN"/>
        </w:rPr>
        <w:t>39</w:t>
      </w:r>
      <w:r>
        <w:rPr>
          <w:rFonts w:hint="eastAsia" w:ascii="宋体" w:hAnsi="宋体" w:cs="宋体"/>
          <w:color w:val="auto"/>
          <w:sz w:val="24"/>
          <w:highlight w:val="none"/>
        </w:rPr>
        <w:t>.5 公开之日起直至授予中标供应商合同为止，凡属于对投标文件的审查、澄清、评价、比较有关的资料和中标候选人的推荐情况及与评审有关的其他任何情况均严格保密。</w:t>
      </w:r>
    </w:p>
    <w:p w14:paraId="6BB279D3">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39</w:t>
      </w:r>
      <w:r>
        <w:rPr>
          <w:rFonts w:hint="eastAsia" w:ascii="宋体" w:hAnsi="宋体" w:cs="宋体"/>
          <w:color w:val="auto"/>
          <w:sz w:val="24"/>
          <w:highlight w:val="none"/>
        </w:rPr>
        <w:t>.6从公开之日起至授予合同期间，供应商试图向评标委员会、采购代理机构施加任何影响或对采购人的比较及授予合同的决定进行影响，都可能导致其投标文件被拒绝。</w:t>
      </w:r>
    </w:p>
    <w:p w14:paraId="6302194B">
      <w:pPr>
        <w:keepNext w:val="0"/>
        <w:keepLines w:val="0"/>
        <w:pageBreakBefore w:val="0"/>
        <w:kinsoku/>
        <w:wordWrap/>
        <w:overflowPunct/>
        <w:topLinePunct w:val="0"/>
        <w:autoSpaceDE/>
        <w:autoSpaceDN/>
        <w:bidi w:val="0"/>
        <w:spacing w:line="440" w:lineRule="exact"/>
        <w:ind w:firstLine="482"/>
        <w:rPr>
          <w:rFonts w:hint="eastAsia" w:ascii="宋体" w:hAnsi="宋体" w:cs="宋体"/>
          <w:color w:val="auto"/>
          <w:sz w:val="24"/>
          <w:highlight w:val="none"/>
        </w:rPr>
      </w:pPr>
      <w:r>
        <w:rPr>
          <w:rFonts w:hint="eastAsia" w:ascii="宋体" w:hAnsi="宋体" w:cs="宋体"/>
          <w:color w:val="auto"/>
          <w:sz w:val="24"/>
          <w:highlight w:val="none"/>
          <w:lang w:val="en-US" w:eastAsia="zh-CN"/>
        </w:rPr>
        <w:t>39</w:t>
      </w:r>
      <w:r>
        <w:rPr>
          <w:rFonts w:hint="eastAsia" w:ascii="宋体" w:hAnsi="宋体" w:cs="宋体"/>
          <w:color w:val="auto"/>
          <w:sz w:val="24"/>
          <w:highlight w:val="none"/>
        </w:rPr>
        <w:t>.7除供应商被要求对投标文件进行澄清外，从公开之时起至授予合同期间，供应商不得就与其投标文件有关的事项主动与评标委员会、采购代理机构以及采购人联系。</w:t>
      </w:r>
    </w:p>
    <w:p w14:paraId="0BF89E50">
      <w:pPr>
        <w:keepNext w:val="0"/>
        <w:keepLines w:val="0"/>
        <w:pageBreakBefore w:val="0"/>
        <w:kinsoku/>
        <w:wordWrap/>
        <w:overflowPunct/>
        <w:topLinePunct w:val="0"/>
        <w:autoSpaceDE/>
        <w:autoSpaceDN/>
        <w:bidi w:val="0"/>
        <w:spacing w:line="440" w:lineRule="exact"/>
        <w:ind w:firstLine="482"/>
        <w:rPr>
          <w:color w:val="auto"/>
          <w:highlight w:val="none"/>
        </w:rPr>
      </w:pPr>
      <w:r>
        <w:rPr>
          <w:rFonts w:hint="eastAsia" w:ascii="宋体" w:hAnsi="宋体" w:cs="宋体"/>
          <w:color w:val="auto"/>
          <w:sz w:val="24"/>
          <w:highlight w:val="none"/>
          <w:lang w:val="en-US" w:eastAsia="zh-CN"/>
        </w:rPr>
        <w:t>39</w:t>
      </w:r>
      <w:r>
        <w:rPr>
          <w:rFonts w:hint="eastAsia" w:ascii="宋体" w:hAnsi="宋体" w:cs="宋体"/>
          <w:color w:val="auto"/>
          <w:sz w:val="24"/>
          <w:highlight w:val="none"/>
        </w:rPr>
        <w:t>.8中标供应商确定后，采购人不对未中标供应商就评审过程以及未能中标原因作出任何解释，未中标供应商不得向评标委员会或其他有关人员询问评审过程的情况和索取评审过程的资料。</w:t>
      </w:r>
    </w:p>
    <w:p w14:paraId="5D10764C">
      <w:pPr>
        <w:pStyle w:val="12"/>
        <w:spacing w:line="360" w:lineRule="auto"/>
        <w:outlineLvl w:val="1"/>
        <w:rPr>
          <w:rFonts w:hAnsi="宋体" w:cs="宋体"/>
          <w:b/>
          <w:bCs/>
          <w:color w:val="auto"/>
          <w:sz w:val="24"/>
          <w:szCs w:val="24"/>
          <w:highlight w:val="none"/>
        </w:rPr>
      </w:pPr>
      <w:r>
        <w:rPr>
          <w:rFonts w:hint="eastAsia" w:hAnsi="宋体" w:cs="宋体"/>
          <w:b/>
          <w:bCs/>
          <w:color w:val="auto"/>
          <w:sz w:val="24"/>
          <w:szCs w:val="24"/>
          <w:highlight w:val="none"/>
        </w:rPr>
        <w:t>六、授予合同</w:t>
      </w:r>
      <w:bookmarkEnd w:id="145"/>
      <w:bookmarkStart w:id="178" w:name="_Toc233274853"/>
      <w:bookmarkStart w:id="179" w:name="_Toc243906355"/>
      <w:bookmarkStart w:id="180" w:name="_Toc243907618"/>
      <w:bookmarkStart w:id="181" w:name="_Toc245897315"/>
    </w:p>
    <w:bookmarkEnd w:id="178"/>
    <w:bookmarkEnd w:id="179"/>
    <w:bookmarkEnd w:id="180"/>
    <w:bookmarkEnd w:id="181"/>
    <w:p w14:paraId="64984E85">
      <w:pPr>
        <w:pStyle w:val="12"/>
        <w:spacing w:line="360" w:lineRule="auto"/>
        <w:ind w:firstLine="480" w:firstLineChars="200"/>
        <w:outlineLvl w:val="1"/>
        <w:rPr>
          <w:rFonts w:hAnsi="宋体" w:cs="宋体"/>
          <w:bCs/>
          <w:color w:val="auto"/>
          <w:sz w:val="24"/>
          <w:szCs w:val="24"/>
          <w:highlight w:val="none"/>
        </w:rPr>
      </w:pPr>
      <w:r>
        <w:rPr>
          <w:rFonts w:hint="eastAsia" w:hAnsi="宋体" w:cs="宋体"/>
          <w:bCs/>
          <w:color w:val="auto"/>
          <w:sz w:val="24"/>
          <w:szCs w:val="24"/>
          <w:highlight w:val="none"/>
          <w:lang w:val="en-US" w:eastAsia="zh-CN"/>
        </w:rPr>
        <w:t>40</w:t>
      </w:r>
      <w:r>
        <w:rPr>
          <w:rFonts w:hint="eastAsia" w:hAnsi="宋体" w:cs="宋体"/>
          <w:bCs/>
          <w:color w:val="auto"/>
          <w:sz w:val="24"/>
          <w:szCs w:val="24"/>
          <w:highlight w:val="none"/>
        </w:rPr>
        <w:t>、授予合同标准</w:t>
      </w:r>
    </w:p>
    <w:p w14:paraId="000953A0">
      <w:pPr>
        <w:pStyle w:val="12"/>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lang w:val="en-US" w:eastAsia="zh-CN"/>
        </w:rPr>
        <w:t>40</w:t>
      </w:r>
      <w:r>
        <w:rPr>
          <w:rFonts w:hint="eastAsia" w:hAnsi="宋体" w:cs="宋体"/>
          <w:bCs/>
          <w:color w:val="auto"/>
          <w:sz w:val="24"/>
          <w:szCs w:val="24"/>
          <w:highlight w:val="none"/>
        </w:rPr>
        <w:t>.1本采购项目的采购合同将授予按本须知第3</w:t>
      </w:r>
      <w:r>
        <w:rPr>
          <w:rFonts w:hint="eastAsia" w:hAnsi="宋体" w:cs="宋体"/>
          <w:bCs/>
          <w:color w:val="auto"/>
          <w:sz w:val="24"/>
          <w:szCs w:val="24"/>
          <w:highlight w:val="none"/>
          <w:lang w:val="en-US" w:eastAsia="zh-CN"/>
        </w:rPr>
        <w:t>6</w:t>
      </w:r>
      <w:r>
        <w:rPr>
          <w:rFonts w:hint="eastAsia" w:hAnsi="宋体" w:cs="宋体"/>
          <w:bCs/>
          <w:color w:val="auto"/>
          <w:sz w:val="24"/>
          <w:szCs w:val="24"/>
          <w:highlight w:val="none"/>
        </w:rPr>
        <w:t>条所确定</w:t>
      </w:r>
      <w:r>
        <w:rPr>
          <w:rFonts w:hint="eastAsia" w:hAnsi="宋体" w:cs="宋体"/>
          <w:bCs/>
          <w:color w:val="auto"/>
          <w:sz w:val="24"/>
          <w:szCs w:val="24"/>
          <w:highlight w:val="none"/>
          <w:lang w:eastAsia="zh-CN"/>
        </w:rPr>
        <w:t>中标</w:t>
      </w:r>
      <w:r>
        <w:rPr>
          <w:rFonts w:hint="eastAsia" w:hAnsi="宋体" w:cs="宋体"/>
          <w:bCs/>
          <w:color w:val="auto"/>
          <w:sz w:val="24"/>
          <w:szCs w:val="24"/>
          <w:highlight w:val="none"/>
        </w:rPr>
        <w:t>供应商。</w:t>
      </w:r>
    </w:p>
    <w:p w14:paraId="226C12A6">
      <w:pPr>
        <w:pStyle w:val="12"/>
        <w:spacing w:line="360" w:lineRule="auto"/>
        <w:ind w:firstLine="480" w:firstLineChars="200"/>
        <w:outlineLvl w:val="1"/>
        <w:rPr>
          <w:rFonts w:hAnsi="宋体" w:cs="宋体"/>
          <w:color w:val="auto"/>
          <w:sz w:val="24"/>
          <w:szCs w:val="24"/>
          <w:highlight w:val="none"/>
        </w:rPr>
      </w:pPr>
      <w:bookmarkStart w:id="182" w:name="_Toc243906357"/>
      <w:bookmarkStart w:id="183" w:name="_Toc245897317"/>
      <w:bookmarkStart w:id="184" w:name="_Toc243907620"/>
      <w:bookmarkStart w:id="185" w:name="_Toc233274855"/>
      <w:r>
        <w:rPr>
          <w:rFonts w:hint="eastAsia" w:hAnsi="宋体" w:cs="宋体"/>
          <w:color w:val="auto"/>
          <w:sz w:val="24"/>
          <w:szCs w:val="24"/>
          <w:highlight w:val="none"/>
          <w:lang w:val="en-US" w:eastAsia="zh-CN"/>
        </w:rPr>
        <w:t>41</w:t>
      </w:r>
      <w:r>
        <w:rPr>
          <w:rFonts w:hint="eastAsia" w:hAnsi="宋体" w:cs="宋体"/>
          <w:color w:val="auto"/>
          <w:sz w:val="24"/>
          <w:szCs w:val="24"/>
          <w:highlight w:val="none"/>
        </w:rPr>
        <w:t>、签订合同</w:t>
      </w:r>
      <w:bookmarkEnd w:id="182"/>
      <w:bookmarkEnd w:id="183"/>
      <w:bookmarkEnd w:id="184"/>
      <w:bookmarkEnd w:id="185"/>
    </w:p>
    <w:p w14:paraId="2FB8178B">
      <w:pPr>
        <w:pStyle w:val="12"/>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highlight w:val="none"/>
        </w:rPr>
      </w:pPr>
      <w:bookmarkStart w:id="186" w:name="_Toc28470"/>
      <w:bookmarkStart w:id="187" w:name="_Toc245897318"/>
      <w:bookmarkStart w:id="188" w:name="_Toc243907621"/>
      <w:r>
        <w:rPr>
          <w:rFonts w:hint="eastAsia" w:hAnsi="宋体" w:cs="宋体"/>
          <w:color w:val="auto"/>
          <w:sz w:val="24"/>
          <w:szCs w:val="24"/>
          <w:highlight w:val="none"/>
        </w:rPr>
        <w:t>4</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.1采购人应当中标交通知书发出之日起三十日内，按照招标文件和中标供应商的投标文件订立书面合同。中标供应商不得要求订立背离本投标文件合同条款等投标文件实质性内容的其他协议。</w:t>
      </w:r>
      <w:bookmarkEnd w:id="186"/>
    </w:p>
    <w:p w14:paraId="52E70CFB">
      <w:pPr>
        <w:pStyle w:val="12"/>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highlight w:val="none"/>
        </w:rPr>
      </w:pPr>
      <w:bookmarkStart w:id="189" w:name="_Toc10011"/>
      <w:r>
        <w:rPr>
          <w:rFonts w:hint="eastAsia" w:hAnsi="宋体" w:cs="宋体"/>
          <w:color w:val="auto"/>
          <w:sz w:val="24"/>
          <w:szCs w:val="24"/>
          <w:highlight w:val="none"/>
        </w:rPr>
        <w:t>4</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.2 中标通知书、中标供应商的投标文件及其技术规范及标准、项目需求及技术要求、本招标文件（含修改文件或补充文件）及答疑纪要等，均为签订合同的依据。</w:t>
      </w:r>
      <w:bookmarkEnd w:id="189"/>
    </w:p>
    <w:p w14:paraId="4E0AD901">
      <w:pPr>
        <w:pStyle w:val="12"/>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highlight w:val="none"/>
        </w:rPr>
      </w:pPr>
      <w:bookmarkStart w:id="190" w:name="_Toc31200"/>
      <w:r>
        <w:rPr>
          <w:rFonts w:hint="eastAsia" w:hAnsi="宋体" w:cs="宋体"/>
          <w:color w:val="auto"/>
          <w:sz w:val="24"/>
          <w:szCs w:val="24"/>
          <w:highlight w:val="none"/>
        </w:rPr>
        <w:t>4</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.3采购人如不按本须知第42.1条规定与中标供应商签订合同，或者采购人、中标供应商签订背离合同实质性内容的协议，由监督管理部门责令其改正。</w:t>
      </w:r>
      <w:bookmarkEnd w:id="190"/>
    </w:p>
    <w:p w14:paraId="50359B35">
      <w:pPr>
        <w:pStyle w:val="12"/>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highlight w:val="none"/>
        </w:rPr>
      </w:pPr>
      <w:bookmarkStart w:id="191" w:name="_Toc17125"/>
      <w:r>
        <w:rPr>
          <w:rFonts w:hint="eastAsia" w:hAnsi="宋体" w:cs="宋体"/>
          <w:color w:val="auto"/>
          <w:sz w:val="24"/>
          <w:szCs w:val="24"/>
          <w:highlight w:val="none"/>
        </w:rPr>
        <w:t>4</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.4中标供应商如不按本须知第42.1条规定与采购人签订合同，则按违约处理，采购人将有权取消中标供应商资格，给采购人造成损失，还应当予以赔偿，同时依法承担相应的法律责任。</w:t>
      </w:r>
      <w:bookmarkEnd w:id="191"/>
    </w:p>
    <w:p w14:paraId="2D9AD5DD">
      <w:pPr>
        <w:pStyle w:val="12"/>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highlight w:val="none"/>
        </w:rPr>
      </w:pPr>
      <w:bookmarkStart w:id="192" w:name="_Toc20940"/>
      <w:r>
        <w:rPr>
          <w:rFonts w:hint="eastAsia" w:hAnsi="宋体" w:cs="宋体"/>
          <w:color w:val="auto"/>
          <w:sz w:val="24"/>
          <w:szCs w:val="24"/>
          <w:highlight w:val="none"/>
        </w:rPr>
        <w:t>4</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.5中标供应商</w:t>
      </w:r>
      <w:r>
        <w:rPr>
          <w:rFonts w:hint="eastAsia" w:hAnsi="宋体" w:cs="宋体"/>
          <w:color w:val="auto"/>
          <w:sz w:val="24"/>
          <w:szCs w:val="24"/>
          <w:highlight w:val="none"/>
          <w:lang w:val="en-US" w:eastAsia="zh-CN"/>
        </w:rPr>
        <w:t>拒绝与</w:t>
      </w:r>
      <w:r>
        <w:rPr>
          <w:rFonts w:hint="eastAsia" w:hAnsi="宋体" w:cs="宋体"/>
          <w:color w:val="auto"/>
          <w:sz w:val="24"/>
          <w:szCs w:val="24"/>
          <w:highlight w:val="none"/>
        </w:rPr>
        <w:t>采购人</w:t>
      </w:r>
      <w:r>
        <w:rPr>
          <w:rFonts w:hint="eastAsia" w:hAnsi="宋体" w:cs="宋体"/>
          <w:color w:val="auto"/>
          <w:sz w:val="24"/>
          <w:szCs w:val="24"/>
          <w:highlight w:val="none"/>
          <w:lang w:val="en-US" w:eastAsia="zh-CN"/>
        </w:rPr>
        <w:t>签订合同的</w:t>
      </w:r>
      <w:r>
        <w:rPr>
          <w:rFonts w:hint="eastAsia" w:hAnsi="宋体" w:cs="宋体"/>
          <w:color w:val="auto"/>
          <w:sz w:val="24"/>
          <w:szCs w:val="24"/>
          <w:highlight w:val="none"/>
        </w:rPr>
        <w:t>，采购人可</w:t>
      </w:r>
      <w:r>
        <w:rPr>
          <w:rFonts w:hint="eastAsia" w:hAnsi="宋体" w:cs="宋体"/>
          <w:color w:val="auto"/>
          <w:sz w:val="24"/>
          <w:szCs w:val="24"/>
          <w:highlight w:val="none"/>
          <w:lang w:val="en-US" w:eastAsia="zh-CN"/>
        </w:rPr>
        <w:t>以按照推荐的</w:t>
      </w:r>
      <w:r>
        <w:rPr>
          <w:rFonts w:hint="eastAsia" w:hAnsi="宋体" w:cs="宋体"/>
          <w:color w:val="auto"/>
          <w:sz w:val="24"/>
          <w:szCs w:val="24"/>
          <w:highlight w:val="none"/>
        </w:rPr>
        <w:t>中标候选人</w:t>
      </w:r>
      <w:r>
        <w:rPr>
          <w:rFonts w:hint="eastAsia" w:hAnsi="宋体" w:cs="宋体"/>
          <w:color w:val="auto"/>
          <w:sz w:val="24"/>
          <w:szCs w:val="24"/>
          <w:highlight w:val="none"/>
          <w:lang w:val="en-US" w:eastAsia="zh-CN"/>
        </w:rPr>
        <w:t>名单排序，确定下一候选人为中标人，也可以重新开展采购活动</w:t>
      </w:r>
      <w:r>
        <w:rPr>
          <w:rFonts w:hint="eastAsia" w:hAnsi="宋体" w:cs="宋体"/>
          <w:color w:val="auto"/>
          <w:sz w:val="24"/>
          <w:szCs w:val="24"/>
          <w:highlight w:val="none"/>
        </w:rPr>
        <w:t>。</w:t>
      </w:r>
      <w:bookmarkEnd w:id="192"/>
    </w:p>
    <w:p w14:paraId="5BE12D52">
      <w:pPr>
        <w:spacing w:line="360" w:lineRule="auto"/>
        <w:ind w:firstLine="480" w:firstLineChars="200"/>
        <w:outlineLvl w:val="1"/>
        <w:rPr>
          <w:rFonts w:ascii="宋体" w:hAnsi="宋体" w:cs="宋体"/>
          <w:bCs/>
          <w:color w:val="auto"/>
          <w:sz w:val="24"/>
          <w:highlight w:val="none"/>
        </w:rPr>
      </w:pPr>
      <w:r>
        <w:rPr>
          <w:rFonts w:hint="eastAsia" w:ascii="宋体" w:hAnsi="宋体" w:cs="宋体"/>
          <w:bCs/>
          <w:color w:val="auto"/>
          <w:sz w:val="24"/>
          <w:highlight w:val="none"/>
        </w:rPr>
        <w:t>4</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、合同的签订准则</w:t>
      </w:r>
      <w:bookmarkEnd w:id="187"/>
      <w:bookmarkEnd w:id="188"/>
    </w:p>
    <w:p w14:paraId="30FA0429">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.1合同签订必须由采购人、</w:t>
      </w:r>
      <w:r>
        <w:rPr>
          <w:rFonts w:hint="eastAsia" w:ascii="宋体" w:hAnsi="宋体" w:cs="宋体"/>
          <w:bCs/>
          <w:color w:val="auto"/>
          <w:sz w:val="24"/>
          <w:highlight w:val="none"/>
          <w:lang w:eastAsia="zh-CN"/>
        </w:rPr>
        <w:t>中部</w:t>
      </w:r>
      <w:r>
        <w:rPr>
          <w:rFonts w:hint="eastAsia" w:ascii="宋体" w:hAnsi="宋体" w:cs="宋体"/>
          <w:bCs/>
          <w:color w:val="auto"/>
          <w:sz w:val="24"/>
          <w:highlight w:val="none"/>
        </w:rPr>
        <w:t>供应商双方法定代表人或其委托代理人签署并加盖法人公章后方能生效。</w:t>
      </w:r>
    </w:p>
    <w:p w14:paraId="73E9271F">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.2合同转包（实质性要求）</w:t>
      </w:r>
    </w:p>
    <w:p w14:paraId="1288C818">
      <w:pPr>
        <w:spacing w:line="360" w:lineRule="auto"/>
        <w:ind w:firstLine="480" w:firstLineChars="200"/>
        <w:rPr>
          <w:rFonts w:ascii="宋体" w:hAnsi="宋体" w:cs="宋体"/>
          <w:bCs/>
          <w:color w:val="auto"/>
          <w:sz w:val="24"/>
          <w:highlight w:val="none"/>
        </w:rPr>
      </w:pPr>
      <w:r>
        <w:rPr>
          <w:rFonts w:hint="eastAsia" w:hAnsi="宋体" w:cs="宋体"/>
          <w:color w:val="auto"/>
          <w:sz w:val="24"/>
          <w:szCs w:val="24"/>
          <w:highlight w:val="none"/>
        </w:rPr>
        <w:t>本采购项目严禁中标供应商将任何采购合同义务转包。本项目所称转包，是指中标供应商将采购合同义务转让给第三人，并退出现有采购合同当事人双方的权利义务关系，受让人（即第三人）成为采购合同的另一方当事人的行为</w:t>
      </w:r>
      <w:r>
        <w:rPr>
          <w:rFonts w:hint="eastAsia" w:ascii="宋体" w:hAnsi="宋体" w:cs="宋体"/>
          <w:bCs/>
          <w:color w:val="auto"/>
          <w:sz w:val="24"/>
          <w:highlight w:val="none"/>
        </w:rPr>
        <w:t>。</w:t>
      </w:r>
    </w:p>
    <w:p w14:paraId="043977EC">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lang w:eastAsia="zh-CN"/>
        </w:rPr>
        <w:t>中标</w:t>
      </w:r>
      <w:r>
        <w:rPr>
          <w:rFonts w:hint="eastAsia" w:ascii="宋体" w:hAnsi="宋体" w:cs="宋体"/>
          <w:bCs/>
          <w:color w:val="auto"/>
          <w:sz w:val="24"/>
          <w:highlight w:val="none"/>
        </w:rPr>
        <w:t>供应商转包的，视同拒绝履行政府采购合同义务，将依法追究法律责任。</w:t>
      </w:r>
    </w:p>
    <w:p w14:paraId="24506FAD">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.3补充合同</w:t>
      </w:r>
    </w:p>
    <w:p w14:paraId="1494C74A">
      <w:pPr>
        <w:spacing w:line="360" w:lineRule="auto"/>
        <w:ind w:firstLine="480" w:firstLineChars="200"/>
        <w:rPr>
          <w:rFonts w:ascii="宋体" w:hAnsi="宋体" w:cs="宋体"/>
          <w:bCs/>
          <w:color w:val="auto"/>
          <w:highlight w:val="none"/>
        </w:rPr>
      </w:pPr>
      <w:r>
        <w:rPr>
          <w:rFonts w:hint="eastAsia" w:ascii="宋体" w:hAnsi="宋体" w:cs="宋体"/>
          <w:bCs/>
          <w:color w:val="auto"/>
          <w:sz w:val="24"/>
          <w:highlight w:val="none"/>
        </w:rPr>
        <w:t>采购合同履行过程中，采购人需要追加与合同标的相同的货物或者服务的，在不改变合同其他条款的前提下，可以与</w:t>
      </w:r>
      <w:r>
        <w:rPr>
          <w:rFonts w:hint="eastAsia" w:ascii="宋体" w:hAnsi="宋体" w:cs="宋体"/>
          <w:bCs/>
          <w:color w:val="auto"/>
          <w:sz w:val="24"/>
          <w:highlight w:val="none"/>
          <w:lang w:eastAsia="zh-CN"/>
        </w:rPr>
        <w:t>中标</w:t>
      </w:r>
      <w:r>
        <w:rPr>
          <w:rFonts w:hint="eastAsia" w:ascii="宋体" w:hAnsi="宋体" w:cs="宋体"/>
          <w:bCs/>
          <w:color w:val="auto"/>
          <w:sz w:val="24"/>
          <w:highlight w:val="none"/>
        </w:rPr>
        <w:t>供应商协商签订补充合同，但所有补充合同的采购金额不得超过</w:t>
      </w:r>
      <w:r>
        <w:rPr>
          <w:rFonts w:hint="eastAsia" w:ascii="宋体" w:hAnsi="宋体" w:eastAsia="宋体" w:cs="宋体"/>
          <w:b/>
          <w:bCs/>
          <w:color w:val="auto"/>
          <w:kern w:val="2"/>
          <w:sz w:val="24"/>
          <w:szCs w:val="24"/>
          <w:highlight w:val="none"/>
          <w:lang w:val="en-US" w:eastAsia="zh-CN" w:bidi="ar-SA"/>
        </w:rPr>
        <w:t>原合同采购金额的百分之十</w:t>
      </w:r>
      <w:r>
        <w:rPr>
          <w:rFonts w:hint="eastAsia" w:ascii="宋体" w:hAnsi="宋体" w:cs="宋体"/>
          <w:bCs/>
          <w:color w:val="auto"/>
          <w:sz w:val="24"/>
          <w:highlight w:val="none"/>
        </w:rPr>
        <w:t xml:space="preserve">，该补充合同应当在原政府采购合同履行过程中，不得在原政府采购合同履行结束后，且采购货物、工程和服务的名称、价格、履约方式、验收标准等必须与原政府采购合同一致。 </w:t>
      </w:r>
    </w:p>
    <w:p w14:paraId="5BBBB6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、验收</w:t>
      </w:r>
    </w:p>
    <w:p w14:paraId="593741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.1本项目采购人将严格按照政府采购相关法律法规以及《政府采购需求管理办法》</w:t>
      </w:r>
      <w:r>
        <w:rPr>
          <w:rFonts w:hint="eastAsia" w:ascii="宋体" w:hAnsi="宋体" w:cs="宋体"/>
          <w:color w:val="auto"/>
          <w:sz w:val="24"/>
          <w:highlight w:val="none"/>
          <w:lang w:val="en-US" w:eastAsia="zh-CN"/>
        </w:rPr>
        <w:t>的通知（财库[2021]22号）文件</w:t>
      </w:r>
      <w:r>
        <w:rPr>
          <w:rFonts w:hint="eastAsia" w:ascii="宋体" w:hAnsi="宋体" w:cs="宋体"/>
          <w:color w:val="auto"/>
          <w:sz w:val="24"/>
          <w:highlight w:val="none"/>
        </w:rPr>
        <w:t>要求进行验收。</w:t>
      </w:r>
    </w:p>
    <w:p w14:paraId="6F1080C5">
      <w:pPr>
        <w:pStyle w:val="12"/>
        <w:spacing w:line="360" w:lineRule="auto"/>
        <w:outlineLvl w:val="1"/>
        <w:rPr>
          <w:rFonts w:hAnsi="宋体" w:cs="宋体"/>
          <w:b/>
          <w:bCs/>
          <w:color w:val="auto"/>
          <w:sz w:val="24"/>
          <w:szCs w:val="24"/>
          <w:highlight w:val="none"/>
        </w:rPr>
      </w:pPr>
      <w:r>
        <w:rPr>
          <w:rFonts w:hint="eastAsia" w:hAnsi="宋体" w:cs="宋体"/>
          <w:b/>
          <w:bCs/>
          <w:color w:val="auto"/>
          <w:sz w:val="24"/>
          <w:szCs w:val="24"/>
          <w:highlight w:val="none"/>
        </w:rPr>
        <w:t>七、询问、质疑、投诉</w:t>
      </w:r>
    </w:p>
    <w:p w14:paraId="2E6B3F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、询问</w:t>
      </w:r>
    </w:p>
    <w:p w14:paraId="0ECF35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.1供应商对采购活动事项有疑问的，可以向采购人或采购代理机构提出询问，采购人或采购代理机构应当在三个工作日内对供应商依法提出的询问作出答复，但答复的内容不得涉及商业秘密。</w:t>
      </w:r>
    </w:p>
    <w:p w14:paraId="36C5C2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w:t>
      </w:r>
    </w:p>
    <w:p w14:paraId="1D1CC9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.1 供应商认为招标文件、采购过程和中标结果使自己的合法权益受到损害的，可以在知道或者应知其权益受到损害之日起七个工作日内，将质疑文件原件和必要的证明材料送达采购代理机构。</w:t>
      </w:r>
    </w:p>
    <w:p w14:paraId="34F5D2A2">
      <w:pPr>
        <w:spacing w:line="440" w:lineRule="exact"/>
        <w:ind w:firstLine="480" w:firstLineChars="200"/>
        <w:rPr>
          <w:rFonts w:ascii="宋体" w:hAnsi="宋体" w:cs="宋体"/>
          <w:color w:val="auto"/>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.2供应商如对</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14:paraId="5E19F4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.3上述应知其权益受到损害之日是指： </w:t>
      </w:r>
    </w:p>
    <w:p w14:paraId="0F6DB9A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（1）对</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文件提出质疑的，为</w:t>
      </w:r>
      <w:r>
        <w:rPr>
          <w:rFonts w:hint="eastAsia" w:ascii="宋体" w:hAnsi="宋体" w:cs="宋体"/>
          <w:color w:val="auto"/>
          <w:sz w:val="24"/>
          <w:highlight w:val="none"/>
          <w:lang w:eastAsia="zh-CN"/>
        </w:rPr>
        <w:t>招标</w:t>
      </w:r>
      <w:r>
        <w:rPr>
          <w:rFonts w:hint="eastAsia" w:ascii="宋体" w:hAnsi="宋体" w:cs="宋体"/>
          <w:color w:val="auto"/>
          <w:sz w:val="24"/>
          <w:highlight w:val="none"/>
        </w:rPr>
        <w:t xml:space="preserve">文件公告期限届满之日起计算； </w:t>
      </w:r>
    </w:p>
    <w:p w14:paraId="78ABC50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（2）对采购过程提出质疑的，自采购程序环节结束之日起计算；</w:t>
      </w:r>
    </w:p>
    <w:p w14:paraId="7BEB086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（3）对中标结果提出质疑的，自中标或者</w:t>
      </w:r>
      <w:r>
        <w:rPr>
          <w:rFonts w:hint="eastAsia" w:ascii="宋体" w:hAnsi="宋体" w:cs="宋体"/>
          <w:color w:val="auto"/>
          <w:sz w:val="24"/>
          <w:highlight w:val="none"/>
          <w:lang w:eastAsia="zh-CN"/>
        </w:rPr>
        <w:t>中标</w:t>
      </w:r>
      <w:r>
        <w:rPr>
          <w:rFonts w:hint="eastAsia" w:ascii="宋体" w:hAnsi="宋体" w:cs="宋体"/>
          <w:color w:val="auto"/>
          <w:sz w:val="24"/>
          <w:highlight w:val="none"/>
        </w:rPr>
        <w:t>结果公告期限届满之日起计算。</w:t>
      </w:r>
    </w:p>
    <w:p w14:paraId="714F2E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.4质疑供应商在法定质疑期内应当一次性提出针对同一采购环节提出质疑。</w:t>
      </w:r>
    </w:p>
    <w:p w14:paraId="4EF33184">
      <w:pPr>
        <w:pStyle w:val="35"/>
        <w:spacing w:line="360" w:lineRule="auto"/>
        <w:ind w:left="1" w:firstLine="482" w:firstLineChars="200"/>
        <w:rPr>
          <w:rFonts w:hAnsi="宋体" w:cs="宋体"/>
          <w:color w:val="auto"/>
          <w:kern w:val="2"/>
          <w:sz w:val="24"/>
          <w:szCs w:val="24"/>
          <w:highlight w:val="none"/>
        </w:rPr>
      </w:pPr>
      <w:r>
        <w:rPr>
          <w:rFonts w:hint="eastAsia" w:hAnsi="宋体" w:cs="宋体"/>
          <w:b/>
          <w:bCs/>
          <w:color w:val="auto"/>
          <w:kern w:val="2"/>
          <w:sz w:val="24"/>
          <w:szCs w:val="24"/>
          <w:highlight w:val="none"/>
        </w:rPr>
        <w:t>4</w:t>
      </w:r>
      <w:r>
        <w:rPr>
          <w:rFonts w:hint="eastAsia" w:hAnsi="宋体" w:cs="宋体"/>
          <w:b/>
          <w:bCs/>
          <w:color w:val="auto"/>
          <w:kern w:val="2"/>
          <w:sz w:val="24"/>
          <w:szCs w:val="24"/>
          <w:highlight w:val="none"/>
          <w:lang w:val="en-US" w:eastAsia="zh-CN"/>
        </w:rPr>
        <w:t>5</w:t>
      </w:r>
      <w:r>
        <w:rPr>
          <w:rFonts w:hint="eastAsia" w:hAnsi="宋体" w:cs="宋体"/>
          <w:b/>
          <w:bCs/>
          <w:color w:val="auto"/>
          <w:kern w:val="2"/>
          <w:sz w:val="24"/>
          <w:szCs w:val="24"/>
          <w:highlight w:val="none"/>
        </w:rPr>
        <w:t>.5质疑文件应包括以下主要内容，并按照“谁主张、谁举证”的原则，附上相关证明材料。否则，采购代理机构不予受理【财政部发布了《政府采购投标人质疑函范本》和《政府采购投标人投诉书范本》，两范本指投标人（供应商）提出质疑、投诉人提起投诉时，应提交的质疑函、投诉书和必要的证明材料（下载路径：中国政府采购网→下载专区）】：　　</w:t>
      </w:r>
      <w:r>
        <w:rPr>
          <w:rFonts w:hint="eastAsia" w:hAnsi="宋体" w:cs="宋体"/>
          <w:color w:val="auto"/>
          <w:kern w:val="2"/>
          <w:sz w:val="24"/>
          <w:szCs w:val="24"/>
          <w:highlight w:val="none"/>
        </w:rPr>
        <w:t>　　　　　</w:t>
      </w:r>
    </w:p>
    <w:p w14:paraId="25DCE3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（1）供应商的姓名或者名称、地址、邮编、联系人及联系电话（包括座机、手机、传真号码等）； </w:t>
      </w:r>
    </w:p>
    <w:p w14:paraId="758305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（2）质疑项目的名称、项目编号、包号、采购公告发布时间、递交</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或</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 xml:space="preserve">截止时间； </w:t>
      </w:r>
    </w:p>
    <w:p w14:paraId="6F4F0B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（3）具体、明确的质疑事项和与质疑事项相关的请求； </w:t>
      </w:r>
    </w:p>
    <w:p w14:paraId="684C5D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（4）事实依据（具体条款，认为自己合法权益受到损害或可能受到损害的相关证据材料。如涉及到产品功能或技术指标的，应出具相关制造商的证明文件）； </w:t>
      </w:r>
    </w:p>
    <w:p w14:paraId="340B3C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（5）必要的法律依据； </w:t>
      </w:r>
    </w:p>
    <w:p w14:paraId="41AC7E1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（6）提起质疑的日期；</w:t>
      </w:r>
    </w:p>
    <w:p w14:paraId="72288A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（7）质疑文件应当署名，质疑人为自然人的，应当由本人签字并附有效身份证明；质疑人为法人或其他组织的，应当由法定代表人签字并加盖单位公章；</w:t>
      </w:r>
    </w:p>
    <w:p w14:paraId="40939D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（8）供应商委托代理质疑的，应当提交授权委托书，并载明代理人的姓名或者名称、代理事项、 具体权限、期限和相关事项。</w:t>
      </w:r>
    </w:p>
    <w:p w14:paraId="04DF65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.6质疑供应商是指直接参加本项目采购活动的供应商，未参加政府采购活动的供应商或在采购活动中自身权益未受到损害的供应商所提出的质疑不予受理。</w:t>
      </w:r>
    </w:p>
    <w:p w14:paraId="4A8DAF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.7采购人、采购代理机构在收到供应商的书面质疑后将及时组织调查核实，在七个工作日内作出答复，并以书面形式通知质疑供应商和其他有关供应商，答复的内容不涉及商业秘密。</w:t>
      </w:r>
    </w:p>
    <w:p w14:paraId="6399E257">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、投诉</w:t>
      </w:r>
    </w:p>
    <w:p w14:paraId="11D1B6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 质疑供应商对采购人、采购代理机构的答复不满意，或采购人、采购代理机构未在规定的时间内作出答复的，可以在答复期满后十五个工作日内向采购项目同级财政部门提起投诉。</w:t>
      </w:r>
    </w:p>
    <w:p w14:paraId="7C0BDF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.2供应商投诉的事项不得超出已质疑事项的范围，但基于质疑答复内容提出的投诉事项除外。</w:t>
      </w:r>
    </w:p>
    <w:p w14:paraId="7CECEA0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、诚实信用</w:t>
      </w:r>
    </w:p>
    <w:p w14:paraId="7D9A9F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供应商不得虚假质疑和恶意质疑，并对质疑内容的真实性承担责任。如果供应商或者其他利害关系人通过捏造事实、伪造证明材料等方式提出质疑，干扰政府采购活动正常进行的，属于严重不良行为，采购人、采购代理机构将提请财政部门将其列入不良行为记录名单，并依法予以处罚。</w:t>
      </w:r>
    </w:p>
    <w:p w14:paraId="43EA0D20">
      <w:pPr>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八、义务、工作纪律</w:t>
      </w:r>
    </w:p>
    <w:p w14:paraId="69F0B50B">
      <w:pPr>
        <w:tabs>
          <w:tab w:val="left" w:pos="7665"/>
        </w:tabs>
        <w:spacing w:line="360" w:lineRule="auto"/>
        <w:ind w:firstLine="482" w:firstLineChars="200"/>
        <w:rPr>
          <w:rFonts w:ascii="宋体" w:hAnsi="宋体" w:cs="宋体"/>
          <w:color w:val="auto"/>
          <w:sz w:val="24"/>
          <w:highlight w:val="none"/>
        </w:rPr>
      </w:pPr>
      <w:bookmarkStart w:id="193" w:name="_Toc28505_WPSOffice_Level1"/>
      <w:r>
        <w:rPr>
          <w:rFonts w:hint="eastAsia" w:ascii="宋体" w:hAnsi="宋体" w:cs="宋体"/>
          <w:b/>
          <w:bCs/>
          <w:color w:val="auto"/>
          <w:sz w:val="24"/>
          <w:highlight w:val="none"/>
        </w:rPr>
        <w:t>4</w:t>
      </w: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、采购人或者采购代理机构负责组织评标工作，并履行下列职责：</w:t>
      </w:r>
    </w:p>
    <w:p w14:paraId="4F6CBF8A">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.1核对评审专家身份和采购人代表授权函，对评审专家在政府采购活动中的职责履行情况予以记录，并及时将有关违法违规行为向财政部门报告；</w:t>
      </w:r>
    </w:p>
    <w:p w14:paraId="2D4E33D1">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.2宣布评标纪律；</w:t>
      </w:r>
    </w:p>
    <w:p w14:paraId="2CC30A5B">
      <w:pPr>
        <w:tabs>
          <w:tab w:val="left" w:pos="7665"/>
        </w:tabs>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  4</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.3公布供应商名单，告知评审专家应当回避的情形；</w:t>
      </w:r>
    </w:p>
    <w:p w14:paraId="36131990">
      <w:pPr>
        <w:tabs>
          <w:tab w:val="left" w:pos="7665"/>
        </w:tabs>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  4</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.4组织评标委员会推选评标组长，采购人代表不得担任组长；</w:t>
      </w:r>
    </w:p>
    <w:p w14:paraId="714E6862">
      <w:pPr>
        <w:tabs>
          <w:tab w:val="left" w:pos="7665"/>
        </w:tabs>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  4</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.5在评标期间采取必要的通讯管理措施，保证评标活动不受外界干扰；</w:t>
      </w:r>
    </w:p>
    <w:p w14:paraId="74B3BCCE">
      <w:pPr>
        <w:tabs>
          <w:tab w:val="left" w:pos="7665"/>
        </w:tabs>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  4</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.6根据评标委员会的要求介绍政府采购相关政策法规、</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w:t>
      </w:r>
    </w:p>
    <w:p w14:paraId="6A08EDD8">
      <w:pPr>
        <w:tabs>
          <w:tab w:val="left" w:pos="7665"/>
        </w:tabs>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  4</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.7维护评标秩序，监督评标委员会依照</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文件规定的评标程序、方法和标准进行独立评审，及时制止和纠正采购人代表、评审专家的倾向性言论或者违法违规行为；</w:t>
      </w:r>
    </w:p>
    <w:p w14:paraId="79699982">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.8核对评标结果，有本办法第六十四条规定情形的，要求评标委员会复核或者书面说明理由，评标委员会拒绝的，应予记录并向本级财政部门报告；</w:t>
      </w:r>
    </w:p>
    <w:p w14:paraId="6BD5399F">
      <w:pPr>
        <w:tabs>
          <w:tab w:val="left" w:pos="7665"/>
        </w:tabs>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  4</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.9处理与评标有关的其他事项</w:t>
      </w:r>
    </w:p>
    <w:p w14:paraId="2A014CF5">
      <w:pPr>
        <w:tabs>
          <w:tab w:val="left" w:pos="7665"/>
        </w:tabs>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  采购人可以在评标前说明项目背景和采购需求，说明内容不得含有歧视性、倾向性意见，不得超出</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文件所述范围。说明应当提交书面材料，并随</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文件一并存档。</w:t>
      </w:r>
    </w:p>
    <w:p w14:paraId="5CFC51CE">
      <w:pPr>
        <w:tabs>
          <w:tab w:val="left" w:pos="766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w:t>
      </w:r>
      <w:r>
        <w:rPr>
          <w:rFonts w:hint="eastAsia" w:ascii="宋体" w:hAnsi="宋体" w:cs="宋体"/>
          <w:color w:val="auto"/>
          <w:sz w:val="24"/>
          <w:highlight w:val="none"/>
        </w:rPr>
        <w:t>评标委员会</w:t>
      </w:r>
      <w:r>
        <w:rPr>
          <w:rFonts w:hint="eastAsia" w:ascii="宋体" w:hAnsi="宋体" w:cs="宋体"/>
          <w:bCs/>
          <w:color w:val="auto"/>
          <w:sz w:val="24"/>
          <w:highlight w:val="none"/>
          <w:lang w:eastAsia="zh-CN"/>
        </w:rPr>
        <w:t>评标</w:t>
      </w:r>
      <w:r>
        <w:rPr>
          <w:rFonts w:hint="eastAsia" w:ascii="宋体" w:hAnsi="宋体" w:cs="宋体"/>
          <w:bCs/>
          <w:color w:val="auto"/>
          <w:sz w:val="24"/>
          <w:highlight w:val="none"/>
        </w:rPr>
        <w:t>在政府采购活动中承担以下义务：</w:t>
      </w:r>
    </w:p>
    <w:p w14:paraId="5D854B0F">
      <w:pPr>
        <w:tabs>
          <w:tab w:val="left" w:pos="766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lang w:val="en-US" w:eastAsia="zh-CN"/>
        </w:rPr>
        <w:t>49.1</w:t>
      </w:r>
      <w:r>
        <w:rPr>
          <w:rFonts w:hint="eastAsia" w:ascii="宋体" w:hAnsi="宋体" w:cs="宋体"/>
          <w:bCs/>
          <w:color w:val="auto"/>
          <w:sz w:val="24"/>
          <w:highlight w:val="none"/>
        </w:rPr>
        <w:t>遵守评审工作纪律；</w:t>
      </w:r>
    </w:p>
    <w:p w14:paraId="58AC637D">
      <w:pPr>
        <w:tabs>
          <w:tab w:val="left" w:pos="766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lang w:val="en-US" w:eastAsia="zh-CN"/>
        </w:rPr>
        <w:t>49.2</w:t>
      </w:r>
      <w:r>
        <w:rPr>
          <w:rFonts w:hint="eastAsia" w:ascii="宋体" w:hAnsi="宋体" w:cs="宋体"/>
          <w:bCs/>
          <w:color w:val="auto"/>
          <w:sz w:val="24"/>
          <w:highlight w:val="none"/>
        </w:rPr>
        <w:t>按照客观、公正、审慎的原则，根据</w:t>
      </w:r>
      <w:r>
        <w:rPr>
          <w:rFonts w:hint="eastAsia" w:ascii="宋体" w:hAnsi="宋体" w:cs="宋体"/>
          <w:bCs/>
          <w:color w:val="auto"/>
          <w:sz w:val="24"/>
          <w:highlight w:val="none"/>
          <w:lang w:eastAsia="zh-CN"/>
        </w:rPr>
        <w:t>招标</w:t>
      </w:r>
      <w:r>
        <w:rPr>
          <w:rFonts w:hint="eastAsia" w:ascii="宋体" w:hAnsi="宋体" w:cs="宋体"/>
          <w:bCs/>
          <w:color w:val="auto"/>
          <w:sz w:val="24"/>
          <w:highlight w:val="none"/>
        </w:rPr>
        <w:t>文件规定的评审程序、评审方法和评审标准进行独立评审；</w:t>
      </w:r>
    </w:p>
    <w:p w14:paraId="6C03AE4D">
      <w:pPr>
        <w:tabs>
          <w:tab w:val="left" w:pos="766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lang w:val="en-US" w:eastAsia="zh-CN"/>
        </w:rPr>
        <w:t>49.3</w:t>
      </w:r>
      <w:r>
        <w:rPr>
          <w:rFonts w:hint="eastAsia" w:ascii="宋体" w:hAnsi="宋体" w:cs="宋体"/>
          <w:bCs/>
          <w:color w:val="auto"/>
          <w:sz w:val="24"/>
          <w:highlight w:val="none"/>
        </w:rPr>
        <w:t>不得泄露评审文件、评审情况和在评审过程中获悉的商业秘密；</w:t>
      </w:r>
    </w:p>
    <w:p w14:paraId="399CFBA3">
      <w:pPr>
        <w:tabs>
          <w:tab w:val="left" w:pos="766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lang w:val="en-US" w:eastAsia="zh-CN"/>
        </w:rPr>
        <w:t>49.4</w:t>
      </w:r>
      <w:r>
        <w:rPr>
          <w:rFonts w:hint="eastAsia" w:ascii="宋体" w:hAnsi="宋体" w:cs="宋体"/>
          <w:bCs/>
          <w:color w:val="auto"/>
          <w:sz w:val="24"/>
          <w:highlight w:val="none"/>
        </w:rPr>
        <w:t>及时向财政部门报告评审过程中发现的采购人、采购代理机构向评审专家做倾向性、误导性的解释或者说明，以及供应商行贿、提供虚假材料或者串通等违法行为；</w:t>
      </w:r>
    </w:p>
    <w:p w14:paraId="04DD83B7">
      <w:pPr>
        <w:tabs>
          <w:tab w:val="left" w:pos="766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lang w:val="en-US" w:eastAsia="zh-CN"/>
        </w:rPr>
        <w:t>49.5</w:t>
      </w:r>
      <w:r>
        <w:rPr>
          <w:rFonts w:hint="eastAsia" w:ascii="宋体" w:hAnsi="宋体" w:cs="宋体"/>
          <w:bCs/>
          <w:color w:val="auto"/>
          <w:sz w:val="24"/>
          <w:highlight w:val="none"/>
        </w:rPr>
        <w:t>发现</w:t>
      </w:r>
      <w:r>
        <w:rPr>
          <w:rFonts w:hint="eastAsia" w:ascii="宋体" w:hAnsi="宋体" w:cs="宋体"/>
          <w:bCs/>
          <w:color w:val="auto"/>
          <w:sz w:val="24"/>
          <w:highlight w:val="none"/>
          <w:lang w:eastAsia="zh-CN"/>
        </w:rPr>
        <w:t>招标</w:t>
      </w:r>
      <w:r>
        <w:rPr>
          <w:rFonts w:hint="eastAsia" w:ascii="宋体" w:hAnsi="宋体" w:cs="宋体"/>
          <w:bCs/>
          <w:color w:val="auto"/>
          <w:sz w:val="24"/>
          <w:highlight w:val="none"/>
        </w:rPr>
        <w:t>文件内容违反国家有关强制性规定或者</w:t>
      </w:r>
      <w:r>
        <w:rPr>
          <w:rFonts w:hint="eastAsia" w:ascii="宋体" w:hAnsi="宋体" w:cs="宋体"/>
          <w:bCs/>
          <w:color w:val="auto"/>
          <w:sz w:val="24"/>
          <w:highlight w:val="none"/>
          <w:lang w:eastAsia="zh-CN"/>
        </w:rPr>
        <w:t>招标</w:t>
      </w:r>
      <w:r>
        <w:rPr>
          <w:rFonts w:hint="eastAsia" w:ascii="宋体" w:hAnsi="宋体" w:cs="宋体"/>
          <w:bCs/>
          <w:color w:val="auto"/>
          <w:sz w:val="24"/>
          <w:highlight w:val="none"/>
        </w:rPr>
        <w:t>文件存在歧义、重大缺陷导致评审工作无法进行时，停止评审并向采购人或者采购代理机构书面说明情况；</w:t>
      </w:r>
    </w:p>
    <w:p w14:paraId="2EC92C02">
      <w:pPr>
        <w:tabs>
          <w:tab w:val="left" w:pos="766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lang w:val="en-US" w:eastAsia="zh-CN"/>
        </w:rPr>
        <w:t>49.6</w:t>
      </w:r>
      <w:r>
        <w:rPr>
          <w:rFonts w:hint="eastAsia" w:ascii="宋体" w:hAnsi="宋体" w:cs="宋体"/>
          <w:bCs/>
          <w:color w:val="auto"/>
          <w:sz w:val="24"/>
          <w:highlight w:val="none"/>
        </w:rPr>
        <w:t>及时向财政、监察等部门举报在评审过程中受到非法干预的情况；</w:t>
      </w:r>
    </w:p>
    <w:p w14:paraId="4EC14029">
      <w:pPr>
        <w:tabs>
          <w:tab w:val="left" w:pos="766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lang w:val="en-US" w:eastAsia="zh-CN"/>
        </w:rPr>
        <w:t>49.7</w:t>
      </w:r>
      <w:r>
        <w:rPr>
          <w:rFonts w:hint="eastAsia" w:ascii="宋体" w:hAnsi="宋体" w:cs="宋体"/>
          <w:bCs/>
          <w:color w:val="auto"/>
          <w:sz w:val="24"/>
          <w:highlight w:val="none"/>
        </w:rPr>
        <w:t>配合答复处理供应商的询问、质疑和投诉等事项；</w:t>
      </w:r>
    </w:p>
    <w:p w14:paraId="48DC2E88">
      <w:pPr>
        <w:tabs>
          <w:tab w:val="left" w:pos="766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lang w:val="en-US" w:eastAsia="zh-CN"/>
        </w:rPr>
        <w:t>49.8</w:t>
      </w:r>
      <w:r>
        <w:rPr>
          <w:rFonts w:hint="eastAsia" w:ascii="宋体" w:hAnsi="宋体" w:cs="宋体"/>
          <w:bCs/>
          <w:color w:val="auto"/>
          <w:sz w:val="24"/>
          <w:highlight w:val="none"/>
        </w:rPr>
        <w:t>法律、法规和规章规定的其他义务。</w:t>
      </w:r>
    </w:p>
    <w:p w14:paraId="1A6EDDC3">
      <w:pPr>
        <w:tabs>
          <w:tab w:val="left" w:pos="7665"/>
        </w:tabs>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50</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评标委员会</w:t>
      </w:r>
      <w:r>
        <w:rPr>
          <w:rFonts w:hint="eastAsia" w:ascii="宋体" w:hAnsi="宋体" w:cs="宋体"/>
          <w:bCs/>
          <w:color w:val="auto"/>
          <w:sz w:val="24"/>
          <w:highlight w:val="none"/>
        </w:rPr>
        <w:t>在政府采购活动中应当遵守以下工作纪律：</w:t>
      </w:r>
    </w:p>
    <w:p w14:paraId="45A5A0B7">
      <w:pPr>
        <w:tabs>
          <w:tab w:val="left" w:pos="7665"/>
        </w:tabs>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50</w:t>
      </w:r>
      <w:r>
        <w:rPr>
          <w:rFonts w:hint="eastAsia" w:ascii="宋体" w:hAnsi="宋体" w:cs="宋体"/>
          <w:bCs/>
          <w:color w:val="auto"/>
          <w:sz w:val="24"/>
          <w:highlight w:val="none"/>
        </w:rPr>
        <w:t>.1不得参加与自己有《中华人民共和国政府采购法实施条例》第九条规定的利害关系的政府采购项目的评标活动。发现参加了与自己有利害关系的评审活动，须主动提出回避，退出评审；</w:t>
      </w:r>
    </w:p>
    <w:p w14:paraId="6C6D59DB">
      <w:pPr>
        <w:tabs>
          <w:tab w:val="left" w:pos="7665"/>
        </w:tabs>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50</w:t>
      </w:r>
      <w:r>
        <w:rPr>
          <w:rFonts w:hint="eastAsia" w:ascii="宋体" w:hAnsi="宋体" w:cs="宋体"/>
          <w:bCs/>
          <w:color w:val="auto"/>
          <w:sz w:val="24"/>
          <w:highlight w:val="none"/>
        </w:rPr>
        <w:t>.2评审前，应当将通讯工具或者相关电子设备交由采购代理机构统一保管；</w:t>
      </w:r>
    </w:p>
    <w:p w14:paraId="0AFFAC9C">
      <w:pPr>
        <w:tabs>
          <w:tab w:val="left" w:pos="7665"/>
        </w:tabs>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50</w:t>
      </w:r>
      <w:r>
        <w:rPr>
          <w:rFonts w:hint="eastAsia" w:ascii="宋体" w:hAnsi="宋体" w:cs="宋体"/>
          <w:bCs/>
          <w:color w:val="auto"/>
          <w:sz w:val="24"/>
          <w:highlight w:val="none"/>
        </w:rPr>
        <w:t>.3评审过程中，不得与外界联系，因发生不可预见情况，确实需要与外界联系的，应当在监督人员监督之下办理；</w:t>
      </w:r>
    </w:p>
    <w:p w14:paraId="213A1CE8">
      <w:pPr>
        <w:keepNext w:val="0"/>
        <w:keepLines w:val="0"/>
        <w:pageBreakBefore w:val="0"/>
        <w:widowControl w:val="0"/>
        <w:tabs>
          <w:tab w:val="left" w:pos="7665"/>
        </w:tabs>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50</w:t>
      </w:r>
      <w:r>
        <w:rPr>
          <w:rFonts w:hint="eastAsia" w:ascii="宋体" w:hAnsi="宋体" w:cs="宋体"/>
          <w:bCs/>
          <w:color w:val="auto"/>
          <w:sz w:val="24"/>
          <w:highlight w:val="none"/>
        </w:rPr>
        <w:t>.4评审过程中，不得发表影响评审公正的倾向性、歧视性言论，不得征询或者接受采购人的倾向性意见，不得明示或暗示供应商在澄清时表达与其</w:t>
      </w:r>
      <w:r>
        <w:rPr>
          <w:rFonts w:hint="eastAsia" w:ascii="宋体" w:hAnsi="宋体" w:cs="宋体"/>
          <w:bCs/>
          <w:color w:val="auto"/>
          <w:sz w:val="24"/>
          <w:highlight w:val="none"/>
          <w:lang w:eastAsia="zh-CN"/>
        </w:rPr>
        <w:t>投标</w:t>
      </w:r>
      <w:r>
        <w:rPr>
          <w:rFonts w:hint="eastAsia" w:ascii="宋体" w:hAnsi="宋体" w:cs="宋体"/>
          <w:bCs/>
          <w:color w:val="auto"/>
          <w:sz w:val="24"/>
          <w:highlight w:val="none"/>
        </w:rPr>
        <w:t>文件原义不同的意见，不得以招标文件没有规定的评审方法和标准作为评审的依据，不得修改或者细化评审程序、评审方法、评审因素和评审标准，不得违规撰写评审意见，不得拒绝对自己的评审意见签字确认；</w:t>
      </w:r>
    </w:p>
    <w:p w14:paraId="6725AAB6">
      <w:pPr>
        <w:keepNext w:val="0"/>
        <w:keepLines w:val="0"/>
        <w:pageBreakBefore w:val="0"/>
        <w:widowControl w:val="0"/>
        <w:tabs>
          <w:tab w:val="left" w:pos="7665"/>
        </w:tabs>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50</w:t>
      </w:r>
      <w:r>
        <w:rPr>
          <w:rFonts w:hint="eastAsia" w:ascii="宋体" w:hAnsi="宋体" w:cs="宋体"/>
          <w:bCs/>
          <w:color w:val="auto"/>
          <w:sz w:val="24"/>
          <w:highlight w:val="none"/>
        </w:rPr>
        <w:t>.5在评审过程中和评审结束后，不得记录、复制或带走任何评审资料，不得向外界透露评审内容；</w:t>
      </w:r>
    </w:p>
    <w:p w14:paraId="5BEF0DC2">
      <w:pPr>
        <w:keepNext w:val="0"/>
        <w:keepLines w:val="0"/>
        <w:pageBreakBefore w:val="0"/>
        <w:widowControl w:val="0"/>
        <w:tabs>
          <w:tab w:val="left" w:pos="7665"/>
        </w:tabs>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50</w:t>
      </w:r>
      <w:r>
        <w:rPr>
          <w:rFonts w:hint="eastAsia" w:ascii="宋体" w:hAnsi="宋体" w:cs="宋体"/>
          <w:bCs/>
          <w:color w:val="auto"/>
          <w:sz w:val="24"/>
          <w:highlight w:val="none"/>
        </w:rPr>
        <w:t>.6评审现场服从采购代理机构工作人员的管理，接受现场监督人员的合法监督；</w:t>
      </w:r>
    </w:p>
    <w:p w14:paraId="050DD1EB">
      <w:pPr>
        <w:keepNext w:val="0"/>
        <w:keepLines w:val="0"/>
        <w:pageBreakBefore w:val="0"/>
        <w:widowControl w:val="0"/>
        <w:tabs>
          <w:tab w:val="left" w:pos="7665"/>
        </w:tabs>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50</w:t>
      </w:r>
      <w:r>
        <w:rPr>
          <w:rFonts w:hint="eastAsia" w:ascii="宋体" w:hAnsi="宋体" w:cs="宋体"/>
          <w:bCs/>
          <w:color w:val="auto"/>
          <w:sz w:val="24"/>
          <w:highlight w:val="none"/>
        </w:rPr>
        <w:t>.7遵守有关廉洁自律规定，不得私下接触供应商，不得收受供应商及有关业务单位和个人的财物或好处，不得接受采购代理机构的请托。</w:t>
      </w:r>
    </w:p>
    <w:bookmarkEnd w:id="193"/>
    <w:p w14:paraId="724C7294">
      <w:pPr>
        <w:pStyle w:val="9"/>
        <w:keepNext w:val="0"/>
        <w:keepLines w:val="0"/>
        <w:pageBreakBefore/>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kern w:val="2"/>
          <w:sz w:val="30"/>
          <w:szCs w:val="30"/>
          <w:highlight w:val="none"/>
          <w:lang w:val="en-US" w:eastAsia="zh-CN" w:bidi="ar-SA"/>
        </w:rPr>
      </w:pPr>
      <w:bookmarkStart w:id="194" w:name="_Toc14014_WPSOffice_Level1"/>
      <w:r>
        <w:rPr>
          <w:rFonts w:hint="eastAsia" w:ascii="宋体" w:hAnsi="宋体" w:eastAsia="宋体" w:cs="宋体"/>
          <w:b/>
          <w:color w:val="auto"/>
          <w:kern w:val="2"/>
          <w:sz w:val="30"/>
          <w:szCs w:val="30"/>
          <w:highlight w:val="none"/>
          <w:lang w:val="en-US" w:eastAsia="zh-CN" w:bidi="ar-SA"/>
        </w:rPr>
        <w:t>第三章、项目采购需求</w:t>
      </w:r>
    </w:p>
    <w:p w14:paraId="76B1CBD4">
      <w:pPr>
        <w:keepNext w:val="0"/>
        <w:keepLines w:val="0"/>
        <w:pageBreakBefore w:val="0"/>
        <w:widowControl w:val="0"/>
        <w:kinsoku/>
        <w:overflowPunct/>
        <w:autoSpaceDE/>
        <w:autoSpaceDN/>
        <w:bidi w:val="0"/>
        <w:spacing w:line="52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一、总则</w:t>
      </w:r>
    </w:p>
    <w:p w14:paraId="648567F7">
      <w:pPr>
        <w:keepNext w:val="0"/>
        <w:keepLines w:val="0"/>
        <w:pageBreakBefore w:val="0"/>
        <w:widowControl w:val="0"/>
        <w:kinsoku/>
        <w:overflowPunct/>
        <w:autoSpaceDE/>
        <w:autoSpaceDN/>
        <w:bidi w:val="0"/>
        <w:spacing w:line="5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1.1本章条款仅限于</w:t>
      </w:r>
      <w:r>
        <w:rPr>
          <w:rFonts w:hint="eastAsia" w:ascii="宋体" w:hAnsi="宋体" w:cs="宋体"/>
          <w:color w:val="auto"/>
          <w:sz w:val="24"/>
          <w:highlight w:val="none"/>
          <w:lang w:eastAsia="zh-CN"/>
        </w:rPr>
        <w:t>克拉玛依市乌尔禾区瑞翔幼儿园智慧幼儿园采购项目</w:t>
      </w:r>
      <w:r>
        <w:rPr>
          <w:rFonts w:hint="eastAsia" w:ascii="宋体" w:hAnsi="宋体" w:cs="宋体"/>
          <w:color w:val="auto"/>
          <w:sz w:val="24"/>
          <w:highlight w:val="none"/>
        </w:rPr>
        <w:t>。</w:t>
      </w:r>
    </w:p>
    <w:p w14:paraId="36B3D567">
      <w:pPr>
        <w:keepNext w:val="0"/>
        <w:keepLines w:val="0"/>
        <w:pageBreakBefore w:val="0"/>
        <w:widowControl w:val="0"/>
        <w:kinsoku/>
        <w:overflowPunct/>
        <w:autoSpaceDE/>
        <w:autoSpaceDN/>
        <w:bidi w:val="0"/>
        <w:spacing w:line="5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1.2本章条款提出的是最低限度的技术要求，并未对一切技术细节做出规定，也未引述有关规范条文，供应商不得以本文件未提出要求为理由而规避国家和行业强制规范、标准的规定，供应商应保证提供符合本章条款和相关标准的服务。</w:t>
      </w:r>
    </w:p>
    <w:p w14:paraId="43607521">
      <w:pPr>
        <w:keepNext w:val="0"/>
        <w:keepLines w:val="0"/>
        <w:pageBreakBefore w:val="0"/>
        <w:widowControl w:val="0"/>
        <w:kinsoku/>
        <w:overflowPunct/>
        <w:autoSpaceDE/>
        <w:autoSpaceDN/>
        <w:bidi w:val="0"/>
        <w:spacing w:line="5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1.3如果供应商没有以书面形式对本章条款提出异议，采购人就可以认为供应商提供的成果符合本章条款的要求。</w:t>
      </w:r>
    </w:p>
    <w:p w14:paraId="71E86592">
      <w:pPr>
        <w:keepNext w:val="0"/>
        <w:keepLines w:val="0"/>
        <w:pageBreakBefore w:val="0"/>
        <w:widowControl w:val="0"/>
        <w:kinsoku/>
        <w:overflowPunct/>
        <w:autoSpaceDE/>
        <w:autoSpaceDN/>
        <w:bidi w:val="0"/>
        <w:spacing w:line="5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1.4供应商在</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中，应对采购文件中的服务进行详细的说明。</w:t>
      </w:r>
    </w:p>
    <w:p w14:paraId="3A35C3C8">
      <w:pPr>
        <w:keepNext w:val="0"/>
        <w:keepLines w:val="0"/>
        <w:pageBreakBefore w:val="0"/>
        <w:widowControl w:val="0"/>
        <w:kinsoku/>
        <w:overflowPunct/>
        <w:autoSpaceDE/>
        <w:autoSpaceDN/>
        <w:bidi w:val="0"/>
        <w:spacing w:line="5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1.5在签订合同之后，采购人有权提出因规范标准有变化而产生的一些补充要求。</w:t>
      </w:r>
    </w:p>
    <w:p w14:paraId="39B83CA3">
      <w:pPr>
        <w:keepNext w:val="0"/>
        <w:keepLines w:val="0"/>
        <w:pageBreakBefore w:val="0"/>
        <w:widowControl w:val="0"/>
        <w:kinsoku/>
        <w:overflowPunct/>
        <w:autoSpaceDE/>
        <w:autoSpaceDN/>
        <w:bidi w:val="0"/>
        <w:spacing w:line="5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1.6本章条款使用标准如与供应商所执行标准发生矛盾时，按较高标准执行。</w:t>
      </w:r>
    </w:p>
    <w:p w14:paraId="3081C2EC">
      <w:pPr>
        <w:keepNext w:val="0"/>
        <w:keepLines w:val="0"/>
        <w:pageBreakBefore w:val="0"/>
        <w:widowControl w:val="0"/>
        <w:kinsoku/>
        <w:overflowPunct/>
        <w:autoSpaceDE/>
        <w:autoSpaceDN/>
        <w:bidi w:val="0"/>
        <w:spacing w:line="52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二、执行的规范和标准</w:t>
      </w:r>
    </w:p>
    <w:p w14:paraId="2F546397">
      <w:pPr>
        <w:keepNext w:val="0"/>
        <w:keepLines w:val="0"/>
        <w:pageBreakBefore w:val="0"/>
        <w:widowControl w:val="0"/>
        <w:kinsoku/>
        <w:overflowPunct/>
        <w:autoSpaceDE/>
        <w:autoSpaceDN/>
        <w:bidi w:val="0"/>
        <w:spacing w:line="5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本项目必须遵循国家规范和标准并应按最新版本执行，若标准、规范出现矛盾时，以最新、最高标准规范执行。</w:t>
      </w:r>
    </w:p>
    <w:p w14:paraId="69F6846F">
      <w:pPr>
        <w:pStyle w:val="38"/>
        <w:keepNext w:val="0"/>
        <w:keepLines w:val="0"/>
        <w:pageBreakBefore w:val="0"/>
        <w:widowControl w:val="0"/>
        <w:numPr>
          <w:ilvl w:val="0"/>
          <w:numId w:val="0"/>
        </w:numPr>
        <w:kinsoku/>
        <w:wordWrap/>
        <w:overflowPunct/>
        <w:topLinePunct w:val="0"/>
        <w:autoSpaceDE/>
        <w:autoSpaceDN/>
        <w:bidi w:val="0"/>
        <w:spacing w:line="520" w:lineRule="exact"/>
        <w:ind w:left="0" w:leftChars="0" w:firstLine="482" w:firstLineChars="200"/>
        <w:textAlignment w:val="auto"/>
        <w:rPr>
          <w:rFonts w:hint="eastAsia" w:ascii="宋体" w:hAnsi="宋体" w:cs="宋体"/>
          <w:b/>
          <w:bCs/>
          <w:color w:val="auto"/>
          <w:sz w:val="24"/>
          <w:highlight w:val="none"/>
          <w:lang w:eastAsia="zh-CN"/>
        </w:rPr>
      </w:pPr>
      <w:r>
        <w:rPr>
          <w:rFonts w:hint="eastAsia" w:ascii="宋体" w:hAnsi="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sz w:val="24"/>
          <w:highlight w:val="none"/>
          <w:lang w:eastAsia="zh-CN"/>
        </w:rPr>
        <w:t>货物技术及服务标准</w:t>
      </w:r>
    </w:p>
    <w:p w14:paraId="49FF5644">
      <w:pPr>
        <w:pStyle w:val="38"/>
        <w:keepNext w:val="0"/>
        <w:keepLines w:val="0"/>
        <w:pageBreakBefore w:val="0"/>
        <w:widowControl w:val="0"/>
        <w:numPr>
          <w:ilvl w:val="0"/>
          <w:numId w:val="0"/>
        </w:numPr>
        <w:kinsoku/>
        <w:wordWrap/>
        <w:overflowPunct/>
        <w:topLinePunct w:val="0"/>
        <w:autoSpaceDE/>
        <w:autoSpaceDN/>
        <w:bidi w:val="0"/>
        <w:spacing w:line="520" w:lineRule="exact"/>
        <w:ind w:leftChars="0"/>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（一）货物技术</w:t>
      </w:r>
    </w:p>
    <w:p w14:paraId="4868E014">
      <w:pPr>
        <w:pStyle w:val="38"/>
        <w:keepNext w:val="0"/>
        <w:keepLines w:val="0"/>
        <w:pageBreakBefore w:val="0"/>
        <w:widowControl w:val="0"/>
        <w:numPr>
          <w:ilvl w:val="0"/>
          <w:numId w:val="0"/>
        </w:numPr>
        <w:kinsoku/>
        <w:wordWrap/>
        <w:overflowPunct/>
        <w:topLinePunct w:val="0"/>
        <w:autoSpaceDE/>
        <w:autoSpaceDN/>
        <w:bidi w:val="0"/>
        <w:spacing w:line="520" w:lineRule="exact"/>
        <w:ind w:leftChars="0" w:firstLine="482" w:firstLineChars="200"/>
        <w:textAlignment w:val="auto"/>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t>本采购需求为项目最低要求，供应商可提供优于本要求的技术方案、产品及服务，所有响应内容不得低于本文件规定标准，</w:t>
      </w:r>
      <w:r>
        <w:rPr>
          <w:rFonts w:hint="eastAsia" w:ascii="宋体" w:hAnsi="宋体" w:cs="宋体"/>
          <w:b/>
          <w:bCs/>
          <w:color w:val="auto"/>
          <w:sz w:val="24"/>
          <w:highlight w:val="none"/>
          <w:lang w:val="en-US" w:eastAsia="zh-CN"/>
        </w:rPr>
        <w:t>否则</w:t>
      </w:r>
      <w:r>
        <w:rPr>
          <w:rFonts w:hint="eastAsia" w:ascii="宋体" w:hAnsi="宋体" w:cs="宋体"/>
          <w:b/>
          <w:bCs/>
          <w:color w:val="auto"/>
          <w:sz w:val="24"/>
          <w:highlight w:val="none"/>
          <w:lang w:eastAsia="zh-CN"/>
        </w:rPr>
        <w:t>采购方有权拒绝签订合同，一切后果由供应商承担。</w:t>
      </w:r>
    </w:p>
    <w:p w14:paraId="73561A86">
      <w:pPr>
        <w:pStyle w:val="38"/>
        <w:keepNext w:val="0"/>
        <w:keepLines w:val="0"/>
        <w:pageBreakBefore w:val="0"/>
        <w:widowControl w:val="0"/>
        <w:numPr>
          <w:ilvl w:val="0"/>
          <w:numId w:val="0"/>
        </w:numPr>
        <w:kinsoku/>
        <w:wordWrap/>
        <w:overflowPunct/>
        <w:topLinePunct w:val="0"/>
        <w:autoSpaceDE/>
        <w:autoSpaceDN/>
        <w:bidi w:val="0"/>
        <w:spacing w:line="520" w:lineRule="exact"/>
        <w:ind w:leftChars="0" w:firstLine="482" w:firstLineChars="200"/>
        <w:textAlignment w:val="auto"/>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t>下表中涉及的品牌及型号，仅用于描述本项目的技术性能要求，作为“参照或相当于”的最低参照标准。供应商可选择其他品牌产品，但所投产品的规格型号及技术参数须满足或优于该参照标准，并须在投标文件中提供对比证明材料。</w:t>
      </w:r>
    </w:p>
    <w:tbl>
      <w:tblPr>
        <w:tblStyle w:val="22"/>
        <w:tblW w:w="5637" w:type="pct"/>
        <w:tblInd w:w="-58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4"/>
        <w:gridCol w:w="647"/>
        <w:gridCol w:w="8330"/>
        <w:gridCol w:w="757"/>
        <w:gridCol w:w="686"/>
      </w:tblGrid>
      <w:tr w14:paraId="5E2F3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E42EF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40328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10" w:type="pct"/>
            <w:tcBorders>
              <w:top w:val="single" w:color="000000" w:sz="4" w:space="0"/>
              <w:left w:val="single" w:color="000000" w:sz="4" w:space="0"/>
              <w:bottom w:val="single" w:color="000000" w:sz="4" w:space="0"/>
              <w:right w:val="single" w:color="000000" w:sz="4" w:space="0"/>
            </w:tcBorders>
            <w:noWrap w:val="0"/>
            <w:vAlign w:val="center"/>
          </w:tcPr>
          <w:p w14:paraId="00074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技术参数</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1947B2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BE64E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r>
      <w:tr w14:paraId="2ADF4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4F0A4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52F76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幼教一站式管理平台</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2752EE9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▲1、首页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作为系统的主入口，登录点击后进入当前展示的驾驶舱页面，核心展示班级、教职工、学生、家长数量等关键数据，以及学生出勤趋势和通知公告等核心信息，方便管理者快速掌握园所整体运营情况。同时数据支持本地部署局端管理。</w:t>
            </w:r>
            <w:r>
              <w:rPr>
                <w:rStyle w:val="46"/>
                <w:color w:val="auto"/>
                <w:highlight w:val="none"/>
                <w:lang w:val="en-US" w:eastAsia="zh-CN" w:bidi="ar"/>
              </w:rPr>
              <w:br w:type="textWrapping"/>
            </w:r>
            <w:r>
              <w:rPr>
                <w:rStyle w:val="46"/>
                <w:color w:val="auto"/>
                <w:highlight w:val="none"/>
                <w:lang w:val="en-US" w:eastAsia="zh-CN" w:bidi="ar"/>
              </w:rPr>
              <w:t>（投标人或制造商提供幼教一站式管理平台的软件著作权证书）</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1）数据概览：统计展示园所的班级数量、教职工数量、学生数量以及家长数量，让用户快速了解园所整体人员规模情况。</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2）学生出勤：展示今日出勤实时统计（含出勤率、应到、实到、请假、未到等数据），并以曲线图呈现近7日出勤率趋势。</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3）常用功能：常用功能配置功能，方便用户快速进入常用模块，同时设有全部应用入口平铺展示系统全部应用。</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4）通知公告：展示最新发布的公告信息列表，允许点击查看详情，支持点击查看全部公告。</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 xml:space="preserve">2、校园管理系统  </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用于对幼儿园基础信息进行统一管理，涵盖学校配置、班级管理、教职工管理、学生管理、角色权限管理等功能，实现人、班、物、权的全生命周期建档与精细化管控，确保基础数据准确、完整、可追溯。同时支持按托班、小班、中班、大班等维度进行班级信息维护，支持教职工档案、幼儿基础信息的批量导入与导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学校配置：包含基本信息、年级配置、学期配置、场地管理等功能，基本信息展示学校基本信息，支持授权用户对学校名称、学校简介、学校地址、校徽等进行编辑；年级配置支持授权用户按幼儿园实际需求配置年级相关信息；学期配置支持授权用户按幼儿园实际情况配置学期的开始、结束时间；场地管理支持授权用户按幼儿园实际情况配置学校场地，场地可与设备、班级进行关联。</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2）班级管理：为学校、教师及管理人员提供了高效的班级信息管理功能，授权用户能够便捷地对班级进行添加、编辑、删除、升年级等操作，并支持快速筛选与精准搜索功能。</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教职工管理：包含部门管理与教职工管理两大功能，部门管理支持授权用户灵活创建、编辑、删除教职工部门，方便学校对教职工组织架构进行精细化管理，提升管理效能；教职工管理支持授权用户灵活创建、编辑、删除教职工人员信息，确保信息精准时效。学校可按需精准分配教职工部门及岗位。管理人员能便捷检索查询教职工信息，全面系统管理队伍，优化人力资源配置，提升教育教学管理效能。</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学生管理：为学校、教师及相关管理人员提供全面高效的学生信息管理功能，支持按班级节点、学生姓名、手机号等多条件灵活筛选搜索学生信息，保障信息获取的便捷性与精准性。同时，支持授权用户对学生信息进行添加、编辑、删除、导入、导出等操作，确保学生信息的精准性与时效性。学校可依据实际需求精准分配学生所属班级及相关信息，管理人员能够全面、系统地管理学生队伍，有效提升教育教学管理效能。</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5）角色管理：支持权限配置与角色分配能力，支持多角色管理和设定。</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 xml:space="preserve">3、考勤管理系统 </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用于对幼儿园的考勤数据进行统一管理，涵盖考勤配置、出入记录、教职工考勤、学生考勤等功能，自动生成出勤报表，精准追踪缺勤、请假状态，支持按日、周、月维度进行数据汇总与分析，为园所安全管理提供数据支撑。</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考勤配置：包含班次管理、考勤组管理功能，班次管理支持授权用户依据实际需求，灵活设定班次的具体时间，提供弹性打卡的配置选项。同时，该功能允许用户根据不同情境及具体要求，分别对不同考勤组教职工的上下班时间、学生的上学放学时间进行有针对性的配置，以满足各类幼儿园的多样化管理需求；考勤组管理支持授权用户根据不同班级、部门、岗位或职能需求，灵活创建和管理多个考勤组。每个考勤组可独立配置上下班时间、打卡规则等，从而实现对教职工和学生考勤的精细化、差异化管理和实时监控。</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出入记录：包含教职工出入记录、学生出入记录，教职工出入记录支持授权用户查询教职工的出入记录，便于管理者清晰掌握每位用户在园情况，从而进行有效的分析管理与资源规划；学生出入记录支持授权用户查询学生的出入记录，便于管理者清晰掌握每位用户在园情况，从而进行有效的分析管理与资源规划。</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教职工考勤：包含考勤分析、考勤统计、考勤记录，考勤分析助力学校、教师以及相关管理人员全方位、精准地把握部门的出勤情况。借助清晰呈现应到人数、实到人数、出勤率等关键数据，达成对出勤状况的实时掌控。并且，对近一周和近一年的考勤数据开展趋势剖析，使管理者能够迅速洞悉出勤的动态改变，提前察觉潜在问题，从而及时实施具有针对性的措施予以改进；考勤统计支持授权用户依据姓名、所属组织、考勤时段等关键要素进行精准检索查询，从而获取全面且详细的教职工考勤统计信息。具体内容涵盖姓名、所属部门、考勤组、应出勤天数与实际出勤天数等基础数据，同时深入呈现迟到频次及对应时长、早退频次及对应时长、缺卡频次等考勤异常情况。此外，还包括事假、病假、年假、产假等各类休假类别的详细记录，以便为人力资源管理及相关决策提供准确的数据支持；考勤记录展示教职工每人每日的考勤状况，详细记录入园离园时间、考勤状态，以及对请假等相关情况进行明确标注。</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学生考勤：包含考勤分析、考勤统计、考勤记录，考勤分析助力学校、教师以及相关管理人员全方位、精准地把握班级的出勤情况。借助清晰呈现应到人数、实到人数、出勤率等关键数据，达成对出勤状况的实时掌控。并且，对近一周和近一年的考勤数据开展趋势剖析，使管理者能够迅速洞悉出勤的动态改变，提前察觉潜在问题，从而及时实施具有针对性的措施予以改进；考勤统计支持授权用户依据姓名、所属组织、考勤时段等关键要素进行精准检索查询，从而获取全面且详细的学生考勤统计信息。具体内容涵盖姓名、所属班级、应出勤天数与实际出勤天数等基础数据，同时深入呈现迟到频次及对应时长、早退频次及对应时长、缺卡频次等考勤异常情况；考勤记录展示学生每人每日的考勤状况，详细记录入园离园时间、考勤状态，以及对请假、晚托等相关情况进行明确标注。</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 xml:space="preserve">▲4、宝贝成长系统 </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用于对幼儿的活动与发展数据进行统一管理 ，涵盖成长档案、区角活动、五育评价、发展评估、幼儿评语、观察记录、成长指南等功能，支持幼儿成长数据可视化展示，为教师提供标准化评价工具，为家长提供个性化成长建议，实现成长轨迹可追溯、可分析。</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成长档案：为教师撰写成长档案提供高效便捷服务。借助此功能，教师可系统全面地记录幼儿在学习、生活、健康等多维度的成长细节，如五育评价、体测报告、亲子任务、班级动态、家园寄语等；同时支持便捷整合素材，轻松插入图片等丰富成长档案内容。</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区角活动：包含活动分析、活动记录、区角配置等功能，为教师提供科学化、结构化的幼儿行为追踪与分析工具，支持管理者自定义活动，并对幼儿日常活动（如搭积木、画画、读书等场景）的时长进行记录，帮助管理者实现对幼儿活动偏好的统计分析。</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五育评价：包好评价统计与评价配置功能，评价统计为学校、教师及相关管理人员提供评价数据统计功能，支持多维度的数据统计，具备数据筛选查询、导出等功能，助力教师、管理者精准了解幼儿发展状况，推动个性化教育；评价配置为学校、教师及相关管理人员提供评价配置功能，用户可创建各类综合素质标签并明确定义，并针对每个标签定制具体评价项，还能按幼儿发展需求分配权重，从而实现幼儿综合素质的科学评价。</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4）发展评估：可按班级、学期创建评估任务，自定义评估指标，追踪任务状态（未发送 / 待完成 / 已发送），评估结果联动成长档案，为幼儿发展分析与个性化教育提供支撑。</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5）幼儿评语：教师可通过结构化模板与自由文本创建评语，并支持AI模型对评语进行语义优化，助力个性化教育与家园协同。</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观察记录：为教师提供科学化、结构化的幼儿行为追踪与分析工具，支持实时录入观察内容，可基于幼儿日常活动（如游戏、进餐、午休等场景）进行行为表现、社交互动、情绪表达及认知发展等多维度记录，并允许上传照片、视频等多媒体素材以丰富观察数据的可视化呈现，帮助管理者实现教育过程的可回溯管理。</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7）成长指南：提供育儿小妙招、节日节气、保健知识、儿童素材合集、社会与安全等知识等文章库，老师可分享至社群或朋友圈，助力家庭科学育儿能力提升。</w:t>
            </w:r>
            <w:r>
              <w:rPr>
                <w:rFonts w:hint="eastAsia" w:ascii="宋体" w:hAnsi="宋体" w:eastAsia="宋体" w:cs="宋体"/>
                <w:color w:val="auto"/>
                <w:sz w:val="24"/>
                <w:highlight w:val="none"/>
                <w:u w:val="none"/>
                <w:lang w:val="en-US" w:eastAsia="zh-CN" w:bidi="ar"/>
              </w:rPr>
              <w:br w:type="textWrapping"/>
            </w:r>
            <w:r>
              <w:rPr>
                <w:rStyle w:val="46"/>
                <w:color w:val="auto"/>
                <w:highlight w:val="none"/>
                <w:lang w:val="en-US" w:eastAsia="zh-CN" w:bidi="ar"/>
              </w:rPr>
              <w:t>（投标人或制造商须提供包含成长档案、区角活动、五育评价、发展评估、幼儿评语、观察记录、成长指南在内的七大功能真实场景页面截图）</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▲5、健康管理系统</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覆盖体温监测、智慧晨检、身高体重、运动睡眠等功能，实时采集幼儿健康数据。支持晨检异常情况（如手足口、疱疹等）秒级预警，为幼儿健康成长提供科学数据支撑。</w:t>
            </w:r>
            <w:r>
              <w:rPr>
                <w:rFonts w:hint="eastAsia" w:ascii="宋体" w:hAnsi="宋体" w:eastAsia="宋体" w:cs="宋体"/>
                <w:color w:val="auto"/>
                <w:sz w:val="24"/>
                <w:highlight w:val="none"/>
                <w:u w:val="none"/>
                <w:lang w:val="en-US" w:eastAsia="zh-CN" w:bidi="ar"/>
              </w:rPr>
              <w:br w:type="textWrapping"/>
            </w:r>
            <w:r>
              <w:rPr>
                <w:rStyle w:val="46"/>
                <w:color w:val="auto"/>
                <w:highlight w:val="none"/>
                <w:lang w:val="en-US" w:eastAsia="zh-CN" w:bidi="ar"/>
              </w:rPr>
              <w:t>（投标人或制造商须提供包含体温检测、智慧晨检、身高体重、运动睡眠在内的四大功能真实场景页面截图）</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1）体温检测：为学校、教师及管理人员提供教职工与学生体温数据统计服务。支持手动录入及设备对接录入，查询便捷。具备异常体温识别预警能力，守护园内健康安全。</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智慧晨检：包含晨检记录与晨检分析功能，晨检记录依托晨检机器人，通过人脸识别非接触式检测方式，对幼儿的手、口、眼及体温进行4项全覆盖的晨检，晨检完成后系统自动收集整理数据供保育老师查看，确保幼儿入园健康检测的规范高效与安全；晨检分析依托晨检机器人采集数据，统计学校/班级病症分布功能，对幼儿常见病症进行分类计数并用图表展示，实时更新；能计算并呈现班级异常人数比例，以不同颜色标识异常区间，绘制趋势图反映变化。</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3）身高体重：包含生长记录与生长分析，生长记录基于国家卫健委发布的《7 岁以下儿童生长标准》为学校、教师及相关管理人员提供学生的身高、体重、BMI数据统计。支持数据手动录入及系统对接录入，方便查询。具备数据预警能力，助力科学保育；生长分析基于国家卫健委发布的《7 岁以下儿童生长标准》为学校、教师及相关管理人员提供专业的班级与学生身高、体重、BMI数据分析服务。能自动对数据按等级进行分布展示，清晰直观地呈现不同等级数据的占比情况。助力教育者深入了解学生群体及个人的生长发育状况，为幼儿健康发育提供有力的数据支撑，从而科学、合理地指导幼儿健康管理工作。</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运动睡眠：包含步数、睡眠、心率功能，步数为学校、教师及相关管理人员提供学生每日实时步数数据记录服务。系统支持对接智能手环，实现自动化数据采集，并精准生成园所孩子的平均步数数据。凭借详实准确的数据，管理人员与教师能够便捷、直观地掌握幼儿运动状况，有力支撑幼儿运动量评估与健康管理工作；睡眠为学校、教师及相关管理人员提供学生每日睡眠情况记录服务。系统可对接智能手环，实现自动化数据采集，精准生成园所孩子的睡眠时长与详细的睡眠情况分析结果。依靠详实准确的数据，管理人员与教师能便捷、直观地掌握幼儿睡眠状况，为评估幼儿睡眠质量、制定健康管理制度提供有力支撑；心率为学校、教师及相关管理人员提供学生实时心率状况情况记录服务。系统可对接智能手环，实时、连续地获取孩子的心率数据，确保数据的准确性与及时性，为分析孩子的运动状态、身体恢复情况以及健康状况提供关键数据支持，助力园所全面掌握孩子的健康动态。</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 xml:space="preserve">▲6、智慧运动系统  </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涵盖体测管理、体测分析、体测报告、运动记录、运动统计等功能，打造幼儿体能发展管理体系，支持按班级、个人生成体测报告，实现体能发展的量化评估与个性化指导。</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体测管理：为学校、教师及相关管理人员提供体测管理相关功能，涵盖了创建体测、配置体测方案、生成体测计划、执行测试和数据采集等核心功能。支持高效地组织和管理幼儿体质测试工作，确保测试的科学性和准确性，同时提供全面的数据支持，帮助教师和家长更好地了解幼儿的体质发展状况，为制定个性化的体育活动计划提供依据，从而促进幼儿健康成长。</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体测分析：体测分析具备数据对比分析、相关性分析以及综合评估与趋势预测等功能。数据对比分析可进行个体间、个体与群体以及阶段（个体/群体）对比，直观呈现差异与变化趋势；相关性分析能探究身体指标间关联及影响因素与体测结果的关系；综合评估与趋势预测则通过专业模型对幼儿体质健康进行综合评定，给出评估报告及改进建议，并依据过往数据预测未来体质发展趋势及预防措施。</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体测报告：为学校、教师及相关管理人员提供体测报告功能。根据分析结果，为园所、家长分别生成不同层面的体测报告，全面呈现幼儿体质数据、分析结果及专业评估，为园所制定体育教育策略、家长科学育儿提供有力的数据支持和决策依据，助力幼儿健康成长。</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4）运动记录：可按学生姓名、日期筛选，支持握力、立定跳远等多种运动项目的数据录入与管理，能记录运动时间与成绩，方便教师追踪幼儿运动表现，为体能评估提供数据支撑。</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5）运动统计：支持按近 30 天、本学期维度统计，呈现总运动量、最受欢迎项目、活跃班级 TOP1 等核心指标，通过图表展示各运动项目参与度与运动频率，为体能发展分析和教学调整提供数据支撑。</w:t>
            </w:r>
            <w:r>
              <w:rPr>
                <w:rFonts w:hint="eastAsia" w:ascii="宋体" w:hAnsi="宋体" w:eastAsia="宋体" w:cs="宋体"/>
                <w:color w:val="auto"/>
                <w:sz w:val="24"/>
                <w:highlight w:val="none"/>
                <w:u w:val="none"/>
                <w:lang w:val="en-US" w:eastAsia="zh-CN" w:bidi="ar"/>
              </w:rPr>
              <w:br w:type="textWrapping"/>
            </w:r>
            <w:r>
              <w:rPr>
                <w:rStyle w:val="46"/>
                <w:color w:val="auto"/>
                <w:highlight w:val="none"/>
                <w:lang w:val="en-US" w:eastAsia="zh-CN" w:bidi="ar"/>
              </w:rPr>
              <w:t>（投标人或制造商提供包含体测管理、体测分析、体测报告、运动记录、运动统计在内的五大功能真实场景页面截图）</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 xml:space="preserve">7、活动计划系统  </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支持授权用户对班级活动计划进行编辑，一周活动安排以简洁直观方式展示，便于教师结合教学目标及幼儿特点灵活规划，也利于用户查看，确保班级活动有序高效进行。支持按托、</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 xml:space="preserve">8、食谱管理系统 </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构建科学膳食管理体系，包含菜品名录建档与一周食谱制定功能；支持菜品食材构成、营养成分标注，确保幼儿膳食营养均衡、可追溯，支持食谱按周导出与公示。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1）菜品名录：支持授权用户对园所的菜品菜肴进行精细化录入与分类管理，方便后续依据菜品情况科学、合理地制定一周食谱计划，助力营养膳食搭配。</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2）一周食谱：支持授权用户对学校一周食谱进行灵活编辑，食谱安排以简洁直观方式展示，关键信息一目了然，食堂工作人员可快速查看并据此准备餐饮，家长能便捷了解孩子在校饮食情况。</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9、绘本管理系统</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 xml:space="preserve">涵盖绘本信息、借阅记录、借阅分析等功能，支持按编码、分类、库存进行管理，助力绘本高效流转，培养幼儿阅读习惯，支持借阅数据统计与热门绘本分析。 </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1）绘本信息：支持授权用户灵活维护园所绘本基本信息（含名称、作者、出版社、库存数量等），提升学校、教师及相关人员管理工作效率，便于检索、更新、维护绘本资源。</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借阅记录：为学校、教师及管理人员提供借阅信息相关功能。支持查询园内绘本借阅详情，包括借阅、归还时间、借阅人等关键信息，记录详实，助力掌握借阅动态、评估使用情况，为绘本管理更新提供数据支撑。同时具备借书、还书功能，保障借阅流程有序。</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借阅分析：支持授权用户对绘本借阅情况进行深度分析，统计借阅频率、借阅时长等关键数据，并以直观图表形式呈现。通过对这些数据的分析，能为合理调配绘本资源、优化绘本采购策略以及了解幼儿阅读兴趣提供有力依据，助力幼儿园绘本管理及阅读活动的高效开展。</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10、校园网盘系统</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 xml:space="preserve">涵盖我的资源、团队资源、存储配置等功能，搭建园所专属资源库，支持图片、文档、视频等多类型文件存储与共享，实现资源安全共享与高效管理，支持按权限进行文件访问控制。  </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我的资源：是校园网盘模块下的个人文件管理功能，支持图片、文档、视频、音频等多类型文件的上传、分类存储与检索，可新建文件夹进行资源整理，同时展示存储容量使用情况，方便教师管理个人教学与工作资料。</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团队资源：是校园网盘模块的核心共享功能，支持园所教职工共建共享文件，可新建文件夹分类管理团队资料，清晰展示文件所有者、修改时间等信息，实时显示存储容量使用情况，助力园所内部高效协同与资源共享。</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存储配置：是校园网盘模块的管理功能，可查看总存储容量与已用空间，支持按用户角色分配个人存储空间上限，清晰展示各用户已用空间与容量配额，方便管理员按需调整，保障网盘资源合理分配与高效利用。</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▲11、园所宣传系统</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涵盖电子画屏、电子班牌、数据大屏、园所介绍等功能，支持电子屏内容管理、布局配置与设备 Mac 地址绑定，全方位传递园所特色与运营成果，打造园所品牌数字化宣传矩阵。</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1）电子画屏：支持授权用户对电子画屏设备及相关内容进行全方位管理，具体涵盖视频、图片资源的上传、编辑、排序管控，可借助远程操控实现内容的循环播放，同时支持在线预览功能。</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电子班牌：平台依托先进的电子班牌设备及功能完善的班牌客户端软件，提供丰富多样的班牌模板供用户选择，系统可与班牌设备实现高效协同，灵活精准地将各类内容，如班级照片、通知公告以及教学活动安排、膳食营养食谱、家长接送等信息，推送至指定班牌，并支持实时远程更新，确保信息展示的及时性和准确性。</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数据大屏：为学校、教师及管理人员提供多种丰富且精美的数据大屏模板选择，用户可依据实际需求，灵活挑选不同风格、布局、功能的模板，展示幼儿园的各类关键数据，如幼儿数量、教师信息、实时考勤、健康监测、膳食特色、校园风采等，实现数据的专业可视化呈现，助力园所高效宣传展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园所介绍：支持授权用户借助在线编辑器实现对园所介绍的可视化编辑。该编辑工具具备灵活上传视频、图片的功能，且能实时进行预览，确保展示效果符合预期。发布后，移动端内容可实时同步更新，保证园所宣传信息的及时性和准确性，有效提升园所宣传效率与效果 。</w:t>
            </w:r>
            <w:r>
              <w:rPr>
                <w:rFonts w:hint="eastAsia" w:ascii="宋体" w:hAnsi="宋体" w:eastAsia="宋体" w:cs="宋体"/>
                <w:color w:val="auto"/>
                <w:sz w:val="24"/>
                <w:highlight w:val="none"/>
                <w:u w:val="none"/>
                <w:lang w:val="en-US" w:eastAsia="zh-CN" w:bidi="ar"/>
              </w:rPr>
              <w:br w:type="textWrapping"/>
            </w:r>
            <w:r>
              <w:rPr>
                <w:rStyle w:val="46"/>
                <w:color w:val="auto"/>
                <w:highlight w:val="none"/>
                <w:lang w:val="en-US" w:eastAsia="zh-CN" w:bidi="ar"/>
              </w:rPr>
              <w:t>（投标人或制造商提供包含电子画屏、电子班牌、数据大屏在内的三大功能的真实场景页面截图及硬件使用场景图片）</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 xml:space="preserve">12、通知公告系统 </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涵盖公告管理与全部公告功能，支持通知的添加、编辑、删除、置顶与状态筛选，确保家校、园所内部信息传递及时、无遗漏，支持按发布人、部门、时间进行公告检索。</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公告管理：为学校、教师及管理人员提供公告发布、编辑与删除功能，便于管理者灵活把控通知内容及状态。授权用户可面向班级家长及教职工发布公告，发布方式灵活，支持及时发布与定时发布，确保信息准确送达，管理者还能对关键公告置顶，保障传达效率。</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2）全部公告：为用户提供了全面的通知查看功能，展示全部通知，且将通知区分为未读通知和已读通知，方便用户快速识别和筛选，从而及时掌握最新消息。</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13、流程管理系统</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提供请假申请、补卡申请、家长叮嘱等线上业务流程功能，支持流程总览与流程配置功能，适配园所个性化管理需求，实现业务流转可追溯、可监控，提升审批效率与管理透明度。</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1）请假申请：平台提供请假申请与审批功能，用户可在线提交申请并实时追踪审批进度，审批流程自动流转至指定负责人，申请详情与状态清晰可查，规范管理流程，提升园所运营效率。</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2）补卡申请：平台提供补卡申请与审批功能，用户可针对自身出现异常的考勤情况发起补卡申请，相关负责人可依据既定规定并结合实际情况进行审批，从而保障教职工考勤信息的严谨性。</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3）家长叮嘱：平台提供了家长叮嘱功能，聚焦查询与确认。家长发起叮嘱请求后，教师可精准查询叮嘱信息，并可对这些信息进行确认操作，确保信息的有效流转，助力家园共育工作高效进行。</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流程总览：可按学生请假、教职工请假、补卡申请等业务类型进行分类查看，支持按姓名、类型、状态、时间等条件筛选，清晰展示流程的提交时间、审批状态等信息，方便管理者全面掌握业务流转进度，提升管理效率。</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5）流程配置：支持授权用户对流程审批人进行指定设置，可依据具体业务需求，灵活分配适配的审批角色，从而保障流程运作的规范性与安全性，有效提升幼儿园管理流程的灵活性与可控性。</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2B62B1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9418E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4887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FF998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6C07A0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智慧园所数据可视化</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6BAD1A7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一、功能参数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【模板管理】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提供多场景、多风格的数据大屏模板，覆盖幼儿园日常运营（如考勤、健康、膳食、运动、园所宣传等）、活动展示、管理决策等场景，支持用户根据需求灵活选择模板（如“智慧运动综合大屏”“园所数据大屏”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支持模板的编辑、删除、预览操作，方便用户调整模板自定义内容（如大屏名称、鸟瞰图、校园风采视频等）。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▲【数据可视化展示】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实时展示幼儿园核心数据，包括但不限于：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基础数据：幼儿数量、教师信息、班级数量、家长数量等；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动态数据：实时考勤（出勤率、迟到/早退统计、出入记录）、健康监测（体温异常预警、健康统计）、膳食管理（食谱展示）、运动数据（运动人次统计、体测等级分布、项目热度）等；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特色数据：校园风采（活动照片、视频展示）、教师队伍（人员信息、照片墙）等。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支持多维度数据可视化，通过图表（折线图、柱状图、饼图、环形图等）、数字卡片、地图/建筑模型等方式直观呈现数据，提升信息传达效率。</w:t>
            </w:r>
            <w:r>
              <w:rPr>
                <w:rFonts w:hint="eastAsia" w:ascii="宋体" w:hAnsi="宋体" w:eastAsia="宋体" w:cs="宋体"/>
                <w:i w:val="0"/>
                <w:iCs w:val="0"/>
                <w:color w:val="auto"/>
                <w:kern w:val="0"/>
                <w:sz w:val="24"/>
                <w:szCs w:val="24"/>
                <w:highlight w:val="none"/>
                <w:u w:val="none"/>
                <w:lang w:val="en-US" w:eastAsia="zh-CN" w:bidi="ar"/>
              </w:rPr>
              <w:br w:type="textWrapping"/>
            </w:r>
            <w:r>
              <w:rPr>
                <w:rStyle w:val="46"/>
                <w:color w:val="auto"/>
                <w:highlight w:val="none"/>
                <w:lang w:val="en-US" w:eastAsia="zh-CN" w:bidi="ar"/>
              </w:rPr>
              <w:t>（投标人或制造商提供数据可视化平台的软件著作权证书及数据大屏的真实场景页面图片）</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【实时数据更新】</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基于WebSocket技术实现数据的实时推送与更新，确保考勤、健康、运动等动态数据的即时性（延迟≤1秒），满足园所对实时监控、快速决策的需求。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【图片与多媒体支持】</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支持图片上传与展示（如校园风采照片、膳食图片、教师职业照片等），支持图片格式（png、jpg、jpeg等）、尺寸的自定义设置，确保视觉效果统一、美观。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可集成视频播放功能（如园所活动视频、宣传视频），丰富展示形式。</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二、技术参数</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【技术架构】</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展示端：采用Vue等框架，实现可视化界面，支持响应式布局，适配不同分辨率的显示设备（如拼接屏、电视、电脑等）。</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通信协议：基于WebSocket实现实时数据传输，确保数据推送的及时性与稳定性。</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服务端：支持与园所现有管理系统（如考勤系统、健康系统、运动系统）对接，通过RESTful API或数据库直连获取数据。</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【性能指标】</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数据更新频率：实时数据（如考勤、健康）更新延迟≤1秒，静态数据（如基础信息）按需更新（延迟≤5秒）。</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并发支持：支持至少100+ 终端同时访问（如多间教室、办公室的大屏终端），确保系统稳定运行。</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响应时间：页面加载时间≤3秒，图表渲染时间≤1秒（数据量≤10万条时）。</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【兼容性】</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浏览器兼容：支持Chrome（≥80）、Firefox（≥75）等主流浏览器。</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设备兼容：支持拼接屏、LED屏、电视、电脑等显示设备，分辨率支持1080P、4K及以上。</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【安全与稳定性】</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数据安全：支持用户认证（如账号密码、Token）和数据加密（如HTTPS传输、敏感数据加密存储），防止数据泄露。</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系统稳定性：支持7×24小时运行，故障恢复时间≤30分钟（如断网、服务器重启后自动恢复）。实施数据本地存储服务，确保数据安全性。</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【扩展性】</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模板扩展：支持模板扩展等个性化需求。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数据扩展：支持新增数据源（如园所新增的业务系统），通过配置对接即可接入新数据。</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233847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B3457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10AA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83A8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43BC0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智能电子班牌</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74DCEFFF">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功能描述：</w:t>
            </w:r>
          </w:p>
          <w:p w14:paraId="77DD46D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平台依托先进的电子班牌设备及功能完善的班牌客户端软件，提供丰富多样的班牌模板供用户选择，系统可与班牌设备实现高效协同，灵活精准地将各类内容，如班级照片、通知公告以及教学活动安排、膳食营养食谱等信息，推送至指定班牌，并支持实时远程更新，确保信息展示的及时性和准确性。</w:t>
            </w:r>
          </w:p>
          <w:p w14:paraId="7C340DE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rPr>
              <w:t>产品配置：</w:t>
            </w:r>
            <w:r>
              <w:rPr>
                <w:rFonts w:hint="eastAsia" w:ascii="宋体" w:hAnsi="宋体" w:eastAsia="宋体" w:cs="宋体"/>
                <w:i w:val="0"/>
                <w:iCs w:val="0"/>
                <w:color w:val="auto"/>
                <w:sz w:val="24"/>
                <w:szCs w:val="24"/>
                <w:highlight w:val="none"/>
                <w:u w:val="none"/>
                <w:lang w:val="en-US" w:eastAsia="zh-CN"/>
              </w:rPr>
              <w:t>21.5寸智能电子班牌</w:t>
            </w:r>
          </w:p>
          <w:p w14:paraId="48D4D40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硬件参数：</w:t>
            </w:r>
          </w:p>
          <w:p w14:paraId="19F6E4C8">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1、核心功能</w:t>
            </w:r>
          </w:p>
          <w:p w14:paraId="0D421DF8">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（1）背板纯平隐藏走线设计，外壳颜色支持个性化定制</w:t>
            </w:r>
          </w:p>
          <w:p w14:paraId="5F358EDC">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（2）300nit高清高亮IPS电容屏</w:t>
            </w:r>
          </w:p>
          <w:p w14:paraId="3478C9DB">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（3）网线接口带POE供电，支持POE功能，支持IEEE802.3at/af标准</w:t>
            </w:r>
          </w:p>
          <w:p w14:paraId="5BBDC9EC">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（4）适应不同场景及环境，逆光环境下可正常使用，可定制防水级别</w:t>
            </w:r>
          </w:p>
          <w:p w14:paraId="45E4AA43">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（5）可拓展性强，增加测温功能</w:t>
            </w:r>
          </w:p>
          <w:p w14:paraId="5C0B36AE">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2、结构</w:t>
            </w:r>
          </w:p>
          <w:p w14:paraId="310DB971">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材料：铝合金+钣金件</w:t>
            </w:r>
          </w:p>
          <w:p w14:paraId="47B5F919">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 xml:space="preserve">3、芯片 </w:t>
            </w:r>
          </w:p>
          <w:p w14:paraId="7562874C">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 xml:space="preserve">CPU：四核 CortexTM-A55，频率高达2.0GHz </w:t>
            </w:r>
          </w:p>
          <w:p w14:paraId="4D6FF595">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GPU：G57 MC01 GPU</w:t>
            </w:r>
          </w:p>
          <w:p w14:paraId="29FD7B71">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 xml:space="preserve">4、存储 </w:t>
            </w:r>
          </w:p>
          <w:p w14:paraId="7406228F">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RAM：</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sz w:val="24"/>
                <w:szCs w:val="24"/>
                <w:highlight w:val="none"/>
                <w:u w:val="none"/>
                <w:lang w:val="en-US" w:eastAsia="zh-CN"/>
              </w:rPr>
              <w:t xml:space="preserve">2G </w:t>
            </w:r>
          </w:p>
          <w:p w14:paraId="6C2417CC">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ROM：</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sz w:val="24"/>
                <w:szCs w:val="24"/>
                <w:highlight w:val="none"/>
                <w:u w:val="none"/>
                <w:lang w:val="en-US" w:eastAsia="zh-CN"/>
              </w:rPr>
              <w:t>16G（支持扩展32G）</w:t>
            </w:r>
          </w:p>
          <w:p w14:paraId="51FE4B8D">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 xml:space="preserve">5、显示屏 </w:t>
            </w:r>
          </w:p>
          <w:p w14:paraId="6630DBC3">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显示屏：LED 高清IPS屏 16:9</w:t>
            </w:r>
          </w:p>
          <w:p w14:paraId="7867DF74">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尺寸：</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sz w:val="24"/>
                <w:szCs w:val="24"/>
                <w:highlight w:val="none"/>
                <w:u w:val="none"/>
                <w:lang w:val="en-US" w:eastAsia="zh-CN"/>
              </w:rPr>
              <w:t>21.5寸</w:t>
            </w:r>
          </w:p>
          <w:p w14:paraId="5840A01B">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亮度：≥300cd/m2</w:t>
            </w:r>
          </w:p>
          <w:p w14:paraId="5F06D6FA">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分辨率：</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sz w:val="24"/>
                <w:szCs w:val="24"/>
                <w:highlight w:val="none"/>
                <w:u w:val="none"/>
                <w:lang w:val="en-US" w:eastAsia="zh-CN"/>
              </w:rPr>
              <w:t>1920*1080(RGB)亮度（标准值）</w:t>
            </w:r>
          </w:p>
          <w:p w14:paraId="59258C85">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对比度：</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sz w:val="24"/>
                <w:szCs w:val="24"/>
                <w:highlight w:val="none"/>
                <w:u w:val="none"/>
                <w:lang w:val="en-US" w:eastAsia="zh-CN"/>
              </w:rPr>
              <w:t>1000:1</w:t>
            </w:r>
          </w:p>
          <w:p w14:paraId="09D77C7D">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显示色彩：≥16.7M colors</w:t>
            </w:r>
          </w:p>
          <w:p w14:paraId="7F01BD0C">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可视角度（水平/垂直）：90/90</w:t>
            </w:r>
          </w:p>
          <w:p w14:paraId="20997EAA">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色域：60%(NTSC)</w:t>
            </w:r>
          </w:p>
          <w:p w14:paraId="0483A07F">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响应时间（灰阶）：≥8ms</w:t>
            </w:r>
          </w:p>
          <w:p w14:paraId="6DCB2524">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使用寿命：&gt;80000小时</w:t>
            </w:r>
          </w:p>
          <w:p w14:paraId="1F71FAAA">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 xml:space="preserve">6、触摸屏 </w:t>
            </w:r>
          </w:p>
          <w:p w14:paraId="1CC55F38">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电容屏：G+G 十点触控</w:t>
            </w:r>
          </w:p>
          <w:p w14:paraId="690E154E">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响应速度：≥8ms</w:t>
            </w:r>
          </w:p>
          <w:p w14:paraId="5104B20F">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7、玻璃</w:t>
            </w:r>
          </w:p>
          <w:p w14:paraId="5E186A61">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钢化玻璃：莫氏7级物理钢化玻璃</w:t>
            </w:r>
          </w:p>
          <w:p w14:paraId="0489FA5F">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透光率：大于85 %</w:t>
            </w:r>
          </w:p>
          <w:p w14:paraId="6BBDA20D">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玻璃雾透值：3%；</w:t>
            </w:r>
          </w:p>
          <w:p w14:paraId="5C5DDB71">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厚度：3mm防爆玻璃</w:t>
            </w:r>
          </w:p>
          <w:p w14:paraId="53FFF8CA">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系统：支持Android 11以上</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0BB12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6BA41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r>
      <w:tr w14:paraId="39981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47ED0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3F07A1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幼儿园考勤机</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764977A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校、教师以及相关管理人员全方位、精准地把握部门或者班级的出勤情况。清晰呈现应到人数、实到人数、出勤率等关键数据，达成对出勤状况的实时掌控。并且，对近一周和近一年的考勤数据开展趋势剖析，使管理者能够迅速洞悉出勤的动态改变，提前察觉潜在问题，从而及时实施具有针对性的措施予以改进。另外，设置出勤排行榜能够激发各个部门、班级之间的良性竞争氛围，推动各管理者关注团队考勤管理工作，塑造积极向上的工作和学习氛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设备配置：包含1套测温智能门禁一体机、1台人脸识别智能门禁、2个门禁电源、2个门禁遮阳罩、2根门禁立柱。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硬件参数：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【测温智能门禁一体机参数】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屏幕参数：≥ 7英寸触摸显示屏，屏幕比例9:16，屏幕分辨率600*1024；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摄像头参数：采用宽动态200万双目摄像头；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测温功能：集成热成像测温模组，测温距离在0.5m-1.5m之间，测温范围30℃-45℃，精度±0.5℃（无黑体）；支持身份认证（刷脸、刷卡等）+测温模式、仅测温模式；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认证方式：支持人脸、刷卡（IC卡、手机NFC卡、CPU卡序列号/内容、身份证卡序列号）、密码认证方式；可外接身份证、指纹、蓝牙、二维码等功能模块；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人脸验证：采用深度学习算法，支持单人或多人识别（最多5人同时认证）功能；支持照片、视频防假；1:N人脸验证速度≤0.2s，人脸验证准确率≥99%；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存储容量：本地支持10000人脸库、50000张卡，15万条事件记录；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硬件接口：LAN*1、RS485*1、Wiegand * 1(支持双向)、typeC类型USB接口*1、电锁*1、门磁*1、报警输入*2、报警输出*1、开门按钮*1、SD卡槽*1（最大支持512GB）、3.5mm音频输出接口*1；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通信方式：有线网络；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使用环境：室内使用、不防水；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安装方式：壁挂安装（标配挂板，适配86底盒）；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工作电压： DC12V~24V/2A（电源需另配）；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产品尺寸：≥247.7*110.5*24mm；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【人脸识别智能门禁参数】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操作系统：嵌入式Linux操作系统；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屏幕参数： ≥7英寸触摸显示屏，屏幕比例9:16，屏幕分辨率600*1024；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摄像头参数：采用宽动态200万双目摄像头；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认证方式：支持人脸、刷卡（IC卡、手机NFC卡、CPU卡序列号/内容、身份证卡序列号）、密码认证方式，可外接身份证、指纹、蓝牙、二维码功能模块；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人脸验证：采用深度学习算法，支持单人或多人识别（最多5人同时认证）功能；支持照片、视频防假；1:N人脸验证速度≤0.2s，人脸验证准确率≥99%；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存储容量：本地支持10000人脸库、50000张卡，15万条事件记录；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硬件接口：LAN*1、RS485*1、Wiegand * 1(支持双向)、typeC类型USB接口*1、电锁*1、门磁*1、报警输入*2、报警输出*1、开门按钮*1、SD卡槽*1（最大支持512GB）、3.5mm音频输出接口*1；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通信方式及网络协议：有线网络；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使用环境：IP65，室内外环境（室外使用必须搭配遮阳罩）；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安装方式：壁挂安装（标配挂板，适配86底盒）；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工作电压： DC12V~24V/2A（电源需另配）；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产品尺寸：≥209.2*110.5*24mm；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【门禁遮阳罩】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造型美观、安装便捷，为人脸门禁一体机遮阳使用。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人脸门禁一体机室外使用时，必须搭配遮阳罩。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使用环境：室内室外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安装方式：卡扣式安装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【门禁立柱参数】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材质：金属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尺寸：底座直径≥300mm，高度≥1313mm</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DDE5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60CADC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65FF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027EB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319719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AI体育角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（室内版）</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625EC5E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一、功能模块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1.支持体育课堂应用、大课间体锻、趣味运动会、自由练习等多场景应用；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2.支持蹲跳、纵跳、投球、高抬腿等游戏化项目应用，系统智能检测学生纵跳、蹲跳、协调以及反应能力，自动分析赋分，提供轻松有趣的运动氛围；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3.支持无感人脸识别，自动锁定学生身份，学生随到随测，快速进入运动状态；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多人同测，单摄像头设备同时支持4人跳绳、4人纵跳高度与爆发力检测、4人蹲跳耐力与协调性检测、4人投掷准确性与力度控制、12人纵跳高度与反应力检测、12人反应速度与灵敏性检测同步测试，营造PK竞技氛围；</w:t>
            </w:r>
            <w:r>
              <w:rPr>
                <w:rFonts w:hint="eastAsia" w:ascii="宋体" w:hAnsi="宋体" w:eastAsia="宋体" w:cs="宋体"/>
                <w:i w:val="0"/>
                <w:iCs w:val="0"/>
                <w:color w:val="auto"/>
                <w:kern w:val="0"/>
                <w:sz w:val="24"/>
                <w:szCs w:val="24"/>
                <w:highlight w:val="none"/>
                <w:u w:val="none"/>
                <w:lang w:val="en-US" w:eastAsia="zh-CN" w:bidi="ar"/>
              </w:rPr>
              <w:br w:type="textWrapping"/>
            </w:r>
            <w:r>
              <w:rPr>
                <w:rStyle w:val="46"/>
                <w:color w:val="auto"/>
                <w:highlight w:val="none"/>
                <w:lang w:val="en-US" w:eastAsia="zh-CN" w:bidi="ar"/>
              </w:rPr>
              <w:t>（投标人或制造商须提供具有CMA或CNAS资质的第三方检测机构出具的产品检测报告复印件并加盖制造商公章）</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5.支持多测试位触发，无需固定测试点位触发项目，可随意选择测试区域进行项目触发；6.支持举手示意系统即可自动激活各类运动项目选择，选中项目后放下手即可开始游戏运动，无需手动操作或手势切换；</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7.支持榜单动态刷新，无人使用状态下默认呈现各类运动项目榜单，支持展示榜单人员姓名、班级及上榜成绩；</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8.支持界面显示卡通化，测试过程中实时播报趣味卡通特效。</w:t>
            </w:r>
            <w:r>
              <w:rPr>
                <w:rFonts w:hint="eastAsia" w:ascii="宋体" w:hAnsi="宋体" w:eastAsia="宋体" w:cs="宋体"/>
                <w:color w:val="auto"/>
                <w:sz w:val="24"/>
                <w:highlight w:val="none"/>
                <w:u w:val="none"/>
                <w:lang w:val="en-US" w:eastAsia="zh-CN" w:bidi="ar"/>
              </w:rPr>
              <w:br w:type="textWrapping"/>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F303E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7DF9B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449C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40FF4C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1ADC8F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智能AI互动游戏教学</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3F564DF7">
            <w:pPr>
              <w:keepNext w:val="0"/>
              <w:keepLines w:val="0"/>
              <w:widowControl/>
              <w:suppressLineNumbers w:val="0"/>
              <w:spacing w:before="0" w:beforeAutospacing="0" w:after="0" w:afterAutospacing="0"/>
              <w:ind w:left="0" w:right="0"/>
              <w:jc w:val="left"/>
              <w:textAlignment w:val="top"/>
              <w:rPr>
                <w:rFonts w:hint="default" w:ascii="Calibri" w:hAnsi="Calibri" w:eastAsia="宋体" w:cs="Times New Roman"/>
                <w:color w:val="auto"/>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【可移动智慧教学课堂】设备内置软件功能描述：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一、基本说明，该产品突破了传统教学活动的空间限制，将互动投影、内容交互、AI语音、图像识别、体感互动等技术与教学活动巧妙结合。任何场地都能瞬间化身为充满奇幻色彩的教学活动及运动竞技空间；内置丰富的主题应用内容，满足不同场景教学及活动需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二、设备内置应用广场软件是一个：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1、一个专为学前教育需求设计的应用平台，适用于windows10系统或信创系统，平台聚合了多种学前教育领域的应用程序，打开和切换应用更便捷、高效。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2、多平台通用的账号密码，凭借个人手机号即可开通账号密码，用于登录数据中心、应用广场、小程序。（支持打通微信、钉钉，通过扫码等快捷方式轻松登录。）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3、账号的登录设备监测功能，保障用户的账号信息安全。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三、产品内容，包含：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1、AI园宠（AI园所宠物）：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1）用户可与AI以对话点的形式，进行互动问答。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2）可通过特定的语音指令，唤起知识库的素材，进行播放展示。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3）预置≥95本有声图文绘本、≥10个建模形象、≥35个形象视频以及≥20首音乐供幼儿互动。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4）支持定制园所吉祥物，园所吉祥物专属本园使用。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5）园所可自由搭配专属的知识库，存放园所专属的图片、视频、音频、文字。专属知识库的内容仅本园所可使用。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2、乐酷地面（趣味互动投影游戏）：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应该拥有≥20种主题场景。涵盖运动健康、自然探索、科学宇宙、认知教学等领域，满足幼儿园不同教学需求场景,通过贴近真实的投影画面，模拟落叶、冰面、河流等自然景观的展示效果，帮助孩子更好的感受大自然的魅力；内含多个趣味地面互动投影游戏，在游戏中融入语言、音乐、科学等领域的内容，寓教于乐；同时包含立定跳远、折返跑等趣味运动类主题，帮助提升幼儿的身体素质、反应力、平衡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配置雷达反馈系统，每个主题均应保证场景可交互，设置互动游戏任务，支持至少6名幼儿同时游玩，支持踩踏区域实时反馈，及时呈现对应互动效果，辅助幼儿沉浸式体验，并配套电子主题教案，教案要包含游戏目标、游戏准备、游戏过程、情境导入、规则讲解等内容。</w:t>
            </w:r>
            <w:r>
              <w:rPr>
                <w:rStyle w:val="46"/>
                <w:color w:val="auto"/>
                <w:highlight w:val="none"/>
                <w:lang w:val="en-US" w:eastAsia="zh-CN" w:bidi="ar"/>
              </w:rPr>
              <w:t>（投标人或制造商须提供≥3个主题的教案截图并加盖供应商公章）</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▲3）游戏系统应集成在一个支持windows10操作系统的独立桌面应用程序中，用于对游戏内的游戏主题新增、删除等管理。</w:t>
            </w:r>
            <w:r>
              <w:rPr>
                <w:rStyle w:val="46"/>
                <w:color w:val="auto"/>
                <w:highlight w:val="none"/>
                <w:lang w:val="en-US" w:eastAsia="zh-CN" w:bidi="ar"/>
              </w:rPr>
              <w:t>（投标人或制造商须提供后台管理页面截图佐证并加盖供应商公章）</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3、神笔小画家（互动绘画软件）：</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1）支持用户通过高拍仪等采集设备，上传幼儿的作品图像。</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2）软件内支持多点触控，可通过手指拖拽放大缩小幼儿作品。</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3）自定义主题支持用户自行设置和修改背景图、背景音乐、展示路线，其中展示路线可以自定义规划≥3条，每条线路均可选择展示速度。</w:t>
            </w:r>
          </w:p>
          <w:p w14:paraId="0D188FD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highlight w:val="none"/>
                <w:u w:val="none"/>
                <w:lang w:val="en-US" w:eastAsia="zh-CN" w:bidi="ar"/>
              </w:rPr>
              <w:t>4）非自定义主题设置了多种三维立体场景，同时每个场景标配轻音乐卡片，支持用户通过扫描卡片设置背景音乐，辅助幼儿更全面展示作品。</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5）软件内支持截图记录作品展示的精彩瞬间，自动生成常规图片格式（JPG、PNG），保存到后台文件夹。</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4、steam实验室（基础科学互动教学软件）：</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▲1）结合日常生活场景，模拟真实的物理逻辑，帮助孩子通过游戏感受生活中的科学知识。</w:t>
            </w:r>
            <w:r>
              <w:rPr>
                <w:rStyle w:val="46"/>
                <w:color w:val="auto"/>
                <w:highlight w:val="none"/>
                <w:lang w:val="en-US" w:eastAsia="zh-CN" w:bidi="ar"/>
              </w:rPr>
              <w:t>（投标人或制造商提供主题截图佐证并盖制造商公章）</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2）软件内支持幼儿通过触控的方式参与游戏，交互反馈实时呈现，帮助幼儿更好理解其中的科学原理、自然规律。</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3）软件内支持截图记录幼儿操作过程的精彩瞬间。</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5、故事绘（幼儿有声故事创编软件）：</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1）支持用户通过高拍仪等采集设备，上传幼儿创作的故事人物形象。</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2）支持用户自定义上传多张背景图，满足不同故事情景的展现。</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3）软件内支持多点触控，可通过手指操作控制幼儿创作的人物形象，包含位置移动、放大、缩小、删除、改变方向等。</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4）支持用户在操作控制自主创作的任务形象的同时，进行录屏和录音，实时记录幼儿讲述的故事内容，录制后自动生成MP4格式的视频，并保存至后台文件夹。</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6、AI慧动（AI运动捕捉软件）：</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1）摄像头设备实时采集图像，通过AI算法，统计镜头前幼儿的运动数据。</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2）支持根据人脸图像库，对人脸自动识别，匹配参与游戏的用户信息。</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3）运动数据自动同步云端存储，方便后续调用和查阅分析。</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4）成绩达到指定标准后，可自动发送专属的运动徽章。</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四、【可移动智慧教学课堂】设备外观参数：</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设备需要适合在幼儿园等儿童密集场所使用，外壳整体呈白色，使用镀锌板材质，采用喷塑工艺（小桔纹）制作，整机外壳设计要避免出现传统设备上常见的尖锐边角，使用圆润无棱角的外壳设计，采用流线型或弧形过渡的边缘处理，以最大程度降低幼儿在使用过程中磕碰受伤的风险。此外，设备外壳需特别强调密封性和结构稳定性，尽量避免内部零件外露，防止幼儿手指伸入造成伤害，同时也要保护设备本身免受外界因素的影响，以延长使用寿命。</w:t>
            </w:r>
            <w:r>
              <w:rPr>
                <w:rStyle w:val="46"/>
                <w:color w:val="auto"/>
                <w:highlight w:val="none"/>
                <w:lang w:val="en-US" w:eastAsia="zh-CN" w:bidi="ar"/>
              </w:rPr>
              <w:t>（投标人或制造商须提供具有CMA或CNAS资质的第三方检测机构出具的检验报告佐证并加盖制造商公章）</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考虑实际使用场景，设备总体尺寸（长*宽*高）≤60*60*130CM</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考虑实际教学需求，设备投影面积≥7.5㎡；</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应设置电源开关和设备启闭总开关两个按钮，且处于不同位置，防止使用者误触影响正常使用；</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考虑设备散热需求，外壳应在两侧设置散热口，单个散热口尺寸≥7CM</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考虑搬运设备需要，在设备底部设置一组带驻车功能地万向轮；</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出于照顾操作者使用习惯的考虑，触控不能是唯一的操作方式，设备应支持外接键盘鼠标，且设备本身要搭配可抽拉的托盘用于放置外接设备；</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设备需要内置高清摄像头，用于搭配内置软件功能，动作捕捉幼儿运动情况，摄像头安装高度离地面需≤120CM；</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设备需要配置语音识别模块，用于搭配内置软件功能，识别用户声音；</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设备应配置激光雷达，用于搭配内置软件功能，识别用户动作；</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设备应设置专门的接口面板，用于外接各种设备，至少设置：RJ45网口*1、USB3.0*3、HDMI*1、设备主机电源口*1；</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五、【可移动智慧教学课堂】设备标准配置硬件参数：激光投影机*1、雷达*1、高拍仪*1、高清摄像头*1</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【激光投影机】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投影系统：RGB 光阀式液晶投影系统</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驱动模式：多晶硅 TFT 有源矩阵</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像素数：</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sz w:val="24"/>
                <w:highlight w:val="none"/>
                <w:u w:val="none"/>
                <w:lang w:val="en-US" w:eastAsia="zh-CN" w:bidi="ar"/>
              </w:rPr>
              <w:t xml:space="preserve">2,073,600 dots (1920 x 1080) x 3 </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纵横比：16:9</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投影镜头：手动聚焦，1.35 倍数字变焦 F=1.60 f=3.7mm</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光源：激光二极管</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寿命：</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sz w:val="24"/>
                <w:highlight w:val="none"/>
                <w:u w:val="none"/>
                <w:lang w:val="en-US" w:eastAsia="zh-CN" w:bidi="ar"/>
              </w:rPr>
              <w:t>20,000 小时（功耗模式：标准），20,000 小时（功耗模式：安静），30,000 小时（功耗模式：扩展）</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投射比：0.25（广角） 0.35（长焦）</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亮度： 白色亮度 标准亮度 4,100 流明，彩色亮度 标准亮度 4,100 流明</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对比度：2,500,000:1</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色彩再现：全彩（10.7 亿种颜色）</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声音输出：16W x 1</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校正功能：梯形校正 水平 / 垂直 ±3 度，Quick Corner 功能 支持（手动）</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音频输入 / 输出：输入端口 立体声迷你插口 x 3，输出端口 立体声迷你插口 x 1</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视频输入 / 输出：输入信号 模拟信号 D-sub 15pin x 2， RCA x 1（黄色），数字信号 HDMI x 3，输出信号 模拟信号 D-sub 15pin x 1（与 Computer2 共享）</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 xml:space="preserve">麦克风输入：立体声迷你插口 x 1 </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【雷达】</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测量距离：白色物体≥12m，黑色物体≥10m</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测量盲区：≥0.2m</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采样频率：≥16kHz</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扫描频率：典型值：10Hz （5Hz-15Hz 可调）</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角度分辨率：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sz w:val="24"/>
                <w:highlight w:val="none"/>
                <w:u w:val="none"/>
                <w:lang w:val="en-US" w:eastAsia="zh-CN" w:bidi="ar"/>
              </w:rPr>
              <w:t>0.225°</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俯仰角：±1.5°</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通讯接口：TTL UART</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通讯速率：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sz w:val="24"/>
                <w:highlight w:val="none"/>
                <w:u w:val="none"/>
                <w:lang w:val="en-US" w:eastAsia="zh-CN" w:bidi="ar"/>
              </w:rPr>
              <w:t>256000bps</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兼容模式：支持以往 SDK 协议</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【高拍仪】</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像素：≥1200W</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分辨率：≥4000*3000</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对焦方式：定焦</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扫描幅面：A4</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光学解像力：≥300lp/mm</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球形畸变：&lt;1%</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梯形失真：&lt;1%</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出图响应时间：1S</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过曝控制：自动</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图像帧率：4000*3000</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图像色彩：24 位</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补光：1 颗 1W LED 正白色 色温 6500K</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补光控制方式：三级触控调光</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【高清摄像头】</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像素/分辨率：≥800万/4K</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视场角(水平)：≥100°</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拾音距离：≥6米</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USB接口：USB3.0(即插即用)</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图像传感器：1/2.8英寸高品质4K CMOS 传感器</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焦距：f=2.26mm</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光圈：F1.8±5%</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电子变倍：≥10X</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最低照度：0.1Lux(F1.8.AGC ON)</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工作电压：5V</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工作电流：1A(max)</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功耗：5W(max)</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151270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FEA08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361E1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E1E6C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7867B8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AI小智mini桌面机器人</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303F1AC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幼儿园的日常场景中,孩子们天马行空的想法与有限的师生资源之间,常常存在未被充分响应的“陪伴空白”。AI小智mini,通过AI智能对话、故事表达与创意绘画等创新应用,不仅丰富了教学形式,更拓展了教师对幼儿的观察维度,让互动更有趣,让成长更可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AI小智mini包含丰富的AI功能：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Ai园宠（小叮）：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1）、进入时自动唤醒/点击唤醒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2）、根据当前的对话环节，展示表情动作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3）、具备连贯对话与长期记忆能力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4）、可随时打断/进入休眠状态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5）、后台可见分组对话记录，了解某段时间内哪些孩子参与聊天、聊了什么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Ai灵动画作：拍照上传幼儿画作，ai识别画面中的主体并让他动起来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Ai梦幻相机：拍摄幼儿照片/画作，按选择的风格进行转绘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Ai你说我画：幼儿口述想画的内容，ai将内容画出来，支持通过口述修改画面的内容，直至满意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Ai绘画故事：拍摄上传幼儿画作，ai识别图中内容，讲述成故事。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硬件参数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输入电压≥DC5V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输入电流≥1200mA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喇叭功率4R/3W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接口规格TYPE-C USB口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电池容量≥6000mAh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使用时间≥4H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显示屏≥10英寸1280*800带电容TP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内存≥2+32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系统安卓10.0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智能语音 支持语音对讲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照相≥200万像素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外接设备TF（最大128G）支持双话筒</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1595B7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4408F5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4960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13AE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240ED0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259715</wp:posOffset>
                  </wp:positionH>
                  <wp:positionV relativeFrom="paragraph">
                    <wp:posOffset>0</wp:posOffset>
                  </wp:positionV>
                  <wp:extent cx="539115" cy="374015"/>
                  <wp:effectExtent l="0" t="0" r="0" b="0"/>
                  <wp:wrapNone/>
                  <wp:docPr id="28" name="图片_125_SpCnt_1"/>
                  <wp:cNvGraphicFramePr/>
                  <a:graphic xmlns:a="http://schemas.openxmlformats.org/drawingml/2006/main">
                    <a:graphicData uri="http://schemas.openxmlformats.org/drawingml/2006/picture">
                      <pic:pic xmlns:pic="http://schemas.openxmlformats.org/drawingml/2006/picture">
                        <pic:nvPicPr>
                          <pic:cNvPr id="28" name="图片_125_SpCnt_1"/>
                          <pic:cNvPicPr/>
                        </pic:nvPicPr>
                        <pic:blipFill>
                          <a:blip r:embed="rId9"/>
                          <a:stretch>
                            <a:fillRect/>
                          </a:stretch>
                        </pic:blipFill>
                        <pic:spPr>
                          <a:xfrm>
                            <a:off x="0" y="0"/>
                            <a:ext cx="539115" cy="37401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287655</wp:posOffset>
                  </wp:positionH>
                  <wp:positionV relativeFrom="paragraph">
                    <wp:posOffset>0</wp:posOffset>
                  </wp:positionV>
                  <wp:extent cx="495935" cy="260350"/>
                  <wp:effectExtent l="0" t="0" r="0" b="0"/>
                  <wp:wrapNone/>
                  <wp:docPr id="23" name="图片_43_SpCnt_1"/>
                  <wp:cNvGraphicFramePr/>
                  <a:graphic xmlns:a="http://schemas.openxmlformats.org/drawingml/2006/main">
                    <a:graphicData uri="http://schemas.openxmlformats.org/drawingml/2006/picture">
                      <pic:pic xmlns:pic="http://schemas.openxmlformats.org/drawingml/2006/picture">
                        <pic:nvPicPr>
                          <pic:cNvPr id="23" name="图片_43_SpCnt_1"/>
                          <pic:cNvPicPr/>
                        </pic:nvPicPr>
                        <pic:blipFill>
                          <a:blip r:embed="rId9"/>
                          <a:stretch>
                            <a:fillRect/>
                          </a:stretch>
                        </pic:blipFill>
                        <pic:spPr>
                          <a:xfrm>
                            <a:off x="0" y="0"/>
                            <a:ext cx="495935" cy="2603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314325</wp:posOffset>
                  </wp:positionH>
                  <wp:positionV relativeFrom="paragraph">
                    <wp:posOffset>0</wp:posOffset>
                  </wp:positionV>
                  <wp:extent cx="397510" cy="237490"/>
                  <wp:effectExtent l="0" t="0" r="0" b="0"/>
                  <wp:wrapNone/>
                  <wp:docPr id="16" name="图片_64_SpCnt_1"/>
                  <wp:cNvGraphicFramePr/>
                  <a:graphic xmlns:a="http://schemas.openxmlformats.org/drawingml/2006/main">
                    <a:graphicData uri="http://schemas.openxmlformats.org/drawingml/2006/picture">
                      <pic:pic xmlns:pic="http://schemas.openxmlformats.org/drawingml/2006/picture">
                        <pic:nvPicPr>
                          <pic:cNvPr id="16" name="图片_64_SpCnt_1"/>
                          <pic:cNvPicPr/>
                        </pic:nvPicPr>
                        <pic:blipFill>
                          <a:blip r:embed="rId9"/>
                          <a:stretch>
                            <a:fillRect/>
                          </a:stretch>
                        </pic:blipFill>
                        <pic:spPr>
                          <a:xfrm>
                            <a:off x="0" y="0"/>
                            <a:ext cx="397510" cy="2374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353060</wp:posOffset>
                  </wp:positionH>
                  <wp:positionV relativeFrom="paragraph">
                    <wp:posOffset>0</wp:posOffset>
                  </wp:positionV>
                  <wp:extent cx="363855" cy="245110"/>
                  <wp:effectExtent l="0" t="0" r="0" b="0"/>
                  <wp:wrapNone/>
                  <wp:docPr id="25" name="图片_55_SpCnt_1"/>
                  <wp:cNvGraphicFramePr/>
                  <a:graphic xmlns:a="http://schemas.openxmlformats.org/drawingml/2006/main">
                    <a:graphicData uri="http://schemas.openxmlformats.org/drawingml/2006/picture">
                      <pic:pic xmlns:pic="http://schemas.openxmlformats.org/drawingml/2006/picture">
                        <pic:nvPicPr>
                          <pic:cNvPr id="25" name="图片_55_SpCnt_1"/>
                          <pic:cNvPicPr/>
                        </pic:nvPicPr>
                        <pic:blipFill>
                          <a:blip r:embed="rId9"/>
                          <a:stretch>
                            <a:fillRect/>
                          </a:stretch>
                        </pic:blipFill>
                        <pic:spPr>
                          <a:xfrm>
                            <a:off x="0" y="0"/>
                            <a:ext cx="363855" cy="24511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358140</wp:posOffset>
                  </wp:positionH>
                  <wp:positionV relativeFrom="paragraph">
                    <wp:posOffset>0</wp:posOffset>
                  </wp:positionV>
                  <wp:extent cx="349885" cy="250190"/>
                  <wp:effectExtent l="0" t="0" r="0" b="0"/>
                  <wp:wrapNone/>
                  <wp:docPr id="27" name="图片_65_SpCnt_1"/>
                  <wp:cNvGraphicFramePr/>
                  <a:graphic xmlns:a="http://schemas.openxmlformats.org/drawingml/2006/main">
                    <a:graphicData uri="http://schemas.openxmlformats.org/drawingml/2006/picture">
                      <pic:pic xmlns:pic="http://schemas.openxmlformats.org/drawingml/2006/picture">
                        <pic:nvPicPr>
                          <pic:cNvPr id="27" name="图片_65_SpCnt_1"/>
                          <pic:cNvPicPr/>
                        </pic:nvPicPr>
                        <pic:blipFill>
                          <a:blip r:embed="rId9"/>
                          <a:stretch>
                            <a:fillRect/>
                          </a:stretch>
                        </pic:blipFill>
                        <pic:spPr>
                          <a:xfrm>
                            <a:off x="0" y="0"/>
                            <a:ext cx="349885" cy="2501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lang w:val="en-US" w:eastAsia="zh-CN" w:bidi="ar"/>
              </w:rPr>
              <w:t>平衡木</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5275177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63855" cy="245110"/>
                  <wp:effectExtent l="0" t="0" r="0" b="0"/>
                  <wp:wrapNone/>
                  <wp:docPr id="22" name="图片_55_SpCnt_2"/>
                  <wp:cNvGraphicFramePr/>
                  <a:graphic xmlns:a="http://schemas.openxmlformats.org/drawingml/2006/main">
                    <a:graphicData uri="http://schemas.openxmlformats.org/drawingml/2006/picture">
                      <pic:pic xmlns:pic="http://schemas.openxmlformats.org/drawingml/2006/picture">
                        <pic:nvPicPr>
                          <pic:cNvPr id="22" name="图片_55_SpCnt_2"/>
                          <pic:cNvPicPr/>
                        </pic:nvPicPr>
                        <pic:blipFill>
                          <a:blip r:embed="rId9"/>
                          <a:stretch>
                            <a:fillRect/>
                          </a:stretch>
                        </pic:blipFill>
                        <pic:spPr>
                          <a:xfrm>
                            <a:off x="0" y="0"/>
                            <a:ext cx="363855" cy="24511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495935" cy="260350"/>
                  <wp:effectExtent l="0" t="0" r="0" b="0"/>
                  <wp:wrapNone/>
                  <wp:docPr id="29" name="图片_43_SpCnt_2"/>
                  <wp:cNvGraphicFramePr/>
                  <a:graphic xmlns:a="http://schemas.openxmlformats.org/drawingml/2006/main">
                    <a:graphicData uri="http://schemas.openxmlformats.org/drawingml/2006/picture">
                      <pic:pic xmlns:pic="http://schemas.openxmlformats.org/drawingml/2006/picture">
                        <pic:nvPicPr>
                          <pic:cNvPr id="29" name="图片_43_SpCnt_2"/>
                          <pic:cNvPicPr/>
                        </pic:nvPicPr>
                        <pic:blipFill>
                          <a:blip r:embed="rId9"/>
                          <a:stretch>
                            <a:fillRect/>
                          </a:stretch>
                        </pic:blipFill>
                        <pic:spPr>
                          <a:xfrm>
                            <a:off x="0" y="0"/>
                            <a:ext cx="495935" cy="2603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39115" cy="374015"/>
                  <wp:effectExtent l="0" t="0" r="0" b="0"/>
                  <wp:wrapNone/>
                  <wp:docPr id="26" name="图片_125_SpCnt_2"/>
                  <wp:cNvGraphicFramePr/>
                  <a:graphic xmlns:a="http://schemas.openxmlformats.org/drawingml/2006/main">
                    <a:graphicData uri="http://schemas.openxmlformats.org/drawingml/2006/picture">
                      <pic:pic xmlns:pic="http://schemas.openxmlformats.org/drawingml/2006/picture">
                        <pic:nvPicPr>
                          <pic:cNvPr id="26" name="图片_125_SpCnt_2"/>
                          <pic:cNvPicPr/>
                        </pic:nvPicPr>
                        <pic:blipFill>
                          <a:blip r:embed="rId9"/>
                          <a:stretch>
                            <a:fillRect/>
                          </a:stretch>
                        </pic:blipFill>
                        <pic:spPr>
                          <a:xfrm>
                            <a:off x="0" y="0"/>
                            <a:ext cx="539115" cy="37401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349885" cy="250190"/>
                  <wp:effectExtent l="0" t="0" r="0" b="0"/>
                  <wp:wrapNone/>
                  <wp:docPr id="24" name="图片_65_SpCnt_2"/>
                  <wp:cNvGraphicFramePr/>
                  <a:graphic xmlns:a="http://schemas.openxmlformats.org/drawingml/2006/main">
                    <a:graphicData uri="http://schemas.openxmlformats.org/drawingml/2006/picture">
                      <pic:pic xmlns:pic="http://schemas.openxmlformats.org/drawingml/2006/picture">
                        <pic:nvPicPr>
                          <pic:cNvPr id="24" name="图片_65_SpCnt_2"/>
                          <pic:cNvPicPr/>
                        </pic:nvPicPr>
                        <pic:blipFill>
                          <a:blip r:embed="rId9"/>
                          <a:stretch>
                            <a:fillRect/>
                          </a:stretch>
                        </pic:blipFill>
                        <pic:spPr>
                          <a:xfrm>
                            <a:off x="0" y="0"/>
                            <a:ext cx="349885" cy="2501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397510" cy="237490"/>
                  <wp:effectExtent l="0" t="0" r="0" b="0"/>
                  <wp:wrapNone/>
                  <wp:docPr id="21" name="图片_64_SpCnt_2"/>
                  <wp:cNvGraphicFramePr/>
                  <a:graphic xmlns:a="http://schemas.openxmlformats.org/drawingml/2006/main">
                    <a:graphicData uri="http://schemas.openxmlformats.org/drawingml/2006/picture">
                      <pic:pic xmlns:pic="http://schemas.openxmlformats.org/drawingml/2006/picture">
                        <pic:nvPicPr>
                          <pic:cNvPr id="21" name="图片_64_SpCnt_2"/>
                          <pic:cNvPicPr/>
                        </pic:nvPicPr>
                        <pic:blipFill>
                          <a:blip r:embed="rId10"/>
                          <a:stretch>
                            <a:fillRect/>
                          </a:stretch>
                        </pic:blipFill>
                        <pic:spPr>
                          <a:xfrm>
                            <a:off x="0" y="0"/>
                            <a:ext cx="397510" cy="2374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lang w:val="en-US" w:eastAsia="zh-CN" w:bidi="ar"/>
              </w:rPr>
              <w:t>▲1.名称：平衡木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2.尺寸：4000*310*300mm（±5mm）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起始端：尺寸：240*200*60mm,表面有1个1.5寸数码显示器,内部装有主控塑料盒,左右两边分别有1个耳朵。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耳朵：尺寸：92*73*212mm，内部分别装有光电开关和光电反射板。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主控塑料盒：尺寸：163*300*21mm,内部装有主控板，喇叭等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中间横木：尺寸：1000*100*60mm,数量3块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桥墩：尺寸：118*177*240mm,数量2块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结束端：尺寸：240*200*60mm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五金件：M1.5/M2.5/M3/M3.5/M4/M7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量程：0-90S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分度值：0.1 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精度：±0.1S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测试数据通过无线上传到上位机软件，与后台系统对接。</w:t>
            </w:r>
            <w:r>
              <w:rPr>
                <w:rFonts w:hint="eastAsia" w:ascii="宋体" w:hAnsi="宋体" w:eastAsia="宋体" w:cs="宋体"/>
                <w:i w:val="0"/>
                <w:iCs w:val="0"/>
                <w:color w:val="auto"/>
                <w:kern w:val="0"/>
                <w:sz w:val="24"/>
                <w:szCs w:val="24"/>
                <w:highlight w:val="none"/>
                <w:u w:val="none"/>
                <w:lang w:val="en-US" w:eastAsia="zh-CN" w:bidi="ar"/>
              </w:rPr>
              <w:br w:type="textWrapping"/>
            </w:r>
            <w:r>
              <w:rPr>
                <w:rStyle w:val="47"/>
                <w:color w:val="auto"/>
                <w:highlight w:val="none"/>
                <w:lang w:val="en-US" w:eastAsia="zh-CN" w:bidi="ar"/>
              </w:rPr>
              <w:t>（投标人或制造商提供平衡木设备的专利证书及国家知识产权局中国专利公布公告网页截图证明）</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3.材质：多层板+榉木+电子+塑料</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产品说明：主体采用优质榉木与多层板制作，结实耐用，榫卯卡槽，三段连接。两端设计电子感应系统和搭配红外线感应装置的语音播报功能，特制塑料件连接产品，并配有身份识别感应手环符，方便实时记录和上传儿童的检测数据，传输到电脑和手机平台，方便教师在电脑或者手机端分析记录归纳整理数据。多层板中的可迁移有害元素符合GB18584-2024家具中有害物质限量标准中的要求，可迁移元素锑(Sb)、砷(As)、钡(Ba)、镉(Cd)、铬(Cr)、铅(Pb)、汞(Hg)、硒(Se)，检测结果均为未检出；多层板的甲醛释放量符合GB/T 17657-2022 人造板及饰面人造板理化性能试验方法中的要求，检测结果为未检出；榉木中的可迁移有害元素符合GB18584-2024家具中有害物质限量标准中的要求，可迁移元素锑(Sb)、砷(As)、钡(Ba)、镉(Cd)、铬(Cr)、铅(Pb)、汞(Hg)、硒(Se)，检测结果均为未检出；榉木的甲醛释放量符合GB/T 17657-2022 人造板及饰面人造板理化性能试验方法中的要求，检测结果为未检出。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8.产品提供落地使用的培训服务，配备专业的大班、中班、小班活动指导方案，确保活动的顺利开展。</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583171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7D688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55B3F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EC1B6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55B605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单脚站立</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3A0DF5C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▲1.名称：单脚站立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2.尺寸：600*400*75mm（±5mm）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左边横木：尺寸：102*400*60mm,内部装有两个光电开关。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中间横木：尺寸：60*400*60mm,左右两端分别装有2个光电反射板。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右端横木：尺寸：200*400*60mm,表面有1个1.5寸数码显示器，内部装有2个光电开关和1个主控塑料盒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主控塑料盒：尺寸：163*300*21mm,内部装有主控板，喇叭等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底板：尺寸：600*400*20mm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五金件：M1.5/M2.5/M3/M3.5/M4/M7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量程：0-180S，分度值：0.1 S，精度：±0.1S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测试数据通过无线信号上传到客户端，与后台系统实时对接</w:t>
            </w:r>
            <w:r>
              <w:rPr>
                <w:rFonts w:hint="eastAsia" w:ascii="宋体" w:hAnsi="宋体" w:eastAsia="宋体" w:cs="宋体"/>
                <w:i w:val="0"/>
                <w:iCs w:val="0"/>
                <w:color w:val="auto"/>
                <w:kern w:val="0"/>
                <w:sz w:val="24"/>
                <w:szCs w:val="24"/>
                <w:highlight w:val="none"/>
                <w:u w:val="none"/>
                <w:lang w:val="en-US" w:eastAsia="zh-CN" w:bidi="ar"/>
              </w:rPr>
              <w:br w:type="textWrapping"/>
            </w:r>
            <w:r>
              <w:rPr>
                <w:rStyle w:val="47"/>
                <w:color w:val="auto"/>
                <w:highlight w:val="none"/>
                <w:lang w:val="en-US" w:eastAsia="zh-CN" w:bidi="ar"/>
              </w:rPr>
              <w:t>（投标人或制造商提供单脚站立设备的专利证书及国家知识产权局中国专利公布公告网页截图证明）</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3.材质：榉木、夹板、塑料件、电子。</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产品说明：主体采用优质榉木与多层板，产品结实耐用，两端设计电子感应系统和搭配红外线感应装置的语音播报功能，特制塑料件连接产品，并配有身份识别感应手环符，方便实时记录和上传儿童的检测数据，传输到电脑和手机平台，方便教师在电脑或者手机端分析记录归纳整理数据。多层板中的可迁移有害元素符合GB18584-2024家具中有害物质限量标准中的要求，可迁移元素锑(Sb)、砷(As)、钡(Ba)、镉(Cd)、铬(Cr)、铅(Pb)、汞(Hg)、硒(Se)，检测结果均为未检出；多层板的甲醛释放量符合GB/T 17657-2022 人造板及饰面人造板理化性能试验方法中的要求，检测结果为未检出；榉木中的可迁移有害元素符合GB18584-2024家具中有害物质限量标准中的要求，可迁移元素锑(Sb)、砷(As)、钡(Ba)、镉(Cd)、铬(Cr)、铅(Pb)、汞(Hg)、硒(Se)，检测结果均为未检出；榉木的甲醛释放量符合GB/T 17657-2022 人造板及饰面人造板理化性能试验方法中的要求，检测结果为未检出。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8.产品提供落地使用的培训服务，配备专业的大班、中班、小班活动指导方案，确保活动的顺利开展。</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46334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B8D3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7AA9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FD8C8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0E4F97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悬垂</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0365DF0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▲1.名称：悬垂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2.尺寸：1200*1820*1080mm（±5mm），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木头尺寸：64*40*1750mm/64*40*1660mm/64*40*1200mm/64*40*1000mm/64*40*793mm/64*40*246mm/64*40*280mm/64**235mm，数量：各两块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左右两边小人：尺寸：280*180*10mm ，数量2个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底部：尺寸：1200*400*20mm,表面打印有脚丫图片和有1个主控盒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主控盒：表面有1个1.5寸数码显示器，内部装有2个光电开关和1个主控塑料盒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主控塑料盒：尺寸：163*300*21mm,内部装有主控板，喇叭等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五金件：M2.5/M3/M3.5/M4/M5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技术参数：量程：0-180S，分度值：0.1 S，精度：±0.1S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测试数据通过无线信号上传到客户端，与后台系统实时对接</w:t>
            </w:r>
            <w:r>
              <w:rPr>
                <w:rStyle w:val="47"/>
                <w:color w:val="auto"/>
                <w:highlight w:val="none"/>
                <w:lang w:val="en-US" w:eastAsia="zh-CN" w:bidi="ar"/>
              </w:rPr>
              <w:br w:type="textWrapping"/>
            </w:r>
            <w:r>
              <w:rPr>
                <w:rStyle w:val="47"/>
                <w:color w:val="auto"/>
                <w:highlight w:val="none"/>
                <w:lang w:val="en-US" w:eastAsia="zh-CN" w:bidi="ar"/>
              </w:rPr>
              <w:t>（投标人或制造商提供悬垂设备的专利证书及国家知识产权局中国专利公布公告网页截图证明）</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3.材质：榉木、夹板、塑料件、电子。</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4.产品五金：采用符合国家标准的优质五金配件，确保产品连接结构的稳定性与牢固性，以保证儿童使用安全。五金件—螺丝的中性盐雾试验符合GB/T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产品说明：主体采用优质榉木与多层板，产品结实耐用，底部设计电子感应系统和搭配红外线感应装置的语音播报功能，顶部安装优质扶手，特制塑料件连接产品，并配有身份识别感应手环符，方便实时记录和上传儿童的检测数据，传输到电脑和手机平台，方便教师在电脑或者手机端分析记录归纳整理数据。多层板中的可迁移有害元素符合GB18584-2024家具中有害物质限量标准中的要求，可迁移元素锑(Sb)、砷(As)、钡(Ba)、镉(Cd)、铬(Cr)、铅(Pb)、汞(Hg)、硒(Se)，检测结果均为未检出；多层板的甲醛释放量符合GB/T 17657-2022 人造板及饰面人造板理化性能试验方法中的要求，检测结果为未检出；榉木中的可迁移有害元素符合GB18584-2024家具中有害物质限量标准中的要求，可迁移元素锑(Sb)、砷(As)、钡(Ba)、镉(Cd)、铬(Cr)、铅(Pb)、汞(Hg)、硒(Se)，检测结果均为未检出；榉木的甲醛释放量符合GB/T 17657-2022 人造板及饰面人造板理化性能试验方法中的要求，检测结果为未检出。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8.产品提供落地使用的培训服务，配备专业的大班、中班、小班活动指导方案，确保活动的顺利开展。</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0A3131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D904D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2CEF3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1519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05B53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沙包掷远</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668AB01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▲1.名称：沙包掷远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主控盒：≥420*124*200mm，辅助测量人板：230*230*300mm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主控盒：表面有 1 个 1.5 寸数码显示器，内部装有 1 个主控塑料盒 上方有一个方形探头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方形探头：尺寸：≥80*128*40mm，内部装有激光测距仪和激光测距仪固定塑料件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主控塑料盒：尺寸：≥163*300*21mm，内部装有主控板，喇叭等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五金件：M1.5/M2.5/M3/M3.5/M4/M5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技术参数：量程：0-20米，分度值：1mm，误差：±0.2%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测试数据通过无线信号上传到客户端，与后台系统实时对接</w:t>
            </w:r>
            <w:r>
              <w:rPr>
                <w:rFonts w:hint="eastAsia" w:ascii="宋体" w:hAnsi="宋体" w:eastAsia="宋体" w:cs="宋体"/>
                <w:i w:val="0"/>
                <w:iCs w:val="0"/>
                <w:color w:val="auto"/>
                <w:kern w:val="0"/>
                <w:sz w:val="24"/>
                <w:szCs w:val="24"/>
                <w:highlight w:val="none"/>
                <w:u w:val="none"/>
                <w:lang w:val="en-US" w:eastAsia="zh-CN" w:bidi="ar"/>
              </w:rPr>
              <w:br w:type="textWrapping"/>
            </w:r>
            <w:r>
              <w:rPr>
                <w:rStyle w:val="47"/>
                <w:color w:val="auto"/>
                <w:highlight w:val="none"/>
                <w:lang w:val="en-US" w:eastAsia="zh-CN" w:bidi="ar"/>
              </w:rPr>
              <w:t>（投标人或制造商提供投掷式设备的专利证书及国家知识产权局中国专利公布公告网页截图证明）</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3.产品材质：榉木、夹板、塑料件、电子</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4.产品五金：采用符合国家标准的优质五金配件，确保产品连接结构的稳定性与牢固性，以保证儿童使用安全。五金件—螺丝的中性盐雾试验符合GB/T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产品说明：主体采用优质榉木制作而成，结实耐用，主体设计电子感应系统和搭配红外线感应装置的语音播报功能，沙包目标设计成外观可爱的形象，表面丝印图样。特制塑料件连接产品，并配有身份识别感应手环符，方便实时记录和上传儿童的检测数据，传输到电脑和手机平台，方便教师在电脑或者手机端分析记录归纳整理数据。多层板中的可迁移有害元素符合GB18584-2024家具中有害物质限量标准中的要求，可迁移元素锑(Sb)、砷(As)、钡(Ba)、镉(Cd)、铬(Cr)、铅(Pb)、汞(Hg)、硒(Se)，检测结果均为未检出；多层板的甲醛释放量符合GB/T 17657-2022 人造板及饰面人造板理化性能试验方法中的要求，检测结果为未检出；榉木中的可迁移有害元素符合GB18584-2024家具中有害物质限量标准中的要求，可迁移元素锑(Sb)、砷(As)、钡(Ba)、镉(Cd)、铬(Cr)、铅(Pb)、汞(Hg)、硒(Se)，检测结果均为未检出；榉木的甲醛释放量符合GB/T 17657-2022 人造板及饰面人造板理化性能试验方法中的要求，检测结果为未检出。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8.产品提供落地使用的培训服务，配备专业的大班、中班、小班活动指导方案，确保活动的顺利开展。</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2039B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6FAC6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000EE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1"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1D421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3859B3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沙包</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4693B44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1.名称：沙包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2.材质：帆布+荞麦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3、说明：沙包外包装为耐磨帆布，内部填充物为荞麦，重量50g左右，带有荞麦香味，对人体无害，可水洗，确保幼儿在活动中使用安全。</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7155C8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AFB13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5FA5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57B121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31D488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单双脚连续跳</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3F8BABD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▲1.名称：单双脚连续跳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2.尺寸：5400*600*50mm（±5mm），包括起始端和跳圈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起始端：尺寸：600*400*50mm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左边横木：尺寸：40*40*60mm，右侧装有 2 个光电反射板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右边横木：尺寸：200*400*60mm，表面有 1 个 1.5 寸数码显示器，内部装有 2 个光电开关和 1 个主控塑料盒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主控塑料盒：尺寸：163*300*21mm，内部装有主控板，喇叭等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棉布尺寸：600*400*5mm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跳圈包含圆弧夹板和塑料连接件，圆弧尺寸：500*50*12mm 塑料连接件尺寸：295*110*15mm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五金件：M2.5/M3/M3.5/M4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技术参数：量程：0-60S，分度值：0.1 S，精度：±0.1S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测试数据通过无线上传到上位机软件，与后台系统对接</w:t>
            </w:r>
            <w:r>
              <w:rPr>
                <w:rFonts w:hint="eastAsia" w:ascii="宋体" w:hAnsi="宋体" w:eastAsia="宋体" w:cs="宋体"/>
                <w:i w:val="0"/>
                <w:iCs w:val="0"/>
                <w:color w:val="auto"/>
                <w:kern w:val="0"/>
                <w:sz w:val="24"/>
                <w:szCs w:val="24"/>
                <w:highlight w:val="none"/>
                <w:u w:val="none"/>
                <w:lang w:val="en-US" w:eastAsia="zh-CN" w:bidi="ar"/>
              </w:rPr>
              <w:br w:type="textWrapping"/>
            </w:r>
            <w:r>
              <w:rPr>
                <w:rStyle w:val="47"/>
                <w:color w:val="auto"/>
                <w:highlight w:val="none"/>
                <w:lang w:val="en-US" w:eastAsia="zh-CN" w:bidi="ar"/>
              </w:rPr>
              <w:t>（投标人或制造商提供单双脚连续跳设备的专利证书及国家知识产权局中国专利公布公告网页截图证明）</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3.材质：榉木、夹板、塑料件、电子、棉布，</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产品说明：主体采用优质榉木与多层板，产品结实耐用，主体设计电子感应系统和红外线感应的语音播报功能，跳圈采用夹板搭配塑料连接件组装，灵活方便，特制塑料件连接产品，并配有身份识别感应手环符，方便实时记录和上传儿童的检测数据，传输到电脑和手机平台，方便教师在电脑或者手机端分析记录归纳整理数据。多层板中的可迁移有害元素符合GB18584-2024家具中有害物质限量标准中的要求，可迁移元素锑(Sb)、砷(As)、钡(Ba)、镉(Cd)、铬(Cr)、铅(Pb)、汞(Hg)、硒(Se)，检测结果均为未检出；多层板的甲醛释放量符合GB/T 17657-2022 人造板及饰面人造板理化性能试验方法中的要求，检测结果为未检出；榉木中的可迁移有害元素符合GB18584-2024家具中有害物质限量标准中的要求，可迁移元素锑(Sb)、砷(As)、钡(Ba)、镉(Cd)、铬(Cr)、铅(Pb)、汞(Hg)、硒(Se)，检测结果均为未检出；榉木的甲醛释放量符合GB/T 17657-2022 人造板及饰面人造板理化性能试验方法中的要求，检测结果为未检出。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8.产品提供落地使用的培训服务，配备专业的大班、中班、小班活动指导方案，确保活动的顺利开展。</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49E3E7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69DE4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19F5C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76158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03A110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立定跳远</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3D6F4C7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▲1.名称：立定跳远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2.尺寸：主控盒：420*124*200mm，辅助测量人板：230*230*300mm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主控盒材质：榉木 表面有 1 个 1.5 寸数码显示器，内部装有 1 个主控塑料盒 上方有一个方形探头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方形探头：尺寸：80*128*40mm，内部装有激光测距仪和激光测距仪固定塑料件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主控塑料盒：尺寸：163*300*21mm，内部装有主控板，喇叭等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五金件：M1.5/M2.5/M3/M3.5/M4/M5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技术参数：量程：0-2m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分度值：1mm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误差：±0.2%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测试数据通过无线上传到上位机软件，与后台系统对接。</w:t>
            </w:r>
            <w:r>
              <w:rPr>
                <w:rFonts w:hint="eastAsia" w:ascii="宋体" w:hAnsi="宋体" w:eastAsia="宋体" w:cs="宋体"/>
                <w:i w:val="0"/>
                <w:iCs w:val="0"/>
                <w:color w:val="auto"/>
                <w:kern w:val="0"/>
                <w:sz w:val="24"/>
                <w:szCs w:val="24"/>
                <w:highlight w:val="none"/>
                <w:u w:val="none"/>
                <w:lang w:val="en-US" w:eastAsia="zh-CN" w:bidi="ar"/>
              </w:rPr>
              <w:br w:type="textWrapping"/>
            </w:r>
            <w:r>
              <w:rPr>
                <w:rStyle w:val="47"/>
                <w:color w:val="auto"/>
                <w:highlight w:val="none"/>
                <w:lang w:val="en-US" w:eastAsia="zh-CN" w:bidi="ar"/>
              </w:rPr>
              <w:t>（投标人或制造商提供跳远式设备的专利证书及国家知识产权局中国专利公布公告网页截图证明）</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3.材质：榉木、夹板、塑料件、电子</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产品说明：主体采用优质榉木制作而成，产品结实耐用，主体设计电子感应系统和搭配红外线感应装置的语音播报功能，跳远目标设计成外观可爱的形象，表面丝印图样。特制塑料件连接产品，并配有身份识别感应手环符，方便实时记录和上传儿童的检测数据，传输到电脑和手机平台，方便教师在电脑或者手机端分析记录归纳整理数据。多层板中的可迁移有害元素符合GB18584-2024家具中有害物质限量标准中的要求，可迁移元素锑(Sb)、砷(As)、钡(Ba)、镉(Cd)、铬(Cr)、铅(Pb)、汞(Hg)、硒(Se)，检测结果均为未检出；多层板的甲醛释放量符合GB/T 17657-2022 人造板及饰面人造板理化性能试验方法中的要求，检测结果为未检出；榉木中的可迁移有害元素符合GB18584-2024家具中有害物质限量标准中的要求，可迁移元素锑(Sb)、砷(As)、钡(Ba)、镉(Cd)、铬(Cr)、铅(Pb)、汞(Hg)、硒(Se)，检测结果均为未检出；榉木的甲醛释放量符合GB/T 17657-2022 人造板及饰面人造板理化性能试验方法中的要求，检测结果为未检出。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8.产品提供落地使用的培训服务，配备专业的大班、中班、小班活动指导方案，确保活动的顺利开展。</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1B0516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32D6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6DA4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036C5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3C983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折返爬</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27CE341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▲1.名称：折返爬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主体：890*940*815mm（±5mm），触发开关：600*400*65mm（±5mm）；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触发开关：左边横木：尺寸：40*40*60mm，右侧装有 2 个光电反射板；右边横木：尺寸：200*400*60mm，表面有 1 个 1.5 寸数码显示器，内部装有 2 个光电开关和 1 个主控塑料盒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主控塑料盒：尺寸：163*300*21mm，内部装有主控板，喇叭等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棉布尺寸：600*400*5mm，主体包含竖板和底板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竖板：尺寸：800*940*20mm，中间有一个手掌塑料件，尺寸：275*255*6mm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底板：尺寸：890*835*20mm，五金件：M2.5/M3/M3.5/M4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技术参数：量程：0-60S，分度值：0.1 S，精度：±0.1S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测试数据通过无线信号上传到客户端，与后台系统实时对接。</w:t>
            </w:r>
            <w:r>
              <w:rPr>
                <w:rFonts w:hint="eastAsia" w:ascii="宋体" w:hAnsi="宋体" w:eastAsia="宋体" w:cs="宋体"/>
                <w:i w:val="0"/>
                <w:iCs w:val="0"/>
                <w:color w:val="auto"/>
                <w:kern w:val="0"/>
                <w:sz w:val="24"/>
                <w:szCs w:val="24"/>
                <w:highlight w:val="none"/>
                <w:u w:val="none"/>
                <w:lang w:val="en-US" w:eastAsia="zh-CN" w:bidi="ar"/>
              </w:rPr>
              <w:br w:type="textWrapping"/>
            </w:r>
            <w:r>
              <w:rPr>
                <w:rStyle w:val="47"/>
                <w:color w:val="auto"/>
                <w:highlight w:val="none"/>
                <w:lang w:val="en-US" w:eastAsia="zh-CN" w:bidi="ar"/>
              </w:rPr>
              <w:t>（投标人或制造商提供折返爬设备的专利证书及国家知识产权局中国专利公布公告网页截图证明）</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3.材质：榉木、夹板、塑料件、电子、棉布</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产品说明：主体采用优质榉木与多层板，产品结实耐用，主体设计电子感应系统和搭配红外线感应装置的语音播报功能，折返爬目标设计成外观可爱的形象配合终点的按压按键，表面丝印图样。特制塑料件连接产品，并配有身份识别感应手环符，方便实时记录和上传儿童的检测数据，传输到电脑和手机平台，方便教师在电脑或者手机端分析记录归纳整理数据。多层板中的可迁移有害元素符合GB18584-2024家具中有害物质限量标准中的要求，可迁移元素锑(Sb)、砷(As)、钡(Ba)、镉(Cd)、铬(Cr)、铅(Pb)、汞(Hg)、硒(Se)，检测结果均为未检出；多层板的甲醛释放量符合GB/T 17657-2022 人造板及饰面人造板理化性能试验方法中的要求，检测结果为未检出；榉木中的可迁移有害元素符合GB18584-2024家具中有害物质限量标准中的要求，可迁移元素锑(Sb)、砷(As)、钡(Ba)、镉(Cd)、铬(Cr)、铅(Pb)、汞(Hg)、硒(Se)，检测结果均为未检出；榉木的甲醛释放量符合GB/T 17657-2022 人造板及饰面人造板理化性能试验方法中的要求，检测结果为未检出。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8.产品提供落地使用的培训服务，配备专业的大班、中班、小班活动指导方案，确保活动的顺利开展。</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53FE11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4B2DC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627B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02459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0211AB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十米折返跑</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54EF355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▲1.名称：十米折返跑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主体：1048*890*814（mm±5%），触发开关：600*400*50（mm±5%）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触发开关：左边横木：尺寸：40*40*60mm，右侧装有 2 个光电反射板；右边横木：尺寸：200*400*60mm，表面有 1 个 1.5 寸数码显示器，内部装有 2 个光电开关和 1 个主控塑料盒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主控塑料盒：尺寸：163*300*21mm，内部装有主控板，喇叭等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竖板：尺寸：800*940*20mm，中间有一个手掌塑料件，尺寸：275*255*6mm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底板：尺寸：890*835*20mm，五金件：M2.5/M3/M3.5/M4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五金件：M2.5/M3/M3.5/M4/M5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技术参数：量程：0-60S，分度值：0.1 S，精度：±0.1S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测试数据通过无线信号上传到客户端，与后台系统实时对接。</w:t>
            </w:r>
          </w:p>
          <w:p w14:paraId="1C1A8A0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Style w:val="47"/>
                <w:color w:val="auto"/>
                <w:highlight w:val="none"/>
                <w:lang w:val="en-US" w:eastAsia="zh-CN" w:bidi="ar"/>
              </w:rPr>
              <w:t>（投标人或制造商提供折返跑设备的专利证书及国家知识产权局中国专利公布公告网页截图证明）</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3.产品材质：榉木、夹板、塑料件、电子、棉布</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4.产品五金：采用符合国家标准的优质五金配件，确保产品连接结构的稳定性与牢固性，以保证儿童使用安全。五金件—螺丝的中性盐雾试验符合GB/T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产品说明：主体采用优质榉木与多层板，产品结实耐用，主体设计电子感应系统和搭配红外线感应装置的语音播报功能，折返跑目标设计成外观可爱的形象配合终点的按压按键，表面丝印图样。特制塑料件连接产品，并配有身份识别感应手环符，方便实时记录和上传儿童的检测数据，传输到电脑和手机平台，方便教师在电脑或者手机端分析记录归纳整理数据。多层板中的可迁移有害元素符合GB18584-2024家具中有害物质限量标准中的要求，可迁移元素锑(Sb)、砷(As)、钡(Ba)、镉(Cd)、铬(Cr)、铅(Pb)、汞(Hg)、硒(Se)，检测结果均为未检出；多层板的甲醛释放量符合GB/T 17657-2022 人造板及饰面人造板理化性能试验方法中的要求，检测结果为未检出；榉木中的可迁移有害元素符合GB18584-2024家具中有害物质限量标准中的要求，可迁移元素锑(Sb)、砷(As)、钡(Ba)、镉(Cd)、铬(Cr)、铅(Pb)、汞(Hg)、硒(Se)，检测结果均为未检出；榉木的甲醛释放量符合GB/T 17657-2022 人造板及饰面人造板理化性能试验方法中的要求，检测结果为未检出。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8.产品提供落地使用的培训服务，配备专业的大班、中班、小班活动指导方案，确保活动的顺利开展。</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36AE1F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7A7EF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321C1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BC7E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07D53B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爬行毯</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087CF79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1.名称：爬行毯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2.尺寸：600*6500mm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3.材质：水晶绒+榉木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4.说明：爬行毯起点位置配有榉木横档，表面印有横条作为跑道，地面有点状防滑设计，确保幼儿活动中的安全。</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5B0FD0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A3A77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条</w:t>
            </w:r>
          </w:p>
        </w:tc>
      </w:tr>
      <w:tr w14:paraId="5308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2F5F6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2AF8A0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跳远毯子</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2C65E7C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1.名称：跳远毯子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2.尺寸：2500*1000mm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4.说明：跳远毯子整体由橡胶制作而成，表面印有起点脚印和距离刻度，底部有点状防滑设计，橡胶具有较高的弹性与机械强度，滞后损失小，能够确保测试的准确性与安全型。</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55269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E7852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条</w:t>
            </w:r>
          </w:p>
        </w:tc>
      </w:tr>
      <w:tr w14:paraId="46A67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7345B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19</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7FFFF0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坐位体前屈</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7EE6AAA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1.名称：坐位体前屈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2.尺寸：整体尺寸：≥1227*636*611mm（±10mm）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底板：尺寸：≥1227*520*20mm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后竖板：尺寸：≥636*611*20mm，右下角为 1 个 1.5 寸数码显示器，正中间位置有一个超声波测距，背后有一个主控塑料盒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主控塑料盒：尺寸：≥163*300*21mm，内部装有主控板，喇叭等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前竖板，尺寸：≥190*520*20mm，其表面印有脚印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滑行轨道，尺寸：≥325*35*68mm，其上有一个圆形球和圆形球固定塑料件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圆形球尺寸：φ200*20mm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圆形球塑料件尺寸：165*82*75mm，材质 ABS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五金件：M1.5/M2.5/M3/M3.5/M4/M7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技术参数：超声波测距 量程：0-30mm 分度值：0.1mm，误差：±0.2%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测试数据通过无线信号上传到客户端，与后台系统实时对接。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3.产品材质：榉木、夹板、塑料件、电子</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4.产品五金：采用符合国家标准的优质五金配件，确保产品连接结构的稳定性与牢固性，以保证儿童使用安全。五金件—螺丝的中性盐雾试验符合GB/T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产品说明：主体采用优质多层板，产品结实耐用，主体设计电子感应系统和搭配红外线感应装置的语音播报功能，坐位体前屈儿童坐在位置上，前臂屈伸推目标活动隔板，红外线感应系统将测算距离，并且上传数据。特制塑料件连接产品，并配有身份识别感应手环符，方便实时记录和上传儿童的检测数据，传输到电脑和手机平台，方便教师在电脑或者手机端分析记录归纳整理数据。多层板中的可迁移有害元素符合GB18584-2024家具中有害物质限量标准中的要求，可迁移元素锑(Sb)、砷(As)、钡(Ba)、镉(Cd)、铬(Cr)、铅(Pb)、汞(Hg)、硒(Se)，检测结果均为未检出；多层板的甲醛释放量符合GB/T 17657-2022 人造板及饰面人造板理化性能试验方法中的要求，检测结果为未检出；榉木中的可迁移有害元素符合GB18584-2024家具中有害物质限量标准中的要求，可迁移元素锑(Sb)、砷(As)、钡(Ba)、镉(Cd)、铬(Cr)、铅(Pb)、汞(Hg)、硒(Se)，检测结果均为未检出；榉木的甲醛释放量符合GB/T 17657-2022 人造板及饰面人造板理化性能试验方法中的要求，检测结果为未检出。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8.产品提供落地使用的培训服务，配备专业的大班、中班、小班活动指导方案，确保活动的顺利开展。</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4870BE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B96A1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2BAC2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0CF25C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76A6F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灵敏反应</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1D658D5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▲1.名称：灵敏反应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2.尺寸：整体尺寸：≥1500*1200*1200mm（±10mm）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底板：尺寸：≥1150*1200*20mm，表面印有脚印图案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竖板：≥1500*1200*50mm，其表面有 14 个塑料件按键和 1 个 1.5 寸数码显示器，背后有一个主控塑料盒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主控塑料盒：尺寸：163*300*21mm，内部装有主控板，喇叭等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按键，尺寸：φ110mm，内部有灯光和机械按键。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五金件：M2.5/M3/M3.5/M4/M7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技术参数：游戏模式：游戏开始后。14个灯光会随机亮，游戏者须拍打相对应的按键，正确加一分，错误不加分不扣分，累计一分钟正确拍打数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游戏时间:60S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测试数据通过无线信号上传到客户端，与后台系统实时对接。</w:t>
            </w:r>
            <w:r>
              <w:rPr>
                <w:rFonts w:hint="eastAsia" w:ascii="宋体" w:hAnsi="宋体" w:eastAsia="宋体" w:cs="宋体"/>
                <w:i w:val="0"/>
                <w:iCs w:val="0"/>
                <w:color w:val="auto"/>
                <w:kern w:val="0"/>
                <w:sz w:val="24"/>
                <w:szCs w:val="24"/>
                <w:highlight w:val="none"/>
                <w:u w:val="none"/>
                <w:lang w:val="en-US" w:eastAsia="zh-CN" w:bidi="ar"/>
              </w:rPr>
              <w:br w:type="textWrapping"/>
            </w:r>
            <w:r>
              <w:rPr>
                <w:rStyle w:val="47"/>
                <w:color w:val="auto"/>
                <w:highlight w:val="none"/>
                <w:lang w:val="en-US" w:eastAsia="zh-CN" w:bidi="ar"/>
              </w:rPr>
              <w:t>（投标人或制造商提供灵敏反应测试设备的专利证书及国家知识产权局中国专利公布公告网页截图证明）</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3.产品材质：榉木、夹板、塑料件、电子</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4.产品五金：采用符合国家标准的优质五金配件，确保产品连接结构的稳定性与牢固性，以保证儿童使用安全。五金件—螺丝的中性盐雾试验符合GB/T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产品说明：主体采用优质多层板，产品结实耐用，主体设计按压感应按键，通过游戏模式和测试模式检测儿童的反应力和速度，通过语音鼓励和记录上传来记录。特制塑料件连接产品，并配有身份识别感应手环符，方便实时记录和上传儿童的检测数据，传输到电脑和手机平台，方便教师在电脑或者手机端分析记录归纳整理数据。多层板中的可迁移有害元素符合GB18584-2024家具中有害物质限量标准中的要求，可迁移元素锑(Sb)、砷(As)、钡(Ba)、镉(Cd)、铬(Cr)、铅(Pb)、汞(Hg)、硒(Se)，检测结果均为未检出；多层板的甲醛释放量符合GB/T 17657-2022 人造板及饰面人造板理化性能试验方法中的要求，检测结果为未检出；榉木中的可迁移有害元素符合GB18584-2024家具中有害物质限量标准中的要求，可迁移元素锑(Sb)、砷(As)、钡(Ba)、镉(Cd)、铬(Cr)、铅(Pb)、汞(Hg)、硒(Se)，检测结果均为未检出；榉木的甲醛释放量符合GB/T 17657-2022 人造板及饰面人造板理化性能试验方法中的要求，检测结果为未检出。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8.产品提供落地使用的培训服务，配备专业的大班、中班、小班活动指导方案，确保活动的顺利开展。</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27BC3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F9C11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10CB6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53BC66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02714D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手环</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29F8DE8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1.名称：手环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2.尺寸：≥195*16*8mm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3.材质：硅胶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4.说明：手环整体为硅胶材质，采用一次成型封装方式，内部配有非接触型IC卡，通过后台匹配之后可以识别幼儿的身份，触碰智慧运动上的电子设备后，运动数据可自动上传到智慧运动数据管理中心系统。</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48B858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0F5DC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14E93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299A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659856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智慧运动数据管理平台</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56C5189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1.功能说明：智慧运动测评系统2.0升级版：园长端、老师端。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园长端为PC端兼移动手机端，园长登录网页，就可以随时查看整个园内不同班级之间的13项体测数据，平均值，最高值，最低值，并有图形对比，并根据数据分析生成报告，如有需要可以建立身体素质大数据库。</w:t>
            </w:r>
            <w:r>
              <w:rPr>
                <w:rFonts w:hint="eastAsia" w:ascii="宋体" w:hAnsi="宋体" w:eastAsia="宋体" w:cs="宋体"/>
                <w:i w:val="0"/>
                <w:iCs w:val="0"/>
                <w:color w:val="auto"/>
                <w:kern w:val="0"/>
                <w:sz w:val="24"/>
                <w:szCs w:val="24"/>
                <w:highlight w:val="none"/>
                <w:u w:val="none"/>
                <w:lang w:val="en-US" w:eastAsia="zh-CN" w:bidi="ar"/>
              </w:rPr>
              <w:br w:type="textWrapping"/>
            </w:r>
            <w:r>
              <w:rPr>
                <w:rStyle w:val="46"/>
                <w:color w:val="auto"/>
                <w:highlight w:val="none"/>
                <w:lang w:val="en-US" w:eastAsia="zh-CN" w:bidi="ar"/>
              </w:rPr>
              <w:t>（投标人或制造商提供体能智慧运动平台（园长端）著作权证书及PC端功能截图证明）</w:t>
            </w:r>
            <w:r>
              <w:rPr>
                <w:rFonts w:hint="eastAsia" w:ascii="宋体" w:hAnsi="宋体" w:eastAsia="宋体" w:cs="宋体"/>
                <w:color w:val="auto"/>
                <w:sz w:val="24"/>
                <w:highlight w:val="none"/>
                <w:u w:val="none"/>
                <w:lang w:val="en-US" w:eastAsia="zh-CN" w:bidi="ar"/>
              </w:rPr>
              <w:t xml:space="preserve">                                                                     ▲家长端为微信小程序，家长在手机上就可以实现，查看孩子每次的不同项目体测数据，并且会自动和之前的数据进行对比，以及进行数据分析产生报告，并能根据需要进行打印，编辑，调用。（含基础配件材料包）</w:t>
            </w:r>
            <w:r>
              <w:rPr>
                <w:rFonts w:hint="eastAsia" w:ascii="宋体" w:hAnsi="宋体" w:eastAsia="宋体" w:cs="宋体"/>
                <w:color w:val="auto"/>
                <w:sz w:val="24"/>
                <w:highlight w:val="none"/>
                <w:u w:val="none"/>
                <w:lang w:val="en-US" w:eastAsia="zh-CN" w:bidi="ar"/>
              </w:rPr>
              <w:br w:type="textWrapping"/>
            </w:r>
            <w:r>
              <w:rPr>
                <w:rStyle w:val="46"/>
                <w:color w:val="auto"/>
                <w:highlight w:val="none"/>
                <w:lang w:val="en-US" w:eastAsia="zh-CN" w:bidi="ar"/>
              </w:rPr>
              <w:t>（投标人或制造商提供体能智慧运动平台（家长端）软件著作权证书及微信小程序端功能截图证明）</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2.技术参数：支持Windows/Linux/Android/iOS多平台运行，提供HTTP/RESTful API，兼容JSON/XML数据格式，支持200+终端并发处理，单日数据处理量≥10万，采用分布式数据库（MySQL+MongoDB），原始数据保留周期≥3年，分析结果数据永久存储。平台基于国家体育局发布的《国民体质测定标准》，围绕幼儿身体形态（身高、体重）与身体素质（坐位体前屈、立定跳远等）两大维度，依托智能运动设备实现数据自动化采集与分析。系统核心功能包括：体测管理，支持全流程数字化操作，涵盖项目创建、方案配置、计划生成及数据采集，确保测试科学性与执行效率；体测分析，通过多维对比（个体/群体/阶段）、相关性建模（身体指标关联性、影响因素挖掘）及趋势预测算法，深度解析体质发展规律并提供综合评估报告；多层级体测报告（个人至园所），以可视化数据呈现生长发育动态、优劣势分析及个性化改进建议，赋能园所优化体育资源配置与健康管理策略，同时为家长提供精准育儿指导。系统集成动态监测与预警机制，以数据驱动幼儿体质健康管理的科学决策与精准干预。数据采用AES-256加密传输，符合数据安全要求。</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005C5A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4F80C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37E7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D137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7C460C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259715</wp:posOffset>
                  </wp:positionH>
                  <wp:positionV relativeFrom="paragraph">
                    <wp:posOffset>0</wp:posOffset>
                  </wp:positionV>
                  <wp:extent cx="539115" cy="374015"/>
                  <wp:effectExtent l="0" t="0" r="0" b="0"/>
                  <wp:wrapNone/>
                  <wp:docPr id="6" name="图片_125_SpCnt_3"/>
                  <wp:cNvGraphicFramePr/>
                  <a:graphic xmlns:a="http://schemas.openxmlformats.org/drawingml/2006/main">
                    <a:graphicData uri="http://schemas.openxmlformats.org/drawingml/2006/picture">
                      <pic:pic xmlns:pic="http://schemas.openxmlformats.org/drawingml/2006/picture">
                        <pic:nvPicPr>
                          <pic:cNvPr id="6" name="图片_125_SpCnt_3"/>
                          <pic:cNvPicPr/>
                        </pic:nvPicPr>
                        <pic:blipFill>
                          <a:blip r:embed="rId9"/>
                          <a:stretch>
                            <a:fillRect/>
                          </a:stretch>
                        </pic:blipFill>
                        <pic:spPr>
                          <a:xfrm>
                            <a:off x="0" y="0"/>
                            <a:ext cx="539115" cy="37401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287655</wp:posOffset>
                  </wp:positionH>
                  <wp:positionV relativeFrom="paragraph">
                    <wp:posOffset>0</wp:posOffset>
                  </wp:positionV>
                  <wp:extent cx="495935" cy="260350"/>
                  <wp:effectExtent l="0" t="0" r="0" b="0"/>
                  <wp:wrapNone/>
                  <wp:docPr id="5" name="图片_43_SpCnt_3"/>
                  <wp:cNvGraphicFramePr/>
                  <a:graphic xmlns:a="http://schemas.openxmlformats.org/drawingml/2006/main">
                    <a:graphicData uri="http://schemas.openxmlformats.org/drawingml/2006/picture">
                      <pic:pic xmlns:pic="http://schemas.openxmlformats.org/drawingml/2006/picture">
                        <pic:nvPicPr>
                          <pic:cNvPr id="5" name="图片_43_SpCnt_3"/>
                          <pic:cNvPicPr/>
                        </pic:nvPicPr>
                        <pic:blipFill>
                          <a:blip r:embed="rId9"/>
                          <a:stretch>
                            <a:fillRect/>
                          </a:stretch>
                        </pic:blipFill>
                        <pic:spPr>
                          <a:xfrm>
                            <a:off x="0" y="0"/>
                            <a:ext cx="495935" cy="2603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314325</wp:posOffset>
                  </wp:positionH>
                  <wp:positionV relativeFrom="paragraph">
                    <wp:posOffset>0</wp:posOffset>
                  </wp:positionV>
                  <wp:extent cx="397510" cy="237490"/>
                  <wp:effectExtent l="0" t="0" r="0" b="0"/>
                  <wp:wrapNone/>
                  <wp:docPr id="17" name="图片_64_SpCnt_3"/>
                  <wp:cNvGraphicFramePr/>
                  <a:graphic xmlns:a="http://schemas.openxmlformats.org/drawingml/2006/main">
                    <a:graphicData uri="http://schemas.openxmlformats.org/drawingml/2006/picture">
                      <pic:pic xmlns:pic="http://schemas.openxmlformats.org/drawingml/2006/picture">
                        <pic:nvPicPr>
                          <pic:cNvPr id="17" name="图片_64_SpCnt_3"/>
                          <pic:cNvPicPr/>
                        </pic:nvPicPr>
                        <pic:blipFill>
                          <a:blip r:embed="rId9"/>
                          <a:stretch>
                            <a:fillRect/>
                          </a:stretch>
                        </pic:blipFill>
                        <pic:spPr>
                          <a:xfrm>
                            <a:off x="0" y="0"/>
                            <a:ext cx="397510" cy="2374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353060</wp:posOffset>
                  </wp:positionH>
                  <wp:positionV relativeFrom="paragraph">
                    <wp:posOffset>0</wp:posOffset>
                  </wp:positionV>
                  <wp:extent cx="363855" cy="245110"/>
                  <wp:effectExtent l="0" t="0" r="0" b="0"/>
                  <wp:wrapNone/>
                  <wp:docPr id="15" name="图片_55_SpCnt_3"/>
                  <wp:cNvGraphicFramePr/>
                  <a:graphic xmlns:a="http://schemas.openxmlformats.org/drawingml/2006/main">
                    <a:graphicData uri="http://schemas.openxmlformats.org/drawingml/2006/picture">
                      <pic:pic xmlns:pic="http://schemas.openxmlformats.org/drawingml/2006/picture">
                        <pic:nvPicPr>
                          <pic:cNvPr id="15" name="图片_55_SpCnt_3"/>
                          <pic:cNvPicPr/>
                        </pic:nvPicPr>
                        <pic:blipFill>
                          <a:blip r:embed="rId9"/>
                          <a:stretch>
                            <a:fillRect/>
                          </a:stretch>
                        </pic:blipFill>
                        <pic:spPr>
                          <a:xfrm>
                            <a:off x="0" y="0"/>
                            <a:ext cx="363855" cy="24511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358140</wp:posOffset>
                  </wp:positionH>
                  <wp:positionV relativeFrom="paragraph">
                    <wp:posOffset>0</wp:posOffset>
                  </wp:positionV>
                  <wp:extent cx="349885" cy="250190"/>
                  <wp:effectExtent l="0" t="0" r="0" b="0"/>
                  <wp:wrapNone/>
                  <wp:docPr id="18" name="图片_65_SpCnt_3"/>
                  <wp:cNvGraphicFramePr/>
                  <a:graphic xmlns:a="http://schemas.openxmlformats.org/drawingml/2006/main">
                    <a:graphicData uri="http://schemas.openxmlformats.org/drawingml/2006/picture">
                      <pic:pic xmlns:pic="http://schemas.openxmlformats.org/drawingml/2006/picture">
                        <pic:nvPicPr>
                          <pic:cNvPr id="18" name="图片_65_SpCnt_3"/>
                          <pic:cNvPicPr/>
                        </pic:nvPicPr>
                        <pic:blipFill>
                          <a:blip r:embed="rId9"/>
                          <a:stretch>
                            <a:fillRect/>
                          </a:stretch>
                        </pic:blipFill>
                        <pic:spPr>
                          <a:xfrm>
                            <a:off x="0" y="0"/>
                            <a:ext cx="349885" cy="2501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lang w:val="en-US" w:eastAsia="zh-CN" w:bidi="ar"/>
              </w:rPr>
              <w:t>光影游戏区材料套装</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775E957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397510" cy="237490"/>
                  <wp:effectExtent l="0" t="0" r="0" b="0"/>
                  <wp:wrapNone/>
                  <wp:docPr id="9" name="图片_64_SpCnt_4"/>
                  <wp:cNvGraphicFramePr/>
                  <a:graphic xmlns:a="http://schemas.openxmlformats.org/drawingml/2006/main">
                    <a:graphicData uri="http://schemas.openxmlformats.org/drawingml/2006/picture">
                      <pic:pic xmlns:pic="http://schemas.openxmlformats.org/drawingml/2006/picture">
                        <pic:nvPicPr>
                          <pic:cNvPr id="9" name="图片_64_SpCnt_4"/>
                          <pic:cNvPicPr/>
                        </pic:nvPicPr>
                        <pic:blipFill>
                          <a:blip r:embed="rId9"/>
                          <a:stretch>
                            <a:fillRect/>
                          </a:stretch>
                        </pic:blipFill>
                        <pic:spPr>
                          <a:xfrm>
                            <a:off x="0" y="0"/>
                            <a:ext cx="397510" cy="2374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363855" cy="245110"/>
                  <wp:effectExtent l="0" t="0" r="0" b="0"/>
                  <wp:wrapNone/>
                  <wp:docPr id="20" name="图片_55_SpCnt_4"/>
                  <wp:cNvGraphicFramePr/>
                  <a:graphic xmlns:a="http://schemas.openxmlformats.org/drawingml/2006/main">
                    <a:graphicData uri="http://schemas.openxmlformats.org/drawingml/2006/picture">
                      <pic:pic xmlns:pic="http://schemas.openxmlformats.org/drawingml/2006/picture">
                        <pic:nvPicPr>
                          <pic:cNvPr id="20" name="图片_55_SpCnt_4"/>
                          <pic:cNvPicPr/>
                        </pic:nvPicPr>
                        <pic:blipFill>
                          <a:blip r:embed="rId9"/>
                          <a:stretch>
                            <a:fillRect/>
                          </a:stretch>
                        </pic:blipFill>
                        <pic:spPr>
                          <a:xfrm>
                            <a:off x="0" y="0"/>
                            <a:ext cx="363855" cy="24511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495935" cy="260350"/>
                  <wp:effectExtent l="0" t="0" r="0" b="0"/>
                  <wp:wrapNone/>
                  <wp:docPr id="31" name="图片_43_SpCnt_4"/>
                  <wp:cNvGraphicFramePr/>
                  <a:graphic xmlns:a="http://schemas.openxmlformats.org/drawingml/2006/main">
                    <a:graphicData uri="http://schemas.openxmlformats.org/drawingml/2006/picture">
                      <pic:pic xmlns:pic="http://schemas.openxmlformats.org/drawingml/2006/picture">
                        <pic:nvPicPr>
                          <pic:cNvPr id="31" name="图片_43_SpCnt_4"/>
                          <pic:cNvPicPr/>
                        </pic:nvPicPr>
                        <pic:blipFill>
                          <a:blip r:embed="rId9"/>
                          <a:stretch>
                            <a:fillRect/>
                          </a:stretch>
                        </pic:blipFill>
                        <pic:spPr>
                          <a:xfrm>
                            <a:off x="0" y="0"/>
                            <a:ext cx="495935" cy="2603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539115" cy="374015"/>
                  <wp:effectExtent l="0" t="0" r="0" b="0"/>
                  <wp:wrapNone/>
                  <wp:docPr id="12" name="图片_125_SpCnt_4"/>
                  <wp:cNvGraphicFramePr/>
                  <a:graphic xmlns:a="http://schemas.openxmlformats.org/drawingml/2006/main">
                    <a:graphicData uri="http://schemas.openxmlformats.org/drawingml/2006/picture">
                      <pic:pic xmlns:pic="http://schemas.openxmlformats.org/drawingml/2006/picture">
                        <pic:nvPicPr>
                          <pic:cNvPr id="12" name="图片_125_SpCnt_4"/>
                          <pic:cNvPicPr/>
                        </pic:nvPicPr>
                        <pic:blipFill>
                          <a:blip r:embed="rId9"/>
                          <a:stretch>
                            <a:fillRect/>
                          </a:stretch>
                        </pic:blipFill>
                        <pic:spPr>
                          <a:xfrm>
                            <a:off x="0" y="0"/>
                            <a:ext cx="539115" cy="37401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349885" cy="250190"/>
                  <wp:effectExtent l="0" t="0" r="0" b="0"/>
                  <wp:wrapNone/>
                  <wp:docPr id="14" name="图片_65_SpCnt_4"/>
                  <wp:cNvGraphicFramePr/>
                  <a:graphic xmlns:a="http://schemas.openxmlformats.org/drawingml/2006/main">
                    <a:graphicData uri="http://schemas.openxmlformats.org/drawingml/2006/picture">
                      <pic:pic xmlns:pic="http://schemas.openxmlformats.org/drawingml/2006/picture">
                        <pic:nvPicPr>
                          <pic:cNvPr id="14" name="图片_65_SpCnt_4"/>
                          <pic:cNvPicPr/>
                        </pic:nvPicPr>
                        <pic:blipFill>
                          <a:blip r:embed="rId9"/>
                          <a:stretch>
                            <a:fillRect/>
                          </a:stretch>
                        </pic:blipFill>
                        <pic:spPr>
                          <a:xfrm>
                            <a:off x="0" y="0"/>
                            <a:ext cx="349885" cy="2501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lang w:val="en-US" w:eastAsia="zh-CN" w:bidi="ar"/>
              </w:rPr>
              <w:t>光影暗箱,尺寸：1200mm*1200mm*高1200mm，银色，材质为：涤纶牛津布，涂PU银胶，全遮光，ABS，共1个；灯板,尺寸：580*580*80mm，含遥控器，电源各1个，原木色，材质为：桦木夹板；透明亚克力灯板，共2个；洞洞板,尺寸：545*545*20mm，黑色，材质为：EVA，共1个；沙盘,尺寸：546*546*60mm，原木色，材质为：桦木夹板、透明亚克力，共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刮板,尺寸：540*93*10mm，原木色，材质为：桦木夹板，共1个；沙漏笔,尺寸：φ35*233.5mm，原木色、橙色，材质为：榉木、PC透明管、松木，共3支；沙漏组合—正方形,尺寸：60*60*20mm，原木色、黄色，材质为：榉木、彩色透明亚克力，共1个；沙漏组合—圆形,尺寸：60*60*20mm，原木色、红色，材质为：榉木、彩色透明亚克力，共1个；沙漏组合—五角星,尺寸：60*60*20mm，原木色、蓝色，材质为：榉木、彩色透明亚克力，共1个；刮板组合—锯齿刮画板,尺寸：120*85*厚2mm，深蓝色，材质为：ABS，共2个；刮板组合—工字刮画板,尺寸：120*85*厚2mm，深蓝色，材质为：ABS，共2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刮板组合—波浪刮画板,尺寸：120*85*厚2mm，深蓝色，材质为：ABS，共2个；故事拼插板,尺寸：540mm*270mm*厚15mm，原木色，材质为：桦木夹板，共1个；光路软垫,尺寸：800*420mm*厚3mm，白色、深蓝色，材质为：橡胶、布，共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投影软垫,尺寸：800*420mm*厚3mm，白色、深蓝色，材质为：橡胶、布，共1个；三角形透光片,尺寸：168.5mm*168.5mm*厚10mm，透明红、透明蓝、透明黄，材质为：椴木夹板、汝铁硼、磁铁套、透明彩色亚克力，共6个；三角形积木框,尺寸：168mm*168mm*厚40mm，原木色，材质为：椴木夹板、汝铁硼、磁铁套，共6个；正方形透光片,尺寸：170*170*10mm，透明红、透明蓝、透明黄，材质为：椴木夹板、汝铁硼、磁铁套、透明彩色亚克力，共6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正方形积木框,尺寸：170*170*厚40mm，原木色，材质为：椴木夹板、汝铁硼、磁铁套，共6个；投影片,尺寸：170*170*厚12mm，原木色，材质为：椴木夹板、汝铁硼、磁铁套、不透明白色亚克力，共6个；镜面片,尺寸：170*170*厚12mm，原木色，材质为：椴木夹板、汝铁硼、磁铁套、安全镜片，共6个；收纳盒,尺寸：94mm*94mm*高78.5mm，透明无色，材质为：PC，共10个；光影方块,尺寸：25*25*25mm，透明红、透明蓝、透明黄、透明橙、透明绿、透明紫，材质为：PMMA，共90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影圆柱,尺寸：φ25*50mm，透明红、透明蓝，材质为：PMMA，共90个；创意镂空板-建筑镂空板,尺寸：185*185*0.5mm，蓝色，材质为：PP，共8张；创意镂空板-形状镂空板,尺寸：185*185*0.5mm，黄色，材质为：PP，共8张；创意镂空板-动植物镂空板,尺寸：185*185*0.5mm，蓝色，材质为：PP，共8张；创意拼贴板-服装拼板,尺寸：185*260*0.3mm男孩衣服4套：T恤+短裤、卫衣+长裤，女孩衣服4套：上衣+短裙、连衣裙*2，蓝色，颜色为白色、彩色，材质为：PVC，共8张；创意拼贴板-装饰拼板,尺寸：185mm*260mm*0.3mm，2张包含树干、柏树，185mm*185mm*0.3mm，4张包含花盆、花瓶、宝箱、礼物盒，彩色，材质为：PVC，共6张；创意拼贴板-几何拼板,尺寸：185mm*260mm*0.3mm包含船、毛毛虫、鸟、雪人、汽车、小鸡，蓝色，材质为：PVC，共6张；创意拼贴板-创意拼板,尺寸：185mm*260mm*0.3mm包含城堡、蝴蝶、汽车、蜗牛；鲜花、轮船、水底、长颈鹿，蓝色，材质为：PP，共8张；角色插片-小兔乖乖,尺寸：长约130mm，宽约80mm（含手持部分），厚度0.5mm；5个，包含兔妈妈*1、长耳朵*1、红眼睛*1、短尾巴*1、大灰狼*1，黑色，材质为：PP，共1套；角色插片-花园舞会,尺寸：长约130mm，宽约80mm（含手持部分），厚度0.5mm；8个，包含；妮娜*1、妈妈*1、腊梅花*1、百合花*1、玫瑰花*1、郁金香*1、非洲菊*1、康乃馨*1，黑色，材质为：PP，共一套；角色插片-金色的房子,尺寸：长约130mm，宽约80mm（含手持部分），厚度0.5mm；5个，包含女孩*1、小羊*1、小狗*1、小猴*1、小鸟*1，黑色，材质为：PP，共一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角色插片-丑小鸭,尺寸：长约130mm，宽约80mm（含手持部分），厚度0.5mm；8个，包含丑小鸭*1、鸭妈妈*1、母鸡*1、猎人*1、猎狗*1、农夫*1、猫*1、天鹅*1，黑色，材质为：PP，一套；角色插片-犟龟,尺寸：长约130mm，宽约80mm（含手持部分），厚度0.5mm；黑色8个，包含乌龟*1、蜗牛*1、松鼠*1、鲸鱼*1、螃蟹*1、鸽子*1、狮子新娘*1、狮子新郎*1，黑色，材质为：PP，共一套；角色插片-杰克和魔豆,尺寸：长约130mm，宽约80mm（含手持部分），厚度0.5mm；黑色7个，包含杰克*1、妈妈*1、老婆婆*1、竖琴仙女*1、巨人*1、母鸡*1，母牛*1，黑色，材质为：PP，共一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I形导光柱,尺寸：φ8*90mm，无色透明，材质为：PMMA，共8个；L形导光柱,尺寸：64*64*φ8mm，无色透明，材质为：PMMA，共8个；导光柱支架,尺寸：φ40*40mm，青色，材质为：榉木，共12个；人形积木,尺寸：66*80*厚20mm，原木色，材质为：榉木，共12个；手电筒，尺寸：长94.6mm，φ25mm，黑色，材质为：铝，共6个；投影套装-彩色镜片，尺寸：框架60*40*厚17mm；圆片φ32mm；3色，每色1个，共3个，透明红，透明绿透明蓝，材质为：椴木夹板、彩色透明亚克力片、汝铁硼、磁铁套；投影套装-手电筒支架，尺寸：104*40*高95mm；原木色，深蓝色，材质为：椴木夹板、高汝铁硼、磁铁套、PP连接扣，共3个；投影套装-光栅片支架，尺寸：60*45*高40mm；原木色，材质为：榉木、汝铁硼、磁铁套，共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投影套装-转盘，尺寸：116*56*高133mm，原木色，青色，深蓝色，材质为：榉木、椴木夹板、金属，共1个；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投影套装-卡片支架，尺寸：φ40，高24mm，蓝色，材质为：榉木，共2个；投影卡片-星星卡片，尺寸：25mm*40mm*厚2mm，黑色，材质为：PP，共4个；投影卡片-拼接卡片，尺寸：150mm*122mm*厚2mm包含老鼠、兔子、小猫、乌龟，黑色，材质为：PP，共4个；投影卡片-动画卡片，尺寸：2150mm*122mm*厚2mm包含海狮顶球、变化笑脸、飞翔小鸟、跑步男孩，黑色，材质为：PP，共4个；光栅片，尺寸：104mm*34mm*厚2mm，黑色，材质为：PP，共4个；色彩片，尺寸：150*75*3mm；6色，每色1个，透明红，透明橙，透明黄，透明绿，透明蓝，透明紫，材质为：PC，共6个；炫彩片，尺寸：φ50*7mm；6色，每色4个，透明红，透明橙，透明黄，透明绿，透明蓝，透明紫，材质为：PC，共24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彩色亚克力积木-正方形，50*50*25mm；7色，每色2个，共14个，无色透明，透明红，透明橙，透明黄，透明绿，透明蓝，透明紫；材质为：PMMA；彩色亚克力积木-拱形，75*37.5*25；7色，每色2个，共14个，无色透明，透明红，透明橙，透明黄，透明绿，透明蓝，透明紫；材质为：PM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彩色亚克力积木-半圆形，50*25*25mm；7色，每色2个，共14个，无色透明，透明红，透明橙，透明黄，透明绿，透明蓝，透明紫；材质为：PMMA；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彩色亚克力积木-三角形，48.5*42.3*25mm；7色，每色2个，共14个，无色透明，透明红，透明橙，透明黄，透明绿，透明蓝，透明紫；材质为：PMMA；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彩色拼插积木-正方形,尺寸：60*30*3mm；6色，每色4个，共24个，透明红，透明橙，透明黄，透明绿，透明蓝，透明紫，材质为：PC；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彩色拼插积木-圆形，尺寸：60*30*3mm；6色，每色4个，共24个，透明红，透明橙，透明黄，透明绿，透明蓝，透明紫，材质为：PC；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彩色拼插积木-长方形，尺寸：60*30*3mm；6色，每色4个，共24个，透明红，透明橙，透明黄，透明绿，透明蓝，透明紫，材质为：PC；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彩色拼插积木-半圆形，尺寸：60*30*3mm；6色，每色4个，共24个，透明红，透明橙，透明黄，透明绿，透明蓝，透明紫，材质为：PC；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彩色拼插积木-三角形，尺寸：60*30*3mm；6色，每色4个，共24个，透明红，透明橙，透明黄，透明绿，透明蓝，透明紫，材质为：PC；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几何片-圆片，尺寸：32*32*3mm；6色，每色6个，共36个，透明红，透明橙，透明黄，透明绿，透明蓝，透明紫，材质为：PC；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几何片-长方形片，尺寸：64*32*3mm；6色，每色4个，共24个，透明红，透明橙，透明黄，透明绿，透明蓝，透明紫，材质为：PC；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几何片-半圆形片，尺寸：64*32*3mm；6色，每色4个，共24个，透明红，透明橙，透明黄，透明绿，透明蓝，透明紫，材质为：PC；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几何片-椭圆形片，尺寸：64*32*3mm；6色，每色4个，共24个，透明红，透明橙，透明黄，透明绿，透明蓝，透明紫，材质为：PC；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几何片-等腰梯形片，尺寸：62.5*27.5*3mm；6色，每色4个，共24个；6色，每色4个，共24个，透明红，透明橙，透明黄，透明绿，透明蓝，透明紫，材质为：PC；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几何片-正方形片，尺寸：32*32*3mm；6色，每色4个，共24个，透明红，透明橙，透明黄，透明绿，透明蓝，透明紫，材质为：PC；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几何片-等边三角形片，尺寸：30.5*26.5*3mm；6色，每色4个，共24个，透明红，透明橙，透明黄，透明绿，透明蓝，透明紫，材质为：PC；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几何片-平行四边形片，尺寸：47*27.5*3mm；6色，每色4个，共24个，透明红，透明橙，透明黄，透明绿，透明蓝，透明紫，材质为：PC；</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280411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E1A19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4FF3F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D38FA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38DF43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光影游戏区使用手册</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1400E9F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光影游戏区使用手册,尺寸：16开，封面200g铜版纸，内芯80克双胶纸，双面八色印刷，彩色，材质为：纸质，共1册；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科学图卡-任务卡，尺寸：大16开（210mm*285mm），200g铜板纸，覆亚膜，切圆角，双面八色印刷，彩色，材质为：纸质，共18张；科学图卡-记录表，尺寸：大16开（210mm*285mm），80g双胶纸，单面四色印刷，彩色，材质为：纸质，共18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镜面图卡-隐藏动物图卡，尺寸：大16开（210mm*285mm）；200g铜板纸，覆亚膜，切圆角，卡型，单面四色印刷，每版2个，共3张，包含小鸟、鲸鱼、丹顶鹤、鸡、鱼、鸭子，彩色，材质为：纸质，共3张；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镜面图卡-长条图卡，尺寸：大16开（210mm*285mm）；200g铜板纸，覆亚膜，切圆角，卡型，单面四色印刷；每版2个，共3张，包含火车、飞机、跨江大桥、缆车、大海、长城，彩色，材质为：纸质，共3张；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镜面图卡-水果切面图卡，尺寸：大16开（210mm*285mm），200g铜板纸，覆亚膜，切圆角，卡型，单面四色印刷；每版2个，共3张，包含草莓、猕猴桃、西瓜、橙子、苹果、火龙果，彩色，材质为：纸质，共3张；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镜面图卡-四分之一图卡，尺寸：大16开（210mm*285mm）；200g铜板纸，覆亚膜，切圆角，卡型，单面四色印刷；每版2个，共3张，包含十字路、花坛、彩虹、雪花、披萨、花瓣，彩色，材质为：纸质，共3张；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艺术图卡-欣赏图卡，尺寸：大16开（210mm*285mm）；200g铜板纸，覆亚膜，切圆角，双面八色印刷，彩色，材质为：纸质，共2张；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艺术图卡-基础图卡，尺寸：大16开（210mm*285mm）；200g铜板纸，覆亚膜，切圆角，双面八色印刷，彩色，材质为：纸质，共2张；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艺术图卡-操作图卡，点状图卡，尺寸：大16开（210mm*285mm）；200g铜板纸，覆亚膜，切圆角，卡型，单面四色印刷；每版2个，共4张，包含T恤、房子、爱心、帆船、火箭、风车、蝴蝶、树，彩色，材质为：纸质，共4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滤镜图卡，尺寸为：大16开（210mm*285mm）；200g铜板纸，覆亚膜，切圆角，双面八色印刷，彩色，材质为：纸质，共3张；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艺术图卡-搭建图卡，尺寸：大16开（210mm*285mm）；200g铜板纸，覆亚膜，切圆角，双面八色印刷，彩色，材质为：纸质，共24张；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艺术图卡-三维图卡，尺寸：大16开（210mm*285mm）；200g铜板纸，覆亚膜，切圆角，双面八色印刷，彩色，材质为：纸质，共6张；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艺术图卡-影子图卡，尺寸：大16开（210mm*285mm）；200g铜板纸，覆亚膜，切圆角，双面八色印刷，彩色，材质为：纸质，共6张；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语言图卡-故事剧本，尺寸：大16开（210mm*285mm）；80克双胶，双面八色印刷，彩色，材质为：纸质，共7张；</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257A6F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2AF8C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5F55C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4FBE0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5C5311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室内玩具收纳柜</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10DEA69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1.名称：玩具收纳柜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2.尺寸：≥1150*400*750mm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3.材质：多层板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产品说明：产品采用多层板制作而成，截面板月亮弧弧角处理，最大程度保证家具的外观圆润，封边采用优质木蜡油封边工艺，无刺激，无异味，触摸面自然光滑。多层板中的可迁移有害元素符合GB18584-2024家具中有害物质限量标准中的要求，可迁移元素锑(Sb)、砷(As)、钡(Ba)、镉(Cd)、铬(Cr)、铅(Pb)、汞(Hg)、硒(Se)，检测结果均为未检出；多层板的甲醛释放量符合GB/T 17657-2022 人造板及饰面人造板理化性能试验方法中的要求，检测结果为未检出。木蜡油的重金属元素含量符合GB/T35602-2017 绿色产品评价 涂料的要求，重金属元素铅(Pb)、镉(Cd)、汞(Hg)、锑(Sb)、砷(As)、硒(Se)、钴(Co)、六价铬(Cr(VI))、钡(Ba)，检测结果均为未检出；木蜡油中的甲醛含量符合GB/T 23993-2009 水性涂料中甲醛含量的测定 乙酰丙酮分光光度法方法的要求，检测结果为未检出。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8.产品木制件、涂层件、边缘及尖端、突起物、稳定性试验、桌台类强度和耐久性试验和警示标识均符合要求。</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9B27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AA76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522FE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A548C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26E290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三面镜子组</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554E96D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1.产品名称：三面镜子组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2.产品尺寸：≥900*20*300mm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3.产品材质：橡胶木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4.产品五金： 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产品说明：镜框采用厚度20mm的橡胶木，中间卡钳亚克力镜，单个镜子尺寸300*300mm，合页链接。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7.材质无裂痕，无发霉，纹路清晰，美观。产品外露面，儿童可触及面均圆角处理，儿童可接触面和背面接触面光滑平整，无毛刺。板材接缝处无大缝隙，美观安全 ，产品出厂为纸箱包装。</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0D5D2A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DE429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63B4A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5C79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39DBBF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悬挂剪影</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7948F61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1.名称：悬挂剪影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2.尺寸：≥800*20*800mm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4.说明：800*800mm的PVC软玻璃卡钳在实木条里，安装两个挂钩使用。</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1A1EB5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98900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731B1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5A11A1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25F2A2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光学画板架</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5EF265D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1.名称：光学画板架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2.尺寸：≥836*350*800mm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4.五金： 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产品说明：采用18mm橡胶木板，底部设计两个收纳盒可放置材料，双面5mm乳白色扩光板，内置三色变光灯管，外接电源插头开关。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7.材质无裂痕，无发霉，纹路清晰，美观。产品外露面，儿童可触及面均圆角处理，儿童可接触面和背面接触面光滑平整，无毛刺。板材接缝处无大缝隙，美观安全 ，产品出厂为纸箱包装。</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7C7487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468EA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0C750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48B423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29</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7DF2C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三角镜</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1A2E3F6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1.名称：三角镜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2.尺寸：≥200*640*1043mm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4.产品五金： 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产品说明：镜框采用厚度20mm的橡胶木，中间卡钳双面的亚克力镜，采用三角固定模块稳定连接。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7.材质无裂痕，无发霉，纹路清晰，美观。产品外露面，儿童可触及面均圆角处理，儿童可接触面和背面接触面光滑平整，无毛刺。板材接缝处无大缝隙，美观安全 ，产品出厂为纸箱包装。</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7657A5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BE200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45E9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19B410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2FF182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长方形托盘</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676D8F3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1.名称：长方形托盘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2.尺寸：≥400*300*80mm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说明：采用15mm橡胶木板制作，短边做穿孔把手，底部卡嵌亚克力镜。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5.材质无裂痕，无发霉，纹路清晰，美观。产品外露面，儿童可触及面均圆角处理，儿童可接触面和背面接触面光滑平整，无毛刺。板材接缝处无大缝隙，美观安全。</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013482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6A7AE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7604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01C2E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7EA611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三角形托盘</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1BCC7E1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1.名称：瑞吉欧三角形托盘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2.尺寸：≥250*216*80mm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说明：采用15mm橡胶木板制作，三边带穿孔把手，底部卡嵌亚克力镜。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5.材质无裂痕，无发霉，纹路清晰，美观。产品外露面，儿童可触及面均圆角处理，儿童可接触面和背面接触面光滑平整，无毛刺。板材接缝处无大缝隙，美观安全。</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68005D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E308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45F7C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71794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569987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光学台</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619CFBE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1.名称：光学台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2.尺寸：≥782*600*110mm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4.五金： 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产品说明：采用18mm橡胶木板，左侧设计内空564*164mm的收纳盒可放置材料，内嵌5mm乳白色扩光板，内置三色变光灯带，外接电源插头开关。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7.材质无裂痕，无发霉，纹路清晰，美观。产品外露面，儿童可触及面均圆角处理，儿童可接触面和背面接触面光滑平整，无毛刺。板材接缝处无大缝隙，美观安全 ，产品出厂为纸箱包装。</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6CDA4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02DB3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33F7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4FE98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2EB07F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沙画箱</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55023C0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1.名称：沙画箱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2.尺寸：≥390*390*80mm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说明：采用18mm橡胶木板，内嵌5mm磨砂散光板。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6.材质无裂痕，无发霉，纹路清晰，美观。产品外露面，儿童可触及面均圆角处理，儿童可接触面和背面接触面光滑平整，无毛刺。板材接缝处无大缝隙，美观安全 ，产品出厂为纸箱包装。</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2FC98E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F8F4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4222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536AC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469228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学习椅</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176F5DF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1.名称：学习椅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2.尺寸：≥290*290*495mm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产品说明：框架采用厚度18mm的橡胶木板运用榫卯结构制作而成，座面高度250mm，前脚45mm宽度，靠背圆弧设计，靠背倾斜斜角3°，设计让儿童坐的更加舒适。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7.材质无裂痕，无发霉，纹路清晰，美观。产品外露面，儿童可触及面均圆角处理，儿童可接触面和背面接触面光滑平整，无毛刺。板材接缝处无大缝隙，美观安全。产品符合GB 28007-2024  婴幼儿及儿童家具安全技术规范的要求，产品出厂为纸箱包装。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8.产品木制件、涂层件、边缘及尖端、突起物、稳定性试验、桌台类强度和耐久性试验和警示标识均符合要求。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9.产品配备优质脚钉，防滑耐用。</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7A923C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20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33725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r>
      <w:tr w14:paraId="4690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DA91F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510EFD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手拉小车</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1E1E920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1.名称：手拉小车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2.尺寸：≥434*300*327mm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产品说明：产品采用18mm厚度优质橡胶木板，截面板月亮弧弧角处理，最大程度保证家具的外观圆润，前面配置拉绳，底部带有优质橡胶万向轮方便移动。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万向轮的中性盐雾试验符合GB/T 10125-2021 人造气氛腐蚀试验 盐雾试验的要求，喷雾周期为72H，符合测试要求；万向轮中的特定元素（锑(Sb)、砷(As)、钡(Ba)、镉(Cd)、铬(Cr)、铅(Pb)、汞(Hg)、硒(Se)）的迁移，按照GB6675.4-2014玩具安全第4部分:特定元素的迁移进行测试，结果均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8.产品木制件、涂层件、边缘及尖端、突起物、稳定性试验、桌台类强度和耐久性试验和警示标识均符合要求。</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275D59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1DC6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5C822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8EDC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0ABC9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移动美术柜</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46F90AE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1.名称：移动美术柜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2.尺寸：≥1000*300*680mm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产品说明：产品外侧面采用18mm厚度优质橡胶木板，隔板采用15mm厚度优质橡胶木板，截面板月亮弧弧角处理，最大程度保证家具的外观圆润，使用安全，三层收纳设计，边挡板高度80mm，防止收纳物品掉落，层高270mm，底部带有4个优质万向轮。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人造板及饰面人造板理化性能试验方法中的要求，检测结果为未检出。万向轮的中性盐雾试验符合GB/T 10125-2021 人造气氛腐蚀试验 盐雾试验的要求，喷雾周期为72H，符合测试要求；万向轮中的特定元素（锑(Sb)、砷(As)、钡(Ba)、镉(Cd)、铬(Cr)、铅(Pb)、汞(Hg)、硒(Se)）的迁移，按照GB6675.4-2014玩具安全第4部分:特定元素的迁移进行测试，结果均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8.产品木制件、涂层件、边缘及尖端、突起物、稳定性试验、桌台类强度和耐久性试验和警示标识均符合要求。</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70EEB1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FC53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2FDCE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F574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69F217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多格收纳柜</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1FC8C86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1.名称：多格收纳柜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2.尺寸：≥836*300*650mm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5.油漆：采用安全环保无毒水性漆，无刺激，无异味，附着力强，漆面自然光滑。水性漆的甲醛符合国家GB/T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6.说明：产品外侧面采用18mm厚度优质橡胶木板，隔板采用15mm厚度优质橡胶木板，截面板月亮弧弧角处理，最大程度保证家具的外观圆润，使用安全，三层隔层设计，一二层高度170mm，顶板斜角，顶部边挡板高度100mm分三个区域收纳，左右宽度200mm，中间区域宽度370mm。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7.材质无裂痕，无发霉，纹路清晰，美观。产品外露面，儿童可触及面均圆角处理，儿童可接触面和背面接触面光滑平整，无毛刺。板材接缝处无大缝隙，美观安全。产品符合GB 28007-2024  婴幼儿及儿童家具安全技术规范的要求，产品出厂为纸箱包装。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8.产品木制件、涂层件、边缘及尖端、突起物、稳定性试验、桌台类强度和耐久性试验和警示标识均符合要求。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9.产品配备优质脚钉，防滑耐用。</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3D4855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8BE7A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3C0F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04D1E9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43383A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正方桌</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52DF66C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1.名称：正方桌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2.尺寸：≥600*600*530mm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3.材质：橡胶木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产品说明：产品采用18mm厚度优质橡胶木板，桌腿立柱为45*45的实木橡胶木，桌面板R40大圆弧圆角，截面R9圆弧角处理，最大程度保证家具的外观圆润，使用安全。立水为实木板，三角内撑与桌腿五金连接稳固。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7.材质无裂痕，无发霉，纹路清晰，美观。产品外露面，儿童可触及面均圆角处理，儿童可接触面和背面接触面光滑平整，无毛刺。板材接缝处无大缝隙，美观安全，产品符合GB 28007-2024  婴幼儿及儿童家具安全技术规范的要求，产品出厂为纸箱包装。</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8.产品木制件、涂层件、边缘及尖端、突起物、稳定性试验、桌台类强度和耐久性试验和警示标识均符合要求。</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9.产品配备优质脚钉，防滑耐用。</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0A0D3E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D2765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259DF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EF8CC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39</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698F80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长方桌</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227DECD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1.名称：长方桌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2.尺寸：≥1200*600*530mm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3.材质：橡胶木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4.五金：采用符合国家标准的优质五金配件，确保产品连接结构的稳定性与牢固性，以保证儿童使用安全。五金件—螺丝的中性盐雾试验符合GB/T 10125-2021 人造气氛腐蚀试验 盐雾试验的要求，喷雾周期为72H，符合测试要求；五金件-螺丝的特定元素迁移符合GB6675.4-2014玩具安全第4部分:特定元素的迁移的要求，其中的可迁移元素锑(Sb)、砷(As)、钡(Ba)、镉(Cd)、铬(Cr)、铅(Pb)、汞(Hg)、硒(Se)，均在检出限值以内，符合标准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5.产品油漆：采用安全环保无毒水性漆，无刺激，无异味，附着力强，漆面自然光滑。水性漆的甲醛符合国家GB/T 23993-2009 水性涂料中甲醛含量的测定的要求，检测结果为未检出；水性漆的重金属元素含量符合GB/T 35602-2017 绿色产品评价 涂料 中对于重金属元素铅(Pb)、镉(Cd)、汞(Hg)、锑(Sb)、砷(As)、硒(Se)、钴(Co)、六价铬(Cr(VI))、钡(Ba)的检测要求，检测结果均为未检出。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产品说明：产品采用18mm厚度优质橡胶木板，桌腿立柱为45*45的实木橡胶木，桌面板R40大圆弧圆角，截面R9圆弧角处理，最大程度保证家具的外观圆润，使用安全。立水为实木板，三角内撑与桌腿五金连接稳固。橡胶木板中的可迁移有害元素符合GB18584-2024家具中有害物质限量标准中的要求，可迁移元素锑(Sb)、砷(As)、钡(Ba)、镉(Cd)、铬(Cr)、铅(Pb)、汞(Hg)、硒(Se)，检测结果均为未检出；橡胶木板的甲醛释放量符合GB/T 17657-2022 人造板及饰面人造板理化性能试验方法中的要求，检测结果为未检出。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7.材质无裂痕，无发霉，纹路清晰，美观。产品外露面，儿童可触及面均圆角处理，儿童可接触面和背面接触面光滑平整，无毛刺。板材接缝处无大缝隙，美观安全，产品出厂为纸箱包装。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8.产品木制件、涂层件、边缘及尖端、突起物、稳定性试验、桌台类强度和耐久性试验和警示标识均符合要求。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9.产品配备优质脚钉，防滑耐用。</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280E68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E2B5C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143B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5E459A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075A71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沙画彩沙</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5A5470F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规格：120目6色可选/小包装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材质：石英砂+颜料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重量：≥1kg/包</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41F4C1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1D6269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r>
      <w:tr w14:paraId="72554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07B383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429B2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五彩石</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7ABE6DD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规格：5色混装/小包装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材质：石英砂+颜料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重量：≥1kg/包</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500C70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3D990D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r>
      <w:tr w14:paraId="77E90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509059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6BAC10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儿童水晶宝石</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0679165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规格：混色6款宝石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材质：亚克力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尺寸：≥25*30mm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重量：≥500g/200个</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38D353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636FE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r>
      <w:tr w14:paraId="317C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0B83DD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3213C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透明冰块</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7ABC8D1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材质：亚克力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尺寸：≥25*25*25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重量：≥500g/53个</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2CA130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7F302E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r>
      <w:tr w14:paraId="0BFF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1A55EA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30792E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亚克力透光积木</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10DDED8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型号：25pcs/8种形状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材质：木质+亚克力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包装盒尺寸：≥210*60*235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重量：≥1.13kg</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4D623C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E4B8C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0732F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AADD0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172E2D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立方体透光积木</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1E29DFF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型号：100粒亚克力（高透）带托盘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材质：椴木+亚克力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尺寸：≥209*290*25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重量：≥2.3kg</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6D0AB1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EF893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3A46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7BF4F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7C5A4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几何亚克力积木</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3587F25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型号：高透/28pcs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材质：亚克力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包装尺寸：≥210*210*30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重量：≥1.1kg</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53B829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F28B7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2A3E7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08DEF9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4C3479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透光宝石积木</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1C11FCE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型号：54粒透光宝石积木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材质：椴木+亚克力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尺寸：≥430*430*30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重量：≥3kg</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08350A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498CF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664C1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5D16F0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137CA8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彩色透明杯</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67A3881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型号：混色80个装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材质：亚克力</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6DB814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5694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1FE8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1840F3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49</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5D1D1D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智能体测仪</w:t>
            </w:r>
          </w:p>
        </w:tc>
        <w:tc>
          <w:tcPr>
            <w:tcW w:w="3710" w:type="pct"/>
            <w:tcBorders>
              <w:top w:val="single" w:color="000000" w:sz="4" w:space="0"/>
              <w:left w:val="single" w:color="000000" w:sz="4" w:space="0"/>
              <w:bottom w:val="single" w:color="000000" w:sz="4" w:space="0"/>
              <w:right w:val="single" w:color="000000" w:sz="4" w:space="0"/>
            </w:tcBorders>
            <w:noWrap w:val="0"/>
            <w:vAlign w:val="top"/>
          </w:tcPr>
          <w:p w14:paraId="21FC8E2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-34925</wp:posOffset>
                  </wp:positionH>
                  <wp:positionV relativeFrom="paragraph">
                    <wp:posOffset>3159125</wp:posOffset>
                  </wp:positionV>
                  <wp:extent cx="363855" cy="245110"/>
                  <wp:effectExtent l="0" t="0" r="0" b="0"/>
                  <wp:wrapNone/>
                  <wp:docPr id="13" name="图片_55_SpCnt_5"/>
                  <wp:cNvGraphicFramePr/>
                  <a:graphic xmlns:a="http://schemas.openxmlformats.org/drawingml/2006/main">
                    <a:graphicData uri="http://schemas.openxmlformats.org/drawingml/2006/picture">
                      <pic:pic xmlns:pic="http://schemas.openxmlformats.org/drawingml/2006/picture">
                        <pic:nvPicPr>
                          <pic:cNvPr id="13" name="图片_55_SpCnt_5"/>
                          <pic:cNvPicPr/>
                        </pic:nvPicPr>
                        <pic:blipFill>
                          <a:blip r:embed="rId9"/>
                          <a:stretch>
                            <a:fillRect/>
                          </a:stretch>
                        </pic:blipFill>
                        <pic:spPr>
                          <a:xfrm>
                            <a:off x="0" y="0"/>
                            <a:ext cx="363855" cy="24511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lang w:val="en-US" w:eastAsia="zh-CN" w:bidi="ar"/>
              </w:rPr>
              <w:t>智能体测仪集成人脸识别终端，能够精准高效地检测身高、体重、脂肪等身体核心数据，并将测量数据绑定学生信息上传到数据平台，协助家长和学校实时关注、全面掌控学生的健康状况。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支持测量学生身高、体重和体脂信息等信息，并将幼儿测量数据同步上传到系统平台；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采用7英寸IPS触摸屏，支持显示人员身高、体重信息；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幼儿版体测仪：身高范围：60-145CM；体重范围：5-180kg；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支持认证模式及游客模式：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认证模式：学生进行身份认证，认证成功后才能进行测量；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游客模式：人员无需进行身份认证，就可以测量身高体重信息；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支持两种体秤模式：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身高体重测量：称重时仅测量身高体重；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身高体重体脂测量：称重时测量身高、体重和体脂（体脂测量需要学生双手触摸电极片）（游客模式不支持体脂测量）；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电源：DC 12V/2A，自带电源适配器；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设备尺寸：≥2119*460*355mm；</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60ACFA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E8794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3F7EF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8" w:type="pct"/>
            <w:tcBorders>
              <w:top w:val="nil"/>
              <w:left w:val="single" w:color="000000" w:sz="4" w:space="0"/>
              <w:bottom w:val="single" w:color="000000" w:sz="4" w:space="0"/>
              <w:right w:val="single" w:color="000000" w:sz="4" w:space="0"/>
            </w:tcBorders>
            <w:noWrap w:val="0"/>
            <w:vAlign w:val="center"/>
          </w:tcPr>
          <w:p w14:paraId="175A35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288" w:type="pct"/>
            <w:tcBorders>
              <w:top w:val="nil"/>
              <w:left w:val="single" w:color="000000" w:sz="4" w:space="0"/>
              <w:bottom w:val="single" w:color="000000" w:sz="4" w:space="0"/>
              <w:right w:val="single" w:color="000000" w:sz="4" w:space="0"/>
            </w:tcBorders>
            <w:noWrap w:val="0"/>
            <w:vAlign w:val="center"/>
          </w:tcPr>
          <w:p w14:paraId="715EA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AI互动游戏3合1</w:t>
            </w:r>
          </w:p>
        </w:tc>
        <w:tc>
          <w:tcPr>
            <w:tcW w:w="3710" w:type="pct"/>
            <w:tcBorders>
              <w:top w:val="nil"/>
              <w:left w:val="single" w:color="000000" w:sz="4" w:space="0"/>
              <w:bottom w:val="single" w:color="000000" w:sz="4" w:space="0"/>
              <w:right w:val="single" w:color="000000" w:sz="4" w:space="0"/>
            </w:tcBorders>
            <w:noWrap w:val="0"/>
            <w:vAlign w:val="top"/>
          </w:tcPr>
          <w:p w14:paraId="7480945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539115" cy="374015"/>
                  <wp:effectExtent l="0" t="0" r="0" b="0"/>
                  <wp:wrapNone/>
                  <wp:docPr id="7" name="图片_125_SpCnt_5"/>
                  <wp:cNvGraphicFramePr/>
                  <a:graphic xmlns:a="http://schemas.openxmlformats.org/drawingml/2006/main">
                    <a:graphicData uri="http://schemas.openxmlformats.org/drawingml/2006/picture">
                      <pic:pic xmlns:pic="http://schemas.openxmlformats.org/drawingml/2006/picture">
                        <pic:nvPicPr>
                          <pic:cNvPr id="7" name="图片_125_SpCnt_5"/>
                          <pic:cNvPicPr/>
                        </pic:nvPicPr>
                        <pic:blipFill>
                          <a:blip r:embed="rId9"/>
                          <a:stretch>
                            <a:fillRect/>
                          </a:stretch>
                        </pic:blipFill>
                        <pic:spPr>
                          <a:xfrm>
                            <a:off x="0" y="0"/>
                            <a:ext cx="539115" cy="37401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495935" cy="259080"/>
                  <wp:effectExtent l="0" t="0" r="0" b="0"/>
                  <wp:wrapNone/>
                  <wp:docPr id="30" name="图片_43_SpCnt_5"/>
                  <wp:cNvGraphicFramePr/>
                  <a:graphic xmlns:a="http://schemas.openxmlformats.org/drawingml/2006/main">
                    <a:graphicData uri="http://schemas.openxmlformats.org/drawingml/2006/picture">
                      <pic:pic xmlns:pic="http://schemas.openxmlformats.org/drawingml/2006/picture">
                        <pic:nvPicPr>
                          <pic:cNvPr id="30" name="图片_43_SpCnt_5"/>
                          <pic:cNvPicPr/>
                        </pic:nvPicPr>
                        <pic:blipFill>
                          <a:blip r:embed="rId9"/>
                          <a:stretch>
                            <a:fillRect/>
                          </a:stretch>
                        </pic:blipFill>
                        <pic:spPr>
                          <a:xfrm>
                            <a:off x="0" y="0"/>
                            <a:ext cx="495935" cy="2590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349885" cy="250190"/>
                  <wp:effectExtent l="0" t="0" r="0" b="0"/>
                  <wp:wrapNone/>
                  <wp:docPr id="8" name="图片_65_SpCnt_5"/>
                  <wp:cNvGraphicFramePr/>
                  <a:graphic xmlns:a="http://schemas.openxmlformats.org/drawingml/2006/main">
                    <a:graphicData uri="http://schemas.openxmlformats.org/drawingml/2006/picture">
                      <pic:pic xmlns:pic="http://schemas.openxmlformats.org/drawingml/2006/picture">
                        <pic:nvPicPr>
                          <pic:cNvPr id="8" name="图片_65_SpCnt_5"/>
                          <pic:cNvPicPr/>
                        </pic:nvPicPr>
                        <pic:blipFill>
                          <a:blip r:embed="rId9"/>
                          <a:stretch>
                            <a:fillRect/>
                          </a:stretch>
                        </pic:blipFill>
                        <pic:spPr>
                          <a:xfrm>
                            <a:off x="0" y="0"/>
                            <a:ext cx="349885" cy="2501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397510" cy="237490"/>
                  <wp:effectExtent l="0" t="0" r="0" b="0"/>
                  <wp:wrapNone/>
                  <wp:docPr id="19" name="图片_64_SpCnt_5"/>
                  <wp:cNvGraphicFramePr/>
                  <a:graphic xmlns:a="http://schemas.openxmlformats.org/drawingml/2006/main">
                    <a:graphicData uri="http://schemas.openxmlformats.org/drawingml/2006/picture">
                      <pic:pic xmlns:pic="http://schemas.openxmlformats.org/drawingml/2006/picture">
                        <pic:nvPicPr>
                          <pic:cNvPr id="19" name="图片_64_SpCnt_5"/>
                          <pic:cNvPicPr/>
                        </pic:nvPicPr>
                        <pic:blipFill>
                          <a:blip r:embed="rId9"/>
                          <a:stretch>
                            <a:fillRect/>
                          </a:stretch>
                        </pic:blipFill>
                        <pic:spPr>
                          <a:xfrm>
                            <a:off x="0" y="0"/>
                            <a:ext cx="397510" cy="2374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highlight w:val="none"/>
                <w:u w:val="none"/>
                <w:lang w:val="en-US" w:eastAsia="zh-CN" w:bidi="ar"/>
              </w:rPr>
              <w:t>▲含：神笔小画家、故事绘、STEAM实验室三款互动软件。</w:t>
            </w:r>
            <w:r>
              <w:rPr>
                <w:rFonts w:hint="eastAsia" w:ascii="宋体" w:hAnsi="宋体" w:eastAsia="宋体" w:cs="宋体"/>
                <w:i w:val="0"/>
                <w:iCs w:val="0"/>
                <w:color w:val="auto"/>
                <w:kern w:val="0"/>
                <w:sz w:val="24"/>
                <w:szCs w:val="24"/>
                <w:highlight w:val="none"/>
                <w:u w:val="none"/>
                <w:lang w:val="en-US" w:eastAsia="zh-CN" w:bidi="ar"/>
              </w:rPr>
              <w:br w:type="textWrapping"/>
            </w:r>
            <w:r>
              <w:rPr>
                <w:rStyle w:val="46"/>
                <w:color w:val="auto"/>
                <w:highlight w:val="none"/>
                <w:lang w:val="en-US" w:eastAsia="zh-CN" w:bidi="ar"/>
              </w:rPr>
              <w:t>（投标人或制造商提供包含神笔小画家、故事绘、STEAM实验室三种软件的软件著作权证书及其相关功能截图）</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【麦克风】：</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电池容量:500MAH</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传输距离:20米</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连接接口:三合一接口</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工作时长:8小时</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麦克风尺寸:</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sz w:val="24"/>
                <w:highlight w:val="none"/>
                <w:u w:val="none"/>
                <w:lang w:val="en-US" w:eastAsia="zh-CN" w:bidi="ar"/>
              </w:rPr>
              <w:t>6*1*0.9CM</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接收延迟:15毫秒</w:t>
            </w:r>
            <w:r>
              <w:rPr>
                <w:rFonts w:hint="eastAsia" w:ascii="宋体" w:hAnsi="宋体" w:eastAsia="宋体" w:cs="宋体"/>
                <w:color w:val="auto"/>
                <w:sz w:val="24"/>
                <w:highlight w:val="none"/>
                <w:u w:val="none"/>
                <w:lang w:val="en-US" w:eastAsia="zh-CN" w:bidi="ar"/>
              </w:rPr>
              <w:br w:type="textWrapping"/>
            </w:r>
            <w:r>
              <w:rPr>
                <w:rFonts w:hint="eastAsia" w:ascii="宋体" w:hAnsi="宋体" w:eastAsia="宋体" w:cs="宋体"/>
                <w:color w:val="auto"/>
                <w:sz w:val="24"/>
                <w:highlight w:val="none"/>
                <w:u w:val="none"/>
                <w:lang w:val="en-US" w:eastAsia="zh-CN" w:bidi="ar"/>
              </w:rPr>
              <w:t>接收器尺寸:</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sz w:val="24"/>
                <w:highlight w:val="none"/>
                <w:u w:val="none"/>
                <w:lang w:val="en-US" w:eastAsia="zh-CN" w:bidi="ar"/>
              </w:rPr>
              <w:t>7.8*4.3*15CM</w:t>
            </w:r>
          </w:p>
        </w:tc>
        <w:tc>
          <w:tcPr>
            <w:tcW w:w="337" w:type="pct"/>
            <w:tcBorders>
              <w:top w:val="nil"/>
              <w:left w:val="single" w:color="000000" w:sz="4" w:space="0"/>
              <w:bottom w:val="single" w:color="000000" w:sz="4" w:space="0"/>
              <w:right w:val="single" w:color="000000" w:sz="4" w:space="0"/>
            </w:tcBorders>
            <w:noWrap w:val="0"/>
            <w:vAlign w:val="center"/>
          </w:tcPr>
          <w:p w14:paraId="363D3A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5" w:type="pct"/>
            <w:tcBorders>
              <w:top w:val="nil"/>
              <w:left w:val="single" w:color="000000" w:sz="4" w:space="0"/>
              <w:bottom w:val="single" w:color="000000" w:sz="4" w:space="0"/>
              <w:right w:val="single" w:color="000000" w:sz="4" w:space="0"/>
            </w:tcBorders>
            <w:noWrap w:val="0"/>
            <w:vAlign w:val="center"/>
          </w:tcPr>
          <w:p w14:paraId="5C6FF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bl>
    <w:p w14:paraId="298D70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1"/>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（二）服务标准</w:t>
      </w:r>
    </w:p>
    <w:p w14:paraId="38A4D6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1"/>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1.品质要求</w:t>
      </w:r>
    </w:p>
    <w:p w14:paraId="589BCF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所有产品及服务符合国家相关标准，优先选用知名品牌、成熟稳定产品，严禁使用翻新机、贴牌机、“三无”产品，全程把控品质，适配幼儿园长期稳定使用需求。</w:t>
      </w:r>
    </w:p>
    <w:p w14:paraId="1CC2EF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1.1产品合规性要求</w:t>
      </w:r>
    </w:p>
    <w:p w14:paraId="52DA72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硬件设备需要具备产品检测报告，相关行业专项认证，软件系统具备软件著作权证书，符合网络安全等级保护要求，无侵权、无漏洞、无恶意代码；幼儿接触类产品（手环、一体机外壳、晨检设备、积木玩具、儿童家具等）需通过结构测试、甲醛与重金属测试等，符合GB 6675-2014《玩具安全》系列标准、GB28007-2024《婴幼儿及儿童家具安全技术规范》、GB18584-2024《家具中有害物质限量》等相关检测标准。</w:t>
      </w:r>
    </w:p>
    <w:p w14:paraId="3BDCBF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2.产品耐用性与稳定性</w:t>
      </w:r>
    </w:p>
    <w:p w14:paraId="478210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硬件设备采用高强度耐磨材质，防摔、防泼溅、防尘，适应幼儿园高频使用场景；核心设备支持 7×24 小时不间断稳定运行，平均无故障工作时间（MTBF）≥50000 小时；系统平台运行流畅，数据自动备份，支持断电恢复。</w:t>
      </w:r>
    </w:p>
    <w:p w14:paraId="0BC59B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 安装与工艺要求</w:t>
      </w:r>
    </w:p>
    <w:p w14:paraId="094ECC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负责全程标准化安装，线路全部隐蔽铺设，杜绝裸露线路、插头外露，避免幼儿触碰引发安全隐患；设备安装牢固，无松动、无脱落风险；施工避开幼儿在园时段，完工后做好现场清理、消毒，确保不影响幼儿园正常教学秩序。</w:t>
      </w:r>
    </w:p>
    <w:p w14:paraId="4F8800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4.品牌与质保溯源要求</w:t>
      </w:r>
    </w:p>
    <w:p w14:paraId="6F4DAF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核心设备须为原厂正品，严禁二次改装、贴牌替换，设备机身标注清晰品牌标识，配件齐全，包装完好，附带完整说明书、保修卡。</w:t>
      </w:r>
    </w:p>
    <w:p w14:paraId="3EEB17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（三）售后服务要求</w:t>
      </w:r>
    </w:p>
    <w:p w14:paraId="2E2126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 质保期限</w:t>
      </w:r>
    </w:p>
    <w:p w14:paraId="0FDAF85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1.1投标产品质量保证期2年。</w:t>
      </w:r>
    </w:p>
    <w:p w14:paraId="18BE4A9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1.2投标产品属于国家规定“三包”范围的，其产品质量保证期不得低于“三包”规定。</w:t>
      </w:r>
    </w:p>
    <w:p w14:paraId="0BC9F21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1.3投标人的质量保证期承诺优于国家“三包”规定的，按投标人实际承诺执行。</w:t>
      </w:r>
    </w:p>
    <w:p w14:paraId="4ABB238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1.4投标产品由制造商（指产品生产制造商，或其负责销售、售后服务机构，以下同）负责标准售后服务的，应当在投标文件中予以明确说明，并附制造商售后服务承诺。</w:t>
      </w:r>
    </w:p>
    <w:p w14:paraId="0C0F712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w:t>
      </w:r>
      <w:r>
        <w:rPr>
          <w:rFonts w:hint="eastAsia" w:ascii="宋体" w:hAnsi="宋体" w:eastAsia="宋体" w:cs="宋体"/>
          <w:color w:val="auto"/>
          <w:sz w:val="24"/>
          <w:szCs w:val="24"/>
          <w:highlight w:val="none"/>
        </w:rPr>
        <w:t>人为损坏、不可抗力损坏仅收取成本费用，提供免费上门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免费技术咨询、故障排查、系统调试服务。质保期满后，提供终身优惠维修服务，配件价格不高于市场同期均价。</w:t>
      </w:r>
    </w:p>
    <w:p w14:paraId="559D071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kern w:val="0"/>
          <w:sz w:val="24"/>
          <w:szCs w:val="24"/>
          <w:highlight w:val="none"/>
          <w:lang w:val="en-US" w:eastAsia="zh-CN" w:bidi="ar"/>
        </w:rPr>
        <w:t>软件系统</w:t>
      </w:r>
      <w:r>
        <w:rPr>
          <w:rFonts w:hint="eastAsia" w:ascii="宋体" w:hAnsi="宋体" w:eastAsia="宋体" w:cs="宋体"/>
          <w:color w:val="auto"/>
          <w:sz w:val="24"/>
          <w:szCs w:val="24"/>
          <w:highlight w:val="none"/>
        </w:rPr>
        <w:t>、智慧平台、管理系统、应用服务等，自验收合格之日起</w:t>
      </w:r>
      <w:r>
        <w:rPr>
          <w:rFonts w:hint="eastAsia" w:ascii="宋体" w:hAnsi="宋体" w:eastAsia="宋体" w:cs="宋体"/>
          <w:color w:val="auto"/>
          <w:kern w:val="0"/>
          <w:sz w:val="24"/>
          <w:szCs w:val="24"/>
          <w:highlight w:val="none"/>
          <w:lang w:val="en-US" w:eastAsia="zh-CN" w:bidi="ar"/>
        </w:rPr>
        <w:t>提供终身免费维护、版本升级、漏洞修复，在质保期内免费更换非人为损坏的零部件及整机，</w:t>
      </w:r>
      <w:r>
        <w:rPr>
          <w:rFonts w:hint="eastAsia" w:ascii="宋体" w:hAnsi="宋体" w:eastAsia="宋体" w:cs="宋体"/>
          <w:color w:val="auto"/>
          <w:sz w:val="24"/>
          <w:szCs w:val="24"/>
          <w:highlight w:val="none"/>
        </w:rPr>
        <w:t>确保平台持续正常运行、功能完整可用、系统稳定不掉线。</w:t>
      </w:r>
    </w:p>
    <w:p w14:paraId="479A574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40" w:leftChars="19"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质保期限</w:t>
      </w:r>
      <w:r>
        <w:rPr>
          <w:rFonts w:hint="eastAsia" w:ascii="宋体" w:hAnsi="宋体" w:eastAsia="宋体" w:cs="宋体"/>
          <w:color w:val="auto"/>
          <w:sz w:val="24"/>
          <w:szCs w:val="24"/>
          <w:highlight w:val="none"/>
        </w:rPr>
        <w:t>内包含：系统升级、漏洞修复、故障处理、技术支持、账号维护、数据安全保障等全部服务费用，不再额外收取任何服务费。质保期与服务期计算起点统一为：项目竣工验收合格之日。</w:t>
      </w:r>
    </w:p>
    <w:p w14:paraId="4EFEB0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 响应与维修时</w:t>
      </w:r>
    </w:p>
    <w:p w14:paraId="35F725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1" w:leftChars="1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7×24 小时全天候售后响应，接到故障报修后，15分钟内远程响应，4小时内上门检修，一般故障24 小时内修复，重大故障48小时内提供备用设备。</w:t>
      </w:r>
    </w:p>
    <w:p w14:paraId="0FC256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 定期巡检与维护</w:t>
      </w:r>
    </w:p>
    <w:p w14:paraId="54242B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供应商每季度上门进行一次全面设备巡检、系统维护、线路检测、数据备份、清洁保养，出具巡检报告；每半年进行一次系统升级优化、漏洞修复，提前排查故障隐患。</w:t>
      </w:r>
    </w:p>
    <w:p w14:paraId="20D206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 备件与技术支持</w:t>
      </w:r>
    </w:p>
    <w:p w14:paraId="3E3FF8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供应商须在本地设有售后服务网点及备件仓库，储备充足常用备件；提供专属售后对接人及联系方式，建立专属服务档案，接受园方监督考核。</w:t>
      </w:r>
    </w:p>
    <w:p w14:paraId="09354C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 数据安全与隐私保障</w:t>
      </w:r>
    </w:p>
    <w:p w14:paraId="5B3203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严格遵守《中华人民共和国个人信息保护法》《中华人民共和国数据安全法》等法律法规，严禁泄露幼儿信息、家长信息、园方管理数据；在售后维修过程中做好数据备份保护，维修完毕清除设备残留数据，杜绝数据外泄，承担数据泄漏相关法律责任。</w:t>
      </w:r>
    </w:p>
    <w:p w14:paraId="7DEC0C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（四）培训服务要求</w:t>
      </w:r>
    </w:p>
    <w:p w14:paraId="4422A8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 培训对象与内容</w:t>
      </w:r>
    </w:p>
    <w:p w14:paraId="2084A9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针对幼儿园教职工、管理人员、保健医、后勤人员分批次开展定制化培训，内容涵盖硬件操作、软件操作、日常维护、简单故障排查、数据导出、安全注意事项。</w:t>
      </w:r>
    </w:p>
    <w:p w14:paraId="33CC50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 培训形式与安排</w:t>
      </w:r>
    </w:p>
    <w:p w14:paraId="535D323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40" w:leftChars="19"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集中实操培训：项目验收前开展 </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场线下培训，每场不少于2课时，提供操作手册与教学视频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每年至少1次免费功能升级</w:t>
      </w:r>
      <w:r>
        <w:rPr>
          <w:rFonts w:hint="eastAsia" w:ascii="宋体" w:hAnsi="宋体" w:eastAsia="宋体" w:cs="宋体"/>
          <w:color w:val="auto"/>
          <w:sz w:val="24"/>
          <w:szCs w:val="24"/>
          <w:highlight w:val="none"/>
        </w:rPr>
        <w:t>。</w:t>
      </w:r>
    </w:p>
    <w:p w14:paraId="2678034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驻场实操指导：培训后驻场3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5天，一对一指导。</w:t>
      </w:r>
    </w:p>
    <w:p w14:paraId="79FAD6D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后续进阶培训：每学期至少1次复训。</w:t>
      </w:r>
    </w:p>
    <w:p w14:paraId="6DD7E4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 培训考核与效果保障</w:t>
      </w:r>
    </w:p>
    <w:p w14:paraId="69352F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培训完毕后进行实操考核，确保参训人员合格上岗；长期提供线上视频与远程指导，直至园方人员完全独立操作。</w:t>
      </w:r>
    </w:p>
    <w:p w14:paraId="183E2D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（五）验收与交付要求</w:t>
      </w:r>
    </w:p>
    <w:p w14:paraId="5CC32B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bCs/>
          <w:color w:val="auto"/>
          <w:sz w:val="24"/>
          <w:szCs w:val="24"/>
          <w:highlight w:val="none"/>
        </w:rPr>
        <w:t>交付周期</w:t>
      </w:r>
      <w:r>
        <w:rPr>
          <w:rFonts w:hint="eastAsia" w:ascii="宋体" w:hAnsi="宋体" w:eastAsia="宋体" w:cs="宋体"/>
          <w:color w:val="auto"/>
          <w:sz w:val="24"/>
          <w:szCs w:val="24"/>
          <w:highlight w:val="none"/>
        </w:rPr>
        <w:t>：合同签订生效之日起</w:t>
      </w:r>
      <w:r>
        <w:rPr>
          <w:rFonts w:hint="eastAsia" w:ascii="宋体" w:hAnsi="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个</w:t>
      </w:r>
      <w:r>
        <w:rPr>
          <w:rFonts w:hint="eastAsia" w:ascii="宋体" w:hAnsi="宋体" w:eastAsia="宋体" w:cs="宋体"/>
          <w:b/>
          <w:bCs/>
          <w:color w:val="auto"/>
          <w:sz w:val="24"/>
          <w:szCs w:val="24"/>
          <w:highlight w:val="none"/>
          <w:lang w:val="en-US" w:eastAsia="zh-CN"/>
        </w:rPr>
        <w:t>日历日</w:t>
      </w:r>
      <w:r>
        <w:rPr>
          <w:rFonts w:hint="eastAsia" w:ascii="宋体" w:hAnsi="宋体" w:eastAsia="宋体" w:cs="宋体"/>
          <w:color w:val="auto"/>
          <w:sz w:val="24"/>
          <w:szCs w:val="24"/>
          <w:highlight w:val="none"/>
        </w:rPr>
        <w:t>内，中标供应商须完成全部设备供货、现场安装调试、系统集成及联调联试，整体项目达到正式验收标准。</w:t>
      </w:r>
    </w:p>
    <w:p w14:paraId="528653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
          <w:bCs/>
          <w:color w:val="auto"/>
          <w:sz w:val="24"/>
          <w:szCs w:val="24"/>
          <w:highlight w:val="none"/>
        </w:rPr>
        <w:t>验收标准</w:t>
      </w:r>
      <w:r>
        <w:rPr>
          <w:rFonts w:hint="eastAsia" w:ascii="宋体" w:hAnsi="宋体" w:eastAsia="宋体" w:cs="宋体"/>
          <w:color w:val="auto"/>
          <w:sz w:val="24"/>
          <w:szCs w:val="24"/>
          <w:highlight w:val="none"/>
        </w:rPr>
        <w:t>：严格按照本采购需求文件、国家及行业现行相关标准规范逐项对照验收；须满足设备运行稳定正常、系统全部功能完整可用、网络链路运行平稳、平台数据实时同步且准确无误、操作人员售后培训完整到位、项目全套归档资料齐全规范，最终由幼儿园牵头组织第三方监理及验收小组联合评审，验收合格后方可通过。</w:t>
      </w:r>
    </w:p>
    <w:p w14:paraId="762406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bCs/>
          <w:color w:val="auto"/>
          <w:sz w:val="24"/>
          <w:szCs w:val="24"/>
          <w:highlight w:val="none"/>
        </w:rPr>
        <w:t>交付资料</w:t>
      </w:r>
      <w:r>
        <w:rPr>
          <w:rFonts w:hint="eastAsia" w:ascii="宋体" w:hAnsi="宋体" w:eastAsia="宋体" w:cs="宋体"/>
          <w:color w:val="auto"/>
          <w:sz w:val="24"/>
          <w:szCs w:val="24"/>
          <w:highlight w:val="none"/>
        </w:rPr>
        <w:t>：供应商须完整提交项目交付清单、设备出厂合格证、权威检测报告、3C 认证证书、设备操作使用手册、现场培训课件及资料、软件著作权证书、售后服务协议、系统完整备份文件等项目全套归档资料，纸质版、电子版按采购方要求份数一并交付。</w:t>
      </w:r>
    </w:p>
    <w:p w14:paraId="594983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违约及追责约定</w:t>
      </w:r>
      <w:r>
        <w:rPr>
          <w:rFonts w:hint="eastAsia" w:ascii="宋体" w:hAnsi="宋体" w:eastAsia="宋体" w:cs="宋体"/>
          <w:color w:val="auto"/>
          <w:sz w:val="24"/>
          <w:szCs w:val="24"/>
          <w:highlight w:val="none"/>
        </w:rPr>
        <w:t>：若供应商投标响应未完整对应采购文件要求，或在交付、验收阶段无法完整提供本条款约定的全套交付资料，</w:t>
      </w:r>
      <w:r>
        <w:rPr>
          <w:rFonts w:hint="eastAsia" w:ascii="宋体" w:hAnsi="宋体" w:eastAsia="宋体" w:cs="宋体"/>
          <w:b/>
          <w:bCs/>
          <w:color w:val="auto"/>
          <w:sz w:val="24"/>
          <w:szCs w:val="24"/>
          <w:highlight w:val="none"/>
        </w:rPr>
        <w:t>采购方有权暂缓、拒绝项目验收</w:t>
      </w:r>
      <w:r>
        <w:rPr>
          <w:rFonts w:hint="eastAsia" w:ascii="宋体" w:hAnsi="宋体" w:eastAsia="宋体" w:cs="宋体"/>
          <w:color w:val="auto"/>
          <w:sz w:val="24"/>
          <w:szCs w:val="24"/>
          <w:highlight w:val="none"/>
        </w:rPr>
        <w:t>；由此产生的工期延误、费用增加及一切损失由供应商自行承担。若因供应商原因给采购方造成经济损失及其他不良影响的，采购方保留依法依规向供应商追偿全部损失的权利。</w:t>
      </w:r>
    </w:p>
    <w:p w14:paraId="4F0BF2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（六）合规承诺条款</w:t>
      </w:r>
    </w:p>
    <w:p w14:paraId="6D16B6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项目采购需求严格遵循《中华人民共和国政府采购法》《中华人民共和国教育法》《中华人民共和国学前教育法》《中华人民共和国个人信息保护法》《中华人民共和国数据安全法》《政府采购需求管理办法》等法律法规，符合 GB 6675、GB 40070、GB/T 29315、GB/T 35273、GB/T 22239 及智慧幼儿园相关行业标准。所有技术参数、服务要求、品质标准均公开、公平、公正，无排他性、无倾向性，满足多家供应商合法参与竞争。项目实施全过程确保幼儿安全、数据安全、网络安全、施工安全。</w:t>
      </w:r>
    </w:p>
    <w:p w14:paraId="11D8BD1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jc w:val="left"/>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（七）其他要求</w:t>
      </w:r>
    </w:p>
    <w:p w14:paraId="458D0B5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1.供应商需提供完整项目实施方案，包含供货计划、安装施工方案、培训方案、售后保障方案、应急预案；在项目实施过程中服从园方统一管理，遵守幼儿园各项规章制度，做好安全防护、卫生消毒工作。                                                                                 2.本项目招标代理费由中标人承担，中标人在领取中标通知书前一次性支付。</w:t>
      </w:r>
    </w:p>
    <w:p w14:paraId="5B801B65">
      <w:pPr>
        <w:pStyle w:val="38"/>
        <w:keepNext w:val="0"/>
        <w:keepLines w:val="0"/>
        <w:pageBreakBefore w:val="0"/>
        <w:widowControl w:val="0"/>
        <w:kinsoku/>
        <w:wordWrap/>
        <w:overflowPunct/>
        <w:topLinePunct w:val="0"/>
        <w:autoSpaceDE/>
        <w:autoSpaceDN/>
        <w:bidi w:val="0"/>
        <w:spacing w:line="520" w:lineRule="exact"/>
        <w:ind w:left="481" w:firstLine="0" w:firstLineChars="0"/>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五、其他</w:t>
      </w:r>
    </w:p>
    <w:p w14:paraId="7DF0C02A">
      <w:pPr>
        <w:pStyle w:val="36"/>
        <w:keepNext w:val="0"/>
        <w:keepLines w:val="0"/>
        <w:pageBreakBefore w:val="0"/>
        <w:widowControl w:val="0"/>
        <w:kinsoku/>
        <w:wordWrap/>
        <w:overflowPunct/>
        <w:topLinePunct w:val="0"/>
        <w:autoSpaceDE/>
        <w:autoSpaceDN/>
        <w:bidi w:val="0"/>
        <w:spacing w:line="520" w:lineRule="exact"/>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供应商在</w:t>
      </w:r>
      <w:r>
        <w:rPr>
          <w:rFonts w:hint="eastAsia" w:ascii="宋体" w:hAnsi="宋体" w:eastAsia="宋体" w:cs="宋体"/>
          <w:color w:val="auto"/>
          <w:highlight w:val="none"/>
          <w:lang w:val="en-US" w:eastAsia="zh-CN"/>
        </w:rPr>
        <w:t>投标文件</w:t>
      </w:r>
      <w:r>
        <w:rPr>
          <w:rFonts w:hint="eastAsia" w:ascii="宋体" w:hAnsi="宋体" w:eastAsia="宋体" w:cs="宋体"/>
          <w:color w:val="auto"/>
          <w:highlight w:val="none"/>
        </w:rPr>
        <w:t>中的承诺内容必须达到本篇及采购文件其他条款的要求。</w:t>
      </w:r>
    </w:p>
    <w:p w14:paraId="58601C1D">
      <w:pPr>
        <w:pStyle w:val="36"/>
        <w:keepNext w:val="0"/>
        <w:keepLines w:val="0"/>
        <w:pageBreakBefore w:val="0"/>
        <w:widowControl w:val="0"/>
        <w:kinsoku/>
        <w:overflowPunct/>
        <w:autoSpaceDE/>
        <w:autoSpaceDN/>
        <w:bidi w:val="0"/>
        <w:spacing w:line="520" w:lineRule="exact"/>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其他未尽事宜由供需双方在采购合同中详细约定。</w:t>
      </w:r>
    </w:p>
    <w:p w14:paraId="7E43AF87">
      <w:pPr>
        <w:pStyle w:val="36"/>
        <w:keepNext w:val="0"/>
        <w:keepLines w:val="0"/>
        <w:pageBreakBefore w:val="0"/>
        <w:widowControl w:val="0"/>
        <w:kinsoku/>
        <w:overflowPunct/>
        <w:autoSpaceDE/>
        <w:autoSpaceDN/>
        <w:bidi w:val="0"/>
        <w:spacing w:line="520" w:lineRule="exact"/>
        <w:ind w:left="0" w:leftChars="0" w:firstLine="480" w:firstLineChars="200"/>
        <w:textAlignment w:val="auto"/>
        <w:rPr>
          <w:rFonts w:hint="eastAsia" w:ascii="宋体" w:hAnsi="宋体" w:eastAsia="宋体" w:cs="宋体"/>
          <w:color w:val="auto"/>
          <w:highlight w:val="none"/>
        </w:rPr>
      </w:pPr>
    </w:p>
    <w:p w14:paraId="65DA1B52">
      <w:pPr>
        <w:pStyle w:val="36"/>
        <w:keepNext w:val="0"/>
        <w:keepLines w:val="0"/>
        <w:pageBreakBefore w:val="0"/>
        <w:widowControl w:val="0"/>
        <w:kinsoku/>
        <w:overflowPunct/>
        <w:autoSpaceDE/>
        <w:autoSpaceDN/>
        <w:bidi w:val="0"/>
        <w:spacing w:line="520" w:lineRule="exact"/>
        <w:ind w:left="0" w:leftChars="0" w:firstLine="480" w:firstLineChars="200"/>
        <w:textAlignment w:val="auto"/>
        <w:rPr>
          <w:rFonts w:hint="eastAsia" w:ascii="宋体" w:hAnsi="宋体" w:eastAsia="宋体" w:cs="宋体"/>
          <w:color w:val="auto"/>
          <w:highlight w:val="none"/>
        </w:rPr>
      </w:pPr>
    </w:p>
    <w:p w14:paraId="72F00BD4">
      <w:pPr>
        <w:keepNext w:val="0"/>
        <w:keepLines w:val="0"/>
        <w:pageBreakBefore/>
        <w:widowControl w:val="0"/>
        <w:suppressLineNumbers w:val="0"/>
        <w:tabs>
          <w:tab w:val="left" w:pos="7665"/>
        </w:tabs>
        <w:autoSpaceDE w:val="0"/>
        <w:autoSpaceDN/>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cs="宋体"/>
          <w:b/>
          <w:color w:val="auto"/>
          <w:sz w:val="32"/>
          <w:szCs w:val="32"/>
          <w:highlight w:val="none"/>
          <w:lang w:val="en-US" w:eastAsia="zh-CN"/>
        </w:rPr>
        <w:t>第四章、</w:t>
      </w:r>
      <w:r>
        <w:rPr>
          <w:rFonts w:hint="eastAsia" w:ascii="宋体" w:hAnsi="宋体" w:cs="宋体"/>
          <w:b/>
          <w:color w:val="auto"/>
          <w:sz w:val="32"/>
          <w:szCs w:val="32"/>
          <w:highlight w:val="none"/>
        </w:rPr>
        <w:t>合同协议书（主要内容）</w:t>
      </w:r>
      <w:r>
        <w:rPr>
          <w:rFonts w:hint="eastAsia" w:ascii="宋体" w:hAnsi="宋体" w:cs="宋体"/>
          <w:b/>
          <w:color w:val="auto"/>
          <w:sz w:val="32"/>
          <w:szCs w:val="32"/>
          <w:highlight w:val="none"/>
          <w:lang w:val="en-US" w:eastAsia="zh-CN"/>
        </w:rPr>
        <w:t xml:space="preserve">                                </w:t>
      </w:r>
      <w:r>
        <w:rPr>
          <w:rFonts w:hint="eastAsia" w:ascii="宋体" w:hAnsi="宋体" w:eastAsia="宋体" w:cs="宋体"/>
          <w:b/>
          <w:bCs w:val="0"/>
          <w:color w:val="auto"/>
          <w:kern w:val="2"/>
          <w:sz w:val="21"/>
          <w:szCs w:val="21"/>
          <w:highlight w:val="none"/>
          <w:lang w:val="en-US" w:eastAsia="zh-CN" w:bidi="ar"/>
        </w:rPr>
        <w:t>(此合同为模版，具体签订合同依照招标文件与投标文件，采购人与供应商双方协商为准)</w:t>
      </w:r>
    </w:p>
    <w:p w14:paraId="0EE79267">
      <w:pPr>
        <w:keepNext w:val="0"/>
        <w:keepLines w:val="0"/>
        <w:widowControl w:val="0"/>
        <w:suppressLineNumbers w:val="0"/>
        <w:autoSpaceDE w:val="0"/>
        <w:autoSpaceDN/>
        <w:spacing w:before="0" w:beforeAutospacing="0" w:after="0" w:afterAutospacing="0" w:line="460" w:lineRule="exact"/>
        <w:ind w:left="0" w:right="0" w:firstLine="422"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b/>
          <w:bCs w:val="0"/>
          <w:color w:val="auto"/>
          <w:kern w:val="2"/>
          <w:sz w:val="21"/>
          <w:szCs w:val="21"/>
          <w:highlight w:val="none"/>
          <w:lang w:val="en-US" w:eastAsia="zh-CN" w:bidi="ar"/>
        </w:rPr>
        <w:t>采购人（全称）：</w:t>
      </w:r>
    </w:p>
    <w:p w14:paraId="61320237">
      <w:pPr>
        <w:keepNext w:val="0"/>
        <w:keepLines w:val="0"/>
        <w:widowControl w:val="0"/>
        <w:suppressLineNumbers w:val="0"/>
        <w:autoSpaceDE w:val="0"/>
        <w:autoSpaceDN/>
        <w:spacing w:before="0" w:beforeAutospacing="0" w:after="0" w:afterAutospacing="0" w:line="460" w:lineRule="exact"/>
        <w:ind w:left="0" w:right="0" w:firstLine="422" w:firstLineChars="20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供应商（全称）：</w:t>
      </w:r>
    </w:p>
    <w:p w14:paraId="22E233F3">
      <w:pPr>
        <w:keepNext w:val="0"/>
        <w:keepLines w:val="0"/>
        <w:widowControl w:val="0"/>
        <w:suppressLineNumbers w:val="0"/>
        <w:autoSpaceDE w:val="0"/>
        <w:autoSpaceDN/>
        <w:spacing w:before="0" w:beforeAutospacing="0" w:after="0" w:afterAutospacing="0" w:line="460" w:lineRule="exact"/>
        <w:ind w:left="0" w:right="0" w:firstLine="424" w:firstLineChars="20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根据 </w:t>
      </w:r>
      <w:r>
        <w:rPr>
          <w:rFonts w:hint="eastAsia" w:ascii="宋体" w:hAnsi="宋体" w:eastAsia="宋体" w:cs="宋体"/>
          <w:color w:val="auto"/>
          <w:kern w:val="2"/>
          <w:sz w:val="21"/>
          <w:szCs w:val="21"/>
          <w:highlight w:val="none"/>
          <w:u w:val="single"/>
          <w:lang w:val="en-US" w:eastAsia="zh-CN" w:bidi="ar"/>
        </w:rPr>
        <w:t xml:space="preserve">              项目</w:t>
      </w:r>
      <w:r>
        <w:rPr>
          <w:rFonts w:hint="eastAsia" w:ascii="宋体" w:hAnsi="宋体" w:eastAsia="宋体" w:cs="宋体"/>
          <w:color w:val="auto"/>
          <w:kern w:val="2"/>
          <w:sz w:val="21"/>
          <w:szCs w:val="21"/>
          <w:highlight w:val="none"/>
          <w:lang w:val="en-US" w:eastAsia="zh-CN" w:bidi="ar"/>
        </w:rPr>
        <w:t>的采购结果，按照《中华人民共和国政府采购法》、《中华人民共和国民法典》的规定，</w:t>
      </w:r>
      <w:r>
        <w:rPr>
          <w:rFonts w:hint="eastAsia" w:ascii="宋体" w:hAnsi="宋体" w:eastAsia="宋体" w:cs="宋体"/>
          <w:color w:val="auto"/>
          <w:kern w:val="28"/>
          <w:sz w:val="21"/>
          <w:szCs w:val="21"/>
          <w:highlight w:val="none"/>
          <w:lang w:val="en-US" w:eastAsia="zh-CN" w:bidi="ar"/>
        </w:rPr>
        <w:t>经双方协商，</w:t>
      </w:r>
      <w:r>
        <w:rPr>
          <w:rFonts w:hint="eastAsia" w:ascii="宋体" w:hAnsi="宋体" w:eastAsia="宋体" w:cs="宋体"/>
          <w:color w:val="auto"/>
          <w:kern w:val="2"/>
          <w:sz w:val="21"/>
          <w:szCs w:val="21"/>
          <w:highlight w:val="none"/>
          <w:lang w:val="en-US" w:eastAsia="zh-CN" w:bidi="ar"/>
        </w:rPr>
        <w:t>本着平等互利和诚实信用的原则，采购人、供应商双方授权代表就所供设备的购销、安装、调试和售后服务等事宜达成如下条款。</w:t>
      </w:r>
      <w:r>
        <w:rPr>
          <w:rFonts w:hint="eastAsia" w:ascii="宋体" w:hAnsi="宋体" w:eastAsia="宋体" w:cs="宋体"/>
          <w:color w:val="auto"/>
          <w:kern w:val="28"/>
          <w:sz w:val="21"/>
          <w:szCs w:val="21"/>
          <w:highlight w:val="none"/>
          <w:lang w:val="en-US" w:eastAsia="zh-CN" w:bidi="ar"/>
        </w:rPr>
        <w:t>一致同意签订本合同如下。</w:t>
      </w:r>
    </w:p>
    <w:p w14:paraId="48D6CCED">
      <w:pPr>
        <w:pStyle w:val="3"/>
        <w:keepNext/>
        <w:keepLines/>
        <w:widowControl w:val="0"/>
        <w:suppressLineNumbers w:val="0"/>
        <w:autoSpaceDE w:val="0"/>
        <w:autoSpaceDN w:val="0"/>
        <w:adjustRightInd w:val="0"/>
        <w:spacing w:before="120" w:beforeLines="0" w:beforeAutospacing="0" w:afterLines="0" w:afterAutospacing="0"/>
        <w:ind w:left="0" w:firstLine="422"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rPr>
        <w:t>一、货物名称、型号、数量及价格</w:t>
      </w:r>
    </w:p>
    <w:tbl>
      <w:tblPr>
        <w:tblStyle w:val="22"/>
        <w:tblW w:w="9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2438"/>
        <w:gridCol w:w="2394"/>
        <w:gridCol w:w="515"/>
        <w:gridCol w:w="500"/>
        <w:gridCol w:w="1176"/>
        <w:gridCol w:w="1041"/>
        <w:gridCol w:w="686"/>
      </w:tblGrid>
      <w:tr w14:paraId="5E08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51A4512">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序号</w:t>
            </w:r>
          </w:p>
        </w:tc>
        <w:tc>
          <w:tcPr>
            <w:tcW w:w="2438" w:type="dxa"/>
            <w:tcBorders>
              <w:top w:val="single" w:color="auto" w:sz="4" w:space="0"/>
              <w:left w:val="nil"/>
              <w:bottom w:val="single" w:color="auto" w:sz="4" w:space="0"/>
              <w:right w:val="single" w:color="auto" w:sz="4" w:space="0"/>
            </w:tcBorders>
            <w:shd w:val="clear" w:color="auto" w:fill="auto"/>
            <w:vAlign w:val="center"/>
          </w:tcPr>
          <w:p w14:paraId="5CFD2B2C">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产品名称及费用名称</w:t>
            </w:r>
          </w:p>
        </w:tc>
        <w:tc>
          <w:tcPr>
            <w:tcW w:w="2394" w:type="dxa"/>
            <w:tcBorders>
              <w:top w:val="single" w:color="auto" w:sz="4" w:space="0"/>
              <w:left w:val="nil"/>
              <w:bottom w:val="single" w:color="auto" w:sz="4" w:space="0"/>
              <w:right w:val="single" w:color="auto" w:sz="4" w:space="0"/>
            </w:tcBorders>
            <w:shd w:val="clear" w:color="auto" w:fill="auto"/>
            <w:vAlign w:val="center"/>
          </w:tcPr>
          <w:p w14:paraId="74AEDF3E">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规格、型号</w:t>
            </w:r>
          </w:p>
        </w:tc>
        <w:tc>
          <w:tcPr>
            <w:tcW w:w="515" w:type="dxa"/>
            <w:tcBorders>
              <w:top w:val="single" w:color="auto" w:sz="4" w:space="0"/>
              <w:left w:val="nil"/>
              <w:bottom w:val="single" w:color="auto" w:sz="4" w:space="0"/>
              <w:right w:val="single" w:color="auto" w:sz="4" w:space="0"/>
            </w:tcBorders>
            <w:shd w:val="clear" w:color="auto" w:fill="auto"/>
            <w:vAlign w:val="center"/>
          </w:tcPr>
          <w:p w14:paraId="361ED4B1">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数量</w:t>
            </w:r>
          </w:p>
        </w:tc>
        <w:tc>
          <w:tcPr>
            <w:tcW w:w="500" w:type="dxa"/>
            <w:tcBorders>
              <w:top w:val="single" w:color="auto" w:sz="4" w:space="0"/>
              <w:left w:val="nil"/>
              <w:bottom w:val="single" w:color="auto" w:sz="4" w:space="0"/>
              <w:right w:val="single" w:color="auto" w:sz="4" w:space="0"/>
            </w:tcBorders>
            <w:shd w:val="clear" w:color="auto" w:fill="auto"/>
            <w:vAlign w:val="center"/>
          </w:tcPr>
          <w:p w14:paraId="7B0812D6">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单位</w:t>
            </w:r>
          </w:p>
        </w:tc>
        <w:tc>
          <w:tcPr>
            <w:tcW w:w="1176" w:type="dxa"/>
            <w:tcBorders>
              <w:top w:val="single" w:color="auto" w:sz="4" w:space="0"/>
              <w:left w:val="nil"/>
              <w:bottom w:val="single" w:color="auto" w:sz="4" w:space="0"/>
              <w:right w:val="single" w:color="auto" w:sz="4" w:space="0"/>
            </w:tcBorders>
            <w:shd w:val="clear" w:color="auto" w:fill="auto"/>
            <w:vAlign w:val="center"/>
          </w:tcPr>
          <w:p w14:paraId="42DA6EEC">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单价</w:t>
            </w:r>
          </w:p>
        </w:tc>
        <w:tc>
          <w:tcPr>
            <w:tcW w:w="1041" w:type="dxa"/>
            <w:tcBorders>
              <w:top w:val="single" w:color="auto" w:sz="4" w:space="0"/>
              <w:left w:val="nil"/>
              <w:bottom w:val="single" w:color="auto" w:sz="4" w:space="0"/>
              <w:right w:val="single" w:color="auto" w:sz="4" w:space="0"/>
            </w:tcBorders>
            <w:shd w:val="clear" w:color="auto" w:fill="auto"/>
            <w:vAlign w:val="center"/>
          </w:tcPr>
          <w:p w14:paraId="07ABC6F5">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总价</w:t>
            </w:r>
          </w:p>
        </w:tc>
        <w:tc>
          <w:tcPr>
            <w:tcW w:w="686" w:type="dxa"/>
            <w:tcBorders>
              <w:top w:val="single" w:color="auto" w:sz="4" w:space="0"/>
              <w:left w:val="nil"/>
              <w:bottom w:val="single" w:color="auto" w:sz="4" w:space="0"/>
              <w:right w:val="single" w:color="auto" w:sz="4" w:space="0"/>
            </w:tcBorders>
            <w:shd w:val="clear" w:color="auto" w:fill="auto"/>
            <w:vAlign w:val="center"/>
          </w:tcPr>
          <w:p w14:paraId="584A97A8">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备注</w:t>
            </w:r>
          </w:p>
        </w:tc>
      </w:tr>
      <w:tr w14:paraId="6CBBD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546" w:type="dxa"/>
            <w:tcBorders>
              <w:top w:val="nil"/>
              <w:left w:val="single" w:color="auto" w:sz="4" w:space="0"/>
              <w:bottom w:val="single" w:color="auto" w:sz="4" w:space="0"/>
              <w:right w:val="single" w:color="auto" w:sz="4" w:space="0"/>
            </w:tcBorders>
            <w:shd w:val="clear" w:color="auto" w:fill="auto"/>
            <w:vAlign w:val="center"/>
          </w:tcPr>
          <w:p w14:paraId="0B4BB613">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w:t>
            </w:r>
          </w:p>
        </w:tc>
        <w:tc>
          <w:tcPr>
            <w:tcW w:w="2438" w:type="dxa"/>
            <w:tcBorders>
              <w:top w:val="nil"/>
              <w:left w:val="nil"/>
              <w:bottom w:val="single" w:color="auto" w:sz="4" w:space="0"/>
              <w:right w:val="single" w:color="auto" w:sz="4" w:space="0"/>
            </w:tcBorders>
            <w:shd w:val="clear" w:color="auto" w:fill="auto"/>
            <w:vAlign w:val="center"/>
          </w:tcPr>
          <w:p w14:paraId="780CE712">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c>
          <w:tcPr>
            <w:tcW w:w="2394" w:type="dxa"/>
            <w:tcBorders>
              <w:top w:val="nil"/>
              <w:left w:val="nil"/>
              <w:bottom w:val="single" w:color="auto" w:sz="4" w:space="0"/>
              <w:right w:val="single" w:color="auto" w:sz="4" w:space="0"/>
            </w:tcBorders>
            <w:shd w:val="clear" w:color="auto" w:fill="auto"/>
            <w:vAlign w:val="center"/>
          </w:tcPr>
          <w:p w14:paraId="1982D902">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c>
          <w:tcPr>
            <w:tcW w:w="515" w:type="dxa"/>
            <w:tcBorders>
              <w:top w:val="nil"/>
              <w:left w:val="nil"/>
              <w:bottom w:val="single" w:color="auto" w:sz="4" w:space="0"/>
              <w:right w:val="single" w:color="auto" w:sz="4" w:space="0"/>
            </w:tcBorders>
            <w:shd w:val="clear" w:color="auto" w:fill="auto"/>
            <w:vAlign w:val="center"/>
          </w:tcPr>
          <w:p w14:paraId="3F5ECCE4">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c>
          <w:tcPr>
            <w:tcW w:w="500" w:type="dxa"/>
            <w:tcBorders>
              <w:top w:val="nil"/>
              <w:left w:val="nil"/>
              <w:bottom w:val="single" w:color="auto" w:sz="4" w:space="0"/>
              <w:right w:val="single" w:color="auto" w:sz="4" w:space="0"/>
            </w:tcBorders>
            <w:shd w:val="clear" w:color="auto" w:fill="auto"/>
            <w:vAlign w:val="center"/>
          </w:tcPr>
          <w:p w14:paraId="5006B661">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c>
          <w:tcPr>
            <w:tcW w:w="1176" w:type="dxa"/>
            <w:tcBorders>
              <w:top w:val="nil"/>
              <w:left w:val="nil"/>
              <w:bottom w:val="single" w:color="auto" w:sz="4" w:space="0"/>
              <w:right w:val="single" w:color="auto" w:sz="4" w:space="0"/>
            </w:tcBorders>
            <w:shd w:val="clear" w:color="auto" w:fill="auto"/>
            <w:vAlign w:val="center"/>
          </w:tcPr>
          <w:p w14:paraId="470241B3">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c>
          <w:tcPr>
            <w:tcW w:w="1041" w:type="dxa"/>
            <w:tcBorders>
              <w:top w:val="nil"/>
              <w:left w:val="nil"/>
              <w:bottom w:val="single" w:color="auto" w:sz="4" w:space="0"/>
              <w:right w:val="single" w:color="auto" w:sz="4" w:space="0"/>
            </w:tcBorders>
            <w:shd w:val="clear" w:color="auto" w:fill="auto"/>
            <w:vAlign w:val="center"/>
          </w:tcPr>
          <w:p w14:paraId="23632D73">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c>
          <w:tcPr>
            <w:tcW w:w="686" w:type="dxa"/>
            <w:tcBorders>
              <w:top w:val="nil"/>
              <w:left w:val="nil"/>
              <w:bottom w:val="single" w:color="auto" w:sz="4" w:space="0"/>
              <w:right w:val="single" w:color="auto" w:sz="4" w:space="0"/>
            </w:tcBorders>
            <w:shd w:val="clear" w:color="auto" w:fill="auto"/>
            <w:vAlign w:val="center"/>
          </w:tcPr>
          <w:p w14:paraId="5288877B">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r>
      <w:tr w14:paraId="304C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546" w:type="dxa"/>
            <w:tcBorders>
              <w:top w:val="nil"/>
              <w:left w:val="single" w:color="auto" w:sz="4" w:space="0"/>
              <w:bottom w:val="single" w:color="auto" w:sz="4" w:space="0"/>
              <w:right w:val="single" w:color="auto" w:sz="4" w:space="0"/>
            </w:tcBorders>
            <w:shd w:val="clear" w:color="auto" w:fill="auto"/>
            <w:vAlign w:val="center"/>
          </w:tcPr>
          <w:p w14:paraId="11BE314A">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2</w:t>
            </w:r>
          </w:p>
        </w:tc>
        <w:tc>
          <w:tcPr>
            <w:tcW w:w="2438" w:type="dxa"/>
            <w:tcBorders>
              <w:top w:val="nil"/>
              <w:left w:val="nil"/>
              <w:bottom w:val="single" w:color="auto" w:sz="4" w:space="0"/>
              <w:right w:val="single" w:color="auto" w:sz="4" w:space="0"/>
            </w:tcBorders>
            <w:shd w:val="clear" w:color="auto" w:fill="auto"/>
            <w:vAlign w:val="center"/>
          </w:tcPr>
          <w:p w14:paraId="6A9B8D49">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c>
          <w:tcPr>
            <w:tcW w:w="2394" w:type="dxa"/>
            <w:tcBorders>
              <w:top w:val="nil"/>
              <w:left w:val="nil"/>
              <w:bottom w:val="single" w:color="auto" w:sz="4" w:space="0"/>
              <w:right w:val="single" w:color="auto" w:sz="4" w:space="0"/>
            </w:tcBorders>
            <w:shd w:val="clear" w:color="auto" w:fill="auto"/>
            <w:vAlign w:val="center"/>
          </w:tcPr>
          <w:p w14:paraId="12680863">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c>
          <w:tcPr>
            <w:tcW w:w="515" w:type="dxa"/>
            <w:tcBorders>
              <w:top w:val="nil"/>
              <w:left w:val="nil"/>
              <w:bottom w:val="single" w:color="auto" w:sz="4" w:space="0"/>
              <w:right w:val="single" w:color="auto" w:sz="4" w:space="0"/>
            </w:tcBorders>
            <w:shd w:val="clear" w:color="auto" w:fill="auto"/>
            <w:vAlign w:val="center"/>
          </w:tcPr>
          <w:p w14:paraId="281C670C">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c>
          <w:tcPr>
            <w:tcW w:w="500" w:type="dxa"/>
            <w:tcBorders>
              <w:top w:val="nil"/>
              <w:left w:val="nil"/>
              <w:bottom w:val="single" w:color="auto" w:sz="4" w:space="0"/>
              <w:right w:val="single" w:color="auto" w:sz="4" w:space="0"/>
            </w:tcBorders>
            <w:shd w:val="clear" w:color="auto" w:fill="auto"/>
            <w:vAlign w:val="center"/>
          </w:tcPr>
          <w:p w14:paraId="51B215B8">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c>
          <w:tcPr>
            <w:tcW w:w="1176" w:type="dxa"/>
            <w:tcBorders>
              <w:top w:val="nil"/>
              <w:left w:val="nil"/>
              <w:bottom w:val="single" w:color="auto" w:sz="4" w:space="0"/>
              <w:right w:val="single" w:color="auto" w:sz="4" w:space="0"/>
            </w:tcBorders>
            <w:shd w:val="clear" w:color="auto" w:fill="auto"/>
            <w:vAlign w:val="center"/>
          </w:tcPr>
          <w:p w14:paraId="0289E8B7">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c>
          <w:tcPr>
            <w:tcW w:w="1041" w:type="dxa"/>
            <w:tcBorders>
              <w:top w:val="nil"/>
              <w:left w:val="nil"/>
              <w:bottom w:val="single" w:color="auto" w:sz="4" w:space="0"/>
              <w:right w:val="single" w:color="auto" w:sz="4" w:space="0"/>
            </w:tcBorders>
            <w:shd w:val="clear" w:color="auto" w:fill="auto"/>
            <w:vAlign w:val="center"/>
          </w:tcPr>
          <w:p w14:paraId="739AE5F9">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c>
          <w:tcPr>
            <w:tcW w:w="686" w:type="dxa"/>
            <w:tcBorders>
              <w:top w:val="nil"/>
              <w:left w:val="nil"/>
              <w:bottom w:val="single" w:color="auto" w:sz="4" w:space="0"/>
              <w:right w:val="single" w:color="auto" w:sz="4" w:space="0"/>
            </w:tcBorders>
            <w:shd w:val="clear" w:color="auto" w:fill="auto"/>
            <w:vAlign w:val="center"/>
          </w:tcPr>
          <w:p w14:paraId="586D7192">
            <w:pPr>
              <w:pStyle w:val="48"/>
              <w:widowControl/>
              <w:spacing w:beforeLines="0" w:beforeAutospacing="0" w:afterLines="0" w:afterAutospacing="0"/>
              <w:rPr>
                <w:rFonts w:hint="eastAsia" w:ascii="宋体" w:hAnsi="宋体" w:eastAsia="宋体" w:cs="宋体"/>
                <w:b w:val="0"/>
                <w:bCs/>
                <w:color w:val="auto"/>
                <w:kern w:val="2"/>
                <w:sz w:val="21"/>
                <w:szCs w:val="21"/>
                <w:highlight w:val="none"/>
              </w:rPr>
            </w:pPr>
          </w:p>
        </w:tc>
      </w:tr>
      <w:tr w14:paraId="774D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jc w:val="center"/>
        </w:trPr>
        <w:tc>
          <w:tcPr>
            <w:tcW w:w="929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436D7E4">
            <w:pPr>
              <w:pStyle w:val="48"/>
              <w:widowControl/>
              <w:spacing w:beforeLines="0" w:beforeAutospacing="0" w:afterLines="0" w:afterAutospacing="0"/>
              <w:jc w:val="left"/>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总计：大写人民币       元整，小写¥     元（包括但不限于运输费、保险费及所配套的土建、吊装就位，培训、安装、调试等所有相关费用）</w:t>
            </w:r>
          </w:p>
        </w:tc>
      </w:tr>
    </w:tbl>
    <w:p w14:paraId="2644A0C5">
      <w:pPr>
        <w:pStyle w:val="3"/>
        <w:keepNext/>
        <w:keepLines/>
        <w:widowControl w:val="0"/>
        <w:suppressLineNumbers w:val="0"/>
        <w:autoSpaceDE w:val="0"/>
        <w:autoSpaceDN w:val="0"/>
        <w:adjustRightInd w:val="0"/>
        <w:spacing w:before="120" w:beforeLines="0" w:beforeAutospacing="0" w:afterLines="0" w:afterAutospacing="0"/>
        <w:ind w:left="0" w:firstLine="422"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rPr>
        <w:t>二、报价币种、合同总价</w:t>
      </w:r>
    </w:p>
    <w:p w14:paraId="22B7EC35">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1、本合同总金额为</w:t>
      </w:r>
      <w:r>
        <w:rPr>
          <w:rFonts w:hint="eastAsia" w:ascii="宋体" w:hAnsi="宋体" w:eastAsia="宋体" w:cs="宋体"/>
          <w:b/>
          <w:bCs w:val="0"/>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元，大写人民币</w:t>
      </w:r>
      <w:r>
        <w:rPr>
          <w:rFonts w:hint="eastAsia" w:ascii="宋体" w:hAnsi="宋体" w:eastAsia="宋体" w:cs="宋体"/>
          <w:b w:val="0"/>
          <w:bCs/>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元整，含税及运费、安装、调试等所有相关费用。</w:t>
      </w:r>
    </w:p>
    <w:p w14:paraId="4D234F7D">
      <w:pPr>
        <w:pStyle w:val="3"/>
        <w:keepNext/>
        <w:keepLines/>
        <w:widowControl w:val="0"/>
        <w:suppressLineNumbers w:val="0"/>
        <w:autoSpaceDE w:val="0"/>
        <w:autoSpaceDN w:val="0"/>
        <w:adjustRightInd w:val="0"/>
        <w:spacing w:before="120" w:beforeLines="0" w:beforeAutospacing="0" w:afterLines="0" w:afterAutospacing="0"/>
        <w:ind w:left="0" w:firstLine="422"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rPr>
        <w:t>三、付款方式</w:t>
      </w:r>
    </w:p>
    <w:p w14:paraId="3BBB2105">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1、付款币种：人民币支付。</w:t>
      </w:r>
    </w:p>
    <w:p w14:paraId="3BF2FE98">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2、付款方式</w:t>
      </w:r>
    </w:p>
    <w:p w14:paraId="7368D0A0">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签订合同后，</w:t>
      </w:r>
      <w:r>
        <w:rPr>
          <w:rFonts w:hint="eastAsia" w:ascii="宋体" w:hAnsi="宋体" w:eastAsia="宋体" w:cs="宋体"/>
          <w:b w:val="0"/>
          <w:bCs/>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日内甲方支付给乙方</w:t>
      </w:r>
      <w:r>
        <w:rPr>
          <w:rFonts w:hint="eastAsia" w:ascii="宋体" w:hAnsi="宋体" w:eastAsia="宋体" w:cs="宋体"/>
          <w:b w:val="0"/>
          <w:bCs/>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%的预付款，金额为¥</w:t>
      </w:r>
      <w:r>
        <w:rPr>
          <w:rFonts w:hint="eastAsia" w:ascii="宋体" w:hAnsi="宋体" w:eastAsia="宋体" w:cs="宋体"/>
          <w:b w:val="0"/>
          <w:bCs/>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元（人民币大写</w:t>
      </w:r>
      <w:r>
        <w:rPr>
          <w:rFonts w:hint="eastAsia" w:ascii="宋体" w:hAnsi="宋体" w:eastAsia="宋体" w:cs="宋体"/>
          <w:b w:val="0"/>
          <w:bCs/>
          <w:color w:val="auto"/>
          <w:kern w:val="2"/>
          <w:sz w:val="21"/>
          <w:szCs w:val="21"/>
          <w:highlight w:val="none"/>
          <w:u w:val="single"/>
          <w:lang w:val="en-US" w:eastAsia="zh-CN" w:bidi="ar"/>
        </w:rPr>
        <w:t>：     元整</w:t>
      </w:r>
      <w:r>
        <w:rPr>
          <w:rFonts w:hint="eastAsia" w:ascii="宋体" w:hAnsi="宋体" w:eastAsia="宋体" w:cs="宋体"/>
          <w:b w:val="0"/>
          <w:bCs/>
          <w:color w:val="auto"/>
          <w:kern w:val="2"/>
          <w:sz w:val="21"/>
          <w:szCs w:val="21"/>
          <w:highlight w:val="none"/>
          <w:lang w:val="en-US" w:eastAsia="zh-CN" w:bidi="ar"/>
        </w:rPr>
        <w:t>），交货完毕，经甲方验收合格且办理完毕资金拨付手续后，由甲方支付给乙方合同总价</w:t>
      </w:r>
      <w:r>
        <w:rPr>
          <w:rFonts w:hint="eastAsia" w:ascii="宋体" w:hAnsi="宋体" w:eastAsia="宋体" w:cs="宋体"/>
          <w:b w:val="0"/>
          <w:bCs/>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 xml:space="preserve">%的货款，金额为¥ </w:t>
      </w:r>
      <w:r>
        <w:rPr>
          <w:rFonts w:hint="eastAsia" w:ascii="宋体" w:hAnsi="宋体" w:eastAsia="宋体" w:cs="宋体"/>
          <w:b w:val="0"/>
          <w:bCs/>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元（人民币大写：</w:t>
      </w:r>
      <w:r>
        <w:rPr>
          <w:rFonts w:hint="eastAsia" w:ascii="宋体" w:hAnsi="宋体" w:eastAsia="宋体" w:cs="宋体"/>
          <w:b w:val="0"/>
          <w:bCs/>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元整）。剩余的合同总金额</w:t>
      </w:r>
      <w:r>
        <w:rPr>
          <w:rFonts w:hint="eastAsia" w:ascii="宋体" w:hAnsi="宋体" w:eastAsia="宋体" w:cs="宋体"/>
          <w:b w:val="0"/>
          <w:bCs/>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%的货款，金额为¥</w:t>
      </w:r>
      <w:r>
        <w:rPr>
          <w:rFonts w:hint="eastAsia" w:ascii="宋体" w:hAnsi="宋体" w:eastAsia="宋体" w:cs="宋体"/>
          <w:b w:val="0"/>
          <w:bCs/>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元（人民币大写：</w:t>
      </w:r>
      <w:r>
        <w:rPr>
          <w:rFonts w:hint="eastAsia" w:ascii="宋体" w:hAnsi="宋体" w:eastAsia="宋体" w:cs="宋体"/>
          <w:b w:val="0"/>
          <w:bCs/>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元整）作为验收进度款，在质保期满后的X天内经甲方再次验收，无任何问题后，甲方办理资金拨付手续，七日内由甲方支付。进度款自甲方第一次书面验收合格之日起计算。</w:t>
      </w:r>
    </w:p>
    <w:p w14:paraId="64C483AA">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乙方账户信息如下：</w:t>
      </w:r>
    </w:p>
    <w:p w14:paraId="6B2AB4A6">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 xml:space="preserve">开户名称：                              </w:t>
      </w:r>
    </w:p>
    <w:p w14:paraId="10F8DE47">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 xml:space="preserve">账    号：                             </w:t>
      </w:r>
    </w:p>
    <w:p w14:paraId="467B7839">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 xml:space="preserve">开 户 行：                              </w:t>
      </w:r>
    </w:p>
    <w:p w14:paraId="58A8B3BD">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2. 本合同约定价款为含税价，乙方应在甲方付款前提供符合甲方财务做账需求的等额增值税专用发票，否则甲方有权拒付款项且不承担违约责任。</w:t>
      </w:r>
    </w:p>
    <w:p w14:paraId="6AF6B0B0">
      <w:pPr>
        <w:pStyle w:val="3"/>
        <w:keepNext/>
        <w:keepLines/>
        <w:widowControl w:val="0"/>
        <w:suppressLineNumbers w:val="0"/>
        <w:autoSpaceDE w:val="0"/>
        <w:autoSpaceDN w:val="0"/>
        <w:adjustRightInd w:val="0"/>
        <w:spacing w:before="120" w:beforeLines="0" w:beforeAutospacing="0" w:afterLines="0" w:afterAutospacing="0"/>
        <w:ind w:left="0" w:firstLine="422"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rPr>
        <w:t>四、交货地点、时间</w:t>
      </w:r>
    </w:p>
    <w:p w14:paraId="62DB0A3D">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甲方指定的地点：具体以甲方通知时指定交货地点为准。</w:t>
      </w:r>
    </w:p>
    <w:p w14:paraId="346D1461">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交货时间：合同生效后30个工作日内交货、安装调试完毕并通过甲方书面验收。</w:t>
      </w:r>
    </w:p>
    <w:p w14:paraId="5773B5AB">
      <w:pPr>
        <w:pStyle w:val="3"/>
        <w:keepNext/>
        <w:keepLines/>
        <w:widowControl w:val="0"/>
        <w:suppressLineNumbers w:val="0"/>
        <w:autoSpaceDE w:val="0"/>
        <w:autoSpaceDN w:val="0"/>
        <w:adjustRightInd w:val="0"/>
        <w:spacing w:before="120" w:beforeLines="0" w:beforeAutospacing="0" w:afterLines="0" w:afterAutospacing="0"/>
        <w:ind w:left="0" w:firstLine="422"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rPr>
        <w:t>五、产品质量保证</w:t>
      </w:r>
    </w:p>
    <w:p w14:paraId="17D8008E">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1、乙方保证提供的</w:t>
      </w:r>
      <w:r>
        <w:rPr>
          <w:rFonts w:hint="eastAsia" w:ascii="宋体" w:hAnsi="宋体" w:eastAsia="宋体" w:cs="宋体"/>
          <w:b/>
          <w:bCs w:val="0"/>
          <w:color w:val="auto"/>
          <w:kern w:val="2"/>
          <w:sz w:val="21"/>
          <w:szCs w:val="21"/>
          <w:highlight w:val="none"/>
          <w:u w:val="thick"/>
          <w:lang w:val="en-US" w:eastAsia="zh-CN" w:bidi="ar"/>
        </w:rPr>
        <w:t>合同内全部产品</w:t>
      </w:r>
      <w:r>
        <w:rPr>
          <w:rFonts w:hint="eastAsia" w:ascii="宋体" w:hAnsi="宋体" w:eastAsia="宋体" w:cs="宋体"/>
          <w:b w:val="0"/>
          <w:bCs/>
          <w:color w:val="auto"/>
          <w:kern w:val="2"/>
          <w:sz w:val="21"/>
          <w:szCs w:val="21"/>
          <w:highlight w:val="none"/>
          <w:lang w:val="en-US" w:eastAsia="zh-CN" w:bidi="ar"/>
        </w:rPr>
        <w:t>为全新的产品。</w:t>
      </w:r>
    </w:p>
    <w:p w14:paraId="02FC7D08">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2、乙方所提供的</w:t>
      </w:r>
      <w:r>
        <w:rPr>
          <w:rFonts w:hint="eastAsia" w:ascii="宋体" w:hAnsi="宋体" w:eastAsia="宋体" w:cs="宋体"/>
          <w:b/>
          <w:bCs w:val="0"/>
          <w:color w:val="auto"/>
          <w:kern w:val="2"/>
          <w:sz w:val="21"/>
          <w:szCs w:val="21"/>
          <w:highlight w:val="none"/>
          <w:u w:val="thick"/>
          <w:lang w:val="en-US" w:eastAsia="zh-CN" w:bidi="ar"/>
        </w:rPr>
        <w:t>合同内全部产品</w:t>
      </w:r>
      <w:r>
        <w:rPr>
          <w:rFonts w:hint="eastAsia" w:ascii="宋体" w:hAnsi="宋体" w:eastAsia="宋体" w:cs="宋体"/>
          <w:b w:val="0"/>
          <w:bCs/>
          <w:color w:val="auto"/>
          <w:kern w:val="2"/>
          <w:sz w:val="21"/>
          <w:szCs w:val="21"/>
          <w:highlight w:val="none"/>
          <w:lang w:val="en-US" w:eastAsia="zh-CN" w:bidi="ar"/>
        </w:rPr>
        <w:t>的型号、数量、规格及技术、质量标准、售后服务必须满足采购文件要求。</w:t>
      </w:r>
    </w:p>
    <w:p w14:paraId="17D2C2CD">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3、乙方保证提供的合同内全部产品货物按国家标准要求制作，质量完全满足用户的要求并能满足甲方的使用需求。</w:t>
      </w:r>
    </w:p>
    <w:p w14:paraId="5A61E3CC">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4、乙方的安装调试人员有义务对甲方的设备维修人员及使用人员进行免费培训，确保维修人员能对设备进行日常维护和一般性故障的查找及故障的排除，确保使用人员能够熟练掌握设备的各项功能和操作。</w:t>
      </w:r>
    </w:p>
    <w:p w14:paraId="584962F5">
      <w:pPr>
        <w:pStyle w:val="3"/>
        <w:keepNext/>
        <w:keepLines/>
        <w:widowControl w:val="0"/>
        <w:suppressLineNumbers w:val="0"/>
        <w:autoSpaceDE w:val="0"/>
        <w:autoSpaceDN w:val="0"/>
        <w:adjustRightInd w:val="0"/>
        <w:spacing w:before="120" w:beforeLines="0" w:beforeAutospacing="0" w:afterLines="0" w:afterAutospacing="0"/>
        <w:ind w:left="0" w:firstLine="422"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rPr>
        <w:t>六、质量保证期</w:t>
      </w:r>
    </w:p>
    <w:p w14:paraId="226C5492">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合同内货物质保期2年，货物属于国家规定“三包”范围的，其产品质量保证期不得低于“三包”规定。投标人的质量保证期承诺优于国家“三包”规定的，按投标人实际承诺执行；货物由制造商（指产品生产制造商，或其负责销售、售后服务机构，以下同）负责标准售后服务的，应当在投标文件中予以明确说明，并附制造商售后服务承诺。在质量保证期内，因产品质量出现问题，乙方负责免费维修或更换新机，并承担与维修和更换相关的运费、安装、调试、保险等一切费用。超过质保期后只收取更换部件成本费用，不收取服务费。</w:t>
      </w:r>
    </w:p>
    <w:p w14:paraId="36921F49">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2、质保期内，如产品发生质量问题，乙方应在【24小时】内到场进行维修。乙方接到甲方通知后未依照约定时间到场的，甲方有权另行聘请专业人员进行维修，产生的合理费用在质保金中予以扣除，不足部分，乙方应予以补足。</w:t>
      </w:r>
    </w:p>
    <w:p w14:paraId="0AE6F94A">
      <w:pPr>
        <w:pStyle w:val="3"/>
        <w:keepNext/>
        <w:keepLines/>
        <w:widowControl w:val="0"/>
        <w:suppressLineNumbers w:val="0"/>
        <w:autoSpaceDE w:val="0"/>
        <w:autoSpaceDN w:val="0"/>
        <w:adjustRightInd w:val="0"/>
        <w:spacing w:before="120" w:beforeLines="0" w:beforeAutospacing="0" w:afterLines="0" w:afterAutospacing="0"/>
        <w:ind w:left="0" w:firstLine="422"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rPr>
        <w:t>七、技术资料</w:t>
      </w:r>
    </w:p>
    <w:p w14:paraId="16E18C1A">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乙方需向甲方提供下述资料：</w:t>
      </w:r>
    </w:p>
    <w:p w14:paraId="1CAFE8A6">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所供货物的型号、规格、数量及生产厂家的产品检验证书、出厂检验报告、使用说明书等。</w:t>
      </w:r>
    </w:p>
    <w:p w14:paraId="0DA5440A">
      <w:pPr>
        <w:pStyle w:val="3"/>
        <w:keepNext/>
        <w:keepLines/>
        <w:widowControl w:val="0"/>
        <w:suppressLineNumbers w:val="0"/>
        <w:autoSpaceDE w:val="0"/>
        <w:autoSpaceDN w:val="0"/>
        <w:adjustRightInd w:val="0"/>
        <w:spacing w:before="120" w:beforeLines="0" w:beforeAutospacing="0" w:afterLines="0" w:afterAutospacing="0"/>
        <w:ind w:left="0" w:firstLine="422"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rPr>
        <w:t>八、包装及验收</w:t>
      </w:r>
    </w:p>
    <w:p w14:paraId="2AA61102">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1、所提供设备必须进行包装，免收包装费，包装物不回收。</w:t>
      </w:r>
    </w:p>
    <w:p w14:paraId="751660D8">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2、因包装原因造成合同标的物在运输过程中丢失的、损坏的，乙方承担全部责任。</w:t>
      </w:r>
    </w:p>
    <w:p w14:paraId="08C6A59F">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3、验收标准：按甲方规定的型号、技术参数、数量、产地，并根据制造商的《产品合格证》《出厂清单》《技术文件》进行现场验收，并由甲、乙双方签署验收报告。如有异议，各方应当在验收后七天内以书面形式通知对方。合同标的物验收合格后由甲方提供货物的存放地点，并负责货物的保管和安全。</w:t>
      </w:r>
    </w:p>
    <w:p w14:paraId="2D195064">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4、货物风险自通过甲方书面验收并交付甲方之后转移。</w:t>
      </w:r>
    </w:p>
    <w:p w14:paraId="600CA664">
      <w:pPr>
        <w:pStyle w:val="3"/>
        <w:keepNext/>
        <w:keepLines/>
        <w:widowControl w:val="0"/>
        <w:suppressLineNumbers w:val="0"/>
        <w:autoSpaceDE w:val="0"/>
        <w:autoSpaceDN w:val="0"/>
        <w:adjustRightInd w:val="0"/>
        <w:spacing w:before="120" w:beforeLines="0" w:beforeAutospacing="0" w:afterLines="0" w:afterAutospacing="0"/>
        <w:ind w:left="0" w:firstLine="422"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rPr>
        <w:t>九、甲、乙双方的权利及义务</w:t>
      </w:r>
    </w:p>
    <w:p w14:paraId="192C5F4E">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1、若甲方对订购的货物有任何更改，包括货物的型号、品种、规格、数量、颜色、交货期等事宜，应书面通知乙方，交货期从变更之日起顺延。若乙方接到通知后不予更改，由此造成的甲方损失，由乙方承担。</w:t>
      </w:r>
    </w:p>
    <w:p w14:paraId="5EE3C599">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2、若乙方在交货时，由于甲方的原因或要求，不能及时将货物送达指定地点和验收时，则乙方可按甲方要求延期交货，甲方向乙方出具书面确认书。</w:t>
      </w:r>
    </w:p>
    <w:p w14:paraId="100B82FE">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3、若甲方在验收后的质量保证期内，发现货物内有部分出现质量问题，应及时通知乙方，若需要更换时，乙方应在接到通知后10天内给予更换。</w:t>
      </w:r>
    </w:p>
    <w:p w14:paraId="22B6A38C">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4、乙方须按合同要求提供质量合格的货物，如期交付至甲方指定的交货地点。合同标的物需安装调试的，乙方提供免费的安装调试。</w:t>
      </w:r>
    </w:p>
    <w:p w14:paraId="487A44CC">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5、乙方对售予甲方的货物提供的质量保证期的质量保证范围，不包括意外事件、不可抗力原因及甲方的违规使用。</w:t>
      </w:r>
    </w:p>
    <w:p w14:paraId="73404349">
      <w:pPr>
        <w:pStyle w:val="3"/>
        <w:keepNext/>
        <w:keepLines/>
        <w:widowControl w:val="0"/>
        <w:suppressLineNumbers w:val="0"/>
        <w:autoSpaceDE w:val="0"/>
        <w:autoSpaceDN w:val="0"/>
        <w:adjustRightInd w:val="0"/>
        <w:spacing w:before="120" w:beforeLines="0" w:beforeAutospacing="0" w:afterLines="0" w:afterAutospacing="0"/>
        <w:ind w:left="0" w:firstLine="422"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rPr>
        <w:t>十、合同变更、违约及其它</w:t>
      </w:r>
    </w:p>
    <w:p w14:paraId="4C56F259">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合同的变更需甲、乙双方协商一致签订补充协议，并由法定代表人或授权代理人签字（盖章）且加盖单位公章后立即生效。补充协议与本合同具有同等法律效力，补充协议与本合同内容不一致的，以补充协议为准。</w:t>
      </w:r>
    </w:p>
    <w:p w14:paraId="531BAF63">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2、乙方必须在本合同规定的时间内按时交货，否则由乙方负责承担全部责任。乙方逾期交货的，按日承担合同总额千分之五的违约金；逾期交货超过【15】天的，甲方有权单方解除合同，乙方除退还货款外还应当另行承担合同总额【20】%的违约金。</w:t>
      </w:r>
    </w:p>
    <w:p w14:paraId="784C2024">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3、乙方应严格按甲方规定的产品规格、型号名称、数量和质量提供相应的产品及服务。乙方提供的产品或服务不符合合同约定的，甲方有权选择要求乙方重新供货或单方解除合同。甲方选择要求重新供货的，乙方逾期送达的，按照本条上一款承担违约责任；甲方选择单方解除合同的，乙方除退还货款外还应当另行承担合同总额【20】%的违约金。合同生效后，乙方中途废止合同（不可抗力原因除外），应按给甲方造成的损失向甲方支付赔偿金，并向甲方支付合同总金额20%的违约金；甲方中途废止合同（不可抗力原因除外），应按实际损失向乙方支付赔偿金，向乙方支付合同总金额10%的违约金。</w:t>
      </w:r>
    </w:p>
    <w:p w14:paraId="5DF321C4">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4、合同文本不得涂改，如需修改应在合同附件中注明。经甲、乙双方协商达成一致修改意见，需经甲、乙双方代表共同签署此附件，方能生效。</w:t>
      </w:r>
    </w:p>
    <w:p w14:paraId="7C04223E">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5、合同所有附件，均与合同具有同等法律效力。</w:t>
      </w:r>
    </w:p>
    <w:p w14:paraId="0F1FBFEB">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6、合同经甲、乙双方法定代表人或授权代理人签字（盖章）并加盖单位公章后立即生效。</w:t>
      </w:r>
    </w:p>
    <w:p w14:paraId="269E1965">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7、甲、乙双方发生争议时，应先协商解决，经协商不能达成协议时，任何一方均可向</w:t>
      </w:r>
      <w:r>
        <w:rPr>
          <w:rFonts w:hint="eastAsia" w:ascii="宋体" w:hAnsi="宋体" w:eastAsia="宋体" w:cs="宋体"/>
          <w:b w:val="0"/>
          <w:bCs/>
          <w:color w:val="auto"/>
          <w:kern w:val="2"/>
          <w:sz w:val="21"/>
          <w:szCs w:val="21"/>
          <w:highlight w:val="none"/>
          <w:u w:val="single"/>
          <w:lang w:val="en-US" w:eastAsia="zh-CN" w:bidi="ar"/>
        </w:rPr>
        <w:t>甲方所在地</w:t>
      </w:r>
      <w:r>
        <w:rPr>
          <w:rFonts w:hint="eastAsia" w:ascii="宋体" w:hAnsi="宋体" w:eastAsia="宋体" w:cs="宋体"/>
          <w:b w:val="0"/>
          <w:bCs/>
          <w:color w:val="auto"/>
          <w:kern w:val="2"/>
          <w:sz w:val="21"/>
          <w:szCs w:val="21"/>
          <w:highlight w:val="none"/>
          <w:lang w:val="en-US" w:eastAsia="zh-CN" w:bidi="ar"/>
        </w:rPr>
        <w:t>人民法院提起诉讼。</w:t>
      </w:r>
    </w:p>
    <w:p w14:paraId="27C409ED">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8、乙方向甲方提供专业的售后服务工程师并提供专人长期驻扎甲方（发生的所有相关费用均由乙方自行承担），保证第一时间解决问题。</w:t>
      </w:r>
    </w:p>
    <w:p w14:paraId="7829988E">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9、一方违约，还应赔偿守约方因此遭受的其他损失，包括为主张权益所支付的律师费、交通费等全部费用。</w:t>
      </w:r>
    </w:p>
    <w:p w14:paraId="566F14FA">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10、乙方违约的，甲方有权将相应违约金从应给乙方支付的货款中直接予以扣除。</w:t>
      </w:r>
    </w:p>
    <w:p w14:paraId="6120F0CE">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11、本合同尾部载明的双方地址、电话等信息，系双方有效联系方式，如发生变更，应提前书面通知另一方，否则依该联系方式送达相关文书的，视为送达成功。</w:t>
      </w:r>
    </w:p>
    <w:p w14:paraId="1597BF95">
      <w:pPr>
        <w:keepNext w:val="0"/>
        <w:keepLines w:val="0"/>
        <w:widowControl w:val="0"/>
        <w:suppressLineNumbers w:val="0"/>
        <w:spacing w:before="0" w:beforeLines="0" w:beforeAutospacing="0" w:after="0" w:afterLines="0" w:afterAutospacing="0"/>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12、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0C907662">
      <w:pPr>
        <w:keepNext w:val="0"/>
        <w:keepLines w:val="0"/>
        <w:widowControl w:val="0"/>
        <w:suppressLineNumbers w:val="0"/>
        <w:autoSpaceDE w:val="0"/>
        <w:autoSpaceDN/>
        <w:spacing w:before="0" w:beforeAutospacing="0" w:after="0" w:afterAutospacing="0" w:line="460" w:lineRule="exact"/>
        <w:ind w:left="0" w:right="0"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13、未经另外一方的事先书面同意，任何一方均不得向第三方或其关联企业转让本协议项下的权利义务。</w:t>
      </w:r>
    </w:p>
    <w:p w14:paraId="1048718C">
      <w:pPr>
        <w:pStyle w:val="5"/>
        <w:keepNext w:val="0"/>
        <w:keepLines w:val="0"/>
        <w:widowControl w:val="0"/>
        <w:suppressLineNumbers w:val="0"/>
        <w:autoSpaceDE w:val="0"/>
        <w:autoSpaceDN/>
        <w:spacing w:line="460" w:lineRule="exact"/>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rPr>
        <w:t>十一、补充协议</w:t>
      </w:r>
    </w:p>
    <w:p w14:paraId="27C64B18">
      <w:pPr>
        <w:keepNext w:val="0"/>
        <w:keepLines w:val="0"/>
        <w:widowControl w:val="0"/>
        <w:suppressLineNumbers w:val="0"/>
        <w:autoSpaceDE w:val="0"/>
        <w:autoSpaceDN/>
        <w:spacing w:before="0" w:beforeAutospacing="0" w:after="0" w:afterAutospacing="0" w:line="460" w:lineRule="exact"/>
        <w:ind w:left="0" w:right="0"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合同未尽事宜，合同当事人另行签订补充协议，补充协议是合同的组成部分。</w:t>
      </w:r>
    </w:p>
    <w:p w14:paraId="2593969C">
      <w:pPr>
        <w:pStyle w:val="5"/>
        <w:keepNext w:val="0"/>
        <w:keepLines w:val="0"/>
        <w:widowControl w:val="0"/>
        <w:suppressLineNumbers w:val="0"/>
        <w:autoSpaceDE w:val="0"/>
        <w:autoSpaceDN/>
        <w:spacing w:line="460" w:lineRule="exact"/>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rPr>
        <w:t>十二、合同生效</w:t>
      </w:r>
    </w:p>
    <w:p w14:paraId="6BC33EB6">
      <w:pPr>
        <w:keepNext w:val="0"/>
        <w:keepLines w:val="0"/>
        <w:widowControl w:val="0"/>
        <w:suppressLineNumbers w:val="0"/>
        <w:autoSpaceDE w:val="0"/>
        <w:autoSpaceDN/>
        <w:spacing w:before="0" w:beforeAutospacing="0" w:after="0" w:afterAutospacing="0" w:line="460" w:lineRule="exact"/>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本合同自生效。</w:t>
      </w:r>
    </w:p>
    <w:p w14:paraId="2EF22564">
      <w:pPr>
        <w:pStyle w:val="5"/>
        <w:keepNext w:val="0"/>
        <w:keepLines w:val="0"/>
        <w:widowControl w:val="0"/>
        <w:suppressLineNumbers w:val="0"/>
        <w:autoSpaceDE w:val="0"/>
        <w:autoSpaceDN/>
        <w:spacing w:line="460" w:lineRule="exact"/>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rPr>
        <w:t>十三、合同份数</w:t>
      </w:r>
    </w:p>
    <w:p w14:paraId="6ABFECFA">
      <w:pPr>
        <w:keepNext w:val="0"/>
        <w:keepLines w:val="0"/>
        <w:widowControl w:val="0"/>
        <w:suppressLineNumbers w:val="0"/>
        <w:autoSpaceDE w:val="0"/>
        <w:autoSpaceDN/>
        <w:spacing w:before="0" w:beforeAutospacing="0" w:after="0" w:afterAutospacing="0" w:line="460" w:lineRule="exact"/>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本合同一式</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份，均具有同等法律效力，采购人执</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份，供应商执</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份。</w:t>
      </w:r>
    </w:p>
    <w:p w14:paraId="544F98C5">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 xml:space="preserve"> </w:t>
      </w:r>
    </w:p>
    <w:p w14:paraId="041E4C1B">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采购人：  (公章)                       供应商：  (公章)</w:t>
      </w:r>
    </w:p>
    <w:p w14:paraId="21E9AB39">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 xml:space="preserve"> </w:t>
      </w:r>
    </w:p>
    <w:p w14:paraId="33CB68AB">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法定代表人或其委托代理人：           法定代表人或其委托代理人：</w:t>
      </w:r>
    </w:p>
    <w:p w14:paraId="07F866FD">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（签字）                            （签字）</w:t>
      </w:r>
    </w:p>
    <w:p w14:paraId="5B7B43F1">
      <w:pPr>
        <w:keepNext w:val="0"/>
        <w:keepLines w:val="0"/>
        <w:widowControl w:val="0"/>
        <w:suppressLineNumbers w:val="0"/>
        <w:tabs>
          <w:tab w:val="left" w:pos="4410"/>
        </w:tabs>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组织机构代码：</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组织机构代码：</w:t>
      </w:r>
      <w:r>
        <w:rPr>
          <w:rFonts w:hint="eastAsia" w:ascii="宋体" w:hAnsi="宋体" w:eastAsia="宋体" w:cs="宋体"/>
          <w:color w:val="auto"/>
          <w:kern w:val="2"/>
          <w:sz w:val="21"/>
          <w:szCs w:val="21"/>
          <w:highlight w:val="none"/>
          <w:u w:val="single"/>
          <w:lang w:val="en-US" w:eastAsia="zh-CN" w:bidi="ar"/>
        </w:rPr>
        <w:t xml:space="preserve">          </w:t>
      </w:r>
    </w:p>
    <w:p w14:paraId="22DE6FBF">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  址：</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地  址：</w:t>
      </w:r>
      <w:r>
        <w:rPr>
          <w:rFonts w:hint="eastAsia" w:ascii="宋体" w:hAnsi="宋体" w:eastAsia="宋体" w:cs="宋体"/>
          <w:color w:val="auto"/>
          <w:kern w:val="2"/>
          <w:sz w:val="21"/>
          <w:szCs w:val="21"/>
          <w:highlight w:val="none"/>
          <w:u w:val="single"/>
          <w:lang w:val="en-US" w:eastAsia="zh-CN" w:bidi="ar"/>
        </w:rPr>
        <w:t xml:space="preserve">        </w:t>
      </w:r>
    </w:p>
    <w:p w14:paraId="1ACE971B">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邮政编码：</w:t>
      </w:r>
      <w:r>
        <w:rPr>
          <w:rFonts w:hint="eastAsia" w:ascii="宋体" w:hAnsi="宋体" w:eastAsia="宋体" w:cs="宋体"/>
          <w:color w:val="auto"/>
          <w:kern w:val="2"/>
          <w:sz w:val="21"/>
          <w:szCs w:val="21"/>
          <w:highlight w:val="none"/>
          <w:u w:val="single"/>
          <w:lang w:val="en-US" w:eastAsia="zh-CN" w:bidi="ar"/>
        </w:rPr>
        <w:t xml:space="preserve">      </w:t>
      </w:r>
      <w:r>
        <w:rPr>
          <w:rFonts w:hint="eastAsia" w:ascii="宋体" w:hAnsi="宋体" w:eastAsia="宋体" w:cs="宋体"/>
          <w:color w:val="auto"/>
          <w:kern w:val="2"/>
          <w:sz w:val="21"/>
          <w:szCs w:val="21"/>
          <w:highlight w:val="none"/>
          <w:lang w:val="en-US" w:eastAsia="zh-CN" w:bidi="ar"/>
        </w:rPr>
        <w:t xml:space="preserve">         邮政编码：</w:t>
      </w:r>
      <w:r>
        <w:rPr>
          <w:rFonts w:hint="eastAsia" w:ascii="宋体" w:hAnsi="宋体" w:eastAsia="宋体" w:cs="宋体"/>
          <w:color w:val="auto"/>
          <w:kern w:val="2"/>
          <w:sz w:val="21"/>
          <w:szCs w:val="21"/>
          <w:highlight w:val="none"/>
          <w:u w:val="single"/>
          <w:lang w:val="en-US" w:eastAsia="zh-CN" w:bidi="ar"/>
        </w:rPr>
        <w:t xml:space="preserve">   </w:t>
      </w:r>
    </w:p>
    <w:p w14:paraId="19324D43">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法定代表人：</w:t>
      </w:r>
      <w:r>
        <w:rPr>
          <w:rFonts w:hint="eastAsia" w:ascii="宋体" w:hAnsi="宋体" w:eastAsia="宋体" w:cs="宋体"/>
          <w:color w:val="auto"/>
          <w:kern w:val="2"/>
          <w:sz w:val="21"/>
          <w:szCs w:val="21"/>
          <w:highlight w:val="none"/>
          <w:u w:val="single"/>
          <w:lang w:val="en-US" w:eastAsia="zh-CN" w:bidi="ar"/>
        </w:rPr>
        <w:t xml:space="preserve">             </w:t>
      </w:r>
    </w:p>
    <w:p w14:paraId="61121E6B">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委托代理人：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委托代理人：</w:t>
      </w:r>
      <w:r>
        <w:rPr>
          <w:rFonts w:hint="eastAsia" w:ascii="宋体" w:hAnsi="宋体" w:eastAsia="宋体" w:cs="宋体"/>
          <w:color w:val="auto"/>
          <w:kern w:val="2"/>
          <w:sz w:val="21"/>
          <w:szCs w:val="21"/>
          <w:highlight w:val="none"/>
          <w:u w:val="single"/>
          <w:lang w:val="en-US" w:eastAsia="zh-CN" w:bidi="ar"/>
        </w:rPr>
        <w:t xml:space="preserve">              </w:t>
      </w:r>
    </w:p>
    <w:p w14:paraId="54140225">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  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电  话：</w:t>
      </w:r>
      <w:r>
        <w:rPr>
          <w:rFonts w:hint="eastAsia" w:ascii="宋体" w:hAnsi="宋体" w:eastAsia="宋体" w:cs="宋体"/>
          <w:color w:val="auto"/>
          <w:kern w:val="2"/>
          <w:sz w:val="21"/>
          <w:szCs w:val="21"/>
          <w:highlight w:val="none"/>
          <w:u w:val="single"/>
          <w:lang w:val="en-US" w:eastAsia="zh-CN" w:bidi="ar"/>
        </w:rPr>
        <w:t xml:space="preserve">     </w:t>
      </w:r>
    </w:p>
    <w:p w14:paraId="4E7229BE">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传  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传  真：</w:t>
      </w:r>
      <w:r>
        <w:rPr>
          <w:rFonts w:hint="eastAsia" w:ascii="宋体" w:hAnsi="宋体" w:eastAsia="宋体" w:cs="宋体"/>
          <w:color w:val="auto"/>
          <w:kern w:val="2"/>
          <w:sz w:val="21"/>
          <w:szCs w:val="21"/>
          <w:highlight w:val="none"/>
          <w:u w:val="single"/>
          <w:lang w:val="en-US" w:eastAsia="zh-CN" w:bidi="ar"/>
        </w:rPr>
        <w:t xml:space="preserve">     </w:t>
      </w:r>
    </w:p>
    <w:p w14:paraId="1B748133">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电子信箱：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电子信箱：</w:t>
      </w:r>
      <w:r>
        <w:rPr>
          <w:rFonts w:hint="eastAsia" w:ascii="宋体" w:hAnsi="宋体" w:eastAsia="宋体" w:cs="宋体"/>
          <w:color w:val="auto"/>
          <w:kern w:val="2"/>
          <w:sz w:val="21"/>
          <w:szCs w:val="21"/>
          <w:highlight w:val="none"/>
          <w:u w:val="single"/>
          <w:lang w:val="en-US" w:eastAsia="zh-CN" w:bidi="ar"/>
        </w:rPr>
        <w:t xml:space="preserve">   </w:t>
      </w:r>
    </w:p>
    <w:p w14:paraId="6067981C">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开户银行：             开户银行：   </w:t>
      </w:r>
    </w:p>
    <w:p w14:paraId="739F31C3">
      <w:pPr>
        <w:keepNext w:val="0"/>
        <w:keepLines w:val="0"/>
        <w:widowControl w:val="0"/>
        <w:suppressLineNumbers w:val="0"/>
        <w:autoSpaceDE w:val="0"/>
        <w:autoSpaceDN/>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账  号：                 账  号：</w:t>
      </w:r>
    </w:p>
    <w:p w14:paraId="60F8243B">
      <w:pPr>
        <w:pageBreakBefore/>
        <w:tabs>
          <w:tab w:val="left" w:pos="7665"/>
        </w:tabs>
        <w:spacing w:line="360" w:lineRule="auto"/>
        <w:ind w:firstLine="301" w:firstLineChars="100"/>
        <w:jc w:val="center"/>
        <w:rPr>
          <w:rFonts w:ascii="宋体" w:hAnsi="宋体" w:cs="宋体"/>
          <w:color w:val="auto"/>
          <w:sz w:val="24"/>
          <w:highlight w:val="none"/>
        </w:rPr>
      </w:pPr>
      <w:r>
        <w:rPr>
          <w:rFonts w:hint="eastAsia" w:ascii="宋体" w:hAnsi="宋体" w:cs="宋体"/>
          <w:b/>
          <w:bCs/>
          <w:color w:val="auto"/>
          <w:sz w:val="30"/>
          <w:szCs w:val="30"/>
          <w:highlight w:val="none"/>
        </w:rPr>
        <w:t>第五章、</w:t>
      </w:r>
      <w:bookmarkEnd w:id="194"/>
      <w:r>
        <w:rPr>
          <w:rFonts w:hint="eastAsia" w:ascii="宋体" w:hAnsi="宋体" w:cs="宋体"/>
          <w:b/>
          <w:bCs/>
          <w:color w:val="auto"/>
          <w:sz w:val="30"/>
          <w:szCs w:val="30"/>
          <w:highlight w:val="none"/>
          <w:lang w:eastAsia="zh-CN"/>
        </w:rPr>
        <w:t>投标文件</w:t>
      </w:r>
      <w:r>
        <w:rPr>
          <w:rFonts w:hint="eastAsia" w:ascii="宋体" w:hAnsi="宋体" w:cs="宋体"/>
          <w:b/>
          <w:bCs/>
          <w:color w:val="auto"/>
          <w:sz w:val="30"/>
          <w:szCs w:val="30"/>
          <w:highlight w:val="none"/>
        </w:rPr>
        <w:t>格式</w:t>
      </w:r>
    </w:p>
    <w:p w14:paraId="3B21A125">
      <w:pPr>
        <w:pStyle w:val="12"/>
        <w:spacing w:line="360" w:lineRule="auto"/>
        <w:ind w:firstLine="480" w:firstLineChars="200"/>
        <w:rPr>
          <w:rFonts w:hAnsi="宋体" w:cs="宋体"/>
          <w:color w:val="auto"/>
          <w:sz w:val="24"/>
          <w:szCs w:val="24"/>
          <w:highlight w:val="none"/>
        </w:rPr>
      </w:pPr>
    </w:p>
    <w:p w14:paraId="5B219D29">
      <w:pPr>
        <w:pStyle w:val="20"/>
        <w:spacing w:line="312" w:lineRule="auto"/>
        <w:ind w:left="-85" w:firstLine="482" w:firstLineChars="200"/>
        <w:jc w:val="center"/>
        <w:rPr>
          <w:rFonts w:ascii="宋体" w:hAnsi="宋体" w:cs="宋体"/>
          <w:b/>
          <w:bCs/>
          <w:color w:val="auto"/>
          <w:sz w:val="24"/>
          <w:szCs w:val="24"/>
          <w:highlight w:val="none"/>
        </w:rPr>
      </w:pPr>
    </w:p>
    <w:p w14:paraId="604556BA">
      <w:pPr>
        <w:pStyle w:val="20"/>
        <w:spacing w:line="312" w:lineRule="auto"/>
        <w:ind w:left="-85" w:firstLine="562" w:firstLineChars="200"/>
        <w:jc w:val="center"/>
        <w:rPr>
          <w:rFonts w:ascii="宋体" w:hAnsi="宋体" w:cs="宋体"/>
          <w:b/>
          <w:bCs/>
          <w:color w:val="auto"/>
          <w:sz w:val="28"/>
          <w:szCs w:val="28"/>
          <w:highlight w:val="none"/>
        </w:rPr>
      </w:pPr>
    </w:p>
    <w:p w14:paraId="1B4A6BB6">
      <w:pPr>
        <w:pStyle w:val="20"/>
        <w:spacing w:line="312" w:lineRule="auto"/>
        <w:ind w:left="-85" w:firstLine="562" w:firstLineChars="200"/>
        <w:jc w:val="center"/>
        <w:rPr>
          <w:rFonts w:ascii="宋体" w:hAnsi="宋体" w:cs="宋体"/>
          <w:b/>
          <w:bCs/>
          <w:color w:val="auto"/>
          <w:sz w:val="28"/>
          <w:szCs w:val="28"/>
          <w:highlight w:val="none"/>
        </w:rPr>
      </w:pPr>
    </w:p>
    <w:p w14:paraId="33BA491D">
      <w:pPr>
        <w:pStyle w:val="20"/>
        <w:spacing w:line="312" w:lineRule="auto"/>
        <w:ind w:left="-85" w:firstLine="562" w:firstLineChars="200"/>
        <w:jc w:val="center"/>
        <w:rPr>
          <w:rFonts w:ascii="宋体" w:hAnsi="宋体" w:cs="宋体"/>
          <w:b/>
          <w:bCs/>
          <w:color w:val="auto"/>
          <w:sz w:val="28"/>
          <w:szCs w:val="28"/>
          <w:highlight w:val="none"/>
        </w:rPr>
      </w:pPr>
    </w:p>
    <w:p w14:paraId="3135DE70">
      <w:pPr>
        <w:spacing w:line="10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16AB5FB9">
      <w:pPr>
        <w:spacing w:line="1000" w:lineRule="exact"/>
        <w:jc w:val="left"/>
        <w:rPr>
          <w:rFonts w:hint="eastAsia" w:ascii="宋体" w:hAnsi="宋体" w:cs="宋体"/>
          <w:b/>
          <w:bCs/>
          <w:color w:val="auto"/>
          <w:sz w:val="44"/>
          <w:szCs w:val="44"/>
          <w:highlight w:val="none"/>
          <w:lang w:eastAsia="zh-CN"/>
        </w:rPr>
      </w:pPr>
      <w:bookmarkStart w:id="195" w:name="_Toc8140"/>
      <w:r>
        <w:rPr>
          <w:rFonts w:hint="eastAsia" w:ascii="宋体" w:hAnsi="宋体" w:cs="宋体"/>
          <w:b/>
          <w:bCs/>
          <w:color w:val="auto"/>
          <w:sz w:val="44"/>
          <w:szCs w:val="44"/>
          <w:highlight w:val="none"/>
          <w:lang w:val="en-US" w:eastAsia="zh-CN"/>
        </w:rPr>
        <w:t>封    面：</w:t>
      </w:r>
      <w:bookmarkEnd w:id="195"/>
    </w:p>
    <w:p w14:paraId="6EE43112">
      <w:pPr>
        <w:spacing w:line="1000" w:lineRule="exact"/>
        <w:jc w:val="center"/>
        <w:rPr>
          <w:rFonts w:hint="eastAsia" w:ascii="宋体" w:hAnsi="宋体" w:cs="宋体"/>
          <w:b/>
          <w:bCs/>
          <w:color w:val="auto"/>
          <w:sz w:val="44"/>
          <w:szCs w:val="44"/>
          <w:highlight w:val="none"/>
          <w:lang w:eastAsia="zh-CN"/>
        </w:rPr>
      </w:pPr>
    </w:p>
    <w:p w14:paraId="48AA68F0">
      <w:pPr>
        <w:spacing w:line="1000" w:lineRule="exact"/>
        <w:ind w:right="-319" w:rightChars="-152"/>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克拉玛依市乌尔禾区瑞翔幼儿园智慧幼儿园采购项目</w:t>
      </w:r>
    </w:p>
    <w:p w14:paraId="52BED968">
      <w:pPr>
        <w:spacing w:line="1000" w:lineRule="exact"/>
        <w:ind w:right="-319" w:rightChars="-152"/>
        <w:jc w:val="center"/>
        <w:rPr>
          <w:rFonts w:hint="eastAsia" w:ascii="宋体" w:hAnsi="宋体" w:cs="宋体"/>
          <w:b/>
          <w:bCs/>
          <w:color w:val="auto"/>
          <w:sz w:val="44"/>
          <w:szCs w:val="44"/>
          <w:highlight w:val="none"/>
          <w:lang w:eastAsia="zh-CN"/>
        </w:rPr>
      </w:pPr>
    </w:p>
    <w:p w14:paraId="4124EA2C">
      <w:pPr>
        <w:spacing w:line="1000" w:lineRule="exact"/>
        <w:ind w:right="-319" w:rightChars="-152"/>
        <w:jc w:val="center"/>
        <w:rPr>
          <w:rFonts w:hint="eastAsia" w:ascii="宋体" w:hAnsi="宋体" w:eastAsia="宋体" w:cs="宋体"/>
          <w:b/>
          <w:bCs/>
          <w:color w:val="auto"/>
          <w:sz w:val="44"/>
          <w:szCs w:val="44"/>
          <w:highlight w:val="none"/>
          <w:lang w:eastAsia="zh-CN"/>
        </w:rPr>
      </w:pPr>
      <w:r>
        <w:rPr>
          <w:rFonts w:hint="eastAsia" w:ascii="宋体" w:hAnsi="宋体" w:cs="宋体"/>
          <w:b/>
          <w:bCs/>
          <w:color w:val="auto"/>
          <w:sz w:val="44"/>
          <w:szCs w:val="44"/>
          <w:highlight w:val="none"/>
          <w:lang w:eastAsia="zh-CN"/>
        </w:rPr>
        <w:t>投标文件</w:t>
      </w:r>
    </w:p>
    <w:p w14:paraId="1BA36E00">
      <w:pPr>
        <w:pStyle w:val="9"/>
        <w:jc w:val="center"/>
        <w:rPr>
          <w:rFonts w:ascii="宋体" w:hAnsi="宋体" w:cs="宋体"/>
          <w:b/>
          <w:bCs/>
          <w:color w:val="auto"/>
          <w:sz w:val="36"/>
          <w:szCs w:val="36"/>
          <w:highlight w:val="none"/>
        </w:rPr>
      </w:pPr>
    </w:p>
    <w:p w14:paraId="16DD7ADD">
      <w:pPr>
        <w:snapToGrid w:val="0"/>
        <w:spacing w:line="480" w:lineRule="auto"/>
        <w:jc w:val="center"/>
        <w:rPr>
          <w:rFonts w:ascii="宋体" w:hAnsi="宋体" w:cs="宋体"/>
          <w:b/>
          <w:bCs/>
          <w:color w:val="auto"/>
          <w:sz w:val="32"/>
          <w:szCs w:val="32"/>
          <w:highlight w:val="none"/>
        </w:rPr>
      </w:pP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eastAsia="zh-CN"/>
        </w:rPr>
        <w:t>招标</w:t>
      </w:r>
      <w:r>
        <w:rPr>
          <w:rFonts w:hint="eastAsia" w:ascii="宋体" w:hAnsi="宋体" w:cs="宋体"/>
          <w:b/>
          <w:color w:val="auto"/>
          <w:sz w:val="30"/>
          <w:szCs w:val="30"/>
          <w:highlight w:val="none"/>
        </w:rPr>
        <w:t>文件编号：</w:t>
      </w:r>
      <w:r>
        <w:rPr>
          <w:rFonts w:hint="eastAsia" w:ascii="宋体" w:hAnsi="宋体" w:cs="宋体"/>
          <w:b/>
          <w:color w:val="auto"/>
          <w:sz w:val="30"/>
          <w:szCs w:val="30"/>
          <w:highlight w:val="none"/>
          <w:lang w:eastAsia="zh-CN"/>
        </w:rPr>
        <w:t>YXZB[ZC]2026-29</w:t>
      </w:r>
      <w:r>
        <w:rPr>
          <w:rFonts w:hint="eastAsia" w:ascii="宋体" w:hAnsi="宋体" w:cs="宋体"/>
          <w:b/>
          <w:color w:val="auto"/>
          <w:sz w:val="30"/>
          <w:szCs w:val="30"/>
          <w:highlight w:val="none"/>
        </w:rPr>
        <w:t>）</w:t>
      </w:r>
    </w:p>
    <w:p w14:paraId="76CAB494">
      <w:pPr>
        <w:snapToGrid w:val="0"/>
        <w:spacing w:line="374" w:lineRule="atLeast"/>
        <w:jc w:val="center"/>
        <w:rPr>
          <w:rFonts w:ascii="宋体" w:hAnsi="宋体" w:cs="宋体"/>
          <w:b/>
          <w:color w:val="auto"/>
          <w:sz w:val="30"/>
          <w:highlight w:val="none"/>
        </w:rPr>
      </w:pPr>
    </w:p>
    <w:p w14:paraId="1FAC13EE">
      <w:pPr>
        <w:spacing w:line="360" w:lineRule="auto"/>
        <w:rPr>
          <w:rFonts w:ascii="宋体" w:hAnsi="宋体" w:cs="宋体"/>
          <w:b/>
          <w:color w:val="auto"/>
          <w:highlight w:val="none"/>
        </w:rPr>
      </w:pPr>
    </w:p>
    <w:p w14:paraId="779A122A">
      <w:pPr>
        <w:spacing w:line="360" w:lineRule="auto"/>
        <w:ind w:firstLine="602"/>
        <w:rPr>
          <w:rFonts w:ascii="宋体" w:hAnsi="宋体" w:cs="宋体"/>
          <w:b/>
          <w:color w:val="auto"/>
          <w:sz w:val="30"/>
          <w:szCs w:val="30"/>
          <w:highlight w:val="none"/>
        </w:rPr>
      </w:pPr>
      <w:r>
        <w:rPr>
          <w:rFonts w:hint="eastAsia" w:ascii="宋体" w:hAnsi="宋体" w:cs="宋体"/>
          <w:b/>
          <w:color w:val="auto"/>
          <w:sz w:val="30"/>
          <w:szCs w:val="30"/>
          <w:highlight w:val="none"/>
          <w:lang w:eastAsia="zh-CN"/>
        </w:rPr>
        <w:t>供应商</w:t>
      </w:r>
      <w:r>
        <w:rPr>
          <w:rFonts w:hint="eastAsia" w:ascii="宋体" w:hAnsi="宋体" w:cs="宋体"/>
          <w:b/>
          <w:color w:val="auto"/>
          <w:sz w:val="30"/>
          <w:szCs w:val="30"/>
          <w:highlight w:val="none"/>
        </w:rPr>
        <w:t>： （单位名称）盖章</w:t>
      </w:r>
    </w:p>
    <w:p w14:paraId="6DAC735F">
      <w:pPr>
        <w:spacing w:line="360" w:lineRule="auto"/>
        <w:rPr>
          <w:rFonts w:ascii="宋体" w:hAnsi="宋体" w:cs="宋体"/>
          <w:b/>
          <w:color w:val="auto"/>
          <w:sz w:val="30"/>
          <w:szCs w:val="30"/>
          <w:highlight w:val="none"/>
        </w:rPr>
      </w:pPr>
    </w:p>
    <w:p w14:paraId="1949940E">
      <w:pPr>
        <w:spacing w:line="360" w:lineRule="auto"/>
        <w:ind w:firstLine="602"/>
        <w:rPr>
          <w:rFonts w:ascii="宋体" w:hAnsi="宋体" w:cs="宋体"/>
          <w:b/>
          <w:color w:val="auto"/>
          <w:sz w:val="30"/>
          <w:szCs w:val="30"/>
          <w:highlight w:val="none"/>
        </w:rPr>
      </w:pPr>
      <w:r>
        <w:rPr>
          <w:rFonts w:hint="eastAsia" w:ascii="宋体" w:hAnsi="宋体" w:cs="宋体"/>
          <w:b/>
          <w:color w:val="auto"/>
          <w:sz w:val="30"/>
          <w:szCs w:val="30"/>
          <w:highlight w:val="none"/>
        </w:rPr>
        <w:t>单位地址：</w:t>
      </w:r>
    </w:p>
    <w:p w14:paraId="65F56E97">
      <w:pPr>
        <w:spacing w:line="360" w:lineRule="auto"/>
        <w:ind w:firstLine="602"/>
        <w:rPr>
          <w:rFonts w:ascii="宋体" w:hAnsi="宋体" w:cs="宋体"/>
          <w:b/>
          <w:color w:val="auto"/>
          <w:sz w:val="30"/>
          <w:szCs w:val="30"/>
          <w:highlight w:val="none"/>
        </w:rPr>
      </w:pPr>
    </w:p>
    <w:p w14:paraId="48403362">
      <w:pPr>
        <w:pStyle w:val="12"/>
        <w:ind w:firstLine="596" w:firstLineChars="198"/>
        <w:outlineLvl w:val="0"/>
        <w:rPr>
          <w:rFonts w:hAnsi="宋体" w:cs="宋体"/>
          <w:color w:val="auto"/>
          <w:sz w:val="24"/>
          <w:highlight w:val="none"/>
        </w:rPr>
      </w:pPr>
      <w:r>
        <w:rPr>
          <w:rFonts w:hint="eastAsia" w:hAnsi="宋体" w:cs="宋体"/>
          <w:b/>
          <w:color w:val="auto"/>
          <w:sz w:val="30"/>
          <w:szCs w:val="30"/>
          <w:highlight w:val="none"/>
        </w:rPr>
        <w:t>联系人：                   联系电话：</w:t>
      </w:r>
    </w:p>
    <w:p w14:paraId="55086983">
      <w:pPr>
        <w:spacing w:line="360" w:lineRule="auto"/>
        <w:rPr>
          <w:rFonts w:ascii="宋体" w:hAnsi="宋体" w:cs="宋体"/>
          <w:b/>
          <w:color w:val="auto"/>
          <w:sz w:val="28"/>
          <w:szCs w:val="28"/>
          <w:highlight w:val="none"/>
        </w:rPr>
      </w:pPr>
    </w:p>
    <w:p w14:paraId="7EE548C6">
      <w:pPr>
        <w:rPr>
          <w:rFonts w:hint="eastAsia" w:ascii="宋体" w:hAnsi="宋体" w:eastAsia="宋体" w:cs="宋体"/>
          <w:b/>
          <w:bCs w:val="0"/>
          <w:color w:val="auto"/>
          <w:kern w:val="2"/>
          <w:sz w:val="32"/>
          <w:szCs w:val="32"/>
          <w:highlight w:val="none"/>
          <w:lang w:val="en-US" w:eastAsia="zh-CN" w:bidi="ar"/>
        </w:rPr>
      </w:pPr>
      <w:r>
        <w:rPr>
          <w:rFonts w:hint="eastAsia" w:ascii="宋体" w:hAnsi="宋体" w:eastAsia="宋体" w:cs="宋体"/>
          <w:b/>
          <w:bCs w:val="0"/>
          <w:color w:val="auto"/>
          <w:kern w:val="2"/>
          <w:sz w:val="32"/>
          <w:szCs w:val="32"/>
          <w:highlight w:val="none"/>
          <w:lang w:val="en-US" w:eastAsia="zh-CN" w:bidi="ar"/>
        </w:rPr>
        <w:br w:type="page"/>
      </w:r>
    </w:p>
    <w:p w14:paraId="412BEE8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目录</w:t>
      </w:r>
    </w:p>
    <w:p w14:paraId="7AC68BAA">
      <w:pPr>
        <w:keepNext w:val="0"/>
        <w:keepLines w:val="0"/>
        <w:widowControl w:val="0"/>
        <w:suppressLineNumbers w:val="0"/>
        <w:suppressAutoHyphens/>
        <w:autoSpaceDE w:val="0"/>
        <w:autoSpaceDN w:val="0"/>
        <w:adjustRightInd w:val="0"/>
        <w:spacing w:before="0" w:beforeAutospacing="0" w:after="0" w:afterAutospacing="0" w:line="44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一、资格证明文件</w:t>
      </w:r>
    </w:p>
    <w:p w14:paraId="10E60E02">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 符合《中华人民共和国政府采购法》第二十二条规定的证明文件</w:t>
      </w:r>
    </w:p>
    <w:p w14:paraId="3D7E46DE">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 法定代表人资格证明书</w:t>
      </w:r>
    </w:p>
    <w:p w14:paraId="5604EB75">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 法定代表人授权委托书</w:t>
      </w:r>
    </w:p>
    <w:p w14:paraId="1EED3479">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 不参与围标串标承诺书</w:t>
      </w:r>
    </w:p>
    <w:p w14:paraId="4C2D32CC">
      <w:pPr>
        <w:keepNext w:val="0"/>
        <w:keepLines w:val="0"/>
        <w:widowControl w:val="0"/>
        <w:suppressLineNumbers w:val="0"/>
        <w:suppressAutoHyphens/>
        <w:autoSpaceDE w:val="0"/>
        <w:autoSpaceDN w:val="0"/>
        <w:adjustRightInd w:val="0"/>
        <w:spacing w:before="0" w:beforeAutospacing="0" w:after="0" w:afterAutospacing="0" w:line="44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二、商务文件</w:t>
      </w:r>
    </w:p>
    <w:p w14:paraId="4DCD27D1">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default" w:ascii="宋体" w:hAnsi="宋体" w:eastAsia="宋体;SimSun"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宋体;SimSun" w:hAnsi="宋体;SimSun" w:eastAsia="宋体;SimSun" w:cs="宋体;SimSun"/>
          <w:color w:val="auto"/>
          <w:kern w:val="2"/>
          <w:sz w:val="24"/>
          <w:szCs w:val="24"/>
          <w:highlight w:val="none"/>
          <w:lang w:val="en-US" w:eastAsia="zh-CN" w:bidi="ar"/>
        </w:rPr>
        <w:t>一</w:t>
      </w:r>
      <w:r>
        <w:rPr>
          <w:rFonts w:hint="eastAsia" w:ascii="宋体" w:hAnsi="宋体" w:eastAsia="宋体" w:cs="宋体"/>
          <w:color w:val="auto"/>
          <w:kern w:val="2"/>
          <w:sz w:val="24"/>
          <w:szCs w:val="24"/>
          <w:highlight w:val="none"/>
          <w:lang w:val="en-US" w:eastAsia="zh-CN" w:bidi="ar"/>
        </w:rPr>
        <w:t>)</w:t>
      </w:r>
      <w:r>
        <w:rPr>
          <w:rFonts w:hint="default" w:ascii="宋体" w:hAnsi="宋体" w:eastAsia="宋体;SimSun" w:cs="宋体"/>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响应函</w:t>
      </w:r>
    </w:p>
    <w:p w14:paraId="5F87BEFB">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default" w:ascii="宋体" w:hAnsi="宋体" w:eastAsia="宋体;SimSun"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宋体;SimSun" w:hAnsi="宋体;SimSun" w:eastAsia="宋体;SimSun" w:cs="宋体;SimSun"/>
          <w:color w:val="auto"/>
          <w:kern w:val="2"/>
          <w:sz w:val="24"/>
          <w:szCs w:val="24"/>
          <w:highlight w:val="none"/>
          <w:lang w:val="en-US" w:eastAsia="zh-CN" w:bidi="ar"/>
        </w:rPr>
        <w:t>二</w:t>
      </w:r>
      <w:r>
        <w:rPr>
          <w:rFonts w:hint="eastAsia" w:ascii="宋体" w:hAnsi="宋体" w:eastAsia="宋体" w:cs="宋体"/>
          <w:color w:val="auto"/>
          <w:kern w:val="2"/>
          <w:sz w:val="24"/>
          <w:szCs w:val="24"/>
          <w:highlight w:val="none"/>
          <w:lang w:val="en-US" w:eastAsia="zh-CN" w:bidi="ar"/>
        </w:rPr>
        <w:t>)</w:t>
      </w:r>
      <w:r>
        <w:rPr>
          <w:rFonts w:hint="default" w:ascii="宋体" w:hAnsi="宋体" w:eastAsia="宋体;SimSun" w:cs="宋体"/>
          <w:color w:val="auto"/>
          <w:kern w:val="2"/>
          <w:sz w:val="24"/>
          <w:szCs w:val="24"/>
          <w:highlight w:val="none"/>
          <w:lang w:val="en-US" w:eastAsia="zh-CN" w:bidi="ar"/>
        </w:rPr>
        <w:t xml:space="preserve"> </w:t>
      </w:r>
      <w:r>
        <w:rPr>
          <w:rFonts w:hint="eastAsia" w:ascii="宋体;SimSun" w:hAnsi="宋体;SimSun" w:eastAsia="宋体;SimSun" w:cs="宋体;SimSun"/>
          <w:color w:val="auto"/>
          <w:kern w:val="2"/>
          <w:sz w:val="24"/>
          <w:szCs w:val="24"/>
          <w:highlight w:val="none"/>
          <w:lang w:val="en-US" w:eastAsia="zh-CN" w:bidi="ar"/>
        </w:rPr>
        <w:t>商务</w:t>
      </w:r>
      <w:r>
        <w:rPr>
          <w:rFonts w:hint="default" w:ascii="宋体;SimSun" w:hAnsi="宋体;SimSun" w:eastAsia="宋体;SimSun" w:cs="宋体;SimSun"/>
          <w:color w:val="auto"/>
          <w:kern w:val="2"/>
          <w:sz w:val="24"/>
          <w:szCs w:val="24"/>
          <w:highlight w:val="none"/>
          <w:lang w:val="en-US" w:eastAsia="zh-CN" w:bidi="ar"/>
        </w:rPr>
        <w:t>报价一览表</w:t>
      </w:r>
    </w:p>
    <w:p w14:paraId="6812362B">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default" w:ascii="宋体" w:hAnsi="宋体" w:eastAsia="宋体;SimSun"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宋体;SimSun" w:hAnsi="宋体;SimSun" w:eastAsia="宋体;SimSun" w:cs="宋体;SimSun"/>
          <w:color w:val="auto"/>
          <w:kern w:val="2"/>
          <w:sz w:val="24"/>
          <w:szCs w:val="24"/>
          <w:highlight w:val="none"/>
          <w:lang w:val="en-US" w:eastAsia="zh-CN" w:bidi="ar"/>
        </w:rPr>
        <w:t>三</w:t>
      </w:r>
      <w:r>
        <w:rPr>
          <w:rFonts w:hint="eastAsia" w:ascii="宋体" w:hAnsi="宋体" w:eastAsia="宋体" w:cs="宋体"/>
          <w:color w:val="auto"/>
          <w:kern w:val="2"/>
          <w:sz w:val="24"/>
          <w:szCs w:val="24"/>
          <w:highlight w:val="none"/>
          <w:lang w:val="en-US" w:eastAsia="zh-CN" w:bidi="ar"/>
        </w:rPr>
        <w:t>)</w:t>
      </w:r>
      <w:r>
        <w:rPr>
          <w:rFonts w:hint="default" w:ascii="宋体" w:hAnsi="宋体" w:eastAsia="宋体;SimSun" w:cs="宋体"/>
          <w:color w:val="auto"/>
          <w:kern w:val="2"/>
          <w:sz w:val="24"/>
          <w:szCs w:val="24"/>
          <w:highlight w:val="none"/>
          <w:lang w:val="en-US" w:eastAsia="zh-CN" w:bidi="ar"/>
        </w:rPr>
        <w:t xml:space="preserve"> </w:t>
      </w:r>
      <w:r>
        <w:rPr>
          <w:rFonts w:hint="eastAsia" w:ascii="宋体;SimSun" w:hAnsi="宋体;SimSun" w:eastAsia="宋体;SimSun" w:cs="宋体;SimSun"/>
          <w:color w:val="auto"/>
          <w:kern w:val="2"/>
          <w:sz w:val="24"/>
          <w:szCs w:val="24"/>
          <w:highlight w:val="none"/>
          <w:lang w:val="en-US" w:eastAsia="zh-CN" w:bidi="ar"/>
        </w:rPr>
        <w:t>商务</w:t>
      </w:r>
      <w:r>
        <w:rPr>
          <w:rFonts w:hint="default" w:ascii="宋体;SimSun" w:hAnsi="宋体;SimSun" w:eastAsia="宋体;SimSun" w:cs="宋体;SimSun"/>
          <w:color w:val="auto"/>
          <w:kern w:val="2"/>
          <w:sz w:val="24"/>
          <w:szCs w:val="24"/>
          <w:highlight w:val="none"/>
          <w:lang w:val="en-US" w:eastAsia="zh-CN" w:bidi="ar"/>
        </w:rPr>
        <w:t>报价明细表</w:t>
      </w:r>
    </w:p>
    <w:p w14:paraId="7575D224">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 商务条款偏离表</w:t>
      </w:r>
    </w:p>
    <w:p w14:paraId="3970315D">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default" w:ascii="宋体" w:hAnsi="宋体" w:eastAsia="宋体;SimSun"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宋体;SimSun" w:hAnsi="宋体;SimSun" w:eastAsia="宋体;SimSun" w:cs="宋体;SimSun"/>
          <w:color w:val="auto"/>
          <w:kern w:val="2"/>
          <w:sz w:val="24"/>
          <w:szCs w:val="24"/>
          <w:highlight w:val="none"/>
          <w:lang w:val="en-US" w:eastAsia="zh-CN" w:bidi="ar"/>
        </w:rPr>
        <w:t>五</w:t>
      </w:r>
      <w:r>
        <w:rPr>
          <w:rFonts w:hint="eastAsia" w:ascii="宋体" w:hAnsi="宋体" w:eastAsia="宋体" w:cs="宋体"/>
          <w:color w:val="auto"/>
          <w:kern w:val="2"/>
          <w:sz w:val="24"/>
          <w:szCs w:val="24"/>
          <w:highlight w:val="none"/>
          <w:lang w:val="en-US" w:eastAsia="zh-CN" w:bidi="ar"/>
        </w:rPr>
        <w:t>)</w:t>
      </w:r>
      <w:r>
        <w:rPr>
          <w:rFonts w:hint="default" w:ascii="宋体" w:hAnsi="宋体" w:eastAsia="宋体;SimSun" w:cs="宋体"/>
          <w:color w:val="auto"/>
          <w:kern w:val="2"/>
          <w:sz w:val="24"/>
          <w:szCs w:val="24"/>
          <w:highlight w:val="none"/>
          <w:lang w:val="en-US" w:eastAsia="zh-CN" w:bidi="ar"/>
        </w:rPr>
        <w:t xml:space="preserve"> </w:t>
      </w:r>
      <w:r>
        <w:rPr>
          <w:rFonts w:hint="eastAsia" w:ascii="宋体" w:hAnsi="宋体" w:eastAsia="宋体;SimSun" w:cs="宋体"/>
          <w:color w:val="auto"/>
          <w:kern w:val="2"/>
          <w:sz w:val="24"/>
          <w:szCs w:val="24"/>
          <w:highlight w:val="none"/>
          <w:lang w:val="en-US" w:eastAsia="zh-CN" w:bidi="ar"/>
        </w:rPr>
        <w:t>中小企业声明函（货物）</w:t>
      </w:r>
    </w:p>
    <w:p w14:paraId="7C612D35">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default" w:ascii="宋体" w:hAnsi="宋体" w:eastAsia="宋体;SimSun" w:cs="宋体"/>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(六)供应商资格声明</w:t>
      </w:r>
    </w:p>
    <w:p w14:paraId="7F165162">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eastAsia" w:ascii="宋体" w:hAnsi="宋体" w:eastAsia="宋体;SimSun"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宋体;SimSun" w:hAnsi="宋体;SimSun" w:eastAsia="宋体;SimSun" w:cs="宋体;SimSun"/>
          <w:color w:val="auto"/>
          <w:kern w:val="2"/>
          <w:sz w:val="24"/>
          <w:szCs w:val="24"/>
          <w:highlight w:val="none"/>
          <w:lang w:val="en-US" w:eastAsia="zh-CN" w:bidi="ar"/>
        </w:rPr>
        <w:t>七</w:t>
      </w:r>
      <w:r>
        <w:rPr>
          <w:rFonts w:hint="eastAsia" w:ascii="宋体" w:hAnsi="宋体" w:eastAsia="宋体" w:cs="宋体"/>
          <w:color w:val="auto"/>
          <w:kern w:val="2"/>
          <w:sz w:val="24"/>
          <w:szCs w:val="24"/>
          <w:highlight w:val="none"/>
          <w:lang w:val="en-US" w:eastAsia="zh-CN" w:bidi="ar"/>
        </w:rPr>
        <w:t>)</w:t>
      </w:r>
      <w:r>
        <w:rPr>
          <w:rFonts w:hint="default" w:ascii="宋体" w:hAnsi="宋体" w:eastAsia="宋体;SimSun" w:cs="宋体"/>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项目负责人简历表</w:t>
      </w:r>
    </w:p>
    <w:p w14:paraId="22945816">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default" w:ascii="宋体" w:hAnsi="宋体" w:eastAsia="宋体;SimSun"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宋体;SimSun" w:hAnsi="宋体;SimSun" w:eastAsia="宋体;SimSun" w:cs="宋体;SimSun"/>
          <w:color w:val="auto"/>
          <w:kern w:val="2"/>
          <w:sz w:val="24"/>
          <w:szCs w:val="24"/>
          <w:highlight w:val="none"/>
          <w:lang w:val="en-US" w:eastAsia="zh-CN" w:bidi="ar"/>
        </w:rPr>
        <w:t>八</w:t>
      </w:r>
      <w:r>
        <w:rPr>
          <w:rFonts w:hint="eastAsia" w:ascii="宋体" w:hAnsi="宋体" w:eastAsia="宋体" w:cs="宋体"/>
          <w:color w:val="auto"/>
          <w:kern w:val="2"/>
          <w:sz w:val="24"/>
          <w:szCs w:val="24"/>
          <w:highlight w:val="none"/>
          <w:lang w:val="en-US" w:eastAsia="zh-CN" w:bidi="ar"/>
        </w:rPr>
        <w:t>)</w:t>
      </w:r>
      <w:r>
        <w:rPr>
          <w:rFonts w:hint="default" w:ascii="宋体" w:hAnsi="宋体" w:eastAsia="宋体;SimSun" w:cs="宋体"/>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项目管理、服务及其它人员情况表</w:t>
      </w:r>
    </w:p>
    <w:p w14:paraId="356C2158">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default" w:ascii="宋体" w:hAnsi="宋体" w:eastAsia="宋体;SimSun"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宋体;SimSun" w:hAnsi="宋体;SimSun" w:eastAsia="宋体;SimSun" w:cs="宋体;SimSun"/>
          <w:color w:val="auto"/>
          <w:kern w:val="2"/>
          <w:sz w:val="24"/>
          <w:szCs w:val="24"/>
          <w:highlight w:val="none"/>
          <w:lang w:val="en-US" w:eastAsia="zh-CN" w:bidi="ar"/>
        </w:rPr>
        <w:t>九</w:t>
      </w:r>
      <w:r>
        <w:rPr>
          <w:rFonts w:hint="eastAsia" w:ascii="宋体" w:hAnsi="宋体" w:eastAsia="宋体" w:cs="宋体"/>
          <w:color w:val="auto"/>
          <w:kern w:val="2"/>
          <w:sz w:val="24"/>
          <w:szCs w:val="24"/>
          <w:highlight w:val="none"/>
          <w:lang w:val="en-US" w:eastAsia="zh-CN" w:bidi="ar"/>
        </w:rPr>
        <w:t>)</w:t>
      </w:r>
      <w:r>
        <w:rPr>
          <w:rFonts w:hint="default" w:ascii="宋体" w:hAnsi="宋体" w:eastAsia="宋体;SimSun" w:cs="宋体"/>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近三年（自</w:t>
      </w:r>
      <w:r>
        <w:rPr>
          <w:rFonts w:hint="eastAsia" w:ascii="宋体" w:hAnsi="宋体" w:eastAsia="宋体" w:cs="宋体"/>
          <w:color w:val="auto"/>
          <w:kern w:val="2"/>
          <w:sz w:val="24"/>
          <w:szCs w:val="24"/>
          <w:highlight w:val="none"/>
          <w:lang w:val="en-US" w:eastAsia="zh-CN" w:bidi="ar"/>
        </w:rPr>
        <w:t>2023</w:t>
      </w:r>
      <w:r>
        <w:rPr>
          <w:rFonts w:hint="default" w:ascii="宋体;SimSun" w:hAnsi="宋体;SimSun" w:eastAsia="宋体;SimSun" w:cs="宋体;SimSun"/>
          <w:color w:val="auto"/>
          <w:kern w:val="2"/>
          <w:sz w:val="24"/>
          <w:szCs w:val="24"/>
          <w:highlight w:val="none"/>
          <w:lang w:val="en-US" w:eastAsia="zh-CN" w:bidi="ar"/>
        </w:rPr>
        <w:t>年</w:t>
      </w:r>
      <w:r>
        <w:rPr>
          <w:rFonts w:hint="eastAsia" w:ascii="宋体" w:hAnsi="宋体" w:eastAsia="宋体" w:cs="宋体"/>
          <w:color w:val="auto"/>
          <w:kern w:val="2"/>
          <w:sz w:val="24"/>
          <w:szCs w:val="24"/>
          <w:highlight w:val="none"/>
          <w:lang w:val="en-US" w:eastAsia="zh-CN" w:bidi="ar"/>
        </w:rPr>
        <w:t>1</w:t>
      </w:r>
      <w:r>
        <w:rPr>
          <w:rFonts w:hint="default" w:ascii="宋体;SimSun" w:hAnsi="宋体;SimSun" w:eastAsia="宋体;SimSun" w:cs="宋体;SimSun"/>
          <w:color w:val="auto"/>
          <w:kern w:val="2"/>
          <w:sz w:val="24"/>
          <w:szCs w:val="24"/>
          <w:highlight w:val="none"/>
          <w:lang w:val="en-US" w:eastAsia="zh-CN" w:bidi="ar"/>
        </w:rPr>
        <w:t>月</w:t>
      </w:r>
      <w:r>
        <w:rPr>
          <w:rFonts w:hint="eastAsia" w:ascii="宋体" w:hAnsi="宋体" w:eastAsia="宋体" w:cs="宋体"/>
          <w:color w:val="auto"/>
          <w:kern w:val="2"/>
          <w:sz w:val="24"/>
          <w:szCs w:val="24"/>
          <w:highlight w:val="none"/>
          <w:lang w:val="en-US" w:eastAsia="zh-CN" w:bidi="ar"/>
        </w:rPr>
        <w:t>1</w:t>
      </w:r>
      <w:r>
        <w:rPr>
          <w:rFonts w:hint="default" w:ascii="宋体;SimSun" w:hAnsi="宋体;SimSun" w:eastAsia="宋体;SimSun" w:cs="宋体;SimSun"/>
          <w:color w:val="auto"/>
          <w:kern w:val="2"/>
          <w:sz w:val="24"/>
          <w:szCs w:val="24"/>
          <w:highlight w:val="none"/>
          <w:lang w:val="en-US" w:eastAsia="zh-CN" w:bidi="ar"/>
        </w:rPr>
        <w:t>日至今）</w:t>
      </w:r>
      <w:r>
        <w:rPr>
          <w:rFonts w:hint="eastAsia" w:ascii="宋体;SimSun" w:hAnsi="宋体;SimSun" w:eastAsia="宋体;SimSun" w:cs="宋体;SimSun"/>
          <w:color w:val="auto"/>
          <w:kern w:val="2"/>
          <w:sz w:val="24"/>
          <w:szCs w:val="24"/>
          <w:highlight w:val="none"/>
          <w:lang w:val="en-US" w:eastAsia="zh-CN" w:bidi="ar"/>
        </w:rPr>
        <w:t>类似项目业绩表</w:t>
      </w:r>
      <w:r>
        <w:rPr>
          <w:rFonts w:hint="default" w:ascii="宋体;SimSun" w:hAnsi="宋体;SimSun" w:eastAsia="宋体;SimSun" w:cs="宋体;SimSun"/>
          <w:color w:val="auto"/>
          <w:kern w:val="2"/>
          <w:sz w:val="24"/>
          <w:szCs w:val="24"/>
          <w:highlight w:val="none"/>
          <w:lang w:val="en-US" w:eastAsia="zh-CN" w:bidi="ar"/>
        </w:rPr>
        <w:t>（附发票、合同或者中标</w:t>
      </w:r>
      <w:r>
        <w:rPr>
          <w:rFonts w:hint="eastAsia" w:ascii="宋体" w:hAnsi="宋体" w:eastAsia="宋体" w:cs="宋体"/>
          <w:color w:val="auto"/>
          <w:kern w:val="2"/>
          <w:sz w:val="24"/>
          <w:szCs w:val="24"/>
          <w:highlight w:val="none"/>
          <w:lang w:val="en-US" w:eastAsia="zh-CN" w:bidi="ar"/>
        </w:rPr>
        <w:t>/</w:t>
      </w:r>
      <w:r>
        <w:rPr>
          <w:rFonts w:hint="default" w:ascii="宋体;SimSun" w:hAnsi="宋体;SimSun" w:eastAsia="宋体;SimSun" w:cs="宋体;SimSun"/>
          <w:color w:val="auto"/>
          <w:kern w:val="2"/>
          <w:sz w:val="24"/>
          <w:szCs w:val="24"/>
          <w:highlight w:val="none"/>
          <w:lang w:val="en-US" w:eastAsia="zh-CN" w:bidi="ar"/>
        </w:rPr>
        <w:t>成交通知书等复印件。如提供证明材料为合同，须提供业绩合同主要页（含：首页、采购内容信息页、合同金额页、签字盖章页），时间以合同签订日期为准）</w:t>
      </w:r>
    </w:p>
    <w:p w14:paraId="1559D3FD">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default" w:ascii="宋体" w:hAnsi="宋体" w:eastAsia="宋体;SimSun"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宋体;SimSun" w:hAnsi="宋体;SimSun" w:eastAsia="宋体;SimSun" w:cs="宋体;SimSun"/>
          <w:color w:val="auto"/>
          <w:kern w:val="2"/>
          <w:sz w:val="24"/>
          <w:szCs w:val="24"/>
          <w:highlight w:val="none"/>
          <w:lang w:val="en-US" w:eastAsia="zh-CN" w:bidi="ar"/>
        </w:rPr>
        <w:t>十</w:t>
      </w:r>
      <w:r>
        <w:rPr>
          <w:rFonts w:hint="eastAsia" w:ascii="宋体" w:hAnsi="宋体" w:eastAsia="宋体" w:cs="宋体"/>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售后服务承诺书</w:t>
      </w:r>
    </w:p>
    <w:p w14:paraId="1309C73E">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default" w:ascii="宋体" w:hAnsi="宋体" w:eastAsia="宋体;SimSun"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(十一) </w:t>
      </w:r>
      <w:r>
        <w:rPr>
          <w:rFonts w:hint="default" w:ascii="宋体;SimSun" w:hAnsi="宋体;SimSun" w:eastAsia="宋体;SimSun" w:cs="宋体;SimSun"/>
          <w:color w:val="auto"/>
          <w:kern w:val="2"/>
          <w:sz w:val="24"/>
          <w:szCs w:val="24"/>
          <w:highlight w:val="none"/>
          <w:lang w:val="en-US" w:eastAsia="zh-CN" w:bidi="ar"/>
        </w:rPr>
        <w:t>虚假应标承担责任声明</w:t>
      </w:r>
    </w:p>
    <w:p w14:paraId="0F5A7CFC">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default" w:ascii="宋体" w:hAnsi="宋体" w:eastAsia="宋体;SimSun"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宋体;SimSun" w:hAnsi="宋体;SimSun" w:eastAsia="宋体;SimSun" w:cs="宋体;SimSun"/>
          <w:color w:val="auto"/>
          <w:kern w:val="2"/>
          <w:sz w:val="24"/>
          <w:szCs w:val="24"/>
          <w:highlight w:val="none"/>
          <w:lang w:val="en-US" w:eastAsia="zh-CN" w:bidi="ar"/>
        </w:rPr>
        <w:t>十二</w:t>
      </w:r>
      <w:r>
        <w:rPr>
          <w:rFonts w:hint="eastAsia" w:ascii="宋体" w:hAnsi="宋体" w:eastAsia="宋体" w:cs="宋体"/>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反商业贿赂承诺书</w:t>
      </w:r>
    </w:p>
    <w:p w14:paraId="52384CE5">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 供应商认为有必要提供的其他商务资料</w:t>
      </w:r>
    </w:p>
    <w:p w14:paraId="4D8C5316">
      <w:pPr>
        <w:keepNext w:val="0"/>
        <w:keepLines w:val="0"/>
        <w:widowControl w:val="0"/>
        <w:suppressLineNumbers w:val="0"/>
        <w:suppressAutoHyphens/>
        <w:autoSpaceDE w:val="0"/>
        <w:autoSpaceDN w:val="0"/>
        <w:adjustRightInd w:val="0"/>
        <w:spacing w:before="0" w:beforeAutospacing="0" w:after="0" w:afterAutospacing="0" w:line="44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三、技术文件</w:t>
      </w:r>
    </w:p>
    <w:p w14:paraId="12FA11A3">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 技术条款偏离表</w:t>
      </w:r>
    </w:p>
    <w:p w14:paraId="6362B6F3">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eastAsia" w:ascii="宋体" w:hAnsi="宋体" w:eastAsia="宋体" w:cs="宋体"/>
          <w:b w:val="0"/>
          <w:bCs w:val="0"/>
          <w:color w:val="auto"/>
          <w:kern w:val="0"/>
          <w:sz w:val="24"/>
          <w:szCs w:val="24"/>
          <w:highlight w:val="none"/>
        </w:rPr>
      </w:pPr>
      <w:r>
        <w:rPr>
          <w:rFonts w:hint="eastAsia" w:ascii="宋体" w:hAnsi="宋体" w:eastAsia="宋体" w:cs="宋体"/>
          <w:color w:val="auto"/>
          <w:kern w:val="2"/>
          <w:sz w:val="24"/>
          <w:szCs w:val="24"/>
          <w:highlight w:val="none"/>
          <w:lang w:val="en-US" w:eastAsia="zh-CN" w:bidi="ar"/>
        </w:rPr>
        <w:t xml:space="preserve">(二) </w:t>
      </w:r>
      <w:r>
        <w:rPr>
          <w:rFonts w:hint="eastAsia" w:ascii="宋体" w:hAnsi="宋体" w:eastAsia="宋体" w:cs="宋体"/>
          <w:b w:val="0"/>
          <w:bCs w:val="0"/>
          <w:color w:val="auto"/>
          <w:kern w:val="0"/>
          <w:sz w:val="24"/>
          <w:szCs w:val="24"/>
          <w:highlight w:val="none"/>
          <w:lang w:val="en-US" w:eastAsia="zh-CN" w:bidi="ar"/>
        </w:rPr>
        <w:t>产品详细配置清单</w:t>
      </w:r>
    </w:p>
    <w:p w14:paraId="57ADDC41">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 技术支持资料</w:t>
      </w:r>
    </w:p>
    <w:p w14:paraId="1435F500">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 供货服务方案</w:t>
      </w:r>
    </w:p>
    <w:p w14:paraId="70C27812">
      <w:pPr>
        <w:keepNext w:val="0"/>
        <w:keepLines w:val="0"/>
        <w:widowControl w:val="0"/>
        <w:suppressLineNumbers w:val="0"/>
        <w:suppressAutoHyphens/>
        <w:autoSpaceDE w:val="0"/>
        <w:autoSpaceDN w:val="0"/>
        <w:adjustRightIn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 供应商认为有必要提供的其他技术文件资料</w:t>
      </w:r>
    </w:p>
    <w:p w14:paraId="168B83E6">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 xml:space="preserve"> </w:t>
      </w:r>
    </w:p>
    <w:p w14:paraId="35120747">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br w:type="page"/>
      </w:r>
    </w:p>
    <w:p w14:paraId="7FE74E4E">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一、资格证明文件</w:t>
      </w:r>
    </w:p>
    <w:p w14:paraId="6D385D5E">
      <w:pPr>
        <w:keepNext w:val="0"/>
        <w:keepLines w:val="0"/>
        <w:widowControl w:val="0"/>
        <w:suppressLineNumbers w:val="0"/>
        <w:tabs>
          <w:tab w:val="left" w:pos="8280"/>
        </w:tabs>
        <w:suppressAutoHyphens/>
        <w:spacing w:before="0" w:beforeAutospacing="0" w:after="0" w:afterAutospacing="0" w:line="480" w:lineRule="exact"/>
        <w:ind w:left="1" w:right="0"/>
        <w:jc w:val="both"/>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bidi="ar"/>
        </w:rPr>
        <w:t>（一）</w:t>
      </w:r>
      <w:r>
        <w:rPr>
          <w:rFonts w:hint="eastAsia" w:ascii="宋体" w:hAnsi="宋体" w:eastAsia="宋体" w:cs="宋体"/>
          <w:color w:val="auto"/>
          <w:spacing w:val="0"/>
          <w:kern w:val="2"/>
          <w:sz w:val="24"/>
          <w:szCs w:val="24"/>
          <w:highlight w:val="none"/>
          <w:lang w:val="en-US" w:eastAsia="zh-CN" w:bidi="ar"/>
        </w:rPr>
        <w:t>符合</w:t>
      </w:r>
      <w:r>
        <w:rPr>
          <w:rFonts w:hint="eastAsia" w:ascii="宋体" w:hAnsi="宋体" w:eastAsia="宋体" w:cs="宋体"/>
          <w:color w:val="auto"/>
          <w:spacing w:val="0"/>
          <w:kern w:val="0"/>
          <w:sz w:val="24"/>
          <w:szCs w:val="24"/>
          <w:highlight w:val="none"/>
          <w:lang w:val="en-US" w:eastAsia="zh-CN" w:bidi="ar"/>
        </w:rPr>
        <w:t>《中华人民共和国政府采购法》第二十二条规定的证明文件</w:t>
      </w:r>
    </w:p>
    <w:p w14:paraId="3051BCD9">
      <w:pPr>
        <w:keepNext w:val="0"/>
        <w:keepLines w:val="0"/>
        <w:widowControl w:val="0"/>
        <w:suppressLineNumbers w:val="0"/>
        <w:tabs>
          <w:tab w:val="left" w:pos="8280"/>
        </w:tabs>
        <w:suppressAutoHyphens/>
        <w:autoSpaceDE w:val="0"/>
        <w:autoSpaceDN/>
        <w:spacing w:before="0" w:beforeAutospacing="0" w:after="0" w:afterAutospacing="0" w:line="48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1、具有独立承担民事责任的能力（加盖电子公章）</w:t>
      </w:r>
    </w:p>
    <w:p w14:paraId="5A21F2EF">
      <w:pPr>
        <w:keepNext w:val="0"/>
        <w:keepLines w:val="0"/>
        <w:widowControl w:val="0"/>
        <w:suppressLineNumbers w:val="0"/>
        <w:tabs>
          <w:tab w:val="left" w:pos="8280"/>
        </w:tabs>
        <w:suppressAutoHyphens/>
        <w:autoSpaceDE w:val="0"/>
        <w:autoSpaceDN/>
        <w:spacing w:before="0" w:beforeAutospacing="0" w:after="0" w:afterAutospacing="0" w:line="480" w:lineRule="exact"/>
        <w:ind w:left="0" w:right="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提供法人或者其他组织的营业执照等证明文件；自然人需提供身份证明；</w:t>
      </w:r>
    </w:p>
    <w:p w14:paraId="4FE16306">
      <w:pPr>
        <w:keepNext w:val="0"/>
        <w:keepLines w:val="0"/>
        <w:widowControl w:val="0"/>
        <w:suppressLineNumbers w:val="0"/>
        <w:tabs>
          <w:tab w:val="left" w:pos="8280"/>
        </w:tabs>
        <w:suppressAutoHyphens/>
        <w:autoSpaceDE w:val="0"/>
        <w:autoSpaceDN/>
        <w:spacing w:before="0" w:beforeAutospacing="0" w:after="0" w:afterAutospacing="0" w:line="480" w:lineRule="exact"/>
        <w:ind w:left="0" w:right="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xml:space="preserve"> </w:t>
      </w:r>
    </w:p>
    <w:p w14:paraId="7A2AAD17">
      <w:pPr>
        <w:keepNext w:val="0"/>
        <w:keepLines w:val="0"/>
        <w:widowControl w:val="0"/>
        <w:suppressLineNumbers w:val="0"/>
        <w:tabs>
          <w:tab w:val="left" w:pos="8280"/>
        </w:tabs>
        <w:suppressAutoHyphens/>
        <w:autoSpaceDE w:val="0"/>
        <w:autoSpaceDN/>
        <w:spacing w:before="0" w:beforeAutospacing="0" w:after="0" w:afterAutospacing="0" w:line="480" w:lineRule="exact"/>
        <w:ind w:left="0" w:right="0" w:firstLine="482" w:firstLineChars="200"/>
        <w:jc w:val="both"/>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说明：</w:t>
      </w:r>
    </w:p>
    <w:p w14:paraId="18018A05">
      <w:pPr>
        <w:keepNext w:val="0"/>
        <w:keepLines w:val="0"/>
        <w:widowControl w:val="0"/>
        <w:suppressLineNumbers w:val="0"/>
        <w:tabs>
          <w:tab w:val="left" w:pos="8280"/>
        </w:tabs>
        <w:suppressAutoHyphens/>
        <w:autoSpaceDE w:val="0"/>
        <w:autoSpaceDN/>
        <w:spacing w:before="0" w:beforeAutospacing="0" w:after="0" w:afterAutospacing="0" w:line="480" w:lineRule="exact"/>
        <w:ind w:left="0" w:right="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供应商是企业（包括合伙企业）的，应提供其在工商部门注册的有效“企业法人营业执照”或“营业执照”的复印件；</w:t>
      </w:r>
    </w:p>
    <w:p w14:paraId="38D5C583">
      <w:pPr>
        <w:keepNext w:val="0"/>
        <w:keepLines w:val="0"/>
        <w:widowControl w:val="0"/>
        <w:suppressLineNumbers w:val="0"/>
        <w:tabs>
          <w:tab w:val="left" w:pos="8280"/>
        </w:tabs>
        <w:suppressAutoHyphens/>
        <w:autoSpaceDE w:val="0"/>
        <w:autoSpaceDN/>
        <w:spacing w:before="0" w:beforeAutospacing="0" w:after="0" w:afterAutospacing="0" w:line="480" w:lineRule="exact"/>
        <w:ind w:left="0" w:right="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供应商是事业单位的，应提供其有效的“事业单位法人证书”复印件；</w:t>
      </w:r>
    </w:p>
    <w:p w14:paraId="4FF769D5">
      <w:pPr>
        <w:keepNext w:val="0"/>
        <w:keepLines w:val="0"/>
        <w:widowControl w:val="0"/>
        <w:suppressLineNumbers w:val="0"/>
        <w:tabs>
          <w:tab w:val="left" w:pos="8280"/>
        </w:tabs>
        <w:suppressAutoHyphens/>
        <w:autoSpaceDE w:val="0"/>
        <w:autoSpaceDN/>
        <w:spacing w:before="0" w:beforeAutospacing="0" w:after="0" w:afterAutospacing="0" w:line="480" w:lineRule="exact"/>
        <w:ind w:left="0" w:right="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供应商是非企业专业服务机构的，应提供其有效的“执业许可证”复印件；</w:t>
      </w:r>
    </w:p>
    <w:p w14:paraId="493EB548">
      <w:pPr>
        <w:keepNext w:val="0"/>
        <w:keepLines w:val="0"/>
        <w:widowControl w:val="0"/>
        <w:suppressLineNumbers w:val="0"/>
        <w:tabs>
          <w:tab w:val="left" w:pos="8280"/>
        </w:tabs>
        <w:suppressAutoHyphens/>
        <w:autoSpaceDE w:val="0"/>
        <w:autoSpaceDN/>
        <w:spacing w:before="0" w:beforeAutospacing="0" w:after="0" w:afterAutospacing="0" w:line="480" w:lineRule="exact"/>
        <w:ind w:left="0" w:right="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供应商是个体工商户的，应提供其有效的“个体工商户营业执照”复印件；</w:t>
      </w:r>
    </w:p>
    <w:p w14:paraId="0AB7644C">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color w:val="auto"/>
          <w:kern w:val="0"/>
          <w:sz w:val="24"/>
          <w:szCs w:val="24"/>
          <w:highlight w:val="none"/>
          <w:lang w:val="en-US" w:eastAsia="zh-CN" w:bidi="ar"/>
        </w:rPr>
        <w:t>供应商是自然人的，应提供其有效的自然人身份证明复印件。</w:t>
      </w:r>
    </w:p>
    <w:p w14:paraId="7B35BD9D">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br w:type="page"/>
      </w:r>
    </w:p>
    <w:p w14:paraId="5484A5F5">
      <w:pPr>
        <w:keepNext w:val="0"/>
        <w:keepLines w:val="0"/>
        <w:widowControl w:val="0"/>
        <w:suppressLineNumbers w:val="0"/>
        <w:tabs>
          <w:tab w:val="left" w:pos="8280"/>
        </w:tabs>
        <w:suppressAutoHyphens/>
        <w:spacing w:before="0" w:beforeAutospacing="0" w:after="0" w:afterAutospacing="0" w:line="480" w:lineRule="exact"/>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2、具有良好的商业信誉和健全的财务会计制度（加盖电子公章）</w:t>
      </w:r>
    </w:p>
    <w:p w14:paraId="53089E4F">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color w:val="auto"/>
          <w:kern w:val="0"/>
          <w:sz w:val="24"/>
          <w:szCs w:val="24"/>
          <w:highlight w:val="none"/>
          <w:lang w:val="en-US" w:eastAsia="zh-CN" w:bidi="ar"/>
        </w:rPr>
        <w:t>提供（2024年至今任意一年）的财务审计报告（包括资产负债表、利润表、现金流量表及财务报表附注，成立不满一年企业提供情况说明或银行提供的资信证明）。</w:t>
      </w:r>
    </w:p>
    <w:p w14:paraId="39D00403">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br w:type="page"/>
      </w:r>
    </w:p>
    <w:p w14:paraId="15C2C4DA">
      <w:pPr>
        <w:keepNext w:val="0"/>
        <w:keepLines w:val="0"/>
        <w:widowControl w:val="0"/>
        <w:suppressLineNumbers w:val="0"/>
        <w:suppressAutoHyphens/>
        <w:spacing w:before="0" w:beforeAutospacing="0" w:after="0" w:afterAutospacing="0"/>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3、具备履行合同所必需的设备和专业技术能力</w:t>
      </w:r>
    </w:p>
    <w:p w14:paraId="2A4338C7">
      <w:pPr>
        <w:keepNext w:val="0"/>
        <w:keepLines w:val="0"/>
        <w:widowControl w:val="0"/>
        <w:suppressLineNumbers w:val="0"/>
        <w:tabs>
          <w:tab w:val="left" w:pos="8280"/>
        </w:tabs>
        <w:suppressAutoHyphens/>
        <w:spacing w:before="0" w:beforeAutospacing="0" w:after="0" w:afterAutospacing="0" w:line="480" w:lineRule="exact"/>
        <w:ind w:left="0" w:leftChars="0" w:right="0"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 xml:space="preserve"> </w:t>
      </w:r>
    </w:p>
    <w:p w14:paraId="593ACA38">
      <w:pPr>
        <w:keepNext w:val="0"/>
        <w:keepLines w:val="0"/>
        <w:widowControl w:val="0"/>
        <w:suppressLineNumbers w:val="0"/>
        <w:tabs>
          <w:tab w:val="left" w:pos="8280"/>
        </w:tabs>
        <w:suppressAutoHyphens/>
        <w:spacing w:before="0" w:beforeAutospacing="0" w:after="0" w:afterAutospacing="0" w:line="480" w:lineRule="exact"/>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具备履行合同所必需的设备和专业技术能力声明函</w:t>
      </w:r>
    </w:p>
    <w:p w14:paraId="58C2714A">
      <w:pPr>
        <w:keepNext w:val="0"/>
        <w:keepLines w:val="0"/>
        <w:widowControl w:val="0"/>
        <w:suppressLineNumbers w:val="0"/>
        <w:suppressAutoHyphens/>
        <w:spacing w:before="0" w:beforeAutospacing="0" w:after="0" w:afterAutospacing="0"/>
        <w:ind w:left="0" w:right="0" w:firstLine="480"/>
        <w:jc w:val="both"/>
        <w:rPr>
          <w:rFonts w:hint="eastAsia" w:ascii="宋体" w:hAnsi="宋体" w:eastAsia="宋体;SimSun" w:cs="宋体"/>
          <w:color w:val="auto"/>
          <w:kern w:val="0"/>
          <w:sz w:val="24"/>
          <w:szCs w:val="24"/>
          <w:highlight w:val="none"/>
        </w:rPr>
      </w:pPr>
      <w:r>
        <w:rPr>
          <w:rFonts w:hint="eastAsia" w:ascii="宋体" w:hAnsi="宋体" w:eastAsia="宋体;SimSun" w:cs="宋体"/>
          <w:color w:val="auto"/>
          <w:kern w:val="0"/>
          <w:sz w:val="24"/>
          <w:szCs w:val="24"/>
          <w:highlight w:val="none"/>
          <w:lang w:val="en-US" w:eastAsia="zh-CN" w:bidi="ar"/>
        </w:rPr>
        <w:t xml:space="preserve"> </w:t>
      </w:r>
    </w:p>
    <w:p w14:paraId="7BC77487">
      <w:pPr>
        <w:keepNext w:val="0"/>
        <w:keepLines w:val="0"/>
        <w:widowControl w:val="0"/>
        <w:suppressLineNumbers w:val="0"/>
        <w:suppressAutoHyphens/>
        <w:autoSpaceDE w:val="0"/>
        <w:autoSpaceDN/>
        <w:spacing w:before="0" w:beforeAutospacing="0" w:after="0" w:afterAutospacing="0" w:line="480" w:lineRule="exact"/>
        <w:ind w:left="0" w:right="0"/>
        <w:jc w:val="both"/>
        <w:rPr>
          <w:rFonts w:hint="eastAsia" w:ascii="宋体" w:hAnsi="宋体" w:eastAsia="宋体;SimSun"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bidi="ar"/>
        </w:rPr>
        <w:t>(</w:t>
      </w:r>
      <w:r>
        <w:rPr>
          <w:rFonts w:hint="default" w:ascii="宋体;SimSun" w:hAnsi="宋体;SimSun" w:eastAsia="宋体;SimSun" w:cs="宋体;SimSun"/>
          <w:color w:val="auto"/>
          <w:kern w:val="0"/>
          <w:sz w:val="24"/>
          <w:szCs w:val="24"/>
          <w:highlight w:val="none"/>
          <w:u w:val="single"/>
          <w:lang w:val="en-US" w:eastAsia="zh-CN" w:bidi="ar"/>
        </w:rPr>
        <w:t>采购人名称</w:t>
      </w:r>
      <w:r>
        <w:rPr>
          <w:rFonts w:hint="eastAsia" w:ascii="宋体" w:hAnsi="宋体" w:eastAsia="宋体" w:cs="宋体"/>
          <w:color w:val="auto"/>
          <w:kern w:val="0"/>
          <w:sz w:val="24"/>
          <w:szCs w:val="24"/>
          <w:highlight w:val="none"/>
          <w:u w:val="single"/>
          <w:lang w:val="en-US" w:eastAsia="zh-CN" w:bidi="ar"/>
        </w:rPr>
        <w:t xml:space="preserve">)      </w:t>
      </w:r>
      <w:r>
        <w:rPr>
          <w:rFonts w:hint="default" w:ascii="宋体;SimSun" w:hAnsi="宋体;SimSun" w:eastAsia="宋体;SimSun" w:cs="宋体;SimSun"/>
          <w:color w:val="auto"/>
          <w:kern w:val="0"/>
          <w:sz w:val="24"/>
          <w:szCs w:val="24"/>
          <w:highlight w:val="none"/>
          <w:lang w:val="en-US" w:eastAsia="zh-CN" w:bidi="ar"/>
        </w:rPr>
        <w:t>：</w:t>
      </w:r>
    </w:p>
    <w:p w14:paraId="3E4F0722">
      <w:pPr>
        <w:keepNext w:val="0"/>
        <w:keepLines w:val="0"/>
        <w:widowControl w:val="0"/>
        <w:suppressLineNumbers w:val="0"/>
        <w:suppressAutoHyphens/>
        <w:autoSpaceDE w:val="0"/>
        <w:autoSpaceDN/>
        <w:spacing w:before="0" w:beforeAutospacing="0" w:after="0" w:afterAutospacing="0" w:line="480" w:lineRule="exact"/>
        <w:ind w:left="0" w:right="0" w:firstLine="480"/>
        <w:jc w:val="both"/>
        <w:rPr>
          <w:rFonts w:hint="eastAsia" w:ascii="宋体" w:hAnsi="宋体" w:eastAsia="宋体;SimSun" w:cs="宋体"/>
          <w:color w:val="auto"/>
          <w:kern w:val="0"/>
          <w:sz w:val="24"/>
          <w:szCs w:val="24"/>
          <w:highlight w:val="none"/>
        </w:rPr>
      </w:pPr>
      <w:r>
        <w:rPr>
          <w:rFonts w:hint="eastAsia" w:ascii="宋体" w:hAnsi="宋体" w:eastAsia="宋体;SimSun" w:cs="宋体"/>
          <w:color w:val="auto"/>
          <w:kern w:val="0"/>
          <w:sz w:val="24"/>
          <w:szCs w:val="24"/>
          <w:highlight w:val="none"/>
          <w:lang w:val="en-US" w:eastAsia="zh-CN" w:bidi="ar"/>
        </w:rPr>
        <w:t xml:space="preserve"> </w:t>
      </w:r>
    </w:p>
    <w:p w14:paraId="2F22917D">
      <w:pPr>
        <w:keepNext w:val="0"/>
        <w:keepLines w:val="0"/>
        <w:widowControl w:val="0"/>
        <w:suppressLineNumbers w:val="0"/>
        <w:tabs>
          <w:tab w:val="left" w:pos="5580"/>
        </w:tabs>
        <w:suppressAutoHyphens/>
        <w:autoSpaceDE w:val="0"/>
        <w:autoSpaceDN/>
        <w:spacing w:before="120" w:beforeAutospacing="0" w:after="0" w:afterAutospacing="0" w:line="480" w:lineRule="exact"/>
        <w:ind w:left="0" w:right="0" w:firstLine="480" w:firstLineChars="200"/>
        <w:jc w:val="both"/>
        <w:rPr>
          <w:rFonts w:hint="eastAsia"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0"/>
          <w:sz w:val="24"/>
          <w:szCs w:val="24"/>
          <w:highlight w:val="none"/>
          <w:lang w:val="en-US" w:eastAsia="zh-CN" w:bidi="ar"/>
        </w:rPr>
        <w:t>对于贵单位的</w:t>
      </w:r>
      <w:r>
        <w:rPr>
          <w:rFonts w:hint="default" w:ascii="宋体" w:hAnsi="宋体" w:eastAsia="宋体;SimSun" w:cs="宋体"/>
          <w:color w:val="auto"/>
          <w:kern w:val="0"/>
          <w:sz w:val="24"/>
          <w:szCs w:val="24"/>
          <w:highlight w:val="none"/>
          <w:u w:val="single"/>
          <w:lang w:val="en-US" w:eastAsia="zh-CN" w:bidi="ar"/>
        </w:rPr>
        <w:t xml:space="preserve">      </w:t>
      </w:r>
      <w:r>
        <w:rPr>
          <w:rFonts w:hint="default" w:ascii="宋体;SimSun" w:hAnsi="宋体;SimSun" w:eastAsia="宋体;SimSun" w:cs="宋体;SimSun"/>
          <w:color w:val="auto"/>
          <w:kern w:val="0"/>
          <w:sz w:val="24"/>
          <w:szCs w:val="24"/>
          <w:highlight w:val="none"/>
          <w:u w:val="single"/>
          <w:lang w:val="en-US" w:eastAsia="zh-CN" w:bidi="ar"/>
        </w:rPr>
        <w:t>（项目名称）</w:t>
      </w:r>
      <w:r>
        <w:rPr>
          <w:rFonts w:hint="default" w:ascii="宋体" w:hAnsi="宋体" w:eastAsia="宋体;SimSun" w:cs="宋体"/>
          <w:color w:val="auto"/>
          <w:kern w:val="0"/>
          <w:sz w:val="24"/>
          <w:szCs w:val="24"/>
          <w:highlight w:val="none"/>
          <w:u w:val="single"/>
          <w:lang w:val="en-US" w:eastAsia="zh-CN" w:bidi="ar"/>
        </w:rPr>
        <w:t xml:space="preserve">      </w:t>
      </w:r>
      <w:r>
        <w:rPr>
          <w:rFonts w:hint="default" w:ascii="宋体;SimSun" w:hAnsi="宋体;SimSun" w:eastAsia="宋体;SimSun" w:cs="宋体;SimSun"/>
          <w:color w:val="auto"/>
          <w:kern w:val="0"/>
          <w:sz w:val="24"/>
          <w:szCs w:val="24"/>
          <w:highlight w:val="none"/>
          <w:lang w:val="en-US" w:eastAsia="zh-CN" w:bidi="ar"/>
        </w:rPr>
        <w:t>采购项目，我公司承诺</w:t>
      </w:r>
      <w:r>
        <w:rPr>
          <w:rFonts w:hint="default" w:ascii="宋体;SimSun" w:hAnsi="宋体;SimSun" w:eastAsia="宋体;SimSun" w:cs="宋体;SimSun"/>
          <w:color w:val="auto"/>
          <w:kern w:val="2"/>
          <w:sz w:val="24"/>
          <w:szCs w:val="24"/>
          <w:highlight w:val="none"/>
          <w:lang w:val="en-US" w:eastAsia="zh-CN" w:bidi="ar"/>
        </w:rPr>
        <w:t>具备履行合同所必需的</w:t>
      </w:r>
      <w:r>
        <w:rPr>
          <w:rFonts w:hint="eastAsia" w:ascii="宋体" w:hAnsi="宋体" w:eastAsia="宋体" w:cs="宋体"/>
          <w:color w:val="auto"/>
          <w:kern w:val="2"/>
          <w:sz w:val="24"/>
          <w:szCs w:val="24"/>
          <w:highlight w:val="none"/>
          <w:lang w:val="en-US" w:eastAsia="zh-CN" w:bidi="ar"/>
        </w:rPr>
        <w:t>设备</w:t>
      </w:r>
      <w:r>
        <w:rPr>
          <w:rFonts w:hint="default" w:ascii="宋体;SimSun" w:hAnsi="宋体;SimSun" w:eastAsia="宋体;SimSun" w:cs="宋体;SimSun"/>
          <w:color w:val="auto"/>
          <w:kern w:val="2"/>
          <w:sz w:val="24"/>
          <w:szCs w:val="24"/>
          <w:highlight w:val="none"/>
          <w:lang w:val="en-US" w:eastAsia="zh-CN" w:bidi="ar"/>
        </w:rPr>
        <w:t>和专业技术能力</w:t>
      </w:r>
      <w:r>
        <w:rPr>
          <w:rFonts w:hint="default" w:ascii="宋体;SimSun" w:hAnsi="宋体;SimSun" w:eastAsia="宋体;SimSun" w:cs="宋体;SimSun"/>
          <w:color w:val="auto"/>
          <w:kern w:val="0"/>
          <w:sz w:val="24"/>
          <w:szCs w:val="24"/>
          <w:highlight w:val="none"/>
          <w:lang w:val="en-US" w:eastAsia="zh-CN" w:bidi="ar"/>
        </w:rPr>
        <w:t>。如我单位成交，在项目实施过程中发现声明不实，我单位愿意放弃本次项目的成交资格，</w:t>
      </w:r>
      <w:r>
        <w:rPr>
          <w:rFonts w:hint="default" w:ascii="宋体;SimSun" w:hAnsi="宋体;SimSun" w:eastAsia="宋体;SimSun" w:cs="宋体;SimSun"/>
          <w:color w:val="auto"/>
          <w:kern w:val="2"/>
          <w:sz w:val="24"/>
          <w:szCs w:val="24"/>
          <w:highlight w:val="none"/>
          <w:lang w:val="en-US" w:eastAsia="zh-CN" w:bidi="ar"/>
        </w:rPr>
        <w:t>并按照《</w:t>
      </w:r>
      <w:r>
        <w:rPr>
          <w:rFonts w:hint="eastAsia" w:ascii="宋体" w:hAnsi="宋体" w:eastAsia="宋体" w:cs="宋体"/>
          <w:color w:val="auto"/>
          <w:kern w:val="2"/>
          <w:sz w:val="24"/>
          <w:szCs w:val="24"/>
          <w:highlight w:val="none"/>
          <w:lang w:val="en-US" w:eastAsia="zh-CN" w:bidi="ar"/>
        </w:rPr>
        <w:t>中华人民共和国政府采购法</w:t>
      </w:r>
      <w:r>
        <w:rPr>
          <w:rFonts w:hint="default" w:ascii="宋体;SimSun" w:hAnsi="宋体;SimSun" w:eastAsia="宋体;SimSun" w:cs="宋体;SimSun"/>
          <w:color w:val="auto"/>
          <w:kern w:val="2"/>
          <w:sz w:val="24"/>
          <w:szCs w:val="24"/>
          <w:highlight w:val="none"/>
          <w:lang w:val="en-US" w:eastAsia="zh-CN" w:bidi="ar"/>
        </w:rPr>
        <w:t>》有关提供虚假材料的规定，接受处罚。</w:t>
      </w:r>
    </w:p>
    <w:p w14:paraId="276FA03C">
      <w:pPr>
        <w:keepNext w:val="0"/>
        <w:keepLines w:val="0"/>
        <w:widowControl w:val="0"/>
        <w:suppressLineNumbers w:val="0"/>
        <w:tabs>
          <w:tab w:val="left" w:pos="5580"/>
        </w:tabs>
        <w:suppressAutoHyphens/>
        <w:autoSpaceDE w:val="0"/>
        <w:autoSpaceDN/>
        <w:spacing w:before="120" w:beforeAutospacing="0" w:after="0" w:afterAutospacing="0" w:line="480" w:lineRule="exact"/>
        <w:ind w:left="0" w:right="0" w:firstLine="480" w:firstLineChars="200"/>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特此声明！</w:t>
      </w:r>
    </w:p>
    <w:p w14:paraId="056FF5C5">
      <w:pPr>
        <w:keepNext w:val="0"/>
        <w:keepLines w:val="0"/>
        <w:widowControl w:val="0"/>
        <w:suppressLineNumbers w:val="0"/>
        <w:suppressAutoHyphens/>
        <w:spacing w:before="0" w:beforeAutospacing="0" w:after="0" w:afterAutospacing="0"/>
        <w:ind w:left="0" w:right="0" w:firstLine="480"/>
        <w:jc w:val="both"/>
        <w:rPr>
          <w:rFonts w:hint="eastAsia" w:ascii="宋体" w:hAnsi="宋体" w:eastAsia="宋体;SimSun" w:cs="Times New Roman"/>
          <w:b/>
          <w:bCs w:val="0"/>
          <w:color w:val="auto"/>
          <w:kern w:val="2"/>
          <w:sz w:val="24"/>
          <w:szCs w:val="24"/>
          <w:highlight w:val="none"/>
        </w:rPr>
      </w:pPr>
      <w:r>
        <w:rPr>
          <w:rFonts w:hint="eastAsia" w:ascii="宋体" w:hAnsi="宋体" w:eastAsia="宋体;SimSun" w:cs="Times New Roman"/>
          <w:b/>
          <w:bCs w:val="0"/>
          <w:color w:val="auto"/>
          <w:kern w:val="2"/>
          <w:sz w:val="24"/>
          <w:szCs w:val="24"/>
          <w:highlight w:val="none"/>
          <w:lang w:val="en-US" w:eastAsia="zh-CN" w:bidi="ar"/>
        </w:rPr>
        <w:t xml:space="preserve"> </w:t>
      </w:r>
    </w:p>
    <w:p w14:paraId="17421DEC">
      <w:pPr>
        <w:keepNext w:val="0"/>
        <w:keepLines w:val="0"/>
        <w:widowControl w:val="0"/>
        <w:suppressLineNumbers w:val="0"/>
        <w:suppressAutoHyphens/>
        <w:spacing w:before="0" w:beforeAutospacing="0" w:after="0" w:afterAutospacing="0"/>
        <w:ind w:left="0" w:right="0" w:firstLine="480"/>
        <w:jc w:val="both"/>
        <w:rPr>
          <w:rFonts w:hint="eastAsia" w:ascii="宋体" w:hAnsi="宋体" w:eastAsia="宋体;SimSun" w:cs="Times New Roman"/>
          <w:b/>
          <w:bCs w:val="0"/>
          <w:color w:val="auto"/>
          <w:kern w:val="2"/>
          <w:sz w:val="24"/>
          <w:szCs w:val="24"/>
          <w:highlight w:val="none"/>
        </w:rPr>
      </w:pPr>
      <w:r>
        <w:rPr>
          <w:rFonts w:hint="eastAsia" w:ascii="宋体" w:hAnsi="宋体" w:eastAsia="宋体;SimSun" w:cs="Times New Roman"/>
          <w:b/>
          <w:bCs w:val="0"/>
          <w:color w:val="auto"/>
          <w:kern w:val="2"/>
          <w:sz w:val="24"/>
          <w:szCs w:val="24"/>
          <w:highlight w:val="none"/>
          <w:lang w:val="en-US" w:eastAsia="zh-CN" w:bidi="ar"/>
        </w:rPr>
        <w:t xml:space="preserve"> </w:t>
      </w:r>
    </w:p>
    <w:p w14:paraId="59F99182">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供应商（盖章）：</w:t>
      </w:r>
    </w:p>
    <w:p w14:paraId="74F42480">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法定代表人或授权代理人：（签字或盖章）</w:t>
      </w:r>
    </w:p>
    <w:p w14:paraId="36F41B5A">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日</w:t>
      </w:r>
      <w:r>
        <w:rPr>
          <w:rFonts w:hint="default" w:ascii="宋体" w:hAnsi="宋体" w:eastAsia="宋体;SimSun" w:cs="Times New Roman"/>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期：</w:t>
      </w:r>
    </w:p>
    <w:p w14:paraId="7CAC25DE">
      <w:pPr>
        <w:keepNext w:val="0"/>
        <w:keepLines w:val="0"/>
        <w:widowControl w:val="0"/>
        <w:suppressLineNumbers w:val="0"/>
        <w:spacing w:before="0" w:beforeAutospacing="0" w:after="0" w:afterAutospacing="0"/>
        <w:ind w:left="0" w:right="0" w:firstLine="5461" w:firstLineChars="170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 xml:space="preserve"> </w:t>
      </w:r>
    </w:p>
    <w:p w14:paraId="4419699E">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br w:type="page"/>
      </w:r>
    </w:p>
    <w:p w14:paraId="1E3B3B2E">
      <w:pPr>
        <w:keepNext w:val="0"/>
        <w:keepLines w:val="0"/>
        <w:widowControl w:val="0"/>
        <w:suppressLineNumbers w:val="0"/>
        <w:suppressAutoHyphens/>
        <w:spacing w:before="120" w:beforeLines="50" w:beforeAutospacing="0" w:after="0" w:afterAutospacing="0" w:line="440" w:lineRule="exact"/>
        <w:ind w:left="0" w:right="0"/>
        <w:jc w:val="both"/>
        <w:rPr>
          <w:rFonts w:hint="eastAsia" w:ascii="宋体" w:hAnsi="宋体" w:eastAsia="宋体;SimSun"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r>
        <w:rPr>
          <w:rFonts w:hint="default" w:ascii="宋体;SimSun" w:hAnsi="宋体;SimSun" w:eastAsia="宋体;SimSun" w:cs="宋体;SimSun"/>
          <w:color w:val="auto"/>
          <w:kern w:val="2"/>
          <w:sz w:val="24"/>
          <w:szCs w:val="24"/>
          <w:highlight w:val="none"/>
          <w:lang w:val="en-US" w:eastAsia="zh-CN" w:bidi="ar"/>
        </w:rPr>
        <w:t>、具有依法缴纳税收和社会保障资金的良好记录</w:t>
      </w:r>
      <w:r>
        <w:rPr>
          <w:rFonts w:hint="eastAsia" w:ascii="宋体" w:hAnsi="宋体" w:eastAsia="宋体" w:cs="宋体"/>
          <w:color w:val="auto"/>
          <w:kern w:val="0"/>
          <w:sz w:val="24"/>
          <w:szCs w:val="24"/>
          <w:highlight w:val="none"/>
          <w:lang w:val="en-US" w:eastAsia="zh-CN" w:bidi="ar"/>
        </w:rPr>
        <w:t>（加盖电子公章）</w:t>
      </w:r>
    </w:p>
    <w:p w14:paraId="029A88FF">
      <w:pPr>
        <w:keepNext w:val="0"/>
        <w:keepLines w:val="0"/>
        <w:widowControl w:val="0"/>
        <w:suppressLineNumbers w:val="0"/>
        <w:suppressAutoHyphens/>
        <w:spacing w:before="120" w:beforeLines="50" w:beforeAutospacing="0" w:after="0" w:afterAutospacing="0" w:line="440" w:lineRule="exact"/>
        <w:ind w:left="-103" w:leftChars="-49" w:right="0" w:firstLine="520" w:firstLineChars="217"/>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1</w:t>
      </w:r>
      <w:r>
        <w:rPr>
          <w:rFonts w:hint="default" w:ascii="宋体;SimSun" w:hAnsi="宋体;SimSun" w:eastAsia="宋体;SimSun" w:cs="宋体;SimSun"/>
          <w:color w:val="auto"/>
          <w:kern w:val="2"/>
          <w:sz w:val="24"/>
          <w:szCs w:val="24"/>
          <w:highlight w:val="none"/>
          <w:lang w:val="en-US" w:eastAsia="zh-CN" w:bidi="ar"/>
        </w:rPr>
        <w:t>）依法缴纳税收：投标人提供自投标截止之日前半年内任意一个月依法缴纳税收的凭据，依法免税的投标人，应提供充足的证明材料；</w:t>
      </w:r>
    </w:p>
    <w:p w14:paraId="15770A0D">
      <w:pPr>
        <w:keepNext w:val="0"/>
        <w:keepLines w:val="0"/>
        <w:widowControl w:val="0"/>
        <w:suppressLineNumbers w:val="0"/>
        <w:spacing w:before="0" w:beforeAutospacing="0" w:after="0" w:afterAutospacing="0"/>
        <w:ind w:left="0" w:right="0" w:firstLine="480" w:firstLineChars="200"/>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2</w:t>
      </w:r>
      <w:r>
        <w:rPr>
          <w:rFonts w:hint="default" w:ascii="宋体;SimSun" w:hAnsi="宋体;SimSun" w:eastAsia="宋体;SimSun" w:cs="宋体;SimSun"/>
          <w:color w:val="auto"/>
          <w:kern w:val="2"/>
          <w:sz w:val="24"/>
          <w:szCs w:val="24"/>
          <w:highlight w:val="none"/>
          <w:lang w:val="en-US" w:eastAsia="zh-CN" w:bidi="ar"/>
        </w:rPr>
        <w:t>）依法缴纳社保：投标人提供自投标截止之日前半年内任意一个月依法缴纳社会保障资金的凭据；</w:t>
      </w:r>
    </w:p>
    <w:p w14:paraId="2B58A810">
      <w:pPr>
        <w:keepNext w:val="0"/>
        <w:keepLines w:val="0"/>
        <w:widowControl w:val="0"/>
        <w:suppressLineNumbers w:val="0"/>
        <w:spacing w:before="0" w:beforeAutospacing="0" w:after="0" w:afterAutospacing="0"/>
        <w:ind w:left="0" w:right="0" w:firstLine="480" w:firstLineChars="200"/>
        <w:jc w:val="both"/>
        <w:rPr>
          <w:rFonts w:hint="default" w:ascii="宋体" w:hAnsi="宋体" w:eastAsia="宋体;SimSun" w:cs="Times New Roman"/>
          <w:color w:val="auto"/>
          <w:kern w:val="2"/>
          <w:sz w:val="24"/>
          <w:szCs w:val="24"/>
          <w:highlight w:val="none"/>
        </w:rPr>
      </w:pPr>
      <w:r>
        <w:rPr>
          <w:rFonts w:hint="default" w:ascii="宋体" w:hAnsi="宋体" w:eastAsia="宋体;SimSun" w:cs="Times New Roman"/>
          <w:color w:val="auto"/>
          <w:kern w:val="2"/>
          <w:sz w:val="24"/>
          <w:szCs w:val="24"/>
          <w:highlight w:val="none"/>
          <w:lang w:val="en-US" w:eastAsia="zh-CN" w:bidi="ar"/>
        </w:rPr>
        <w:t xml:space="preserve"> </w:t>
      </w:r>
    </w:p>
    <w:p w14:paraId="0DFCB5C3">
      <w:pPr>
        <w:keepNext w:val="0"/>
        <w:keepLines w:val="0"/>
        <w:widowControl w:val="0"/>
        <w:suppressLineNumbers w:val="0"/>
        <w:spacing w:before="0" w:beforeAutospacing="0" w:after="0" w:afterAutospacing="0"/>
        <w:ind w:left="0" w:right="0" w:firstLine="480" w:firstLineChars="200"/>
        <w:jc w:val="both"/>
        <w:rPr>
          <w:rFonts w:hint="default" w:ascii="宋体" w:hAnsi="宋体" w:eastAsia="宋体;SimSun" w:cs="Times New Roman"/>
          <w:color w:val="auto"/>
          <w:kern w:val="2"/>
          <w:sz w:val="24"/>
          <w:szCs w:val="24"/>
          <w:highlight w:val="none"/>
        </w:rPr>
      </w:pPr>
      <w:r>
        <w:rPr>
          <w:rFonts w:hint="default" w:ascii="宋体" w:hAnsi="宋体" w:eastAsia="宋体;SimSun" w:cs="Times New Roman"/>
          <w:color w:val="auto"/>
          <w:kern w:val="2"/>
          <w:sz w:val="24"/>
          <w:szCs w:val="24"/>
          <w:highlight w:val="none"/>
          <w:lang w:val="en-US" w:eastAsia="zh-CN" w:bidi="ar"/>
        </w:rPr>
        <w:t xml:space="preserve"> </w:t>
      </w:r>
    </w:p>
    <w:p w14:paraId="62511605">
      <w:pPr>
        <w:keepNext w:val="0"/>
        <w:keepLines w:val="0"/>
        <w:widowControl w:val="0"/>
        <w:suppressLineNumbers w:val="0"/>
        <w:spacing w:before="0" w:beforeAutospacing="0" w:after="0" w:afterAutospacing="0"/>
        <w:ind w:left="0" w:right="0" w:firstLine="480" w:firstLineChars="200"/>
        <w:jc w:val="both"/>
        <w:rPr>
          <w:rFonts w:hint="default" w:ascii="宋体" w:hAnsi="宋体" w:eastAsia="宋体;SimSun" w:cs="Times New Roman"/>
          <w:color w:val="auto"/>
          <w:kern w:val="2"/>
          <w:sz w:val="24"/>
          <w:szCs w:val="24"/>
          <w:highlight w:val="none"/>
        </w:rPr>
      </w:pPr>
      <w:r>
        <w:rPr>
          <w:rFonts w:hint="default" w:ascii="宋体" w:hAnsi="宋体" w:eastAsia="宋体;SimSun" w:cs="Times New Roman"/>
          <w:color w:val="auto"/>
          <w:kern w:val="2"/>
          <w:sz w:val="24"/>
          <w:szCs w:val="24"/>
          <w:highlight w:val="none"/>
          <w:lang w:val="en-US" w:eastAsia="zh-CN" w:bidi="ar"/>
        </w:rPr>
        <w:t xml:space="preserve"> </w:t>
      </w:r>
    </w:p>
    <w:p w14:paraId="6F568F91">
      <w:pPr>
        <w:keepNext w:val="0"/>
        <w:keepLines w:val="0"/>
        <w:widowControl w:val="0"/>
        <w:suppressLineNumbers w:val="0"/>
        <w:spacing w:before="0" w:beforeAutospacing="0" w:after="0" w:afterAutospacing="0"/>
        <w:ind w:left="0" w:right="0" w:firstLine="480" w:firstLineChars="200"/>
        <w:jc w:val="both"/>
        <w:rPr>
          <w:rFonts w:hint="default" w:ascii="宋体" w:hAnsi="宋体" w:eastAsia="宋体;SimSun" w:cs="Times New Roman"/>
          <w:color w:val="auto"/>
          <w:kern w:val="2"/>
          <w:sz w:val="24"/>
          <w:szCs w:val="24"/>
          <w:highlight w:val="none"/>
        </w:rPr>
      </w:pPr>
      <w:r>
        <w:rPr>
          <w:rFonts w:hint="default" w:ascii="宋体" w:hAnsi="宋体" w:eastAsia="宋体;SimSun" w:cs="Times New Roman"/>
          <w:color w:val="auto"/>
          <w:kern w:val="2"/>
          <w:sz w:val="24"/>
          <w:szCs w:val="24"/>
          <w:highlight w:val="none"/>
          <w:lang w:val="en-US" w:eastAsia="zh-CN" w:bidi="ar"/>
        </w:rPr>
        <w:t xml:space="preserve"> </w:t>
      </w:r>
    </w:p>
    <w:p w14:paraId="565B25AE">
      <w:pPr>
        <w:keepNext w:val="0"/>
        <w:keepLines w:val="0"/>
        <w:widowControl w:val="0"/>
        <w:suppressLineNumbers w:val="0"/>
        <w:spacing w:before="0" w:beforeAutospacing="0" w:after="0" w:afterAutospacing="0"/>
        <w:ind w:left="0" w:right="0" w:firstLine="480" w:firstLineChars="200"/>
        <w:jc w:val="both"/>
        <w:rPr>
          <w:rFonts w:hint="default" w:ascii="宋体" w:hAnsi="宋体" w:eastAsia="宋体;SimSun" w:cs="Times New Roman"/>
          <w:color w:val="auto"/>
          <w:kern w:val="2"/>
          <w:sz w:val="24"/>
          <w:szCs w:val="24"/>
          <w:highlight w:val="none"/>
        </w:rPr>
      </w:pPr>
      <w:r>
        <w:rPr>
          <w:rFonts w:hint="default" w:ascii="宋体" w:hAnsi="宋体" w:eastAsia="宋体;SimSun" w:cs="Times New Roman"/>
          <w:color w:val="auto"/>
          <w:kern w:val="2"/>
          <w:sz w:val="24"/>
          <w:szCs w:val="24"/>
          <w:highlight w:val="none"/>
          <w:lang w:val="en-US" w:eastAsia="zh-CN" w:bidi="ar"/>
        </w:rPr>
        <w:t xml:space="preserve"> </w:t>
      </w:r>
    </w:p>
    <w:p w14:paraId="3532E173">
      <w:pPr>
        <w:keepNext w:val="0"/>
        <w:keepLines w:val="0"/>
        <w:widowControl w:val="0"/>
        <w:suppressLineNumbers w:val="0"/>
        <w:spacing w:before="0" w:beforeAutospacing="0" w:after="0" w:afterAutospacing="0"/>
        <w:ind w:left="0" w:right="0" w:firstLine="480" w:firstLineChars="200"/>
        <w:jc w:val="both"/>
        <w:rPr>
          <w:rFonts w:hint="default" w:ascii="宋体" w:hAnsi="宋体" w:eastAsia="宋体;SimSun" w:cs="Times New Roman"/>
          <w:color w:val="auto"/>
          <w:kern w:val="2"/>
          <w:sz w:val="24"/>
          <w:szCs w:val="24"/>
          <w:highlight w:val="none"/>
        </w:rPr>
      </w:pPr>
      <w:r>
        <w:rPr>
          <w:rFonts w:hint="default" w:ascii="宋体" w:hAnsi="宋体" w:eastAsia="宋体;SimSun" w:cs="Times New Roman"/>
          <w:color w:val="auto"/>
          <w:kern w:val="2"/>
          <w:sz w:val="24"/>
          <w:szCs w:val="24"/>
          <w:highlight w:val="none"/>
          <w:lang w:val="en-US" w:eastAsia="zh-CN" w:bidi="ar"/>
        </w:rPr>
        <w:t xml:space="preserve"> </w:t>
      </w:r>
    </w:p>
    <w:p w14:paraId="74DBE60B">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供应商（盖章）：</w:t>
      </w:r>
    </w:p>
    <w:p w14:paraId="51F986B0">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法定代表人或授权代理人：（签字或盖章）</w:t>
      </w:r>
    </w:p>
    <w:p w14:paraId="4E5AE83A">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日</w:t>
      </w:r>
      <w:r>
        <w:rPr>
          <w:rFonts w:hint="default" w:ascii="宋体" w:hAnsi="宋体" w:eastAsia="宋体;SimSun" w:cs="Times New Roman"/>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期：</w:t>
      </w:r>
    </w:p>
    <w:p w14:paraId="6DEA5504">
      <w:pPr>
        <w:keepNext w:val="0"/>
        <w:keepLines w:val="0"/>
        <w:widowControl w:val="0"/>
        <w:suppressLineNumbers w:val="0"/>
        <w:spacing w:before="0" w:beforeAutospacing="0" w:after="0" w:afterAutospacing="0"/>
        <w:ind w:left="0" w:right="0" w:firstLine="480" w:firstLineChars="200"/>
        <w:jc w:val="both"/>
        <w:rPr>
          <w:rFonts w:hint="default" w:ascii="宋体" w:hAnsi="宋体" w:eastAsia="宋体;SimSun" w:cs="Times New Roman"/>
          <w:color w:val="auto"/>
          <w:kern w:val="2"/>
          <w:sz w:val="24"/>
          <w:szCs w:val="24"/>
          <w:highlight w:val="none"/>
        </w:rPr>
      </w:pPr>
      <w:r>
        <w:rPr>
          <w:rFonts w:hint="default" w:ascii="宋体" w:hAnsi="宋体" w:eastAsia="宋体;SimSun" w:cs="Times New Roman"/>
          <w:color w:val="auto"/>
          <w:kern w:val="2"/>
          <w:sz w:val="24"/>
          <w:szCs w:val="24"/>
          <w:highlight w:val="none"/>
          <w:lang w:val="en-US" w:eastAsia="zh-CN" w:bidi="ar"/>
        </w:rPr>
        <w:t xml:space="preserve"> </w:t>
      </w:r>
    </w:p>
    <w:p w14:paraId="5DE61B5E">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br w:type="page"/>
      </w:r>
    </w:p>
    <w:p w14:paraId="571A1969">
      <w:pPr>
        <w:keepNext w:val="0"/>
        <w:keepLines w:val="0"/>
        <w:widowControl w:val="0"/>
        <w:suppressLineNumbers w:val="0"/>
        <w:suppressAutoHyphens/>
        <w:spacing w:before="0" w:beforeAutospacing="0" w:after="0" w:afterAutospacing="0"/>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2"/>
          <w:sz w:val="24"/>
          <w:szCs w:val="24"/>
          <w:highlight w:val="none"/>
          <w:lang w:val="en-US" w:eastAsia="zh-CN" w:bidi="ar"/>
        </w:rPr>
        <w:t>参加政府采购活动近三年内在经营活动中没有重大违法记录</w:t>
      </w:r>
    </w:p>
    <w:p w14:paraId="0D81B523">
      <w:pPr>
        <w:keepNext w:val="0"/>
        <w:keepLines w:val="0"/>
        <w:widowControl w:val="0"/>
        <w:suppressLineNumbers w:val="0"/>
        <w:suppressAutoHyphens/>
        <w:spacing w:before="0" w:beforeAutospacing="0" w:after="0" w:afterAutospacing="0" w:line="48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497F278">
      <w:pPr>
        <w:keepNext w:val="0"/>
        <w:keepLines w:val="0"/>
        <w:widowControl w:val="0"/>
        <w:suppressLineNumbers w:val="0"/>
        <w:suppressAutoHyphens/>
        <w:spacing w:before="0" w:beforeAutospacing="0" w:after="0" w:afterAutospacing="0"/>
        <w:ind w:left="0" w:right="0"/>
        <w:jc w:val="cente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en-US" w:eastAsia="zh-CN" w:bidi="ar"/>
        </w:rPr>
        <w:t>近三年内在经营活动中没有重大违法记录的书面声明</w:t>
      </w:r>
    </w:p>
    <w:p w14:paraId="7DADA686">
      <w:pPr>
        <w:keepNext w:val="0"/>
        <w:keepLines w:val="0"/>
        <w:widowControl w:val="0"/>
        <w:suppressLineNumbers w:val="0"/>
        <w:spacing w:before="0" w:beforeAutospacing="0" w:after="0" w:afterAutospacing="0" w:line="48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BDE2BCC">
      <w:pPr>
        <w:keepNext w:val="0"/>
        <w:keepLines w:val="0"/>
        <w:widowControl w:val="0"/>
        <w:suppressLineNumbers w:val="0"/>
        <w:tabs>
          <w:tab w:val="left" w:pos="5580"/>
        </w:tabs>
        <w:suppressAutoHyphens/>
        <w:autoSpaceDE w:val="0"/>
        <w:autoSpaceDN/>
        <w:spacing w:before="120" w:beforeAutospacing="0" w:after="0" w:afterAutospacing="0" w:line="480" w:lineRule="exact"/>
        <w:ind w:left="0" w:right="0"/>
        <w:jc w:val="both"/>
        <w:rPr>
          <w:rFonts w:hint="default" w:ascii="宋体" w:hAnsi="宋体" w:eastAsia="宋体;SimSun" w:cs="Times New Roman"/>
          <w:color w:val="auto"/>
          <w:kern w:val="2"/>
          <w:sz w:val="24"/>
          <w:szCs w:val="24"/>
          <w:highlight w:val="none"/>
        </w:rPr>
      </w:pPr>
      <w:r>
        <w:rPr>
          <w:rFonts w:hint="default" w:ascii="宋体" w:hAnsi="宋体" w:eastAsia="宋体;SimSun" w:cs="Times New Roman"/>
          <w:color w:val="auto"/>
          <w:kern w:val="2"/>
          <w:sz w:val="24"/>
          <w:szCs w:val="24"/>
          <w:highlight w:val="none"/>
          <w:u w:val="single"/>
          <w:lang w:val="en-US" w:eastAsia="zh-CN" w:bidi="ar"/>
        </w:rPr>
        <w:t xml:space="preserve">   </w:t>
      </w:r>
      <w:r>
        <w:rPr>
          <w:rFonts w:hint="default" w:ascii="宋体;SimSun" w:hAnsi="宋体;SimSun" w:eastAsia="宋体;SimSun" w:cs="宋体;SimSun"/>
          <w:color w:val="auto"/>
          <w:kern w:val="2"/>
          <w:sz w:val="24"/>
          <w:szCs w:val="24"/>
          <w:highlight w:val="none"/>
          <w:u w:val="single"/>
          <w:lang w:val="en-US" w:eastAsia="zh-CN" w:bidi="ar"/>
        </w:rPr>
        <w:t>（采购人）</w:t>
      </w:r>
      <w:r>
        <w:rPr>
          <w:rFonts w:hint="default" w:ascii="宋体" w:hAnsi="宋体" w:eastAsia="宋体;SimSun" w:cs="Times New Roman"/>
          <w:color w:val="auto"/>
          <w:kern w:val="2"/>
          <w:sz w:val="24"/>
          <w:szCs w:val="24"/>
          <w:highlight w:val="none"/>
          <w:u w:val="singl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w:t>
      </w:r>
    </w:p>
    <w:p w14:paraId="09A3919A">
      <w:pPr>
        <w:keepNext w:val="0"/>
        <w:keepLines w:val="0"/>
        <w:widowControl w:val="0"/>
        <w:suppressLineNumbers w:val="0"/>
        <w:tabs>
          <w:tab w:val="left" w:pos="5580"/>
        </w:tabs>
        <w:suppressAutoHyphens/>
        <w:autoSpaceDE w:val="0"/>
        <w:autoSpaceDN/>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本项目响应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未被“信用中国”（www.creditchina.gov.cn）列入失信被执行人、税收违法黑名单，未被中国政府采购网（www.ccgp.gov.cn）列入政府采购严重违法失信行为记录名单。</w:t>
      </w:r>
    </w:p>
    <w:p w14:paraId="27A7B2BF">
      <w:pPr>
        <w:keepNext w:val="0"/>
        <w:keepLines w:val="0"/>
        <w:widowControl w:val="0"/>
        <w:suppressLineNumbers w:val="0"/>
        <w:tabs>
          <w:tab w:val="left" w:pos="5580"/>
        </w:tabs>
        <w:suppressAutoHyphens/>
        <w:autoSpaceDE w:val="0"/>
        <w:autoSpaceDN/>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如发现我单位提供的声明函不实时，</w:t>
      </w:r>
      <w:r>
        <w:rPr>
          <w:rFonts w:hint="eastAsia" w:ascii="宋体" w:hAnsi="宋体" w:eastAsia="宋体" w:cs="宋体"/>
          <w:color w:val="auto"/>
          <w:kern w:val="2"/>
          <w:sz w:val="24"/>
          <w:szCs w:val="24"/>
          <w:highlight w:val="none"/>
          <w:lang w:val="en-US" w:eastAsia="zh-CN" w:bidi="ar"/>
        </w:rPr>
        <w:t>我公司愿意承担一切法律责任并认可采购人或采购代理机构作出的取消</w:t>
      </w:r>
      <w:r>
        <w:rPr>
          <w:rFonts w:hint="default" w:ascii="宋体;SimSun" w:hAnsi="宋体;SimSun" w:eastAsia="宋体;SimSun" w:cs="宋体;SimSun"/>
          <w:color w:val="auto"/>
          <w:kern w:val="0"/>
          <w:sz w:val="24"/>
          <w:szCs w:val="24"/>
          <w:highlight w:val="none"/>
          <w:lang w:val="en-US" w:eastAsia="zh-CN" w:bidi="ar"/>
        </w:rPr>
        <w:t>成交</w:t>
      </w:r>
      <w:r>
        <w:rPr>
          <w:rFonts w:hint="eastAsia" w:ascii="宋体" w:hAnsi="宋体" w:eastAsia="宋体" w:cs="宋体"/>
          <w:color w:val="auto"/>
          <w:kern w:val="2"/>
          <w:sz w:val="24"/>
          <w:szCs w:val="24"/>
          <w:highlight w:val="none"/>
          <w:lang w:val="en-US" w:eastAsia="zh-CN" w:bidi="ar"/>
        </w:rPr>
        <w:t>资格、罚没保证金等决定。</w:t>
      </w:r>
    </w:p>
    <w:p w14:paraId="6477AA6F">
      <w:pPr>
        <w:keepNext w:val="0"/>
        <w:keepLines w:val="0"/>
        <w:widowControl w:val="0"/>
        <w:suppressLineNumbers w:val="0"/>
        <w:tabs>
          <w:tab w:val="left" w:pos="5580"/>
        </w:tabs>
        <w:suppressAutoHyphens/>
        <w:autoSpaceDE w:val="0"/>
        <w:autoSpaceDN/>
        <w:spacing w:before="0" w:beforeAutospacing="0" w:after="0" w:afterAutospacing="0" w:line="480" w:lineRule="exact"/>
        <w:ind w:left="0" w:right="0" w:firstLine="480" w:firstLineChars="200"/>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特此声明！</w:t>
      </w:r>
    </w:p>
    <w:p w14:paraId="159ECEA3">
      <w:pPr>
        <w:keepNext w:val="0"/>
        <w:keepLines w:val="0"/>
        <w:widowControl w:val="0"/>
        <w:suppressLineNumbers w:val="0"/>
        <w:tabs>
          <w:tab w:val="left" w:pos="5580"/>
        </w:tabs>
        <w:suppressAutoHyphens/>
        <w:spacing w:before="120" w:beforeAutospacing="0" w:after="0" w:afterAutospacing="0" w:line="360" w:lineRule="auto"/>
        <w:ind w:left="0" w:right="0" w:firstLine="480" w:firstLineChars="200"/>
        <w:jc w:val="both"/>
        <w:rPr>
          <w:rFonts w:hint="eastAsia" w:ascii="宋体" w:hAnsi="宋体" w:eastAsia="宋体;SimSun" w:cs="Times New Roman"/>
          <w:color w:val="auto"/>
          <w:kern w:val="2"/>
          <w:sz w:val="24"/>
          <w:szCs w:val="24"/>
          <w:highlight w:val="none"/>
        </w:rPr>
      </w:pPr>
      <w:r>
        <w:rPr>
          <w:rFonts w:hint="eastAsia" w:ascii="宋体" w:hAnsi="宋体" w:eastAsia="宋体;SimSun" w:cs="Times New Roman"/>
          <w:color w:val="auto"/>
          <w:kern w:val="2"/>
          <w:sz w:val="24"/>
          <w:szCs w:val="24"/>
          <w:highlight w:val="none"/>
          <w:lang w:val="en-US" w:eastAsia="zh-CN" w:bidi="ar"/>
        </w:rPr>
        <w:t xml:space="preserve"> </w:t>
      </w:r>
    </w:p>
    <w:p w14:paraId="3186479B">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供应商（盖章）：</w:t>
      </w:r>
    </w:p>
    <w:p w14:paraId="2A7F5454">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法定代表人或授权代理人：（签字或盖章）</w:t>
      </w:r>
    </w:p>
    <w:p w14:paraId="301E9185">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日</w:t>
      </w:r>
      <w:r>
        <w:rPr>
          <w:rFonts w:hint="default" w:ascii="宋体" w:hAnsi="宋体" w:eastAsia="宋体;SimSun" w:cs="Times New Roman"/>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期：</w:t>
      </w:r>
    </w:p>
    <w:p w14:paraId="324E93B7">
      <w:pPr>
        <w:keepNext w:val="0"/>
        <w:keepLines w:val="0"/>
        <w:widowControl w:val="0"/>
        <w:suppressLineNumbers w:val="0"/>
        <w:suppressAutoHyphens/>
        <w:spacing w:before="120" w:beforeLines="50" w:beforeAutospacing="0" w:after="0" w:afterAutospacing="0" w:line="440" w:lineRule="exact"/>
        <w:ind w:left="3570" w:leftChars="1700" w:right="0" w:firstLine="518" w:firstLineChars="216"/>
        <w:jc w:val="both"/>
        <w:rPr>
          <w:rFonts w:hint="eastAsia" w:ascii="宋体" w:hAnsi="宋体" w:eastAsia="宋体;SimSun" w:cs="Times New Roman"/>
          <w:color w:val="auto"/>
          <w:kern w:val="2"/>
          <w:sz w:val="24"/>
          <w:szCs w:val="24"/>
          <w:highlight w:val="none"/>
        </w:rPr>
      </w:pPr>
      <w:r>
        <w:rPr>
          <w:rFonts w:hint="eastAsia" w:ascii="宋体" w:hAnsi="宋体" w:eastAsia="宋体;SimSun" w:cs="Times New Roman"/>
          <w:color w:val="auto"/>
          <w:kern w:val="2"/>
          <w:sz w:val="24"/>
          <w:szCs w:val="24"/>
          <w:highlight w:val="none"/>
          <w:lang w:val="en-US" w:eastAsia="zh-CN" w:bidi="ar"/>
        </w:rPr>
        <w:t xml:space="preserve"> </w:t>
      </w:r>
    </w:p>
    <w:p w14:paraId="0ED5B697">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br w:type="page"/>
      </w:r>
    </w:p>
    <w:p w14:paraId="2811B6ED">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（二）法定代表人资格证明书</w:t>
      </w:r>
    </w:p>
    <w:p w14:paraId="6DA31965">
      <w:pPr>
        <w:keepNext w:val="0"/>
        <w:keepLines w:val="0"/>
        <w:widowControl w:val="0"/>
        <w:suppressLineNumbers w:val="0"/>
        <w:tabs>
          <w:tab w:val="left" w:pos="360"/>
          <w:tab w:val="left" w:pos="180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861B6D9">
      <w:pPr>
        <w:keepNext w:val="0"/>
        <w:keepLines w:val="0"/>
        <w:widowControl w:val="0"/>
        <w:suppressLineNumbers w:val="0"/>
        <w:tabs>
          <w:tab w:val="left" w:pos="360"/>
          <w:tab w:val="left" w:pos="180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p>
    <w:p w14:paraId="21F63422">
      <w:pPr>
        <w:keepNext w:val="0"/>
        <w:keepLines w:val="0"/>
        <w:widowControl w:val="0"/>
        <w:suppressLineNumbers w:val="0"/>
        <w:tabs>
          <w:tab w:val="left" w:pos="360"/>
          <w:tab w:val="left" w:pos="180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p>
    <w:p w14:paraId="18ABA5B0">
      <w:pPr>
        <w:keepNext w:val="0"/>
        <w:keepLines w:val="0"/>
        <w:widowControl w:val="0"/>
        <w:suppressLineNumbers w:val="0"/>
        <w:tabs>
          <w:tab w:val="left" w:pos="360"/>
          <w:tab w:val="left" w:pos="720"/>
          <w:tab w:val="left" w:pos="900"/>
          <w:tab w:val="left" w:pos="180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姓名：        性别：       年龄：         职务： </w:t>
      </w:r>
    </w:p>
    <w:p w14:paraId="720C6D2A">
      <w:pPr>
        <w:keepNext w:val="0"/>
        <w:keepLines w:val="0"/>
        <w:widowControl w:val="0"/>
        <w:suppressLineNumbers w:val="0"/>
        <w:tabs>
          <w:tab w:val="left" w:pos="360"/>
          <w:tab w:val="left" w:pos="180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单位）的法定代表人。签署上述项目的相应文件、进行合同投标、签署合同和处理与之有关的一切事务。</w:t>
      </w:r>
    </w:p>
    <w:p w14:paraId="2797996D">
      <w:pPr>
        <w:keepNext w:val="0"/>
        <w:keepLines w:val="0"/>
        <w:widowControl w:val="0"/>
        <w:suppressLineNumbers w:val="0"/>
        <w:tabs>
          <w:tab w:val="left" w:pos="360"/>
          <w:tab w:val="left" w:pos="1800"/>
        </w:tabs>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677E6AFA">
      <w:pPr>
        <w:keepNext w:val="0"/>
        <w:keepLines w:val="0"/>
        <w:widowControl w:val="0"/>
        <w:suppressLineNumbers w:val="0"/>
        <w:tabs>
          <w:tab w:val="left" w:pos="360"/>
          <w:tab w:val="left" w:pos="180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6B76542D">
      <w:pPr>
        <w:keepNext w:val="0"/>
        <w:keepLines w:val="0"/>
        <w:widowControl w:val="0"/>
        <w:suppressLineNumbers w:val="0"/>
        <w:tabs>
          <w:tab w:val="left" w:pos="360"/>
          <w:tab w:val="left" w:pos="1800"/>
        </w:tabs>
        <w:spacing w:before="0" w:beforeAutospacing="0" w:after="0" w:afterAutospacing="0" w:line="360" w:lineRule="auto"/>
        <w:ind w:left="450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供应商：（盖章）</w:t>
      </w:r>
    </w:p>
    <w:p w14:paraId="5F9B5C2F">
      <w:pPr>
        <w:keepNext w:val="0"/>
        <w:keepLines w:val="0"/>
        <w:widowControl w:val="0"/>
        <w:suppressLineNumbers w:val="0"/>
        <w:tabs>
          <w:tab w:val="left" w:pos="360"/>
          <w:tab w:val="left" w:pos="1800"/>
        </w:tabs>
        <w:spacing w:before="0" w:beforeAutospacing="0" w:after="0" w:afterAutospacing="0" w:line="360" w:lineRule="auto"/>
        <w:ind w:left="450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日期：    年   月   日</w:t>
      </w:r>
    </w:p>
    <w:p w14:paraId="655DA889">
      <w:pPr>
        <w:keepNext w:val="0"/>
        <w:keepLines w:val="0"/>
        <w:widowControl w:val="0"/>
        <w:suppressLineNumbers w:val="0"/>
        <w:tabs>
          <w:tab w:val="left" w:pos="360"/>
          <w:tab w:val="left" w:pos="1800"/>
        </w:tabs>
        <w:spacing w:before="0" w:beforeAutospacing="0" w:after="0" w:afterAutospacing="0" w:line="360" w:lineRule="auto"/>
        <w:ind w:left="0" w:right="0" w:firstLine="6000" w:firstLineChars="250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 </w:t>
      </w:r>
    </w:p>
    <w:tbl>
      <w:tblPr>
        <w:tblStyle w:val="22"/>
        <w:tblW w:w="6952"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6952"/>
      </w:tblGrid>
      <w:tr w14:paraId="73DF1B1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96" w:hRule="atLeast"/>
          <w:jc w:val="center"/>
        </w:trPr>
        <w:tc>
          <w:tcPr>
            <w:tcW w:w="6952" w:type="dxa"/>
            <w:tcBorders>
              <w:top w:val="single" w:color="auto" w:sz="4" w:space="0"/>
              <w:left w:val="single" w:color="auto" w:sz="4" w:space="0"/>
              <w:bottom w:val="single" w:color="auto" w:sz="4" w:space="0"/>
              <w:right w:val="single" w:color="auto" w:sz="4" w:space="0"/>
            </w:tcBorders>
            <w:shd w:val="clear" w:color="auto" w:fill="auto"/>
            <w:vAlign w:val="top"/>
          </w:tcPr>
          <w:p w14:paraId="235F2BB6">
            <w:pPr>
              <w:keepNext w:val="0"/>
              <w:keepLines w:val="0"/>
              <w:widowControl w:val="0"/>
              <w:suppressLineNumbers w:val="0"/>
              <w:tabs>
                <w:tab w:val="left" w:pos="360"/>
                <w:tab w:val="left" w:pos="1800"/>
              </w:tabs>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p>
          <w:p w14:paraId="7CAB1486">
            <w:pPr>
              <w:keepNext w:val="0"/>
              <w:keepLines w:val="0"/>
              <w:widowControl w:val="0"/>
              <w:suppressLineNumbers w:val="0"/>
              <w:tabs>
                <w:tab w:val="left" w:pos="360"/>
                <w:tab w:val="left" w:pos="1800"/>
              </w:tabs>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p>
          <w:p w14:paraId="12764D9E">
            <w:pPr>
              <w:keepNext w:val="0"/>
              <w:keepLines w:val="0"/>
              <w:widowControl w:val="0"/>
              <w:suppressLineNumbers w:val="0"/>
              <w:tabs>
                <w:tab w:val="left" w:pos="360"/>
                <w:tab w:val="left" w:pos="1800"/>
              </w:tabs>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法定代表人身份证复印件或扫描件（正、反两面）</w:t>
            </w:r>
          </w:p>
        </w:tc>
      </w:tr>
    </w:tbl>
    <w:p w14:paraId="110342A3">
      <w:pPr>
        <w:keepNext w:val="0"/>
        <w:keepLines w:val="0"/>
        <w:widowControl w:val="0"/>
        <w:suppressLineNumbers w:val="0"/>
        <w:tabs>
          <w:tab w:val="left" w:pos="360"/>
          <w:tab w:val="left" w:pos="1800"/>
        </w:tabs>
        <w:spacing w:before="0" w:beforeAutospacing="0" w:after="0" w:afterAutospacing="0" w:line="480" w:lineRule="exact"/>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注：法定代表人身份证复印件或扫描件应反映出证件有效期等所载内容。</w:t>
      </w:r>
    </w:p>
    <w:p w14:paraId="056397BE">
      <w:pPr>
        <w:keepNext w:val="0"/>
        <w:keepLines w:val="0"/>
        <w:widowControl w:val="0"/>
        <w:suppressLineNumbers w:val="0"/>
        <w:tabs>
          <w:tab w:val="left" w:pos="360"/>
          <w:tab w:val="left" w:pos="1800"/>
        </w:tabs>
        <w:spacing w:before="0" w:beforeAutospacing="0" w:after="0" w:afterAutospacing="0" w:line="480" w:lineRule="exact"/>
        <w:ind w:left="1980" w:right="0" w:firstLine="108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 xml:space="preserve"> </w:t>
      </w:r>
    </w:p>
    <w:p w14:paraId="4BA71F1B">
      <w:pPr>
        <w:keepNext w:val="0"/>
        <w:keepLines w:val="0"/>
        <w:widowControl w:val="0"/>
        <w:suppressLineNumbers w:val="0"/>
        <w:spacing w:before="0" w:beforeAutospacing="0" w:after="0" w:afterAutospacing="0" w:line="360" w:lineRule="auto"/>
        <w:ind w:left="0" w:right="0" w:firstLine="573"/>
        <w:jc w:val="center"/>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19EF4C58">
      <w:pPr>
        <w:keepNext w:val="0"/>
        <w:keepLines w:val="0"/>
        <w:widowControl w:val="0"/>
        <w:suppressLineNumbers w:val="0"/>
        <w:tabs>
          <w:tab w:val="left" w:pos="360"/>
          <w:tab w:val="left" w:pos="1800"/>
        </w:tabs>
        <w:spacing w:before="0" w:beforeAutospacing="0" w:after="0" w:afterAutospacing="0" w:line="480" w:lineRule="exact"/>
        <w:ind w:left="0" w:right="0"/>
        <w:jc w:val="center"/>
        <w:outlineLvl w:val="1"/>
        <w:rPr>
          <w:rFonts w:hint="eastAsia" w:ascii="宋体" w:hAnsi="宋体" w:eastAsia="宋体" w:cs="宋体"/>
          <w:b/>
          <w:bCs/>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br w:type="page"/>
      </w:r>
      <w:r>
        <w:rPr>
          <w:rFonts w:hint="eastAsia" w:ascii="宋体" w:hAnsi="宋体" w:eastAsia="宋体" w:cs="宋体"/>
          <w:b/>
          <w:bCs w:val="0"/>
          <w:color w:val="auto"/>
          <w:kern w:val="2"/>
          <w:sz w:val="32"/>
          <w:szCs w:val="32"/>
          <w:highlight w:val="none"/>
          <w:lang w:val="en-US" w:eastAsia="zh-CN" w:bidi="ar"/>
        </w:rPr>
        <w:t>（三）法定代表人授权委托书</w:t>
      </w:r>
    </w:p>
    <w:p w14:paraId="05358416">
      <w:pPr>
        <w:keepNext w:val="0"/>
        <w:keepLines w:val="0"/>
        <w:widowControl w:val="0"/>
        <w:suppressLineNumbers w:val="0"/>
        <w:tabs>
          <w:tab w:val="left" w:pos="360"/>
          <w:tab w:val="left" w:pos="1800"/>
        </w:tabs>
        <w:spacing w:before="0" w:beforeAutospacing="0" w:after="0" w:afterAutospacing="0" w:line="480" w:lineRule="exact"/>
        <w:ind w:left="237" w:leftChars="113" w:right="0" w:firstLine="240" w:firstLineChars="1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62384BC9">
      <w:pPr>
        <w:keepNext w:val="0"/>
        <w:keepLines w:val="0"/>
        <w:widowControl w:val="0"/>
        <w:suppressLineNumbers w:val="0"/>
        <w:tabs>
          <w:tab w:val="left" w:pos="360"/>
          <w:tab w:val="left" w:pos="1800"/>
        </w:tabs>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本授权委托书声明：我</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（姓名）系</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（供应商名称）的法定代表人，现授权委托</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（供应商名称）的</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（姓名），其身份证号</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，为我供应商代理人，以本供应商的名义参加</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（采购人）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项目名称）的公开活动。</w:t>
      </w:r>
    </w:p>
    <w:p w14:paraId="63A716D5">
      <w:pPr>
        <w:keepNext w:val="0"/>
        <w:keepLines w:val="0"/>
        <w:widowControl w:val="0"/>
        <w:suppressLineNumbers w:val="0"/>
        <w:tabs>
          <w:tab w:val="left" w:pos="360"/>
          <w:tab w:val="left" w:pos="1800"/>
        </w:tabs>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代理人在递交响应文件、评标、合同投标过程中所签署的一切文件和处理与之有关的一切事务，我均予以承认。</w:t>
      </w:r>
    </w:p>
    <w:p w14:paraId="7F56A452">
      <w:pPr>
        <w:keepNext w:val="0"/>
        <w:keepLines w:val="0"/>
        <w:widowControl w:val="0"/>
        <w:suppressLineNumbers w:val="0"/>
        <w:tabs>
          <w:tab w:val="left" w:pos="360"/>
          <w:tab w:val="left" w:pos="1800"/>
        </w:tabs>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本授权委托书期限自</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日起至</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月日</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止。</w:t>
      </w:r>
    </w:p>
    <w:p w14:paraId="1B395BCF">
      <w:pPr>
        <w:keepNext w:val="0"/>
        <w:keepLines w:val="0"/>
        <w:widowControl w:val="0"/>
        <w:suppressLineNumbers w:val="0"/>
        <w:tabs>
          <w:tab w:val="left" w:pos="360"/>
          <w:tab w:val="left" w:pos="1800"/>
        </w:tabs>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委托代理人无转委权。特此委托。</w:t>
      </w:r>
    </w:p>
    <w:p w14:paraId="34833658">
      <w:pPr>
        <w:keepNext w:val="0"/>
        <w:keepLines w:val="0"/>
        <w:widowControl w:val="0"/>
        <w:suppressLineNumbers w:val="0"/>
        <w:tabs>
          <w:tab w:val="left" w:pos="360"/>
          <w:tab w:val="left" w:pos="1800"/>
        </w:tabs>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            性别：           年龄：</w:t>
      </w:r>
    </w:p>
    <w:p w14:paraId="23B7D7F2">
      <w:pPr>
        <w:keepNext w:val="0"/>
        <w:keepLines w:val="0"/>
        <w:widowControl w:val="0"/>
        <w:suppressLineNumbers w:val="0"/>
        <w:tabs>
          <w:tab w:val="left" w:pos="360"/>
          <w:tab w:val="left" w:pos="1800"/>
        </w:tabs>
        <w:spacing w:before="0" w:beforeAutospacing="0" w:after="0" w:afterAutospacing="0" w:line="48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              部门：           职务：</w:t>
      </w:r>
    </w:p>
    <w:p w14:paraId="724EE77A">
      <w:pPr>
        <w:keepNext w:val="0"/>
        <w:keepLines w:val="0"/>
        <w:widowControl w:val="0"/>
        <w:suppressLineNumbers w:val="0"/>
        <w:tabs>
          <w:tab w:val="left" w:pos="360"/>
          <w:tab w:val="left" w:pos="1800"/>
        </w:tabs>
        <w:spacing w:before="0" w:beforeAutospacing="0" w:after="0" w:afterAutospacing="0" w:line="480" w:lineRule="exact"/>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供应商：（盖章）</w:t>
      </w:r>
    </w:p>
    <w:p w14:paraId="05BF48FF">
      <w:pPr>
        <w:keepNext w:val="0"/>
        <w:keepLines w:val="0"/>
        <w:widowControl w:val="0"/>
        <w:suppressLineNumbers w:val="0"/>
        <w:tabs>
          <w:tab w:val="left" w:pos="360"/>
          <w:tab w:val="left" w:pos="1800"/>
        </w:tabs>
        <w:spacing w:before="0" w:beforeAutospacing="0" w:after="0" w:afterAutospacing="0" w:line="480" w:lineRule="exact"/>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法定代表人：（签字或盖章）</w:t>
      </w:r>
    </w:p>
    <w:p w14:paraId="26A77A4E">
      <w:pPr>
        <w:keepNext w:val="0"/>
        <w:keepLines w:val="0"/>
        <w:widowControl w:val="0"/>
        <w:suppressLineNumbers w:val="0"/>
        <w:tabs>
          <w:tab w:val="left" w:pos="360"/>
          <w:tab w:val="left" w:pos="1800"/>
        </w:tabs>
        <w:spacing w:before="0" w:beforeAutospacing="0" w:after="0" w:afterAutospacing="0" w:line="480" w:lineRule="exact"/>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授权委托人：（签字或盖章）</w:t>
      </w:r>
    </w:p>
    <w:p w14:paraId="128FEAA9">
      <w:pPr>
        <w:keepNext w:val="0"/>
        <w:keepLines w:val="0"/>
        <w:widowControl w:val="0"/>
        <w:suppressLineNumbers w:val="0"/>
        <w:tabs>
          <w:tab w:val="left" w:pos="360"/>
          <w:tab w:val="left" w:pos="1800"/>
        </w:tabs>
        <w:spacing w:before="0" w:beforeAutospacing="0" w:after="0" w:afterAutospacing="0" w:line="480" w:lineRule="exact"/>
        <w:ind w:left="0" w:right="0" w:firstLine="42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日期：      年     月     日</w:t>
      </w:r>
    </w:p>
    <w:p w14:paraId="45B0517F">
      <w:pPr>
        <w:keepNext w:val="0"/>
        <w:keepLines w:val="0"/>
        <w:widowControl w:val="0"/>
        <w:suppressLineNumbers w:val="0"/>
        <w:tabs>
          <w:tab w:val="left" w:pos="360"/>
          <w:tab w:val="left" w:pos="1800"/>
        </w:tabs>
        <w:spacing w:before="0" w:beforeAutospacing="0" w:after="0" w:afterAutospacing="0" w:line="480" w:lineRule="exact"/>
        <w:ind w:left="0" w:right="0" w:firstLine="36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tbl>
      <w:tblPr>
        <w:tblStyle w:val="22"/>
        <w:tblW w:w="6952"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6952"/>
      </w:tblGrid>
      <w:tr w14:paraId="41853D8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PrEx>
        <w:trPr>
          <w:trHeight w:val="4496" w:hRule="atLeast"/>
          <w:jc w:val="center"/>
        </w:trPr>
        <w:tc>
          <w:tcPr>
            <w:tcW w:w="6952" w:type="dxa"/>
            <w:tcBorders>
              <w:top w:val="single" w:color="auto" w:sz="4" w:space="0"/>
              <w:left w:val="single" w:color="auto" w:sz="4" w:space="0"/>
              <w:bottom w:val="single" w:color="auto" w:sz="4" w:space="0"/>
              <w:right w:val="single" w:color="auto" w:sz="4" w:space="0"/>
            </w:tcBorders>
            <w:shd w:val="clear" w:color="auto" w:fill="auto"/>
            <w:vAlign w:val="top"/>
          </w:tcPr>
          <w:p w14:paraId="170E4D3A">
            <w:pPr>
              <w:keepNext w:val="0"/>
              <w:keepLines w:val="0"/>
              <w:widowControl w:val="0"/>
              <w:suppressLineNumbers w:val="0"/>
              <w:tabs>
                <w:tab w:val="left" w:pos="360"/>
                <w:tab w:val="left" w:pos="1800"/>
              </w:tabs>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p>
          <w:p w14:paraId="1F9161E5">
            <w:pPr>
              <w:keepNext w:val="0"/>
              <w:keepLines w:val="0"/>
              <w:widowControl w:val="0"/>
              <w:suppressLineNumbers w:val="0"/>
              <w:tabs>
                <w:tab w:val="left" w:pos="360"/>
                <w:tab w:val="left" w:pos="1800"/>
              </w:tabs>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p>
          <w:p w14:paraId="365B22FF">
            <w:pPr>
              <w:keepNext w:val="0"/>
              <w:keepLines w:val="0"/>
              <w:widowControl w:val="0"/>
              <w:suppressLineNumbers w:val="0"/>
              <w:tabs>
                <w:tab w:val="left" w:pos="360"/>
                <w:tab w:val="left" w:pos="1800"/>
              </w:tabs>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委托代理人身份证复印件或扫描件（正、反两面）</w:t>
            </w:r>
          </w:p>
        </w:tc>
      </w:tr>
    </w:tbl>
    <w:p w14:paraId="006C93DF">
      <w:pPr>
        <w:keepNext w:val="0"/>
        <w:keepLines w:val="0"/>
        <w:widowControl w:val="0"/>
        <w:suppressLineNumbers w:val="0"/>
        <w:spacing w:before="0" w:beforeAutospacing="0" w:after="0" w:afterAutospacing="0" w:line="360" w:lineRule="auto"/>
        <w:ind w:left="0" w:right="0" w:firstLine="573"/>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注：委托代理人身份证复印件且证件在有效期内。</w:t>
      </w:r>
    </w:p>
    <w:p w14:paraId="3CF92DF1">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 xml:space="preserve"> </w:t>
      </w:r>
    </w:p>
    <w:p w14:paraId="0088BF2B">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br w:type="page"/>
      </w:r>
    </w:p>
    <w:p w14:paraId="531BDFC8">
      <w:pPr>
        <w:keepNext w:val="0"/>
        <w:keepLines w:val="0"/>
        <w:widowControl w:val="0"/>
        <w:suppressLineNumbers w:val="0"/>
        <w:suppressAutoHyphens/>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32"/>
          <w:szCs w:val="32"/>
          <w:highlight w:val="none"/>
          <w:lang w:val="en-US" w:eastAsia="zh-CN" w:bidi="ar"/>
        </w:rPr>
        <w:t>（四）不参与围标串标承诺书</w:t>
      </w:r>
    </w:p>
    <w:p w14:paraId="77D87E61">
      <w:pPr>
        <w:keepNext w:val="0"/>
        <w:keepLines w:val="0"/>
        <w:widowControl w:val="0"/>
        <w:suppressLineNumbers w:val="0"/>
        <w:tabs>
          <w:tab w:val="left" w:pos="-120"/>
        </w:tabs>
        <w:suppressAutoHyphens/>
        <w:spacing w:before="0" w:beforeAutospacing="0" w:after="0" w:afterAutospacing="0" w:line="480" w:lineRule="exact"/>
        <w:ind w:left="0" w:right="0" w:firstLine="600"/>
        <w:jc w:val="center"/>
        <w:textAlignment w:val="baseline"/>
        <w:rPr>
          <w:rFonts w:hint="eastAsia" w:ascii="宋体" w:hAnsi="宋体" w:eastAsia="宋体" w:cs="宋体"/>
          <w:b/>
          <w:bCs w:val="0"/>
          <w:color w:val="auto"/>
          <w:spacing w:val="0"/>
          <w:kern w:val="0"/>
          <w:sz w:val="30"/>
          <w:szCs w:val="30"/>
          <w:highlight w:val="none"/>
          <w:vertAlign w:val="baseline"/>
        </w:rPr>
      </w:pPr>
      <w:r>
        <w:rPr>
          <w:rFonts w:hint="eastAsia" w:ascii="宋体" w:hAnsi="宋体" w:eastAsia="宋体" w:cs="宋体"/>
          <w:b/>
          <w:bCs w:val="0"/>
          <w:color w:val="auto"/>
          <w:spacing w:val="0"/>
          <w:kern w:val="0"/>
          <w:sz w:val="30"/>
          <w:szCs w:val="30"/>
          <w:highlight w:val="none"/>
          <w:vertAlign w:val="baseline"/>
          <w:lang w:val="en-US" w:eastAsia="zh-CN" w:bidi="ar"/>
        </w:rPr>
        <w:t xml:space="preserve"> </w:t>
      </w:r>
    </w:p>
    <w:p w14:paraId="2B1050B2">
      <w:pPr>
        <w:keepNext w:val="0"/>
        <w:keepLines w:val="0"/>
        <w:widowControl w:val="0"/>
        <w:suppressLineNumbers w:val="0"/>
        <w:suppressAutoHyphens/>
        <w:spacing w:before="0" w:beforeAutospacing="0" w:after="0" w:afterAutospacing="0"/>
        <w:ind w:left="0" w:leftChars="0" w:right="0" w:rightChars="0" w:firstLine="0" w:firstLineChars="0"/>
        <w:jc w:val="center"/>
        <w:rPr>
          <w:rFonts w:hint="eastAsia" w:ascii="宋体" w:hAnsi="宋体" w:eastAsia="宋体" w:cs="宋体"/>
          <w:b/>
          <w:bCs w:val="0"/>
          <w:color w:val="auto"/>
          <w:kern w:val="2"/>
          <w:sz w:val="28"/>
          <w:szCs w:val="28"/>
          <w:highlight w:val="none"/>
        </w:rPr>
      </w:pPr>
      <w:r>
        <w:rPr>
          <w:rFonts w:hint="eastAsia" w:ascii="宋体" w:hAnsi="宋体" w:eastAsia="宋体" w:cs="宋体"/>
          <w:b w:val="0"/>
          <w:bCs/>
          <w:color w:val="auto"/>
          <w:kern w:val="2"/>
          <w:sz w:val="28"/>
          <w:szCs w:val="28"/>
          <w:highlight w:val="none"/>
          <w:lang w:val="en-US" w:eastAsia="zh-CN" w:bidi="ar"/>
        </w:rPr>
        <w:t>不参与围标串标承诺书</w:t>
      </w:r>
    </w:p>
    <w:p w14:paraId="39BECFF0">
      <w:pPr>
        <w:keepNext w:val="0"/>
        <w:keepLines w:val="0"/>
        <w:widowControl w:val="0"/>
        <w:suppressLineNumbers w:val="0"/>
        <w:tabs>
          <w:tab w:val="left" w:pos="-120"/>
        </w:tabs>
        <w:suppressAutoHyphens/>
        <w:spacing w:before="0" w:beforeAutospacing="0" w:after="0" w:afterAutospacing="0" w:line="480" w:lineRule="exact"/>
        <w:ind w:left="0" w:right="0" w:firstLine="600"/>
        <w:jc w:val="center"/>
        <w:textAlignment w:val="baseline"/>
        <w:rPr>
          <w:rFonts w:hint="eastAsia" w:ascii="宋体" w:hAnsi="宋体" w:eastAsia="宋体" w:cs="宋体"/>
          <w:b/>
          <w:bCs w:val="0"/>
          <w:color w:val="auto"/>
          <w:spacing w:val="0"/>
          <w:kern w:val="0"/>
          <w:sz w:val="30"/>
          <w:szCs w:val="30"/>
          <w:highlight w:val="none"/>
          <w:vertAlign w:val="baseline"/>
        </w:rPr>
      </w:pPr>
      <w:r>
        <w:rPr>
          <w:rFonts w:hint="eastAsia" w:ascii="宋体" w:hAnsi="宋体" w:eastAsia="宋体" w:cs="宋体"/>
          <w:b/>
          <w:bCs w:val="0"/>
          <w:color w:val="auto"/>
          <w:spacing w:val="0"/>
          <w:kern w:val="0"/>
          <w:sz w:val="30"/>
          <w:szCs w:val="30"/>
          <w:highlight w:val="none"/>
          <w:vertAlign w:val="baseline"/>
          <w:lang w:val="en-US" w:eastAsia="zh-CN" w:bidi="ar"/>
        </w:rPr>
        <w:t xml:space="preserve"> </w:t>
      </w:r>
    </w:p>
    <w:p w14:paraId="3B8B7B1C">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本人作为（单位名称</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的法人，清楚知晓我公司本项目投标活动，对以下事项作出承诺：</w:t>
      </w:r>
    </w:p>
    <w:p w14:paraId="1BF17921">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一、我单位遵循公开、公平、公正、诚实守信的原则，依法依规参与本项目竞标。</w:t>
      </w:r>
    </w:p>
    <w:p w14:paraId="105645E0">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二、我单位在本项目投标活动中，未参与围标串标。</w:t>
      </w:r>
    </w:p>
    <w:p w14:paraId="66190925">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三、我单位如被查实在本项目招标投标（采购）活动中存在围标串标的，递交响应文件行为作为实施串通投标违法行为的关键环节，本人承担直接责任人员法律责任，接受相应行政处罚和失信惩戒。</w:t>
      </w:r>
    </w:p>
    <w:p w14:paraId="213AA0DC">
      <w:pPr>
        <w:keepNext w:val="0"/>
        <w:keepLines w:val="0"/>
        <w:widowControl w:val="0"/>
        <w:suppressLineNumbers w:val="0"/>
        <w:autoSpaceDE w:val="0"/>
        <w:autoSpaceDN/>
        <w:spacing w:before="0" w:beforeAutospacing="0" w:after="0" w:afterAutospacing="0" w:line="44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项目名称：</w:t>
      </w:r>
    </w:p>
    <w:p w14:paraId="7C80FC90">
      <w:pPr>
        <w:keepNext w:val="0"/>
        <w:keepLines w:val="0"/>
        <w:widowControl w:val="0"/>
        <w:suppressLineNumbers w:val="0"/>
        <w:autoSpaceDE w:val="0"/>
        <w:autoSpaceDN/>
        <w:spacing w:before="0" w:beforeAutospacing="0" w:after="0" w:afterAutospacing="0" w:line="44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项目编号：    </w:t>
      </w:r>
    </w:p>
    <w:p w14:paraId="432D70BF">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3E519CD7">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供应商（盖章）：</w:t>
      </w:r>
    </w:p>
    <w:p w14:paraId="1691C210">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法定代表人或授权代理人：（签字或盖章）</w:t>
      </w:r>
    </w:p>
    <w:p w14:paraId="54845963">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日</w:t>
      </w:r>
      <w:r>
        <w:rPr>
          <w:rFonts w:hint="default" w:ascii="宋体" w:hAnsi="宋体" w:eastAsia="宋体;SimSun" w:cs="Times New Roman"/>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期：</w:t>
      </w:r>
    </w:p>
    <w:p w14:paraId="37ABD258">
      <w:pPr>
        <w:keepNext w:val="0"/>
        <w:keepLines w:val="0"/>
        <w:widowControl w:val="0"/>
        <w:suppressLineNumbers w:val="0"/>
        <w:autoSpaceDE w:val="0"/>
        <w:autoSpaceDN/>
        <w:spacing w:before="0" w:beforeAutospacing="0" w:after="0" w:afterAutospacing="0" w:line="440" w:lineRule="exact"/>
        <w:ind w:left="0" w:right="0" w:firstLine="5760" w:firstLineChars="24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138D6B87">
      <w:pPr>
        <w:keepNext w:val="0"/>
        <w:keepLines w:val="0"/>
        <w:widowControl w:val="0"/>
        <w:suppressLineNumbers w:val="0"/>
        <w:autoSpaceDE w:val="0"/>
        <w:autoSpaceDN/>
        <w:spacing w:before="0" w:beforeAutospacing="0" w:after="0" w:afterAutospacing="0" w:line="440" w:lineRule="exact"/>
        <w:ind w:left="0" w:right="0" w:firstLine="4320" w:firstLineChars="18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2EC1C5A5">
      <w:pPr>
        <w:keepNext w:val="0"/>
        <w:keepLines w:val="0"/>
        <w:widowControl w:val="0"/>
        <w:suppressLineNumbers w:val="0"/>
        <w:autoSpaceDE w:val="0"/>
        <w:autoSpaceDN/>
        <w:spacing w:before="0" w:beforeAutospacing="0" w:after="0" w:afterAutospacing="0" w:line="440" w:lineRule="exact"/>
        <w:ind w:left="0" w:right="0" w:firstLine="4320" w:firstLineChars="18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4A56C751">
      <w:pPr>
        <w:keepNext w:val="0"/>
        <w:keepLines w:val="0"/>
        <w:widowControl w:val="0"/>
        <w:suppressLineNumbers w:val="0"/>
        <w:tabs>
          <w:tab w:val="left" w:pos="-120"/>
          <w:tab w:val="left" w:pos="0"/>
        </w:tabs>
        <w:suppressAutoHyphens/>
        <w:autoSpaceDE w:val="0"/>
        <w:autoSpaceDN/>
        <w:spacing w:before="0" w:beforeAutospacing="0" w:after="0" w:afterAutospacing="0" w:line="440" w:lineRule="exact"/>
        <w:ind w:left="0" w:leftChars="0" w:right="0" w:firstLine="0" w:firstLineChars="0"/>
        <w:jc w:val="both"/>
        <w:textAlignment w:val="baseline"/>
        <w:rPr>
          <w:rFonts w:hint="eastAsia" w:ascii="宋体" w:hAnsi="宋体" w:eastAsia="宋体" w:cs="宋体"/>
          <w:color w:val="auto"/>
          <w:spacing w:val="20"/>
          <w:kern w:val="0"/>
          <w:sz w:val="24"/>
          <w:szCs w:val="24"/>
          <w:highlight w:val="none"/>
          <w:vertAlign w:val="baseline"/>
        </w:rPr>
      </w:pPr>
      <w:r>
        <w:rPr>
          <w:rFonts w:hint="eastAsia" w:ascii="宋体" w:hAnsi="宋体" w:eastAsia="宋体" w:cs="宋体"/>
          <w:color w:val="auto"/>
          <w:spacing w:val="20"/>
          <w:kern w:val="0"/>
          <w:sz w:val="24"/>
          <w:szCs w:val="24"/>
          <w:highlight w:val="none"/>
          <w:vertAlign w:val="baseline"/>
          <w:lang w:val="en-US" w:eastAsia="zh-CN" w:bidi="ar"/>
        </w:rPr>
        <w:t xml:space="preserve"> </w:t>
      </w:r>
    </w:p>
    <w:p w14:paraId="33D93484">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 xml:space="preserve"> </w:t>
      </w:r>
    </w:p>
    <w:p w14:paraId="51591933">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br w:type="page"/>
      </w:r>
    </w:p>
    <w:p w14:paraId="3973BB79">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二、商务文件</w:t>
      </w:r>
    </w:p>
    <w:p w14:paraId="2CEA6CBF">
      <w:pPr>
        <w:spacing w:line="360" w:lineRule="auto"/>
        <w:jc w:val="center"/>
        <w:outlineLvl w:val="1"/>
        <w:rPr>
          <w:rFonts w:hint="eastAsia" w:ascii="宋体" w:hAnsi="宋体" w:eastAsia="宋体" w:cs="宋体"/>
          <w:b/>
          <w:color w:val="auto"/>
          <w:sz w:val="32"/>
          <w:szCs w:val="32"/>
          <w:highlight w:val="none"/>
          <w:lang w:val="en-US" w:eastAsia="zh-CN"/>
        </w:rPr>
      </w:pPr>
    </w:p>
    <w:p w14:paraId="45A47B8C">
      <w:pPr>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（一）</w:t>
      </w:r>
      <w:r>
        <w:rPr>
          <w:rFonts w:hint="eastAsia" w:ascii="宋体" w:hAnsi="宋体" w:eastAsia="宋体" w:cs="宋体"/>
          <w:b/>
          <w:color w:val="auto"/>
          <w:sz w:val="32"/>
          <w:szCs w:val="32"/>
          <w:highlight w:val="none"/>
        </w:rPr>
        <w:t>响应函</w:t>
      </w:r>
    </w:p>
    <w:p w14:paraId="601B2DDF">
      <w:pPr>
        <w:widowControl w:val="0"/>
        <w:spacing w:line="360" w:lineRule="auto"/>
        <w:ind w:left="0" w:firstLine="480" w:firstLineChars="200"/>
        <w:jc w:val="both"/>
        <w:rPr>
          <w:rFonts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我方全面研究了</w:t>
      </w:r>
      <w:r>
        <w:rPr>
          <w:rFonts w:hint="eastAsia" w:ascii="宋体" w:hAnsi="宋体" w:eastAsia="宋体" w:cs="宋体"/>
          <w:b w:val="0"/>
          <w:bCs/>
          <w:color w:val="auto"/>
          <w:kern w:val="2"/>
          <w:sz w:val="24"/>
          <w:szCs w:val="24"/>
          <w:highlight w:val="none"/>
          <w:u w:val="single"/>
          <w:lang w:val="en-US" w:eastAsia="zh-CN" w:bidi="ar-SA"/>
        </w:rPr>
        <w:t xml:space="preserve"> “       ”</w:t>
      </w:r>
      <w:r>
        <w:rPr>
          <w:rFonts w:hint="eastAsia" w:ascii="宋体" w:hAnsi="宋体" w:eastAsia="宋体" w:cs="宋体"/>
          <w:b w:val="0"/>
          <w:bCs/>
          <w:color w:val="auto"/>
          <w:kern w:val="2"/>
          <w:sz w:val="24"/>
          <w:szCs w:val="24"/>
          <w:highlight w:val="none"/>
          <w:lang w:val="en-US" w:eastAsia="zh-CN" w:bidi="ar-SA"/>
        </w:rPr>
        <w:t>项目竞争性谈判文件</w:t>
      </w:r>
      <w:r>
        <w:rPr>
          <w:rFonts w:hint="eastAsia" w:ascii="宋体" w:hAnsi="宋体" w:eastAsia="宋体" w:cs="宋体"/>
          <w:b w:val="0"/>
          <w:bCs/>
          <w:color w:val="auto"/>
          <w:kern w:val="2"/>
          <w:sz w:val="24"/>
          <w:szCs w:val="24"/>
          <w:highlight w:val="none"/>
          <w:u w:val="single"/>
          <w:lang w:val="en-US" w:eastAsia="zh-CN" w:bidi="ar-SA"/>
        </w:rPr>
        <w:t>（文件编号：      ）</w:t>
      </w:r>
      <w:r>
        <w:rPr>
          <w:rFonts w:hint="eastAsia" w:ascii="宋体" w:hAnsi="宋体" w:eastAsia="宋体" w:cs="宋体"/>
          <w:b w:val="0"/>
          <w:bCs/>
          <w:color w:val="auto"/>
          <w:kern w:val="2"/>
          <w:sz w:val="24"/>
          <w:szCs w:val="24"/>
          <w:highlight w:val="none"/>
          <w:lang w:val="en-US" w:eastAsia="zh-CN" w:bidi="ar-SA"/>
        </w:rPr>
        <w:t>，决定参加本项目谈判。我方授权</w:t>
      </w:r>
      <w:r>
        <w:rPr>
          <w:rFonts w:hint="eastAsia" w:ascii="宋体" w:hAnsi="宋体" w:eastAsia="宋体" w:cs="宋体"/>
          <w:b w:val="0"/>
          <w:bCs/>
          <w:color w:val="auto"/>
          <w:kern w:val="2"/>
          <w:sz w:val="24"/>
          <w:szCs w:val="24"/>
          <w:highlight w:val="none"/>
          <w:u w:val="single"/>
          <w:lang w:val="en-US" w:eastAsia="zh-CN" w:bidi="ar-SA"/>
        </w:rPr>
        <w:t>（姓名、       职务      ）</w:t>
      </w:r>
      <w:r>
        <w:rPr>
          <w:rFonts w:hint="eastAsia" w:ascii="宋体" w:hAnsi="宋体" w:eastAsia="宋体" w:cs="宋体"/>
          <w:b w:val="0"/>
          <w:bCs/>
          <w:color w:val="auto"/>
          <w:kern w:val="2"/>
          <w:sz w:val="24"/>
          <w:szCs w:val="24"/>
          <w:highlight w:val="none"/>
          <w:lang w:val="en-US" w:eastAsia="zh-CN" w:bidi="ar-SA"/>
        </w:rPr>
        <w:t>代表我方</w:t>
      </w:r>
      <w:r>
        <w:rPr>
          <w:rFonts w:hint="eastAsia" w:ascii="宋体" w:hAnsi="宋体" w:eastAsia="宋体" w:cs="宋体"/>
          <w:b w:val="0"/>
          <w:bCs/>
          <w:color w:val="auto"/>
          <w:kern w:val="2"/>
          <w:sz w:val="24"/>
          <w:szCs w:val="24"/>
          <w:highlight w:val="none"/>
          <w:u w:val="single"/>
          <w:lang w:val="en-US" w:eastAsia="zh-CN" w:bidi="ar-SA"/>
        </w:rPr>
        <w:t xml:space="preserve">    （供应商的名称）    </w:t>
      </w:r>
      <w:r>
        <w:rPr>
          <w:rFonts w:hint="eastAsia" w:ascii="宋体" w:hAnsi="宋体" w:eastAsia="宋体" w:cs="宋体"/>
          <w:b w:val="0"/>
          <w:bCs/>
          <w:color w:val="auto"/>
          <w:kern w:val="2"/>
          <w:sz w:val="24"/>
          <w:szCs w:val="24"/>
          <w:highlight w:val="none"/>
          <w:lang w:val="en-US" w:eastAsia="zh-CN" w:bidi="ar-SA"/>
        </w:rPr>
        <w:t>全权处理本项目谈判的有关事宜。</w:t>
      </w:r>
    </w:p>
    <w:p w14:paraId="768EA1B7">
      <w:pPr>
        <w:widowControl w:val="0"/>
        <w:spacing w:line="360" w:lineRule="auto"/>
        <w:ind w:left="0"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1、我方自愿按照竞争性谈判文件规定的各项要求向采购人提供所需服务，谈判报价（元）为人民币（大写）</w:t>
      </w:r>
      <w:r>
        <w:rPr>
          <w:rFonts w:hint="eastAsia" w:ascii="宋体" w:hAnsi="宋体" w:eastAsia="宋体" w:cs="宋体"/>
          <w:b w:val="0"/>
          <w:bCs/>
          <w:color w:val="auto"/>
          <w:kern w:val="2"/>
          <w:sz w:val="24"/>
          <w:szCs w:val="24"/>
          <w:highlight w:val="none"/>
          <w:u w:val="single"/>
          <w:lang w:val="en-US" w:eastAsia="zh-CN" w:bidi="ar-SA"/>
        </w:rPr>
        <w:t xml:space="preserve">       （小写）¥       元</w:t>
      </w:r>
      <w:r>
        <w:rPr>
          <w:rFonts w:hint="eastAsia" w:ascii="宋体" w:hAnsi="宋体" w:eastAsia="宋体" w:cs="宋体"/>
          <w:b w:val="0"/>
          <w:bCs/>
          <w:color w:val="auto"/>
          <w:kern w:val="2"/>
          <w:sz w:val="24"/>
          <w:szCs w:val="24"/>
          <w:highlight w:val="none"/>
          <w:lang w:val="en-US" w:eastAsia="zh-CN" w:bidi="ar-SA"/>
        </w:rPr>
        <w:t>。</w:t>
      </w:r>
    </w:p>
    <w:p w14:paraId="38345A49">
      <w:pPr>
        <w:widowControl w:val="0"/>
        <w:spacing w:line="360" w:lineRule="auto"/>
        <w:ind w:left="0"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2、若我方成交，我方将严格履行合同规定的责任和义务，保证按采购人要求及我方承诺完成应尽义务，并交采购人验收，使用。</w:t>
      </w:r>
    </w:p>
    <w:p w14:paraId="4449D028">
      <w:pPr>
        <w:widowControl w:val="0"/>
        <w:spacing w:line="360" w:lineRule="auto"/>
        <w:ind w:left="0"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如果我方成交，我方将在竞争性谈判文件规定的时间内签订供货合同。如果我方违约，借故拒签合同或拖延签订的，则采购人将废除授标，给采购人造成的损失的，予以赔偿，同时依法承担相应法律责任，采购人可另行选择成交单位。</w:t>
      </w:r>
    </w:p>
    <w:p w14:paraId="7CEA8825">
      <w:pPr>
        <w:widowControl w:val="0"/>
        <w:spacing w:line="360" w:lineRule="auto"/>
        <w:ind w:left="0"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4、我方愿意提供采购人可能另外要求的，与谈判有关的文件资料，并保证我方已提供和将要提供的文件资料是真实、准确的。</w:t>
      </w:r>
    </w:p>
    <w:p w14:paraId="6350C445">
      <w:pPr>
        <w:widowControl w:val="0"/>
        <w:spacing w:line="360" w:lineRule="auto"/>
        <w:ind w:left="0" w:leftChars="0" w:firstLine="480" w:firstLineChars="200"/>
        <w:jc w:val="both"/>
        <w:outlineLvl w:val="1"/>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5、响应文件有效期：递交响应文件截止之日起60天（日历日）。</w:t>
      </w:r>
    </w:p>
    <w:p w14:paraId="3C8632AE">
      <w:pPr>
        <w:widowControl w:val="0"/>
        <w:spacing w:line="360" w:lineRule="auto"/>
        <w:ind w:left="852" w:firstLine="480" w:firstLineChars="200"/>
        <w:jc w:val="left"/>
        <w:rPr>
          <w:rFonts w:ascii="宋体" w:hAnsi="宋体" w:eastAsia="宋体" w:cs="宋体"/>
          <w:b w:val="0"/>
          <w:bCs/>
          <w:color w:val="auto"/>
          <w:kern w:val="2"/>
          <w:sz w:val="24"/>
          <w:szCs w:val="24"/>
          <w:highlight w:val="none"/>
          <w:lang w:val="en-US" w:eastAsia="zh-CN" w:bidi="ar-SA"/>
        </w:rPr>
      </w:pPr>
    </w:p>
    <w:p w14:paraId="69C3FF5D">
      <w:pPr>
        <w:widowControl w:val="0"/>
        <w:spacing w:line="360" w:lineRule="auto"/>
        <w:ind w:left="852" w:firstLine="480" w:firstLineChars="200"/>
        <w:jc w:val="left"/>
        <w:rPr>
          <w:rFonts w:ascii="宋体" w:hAnsi="宋体" w:eastAsia="宋体" w:cs="宋体"/>
          <w:b w:val="0"/>
          <w:bCs/>
          <w:color w:val="auto"/>
          <w:kern w:val="2"/>
          <w:sz w:val="24"/>
          <w:szCs w:val="24"/>
          <w:highlight w:val="none"/>
          <w:lang w:val="en-US" w:eastAsia="zh-CN" w:bidi="ar-SA"/>
        </w:rPr>
      </w:pPr>
    </w:p>
    <w:p w14:paraId="53578D23">
      <w:pPr>
        <w:widowControl w:val="0"/>
        <w:spacing w:line="360" w:lineRule="auto"/>
        <w:ind w:left="852" w:hanging="852" w:hangingChars="355"/>
        <w:jc w:val="left"/>
        <w:rPr>
          <w:rFonts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供应商名称：        （盖章）</w:t>
      </w:r>
    </w:p>
    <w:p w14:paraId="16BFF100">
      <w:pPr>
        <w:widowControl w:val="0"/>
        <w:spacing w:line="360" w:lineRule="auto"/>
        <w:ind w:left="0" w:firstLine="0" w:firstLineChars="0"/>
        <w:jc w:val="left"/>
        <w:rPr>
          <w:rFonts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供应商代表人或授权代表（签字或盖章）：</w:t>
      </w:r>
    </w:p>
    <w:p w14:paraId="19220C9F">
      <w:pPr>
        <w:widowControl w:val="0"/>
        <w:spacing w:line="360" w:lineRule="auto"/>
        <w:ind w:left="0" w:firstLine="0" w:firstLineChars="0"/>
        <w:jc w:val="left"/>
        <w:rPr>
          <w:rFonts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通讯地址：</w:t>
      </w:r>
    </w:p>
    <w:p w14:paraId="51C6D2E6">
      <w:pPr>
        <w:widowControl w:val="0"/>
        <w:spacing w:line="360" w:lineRule="auto"/>
        <w:ind w:left="0" w:firstLine="0" w:firstLineChars="0"/>
        <w:jc w:val="left"/>
        <w:rPr>
          <w:rFonts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邮政编码：</w:t>
      </w:r>
    </w:p>
    <w:p w14:paraId="73FF7F92">
      <w:pPr>
        <w:widowControl w:val="0"/>
        <w:spacing w:line="360" w:lineRule="auto"/>
        <w:ind w:left="0" w:firstLine="0" w:firstLineChars="0"/>
        <w:jc w:val="left"/>
        <w:rPr>
          <w:rFonts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联系电话：</w:t>
      </w:r>
    </w:p>
    <w:p w14:paraId="3F922901">
      <w:pPr>
        <w:widowControl w:val="0"/>
        <w:spacing w:line="360" w:lineRule="auto"/>
        <w:ind w:left="0" w:firstLine="0" w:firstLineChars="0"/>
        <w:jc w:val="left"/>
        <w:rPr>
          <w:rFonts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传    真：</w:t>
      </w:r>
    </w:p>
    <w:p w14:paraId="057F71EE">
      <w:pPr>
        <w:widowControl w:val="0"/>
        <w:spacing w:line="360" w:lineRule="auto"/>
        <w:ind w:left="0" w:firstLine="0" w:firstLineChars="0"/>
        <w:jc w:val="left"/>
        <w:rPr>
          <w:rFonts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日    期：    年  月  日</w:t>
      </w:r>
    </w:p>
    <w:p w14:paraId="195E5F11">
      <w:pPr>
        <w:rPr>
          <w:rFonts w:hint="eastAsia" w:ascii="宋体" w:hAnsi="宋体" w:eastAsia="宋体" w:cs="宋体"/>
          <w:b/>
          <w:bCs w:val="0"/>
          <w:color w:val="auto"/>
          <w:kern w:val="2"/>
          <w:sz w:val="32"/>
          <w:szCs w:val="32"/>
          <w:highlight w:val="none"/>
          <w:lang w:val="en-US" w:eastAsia="zh-CN" w:bidi="ar"/>
        </w:rPr>
      </w:pPr>
      <w:r>
        <w:rPr>
          <w:rFonts w:hint="eastAsia" w:ascii="宋体" w:hAnsi="宋体" w:eastAsia="宋体" w:cs="宋体"/>
          <w:b/>
          <w:bCs w:val="0"/>
          <w:color w:val="auto"/>
          <w:kern w:val="2"/>
          <w:sz w:val="32"/>
          <w:szCs w:val="32"/>
          <w:highlight w:val="none"/>
          <w:lang w:val="en-US" w:eastAsia="zh-CN" w:bidi="ar"/>
        </w:rPr>
        <w:br w:type="page"/>
      </w:r>
    </w:p>
    <w:p w14:paraId="4DF307FF">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（二）商务报价一览表</w:t>
      </w:r>
    </w:p>
    <w:p w14:paraId="0B99248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项目名称：                                             币种：人民币</w:t>
      </w:r>
    </w:p>
    <w:tbl>
      <w:tblPr>
        <w:tblStyle w:val="22"/>
        <w:tblW w:w="949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69"/>
        <w:gridCol w:w="3244"/>
        <w:gridCol w:w="5586"/>
      </w:tblGrid>
      <w:tr w14:paraId="4EF6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6" w:hRule="atLeast"/>
        </w:trPr>
        <w:tc>
          <w:tcPr>
            <w:tcW w:w="669" w:type="dxa"/>
            <w:tcBorders>
              <w:top w:val="single" w:color="000000" w:sz="2" w:space="0"/>
              <w:left w:val="single" w:color="000000" w:sz="2" w:space="0"/>
              <w:bottom w:val="single" w:color="auto" w:sz="4" w:space="0"/>
              <w:right w:val="single" w:color="000000" w:sz="2" w:space="0"/>
            </w:tcBorders>
            <w:shd w:val="clear" w:color="auto" w:fill="auto"/>
            <w:vAlign w:val="center"/>
          </w:tcPr>
          <w:p w14:paraId="676B9201">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序号</w:t>
            </w:r>
          </w:p>
        </w:tc>
        <w:tc>
          <w:tcPr>
            <w:tcW w:w="3244" w:type="dxa"/>
            <w:tcBorders>
              <w:top w:val="single" w:color="000000" w:sz="2" w:space="0"/>
              <w:left w:val="single" w:color="auto" w:sz="4" w:space="0"/>
              <w:bottom w:val="single" w:color="auto" w:sz="4" w:space="0"/>
              <w:right w:val="single" w:color="000000" w:sz="2" w:space="0"/>
            </w:tcBorders>
            <w:shd w:val="clear" w:color="auto" w:fill="auto"/>
            <w:vAlign w:val="center"/>
          </w:tcPr>
          <w:p w14:paraId="6BDE0C05">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项目名称</w:t>
            </w:r>
          </w:p>
        </w:tc>
        <w:tc>
          <w:tcPr>
            <w:tcW w:w="5586" w:type="dxa"/>
            <w:tcBorders>
              <w:top w:val="single" w:color="000000" w:sz="2" w:space="0"/>
              <w:left w:val="single" w:color="auto" w:sz="4" w:space="0"/>
              <w:bottom w:val="single" w:color="auto" w:sz="4" w:space="0"/>
              <w:right w:val="single" w:color="000000" w:sz="2" w:space="0"/>
            </w:tcBorders>
            <w:shd w:val="clear" w:color="auto" w:fill="auto"/>
            <w:vAlign w:val="center"/>
          </w:tcPr>
          <w:p w14:paraId="42413A86">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克拉玛依市乌尔禾区瑞翔幼儿园智慧幼儿园采购项目</w:t>
            </w:r>
          </w:p>
        </w:tc>
      </w:tr>
      <w:tr w14:paraId="297C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837" w:hRule="atLeast"/>
        </w:trPr>
        <w:tc>
          <w:tcPr>
            <w:tcW w:w="669" w:type="dxa"/>
            <w:tcBorders>
              <w:top w:val="single" w:color="auto" w:sz="4" w:space="0"/>
              <w:left w:val="single" w:color="000000" w:sz="2" w:space="0"/>
              <w:bottom w:val="single" w:color="auto" w:sz="4" w:space="0"/>
              <w:right w:val="single" w:color="000000" w:sz="2" w:space="0"/>
            </w:tcBorders>
            <w:shd w:val="clear" w:color="auto" w:fill="auto"/>
            <w:vAlign w:val="center"/>
          </w:tcPr>
          <w:p w14:paraId="7C20A34C">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3244" w:type="dxa"/>
            <w:tcBorders>
              <w:top w:val="single" w:color="auto" w:sz="4" w:space="0"/>
              <w:left w:val="single" w:color="auto" w:sz="4" w:space="0"/>
              <w:bottom w:val="single" w:color="auto" w:sz="4" w:space="0"/>
              <w:right w:val="single" w:color="000000" w:sz="2" w:space="0"/>
            </w:tcBorders>
            <w:shd w:val="clear" w:color="auto" w:fill="auto"/>
            <w:vAlign w:val="center"/>
          </w:tcPr>
          <w:p w14:paraId="60CE22A6">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商务报价</w:t>
            </w:r>
            <w:r>
              <w:rPr>
                <w:rFonts w:hint="eastAsia" w:ascii="宋体" w:hAnsi="宋体" w:cs="宋体"/>
                <w:color w:val="auto"/>
                <w:kern w:val="2"/>
                <w:sz w:val="24"/>
                <w:szCs w:val="24"/>
                <w:highlight w:val="none"/>
                <w:lang w:val="en-US" w:eastAsia="zh-CN" w:bidi="ar"/>
              </w:rPr>
              <w:t>（元</w:t>
            </w:r>
            <w:bookmarkStart w:id="198" w:name="_GoBack"/>
            <w:bookmarkEnd w:id="198"/>
            <w:r>
              <w:rPr>
                <w:rFonts w:hint="eastAsia" w:ascii="宋体" w:hAnsi="宋体" w:cs="宋体"/>
                <w:color w:val="auto"/>
                <w:kern w:val="2"/>
                <w:sz w:val="24"/>
                <w:szCs w:val="24"/>
                <w:highlight w:val="none"/>
                <w:lang w:val="en-US" w:eastAsia="zh-CN" w:bidi="ar"/>
              </w:rPr>
              <w:t>）</w:t>
            </w:r>
          </w:p>
        </w:tc>
        <w:tc>
          <w:tcPr>
            <w:tcW w:w="5586" w:type="dxa"/>
            <w:tcBorders>
              <w:top w:val="single" w:color="auto" w:sz="4" w:space="0"/>
              <w:left w:val="single" w:color="auto" w:sz="4" w:space="0"/>
              <w:bottom w:val="single" w:color="auto" w:sz="4" w:space="0"/>
              <w:right w:val="single" w:color="000000" w:sz="2" w:space="0"/>
            </w:tcBorders>
            <w:shd w:val="clear" w:color="auto" w:fill="auto"/>
            <w:vAlign w:val="center"/>
          </w:tcPr>
          <w:p w14:paraId="4E34C5DA">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小写：            大写：</w:t>
            </w:r>
          </w:p>
        </w:tc>
      </w:tr>
      <w:tr w14:paraId="3490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837" w:hRule="atLeast"/>
        </w:trPr>
        <w:tc>
          <w:tcPr>
            <w:tcW w:w="669" w:type="dxa"/>
            <w:tcBorders>
              <w:top w:val="single" w:color="auto" w:sz="4" w:space="0"/>
              <w:left w:val="single" w:color="000000" w:sz="2" w:space="0"/>
              <w:bottom w:val="single" w:color="000000" w:sz="2" w:space="0"/>
              <w:right w:val="single" w:color="000000" w:sz="2" w:space="0"/>
            </w:tcBorders>
            <w:shd w:val="clear" w:color="auto" w:fill="auto"/>
            <w:vAlign w:val="center"/>
          </w:tcPr>
          <w:p w14:paraId="5107D79B">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3244" w:type="dxa"/>
            <w:tcBorders>
              <w:top w:val="single" w:color="auto" w:sz="4" w:space="0"/>
              <w:left w:val="single" w:color="auto" w:sz="4" w:space="0"/>
              <w:bottom w:val="single" w:color="000000" w:sz="2" w:space="0"/>
              <w:right w:val="single" w:color="auto" w:sz="4" w:space="0"/>
            </w:tcBorders>
            <w:shd w:val="clear" w:color="auto" w:fill="auto"/>
            <w:vAlign w:val="center"/>
          </w:tcPr>
          <w:p w14:paraId="5248678A">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供货时间</w:t>
            </w:r>
          </w:p>
        </w:tc>
        <w:tc>
          <w:tcPr>
            <w:tcW w:w="5586" w:type="dxa"/>
            <w:tcBorders>
              <w:top w:val="single" w:color="auto" w:sz="4" w:space="0"/>
              <w:left w:val="nil"/>
              <w:bottom w:val="single" w:color="000000" w:sz="2" w:space="0"/>
              <w:right w:val="single" w:color="000000" w:sz="2" w:space="0"/>
            </w:tcBorders>
            <w:shd w:val="clear" w:color="auto" w:fill="auto"/>
            <w:vAlign w:val="center"/>
          </w:tcPr>
          <w:p w14:paraId="1BB15239">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color w:val="auto"/>
                <w:kern w:val="2"/>
                <w:sz w:val="24"/>
                <w:szCs w:val="24"/>
                <w:highlight w:val="none"/>
              </w:rPr>
            </w:pPr>
          </w:p>
        </w:tc>
      </w:tr>
      <w:tr w14:paraId="215C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837" w:hRule="atLeast"/>
        </w:trPr>
        <w:tc>
          <w:tcPr>
            <w:tcW w:w="669" w:type="dxa"/>
            <w:tcBorders>
              <w:top w:val="single" w:color="auto" w:sz="4" w:space="0"/>
              <w:left w:val="single" w:color="000000" w:sz="2" w:space="0"/>
              <w:bottom w:val="single" w:color="000000" w:sz="2" w:space="0"/>
              <w:right w:val="single" w:color="000000" w:sz="2" w:space="0"/>
            </w:tcBorders>
            <w:shd w:val="clear" w:color="auto" w:fill="auto"/>
            <w:vAlign w:val="center"/>
          </w:tcPr>
          <w:p w14:paraId="064A87F3">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3244" w:type="dxa"/>
            <w:tcBorders>
              <w:top w:val="single" w:color="auto" w:sz="4" w:space="0"/>
              <w:left w:val="single" w:color="auto" w:sz="4" w:space="0"/>
              <w:bottom w:val="single" w:color="000000" w:sz="2" w:space="0"/>
              <w:right w:val="single" w:color="auto" w:sz="4" w:space="0"/>
            </w:tcBorders>
            <w:shd w:val="clear" w:color="auto" w:fill="auto"/>
            <w:vAlign w:val="center"/>
          </w:tcPr>
          <w:p w14:paraId="476D5708">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质保期</w:t>
            </w:r>
          </w:p>
        </w:tc>
        <w:tc>
          <w:tcPr>
            <w:tcW w:w="5586" w:type="dxa"/>
            <w:tcBorders>
              <w:top w:val="single" w:color="auto" w:sz="4" w:space="0"/>
              <w:left w:val="nil"/>
              <w:bottom w:val="single" w:color="000000" w:sz="2" w:space="0"/>
              <w:right w:val="single" w:color="000000" w:sz="2" w:space="0"/>
            </w:tcBorders>
            <w:shd w:val="clear" w:color="auto" w:fill="auto"/>
            <w:vAlign w:val="center"/>
          </w:tcPr>
          <w:p w14:paraId="39D6125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4"/>
                <w:szCs w:val="24"/>
                <w:highlight w:val="none"/>
              </w:rPr>
            </w:pPr>
          </w:p>
        </w:tc>
      </w:tr>
      <w:tr w14:paraId="30C7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837" w:hRule="atLeast"/>
        </w:trPr>
        <w:tc>
          <w:tcPr>
            <w:tcW w:w="669" w:type="dxa"/>
            <w:tcBorders>
              <w:top w:val="single" w:color="auto" w:sz="4" w:space="0"/>
              <w:left w:val="single" w:color="000000" w:sz="2" w:space="0"/>
              <w:bottom w:val="single" w:color="000000" w:sz="2" w:space="0"/>
              <w:right w:val="single" w:color="000000" w:sz="2" w:space="0"/>
            </w:tcBorders>
            <w:shd w:val="clear" w:color="auto" w:fill="auto"/>
            <w:vAlign w:val="center"/>
          </w:tcPr>
          <w:p w14:paraId="6C9807BA">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p>
        </w:tc>
        <w:tc>
          <w:tcPr>
            <w:tcW w:w="3244" w:type="dxa"/>
            <w:tcBorders>
              <w:top w:val="single" w:color="auto" w:sz="4" w:space="0"/>
              <w:left w:val="single" w:color="auto" w:sz="4" w:space="0"/>
              <w:bottom w:val="single" w:color="000000" w:sz="2" w:space="0"/>
              <w:right w:val="single" w:color="auto" w:sz="4" w:space="0"/>
            </w:tcBorders>
            <w:shd w:val="clear" w:color="auto" w:fill="auto"/>
            <w:vAlign w:val="center"/>
          </w:tcPr>
          <w:p w14:paraId="57F36BF9">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项目负责人</w:t>
            </w:r>
          </w:p>
        </w:tc>
        <w:tc>
          <w:tcPr>
            <w:tcW w:w="5586" w:type="dxa"/>
            <w:tcBorders>
              <w:top w:val="single" w:color="auto" w:sz="4" w:space="0"/>
              <w:left w:val="nil"/>
              <w:bottom w:val="single" w:color="000000" w:sz="2" w:space="0"/>
              <w:right w:val="single" w:color="000000" w:sz="2" w:space="0"/>
            </w:tcBorders>
            <w:shd w:val="clear" w:color="auto" w:fill="auto"/>
            <w:vAlign w:val="center"/>
          </w:tcPr>
          <w:p w14:paraId="7941B34E">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color w:val="auto"/>
                <w:kern w:val="2"/>
                <w:sz w:val="24"/>
                <w:szCs w:val="24"/>
                <w:highlight w:val="none"/>
              </w:rPr>
            </w:pPr>
          </w:p>
        </w:tc>
      </w:tr>
      <w:tr w14:paraId="2679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837" w:hRule="atLeast"/>
        </w:trPr>
        <w:tc>
          <w:tcPr>
            <w:tcW w:w="669" w:type="dxa"/>
            <w:tcBorders>
              <w:top w:val="single" w:color="auto" w:sz="4" w:space="0"/>
              <w:left w:val="single" w:color="000000" w:sz="2" w:space="0"/>
              <w:bottom w:val="single" w:color="000000" w:sz="2" w:space="0"/>
              <w:right w:val="single" w:color="000000" w:sz="2" w:space="0"/>
            </w:tcBorders>
            <w:shd w:val="clear" w:color="auto" w:fill="auto"/>
            <w:vAlign w:val="center"/>
          </w:tcPr>
          <w:p w14:paraId="657CE22B">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w:t>
            </w:r>
          </w:p>
        </w:tc>
        <w:tc>
          <w:tcPr>
            <w:tcW w:w="3244" w:type="dxa"/>
            <w:tcBorders>
              <w:top w:val="single" w:color="auto" w:sz="4" w:space="0"/>
              <w:left w:val="single" w:color="auto" w:sz="4" w:space="0"/>
              <w:bottom w:val="single" w:color="000000" w:sz="2" w:space="0"/>
              <w:right w:val="single" w:color="auto" w:sz="4" w:space="0"/>
            </w:tcBorders>
            <w:shd w:val="clear" w:color="auto" w:fill="auto"/>
            <w:vAlign w:val="center"/>
          </w:tcPr>
          <w:p w14:paraId="10883D03">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供应商其它说明（由各供应商根据本采购项目要求自行列出需说明及承诺内容）</w:t>
            </w:r>
          </w:p>
        </w:tc>
        <w:tc>
          <w:tcPr>
            <w:tcW w:w="5586" w:type="dxa"/>
            <w:tcBorders>
              <w:top w:val="single" w:color="auto" w:sz="4" w:space="0"/>
              <w:left w:val="nil"/>
              <w:bottom w:val="single" w:color="000000" w:sz="2" w:space="0"/>
              <w:right w:val="single" w:color="000000" w:sz="2" w:space="0"/>
            </w:tcBorders>
            <w:shd w:val="clear" w:color="auto" w:fill="auto"/>
            <w:vAlign w:val="center"/>
          </w:tcPr>
          <w:p w14:paraId="574FA93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2"/>
                <w:sz w:val="24"/>
                <w:szCs w:val="24"/>
                <w:highlight w:val="none"/>
              </w:rPr>
            </w:pPr>
          </w:p>
        </w:tc>
      </w:tr>
      <w:tr w14:paraId="0A97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1689" w:hRule="atLeast"/>
        </w:trPr>
        <w:tc>
          <w:tcPr>
            <w:tcW w:w="9499" w:type="dxa"/>
            <w:gridSpan w:val="3"/>
            <w:tcBorders>
              <w:top w:val="single" w:color="auto" w:sz="4" w:space="0"/>
              <w:left w:val="single" w:color="000000" w:sz="2" w:space="0"/>
              <w:bottom w:val="single" w:color="000000" w:sz="2" w:space="0"/>
              <w:right w:val="single" w:color="000000" w:sz="2" w:space="0"/>
            </w:tcBorders>
            <w:shd w:val="clear" w:color="auto" w:fill="auto"/>
            <w:vAlign w:val="center"/>
          </w:tcPr>
          <w:p w14:paraId="362DE2D9">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1、报价包含的内容：完成克拉玛依市乌尔禾区瑞翔幼儿园智慧幼儿园采购项目所包含的全部工作内容，包括货物的供应、运输、装卸（卸至采购人指定地点）、安装、调试、技术资料移交、培训以及售后服务（质保期内的软硬件升级）、税费等供应商应承担的所有工作，并配合采购人完成与此服务相关的合同条款、技术规范及标准、项目采购需求、本招标文件约定的全部内容及责任和义务。</w:t>
            </w:r>
          </w:p>
          <w:p w14:paraId="50A9FF87">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2、完成本项目所需的一切费用必须包含在商务报价中，如以后需实施而未列入报价的费用将被视为供应商优惠，采购人均不予支付。</w:t>
            </w:r>
          </w:p>
        </w:tc>
      </w:tr>
    </w:tbl>
    <w:p w14:paraId="5D614D1D">
      <w:pPr>
        <w:pStyle w:val="18"/>
        <w:keepNext w:val="0"/>
        <w:keepLines w:val="0"/>
        <w:widowControl w:val="0"/>
        <w:suppressLineNumbers w:val="0"/>
        <w:autoSpaceDE w:val="0"/>
        <w:autoSpaceDN w:val="0"/>
        <w:spacing w:before="0" w:beforeAutospacing="0" w:after="0" w:afterAutospacing="0"/>
        <w:ind w:left="0" w:right="0"/>
        <w:jc w:val="left"/>
        <w:rPr>
          <w:rFonts w:hint="default" w:ascii="宋体" w:hAnsi="宋体" w:eastAsia="ó×.2" w:cs="宋体"/>
          <w:color w:val="auto"/>
          <w:sz w:val="24"/>
          <w:szCs w:val="24"/>
          <w:highlight w:val="none"/>
        </w:rPr>
      </w:pPr>
      <w:r>
        <w:rPr>
          <w:rFonts w:hint="default" w:ascii="ó×.2" w:hAnsi="ó×.2" w:eastAsia="ó×.2" w:cs="ó×.2"/>
          <w:color w:val="auto"/>
          <w:kern w:val="0"/>
          <w:sz w:val="24"/>
          <w:szCs w:val="24"/>
          <w:highlight w:val="none"/>
          <w:lang w:val="en-US" w:eastAsia="zh-CN" w:bidi="ar"/>
        </w:rPr>
        <w:t>注：</w:t>
      </w:r>
      <w:r>
        <w:rPr>
          <w:rFonts w:hint="eastAsia" w:ascii="宋体" w:hAnsi="宋体" w:eastAsia="宋体" w:cs="宋体"/>
          <w:color w:val="auto"/>
          <w:kern w:val="0"/>
          <w:sz w:val="24"/>
          <w:szCs w:val="24"/>
          <w:highlight w:val="none"/>
          <w:lang w:val="en-US" w:eastAsia="zh-CN" w:bidi="ar"/>
        </w:rPr>
        <w:t>1</w:t>
      </w:r>
      <w:r>
        <w:rPr>
          <w:rFonts w:hint="default" w:ascii="ó×.2" w:hAnsi="ó×.2" w:eastAsia="ó×.2" w:cs="ó×.2"/>
          <w:color w:val="auto"/>
          <w:kern w:val="0"/>
          <w:sz w:val="24"/>
          <w:szCs w:val="24"/>
          <w:highlight w:val="none"/>
          <w:lang w:val="en-US" w:eastAsia="zh-CN" w:bidi="ar"/>
        </w:rPr>
        <w:t>、</w:t>
      </w:r>
      <w:r>
        <w:rPr>
          <w:rFonts w:hint="eastAsia" w:ascii="ó×.2" w:hAnsi="ó×.2" w:eastAsia="ó×.2" w:cs="ó×.2"/>
          <w:color w:val="auto"/>
          <w:kern w:val="0"/>
          <w:sz w:val="24"/>
          <w:szCs w:val="24"/>
          <w:highlight w:val="none"/>
          <w:lang w:val="en-US" w:eastAsia="zh-CN" w:bidi="ar"/>
        </w:rPr>
        <w:t>商务</w:t>
      </w:r>
      <w:r>
        <w:rPr>
          <w:rFonts w:hint="default" w:ascii="ó×.2" w:hAnsi="ó×.2" w:eastAsia="ó×.2" w:cs="ó×.2"/>
          <w:color w:val="auto"/>
          <w:kern w:val="0"/>
          <w:sz w:val="24"/>
          <w:szCs w:val="24"/>
          <w:highlight w:val="none"/>
          <w:lang w:val="en-US" w:eastAsia="zh-CN" w:bidi="ar"/>
        </w:rPr>
        <w:t>报价大写金额与小写金额不一致，以大写金额为准。</w:t>
      </w:r>
    </w:p>
    <w:p w14:paraId="400E1EBB">
      <w:pPr>
        <w:pStyle w:val="18"/>
        <w:keepNext w:val="0"/>
        <w:keepLines w:val="0"/>
        <w:widowControl w:val="0"/>
        <w:suppressLineNumbers w:val="0"/>
        <w:autoSpaceDE w:val="0"/>
        <w:autoSpaceDN w:val="0"/>
        <w:spacing w:before="0" w:beforeAutospacing="0" w:after="0" w:afterAutospacing="0"/>
        <w:ind w:left="0" w:right="0" w:firstLine="480" w:firstLineChars="200"/>
        <w:jc w:val="left"/>
        <w:rPr>
          <w:rFonts w:hint="default" w:ascii="宋体" w:hAnsi="宋体" w:eastAsia="ó×.2"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default" w:ascii="ó×.2" w:hAnsi="ó×.2" w:eastAsia="ó×.2" w:cs="ó×.2"/>
          <w:color w:val="auto"/>
          <w:kern w:val="0"/>
          <w:sz w:val="24"/>
          <w:szCs w:val="24"/>
          <w:highlight w:val="none"/>
          <w:lang w:val="en-US" w:eastAsia="zh-CN" w:bidi="ar"/>
        </w:rPr>
        <w:t>、在</w:t>
      </w:r>
      <w:r>
        <w:rPr>
          <w:rFonts w:hint="eastAsia" w:ascii="ó×.2" w:hAnsi="ó×.2" w:eastAsia="ó×.2" w:cs="ó×.2"/>
          <w:color w:val="auto"/>
          <w:kern w:val="0"/>
          <w:sz w:val="24"/>
          <w:szCs w:val="24"/>
          <w:highlight w:val="none"/>
          <w:lang w:val="en-US" w:eastAsia="zh-CN" w:bidi="ar"/>
        </w:rPr>
        <w:t>投标</w:t>
      </w:r>
      <w:r>
        <w:rPr>
          <w:rFonts w:hint="default" w:ascii="ó×.2" w:hAnsi="ó×.2" w:eastAsia="ó×.2" w:cs="ó×.2"/>
          <w:color w:val="auto"/>
          <w:kern w:val="0"/>
          <w:sz w:val="24"/>
          <w:szCs w:val="24"/>
          <w:highlight w:val="none"/>
          <w:lang w:val="en-US" w:eastAsia="zh-CN" w:bidi="ar"/>
        </w:rPr>
        <w:t>文件报价一览表中，不允许出现两种报价，否则其</w:t>
      </w:r>
      <w:r>
        <w:rPr>
          <w:rFonts w:hint="eastAsia" w:ascii="ó×.2" w:hAnsi="ó×.2" w:eastAsia="ó×.2" w:cs="ó×.2"/>
          <w:color w:val="auto"/>
          <w:kern w:val="0"/>
          <w:sz w:val="24"/>
          <w:szCs w:val="24"/>
          <w:highlight w:val="none"/>
          <w:lang w:val="en-US" w:eastAsia="zh-CN" w:bidi="ar"/>
        </w:rPr>
        <w:t>商务报价</w:t>
      </w:r>
      <w:r>
        <w:rPr>
          <w:rFonts w:hint="default" w:ascii="ó×.2" w:hAnsi="ó×.2" w:eastAsia="ó×.2" w:cs="ó×.2"/>
          <w:color w:val="auto"/>
          <w:kern w:val="0"/>
          <w:sz w:val="24"/>
          <w:szCs w:val="24"/>
          <w:highlight w:val="none"/>
          <w:lang w:val="en-US" w:eastAsia="zh-CN" w:bidi="ar"/>
        </w:rPr>
        <w:t>将被拒绝。</w:t>
      </w:r>
    </w:p>
    <w:p w14:paraId="69EA71C0">
      <w:pPr>
        <w:pStyle w:val="18"/>
        <w:keepNext w:val="0"/>
        <w:keepLines w:val="0"/>
        <w:widowControl w:val="0"/>
        <w:suppressLineNumbers w:val="0"/>
        <w:autoSpaceDE w:val="0"/>
        <w:autoSpaceDN w:val="0"/>
        <w:spacing w:before="0" w:beforeAutospacing="0" w:after="0" w:afterAutospacing="0"/>
        <w:ind w:left="0" w:right="0"/>
        <w:jc w:val="left"/>
        <w:rPr>
          <w:rFonts w:hint="default" w:ascii="宋体" w:hAnsi="宋体" w:eastAsia="ó×.2" w:cs="宋体"/>
          <w:color w:val="auto"/>
          <w:sz w:val="24"/>
          <w:szCs w:val="24"/>
          <w:highlight w:val="none"/>
        </w:rPr>
      </w:pPr>
      <w:r>
        <w:rPr>
          <w:rFonts w:hint="default" w:ascii="宋体" w:hAnsi="宋体" w:eastAsia="ó×.2" w:cs="宋体"/>
          <w:color w:val="auto"/>
          <w:kern w:val="0"/>
          <w:sz w:val="24"/>
          <w:szCs w:val="24"/>
          <w:highlight w:val="none"/>
          <w:lang w:val="en-US" w:eastAsia="zh-CN" w:bidi="ar"/>
        </w:rPr>
        <w:t xml:space="preserve"> </w:t>
      </w:r>
    </w:p>
    <w:p w14:paraId="1CB11B1C">
      <w:pPr>
        <w:pStyle w:val="18"/>
        <w:keepNext w:val="0"/>
        <w:keepLines w:val="0"/>
        <w:widowControl w:val="0"/>
        <w:suppressLineNumbers w:val="0"/>
        <w:autoSpaceDE w:val="0"/>
        <w:autoSpaceDN w:val="0"/>
        <w:spacing w:before="0" w:beforeAutospacing="0" w:after="0" w:afterAutospacing="0"/>
        <w:ind w:left="0" w:right="0"/>
        <w:jc w:val="left"/>
        <w:rPr>
          <w:rFonts w:hint="default" w:ascii="ó×.2" w:hAnsi="Calibri" w:eastAsia="ó×.2" w:cs="ó×.2"/>
          <w:color w:val="auto"/>
          <w:sz w:val="24"/>
          <w:szCs w:val="24"/>
          <w:highlight w:val="none"/>
        </w:rPr>
      </w:pPr>
      <w:r>
        <w:rPr>
          <w:rFonts w:hint="default" w:ascii="ó×.2" w:hAnsi="Calibri" w:eastAsia="ó×.2" w:cs="ó×.2"/>
          <w:color w:val="auto"/>
          <w:kern w:val="0"/>
          <w:sz w:val="24"/>
          <w:szCs w:val="24"/>
          <w:highlight w:val="none"/>
          <w:lang w:val="en-US" w:eastAsia="zh-CN" w:bidi="ar"/>
        </w:rPr>
        <w:t xml:space="preserve"> </w:t>
      </w:r>
    </w:p>
    <w:p w14:paraId="02D6AD5B">
      <w:pPr>
        <w:pStyle w:val="18"/>
        <w:keepNext w:val="0"/>
        <w:keepLines w:val="0"/>
        <w:widowControl w:val="0"/>
        <w:suppressLineNumbers w:val="0"/>
        <w:autoSpaceDE w:val="0"/>
        <w:autoSpaceDN w:val="0"/>
        <w:spacing w:before="0" w:beforeAutospacing="0" w:after="0" w:afterAutospacing="0"/>
        <w:ind w:left="0" w:right="0"/>
        <w:jc w:val="left"/>
        <w:rPr>
          <w:rFonts w:hint="default" w:ascii="ó×.2" w:hAnsi="Calibri" w:eastAsia="ó×.2" w:cs="ó×.2"/>
          <w:color w:val="auto"/>
          <w:sz w:val="24"/>
          <w:szCs w:val="24"/>
          <w:highlight w:val="none"/>
        </w:rPr>
      </w:pPr>
      <w:r>
        <w:rPr>
          <w:rFonts w:hint="default" w:ascii="ó×.2" w:hAnsi="Calibri" w:eastAsia="ó×.2" w:cs="ó×.2"/>
          <w:color w:val="auto"/>
          <w:kern w:val="0"/>
          <w:sz w:val="24"/>
          <w:szCs w:val="24"/>
          <w:highlight w:val="none"/>
          <w:lang w:val="en-US" w:eastAsia="zh-CN" w:bidi="ar"/>
        </w:rPr>
        <w:t xml:space="preserve"> </w:t>
      </w:r>
    </w:p>
    <w:p w14:paraId="0F02C1DF">
      <w:pPr>
        <w:keepNext w:val="0"/>
        <w:keepLines w:val="0"/>
        <w:widowControl w:val="0"/>
        <w:suppressLineNumbers w:val="0"/>
        <w:spacing w:before="0" w:beforeAutospacing="0" w:after="0" w:afterAutospacing="0"/>
        <w:ind w:left="0" w:right="0" w:firstLine="43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供应商（盖章）：   </w:t>
      </w:r>
    </w:p>
    <w:p w14:paraId="78F3CDE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14173C6F">
      <w:pPr>
        <w:keepNext w:val="0"/>
        <w:keepLines w:val="0"/>
        <w:widowControl w:val="0"/>
        <w:suppressLineNumbers w:val="0"/>
        <w:spacing w:before="0" w:beforeAutospacing="0" w:after="0" w:afterAutospacing="0"/>
        <w:ind w:left="0" w:right="0" w:firstLine="43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法定代表人或委托代理人签字或盖章：          </w:t>
      </w:r>
    </w:p>
    <w:p w14:paraId="774165A0">
      <w:pPr>
        <w:keepNext w:val="0"/>
        <w:keepLines w:val="0"/>
        <w:widowControl w:val="0"/>
        <w:suppressLineNumbers w:val="0"/>
        <w:spacing w:before="0" w:beforeAutospacing="0" w:after="0" w:afterAutospacing="0" w:line="360" w:lineRule="auto"/>
        <w:ind w:left="0" w:right="0"/>
        <w:jc w:val="right"/>
        <w:rPr>
          <w:rFonts w:hint="eastAsia" w:ascii="宋体" w:hAnsi="宋体" w:eastAsia="宋体" w:cs="宋体"/>
          <w:b/>
          <w:bCs w:val="0"/>
          <w:color w:val="auto"/>
          <w:kern w:val="2"/>
          <w:sz w:val="28"/>
          <w:szCs w:val="28"/>
          <w:highlight w:val="none"/>
        </w:rPr>
      </w:pPr>
      <w:r>
        <w:rPr>
          <w:rFonts w:hint="eastAsia" w:ascii="宋体" w:hAnsi="宋体" w:eastAsia="宋体" w:cs="宋体"/>
          <w:color w:val="auto"/>
          <w:kern w:val="2"/>
          <w:sz w:val="24"/>
          <w:szCs w:val="24"/>
          <w:highlight w:val="none"/>
          <w:lang w:val="en-US" w:eastAsia="zh-CN" w:bidi="ar"/>
        </w:rPr>
        <w:t>年    月    日</w:t>
      </w:r>
    </w:p>
    <w:p w14:paraId="794F873F">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br w:type="page"/>
      </w:r>
    </w:p>
    <w:p w14:paraId="4DD6265B">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（三）商务报价明细表</w:t>
      </w:r>
    </w:p>
    <w:tbl>
      <w:tblPr>
        <w:tblStyle w:val="22"/>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8"/>
        <w:gridCol w:w="2932"/>
        <w:gridCol w:w="1492"/>
        <w:gridCol w:w="950"/>
        <w:gridCol w:w="824"/>
        <w:gridCol w:w="943"/>
        <w:gridCol w:w="811"/>
        <w:gridCol w:w="1085"/>
      </w:tblGrid>
      <w:tr w14:paraId="2708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5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58E00754">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792B47A9">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名称</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04BBD395">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品牌及规格型号</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13C72011">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数量（标明单位）</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A06E27B">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单价（元）</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06F5F56C">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合价（元）</w:t>
            </w: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D79E391">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生产厂家</w:t>
            </w: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53ECFEB8">
            <w:pPr>
              <w:keepNext w:val="0"/>
              <w:keepLines w:val="0"/>
              <w:widowControl w:val="0"/>
              <w:suppressLineNumbers w:val="0"/>
              <w:suppressAutoHyphens/>
              <w:spacing w:before="0" w:beforeAutospacing="0" w:after="0" w:afterAutospacing="0" w:line="300" w:lineRule="exact"/>
              <w:ind w:left="0" w:right="0" w:firstLine="210" w:firstLineChars="1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 注</w:t>
            </w:r>
          </w:p>
        </w:tc>
      </w:tr>
      <w:tr w14:paraId="72E9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0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32D99BCB">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2C655AC0">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（所投的全部货物内容）</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7EC98A2D">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2EF20C79">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26A0E63E">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70700ED2">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FD24A0C">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351EFF56">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r>
      <w:tr w14:paraId="6B15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6216C85F">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2E2E8114">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4E8FAD1D">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6582A7CD">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CFF4A05">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203E81F1">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39ED258">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4F51896F">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r>
      <w:tr w14:paraId="465E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0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328F0A3F">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74C41028">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6D828018">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11E7FD9B">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32A078C">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6AA5C6AE">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21AE51C">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3E957A82">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r>
      <w:tr w14:paraId="3A7F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0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52145B35">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590F8263">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5D8C214D">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510A045E">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00A0313">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7CECBCF3">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7A21BC6">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775B436A">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r>
      <w:tr w14:paraId="469E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0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4EC017F7">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6A921AC7">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2961F5F8">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20A4E9A6">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68151A0">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2C916ADA">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FEE9627">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0FB19103">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r>
      <w:tr w14:paraId="2935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0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6D1782BA">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33CDDC7C">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28A821DA">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778F9CB6">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2BAE4BC3">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5B08C851">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EE6165D">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284844C2">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r>
      <w:tr w14:paraId="590F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0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23AEAA54">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4545A85C">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027E5119">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335B5E26">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578AFE2">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00B541A7">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4D12014">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3A4F08F6">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r>
      <w:tr w14:paraId="49FE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0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3DB9E2F9">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1B76722F">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6F530CBD">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1B8AC95D">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B53C021">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138DB29D">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6DDEB22">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6D008EEB">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r>
      <w:tr w14:paraId="2EAB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0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5A770222">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13CFBF44">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503BE180">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37FE9D9C">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62405F3">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3D96770E">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0ACCD34">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639CD07E">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r>
      <w:tr w14:paraId="7318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0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21E309D5">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55B1B9F0">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14CEF518">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04F47E09">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CAD126E">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7599E1D2">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AF0BEAC">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1A6A5726">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r>
      <w:tr w14:paraId="0B12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0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063FFDB5">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2932" w:type="dxa"/>
            <w:tcBorders>
              <w:top w:val="single" w:color="auto" w:sz="4" w:space="0"/>
              <w:left w:val="single" w:color="auto" w:sz="4" w:space="0"/>
              <w:bottom w:val="single" w:color="auto" w:sz="4" w:space="0"/>
              <w:right w:val="single" w:color="auto" w:sz="4" w:space="0"/>
            </w:tcBorders>
            <w:shd w:val="clear" w:color="auto" w:fill="auto"/>
            <w:vAlign w:val="center"/>
          </w:tcPr>
          <w:p w14:paraId="5AACEEA3">
            <w:pPr>
              <w:keepNext w:val="0"/>
              <w:keepLines w:val="0"/>
              <w:widowControl w:val="0"/>
              <w:suppressLineNumbers w:val="0"/>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7AF6CF39">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1DA4DBC5">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15286807">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13A8950C">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7B9894B">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19FAB291">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r>
      <w:tr w14:paraId="7FB2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00" w:hRule="atLeast"/>
          <w:jc w:val="center"/>
        </w:trPr>
        <w:tc>
          <w:tcPr>
            <w:tcW w:w="36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10125C">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合计总价（元）</w:t>
            </w:r>
          </w:p>
        </w:tc>
        <w:tc>
          <w:tcPr>
            <w:tcW w:w="61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3D07425">
            <w:pPr>
              <w:keepNext w:val="0"/>
              <w:keepLines w:val="0"/>
              <w:widowControl w:val="0"/>
              <w:suppressLineNumbers w:val="0"/>
              <w:suppressAutoHyphens/>
              <w:spacing w:before="0" w:beforeAutospacing="0" w:after="0" w:afterAutospacing="0" w:line="300" w:lineRule="exact"/>
              <w:ind w:left="0" w:right="0" w:firstLine="480"/>
              <w:jc w:val="center"/>
              <w:rPr>
                <w:rFonts w:hint="eastAsia" w:ascii="宋体" w:hAnsi="宋体" w:eastAsia="宋体" w:cs="宋体"/>
                <w:color w:val="auto"/>
                <w:kern w:val="2"/>
                <w:sz w:val="21"/>
                <w:szCs w:val="21"/>
                <w:highlight w:val="none"/>
              </w:rPr>
            </w:pPr>
          </w:p>
        </w:tc>
      </w:tr>
    </w:tbl>
    <w:p w14:paraId="76210191">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br w:type="page"/>
      </w:r>
    </w:p>
    <w:p w14:paraId="74B0E95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（四）商务条款偏离表</w:t>
      </w:r>
    </w:p>
    <w:p w14:paraId="7F9FAC38">
      <w:pPr>
        <w:keepNext w:val="0"/>
        <w:keepLines w:val="0"/>
        <w:widowControl w:val="0"/>
        <w:suppressLineNumbers w:val="0"/>
        <w:shd w:val="clear" w:fill="FFFFFF"/>
        <w:suppressAutoHyphens/>
        <w:autoSpaceDE w:val="0"/>
        <w:autoSpaceDN/>
        <w:spacing w:before="0" w:beforeAutospacing="0" w:after="0" w:afterAutospacing="0" w:line="440" w:lineRule="exact"/>
        <w:ind w:left="0" w:right="0"/>
        <w:jc w:val="center"/>
        <w:rPr>
          <w:rFonts w:hint="eastAsia" w:ascii="宋体" w:hAnsi="宋体" w:eastAsia="宋体" w:cs="宋体"/>
          <w:b/>
          <w:bCs/>
          <w:color w:val="auto"/>
          <w:kern w:val="2"/>
          <w:sz w:val="28"/>
          <w:szCs w:val="28"/>
          <w:highlight w:val="none"/>
          <w:shd w:val="clear" w:fill="FFFFFF"/>
        </w:rPr>
      </w:pPr>
      <w:r>
        <w:rPr>
          <w:rFonts w:hint="eastAsia" w:ascii="宋体" w:hAnsi="宋体" w:eastAsia="宋体" w:cs="宋体"/>
          <w:b/>
          <w:bCs/>
          <w:color w:val="auto"/>
          <w:kern w:val="2"/>
          <w:sz w:val="28"/>
          <w:szCs w:val="28"/>
          <w:highlight w:val="none"/>
          <w:shd w:val="clear" w:fill="FFFFFF"/>
          <w:lang w:val="en-US" w:eastAsia="zh-CN" w:bidi="ar"/>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91"/>
        <w:gridCol w:w="1602"/>
        <w:gridCol w:w="2458"/>
        <w:gridCol w:w="2885"/>
        <w:gridCol w:w="2018"/>
      </w:tblGrid>
      <w:tr w14:paraId="6249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80"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043E81BB">
            <w:pPr>
              <w:keepNext w:val="0"/>
              <w:keepLines w:val="0"/>
              <w:widowControl w:val="0"/>
              <w:suppressLineNumbers w:val="0"/>
              <w:suppressAutoHyphens/>
              <w:autoSpaceDE w:val="0"/>
              <w:autoSpaceDN/>
              <w:spacing w:before="0" w:beforeAutospacing="0" w:after="0" w:afterAutospacing="0" w:line="440" w:lineRule="exact"/>
              <w:ind w:left="0" w:right="0"/>
              <w:jc w:val="center"/>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序号</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14:paraId="5FBD0FD5">
            <w:pPr>
              <w:keepNext w:val="0"/>
              <w:keepLines w:val="0"/>
              <w:widowControl w:val="0"/>
              <w:suppressLineNumbers w:val="0"/>
              <w:suppressAutoHyphens/>
              <w:autoSpaceDE w:val="0"/>
              <w:autoSpaceDN/>
              <w:spacing w:before="0" w:beforeAutospacing="0" w:after="0" w:afterAutospacing="0" w:line="440" w:lineRule="exact"/>
              <w:ind w:left="0" w:right="0"/>
              <w:jc w:val="center"/>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采购文件</w:t>
            </w:r>
          </w:p>
          <w:p w14:paraId="0923E9FF">
            <w:pPr>
              <w:keepNext w:val="0"/>
              <w:keepLines w:val="0"/>
              <w:widowControl w:val="0"/>
              <w:suppressLineNumbers w:val="0"/>
              <w:suppressAutoHyphens/>
              <w:autoSpaceDE w:val="0"/>
              <w:autoSpaceDN/>
              <w:spacing w:before="0" w:beforeAutospacing="0" w:after="0" w:afterAutospacing="0" w:line="440" w:lineRule="exact"/>
              <w:ind w:left="0" w:right="0"/>
              <w:jc w:val="center"/>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条目号</w:t>
            </w:r>
          </w:p>
        </w:tc>
        <w:tc>
          <w:tcPr>
            <w:tcW w:w="2458" w:type="dxa"/>
            <w:tcBorders>
              <w:top w:val="single" w:color="auto" w:sz="4" w:space="0"/>
              <w:left w:val="single" w:color="auto" w:sz="4" w:space="0"/>
              <w:bottom w:val="single" w:color="auto" w:sz="4" w:space="0"/>
              <w:right w:val="single" w:color="auto" w:sz="4" w:space="0"/>
            </w:tcBorders>
            <w:shd w:val="clear" w:color="auto" w:fill="auto"/>
            <w:vAlign w:val="center"/>
          </w:tcPr>
          <w:p w14:paraId="69993BB6">
            <w:pPr>
              <w:keepNext w:val="0"/>
              <w:keepLines w:val="0"/>
              <w:widowControl w:val="0"/>
              <w:suppressLineNumbers w:val="0"/>
              <w:suppressAutoHyphens/>
              <w:autoSpaceDE w:val="0"/>
              <w:autoSpaceDN/>
              <w:spacing w:before="0" w:beforeAutospacing="0" w:after="0" w:afterAutospacing="0" w:line="440" w:lineRule="exact"/>
              <w:ind w:left="0" w:right="0"/>
              <w:jc w:val="center"/>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采购文件的商务条款</w:t>
            </w:r>
          </w:p>
        </w:tc>
        <w:tc>
          <w:tcPr>
            <w:tcW w:w="2885" w:type="dxa"/>
            <w:tcBorders>
              <w:top w:val="single" w:color="auto" w:sz="4" w:space="0"/>
              <w:left w:val="single" w:color="auto" w:sz="4" w:space="0"/>
              <w:bottom w:val="single" w:color="auto" w:sz="4" w:space="0"/>
              <w:right w:val="single" w:color="auto" w:sz="4" w:space="0"/>
            </w:tcBorders>
            <w:shd w:val="clear" w:color="auto" w:fill="auto"/>
            <w:vAlign w:val="center"/>
          </w:tcPr>
          <w:p w14:paraId="232B4F79">
            <w:pPr>
              <w:keepNext w:val="0"/>
              <w:keepLines w:val="0"/>
              <w:widowControl w:val="0"/>
              <w:suppressLineNumbers w:val="0"/>
              <w:suppressAutoHyphens/>
              <w:autoSpaceDE w:val="0"/>
              <w:autoSpaceDN/>
              <w:spacing w:before="0" w:beforeAutospacing="0" w:after="0" w:afterAutospacing="0" w:line="440" w:lineRule="exact"/>
              <w:ind w:left="0" w:right="0"/>
              <w:jc w:val="center"/>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投标文件的商务条款</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14:paraId="22868559">
            <w:pPr>
              <w:keepNext w:val="0"/>
              <w:keepLines w:val="0"/>
              <w:widowControl w:val="0"/>
              <w:suppressLineNumbers w:val="0"/>
              <w:suppressAutoHyphens/>
              <w:autoSpaceDE w:val="0"/>
              <w:autoSpaceDN/>
              <w:spacing w:before="0" w:beforeAutospacing="0" w:after="0" w:afterAutospacing="0" w:line="440" w:lineRule="exact"/>
              <w:ind w:left="0" w:right="0"/>
              <w:jc w:val="center"/>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说明</w:t>
            </w:r>
          </w:p>
        </w:tc>
      </w:tr>
      <w:tr w14:paraId="7B17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0D7305A7">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top"/>
          </w:tcPr>
          <w:p w14:paraId="319306DA">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458" w:type="dxa"/>
            <w:tcBorders>
              <w:top w:val="single" w:color="auto" w:sz="4" w:space="0"/>
              <w:left w:val="single" w:color="auto" w:sz="4" w:space="0"/>
              <w:bottom w:val="single" w:color="auto" w:sz="4" w:space="0"/>
              <w:right w:val="single" w:color="auto" w:sz="4" w:space="0"/>
            </w:tcBorders>
            <w:shd w:val="clear" w:color="auto" w:fill="auto"/>
            <w:vAlign w:val="top"/>
          </w:tcPr>
          <w:p w14:paraId="4EE8EE87">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885" w:type="dxa"/>
            <w:tcBorders>
              <w:top w:val="single" w:color="auto" w:sz="4" w:space="0"/>
              <w:left w:val="single" w:color="auto" w:sz="4" w:space="0"/>
              <w:bottom w:val="single" w:color="auto" w:sz="4" w:space="0"/>
              <w:right w:val="single" w:color="auto" w:sz="4" w:space="0"/>
            </w:tcBorders>
            <w:shd w:val="clear" w:color="auto" w:fill="auto"/>
            <w:vAlign w:val="top"/>
          </w:tcPr>
          <w:p w14:paraId="4A0D8786">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top"/>
          </w:tcPr>
          <w:p w14:paraId="027DE1E2">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r>
      <w:tr w14:paraId="5F10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5BCF2AF8">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top"/>
          </w:tcPr>
          <w:p w14:paraId="15CB932C">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458" w:type="dxa"/>
            <w:tcBorders>
              <w:top w:val="single" w:color="auto" w:sz="4" w:space="0"/>
              <w:left w:val="single" w:color="auto" w:sz="4" w:space="0"/>
              <w:bottom w:val="single" w:color="auto" w:sz="4" w:space="0"/>
              <w:right w:val="single" w:color="auto" w:sz="4" w:space="0"/>
            </w:tcBorders>
            <w:shd w:val="clear" w:color="auto" w:fill="auto"/>
            <w:vAlign w:val="top"/>
          </w:tcPr>
          <w:p w14:paraId="488BFADD">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885" w:type="dxa"/>
            <w:tcBorders>
              <w:top w:val="single" w:color="auto" w:sz="4" w:space="0"/>
              <w:left w:val="single" w:color="auto" w:sz="4" w:space="0"/>
              <w:bottom w:val="single" w:color="auto" w:sz="4" w:space="0"/>
              <w:right w:val="single" w:color="auto" w:sz="4" w:space="0"/>
            </w:tcBorders>
            <w:shd w:val="clear" w:color="auto" w:fill="auto"/>
            <w:vAlign w:val="top"/>
          </w:tcPr>
          <w:p w14:paraId="2CC646D7">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top"/>
          </w:tcPr>
          <w:p w14:paraId="160CF958">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r>
      <w:tr w14:paraId="0513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4AAFD3EC">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top"/>
          </w:tcPr>
          <w:p w14:paraId="6B3ACEF2">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458" w:type="dxa"/>
            <w:tcBorders>
              <w:top w:val="single" w:color="auto" w:sz="4" w:space="0"/>
              <w:left w:val="single" w:color="auto" w:sz="4" w:space="0"/>
              <w:bottom w:val="single" w:color="auto" w:sz="4" w:space="0"/>
              <w:right w:val="single" w:color="auto" w:sz="4" w:space="0"/>
            </w:tcBorders>
            <w:shd w:val="clear" w:color="auto" w:fill="auto"/>
            <w:vAlign w:val="center"/>
          </w:tcPr>
          <w:p w14:paraId="79296FF8">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885" w:type="dxa"/>
            <w:tcBorders>
              <w:top w:val="single" w:color="auto" w:sz="4" w:space="0"/>
              <w:left w:val="single" w:color="auto" w:sz="4" w:space="0"/>
              <w:bottom w:val="single" w:color="auto" w:sz="4" w:space="0"/>
              <w:right w:val="single" w:color="auto" w:sz="4" w:space="0"/>
            </w:tcBorders>
            <w:shd w:val="clear" w:color="auto" w:fill="auto"/>
            <w:vAlign w:val="top"/>
          </w:tcPr>
          <w:p w14:paraId="67A07A92">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top"/>
          </w:tcPr>
          <w:p w14:paraId="2798A84F">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r>
      <w:tr w14:paraId="434B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1E2E63C8">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top"/>
          </w:tcPr>
          <w:p w14:paraId="4BC30A53">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458" w:type="dxa"/>
            <w:tcBorders>
              <w:top w:val="single" w:color="auto" w:sz="4" w:space="0"/>
              <w:left w:val="single" w:color="auto" w:sz="4" w:space="0"/>
              <w:bottom w:val="single" w:color="auto" w:sz="4" w:space="0"/>
              <w:right w:val="single" w:color="auto" w:sz="4" w:space="0"/>
            </w:tcBorders>
            <w:shd w:val="clear" w:color="auto" w:fill="auto"/>
            <w:vAlign w:val="center"/>
          </w:tcPr>
          <w:p w14:paraId="4B62921D">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885" w:type="dxa"/>
            <w:tcBorders>
              <w:top w:val="single" w:color="auto" w:sz="4" w:space="0"/>
              <w:left w:val="single" w:color="auto" w:sz="4" w:space="0"/>
              <w:bottom w:val="single" w:color="auto" w:sz="4" w:space="0"/>
              <w:right w:val="single" w:color="auto" w:sz="4" w:space="0"/>
            </w:tcBorders>
            <w:shd w:val="clear" w:color="auto" w:fill="auto"/>
            <w:vAlign w:val="top"/>
          </w:tcPr>
          <w:p w14:paraId="6D3EADE0">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top"/>
          </w:tcPr>
          <w:p w14:paraId="29B83C26">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r>
      <w:tr w14:paraId="2009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0DCD3E7D">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top"/>
          </w:tcPr>
          <w:p w14:paraId="562D3F58">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458" w:type="dxa"/>
            <w:tcBorders>
              <w:top w:val="single" w:color="auto" w:sz="4" w:space="0"/>
              <w:left w:val="single" w:color="auto" w:sz="4" w:space="0"/>
              <w:bottom w:val="single" w:color="auto" w:sz="4" w:space="0"/>
              <w:right w:val="single" w:color="auto" w:sz="4" w:space="0"/>
            </w:tcBorders>
            <w:shd w:val="clear" w:color="auto" w:fill="auto"/>
            <w:vAlign w:val="top"/>
          </w:tcPr>
          <w:p w14:paraId="47FFE1D7">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885" w:type="dxa"/>
            <w:tcBorders>
              <w:top w:val="single" w:color="auto" w:sz="4" w:space="0"/>
              <w:left w:val="single" w:color="auto" w:sz="4" w:space="0"/>
              <w:bottom w:val="single" w:color="auto" w:sz="4" w:space="0"/>
              <w:right w:val="single" w:color="auto" w:sz="4" w:space="0"/>
            </w:tcBorders>
            <w:shd w:val="clear" w:color="auto" w:fill="auto"/>
            <w:vAlign w:val="top"/>
          </w:tcPr>
          <w:p w14:paraId="39C68CD3">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top"/>
          </w:tcPr>
          <w:p w14:paraId="45715CA0">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r>
      <w:tr w14:paraId="3F3A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16832EBC">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top"/>
          </w:tcPr>
          <w:p w14:paraId="4FF42093">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458" w:type="dxa"/>
            <w:tcBorders>
              <w:top w:val="single" w:color="auto" w:sz="4" w:space="0"/>
              <w:left w:val="single" w:color="auto" w:sz="4" w:space="0"/>
              <w:bottom w:val="single" w:color="auto" w:sz="4" w:space="0"/>
              <w:right w:val="single" w:color="auto" w:sz="4" w:space="0"/>
            </w:tcBorders>
            <w:shd w:val="clear" w:color="auto" w:fill="auto"/>
            <w:vAlign w:val="top"/>
          </w:tcPr>
          <w:p w14:paraId="42D5A76D">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885" w:type="dxa"/>
            <w:tcBorders>
              <w:top w:val="single" w:color="auto" w:sz="4" w:space="0"/>
              <w:left w:val="single" w:color="auto" w:sz="4" w:space="0"/>
              <w:bottom w:val="single" w:color="auto" w:sz="4" w:space="0"/>
              <w:right w:val="single" w:color="auto" w:sz="4" w:space="0"/>
            </w:tcBorders>
            <w:shd w:val="clear" w:color="auto" w:fill="auto"/>
            <w:vAlign w:val="top"/>
          </w:tcPr>
          <w:p w14:paraId="5E33B716">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top"/>
          </w:tcPr>
          <w:p w14:paraId="0210A7F7">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r>
      <w:tr w14:paraId="3FB0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3D12FDF0">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top"/>
          </w:tcPr>
          <w:p w14:paraId="162284FE">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458" w:type="dxa"/>
            <w:tcBorders>
              <w:top w:val="single" w:color="auto" w:sz="4" w:space="0"/>
              <w:left w:val="single" w:color="auto" w:sz="4" w:space="0"/>
              <w:bottom w:val="single" w:color="auto" w:sz="4" w:space="0"/>
              <w:right w:val="single" w:color="auto" w:sz="4" w:space="0"/>
            </w:tcBorders>
            <w:shd w:val="clear" w:color="auto" w:fill="auto"/>
            <w:vAlign w:val="top"/>
          </w:tcPr>
          <w:p w14:paraId="1BC990C5">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885" w:type="dxa"/>
            <w:tcBorders>
              <w:top w:val="single" w:color="auto" w:sz="4" w:space="0"/>
              <w:left w:val="single" w:color="auto" w:sz="4" w:space="0"/>
              <w:bottom w:val="single" w:color="auto" w:sz="4" w:space="0"/>
              <w:right w:val="single" w:color="auto" w:sz="4" w:space="0"/>
            </w:tcBorders>
            <w:shd w:val="clear" w:color="auto" w:fill="auto"/>
            <w:vAlign w:val="top"/>
          </w:tcPr>
          <w:p w14:paraId="4A6BA331">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top"/>
          </w:tcPr>
          <w:p w14:paraId="655740C8">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r>
      <w:tr w14:paraId="081A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6151EE3C">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top"/>
          </w:tcPr>
          <w:p w14:paraId="3F528134">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458" w:type="dxa"/>
            <w:tcBorders>
              <w:top w:val="single" w:color="auto" w:sz="4" w:space="0"/>
              <w:left w:val="single" w:color="auto" w:sz="4" w:space="0"/>
              <w:bottom w:val="single" w:color="auto" w:sz="4" w:space="0"/>
              <w:right w:val="single" w:color="auto" w:sz="4" w:space="0"/>
            </w:tcBorders>
            <w:shd w:val="clear" w:color="auto" w:fill="auto"/>
            <w:vAlign w:val="top"/>
          </w:tcPr>
          <w:p w14:paraId="4FDCDAE7">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885" w:type="dxa"/>
            <w:tcBorders>
              <w:top w:val="single" w:color="auto" w:sz="4" w:space="0"/>
              <w:left w:val="single" w:color="auto" w:sz="4" w:space="0"/>
              <w:bottom w:val="single" w:color="auto" w:sz="4" w:space="0"/>
              <w:right w:val="single" w:color="auto" w:sz="4" w:space="0"/>
            </w:tcBorders>
            <w:shd w:val="clear" w:color="auto" w:fill="auto"/>
            <w:vAlign w:val="top"/>
          </w:tcPr>
          <w:p w14:paraId="1D1ED5A6">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top"/>
          </w:tcPr>
          <w:p w14:paraId="4D4D6211">
            <w:pPr>
              <w:keepNext w:val="0"/>
              <w:keepLines w:val="0"/>
              <w:widowControl w:val="0"/>
              <w:suppressLineNumbers w:val="0"/>
              <w:suppressAutoHyphens/>
              <w:autoSpaceDE w:val="0"/>
              <w:autoSpaceDN/>
              <w:spacing w:before="0" w:beforeAutospacing="0" w:after="0" w:afterAutospacing="0" w:line="440" w:lineRule="exact"/>
              <w:ind w:left="0" w:right="0"/>
              <w:jc w:val="both"/>
              <w:rPr>
                <w:rFonts w:hint="default" w:ascii="宋体" w:hAnsi="宋体" w:eastAsia="宋体;SimSun" w:cs="Times New Roman"/>
                <w:color w:val="auto"/>
                <w:kern w:val="2"/>
                <w:sz w:val="24"/>
                <w:szCs w:val="24"/>
                <w:highlight w:val="none"/>
              </w:rPr>
            </w:pPr>
          </w:p>
        </w:tc>
      </w:tr>
    </w:tbl>
    <w:p w14:paraId="48C39A34">
      <w:pPr>
        <w:keepNext w:val="0"/>
        <w:keepLines w:val="0"/>
        <w:widowControl w:val="0"/>
        <w:suppressLineNumbers w:val="0"/>
        <w:shd w:val="clear" w:fill="FFFFFF"/>
        <w:suppressAutoHyphens/>
        <w:spacing w:before="0" w:beforeAutospacing="0" w:after="0" w:afterAutospacing="0" w:line="500" w:lineRule="exact"/>
        <w:ind w:left="959" w:leftChars="227" w:right="0" w:hanging="482" w:hangingChars="200"/>
        <w:jc w:val="both"/>
        <w:rPr>
          <w:rFonts w:hint="eastAsia" w:ascii="宋体" w:hAnsi="宋体" w:eastAsia="宋体" w:cs="Times New Roman"/>
          <w:b/>
          <w:bCs w:val="0"/>
          <w:color w:val="auto"/>
          <w:kern w:val="2"/>
          <w:sz w:val="24"/>
          <w:szCs w:val="24"/>
          <w:highlight w:val="none"/>
          <w:shd w:val="clear" w:fill="FFFFFF"/>
        </w:rPr>
      </w:pPr>
      <w:r>
        <w:rPr>
          <w:rFonts w:hint="eastAsia" w:ascii="宋体" w:hAnsi="宋体" w:eastAsia="宋体" w:cs="宋体"/>
          <w:b/>
          <w:bCs w:val="0"/>
          <w:color w:val="auto"/>
          <w:kern w:val="2"/>
          <w:sz w:val="24"/>
          <w:szCs w:val="24"/>
          <w:highlight w:val="none"/>
          <w:shd w:val="clear" w:fill="FFFFFF"/>
          <w:lang w:val="en-US" w:eastAsia="zh-CN" w:bidi="ar"/>
        </w:rPr>
        <w:t>注：</w:t>
      </w:r>
      <w:r>
        <w:rPr>
          <w:rFonts w:hint="eastAsia" w:ascii="宋体" w:hAnsi="宋体" w:eastAsia="宋体" w:cs="Times New Roman"/>
          <w:b/>
          <w:bCs w:val="0"/>
          <w:color w:val="auto"/>
          <w:kern w:val="2"/>
          <w:sz w:val="24"/>
          <w:szCs w:val="24"/>
          <w:highlight w:val="none"/>
          <w:shd w:val="clear" w:fill="FFFFFF"/>
          <w:lang w:val="en-US" w:eastAsia="zh-CN" w:bidi="ar"/>
        </w:rPr>
        <w:t xml:space="preserve"> </w:t>
      </w:r>
    </w:p>
    <w:p w14:paraId="0701A86D">
      <w:pPr>
        <w:keepNext w:val="0"/>
        <w:keepLines w:val="0"/>
        <w:widowControl w:val="0"/>
        <w:suppressLineNumbers w:val="0"/>
        <w:shd w:val="clear" w:fill="FFFFFF"/>
        <w:suppressAutoHyphens/>
        <w:spacing w:before="0" w:beforeAutospacing="0" w:after="0" w:afterAutospacing="0" w:line="500" w:lineRule="exact"/>
        <w:ind w:left="959" w:leftChars="227" w:right="0" w:hanging="482" w:hangingChars="200"/>
        <w:jc w:val="both"/>
        <w:rPr>
          <w:rFonts w:hint="eastAsia" w:ascii="宋体" w:hAnsi="宋体" w:eastAsia="宋体" w:cs="Times New Roman"/>
          <w:b/>
          <w:bCs w:val="0"/>
          <w:color w:val="auto"/>
          <w:kern w:val="2"/>
          <w:sz w:val="24"/>
          <w:szCs w:val="24"/>
          <w:highlight w:val="none"/>
          <w:shd w:val="clear" w:fill="FFFFFF"/>
        </w:rPr>
      </w:pPr>
      <w:r>
        <w:rPr>
          <w:rFonts w:hint="eastAsia" w:ascii="宋体" w:hAnsi="宋体" w:eastAsia="宋体" w:cs="宋体"/>
          <w:b/>
          <w:bCs w:val="0"/>
          <w:color w:val="auto"/>
          <w:kern w:val="2"/>
          <w:sz w:val="24"/>
          <w:szCs w:val="24"/>
          <w:highlight w:val="none"/>
          <w:shd w:val="clear" w:fill="FFFFFF"/>
          <w:lang w:val="en-US" w:eastAsia="zh-CN" w:bidi="ar"/>
        </w:rPr>
        <w:t>1、商务偏离表主要针对采购文件商务条款（包括但不限于采购文件中供货期、付款条件、售后服务等要求）填写；</w:t>
      </w:r>
      <w:r>
        <w:rPr>
          <w:rFonts w:hint="eastAsia" w:ascii="宋体" w:hAnsi="宋体" w:eastAsia="宋体" w:cs="Times New Roman"/>
          <w:b/>
          <w:bCs w:val="0"/>
          <w:color w:val="auto"/>
          <w:kern w:val="2"/>
          <w:sz w:val="24"/>
          <w:szCs w:val="24"/>
          <w:highlight w:val="none"/>
          <w:shd w:val="clear" w:fill="FFFFFF"/>
          <w:lang w:val="en-US" w:eastAsia="zh-CN" w:bidi="ar"/>
        </w:rPr>
        <w:t xml:space="preserve"> </w:t>
      </w:r>
    </w:p>
    <w:p w14:paraId="3286401F">
      <w:pPr>
        <w:keepNext w:val="0"/>
        <w:keepLines w:val="0"/>
        <w:widowControl w:val="0"/>
        <w:suppressLineNumbers w:val="0"/>
        <w:shd w:val="clear" w:fill="FFFFFF"/>
        <w:suppressAutoHyphens/>
        <w:spacing w:before="0" w:beforeAutospacing="0" w:after="0" w:afterAutospacing="0" w:line="500" w:lineRule="exact"/>
        <w:ind w:left="959" w:leftChars="227" w:right="0" w:hanging="482" w:hangingChars="200"/>
        <w:jc w:val="both"/>
        <w:rPr>
          <w:rFonts w:hint="eastAsia" w:ascii="宋体" w:hAnsi="宋体" w:eastAsia="宋体" w:cs="Times New Roman"/>
          <w:b/>
          <w:bCs w:val="0"/>
          <w:color w:val="auto"/>
          <w:kern w:val="2"/>
          <w:sz w:val="24"/>
          <w:szCs w:val="24"/>
          <w:highlight w:val="none"/>
          <w:shd w:val="clear" w:fill="FFFFFF"/>
        </w:rPr>
      </w:pPr>
      <w:r>
        <w:rPr>
          <w:rFonts w:hint="eastAsia" w:ascii="宋体" w:hAnsi="宋体" w:eastAsia="宋体" w:cs="宋体"/>
          <w:b/>
          <w:bCs w:val="0"/>
          <w:color w:val="auto"/>
          <w:kern w:val="2"/>
          <w:sz w:val="24"/>
          <w:szCs w:val="24"/>
          <w:highlight w:val="none"/>
          <w:shd w:val="clear" w:fill="FFFFFF"/>
          <w:lang w:val="en-US" w:eastAsia="zh-CN" w:bidi="ar"/>
        </w:rPr>
        <w:t xml:space="preserve">2、对采购文件有任何偏离应列明，并标明“其他无偏离”； </w:t>
      </w:r>
    </w:p>
    <w:p w14:paraId="64C370F9">
      <w:pPr>
        <w:keepNext w:val="0"/>
        <w:keepLines w:val="0"/>
        <w:widowControl w:val="0"/>
        <w:suppressLineNumbers w:val="0"/>
        <w:shd w:val="clear" w:fill="FFFFFF"/>
        <w:suppressAutoHyphens/>
        <w:spacing w:before="0" w:beforeAutospacing="0" w:after="0" w:afterAutospacing="0" w:line="500" w:lineRule="exact"/>
        <w:ind w:left="959" w:leftChars="227" w:right="0" w:hanging="482" w:hangingChars="200"/>
        <w:jc w:val="both"/>
        <w:rPr>
          <w:rFonts w:hint="eastAsia" w:ascii="宋体" w:hAnsi="宋体" w:eastAsia="宋体" w:cs="Times New Roman"/>
          <w:b/>
          <w:bCs w:val="0"/>
          <w:color w:val="auto"/>
          <w:kern w:val="2"/>
          <w:sz w:val="24"/>
          <w:szCs w:val="24"/>
          <w:highlight w:val="none"/>
          <w:shd w:val="clear" w:fill="FFFFFF"/>
        </w:rPr>
      </w:pPr>
      <w:r>
        <w:rPr>
          <w:rFonts w:hint="eastAsia" w:ascii="宋体" w:hAnsi="宋体" w:eastAsia="宋体" w:cs="宋体"/>
          <w:b/>
          <w:bCs w:val="0"/>
          <w:color w:val="auto"/>
          <w:kern w:val="2"/>
          <w:sz w:val="24"/>
          <w:szCs w:val="24"/>
          <w:highlight w:val="none"/>
          <w:shd w:val="clear" w:fill="FFFFFF"/>
          <w:lang w:val="en-US" w:eastAsia="zh-CN" w:bidi="ar"/>
        </w:rPr>
        <w:t xml:space="preserve">3、对采购文件无偏离应标明“全部无偏离”。 </w:t>
      </w:r>
    </w:p>
    <w:p w14:paraId="1C6BA358">
      <w:pPr>
        <w:keepNext w:val="0"/>
        <w:keepLines w:val="0"/>
        <w:widowControl w:val="0"/>
        <w:suppressLineNumbers w:val="0"/>
        <w:shd w:val="clear" w:fill="FFFFFF"/>
        <w:suppressAutoHyphens/>
        <w:spacing w:before="0" w:beforeAutospacing="0" w:after="0" w:afterAutospacing="0" w:line="500" w:lineRule="exact"/>
        <w:ind w:left="959" w:leftChars="227" w:right="0" w:hanging="482" w:hangingChars="200"/>
        <w:jc w:val="both"/>
        <w:rPr>
          <w:rFonts w:hint="eastAsia" w:ascii="宋体" w:hAnsi="宋体" w:eastAsia="宋体" w:cs="Times New Roman"/>
          <w:b/>
          <w:bCs w:val="0"/>
          <w:color w:val="auto"/>
          <w:kern w:val="2"/>
          <w:sz w:val="24"/>
          <w:szCs w:val="24"/>
          <w:highlight w:val="none"/>
          <w:shd w:val="clear" w:fill="FFFFFF"/>
        </w:rPr>
      </w:pPr>
      <w:r>
        <w:rPr>
          <w:rFonts w:hint="eastAsia" w:ascii="宋体" w:hAnsi="宋体" w:eastAsia="宋体" w:cs="宋体"/>
          <w:b/>
          <w:bCs w:val="0"/>
          <w:color w:val="auto"/>
          <w:kern w:val="2"/>
          <w:sz w:val="24"/>
          <w:szCs w:val="24"/>
          <w:highlight w:val="none"/>
          <w:shd w:val="clear" w:fill="FFFFFF"/>
          <w:lang w:val="en-US" w:eastAsia="zh-CN" w:bidi="ar"/>
        </w:rPr>
        <w:t>4、本表不得全部空白（至少得说明是否完全响应采购文件），否则将按响应处理。</w:t>
      </w:r>
    </w:p>
    <w:p w14:paraId="317452F6">
      <w:pPr>
        <w:keepNext w:val="0"/>
        <w:keepLines w:val="0"/>
        <w:widowControl w:val="0"/>
        <w:suppressLineNumbers w:val="0"/>
        <w:shd w:val="clear" w:fill="FFFFFF"/>
        <w:suppressAutoHyphens/>
        <w:spacing w:before="0" w:beforeAutospacing="0" w:after="0" w:afterAutospacing="0" w:line="440" w:lineRule="exact"/>
        <w:ind w:left="0" w:right="0" w:firstLine="99"/>
        <w:jc w:val="both"/>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 xml:space="preserve"> </w:t>
      </w:r>
    </w:p>
    <w:p w14:paraId="0361091C">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供应商（盖章）：</w:t>
      </w:r>
    </w:p>
    <w:p w14:paraId="58C41D14">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法定代表人或授权代理人：（签字或盖章）</w:t>
      </w:r>
    </w:p>
    <w:p w14:paraId="71FAB557">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日</w:t>
      </w:r>
      <w:r>
        <w:rPr>
          <w:rFonts w:hint="default" w:ascii="宋体" w:hAnsi="宋体" w:eastAsia="宋体;SimSun" w:cs="Times New Roman"/>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期：</w:t>
      </w:r>
    </w:p>
    <w:p w14:paraId="4D37211A">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br w:type="page"/>
      </w:r>
    </w:p>
    <w:p w14:paraId="4475F0AD">
      <w:pPr>
        <w:shd w:val="clear" w:color="auto" w:fill="FFFFFF"/>
        <w:suppressAutoHyphens/>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中小企业声明函（</w:t>
      </w:r>
      <w:r>
        <w:rPr>
          <w:rFonts w:hint="eastAsia" w:ascii="宋体" w:hAnsi="宋体" w:eastAsia="宋体" w:cs="宋体"/>
          <w:b/>
          <w:bCs/>
          <w:color w:val="auto"/>
          <w:sz w:val="28"/>
          <w:szCs w:val="28"/>
          <w:highlight w:val="none"/>
          <w:lang w:val="en-US" w:eastAsia="zh-CN"/>
        </w:rPr>
        <w:t>货物</w:t>
      </w:r>
      <w:r>
        <w:rPr>
          <w:rFonts w:hint="eastAsia" w:ascii="宋体" w:hAnsi="宋体" w:eastAsia="宋体" w:cs="宋体"/>
          <w:b/>
          <w:bCs/>
          <w:color w:val="auto"/>
          <w:sz w:val="28"/>
          <w:szCs w:val="28"/>
          <w:highlight w:val="none"/>
        </w:rPr>
        <w:t>）</w:t>
      </w:r>
    </w:p>
    <w:p w14:paraId="264D54E5">
      <w:pPr>
        <w:widowControl/>
        <w:suppressAutoHyphens/>
        <w:jc w:val="left"/>
        <w:rPr>
          <w:rFonts w:hint="eastAsia" w:ascii="宋体" w:hAnsi="宋体" w:eastAsia="宋体" w:cs="宋体"/>
          <w:color w:val="auto"/>
          <w:sz w:val="24"/>
          <w:szCs w:val="24"/>
          <w:highlight w:val="none"/>
        </w:rPr>
      </w:pPr>
    </w:p>
    <w:p w14:paraId="3BC02B80">
      <w:pPr>
        <w:widowControl/>
        <w:suppressAutoHyphens/>
        <w:jc w:val="left"/>
        <w:rPr>
          <w:rFonts w:hint="eastAsia" w:ascii="宋体" w:hAnsi="宋体" w:eastAsia="宋体;SimSun" w:cs="宋体"/>
          <w:color w:val="auto"/>
          <w:sz w:val="24"/>
          <w:szCs w:val="24"/>
          <w:highlight w:val="none"/>
        </w:rPr>
      </w:pPr>
    </w:p>
    <w:p w14:paraId="4F9F3845">
      <w:pPr>
        <w:widowControl/>
        <w:suppressAutoHyphens/>
        <w:spacing w:line="480" w:lineRule="exact"/>
        <w:ind w:firstLine="480" w:firstLineChars="200"/>
        <w:jc w:val="both"/>
        <w:rPr>
          <w:rFonts w:hint="eastAsia" w:ascii="宋体" w:hAnsi="宋体" w:eastAsia="宋体;SimSun" w:cs="宋体"/>
          <w:color w:val="auto"/>
          <w:sz w:val="24"/>
          <w:szCs w:val="24"/>
          <w:highlight w:val="none"/>
        </w:rPr>
      </w:pPr>
      <w:r>
        <w:rPr>
          <w:rFonts w:hint="eastAsia" w:ascii="宋体" w:hAnsi="宋体" w:eastAsia="宋体;SimSun" w:cs="宋体"/>
          <w:color w:val="auto"/>
          <w:sz w:val="24"/>
          <w:szCs w:val="24"/>
          <w:highlight w:val="none"/>
        </w:rPr>
        <w:t>本公司郑重声明，根据《政府采购促进中小企业发展管理办法》（财库[2020]46号）的规定，本公司参加</w:t>
      </w:r>
      <w:r>
        <w:rPr>
          <w:rFonts w:hint="eastAsia" w:ascii="宋体" w:hAnsi="宋体" w:eastAsia="宋体;SimSun" w:cs="宋体"/>
          <w:color w:val="auto"/>
          <w:sz w:val="24"/>
          <w:szCs w:val="24"/>
          <w:highlight w:val="none"/>
          <w:u w:val="single"/>
        </w:rPr>
        <w:t xml:space="preserve">  （单位名称）  </w:t>
      </w:r>
      <w:r>
        <w:rPr>
          <w:rFonts w:hint="eastAsia" w:ascii="宋体" w:hAnsi="宋体" w:eastAsia="宋体;SimSun" w:cs="宋体"/>
          <w:color w:val="auto"/>
          <w:sz w:val="24"/>
          <w:szCs w:val="24"/>
          <w:highlight w:val="none"/>
        </w:rPr>
        <w:t>的</w:t>
      </w:r>
      <w:r>
        <w:rPr>
          <w:rFonts w:hint="eastAsia" w:ascii="宋体" w:hAnsi="宋体" w:eastAsia="宋体;SimSun" w:cs="宋体"/>
          <w:color w:val="auto"/>
          <w:sz w:val="24"/>
          <w:szCs w:val="24"/>
          <w:highlight w:val="none"/>
          <w:u w:val="single"/>
        </w:rPr>
        <w:t xml:space="preserve">      （项目名称） </w:t>
      </w:r>
      <w:r>
        <w:rPr>
          <w:rFonts w:hint="eastAsia" w:ascii="宋体" w:hAnsi="宋体" w:eastAsia="宋体;SimSun" w:cs="宋体"/>
          <w:color w:val="auto"/>
          <w:sz w:val="24"/>
          <w:szCs w:val="24"/>
          <w:highlight w:val="none"/>
        </w:rPr>
        <w:t>采购活动，全部</w:t>
      </w:r>
      <w:r>
        <w:rPr>
          <w:rFonts w:hint="eastAsia" w:ascii="宋体" w:hAnsi="宋体" w:eastAsia="宋体;SimSun" w:cs="宋体"/>
          <w:color w:val="auto"/>
          <w:sz w:val="24"/>
          <w:szCs w:val="24"/>
          <w:highlight w:val="none"/>
          <w:lang w:val="en-US" w:eastAsia="zh-CN"/>
        </w:rPr>
        <w:t>货物</w:t>
      </w:r>
      <w:r>
        <w:rPr>
          <w:rFonts w:hint="eastAsia" w:ascii="宋体" w:hAnsi="宋体" w:eastAsia="宋体;SimSun" w:cs="宋体"/>
          <w:color w:val="auto"/>
          <w:sz w:val="24"/>
          <w:szCs w:val="24"/>
          <w:highlight w:val="none"/>
        </w:rPr>
        <w:t>由符合要求的中小企业承接。相关企业的具体情况如下：</w:t>
      </w:r>
    </w:p>
    <w:p w14:paraId="171FCFF6">
      <w:pPr>
        <w:widowControl/>
        <w:numPr>
          <w:ilvl w:val="0"/>
          <w:numId w:val="0"/>
        </w:numPr>
        <w:suppressAutoHyphens/>
        <w:spacing w:line="480" w:lineRule="exact"/>
        <w:ind w:firstLine="480" w:firstLineChars="200"/>
        <w:jc w:val="both"/>
        <w:rPr>
          <w:rFonts w:hint="eastAsia" w:ascii="宋体" w:hAnsi="宋体" w:eastAsia="宋体;SimSun" w:cs="宋体"/>
          <w:color w:val="auto"/>
          <w:sz w:val="24"/>
          <w:szCs w:val="24"/>
          <w:highlight w:val="none"/>
        </w:rPr>
      </w:pPr>
      <w:r>
        <w:rPr>
          <w:rFonts w:hint="eastAsia" w:ascii="宋体" w:hAnsi="宋体" w:eastAsia="宋体;SimSun" w:cs="宋体"/>
          <w:color w:val="auto"/>
          <w:kern w:val="2"/>
          <w:sz w:val="24"/>
          <w:szCs w:val="24"/>
          <w:highlight w:val="none"/>
          <w:lang w:val="en-US" w:eastAsia="zh-CN" w:bidi="ar-SA"/>
        </w:rPr>
        <w:t>1、</w:t>
      </w:r>
      <w:r>
        <w:rPr>
          <w:rFonts w:hint="eastAsia" w:ascii="宋体" w:hAnsi="宋体" w:eastAsia="宋体;SimSun" w:cs="宋体"/>
          <w:color w:val="auto"/>
          <w:sz w:val="24"/>
          <w:szCs w:val="24"/>
          <w:highlight w:val="none"/>
          <w:u w:val="single"/>
        </w:rPr>
        <w:t xml:space="preserve">   （标的名称）  </w:t>
      </w:r>
      <w:r>
        <w:rPr>
          <w:rFonts w:hint="eastAsia" w:ascii="宋体" w:hAnsi="宋体" w:eastAsia="宋体;SimSun" w:cs="宋体"/>
          <w:color w:val="auto"/>
          <w:sz w:val="24"/>
          <w:szCs w:val="24"/>
          <w:highlight w:val="none"/>
        </w:rPr>
        <w:t>，属于采购文件中明确的所属行业；承接企业为</w:t>
      </w:r>
      <w:r>
        <w:rPr>
          <w:rFonts w:hint="eastAsia" w:ascii="宋体" w:hAnsi="宋体" w:eastAsia="宋体;SimSun" w:cs="宋体"/>
          <w:color w:val="auto"/>
          <w:sz w:val="24"/>
          <w:szCs w:val="24"/>
          <w:highlight w:val="none"/>
          <w:u w:val="single"/>
        </w:rPr>
        <w:t>（企业名称）</w:t>
      </w:r>
      <w:r>
        <w:rPr>
          <w:rFonts w:hint="eastAsia" w:ascii="宋体" w:hAnsi="宋体" w:eastAsia="宋体;SimSun" w:cs="宋体"/>
          <w:color w:val="auto"/>
          <w:sz w:val="24"/>
          <w:szCs w:val="24"/>
          <w:highlight w:val="none"/>
        </w:rPr>
        <w:t>，从业人员</w:t>
      </w:r>
      <w:r>
        <w:rPr>
          <w:rFonts w:hint="eastAsia" w:ascii="宋体" w:hAnsi="宋体" w:eastAsia="宋体;SimSun" w:cs="宋体"/>
          <w:color w:val="auto"/>
          <w:sz w:val="24"/>
          <w:szCs w:val="24"/>
          <w:highlight w:val="none"/>
          <w:u w:val="single"/>
        </w:rPr>
        <w:t xml:space="preserve">    </w:t>
      </w:r>
      <w:r>
        <w:rPr>
          <w:rFonts w:hint="eastAsia" w:ascii="宋体" w:hAnsi="宋体" w:eastAsia="宋体;SimSun" w:cs="宋体"/>
          <w:color w:val="auto"/>
          <w:sz w:val="24"/>
          <w:szCs w:val="24"/>
          <w:highlight w:val="none"/>
        </w:rPr>
        <w:t>人，营业收入为</w:t>
      </w:r>
      <w:r>
        <w:rPr>
          <w:rFonts w:hint="eastAsia" w:ascii="宋体" w:hAnsi="宋体" w:eastAsia="宋体;SimSun" w:cs="宋体"/>
          <w:color w:val="auto"/>
          <w:sz w:val="24"/>
          <w:szCs w:val="24"/>
          <w:highlight w:val="none"/>
          <w:u w:val="single"/>
        </w:rPr>
        <w:t xml:space="preserve">    </w:t>
      </w:r>
      <w:r>
        <w:rPr>
          <w:rFonts w:hint="eastAsia" w:ascii="宋体" w:hAnsi="宋体" w:eastAsia="宋体;SimSun" w:cs="宋体"/>
          <w:color w:val="auto"/>
          <w:sz w:val="24"/>
          <w:szCs w:val="24"/>
          <w:highlight w:val="none"/>
        </w:rPr>
        <w:t>万元，资产总额为</w:t>
      </w:r>
      <w:r>
        <w:rPr>
          <w:rFonts w:hint="eastAsia" w:ascii="宋体" w:hAnsi="宋体" w:eastAsia="宋体;SimSun" w:cs="宋体"/>
          <w:color w:val="auto"/>
          <w:sz w:val="24"/>
          <w:szCs w:val="24"/>
          <w:highlight w:val="none"/>
          <w:u w:val="single"/>
        </w:rPr>
        <w:t xml:space="preserve">  </w:t>
      </w:r>
      <w:r>
        <w:rPr>
          <w:rFonts w:hint="eastAsia" w:ascii="宋体" w:hAnsi="宋体" w:eastAsia="宋体;SimSun" w:cs="宋体"/>
          <w:color w:val="auto"/>
          <w:sz w:val="24"/>
          <w:szCs w:val="24"/>
          <w:highlight w:val="none"/>
          <w:u w:val="single"/>
          <w:lang w:val="en-US" w:eastAsia="zh-CN"/>
        </w:rPr>
        <w:t xml:space="preserve">  </w:t>
      </w:r>
      <w:r>
        <w:rPr>
          <w:rFonts w:hint="eastAsia" w:ascii="宋体" w:hAnsi="宋体" w:eastAsia="宋体;SimSun" w:cs="宋体"/>
          <w:color w:val="auto"/>
          <w:sz w:val="24"/>
          <w:szCs w:val="24"/>
          <w:highlight w:val="none"/>
          <w:u w:val="single"/>
        </w:rPr>
        <w:t xml:space="preserve"> </w:t>
      </w:r>
      <w:r>
        <w:rPr>
          <w:rFonts w:hint="eastAsia" w:ascii="宋体" w:hAnsi="宋体" w:eastAsia="宋体;SimSun" w:cs="宋体"/>
          <w:color w:val="auto"/>
          <w:sz w:val="24"/>
          <w:szCs w:val="24"/>
          <w:highlight w:val="none"/>
        </w:rPr>
        <w:t>万元，属于</w:t>
      </w:r>
      <w:r>
        <w:rPr>
          <w:rFonts w:hint="eastAsia" w:ascii="宋体" w:hAnsi="宋体" w:eastAsia="宋体;SimSun" w:cs="宋体"/>
          <w:color w:val="auto"/>
          <w:sz w:val="24"/>
          <w:szCs w:val="24"/>
          <w:highlight w:val="none"/>
          <w:u w:val="single"/>
        </w:rPr>
        <w:t xml:space="preserve"> （中型企业、小型企业、微型企业）；</w:t>
      </w:r>
    </w:p>
    <w:p w14:paraId="074AB34F">
      <w:pPr>
        <w:widowControl/>
        <w:numPr>
          <w:ilvl w:val="0"/>
          <w:numId w:val="0"/>
        </w:numPr>
        <w:suppressAutoHyphens/>
        <w:spacing w:line="480" w:lineRule="exact"/>
        <w:ind w:firstLine="480" w:firstLineChars="200"/>
        <w:jc w:val="both"/>
        <w:rPr>
          <w:rFonts w:hint="eastAsia" w:ascii="宋体" w:hAnsi="宋体" w:eastAsia="宋体;SimSun" w:cs="宋体"/>
          <w:color w:val="auto"/>
          <w:sz w:val="24"/>
          <w:szCs w:val="24"/>
          <w:highlight w:val="none"/>
        </w:rPr>
      </w:pPr>
      <w:r>
        <w:rPr>
          <w:rFonts w:hint="eastAsia" w:ascii="宋体" w:hAnsi="宋体" w:eastAsia="宋体;SimSun" w:cs="宋体"/>
          <w:color w:val="auto"/>
          <w:kern w:val="2"/>
          <w:sz w:val="24"/>
          <w:szCs w:val="24"/>
          <w:highlight w:val="none"/>
          <w:lang w:val="en-US" w:eastAsia="zh-CN" w:bidi="ar-SA"/>
        </w:rPr>
        <w:t>2、</w:t>
      </w:r>
      <w:r>
        <w:rPr>
          <w:rFonts w:hint="eastAsia" w:ascii="宋体" w:hAnsi="宋体" w:eastAsia="宋体;SimSun" w:cs="宋体"/>
          <w:color w:val="auto"/>
          <w:sz w:val="24"/>
          <w:szCs w:val="24"/>
          <w:highlight w:val="none"/>
          <w:u w:val="single"/>
        </w:rPr>
        <w:t xml:space="preserve">   （标的名称）  </w:t>
      </w:r>
      <w:r>
        <w:rPr>
          <w:rFonts w:hint="eastAsia" w:ascii="宋体" w:hAnsi="宋体" w:eastAsia="宋体;SimSun" w:cs="宋体"/>
          <w:color w:val="auto"/>
          <w:sz w:val="24"/>
          <w:szCs w:val="24"/>
          <w:highlight w:val="none"/>
        </w:rPr>
        <w:t>，属于采购文件中明确的所属行业；承接企业为</w:t>
      </w:r>
      <w:r>
        <w:rPr>
          <w:rFonts w:hint="eastAsia" w:ascii="宋体" w:hAnsi="宋体" w:eastAsia="宋体;SimSun" w:cs="宋体"/>
          <w:color w:val="auto"/>
          <w:sz w:val="24"/>
          <w:szCs w:val="24"/>
          <w:highlight w:val="none"/>
          <w:u w:val="single"/>
        </w:rPr>
        <w:t>（企业名称）</w:t>
      </w:r>
      <w:r>
        <w:rPr>
          <w:rFonts w:hint="eastAsia" w:ascii="宋体" w:hAnsi="宋体" w:eastAsia="宋体;SimSun" w:cs="宋体"/>
          <w:color w:val="auto"/>
          <w:sz w:val="24"/>
          <w:szCs w:val="24"/>
          <w:highlight w:val="none"/>
        </w:rPr>
        <w:t>，从业人员</w:t>
      </w:r>
      <w:r>
        <w:rPr>
          <w:rFonts w:hint="eastAsia" w:ascii="宋体" w:hAnsi="宋体" w:eastAsia="宋体;SimSun" w:cs="宋体"/>
          <w:color w:val="auto"/>
          <w:sz w:val="24"/>
          <w:szCs w:val="24"/>
          <w:highlight w:val="none"/>
          <w:u w:val="single"/>
        </w:rPr>
        <w:t xml:space="preserve">    </w:t>
      </w:r>
      <w:r>
        <w:rPr>
          <w:rFonts w:hint="eastAsia" w:ascii="宋体" w:hAnsi="宋体" w:eastAsia="宋体;SimSun" w:cs="宋体"/>
          <w:color w:val="auto"/>
          <w:sz w:val="24"/>
          <w:szCs w:val="24"/>
          <w:highlight w:val="none"/>
        </w:rPr>
        <w:t>人，营业收入为</w:t>
      </w:r>
      <w:r>
        <w:rPr>
          <w:rFonts w:hint="eastAsia" w:ascii="宋体" w:hAnsi="宋体" w:eastAsia="宋体;SimSun" w:cs="宋体"/>
          <w:color w:val="auto"/>
          <w:sz w:val="24"/>
          <w:szCs w:val="24"/>
          <w:highlight w:val="none"/>
          <w:u w:val="single"/>
        </w:rPr>
        <w:t xml:space="preserve">    </w:t>
      </w:r>
      <w:r>
        <w:rPr>
          <w:rFonts w:hint="eastAsia" w:ascii="宋体" w:hAnsi="宋体" w:eastAsia="宋体;SimSun" w:cs="宋体"/>
          <w:color w:val="auto"/>
          <w:sz w:val="24"/>
          <w:szCs w:val="24"/>
          <w:highlight w:val="none"/>
        </w:rPr>
        <w:t>万元，资产总额为</w:t>
      </w:r>
      <w:r>
        <w:rPr>
          <w:rFonts w:hint="eastAsia" w:ascii="宋体" w:hAnsi="宋体" w:eastAsia="宋体;SimSun" w:cs="宋体"/>
          <w:color w:val="auto"/>
          <w:sz w:val="24"/>
          <w:szCs w:val="24"/>
          <w:highlight w:val="none"/>
          <w:u w:val="single"/>
        </w:rPr>
        <w:t xml:space="preserve">   </w:t>
      </w:r>
      <w:r>
        <w:rPr>
          <w:rFonts w:hint="eastAsia" w:ascii="宋体" w:hAnsi="宋体" w:eastAsia="宋体;SimSun" w:cs="宋体"/>
          <w:color w:val="auto"/>
          <w:sz w:val="24"/>
          <w:szCs w:val="24"/>
          <w:highlight w:val="none"/>
        </w:rPr>
        <w:t>万元，属于</w:t>
      </w:r>
      <w:r>
        <w:rPr>
          <w:rFonts w:hint="eastAsia" w:ascii="宋体" w:hAnsi="宋体" w:eastAsia="宋体;SimSun" w:cs="宋体"/>
          <w:color w:val="auto"/>
          <w:sz w:val="24"/>
          <w:szCs w:val="24"/>
          <w:highlight w:val="none"/>
          <w:u w:val="single"/>
        </w:rPr>
        <w:t xml:space="preserve"> （中型企业、小型企业、微型企业）；</w:t>
      </w:r>
    </w:p>
    <w:p w14:paraId="5C666C7F">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E68B460">
      <w:pPr>
        <w:widowControl/>
        <w:suppressAutoHyphens/>
        <w:spacing w:line="480" w:lineRule="exact"/>
        <w:ind w:firstLine="480" w:firstLineChars="200"/>
        <w:jc w:val="left"/>
        <w:rPr>
          <w:rFonts w:hint="eastAsia" w:ascii="宋体" w:hAnsi="宋体" w:eastAsia="宋体;SimSun" w:cs="宋体"/>
          <w:color w:val="auto"/>
          <w:sz w:val="24"/>
          <w:szCs w:val="24"/>
          <w:highlight w:val="none"/>
        </w:rPr>
      </w:pPr>
      <w:r>
        <w:rPr>
          <w:rFonts w:hint="eastAsia" w:ascii="宋体" w:hAnsi="宋体" w:eastAsia="宋体;SimSun" w:cs="宋体"/>
          <w:color w:val="auto"/>
          <w:sz w:val="24"/>
          <w:szCs w:val="24"/>
          <w:highlight w:val="none"/>
        </w:rPr>
        <w:t>以上企业，不属于大企业的分支机构，不存在控股股东为大企业的情形，也不存在与大企业的负责人为同一人的情形。</w:t>
      </w:r>
    </w:p>
    <w:p w14:paraId="3FAD0754">
      <w:pPr>
        <w:widowControl/>
        <w:suppressAutoHyphens/>
        <w:spacing w:line="480" w:lineRule="exact"/>
        <w:ind w:firstLine="480" w:firstLineChars="200"/>
        <w:jc w:val="left"/>
        <w:rPr>
          <w:rFonts w:hint="eastAsia" w:ascii="宋体" w:hAnsi="宋体" w:eastAsia="宋体;SimSun" w:cs="宋体"/>
          <w:color w:val="auto"/>
          <w:sz w:val="24"/>
          <w:szCs w:val="24"/>
          <w:highlight w:val="none"/>
        </w:rPr>
      </w:pPr>
      <w:r>
        <w:rPr>
          <w:rFonts w:hint="eastAsia" w:ascii="宋体" w:hAnsi="宋体" w:eastAsia="宋体;SimSun" w:cs="宋体"/>
          <w:color w:val="auto"/>
          <w:sz w:val="24"/>
          <w:szCs w:val="24"/>
          <w:highlight w:val="none"/>
        </w:rPr>
        <w:t>本企业对上述声明的真实性负责。如有虚假，将依法承担相应责任。</w:t>
      </w:r>
    </w:p>
    <w:p w14:paraId="1B8E77EA">
      <w:pPr>
        <w:widowControl/>
        <w:suppressAutoHyphens/>
        <w:spacing w:line="480" w:lineRule="exact"/>
        <w:jc w:val="left"/>
        <w:rPr>
          <w:rFonts w:hint="eastAsia" w:ascii="宋体" w:hAnsi="宋体" w:eastAsia="宋体;SimSun" w:cs="宋体"/>
          <w:color w:val="auto"/>
          <w:sz w:val="24"/>
          <w:szCs w:val="24"/>
          <w:highlight w:val="none"/>
        </w:rPr>
      </w:pPr>
    </w:p>
    <w:p w14:paraId="1CA66B7B">
      <w:pPr>
        <w:widowControl/>
        <w:suppressAutoHyphens/>
        <w:spacing w:line="480" w:lineRule="exact"/>
        <w:ind w:right="360"/>
        <w:jc w:val="center"/>
        <w:rPr>
          <w:rFonts w:hint="eastAsia" w:ascii="宋体" w:hAnsi="宋体" w:eastAsia="宋体;SimSun" w:cs="宋体"/>
          <w:color w:val="auto"/>
          <w:sz w:val="24"/>
          <w:szCs w:val="24"/>
          <w:highlight w:val="none"/>
        </w:rPr>
      </w:pPr>
      <w:r>
        <w:rPr>
          <w:rFonts w:hint="eastAsia" w:ascii="宋体" w:hAnsi="宋体" w:eastAsia="宋体;SimSun" w:cs="宋体"/>
          <w:color w:val="auto"/>
          <w:sz w:val="24"/>
          <w:szCs w:val="24"/>
          <w:highlight w:val="none"/>
        </w:rPr>
        <w:t xml:space="preserve">                                </w:t>
      </w:r>
    </w:p>
    <w:p w14:paraId="0EA6C297">
      <w:pPr>
        <w:pStyle w:val="65"/>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供应商名称：</w:t>
      </w:r>
      <w:r>
        <w:rPr>
          <w:rFonts w:hint="eastAsia" w:ascii="宋体" w:hAnsi="宋体" w:cs="宋体"/>
          <w:color w:val="auto"/>
          <w:sz w:val="24"/>
          <w:szCs w:val="24"/>
          <w:highlight w:val="none"/>
          <w:u w:val="single"/>
        </w:rPr>
        <w:t xml:space="preserve">    （电子</w:t>
      </w:r>
      <w:r>
        <w:rPr>
          <w:rFonts w:hint="eastAsia" w:ascii="宋体" w:hAnsi="宋体" w:cs="宋体"/>
          <w:color w:val="auto"/>
          <w:sz w:val="24"/>
          <w:szCs w:val="24"/>
          <w:highlight w:val="none"/>
          <w:u w:val="single"/>
          <w:lang w:val="en-US" w:eastAsia="zh-CN"/>
        </w:rPr>
        <w:t>公</w:t>
      </w:r>
      <w:r>
        <w:rPr>
          <w:rFonts w:hint="eastAsia" w:ascii="宋体" w:hAnsi="宋体" w:cs="宋体"/>
          <w:color w:val="auto"/>
          <w:sz w:val="24"/>
          <w:szCs w:val="24"/>
          <w:highlight w:val="none"/>
          <w:u w:val="single"/>
        </w:rPr>
        <w:t xml:space="preserve">章）    </w:t>
      </w:r>
    </w:p>
    <w:p w14:paraId="47DB110A">
      <w:pPr>
        <w:keepNext w:val="0"/>
        <w:keepLines w:val="0"/>
        <w:pageBreakBefore w:val="0"/>
        <w:widowControl/>
        <w:suppressAutoHyphens/>
        <w:kinsoku/>
        <w:wordWrap/>
        <w:overflowPunct/>
        <w:topLinePunct w:val="0"/>
        <w:autoSpaceDE/>
        <w:autoSpaceDN/>
        <w:bidi w:val="0"/>
        <w:adjustRightInd/>
        <w:snapToGrid/>
        <w:spacing w:line="440" w:lineRule="exact"/>
        <w:ind w:right="480"/>
        <w:jc w:val="center"/>
        <w:rPr>
          <w:rFonts w:hint="eastAsia" w:ascii="宋体" w:hAnsi="宋体" w:eastAsia="宋体" w:cs="宋体"/>
          <w:color w:val="auto"/>
          <w:sz w:val="24"/>
          <w:szCs w:val="24"/>
          <w:highlight w:val="none"/>
        </w:rPr>
      </w:pPr>
    </w:p>
    <w:p w14:paraId="74ED1F61">
      <w:pPr>
        <w:keepNext w:val="0"/>
        <w:keepLines w:val="0"/>
        <w:pageBreakBefore w:val="0"/>
        <w:widowControl/>
        <w:suppressAutoHyphens/>
        <w:kinsoku/>
        <w:wordWrap/>
        <w:overflowPunct/>
        <w:topLinePunct w:val="0"/>
        <w:autoSpaceDE/>
        <w:autoSpaceDN/>
        <w:bidi w:val="0"/>
        <w:adjustRightInd/>
        <w:snapToGrid/>
        <w:spacing w:line="440" w:lineRule="exact"/>
        <w:ind w:right="3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  年  月  日</w:t>
      </w:r>
    </w:p>
    <w:p w14:paraId="1CDEF4BD">
      <w:pPr>
        <w:keepNext w:val="0"/>
        <w:keepLines w:val="0"/>
        <w:pageBreakBefore w:val="0"/>
        <w:widowControl/>
        <w:shd w:val="clear" w:color="auto" w:fill="auto"/>
        <w:suppressAutoHyphens/>
        <w:kinsoku/>
        <w:wordWrap/>
        <w:overflowPunct/>
        <w:topLinePunct w:val="0"/>
        <w:autoSpaceDE/>
        <w:autoSpaceDN/>
        <w:bidi w:val="0"/>
        <w:adjustRightInd/>
        <w:snapToGrid/>
        <w:spacing w:line="440" w:lineRule="exact"/>
        <w:jc w:val="left"/>
        <w:rPr>
          <w:rFonts w:hint="eastAsia" w:ascii="宋体" w:hAnsi="宋体" w:eastAsia="宋体" w:cs="宋体"/>
          <w:b/>
          <w:bCs/>
          <w:color w:val="auto"/>
          <w:spacing w:val="0"/>
          <w:sz w:val="24"/>
          <w:szCs w:val="24"/>
          <w:highlight w:val="none"/>
        </w:rPr>
      </w:pPr>
    </w:p>
    <w:p w14:paraId="26E2EFF7">
      <w:pPr>
        <w:keepNext w:val="0"/>
        <w:keepLines w:val="0"/>
        <w:pageBreakBefore w:val="0"/>
        <w:widowControl/>
        <w:shd w:val="clear" w:color="auto" w:fill="auto"/>
        <w:suppressAutoHyphens/>
        <w:kinsoku/>
        <w:wordWrap/>
        <w:overflowPunct/>
        <w:topLinePunct w:val="0"/>
        <w:autoSpaceDE/>
        <w:autoSpaceDN/>
        <w:bidi w:val="0"/>
        <w:adjustRightInd/>
        <w:snapToGrid/>
        <w:spacing w:line="440" w:lineRule="exact"/>
        <w:jc w:val="left"/>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说明：</w:t>
      </w:r>
      <w:r>
        <w:rPr>
          <w:rFonts w:hint="eastAsia" w:ascii="宋体" w:hAnsi="宋体" w:eastAsia="宋体" w:cs="宋体"/>
          <w:b/>
          <w:bCs/>
          <w:color w:val="auto"/>
          <w:spacing w:val="0"/>
          <w:sz w:val="24"/>
          <w:szCs w:val="24"/>
          <w:highlight w:val="none"/>
          <w:lang w:val="en-US" w:eastAsia="zh-CN"/>
        </w:rPr>
        <w:t>1.只有提供的全部货物由小微企业制造，才能享受价格扣除。</w:t>
      </w:r>
    </w:p>
    <w:p w14:paraId="6210EF45">
      <w:pPr>
        <w:keepNext w:val="0"/>
        <w:keepLines w:val="0"/>
        <w:pageBreakBefore w:val="0"/>
        <w:widowControl/>
        <w:shd w:val="clear" w:color="auto" w:fill="auto"/>
        <w:suppressAutoHyphens/>
        <w:kinsoku/>
        <w:wordWrap/>
        <w:overflowPunct/>
        <w:topLinePunct w:val="0"/>
        <w:autoSpaceDE/>
        <w:autoSpaceDN/>
        <w:bidi w:val="0"/>
        <w:adjustRightInd/>
        <w:snapToGrid/>
        <w:spacing w:line="440" w:lineRule="exact"/>
        <w:ind w:firstLine="723" w:firstLineChars="3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.从业人员、营业收入、资产总额填报上一年度数据，无上一年度数据的新成立企业可不填报。</w:t>
      </w:r>
    </w:p>
    <w:p w14:paraId="1BD2CA4B">
      <w:pPr>
        <w:keepNext w:val="0"/>
        <w:keepLines w:val="0"/>
        <w:pageBreakBefore w:val="0"/>
        <w:widowControl/>
        <w:shd w:val="clear" w:color="auto" w:fill="auto"/>
        <w:tabs>
          <w:tab w:val="left" w:pos="0"/>
        </w:tabs>
        <w:suppressAutoHyphens/>
        <w:kinsoku/>
        <w:wordWrap/>
        <w:overflowPunct/>
        <w:topLinePunct w:val="0"/>
        <w:autoSpaceDE/>
        <w:autoSpaceDN/>
        <w:bidi w:val="0"/>
        <w:adjustRightInd/>
        <w:snapToGrid/>
        <w:spacing w:line="440" w:lineRule="exact"/>
        <w:ind w:left="0" w:leftChars="0" w:firstLine="723" w:firstLineChars="3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.供应商提供由省级以上监狱管理局、戒毒管理局（含新疆生产建设兵团）出具的属于监狱企业证明文件的，视同为小型和微型企业。</w:t>
      </w:r>
    </w:p>
    <w:p w14:paraId="74A3D5FE">
      <w:pPr>
        <w:keepNext w:val="0"/>
        <w:keepLines w:val="0"/>
        <w:pageBreakBefore w:val="0"/>
        <w:widowControl/>
        <w:shd w:val="clear" w:color="auto" w:fill="auto"/>
        <w:tabs>
          <w:tab w:val="left" w:pos="0"/>
        </w:tabs>
        <w:suppressAutoHyphens/>
        <w:kinsoku/>
        <w:wordWrap/>
        <w:overflowPunct/>
        <w:topLinePunct w:val="0"/>
        <w:autoSpaceDE/>
        <w:autoSpaceDN/>
        <w:bidi w:val="0"/>
        <w:adjustRightInd/>
        <w:snapToGrid/>
        <w:spacing w:line="440" w:lineRule="exact"/>
        <w:ind w:left="0" w:leftChars="0" w:firstLine="723" w:firstLineChars="3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.供应商提供</w:t>
      </w:r>
      <w:r>
        <w:rPr>
          <w:rFonts w:hint="eastAsia" w:ascii="宋体" w:hAnsi="宋体" w:eastAsia="宋体" w:cs="宋体"/>
          <w:b/>
          <w:color w:val="auto"/>
          <w:sz w:val="24"/>
          <w:szCs w:val="24"/>
          <w:highlight w:val="none"/>
          <w:lang w:val="en-US" w:eastAsia="zh-CN"/>
        </w:rPr>
        <w:t>有效的《</w:t>
      </w:r>
      <w:r>
        <w:rPr>
          <w:rFonts w:hint="eastAsia" w:ascii="宋体" w:hAnsi="宋体" w:eastAsia="宋体" w:cs="宋体"/>
          <w:b/>
          <w:color w:val="auto"/>
          <w:sz w:val="24"/>
          <w:szCs w:val="24"/>
          <w:highlight w:val="none"/>
        </w:rPr>
        <w:t>残疾人福利性单位声明函</w:t>
      </w:r>
      <w:r>
        <w:rPr>
          <w:rFonts w:hint="eastAsia" w:ascii="宋体" w:hAnsi="宋体" w:eastAsia="宋体" w:cs="宋体"/>
          <w:b/>
          <w:color w:val="auto"/>
          <w:sz w:val="24"/>
          <w:szCs w:val="24"/>
          <w:highlight w:val="none"/>
          <w:lang w:val="en-US" w:eastAsia="zh-CN"/>
        </w:rPr>
        <w:t>》的</w:t>
      </w:r>
      <w:r>
        <w:rPr>
          <w:rFonts w:hint="eastAsia" w:ascii="宋体" w:hAnsi="宋体" w:eastAsia="宋体" w:cs="宋体"/>
          <w:b/>
          <w:color w:val="auto"/>
          <w:sz w:val="24"/>
          <w:szCs w:val="24"/>
          <w:highlight w:val="none"/>
        </w:rPr>
        <w:t>，视同为小型和微型企业。</w:t>
      </w:r>
    </w:p>
    <w:p w14:paraId="22AE41DB">
      <w:pPr>
        <w:keepNext w:val="0"/>
        <w:keepLines w:val="0"/>
        <w:pageBreakBefore w:val="0"/>
        <w:widowControl/>
        <w:shd w:val="clear" w:color="auto" w:fill="auto"/>
        <w:tabs>
          <w:tab w:val="left" w:pos="0"/>
        </w:tabs>
        <w:suppressAutoHyphens/>
        <w:kinsoku/>
        <w:wordWrap/>
        <w:overflowPunct/>
        <w:topLinePunct w:val="0"/>
        <w:autoSpaceDE/>
        <w:autoSpaceDN/>
        <w:bidi w:val="0"/>
        <w:adjustRightInd/>
        <w:snapToGrid/>
        <w:spacing w:line="440" w:lineRule="exact"/>
        <w:ind w:left="0" w:leftChars="0" w:firstLine="723" w:firstLineChars="3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中小企业声明函</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务必按照</w:t>
      </w:r>
      <w:r>
        <w:rPr>
          <w:rFonts w:hint="eastAsia" w:ascii="宋体" w:hAnsi="宋体" w:eastAsia="宋体" w:cs="宋体"/>
          <w:b/>
          <w:color w:val="auto"/>
          <w:sz w:val="24"/>
          <w:szCs w:val="24"/>
          <w:highlight w:val="none"/>
          <w:lang w:val="en-US" w:eastAsia="zh-CN"/>
        </w:rPr>
        <w:t>招标</w:t>
      </w:r>
      <w:r>
        <w:rPr>
          <w:rFonts w:hint="eastAsia" w:ascii="宋体" w:hAnsi="宋体" w:eastAsia="宋体" w:cs="宋体"/>
          <w:b/>
          <w:color w:val="auto"/>
          <w:sz w:val="24"/>
          <w:szCs w:val="24"/>
          <w:highlight w:val="none"/>
        </w:rPr>
        <w:t>文件给定格式提供，供应商须如实填报相关信息，根据中小企业划型标准规定（工信部联企业【2011】300号），自行勾选企业类型。</w:t>
      </w:r>
    </w:p>
    <w:p w14:paraId="4C58E3BA">
      <w:pPr>
        <w:pStyle w:val="49"/>
        <w:keepNext w:val="0"/>
        <w:keepLines w:val="0"/>
        <w:pageBreakBefore w:val="0"/>
        <w:shd w:val="clear" w:color="auto" w:fill="auto"/>
        <w:tabs>
          <w:tab w:val="left" w:pos="0"/>
        </w:tabs>
        <w:kinsoku/>
        <w:wordWrap/>
        <w:overflowPunct/>
        <w:topLinePunct w:val="0"/>
        <w:autoSpaceDE/>
        <w:autoSpaceDN/>
        <w:bidi w:val="0"/>
        <w:adjustRightInd/>
        <w:snapToGrid/>
        <w:spacing w:line="440" w:lineRule="exact"/>
        <w:ind w:left="0" w:leftChars="0" w:firstLine="723" w:firstLineChars="300"/>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lang w:val="en-US" w:eastAsia="zh-CN"/>
        </w:rPr>
        <w:t>6</w:t>
      </w:r>
      <w:r>
        <w:rPr>
          <w:rFonts w:hint="eastAsia" w:ascii="宋体" w:hAnsi="宋体" w:eastAsia="宋体" w:cs="宋体"/>
          <w:b/>
          <w:bCs/>
          <w:color w:val="auto"/>
          <w:spacing w:val="0"/>
          <w:sz w:val="24"/>
          <w:highlight w:val="none"/>
          <w:lang w:eastAsia="zh-CN"/>
        </w:rPr>
        <w:t>.</w:t>
      </w:r>
      <w:r>
        <w:rPr>
          <w:rFonts w:hint="eastAsia" w:ascii="宋体" w:hAnsi="宋体" w:eastAsia="宋体" w:cs="宋体"/>
          <w:b/>
          <w:bCs/>
          <w:color w:val="auto"/>
          <w:spacing w:val="0"/>
          <w:sz w:val="24"/>
          <w:highlight w:val="none"/>
          <w:lang w:val="en-US" w:eastAsia="zh-CN"/>
        </w:rPr>
        <w:t>成交</w:t>
      </w:r>
      <w:r>
        <w:rPr>
          <w:rFonts w:hint="eastAsia" w:ascii="宋体" w:hAnsi="宋体" w:eastAsia="宋体" w:cs="宋体"/>
          <w:b/>
          <w:bCs/>
          <w:color w:val="auto"/>
          <w:spacing w:val="0"/>
          <w:sz w:val="24"/>
          <w:highlight w:val="none"/>
        </w:rPr>
        <w:t>供应商的《中小企业声明函》将</w:t>
      </w:r>
      <w:r>
        <w:rPr>
          <w:rFonts w:hint="eastAsia" w:ascii="宋体" w:hAnsi="宋体" w:eastAsia="宋体" w:cs="宋体"/>
          <w:b/>
          <w:bCs/>
          <w:color w:val="auto"/>
          <w:spacing w:val="0"/>
          <w:sz w:val="24"/>
          <w:highlight w:val="none"/>
          <w:lang w:val="en-US" w:eastAsia="zh-CN"/>
        </w:rPr>
        <w:t>随中标</w:t>
      </w:r>
      <w:r>
        <w:rPr>
          <w:rFonts w:hint="eastAsia" w:ascii="宋体" w:hAnsi="宋体" w:eastAsia="宋体" w:cs="宋体"/>
          <w:b/>
          <w:bCs/>
          <w:color w:val="auto"/>
          <w:spacing w:val="0"/>
          <w:sz w:val="24"/>
          <w:highlight w:val="none"/>
        </w:rPr>
        <w:t>结果公告一并公示。</w:t>
      </w:r>
    </w:p>
    <w:p w14:paraId="1D417435">
      <w:pPr>
        <w:rPr>
          <w:rFonts w:hint="eastAsia" w:ascii="宋体" w:hAnsi="宋体" w:eastAsia="宋体" w:cs="宋体"/>
          <w:b/>
          <w:bCs w:val="0"/>
          <w:color w:val="auto"/>
          <w:kern w:val="2"/>
          <w:sz w:val="32"/>
          <w:szCs w:val="32"/>
          <w:highlight w:val="none"/>
          <w:lang w:val="en-US" w:eastAsia="zh-CN" w:bidi="ar"/>
        </w:rPr>
      </w:pPr>
      <w:r>
        <w:rPr>
          <w:rFonts w:hint="eastAsia" w:ascii="宋体" w:hAnsi="宋体" w:eastAsia="宋体" w:cs="宋体"/>
          <w:b/>
          <w:bCs w:val="0"/>
          <w:color w:val="auto"/>
          <w:kern w:val="2"/>
          <w:sz w:val="32"/>
          <w:szCs w:val="32"/>
          <w:highlight w:val="none"/>
          <w:lang w:val="en-US" w:eastAsia="zh-CN" w:bidi="ar"/>
        </w:rPr>
        <w:br w:type="page"/>
      </w:r>
    </w:p>
    <w:p w14:paraId="3C51A73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 xml:space="preserve">（六）供应商资格声明 </w:t>
      </w:r>
    </w:p>
    <w:tbl>
      <w:tblPr>
        <w:tblStyle w:val="22"/>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72"/>
        <w:gridCol w:w="216"/>
        <w:gridCol w:w="1121"/>
        <w:gridCol w:w="1500"/>
        <w:gridCol w:w="1499"/>
        <w:gridCol w:w="1534"/>
        <w:gridCol w:w="1558"/>
      </w:tblGrid>
      <w:tr w14:paraId="2E84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9" w:hRule="atLeast"/>
          <w:jc w:val="center"/>
        </w:trPr>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0004119F">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供应商名称</w:t>
            </w:r>
          </w:p>
        </w:tc>
        <w:tc>
          <w:tcPr>
            <w:tcW w:w="74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9EF6595">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r>
      <w:tr w14:paraId="21C1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5BA41539">
            <w:pPr>
              <w:keepNext w:val="0"/>
              <w:keepLines w:val="0"/>
              <w:widowControl w:val="0"/>
              <w:suppressLineNumbers w:val="0"/>
              <w:spacing w:before="0" w:beforeAutospacing="0" w:after="0" w:afterAutospacing="0" w:line="460" w:lineRule="exact"/>
              <w:ind w:left="0" w:right="0"/>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地 址</w:t>
            </w:r>
          </w:p>
        </w:tc>
        <w:tc>
          <w:tcPr>
            <w:tcW w:w="74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97A31DD">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r>
      <w:tr w14:paraId="73E9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6E64095D">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主管部门</w:t>
            </w:r>
          </w:p>
        </w:tc>
        <w:tc>
          <w:tcPr>
            <w:tcW w:w="1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CBCE4B">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05A6796">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法定代表人</w:t>
            </w:r>
          </w:p>
        </w:tc>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14:paraId="279E224A">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63FD9195">
            <w:pPr>
              <w:keepNext w:val="0"/>
              <w:keepLines w:val="0"/>
              <w:widowControl w:val="0"/>
              <w:suppressLineNumbers w:val="0"/>
              <w:spacing w:before="0" w:beforeAutospacing="0" w:after="0" w:afterAutospacing="0" w:line="460" w:lineRule="exact"/>
              <w:ind w:left="0" w:right="0" w:firstLine="240" w:firstLineChars="10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职 务</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top"/>
          </w:tcPr>
          <w:p w14:paraId="72DC5219">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r>
      <w:tr w14:paraId="7F25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9" w:hRule="atLeast"/>
          <w:jc w:val="center"/>
        </w:trPr>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2BE6BE4C">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注册时间</w:t>
            </w:r>
          </w:p>
        </w:tc>
        <w:tc>
          <w:tcPr>
            <w:tcW w:w="2837"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5C6E6219">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vAlign w:val="top"/>
          </w:tcPr>
          <w:p w14:paraId="7E809A7C">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经济类型</w:t>
            </w:r>
          </w:p>
        </w:tc>
        <w:tc>
          <w:tcPr>
            <w:tcW w:w="309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51823CD">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r>
      <w:tr w14:paraId="749C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450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D56EF50">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营业执照号</w:t>
            </w:r>
          </w:p>
        </w:tc>
        <w:tc>
          <w:tcPr>
            <w:tcW w:w="45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EAB6EF">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r>
      <w:tr w14:paraId="16F2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450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9EAF7EB">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近三年内（2023年至2025年）经营活动中有无重大违法纪录</w:t>
            </w:r>
          </w:p>
        </w:tc>
        <w:tc>
          <w:tcPr>
            <w:tcW w:w="45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CBF17D">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r>
      <w:tr w14:paraId="08F1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8" w:hRule="atLeast"/>
          <w:jc w:val="center"/>
        </w:trPr>
        <w:tc>
          <w:tcPr>
            <w:tcW w:w="18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B07CE5">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是否依法缴纳税收</w:t>
            </w:r>
          </w:p>
        </w:tc>
        <w:tc>
          <w:tcPr>
            <w:tcW w:w="2621"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7D88B95">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vAlign w:val="top"/>
          </w:tcPr>
          <w:p w14:paraId="4785327C">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是否依法缴纳社会保障资金</w:t>
            </w:r>
          </w:p>
        </w:tc>
        <w:tc>
          <w:tcPr>
            <w:tcW w:w="309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B1FC500">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r>
      <w:tr w14:paraId="15C5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888"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5C34B7A">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单</w:t>
            </w:r>
          </w:p>
          <w:p w14:paraId="1DF92059">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位</w:t>
            </w:r>
          </w:p>
          <w:p w14:paraId="2028ECA9">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概</w:t>
            </w:r>
          </w:p>
          <w:p w14:paraId="68894783">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况</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330C8C4A">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注册资本</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top"/>
          </w:tcPr>
          <w:p w14:paraId="166C3F7E">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     万元</w:t>
            </w:r>
          </w:p>
        </w:tc>
        <w:tc>
          <w:tcPr>
            <w:tcW w:w="1499" w:type="dxa"/>
            <w:tcBorders>
              <w:top w:val="single" w:color="auto" w:sz="4" w:space="0"/>
              <w:left w:val="single" w:color="auto" w:sz="4" w:space="0"/>
              <w:bottom w:val="single" w:color="auto" w:sz="4" w:space="0"/>
              <w:right w:val="single" w:color="auto" w:sz="4" w:space="0"/>
            </w:tcBorders>
            <w:shd w:val="clear" w:color="auto" w:fill="auto"/>
            <w:vAlign w:val="top"/>
          </w:tcPr>
          <w:p w14:paraId="5047FAB7">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占地面积</w:t>
            </w:r>
          </w:p>
        </w:tc>
        <w:tc>
          <w:tcPr>
            <w:tcW w:w="309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1B2DD85">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               平方米</w:t>
            </w:r>
          </w:p>
        </w:tc>
      </w:tr>
      <w:tr w14:paraId="6F48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88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ED881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63CA191E">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职工总数</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top"/>
          </w:tcPr>
          <w:p w14:paraId="192977D7">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       人</w:t>
            </w:r>
          </w:p>
        </w:tc>
        <w:tc>
          <w:tcPr>
            <w:tcW w:w="1499" w:type="dxa"/>
            <w:tcBorders>
              <w:top w:val="single" w:color="auto" w:sz="4" w:space="0"/>
              <w:left w:val="single" w:color="auto" w:sz="4" w:space="0"/>
              <w:bottom w:val="single" w:color="auto" w:sz="4" w:space="0"/>
              <w:right w:val="single" w:color="auto" w:sz="4" w:space="0"/>
            </w:tcBorders>
            <w:shd w:val="clear" w:color="auto" w:fill="auto"/>
            <w:vAlign w:val="top"/>
          </w:tcPr>
          <w:p w14:paraId="0D21467D">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建筑面积</w:t>
            </w:r>
          </w:p>
        </w:tc>
        <w:tc>
          <w:tcPr>
            <w:tcW w:w="309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3C19A00">
            <w:pPr>
              <w:keepNext w:val="0"/>
              <w:keepLines w:val="0"/>
              <w:widowControl w:val="0"/>
              <w:suppressLineNumbers w:val="0"/>
              <w:spacing w:before="0" w:beforeAutospacing="0" w:after="0" w:afterAutospacing="0" w:line="460" w:lineRule="exact"/>
              <w:ind w:left="0" w:right="0" w:firstLine="1800" w:firstLineChars="75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平方米</w:t>
            </w:r>
          </w:p>
        </w:tc>
      </w:tr>
      <w:tr w14:paraId="3ACF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9" w:hRule="atLeast"/>
          <w:jc w:val="center"/>
        </w:trPr>
        <w:tc>
          <w:tcPr>
            <w:tcW w:w="188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D051D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21" w:type="dxa"/>
            <w:vMerge w:val="restart"/>
            <w:tcBorders>
              <w:top w:val="nil"/>
              <w:left w:val="single" w:color="auto" w:sz="4" w:space="0"/>
              <w:bottom w:val="single" w:color="auto" w:sz="4" w:space="0"/>
              <w:right w:val="single" w:color="auto" w:sz="4" w:space="0"/>
            </w:tcBorders>
            <w:shd w:val="clear" w:color="auto" w:fill="auto"/>
            <w:vAlign w:val="center"/>
          </w:tcPr>
          <w:p w14:paraId="25CAA530">
            <w:pPr>
              <w:keepNext w:val="0"/>
              <w:keepLines w:val="0"/>
              <w:widowControl w:val="0"/>
              <w:suppressLineNumbers w:val="0"/>
              <w:spacing w:before="0" w:beforeAutospacing="0" w:after="0" w:afterAutospacing="0" w:line="460" w:lineRule="exact"/>
              <w:ind w:left="0" w:right="0" w:firstLine="240" w:firstLineChars="10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资产</w:t>
            </w:r>
          </w:p>
          <w:p w14:paraId="0F8B04B9">
            <w:pPr>
              <w:keepNext w:val="0"/>
              <w:keepLines w:val="0"/>
              <w:widowControl w:val="0"/>
              <w:suppressLineNumbers w:val="0"/>
              <w:spacing w:before="0" w:beforeAutospacing="0" w:after="0" w:afterAutospacing="0" w:line="460" w:lineRule="exact"/>
              <w:ind w:left="0" w:right="0" w:firstLine="240" w:firstLineChars="10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情况</w:t>
            </w:r>
          </w:p>
        </w:tc>
        <w:tc>
          <w:tcPr>
            <w:tcW w:w="29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8B249B">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净资产：        万元</w:t>
            </w:r>
          </w:p>
        </w:tc>
        <w:tc>
          <w:tcPr>
            <w:tcW w:w="3092" w:type="dxa"/>
            <w:gridSpan w:val="2"/>
            <w:vMerge w:val="restart"/>
            <w:tcBorders>
              <w:top w:val="nil"/>
              <w:left w:val="single" w:color="auto" w:sz="4" w:space="0"/>
              <w:bottom w:val="single" w:color="auto" w:sz="4" w:space="0"/>
              <w:right w:val="single" w:color="auto" w:sz="4" w:space="0"/>
            </w:tcBorders>
            <w:shd w:val="clear" w:color="auto" w:fill="auto"/>
            <w:vAlign w:val="top"/>
          </w:tcPr>
          <w:p w14:paraId="5E9173ED">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固定资产原值 ：      万元</w:t>
            </w:r>
          </w:p>
          <w:p w14:paraId="68B6410E">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固定资产净值：       万元</w:t>
            </w:r>
          </w:p>
        </w:tc>
      </w:tr>
      <w:tr w14:paraId="1E7B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9" w:hRule="atLeast"/>
          <w:jc w:val="center"/>
        </w:trPr>
        <w:tc>
          <w:tcPr>
            <w:tcW w:w="188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EBBE2E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21" w:type="dxa"/>
            <w:vMerge w:val="continue"/>
            <w:tcBorders>
              <w:top w:val="nil"/>
              <w:left w:val="single" w:color="auto" w:sz="4" w:space="0"/>
              <w:bottom w:val="single" w:color="auto" w:sz="4" w:space="0"/>
              <w:right w:val="single" w:color="auto" w:sz="4" w:space="0"/>
            </w:tcBorders>
            <w:shd w:val="clear" w:color="auto" w:fill="auto"/>
            <w:vAlign w:val="center"/>
          </w:tcPr>
          <w:p w14:paraId="434C99B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9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C11DEB">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负 债：         万元</w:t>
            </w:r>
          </w:p>
        </w:tc>
        <w:tc>
          <w:tcPr>
            <w:tcW w:w="3092" w:type="dxa"/>
            <w:gridSpan w:val="2"/>
            <w:vMerge w:val="continue"/>
            <w:tcBorders>
              <w:top w:val="nil"/>
              <w:left w:val="single" w:color="auto" w:sz="4" w:space="0"/>
              <w:bottom w:val="single" w:color="auto" w:sz="4" w:space="0"/>
              <w:right w:val="single" w:color="auto" w:sz="4" w:space="0"/>
            </w:tcBorders>
            <w:shd w:val="clear" w:color="auto" w:fill="auto"/>
            <w:vAlign w:val="top"/>
          </w:tcPr>
          <w:p w14:paraId="1D8EB94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20C2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888"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A87E841">
            <w:pPr>
              <w:keepNext w:val="0"/>
              <w:keepLines w:val="0"/>
              <w:widowControl w:val="0"/>
              <w:suppressLineNumbers w:val="0"/>
              <w:spacing w:before="0" w:beforeAutospacing="0" w:after="0" w:afterAutospacing="0" w:line="460" w:lineRule="exact"/>
              <w:ind w:left="0" w:right="0" w:firstLine="120" w:firstLineChars="5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财务状况</w:t>
            </w:r>
          </w:p>
          <w:p w14:paraId="054E05D7">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（最近三年2023年至2025年）</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1E61290F">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年份</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3B6CBCA2">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主营收入</w:t>
            </w:r>
          </w:p>
          <w:p w14:paraId="5FE16A59">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（万元）</w:t>
            </w:r>
          </w:p>
        </w:tc>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14:paraId="66479F7F">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收入总额</w:t>
            </w:r>
          </w:p>
          <w:p w14:paraId="6D5DDA4B">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（万元）</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2A5AAB80">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利润总额</w:t>
            </w:r>
          </w:p>
          <w:p w14:paraId="5EEDE192">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（万元）</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201AFA00">
            <w:pPr>
              <w:keepNext w:val="0"/>
              <w:keepLines w:val="0"/>
              <w:widowControl w:val="0"/>
              <w:suppressLineNumbers w:val="0"/>
              <w:spacing w:before="0" w:beforeAutospacing="0" w:after="0" w:afterAutospacing="0" w:line="460" w:lineRule="exact"/>
              <w:ind w:left="0" w:right="0" w:firstLine="240" w:firstLineChars="10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净利润</w:t>
            </w:r>
          </w:p>
          <w:p w14:paraId="6E9F3D53">
            <w:pPr>
              <w:keepNext w:val="0"/>
              <w:keepLines w:val="0"/>
              <w:widowControl w:val="0"/>
              <w:suppressLineNumbers w:val="0"/>
              <w:spacing w:before="0" w:beforeAutospacing="0" w:after="0" w:afterAutospacing="0" w:line="460" w:lineRule="exact"/>
              <w:ind w:left="0" w:right="0" w:firstLine="240" w:firstLineChars="10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（万元）</w:t>
            </w:r>
          </w:p>
        </w:tc>
      </w:tr>
      <w:tr w14:paraId="47C8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9" w:hRule="atLeast"/>
          <w:jc w:val="center"/>
        </w:trPr>
        <w:tc>
          <w:tcPr>
            <w:tcW w:w="188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796326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532FD261">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3476E2E1">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14:paraId="0967DC0C">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1BC87ADB">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238D551A">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r>
      <w:tr w14:paraId="75ED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9" w:hRule="atLeast"/>
          <w:jc w:val="center"/>
        </w:trPr>
        <w:tc>
          <w:tcPr>
            <w:tcW w:w="188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744044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1A5545ED">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92A945D">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14:paraId="4ED9A45C">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60D435C2">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1AC8ACCF">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r>
      <w:tr w14:paraId="507E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9" w:hRule="atLeast"/>
          <w:jc w:val="center"/>
        </w:trPr>
        <w:tc>
          <w:tcPr>
            <w:tcW w:w="1888"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8C3962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79DDF76F">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top"/>
          </w:tcPr>
          <w:p w14:paraId="0D44C5CA">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499" w:type="dxa"/>
            <w:tcBorders>
              <w:top w:val="single" w:color="auto" w:sz="4" w:space="0"/>
              <w:left w:val="single" w:color="auto" w:sz="4" w:space="0"/>
              <w:bottom w:val="single" w:color="auto" w:sz="4" w:space="0"/>
              <w:right w:val="single" w:color="auto" w:sz="4" w:space="0"/>
            </w:tcBorders>
            <w:shd w:val="clear" w:color="auto" w:fill="auto"/>
            <w:vAlign w:val="top"/>
          </w:tcPr>
          <w:p w14:paraId="093D146D">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top"/>
          </w:tcPr>
          <w:p w14:paraId="69FDD721">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shd w:val="clear" w:color="auto" w:fill="auto"/>
            <w:vAlign w:val="top"/>
          </w:tcPr>
          <w:p w14:paraId="0FD6248B">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r>
      <w:tr w14:paraId="3E0E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888"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1999CC0">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经营范围</w:t>
            </w:r>
          </w:p>
        </w:tc>
        <w:tc>
          <w:tcPr>
            <w:tcW w:w="721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0E0C10D">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r>
      <w:tr w14:paraId="7899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88"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730F3E3">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备注 </w:t>
            </w:r>
          </w:p>
        </w:tc>
        <w:tc>
          <w:tcPr>
            <w:tcW w:w="721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8101D97">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Cs/>
                <w:color w:val="auto"/>
                <w:kern w:val="2"/>
                <w:sz w:val="24"/>
                <w:szCs w:val="24"/>
                <w:highlight w:val="none"/>
              </w:rPr>
            </w:pPr>
          </w:p>
        </w:tc>
      </w:tr>
    </w:tbl>
    <w:p w14:paraId="6347608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（七）项目负责人简历</w:t>
      </w:r>
    </w:p>
    <w:tbl>
      <w:tblPr>
        <w:tblStyle w:val="22"/>
        <w:tblW w:w="9362"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72"/>
        <w:gridCol w:w="1199"/>
        <w:gridCol w:w="441"/>
        <w:gridCol w:w="910"/>
        <w:gridCol w:w="723"/>
        <w:gridCol w:w="1090"/>
        <w:gridCol w:w="1452"/>
        <w:gridCol w:w="2175"/>
      </w:tblGrid>
      <w:tr w14:paraId="2BB4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7"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7093568D">
            <w:pPr>
              <w:keepNext w:val="0"/>
              <w:keepLines w:val="0"/>
              <w:widowControl w:val="0"/>
              <w:suppressLineNumbers w:val="0"/>
              <w:spacing w:before="0" w:beforeAutospacing="0" w:after="0" w:afterAutospacing="0" w:line="420" w:lineRule="exact"/>
              <w:ind w:left="0" w:right="71" w:rightChars="34"/>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C6FA573">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910" w:type="dxa"/>
            <w:tcBorders>
              <w:top w:val="single" w:color="auto" w:sz="4" w:space="0"/>
              <w:left w:val="single" w:color="auto" w:sz="4" w:space="0"/>
              <w:bottom w:val="single" w:color="auto" w:sz="4" w:space="0"/>
              <w:right w:val="single" w:color="auto" w:sz="4" w:space="0"/>
            </w:tcBorders>
            <w:shd w:val="clear" w:color="auto" w:fill="auto"/>
            <w:vAlign w:val="top"/>
          </w:tcPr>
          <w:p w14:paraId="3397C985">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性别</w:t>
            </w: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A4BBEE7">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1452" w:type="dxa"/>
            <w:tcBorders>
              <w:top w:val="single" w:color="auto" w:sz="4" w:space="0"/>
              <w:left w:val="single" w:color="auto" w:sz="4" w:space="0"/>
              <w:bottom w:val="single" w:color="auto" w:sz="4" w:space="0"/>
              <w:right w:val="single" w:color="auto" w:sz="4" w:space="0"/>
            </w:tcBorders>
            <w:shd w:val="clear" w:color="auto" w:fill="auto"/>
            <w:vAlign w:val="top"/>
          </w:tcPr>
          <w:p w14:paraId="416F8EA0">
            <w:pPr>
              <w:keepNext w:val="0"/>
              <w:keepLines w:val="0"/>
              <w:widowControl w:val="0"/>
              <w:suppressLineNumbers w:val="0"/>
              <w:spacing w:before="0" w:beforeAutospacing="0" w:after="0" w:afterAutospacing="0" w:line="420" w:lineRule="exact"/>
              <w:ind w:left="0" w:right="441" w:rightChars="21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年龄</w:t>
            </w: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62C0AA76">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r>
      <w:tr w14:paraId="09FF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0A927543">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职务</w:t>
            </w: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8C5B670">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910" w:type="dxa"/>
            <w:tcBorders>
              <w:top w:val="single" w:color="auto" w:sz="4" w:space="0"/>
              <w:left w:val="single" w:color="auto" w:sz="4" w:space="0"/>
              <w:bottom w:val="single" w:color="auto" w:sz="4" w:space="0"/>
              <w:right w:val="single" w:color="auto" w:sz="4" w:space="0"/>
            </w:tcBorders>
            <w:shd w:val="clear" w:color="auto" w:fill="auto"/>
            <w:vAlign w:val="top"/>
          </w:tcPr>
          <w:p w14:paraId="2C03EE57">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职称</w:t>
            </w: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FAF9B7F">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1452" w:type="dxa"/>
            <w:tcBorders>
              <w:top w:val="single" w:color="auto" w:sz="4" w:space="0"/>
              <w:left w:val="single" w:color="auto" w:sz="4" w:space="0"/>
              <w:bottom w:val="single" w:color="auto" w:sz="4" w:space="0"/>
              <w:right w:val="single" w:color="auto" w:sz="4" w:space="0"/>
            </w:tcBorders>
            <w:shd w:val="clear" w:color="auto" w:fill="auto"/>
            <w:vAlign w:val="top"/>
          </w:tcPr>
          <w:p w14:paraId="49CEB180">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学历</w:t>
            </w: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146FB998">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r>
      <w:tr w14:paraId="4E53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47" w:hRule="atLeast"/>
        </w:trPr>
        <w:tc>
          <w:tcPr>
            <w:tcW w:w="2571"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D6156ED">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参加工作时间</w:t>
            </w:r>
          </w:p>
        </w:tc>
        <w:tc>
          <w:tcPr>
            <w:tcW w:w="1351"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6DA8B2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3265"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75B801D8">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从事项目负责人年限</w:t>
            </w: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4A53669A">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r>
      <w:tr w14:paraId="6045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31" w:hRule="atLeast"/>
        </w:trPr>
        <w:tc>
          <w:tcPr>
            <w:tcW w:w="9362"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51671128">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该项目负责人近三年类似项目情况</w:t>
            </w:r>
          </w:p>
        </w:tc>
      </w:tr>
      <w:tr w14:paraId="6988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7"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2A7F9E57">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实施时间</w:t>
            </w: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33F5172">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项目名称</w:t>
            </w: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002FD80">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服务内容</w:t>
            </w: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9A0CA2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担任何职</w:t>
            </w: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7DBE4A16">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质量或奖项</w:t>
            </w:r>
          </w:p>
        </w:tc>
      </w:tr>
      <w:tr w14:paraId="5AF0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1"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0B5AD86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8F14854">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F78A0FF">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56EC6AB">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126F2EC6">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r>
      <w:tr w14:paraId="4D05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1"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2C50C497">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92F8AB2">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A06E439">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989B42D">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5EBDE8DB">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r>
      <w:tr w14:paraId="4EED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78489B78">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FD0229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C246D3F">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1318198">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6DCA99F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r>
      <w:tr w14:paraId="61C3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42255AE7">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C322F54">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4F11BD2">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63003BD">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40FFE18B">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rPr>
            </w:pPr>
          </w:p>
        </w:tc>
      </w:tr>
      <w:tr w14:paraId="57C4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76A89115">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55628E9">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A3258A3">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36DCBA6">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58425FF1">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r>
      <w:tr w14:paraId="3076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13D8DA5C">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32BE03F">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3341911">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EBE14AA">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19E29D04">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r>
      <w:tr w14:paraId="086D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2BDA67A4">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bCs/>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5E8C46A">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5849708">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63EE0A3">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2D08E98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r>
      <w:tr w14:paraId="1A31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2D5D9CD4">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bCs/>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BF407D8">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E6F40C4">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6349668">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15538BE2">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r>
      <w:tr w14:paraId="0518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7A03CC40">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bCs/>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52BE864">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C7C667A">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8906DC9">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0C99D2DA">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r>
      <w:tr w14:paraId="115D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0590548B">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bCs/>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5465A0F">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67FEC36">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748E3FF">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52EDCE9D">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r>
      <w:tr w14:paraId="2B6B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05CB209D">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bCs/>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9B5B095">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AB866DC">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00130E1">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3BB8A12A">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r>
      <w:tr w14:paraId="64E4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1"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68F963D3">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bCs/>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D23A4E0">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55DB297">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F5F12A2">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1C45E941">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r>
      <w:tr w14:paraId="3C9A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6E258B77">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bCs/>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8ABFA8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FE876A0">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62363E3">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452F00F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r>
      <w:tr w14:paraId="11C5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14:paraId="78445D45">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bCs/>
                <w:color w:val="auto"/>
                <w:kern w:val="2"/>
                <w:sz w:val="24"/>
                <w:szCs w:val="24"/>
                <w:highlight w:val="none"/>
              </w:rPr>
            </w:pP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2F6D6B6">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16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3007661">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A86D0C3">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shd w:val="clear" w:color="auto" w:fill="auto"/>
            <w:vAlign w:val="top"/>
          </w:tcPr>
          <w:p w14:paraId="6FC8153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Cs/>
                <w:color w:val="auto"/>
                <w:kern w:val="2"/>
                <w:sz w:val="24"/>
                <w:szCs w:val="24"/>
                <w:highlight w:val="none"/>
              </w:rPr>
            </w:pPr>
          </w:p>
        </w:tc>
      </w:tr>
    </w:tbl>
    <w:p w14:paraId="7F04FEBB">
      <w:pPr>
        <w:keepNext w:val="0"/>
        <w:keepLines w:val="0"/>
        <w:widowControl w:val="0"/>
        <w:suppressLineNumbers w:val="0"/>
        <w:tabs>
          <w:tab w:val="left" w:pos="1875"/>
        </w:tabs>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F99E88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B8B1231">
      <w:pPr>
        <w:keepNext w:val="0"/>
        <w:keepLines w:val="0"/>
        <w:widowControl w:val="0"/>
        <w:suppressLineNumbers w:val="0"/>
        <w:tabs>
          <w:tab w:val="left" w:pos="1875"/>
        </w:tabs>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4ABF042">
      <w:pPr>
        <w:keepNext w:val="0"/>
        <w:keepLines w:val="0"/>
        <w:widowControl w:val="0"/>
        <w:suppressLineNumbers w:val="0"/>
        <w:tabs>
          <w:tab w:val="left" w:pos="1875"/>
        </w:tabs>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供应商：（盖章） </w:t>
      </w:r>
    </w:p>
    <w:p w14:paraId="5723BF0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6046C2C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法定代表人或授权代理人：（签字或盖章）                  </w:t>
      </w:r>
    </w:p>
    <w:p w14:paraId="721074F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402B4C35">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日期：    年    月    日</w:t>
      </w:r>
    </w:p>
    <w:p w14:paraId="65B84B02">
      <w:pPr>
        <w:pStyle w:val="18"/>
        <w:keepNext w:val="0"/>
        <w:keepLines w:val="0"/>
        <w:widowControl w:val="0"/>
        <w:suppressLineNumbers w:val="0"/>
        <w:spacing w:before="0" w:beforeAutospacing="0" w:after="0" w:afterAutospacing="0" w:line="360" w:lineRule="auto"/>
        <w:ind w:left="0" w:right="86"/>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6099EADE">
      <w:pPr>
        <w:pStyle w:val="18"/>
        <w:keepNext w:val="0"/>
        <w:keepLines w:val="0"/>
        <w:widowControl w:val="0"/>
        <w:suppressLineNumbers w:val="0"/>
        <w:spacing w:before="0" w:beforeAutospacing="0" w:after="0" w:afterAutospacing="0" w:line="360" w:lineRule="auto"/>
        <w:ind w:left="0" w:right="86"/>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5D74767B">
      <w:pPr>
        <w:pStyle w:val="18"/>
        <w:keepNext w:val="0"/>
        <w:keepLines w:val="0"/>
        <w:widowControl w:val="0"/>
        <w:suppressLineNumbers w:val="0"/>
        <w:spacing w:before="0" w:beforeAutospacing="0" w:after="0" w:afterAutospacing="0" w:line="360" w:lineRule="auto"/>
        <w:ind w:left="0" w:right="86"/>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25AA85F0">
      <w:pPr>
        <w:pStyle w:val="18"/>
        <w:keepNext w:val="0"/>
        <w:keepLines w:val="0"/>
        <w:widowControl/>
        <w:suppressLineNumbers w:val="0"/>
        <w:spacing w:before="0" w:beforeAutospacing="0" w:after="0" w:afterAutospacing="0"/>
        <w:ind w:left="0" w:right="0" w:firstLine="0" w:firstLineChars="0"/>
        <w:jc w:val="center"/>
        <w:outlineLvl w:val="1"/>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（八）项目管理、服务及其它人员情况表</w:t>
      </w:r>
    </w:p>
    <w:tbl>
      <w:tblPr>
        <w:tblStyle w:val="22"/>
        <w:tblW w:w="986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90"/>
        <w:gridCol w:w="793"/>
        <w:gridCol w:w="795"/>
        <w:gridCol w:w="795"/>
        <w:gridCol w:w="795"/>
        <w:gridCol w:w="4192"/>
      </w:tblGrid>
      <w:tr w14:paraId="6E80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9" w:hRule="atLeast"/>
        </w:trPr>
        <w:tc>
          <w:tcPr>
            <w:tcW w:w="2490" w:type="dxa"/>
            <w:tcBorders>
              <w:top w:val="single" w:color="auto" w:sz="4" w:space="0"/>
              <w:left w:val="single" w:color="auto" w:sz="4" w:space="0"/>
              <w:bottom w:val="single" w:color="auto" w:sz="4" w:space="0"/>
              <w:right w:val="single" w:color="auto" w:sz="4" w:space="0"/>
            </w:tcBorders>
            <w:shd w:val="clear" w:color="auto" w:fill="auto"/>
            <w:vAlign w:val="center"/>
          </w:tcPr>
          <w:p w14:paraId="1839B817">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类别</w:t>
            </w:r>
          </w:p>
        </w:tc>
        <w:tc>
          <w:tcPr>
            <w:tcW w:w="793" w:type="dxa"/>
            <w:tcBorders>
              <w:top w:val="single" w:color="auto" w:sz="4" w:space="0"/>
              <w:left w:val="nil"/>
              <w:bottom w:val="single" w:color="auto" w:sz="4" w:space="0"/>
              <w:right w:val="single" w:color="auto" w:sz="4" w:space="0"/>
            </w:tcBorders>
            <w:shd w:val="clear" w:color="auto" w:fill="auto"/>
            <w:vAlign w:val="center"/>
          </w:tcPr>
          <w:p w14:paraId="4098F73A">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p>
        </w:tc>
        <w:tc>
          <w:tcPr>
            <w:tcW w:w="795" w:type="dxa"/>
            <w:tcBorders>
              <w:top w:val="single" w:color="auto" w:sz="4" w:space="0"/>
              <w:left w:val="nil"/>
              <w:bottom w:val="single" w:color="auto" w:sz="4" w:space="0"/>
              <w:right w:val="single" w:color="auto" w:sz="4" w:space="0"/>
            </w:tcBorders>
            <w:shd w:val="clear" w:color="auto" w:fill="auto"/>
            <w:vAlign w:val="center"/>
          </w:tcPr>
          <w:p w14:paraId="52907D17">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职务</w:t>
            </w:r>
          </w:p>
        </w:tc>
        <w:tc>
          <w:tcPr>
            <w:tcW w:w="795" w:type="dxa"/>
            <w:tcBorders>
              <w:top w:val="single" w:color="auto" w:sz="4" w:space="0"/>
              <w:left w:val="nil"/>
              <w:bottom w:val="single" w:color="auto" w:sz="4" w:space="0"/>
              <w:right w:val="single" w:color="auto" w:sz="4" w:space="0"/>
            </w:tcBorders>
            <w:shd w:val="clear" w:color="auto" w:fill="auto"/>
            <w:vAlign w:val="center"/>
          </w:tcPr>
          <w:p w14:paraId="4C90AD26">
            <w:pPr>
              <w:keepNext w:val="0"/>
              <w:keepLines w:val="0"/>
              <w:widowControl w:val="0"/>
              <w:suppressLineNumbers w:val="0"/>
              <w:tabs>
                <w:tab w:val="left" w:pos="360"/>
                <w:tab w:val="left" w:pos="1800"/>
              </w:tabs>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职称</w:t>
            </w:r>
          </w:p>
        </w:tc>
        <w:tc>
          <w:tcPr>
            <w:tcW w:w="795" w:type="dxa"/>
            <w:tcBorders>
              <w:top w:val="single" w:color="auto" w:sz="4" w:space="0"/>
              <w:left w:val="nil"/>
              <w:bottom w:val="single" w:color="auto" w:sz="4" w:space="0"/>
              <w:right w:val="single" w:color="auto" w:sz="4" w:space="0"/>
            </w:tcBorders>
            <w:shd w:val="clear" w:color="auto" w:fill="auto"/>
            <w:vAlign w:val="center"/>
          </w:tcPr>
          <w:p w14:paraId="2E0B4DB5">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证书</w:t>
            </w:r>
          </w:p>
        </w:tc>
        <w:tc>
          <w:tcPr>
            <w:tcW w:w="4192" w:type="dxa"/>
            <w:tcBorders>
              <w:top w:val="single" w:color="auto" w:sz="4" w:space="0"/>
              <w:left w:val="nil"/>
              <w:bottom w:val="single" w:color="auto" w:sz="4" w:space="0"/>
              <w:right w:val="single" w:color="auto" w:sz="4" w:space="0"/>
            </w:tcBorders>
            <w:shd w:val="clear" w:color="auto" w:fill="auto"/>
            <w:vAlign w:val="center"/>
          </w:tcPr>
          <w:p w14:paraId="2D176A6F">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主要资历、经验及承担过的项目</w:t>
            </w:r>
          </w:p>
        </w:tc>
      </w:tr>
      <w:tr w14:paraId="7BBC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shd w:val="clear" w:color="auto" w:fill="auto"/>
            <w:vAlign w:val="center"/>
          </w:tcPr>
          <w:p w14:paraId="01F452F3">
            <w:pPr>
              <w:keepNext w:val="0"/>
              <w:keepLines w:val="0"/>
              <w:widowControl w:val="0"/>
              <w:suppressLineNumbers w:val="0"/>
              <w:tabs>
                <w:tab w:val="left" w:pos="360"/>
                <w:tab w:val="left" w:pos="1800"/>
              </w:tabs>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一、管理人员</w:t>
            </w:r>
          </w:p>
        </w:tc>
        <w:tc>
          <w:tcPr>
            <w:tcW w:w="793" w:type="dxa"/>
            <w:tcBorders>
              <w:top w:val="single" w:color="auto" w:sz="4" w:space="0"/>
              <w:left w:val="nil"/>
              <w:bottom w:val="single" w:color="auto" w:sz="4" w:space="0"/>
              <w:right w:val="single" w:color="auto" w:sz="4" w:space="0"/>
            </w:tcBorders>
            <w:shd w:val="clear" w:color="auto" w:fill="auto"/>
            <w:vAlign w:val="center"/>
          </w:tcPr>
          <w:p w14:paraId="2568DB30">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686CB11D">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top"/>
          </w:tcPr>
          <w:p w14:paraId="7ED15D53">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52A8569D">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4192" w:type="dxa"/>
            <w:tcBorders>
              <w:top w:val="single" w:color="auto" w:sz="4" w:space="0"/>
              <w:left w:val="nil"/>
              <w:bottom w:val="single" w:color="auto" w:sz="4" w:space="0"/>
              <w:right w:val="single" w:color="auto" w:sz="4" w:space="0"/>
            </w:tcBorders>
            <w:shd w:val="clear" w:color="auto" w:fill="auto"/>
            <w:vAlign w:val="center"/>
          </w:tcPr>
          <w:p w14:paraId="7D599E85">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r>
      <w:tr w14:paraId="150D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shd w:val="clear" w:color="auto" w:fill="auto"/>
            <w:vAlign w:val="center"/>
          </w:tcPr>
          <w:p w14:paraId="5F1D7918">
            <w:pPr>
              <w:keepNext w:val="0"/>
              <w:keepLines w:val="0"/>
              <w:widowControl w:val="0"/>
              <w:suppressLineNumbers w:val="0"/>
              <w:tabs>
                <w:tab w:val="left" w:pos="360"/>
                <w:tab w:val="left" w:pos="1800"/>
              </w:tabs>
              <w:spacing w:before="0" w:beforeAutospacing="0" w:after="0" w:afterAutospacing="0"/>
              <w:ind w:left="0" w:right="0"/>
              <w:jc w:val="both"/>
              <w:rPr>
                <w:rFonts w:hint="eastAsia" w:ascii="宋体" w:hAnsi="宋体" w:eastAsia="宋体" w:cs="宋体"/>
                <w:color w:val="auto"/>
                <w:kern w:val="2"/>
                <w:sz w:val="24"/>
                <w:szCs w:val="24"/>
                <w:highlight w:val="none"/>
              </w:rPr>
            </w:pPr>
          </w:p>
        </w:tc>
        <w:tc>
          <w:tcPr>
            <w:tcW w:w="793" w:type="dxa"/>
            <w:tcBorders>
              <w:top w:val="single" w:color="auto" w:sz="4" w:space="0"/>
              <w:left w:val="nil"/>
              <w:bottom w:val="single" w:color="auto" w:sz="4" w:space="0"/>
              <w:right w:val="single" w:color="auto" w:sz="4" w:space="0"/>
            </w:tcBorders>
            <w:shd w:val="clear" w:color="auto" w:fill="auto"/>
            <w:vAlign w:val="center"/>
          </w:tcPr>
          <w:p w14:paraId="4EC71366">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6EBFEC90">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top"/>
          </w:tcPr>
          <w:p w14:paraId="7A64190A">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54AB939C">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4192" w:type="dxa"/>
            <w:tcBorders>
              <w:top w:val="single" w:color="auto" w:sz="4" w:space="0"/>
              <w:left w:val="nil"/>
              <w:bottom w:val="single" w:color="auto" w:sz="4" w:space="0"/>
              <w:right w:val="single" w:color="auto" w:sz="4" w:space="0"/>
            </w:tcBorders>
            <w:shd w:val="clear" w:color="auto" w:fill="auto"/>
            <w:vAlign w:val="center"/>
          </w:tcPr>
          <w:p w14:paraId="3F1318DE">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r>
      <w:tr w14:paraId="5A83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shd w:val="clear" w:color="auto" w:fill="auto"/>
            <w:vAlign w:val="center"/>
          </w:tcPr>
          <w:p w14:paraId="6E9CF3A5">
            <w:pPr>
              <w:keepNext w:val="0"/>
              <w:keepLines w:val="0"/>
              <w:widowControl w:val="0"/>
              <w:suppressLineNumbers w:val="0"/>
              <w:tabs>
                <w:tab w:val="left" w:pos="360"/>
                <w:tab w:val="left" w:pos="1800"/>
              </w:tabs>
              <w:spacing w:before="0" w:beforeAutospacing="0" w:after="0" w:afterAutospacing="0"/>
              <w:ind w:left="0" w:right="0"/>
              <w:jc w:val="both"/>
              <w:rPr>
                <w:rFonts w:hint="eastAsia" w:ascii="宋体" w:hAnsi="宋体" w:eastAsia="宋体" w:cs="宋体"/>
                <w:color w:val="auto"/>
                <w:kern w:val="2"/>
                <w:sz w:val="24"/>
                <w:szCs w:val="24"/>
                <w:highlight w:val="none"/>
              </w:rPr>
            </w:pPr>
          </w:p>
        </w:tc>
        <w:tc>
          <w:tcPr>
            <w:tcW w:w="793" w:type="dxa"/>
            <w:tcBorders>
              <w:top w:val="single" w:color="auto" w:sz="4" w:space="0"/>
              <w:left w:val="nil"/>
              <w:bottom w:val="single" w:color="auto" w:sz="4" w:space="0"/>
              <w:right w:val="single" w:color="auto" w:sz="4" w:space="0"/>
            </w:tcBorders>
            <w:shd w:val="clear" w:color="auto" w:fill="auto"/>
            <w:vAlign w:val="center"/>
          </w:tcPr>
          <w:p w14:paraId="46F76438">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6E778280">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top"/>
          </w:tcPr>
          <w:p w14:paraId="47F312B3">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67A47692">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4192" w:type="dxa"/>
            <w:tcBorders>
              <w:top w:val="single" w:color="auto" w:sz="4" w:space="0"/>
              <w:left w:val="nil"/>
              <w:bottom w:val="single" w:color="auto" w:sz="4" w:space="0"/>
              <w:right w:val="single" w:color="auto" w:sz="4" w:space="0"/>
            </w:tcBorders>
            <w:shd w:val="clear" w:color="auto" w:fill="auto"/>
            <w:vAlign w:val="center"/>
          </w:tcPr>
          <w:p w14:paraId="7833C8AA">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r>
      <w:tr w14:paraId="16D6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shd w:val="clear" w:color="auto" w:fill="auto"/>
            <w:vAlign w:val="center"/>
          </w:tcPr>
          <w:p w14:paraId="7C20349E">
            <w:pPr>
              <w:keepNext w:val="0"/>
              <w:keepLines w:val="0"/>
              <w:widowControl w:val="0"/>
              <w:suppressLineNumbers w:val="0"/>
              <w:tabs>
                <w:tab w:val="left" w:pos="360"/>
                <w:tab w:val="left" w:pos="1800"/>
              </w:tabs>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793" w:type="dxa"/>
            <w:tcBorders>
              <w:top w:val="single" w:color="auto" w:sz="4" w:space="0"/>
              <w:left w:val="nil"/>
              <w:bottom w:val="single" w:color="auto" w:sz="4" w:space="0"/>
              <w:right w:val="single" w:color="auto" w:sz="4" w:space="0"/>
            </w:tcBorders>
            <w:shd w:val="clear" w:color="auto" w:fill="auto"/>
            <w:vAlign w:val="center"/>
          </w:tcPr>
          <w:p w14:paraId="2006A3DB">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06ED98EA">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top"/>
          </w:tcPr>
          <w:p w14:paraId="5FAEC868">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7444D52E">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4192" w:type="dxa"/>
            <w:tcBorders>
              <w:top w:val="single" w:color="auto" w:sz="4" w:space="0"/>
              <w:left w:val="nil"/>
              <w:bottom w:val="single" w:color="auto" w:sz="4" w:space="0"/>
              <w:right w:val="single" w:color="auto" w:sz="4" w:space="0"/>
            </w:tcBorders>
            <w:shd w:val="clear" w:color="auto" w:fill="auto"/>
            <w:vAlign w:val="center"/>
          </w:tcPr>
          <w:p w14:paraId="41624ACD">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r>
      <w:tr w14:paraId="20F5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shd w:val="clear" w:color="auto" w:fill="auto"/>
            <w:vAlign w:val="center"/>
          </w:tcPr>
          <w:p w14:paraId="07326963">
            <w:pPr>
              <w:keepNext w:val="0"/>
              <w:keepLines w:val="0"/>
              <w:widowControl w:val="0"/>
              <w:suppressLineNumbers w:val="0"/>
              <w:tabs>
                <w:tab w:val="left" w:pos="360"/>
                <w:tab w:val="left" w:pos="1800"/>
              </w:tabs>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二、服务人员</w:t>
            </w:r>
          </w:p>
        </w:tc>
        <w:tc>
          <w:tcPr>
            <w:tcW w:w="793" w:type="dxa"/>
            <w:tcBorders>
              <w:top w:val="single" w:color="auto" w:sz="4" w:space="0"/>
              <w:left w:val="nil"/>
              <w:bottom w:val="single" w:color="auto" w:sz="4" w:space="0"/>
              <w:right w:val="single" w:color="auto" w:sz="4" w:space="0"/>
            </w:tcBorders>
            <w:shd w:val="clear" w:color="auto" w:fill="auto"/>
            <w:vAlign w:val="center"/>
          </w:tcPr>
          <w:p w14:paraId="3FC07F63">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50835B39">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top"/>
          </w:tcPr>
          <w:p w14:paraId="5C55FA50">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63078A52">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4192" w:type="dxa"/>
            <w:tcBorders>
              <w:top w:val="single" w:color="auto" w:sz="4" w:space="0"/>
              <w:left w:val="nil"/>
              <w:bottom w:val="single" w:color="auto" w:sz="4" w:space="0"/>
              <w:right w:val="single" w:color="auto" w:sz="4" w:space="0"/>
            </w:tcBorders>
            <w:shd w:val="clear" w:color="auto" w:fill="auto"/>
            <w:vAlign w:val="center"/>
          </w:tcPr>
          <w:p w14:paraId="27A94880">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r>
      <w:tr w14:paraId="2666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shd w:val="clear" w:color="auto" w:fill="auto"/>
            <w:vAlign w:val="center"/>
          </w:tcPr>
          <w:p w14:paraId="6D1395DA">
            <w:pPr>
              <w:keepNext w:val="0"/>
              <w:keepLines w:val="0"/>
              <w:widowControl w:val="0"/>
              <w:suppressLineNumbers w:val="0"/>
              <w:tabs>
                <w:tab w:val="left" w:pos="360"/>
                <w:tab w:val="left" w:pos="1800"/>
              </w:tabs>
              <w:spacing w:before="0" w:beforeAutospacing="0" w:after="0" w:afterAutospacing="0"/>
              <w:ind w:left="0" w:right="0"/>
              <w:jc w:val="both"/>
              <w:rPr>
                <w:rFonts w:hint="eastAsia" w:ascii="宋体" w:hAnsi="宋体" w:eastAsia="宋体" w:cs="宋体"/>
                <w:color w:val="auto"/>
                <w:kern w:val="2"/>
                <w:sz w:val="24"/>
                <w:szCs w:val="24"/>
                <w:highlight w:val="none"/>
              </w:rPr>
            </w:pPr>
          </w:p>
        </w:tc>
        <w:tc>
          <w:tcPr>
            <w:tcW w:w="793" w:type="dxa"/>
            <w:tcBorders>
              <w:top w:val="single" w:color="auto" w:sz="4" w:space="0"/>
              <w:left w:val="nil"/>
              <w:bottom w:val="single" w:color="auto" w:sz="4" w:space="0"/>
              <w:right w:val="single" w:color="auto" w:sz="4" w:space="0"/>
            </w:tcBorders>
            <w:shd w:val="clear" w:color="auto" w:fill="auto"/>
            <w:vAlign w:val="center"/>
          </w:tcPr>
          <w:p w14:paraId="2C6AF880">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024566E8">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top"/>
          </w:tcPr>
          <w:p w14:paraId="327CBCD3">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0B1E9CC7">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4192" w:type="dxa"/>
            <w:tcBorders>
              <w:top w:val="single" w:color="auto" w:sz="4" w:space="0"/>
              <w:left w:val="nil"/>
              <w:bottom w:val="single" w:color="auto" w:sz="4" w:space="0"/>
              <w:right w:val="single" w:color="auto" w:sz="4" w:space="0"/>
            </w:tcBorders>
            <w:shd w:val="clear" w:color="auto" w:fill="auto"/>
            <w:vAlign w:val="center"/>
          </w:tcPr>
          <w:p w14:paraId="0AA0A97F">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r>
      <w:tr w14:paraId="6A29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shd w:val="clear" w:color="auto" w:fill="auto"/>
            <w:vAlign w:val="center"/>
          </w:tcPr>
          <w:p w14:paraId="4099E577">
            <w:pPr>
              <w:keepNext w:val="0"/>
              <w:keepLines w:val="0"/>
              <w:widowControl w:val="0"/>
              <w:suppressLineNumbers w:val="0"/>
              <w:tabs>
                <w:tab w:val="left" w:pos="360"/>
                <w:tab w:val="left" w:pos="1800"/>
              </w:tabs>
              <w:spacing w:before="0" w:beforeAutospacing="0" w:after="0" w:afterAutospacing="0"/>
              <w:ind w:left="0" w:right="0"/>
              <w:jc w:val="both"/>
              <w:rPr>
                <w:rFonts w:hint="eastAsia" w:ascii="宋体" w:hAnsi="宋体" w:eastAsia="宋体" w:cs="宋体"/>
                <w:color w:val="auto"/>
                <w:kern w:val="2"/>
                <w:sz w:val="24"/>
                <w:szCs w:val="24"/>
                <w:highlight w:val="none"/>
              </w:rPr>
            </w:pPr>
          </w:p>
        </w:tc>
        <w:tc>
          <w:tcPr>
            <w:tcW w:w="793" w:type="dxa"/>
            <w:tcBorders>
              <w:top w:val="single" w:color="auto" w:sz="4" w:space="0"/>
              <w:left w:val="nil"/>
              <w:bottom w:val="single" w:color="auto" w:sz="4" w:space="0"/>
              <w:right w:val="single" w:color="auto" w:sz="4" w:space="0"/>
            </w:tcBorders>
            <w:shd w:val="clear" w:color="auto" w:fill="auto"/>
            <w:vAlign w:val="center"/>
          </w:tcPr>
          <w:p w14:paraId="6A28E954">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3FE496E5">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top"/>
          </w:tcPr>
          <w:p w14:paraId="39CB888B">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7E44A5A8">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4192" w:type="dxa"/>
            <w:tcBorders>
              <w:top w:val="single" w:color="auto" w:sz="4" w:space="0"/>
              <w:left w:val="nil"/>
              <w:bottom w:val="single" w:color="auto" w:sz="4" w:space="0"/>
              <w:right w:val="single" w:color="auto" w:sz="4" w:space="0"/>
            </w:tcBorders>
            <w:shd w:val="clear" w:color="auto" w:fill="auto"/>
            <w:vAlign w:val="center"/>
          </w:tcPr>
          <w:p w14:paraId="6081CF36">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r>
      <w:tr w14:paraId="0F69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shd w:val="clear" w:color="auto" w:fill="auto"/>
            <w:vAlign w:val="center"/>
          </w:tcPr>
          <w:p w14:paraId="082B93F6">
            <w:pPr>
              <w:keepNext w:val="0"/>
              <w:keepLines w:val="0"/>
              <w:widowControl w:val="0"/>
              <w:suppressLineNumbers w:val="0"/>
              <w:tabs>
                <w:tab w:val="left" w:pos="360"/>
                <w:tab w:val="left" w:pos="1800"/>
              </w:tabs>
              <w:spacing w:before="0" w:beforeAutospacing="0" w:after="0" w:afterAutospacing="0"/>
              <w:ind w:left="0" w:right="0"/>
              <w:jc w:val="both"/>
              <w:rPr>
                <w:rFonts w:hint="eastAsia" w:ascii="宋体" w:hAnsi="宋体" w:eastAsia="宋体" w:cs="宋体"/>
                <w:color w:val="auto"/>
                <w:kern w:val="2"/>
                <w:sz w:val="24"/>
                <w:szCs w:val="24"/>
                <w:highlight w:val="none"/>
              </w:rPr>
            </w:pPr>
          </w:p>
        </w:tc>
        <w:tc>
          <w:tcPr>
            <w:tcW w:w="793" w:type="dxa"/>
            <w:tcBorders>
              <w:top w:val="single" w:color="auto" w:sz="4" w:space="0"/>
              <w:left w:val="nil"/>
              <w:bottom w:val="single" w:color="auto" w:sz="4" w:space="0"/>
              <w:right w:val="single" w:color="auto" w:sz="4" w:space="0"/>
            </w:tcBorders>
            <w:shd w:val="clear" w:color="auto" w:fill="auto"/>
            <w:vAlign w:val="center"/>
          </w:tcPr>
          <w:p w14:paraId="134870E1">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51C8B311">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top"/>
          </w:tcPr>
          <w:p w14:paraId="33A30D47">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4286E60F">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4192" w:type="dxa"/>
            <w:tcBorders>
              <w:top w:val="single" w:color="auto" w:sz="4" w:space="0"/>
              <w:left w:val="nil"/>
              <w:bottom w:val="single" w:color="auto" w:sz="4" w:space="0"/>
              <w:right w:val="single" w:color="auto" w:sz="4" w:space="0"/>
            </w:tcBorders>
            <w:shd w:val="clear" w:color="auto" w:fill="auto"/>
            <w:vAlign w:val="center"/>
          </w:tcPr>
          <w:p w14:paraId="1BC7E4B5">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r>
      <w:tr w14:paraId="6E1A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shd w:val="clear" w:color="auto" w:fill="auto"/>
            <w:vAlign w:val="center"/>
          </w:tcPr>
          <w:p w14:paraId="72AB9501">
            <w:pPr>
              <w:keepNext w:val="0"/>
              <w:keepLines w:val="0"/>
              <w:widowControl w:val="0"/>
              <w:suppressLineNumbers w:val="0"/>
              <w:tabs>
                <w:tab w:val="left" w:pos="360"/>
                <w:tab w:val="left" w:pos="1800"/>
              </w:tabs>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三、其他人员</w:t>
            </w:r>
          </w:p>
        </w:tc>
        <w:tc>
          <w:tcPr>
            <w:tcW w:w="793" w:type="dxa"/>
            <w:tcBorders>
              <w:top w:val="single" w:color="auto" w:sz="4" w:space="0"/>
              <w:left w:val="nil"/>
              <w:bottom w:val="single" w:color="auto" w:sz="4" w:space="0"/>
              <w:right w:val="single" w:color="auto" w:sz="4" w:space="0"/>
            </w:tcBorders>
            <w:shd w:val="clear" w:color="auto" w:fill="auto"/>
            <w:vAlign w:val="center"/>
          </w:tcPr>
          <w:p w14:paraId="2D6E3CA1">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3BCFF284">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top"/>
          </w:tcPr>
          <w:p w14:paraId="7E9CF7B4">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2138311D">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4192" w:type="dxa"/>
            <w:tcBorders>
              <w:top w:val="single" w:color="auto" w:sz="4" w:space="0"/>
              <w:left w:val="nil"/>
              <w:bottom w:val="single" w:color="auto" w:sz="4" w:space="0"/>
              <w:right w:val="single" w:color="auto" w:sz="4" w:space="0"/>
            </w:tcBorders>
            <w:shd w:val="clear" w:color="auto" w:fill="auto"/>
            <w:vAlign w:val="center"/>
          </w:tcPr>
          <w:p w14:paraId="339302A2">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r>
      <w:tr w14:paraId="4C7F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shd w:val="clear" w:color="auto" w:fill="auto"/>
            <w:vAlign w:val="center"/>
          </w:tcPr>
          <w:p w14:paraId="6A93FC9F">
            <w:pPr>
              <w:keepNext w:val="0"/>
              <w:keepLines w:val="0"/>
              <w:widowControl w:val="0"/>
              <w:suppressLineNumbers w:val="0"/>
              <w:tabs>
                <w:tab w:val="left" w:pos="360"/>
                <w:tab w:val="left" w:pos="1800"/>
              </w:tabs>
              <w:spacing w:before="0" w:beforeAutospacing="0" w:after="0" w:afterAutospacing="0"/>
              <w:ind w:left="0" w:right="0"/>
              <w:jc w:val="both"/>
              <w:rPr>
                <w:rFonts w:hint="eastAsia" w:ascii="宋体" w:hAnsi="宋体" w:eastAsia="宋体" w:cs="宋体"/>
                <w:color w:val="auto"/>
                <w:kern w:val="2"/>
                <w:sz w:val="24"/>
                <w:szCs w:val="24"/>
                <w:highlight w:val="none"/>
              </w:rPr>
            </w:pPr>
          </w:p>
        </w:tc>
        <w:tc>
          <w:tcPr>
            <w:tcW w:w="793" w:type="dxa"/>
            <w:tcBorders>
              <w:top w:val="single" w:color="auto" w:sz="4" w:space="0"/>
              <w:left w:val="nil"/>
              <w:bottom w:val="single" w:color="auto" w:sz="4" w:space="0"/>
              <w:right w:val="single" w:color="auto" w:sz="4" w:space="0"/>
            </w:tcBorders>
            <w:shd w:val="clear" w:color="auto" w:fill="auto"/>
            <w:vAlign w:val="center"/>
          </w:tcPr>
          <w:p w14:paraId="72E6E43D">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56360503">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top"/>
          </w:tcPr>
          <w:p w14:paraId="03EDF0AB">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29E9ED95">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c>
          <w:tcPr>
            <w:tcW w:w="4192" w:type="dxa"/>
            <w:tcBorders>
              <w:top w:val="single" w:color="auto" w:sz="4" w:space="0"/>
              <w:left w:val="nil"/>
              <w:bottom w:val="single" w:color="auto" w:sz="4" w:space="0"/>
              <w:right w:val="single" w:color="auto" w:sz="4" w:space="0"/>
            </w:tcBorders>
            <w:shd w:val="clear" w:color="auto" w:fill="auto"/>
            <w:vAlign w:val="center"/>
          </w:tcPr>
          <w:p w14:paraId="48796D06">
            <w:pPr>
              <w:keepNext w:val="0"/>
              <w:keepLines w:val="0"/>
              <w:widowControl w:val="0"/>
              <w:suppressLineNumbers w:val="0"/>
              <w:tabs>
                <w:tab w:val="left" w:pos="360"/>
                <w:tab w:val="left" w:pos="1800"/>
              </w:tabs>
              <w:spacing w:before="0" w:beforeAutospacing="0" w:after="0" w:afterAutospacing="0"/>
              <w:ind w:left="0" w:right="0"/>
              <w:jc w:val="center"/>
              <w:rPr>
                <w:rFonts w:hint="eastAsia" w:ascii="宋体" w:hAnsi="宋体" w:eastAsia="宋体" w:cs="宋体"/>
                <w:color w:val="auto"/>
                <w:kern w:val="2"/>
                <w:sz w:val="24"/>
                <w:szCs w:val="24"/>
                <w:highlight w:val="none"/>
              </w:rPr>
            </w:pPr>
          </w:p>
        </w:tc>
      </w:tr>
      <w:tr w14:paraId="0BB0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986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97B0E95">
            <w:pPr>
              <w:keepNext w:val="0"/>
              <w:keepLines w:val="0"/>
              <w:widowControl w:val="0"/>
              <w:suppressLineNumbers w:val="0"/>
              <w:tabs>
                <w:tab w:val="left" w:pos="360"/>
                <w:tab w:val="left" w:pos="1800"/>
              </w:tabs>
              <w:spacing w:before="0" w:beforeAutospacing="0" w:after="0" w:afterAutospacing="0" w:line="240" w:lineRule="atLeast"/>
              <w:ind w:left="0" w:right="0"/>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注：需完整反映本项目要求的所有拟派人员信息，并提供相应证书，所提供的资料均附于本表后如合同及社保证明，作为本表的附件。</w:t>
            </w:r>
          </w:p>
        </w:tc>
      </w:tr>
    </w:tbl>
    <w:p w14:paraId="71B1EDAD">
      <w:pPr>
        <w:keepNext w:val="0"/>
        <w:keepLines w:val="0"/>
        <w:widowControl w:val="0"/>
        <w:suppressLineNumbers w:val="0"/>
        <w:tabs>
          <w:tab w:val="left" w:pos="1875"/>
        </w:tabs>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55B5A24A">
      <w:pPr>
        <w:keepNext w:val="0"/>
        <w:keepLines w:val="0"/>
        <w:widowControl w:val="0"/>
        <w:suppressLineNumbers w:val="0"/>
        <w:tabs>
          <w:tab w:val="left" w:pos="1875"/>
        </w:tabs>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供应商：（盖章） </w:t>
      </w:r>
    </w:p>
    <w:p w14:paraId="44CAA7B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388509D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法定代表人或授权代理人：（签字或盖章）                  </w:t>
      </w:r>
    </w:p>
    <w:p w14:paraId="59613B2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209474A2">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日期：    年    月    日</w:t>
      </w:r>
    </w:p>
    <w:p w14:paraId="447B3A9E">
      <w:pPr>
        <w:pStyle w:val="18"/>
        <w:keepNext w:val="0"/>
        <w:keepLines w:val="0"/>
        <w:widowControl w:val="0"/>
        <w:suppressLineNumbers w:val="0"/>
        <w:spacing w:before="0" w:beforeAutospacing="0" w:after="0" w:afterAutospacing="0" w:line="360" w:lineRule="auto"/>
        <w:ind w:left="0" w:right="86"/>
        <w:jc w:val="center"/>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00279E56">
      <w:pPr>
        <w:pStyle w:val="18"/>
        <w:keepNext w:val="0"/>
        <w:keepLines w:val="0"/>
        <w:widowControl w:val="0"/>
        <w:suppressLineNumbers w:val="0"/>
        <w:spacing w:before="0" w:beforeAutospacing="0" w:after="0" w:afterAutospacing="0" w:line="360" w:lineRule="auto"/>
        <w:ind w:left="0" w:right="86" w:rightChars="0"/>
        <w:jc w:val="center"/>
        <w:outlineLvl w:val="1"/>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（九）近三年（自2023年1月1日至今）类似项目业绩表</w:t>
      </w:r>
    </w:p>
    <w:tbl>
      <w:tblPr>
        <w:tblStyle w:val="22"/>
        <w:tblW w:w="9297" w:type="dxa"/>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56"/>
        <w:gridCol w:w="1179"/>
        <w:gridCol w:w="1525"/>
        <w:gridCol w:w="901"/>
        <w:gridCol w:w="815"/>
        <w:gridCol w:w="2048"/>
        <w:gridCol w:w="673"/>
      </w:tblGrid>
      <w:tr w14:paraId="55A2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14:paraId="7DB8605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项目名称</w:t>
            </w: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0D3C70A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合同实施日期</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14:paraId="26BCD49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数量</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6AAC4D4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合同</w:t>
            </w:r>
          </w:p>
          <w:p w14:paraId="4D2C646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金额</w:t>
            </w:r>
          </w:p>
        </w:tc>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14:paraId="617BA9B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用户</w:t>
            </w:r>
          </w:p>
          <w:p w14:paraId="075D8B4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名称</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14:paraId="1DD0C0A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用户联系人及联系电话</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773809C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备注</w:t>
            </w:r>
          </w:p>
        </w:tc>
      </w:tr>
      <w:tr w14:paraId="5AFA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5A7F305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56D1F36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6DABABD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4E3A540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0210D6D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74D2884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66B142A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3624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678FED8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1616249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178ECA5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4F709AB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01C77F0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4C8F756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3520719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7183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5FF8A4A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22042F8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70CC6C3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71E55B5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1A9184E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56AB4B7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0EC6983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5A0C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04C1598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33F79A9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6E84A16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01107F4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29C1A7F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48E1810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479892B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3D5E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0CE3867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6EE1E27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28A63B0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6DA3447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78A69EA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7223673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4943E4A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1963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4DA5D80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6F7D9E8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21B9803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5EDFAA5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36C8DB8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7642145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12EA524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7A76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0AD04EB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73CD449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3ECFCA3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425C92A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18B5CF4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389FCE4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7680F60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6A09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592B30E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1EBC103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1631585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4B51730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72F2E69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12A2308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7070572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7920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1C63024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3415AAF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515DB21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2B5E08E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7549923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273AA55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636D16E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1F26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4410D30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2D48955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29C1B8F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5D82C1A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641C5D9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2875FA1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38683B8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68B5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2495A11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4C57F21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443FE9E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2B9D0EE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44B6F0A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407C940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32AA258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1B89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1F2CE92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7E0162A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572589D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43F5E1D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04B2C7D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3F1C9B8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79C84DB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4C1D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3136FDB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7C67BA2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4E530B1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1C53508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05F8317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70C91D8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2E86BFB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6A1B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5" w:hRule="atLeast"/>
        </w:trPr>
        <w:tc>
          <w:tcPr>
            <w:tcW w:w="2156" w:type="dxa"/>
            <w:tcBorders>
              <w:top w:val="single" w:color="auto" w:sz="4" w:space="0"/>
              <w:left w:val="single" w:color="auto" w:sz="4" w:space="0"/>
              <w:bottom w:val="single" w:color="auto" w:sz="4" w:space="0"/>
              <w:right w:val="single" w:color="auto" w:sz="4" w:space="0"/>
            </w:tcBorders>
            <w:shd w:val="clear" w:color="auto" w:fill="auto"/>
            <w:vAlign w:val="top"/>
          </w:tcPr>
          <w:p w14:paraId="06B2428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top"/>
          </w:tcPr>
          <w:p w14:paraId="3389F98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420D6C8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14:paraId="4F7B68A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3AEEFCE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2201FCD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14:paraId="2BDD898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bl>
    <w:p w14:paraId="2EC56D5A">
      <w:pPr>
        <w:pStyle w:val="18"/>
        <w:keepNext w:val="0"/>
        <w:keepLines w:val="0"/>
        <w:widowControl w:val="0"/>
        <w:suppressLineNumbers w:val="0"/>
        <w:spacing w:before="0" w:beforeAutospacing="0" w:after="0" w:afterAutospacing="0" w:line="360" w:lineRule="auto"/>
        <w:ind w:left="0" w:right="86"/>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76F38379">
      <w:pPr>
        <w:keepNext w:val="0"/>
        <w:keepLines w:val="0"/>
        <w:widowControl w:val="0"/>
        <w:suppressLineNumbers w:val="0"/>
        <w:tabs>
          <w:tab w:val="left" w:pos="555"/>
          <w:tab w:val="left" w:pos="2214"/>
          <w:tab w:val="left" w:pos="3774"/>
          <w:tab w:val="left" w:pos="4854"/>
          <w:tab w:val="left" w:pos="5934"/>
          <w:tab w:val="left" w:pos="7014"/>
          <w:tab w:val="left" w:pos="8214"/>
          <w:tab w:val="left" w:pos="10134"/>
          <w:tab w:val="left" w:pos="11124"/>
        </w:tabs>
        <w:spacing w:before="0" w:beforeAutospacing="0" w:after="0" w:afterAutospacing="0" w:line="4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仅限于供应商自身实施的项目）以上业绩需提供有关书面证明材料复印件（附发票、合同或者中标/成交通知书等复印件。如提供证明材料为合同，须提供业绩合同主要页（含：首页、采购内容信息页、合同金额页、签字盖章页），时间以合同签订日期为准）。</w:t>
      </w:r>
    </w:p>
    <w:p w14:paraId="094409E5">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5A23BED6">
      <w:pPr>
        <w:keepNext w:val="0"/>
        <w:keepLines w:val="0"/>
        <w:widowControl w:val="0"/>
        <w:suppressLineNumbers w:val="0"/>
        <w:adjustRightInd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供应商（盖章）：         </w:t>
      </w:r>
    </w:p>
    <w:p w14:paraId="6FC031C0">
      <w:pPr>
        <w:keepNext w:val="0"/>
        <w:keepLines w:val="0"/>
        <w:widowControl w:val="0"/>
        <w:suppressLineNumbers w:val="0"/>
        <w:adjustRightInd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1108F405">
      <w:pPr>
        <w:keepNext w:val="0"/>
        <w:keepLines w:val="0"/>
        <w:widowControl w:val="0"/>
        <w:suppressLineNumbers w:val="0"/>
        <w:spacing w:before="0" w:beforeAutospacing="0" w:after="0" w:afterAutospacing="0" w:line="400" w:lineRule="exact"/>
        <w:ind w:left="0" w:right="480" w:firstLine="480" w:firstLineChars="200"/>
        <w:jc w:val="left"/>
        <w:rPr>
          <w:rFonts w:hint="eastAsia"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法定代表人或授权委托人（签字或盖章）：</w:t>
      </w:r>
    </w:p>
    <w:p w14:paraId="69CF9A1A">
      <w:pPr>
        <w:keepNext w:val="0"/>
        <w:keepLines w:val="0"/>
        <w:widowControl w:val="0"/>
        <w:suppressLineNumbers w:val="0"/>
        <w:spacing w:before="0" w:beforeAutospacing="0" w:after="0" w:afterAutospacing="0" w:line="400" w:lineRule="exact"/>
        <w:ind w:left="0" w:right="480" w:firstLine="480" w:firstLineChars="200"/>
        <w:jc w:val="right"/>
        <w:rPr>
          <w:rFonts w:hint="eastAsia" w:ascii="宋体" w:hAnsi="宋体" w:eastAsia="宋体" w:cs="宋体"/>
          <w:b/>
          <w:bCs w:val="0"/>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年  月  日</w:t>
      </w:r>
    </w:p>
    <w:p w14:paraId="6DD12246">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en-US" w:eastAsia="zh-CN" w:bidi="ar"/>
        </w:rPr>
        <w:t xml:space="preserve"> </w:t>
      </w:r>
    </w:p>
    <w:p w14:paraId="366F64AA">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57254BEE">
      <w:pPr>
        <w:pStyle w:val="11"/>
        <w:widowControl/>
        <w:spacing w:before="0" w:beforeAutospacing="1"/>
        <w:ind w:right="0"/>
        <w:rPr>
          <w:rFonts w:hint="default" w:ascii="Calibri" w:hAnsi="Calibri" w:eastAsia="宋体" w:cs="Times New Roman"/>
          <w:color w:val="auto"/>
          <w:kern w:val="0"/>
          <w:sz w:val="22"/>
          <w:szCs w:val="22"/>
          <w:highlight w:val="none"/>
        </w:rPr>
      </w:pPr>
      <w:r>
        <w:rPr>
          <w:rFonts w:hint="default" w:ascii="Calibri" w:hAnsi="Calibri" w:eastAsia="宋体" w:cs="Times New Roman"/>
          <w:color w:val="auto"/>
          <w:kern w:val="0"/>
          <w:sz w:val="22"/>
          <w:szCs w:val="22"/>
          <w:highlight w:val="none"/>
        </w:rPr>
        <w:t xml:space="preserve"> </w:t>
      </w:r>
    </w:p>
    <w:p w14:paraId="2BBDC763">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（十）售后服务承诺书</w:t>
      </w:r>
    </w:p>
    <w:p w14:paraId="5120BF36">
      <w:pPr>
        <w:keepNext w:val="0"/>
        <w:keepLines w:val="0"/>
        <w:widowControl w:val="0"/>
        <w:suppressLineNumbers w:val="0"/>
        <w:suppressAutoHyphens/>
        <w:spacing w:before="0" w:beforeAutospacing="0" w:after="0" w:afterAutospacing="0" w:line="360" w:lineRule="auto"/>
        <w:ind w:left="0" w:right="0"/>
        <w:jc w:val="both"/>
        <w:rPr>
          <w:rFonts w:hint="default" w:ascii="宋体" w:hAnsi="宋体" w:eastAsia="宋体;SimSun" w:cs="宋体"/>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根据供应商自身情况及</w:t>
      </w:r>
      <w:r>
        <w:rPr>
          <w:rFonts w:hint="eastAsia" w:ascii="宋体;SimSun" w:hAnsi="宋体;SimSun" w:eastAsia="宋体;SimSun" w:cs="宋体;SimSun"/>
          <w:color w:val="auto"/>
          <w:kern w:val="2"/>
          <w:sz w:val="24"/>
          <w:szCs w:val="24"/>
          <w:highlight w:val="none"/>
          <w:lang w:val="en-US" w:eastAsia="zh-CN" w:bidi="ar"/>
        </w:rPr>
        <w:t>招标文件</w:t>
      </w:r>
      <w:r>
        <w:rPr>
          <w:rFonts w:hint="default" w:ascii="宋体;SimSun" w:hAnsi="宋体;SimSun" w:eastAsia="宋体;SimSun" w:cs="宋体;SimSun"/>
          <w:color w:val="auto"/>
          <w:kern w:val="2"/>
          <w:sz w:val="24"/>
          <w:szCs w:val="24"/>
          <w:highlight w:val="none"/>
          <w:lang w:val="en-US" w:eastAsia="zh-CN" w:bidi="ar"/>
        </w:rPr>
        <w:t>要求自行编制，至少包括但不限于以下内容：</w:t>
      </w:r>
    </w:p>
    <w:p w14:paraId="2B050030">
      <w:pPr>
        <w:keepNext w:val="0"/>
        <w:keepLines w:val="0"/>
        <w:widowControl w:val="0"/>
        <w:suppressLineNumbers w:val="0"/>
        <w:suppressAutoHyphens/>
        <w:spacing w:before="0" w:beforeAutospacing="0" w:after="0" w:afterAutospacing="0" w:line="480" w:lineRule="exact"/>
        <w:ind w:left="0" w:right="0" w:firstLine="480" w:firstLineChars="200"/>
        <w:jc w:val="both"/>
        <w:rPr>
          <w:rFonts w:hint="default" w:ascii="宋体" w:hAnsi="宋体" w:eastAsia="宋体;SimSun"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r>
        <w:rPr>
          <w:rFonts w:hint="default" w:ascii="宋体;SimSun" w:hAnsi="宋体;SimSun" w:eastAsia="宋体;SimSun" w:cs="宋体;SimSun"/>
          <w:color w:val="auto"/>
          <w:kern w:val="2"/>
          <w:sz w:val="24"/>
          <w:szCs w:val="24"/>
          <w:highlight w:val="none"/>
          <w:lang w:val="en-US" w:eastAsia="zh-CN" w:bidi="ar"/>
        </w:rPr>
        <w:t>、售后服务响应（包含应急保障措施等）</w:t>
      </w:r>
    </w:p>
    <w:p w14:paraId="3B82F0C2">
      <w:pPr>
        <w:keepNext w:val="0"/>
        <w:keepLines w:val="0"/>
        <w:widowControl w:val="0"/>
        <w:suppressLineNumbers w:val="0"/>
        <w:suppressAutoHyphens/>
        <w:spacing w:before="0" w:beforeAutospacing="0" w:after="0" w:afterAutospacing="0" w:line="480" w:lineRule="exact"/>
        <w:ind w:left="0" w:right="0" w:firstLine="480" w:firstLineChars="200"/>
        <w:jc w:val="both"/>
        <w:rPr>
          <w:rFonts w:hint="default" w:ascii="宋体" w:hAnsi="宋体" w:eastAsia="宋体;SimSun"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default" w:ascii="宋体;SimSun" w:hAnsi="宋体;SimSun" w:eastAsia="宋体;SimSun" w:cs="宋体;SimSun"/>
          <w:color w:val="auto"/>
          <w:kern w:val="2"/>
          <w:sz w:val="24"/>
          <w:szCs w:val="24"/>
          <w:highlight w:val="none"/>
          <w:lang w:val="en-US" w:eastAsia="zh-CN" w:bidi="ar"/>
        </w:rPr>
        <w:t>、其他优惠承诺（如有）</w:t>
      </w:r>
    </w:p>
    <w:p w14:paraId="7C77C5FB">
      <w:pPr>
        <w:keepNext w:val="0"/>
        <w:keepLines w:val="0"/>
        <w:widowControl w:val="0"/>
        <w:suppressLineNumbers w:val="0"/>
        <w:suppressAutoHyphens/>
        <w:spacing w:before="0" w:beforeAutospacing="0" w:after="0" w:afterAutospacing="0" w:line="360" w:lineRule="auto"/>
        <w:ind w:left="0" w:right="0"/>
        <w:jc w:val="both"/>
        <w:rPr>
          <w:rFonts w:hint="default" w:ascii="宋体" w:hAnsi="宋体" w:eastAsia="宋体;SimSun" w:cs="宋体"/>
          <w:b/>
          <w:bCs/>
          <w:color w:val="auto"/>
          <w:kern w:val="2"/>
          <w:sz w:val="24"/>
          <w:szCs w:val="24"/>
          <w:highlight w:val="none"/>
        </w:rPr>
      </w:pPr>
      <w:r>
        <w:rPr>
          <w:rFonts w:hint="default" w:ascii="宋体" w:hAnsi="宋体" w:eastAsia="宋体;SimSun" w:cs="宋体"/>
          <w:b/>
          <w:bCs/>
          <w:color w:val="auto"/>
          <w:kern w:val="2"/>
          <w:sz w:val="24"/>
          <w:szCs w:val="24"/>
          <w:highlight w:val="none"/>
          <w:lang w:val="en-US" w:eastAsia="zh-CN" w:bidi="ar"/>
        </w:rPr>
        <w:t xml:space="preserve"> </w:t>
      </w:r>
    </w:p>
    <w:p w14:paraId="70BF5D0C">
      <w:pPr>
        <w:keepNext w:val="0"/>
        <w:keepLines w:val="0"/>
        <w:widowControl w:val="0"/>
        <w:suppressLineNumbers w:val="0"/>
        <w:tabs>
          <w:tab w:val="left" w:pos="-120"/>
        </w:tabs>
        <w:suppressAutoHyphens/>
        <w:spacing w:before="0" w:beforeAutospacing="0" w:after="0" w:afterAutospacing="0" w:line="560" w:lineRule="exact"/>
        <w:ind w:left="0" w:right="0" w:firstLine="600"/>
        <w:jc w:val="both"/>
        <w:textAlignment w:val="baseline"/>
        <w:rPr>
          <w:rFonts w:hint="default" w:ascii="宋体" w:hAnsi="宋体" w:eastAsia="仿宋_GB2312" w:cs="宋体"/>
          <w:color w:val="auto"/>
          <w:spacing w:val="20"/>
          <w:kern w:val="0"/>
          <w:sz w:val="24"/>
          <w:szCs w:val="24"/>
          <w:highlight w:val="none"/>
          <w:vertAlign w:val="baseline"/>
        </w:rPr>
      </w:pPr>
      <w:r>
        <w:rPr>
          <w:rFonts w:hint="default" w:ascii="宋体" w:hAnsi="宋体" w:eastAsia="仿宋_GB2312" w:cs="宋体"/>
          <w:color w:val="auto"/>
          <w:spacing w:val="20"/>
          <w:kern w:val="0"/>
          <w:sz w:val="24"/>
          <w:szCs w:val="24"/>
          <w:highlight w:val="none"/>
          <w:vertAlign w:val="baseline"/>
          <w:lang w:val="en-US" w:eastAsia="zh-CN" w:bidi="ar"/>
        </w:rPr>
        <w:t xml:space="preserve"> </w:t>
      </w:r>
    </w:p>
    <w:p w14:paraId="0CB7A71E">
      <w:pPr>
        <w:keepNext w:val="0"/>
        <w:keepLines w:val="0"/>
        <w:widowControl w:val="0"/>
        <w:suppressLineNumbers w:val="0"/>
        <w:shd w:val="clear" w:fill="FFFFFF"/>
        <w:suppressAutoHyphens/>
        <w:spacing w:before="0" w:beforeAutospacing="0" w:after="0" w:afterAutospacing="0" w:line="500" w:lineRule="exact"/>
        <w:ind w:left="0" w:right="0"/>
        <w:jc w:val="both"/>
        <w:rPr>
          <w:rFonts w:hint="default" w:ascii="宋体" w:hAnsi="宋体" w:eastAsia="宋体;SimSun" w:cs="宋体"/>
          <w:color w:val="auto"/>
          <w:kern w:val="2"/>
          <w:sz w:val="24"/>
          <w:szCs w:val="24"/>
          <w:highlight w:val="none"/>
          <w:shd w:val="clear" w:fill="FFFFFF"/>
        </w:rPr>
      </w:pPr>
      <w:r>
        <w:rPr>
          <w:rFonts w:hint="default" w:ascii="宋体" w:hAnsi="宋体" w:eastAsia="宋体;SimSun" w:cs="宋体"/>
          <w:color w:val="auto"/>
          <w:kern w:val="2"/>
          <w:sz w:val="24"/>
          <w:szCs w:val="24"/>
          <w:highlight w:val="none"/>
          <w:shd w:val="clear" w:fill="FFFFFF"/>
          <w:lang w:val="en-US" w:eastAsia="zh-CN" w:bidi="ar"/>
        </w:rPr>
        <w:t xml:space="preserve"> </w:t>
      </w:r>
    </w:p>
    <w:p w14:paraId="1995874A">
      <w:pPr>
        <w:keepNext w:val="0"/>
        <w:keepLines w:val="0"/>
        <w:widowControl w:val="0"/>
        <w:suppressLineNumbers w:val="0"/>
        <w:shd w:val="clear" w:fill="FFFFFF"/>
        <w:suppressAutoHyphens/>
        <w:spacing w:before="0" w:beforeAutospacing="0" w:after="0" w:afterAutospacing="0" w:line="500" w:lineRule="exact"/>
        <w:ind w:left="0" w:right="0"/>
        <w:jc w:val="both"/>
        <w:rPr>
          <w:rFonts w:hint="default" w:ascii="宋体" w:hAnsi="宋体" w:eastAsia="宋体;SimSun" w:cs="宋体"/>
          <w:color w:val="auto"/>
          <w:kern w:val="2"/>
          <w:sz w:val="24"/>
          <w:szCs w:val="24"/>
          <w:highlight w:val="none"/>
          <w:shd w:val="clear" w:fill="FFFFFF"/>
        </w:rPr>
      </w:pPr>
      <w:r>
        <w:rPr>
          <w:rFonts w:hint="default" w:ascii="宋体" w:hAnsi="宋体" w:eastAsia="宋体;SimSun" w:cs="宋体"/>
          <w:color w:val="auto"/>
          <w:kern w:val="2"/>
          <w:sz w:val="24"/>
          <w:szCs w:val="24"/>
          <w:highlight w:val="none"/>
          <w:shd w:val="clear" w:fill="FFFFFF"/>
          <w:lang w:val="en-US" w:eastAsia="zh-CN" w:bidi="ar"/>
        </w:rPr>
        <w:t xml:space="preserve"> </w:t>
      </w:r>
    </w:p>
    <w:p w14:paraId="7C7C8179">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 w:hAnsi="宋体" w:eastAsia="宋体;SimSun" w:cs="Times New Roman"/>
          <w:color w:val="auto"/>
          <w:kern w:val="2"/>
          <w:sz w:val="24"/>
          <w:szCs w:val="24"/>
          <w:highlight w:val="none"/>
          <w:lang w:val="en-US" w:eastAsia="zh-CN" w:bidi="ar"/>
        </w:rPr>
        <w:t xml:space="preserve"> </w:t>
      </w:r>
    </w:p>
    <w:p w14:paraId="1CC9B3F1">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供应商（盖章）：</w:t>
      </w:r>
    </w:p>
    <w:p w14:paraId="3D6C6BB7">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法定代表人或授权代理人：（签字或盖章）</w:t>
      </w:r>
    </w:p>
    <w:p w14:paraId="5E27B2E6">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日</w:t>
      </w:r>
      <w:r>
        <w:rPr>
          <w:rFonts w:hint="default" w:ascii="宋体" w:hAnsi="宋体" w:eastAsia="宋体;SimSun" w:cs="Times New Roman"/>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期：</w:t>
      </w:r>
    </w:p>
    <w:p w14:paraId="6CA018C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t xml:space="preserve"> </w:t>
      </w:r>
    </w:p>
    <w:p w14:paraId="616F43A3">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br w:type="page"/>
      </w:r>
    </w:p>
    <w:p w14:paraId="75709187">
      <w:pPr>
        <w:keepNext w:val="0"/>
        <w:keepLines w:val="0"/>
        <w:widowControl w:val="0"/>
        <w:suppressLineNumbers w:val="0"/>
        <w:tabs>
          <w:tab w:val="left" w:pos="-120"/>
        </w:tabs>
        <w:suppressAutoHyphens/>
        <w:spacing w:before="0" w:beforeAutospacing="0" w:after="0" w:afterAutospacing="0" w:line="560" w:lineRule="exact"/>
        <w:ind w:left="0" w:right="0" w:firstLine="0"/>
        <w:jc w:val="center"/>
        <w:textAlignment w:val="baseline"/>
        <w:rPr>
          <w:rFonts w:hint="eastAsia" w:ascii="宋体" w:hAnsi="宋体" w:eastAsia="宋体" w:cs="宋体"/>
          <w:bCs/>
          <w:color w:val="auto"/>
          <w:spacing w:val="0"/>
          <w:kern w:val="0"/>
          <w:sz w:val="24"/>
          <w:szCs w:val="24"/>
          <w:highlight w:val="none"/>
          <w:vertAlign w:val="baseline"/>
        </w:rPr>
      </w:pPr>
      <w:r>
        <w:rPr>
          <w:rFonts w:hint="eastAsia" w:ascii="宋体" w:hAnsi="宋体" w:eastAsia="宋体" w:cs="宋体"/>
          <w:b/>
          <w:bCs/>
          <w:color w:val="auto"/>
          <w:kern w:val="2"/>
          <w:sz w:val="30"/>
          <w:szCs w:val="30"/>
          <w:highlight w:val="none"/>
          <w:vertAlign w:val="baseline"/>
          <w:lang w:val="en-US" w:eastAsia="zh-CN" w:bidi="ar"/>
        </w:rPr>
        <w:t>（十一）虚假应标承担责任声明</w:t>
      </w:r>
    </w:p>
    <w:p w14:paraId="728EA4FE">
      <w:pPr>
        <w:keepNext w:val="0"/>
        <w:keepLines w:val="0"/>
        <w:widowControl w:val="0"/>
        <w:suppressLineNumbers w:val="0"/>
        <w:suppressAutoHyphens/>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lang w:val="en-US" w:eastAsia="zh-CN" w:bidi="ar"/>
        </w:rPr>
        <w:t xml:space="preserve"> </w:t>
      </w:r>
    </w:p>
    <w:p w14:paraId="1A70F742">
      <w:pPr>
        <w:keepNext w:val="0"/>
        <w:keepLines w:val="0"/>
        <w:widowControl w:val="0"/>
        <w:suppressLineNumbers w:val="0"/>
        <w:suppressAutoHyphens/>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lang w:val="en-US" w:eastAsia="zh-CN" w:bidi="ar"/>
        </w:rPr>
        <w:t xml:space="preserve">        （采购人名称）      ：</w:t>
      </w:r>
    </w:p>
    <w:p w14:paraId="1A454B31">
      <w:pPr>
        <w:keepNext w:val="0"/>
        <w:keepLines w:val="0"/>
        <w:widowControl w:val="0"/>
        <w:suppressLineNumbers w:val="0"/>
        <w:suppressAutoHyphens/>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4B37E684">
      <w:pPr>
        <w:keepNext w:val="0"/>
        <w:keepLines w:val="0"/>
        <w:widowControl w:val="0"/>
        <w:suppressLineNumbers w:val="0"/>
        <w:suppressAutoHyphen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我公司承诺：所提供的响应文件（包括一切技术资料、技术承诺、商务承诺等）均真实有效，若在项目采购过程中（包括开标、评审、采购结果公示过程）及履行合同期间（包括验收过程）发现我公司提供的货物及相关服务与响应文件不一致，或发现我公司提供了不真实的响应文件（虚假材料），我公司愿意承担一切法律责任并认可采购人或采购代理机构作出的取消成交资格、罚没保证金等决定。</w:t>
      </w:r>
    </w:p>
    <w:p w14:paraId="1D45EE40">
      <w:pPr>
        <w:keepNext w:val="0"/>
        <w:keepLines w:val="0"/>
        <w:widowControl w:val="0"/>
        <w:suppressLineNumbers w:val="0"/>
        <w:suppressAutoHyphen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特此声明。</w:t>
      </w:r>
    </w:p>
    <w:p w14:paraId="27CE13B1">
      <w:pPr>
        <w:keepNext w:val="0"/>
        <w:keepLines w:val="0"/>
        <w:widowControl w:val="0"/>
        <w:suppressLineNumbers w:val="0"/>
        <w:tabs>
          <w:tab w:val="left" w:pos="-120"/>
        </w:tabs>
        <w:suppressAutoHyphens/>
        <w:spacing w:before="0" w:beforeAutospacing="0" w:after="0" w:afterAutospacing="0" w:line="560" w:lineRule="exact"/>
        <w:ind w:left="0" w:right="0" w:firstLine="0"/>
        <w:jc w:val="both"/>
        <w:textAlignment w:val="baseline"/>
        <w:rPr>
          <w:rFonts w:hint="eastAsia" w:ascii="宋体" w:hAnsi="宋体" w:eastAsia="宋体" w:cs="宋体"/>
          <w:bCs/>
          <w:color w:val="auto"/>
          <w:spacing w:val="0"/>
          <w:kern w:val="0"/>
          <w:sz w:val="24"/>
          <w:szCs w:val="24"/>
          <w:highlight w:val="none"/>
          <w:vertAlign w:val="baseline"/>
        </w:rPr>
      </w:pPr>
      <w:r>
        <w:rPr>
          <w:rFonts w:hint="eastAsia" w:ascii="宋体" w:hAnsi="宋体" w:eastAsia="宋体" w:cs="宋体"/>
          <w:bCs/>
          <w:color w:val="auto"/>
          <w:spacing w:val="0"/>
          <w:kern w:val="0"/>
          <w:sz w:val="24"/>
          <w:szCs w:val="24"/>
          <w:highlight w:val="none"/>
          <w:vertAlign w:val="baseline"/>
          <w:lang w:val="en-US" w:eastAsia="zh-CN" w:bidi="ar"/>
        </w:rPr>
        <w:t xml:space="preserve"> </w:t>
      </w:r>
    </w:p>
    <w:p w14:paraId="1D57E356">
      <w:pPr>
        <w:keepNext w:val="0"/>
        <w:keepLines w:val="0"/>
        <w:widowControl w:val="0"/>
        <w:suppressLineNumbers w:val="0"/>
        <w:tabs>
          <w:tab w:val="left" w:pos="-120"/>
        </w:tabs>
        <w:suppressAutoHyphens/>
        <w:spacing w:before="0" w:beforeAutospacing="0" w:after="0" w:afterAutospacing="0" w:line="560" w:lineRule="exact"/>
        <w:ind w:left="0" w:right="0" w:firstLine="0"/>
        <w:jc w:val="both"/>
        <w:textAlignment w:val="baseline"/>
        <w:rPr>
          <w:rFonts w:hint="eastAsia" w:ascii="宋体" w:hAnsi="宋体" w:eastAsia="宋体" w:cs="宋体"/>
          <w:bCs/>
          <w:color w:val="auto"/>
          <w:spacing w:val="0"/>
          <w:kern w:val="0"/>
          <w:sz w:val="24"/>
          <w:szCs w:val="24"/>
          <w:highlight w:val="none"/>
          <w:vertAlign w:val="baseline"/>
        </w:rPr>
      </w:pPr>
      <w:r>
        <w:rPr>
          <w:rFonts w:hint="eastAsia" w:ascii="宋体" w:hAnsi="宋体" w:eastAsia="宋体" w:cs="宋体"/>
          <w:bCs/>
          <w:color w:val="auto"/>
          <w:spacing w:val="0"/>
          <w:kern w:val="0"/>
          <w:sz w:val="24"/>
          <w:szCs w:val="24"/>
          <w:highlight w:val="none"/>
          <w:vertAlign w:val="baseline"/>
          <w:lang w:val="en-US" w:eastAsia="zh-CN" w:bidi="ar"/>
        </w:rPr>
        <w:t xml:space="preserve"> </w:t>
      </w:r>
    </w:p>
    <w:p w14:paraId="41A194A1">
      <w:pPr>
        <w:keepNext w:val="0"/>
        <w:keepLines w:val="0"/>
        <w:widowControl w:val="0"/>
        <w:suppressLineNumbers w:val="0"/>
        <w:suppressAutoHyphens/>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13C920B9">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供应商（盖章）：</w:t>
      </w:r>
    </w:p>
    <w:p w14:paraId="6CF2FEB6">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法定代表人或授权代理人：（签字或盖章）</w:t>
      </w:r>
    </w:p>
    <w:p w14:paraId="74B0D696">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日</w:t>
      </w:r>
      <w:r>
        <w:rPr>
          <w:rFonts w:hint="default" w:ascii="宋体" w:hAnsi="宋体" w:eastAsia="宋体;SimSun" w:cs="Times New Roman"/>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期：</w:t>
      </w:r>
    </w:p>
    <w:p w14:paraId="6389EC44">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br w:type="page"/>
      </w:r>
      <w:r>
        <w:rPr>
          <w:rFonts w:hint="eastAsia" w:ascii="宋体" w:hAnsi="宋体" w:eastAsia="宋体" w:cs="宋体"/>
          <w:b/>
          <w:bCs/>
          <w:color w:val="auto"/>
          <w:kern w:val="2"/>
          <w:sz w:val="30"/>
          <w:szCs w:val="30"/>
          <w:highlight w:val="none"/>
          <w:lang w:val="en-US" w:eastAsia="zh-CN" w:bidi="ar"/>
        </w:rPr>
        <w:t>（十二）反商业贿赂承诺书</w:t>
      </w:r>
    </w:p>
    <w:p w14:paraId="78F3AEEC">
      <w:pPr>
        <w:keepNext w:val="0"/>
        <w:keepLines w:val="0"/>
        <w:widowControl w:val="0"/>
        <w:suppressLineNumbers w:val="0"/>
        <w:suppressAutoHyphens/>
        <w:spacing w:before="0" w:beforeAutospacing="0" w:after="0" w:afterAutospacing="0" w:line="360" w:lineRule="auto"/>
        <w:ind w:left="0" w:right="0"/>
        <w:jc w:val="center"/>
        <w:rPr>
          <w:rFonts w:hint="eastAsia" w:ascii="宋体" w:hAnsi="宋体" w:eastAsia="宋体" w:cs="宋体"/>
          <w:b w:val="0"/>
          <w:bCs w:val="0"/>
          <w:color w:val="auto"/>
          <w:kern w:val="2"/>
          <w:sz w:val="28"/>
          <w:szCs w:val="28"/>
          <w:highlight w:val="none"/>
        </w:rPr>
      </w:pPr>
      <w:r>
        <w:rPr>
          <w:rFonts w:hint="eastAsia" w:ascii="宋体" w:hAnsi="宋体" w:eastAsia="宋体" w:cs="宋体"/>
          <w:b w:val="0"/>
          <w:bCs w:val="0"/>
          <w:color w:val="auto"/>
          <w:kern w:val="2"/>
          <w:sz w:val="28"/>
          <w:szCs w:val="28"/>
          <w:highlight w:val="none"/>
          <w:lang w:val="en-US" w:eastAsia="zh-CN" w:bidi="ar"/>
        </w:rPr>
        <w:t xml:space="preserve"> </w:t>
      </w:r>
    </w:p>
    <w:p w14:paraId="6E72742B">
      <w:pPr>
        <w:keepNext w:val="0"/>
        <w:keepLines w:val="0"/>
        <w:widowControl w:val="0"/>
        <w:suppressLineNumbers w:val="0"/>
        <w:suppressAutoHyphens/>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（采购人）：</w:t>
      </w:r>
    </w:p>
    <w:p w14:paraId="60253475">
      <w:pPr>
        <w:keepNext w:val="0"/>
        <w:keepLines w:val="0"/>
        <w:widowControl w:val="0"/>
        <w:suppressLineNumbers w:val="0"/>
        <w:suppressAutoHyphen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为促进采购工作的规范运行和公平竞争，有效制止采购活动中的不正之风和腐败现象，预防和遏制行贿受贿等违法犯罪活动，我单位特作以下承诺：</w:t>
      </w:r>
    </w:p>
    <w:p w14:paraId="6A77B826">
      <w:pPr>
        <w:keepNext w:val="0"/>
        <w:keepLines w:val="0"/>
        <w:widowControl w:val="0"/>
        <w:suppressLineNumbers w:val="0"/>
        <w:suppressAutoHyphen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本次采购活动中，我公司将自觉遵守《政府采购法》，不给予国家工作人员及其亲属各种形式的商业贿赂，包括送礼金、礼品、有价证券、购物券、回扣、佣金、咨询费、劳务费、赞助费、宣传费、支付旅游费用、报销各种消费凭证、宴请、娱乐活动等。</w:t>
      </w:r>
    </w:p>
    <w:p w14:paraId="738B9696">
      <w:pPr>
        <w:keepNext w:val="0"/>
        <w:keepLines w:val="0"/>
        <w:widowControl w:val="0"/>
        <w:suppressLineNumbers w:val="0"/>
        <w:suppressAutoHyphen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如存在上述行为，我公司及项目参与人员自愿放弃本次项目的参与资格，若为预中标或成交人，也自愿放弃中标或成交资格，并愿意按照《反不正当竞争法》的有关规定接受处罚。</w:t>
      </w:r>
    </w:p>
    <w:p w14:paraId="62835313">
      <w:pPr>
        <w:keepNext w:val="0"/>
        <w:keepLines w:val="0"/>
        <w:widowControl w:val="0"/>
        <w:suppressLineNumbers w:val="0"/>
        <w:suppressAutoHyphens/>
        <w:spacing w:before="0" w:beforeAutospacing="0" w:after="0" w:afterAutospacing="0" w:line="360" w:lineRule="auto"/>
        <w:ind w:left="0" w:right="0"/>
        <w:jc w:val="left"/>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en-US" w:eastAsia="zh-CN" w:bidi="ar"/>
        </w:rPr>
        <w:t xml:space="preserve"> </w:t>
      </w:r>
    </w:p>
    <w:p w14:paraId="25FDBDF2">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供应商（盖章）：</w:t>
      </w:r>
    </w:p>
    <w:p w14:paraId="060F7333">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法定代表人或授权代理人：（签字或盖章）</w:t>
      </w:r>
    </w:p>
    <w:p w14:paraId="7B6CA4E1">
      <w:pPr>
        <w:keepNext w:val="0"/>
        <w:keepLines w:val="0"/>
        <w:widowControl w:val="0"/>
        <w:suppressLineNumbers w:val="0"/>
        <w:suppressAutoHyphens/>
        <w:autoSpaceDE w:val="0"/>
        <w:autoSpaceDN/>
        <w:spacing w:before="0" w:beforeAutospacing="0" w:after="0" w:afterAutospacing="0" w:line="440" w:lineRule="exact"/>
        <w:ind w:left="4200" w:leftChars="2000" w:right="0" w:firstLine="244" w:firstLineChars="102"/>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日</w:t>
      </w:r>
      <w:r>
        <w:rPr>
          <w:rFonts w:hint="default" w:ascii="宋体" w:hAnsi="宋体" w:eastAsia="宋体;SimSun" w:cs="Times New Roman"/>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期：</w:t>
      </w:r>
    </w:p>
    <w:p w14:paraId="36417E4A">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br w:type="page"/>
      </w:r>
    </w:p>
    <w:p w14:paraId="326FCA09">
      <w:pPr>
        <w:keepNext w:val="0"/>
        <w:keepLines w:val="0"/>
        <w:widowControl/>
        <w:suppressLineNumbers w:val="0"/>
        <w:suppressAutoHyphens/>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30"/>
          <w:szCs w:val="30"/>
          <w:highlight w:val="none"/>
          <w:lang w:val="en-US" w:eastAsia="zh-CN" w:bidi="ar"/>
        </w:rPr>
        <w:t>（十三）供应商认为有必要提供的其他商务资料</w:t>
      </w:r>
    </w:p>
    <w:p w14:paraId="48EEFBC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1413FE8">
      <w:pPr>
        <w:keepNext w:val="0"/>
        <w:keepLines w:val="0"/>
        <w:widowControl/>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宋体"/>
          <w:b/>
          <w:bCs/>
          <w:color w:val="auto"/>
          <w:kern w:val="0"/>
          <w:sz w:val="24"/>
          <w:szCs w:val="24"/>
          <w:highlight w:val="none"/>
        </w:rPr>
      </w:pPr>
      <w:r>
        <w:rPr>
          <w:rFonts w:hint="eastAsia" w:ascii="宋体" w:hAnsi="宋体" w:eastAsia="宋体" w:cs="宋体"/>
          <w:b w:val="0"/>
          <w:bCs/>
          <w:color w:val="auto"/>
          <w:kern w:val="2"/>
          <w:sz w:val="24"/>
          <w:szCs w:val="24"/>
          <w:highlight w:val="none"/>
          <w:lang w:val="en-US" w:eastAsia="zh-CN" w:bidi="ar"/>
        </w:rPr>
        <w:t>1、</w:t>
      </w:r>
      <w:r>
        <w:rPr>
          <w:rFonts w:hint="eastAsia" w:ascii="宋体" w:hAnsi="宋体" w:eastAsia="宋体" w:cs="宋体"/>
          <w:b w:val="0"/>
          <w:bCs/>
          <w:color w:val="auto"/>
          <w:kern w:val="0"/>
          <w:sz w:val="24"/>
          <w:szCs w:val="24"/>
          <w:highlight w:val="none"/>
          <w:lang w:val="en-US" w:eastAsia="zh-CN" w:bidi="ar"/>
        </w:rPr>
        <w:t>供应商如提供的货物涉及快递和包装，须提供《</w:t>
      </w:r>
      <w:r>
        <w:rPr>
          <w:rFonts w:hint="eastAsia" w:ascii="宋体" w:hAnsi="宋体" w:eastAsia="宋体" w:cs="宋体"/>
          <w:b w:val="0"/>
          <w:bCs/>
          <w:color w:val="auto"/>
          <w:kern w:val="2"/>
          <w:sz w:val="24"/>
          <w:szCs w:val="24"/>
          <w:highlight w:val="none"/>
          <w:lang w:val="en-US" w:eastAsia="zh-CN" w:bidi="ar"/>
        </w:rPr>
        <w:t>财政部等三部门联合印发商品包装和快</w:t>
      </w:r>
      <w:r>
        <w:rPr>
          <w:rFonts w:hint="eastAsia" w:ascii="宋体" w:hAnsi="宋体" w:eastAsia="宋体" w:cs="宋体"/>
          <w:color w:val="auto"/>
          <w:kern w:val="2"/>
          <w:sz w:val="24"/>
          <w:szCs w:val="24"/>
          <w:highlight w:val="none"/>
          <w:lang w:val="en-US" w:eastAsia="zh-CN" w:bidi="ar"/>
        </w:rPr>
        <w:t>递包装政府采购需求标准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（试行）(财办库〔2020〕123号文)的</w:t>
      </w:r>
      <w:r>
        <w:rPr>
          <w:rFonts w:hint="eastAsia" w:ascii="宋体" w:hAnsi="宋体" w:eastAsia="宋体" w:cs="宋体"/>
          <w:color w:val="auto"/>
          <w:kern w:val="0"/>
          <w:sz w:val="24"/>
          <w:szCs w:val="24"/>
          <w:highlight w:val="none"/>
          <w:lang w:val="en-US" w:eastAsia="zh-CN" w:bidi="ar"/>
        </w:rPr>
        <w:t>承诺书</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（格式自拟）</w:t>
      </w:r>
    </w:p>
    <w:p w14:paraId="10330A4F">
      <w:pPr>
        <w:keepNext w:val="0"/>
        <w:keepLines w:val="0"/>
        <w:widowControl w:val="0"/>
        <w:suppressLineNumbers w:val="0"/>
        <w:tabs>
          <w:tab w:val="left" w:pos="-120"/>
        </w:tabs>
        <w:suppressAutoHyphens/>
        <w:autoSpaceDE w:val="0"/>
        <w:autoSpaceDN/>
        <w:spacing w:before="0" w:beforeAutospacing="0" w:after="0" w:afterAutospacing="0" w:line="440" w:lineRule="exact"/>
        <w:ind w:left="0" w:right="0" w:firstLine="600"/>
        <w:jc w:val="both"/>
        <w:textAlignment w:val="baseline"/>
        <w:rPr>
          <w:rFonts w:hint="eastAsia" w:ascii="宋体" w:hAnsi="宋体" w:eastAsia="宋体" w:cs="宋体"/>
          <w:color w:val="auto"/>
          <w:spacing w:val="0"/>
          <w:kern w:val="0"/>
          <w:sz w:val="21"/>
          <w:szCs w:val="21"/>
          <w:highlight w:val="none"/>
          <w:vertAlign w:val="baseline"/>
        </w:rPr>
      </w:pPr>
      <w:r>
        <w:rPr>
          <w:rFonts w:hint="eastAsia" w:ascii="宋体" w:hAnsi="宋体" w:eastAsia="宋体" w:cs="宋体"/>
          <w:color w:val="auto"/>
          <w:spacing w:val="0"/>
          <w:kern w:val="0"/>
          <w:sz w:val="21"/>
          <w:szCs w:val="21"/>
          <w:highlight w:val="none"/>
          <w:vertAlign w:val="baseline"/>
          <w:lang w:val="en-US" w:eastAsia="zh-CN" w:bidi="ar"/>
        </w:rPr>
        <w:t xml:space="preserve"> </w:t>
      </w:r>
    </w:p>
    <w:p w14:paraId="60C937F8">
      <w:pPr>
        <w:keepNext w:val="0"/>
        <w:keepLines w:val="0"/>
        <w:widowControl w:val="0"/>
        <w:suppressLineNumbers w:val="0"/>
        <w:tabs>
          <w:tab w:val="left" w:pos="-120"/>
        </w:tabs>
        <w:suppressAutoHyphens/>
        <w:autoSpaceDE w:val="0"/>
        <w:autoSpaceDN/>
        <w:spacing w:before="0" w:beforeAutospacing="0" w:after="0" w:afterAutospacing="0" w:line="440" w:lineRule="exact"/>
        <w:ind w:left="0" w:right="0" w:firstLine="600"/>
        <w:jc w:val="both"/>
        <w:textAlignment w:val="baseline"/>
        <w:rPr>
          <w:rFonts w:hint="eastAsia" w:ascii="宋体" w:hAnsi="宋体" w:eastAsia="宋体" w:cs="宋体"/>
          <w:color w:val="auto"/>
          <w:spacing w:val="0"/>
          <w:kern w:val="0"/>
          <w:sz w:val="21"/>
          <w:szCs w:val="21"/>
          <w:highlight w:val="none"/>
          <w:vertAlign w:val="baseline"/>
        </w:rPr>
      </w:pPr>
      <w:r>
        <w:rPr>
          <w:rFonts w:hint="eastAsia" w:ascii="宋体" w:hAnsi="宋体" w:eastAsia="宋体" w:cs="宋体"/>
          <w:color w:val="auto"/>
          <w:spacing w:val="0"/>
          <w:kern w:val="0"/>
          <w:sz w:val="21"/>
          <w:szCs w:val="21"/>
          <w:highlight w:val="none"/>
          <w:vertAlign w:val="baseline"/>
          <w:lang w:val="en-US" w:eastAsia="zh-CN" w:bidi="ar"/>
        </w:rPr>
        <w:t xml:space="preserve"> </w:t>
      </w:r>
    </w:p>
    <w:p w14:paraId="7931491F">
      <w:pPr>
        <w:keepNext w:val="0"/>
        <w:keepLines w:val="0"/>
        <w:widowControl w:val="0"/>
        <w:suppressLineNumbers w:val="0"/>
        <w:tabs>
          <w:tab w:val="left" w:pos="-120"/>
        </w:tabs>
        <w:suppressAutoHyphens/>
        <w:autoSpaceDE w:val="0"/>
        <w:autoSpaceDN/>
        <w:spacing w:before="0" w:beforeAutospacing="0" w:after="0" w:afterAutospacing="0" w:line="440" w:lineRule="exact"/>
        <w:ind w:left="0" w:leftChars="0" w:right="0" w:firstLine="480" w:firstLineChars="200"/>
        <w:jc w:val="both"/>
        <w:textAlignment w:val="baseline"/>
        <w:rPr>
          <w:rFonts w:hint="eastAsia" w:ascii="宋体" w:hAnsi="宋体" w:eastAsia="宋体" w:cs="宋体"/>
          <w:color w:val="auto"/>
          <w:spacing w:val="0"/>
          <w:kern w:val="0"/>
          <w:sz w:val="21"/>
          <w:szCs w:val="21"/>
          <w:highlight w:val="none"/>
          <w:vertAlign w:val="baseline"/>
        </w:rPr>
      </w:pPr>
      <w:r>
        <w:rPr>
          <w:rFonts w:hint="eastAsia" w:ascii="宋体" w:hAnsi="宋体" w:eastAsia="宋体" w:cs="宋体"/>
          <w:b w:val="0"/>
          <w:bCs/>
          <w:color w:val="auto"/>
          <w:spacing w:val="0"/>
          <w:kern w:val="2"/>
          <w:sz w:val="24"/>
          <w:szCs w:val="24"/>
          <w:highlight w:val="none"/>
          <w:vertAlign w:val="baseline"/>
          <w:lang w:val="en-US" w:eastAsia="zh-CN" w:bidi="ar"/>
        </w:rPr>
        <w:t>2、供应商认为有必要的其他资料</w:t>
      </w:r>
    </w:p>
    <w:p w14:paraId="77F18780">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t xml:space="preserve"> </w:t>
      </w:r>
    </w:p>
    <w:p w14:paraId="1C07EA72">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br w:type="page"/>
      </w:r>
    </w:p>
    <w:p w14:paraId="27AE1D4A">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t>三、技术文件</w:t>
      </w:r>
    </w:p>
    <w:p w14:paraId="2F0574C1">
      <w:pPr>
        <w:keepNext w:val="0"/>
        <w:keepLines w:val="0"/>
        <w:widowControl w:val="0"/>
        <w:suppressLineNumbers w:val="0"/>
        <w:tabs>
          <w:tab w:val="center" w:pos="4153"/>
          <w:tab w:val="right" w:pos="8306"/>
        </w:tabs>
        <w:suppressAutoHyphens/>
        <w:snapToGrid w:val="0"/>
        <w:spacing w:before="0" w:beforeAutospacing="0" w:after="0" w:afterAutospacing="0"/>
        <w:ind w:left="0" w:right="0"/>
        <w:jc w:val="center"/>
        <w:rPr>
          <w:rFonts w:hint="default" w:ascii="Times New Roman" w:hAnsi="Times New Roman" w:eastAsia="宋体;SimSun" w:cs="Times New Roman"/>
          <w:b/>
          <w:bCs/>
          <w:color w:val="auto"/>
          <w:kern w:val="2"/>
          <w:sz w:val="28"/>
          <w:szCs w:val="28"/>
          <w:highlight w:val="none"/>
        </w:rPr>
      </w:pPr>
      <w:r>
        <w:rPr>
          <w:rFonts w:hint="eastAsia" w:ascii="宋体" w:hAnsi="宋体" w:eastAsia="宋体" w:cs="宋体"/>
          <w:b/>
          <w:bCs/>
          <w:color w:val="auto"/>
          <w:kern w:val="2"/>
          <w:sz w:val="28"/>
          <w:szCs w:val="28"/>
          <w:highlight w:val="none"/>
          <w:lang w:val="en-US" w:eastAsia="zh-CN" w:bidi="ar"/>
        </w:rPr>
        <w:t>（一）技术条款偏离表</w:t>
      </w:r>
    </w:p>
    <w:p w14:paraId="55426ADC">
      <w:pPr>
        <w:keepNext w:val="0"/>
        <w:keepLines w:val="0"/>
        <w:widowControl w:val="0"/>
        <w:suppressLineNumbers w:val="0"/>
        <w:tabs>
          <w:tab w:val="center" w:pos="4153"/>
          <w:tab w:val="right" w:pos="8306"/>
        </w:tabs>
        <w:suppressAutoHyphens/>
        <w:autoSpaceDE w:val="0"/>
        <w:autoSpaceDN/>
        <w:snapToGrid w:val="0"/>
        <w:spacing w:before="0" w:beforeAutospacing="0" w:after="0" w:afterAutospacing="0" w:line="440" w:lineRule="exact"/>
        <w:ind w:left="0" w:right="0"/>
        <w:jc w:val="left"/>
        <w:rPr>
          <w:rFonts w:hint="default" w:ascii="Times New Roman" w:hAnsi="Times New Roman" w:eastAsia="宋体;SimSun" w:cs="Times New Roman"/>
          <w:color w:val="auto"/>
          <w:kern w:val="2"/>
          <w:sz w:val="24"/>
          <w:szCs w:val="24"/>
          <w:highlight w:val="none"/>
        </w:rPr>
      </w:pPr>
      <w:r>
        <w:rPr>
          <w:rFonts w:hint="default" w:ascii="Times New Roman" w:hAnsi="Times New Roman" w:eastAsia="宋体;SimSun" w:cs="Times New Roman"/>
          <w:color w:val="auto"/>
          <w:kern w:val="2"/>
          <w:sz w:val="24"/>
          <w:szCs w:val="24"/>
          <w:highlight w:val="none"/>
          <w:lang w:val="en-US" w:eastAsia="zh-CN" w:bidi="ar"/>
        </w:rPr>
        <w:t xml:space="preserve"> </w:t>
      </w:r>
    </w:p>
    <w:tbl>
      <w:tblPr>
        <w:tblStyle w:val="22"/>
        <w:tblW w:w="90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2"/>
        <w:gridCol w:w="1137"/>
        <w:gridCol w:w="1971"/>
        <w:gridCol w:w="1781"/>
        <w:gridCol w:w="1361"/>
        <w:gridCol w:w="1885"/>
      </w:tblGrid>
      <w:tr w14:paraId="1B21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62" w:hRule="atLeast"/>
          <w:jc w:val="center"/>
        </w:trPr>
        <w:tc>
          <w:tcPr>
            <w:tcW w:w="962" w:type="dxa"/>
            <w:tcBorders>
              <w:top w:val="single" w:color="auto" w:sz="6" w:space="0"/>
              <w:left w:val="single" w:color="auto" w:sz="6" w:space="0"/>
              <w:bottom w:val="single" w:color="auto" w:sz="6" w:space="0"/>
              <w:right w:val="single" w:color="auto" w:sz="6" w:space="0"/>
            </w:tcBorders>
            <w:shd w:val="clear" w:color="auto" w:fill="auto"/>
            <w:vAlign w:val="center"/>
          </w:tcPr>
          <w:p w14:paraId="7C178A8C">
            <w:pPr>
              <w:keepNext w:val="0"/>
              <w:keepLines w:val="0"/>
              <w:widowControl w:val="0"/>
              <w:suppressLineNumbers w:val="0"/>
              <w:shd w:val="clear" w:fill="FFFFFF"/>
              <w:suppressAutoHyphens/>
              <w:autoSpaceDE w:val="0"/>
              <w:autoSpaceDN/>
              <w:spacing w:before="0" w:beforeAutospacing="0" w:after="0" w:afterAutospacing="0" w:line="300" w:lineRule="exact"/>
              <w:ind w:left="0" w:right="0"/>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序 号</w:t>
            </w:r>
          </w:p>
        </w:tc>
        <w:tc>
          <w:tcPr>
            <w:tcW w:w="1137" w:type="dxa"/>
            <w:tcBorders>
              <w:top w:val="single" w:color="auto" w:sz="6" w:space="0"/>
              <w:left w:val="nil"/>
              <w:bottom w:val="single" w:color="auto" w:sz="6" w:space="0"/>
              <w:right w:val="single" w:color="auto" w:sz="6" w:space="0"/>
            </w:tcBorders>
            <w:shd w:val="clear" w:color="auto" w:fill="auto"/>
            <w:vAlign w:val="center"/>
          </w:tcPr>
          <w:p w14:paraId="296915E5">
            <w:pPr>
              <w:keepNext w:val="0"/>
              <w:keepLines w:val="0"/>
              <w:widowControl w:val="0"/>
              <w:suppressLineNumbers w:val="0"/>
              <w:shd w:val="clear" w:fill="FFFFFF"/>
              <w:suppressAutoHyphens/>
              <w:autoSpaceDE w:val="0"/>
              <w:autoSpaceDN/>
              <w:spacing w:before="0" w:beforeAutospacing="0" w:after="0" w:afterAutospacing="0" w:line="300" w:lineRule="exact"/>
              <w:ind w:left="0" w:right="0"/>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条款</w:t>
            </w:r>
          </w:p>
        </w:tc>
        <w:tc>
          <w:tcPr>
            <w:tcW w:w="1971" w:type="dxa"/>
            <w:tcBorders>
              <w:top w:val="single" w:color="auto" w:sz="6" w:space="0"/>
              <w:left w:val="nil"/>
              <w:bottom w:val="single" w:color="auto" w:sz="6" w:space="0"/>
              <w:right w:val="single" w:color="auto" w:sz="6" w:space="0"/>
            </w:tcBorders>
            <w:shd w:val="clear" w:color="auto" w:fill="auto"/>
            <w:vAlign w:val="center"/>
          </w:tcPr>
          <w:p w14:paraId="0E11D62A">
            <w:pPr>
              <w:keepNext w:val="0"/>
              <w:keepLines w:val="0"/>
              <w:widowControl w:val="0"/>
              <w:suppressLineNumbers w:val="0"/>
              <w:shd w:val="clear" w:fill="FFFFFF"/>
              <w:suppressAutoHyphens/>
              <w:autoSpaceDE w:val="0"/>
              <w:autoSpaceDN/>
              <w:spacing w:before="0" w:beforeAutospacing="0" w:after="0" w:afterAutospacing="0" w:line="300" w:lineRule="exact"/>
              <w:ind w:left="0" w:right="0"/>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招标文件技术要求条款</w:t>
            </w:r>
          </w:p>
        </w:tc>
        <w:tc>
          <w:tcPr>
            <w:tcW w:w="1781" w:type="dxa"/>
            <w:tcBorders>
              <w:top w:val="single" w:color="auto" w:sz="6" w:space="0"/>
              <w:left w:val="nil"/>
              <w:bottom w:val="single" w:color="auto" w:sz="6" w:space="0"/>
              <w:right w:val="single" w:color="auto" w:sz="6" w:space="0"/>
            </w:tcBorders>
            <w:shd w:val="clear" w:color="auto" w:fill="auto"/>
            <w:vAlign w:val="center"/>
          </w:tcPr>
          <w:p w14:paraId="49444CAA">
            <w:pPr>
              <w:keepNext w:val="0"/>
              <w:keepLines w:val="0"/>
              <w:widowControl w:val="0"/>
              <w:suppressLineNumbers w:val="0"/>
              <w:shd w:val="clear" w:fill="FFFFFF"/>
              <w:suppressAutoHyphens/>
              <w:autoSpaceDE w:val="0"/>
              <w:autoSpaceDN/>
              <w:spacing w:before="0" w:beforeAutospacing="0" w:after="0" w:afterAutospacing="0" w:line="300" w:lineRule="exact"/>
              <w:ind w:left="0" w:right="0"/>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响应文件对应条款内容</w:t>
            </w:r>
          </w:p>
        </w:tc>
        <w:tc>
          <w:tcPr>
            <w:tcW w:w="1361" w:type="dxa"/>
            <w:tcBorders>
              <w:top w:val="single" w:color="auto" w:sz="6" w:space="0"/>
              <w:left w:val="nil"/>
              <w:bottom w:val="single" w:color="auto" w:sz="6" w:space="0"/>
              <w:right w:val="single" w:color="auto" w:sz="6" w:space="0"/>
            </w:tcBorders>
            <w:shd w:val="clear" w:color="auto" w:fill="auto"/>
            <w:vAlign w:val="center"/>
          </w:tcPr>
          <w:p w14:paraId="2E9B23EC">
            <w:pPr>
              <w:keepNext w:val="0"/>
              <w:keepLines w:val="0"/>
              <w:widowControl w:val="0"/>
              <w:suppressLineNumbers w:val="0"/>
              <w:shd w:val="clear" w:fill="FFFFFF"/>
              <w:suppressAutoHyphens/>
              <w:autoSpaceDE w:val="0"/>
              <w:autoSpaceDN/>
              <w:spacing w:before="0" w:beforeAutospacing="0" w:after="0" w:afterAutospacing="0" w:line="300" w:lineRule="exact"/>
              <w:ind w:left="0" w:right="0"/>
              <w:jc w:val="both"/>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响应情况</w:t>
            </w:r>
          </w:p>
        </w:tc>
        <w:tc>
          <w:tcPr>
            <w:tcW w:w="1885" w:type="dxa"/>
            <w:tcBorders>
              <w:top w:val="single" w:color="auto" w:sz="6" w:space="0"/>
              <w:left w:val="nil"/>
              <w:bottom w:val="single" w:color="auto" w:sz="6" w:space="0"/>
              <w:right w:val="single" w:color="auto" w:sz="6" w:space="0"/>
            </w:tcBorders>
            <w:shd w:val="clear" w:color="auto" w:fill="auto"/>
            <w:vAlign w:val="center"/>
          </w:tcPr>
          <w:p w14:paraId="172C26B0">
            <w:pPr>
              <w:keepNext w:val="0"/>
              <w:keepLines w:val="0"/>
              <w:widowControl w:val="0"/>
              <w:suppressLineNumbers w:val="0"/>
              <w:shd w:val="clear" w:fill="FFFFFF"/>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技术支持资料所在响应文件页码</w:t>
            </w:r>
          </w:p>
        </w:tc>
      </w:tr>
      <w:tr w14:paraId="5498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1" w:hRule="atLeast"/>
          <w:jc w:val="center"/>
        </w:trPr>
        <w:tc>
          <w:tcPr>
            <w:tcW w:w="962" w:type="dxa"/>
            <w:tcBorders>
              <w:top w:val="single" w:color="auto" w:sz="6" w:space="0"/>
              <w:left w:val="single" w:color="auto" w:sz="6" w:space="0"/>
              <w:bottom w:val="single" w:color="auto" w:sz="6" w:space="0"/>
              <w:right w:val="single" w:color="auto" w:sz="6" w:space="0"/>
            </w:tcBorders>
            <w:shd w:val="clear" w:color="auto" w:fill="auto"/>
            <w:vAlign w:val="top"/>
          </w:tcPr>
          <w:p w14:paraId="14958E97">
            <w:pPr>
              <w:keepNext w:val="0"/>
              <w:keepLines w:val="0"/>
              <w:widowControl w:val="0"/>
              <w:suppressLineNumbers w:val="0"/>
              <w:shd w:val="clear" w:fill="FFFFFF"/>
              <w:suppressAutoHyphens/>
              <w:spacing w:before="0" w:beforeAutospacing="0" w:after="0" w:afterAutospacing="0" w:line="500" w:lineRule="exact"/>
              <w:ind w:left="0" w:right="0" w:firstLine="99"/>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1</w:t>
            </w:r>
          </w:p>
        </w:tc>
        <w:tc>
          <w:tcPr>
            <w:tcW w:w="1137" w:type="dxa"/>
            <w:tcBorders>
              <w:top w:val="single" w:color="auto" w:sz="6" w:space="0"/>
              <w:left w:val="nil"/>
              <w:bottom w:val="single" w:color="auto" w:sz="6" w:space="0"/>
              <w:right w:val="single" w:color="auto" w:sz="6" w:space="0"/>
            </w:tcBorders>
            <w:shd w:val="clear" w:color="auto" w:fill="auto"/>
            <w:vAlign w:val="center"/>
          </w:tcPr>
          <w:p w14:paraId="60047670">
            <w:pPr>
              <w:keepNext w:val="0"/>
              <w:keepLines w:val="0"/>
              <w:widowControl w:val="0"/>
              <w:suppressLineNumbers w:val="0"/>
              <w:shd w:val="clear" w:fill="FFFFFF"/>
              <w:suppressAutoHyphens/>
              <w:spacing w:before="0" w:beforeAutospacing="0" w:after="0" w:afterAutospacing="0" w:line="500" w:lineRule="exact"/>
              <w:ind w:left="0" w:right="0"/>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w:t>
            </w:r>
          </w:p>
        </w:tc>
        <w:tc>
          <w:tcPr>
            <w:tcW w:w="1971" w:type="dxa"/>
            <w:tcBorders>
              <w:top w:val="single" w:color="auto" w:sz="6" w:space="0"/>
              <w:left w:val="nil"/>
              <w:bottom w:val="single" w:color="auto" w:sz="6" w:space="0"/>
              <w:right w:val="single" w:color="auto" w:sz="6" w:space="0"/>
            </w:tcBorders>
            <w:shd w:val="clear" w:color="auto" w:fill="auto"/>
            <w:vAlign w:val="top"/>
          </w:tcPr>
          <w:p w14:paraId="2EE73E1C">
            <w:pPr>
              <w:keepNext w:val="0"/>
              <w:keepLines w:val="0"/>
              <w:widowControl w:val="0"/>
              <w:suppressLineNumbers w:val="0"/>
              <w:shd w:val="clear" w:fill="FFFFFF"/>
              <w:suppressAutoHyphens/>
              <w:spacing w:before="0" w:beforeAutospacing="0" w:after="0" w:afterAutospacing="0" w:line="500" w:lineRule="exact"/>
              <w:ind w:left="0" w:right="0" w:firstLine="99"/>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w:t>
            </w:r>
          </w:p>
        </w:tc>
        <w:tc>
          <w:tcPr>
            <w:tcW w:w="1781" w:type="dxa"/>
            <w:tcBorders>
              <w:top w:val="single" w:color="auto" w:sz="6" w:space="0"/>
              <w:left w:val="nil"/>
              <w:bottom w:val="single" w:color="auto" w:sz="6" w:space="0"/>
              <w:right w:val="single" w:color="auto" w:sz="6" w:space="0"/>
            </w:tcBorders>
            <w:shd w:val="clear" w:color="auto" w:fill="auto"/>
            <w:vAlign w:val="top"/>
          </w:tcPr>
          <w:p w14:paraId="04C1A92B">
            <w:pPr>
              <w:keepNext w:val="0"/>
              <w:keepLines w:val="0"/>
              <w:widowControl w:val="0"/>
              <w:suppressLineNumbers w:val="0"/>
              <w:shd w:val="clear" w:fill="FFFFFF"/>
              <w:suppressAutoHyphens/>
              <w:spacing w:before="0" w:beforeAutospacing="0" w:after="0" w:afterAutospacing="0" w:line="500" w:lineRule="exact"/>
              <w:ind w:left="0" w:right="0" w:firstLine="99"/>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w:t>
            </w:r>
          </w:p>
        </w:tc>
        <w:tc>
          <w:tcPr>
            <w:tcW w:w="1361" w:type="dxa"/>
            <w:tcBorders>
              <w:top w:val="single" w:color="auto" w:sz="6" w:space="0"/>
              <w:left w:val="nil"/>
              <w:bottom w:val="single" w:color="auto" w:sz="6" w:space="0"/>
              <w:right w:val="single" w:color="auto" w:sz="6" w:space="0"/>
            </w:tcBorders>
            <w:shd w:val="clear" w:color="auto" w:fill="auto"/>
            <w:vAlign w:val="top"/>
          </w:tcPr>
          <w:p w14:paraId="521FB519">
            <w:pPr>
              <w:keepNext w:val="0"/>
              <w:keepLines w:val="0"/>
              <w:widowControl w:val="0"/>
              <w:suppressLineNumbers w:val="0"/>
              <w:shd w:val="clear" w:fill="FFFFFF"/>
              <w:suppressAutoHyphens/>
              <w:autoSpaceDE w:val="0"/>
              <w:autoSpaceDN/>
              <w:spacing w:before="0" w:beforeAutospacing="0" w:after="0" w:afterAutospacing="0" w:line="300" w:lineRule="exact"/>
              <w:ind w:left="0" w:right="0" w:firstLine="0"/>
              <w:jc w:val="center"/>
              <w:rPr>
                <w:rFonts w:hint="eastAsia" w:ascii="宋体" w:hAnsi="宋体" w:eastAsia="宋体" w:cs="宋体"/>
                <w:color w:val="auto"/>
                <w:kern w:val="2"/>
                <w:sz w:val="21"/>
                <w:szCs w:val="21"/>
                <w:highlight w:val="none"/>
                <w:shd w:val="clear" w:fill="FFFFFF"/>
              </w:rPr>
            </w:pPr>
            <w:r>
              <w:rPr>
                <w:rFonts w:hint="default" w:ascii="宋体;SimSun" w:hAnsi="宋体;SimSun" w:eastAsia="宋体;SimSun" w:cs="宋体;SimSun"/>
                <w:color w:val="auto"/>
                <w:spacing w:val="7"/>
                <w:kern w:val="2"/>
                <w:sz w:val="21"/>
                <w:szCs w:val="21"/>
                <w:highlight w:val="none"/>
                <w:shd w:val="clear" w:fill="FFFFFF"/>
                <w:lang w:val="en-US" w:eastAsia="zh-CN" w:bidi="ar"/>
              </w:rPr>
              <w:t>响应</w:t>
            </w:r>
            <w:r>
              <w:rPr>
                <w:rFonts w:hint="default" w:ascii="Times New Roman" w:hAnsi="Times New Roman" w:eastAsia="宋体;SimSun" w:cs="Times New Roman"/>
                <w:color w:val="auto"/>
                <w:spacing w:val="7"/>
                <w:kern w:val="2"/>
                <w:sz w:val="21"/>
                <w:szCs w:val="21"/>
                <w:highlight w:val="none"/>
                <w:shd w:val="clear" w:fill="FFFFFF"/>
                <w:lang w:val="en-US" w:eastAsia="zh-CN" w:bidi="ar"/>
              </w:rPr>
              <w:t>/</w:t>
            </w:r>
            <w:r>
              <w:rPr>
                <w:rFonts w:hint="default" w:ascii="宋体;SimSun" w:hAnsi="宋体;SimSun" w:eastAsia="宋体;SimSun" w:cs="宋体;SimSun"/>
                <w:color w:val="auto"/>
                <w:spacing w:val="7"/>
                <w:kern w:val="2"/>
                <w:sz w:val="21"/>
                <w:szCs w:val="21"/>
                <w:highlight w:val="none"/>
                <w:shd w:val="clear" w:fill="FFFFFF"/>
                <w:lang w:val="en-US" w:eastAsia="zh-CN" w:bidi="ar"/>
              </w:rPr>
              <w:t>正偏离</w:t>
            </w:r>
            <w:r>
              <w:rPr>
                <w:rFonts w:hint="default" w:ascii="Times New Roman" w:hAnsi="Times New Roman" w:eastAsia="宋体;SimSun" w:cs="Times New Roman"/>
                <w:color w:val="auto"/>
                <w:spacing w:val="7"/>
                <w:kern w:val="2"/>
                <w:sz w:val="21"/>
                <w:szCs w:val="21"/>
                <w:highlight w:val="none"/>
                <w:shd w:val="clear" w:fill="FFFFFF"/>
                <w:lang w:val="en-US" w:eastAsia="zh-CN" w:bidi="ar"/>
              </w:rPr>
              <w:t>/</w:t>
            </w:r>
            <w:r>
              <w:rPr>
                <w:rFonts w:hint="default" w:ascii="宋体;SimSun" w:hAnsi="宋体;SimSun" w:eastAsia="宋体;SimSun" w:cs="宋体;SimSun"/>
                <w:color w:val="auto"/>
                <w:spacing w:val="7"/>
                <w:kern w:val="2"/>
                <w:sz w:val="21"/>
                <w:szCs w:val="21"/>
                <w:highlight w:val="none"/>
                <w:shd w:val="clear" w:fill="FFFFFF"/>
                <w:lang w:val="en-US" w:eastAsia="zh-CN" w:bidi="ar"/>
              </w:rPr>
              <w:t>负偏离</w:t>
            </w:r>
          </w:p>
        </w:tc>
        <w:tc>
          <w:tcPr>
            <w:tcW w:w="1885" w:type="dxa"/>
            <w:tcBorders>
              <w:top w:val="single" w:color="auto" w:sz="6" w:space="0"/>
              <w:left w:val="nil"/>
              <w:bottom w:val="single" w:color="auto" w:sz="6" w:space="0"/>
              <w:right w:val="single" w:color="auto" w:sz="6" w:space="0"/>
            </w:tcBorders>
            <w:shd w:val="clear" w:color="auto" w:fill="auto"/>
            <w:vAlign w:val="top"/>
          </w:tcPr>
          <w:p w14:paraId="1AD78633">
            <w:pPr>
              <w:keepNext w:val="0"/>
              <w:keepLines w:val="0"/>
              <w:widowControl w:val="0"/>
              <w:suppressLineNumbers w:val="0"/>
              <w:suppressAutoHyphens/>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见响应文件（）页</w:t>
            </w:r>
          </w:p>
        </w:tc>
      </w:tr>
      <w:tr w14:paraId="6E94C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71" w:hRule="atLeast"/>
          <w:jc w:val="center"/>
        </w:trPr>
        <w:tc>
          <w:tcPr>
            <w:tcW w:w="962" w:type="dxa"/>
            <w:tcBorders>
              <w:top w:val="single" w:color="auto" w:sz="6" w:space="0"/>
              <w:left w:val="single" w:color="auto" w:sz="6" w:space="0"/>
              <w:bottom w:val="single" w:color="auto" w:sz="6" w:space="0"/>
              <w:right w:val="single" w:color="auto" w:sz="6" w:space="0"/>
            </w:tcBorders>
            <w:shd w:val="clear" w:color="auto" w:fill="auto"/>
            <w:vAlign w:val="top"/>
          </w:tcPr>
          <w:p w14:paraId="3AD75724">
            <w:pPr>
              <w:keepNext w:val="0"/>
              <w:keepLines w:val="0"/>
              <w:widowControl w:val="0"/>
              <w:suppressLineNumbers w:val="0"/>
              <w:shd w:val="clear" w:fill="FFFFFF"/>
              <w:suppressAutoHyphens/>
              <w:spacing w:before="0" w:beforeAutospacing="0" w:after="0" w:afterAutospacing="0" w:line="500" w:lineRule="exact"/>
              <w:ind w:left="0" w:right="0" w:firstLine="99"/>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2</w:t>
            </w:r>
          </w:p>
        </w:tc>
        <w:tc>
          <w:tcPr>
            <w:tcW w:w="1137" w:type="dxa"/>
            <w:tcBorders>
              <w:top w:val="single" w:color="auto" w:sz="6" w:space="0"/>
              <w:left w:val="nil"/>
              <w:bottom w:val="single" w:color="auto" w:sz="6" w:space="0"/>
              <w:right w:val="single" w:color="auto" w:sz="6" w:space="0"/>
            </w:tcBorders>
            <w:shd w:val="clear" w:color="auto" w:fill="auto"/>
            <w:vAlign w:val="center"/>
          </w:tcPr>
          <w:p w14:paraId="0C8E43FF">
            <w:pPr>
              <w:keepNext w:val="0"/>
              <w:keepLines w:val="0"/>
              <w:widowControl w:val="0"/>
              <w:suppressLineNumbers w:val="0"/>
              <w:shd w:val="clear" w:fill="FFFFFF"/>
              <w:suppressAutoHyphens/>
              <w:spacing w:before="0" w:beforeAutospacing="0" w:after="0" w:afterAutospacing="0" w:line="500" w:lineRule="exact"/>
              <w:ind w:left="0" w:right="0"/>
              <w:jc w:val="both"/>
              <w:rPr>
                <w:rFonts w:hint="eastAsia" w:ascii="宋体" w:hAnsi="宋体" w:eastAsia="宋体" w:cs="宋体"/>
                <w:color w:val="auto"/>
                <w:kern w:val="2"/>
                <w:sz w:val="21"/>
                <w:szCs w:val="21"/>
                <w:highlight w:val="none"/>
                <w:shd w:val="clear" w:fill="FFFFFF"/>
              </w:rPr>
            </w:pPr>
          </w:p>
        </w:tc>
        <w:tc>
          <w:tcPr>
            <w:tcW w:w="1971" w:type="dxa"/>
            <w:tcBorders>
              <w:top w:val="single" w:color="auto" w:sz="6" w:space="0"/>
              <w:left w:val="nil"/>
              <w:bottom w:val="single" w:color="auto" w:sz="6" w:space="0"/>
              <w:right w:val="single" w:color="auto" w:sz="6" w:space="0"/>
            </w:tcBorders>
            <w:shd w:val="clear" w:color="auto" w:fill="auto"/>
            <w:vAlign w:val="top"/>
          </w:tcPr>
          <w:p w14:paraId="4C295666">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781" w:type="dxa"/>
            <w:tcBorders>
              <w:top w:val="single" w:color="auto" w:sz="6" w:space="0"/>
              <w:left w:val="nil"/>
              <w:bottom w:val="single" w:color="auto" w:sz="6" w:space="0"/>
              <w:right w:val="single" w:color="auto" w:sz="6" w:space="0"/>
            </w:tcBorders>
            <w:shd w:val="clear" w:color="auto" w:fill="auto"/>
            <w:vAlign w:val="top"/>
          </w:tcPr>
          <w:p w14:paraId="010D5440">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361" w:type="dxa"/>
            <w:tcBorders>
              <w:top w:val="single" w:color="auto" w:sz="6" w:space="0"/>
              <w:left w:val="nil"/>
              <w:bottom w:val="single" w:color="auto" w:sz="6" w:space="0"/>
              <w:right w:val="single" w:color="auto" w:sz="6" w:space="0"/>
            </w:tcBorders>
            <w:shd w:val="clear" w:color="auto" w:fill="auto"/>
            <w:vAlign w:val="top"/>
          </w:tcPr>
          <w:p w14:paraId="4F49DB87">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885" w:type="dxa"/>
            <w:tcBorders>
              <w:top w:val="single" w:color="auto" w:sz="6" w:space="0"/>
              <w:left w:val="nil"/>
              <w:bottom w:val="single" w:color="auto" w:sz="6" w:space="0"/>
              <w:right w:val="single" w:color="auto" w:sz="6" w:space="0"/>
            </w:tcBorders>
            <w:shd w:val="clear" w:color="auto" w:fill="auto"/>
            <w:vAlign w:val="top"/>
          </w:tcPr>
          <w:p w14:paraId="3CC1E2EA">
            <w:pPr>
              <w:keepNext w:val="0"/>
              <w:keepLines w:val="0"/>
              <w:widowControl w:val="0"/>
              <w:suppressLineNumbers w:val="0"/>
              <w:suppressAutoHyphens/>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见响应文件（）页</w:t>
            </w:r>
          </w:p>
        </w:tc>
      </w:tr>
      <w:tr w14:paraId="17A2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962" w:type="dxa"/>
            <w:tcBorders>
              <w:top w:val="single" w:color="auto" w:sz="6" w:space="0"/>
              <w:left w:val="single" w:color="auto" w:sz="6" w:space="0"/>
              <w:bottom w:val="single" w:color="auto" w:sz="6" w:space="0"/>
              <w:right w:val="single" w:color="auto" w:sz="6" w:space="0"/>
            </w:tcBorders>
            <w:shd w:val="clear" w:color="auto" w:fill="auto"/>
            <w:vAlign w:val="top"/>
          </w:tcPr>
          <w:p w14:paraId="396235EA">
            <w:pPr>
              <w:keepNext w:val="0"/>
              <w:keepLines w:val="0"/>
              <w:widowControl w:val="0"/>
              <w:suppressLineNumbers w:val="0"/>
              <w:shd w:val="clear" w:fill="FFFFFF"/>
              <w:suppressAutoHyphens/>
              <w:spacing w:before="0" w:beforeAutospacing="0" w:after="0" w:afterAutospacing="0" w:line="500" w:lineRule="exact"/>
              <w:ind w:left="0" w:right="0" w:firstLine="99"/>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3</w:t>
            </w:r>
          </w:p>
        </w:tc>
        <w:tc>
          <w:tcPr>
            <w:tcW w:w="1137" w:type="dxa"/>
            <w:tcBorders>
              <w:top w:val="single" w:color="auto" w:sz="6" w:space="0"/>
              <w:left w:val="nil"/>
              <w:bottom w:val="single" w:color="auto" w:sz="6" w:space="0"/>
              <w:right w:val="single" w:color="auto" w:sz="6" w:space="0"/>
            </w:tcBorders>
            <w:shd w:val="clear" w:color="auto" w:fill="auto"/>
            <w:vAlign w:val="center"/>
          </w:tcPr>
          <w:p w14:paraId="3F98EBB6">
            <w:pPr>
              <w:keepNext w:val="0"/>
              <w:keepLines w:val="0"/>
              <w:widowControl w:val="0"/>
              <w:suppressLineNumbers w:val="0"/>
              <w:shd w:val="clear" w:fill="FFFFFF"/>
              <w:suppressAutoHyphens/>
              <w:spacing w:before="0" w:beforeAutospacing="0" w:after="0" w:afterAutospacing="0" w:line="500" w:lineRule="exact"/>
              <w:ind w:left="0" w:right="0"/>
              <w:jc w:val="both"/>
              <w:rPr>
                <w:rFonts w:hint="eastAsia" w:ascii="宋体" w:hAnsi="宋体" w:eastAsia="宋体" w:cs="宋体"/>
                <w:color w:val="auto"/>
                <w:kern w:val="2"/>
                <w:sz w:val="21"/>
                <w:szCs w:val="21"/>
                <w:highlight w:val="none"/>
                <w:shd w:val="clear" w:fill="FFFFFF"/>
              </w:rPr>
            </w:pPr>
          </w:p>
        </w:tc>
        <w:tc>
          <w:tcPr>
            <w:tcW w:w="1971" w:type="dxa"/>
            <w:tcBorders>
              <w:top w:val="single" w:color="auto" w:sz="6" w:space="0"/>
              <w:left w:val="nil"/>
              <w:bottom w:val="single" w:color="auto" w:sz="6" w:space="0"/>
              <w:right w:val="single" w:color="auto" w:sz="6" w:space="0"/>
            </w:tcBorders>
            <w:shd w:val="clear" w:color="auto" w:fill="auto"/>
            <w:vAlign w:val="top"/>
          </w:tcPr>
          <w:p w14:paraId="79939D06">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781" w:type="dxa"/>
            <w:tcBorders>
              <w:top w:val="single" w:color="auto" w:sz="6" w:space="0"/>
              <w:left w:val="nil"/>
              <w:bottom w:val="single" w:color="auto" w:sz="6" w:space="0"/>
              <w:right w:val="single" w:color="auto" w:sz="6" w:space="0"/>
            </w:tcBorders>
            <w:shd w:val="clear" w:color="auto" w:fill="auto"/>
            <w:vAlign w:val="top"/>
          </w:tcPr>
          <w:p w14:paraId="22ED964E">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361" w:type="dxa"/>
            <w:tcBorders>
              <w:top w:val="single" w:color="auto" w:sz="6" w:space="0"/>
              <w:left w:val="nil"/>
              <w:bottom w:val="single" w:color="auto" w:sz="6" w:space="0"/>
              <w:right w:val="single" w:color="auto" w:sz="6" w:space="0"/>
            </w:tcBorders>
            <w:shd w:val="clear" w:color="auto" w:fill="auto"/>
            <w:vAlign w:val="top"/>
          </w:tcPr>
          <w:p w14:paraId="6DBF33DF">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885" w:type="dxa"/>
            <w:tcBorders>
              <w:top w:val="single" w:color="auto" w:sz="6" w:space="0"/>
              <w:left w:val="nil"/>
              <w:bottom w:val="single" w:color="auto" w:sz="6" w:space="0"/>
              <w:right w:val="single" w:color="auto" w:sz="6" w:space="0"/>
            </w:tcBorders>
            <w:shd w:val="clear" w:color="auto" w:fill="auto"/>
            <w:vAlign w:val="top"/>
          </w:tcPr>
          <w:p w14:paraId="471CD0E2">
            <w:pPr>
              <w:keepNext w:val="0"/>
              <w:keepLines w:val="0"/>
              <w:widowControl w:val="0"/>
              <w:suppressLineNumbers w:val="0"/>
              <w:suppressAutoHyphens/>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见响应文件（）页</w:t>
            </w:r>
          </w:p>
        </w:tc>
      </w:tr>
      <w:tr w14:paraId="55D1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962" w:type="dxa"/>
            <w:tcBorders>
              <w:top w:val="single" w:color="auto" w:sz="6" w:space="0"/>
              <w:left w:val="single" w:color="auto" w:sz="6" w:space="0"/>
              <w:bottom w:val="single" w:color="auto" w:sz="6" w:space="0"/>
              <w:right w:val="single" w:color="auto" w:sz="6" w:space="0"/>
            </w:tcBorders>
            <w:shd w:val="clear" w:color="auto" w:fill="auto"/>
            <w:vAlign w:val="top"/>
          </w:tcPr>
          <w:p w14:paraId="557D416E">
            <w:pPr>
              <w:keepNext w:val="0"/>
              <w:keepLines w:val="0"/>
              <w:widowControl w:val="0"/>
              <w:suppressLineNumbers w:val="0"/>
              <w:shd w:val="clear" w:fill="FFFFFF"/>
              <w:suppressAutoHyphens/>
              <w:spacing w:before="0" w:beforeAutospacing="0" w:after="0" w:afterAutospacing="0" w:line="500" w:lineRule="exact"/>
              <w:ind w:left="0" w:right="0" w:firstLine="99"/>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4</w:t>
            </w:r>
          </w:p>
        </w:tc>
        <w:tc>
          <w:tcPr>
            <w:tcW w:w="1137" w:type="dxa"/>
            <w:tcBorders>
              <w:top w:val="single" w:color="auto" w:sz="6" w:space="0"/>
              <w:left w:val="nil"/>
              <w:bottom w:val="single" w:color="auto" w:sz="6" w:space="0"/>
              <w:right w:val="single" w:color="auto" w:sz="6" w:space="0"/>
            </w:tcBorders>
            <w:shd w:val="clear" w:color="auto" w:fill="auto"/>
            <w:vAlign w:val="center"/>
          </w:tcPr>
          <w:p w14:paraId="171D4891">
            <w:pPr>
              <w:keepNext w:val="0"/>
              <w:keepLines w:val="0"/>
              <w:widowControl w:val="0"/>
              <w:suppressLineNumbers w:val="0"/>
              <w:shd w:val="clear" w:fill="FFFFFF"/>
              <w:suppressAutoHyphens/>
              <w:spacing w:before="0" w:beforeAutospacing="0" w:after="0" w:afterAutospacing="0" w:line="500" w:lineRule="exact"/>
              <w:ind w:left="0" w:right="0"/>
              <w:jc w:val="both"/>
              <w:rPr>
                <w:rFonts w:hint="eastAsia" w:ascii="宋体" w:hAnsi="宋体" w:eastAsia="宋体" w:cs="宋体"/>
                <w:color w:val="auto"/>
                <w:kern w:val="2"/>
                <w:sz w:val="21"/>
                <w:szCs w:val="21"/>
                <w:highlight w:val="none"/>
                <w:shd w:val="clear" w:fill="FFFFFF"/>
              </w:rPr>
            </w:pPr>
          </w:p>
        </w:tc>
        <w:tc>
          <w:tcPr>
            <w:tcW w:w="1971" w:type="dxa"/>
            <w:tcBorders>
              <w:top w:val="single" w:color="auto" w:sz="6" w:space="0"/>
              <w:left w:val="nil"/>
              <w:bottom w:val="single" w:color="auto" w:sz="6" w:space="0"/>
              <w:right w:val="single" w:color="auto" w:sz="6" w:space="0"/>
            </w:tcBorders>
            <w:shd w:val="clear" w:color="auto" w:fill="auto"/>
            <w:vAlign w:val="top"/>
          </w:tcPr>
          <w:p w14:paraId="7FC1A712">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781" w:type="dxa"/>
            <w:tcBorders>
              <w:top w:val="single" w:color="auto" w:sz="6" w:space="0"/>
              <w:left w:val="nil"/>
              <w:bottom w:val="single" w:color="auto" w:sz="6" w:space="0"/>
              <w:right w:val="single" w:color="auto" w:sz="6" w:space="0"/>
            </w:tcBorders>
            <w:shd w:val="clear" w:color="auto" w:fill="auto"/>
            <w:vAlign w:val="top"/>
          </w:tcPr>
          <w:p w14:paraId="1C461CDA">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361" w:type="dxa"/>
            <w:tcBorders>
              <w:top w:val="single" w:color="auto" w:sz="6" w:space="0"/>
              <w:left w:val="nil"/>
              <w:bottom w:val="single" w:color="auto" w:sz="6" w:space="0"/>
              <w:right w:val="single" w:color="auto" w:sz="6" w:space="0"/>
            </w:tcBorders>
            <w:shd w:val="clear" w:color="auto" w:fill="auto"/>
            <w:vAlign w:val="top"/>
          </w:tcPr>
          <w:p w14:paraId="366E8C6F">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885" w:type="dxa"/>
            <w:tcBorders>
              <w:top w:val="single" w:color="auto" w:sz="6" w:space="0"/>
              <w:left w:val="nil"/>
              <w:bottom w:val="single" w:color="auto" w:sz="6" w:space="0"/>
              <w:right w:val="single" w:color="auto" w:sz="6" w:space="0"/>
            </w:tcBorders>
            <w:shd w:val="clear" w:color="auto" w:fill="auto"/>
            <w:vAlign w:val="top"/>
          </w:tcPr>
          <w:p w14:paraId="24F54BCF">
            <w:pPr>
              <w:keepNext w:val="0"/>
              <w:keepLines w:val="0"/>
              <w:widowControl w:val="0"/>
              <w:suppressLineNumbers w:val="0"/>
              <w:suppressAutoHyphens/>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见响应文件（）页</w:t>
            </w:r>
          </w:p>
        </w:tc>
      </w:tr>
      <w:tr w14:paraId="1B8B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962" w:type="dxa"/>
            <w:tcBorders>
              <w:top w:val="single" w:color="auto" w:sz="6" w:space="0"/>
              <w:left w:val="single" w:color="auto" w:sz="6" w:space="0"/>
              <w:bottom w:val="single" w:color="auto" w:sz="6" w:space="0"/>
              <w:right w:val="single" w:color="auto" w:sz="6" w:space="0"/>
            </w:tcBorders>
            <w:shd w:val="clear" w:color="auto" w:fill="auto"/>
            <w:vAlign w:val="top"/>
          </w:tcPr>
          <w:p w14:paraId="4F53E91C">
            <w:pPr>
              <w:keepNext w:val="0"/>
              <w:keepLines w:val="0"/>
              <w:widowControl w:val="0"/>
              <w:suppressLineNumbers w:val="0"/>
              <w:shd w:val="clear" w:fill="FFFFFF"/>
              <w:suppressAutoHyphens/>
              <w:spacing w:before="0" w:beforeAutospacing="0" w:after="0" w:afterAutospacing="0" w:line="500" w:lineRule="exact"/>
              <w:ind w:left="0" w:right="0" w:firstLine="99"/>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5</w:t>
            </w:r>
          </w:p>
        </w:tc>
        <w:tc>
          <w:tcPr>
            <w:tcW w:w="1137" w:type="dxa"/>
            <w:tcBorders>
              <w:top w:val="single" w:color="auto" w:sz="6" w:space="0"/>
              <w:left w:val="nil"/>
              <w:bottom w:val="single" w:color="auto" w:sz="6" w:space="0"/>
              <w:right w:val="single" w:color="auto" w:sz="6" w:space="0"/>
            </w:tcBorders>
            <w:shd w:val="clear" w:color="auto" w:fill="auto"/>
            <w:vAlign w:val="center"/>
          </w:tcPr>
          <w:p w14:paraId="71E54906">
            <w:pPr>
              <w:keepNext w:val="0"/>
              <w:keepLines w:val="0"/>
              <w:widowControl w:val="0"/>
              <w:suppressLineNumbers w:val="0"/>
              <w:shd w:val="clear" w:fill="FFFFFF"/>
              <w:suppressAutoHyphens/>
              <w:spacing w:before="0" w:beforeAutospacing="0" w:after="0" w:afterAutospacing="0" w:line="500" w:lineRule="exact"/>
              <w:ind w:left="0" w:right="0"/>
              <w:jc w:val="both"/>
              <w:rPr>
                <w:rFonts w:hint="eastAsia" w:ascii="宋体" w:hAnsi="宋体" w:eastAsia="宋体" w:cs="宋体"/>
                <w:color w:val="auto"/>
                <w:kern w:val="2"/>
                <w:sz w:val="21"/>
                <w:szCs w:val="21"/>
                <w:highlight w:val="none"/>
                <w:shd w:val="clear" w:fill="FFFFFF"/>
              </w:rPr>
            </w:pPr>
          </w:p>
        </w:tc>
        <w:tc>
          <w:tcPr>
            <w:tcW w:w="1971" w:type="dxa"/>
            <w:tcBorders>
              <w:top w:val="single" w:color="auto" w:sz="6" w:space="0"/>
              <w:left w:val="nil"/>
              <w:bottom w:val="single" w:color="auto" w:sz="6" w:space="0"/>
              <w:right w:val="single" w:color="auto" w:sz="6" w:space="0"/>
            </w:tcBorders>
            <w:shd w:val="clear" w:color="auto" w:fill="auto"/>
            <w:vAlign w:val="top"/>
          </w:tcPr>
          <w:p w14:paraId="0867D1F2">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781" w:type="dxa"/>
            <w:tcBorders>
              <w:top w:val="single" w:color="auto" w:sz="6" w:space="0"/>
              <w:left w:val="nil"/>
              <w:bottom w:val="single" w:color="auto" w:sz="6" w:space="0"/>
              <w:right w:val="single" w:color="auto" w:sz="6" w:space="0"/>
            </w:tcBorders>
            <w:shd w:val="clear" w:color="auto" w:fill="auto"/>
            <w:vAlign w:val="top"/>
          </w:tcPr>
          <w:p w14:paraId="18BBF2A8">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361" w:type="dxa"/>
            <w:tcBorders>
              <w:top w:val="single" w:color="auto" w:sz="6" w:space="0"/>
              <w:left w:val="nil"/>
              <w:bottom w:val="single" w:color="auto" w:sz="6" w:space="0"/>
              <w:right w:val="single" w:color="auto" w:sz="6" w:space="0"/>
            </w:tcBorders>
            <w:shd w:val="clear" w:color="auto" w:fill="auto"/>
            <w:vAlign w:val="top"/>
          </w:tcPr>
          <w:p w14:paraId="4CA42EE7">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885" w:type="dxa"/>
            <w:tcBorders>
              <w:top w:val="single" w:color="auto" w:sz="6" w:space="0"/>
              <w:left w:val="nil"/>
              <w:bottom w:val="single" w:color="auto" w:sz="6" w:space="0"/>
              <w:right w:val="single" w:color="auto" w:sz="6" w:space="0"/>
            </w:tcBorders>
            <w:shd w:val="clear" w:color="auto" w:fill="auto"/>
            <w:vAlign w:val="top"/>
          </w:tcPr>
          <w:p w14:paraId="50DBE27E">
            <w:pPr>
              <w:keepNext w:val="0"/>
              <w:keepLines w:val="0"/>
              <w:widowControl w:val="0"/>
              <w:suppressLineNumbers w:val="0"/>
              <w:suppressAutoHyphens/>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见响应文件（）页</w:t>
            </w:r>
          </w:p>
        </w:tc>
      </w:tr>
      <w:tr w14:paraId="4FFE4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962" w:type="dxa"/>
            <w:tcBorders>
              <w:top w:val="single" w:color="auto" w:sz="6" w:space="0"/>
              <w:left w:val="single" w:color="auto" w:sz="6" w:space="0"/>
              <w:bottom w:val="single" w:color="auto" w:sz="6" w:space="0"/>
              <w:right w:val="single" w:color="auto" w:sz="6" w:space="0"/>
            </w:tcBorders>
            <w:shd w:val="clear" w:color="auto" w:fill="auto"/>
            <w:vAlign w:val="top"/>
          </w:tcPr>
          <w:p w14:paraId="6929AF96">
            <w:pPr>
              <w:keepNext w:val="0"/>
              <w:keepLines w:val="0"/>
              <w:widowControl w:val="0"/>
              <w:suppressLineNumbers w:val="0"/>
              <w:shd w:val="clear" w:fill="FFFFFF"/>
              <w:suppressAutoHyphens/>
              <w:spacing w:before="0" w:beforeAutospacing="0" w:after="0" w:afterAutospacing="0" w:line="500" w:lineRule="exact"/>
              <w:ind w:left="0" w:right="0" w:firstLine="99"/>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w:t>
            </w:r>
          </w:p>
          <w:p w14:paraId="37500A6B">
            <w:pPr>
              <w:keepNext w:val="0"/>
              <w:keepLines w:val="0"/>
              <w:widowControl w:val="0"/>
              <w:suppressLineNumbers w:val="0"/>
              <w:shd w:val="clear" w:fill="FFFFFF"/>
              <w:suppressAutoHyphens/>
              <w:spacing w:before="0" w:beforeAutospacing="0" w:after="0" w:afterAutospacing="0" w:line="500" w:lineRule="exact"/>
              <w:ind w:left="0" w:right="0" w:firstLine="99"/>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w:t>
            </w:r>
          </w:p>
        </w:tc>
        <w:tc>
          <w:tcPr>
            <w:tcW w:w="1137" w:type="dxa"/>
            <w:tcBorders>
              <w:top w:val="single" w:color="auto" w:sz="6" w:space="0"/>
              <w:left w:val="nil"/>
              <w:bottom w:val="single" w:color="auto" w:sz="6" w:space="0"/>
              <w:right w:val="single" w:color="auto" w:sz="6" w:space="0"/>
            </w:tcBorders>
            <w:shd w:val="clear" w:color="auto" w:fill="auto"/>
            <w:vAlign w:val="top"/>
          </w:tcPr>
          <w:p w14:paraId="4CB2C185">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971" w:type="dxa"/>
            <w:tcBorders>
              <w:top w:val="single" w:color="auto" w:sz="6" w:space="0"/>
              <w:left w:val="nil"/>
              <w:bottom w:val="single" w:color="auto" w:sz="6" w:space="0"/>
              <w:right w:val="single" w:color="auto" w:sz="6" w:space="0"/>
            </w:tcBorders>
            <w:shd w:val="clear" w:color="auto" w:fill="auto"/>
            <w:vAlign w:val="top"/>
          </w:tcPr>
          <w:p w14:paraId="331EA3B9">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781" w:type="dxa"/>
            <w:tcBorders>
              <w:top w:val="single" w:color="auto" w:sz="6" w:space="0"/>
              <w:left w:val="nil"/>
              <w:bottom w:val="single" w:color="auto" w:sz="6" w:space="0"/>
              <w:right w:val="single" w:color="auto" w:sz="6" w:space="0"/>
            </w:tcBorders>
            <w:shd w:val="clear" w:color="auto" w:fill="auto"/>
            <w:vAlign w:val="top"/>
          </w:tcPr>
          <w:p w14:paraId="2E77AC5A">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361" w:type="dxa"/>
            <w:tcBorders>
              <w:top w:val="single" w:color="auto" w:sz="6" w:space="0"/>
              <w:left w:val="nil"/>
              <w:bottom w:val="single" w:color="auto" w:sz="6" w:space="0"/>
              <w:right w:val="single" w:color="auto" w:sz="6" w:space="0"/>
            </w:tcBorders>
            <w:shd w:val="clear" w:color="auto" w:fill="auto"/>
            <w:vAlign w:val="top"/>
          </w:tcPr>
          <w:p w14:paraId="2348E86A">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885" w:type="dxa"/>
            <w:tcBorders>
              <w:top w:val="single" w:color="auto" w:sz="6" w:space="0"/>
              <w:left w:val="nil"/>
              <w:bottom w:val="single" w:color="auto" w:sz="6" w:space="0"/>
              <w:right w:val="single" w:color="auto" w:sz="6" w:space="0"/>
            </w:tcBorders>
            <w:shd w:val="clear" w:color="auto" w:fill="auto"/>
            <w:vAlign w:val="top"/>
          </w:tcPr>
          <w:p w14:paraId="6CD8DD71">
            <w:pPr>
              <w:keepNext w:val="0"/>
              <w:keepLines w:val="0"/>
              <w:widowControl w:val="0"/>
              <w:suppressLineNumbers w:val="0"/>
              <w:suppressAutoHyphens/>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见响应文件（）页</w:t>
            </w:r>
          </w:p>
        </w:tc>
      </w:tr>
      <w:tr w14:paraId="59068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71" w:hRule="atLeast"/>
          <w:jc w:val="center"/>
        </w:trPr>
        <w:tc>
          <w:tcPr>
            <w:tcW w:w="962" w:type="dxa"/>
            <w:tcBorders>
              <w:top w:val="single" w:color="auto" w:sz="6" w:space="0"/>
              <w:left w:val="single" w:color="auto" w:sz="6" w:space="0"/>
              <w:bottom w:val="single" w:color="auto" w:sz="6" w:space="0"/>
              <w:right w:val="single" w:color="auto" w:sz="6" w:space="0"/>
            </w:tcBorders>
            <w:shd w:val="clear" w:color="auto" w:fill="auto"/>
            <w:vAlign w:val="top"/>
          </w:tcPr>
          <w:p w14:paraId="6B7144EE">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137" w:type="dxa"/>
            <w:tcBorders>
              <w:top w:val="single" w:color="auto" w:sz="6" w:space="0"/>
              <w:left w:val="nil"/>
              <w:bottom w:val="single" w:color="auto" w:sz="6" w:space="0"/>
              <w:right w:val="single" w:color="auto" w:sz="6" w:space="0"/>
            </w:tcBorders>
            <w:shd w:val="clear" w:color="auto" w:fill="auto"/>
            <w:vAlign w:val="top"/>
          </w:tcPr>
          <w:p w14:paraId="50D6EA9E">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971" w:type="dxa"/>
            <w:tcBorders>
              <w:top w:val="single" w:color="auto" w:sz="6" w:space="0"/>
              <w:left w:val="nil"/>
              <w:bottom w:val="single" w:color="auto" w:sz="6" w:space="0"/>
              <w:right w:val="single" w:color="auto" w:sz="6" w:space="0"/>
            </w:tcBorders>
            <w:shd w:val="clear" w:color="auto" w:fill="auto"/>
            <w:vAlign w:val="top"/>
          </w:tcPr>
          <w:p w14:paraId="297F0AF4">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781" w:type="dxa"/>
            <w:tcBorders>
              <w:top w:val="single" w:color="auto" w:sz="6" w:space="0"/>
              <w:left w:val="nil"/>
              <w:bottom w:val="single" w:color="auto" w:sz="6" w:space="0"/>
              <w:right w:val="single" w:color="auto" w:sz="6" w:space="0"/>
            </w:tcBorders>
            <w:shd w:val="clear" w:color="auto" w:fill="auto"/>
            <w:vAlign w:val="top"/>
          </w:tcPr>
          <w:p w14:paraId="60FF2D14">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361" w:type="dxa"/>
            <w:tcBorders>
              <w:top w:val="single" w:color="auto" w:sz="6" w:space="0"/>
              <w:left w:val="nil"/>
              <w:bottom w:val="single" w:color="auto" w:sz="6" w:space="0"/>
              <w:right w:val="single" w:color="auto" w:sz="6" w:space="0"/>
            </w:tcBorders>
            <w:shd w:val="clear" w:color="auto" w:fill="auto"/>
            <w:vAlign w:val="top"/>
          </w:tcPr>
          <w:p w14:paraId="3265D461">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885" w:type="dxa"/>
            <w:tcBorders>
              <w:top w:val="single" w:color="auto" w:sz="6" w:space="0"/>
              <w:left w:val="nil"/>
              <w:bottom w:val="single" w:color="auto" w:sz="6" w:space="0"/>
              <w:right w:val="single" w:color="auto" w:sz="6" w:space="0"/>
            </w:tcBorders>
            <w:shd w:val="clear" w:color="auto" w:fill="auto"/>
            <w:vAlign w:val="top"/>
          </w:tcPr>
          <w:p w14:paraId="3EFACF0F">
            <w:pPr>
              <w:keepNext w:val="0"/>
              <w:keepLines w:val="0"/>
              <w:widowControl w:val="0"/>
              <w:suppressLineNumbers w:val="0"/>
              <w:suppressAutoHyphens/>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见响应文件（）页</w:t>
            </w:r>
          </w:p>
        </w:tc>
      </w:tr>
      <w:tr w14:paraId="46E14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962" w:type="dxa"/>
            <w:tcBorders>
              <w:top w:val="single" w:color="auto" w:sz="6" w:space="0"/>
              <w:left w:val="single" w:color="auto" w:sz="6" w:space="0"/>
              <w:bottom w:val="single" w:color="auto" w:sz="6" w:space="0"/>
              <w:right w:val="single" w:color="auto" w:sz="6" w:space="0"/>
            </w:tcBorders>
            <w:shd w:val="clear" w:color="auto" w:fill="auto"/>
            <w:vAlign w:val="top"/>
          </w:tcPr>
          <w:p w14:paraId="4B0E7BEF">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137" w:type="dxa"/>
            <w:tcBorders>
              <w:top w:val="single" w:color="auto" w:sz="6" w:space="0"/>
              <w:left w:val="nil"/>
              <w:bottom w:val="single" w:color="auto" w:sz="6" w:space="0"/>
              <w:right w:val="single" w:color="auto" w:sz="6" w:space="0"/>
            </w:tcBorders>
            <w:shd w:val="clear" w:color="auto" w:fill="auto"/>
            <w:vAlign w:val="top"/>
          </w:tcPr>
          <w:p w14:paraId="714B038F">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971" w:type="dxa"/>
            <w:tcBorders>
              <w:top w:val="single" w:color="auto" w:sz="6" w:space="0"/>
              <w:left w:val="nil"/>
              <w:bottom w:val="single" w:color="auto" w:sz="6" w:space="0"/>
              <w:right w:val="single" w:color="auto" w:sz="6" w:space="0"/>
            </w:tcBorders>
            <w:shd w:val="clear" w:color="auto" w:fill="auto"/>
            <w:vAlign w:val="top"/>
          </w:tcPr>
          <w:p w14:paraId="57ACC42F">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781" w:type="dxa"/>
            <w:tcBorders>
              <w:top w:val="single" w:color="auto" w:sz="6" w:space="0"/>
              <w:left w:val="nil"/>
              <w:bottom w:val="single" w:color="auto" w:sz="6" w:space="0"/>
              <w:right w:val="single" w:color="auto" w:sz="6" w:space="0"/>
            </w:tcBorders>
            <w:shd w:val="clear" w:color="auto" w:fill="auto"/>
            <w:vAlign w:val="top"/>
          </w:tcPr>
          <w:p w14:paraId="26B2871D">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361" w:type="dxa"/>
            <w:tcBorders>
              <w:top w:val="single" w:color="auto" w:sz="6" w:space="0"/>
              <w:left w:val="nil"/>
              <w:bottom w:val="single" w:color="auto" w:sz="6" w:space="0"/>
              <w:right w:val="single" w:color="auto" w:sz="6" w:space="0"/>
            </w:tcBorders>
            <w:shd w:val="clear" w:color="auto" w:fill="auto"/>
            <w:vAlign w:val="top"/>
          </w:tcPr>
          <w:p w14:paraId="5AA780B8">
            <w:pPr>
              <w:keepNext w:val="0"/>
              <w:keepLines w:val="0"/>
              <w:widowControl w:val="0"/>
              <w:suppressLineNumbers w:val="0"/>
              <w:shd w:val="clear" w:fill="FFFFFF"/>
              <w:suppressAutoHyphens/>
              <w:spacing w:before="0" w:beforeAutospacing="0" w:after="0" w:afterAutospacing="0" w:line="500" w:lineRule="exact"/>
              <w:ind w:left="0" w:right="0" w:firstLine="99"/>
              <w:jc w:val="both"/>
              <w:rPr>
                <w:rFonts w:hint="eastAsia" w:ascii="宋体" w:hAnsi="宋体" w:eastAsia="宋体" w:cs="宋体"/>
                <w:color w:val="auto"/>
                <w:kern w:val="2"/>
                <w:sz w:val="21"/>
                <w:szCs w:val="21"/>
                <w:highlight w:val="none"/>
                <w:shd w:val="clear" w:fill="FFFFFF"/>
              </w:rPr>
            </w:pPr>
          </w:p>
        </w:tc>
        <w:tc>
          <w:tcPr>
            <w:tcW w:w="1885" w:type="dxa"/>
            <w:tcBorders>
              <w:top w:val="single" w:color="auto" w:sz="6" w:space="0"/>
              <w:left w:val="nil"/>
              <w:bottom w:val="single" w:color="auto" w:sz="6" w:space="0"/>
              <w:right w:val="single" w:color="auto" w:sz="6" w:space="0"/>
            </w:tcBorders>
            <w:shd w:val="clear" w:color="auto" w:fill="auto"/>
            <w:vAlign w:val="center"/>
          </w:tcPr>
          <w:p w14:paraId="6869AFD3">
            <w:pPr>
              <w:keepNext w:val="0"/>
              <w:keepLines w:val="0"/>
              <w:widowControl w:val="0"/>
              <w:suppressLineNumbers w:val="0"/>
              <w:shd w:val="clear" w:fill="FFFFFF"/>
              <w:suppressAutoHyphens/>
              <w:spacing w:before="0" w:beforeAutospacing="0" w:after="0" w:afterAutospacing="0" w:line="300" w:lineRule="exact"/>
              <w:ind w:left="0" w:right="0"/>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见响应文件（）页</w:t>
            </w:r>
          </w:p>
        </w:tc>
      </w:tr>
    </w:tbl>
    <w:p w14:paraId="2FF2FCC4">
      <w:pPr>
        <w:keepNext w:val="0"/>
        <w:keepLines w:val="0"/>
        <w:widowControl w:val="0"/>
        <w:suppressLineNumbers w:val="0"/>
        <w:suppressAutoHyphens/>
        <w:spacing w:before="0" w:beforeAutospacing="0" w:after="0" w:afterAutospacing="0" w:line="360" w:lineRule="auto"/>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2EA32ED8">
      <w:pPr>
        <w:keepNext w:val="0"/>
        <w:keepLines w:val="0"/>
        <w:widowControl w:val="0"/>
        <w:suppressLineNumbers w:val="0"/>
        <w:suppressAutoHyphens/>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说明：</w:t>
      </w:r>
      <w:r>
        <w:rPr>
          <w:rFonts w:hint="eastAsia" w:ascii="宋体" w:hAnsi="宋体" w:eastAsia="宋体" w:cs="宋体"/>
          <w:color w:val="auto"/>
          <w:kern w:val="2"/>
          <w:sz w:val="24"/>
          <w:szCs w:val="24"/>
          <w:highlight w:val="none"/>
          <w:lang w:val="en-US" w:eastAsia="zh-CN" w:bidi="ar"/>
        </w:rPr>
        <w:t>1、供应商须对《第三章 采购需求》“技术要求”中的所有参数条款逐条说明响应内容及响应情况。对参数未提供技术支持资料，或参数与其提供的技术支持资料不一致的，均视为负偏离。</w:t>
      </w:r>
    </w:p>
    <w:p w14:paraId="69F50230">
      <w:pPr>
        <w:keepNext w:val="0"/>
        <w:keepLines w:val="0"/>
        <w:widowControl w:val="0"/>
        <w:suppressLineNumbers w:val="0"/>
        <w:suppressAutoHyphens/>
        <w:spacing w:before="0" w:beforeAutospacing="0" w:after="0" w:afterAutospacing="0" w:line="360" w:lineRule="auto"/>
        <w:ind w:left="0" w:right="0" w:firstLine="723" w:firstLineChars="300"/>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2、技术条款偏离表中响应文件条款应为供应商提供设备的实际技术参数（或规格），不能完全复制《第三章 采购需求》中的技术参数，否则将视为未实质性响应招标文件要求。</w:t>
      </w:r>
    </w:p>
    <w:p w14:paraId="4B6C6849">
      <w:pPr>
        <w:keepNext w:val="0"/>
        <w:keepLines w:val="0"/>
        <w:widowControl w:val="0"/>
        <w:suppressLineNumbers w:val="0"/>
        <w:tabs>
          <w:tab w:val="left" w:pos="-120"/>
        </w:tabs>
        <w:suppressAutoHyphens/>
        <w:spacing w:before="0" w:beforeAutospacing="0" w:after="0" w:afterAutospacing="0" w:line="480" w:lineRule="exact"/>
        <w:ind w:left="0" w:right="0" w:firstLine="720" w:firstLineChars="300"/>
        <w:jc w:val="both"/>
        <w:textAlignment w:val="baseline"/>
        <w:rPr>
          <w:rFonts w:hint="eastAsia" w:ascii="宋体" w:hAnsi="宋体" w:eastAsia="宋体" w:cs="宋体"/>
          <w:bCs/>
          <w:color w:val="auto"/>
          <w:spacing w:val="0"/>
          <w:kern w:val="2"/>
          <w:sz w:val="24"/>
          <w:szCs w:val="24"/>
          <w:highlight w:val="none"/>
          <w:vertAlign w:val="baseline"/>
        </w:rPr>
      </w:pPr>
      <w:r>
        <w:rPr>
          <w:rFonts w:hint="eastAsia" w:ascii="宋体" w:hAnsi="宋体" w:eastAsia="宋体" w:cs="宋体"/>
          <w:bCs/>
          <w:color w:val="auto"/>
          <w:spacing w:val="0"/>
          <w:kern w:val="2"/>
          <w:sz w:val="24"/>
          <w:szCs w:val="24"/>
          <w:highlight w:val="none"/>
          <w:vertAlign w:val="baseline"/>
          <w:lang w:val="en-US" w:eastAsia="zh-CN" w:bidi="ar"/>
        </w:rPr>
        <w:t>3、“响应/正偏离/负偏离”应据实填写“响应”或“正偏离”或“负偏离”。</w:t>
      </w:r>
    </w:p>
    <w:p w14:paraId="441D2269">
      <w:pPr>
        <w:keepNext w:val="0"/>
        <w:keepLines w:val="0"/>
        <w:widowControl w:val="0"/>
        <w:suppressLineNumbers w:val="0"/>
        <w:shd w:val="clear" w:fill="FFFFFF"/>
        <w:suppressAutoHyphens/>
        <w:spacing w:before="0" w:beforeAutospacing="0" w:after="0" w:afterAutospacing="0" w:line="500" w:lineRule="exact"/>
        <w:ind w:left="706" w:leftChars="336" w:right="0"/>
        <w:jc w:val="both"/>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 xml:space="preserve"> </w:t>
      </w:r>
    </w:p>
    <w:p w14:paraId="00C34E8D">
      <w:pPr>
        <w:keepNext w:val="0"/>
        <w:keepLines w:val="0"/>
        <w:widowControl w:val="0"/>
        <w:suppressLineNumbers w:val="0"/>
        <w:suppressAutoHyphens/>
        <w:autoSpaceDE w:val="0"/>
        <w:autoSpaceDN/>
        <w:spacing w:before="0" w:beforeAutospacing="0" w:after="0" w:afterAutospacing="0" w:line="440" w:lineRule="exact"/>
        <w:ind w:left="0" w:right="0"/>
        <w:jc w:val="center"/>
        <w:rPr>
          <w:rFonts w:hint="default" w:ascii="宋体" w:hAnsi="宋体" w:eastAsia="宋体;SimSun" w:cs="Times New Roman"/>
          <w:color w:val="auto"/>
          <w:kern w:val="2"/>
          <w:sz w:val="24"/>
          <w:szCs w:val="24"/>
          <w:highlight w:val="none"/>
        </w:rPr>
      </w:pPr>
      <w:r>
        <w:rPr>
          <w:rFonts w:hint="default" w:ascii="宋体" w:hAnsi="宋体" w:eastAsia="宋体;SimSun" w:cs="Times New Roman"/>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供应商（盖章）：</w:t>
      </w:r>
    </w:p>
    <w:p w14:paraId="0EEF0D92">
      <w:pPr>
        <w:keepNext w:val="0"/>
        <w:keepLines w:val="0"/>
        <w:widowControl w:val="0"/>
        <w:suppressLineNumbers w:val="0"/>
        <w:suppressAutoHyphens/>
        <w:autoSpaceDE w:val="0"/>
        <w:autoSpaceDN/>
        <w:spacing w:before="0" w:beforeAutospacing="0" w:after="0" w:afterAutospacing="0" w:line="440" w:lineRule="exact"/>
        <w:ind w:left="0" w:right="0"/>
        <w:jc w:val="center"/>
        <w:rPr>
          <w:rFonts w:hint="default" w:ascii="宋体" w:hAnsi="宋体" w:eastAsia="宋体;SimSun" w:cs="Times New Roman"/>
          <w:color w:val="auto"/>
          <w:kern w:val="2"/>
          <w:sz w:val="24"/>
          <w:szCs w:val="24"/>
          <w:highlight w:val="none"/>
        </w:rPr>
      </w:pPr>
      <w:r>
        <w:rPr>
          <w:rFonts w:hint="default" w:ascii="宋体" w:hAnsi="宋体" w:eastAsia="宋体;SimSun" w:cs="Times New Roman"/>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法定代表人或授权代理人：（签字或盖章）</w:t>
      </w:r>
    </w:p>
    <w:p w14:paraId="7F752E27">
      <w:pPr>
        <w:keepNext w:val="0"/>
        <w:keepLines w:val="0"/>
        <w:widowControl w:val="0"/>
        <w:suppressLineNumbers w:val="0"/>
        <w:suppressAutoHyphens/>
        <w:autoSpaceDE w:val="0"/>
        <w:autoSpaceDN/>
        <w:spacing w:before="0" w:beforeAutospacing="0" w:after="0" w:afterAutospacing="0" w:line="440" w:lineRule="exact"/>
        <w:ind w:left="0" w:right="0" w:firstLine="4080" w:firstLineChars="1700"/>
        <w:jc w:val="both"/>
        <w:rPr>
          <w:rFonts w:hint="default" w:ascii="宋体" w:hAnsi="宋体" w:eastAsia="宋体;SimSun" w:cs="Times New Roman"/>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日</w:t>
      </w:r>
      <w:r>
        <w:rPr>
          <w:rFonts w:hint="default" w:ascii="宋体" w:hAnsi="宋体" w:eastAsia="宋体;SimSun" w:cs="Times New Roman"/>
          <w:color w:val="auto"/>
          <w:kern w:val="2"/>
          <w:sz w:val="24"/>
          <w:szCs w:val="24"/>
          <w:highlight w:val="none"/>
          <w:lang w:val="en-US" w:eastAsia="zh-CN" w:bidi="ar"/>
        </w:rPr>
        <w:t xml:space="preserve">  </w:t>
      </w:r>
      <w:r>
        <w:rPr>
          <w:rFonts w:hint="default" w:ascii="宋体;SimSun" w:hAnsi="宋体;SimSun" w:eastAsia="宋体;SimSun" w:cs="宋体;SimSun"/>
          <w:color w:val="auto"/>
          <w:kern w:val="2"/>
          <w:sz w:val="24"/>
          <w:szCs w:val="24"/>
          <w:highlight w:val="none"/>
          <w:lang w:val="en-US" w:eastAsia="zh-CN" w:bidi="ar"/>
        </w:rPr>
        <w:t>期：</w:t>
      </w:r>
    </w:p>
    <w:p w14:paraId="61F55D81">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br w:type="page"/>
      </w:r>
    </w:p>
    <w:p w14:paraId="4555D820">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（二）产品详细配置清单（包括备品备件、专用工具和软件）；</w:t>
      </w:r>
    </w:p>
    <w:p w14:paraId="54FA5360">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br w:type="page"/>
      </w:r>
    </w:p>
    <w:p w14:paraId="7F300294">
      <w:pPr>
        <w:keepNext w:val="0"/>
        <w:keepLines w:val="0"/>
        <w:widowControl w:val="0"/>
        <w:suppressLineNumbers w:val="0"/>
        <w:suppressAutoHyphens/>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32"/>
          <w:szCs w:val="32"/>
          <w:highlight w:val="none"/>
          <w:lang w:val="en-US" w:eastAsia="zh-CN" w:bidi="ar"/>
        </w:rPr>
        <w:t>（三）技术支持资料</w:t>
      </w:r>
    </w:p>
    <w:p w14:paraId="6267B720">
      <w:pPr>
        <w:keepNext w:val="0"/>
        <w:keepLines w:val="0"/>
        <w:widowControl w:val="0"/>
        <w:suppressLineNumbers w:val="0"/>
        <w:suppressAutoHyphens/>
        <w:spacing w:before="0" w:beforeAutospacing="0" w:after="0" w:afterAutospacing="0" w:line="360" w:lineRule="auto"/>
        <w:ind w:left="0" w:right="0" w:firstLine="720" w:firstLineChars="3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供应商所投产品（且为所投型号）应提供具有检测资质的部门出具的检验检测报告（反映主要参数内容的部分，原件扫描件）、制造商对外公开发行的印刷版彩页</w:t>
      </w:r>
      <w:r>
        <w:rPr>
          <w:rFonts w:hint="eastAsia" w:ascii="宋体" w:hAnsi="宋体" w:eastAsia="宋体" w:cs="宋体"/>
          <w:bCs/>
          <w:color w:val="auto"/>
          <w:spacing w:val="0"/>
          <w:kern w:val="2"/>
          <w:sz w:val="24"/>
          <w:szCs w:val="24"/>
          <w:highlight w:val="none"/>
          <w:lang w:val="en-US" w:eastAsia="zh-CN" w:bidi="ar"/>
        </w:rPr>
        <w:t>或技术白皮书</w:t>
      </w:r>
      <w:r>
        <w:rPr>
          <w:rFonts w:hint="eastAsia" w:ascii="宋体" w:hAnsi="宋体" w:eastAsia="宋体" w:cs="宋体"/>
          <w:color w:val="auto"/>
          <w:kern w:val="2"/>
          <w:sz w:val="24"/>
          <w:szCs w:val="24"/>
          <w:highlight w:val="none"/>
          <w:lang w:val="en-US" w:eastAsia="zh-CN" w:bidi="ar"/>
        </w:rPr>
        <w:t>等。（国家无需检测的设备可以不提供检验报告）</w:t>
      </w:r>
    </w:p>
    <w:p w14:paraId="2A597DA5">
      <w:pPr>
        <w:keepNext w:val="0"/>
        <w:keepLines w:val="0"/>
        <w:widowControl w:val="0"/>
        <w:suppressLineNumbers w:val="0"/>
        <w:suppressAutoHyphens/>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5A3E528">
      <w:pPr>
        <w:keepNext w:val="0"/>
        <w:keepLines w:val="0"/>
        <w:widowControl w:val="0"/>
        <w:suppressLineNumbers w:val="0"/>
        <w:suppressAutoHyphens/>
        <w:spacing w:before="0" w:beforeAutospacing="0" w:after="0" w:afterAutospacing="0" w:line="360" w:lineRule="auto"/>
        <w:ind w:left="0" w:right="0"/>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说明：对参数未提供技术支持资料，或参数与其提供的技术支持资料不一致的，在评审时均视为偏离。</w:t>
      </w:r>
    </w:p>
    <w:p w14:paraId="7F3BBE42">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t xml:space="preserve"> </w:t>
      </w:r>
    </w:p>
    <w:p w14:paraId="25288825">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br w:type="page"/>
      </w:r>
    </w:p>
    <w:p w14:paraId="79DFA361">
      <w:pPr>
        <w:keepNext w:val="0"/>
        <w:keepLines w:val="0"/>
        <w:widowControl w:val="0"/>
        <w:suppressLineNumbers w:val="0"/>
        <w:suppressAutoHyphens/>
        <w:spacing w:before="0" w:beforeAutospacing="0" w:after="0" w:afterAutospacing="0" w:line="360" w:lineRule="auto"/>
        <w:ind w:left="0" w:right="0"/>
        <w:jc w:val="cente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32"/>
          <w:szCs w:val="32"/>
          <w:highlight w:val="none"/>
          <w:lang w:val="en-US" w:eastAsia="zh-CN" w:bidi="ar"/>
        </w:rPr>
        <w:t>（四）供货服务方案</w:t>
      </w:r>
    </w:p>
    <w:p w14:paraId="179FAA1C">
      <w:pPr>
        <w:keepNext w:val="0"/>
        <w:keepLines w:val="0"/>
        <w:widowControl w:val="0"/>
        <w:suppressLineNumbers w:val="0"/>
        <w:suppressAutoHyphens/>
        <w:autoSpaceDE w:val="0"/>
        <w:autoSpaceDN/>
        <w:spacing w:before="0" w:beforeAutospacing="0" w:after="0" w:afterAutospacing="0" w:line="480" w:lineRule="exact"/>
        <w:ind w:left="0" w:right="0" w:firstLine="480" w:firstLineChars="200"/>
        <w:jc w:val="both"/>
        <w:rPr>
          <w:rFonts w:hint="eastAsia" w:ascii="宋体" w:hAnsi="宋体" w:eastAsia="宋体;SimSun" w:cs="宋体"/>
          <w:color w:val="auto"/>
          <w:kern w:val="2"/>
          <w:sz w:val="24"/>
          <w:szCs w:val="24"/>
          <w:highlight w:val="none"/>
        </w:rPr>
      </w:pPr>
      <w:r>
        <w:rPr>
          <w:rFonts w:hint="default" w:ascii="宋体;SimSun" w:hAnsi="宋体;SimSun" w:eastAsia="宋体;SimSun" w:cs="宋体;SimSun"/>
          <w:color w:val="auto"/>
          <w:kern w:val="2"/>
          <w:sz w:val="24"/>
          <w:szCs w:val="24"/>
          <w:highlight w:val="none"/>
          <w:lang w:val="en-US" w:eastAsia="zh-CN" w:bidi="ar"/>
        </w:rPr>
        <w:t>（供应商根据自身情况及</w:t>
      </w:r>
      <w:r>
        <w:rPr>
          <w:rFonts w:hint="eastAsia" w:ascii="宋体;SimSun" w:hAnsi="宋体;SimSun" w:eastAsia="宋体;SimSun" w:cs="宋体;SimSun"/>
          <w:color w:val="auto"/>
          <w:spacing w:val="-3"/>
          <w:kern w:val="2"/>
          <w:sz w:val="24"/>
          <w:szCs w:val="24"/>
          <w:highlight w:val="none"/>
          <w:lang w:val="en-US" w:eastAsia="zh-CN" w:bidi="ar"/>
        </w:rPr>
        <w:t>招标文件</w:t>
      </w:r>
      <w:r>
        <w:rPr>
          <w:rFonts w:hint="default" w:ascii="宋体;SimSun" w:hAnsi="宋体;SimSun" w:eastAsia="宋体;SimSun" w:cs="宋体;SimSun"/>
          <w:color w:val="auto"/>
          <w:spacing w:val="-3"/>
          <w:kern w:val="2"/>
          <w:sz w:val="24"/>
          <w:szCs w:val="24"/>
          <w:highlight w:val="none"/>
          <w:lang w:val="en-US" w:eastAsia="zh-CN" w:bidi="ar"/>
        </w:rPr>
        <w:t>的要求</w:t>
      </w:r>
      <w:r>
        <w:rPr>
          <w:rFonts w:hint="default" w:ascii="宋体;SimSun" w:hAnsi="宋体;SimSun" w:eastAsia="宋体;SimSun" w:cs="宋体;SimSun"/>
          <w:color w:val="auto"/>
          <w:kern w:val="2"/>
          <w:sz w:val="24"/>
          <w:szCs w:val="24"/>
          <w:highlight w:val="none"/>
          <w:lang w:val="en-US" w:eastAsia="zh-CN" w:bidi="ar"/>
        </w:rPr>
        <w:t>自行编写供货及相关服务方案，格式自拟。）</w:t>
      </w:r>
    </w:p>
    <w:p w14:paraId="2004236C">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t xml:space="preserve"> </w:t>
      </w:r>
    </w:p>
    <w:p w14:paraId="4BBF692A">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br w:type="page"/>
      </w:r>
    </w:p>
    <w:p w14:paraId="3E55C302">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32"/>
          <w:szCs w:val="32"/>
          <w:highlight w:val="none"/>
        </w:rPr>
      </w:pPr>
      <w:r>
        <w:rPr>
          <w:rFonts w:hint="eastAsia" w:ascii="宋体" w:hAnsi="宋体" w:eastAsia="宋体" w:cs="宋体"/>
          <w:b/>
          <w:bCs/>
          <w:color w:val="auto"/>
          <w:spacing w:val="0"/>
          <w:kern w:val="2"/>
          <w:sz w:val="32"/>
          <w:szCs w:val="32"/>
          <w:highlight w:val="none"/>
          <w:lang w:val="en-US" w:eastAsia="zh-CN" w:bidi="ar"/>
        </w:rPr>
        <w:t>（五）供应商认为有必要提供的其他技术资料</w:t>
      </w:r>
    </w:p>
    <w:p w14:paraId="2AF8C7D3">
      <w:pPr>
        <w:rPr>
          <w:rFonts w:ascii="宋体" w:hAnsi="宋体" w:cs="宋体"/>
          <w:b/>
          <w:bCs/>
          <w:color w:val="auto"/>
          <w:sz w:val="30"/>
          <w:szCs w:val="30"/>
          <w:highlight w:val="none"/>
        </w:rPr>
      </w:pPr>
      <w:r>
        <w:rPr>
          <w:rFonts w:ascii="宋体" w:hAnsi="宋体" w:cs="宋体"/>
          <w:b/>
          <w:bCs/>
          <w:color w:val="auto"/>
          <w:sz w:val="30"/>
          <w:szCs w:val="30"/>
          <w:highlight w:val="none"/>
        </w:rPr>
        <w:br w:type="page"/>
      </w:r>
    </w:p>
    <w:p w14:paraId="6453FE65">
      <w:pPr>
        <w:pStyle w:val="9"/>
        <w:rPr>
          <w:color w:val="auto"/>
          <w:highlight w:val="none"/>
        </w:rPr>
      </w:pPr>
    </w:p>
    <w:p w14:paraId="120D6003">
      <w:pPr>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第六章、评标标准（</w:t>
      </w:r>
      <w:r>
        <w:rPr>
          <w:rFonts w:hint="eastAsia" w:ascii="宋体" w:hAnsi="宋体" w:cs="宋体"/>
          <w:b/>
          <w:bCs/>
          <w:color w:val="auto"/>
          <w:sz w:val="30"/>
          <w:szCs w:val="30"/>
          <w:highlight w:val="none"/>
          <w:lang w:eastAsia="zh-CN"/>
        </w:rPr>
        <w:t>综合评分法</w:t>
      </w:r>
      <w:r>
        <w:rPr>
          <w:rFonts w:hint="eastAsia" w:ascii="宋体" w:hAnsi="宋体" w:cs="宋体"/>
          <w:b/>
          <w:bCs/>
          <w:color w:val="auto"/>
          <w:sz w:val="30"/>
          <w:szCs w:val="30"/>
          <w:highlight w:val="none"/>
        </w:rPr>
        <w:t>）</w:t>
      </w:r>
    </w:p>
    <w:p w14:paraId="201CDE1D">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一、初审</w:t>
      </w:r>
    </w:p>
    <w:p w14:paraId="6CDE192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1、资格性审查</w:t>
      </w:r>
    </w:p>
    <w:tbl>
      <w:tblPr>
        <w:tblStyle w:val="22"/>
        <w:tblW w:w="9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402"/>
        <w:gridCol w:w="5329"/>
      </w:tblGrid>
      <w:tr w14:paraId="0039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691" w:type="dxa"/>
            <w:noWrap w:val="0"/>
            <w:vAlign w:val="center"/>
          </w:tcPr>
          <w:p w14:paraId="6E5DDECD">
            <w:pPr>
              <w:keepNext w:val="0"/>
              <w:keepLines w:val="0"/>
              <w:suppressLineNumbers w:val="0"/>
              <w:spacing w:before="0" w:beforeAutospacing="0" w:after="0" w:afterAutospacing="0" w:line="288"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3402" w:type="dxa"/>
            <w:noWrap w:val="0"/>
            <w:vAlign w:val="center"/>
          </w:tcPr>
          <w:p w14:paraId="4F77D935">
            <w:pPr>
              <w:keepNext w:val="0"/>
              <w:keepLines w:val="0"/>
              <w:suppressLineNumbers w:val="0"/>
              <w:spacing w:before="0" w:beforeAutospacing="0" w:after="0" w:afterAutospacing="0" w:line="288"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评审因素</w:t>
            </w:r>
          </w:p>
        </w:tc>
        <w:tc>
          <w:tcPr>
            <w:tcW w:w="5329" w:type="dxa"/>
            <w:noWrap w:val="0"/>
            <w:vAlign w:val="center"/>
          </w:tcPr>
          <w:p w14:paraId="587E0AA8">
            <w:pPr>
              <w:keepNext w:val="0"/>
              <w:keepLines w:val="0"/>
              <w:suppressLineNumbers w:val="0"/>
              <w:spacing w:before="0" w:beforeAutospacing="0" w:after="0" w:afterAutospacing="0" w:line="288"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评审标准</w:t>
            </w:r>
          </w:p>
        </w:tc>
      </w:tr>
      <w:tr w14:paraId="2D0C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691" w:type="dxa"/>
            <w:noWrap w:val="0"/>
            <w:vAlign w:val="center"/>
          </w:tcPr>
          <w:p w14:paraId="30EF01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3402" w:type="dxa"/>
            <w:noWrap w:val="0"/>
            <w:vAlign w:val="center"/>
          </w:tcPr>
          <w:p w14:paraId="2841C1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cs="宋体"/>
                <w:color w:val="auto"/>
                <w:szCs w:val="21"/>
                <w:highlight w:val="none"/>
                <w:lang w:val="zh-CN"/>
              </w:rPr>
            </w:pPr>
            <w:r>
              <w:rPr>
                <w:rFonts w:hint="eastAsia" w:ascii="宋体" w:hAnsi="宋体" w:eastAsia="宋体" w:cs="宋体"/>
                <w:color w:val="auto"/>
                <w:kern w:val="0"/>
                <w:szCs w:val="21"/>
                <w:highlight w:val="none"/>
                <w:lang w:val="en-US" w:eastAsia="zh-CN"/>
              </w:rPr>
              <w:t>供应商应为中小</w:t>
            </w:r>
            <w:r>
              <w:rPr>
                <w:rFonts w:hint="eastAsia" w:ascii="宋体" w:hAnsi="宋体" w:cs="宋体"/>
                <w:color w:val="auto"/>
                <w:kern w:val="0"/>
                <w:szCs w:val="21"/>
                <w:highlight w:val="none"/>
                <w:lang w:val="en-US" w:eastAsia="zh-CN"/>
              </w:rPr>
              <w:t>微</w:t>
            </w:r>
            <w:r>
              <w:rPr>
                <w:rFonts w:hint="eastAsia" w:ascii="宋体" w:hAnsi="宋体" w:eastAsia="宋体" w:cs="宋体"/>
                <w:color w:val="auto"/>
                <w:kern w:val="0"/>
                <w:szCs w:val="21"/>
                <w:highlight w:val="none"/>
                <w:lang w:val="en-US" w:eastAsia="zh-CN"/>
              </w:rPr>
              <w:t>企业</w:t>
            </w:r>
          </w:p>
        </w:tc>
        <w:tc>
          <w:tcPr>
            <w:tcW w:w="5329" w:type="dxa"/>
            <w:noWrap w:val="0"/>
            <w:vAlign w:val="center"/>
          </w:tcPr>
          <w:p w14:paraId="0C3871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cs="宋体"/>
                <w:color w:val="auto"/>
                <w:szCs w:val="21"/>
                <w:highlight w:val="none"/>
                <w:lang w:val="en-US" w:eastAsia="zh-CN"/>
              </w:rPr>
            </w:pPr>
            <w:r>
              <w:rPr>
                <w:rStyle w:val="25"/>
                <w:rFonts w:hint="eastAsia" w:ascii="宋体" w:hAnsi="宋体" w:eastAsia="宋体" w:cs="宋体"/>
                <w:b w:val="0"/>
                <w:bCs/>
                <w:color w:val="auto"/>
                <w:sz w:val="21"/>
                <w:szCs w:val="21"/>
                <w:highlight w:val="none"/>
              </w:rPr>
              <w:t>请根据要求单独上传《中小企业声明函》。格式以</w:t>
            </w:r>
            <w:r>
              <w:rPr>
                <w:rStyle w:val="25"/>
                <w:rFonts w:hint="eastAsia" w:ascii="宋体" w:hAnsi="宋体" w:eastAsia="宋体" w:cs="宋体"/>
                <w:b w:val="0"/>
                <w:bCs/>
                <w:color w:val="auto"/>
                <w:sz w:val="21"/>
                <w:szCs w:val="21"/>
                <w:highlight w:val="none"/>
                <w:lang w:val="en-US" w:eastAsia="zh-CN"/>
              </w:rPr>
              <w:t>招标</w:t>
            </w:r>
            <w:r>
              <w:rPr>
                <w:rStyle w:val="25"/>
                <w:rFonts w:hint="eastAsia" w:ascii="宋体" w:hAnsi="宋体" w:eastAsia="宋体" w:cs="宋体"/>
                <w:b w:val="0"/>
                <w:bCs/>
                <w:color w:val="auto"/>
                <w:sz w:val="21"/>
                <w:szCs w:val="21"/>
                <w:highlight w:val="none"/>
              </w:rPr>
              <w:t>文件要求为准。</w:t>
            </w:r>
          </w:p>
        </w:tc>
      </w:tr>
      <w:tr w14:paraId="4CAD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691" w:type="dxa"/>
            <w:noWrap w:val="0"/>
            <w:vAlign w:val="center"/>
          </w:tcPr>
          <w:p w14:paraId="47D2FF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3402" w:type="dxa"/>
            <w:noWrap w:val="0"/>
            <w:vAlign w:val="center"/>
          </w:tcPr>
          <w:p w14:paraId="53C657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宋体" w:hAnsi="宋体" w:cs="宋体"/>
                <w:color w:val="auto"/>
                <w:szCs w:val="21"/>
                <w:highlight w:val="none"/>
                <w:lang w:val="zh-CN"/>
              </w:rPr>
            </w:pPr>
            <w:r>
              <w:rPr>
                <w:rFonts w:hint="eastAsia" w:ascii="宋体" w:hAnsi="宋体" w:eastAsia="宋体" w:cs="宋体"/>
                <w:color w:val="auto"/>
                <w:sz w:val="21"/>
                <w:szCs w:val="21"/>
                <w:highlight w:val="none"/>
                <w:lang w:val="zh-CN" w:eastAsia="zh-CN"/>
              </w:rPr>
              <w:t>具有独立承担民事责任的能力</w:t>
            </w:r>
          </w:p>
        </w:tc>
        <w:tc>
          <w:tcPr>
            <w:tcW w:w="5329" w:type="dxa"/>
            <w:noWrap w:val="0"/>
            <w:vAlign w:val="center"/>
          </w:tcPr>
          <w:p w14:paraId="469E5B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宋体" w:hAnsi="宋体" w:cs="宋体"/>
                <w:color w:val="auto"/>
                <w:szCs w:val="21"/>
                <w:highlight w:val="none"/>
                <w:lang w:val="zh-CN"/>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提供有效的统一社会信用代码的营业执照，</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必须是中华人民共和国境内注册的，具有独立承担民事责任的能力；</w:t>
            </w:r>
          </w:p>
        </w:tc>
      </w:tr>
      <w:tr w14:paraId="74FB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691" w:type="dxa"/>
            <w:noWrap w:val="0"/>
            <w:vAlign w:val="center"/>
          </w:tcPr>
          <w:p w14:paraId="432A7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3402" w:type="dxa"/>
            <w:shd w:val="clear" w:color="auto" w:fill="auto"/>
            <w:noWrap w:val="0"/>
            <w:vAlign w:val="center"/>
          </w:tcPr>
          <w:p w14:paraId="7B17E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具有良好的商业信誉和健全的财务会计制度</w:t>
            </w:r>
          </w:p>
        </w:tc>
        <w:tc>
          <w:tcPr>
            <w:tcW w:w="5329" w:type="dxa"/>
            <w:shd w:val="clear" w:color="auto" w:fill="auto"/>
            <w:noWrap w:val="0"/>
            <w:vAlign w:val="center"/>
          </w:tcPr>
          <w:p w14:paraId="47890A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 w:val="21"/>
                <w:szCs w:val="21"/>
                <w:highlight w:val="none"/>
                <w:lang w:val="en-US" w:eastAsia="zh-CN"/>
              </w:rPr>
              <w:t>提供（2024年至今任意一年）的财务审计报告（包括资产负债表、利润表、现金流量表及财务报表附注，成立不满一年企业提供情况说明或银行提供的资信证明）</w:t>
            </w:r>
          </w:p>
        </w:tc>
      </w:tr>
      <w:tr w14:paraId="290D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91" w:type="dxa"/>
            <w:noWrap w:val="0"/>
            <w:vAlign w:val="center"/>
          </w:tcPr>
          <w:p w14:paraId="632256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3402" w:type="dxa"/>
            <w:shd w:val="clear" w:color="auto" w:fill="auto"/>
            <w:noWrap w:val="0"/>
            <w:vAlign w:val="center"/>
          </w:tcPr>
          <w:p w14:paraId="113DD6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具有履行合同所必需的设备和专业技术能力</w:t>
            </w:r>
          </w:p>
        </w:tc>
        <w:tc>
          <w:tcPr>
            <w:tcW w:w="5329" w:type="dxa"/>
            <w:shd w:val="clear" w:color="auto" w:fill="auto"/>
            <w:noWrap w:val="0"/>
            <w:vAlign w:val="center"/>
          </w:tcPr>
          <w:p w14:paraId="2BE7DD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提供具有履行合同所必需的设备和专业技术能力相关证明材料或声明；</w:t>
            </w:r>
          </w:p>
        </w:tc>
      </w:tr>
      <w:tr w14:paraId="3D10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91" w:type="dxa"/>
            <w:noWrap w:val="0"/>
            <w:vAlign w:val="center"/>
          </w:tcPr>
          <w:p w14:paraId="350328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3402" w:type="dxa"/>
            <w:shd w:val="clear" w:color="auto" w:fill="auto"/>
            <w:noWrap w:val="0"/>
            <w:vAlign w:val="center"/>
          </w:tcPr>
          <w:p w14:paraId="66A07A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有依法缴纳税收和社会保障资金的良好记录</w:t>
            </w:r>
          </w:p>
        </w:tc>
        <w:tc>
          <w:tcPr>
            <w:tcW w:w="5329" w:type="dxa"/>
            <w:shd w:val="clear" w:color="auto" w:fill="auto"/>
            <w:noWrap w:val="0"/>
            <w:vAlign w:val="center"/>
          </w:tcPr>
          <w:p w14:paraId="36D990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提供税务部门出具的近半年内任意一个月的完税证明及企业缴纳社保证明材料</w:t>
            </w:r>
          </w:p>
        </w:tc>
      </w:tr>
      <w:tr w14:paraId="1767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91" w:type="dxa"/>
            <w:noWrap w:val="0"/>
            <w:vAlign w:val="center"/>
          </w:tcPr>
          <w:p w14:paraId="029972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3402" w:type="dxa"/>
            <w:shd w:val="clear" w:color="auto" w:fill="auto"/>
            <w:noWrap w:val="0"/>
            <w:vAlign w:val="center"/>
          </w:tcPr>
          <w:p w14:paraId="09EBC9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参加政府采购活动前三年内，在经营活动中没有重大违法记录</w:t>
            </w:r>
          </w:p>
        </w:tc>
        <w:tc>
          <w:tcPr>
            <w:tcW w:w="5329" w:type="dxa"/>
            <w:shd w:val="clear" w:color="auto" w:fill="auto"/>
            <w:noWrap w:val="0"/>
            <w:vAlign w:val="center"/>
          </w:tcPr>
          <w:p w14:paraId="2254AB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（未被“信用中国”（www.creditchina.gov.cn）列入失信被执行人、税收违法黑名单，未被中国政府采购网（www.ccgp.gov.cn）列入政府采购严重违法失信行为记录名单。）</w:t>
            </w:r>
          </w:p>
        </w:tc>
      </w:tr>
      <w:tr w14:paraId="1A39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91" w:type="dxa"/>
            <w:noWrap w:val="0"/>
            <w:vAlign w:val="center"/>
          </w:tcPr>
          <w:p w14:paraId="48331D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3402" w:type="dxa"/>
            <w:noWrap w:val="0"/>
            <w:vAlign w:val="center"/>
          </w:tcPr>
          <w:p w14:paraId="41A9C8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szCs w:val="21"/>
                <w:highlight w:val="none"/>
                <w:lang w:val="zh-CN"/>
              </w:rPr>
            </w:pPr>
            <w:r>
              <w:rPr>
                <w:rFonts w:hint="eastAsia" w:ascii="宋体" w:hAnsi="宋体" w:cs="宋体"/>
                <w:color w:val="auto"/>
                <w:szCs w:val="21"/>
                <w:highlight w:val="none"/>
                <w:lang w:val="zh-CN"/>
              </w:rPr>
              <w:t>联合体</w:t>
            </w:r>
          </w:p>
        </w:tc>
        <w:tc>
          <w:tcPr>
            <w:tcW w:w="5329" w:type="dxa"/>
            <w:noWrap w:val="0"/>
            <w:vAlign w:val="center"/>
          </w:tcPr>
          <w:p w14:paraId="3EFAFD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szCs w:val="21"/>
                <w:highlight w:val="none"/>
                <w:lang w:val="zh-CN"/>
              </w:rPr>
            </w:pPr>
            <w:r>
              <w:rPr>
                <w:rFonts w:hint="eastAsia" w:ascii="宋体" w:hAnsi="宋体" w:cs="宋体"/>
                <w:color w:val="auto"/>
                <w:szCs w:val="21"/>
                <w:highlight w:val="none"/>
                <w:lang w:val="zh-CN"/>
              </w:rPr>
              <w:t>不接受联合体供应商</w:t>
            </w:r>
          </w:p>
        </w:tc>
      </w:tr>
    </w:tbl>
    <w:p w14:paraId="0FB9DA6C">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34ECF17B">
      <w:pPr>
        <w:rPr>
          <w:rFonts w:ascii="宋体" w:hAnsi="宋体" w:cs="宋体"/>
          <w:b/>
          <w:bCs/>
          <w:color w:val="auto"/>
          <w:sz w:val="24"/>
          <w:highlight w:val="none"/>
        </w:rPr>
      </w:pPr>
      <w:r>
        <w:rPr>
          <w:rFonts w:hint="eastAsia" w:ascii="宋体" w:hAnsi="宋体" w:cs="宋体"/>
          <w:b/>
          <w:bCs/>
          <w:color w:val="auto"/>
          <w:sz w:val="24"/>
          <w:highlight w:val="none"/>
        </w:rPr>
        <w:t>2、符合性审查</w:t>
      </w:r>
    </w:p>
    <w:tbl>
      <w:tblPr>
        <w:tblStyle w:val="22"/>
        <w:tblW w:w="9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051"/>
        <w:gridCol w:w="1843"/>
        <w:gridCol w:w="5787"/>
      </w:tblGrid>
      <w:tr w14:paraId="0A07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16" w:type="dxa"/>
            <w:vAlign w:val="center"/>
          </w:tcPr>
          <w:p w14:paraId="305A4A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序号</w:t>
            </w:r>
          </w:p>
        </w:tc>
        <w:tc>
          <w:tcPr>
            <w:tcW w:w="2894" w:type="dxa"/>
            <w:gridSpan w:val="2"/>
            <w:vAlign w:val="center"/>
          </w:tcPr>
          <w:p w14:paraId="5BAEE5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评审因素</w:t>
            </w:r>
          </w:p>
        </w:tc>
        <w:tc>
          <w:tcPr>
            <w:tcW w:w="5787" w:type="dxa"/>
            <w:vAlign w:val="center"/>
          </w:tcPr>
          <w:p w14:paraId="003601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评审标准</w:t>
            </w:r>
          </w:p>
        </w:tc>
      </w:tr>
      <w:tr w14:paraId="1644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16" w:type="dxa"/>
            <w:vAlign w:val="center"/>
          </w:tcPr>
          <w:p w14:paraId="26DE6E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p>
        </w:tc>
        <w:tc>
          <w:tcPr>
            <w:tcW w:w="2894" w:type="dxa"/>
            <w:gridSpan w:val="2"/>
            <w:vAlign w:val="center"/>
          </w:tcPr>
          <w:p w14:paraId="395D57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color w:val="auto"/>
                <w:szCs w:val="21"/>
                <w:highlight w:val="none"/>
                <w:lang w:val="zh-CN"/>
              </w:rPr>
            </w:pPr>
            <w:r>
              <w:rPr>
                <w:rFonts w:hint="eastAsia" w:ascii="宋体" w:hAnsi="宋体" w:eastAsia="宋体" w:cs="宋体"/>
                <w:color w:val="auto"/>
                <w:szCs w:val="21"/>
                <w:highlight w:val="none"/>
                <w:lang w:val="zh-CN"/>
              </w:rPr>
              <w:t>采购项目总预算</w:t>
            </w:r>
          </w:p>
        </w:tc>
        <w:tc>
          <w:tcPr>
            <w:tcW w:w="5787" w:type="dxa"/>
            <w:vAlign w:val="center"/>
          </w:tcPr>
          <w:p w14:paraId="6D5438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cs="宋体"/>
                <w:color w:val="auto"/>
                <w:szCs w:val="21"/>
                <w:highlight w:val="none"/>
                <w:lang w:val="zh-CN"/>
              </w:rPr>
            </w:pPr>
            <w:r>
              <w:rPr>
                <w:rFonts w:hint="eastAsia" w:hAnsi="宋体" w:cs="宋体"/>
                <w:b/>
                <w:bCs/>
                <w:color w:val="auto"/>
                <w:highlight w:val="none"/>
                <w:lang w:val="en-US" w:eastAsia="zh-CN"/>
              </w:rPr>
              <w:t>采购预算为¥657540元(大写：人民币陆拾伍万柒仟伍佰肆拾元整)；</w:t>
            </w:r>
            <w:r>
              <w:rPr>
                <w:rFonts w:hint="eastAsia" w:hAnsi="宋体" w:cs="宋体"/>
                <w:b/>
                <w:bCs/>
                <w:color w:val="auto"/>
                <w:highlight w:val="none"/>
              </w:rPr>
              <w:t>供应商的商务报价如超过采购预算，则供应商</w:t>
            </w:r>
            <w:r>
              <w:rPr>
                <w:rFonts w:hint="eastAsia" w:hAnsi="宋体" w:cs="宋体"/>
                <w:b/>
                <w:bCs/>
                <w:color w:val="auto"/>
                <w:highlight w:val="none"/>
                <w:lang w:eastAsia="zh-CN"/>
              </w:rPr>
              <w:t>投标文件</w:t>
            </w:r>
            <w:r>
              <w:rPr>
                <w:rFonts w:hint="eastAsia" w:hAnsi="宋体" w:cs="宋体"/>
                <w:b/>
                <w:bCs/>
                <w:color w:val="auto"/>
                <w:highlight w:val="none"/>
              </w:rPr>
              <w:t>作无效响应处理。</w:t>
            </w:r>
          </w:p>
        </w:tc>
      </w:tr>
      <w:tr w14:paraId="7752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16" w:type="dxa"/>
            <w:vMerge w:val="restart"/>
            <w:vAlign w:val="center"/>
          </w:tcPr>
          <w:p w14:paraId="5C1CA2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w:t>
            </w:r>
          </w:p>
        </w:tc>
        <w:tc>
          <w:tcPr>
            <w:tcW w:w="1051" w:type="dxa"/>
            <w:vMerge w:val="restart"/>
            <w:vAlign w:val="center"/>
          </w:tcPr>
          <w:p w14:paraId="32B488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有效性审查</w:t>
            </w:r>
          </w:p>
        </w:tc>
        <w:tc>
          <w:tcPr>
            <w:tcW w:w="1843" w:type="dxa"/>
            <w:vAlign w:val="center"/>
          </w:tcPr>
          <w:p w14:paraId="66F670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kern w:val="0"/>
                <w:szCs w:val="21"/>
                <w:highlight w:val="none"/>
              </w:rPr>
            </w:pPr>
            <w:r>
              <w:rPr>
                <w:rFonts w:hint="eastAsia" w:ascii="宋体" w:hAnsi="宋体" w:cs="宋体"/>
                <w:color w:val="auto"/>
                <w:szCs w:val="21"/>
                <w:highlight w:val="none"/>
                <w:lang w:val="zh-CN"/>
              </w:rPr>
              <w:t>投标文件</w:t>
            </w:r>
            <w:r>
              <w:rPr>
                <w:rFonts w:hint="eastAsia" w:ascii="宋体" w:hAnsi="宋体" w:cs="宋体"/>
                <w:color w:val="auto"/>
                <w:szCs w:val="21"/>
                <w:highlight w:val="none"/>
              </w:rPr>
              <w:t>签署</w:t>
            </w:r>
          </w:p>
        </w:tc>
        <w:tc>
          <w:tcPr>
            <w:tcW w:w="5787" w:type="dxa"/>
            <w:vAlign w:val="center"/>
          </w:tcPr>
          <w:p w14:paraId="368ECF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kern w:val="0"/>
                <w:szCs w:val="21"/>
                <w:highlight w:val="none"/>
              </w:rPr>
            </w:pPr>
            <w:r>
              <w:rPr>
                <w:rFonts w:hint="eastAsia" w:ascii="宋体" w:hAnsi="宋体" w:cs="宋体"/>
                <w:color w:val="auto"/>
                <w:szCs w:val="21"/>
                <w:highlight w:val="none"/>
                <w:lang w:val="zh-CN"/>
              </w:rPr>
              <w:t>投标文件</w:t>
            </w:r>
            <w:r>
              <w:rPr>
                <w:rFonts w:hint="eastAsia" w:ascii="宋体" w:hAnsi="宋体" w:cs="宋体"/>
                <w:color w:val="auto"/>
                <w:szCs w:val="21"/>
                <w:highlight w:val="none"/>
              </w:rPr>
              <w:t>中法定代表人或其委托代理人的签字或盖章齐全。</w:t>
            </w:r>
          </w:p>
        </w:tc>
      </w:tr>
      <w:tr w14:paraId="64D9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16" w:type="dxa"/>
            <w:vMerge w:val="continue"/>
            <w:vAlign w:val="center"/>
          </w:tcPr>
          <w:p w14:paraId="2B59DE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Cs w:val="21"/>
                <w:highlight w:val="none"/>
              </w:rPr>
            </w:pPr>
          </w:p>
        </w:tc>
        <w:tc>
          <w:tcPr>
            <w:tcW w:w="1051" w:type="dxa"/>
            <w:vMerge w:val="continue"/>
            <w:vAlign w:val="center"/>
          </w:tcPr>
          <w:p w14:paraId="480161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Cs w:val="21"/>
                <w:highlight w:val="none"/>
              </w:rPr>
            </w:pPr>
          </w:p>
        </w:tc>
        <w:tc>
          <w:tcPr>
            <w:tcW w:w="1843" w:type="dxa"/>
            <w:vAlign w:val="center"/>
          </w:tcPr>
          <w:p w14:paraId="22815F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法定代表人身份证明及授权委托书</w:t>
            </w:r>
          </w:p>
        </w:tc>
        <w:tc>
          <w:tcPr>
            <w:tcW w:w="5787" w:type="dxa"/>
            <w:vAlign w:val="center"/>
          </w:tcPr>
          <w:p w14:paraId="7F3F1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法定代表人身份证明及授权委托书有效，且符合</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规定的格式，签字或盖章齐全。</w:t>
            </w:r>
          </w:p>
        </w:tc>
      </w:tr>
      <w:tr w14:paraId="5D99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trPr>
        <w:tc>
          <w:tcPr>
            <w:tcW w:w="716" w:type="dxa"/>
            <w:vAlign w:val="center"/>
          </w:tcPr>
          <w:p w14:paraId="52826B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1051" w:type="dxa"/>
            <w:vAlign w:val="center"/>
          </w:tcPr>
          <w:p w14:paraId="4E26A5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完整性审查</w:t>
            </w:r>
          </w:p>
        </w:tc>
        <w:tc>
          <w:tcPr>
            <w:tcW w:w="1843" w:type="dxa"/>
            <w:vAlign w:val="center"/>
          </w:tcPr>
          <w:p w14:paraId="1E07F2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szCs w:val="21"/>
                <w:highlight w:val="none"/>
                <w:lang w:val="zh-CN"/>
              </w:rPr>
            </w:pPr>
            <w:r>
              <w:rPr>
                <w:rFonts w:hint="eastAsia" w:ascii="宋体" w:hAnsi="宋体" w:cs="宋体"/>
                <w:color w:val="auto"/>
                <w:szCs w:val="21"/>
                <w:highlight w:val="none"/>
                <w:lang w:val="zh-CN"/>
              </w:rPr>
              <w:t>投标文件内容</w:t>
            </w:r>
          </w:p>
        </w:tc>
        <w:tc>
          <w:tcPr>
            <w:tcW w:w="5787" w:type="dxa"/>
            <w:vAlign w:val="center"/>
          </w:tcPr>
          <w:p w14:paraId="75BCA6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szCs w:val="21"/>
                <w:highlight w:val="none"/>
                <w:lang w:val="zh-CN"/>
              </w:rPr>
            </w:pPr>
            <w:r>
              <w:rPr>
                <w:rFonts w:hint="eastAsia" w:ascii="宋体" w:hAnsi="宋体" w:cs="宋体"/>
                <w:color w:val="auto"/>
                <w:szCs w:val="21"/>
                <w:highlight w:val="none"/>
                <w:lang w:val="zh-CN"/>
              </w:rPr>
              <w:t>投标文件内容齐全、无遗漏。</w:t>
            </w:r>
          </w:p>
        </w:tc>
      </w:tr>
      <w:tr w14:paraId="2AF9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16" w:type="dxa"/>
            <w:vMerge w:val="restart"/>
            <w:vAlign w:val="center"/>
          </w:tcPr>
          <w:p w14:paraId="5FDE5B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1051" w:type="dxa"/>
            <w:vMerge w:val="restart"/>
            <w:vAlign w:val="center"/>
          </w:tcPr>
          <w:p w14:paraId="12DC67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szCs w:val="21"/>
                <w:highlight w:val="none"/>
                <w:lang w:val="zh-CN"/>
              </w:rPr>
            </w:pPr>
            <w:r>
              <w:rPr>
                <w:rFonts w:hint="eastAsia" w:ascii="宋体" w:hAnsi="宋体" w:cs="宋体"/>
                <w:color w:val="auto"/>
                <w:kern w:val="0"/>
                <w:szCs w:val="21"/>
                <w:highlight w:val="none"/>
                <w:lang w:val="en-US" w:eastAsia="zh-CN"/>
              </w:rPr>
              <w:t>招标</w:t>
            </w:r>
            <w:r>
              <w:rPr>
                <w:rFonts w:hint="eastAsia" w:ascii="宋体" w:hAnsi="宋体" w:cs="宋体"/>
                <w:color w:val="auto"/>
                <w:kern w:val="0"/>
                <w:szCs w:val="21"/>
                <w:highlight w:val="none"/>
                <w:lang w:eastAsia="zh-CN"/>
              </w:rPr>
              <w:t>文件</w:t>
            </w:r>
            <w:r>
              <w:rPr>
                <w:rFonts w:hint="eastAsia" w:ascii="宋体" w:hAnsi="宋体" w:cs="宋体"/>
                <w:color w:val="auto"/>
                <w:kern w:val="0"/>
                <w:szCs w:val="21"/>
                <w:highlight w:val="none"/>
              </w:rPr>
              <w:t>的响应程度审查</w:t>
            </w:r>
          </w:p>
        </w:tc>
        <w:tc>
          <w:tcPr>
            <w:tcW w:w="1843" w:type="dxa"/>
            <w:vAlign w:val="center"/>
          </w:tcPr>
          <w:p w14:paraId="6E8DC7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kern w:val="0"/>
                <w:szCs w:val="21"/>
                <w:highlight w:val="none"/>
              </w:rPr>
            </w:pPr>
            <w:r>
              <w:rPr>
                <w:rFonts w:hint="eastAsia" w:ascii="宋体" w:hAnsi="宋体" w:cs="宋体"/>
                <w:color w:val="auto"/>
                <w:szCs w:val="21"/>
                <w:highlight w:val="none"/>
                <w:lang w:val="zh-CN"/>
              </w:rPr>
              <w:t>投标文件</w:t>
            </w:r>
            <w:r>
              <w:rPr>
                <w:rFonts w:hint="eastAsia" w:ascii="宋体" w:hAnsi="宋体" w:cs="宋体"/>
                <w:color w:val="auto"/>
                <w:kern w:val="0"/>
                <w:szCs w:val="21"/>
                <w:highlight w:val="none"/>
              </w:rPr>
              <w:t>内容</w:t>
            </w:r>
          </w:p>
        </w:tc>
        <w:tc>
          <w:tcPr>
            <w:tcW w:w="5787" w:type="dxa"/>
            <w:vAlign w:val="center"/>
          </w:tcPr>
          <w:p w14:paraId="565BC06A">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textAlignment w:val="auto"/>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w:t>
            </w:r>
            <w:r>
              <w:rPr>
                <w:rFonts w:hint="eastAsia" w:ascii="宋体" w:hAnsi="宋体" w:eastAsia="宋体" w:cs="宋体"/>
                <w:color w:val="auto"/>
                <w:kern w:val="0"/>
                <w:sz w:val="21"/>
                <w:szCs w:val="21"/>
                <w:highlight w:val="none"/>
                <w:lang w:eastAsia="zh-CN"/>
              </w:rPr>
              <w:t>招标文件</w:t>
            </w:r>
            <w:r>
              <w:rPr>
                <w:rFonts w:hint="eastAsia" w:ascii="宋体" w:hAnsi="宋体" w:eastAsia="宋体" w:cs="宋体"/>
                <w:color w:val="auto"/>
                <w:kern w:val="0"/>
                <w:sz w:val="21"/>
                <w:szCs w:val="21"/>
                <w:highlight w:val="none"/>
              </w:rPr>
              <w:t>规定的内容全部做出响应。</w:t>
            </w:r>
          </w:p>
        </w:tc>
      </w:tr>
      <w:tr w14:paraId="5361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16" w:type="dxa"/>
            <w:vMerge w:val="continue"/>
            <w:vAlign w:val="center"/>
          </w:tcPr>
          <w:p w14:paraId="048DF9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Cs w:val="21"/>
                <w:highlight w:val="none"/>
              </w:rPr>
            </w:pPr>
          </w:p>
        </w:tc>
        <w:tc>
          <w:tcPr>
            <w:tcW w:w="1051" w:type="dxa"/>
            <w:vMerge w:val="continue"/>
            <w:vAlign w:val="center"/>
          </w:tcPr>
          <w:p w14:paraId="3AA61E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cs="宋体"/>
                <w:color w:val="auto"/>
                <w:kern w:val="0"/>
                <w:szCs w:val="21"/>
                <w:highlight w:val="none"/>
              </w:rPr>
            </w:pPr>
          </w:p>
        </w:tc>
        <w:tc>
          <w:tcPr>
            <w:tcW w:w="1843" w:type="dxa"/>
            <w:vAlign w:val="center"/>
          </w:tcPr>
          <w:p w14:paraId="78DCB5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质量技术</w:t>
            </w:r>
          </w:p>
        </w:tc>
        <w:tc>
          <w:tcPr>
            <w:tcW w:w="5787" w:type="dxa"/>
            <w:vAlign w:val="center"/>
          </w:tcPr>
          <w:p w14:paraId="2D6E57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满足</w:t>
            </w:r>
            <w:r>
              <w:rPr>
                <w:rFonts w:hint="eastAsia" w:ascii="宋体" w:hAnsi="宋体" w:cs="宋体"/>
                <w:color w:val="auto"/>
                <w:kern w:val="0"/>
                <w:szCs w:val="21"/>
                <w:highlight w:val="none"/>
                <w:lang w:eastAsia="zh-CN"/>
              </w:rPr>
              <w:t>招标文件</w:t>
            </w:r>
            <w:r>
              <w:rPr>
                <w:rFonts w:hint="eastAsia" w:ascii="宋体" w:hAnsi="宋体" w:cs="宋体"/>
                <w:color w:val="auto"/>
                <w:kern w:val="0"/>
                <w:szCs w:val="21"/>
                <w:highlight w:val="none"/>
              </w:rPr>
              <w:t>提出的质量、技术要求。</w:t>
            </w:r>
          </w:p>
        </w:tc>
      </w:tr>
      <w:tr w14:paraId="29B1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16" w:type="dxa"/>
            <w:vMerge w:val="continue"/>
            <w:vAlign w:val="center"/>
          </w:tcPr>
          <w:p w14:paraId="3C6450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Cs w:val="21"/>
                <w:highlight w:val="none"/>
              </w:rPr>
            </w:pPr>
          </w:p>
        </w:tc>
        <w:tc>
          <w:tcPr>
            <w:tcW w:w="1051" w:type="dxa"/>
            <w:vMerge w:val="continue"/>
            <w:vAlign w:val="center"/>
          </w:tcPr>
          <w:p w14:paraId="57E967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cs="宋体"/>
                <w:color w:val="auto"/>
                <w:kern w:val="0"/>
                <w:szCs w:val="21"/>
                <w:highlight w:val="none"/>
              </w:rPr>
            </w:pPr>
          </w:p>
        </w:tc>
        <w:tc>
          <w:tcPr>
            <w:tcW w:w="1843" w:type="dxa"/>
            <w:vAlign w:val="center"/>
          </w:tcPr>
          <w:p w14:paraId="29C3A3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供货时间</w:t>
            </w:r>
          </w:p>
        </w:tc>
        <w:tc>
          <w:tcPr>
            <w:tcW w:w="5787" w:type="dxa"/>
            <w:vAlign w:val="center"/>
          </w:tcPr>
          <w:p w14:paraId="57240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满足</w:t>
            </w:r>
            <w:r>
              <w:rPr>
                <w:rFonts w:hint="eastAsia" w:ascii="宋体" w:hAnsi="宋体" w:cs="宋体"/>
                <w:color w:val="auto"/>
                <w:kern w:val="0"/>
                <w:szCs w:val="21"/>
                <w:highlight w:val="none"/>
                <w:lang w:eastAsia="zh-CN"/>
              </w:rPr>
              <w:t>招标文件</w:t>
            </w:r>
            <w:r>
              <w:rPr>
                <w:rFonts w:hint="eastAsia" w:ascii="宋体" w:hAnsi="宋体" w:cs="宋体"/>
                <w:color w:val="auto"/>
                <w:szCs w:val="21"/>
                <w:highlight w:val="none"/>
                <w:lang w:val="zh-CN"/>
              </w:rPr>
              <w:t>规定</w:t>
            </w:r>
            <w:r>
              <w:rPr>
                <w:rFonts w:hint="eastAsia" w:ascii="宋体" w:hAnsi="宋体" w:cs="宋体"/>
                <w:color w:val="auto"/>
                <w:kern w:val="0"/>
                <w:szCs w:val="21"/>
                <w:highlight w:val="none"/>
              </w:rPr>
              <w:t>。</w:t>
            </w:r>
          </w:p>
        </w:tc>
      </w:tr>
      <w:tr w14:paraId="743A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6" w:type="dxa"/>
            <w:vMerge w:val="continue"/>
            <w:vAlign w:val="center"/>
          </w:tcPr>
          <w:p w14:paraId="515530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Cs w:val="21"/>
                <w:highlight w:val="none"/>
              </w:rPr>
            </w:pPr>
          </w:p>
        </w:tc>
        <w:tc>
          <w:tcPr>
            <w:tcW w:w="1051" w:type="dxa"/>
            <w:vMerge w:val="continue"/>
            <w:vAlign w:val="center"/>
          </w:tcPr>
          <w:p w14:paraId="334617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cs="宋体"/>
                <w:color w:val="auto"/>
                <w:szCs w:val="21"/>
                <w:highlight w:val="none"/>
                <w:lang w:val="zh-CN"/>
              </w:rPr>
            </w:pPr>
          </w:p>
        </w:tc>
        <w:tc>
          <w:tcPr>
            <w:tcW w:w="1843" w:type="dxa"/>
            <w:shd w:val="clear" w:color="auto" w:fill="auto"/>
            <w:vAlign w:val="center"/>
          </w:tcPr>
          <w:p w14:paraId="76EEEF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cs="宋体"/>
                <w:color w:val="auto"/>
                <w:szCs w:val="21"/>
                <w:highlight w:val="none"/>
                <w:lang w:val="zh-CN"/>
              </w:rPr>
              <w:t>投标文件</w:t>
            </w:r>
            <w:r>
              <w:rPr>
                <w:rFonts w:hint="eastAsia" w:ascii="宋体" w:hAnsi="宋体" w:cs="宋体"/>
                <w:color w:val="auto"/>
                <w:kern w:val="0"/>
                <w:szCs w:val="21"/>
                <w:highlight w:val="none"/>
              </w:rPr>
              <w:t>有效期</w:t>
            </w:r>
          </w:p>
        </w:tc>
        <w:tc>
          <w:tcPr>
            <w:tcW w:w="5787" w:type="dxa"/>
            <w:shd w:val="clear" w:color="auto" w:fill="auto"/>
            <w:vAlign w:val="center"/>
          </w:tcPr>
          <w:p w14:paraId="151B99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满足</w:t>
            </w:r>
            <w:r>
              <w:rPr>
                <w:rFonts w:hint="eastAsia" w:ascii="宋体" w:hAnsi="宋体" w:cs="宋体"/>
                <w:color w:val="auto"/>
                <w:kern w:val="0"/>
                <w:szCs w:val="21"/>
                <w:highlight w:val="none"/>
                <w:lang w:eastAsia="zh-CN"/>
              </w:rPr>
              <w:t>招标文件</w:t>
            </w:r>
            <w:r>
              <w:rPr>
                <w:rFonts w:hint="eastAsia" w:ascii="宋体" w:hAnsi="宋体" w:cs="宋体"/>
                <w:color w:val="auto"/>
                <w:szCs w:val="21"/>
                <w:highlight w:val="none"/>
                <w:lang w:val="zh-CN"/>
              </w:rPr>
              <w:t>规定。</w:t>
            </w:r>
          </w:p>
        </w:tc>
      </w:tr>
      <w:tr w14:paraId="4DEC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6" w:type="dxa"/>
            <w:vMerge w:val="continue"/>
            <w:vAlign w:val="center"/>
          </w:tcPr>
          <w:p w14:paraId="64519F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Cs w:val="21"/>
                <w:highlight w:val="none"/>
              </w:rPr>
            </w:pPr>
          </w:p>
        </w:tc>
        <w:tc>
          <w:tcPr>
            <w:tcW w:w="1051" w:type="dxa"/>
            <w:vMerge w:val="continue"/>
            <w:vAlign w:val="center"/>
          </w:tcPr>
          <w:p w14:paraId="57CAB0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cs="宋体"/>
                <w:color w:val="auto"/>
                <w:szCs w:val="21"/>
                <w:highlight w:val="none"/>
                <w:lang w:val="zh-CN"/>
              </w:rPr>
            </w:pPr>
          </w:p>
        </w:tc>
        <w:tc>
          <w:tcPr>
            <w:tcW w:w="1843" w:type="dxa"/>
            <w:vAlign w:val="center"/>
          </w:tcPr>
          <w:p w14:paraId="17F829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质保期</w:t>
            </w:r>
          </w:p>
        </w:tc>
        <w:tc>
          <w:tcPr>
            <w:tcW w:w="5787" w:type="dxa"/>
            <w:vAlign w:val="center"/>
          </w:tcPr>
          <w:p w14:paraId="311531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满足招标文件规定。</w:t>
            </w:r>
          </w:p>
        </w:tc>
      </w:tr>
      <w:tr w14:paraId="0EB8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16" w:type="dxa"/>
            <w:vMerge w:val="continue"/>
            <w:tcBorders>
              <w:bottom w:val="single" w:color="auto" w:sz="4" w:space="0"/>
            </w:tcBorders>
            <w:vAlign w:val="center"/>
          </w:tcPr>
          <w:p w14:paraId="55F81510">
            <w:pPr>
              <w:keepNext w:val="0"/>
              <w:keepLines w:val="0"/>
              <w:suppressLineNumbers w:val="0"/>
              <w:spacing w:before="0" w:beforeAutospacing="0" w:after="0" w:afterAutospacing="0" w:line="500" w:lineRule="exact"/>
              <w:ind w:left="0" w:right="0"/>
              <w:jc w:val="center"/>
              <w:rPr>
                <w:rFonts w:hint="default" w:ascii="宋体" w:hAnsi="宋体" w:cs="宋体"/>
                <w:color w:val="auto"/>
                <w:kern w:val="0"/>
                <w:szCs w:val="21"/>
                <w:highlight w:val="none"/>
              </w:rPr>
            </w:pPr>
          </w:p>
        </w:tc>
        <w:tc>
          <w:tcPr>
            <w:tcW w:w="1051" w:type="dxa"/>
            <w:vMerge w:val="continue"/>
            <w:tcBorders>
              <w:bottom w:val="single" w:color="auto" w:sz="4" w:space="0"/>
            </w:tcBorders>
            <w:vAlign w:val="center"/>
          </w:tcPr>
          <w:p w14:paraId="33CCC123">
            <w:pPr>
              <w:keepNext w:val="0"/>
              <w:keepLines w:val="0"/>
              <w:suppressLineNumbers w:val="0"/>
              <w:spacing w:before="0" w:beforeAutospacing="0" w:after="0" w:afterAutospacing="0" w:line="500" w:lineRule="exact"/>
              <w:ind w:left="0" w:right="0"/>
              <w:rPr>
                <w:rFonts w:hint="default" w:ascii="宋体" w:hAnsi="宋体" w:cs="宋体"/>
                <w:color w:val="auto"/>
                <w:szCs w:val="21"/>
                <w:highlight w:val="none"/>
                <w:lang w:val="zh-CN"/>
              </w:rPr>
            </w:pPr>
          </w:p>
        </w:tc>
        <w:tc>
          <w:tcPr>
            <w:tcW w:w="1843" w:type="dxa"/>
            <w:tcBorders>
              <w:bottom w:val="single" w:color="auto" w:sz="4" w:space="0"/>
            </w:tcBorders>
            <w:vAlign w:val="center"/>
          </w:tcPr>
          <w:p w14:paraId="3CDA7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5787" w:type="dxa"/>
            <w:tcBorders>
              <w:bottom w:val="single" w:color="auto" w:sz="4" w:space="0"/>
            </w:tcBorders>
            <w:vAlign w:val="center"/>
          </w:tcPr>
          <w:p w14:paraId="2B651A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cs="宋体"/>
                <w:color w:val="auto"/>
                <w:kern w:val="0"/>
                <w:szCs w:val="21"/>
                <w:highlight w:val="none"/>
                <w:lang w:val="en-US"/>
              </w:rPr>
            </w:pPr>
            <w:r>
              <w:rPr>
                <w:rFonts w:hint="eastAsia" w:ascii="宋体" w:hAnsi="宋体" w:cs="宋体"/>
                <w:color w:val="auto"/>
                <w:kern w:val="0"/>
                <w:szCs w:val="21"/>
                <w:highlight w:val="none"/>
              </w:rPr>
              <w:t>满足</w:t>
            </w:r>
            <w:r>
              <w:rPr>
                <w:rFonts w:hint="eastAsia" w:ascii="宋体" w:hAnsi="宋体" w:cs="宋体"/>
                <w:color w:val="auto"/>
                <w:kern w:val="0"/>
                <w:szCs w:val="21"/>
                <w:highlight w:val="none"/>
                <w:lang w:eastAsia="zh-CN"/>
              </w:rPr>
              <w:t>招标文件</w:t>
            </w:r>
            <w:r>
              <w:rPr>
                <w:rFonts w:hint="eastAsia" w:ascii="宋体" w:hAnsi="宋体" w:cs="宋体"/>
                <w:color w:val="auto"/>
                <w:kern w:val="0"/>
                <w:szCs w:val="21"/>
                <w:highlight w:val="none"/>
                <w:lang w:val="en-US" w:eastAsia="zh-CN"/>
              </w:rPr>
              <w:t>要求</w:t>
            </w:r>
          </w:p>
        </w:tc>
      </w:tr>
    </w:tbl>
    <w:p w14:paraId="26C0FA9D">
      <w:pPr>
        <w:rPr>
          <w:rFonts w:ascii="宋体" w:hAnsi="宋体" w:cs="宋体"/>
          <w:b/>
          <w:color w:val="auto"/>
          <w:sz w:val="21"/>
          <w:szCs w:val="21"/>
          <w:highlight w:val="none"/>
        </w:rPr>
        <w:sectPr>
          <w:footerReference r:id="rId4" w:type="default"/>
          <w:pgSz w:w="11906" w:h="16838"/>
          <w:pgMar w:top="1440" w:right="1083" w:bottom="1440" w:left="1083" w:header="851" w:footer="992" w:gutter="0"/>
          <w:pgNumType w:fmt="numberInDash"/>
          <w:cols w:space="0" w:num="1"/>
          <w:rtlGutter w:val="0"/>
          <w:docGrid w:type="lines" w:linePitch="314" w:charSpace="0"/>
        </w:sectPr>
      </w:pPr>
      <w:r>
        <w:rPr>
          <w:rFonts w:hint="eastAsia" w:ascii="宋体" w:hAnsi="宋体" w:cs="宋体"/>
          <w:b/>
          <w:color w:val="auto"/>
          <w:sz w:val="21"/>
          <w:szCs w:val="21"/>
          <w:highlight w:val="none"/>
        </w:rPr>
        <w:t>注：以上评审内容，有一项不通过者，视为供应商初步评审不通过，未通过初审的其</w:t>
      </w:r>
      <w:r>
        <w:rPr>
          <w:rFonts w:hint="eastAsia" w:ascii="宋体" w:hAnsi="宋体" w:cs="宋体"/>
          <w:b/>
          <w:color w:val="auto"/>
          <w:sz w:val="21"/>
          <w:szCs w:val="21"/>
          <w:highlight w:val="none"/>
          <w:lang w:eastAsia="zh-CN"/>
        </w:rPr>
        <w:t>投标文件</w:t>
      </w:r>
      <w:r>
        <w:rPr>
          <w:rFonts w:hint="eastAsia" w:ascii="宋体" w:hAnsi="宋体" w:cs="宋体"/>
          <w:b/>
          <w:color w:val="auto"/>
          <w:sz w:val="21"/>
          <w:szCs w:val="21"/>
          <w:highlight w:val="none"/>
        </w:rPr>
        <w:t>将按照无效</w:t>
      </w:r>
      <w:r>
        <w:rPr>
          <w:rFonts w:hint="eastAsia" w:ascii="宋体" w:hAnsi="宋体" w:cs="宋体"/>
          <w:b/>
          <w:color w:val="auto"/>
          <w:sz w:val="21"/>
          <w:szCs w:val="21"/>
          <w:highlight w:val="none"/>
          <w:lang w:eastAsia="zh-CN"/>
        </w:rPr>
        <w:t>投标</w:t>
      </w:r>
      <w:r>
        <w:rPr>
          <w:rFonts w:hint="eastAsia" w:ascii="宋体" w:hAnsi="宋体" w:cs="宋体"/>
          <w:b/>
          <w:color w:val="auto"/>
          <w:sz w:val="21"/>
          <w:szCs w:val="21"/>
          <w:highlight w:val="none"/>
        </w:rPr>
        <w:t>处理。</w:t>
      </w:r>
    </w:p>
    <w:p w14:paraId="0B43F297">
      <w:pPr>
        <w:numPr>
          <w:ilvl w:val="0"/>
          <w:numId w:val="6"/>
        </w:num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评分表</w:t>
      </w:r>
    </w:p>
    <w:p w14:paraId="00DE7F5F">
      <w:pPr>
        <w:spacing w:before="38"/>
        <w:ind w:firstLine="480" w:firstLineChars="200"/>
        <w:jc w:val="left"/>
        <w:rPr>
          <w:color w:val="auto"/>
          <w:sz w:val="24"/>
          <w:highlight w:val="none"/>
        </w:rPr>
      </w:pPr>
      <w:r>
        <w:rPr>
          <w:rFonts w:hint="eastAsia"/>
          <w:color w:val="auto"/>
          <w:sz w:val="24"/>
          <w:highlight w:val="none"/>
        </w:rPr>
        <w:t>本项目评审采用</w:t>
      </w:r>
      <w:r>
        <w:rPr>
          <w:rFonts w:hint="eastAsia"/>
          <w:b/>
          <w:bCs/>
          <w:color w:val="auto"/>
          <w:sz w:val="24"/>
          <w:highlight w:val="none"/>
        </w:rPr>
        <w:t>综合评分法</w:t>
      </w:r>
      <w:r>
        <w:rPr>
          <w:color w:val="auto"/>
          <w:sz w:val="24"/>
          <w:highlight w:val="none"/>
        </w:rPr>
        <w:t xml:space="preserve">，总分值为 100分。详细如下： </w:t>
      </w:r>
    </w:p>
    <w:tbl>
      <w:tblPr>
        <w:tblStyle w:val="22"/>
        <w:tblpPr w:leftFromText="180" w:rightFromText="180" w:vertAnchor="text" w:horzAnchor="page" w:tblpX="1479" w:tblpY="289"/>
        <w:tblOverlap w:val="never"/>
        <w:tblW w:w="96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1128"/>
        <w:gridCol w:w="7518"/>
      </w:tblGrid>
      <w:tr w14:paraId="09A3B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989" w:type="dxa"/>
            <w:noWrap w:val="0"/>
            <w:vAlign w:val="center"/>
          </w:tcPr>
          <w:p w14:paraId="4216B393">
            <w:pPr>
              <w:pStyle w:val="9"/>
              <w:keepNext w:val="0"/>
              <w:keepLines w:val="0"/>
              <w:suppressLineNumbers w:val="0"/>
              <w:spacing w:before="161" w:beforeAutospacing="0" w:after="0" w:afterAutospacing="0"/>
              <w:ind w:left="0" w:right="0"/>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rPr>
              <w:t>评标项目</w:t>
            </w:r>
          </w:p>
        </w:tc>
        <w:tc>
          <w:tcPr>
            <w:tcW w:w="1128" w:type="dxa"/>
            <w:noWrap w:val="0"/>
            <w:vAlign w:val="center"/>
          </w:tcPr>
          <w:p w14:paraId="28995894">
            <w:pPr>
              <w:pStyle w:val="39"/>
              <w:keepNext w:val="0"/>
              <w:keepLines w:val="0"/>
              <w:suppressLineNumbers w:val="0"/>
              <w:spacing w:before="67" w:beforeAutospacing="0" w:after="0" w:afterAutospacing="0"/>
              <w:ind w:left="0" w:right="0"/>
              <w:jc w:val="center"/>
              <w:rPr>
                <w:rFonts w:hint="default" w:ascii="宋体" w:hAnsi="宋体" w:eastAsia="宋体" w:cs="Times New Roman"/>
                <w:color w:val="auto"/>
                <w:sz w:val="21"/>
                <w:szCs w:val="21"/>
                <w:highlight w:val="none"/>
                <w:lang w:val="en-US" w:bidi="ar-SA"/>
              </w:rPr>
            </w:pPr>
            <w:r>
              <w:rPr>
                <w:rFonts w:hint="default" w:ascii="宋体" w:hAnsi="宋体" w:eastAsia="宋体" w:cs="Times New Roman"/>
                <w:color w:val="auto"/>
                <w:sz w:val="21"/>
                <w:szCs w:val="21"/>
                <w:highlight w:val="none"/>
                <w:lang w:val="en-US" w:bidi="ar-SA"/>
              </w:rPr>
              <w:t>评审内容</w:t>
            </w:r>
          </w:p>
        </w:tc>
        <w:tc>
          <w:tcPr>
            <w:tcW w:w="7518" w:type="dxa"/>
            <w:noWrap w:val="0"/>
            <w:vAlign w:val="center"/>
          </w:tcPr>
          <w:p w14:paraId="07D37B6A">
            <w:pPr>
              <w:pStyle w:val="39"/>
              <w:keepNext w:val="0"/>
              <w:keepLines w:val="0"/>
              <w:suppressLineNumbers w:val="0"/>
              <w:spacing w:before="67" w:beforeAutospacing="0" w:after="0" w:afterAutospacing="0"/>
              <w:ind w:left="2461" w:right="2333"/>
              <w:jc w:val="center"/>
              <w:rPr>
                <w:rFonts w:hint="default" w:ascii="宋体" w:hAnsi="宋体" w:eastAsia="宋体" w:cs="Times New Roman"/>
                <w:color w:val="auto"/>
                <w:sz w:val="21"/>
                <w:szCs w:val="21"/>
                <w:highlight w:val="none"/>
                <w:lang w:val="en-US" w:bidi="ar-SA"/>
              </w:rPr>
            </w:pPr>
            <w:r>
              <w:rPr>
                <w:rFonts w:hint="default" w:ascii="宋体" w:hAnsi="宋体" w:eastAsia="宋体" w:cs="Times New Roman"/>
                <w:color w:val="auto"/>
                <w:sz w:val="21"/>
                <w:szCs w:val="21"/>
                <w:highlight w:val="none"/>
                <w:lang w:val="en-US" w:bidi="ar-SA"/>
              </w:rPr>
              <w:t>评分标准</w:t>
            </w:r>
          </w:p>
        </w:tc>
      </w:tr>
      <w:tr w14:paraId="047EC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3" w:hRule="atLeast"/>
        </w:trPr>
        <w:tc>
          <w:tcPr>
            <w:tcW w:w="989" w:type="dxa"/>
            <w:noWrap w:val="0"/>
            <w:vAlign w:val="center"/>
          </w:tcPr>
          <w:p w14:paraId="136F8B0B">
            <w:pPr>
              <w:pStyle w:val="39"/>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84"/>
              <w:jc w:val="left"/>
              <w:textAlignment w:val="auto"/>
              <w:rPr>
                <w:rFonts w:hint="default" w:ascii="宋体" w:hAnsi="宋体" w:eastAsia="宋体" w:cs="Times New Roman"/>
                <w:color w:val="auto"/>
                <w:sz w:val="21"/>
                <w:szCs w:val="21"/>
                <w:highlight w:val="none"/>
                <w:lang w:val="en-US" w:bidi="ar-SA"/>
              </w:rPr>
            </w:pPr>
            <w:r>
              <w:rPr>
                <w:rFonts w:hint="eastAsia" w:cs="Times New Roman"/>
                <w:color w:val="auto"/>
                <w:sz w:val="21"/>
                <w:szCs w:val="21"/>
                <w:highlight w:val="none"/>
                <w:lang w:val="en-US" w:eastAsia="zh-CN" w:bidi="ar-SA"/>
              </w:rPr>
              <w:t>商务报价</w:t>
            </w:r>
          </w:p>
          <w:p w14:paraId="1B75AF61">
            <w:pPr>
              <w:pStyle w:val="39"/>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84"/>
              <w:jc w:val="center"/>
              <w:textAlignment w:val="auto"/>
              <w:rPr>
                <w:rFonts w:hint="default" w:ascii="宋体" w:hAnsi="宋体" w:eastAsia="宋体" w:cs="Times New Roman"/>
                <w:color w:val="auto"/>
                <w:sz w:val="21"/>
                <w:szCs w:val="21"/>
                <w:highlight w:val="none"/>
                <w:lang w:val="en-US" w:bidi="ar-SA"/>
              </w:rPr>
            </w:pPr>
            <w:r>
              <w:rPr>
                <w:rFonts w:hint="eastAsia" w:ascii="宋体" w:hAnsi="宋体" w:eastAsia="宋体" w:cs="Times New Roman"/>
                <w:color w:val="auto"/>
                <w:sz w:val="21"/>
                <w:szCs w:val="21"/>
                <w:highlight w:val="none"/>
                <w:lang w:val="en-US" w:bidi="ar-SA"/>
              </w:rPr>
              <w:t>(</w:t>
            </w:r>
            <w:r>
              <w:rPr>
                <w:rFonts w:hint="eastAsia" w:cs="Times New Roman"/>
                <w:color w:val="auto"/>
                <w:sz w:val="21"/>
                <w:szCs w:val="21"/>
                <w:highlight w:val="none"/>
                <w:lang w:val="en-US" w:eastAsia="zh-CN" w:bidi="ar-SA"/>
              </w:rPr>
              <w:t>30</w:t>
            </w:r>
            <w:r>
              <w:rPr>
                <w:rFonts w:hint="default" w:ascii="宋体" w:hAnsi="宋体" w:eastAsia="宋体" w:cs="Times New Roman"/>
                <w:color w:val="auto"/>
                <w:sz w:val="21"/>
                <w:szCs w:val="21"/>
                <w:highlight w:val="none"/>
                <w:lang w:val="en-US" w:bidi="ar-SA"/>
              </w:rPr>
              <w:t>分</w:t>
            </w:r>
            <w:r>
              <w:rPr>
                <w:rFonts w:hint="eastAsia" w:ascii="宋体" w:hAnsi="宋体" w:eastAsia="宋体" w:cs="Times New Roman"/>
                <w:color w:val="auto"/>
                <w:sz w:val="21"/>
                <w:szCs w:val="21"/>
                <w:highlight w:val="none"/>
                <w:lang w:val="en-US" w:bidi="ar-SA"/>
              </w:rPr>
              <w:t>)</w:t>
            </w:r>
          </w:p>
        </w:tc>
        <w:tc>
          <w:tcPr>
            <w:tcW w:w="1128" w:type="dxa"/>
            <w:noWrap w:val="0"/>
            <w:vAlign w:val="center"/>
          </w:tcPr>
          <w:p w14:paraId="5729D428">
            <w:pPr>
              <w:pStyle w:val="39"/>
              <w:keepNext w:val="0"/>
              <w:keepLines w:val="0"/>
              <w:pageBreakBefore w:val="0"/>
              <w:suppressLineNumbers w:val="0"/>
              <w:kinsoku/>
              <w:wordWrap/>
              <w:overflowPunct/>
              <w:topLinePunct w:val="0"/>
              <w:autoSpaceDE/>
              <w:autoSpaceDN/>
              <w:bidi w:val="0"/>
              <w:adjustRightInd/>
              <w:snapToGrid/>
              <w:spacing w:before="189" w:beforeAutospacing="0" w:after="0" w:afterAutospacing="0" w:line="300" w:lineRule="exact"/>
              <w:ind w:left="0" w:right="0"/>
              <w:jc w:val="center"/>
              <w:textAlignment w:val="auto"/>
              <w:rPr>
                <w:rFonts w:hint="eastAsia" w:ascii="宋体" w:hAnsi="宋体" w:cs="宋体"/>
                <w:color w:val="auto"/>
                <w:sz w:val="21"/>
                <w:szCs w:val="21"/>
                <w:highlight w:val="none"/>
                <w:lang w:val="en-US" w:eastAsia="zh-CN"/>
              </w:rPr>
            </w:pPr>
            <w:r>
              <w:rPr>
                <w:rFonts w:hint="eastAsia" w:cs="宋体"/>
                <w:color w:val="auto"/>
                <w:sz w:val="21"/>
                <w:szCs w:val="21"/>
                <w:highlight w:val="none"/>
                <w:lang w:val="en-US" w:eastAsia="zh-CN"/>
              </w:rPr>
              <w:t>商务报价</w:t>
            </w:r>
          </w:p>
          <w:p w14:paraId="2B02A55F">
            <w:pPr>
              <w:pStyle w:val="39"/>
              <w:keepNext w:val="0"/>
              <w:keepLines w:val="0"/>
              <w:pageBreakBefore w:val="0"/>
              <w:suppressLineNumbers w:val="0"/>
              <w:kinsoku/>
              <w:wordWrap/>
              <w:overflowPunct/>
              <w:topLinePunct w:val="0"/>
              <w:autoSpaceDE/>
              <w:autoSpaceDN/>
              <w:bidi w:val="0"/>
              <w:adjustRightInd/>
              <w:snapToGrid/>
              <w:spacing w:before="189" w:beforeAutospacing="0" w:after="0" w:afterAutospacing="0" w:line="300" w:lineRule="exact"/>
              <w:ind w:left="0" w:right="0"/>
              <w:jc w:val="center"/>
              <w:textAlignment w:val="auto"/>
              <w:rPr>
                <w:rFonts w:hint="default" w:ascii="宋体" w:hAnsi="宋体" w:eastAsia="宋体" w:cs="Times New Roman"/>
                <w:color w:val="auto"/>
                <w:sz w:val="21"/>
                <w:szCs w:val="21"/>
                <w:highlight w:val="none"/>
                <w:lang w:val="en-US" w:bidi="ar-SA"/>
              </w:rPr>
            </w:pPr>
            <w:r>
              <w:rPr>
                <w:rFonts w:hint="eastAsia" w:cs="宋体"/>
                <w:color w:val="auto"/>
                <w:sz w:val="21"/>
                <w:szCs w:val="21"/>
                <w:highlight w:val="none"/>
                <w:lang w:val="en-US" w:eastAsia="zh-CN"/>
              </w:rPr>
              <w:t>（</w:t>
            </w:r>
            <w:r>
              <w:rPr>
                <w:rFonts w:hint="eastAsia" w:cs="Times New Roman"/>
                <w:color w:val="auto"/>
                <w:sz w:val="21"/>
                <w:szCs w:val="21"/>
                <w:highlight w:val="none"/>
                <w:lang w:val="en-US" w:eastAsia="zh-CN" w:bidi="ar-SA"/>
              </w:rPr>
              <w:t>30</w:t>
            </w:r>
            <w:r>
              <w:rPr>
                <w:rFonts w:hint="eastAsia" w:ascii="宋体" w:hAnsi="宋体" w:eastAsia="宋体" w:cs="Times New Roman"/>
                <w:color w:val="auto"/>
                <w:sz w:val="21"/>
                <w:szCs w:val="21"/>
                <w:highlight w:val="none"/>
                <w:lang w:val="en-US" w:bidi="ar-SA"/>
              </w:rPr>
              <w:t>分</w:t>
            </w:r>
            <w:r>
              <w:rPr>
                <w:rFonts w:hint="eastAsia" w:cs="宋体"/>
                <w:color w:val="auto"/>
                <w:sz w:val="21"/>
                <w:szCs w:val="21"/>
                <w:highlight w:val="none"/>
                <w:lang w:val="en-US" w:eastAsia="zh-CN"/>
              </w:rPr>
              <w:t>）</w:t>
            </w:r>
          </w:p>
        </w:tc>
        <w:tc>
          <w:tcPr>
            <w:tcW w:w="7518" w:type="dxa"/>
            <w:noWrap w:val="0"/>
            <w:vAlign w:val="center"/>
          </w:tcPr>
          <w:p w14:paraId="7C81E25F">
            <w:pPr>
              <w:pStyle w:val="39"/>
              <w:keepNext w:val="0"/>
              <w:keepLines w:val="0"/>
              <w:pageBreakBefore w:val="0"/>
              <w:suppressLineNumbers w:val="0"/>
              <w:kinsoku/>
              <w:wordWrap/>
              <w:overflowPunct/>
              <w:topLinePunct w:val="0"/>
              <w:autoSpaceDE/>
              <w:autoSpaceDN/>
              <w:bidi w:val="0"/>
              <w:adjustRightInd/>
              <w:snapToGrid/>
              <w:spacing w:before="129" w:beforeAutospacing="0" w:after="0" w:afterAutospacing="0" w:line="300" w:lineRule="exact"/>
              <w:ind w:left="106" w:right="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以满足</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lang w:val="en-US"/>
              </w:rPr>
              <w:t>文件要求且最低的</w:t>
            </w:r>
            <w:r>
              <w:rPr>
                <w:rFonts w:hint="eastAsia" w:cs="宋体"/>
                <w:color w:val="auto"/>
                <w:sz w:val="21"/>
                <w:szCs w:val="21"/>
                <w:highlight w:val="none"/>
                <w:lang w:val="en-US" w:eastAsia="zh-CN"/>
              </w:rPr>
              <w:t>商务报价</w:t>
            </w:r>
            <w:r>
              <w:rPr>
                <w:rFonts w:hint="eastAsia" w:ascii="宋体" w:hAnsi="宋体" w:eastAsia="宋体" w:cs="宋体"/>
                <w:color w:val="auto"/>
                <w:sz w:val="21"/>
                <w:szCs w:val="21"/>
                <w:highlight w:val="none"/>
                <w:lang w:val="en-US"/>
              </w:rPr>
              <w:t>为评标基准价，其价格分为满分</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rPr>
              <w:t>分。</w:t>
            </w:r>
          </w:p>
          <w:p w14:paraId="6C38B012">
            <w:pPr>
              <w:pStyle w:val="39"/>
              <w:keepNext w:val="0"/>
              <w:keepLines w:val="0"/>
              <w:pageBreakBefore w:val="0"/>
              <w:suppressLineNumbers w:val="0"/>
              <w:kinsoku/>
              <w:wordWrap/>
              <w:overflowPunct/>
              <w:topLinePunct w:val="0"/>
              <w:autoSpaceDE/>
              <w:autoSpaceDN/>
              <w:bidi w:val="0"/>
              <w:adjustRightInd/>
              <w:snapToGrid/>
              <w:spacing w:before="129" w:beforeAutospacing="0" w:after="0" w:afterAutospacing="0" w:line="300" w:lineRule="exact"/>
              <w:ind w:left="106" w:right="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其他供应商的价格得分按照下列公式计算：</w:t>
            </w:r>
            <w:r>
              <w:rPr>
                <w:rFonts w:hint="eastAsia" w:cs="宋体"/>
                <w:color w:val="auto"/>
                <w:sz w:val="21"/>
                <w:szCs w:val="21"/>
                <w:highlight w:val="none"/>
                <w:lang w:val="en-US" w:eastAsia="zh-CN"/>
              </w:rPr>
              <w:t>商务报价</w:t>
            </w:r>
            <w:r>
              <w:rPr>
                <w:rFonts w:hint="eastAsia" w:ascii="宋体" w:hAnsi="宋体" w:eastAsia="宋体" w:cs="宋体"/>
                <w:color w:val="auto"/>
                <w:sz w:val="21"/>
                <w:szCs w:val="21"/>
                <w:highlight w:val="none"/>
                <w:lang w:val="en-US"/>
              </w:rPr>
              <w:t>得分＝（评标基准价/</w:t>
            </w:r>
            <w:r>
              <w:rPr>
                <w:rFonts w:hint="eastAsia" w:cs="宋体"/>
                <w:color w:val="auto"/>
                <w:sz w:val="21"/>
                <w:szCs w:val="21"/>
                <w:highlight w:val="none"/>
                <w:lang w:val="en-US" w:eastAsia="zh-CN"/>
              </w:rPr>
              <w:t>商务报价</w:t>
            </w:r>
            <w:r>
              <w:rPr>
                <w:rFonts w:hint="eastAsia" w:ascii="宋体" w:hAnsi="宋体" w:eastAsia="宋体" w:cs="宋体"/>
                <w:color w:val="auto"/>
                <w:sz w:val="21"/>
                <w:szCs w:val="21"/>
                <w:highlight w:val="none"/>
                <w:lang w:val="en-US"/>
              </w:rPr>
              <w:t>）×</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rPr>
              <w:t>%×100 。</w:t>
            </w:r>
          </w:p>
          <w:p w14:paraId="3850EB1F">
            <w:pPr>
              <w:pStyle w:val="39"/>
              <w:keepNext w:val="0"/>
              <w:keepLines w:val="0"/>
              <w:pageBreakBefore w:val="0"/>
              <w:suppressLineNumbers w:val="0"/>
              <w:kinsoku/>
              <w:wordWrap/>
              <w:overflowPunct/>
              <w:topLinePunct w:val="0"/>
              <w:autoSpaceDE/>
              <w:autoSpaceDN/>
              <w:bidi w:val="0"/>
              <w:adjustRightInd/>
              <w:snapToGrid/>
              <w:spacing w:before="129" w:beforeAutospacing="0" w:after="0" w:afterAutospacing="0" w:line="300" w:lineRule="exact"/>
              <w:ind w:left="106" w:right="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sz w:val="21"/>
                <w:szCs w:val="21"/>
                <w:highlight w:val="none"/>
              </w:rPr>
              <w:t>注：报价得分精确到小数点后两位；无效投标的报价不计入价格分值的计算。</w:t>
            </w:r>
          </w:p>
        </w:tc>
      </w:tr>
      <w:tr w14:paraId="5DB95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89" w:type="dxa"/>
            <w:vMerge w:val="restart"/>
            <w:noWrap w:val="0"/>
            <w:vAlign w:val="center"/>
          </w:tcPr>
          <w:p w14:paraId="598ADDC1">
            <w:pPr>
              <w:pStyle w:val="39"/>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84"/>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商务</w:t>
            </w:r>
          </w:p>
          <w:p w14:paraId="3E919C12">
            <w:pPr>
              <w:pStyle w:val="39"/>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84"/>
              <w:jc w:val="left"/>
              <w:textAlignment w:val="auto"/>
              <w:rPr>
                <w:rFonts w:hint="default" w:ascii="宋体" w:hAnsi="宋体" w:eastAsia="宋体" w:cs="Times New Roman"/>
                <w:color w:val="auto"/>
                <w:sz w:val="21"/>
                <w:szCs w:val="21"/>
                <w:highlight w:val="none"/>
                <w:lang w:val="en-US" w:bidi="ar-SA"/>
              </w:rPr>
            </w:pPr>
            <w:r>
              <w:rPr>
                <w:rFonts w:hint="default" w:ascii="宋体" w:hAnsi="宋体" w:eastAsia="宋体" w:cs="Times New Roman"/>
                <w:color w:val="auto"/>
                <w:sz w:val="21"/>
                <w:szCs w:val="21"/>
                <w:highlight w:val="none"/>
                <w:lang w:val="en-US" w:bidi="ar-SA"/>
              </w:rPr>
              <w:t>技术部分</w:t>
            </w:r>
          </w:p>
          <w:p w14:paraId="55C017D1">
            <w:pPr>
              <w:pStyle w:val="39"/>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84"/>
              <w:jc w:val="center"/>
              <w:textAlignment w:val="auto"/>
              <w:rPr>
                <w:rFonts w:hint="default" w:ascii="宋体" w:hAnsi="宋体" w:eastAsia="宋体" w:cs="Times New Roman"/>
                <w:color w:val="auto"/>
                <w:sz w:val="21"/>
                <w:szCs w:val="21"/>
                <w:highlight w:val="none"/>
                <w:lang w:val="en-US" w:bidi="ar-SA"/>
              </w:rPr>
            </w:pPr>
            <w:r>
              <w:rPr>
                <w:rFonts w:hint="eastAsia" w:cs="Times New Roman"/>
                <w:color w:val="auto"/>
                <w:sz w:val="21"/>
                <w:szCs w:val="21"/>
                <w:highlight w:val="none"/>
                <w:lang w:val="en-US" w:eastAsia="zh-CN" w:bidi="ar-SA"/>
              </w:rPr>
              <w:t>70</w:t>
            </w:r>
            <w:r>
              <w:rPr>
                <w:rFonts w:hint="eastAsia" w:ascii="宋体" w:hAnsi="宋体" w:eastAsia="宋体" w:cs="Times New Roman"/>
                <w:color w:val="auto"/>
                <w:sz w:val="21"/>
                <w:szCs w:val="21"/>
                <w:highlight w:val="none"/>
                <w:lang w:val="en-US" w:bidi="ar-SA"/>
              </w:rPr>
              <w:t>分</w:t>
            </w:r>
          </w:p>
        </w:tc>
        <w:tc>
          <w:tcPr>
            <w:tcW w:w="1128" w:type="dxa"/>
            <w:noWrap w:val="0"/>
            <w:vAlign w:val="center"/>
          </w:tcPr>
          <w:p w14:paraId="36E18C8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业绩</w:t>
            </w:r>
          </w:p>
          <w:p w14:paraId="6AA20B35">
            <w:pPr>
              <w:keepNext w:val="0"/>
              <w:keepLines w:val="0"/>
              <w:widowControl/>
              <w:suppressLineNumbers w:val="0"/>
              <w:spacing w:before="0" w:beforeAutospacing="0" w:after="0" w:afterAutospacing="0"/>
              <w:ind w:left="0" w:right="0"/>
              <w:jc w:val="center"/>
              <w:rPr>
                <w:rFonts w:hint="default" w:ascii="宋体" w:hAnsi="宋体" w:eastAsia="宋体"/>
                <w:color w:val="auto"/>
                <w:sz w:val="21"/>
                <w:szCs w:val="21"/>
                <w:highlight w:val="none"/>
              </w:rPr>
            </w:pPr>
            <w:r>
              <w:rPr>
                <w:rFonts w:hint="eastAsia" w:ascii="宋体" w:hAnsi="宋体" w:eastAsia="宋体" w:cs="宋体"/>
                <w:color w:val="auto"/>
                <w:kern w:val="2"/>
                <w:sz w:val="21"/>
                <w:szCs w:val="21"/>
                <w:highlight w:val="none"/>
                <w:lang w:val="en-US" w:eastAsia="zh-CN" w:bidi="ar-SA"/>
              </w:rPr>
              <w:t>（3分）</w:t>
            </w:r>
          </w:p>
        </w:tc>
        <w:tc>
          <w:tcPr>
            <w:tcW w:w="7518" w:type="dxa"/>
            <w:noWrap w:val="0"/>
            <w:vAlign w:val="center"/>
          </w:tcPr>
          <w:p w14:paraId="0D94ED9C">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1.投标人提供所承担过类似项目业绩，提供一项得1分，最多得3分；</w:t>
            </w:r>
          </w:p>
          <w:p w14:paraId="63262D95">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仅限于供应商自身实施的项目）以上业绩需提供有关书面证明材料复印件（附发票、合同或者中标/成交通知书等复印件。如提供证明材料为合同，须提供业绩合同主要页（含：首页、采购内容信息页、合同金额页、签字盖章页），时间以合同签订日期为准）</w:t>
            </w:r>
          </w:p>
        </w:tc>
      </w:tr>
      <w:tr w14:paraId="4A5F9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989" w:type="dxa"/>
            <w:vMerge w:val="continue"/>
            <w:noWrap w:val="0"/>
            <w:vAlign w:val="center"/>
          </w:tcPr>
          <w:p w14:paraId="580D5B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宋体" w:hAnsi="宋体" w:eastAsia="宋体" w:cs="Times New Roman"/>
                <w:color w:val="auto"/>
                <w:kern w:val="2"/>
                <w:sz w:val="21"/>
                <w:szCs w:val="21"/>
                <w:highlight w:val="none"/>
                <w:lang w:val="en-US" w:eastAsia="zh-CN" w:bidi="ar-SA"/>
              </w:rPr>
            </w:pPr>
          </w:p>
        </w:tc>
        <w:tc>
          <w:tcPr>
            <w:tcW w:w="1128" w:type="dxa"/>
            <w:tcBorders>
              <w:top w:val="single" w:color="000000" w:sz="6" w:space="0"/>
            </w:tcBorders>
            <w:shd w:val="clear" w:color="auto" w:fill="auto"/>
            <w:noWrap w:val="0"/>
            <w:vAlign w:val="center"/>
          </w:tcPr>
          <w:p w14:paraId="4CCB85F8">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产品性能、参数与指标（</w:t>
            </w:r>
            <w:r>
              <w:rPr>
                <w:rFonts w:hint="eastAsia" w:ascii="宋体" w:hAnsi="宋体" w:cs="宋体"/>
                <w:color w:val="auto"/>
                <w:kern w:val="2"/>
                <w:sz w:val="21"/>
                <w:szCs w:val="21"/>
                <w:highlight w:val="none"/>
                <w:lang w:val="en-US" w:eastAsia="zh-CN" w:bidi="ar-SA"/>
              </w:rPr>
              <w:t>35</w:t>
            </w:r>
            <w:r>
              <w:rPr>
                <w:rFonts w:hint="eastAsia" w:ascii="宋体" w:hAnsi="宋体" w:eastAsia="宋体" w:cs="宋体"/>
                <w:color w:val="auto"/>
                <w:kern w:val="2"/>
                <w:sz w:val="21"/>
                <w:szCs w:val="21"/>
                <w:highlight w:val="none"/>
                <w:lang w:val="en-US" w:eastAsia="zh-CN" w:bidi="ar-SA"/>
              </w:rPr>
              <w:t>分）</w:t>
            </w:r>
          </w:p>
        </w:tc>
        <w:tc>
          <w:tcPr>
            <w:tcW w:w="7518" w:type="dxa"/>
            <w:tcBorders>
              <w:top w:val="single" w:color="000000" w:sz="6" w:space="0"/>
            </w:tcBorders>
            <w:shd w:val="clear" w:color="auto" w:fill="auto"/>
            <w:noWrap w:val="0"/>
            <w:vAlign w:val="center"/>
          </w:tcPr>
          <w:p w14:paraId="11D49853">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“▲”项为主要产品技术性能的关键技术参数，需按照招标文件的要求提供证明材料，符合采购文件要求</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35</w:t>
            </w:r>
            <w:r>
              <w:rPr>
                <w:rFonts w:hint="default" w:ascii="宋体" w:hAnsi="宋体" w:eastAsia="宋体" w:cs="宋体"/>
                <w:color w:val="auto"/>
                <w:kern w:val="2"/>
                <w:sz w:val="21"/>
                <w:szCs w:val="21"/>
                <w:highlight w:val="none"/>
                <w:lang w:val="en-US" w:eastAsia="zh-CN" w:bidi="ar-SA"/>
              </w:rPr>
              <w:t>分</w:t>
            </w:r>
          </w:p>
          <w:p w14:paraId="0BF390A8">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1.技术要求带</w:t>
            </w:r>
            <w:r>
              <w:rPr>
                <w:rFonts w:hint="default" w:ascii="宋体" w:hAnsi="宋体" w:eastAsia="宋体" w:cs="宋体"/>
                <w:color w:val="auto"/>
                <w:kern w:val="2"/>
                <w:sz w:val="21"/>
                <w:szCs w:val="21"/>
                <w:highlight w:val="none"/>
                <w:lang w:val="en-US" w:eastAsia="zh-CN" w:bidi="ar-SA"/>
              </w:rPr>
              <w:t>“▲”号的技术参数有1项不满足，扣</w:t>
            </w:r>
            <w:r>
              <w:rPr>
                <w:rFonts w:hint="eastAsia" w:ascii="宋体" w:hAnsi="宋体" w:cs="宋体"/>
                <w:color w:val="auto"/>
                <w:kern w:val="2"/>
                <w:sz w:val="21"/>
                <w:szCs w:val="21"/>
                <w:highlight w:val="none"/>
                <w:lang w:val="en-US" w:eastAsia="zh-CN" w:bidi="ar-SA"/>
              </w:rPr>
              <w:t>2</w:t>
            </w:r>
            <w:r>
              <w:rPr>
                <w:rFonts w:hint="default" w:ascii="宋体" w:hAnsi="宋体" w:eastAsia="宋体" w:cs="宋体"/>
                <w:color w:val="auto"/>
                <w:kern w:val="2"/>
                <w:sz w:val="21"/>
                <w:szCs w:val="21"/>
                <w:highlight w:val="none"/>
                <w:lang w:val="en-US" w:eastAsia="zh-CN" w:bidi="ar-SA"/>
              </w:rPr>
              <w:t>分；</w:t>
            </w:r>
            <w:r>
              <w:rPr>
                <w:rFonts w:hint="eastAsia" w:ascii="宋体" w:hAnsi="宋体" w:eastAsia="宋体" w:cs="宋体"/>
                <w:color w:val="auto"/>
                <w:kern w:val="2"/>
                <w:sz w:val="21"/>
                <w:szCs w:val="21"/>
                <w:highlight w:val="none"/>
                <w:lang w:val="en-US" w:eastAsia="zh-CN" w:bidi="ar-SA"/>
              </w:rPr>
              <w:t>扣完为止</w:t>
            </w:r>
            <w:r>
              <w:rPr>
                <w:rFonts w:hint="default" w:ascii="宋体" w:hAnsi="宋体" w:eastAsia="宋体" w:cs="宋体"/>
                <w:color w:val="auto"/>
                <w:kern w:val="2"/>
                <w:sz w:val="21"/>
                <w:szCs w:val="21"/>
                <w:highlight w:val="none"/>
                <w:lang w:val="en-US" w:eastAsia="zh-CN" w:bidi="ar-SA"/>
              </w:rPr>
              <w:t>。</w:t>
            </w:r>
          </w:p>
          <w:p w14:paraId="57262A34">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2.其他技术</w:t>
            </w:r>
            <w:r>
              <w:rPr>
                <w:rFonts w:hint="eastAsia" w:ascii="宋体" w:hAnsi="宋体" w:cs="宋体"/>
                <w:color w:val="auto"/>
                <w:kern w:val="2"/>
                <w:sz w:val="21"/>
                <w:szCs w:val="21"/>
                <w:highlight w:val="none"/>
                <w:lang w:val="en-US" w:eastAsia="zh-CN" w:bidi="ar-SA"/>
              </w:rPr>
              <w:t>参数</w:t>
            </w:r>
            <w:r>
              <w:rPr>
                <w:rFonts w:hint="default" w:ascii="宋体" w:hAnsi="宋体" w:eastAsia="宋体" w:cs="宋体"/>
                <w:color w:val="auto"/>
                <w:kern w:val="2"/>
                <w:sz w:val="21"/>
                <w:szCs w:val="21"/>
                <w:highlight w:val="none"/>
                <w:lang w:val="en-US" w:eastAsia="zh-CN" w:bidi="ar-SA"/>
              </w:rPr>
              <w:t xml:space="preserve">每有一项指标低于要求的扣0.5分，扣完为止。 </w:t>
            </w:r>
          </w:p>
          <w:p w14:paraId="027C9F3C">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注：标注“▲”号的关键技术参数须提供技术支持资料作为评审依据，包括但不限于有效内所投产品认证证书、技术白皮书、详细参数彩页、检测报告、产品官网截图、产品注册证等佐证材料，未按要求提供佐证材料的或佐证材料不能证明其满足参数技术指标的，将被视为负偏离。</w:t>
            </w:r>
          </w:p>
        </w:tc>
      </w:tr>
      <w:tr w14:paraId="4DD53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6" w:hRule="atLeast"/>
        </w:trPr>
        <w:tc>
          <w:tcPr>
            <w:tcW w:w="989" w:type="dxa"/>
            <w:vMerge w:val="continue"/>
            <w:noWrap w:val="0"/>
            <w:vAlign w:val="center"/>
          </w:tcPr>
          <w:p w14:paraId="2848D7E8">
            <w:pPr>
              <w:pStyle w:val="39"/>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84"/>
              <w:jc w:val="center"/>
              <w:textAlignment w:val="auto"/>
              <w:rPr>
                <w:rFonts w:hint="default" w:ascii="宋体" w:hAnsi="宋体" w:eastAsia="宋体" w:cs="Times New Roman"/>
                <w:color w:val="auto"/>
                <w:sz w:val="21"/>
                <w:szCs w:val="21"/>
                <w:highlight w:val="none"/>
                <w:lang w:val="en-US" w:bidi="ar-SA"/>
              </w:rPr>
            </w:pPr>
          </w:p>
        </w:tc>
        <w:tc>
          <w:tcPr>
            <w:tcW w:w="1128" w:type="dxa"/>
            <w:shd w:val="clear" w:color="auto" w:fill="auto"/>
            <w:noWrap w:val="0"/>
            <w:vAlign w:val="center"/>
          </w:tcPr>
          <w:p w14:paraId="67EEA46B">
            <w:pPr>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检测报告证明（7分）</w:t>
            </w:r>
          </w:p>
        </w:tc>
        <w:tc>
          <w:tcPr>
            <w:tcW w:w="7518" w:type="dxa"/>
            <w:shd w:val="clear" w:color="auto" w:fill="auto"/>
            <w:noWrap w:val="0"/>
            <w:vAlign w:val="center"/>
          </w:tcPr>
          <w:p w14:paraId="011872B2">
            <w:pPr>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1、投标人或制造商提供具有CMA或CNAS资质的第三方检测机构出具的符合GB28007-2024婴幼儿及儿童家具安全技术规范标准的“椅子”“桌子”的检测报告，提供一份得1分，不提供不得分，总计2分；</w:t>
            </w:r>
          </w:p>
          <w:p w14:paraId="05CB01E0">
            <w:pPr>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2、投标人或制造商提供具有CMA或CNAS资质的第三方检测机构出具的“多层板”“橡胶木”“五金件—螺丝”“水性漆”、“万向轮”的检测报告，每提供一份得1分，不提供不得分，总计5分。</w:t>
            </w:r>
          </w:p>
        </w:tc>
      </w:tr>
      <w:tr w14:paraId="1835F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989" w:type="dxa"/>
            <w:vMerge w:val="continue"/>
            <w:noWrap w:val="0"/>
            <w:vAlign w:val="center"/>
          </w:tcPr>
          <w:p w14:paraId="144A4755">
            <w:pPr>
              <w:pStyle w:val="39"/>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宋体" w:hAnsi="宋体" w:eastAsia="宋体"/>
                <w:color w:val="auto"/>
                <w:spacing w:val="-1"/>
                <w:w w:val="90"/>
                <w:sz w:val="21"/>
                <w:szCs w:val="21"/>
                <w:highlight w:val="none"/>
              </w:rPr>
            </w:pPr>
          </w:p>
        </w:tc>
        <w:tc>
          <w:tcPr>
            <w:tcW w:w="1128" w:type="dxa"/>
            <w:shd w:val="clear" w:color="auto" w:fill="auto"/>
            <w:noWrap w:val="0"/>
            <w:vAlign w:val="center"/>
          </w:tcPr>
          <w:p w14:paraId="0EE4709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实施方案（</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w:t>
            </w:r>
          </w:p>
        </w:tc>
        <w:tc>
          <w:tcPr>
            <w:tcW w:w="7518" w:type="dxa"/>
            <w:shd w:val="clear" w:color="auto" w:fill="auto"/>
            <w:noWrap w:val="0"/>
            <w:vAlign w:val="center"/>
          </w:tcPr>
          <w:p w14:paraId="3AE4AD5B">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投标人对招标文件中实施要求，提供项目实施方案内容至少包含但不限于①项目实施前准备工作、工期进度计划；②项目实施 团队、人员分工安排；③项目实施策略、管控措施及总体实施流程；④系统部署、安装、测试及试运行方案措施。</w:t>
            </w:r>
          </w:p>
          <w:p w14:paraId="5FB31F19">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方案提供完整且符合项目实际情况的得8分，其中每有 1 项未提供扣 2分，扣完为止。</w:t>
            </w:r>
          </w:p>
        </w:tc>
      </w:tr>
      <w:tr w14:paraId="76B42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989" w:type="dxa"/>
            <w:vMerge w:val="continue"/>
            <w:noWrap w:val="0"/>
            <w:vAlign w:val="center"/>
          </w:tcPr>
          <w:p w14:paraId="6E4053F1">
            <w:pPr>
              <w:pStyle w:val="39"/>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宋体" w:hAnsi="宋体" w:eastAsia="宋体"/>
                <w:color w:val="auto"/>
                <w:spacing w:val="-1"/>
                <w:w w:val="90"/>
                <w:sz w:val="21"/>
                <w:szCs w:val="21"/>
                <w:highlight w:val="none"/>
              </w:rPr>
            </w:pPr>
          </w:p>
        </w:tc>
        <w:tc>
          <w:tcPr>
            <w:tcW w:w="1128" w:type="dxa"/>
            <w:shd w:val="clear" w:color="auto" w:fill="auto"/>
            <w:noWrap w:val="0"/>
            <w:vAlign w:val="center"/>
          </w:tcPr>
          <w:p w14:paraId="40939810">
            <w:pPr>
              <w:pStyle w:val="68"/>
              <w:keepNext w:val="0"/>
              <w:keepLines w:val="0"/>
              <w:suppressLineNumbers w:val="0"/>
              <w:spacing w:before="1" w:beforeAutospacing="0" w:after="0" w:afterAutospacing="0" w:line="22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售后服务（</w:t>
            </w:r>
            <w:r>
              <w:rPr>
                <w:rFonts w:hint="eastAsia"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w:t>
            </w:r>
          </w:p>
        </w:tc>
        <w:tc>
          <w:tcPr>
            <w:tcW w:w="7518" w:type="dxa"/>
            <w:shd w:val="clear" w:color="auto" w:fill="auto"/>
            <w:noWrap w:val="0"/>
            <w:vAlign w:val="center"/>
          </w:tcPr>
          <w:p w14:paraId="32E03D69">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根据投标人提供的售后服务方案内容进行综合评审。售后服务方案内容充分，详细具体，内容包括：①服务方案承诺②响应时间③服务流程（包括故障处理、上门维护、紧急维护、重要服务、电话回访维护等）④售后服务记录（包括服务报告、质量考核评估、满意度调查、电话回访记录）。经评标委员会评审，以上内容均能满足采购需求且进行详细说明的得满分8分，每有一条方案内容未进行详细说明或者内容不适用本项目的扣2分，扣至0分为止。未提供上述方案的本项不得分。</w:t>
            </w:r>
          </w:p>
        </w:tc>
      </w:tr>
      <w:tr w14:paraId="1E9D3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989" w:type="dxa"/>
            <w:vMerge w:val="continue"/>
            <w:noWrap w:val="0"/>
            <w:vAlign w:val="center"/>
          </w:tcPr>
          <w:p w14:paraId="403F3A48">
            <w:pPr>
              <w:pStyle w:val="39"/>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宋体" w:hAnsi="宋体" w:eastAsia="宋体"/>
                <w:color w:val="auto"/>
                <w:spacing w:val="-1"/>
                <w:w w:val="90"/>
                <w:sz w:val="21"/>
                <w:szCs w:val="21"/>
                <w:highlight w:val="none"/>
              </w:rPr>
            </w:pPr>
          </w:p>
        </w:tc>
        <w:tc>
          <w:tcPr>
            <w:tcW w:w="1128" w:type="dxa"/>
            <w:shd w:val="clear" w:color="auto" w:fill="auto"/>
            <w:noWrap w:val="0"/>
            <w:vAlign w:val="center"/>
          </w:tcPr>
          <w:p w14:paraId="1CAE9AE0">
            <w:pPr>
              <w:pStyle w:val="68"/>
              <w:keepNext w:val="0"/>
              <w:keepLines w:val="0"/>
              <w:suppressLineNumbers w:val="0"/>
              <w:spacing w:before="1" w:beforeAutospacing="0" w:after="0" w:afterAutospacing="0" w:line="22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培训方案（</w:t>
            </w:r>
            <w:r>
              <w:rPr>
                <w:rFonts w:hint="eastAsia"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w:t>
            </w:r>
          </w:p>
        </w:tc>
        <w:tc>
          <w:tcPr>
            <w:tcW w:w="7518" w:type="dxa"/>
            <w:shd w:val="clear" w:color="auto" w:fill="auto"/>
            <w:noWrap w:val="0"/>
            <w:vAlign w:val="center"/>
          </w:tcPr>
          <w:p w14:paraId="66BED130">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根据投标人提供的项目培训方案进行评分：</w:t>
            </w:r>
          </w:p>
          <w:p w14:paraId="6EC54A8A">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培训方案包括但不限于①培训内容、计划②培训方式、③培训团队人员配置等3项内容，方案内容阐述合理，可实施性强，涵盖内容全面，符合项目实际的，得6分；每缺一项内容减1分，每有一项内容存在缺陷（缺陷指内容阐述不清晰，存在偏差或过于简略）的减0.5分，专家遵循公平、公正、科学、择优的原则进行综合评审，减完为止。未提供方案得0分。此项满分6分。</w:t>
            </w:r>
          </w:p>
        </w:tc>
      </w:tr>
      <w:tr w14:paraId="35749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trPr>
        <w:tc>
          <w:tcPr>
            <w:tcW w:w="989" w:type="dxa"/>
            <w:vMerge w:val="continue"/>
            <w:noWrap w:val="0"/>
            <w:vAlign w:val="center"/>
          </w:tcPr>
          <w:p w14:paraId="4050FEDF">
            <w:pPr>
              <w:pStyle w:val="39"/>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宋体" w:hAnsi="宋体" w:eastAsia="宋体"/>
                <w:color w:val="auto"/>
                <w:spacing w:val="-1"/>
                <w:w w:val="90"/>
                <w:sz w:val="21"/>
                <w:szCs w:val="21"/>
                <w:highlight w:val="none"/>
                <w:lang w:val="en-US"/>
              </w:rPr>
            </w:pPr>
          </w:p>
        </w:tc>
        <w:tc>
          <w:tcPr>
            <w:tcW w:w="1128" w:type="dxa"/>
            <w:noWrap w:val="0"/>
            <w:vAlign w:val="center"/>
          </w:tcPr>
          <w:p w14:paraId="1A997E71">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增值服务（3分）</w:t>
            </w:r>
          </w:p>
        </w:tc>
        <w:tc>
          <w:tcPr>
            <w:tcW w:w="7518" w:type="dxa"/>
            <w:noWrap w:val="0"/>
            <w:vAlign w:val="center"/>
          </w:tcPr>
          <w:p w14:paraId="3D9215CA">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供应商承诺提供具有实际意义的增值服务，根据增值服务内容，每有一个有利于项目实施、内容清晰完善且被评标小组认可的增值服务的得1分，最多得3分。无增值服务或增值服务无实际意义不得分。</w:t>
            </w:r>
          </w:p>
        </w:tc>
      </w:tr>
      <w:tr w14:paraId="0536A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9635" w:type="dxa"/>
            <w:gridSpan w:val="3"/>
            <w:tcBorders>
              <w:top w:val="single" w:color="auto" w:sz="4" w:space="0"/>
              <w:left w:val="single" w:color="auto" w:sz="4" w:space="0"/>
              <w:bottom w:val="single" w:color="auto" w:sz="4" w:space="0"/>
              <w:right w:val="single" w:color="auto" w:sz="4" w:space="0"/>
            </w:tcBorders>
            <w:noWrap w:val="0"/>
            <w:vAlign w:val="center"/>
          </w:tcPr>
          <w:p w14:paraId="5D560E88">
            <w:pPr>
              <w:pStyle w:val="39"/>
              <w:keepNext w:val="0"/>
              <w:keepLines w:val="0"/>
              <w:pageBreakBefore w:val="0"/>
              <w:suppressLineNumbers w:val="0"/>
              <w:kinsoku/>
              <w:wordWrap/>
              <w:overflowPunct/>
              <w:topLinePunct w:val="0"/>
              <w:autoSpaceDE/>
              <w:autoSpaceDN/>
              <w:bidi w:val="0"/>
              <w:adjustRightInd/>
              <w:snapToGrid/>
              <w:spacing w:before="12" w:beforeAutospacing="0" w:after="0" w:afterAutospacing="0" w:line="300" w:lineRule="exact"/>
              <w:ind w:left="106" w:right="0"/>
              <w:jc w:val="left"/>
              <w:textAlignment w:val="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lang w:val="en-US" w:eastAsia="zh-CN"/>
              </w:rPr>
              <w:t>说明：本评审内容中“内容缺陷”是指：1.内容与实际情况不匹配、2.不符合项目特点、3.内容不完整或缺少关键节点、4.未按采购需求针对描述、5.存在描述内容过于简略、6.缺失不全、7.前后矛盾、8.表述不清晰、9.凭空编造、10.逻辑混淆错误、11.涉及的规范及标准错误不可能实现的情形等任意一种情形。</w:t>
            </w:r>
          </w:p>
        </w:tc>
      </w:tr>
      <w:tr w14:paraId="5BEF2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9635" w:type="dxa"/>
            <w:gridSpan w:val="3"/>
            <w:tcBorders>
              <w:top w:val="single" w:color="auto" w:sz="4" w:space="0"/>
              <w:left w:val="single" w:color="auto" w:sz="4" w:space="0"/>
              <w:bottom w:val="single" w:color="auto" w:sz="4" w:space="0"/>
              <w:right w:val="single" w:color="auto" w:sz="4" w:space="0"/>
            </w:tcBorders>
            <w:noWrap w:val="0"/>
            <w:vAlign w:val="center"/>
          </w:tcPr>
          <w:p w14:paraId="20AFD1AA">
            <w:pPr>
              <w:pStyle w:val="39"/>
              <w:keepNext w:val="0"/>
              <w:keepLines w:val="0"/>
              <w:pageBreakBefore w:val="0"/>
              <w:suppressLineNumbers w:val="0"/>
              <w:kinsoku/>
              <w:wordWrap/>
              <w:overflowPunct/>
              <w:topLinePunct w:val="0"/>
              <w:autoSpaceDE/>
              <w:autoSpaceDN/>
              <w:bidi w:val="0"/>
              <w:adjustRightInd/>
              <w:snapToGrid/>
              <w:spacing w:before="12" w:beforeAutospacing="0" w:after="0" w:afterAutospacing="0" w:line="300" w:lineRule="exact"/>
              <w:ind w:left="106" w:right="0"/>
              <w:jc w:val="left"/>
              <w:textAlignment w:val="auto"/>
              <w:rPr>
                <w:rFonts w:hint="default" w:ascii="宋体" w:hAnsi="宋体" w:eastAsia="宋体"/>
                <w:b/>
                <w:color w:val="auto"/>
                <w:sz w:val="21"/>
                <w:szCs w:val="21"/>
                <w:highlight w:val="none"/>
              </w:rPr>
            </w:pPr>
            <w:r>
              <w:rPr>
                <w:rFonts w:hint="eastAsia" w:ascii="宋体" w:hAnsi="宋体" w:eastAsia="宋体"/>
                <w:b/>
                <w:color w:val="auto"/>
                <w:sz w:val="21"/>
                <w:szCs w:val="21"/>
                <w:highlight w:val="none"/>
              </w:rPr>
              <w:t>合计 100分，供应商综合得分=</w:t>
            </w:r>
            <w:r>
              <w:rPr>
                <w:rFonts w:hint="eastAsia" w:ascii="宋体" w:hAnsi="宋体" w:eastAsia="宋体"/>
                <w:b/>
                <w:color w:val="auto"/>
                <w:sz w:val="21"/>
                <w:szCs w:val="21"/>
                <w:highlight w:val="none"/>
                <w:lang w:val="en-US"/>
              </w:rPr>
              <w:t>磋商报价得分+</w:t>
            </w:r>
            <w:r>
              <w:rPr>
                <w:rFonts w:hint="eastAsia" w:ascii="宋体" w:hAnsi="宋体" w:eastAsia="宋体"/>
                <w:b/>
                <w:color w:val="auto"/>
                <w:sz w:val="21"/>
                <w:szCs w:val="21"/>
                <w:highlight w:val="none"/>
              </w:rPr>
              <w:t>商务</w:t>
            </w:r>
            <w:r>
              <w:rPr>
                <w:rFonts w:hint="eastAsia" w:ascii="宋体" w:hAnsi="宋体" w:eastAsia="宋体"/>
                <w:b/>
                <w:color w:val="auto"/>
                <w:sz w:val="21"/>
                <w:szCs w:val="21"/>
                <w:highlight w:val="none"/>
                <w:lang w:val="en-US"/>
              </w:rPr>
              <w:t>部分</w:t>
            </w:r>
            <w:r>
              <w:rPr>
                <w:rFonts w:hint="eastAsia" w:ascii="宋体" w:hAnsi="宋体" w:eastAsia="宋体"/>
                <w:b/>
                <w:color w:val="auto"/>
                <w:sz w:val="21"/>
                <w:szCs w:val="21"/>
                <w:highlight w:val="none"/>
              </w:rPr>
              <w:t>得分+技术</w:t>
            </w:r>
            <w:r>
              <w:rPr>
                <w:rFonts w:hint="eastAsia" w:ascii="宋体" w:hAnsi="宋体" w:eastAsia="宋体"/>
                <w:b/>
                <w:color w:val="auto"/>
                <w:sz w:val="21"/>
                <w:szCs w:val="21"/>
                <w:highlight w:val="none"/>
                <w:lang w:val="en-US"/>
              </w:rPr>
              <w:t>部分</w:t>
            </w:r>
            <w:r>
              <w:rPr>
                <w:rFonts w:hint="eastAsia" w:ascii="宋体" w:hAnsi="宋体" w:eastAsia="宋体"/>
                <w:b/>
                <w:color w:val="auto"/>
                <w:sz w:val="21"/>
                <w:szCs w:val="21"/>
                <w:highlight w:val="none"/>
              </w:rPr>
              <w:t>得分。</w:t>
            </w:r>
          </w:p>
          <w:p w14:paraId="62C2B800">
            <w:pPr>
              <w:pStyle w:val="39"/>
              <w:keepNext w:val="0"/>
              <w:keepLines w:val="0"/>
              <w:pageBreakBefore w:val="0"/>
              <w:suppressLineNumbers w:val="0"/>
              <w:kinsoku/>
              <w:wordWrap/>
              <w:overflowPunct/>
              <w:topLinePunct w:val="0"/>
              <w:autoSpaceDE/>
              <w:autoSpaceDN/>
              <w:bidi w:val="0"/>
              <w:adjustRightInd/>
              <w:snapToGrid/>
              <w:spacing w:before="12" w:beforeAutospacing="0" w:after="0" w:afterAutospacing="0" w:line="300" w:lineRule="exact"/>
              <w:ind w:left="106" w:right="0"/>
              <w:jc w:val="left"/>
              <w:textAlignment w:val="auto"/>
              <w:rPr>
                <w:rFonts w:hint="default" w:ascii="宋体" w:hAnsi="宋体" w:eastAsia="宋体"/>
                <w:b/>
                <w:color w:val="auto"/>
                <w:sz w:val="21"/>
                <w:szCs w:val="21"/>
                <w:highlight w:val="none"/>
              </w:rPr>
            </w:pPr>
            <w:r>
              <w:rPr>
                <w:rFonts w:hint="eastAsia" w:ascii="宋体" w:hAnsi="宋体" w:eastAsia="宋体"/>
                <w:b/>
                <w:color w:val="auto"/>
                <w:sz w:val="21"/>
                <w:szCs w:val="21"/>
                <w:highlight w:val="none"/>
              </w:rPr>
              <w:t>注：</w:t>
            </w:r>
            <w:r>
              <w:rPr>
                <w:rFonts w:hint="eastAsia" w:ascii="宋体" w:hAnsi="宋体" w:eastAsia="宋体"/>
                <w:b/>
                <w:color w:val="auto"/>
                <w:sz w:val="21"/>
                <w:szCs w:val="21"/>
                <w:highlight w:val="none"/>
                <w:lang w:val="en-US"/>
              </w:rPr>
              <w:t>1、</w:t>
            </w:r>
            <w:r>
              <w:rPr>
                <w:rFonts w:hint="eastAsia" w:ascii="宋体" w:hAnsi="宋体" w:eastAsia="宋体"/>
                <w:b/>
                <w:color w:val="auto"/>
                <w:sz w:val="21"/>
                <w:szCs w:val="21"/>
                <w:highlight w:val="none"/>
              </w:rPr>
              <w:t>评分计算结果保留两位小数，第三位小数四舍五入。</w:t>
            </w:r>
          </w:p>
        </w:tc>
      </w:tr>
    </w:tbl>
    <w:p w14:paraId="19995514">
      <w:pPr>
        <w:spacing w:line="300" w:lineRule="exact"/>
        <w:rPr>
          <w:rFonts w:ascii="宋体" w:hAnsi="宋体" w:cs="宋体"/>
          <w:b/>
          <w:color w:val="auto"/>
          <w:szCs w:val="21"/>
          <w:highlight w:val="none"/>
        </w:rPr>
      </w:pPr>
      <w:r>
        <w:rPr>
          <w:rFonts w:hint="eastAsia" w:ascii="宋体" w:hAnsi="宋体" w:cs="宋体"/>
          <w:b/>
          <w:color w:val="auto"/>
          <w:szCs w:val="21"/>
          <w:highlight w:val="none"/>
        </w:rPr>
        <w:t xml:space="preserve">注：关于小微企业： </w:t>
      </w:r>
    </w:p>
    <w:p w14:paraId="30159BF3">
      <w:pPr>
        <w:widowControl/>
        <w:jc w:val="left"/>
        <w:rPr>
          <w:rFonts w:ascii="宋体" w:hAnsi="宋体" w:cs="宋体"/>
          <w:b/>
          <w:color w:val="auto"/>
          <w:szCs w:val="21"/>
          <w:highlight w:val="none"/>
        </w:rPr>
      </w:pPr>
      <w:r>
        <w:rPr>
          <w:rFonts w:hint="eastAsia" w:ascii="宋体" w:hAnsi="宋体" w:cs="宋体"/>
          <w:b/>
          <w:color w:val="auto"/>
          <w:szCs w:val="21"/>
          <w:highlight w:val="none"/>
        </w:rPr>
        <w:t xml:space="preserve">1.1 按&lt;关于印发《政府采购促进中小企业发展暂行办法》的通知&gt;（财库〔2020〕46 号）之规定，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w:t>
      </w:r>
    </w:p>
    <w:p w14:paraId="23555FCD">
      <w:pPr>
        <w:widowControl/>
        <w:jc w:val="left"/>
        <w:rPr>
          <w:rFonts w:ascii="宋体" w:hAnsi="宋体" w:cs="宋体"/>
          <w:b/>
          <w:color w:val="auto"/>
          <w:szCs w:val="21"/>
          <w:highlight w:val="none"/>
        </w:rPr>
      </w:pPr>
      <w:r>
        <w:rPr>
          <w:rFonts w:hint="eastAsia" w:ascii="宋体" w:hAnsi="宋体" w:cs="宋体"/>
          <w:b/>
          <w:color w:val="auto"/>
          <w:szCs w:val="21"/>
          <w:highlight w:val="none"/>
        </w:rPr>
        <w:t xml:space="preserve">1.1.1 在政府采购活动中，供应商提供的货物、工程或者服务符合下列情形的，享受本办法规定的中小企业扶持政策： </w:t>
      </w:r>
    </w:p>
    <w:p w14:paraId="1CFCFD3A">
      <w:pPr>
        <w:widowControl/>
        <w:jc w:val="left"/>
        <w:rPr>
          <w:rFonts w:ascii="宋体" w:hAnsi="宋体" w:cs="宋体"/>
          <w:b/>
          <w:color w:val="auto"/>
          <w:szCs w:val="21"/>
          <w:highlight w:val="none"/>
        </w:rPr>
      </w:pPr>
      <w:r>
        <w:rPr>
          <w:rFonts w:hint="eastAsia" w:ascii="宋体" w:hAnsi="宋体" w:cs="宋体"/>
          <w:b/>
          <w:color w:val="auto"/>
          <w:szCs w:val="21"/>
          <w:highlight w:val="none"/>
        </w:rPr>
        <w:t xml:space="preserve">（一）在货物采购项目中，货物由中小企业制造，即货物由中小企业生产且使用该中小企业商号或者注册商标； </w:t>
      </w:r>
    </w:p>
    <w:p w14:paraId="584C6173">
      <w:pPr>
        <w:widowControl/>
        <w:jc w:val="left"/>
        <w:rPr>
          <w:rFonts w:ascii="宋体" w:hAnsi="宋体" w:cs="宋体"/>
          <w:b/>
          <w:color w:val="auto"/>
          <w:szCs w:val="21"/>
          <w:highlight w:val="none"/>
        </w:rPr>
      </w:pPr>
      <w:r>
        <w:rPr>
          <w:rFonts w:hint="eastAsia" w:ascii="宋体" w:hAnsi="宋体" w:cs="宋体"/>
          <w:b/>
          <w:color w:val="auto"/>
          <w:szCs w:val="21"/>
          <w:highlight w:val="none"/>
        </w:rPr>
        <w:t xml:space="preserve">（二）在工程采购项目中，工程由中小企业承建，即工程施工单位为中小企业； </w:t>
      </w:r>
    </w:p>
    <w:p w14:paraId="632235E4">
      <w:pPr>
        <w:widowControl/>
        <w:jc w:val="left"/>
        <w:rPr>
          <w:rFonts w:ascii="宋体" w:hAnsi="宋体" w:cs="宋体"/>
          <w:b/>
          <w:color w:val="auto"/>
          <w:szCs w:val="21"/>
          <w:highlight w:val="none"/>
        </w:rPr>
      </w:pPr>
      <w:r>
        <w:rPr>
          <w:rFonts w:hint="eastAsia" w:ascii="宋体" w:hAnsi="宋体" w:cs="宋体"/>
          <w:b/>
          <w:color w:val="auto"/>
          <w:szCs w:val="21"/>
          <w:highlight w:val="none"/>
        </w:rPr>
        <w:t>（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3C85EB64">
      <w:pPr>
        <w:pStyle w:val="21"/>
        <w:ind w:left="0" w:leftChars="0" w:firstLine="0" w:firstLineChars="0"/>
        <w:jc w:val="left"/>
        <w:rPr>
          <w:rFonts w:hint="eastAsia" w:ascii="仿宋" w:hAnsi="仿宋"/>
          <w:b/>
          <w:color w:val="auto"/>
          <w:sz w:val="24"/>
          <w:szCs w:val="24"/>
          <w:highlight w:val="none"/>
        </w:rPr>
      </w:pPr>
    </w:p>
    <w:p w14:paraId="21C3EECB">
      <w:pPr>
        <w:pStyle w:val="21"/>
        <w:ind w:left="0" w:leftChars="0" w:firstLine="0" w:firstLineChars="0"/>
        <w:jc w:val="left"/>
        <w:rPr>
          <w:rFonts w:hint="eastAsia" w:ascii="仿宋" w:hAnsi="仿宋"/>
          <w:b/>
          <w:color w:val="auto"/>
          <w:sz w:val="24"/>
          <w:szCs w:val="24"/>
          <w:highlight w:val="none"/>
        </w:rPr>
      </w:pPr>
    </w:p>
    <w:p w14:paraId="0B2301E4">
      <w:pPr>
        <w:pStyle w:val="21"/>
        <w:keepNext w:val="0"/>
        <w:keepLines w:val="0"/>
        <w:pageBreakBefore/>
        <w:widowControl w:val="0"/>
        <w:kinsoku/>
        <w:wordWrap/>
        <w:overflowPunct/>
        <w:topLinePunct w:val="0"/>
        <w:autoSpaceDE/>
        <w:autoSpaceDN/>
        <w:bidi w:val="0"/>
        <w:adjustRightInd/>
        <w:snapToGrid/>
        <w:ind w:left="0" w:leftChars="0" w:firstLine="0" w:firstLineChars="0"/>
        <w:jc w:val="left"/>
        <w:textAlignment w:val="auto"/>
        <w:rPr>
          <w:rFonts w:hint="eastAsia" w:ascii="仿宋" w:hAnsi="仿宋"/>
          <w:b/>
          <w:color w:val="auto"/>
          <w:sz w:val="24"/>
          <w:szCs w:val="24"/>
          <w:highlight w:val="none"/>
        </w:rPr>
      </w:pPr>
      <w:r>
        <w:rPr>
          <w:rFonts w:hint="eastAsia" w:ascii="仿宋" w:hAnsi="仿宋"/>
          <w:b/>
          <w:color w:val="auto"/>
          <w:sz w:val="24"/>
          <w:szCs w:val="24"/>
          <w:highlight w:val="none"/>
        </w:rPr>
        <w:t>附件</w:t>
      </w:r>
    </w:p>
    <w:p w14:paraId="747FB40D">
      <w:pPr>
        <w:pStyle w:val="38"/>
        <w:ind w:left="420" w:firstLine="0" w:firstLineChars="0"/>
        <w:jc w:val="center"/>
        <w:rPr>
          <w:rFonts w:ascii="仿宋" w:hAnsi="仿宋"/>
          <w:b/>
          <w:color w:val="auto"/>
          <w:sz w:val="24"/>
          <w:szCs w:val="24"/>
          <w:highlight w:val="none"/>
          <w:shd w:val="clear" w:color="auto" w:fill="FFFFFF"/>
        </w:rPr>
      </w:pPr>
      <w:r>
        <w:rPr>
          <w:rFonts w:hint="eastAsia" w:ascii="仿宋" w:hAnsi="仿宋"/>
          <w:b/>
          <w:color w:val="auto"/>
          <w:sz w:val="24"/>
          <w:szCs w:val="24"/>
          <w:highlight w:val="none"/>
          <w:shd w:val="clear" w:color="auto" w:fill="FFFFFF"/>
        </w:rPr>
        <w:t>国家发改委关于中小企业划型标准</w:t>
      </w:r>
    </w:p>
    <w:p w14:paraId="12A1B391">
      <w:pPr>
        <w:ind w:firstLine="480" w:firstLineChars="20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一、根据《中华人民共和国中小企业促进法》和《国务院关于进一步促进中小企业发展的若干意见》(国发〔2009〕36号)，制定本规定。</w:t>
      </w:r>
    </w:p>
    <w:p w14:paraId="520666A4">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二、中小企业划分为中型、小型、微型三种类型，具体标准根据企业从业人员、营业收入、资产总额等指标，结合行业特点制定。</w:t>
      </w:r>
    </w:p>
    <w:p w14:paraId="7E9FB0AF">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w:t>
      </w:r>
      <w:bookmarkStart w:id="196" w:name="_Hlk160522455"/>
      <w:r>
        <w:rPr>
          <w:rFonts w:hint="eastAsia" w:ascii="仿宋" w:hAnsi="仿宋"/>
          <w:color w:val="auto"/>
          <w:sz w:val="24"/>
          <w:szCs w:val="24"/>
          <w:highlight w:val="none"/>
          <w:shd w:val="clear" w:color="auto" w:fill="FFFFFF"/>
        </w:rPr>
        <w:t>租赁和商务服务业</w:t>
      </w:r>
      <w:bookmarkEnd w:id="196"/>
      <w:r>
        <w:rPr>
          <w:rFonts w:hint="eastAsia" w:ascii="仿宋" w:hAnsi="仿宋"/>
          <w:color w:val="auto"/>
          <w:sz w:val="24"/>
          <w:szCs w:val="24"/>
          <w:highlight w:val="none"/>
          <w:shd w:val="clear" w:color="auto" w:fill="FFFFFF"/>
        </w:rPr>
        <w:t>，</w:t>
      </w:r>
      <w:bookmarkStart w:id="197" w:name="_Hlk132802130"/>
      <w:r>
        <w:rPr>
          <w:rFonts w:hint="eastAsia" w:ascii="仿宋" w:hAnsi="仿宋"/>
          <w:color w:val="auto"/>
          <w:sz w:val="24"/>
          <w:szCs w:val="24"/>
          <w:highlight w:val="none"/>
          <w:shd w:val="clear" w:color="auto" w:fill="FFFFFF"/>
        </w:rPr>
        <w:t>其他未列明行业</w:t>
      </w:r>
      <w:bookmarkEnd w:id="197"/>
      <w:r>
        <w:rPr>
          <w:rFonts w:hint="eastAsia" w:ascii="仿宋" w:hAnsi="仿宋"/>
          <w:color w:val="auto"/>
          <w:sz w:val="24"/>
          <w:szCs w:val="24"/>
          <w:highlight w:val="none"/>
          <w:shd w:val="clear" w:color="auto" w:fill="FFFFFF"/>
        </w:rPr>
        <w:t>（包括科学研究和技术服务业，水利、环境和公共设施管理业，居民服务、修理和其他服务业，社会工作，文化、体育和娱乐业等）。</w:t>
      </w:r>
    </w:p>
    <w:p w14:paraId="533F6511">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四、各行业划型标准为：</w:t>
      </w:r>
    </w:p>
    <w:p w14:paraId="3A4FEC76">
      <w:pPr>
        <w:ind w:firstLine="480" w:firstLineChars="20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089F1300">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833F4F6">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EBCE90F">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89C6669">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5227F73">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DBD68C9">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059FC5A">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911DF32">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704E426">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9F92BD2">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F019B05">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2649D92">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9158C4C">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245D35C">
      <w:pPr>
        <w:ind w:firstLine="420"/>
        <w:rPr>
          <w:rFonts w:ascii="仿宋" w:hAnsi="仿宋"/>
          <w:color w:val="auto"/>
          <w:sz w:val="24"/>
          <w:szCs w:val="24"/>
          <w:highlight w:val="none"/>
          <w:shd w:val="clear" w:color="auto" w:fill="FFFFFF"/>
        </w:rPr>
      </w:pPr>
      <w:r>
        <w:rPr>
          <w:rFonts w:hint="eastAsia" w:ascii="仿宋" w:hAnsi="仿宋"/>
          <w:color w:val="auto"/>
          <w:sz w:val="24"/>
          <w:szCs w:val="24"/>
          <w:highlight w:val="none"/>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817657B">
      <w:pPr>
        <w:ind w:firstLine="420"/>
        <w:rPr>
          <w:rFonts w:ascii="仿宋" w:hAnsi="仿宋"/>
          <w:color w:val="auto"/>
          <w:sz w:val="24"/>
          <w:szCs w:val="24"/>
          <w:highlight w:val="none"/>
        </w:rPr>
      </w:pPr>
      <w:r>
        <w:rPr>
          <w:rFonts w:hint="eastAsia" w:ascii="仿宋" w:hAnsi="仿宋"/>
          <w:color w:val="auto"/>
          <w:sz w:val="24"/>
          <w:szCs w:val="24"/>
          <w:highlight w:val="none"/>
          <w:shd w:val="clear" w:color="auto" w:fill="FFFFFF"/>
        </w:rPr>
        <w:t>（十六）其他未列明行业。从业人员300人以下的为中小微型企业。其中，从业人员100人及以上的为中型企业；从业人员10人及以上的为小型企业；从业人员10人以下的为微型企业。</w:t>
      </w:r>
    </w:p>
    <w:p w14:paraId="5801EF45">
      <w:pPr>
        <w:rPr>
          <w:color w:val="auto"/>
          <w:highlight w:val="none"/>
        </w:rPr>
      </w:pPr>
    </w:p>
    <w:p w14:paraId="32656B2A">
      <w:pPr>
        <w:pStyle w:val="9"/>
        <w:keepNext w:val="0"/>
        <w:keepLines w:val="0"/>
        <w:pageBreakBefore w:val="0"/>
        <w:widowControl w:val="0"/>
        <w:kinsoku/>
        <w:wordWrap/>
        <w:overflowPunct/>
        <w:topLinePunct w:val="0"/>
        <w:autoSpaceDE/>
        <w:autoSpaceDN/>
        <w:bidi w:val="0"/>
        <w:adjustRightInd/>
        <w:snapToGrid/>
        <w:spacing w:afterLines="30" w:line="320" w:lineRule="exact"/>
        <w:ind w:firstLine="421"/>
        <w:textAlignment w:val="auto"/>
        <w:rPr>
          <w:color w:val="auto"/>
          <w:highlight w:val="none"/>
        </w:rPr>
      </w:pPr>
    </w:p>
    <w:p w14:paraId="2E2B6C96">
      <w:pPr>
        <w:pStyle w:val="9"/>
        <w:keepNext w:val="0"/>
        <w:keepLines w:val="0"/>
        <w:pageBreakBefore w:val="0"/>
        <w:widowControl w:val="0"/>
        <w:kinsoku/>
        <w:wordWrap/>
        <w:overflowPunct/>
        <w:topLinePunct w:val="0"/>
        <w:autoSpaceDE/>
        <w:autoSpaceDN/>
        <w:bidi w:val="0"/>
        <w:adjustRightInd/>
        <w:snapToGrid/>
        <w:spacing w:afterLines="30" w:line="320" w:lineRule="exact"/>
        <w:ind w:firstLine="421"/>
        <w:textAlignment w:val="auto"/>
        <w:rPr>
          <w:color w:val="auto"/>
          <w:highlight w:val="none"/>
        </w:rPr>
      </w:pPr>
    </w:p>
    <w:sectPr>
      <w:headerReference r:id="rId5" w:type="default"/>
      <w:footerReference r:id="rId6" w:type="default"/>
      <w:pgSz w:w="11906" w:h="16838"/>
      <w:pgMar w:top="1440" w:right="1083" w:bottom="1440" w:left="1083"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ó×.2">
    <w:altName w:val="宋体"/>
    <w:panose1 w:val="00000000000000000000"/>
    <w:charset w:val="86"/>
    <w:family w:val="modern"/>
    <w:pitch w:val="default"/>
    <w:sig w:usb0="00000000" w:usb1="00000000" w:usb2="00000010" w:usb3="00000000" w:csb0="00040000" w:csb1="00000000"/>
  </w:font>
  <w:font w:name="宋体;SimSun">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3A3F0">
    <w:pPr>
      <w:pStyle w:val="16"/>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5EC7B4">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- 43 -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Ozo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07OhyQEAAJoDAAAOAAAAAAAAAAEAIAAAAB4BAABkcnMvZTJvRG9j&#10;LnhtbFBLBQYAAAAABgAGAFkBAABZBQAAAAA=&#10;">
              <v:fill on="f" focussize="0,0"/>
              <v:stroke on="f"/>
              <v:imagedata o:title=""/>
              <o:lock v:ext="edit" aspectratio="f"/>
              <v:textbox inset="0mm,0mm,0mm,0mm" style="mso-fit-shape-to-text:t;">
                <w:txbxContent>
                  <w:p w14:paraId="205EC7B4">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- 43 -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9E2BF">
    <w:pPr>
      <w:pStyle w:val="16"/>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E5EA94">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- 54 -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m2RoskBAACa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mbZGiyQEAAJoDAAAOAAAAAAAAAAEAIAAAAB4BAABkcnMvZTJvRG9j&#10;LnhtbFBLBQYAAAAABgAGAFkBAABZBQAAAAA=&#10;">
              <v:fill on="f" focussize="0,0"/>
              <v:stroke on="f"/>
              <v:imagedata o:title=""/>
              <o:lock v:ext="edit" aspectratio="f"/>
              <v:textbox inset="0mm,0mm,0mm,0mm" style="mso-fit-shape-to-text:t;">
                <w:txbxContent>
                  <w:p w14:paraId="5FE5EA94">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- 54 -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363D0">
    <w:pPr>
      <w:pStyle w:val="17"/>
      <w:pBdr>
        <w:bottom w:val="single" w:color="auto" w:sz="6" w:space="3"/>
      </w:pBdr>
      <w:tabs>
        <w:tab w:val="left" w:pos="495"/>
        <w:tab w:val="center" w:pos="4649"/>
        <w:tab w:val="clear" w:pos="8306"/>
      </w:tabs>
    </w:pPr>
    <w:r>
      <w:rPr>
        <w:rFonts w:hint="eastAsia" w:ascii="宋体" w:hAnsi="宋体" w:cs="宋体"/>
        <w:sz w:val="32"/>
        <w:szCs w:val="32"/>
        <w:lang w:val="en-US" w:eastAsia="zh-CN"/>
      </w:rPr>
      <w:t xml:space="preserve">                </w:t>
    </w:r>
    <w:r>
      <w:rPr>
        <w:rFonts w:hint="eastAsia" w:ascii="宋体" w:hAnsi="宋体" w:cs="宋体"/>
        <w:sz w:val="32"/>
        <w:szCs w:val="32"/>
      </w:rPr>
      <w:t>新疆永信工程造价咨询有限公司</w:t>
    </w:r>
    <w:r>
      <w:rPr>
        <w:rFonts w:hint="eastAsia" w:ascii="宋体" w:hAnsi="宋体" w:cs="宋体"/>
        <w:sz w:val="32"/>
        <w:szCs w:val="32"/>
        <w:lang w:val="en-US" w:eastAsia="zh-CN"/>
      </w:rPr>
      <w:t xml:space="preserve">         </w:t>
    </w:r>
    <w:r>
      <w:rPr>
        <w:rFonts w:hint="eastAsia" w:ascii="宋体" w:hAnsi="宋体" w:cs="宋体"/>
        <w:sz w:val="32"/>
        <w:szCs w:val="32"/>
      </w:rPr>
      <w:t xml:space="preserve">  </w:t>
    </w:r>
    <w:r>
      <w:rPr>
        <w:rFonts w:hint="eastAsia" w:ascii="宋体" w:hAnsi="宋体" w:cs="宋体"/>
        <w:sz w:val="32"/>
        <w:szCs w:val="32"/>
      </w:rPr>
      <w:drawing>
        <wp:inline distT="0" distB="0" distL="114300" distR="114300">
          <wp:extent cx="499745" cy="504190"/>
          <wp:effectExtent l="0" t="0" r="14605" b="10160"/>
          <wp:docPr id="10"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公司Logo"/>
                  <pic:cNvPicPr>
                    <a:picLocks noChangeAspect="1"/>
                  </pic:cNvPicPr>
                </pic:nvPicPr>
                <pic:blipFill>
                  <a:blip r:embed="rId1"/>
                  <a:stretch>
                    <a:fillRect/>
                  </a:stretch>
                </pic:blipFill>
                <pic:spPr>
                  <a:xfrm>
                    <a:off x="0" y="0"/>
                    <a:ext cx="499745" cy="50419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8E72">
    <w:pPr>
      <w:pStyle w:val="17"/>
      <w:pBdr>
        <w:bottom w:val="single" w:color="auto" w:sz="6" w:space="3"/>
      </w:pBdr>
      <w:tabs>
        <w:tab w:val="left" w:pos="495"/>
        <w:tab w:val="center" w:pos="4649"/>
        <w:tab w:val="clear" w:pos="8306"/>
      </w:tabs>
    </w:pPr>
    <w:r>
      <w:rPr>
        <w:rFonts w:hint="eastAsia" w:ascii="宋体" w:hAnsi="宋体" w:cs="宋体"/>
        <w:sz w:val="32"/>
        <w:szCs w:val="32"/>
      </w:rPr>
      <w:t xml:space="preserve">新疆永信工程造价咨询有限公司  </w:t>
    </w:r>
    <w:r>
      <w:rPr>
        <w:rFonts w:hint="eastAsia" w:ascii="宋体" w:hAnsi="宋体" w:cs="宋体"/>
        <w:sz w:val="32"/>
        <w:szCs w:val="32"/>
      </w:rPr>
      <w:drawing>
        <wp:inline distT="0" distB="0" distL="114300" distR="114300">
          <wp:extent cx="499745" cy="504190"/>
          <wp:effectExtent l="0" t="0" r="14605" b="10160"/>
          <wp:docPr id="1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公司Logo"/>
                  <pic:cNvPicPr>
                    <a:picLocks noChangeAspect="1"/>
                  </pic:cNvPicPr>
                </pic:nvPicPr>
                <pic:blipFill>
                  <a:blip r:embed="rId1"/>
                  <a:stretch>
                    <a:fillRect/>
                  </a:stretch>
                </pic:blipFill>
                <pic:spPr>
                  <a:xfrm>
                    <a:off x="0" y="0"/>
                    <a:ext cx="499745" cy="504190"/>
                  </a:xfrm>
                  <a:prstGeom prst="rect">
                    <a:avLst/>
                  </a:prstGeom>
                  <a:noFill/>
                  <a:ln>
                    <a:noFill/>
                  </a:ln>
                </pic:spPr>
              </pic:pic>
            </a:graphicData>
          </a:graphic>
        </wp:inline>
      </w:drawing>
    </w:r>
  </w:p>
  <w:p w14:paraId="7984894E">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E2168"/>
    <w:multiLevelType w:val="singleLevel"/>
    <w:tmpl w:val="A0EE2168"/>
    <w:lvl w:ilvl="0" w:tentative="0">
      <w:start w:val="2"/>
      <w:numFmt w:val="chineseCounting"/>
      <w:suff w:val="nothing"/>
      <w:lvlText w:val="%1、"/>
      <w:lvlJc w:val="left"/>
      <w:rPr>
        <w:rFonts w:hint="eastAsia"/>
      </w:rPr>
    </w:lvl>
  </w:abstractNum>
  <w:abstractNum w:abstractNumId="1">
    <w:nsid w:val="F1268E78"/>
    <w:multiLevelType w:val="multilevel"/>
    <w:tmpl w:val="F1268E78"/>
    <w:lvl w:ilvl="0" w:tentative="0">
      <w:start w:val="1"/>
      <w:numFmt w:val="decimal"/>
      <w:suff w:val="nothing"/>
      <w:lvlText w:val="（%1）"/>
      <w:lvlJc w:val="left"/>
      <w:pPr>
        <w:ind w:left="0" w:firstLine="42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183C604A"/>
    <w:multiLevelType w:val="singleLevel"/>
    <w:tmpl w:val="183C604A"/>
    <w:lvl w:ilvl="0" w:tentative="0">
      <w:start w:val="1"/>
      <w:numFmt w:val="japaneseCounting"/>
      <w:pStyle w:val="40"/>
      <w:lvlText w:val="%1、"/>
      <w:lvlJc w:val="left"/>
      <w:pPr>
        <w:tabs>
          <w:tab w:val="left" w:pos="960"/>
        </w:tabs>
        <w:ind w:left="960" w:hanging="480"/>
      </w:pPr>
      <w:rPr>
        <w:rFonts w:hint="eastAsia"/>
        <w:b/>
      </w:rPr>
    </w:lvl>
  </w:abstractNum>
  <w:abstractNum w:abstractNumId="3">
    <w:nsid w:val="206B6802"/>
    <w:multiLevelType w:val="singleLevel"/>
    <w:tmpl w:val="206B6802"/>
    <w:lvl w:ilvl="0" w:tentative="0">
      <w:start w:val="1"/>
      <w:numFmt w:val="chineseCounting"/>
      <w:suff w:val="nothing"/>
      <w:lvlText w:val="第%1章、"/>
      <w:lvlJc w:val="left"/>
      <w:rPr>
        <w:rFonts w:hint="eastAsia"/>
      </w:rPr>
    </w:lvl>
  </w:abstractNum>
  <w:abstractNum w:abstractNumId="4">
    <w:nsid w:val="7AB13AC4"/>
    <w:multiLevelType w:val="multilevel"/>
    <w:tmpl w:val="7AB13AC4"/>
    <w:lvl w:ilvl="0" w:tentative="0">
      <w:start w:val="1"/>
      <w:numFmt w:val="decimal"/>
      <w:suff w:val="nothing"/>
      <w:lvlText w:val="（%1）"/>
      <w:lvlJc w:val="left"/>
      <w:pPr>
        <w:ind w:left="0" w:firstLine="42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7D0C97EF"/>
    <w:multiLevelType w:val="multilevel"/>
    <w:tmpl w:val="7D0C97EF"/>
    <w:lvl w:ilvl="0" w:tentative="0">
      <w:start w:val="1"/>
      <w:numFmt w:val="decimal"/>
      <w:suff w:val="nothing"/>
      <w:lvlText w:val="（%1）"/>
      <w:lvlJc w:val="left"/>
      <w:pPr>
        <w:ind w:left="0" w:firstLine="42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mODJmMWM1NGU2YzU2NTA5NzMxNGYyYjhlYWU2YjEifQ=="/>
  </w:docVars>
  <w:rsids>
    <w:rsidRoot w:val="50004A95"/>
    <w:rsid w:val="000326EB"/>
    <w:rsid w:val="00044DD5"/>
    <w:rsid w:val="0004637B"/>
    <w:rsid w:val="000969AD"/>
    <w:rsid w:val="000C1451"/>
    <w:rsid w:val="00145F98"/>
    <w:rsid w:val="00186BF0"/>
    <w:rsid w:val="0019566A"/>
    <w:rsid w:val="00202FA0"/>
    <w:rsid w:val="0020615F"/>
    <w:rsid w:val="002B66EF"/>
    <w:rsid w:val="002C6FCE"/>
    <w:rsid w:val="00381ACB"/>
    <w:rsid w:val="003913B3"/>
    <w:rsid w:val="00416146"/>
    <w:rsid w:val="004543AC"/>
    <w:rsid w:val="00515C5E"/>
    <w:rsid w:val="00614AED"/>
    <w:rsid w:val="007276F2"/>
    <w:rsid w:val="007818B4"/>
    <w:rsid w:val="008214B2"/>
    <w:rsid w:val="008A75C7"/>
    <w:rsid w:val="009364C7"/>
    <w:rsid w:val="0099201E"/>
    <w:rsid w:val="009B3ACF"/>
    <w:rsid w:val="00A3305D"/>
    <w:rsid w:val="00B174BB"/>
    <w:rsid w:val="00B4267B"/>
    <w:rsid w:val="00BD1062"/>
    <w:rsid w:val="00C6593F"/>
    <w:rsid w:val="00C82A1E"/>
    <w:rsid w:val="00CD1E3B"/>
    <w:rsid w:val="00CD43C6"/>
    <w:rsid w:val="00CD7C0E"/>
    <w:rsid w:val="00D01278"/>
    <w:rsid w:val="00D24806"/>
    <w:rsid w:val="00D4613E"/>
    <w:rsid w:val="00DF2520"/>
    <w:rsid w:val="00E30219"/>
    <w:rsid w:val="00F735C3"/>
    <w:rsid w:val="00FC2C02"/>
    <w:rsid w:val="00FD01EA"/>
    <w:rsid w:val="010031D1"/>
    <w:rsid w:val="010704F4"/>
    <w:rsid w:val="010F3B4F"/>
    <w:rsid w:val="011E260D"/>
    <w:rsid w:val="011E7592"/>
    <w:rsid w:val="01366D71"/>
    <w:rsid w:val="01463B4E"/>
    <w:rsid w:val="01480530"/>
    <w:rsid w:val="014E595C"/>
    <w:rsid w:val="01544BBF"/>
    <w:rsid w:val="01571C2A"/>
    <w:rsid w:val="016025FC"/>
    <w:rsid w:val="016C0FA1"/>
    <w:rsid w:val="016D484A"/>
    <w:rsid w:val="01785FE9"/>
    <w:rsid w:val="01837790"/>
    <w:rsid w:val="018E78D6"/>
    <w:rsid w:val="019E7CAE"/>
    <w:rsid w:val="01A17E23"/>
    <w:rsid w:val="01D75EBB"/>
    <w:rsid w:val="01DA3851"/>
    <w:rsid w:val="01DD1E9F"/>
    <w:rsid w:val="01DF7FBF"/>
    <w:rsid w:val="01E44FDB"/>
    <w:rsid w:val="01EA6D9C"/>
    <w:rsid w:val="01F757DA"/>
    <w:rsid w:val="01FE6394"/>
    <w:rsid w:val="02025461"/>
    <w:rsid w:val="02025C15"/>
    <w:rsid w:val="020533DA"/>
    <w:rsid w:val="02073EE0"/>
    <w:rsid w:val="02092C94"/>
    <w:rsid w:val="02117D9A"/>
    <w:rsid w:val="02131738"/>
    <w:rsid w:val="021A142D"/>
    <w:rsid w:val="022015EB"/>
    <w:rsid w:val="022268B5"/>
    <w:rsid w:val="02247ACE"/>
    <w:rsid w:val="02254726"/>
    <w:rsid w:val="02315D47"/>
    <w:rsid w:val="023379D3"/>
    <w:rsid w:val="023E5477"/>
    <w:rsid w:val="023F66B6"/>
    <w:rsid w:val="02467A5F"/>
    <w:rsid w:val="0248002F"/>
    <w:rsid w:val="0248531A"/>
    <w:rsid w:val="024A5721"/>
    <w:rsid w:val="024C2043"/>
    <w:rsid w:val="025C4B56"/>
    <w:rsid w:val="026C5FD7"/>
    <w:rsid w:val="026E0D49"/>
    <w:rsid w:val="026F19EA"/>
    <w:rsid w:val="02705CCA"/>
    <w:rsid w:val="02724650"/>
    <w:rsid w:val="0273150F"/>
    <w:rsid w:val="0273635F"/>
    <w:rsid w:val="029562D6"/>
    <w:rsid w:val="0296303F"/>
    <w:rsid w:val="02972CC3"/>
    <w:rsid w:val="02A953FB"/>
    <w:rsid w:val="02AD62A7"/>
    <w:rsid w:val="02B17140"/>
    <w:rsid w:val="02B46D8D"/>
    <w:rsid w:val="02D42EBE"/>
    <w:rsid w:val="02DB6483"/>
    <w:rsid w:val="02E46A30"/>
    <w:rsid w:val="02ED1C6E"/>
    <w:rsid w:val="02FA25DD"/>
    <w:rsid w:val="02FA37F6"/>
    <w:rsid w:val="02FF1BA6"/>
    <w:rsid w:val="03202D4E"/>
    <w:rsid w:val="0324414F"/>
    <w:rsid w:val="03306BD1"/>
    <w:rsid w:val="033345D4"/>
    <w:rsid w:val="03351867"/>
    <w:rsid w:val="03391357"/>
    <w:rsid w:val="0342435F"/>
    <w:rsid w:val="03487F26"/>
    <w:rsid w:val="034A70C0"/>
    <w:rsid w:val="034C7867"/>
    <w:rsid w:val="034F16AD"/>
    <w:rsid w:val="035937A7"/>
    <w:rsid w:val="03630BDE"/>
    <w:rsid w:val="03715449"/>
    <w:rsid w:val="037D4B14"/>
    <w:rsid w:val="037E320E"/>
    <w:rsid w:val="037E6D6A"/>
    <w:rsid w:val="038105E0"/>
    <w:rsid w:val="038720C2"/>
    <w:rsid w:val="03911CEB"/>
    <w:rsid w:val="039B58CD"/>
    <w:rsid w:val="039B791C"/>
    <w:rsid w:val="03A86FE5"/>
    <w:rsid w:val="03AB14DF"/>
    <w:rsid w:val="03C86E68"/>
    <w:rsid w:val="03C93517"/>
    <w:rsid w:val="03CC5D27"/>
    <w:rsid w:val="03CF244B"/>
    <w:rsid w:val="03D24025"/>
    <w:rsid w:val="03D47C0C"/>
    <w:rsid w:val="03E10DFD"/>
    <w:rsid w:val="03E66AA6"/>
    <w:rsid w:val="03EF1A15"/>
    <w:rsid w:val="03F624A2"/>
    <w:rsid w:val="03FC5347"/>
    <w:rsid w:val="04003C23"/>
    <w:rsid w:val="040D0288"/>
    <w:rsid w:val="04113DB2"/>
    <w:rsid w:val="04180F6C"/>
    <w:rsid w:val="042B5900"/>
    <w:rsid w:val="042C0EBC"/>
    <w:rsid w:val="04345468"/>
    <w:rsid w:val="043641EE"/>
    <w:rsid w:val="04364FA5"/>
    <w:rsid w:val="0444114C"/>
    <w:rsid w:val="044F1106"/>
    <w:rsid w:val="04573DDB"/>
    <w:rsid w:val="04675B95"/>
    <w:rsid w:val="04701094"/>
    <w:rsid w:val="04785EAF"/>
    <w:rsid w:val="047934EF"/>
    <w:rsid w:val="04831881"/>
    <w:rsid w:val="0499065C"/>
    <w:rsid w:val="04A10F62"/>
    <w:rsid w:val="04AD62B3"/>
    <w:rsid w:val="04B213C1"/>
    <w:rsid w:val="04B24ECF"/>
    <w:rsid w:val="04D270A7"/>
    <w:rsid w:val="04E233F3"/>
    <w:rsid w:val="04F25C61"/>
    <w:rsid w:val="05136066"/>
    <w:rsid w:val="05140EB1"/>
    <w:rsid w:val="051756C8"/>
    <w:rsid w:val="052355BD"/>
    <w:rsid w:val="05297068"/>
    <w:rsid w:val="052B5239"/>
    <w:rsid w:val="05372F35"/>
    <w:rsid w:val="054927BA"/>
    <w:rsid w:val="055503F5"/>
    <w:rsid w:val="055F4D8F"/>
    <w:rsid w:val="05615144"/>
    <w:rsid w:val="056754D2"/>
    <w:rsid w:val="05694D1B"/>
    <w:rsid w:val="05722181"/>
    <w:rsid w:val="058916B8"/>
    <w:rsid w:val="058E05E6"/>
    <w:rsid w:val="05954FA3"/>
    <w:rsid w:val="05A81488"/>
    <w:rsid w:val="05A8388B"/>
    <w:rsid w:val="05A857EB"/>
    <w:rsid w:val="05B0386F"/>
    <w:rsid w:val="05B97B45"/>
    <w:rsid w:val="05C36765"/>
    <w:rsid w:val="05C40521"/>
    <w:rsid w:val="05C63BC0"/>
    <w:rsid w:val="05E1620A"/>
    <w:rsid w:val="05F32219"/>
    <w:rsid w:val="05F81255"/>
    <w:rsid w:val="05FC16CB"/>
    <w:rsid w:val="05FD21BA"/>
    <w:rsid w:val="06055D29"/>
    <w:rsid w:val="060572BB"/>
    <w:rsid w:val="060B1C93"/>
    <w:rsid w:val="06165A35"/>
    <w:rsid w:val="061E3789"/>
    <w:rsid w:val="0621399A"/>
    <w:rsid w:val="063C3093"/>
    <w:rsid w:val="063F384F"/>
    <w:rsid w:val="06426774"/>
    <w:rsid w:val="06464B1D"/>
    <w:rsid w:val="064C3913"/>
    <w:rsid w:val="064F790C"/>
    <w:rsid w:val="06620544"/>
    <w:rsid w:val="06640499"/>
    <w:rsid w:val="06640DE3"/>
    <w:rsid w:val="0675449C"/>
    <w:rsid w:val="06874187"/>
    <w:rsid w:val="068B2214"/>
    <w:rsid w:val="068E19BA"/>
    <w:rsid w:val="06935222"/>
    <w:rsid w:val="0694108D"/>
    <w:rsid w:val="069B5E85"/>
    <w:rsid w:val="069C1310"/>
    <w:rsid w:val="06AE5BB8"/>
    <w:rsid w:val="06BB746F"/>
    <w:rsid w:val="06BF3675"/>
    <w:rsid w:val="06D07D5A"/>
    <w:rsid w:val="06D25D4A"/>
    <w:rsid w:val="06D91289"/>
    <w:rsid w:val="06DE1E85"/>
    <w:rsid w:val="06E60F80"/>
    <w:rsid w:val="06E650DE"/>
    <w:rsid w:val="06EE4C18"/>
    <w:rsid w:val="06F049A8"/>
    <w:rsid w:val="06F357D1"/>
    <w:rsid w:val="06F9233E"/>
    <w:rsid w:val="06FA3997"/>
    <w:rsid w:val="06FA41C0"/>
    <w:rsid w:val="07002692"/>
    <w:rsid w:val="0704190E"/>
    <w:rsid w:val="071D659A"/>
    <w:rsid w:val="072145DC"/>
    <w:rsid w:val="072C6ABF"/>
    <w:rsid w:val="074327A4"/>
    <w:rsid w:val="07443F6C"/>
    <w:rsid w:val="07475F02"/>
    <w:rsid w:val="074C3773"/>
    <w:rsid w:val="07585B24"/>
    <w:rsid w:val="075E7BE2"/>
    <w:rsid w:val="076A0AD9"/>
    <w:rsid w:val="077A3CEC"/>
    <w:rsid w:val="078119DB"/>
    <w:rsid w:val="07823027"/>
    <w:rsid w:val="07864F73"/>
    <w:rsid w:val="078652A6"/>
    <w:rsid w:val="078C01E4"/>
    <w:rsid w:val="0791492A"/>
    <w:rsid w:val="07945321"/>
    <w:rsid w:val="079575A1"/>
    <w:rsid w:val="07993E2C"/>
    <w:rsid w:val="07997108"/>
    <w:rsid w:val="079B59C4"/>
    <w:rsid w:val="07A1396F"/>
    <w:rsid w:val="07A50D69"/>
    <w:rsid w:val="07AE1E1C"/>
    <w:rsid w:val="07B22191"/>
    <w:rsid w:val="07B54585"/>
    <w:rsid w:val="07BE3EE0"/>
    <w:rsid w:val="07CA18BF"/>
    <w:rsid w:val="07CB5F82"/>
    <w:rsid w:val="07D41D6C"/>
    <w:rsid w:val="07DF436F"/>
    <w:rsid w:val="07E31891"/>
    <w:rsid w:val="07EE2807"/>
    <w:rsid w:val="07F007CE"/>
    <w:rsid w:val="07FD6C65"/>
    <w:rsid w:val="0812475C"/>
    <w:rsid w:val="081456CF"/>
    <w:rsid w:val="081C22CD"/>
    <w:rsid w:val="081E38B6"/>
    <w:rsid w:val="08263EFD"/>
    <w:rsid w:val="08386501"/>
    <w:rsid w:val="08397703"/>
    <w:rsid w:val="083B104E"/>
    <w:rsid w:val="084B4067"/>
    <w:rsid w:val="085612E9"/>
    <w:rsid w:val="08664400"/>
    <w:rsid w:val="08940DDD"/>
    <w:rsid w:val="089E3A0A"/>
    <w:rsid w:val="089F49D3"/>
    <w:rsid w:val="08CC47DB"/>
    <w:rsid w:val="08D20336"/>
    <w:rsid w:val="08D76ACB"/>
    <w:rsid w:val="08DB07BA"/>
    <w:rsid w:val="08E104C7"/>
    <w:rsid w:val="08E12275"/>
    <w:rsid w:val="08E7079B"/>
    <w:rsid w:val="08EE509C"/>
    <w:rsid w:val="08F30C67"/>
    <w:rsid w:val="08FE375C"/>
    <w:rsid w:val="091D3147"/>
    <w:rsid w:val="092265AB"/>
    <w:rsid w:val="09270C87"/>
    <w:rsid w:val="09293C1C"/>
    <w:rsid w:val="092E3A4F"/>
    <w:rsid w:val="093570FD"/>
    <w:rsid w:val="094139EA"/>
    <w:rsid w:val="09463EBF"/>
    <w:rsid w:val="09472EE3"/>
    <w:rsid w:val="094812A8"/>
    <w:rsid w:val="095549BD"/>
    <w:rsid w:val="0964585E"/>
    <w:rsid w:val="096545A8"/>
    <w:rsid w:val="096B4D1A"/>
    <w:rsid w:val="096E7CD8"/>
    <w:rsid w:val="09710848"/>
    <w:rsid w:val="097E0211"/>
    <w:rsid w:val="098B32FC"/>
    <w:rsid w:val="098C76AB"/>
    <w:rsid w:val="099124C9"/>
    <w:rsid w:val="09975029"/>
    <w:rsid w:val="09A4409C"/>
    <w:rsid w:val="09B039F5"/>
    <w:rsid w:val="09B21903"/>
    <w:rsid w:val="09B35434"/>
    <w:rsid w:val="09B72FD5"/>
    <w:rsid w:val="09B87492"/>
    <w:rsid w:val="09BF48E5"/>
    <w:rsid w:val="09C75C6B"/>
    <w:rsid w:val="09CB025C"/>
    <w:rsid w:val="09D3109A"/>
    <w:rsid w:val="09DB0EED"/>
    <w:rsid w:val="09EA6F07"/>
    <w:rsid w:val="09FF69C2"/>
    <w:rsid w:val="0A0474FC"/>
    <w:rsid w:val="0A211CA2"/>
    <w:rsid w:val="0A2936FA"/>
    <w:rsid w:val="0A2A1F87"/>
    <w:rsid w:val="0A2F0DBE"/>
    <w:rsid w:val="0A320EE2"/>
    <w:rsid w:val="0A430D0D"/>
    <w:rsid w:val="0A534963"/>
    <w:rsid w:val="0A5E744E"/>
    <w:rsid w:val="0A725A71"/>
    <w:rsid w:val="0A730821"/>
    <w:rsid w:val="0A7C341E"/>
    <w:rsid w:val="0A802980"/>
    <w:rsid w:val="0A830D65"/>
    <w:rsid w:val="0A876E4C"/>
    <w:rsid w:val="0A88373C"/>
    <w:rsid w:val="0A890FD1"/>
    <w:rsid w:val="0A8C2AE7"/>
    <w:rsid w:val="0AA2391D"/>
    <w:rsid w:val="0AB367C5"/>
    <w:rsid w:val="0AB91C74"/>
    <w:rsid w:val="0AC0235E"/>
    <w:rsid w:val="0AD16AC7"/>
    <w:rsid w:val="0AD96F7B"/>
    <w:rsid w:val="0ADD0F18"/>
    <w:rsid w:val="0ADF42DF"/>
    <w:rsid w:val="0AE1397F"/>
    <w:rsid w:val="0B073E1A"/>
    <w:rsid w:val="0B0E0726"/>
    <w:rsid w:val="0B1845FE"/>
    <w:rsid w:val="0B2A4D8B"/>
    <w:rsid w:val="0B416D3C"/>
    <w:rsid w:val="0B5036E2"/>
    <w:rsid w:val="0B510CC2"/>
    <w:rsid w:val="0B5851DD"/>
    <w:rsid w:val="0B632CA7"/>
    <w:rsid w:val="0B673047"/>
    <w:rsid w:val="0B6B47CF"/>
    <w:rsid w:val="0B7863E5"/>
    <w:rsid w:val="0B8F5E30"/>
    <w:rsid w:val="0B9E4CF4"/>
    <w:rsid w:val="0BA15CEB"/>
    <w:rsid w:val="0BAE64CB"/>
    <w:rsid w:val="0BAF49D6"/>
    <w:rsid w:val="0BC6579A"/>
    <w:rsid w:val="0BC73AC2"/>
    <w:rsid w:val="0BD22349"/>
    <w:rsid w:val="0BD50844"/>
    <w:rsid w:val="0BE37048"/>
    <w:rsid w:val="0BED7AC5"/>
    <w:rsid w:val="0BF27574"/>
    <w:rsid w:val="0BF541CC"/>
    <w:rsid w:val="0BF7613E"/>
    <w:rsid w:val="0BFD12ED"/>
    <w:rsid w:val="0BFE70FF"/>
    <w:rsid w:val="0C0A156B"/>
    <w:rsid w:val="0C0C15A4"/>
    <w:rsid w:val="0C11087C"/>
    <w:rsid w:val="0C1A4B7D"/>
    <w:rsid w:val="0C1C35C4"/>
    <w:rsid w:val="0C1F324C"/>
    <w:rsid w:val="0C22650E"/>
    <w:rsid w:val="0C3A6D73"/>
    <w:rsid w:val="0C3B6EF4"/>
    <w:rsid w:val="0C402F20"/>
    <w:rsid w:val="0C4619CC"/>
    <w:rsid w:val="0C485A59"/>
    <w:rsid w:val="0C516B57"/>
    <w:rsid w:val="0C5C3E98"/>
    <w:rsid w:val="0C630E99"/>
    <w:rsid w:val="0C632FA1"/>
    <w:rsid w:val="0C702DA2"/>
    <w:rsid w:val="0C717FB9"/>
    <w:rsid w:val="0C7B478E"/>
    <w:rsid w:val="0C7C7A51"/>
    <w:rsid w:val="0C9662E2"/>
    <w:rsid w:val="0C995AEA"/>
    <w:rsid w:val="0C9F5F62"/>
    <w:rsid w:val="0CA24014"/>
    <w:rsid w:val="0CC06645"/>
    <w:rsid w:val="0CC41A21"/>
    <w:rsid w:val="0CC85E5C"/>
    <w:rsid w:val="0CC950D4"/>
    <w:rsid w:val="0CCD2C73"/>
    <w:rsid w:val="0CD44C39"/>
    <w:rsid w:val="0CD675CB"/>
    <w:rsid w:val="0CE34C34"/>
    <w:rsid w:val="0CFB142B"/>
    <w:rsid w:val="0CFF69EC"/>
    <w:rsid w:val="0D046532"/>
    <w:rsid w:val="0D1E152F"/>
    <w:rsid w:val="0D1F47B6"/>
    <w:rsid w:val="0D257764"/>
    <w:rsid w:val="0D2A7456"/>
    <w:rsid w:val="0D335317"/>
    <w:rsid w:val="0D3B4FB7"/>
    <w:rsid w:val="0D3D15F3"/>
    <w:rsid w:val="0D454706"/>
    <w:rsid w:val="0D47378E"/>
    <w:rsid w:val="0D4E3C51"/>
    <w:rsid w:val="0D4E775C"/>
    <w:rsid w:val="0D855638"/>
    <w:rsid w:val="0D86241A"/>
    <w:rsid w:val="0D887384"/>
    <w:rsid w:val="0D912A5A"/>
    <w:rsid w:val="0D915146"/>
    <w:rsid w:val="0D9553DC"/>
    <w:rsid w:val="0DA5091D"/>
    <w:rsid w:val="0DA675E9"/>
    <w:rsid w:val="0DA707B9"/>
    <w:rsid w:val="0DAC6279"/>
    <w:rsid w:val="0DB50C5B"/>
    <w:rsid w:val="0DBC56A1"/>
    <w:rsid w:val="0DBF1698"/>
    <w:rsid w:val="0DD5327C"/>
    <w:rsid w:val="0DD90E2A"/>
    <w:rsid w:val="0DDF6069"/>
    <w:rsid w:val="0DE41035"/>
    <w:rsid w:val="0DE95727"/>
    <w:rsid w:val="0DED5218"/>
    <w:rsid w:val="0DEF0A5F"/>
    <w:rsid w:val="0DFD6191"/>
    <w:rsid w:val="0E056A05"/>
    <w:rsid w:val="0E0855CB"/>
    <w:rsid w:val="0E0B58F1"/>
    <w:rsid w:val="0E124C7E"/>
    <w:rsid w:val="0E1441CE"/>
    <w:rsid w:val="0E17011C"/>
    <w:rsid w:val="0E185C8C"/>
    <w:rsid w:val="0E201C92"/>
    <w:rsid w:val="0E2F5830"/>
    <w:rsid w:val="0E3E78BB"/>
    <w:rsid w:val="0E4312DC"/>
    <w:rsid w:val="0E4E72D4"/>
    <w:rsid w:val="0E5476D6"/>
    <w:rsid w:val="0E5B12B7"/>
    <w:rsid w:val="0E5D22D5"/>
    <w:rsid w:val="0E64533D"/>
    <w:rsid w:val="0E6A6868"/>
    <w:rsid w:val="0E781379"/>
    <w:rsid w:val="0E836001"/>
    <w:rsid w:val="0E8D77D9"/>
    <w:rsid w:val="0E907564"/>
    <w:rsid w:val="0E974DD1"/>
    <w:rsid w:val="0E9E4764"/>
    <w:rsid w:val="0EA855E3"/>
    <w:rsid w:val="0EA93B4E"/>
    <w:rsid w:val="0EAC50D3"/>
    <w:rsid w:val="0EB2394C"/>
    <w:rsid w:val="0EBA5B0D"/>
    <w:rsid w:val="0EBE26B7"/>
    <w:rsid w:val="0EC0292C"/>
    <w:rsid w:val="0EC16B2F"/>
    <w:rsid w:val="0EC401C9"/>
    <w:rsid w:val="0ECF0130"/>
    <w:rsid w:val="0ED1228F"/>
    <w:rsid w:val="0EDF2934"/>
    <w:rsid w:val="0EEA1757"/>
    <w:rsid w:val="0EEA1C0B"/>
    <w:rsid w:val="0EEE56EB"/>
    <w:rsid w:val="0EF240F7"/>
    <w:rsid w:val="0F052A35"/>
    <w:rsid w:val="0F07055B"/>
    <w:rsid w:val="0F0811EB"/>
    <w:rsid w:val="0F0F7410"/>
    <w:rsid w:val="0F1105D9"/>
    <w:rsid w:val="0F3C0559"/>
    <w:rsid w:val="0F3D13DF"/>
    <w:rsid w:val="0F451A79"/>
    <w:rsid w:val="0F4A6B5A"/>
    <w:rsid w:val="0F5337A0"/>
    <w:rsid w:val="0F5A4B2F"/>
    <w:rsid w:val="0F677A31"/>
    <w:rsid w:val="0F6861F3"/>
    <w:rsid w:val="0F694370"/>
    <w:rsid w:val="0F6E79CD"/>
    <w:rsid w:val="0F7200CA"/>
    <w:rsid w:val="0F7D63F1"/>
    <w:rsid w:val="0F7E56D2"/>
    <w:rsid w:val="0F940C54"/>
    <w:rsid w:val="0F975DF1"/>
    <w:rsid w:val="0F981B0A"/>
    <w:rsid w:val="0F98500F"/>
    <w:rsid w:val="0F995918"/>
    <w:rsid w:val="0F9F15F1"/>
    <w:rsid w:val="0FB02B1B"/>
    <w:rsid w:val="0FB461A6"/>
    <w:rsid w:val="0FB51ECC"/>
    <w:rsid w:val="0FBB74C6"/>
    <w:rsid w:val="0FBE456D"/>
    <w:rsid w:val="0FC06022"/>
    <w:rsid w:val="0FCC60E0"/>
    <w:rsid w:val="0FD34215"/>
    <w:rsid w:val="0FDD12BC"/>
    <w:rsid w:val="0FED0C72"/>
    <w:rsid w:val="0FF37B00"/>
    <w:rsid w:val="0FFC5A4C"/>
    <w:rsid w:val="10086339"/>
    <w:rsid w:val="1017288D"/>
    <w:rsid w:val="1017657C"/>
    <w:rsid w:val="102347EA"/>
    <w:rsid w:val="1030763E"/>
    <w:rsid w:val="1031363C"/>
    <w:rsid w:val="10356A02"/>
    <w:rsid w:val="103709CC"/>
    <w:rsid w:val="10381CFB"/>
    <w:rsid w:val="103E1D5B"/>
    <w:rsid w:val="104076B2"/>
    <w:rsid w:val="10443145"/>
    <w:rsid w:val="104A3184"/>
    <w:rsid w:val="106D1765"/>
    <w:rsid w:val="107B1239"/>
    <w:rsid w:val="107B17B8"/>
    <w:rsid w:val="107C0890"/>
    <w:rsid w:val="108F132C"/>
    <w:rsid w:val="108F25B6"/>
    <w:rsid w:val="109A0F5B"/>
    <w:rsid w:val="109A4633"/>
    <w:rsid w:val="10A43817"/>
    <w:rsid w:val="10A50574"/>
    <w:rsid w:val="10B371E3"/>
    <w:rsid w:val="10B70B08"/>
    <w:rsid w:val="10B97A57"/>
    <w:rsid w:val="10C57C93"/>
    <w:rsid w:val="10CC1755"/>
    <w:rsid w:val="10D26947"/>
    <w:rsid w:val="10D44DB4"/>
    <w:rsid w:val="10D92E90"/>
    <w:rsid w:val="10DE0D65"/>
    <w:rsid w:val="10DF1DCF"/>
    <w:rsid w:val="10E01CA2"/>
    <w:rsid w:val="10E1466E"/>
    <w:rsid w:val="10E92E92"/>
    <w:rsid w:val="10ED6644"/>
    <w:rsid w:val="10F12B3A"/>
    <w:rsid w:val="10F36923"/>
    <w:rsid w:val="1111121D"/>
    <w:rsid w:val="11244F9E"/>
    <w:rsid w:val="112F4A97"/>
    <w:rsid w:val="11367FF6"/>
    <w:rsid w:val="11381B27"/>
    <w:rsid w:val="11464D8D"/>
    <w:rsid w:val="114A7195"/>
    <w:rsid w:val="1152574B"/>
    <w:rsid w:val="115D2294"/>
    <w:rsid w:val="11652E2A"/>
    <w:rsid w:val="11731D13"/>
    <w:rsid w:val="11851A8E"/>
    <w:rsid w:val="118C0DC2"/>
    <w:rsid w:val="118F1327"/>
    <w:rsid w:val="119F60D1"/>
    <w:rsid w:val="11BB0A89"/>
    <w:rsid w:val="11CF1344"/>
    <w:rsid w:val="11DB01A5"/>
    <w:rsid w:val="11EE44C0"/>
    <w:rsid w:val="11F35831"/>
    <w:rsid w:val="11FB2BF2"/>
    <w:rsid w:val="12196EE4"/>
    <w:rsid w:val="121E420C"/>
    <w:rsid w:val="122E473C"/>
    <w:rsid w:val="12521AED"/>
    <w:rsid w:val="12583EBD"/>
    <w:rsid w:val="12592666"/>
    <w:rsid w:val="12633CFA"/>
    <w:rsid w:val="12745F08"/>
    <w:rsid w:val="127C677E"/>
    <w:rsid w:val="128D4A24"/>
    <w:rsid w:val="128F5F97"/>
    <w:rsid w:val="1290734E"/>
    <w:rsid w:val="12913A60"/>
    <w:rsid w:val="129403B6"/>
    <w:rsid w:val="129A3494"/>
    <w:rsid w:val="129C3C8E"/>
    <w:rsid w:val="129F2AC0"/>
    <w:rsid w:val="12A570BB"/>
    <w:rsid w:val="12A762DD"/>
    <w:rsid w:val="12AD5523"/>
    <w:rsid w:val="12AF3AB7"/>
    <w:rsid w:val="12B66D5D"/>
    <w:rsid w:val="12BC6A4E"/>
    <w:rsid w:val="12C0114D"/>
    <w:rsid w:val="12D01526"/>
    <w:rsid w:val="12D10FCA"/>
    <w:rsid w:val="12DB71B2"/>
    <w:rsid w:val="12EA17EF"/>
    <w:rsid w:val="12F014E7"/>
    <w:rsid w:val="12F232D0"/>
    <w:rsid w:val="12F42BA4"/>
    <w:rsid w:val="12F82E2A"/>
    <w:rsid w:val="12FC2BBC"/>
    <w:rsid w:val="12FE476A"/>
    <w:rsid w:val="130968EC"/>
    <w:rsid w:val="131102ED"/>
    <w:rsid w:val="13182BC0"/>
    <w:rsid w:val="1319583C"/>
    <w:rsid w:val="131F74A5"/>
    <w:rsid w:val="13217248"/>
    <w:rsid w:val="1343219E"/>
    <w:rsid w:val="135F0966"/>
    <w:rsid w:val="13733182"/>
    <w:rsid w:val="137B2738"/>
    <w:rsid w:val="137D0DEC"/>
    <w:rsid w:val="137E3A6D"/>
    <w:rsid w:val="13846EB4"/>
    <w:rsid w:val="13866ED6"/>
    <w:rsid w:val="13867986"/>
    <w:rsid w:val="1389306A"/>
    <w:rsid w:val="138A50A4"/>
    <w:rsid w:val="139323BD"/>
    <w:rsid w:val="13947FFD"/>
    <w:rsid w:val="139F04F3"/>
    <w:rsid w:val="13AB6920"/>
    <w:rsid w:val="13B21B62"/>
    <w:rsid w:val="13BC0BAE"/>
    <w:rsid w:val="13C108E8"/>
    <w:rsid w:val="13CE5AEB"/>
    <w:rsid w:val="13DE7CEE"/>
    <w:rsid w:val="13E30914"/>
    <w:rsid w:val="13E478F1"/>
    <w:rsid w:val="13F45B8B"/>
    <w:rsid w:val="141113EE"/>
    <w:rsid w:val="14112307"/>
    <w:rsid w:val="141B430B"/>
    <w:rsid w:val="141D35DE"/>
    <w:rsid w:val="141E480A"/>
    <w:rsid w:val="14242D54"/>
    <w:rsid w:val="142B6ECA"/>
    <w:rsid w:val="143E78FD"/>
    <w:rsid w:val="14555FD9"/>
    <w:rsid w:val="14623CD3"/>
    <w:rsid w:val="14764A3D"/>
    <w:rsid w:val="147D6BCA"/>
    <w:rsid w:val="147E12BF"/>
    <w:rsid w:val="148175EA"/>
    <w:rsid w:val="149660DE"/>
    <w:rsid w:val="149A17A2"/>
    <w:rsid w:val="149B16E7"/>
    <w:rsid w:val="14A86417"/>
    <w:rsid w:val="14A8664D"/>
    <w:rsid w:val="14AD3953"/>
    <w:rsid w:val="14B720DC"/>
    <w:rsid w:val="14C3192D"/>
    <w:rsid w:val="14D53B66"/>
    <w:rsid w:val="14EB7FD7"/>
    <w:rsid w:val="14ED6B54"/>
    <w:rsid w:val="14F157C2"/>
    <w:rsid w:val="14F86492"/>
    <w:rsid w:val="15075371"/>
    <w:rsid w:val="150A0467"/>
    <w:rsid w:val="150D2643"/>
    <w:rsid w:val="15161C36"/>
    <w:rsid w:val="151B170C"/>
    <w:rsid w:val="152023AA"/>
    <w:rsid w:val="15207D6D"/>
    <w:rsid w:val="1524680A"/>
    <w:rsid w:val="1526009B"/>
    <w:rsid w:val="153249DB"/>
    <w:rsid w:val="154243DF"/>
    <w:rsid w:val="154A2184"/>
    <w:rsid w:val="154C4F1A"/>
    <w:rsid w:val="15597637"/>
    <w:rsid w:val="15612CE1"/>
    <w:rsid w:val="15692345"/>
    <w:rsid w:val="156F08E0"/>
    <w:rsid w:val="157149D4"/>
    <w:rsid w:val="1571672E"/>
    <w:rsid w:val="15722572"/>
    <w:rsid w:val="1579113D"/>
    <w:rsid w:val="157B43FB"/>
    <w:rsid w:val="157B75A7"/>
    <w:rsid w:val="158C07F5"/>
    <w:rsid w:val="158F2815"/>
    <w:rsid w:val="15907C43"/>
    <w:rsid w:val="159E3CC7"/>
    <w:rsid w:val="15A12701"/>
    <w:rsid w:val="15AD44D5"/>
    <w:rsid w:val="15AE0C68"/>
    <w:rsid w:val="15B91E83"/>
    <w:rsid w:val="15BB6204"/>
    <w:rsid w:val="15BD7FDC"/>
    <w:rsid w:val="15C01464"/>
    <w:rsid w:val="15C9701E"/>
    <w:rsid w:val="15D55577"/>
    <w:rsid w:val="15DA0777"/>
    <w:rsid w:val="15E311E9"/>
    <w:rsid w:val="15ED6145"/>
    <w:rsid w:val="15F60BE0"/>
    <w:rsid w:val="15F865C9"/>
    <w:rsid w:val="1600712A"/>
    <w:rsid w:val="160551C6"/>
    <w:rsid w:val="16117F11"/>
    <w:rsid w:val="161B4B6D"/>
    <w:rsid w:val="161B4C3E"/>
    <w:rsid w:val="162A6A30"/>
    <w:rsid w:val="162C1433"/>
    <w:rsid w:val="162C256B"/>
    <w:rsid w:val="16330E5E"/>
    <w:rsid w:val="16374ABB"/>
    <w:rsid w:val="163C6709"/>
    <w:rsid w:val="163E2B94"/>
    <w:rsid w:val="163E4BAA"/>
    <w:rsid w:val="16447FA4"/>
    <w:rsid w:val="1649389D"/>
    <w:rsid w:val="16500436"/>
    <w:rsid w:val="165671B4"/>
    <w:rsid w:val="16583C70"/>
    <w:rsid w:val="165D4F05"/>
    <w:rsid w:val="16614926"/>
    <w:rsid w:val="166763CC"/>
    <w:rsid w:val="166938A9"/>
    <w:rsid w:val="166D15EC"/>
    <w:rsid w:val="16746528"/>
    <w:rsid w:val="16781D3E"/>
    <w:rsid w:val="16890DBA"/>
    <w:rsid w:val="168E50BE"/>
    <w:rsid w:val="169177CF"/>
    <w:rsid w:val="16933417"/>
    <w:rsid w:val="169A1CB5"/>
    <w:rsid w:val="16B6387D"/>
    <w:rsid w:val="16BE0F22"/>
    <w:rsid w:val="16C034B0"/>
    <w:rsid w:val="16C358CF"/>
    <w:rsid w:val="16C50101"/>
    <w:rsid w:val="16C75BBA"/>
    <w:rsid w:val="16C91C33"/>
    <w:rsid w:val="16CC4FF1"/>
    <w:rsid w:val="16F0489A"/>
    <w:rsid w:val="16F94C0E"/>
    <w:rsid w:val="16FA5AE3"/>
    <w:rsid w:val="1706734A"/>
    <w:rsid w:val="170E41FE"/>
    <w:rsid w:val="171D4107"/>
    <w:rsid w:val="171E4694"/>
    <w:rsid w:val="17237598"/>
    <w:rsid w:val="172C7764"/>
    <w:rsid w:val="172D007A"/>
    <w:rsid w:val="173E5968"/>
    <w:rsid w:val="17417263"/>
    <w:rsid w:val="174650F7"/>
    <w:rsid w:val="174C4771"/>
    <w:rsid w:val="174F256E"/>
    <w:rsid w:val="17525D76"/>
    <w:rsid w:val="17575DF8"/>
    <w:rsid w:val="175D679A"/>
    <w:rsid w:val="176302F9"/>
    <w:rsid w:val="176B4183"/>
    <w:rsid w:val="177428D7"/>
    <w:rsid w:val="177C263F"/>
    <w:rsid w:val="178D55C5"/>
    <w:rsid w:val="17B82B09"/>
    <w:rsid w:val="17C3178D"/>
    <w:rsid w:val="17D15A40"/>
    <w:rsid w:val="17DC1EE9"/>
    <w:rsid w:val="17DD3475"/>
    <w:rsid w:val="17E85A62"/>
    <w:rsid w:val="17F802B4"/>
    <w:rsid w:val="17FB718C"/>
    <w:rsid w:val="1803149C"/>
    <w:rsid w:val="180E64B6"/>
    <w:rsid w:val="181A1734"/>
    <w:rsid w:val="1831666B"/>
    <w:rsid w:val="183952F5"/>
    <w:rsid w:val="184D1B99"/>
    <w:rsid w:val="18503A65"/>
    <w:rsid w:val="18560727"/>
    <w:rsid w:val="18571F2A"/>
    <w:rsid w:val="18583DB0"/>
    <w:rsid w:val="185A7D89"/>
    <w:rsid w:val="185D1E3A"/>
    <w:rsid w:val="185F3AF1"/>
    <w:rsid w:val="18625F4B"/>
    <w:rsid w:val="186758E5"/>
    <w:rsid w:val="18692AA9"/>
    <w:rsid w:val="187358A0"/>
    <w:rsid w:val="18760955"/>
    <w:rsid w:val="187A7613"/>
    <w:rsid w:val="187D21FF"/>
    <w:rsid w:val="1885392E"/>
    <w:rsid w:val="18915192"/>
    <w:rsid w:val="189417D3"/>
    <w:rsid w:val="189A5F9C"/>
    <w:rsid w:val="189F1804"/>
    <w:rsid w:val="18A1557C"/>
    <w:rsid w:val="18A40C9E"/>
    <w:rsid w:val="18A84B5D"/>
    <w:rsid w:val="18E21952"/>
    <w:rsid w:val="18E75CF3"/>
    <w:rsid w:val="18EF5BF3"/>
    <w:rsid w:val="18F648D4"/>
    <w:rsid w:val="18F91FF2"/>
    <w:rsid w:val="1902214B"/>
    <w:rsid w:val="19050560"/>
    <w:rsid w:val="19081D4B"/>
    <w:rsid w:val="192B4E46"/>
    <w:rsid w:val="192F2B88"/>
    <w:rsid w:val="1938016E"/>
    <w:rsid w:val="19390965"/>
    <w:rsid w:val="194E3A44"/>
    <w:rsid w:val="194F2F44"/>
    <w:rsid w:val="195A3C32"/>
    <w:rsid w:val="19604B07"/>
    <w:rsid w:val="1962035E"/>
    <w:rsid w:val="19664037"/>
    <w:rsid w:val="19721420"/>
    <w:rsid w:val="197C7DDD"/>
    <w:rsid w:val="198454BD"/>
    <w:rsid w:val="198F43C7"/>
    <w:rsid w:val="19957591"/>
    <w:rsid w:val="19A05834"/>
    <w:rsid w:val="19A54BF8"/>
    <w:rsid w:val="19B562C0"/>
    <w:rsid w:val="19CC03D7"/>
    <w:rsid w:val="19D02FA9"/>
    <w:rsid w:val="19E863B2"/>
    <w:rsid w:val="19F84D28"/>
    <w:rsid w:val="19FC5EC6"/>
    <w:rsid w:val="1A07158D"/>
    <w:rsid w:val="1A090D71"/>
    <w:rsid w:val="1A0A5170"/>
    <w:rsid w:val="1A136006"/>
    <w:rsid w:val="1A25197A"/>
    <w:rsid w:val="1A2A6CED"/>
    <w:rsid w:val="1A2D004B"/>
    <w:rsid w:val="1A385A6D"/>
    <w:rsid w:val="1A3D4FED"/>
    <w:rsid w:val="1A48437C"/>
    <w:rsid w:val="1A497085"/>
    <w:rsid w:val="1A497C7A"/>
    <w:rsid w:val="1A4A0345"/>
    <w:rsid w:val="1A5E5887"/>
    <w:rsid w:val="1A623029"/>
    <w:rsid w:val="1A646862"/>
    <w:rsid w:val="1A6D76D7"/>
    <w:rsid w:val="1A766FB0"/>
    <w:rsid w:val="1A77764D"/>
    <w:rsid w:val="1A7F15EE"/>
    <w:rsid w:val="1A812CBA"/>
    <w:rsid w:val="1A8263D8"/>
    <w:rsid w:val="1A847F8B"/>
    <w:rsid w:val="1A9A320F"/>
    <w:rsid w:val="1A9F5AEC"/>
    <w:rsid w:val="1AA02767"/>
    <w:rsid w:val="1AA2427A"/>
    <w:rsid w:val="1AA55C97"/>
    <w:rsid w:val="1AA6014C"/>
    <w:rsid w:val="1AB76B20"/>
    <w:rsid w:val="1AB81AF9"/>
    <w:rsid w:val="1ABB591C"/>
    <w:rsid w:val="1ABC4B84"/>
    <w:rsid w:val="1ABF1D44"/>
    <w:rsid w:val="1ACC15FD"/>
    <w:rsid w:val="1AD0534D"/>
    <w:rsid w:val="1AD17CC4"/>
    <w:rsid w:val="1AD5610F"/>
    <w:rsid w:val="1ADE01FA"/>
    <w:rsid w:val="1AE5530D"/>
    <w:rsid w:val="1AEA6BE3"/>
    <w:rsid w:val="1AEB56E7"/>
    <w:rsid w:val="1B205B9D"/>
    <w:rsid w:val="1B331907"/>
    <w:rsid w:val="1B382956"/>
    <w:rsid w:val="1B3F6DA1"/>
    <w:rsid w:val="1B401413"/>
    <w:rsid w:val="1B4042AB"/>
    <w:rsid w:val="1B480A75"/>
    <w:rsid w:val="1B4B77B2"/>
    <w:rsid w:val="1B527D7D"/>
    <w:rsid w:val="1B5D2FCD"/>
    <w:rsid w:val="1B671CBC"/>
    <w:rsid w:val="1B680D5A"/>
    <w:rsid w:val="1B6B161A"/>
    <w:rsid w:val="1B6C2C88"/>
    <w:rsid w:val="1B6C665D"/>
    <w:rsid w:val="1B7269D0"/>
    <w:rsid w:val="1B781C36"/>
    <w:rsid w:val="1B7F352B"/>
    <w:rsid w:val="1B95565D"/>
    <w:rsid w:val="1BA03A2D"/>
    <w:rsid w:val="1BA535D6"/>
    <w:rsid w:val="1BB954C3"/>
    <w:rsid w:val="1BBB0703"/>
    <w:rsid w:val="1BC54903"/>
    <w:rsid w:val="1BC8641D"/>
    <w:rsid w:val="1BCD4307"/>
    <w:rsid w:val="1BD67671"/>
    <w:rsid w:val="1BD712B5"/>
    <w:rsid w:val="1BE26CD9"/>
    <w:rsid w:val="1BE94000"/>
    <w:rsid w:val="1BED5436"/>
    <w:rsid w:val="1BF37289"/>
    <w:rsid w:val="1BF42CAD"/>
    <w:rsid w:val="1BF5537C"/>
    <w:rsid w:val="1C100819"/>
    <w:rsid w:val="1C161BAD"/>
    <w:rsid w:val="1C224C26"/>
    <w:rsid w:val="1C295FB5"/>
    <w:rsid w:val="1C3000E0"/>
    <w:rsid w:val="1C3315B2"/>
    <w:rsid w:val="1C3642CF"/>
    <w:rsid w:val="1C3B1844"/>
    <w:rsid w:val="1C432242"/>
    <w:rsid w:val="1C542906"/>
    <w:rsid w:val="1C56042C"/>
    <w:rsid w:val="1C634242"/>
    <w:rsid w:val="1C723DF7"/>
    <w:rsid w:val="1C760ACE"/>
    <w:rsid w:val="1C9176B6"/>
    <w:rsid w:val="1CA00521"/>
    <w:rsid w:val="1CA76EDA"/>
    <w:rsid w:val="1CAA7C13"/>
    <w:rsid w:val="1CD2334A"/>
    <w:rsid w:val="1CD30783"/>
    <w:rsid w:val="1CE6339E"/>
    <w:rsid w:val="1CE67A02"/>
    <w:rsid w:val="1CF3211F"/>
    <w:rsid w:val="1CF67FBD"/>
    <w:rsid w:val="1CF77E61"/>
    <w:rsid w:val="1CFB3F7B"/>
    <w:rsid w:val="1D135961"/>
    <w:rsid w:val="1D1E4276"/>
    <w:rsid w:val="1D3344D5"/>
    <w:rsid w:val="1D39053F"/>
    <w:rsid w:val="1D436C02"/>
    <w:rsid w:val="1D471C59"/>
    <w:rsid w:val="1D527698"/>
    <w:rsid w:val="1D542B92"/>
    <w:rsid w:val="1D595E1F"/>
    <w:rsid w:val="1D5D37EF"/>
    <w:rsid w:val="1D632C3E"/>
    <w:rsid w:val="1D69418F"/>
    <w:rsid w:val="1D6E4C56"/>
    <w:rsid w:val="1D7450DF"/>
    <w:rsid w:val="1D7F5FC2"/>
    <w:rsid w:val="1D8F135D"/>
    <w:rsid w:val="1D9F3347"/>
    <w:rsid w:val="1DB43153"/>
    <w:rsid w:val="1DD91C4F"/>
    <w:rsid w:val="1DDE2F8E"/>
    <w:rsid w:val="1DE36E3D"/>
    <w:rsid w:val="1DEB1048"/>
    <w:rsid w:val="1DF35717"/>
    <w:rsid w:val="1DFB6428"/>
    <w:rsid w:val="1DFC2645"/>
    <w:rsid w:val="1E114522"/>
    <w:rsid w:val="1E1B1C0E"/>
    <w:rsid w:val="1E212DBA"/>
    <w:rsid w:val="1E2B647B"/>
    <w:rsid w:val="1E3E3A97"/>
    <w:rsid w:val="1E427703"/>
    <w:rsid w:val="1E562334"/>
    <w:rsid w:val="1E5815CD"/>
    <w:rsid w:val="1E5D3CF4"/>
    <w:rsid w:val="1E62130A"/>
    <w:rsid w:val="1E630580"/>
    <w:rsid w:val="1E681A84"/>
    <w:rsid w:val="1E6F40FF"/>
    <w:rsid w:val="1E795DD2"/>
    <w:rsid w:val="1E995F02"/>
    <w:rsid w:val="1E9A5755"/>
    <w:rsid w:val="1EBF5341"/>
    <w:rsid w:val="1ECE074D"/>
    <w:rsid w:val="1ECE263B"/>
    <w:rsid w:val="1ED23A13"/>
    <w:rsid w:val="1EEC273A"/>
    <w:rsid w:val="1EF065EC"/>
    <w:rsid w:val="1EF34658"/>
    <w:rsid w:val="1F016D75"/>
    <w:rsid w:val="1F051B11"/>
    <w:rsid w:val="1F0E4C65"/>
    <w:rsid w:val="1F112CA1"/>
    <w:rsid w:val="1F1678C7"/>
    <w:rsid w:val="1F1C57F3"/>
    <w:rsid w:val="1F231F54"/>
    <w:rsid w:val="1F2D5AFE"/>
    <w:rsid w:val="1F356A1F"/>
    <w:rsid w:val="1F53182B"/>
    <w:rsid w:val="1F5A05AD"/>
    <w:rsid w:val="1F6D7F66"/>
    <w:rsid w:val="1F755A30"/>
    <w:rsid w:val="1F7C464D"/>
    <w:rsid w:val="1F7F5EEC"/>
    <w:rsid w:val="1F811C64"/>
    <w:rsid w:val="1F821DD7"/>
    <w:rsid w:val="1F8364F6"/>
    <w:rsid w:val="1F87760C"/>
    <w:rsid w:val="1F8B21C0"/>
    <w:rsid w:val="1F936B89"/>
    <w:rsid w:val="1F9A7E83"/>
    <w:rsid w:val="1F9D564F"/>
    <w:rsid w:val="1FAD4807"/>
    <w:rsid w:val="1FB86952"/>
    <w:rsid w:val="1FB87BFA"/>
    <w:rsid w:val="1FB97650"/>
    <w:rsid w:val="1FBE4A12"/>
    <w:rsid w:val="1FBE4C66"/>
    <w:rsid w:val="1FC33F30"/>
    <w:rsid w:val="1FC9419A"/>
    <w:rsid w:val="1FCA73E4"/>
    <w:rsid w:val="1FD84BD4"/>
    <w:rsid w:val="1FE44CC1"/>
    <w:rsid w:val="1FEF4E1F"/>
    <w:rsid w:val="1FF83525"/>
    <w:rsid w:val="20082AD9"/>
    <w:rsid w:val="200B4C92"/>
    <w:rsid w:val="20123BC6"/>
    <w:rsid w:val="201B5247"/>
    <w:rsid w:val="20340A84"/>
    <w:rsid w:val="20342852"/>
    <w:rsid w:val="203F02F5"/>
    <w:rsid w:val="205179C7"/>
    <w:rsid w:val="20595E64"/>
    <w:rsid w:val="20597B80"/>
    <w:rsid w:val="205C0AF5"/>
    <w:rsid w:val="20622C0A"/>
    <w:rsid w:val="2063580D"/>
    <w:rsid w:val="206E5551"/>
    <w:rsid w:val="207C47B9"/>
    <w:rsid w:val="2081560C"/>
    <w:rsid w:val="20855784"/>
    <w:rsid w:val="208E2950"/>
    <w:rsid w:val="209231BA"/>
    <w:rsid w:val="20933FD2"/>
    <w:rsid w:val="209934FD"/>
    <w:rsid w:val="20C81350"/>
    <w:rsid w:val="20DD512F"/>
    <w:rsid w:val="20E02FA5"/>
    <w:rsid w:val="20E26732"/>
    <w:rsid w:val="20EC2C3B"/>
    <w:rsid w:val="20F52909"/>
    <w:rsid w:val="20F61559"/>
    <w:rsid w:val="20F77EBC"/>
    <w:rsid w:val="20FD5597"/>
    <w:rsid w:val="210B4081"/>
    <w:rsid w:val="211B3B2C"/>
    <w:rsid w:val="21211033"/>
    <w:rsid w:val="21251F39"/>
    <w:rsid w:val="2139025C"/>
    <w:rsid w:val="214473ED"/>
    <w:rsid w:val="21486ECA"/>
    <w:rsid w:val="214C62A1"/>
    <w:rsid w:val="214D4DA9"/>
    <w:rsid w:val="214F59F5"/>
    <w:rsid w:val="215C2627"/>
    <w:rsid w:val="21617F9F"/>
    <w:rsid w:val="216D06F2"/>
    <w:rsid w:val="21702C57"/>
    <w:rsid w:val="2176235E"/>
    <w:rsid w:val="217D46AD"/>
    <w:rsid w:val="217E44C5"/>
    <w:rsid w:val="218109D6"/>
    <w:rsid w:val="21893052"/>
    <w:rsid w:val="21905CAC"/>
    <w:rsid w:val="219B2976"/>
    <w:rsid w:val="219F223B"/>
    <w:rsid w:val="219F676D"/>
    <w:rsid w:val="21A1039B"/>
    <w:rsid w:val="21A66755"/>
    <w:rsid w:val="21AB289C"/>
    <w:rsid w:val="21B438F6"/>
    <w:rsid w:val="21BB34B4"/>
    <w:rsid w:val="21D6360A"/>
    <w:rsid w:val="21DB6422"/>
    <w:rsid w:val="21DD349D"/>
    <w:rsid w:val="21E1344C"/>
    <w:rsid w:val="21E166A9"/>
    <w:rsid w:val="21E63B4F"/>
    <w:rsid w:val="21F25F29"/>
    <w:rsid w:val="21FF3314"/>
    <w:rsid w:val="22034BB2"/>
    <w:rsid w:val="221A2761"/>
    <w:rsid w:val="221D6884"/>
    <w:rsid w:val="22335729"/>
    <w:rsid w:val="22347461"/>
    <w:rsid w:val="225C236E"/>
    <w:rsid w:val="225F3ABC"/>
    <w:rsid w:val="22745AB0"/>
    <w:rsid w:val="227528F3"/>
    <w:rsid w:val="2287475E"/>
    <w:rsid w:val="22936EF0"/>
    <w:rsid w:val="229527B6"/>
    <w:rsid w:val="22B32CEE"/>
    <w:rsid w:val="22B64833"/>
    <w:rsid w:val="22BC18BC"/>
    <w:rsid w:val="22C41F7B"/>
    <w:rsid w:val="22C50667"/>
    <w:rsid w:val="22CC022F"/>
    <w:rsid w:val="22D101BE"/>
    <w:rsid w:val="22D567D5"/>
    <w:rsid w:val="22D86709"/>
    <w:rsid w:val="22D87514"/>
    <w:rsid w:val="22DA1DB7"/>
    <w:rsid w:val="22DB7C7F"/>
    <w:rsid w:val="23021F62"/>
    <w:rsid w:val="230346A5"/>
    <w:rsid w:val="23127389"/>
    <w:rsid w:val="231500E2"/>
    <w:rsid w:val="231D7EF5"/>
    <w:rsid w:val="231E706F"/>
    <w:rsid w:val="23207E6F"/>
    <w:rsid w:val="23216401"/>
    <w:rsid w:val="232C1EE7"/>
    <w:rsid w:val="23402C34"/>
    <w:rsid w:val="235125CD"/>
    <w:rsid w:val="235D02F2"/>
    <w:rsid w:val="23636C43"/>
    <w:rsid w:val="2366364A"/>
    <w:rsid w:val="23675615"/>
    <w:rsid w:val="236C710C"/>
    <w:rsid w:val="23733FB9"/>
    <w:rsid w:val="237A0EA4"/>
    <w:rsid w:val="238C0BD7"/>
    <w:rsid w:val="239F5B8E"/>
    <w:rsid w:val="23BF325C"/>
    <w:rsid w:val="23C16B4B"/>
    <w:rsid w:val="23C37706"/>
    <w:rsid w:val="23C7467A"/>
    <w:rsid w:val="23D96A50"/>
    <w:rsid w:val="23DB3943"/>
    <w:rsid w:val="23E427C1"/>
    <w:rsid w:val="23FB65A5"/>
    <w:rsid w:val="24162DDC"/>
    <w:rsid w:val="24263773"/>
    <w:rsid w:val="24375974"/>
    <w:rsid w:val="243C43AB"/>
    <w:rsid w:val="244E09D8"/>
    <w:rsid w:val="24572F93"/>
    <w:rsid w:val="245B6BB3"/>
    <w:rsid w:val="246476B2"/>
    <w:rsid w:val="246C6384"/>
    <w:rsid w:val="246D0A09"/>
    <w:rsid w:val="2470262E"/>
    <w:rsid w:val="247A3114"/>
    <w:rsid w:val="247C218C"/>
    <w:rsid w:val="2493241A"/>
    <w:rsid w:val="249356E7"/>
    <w:rsid w:val="249B72DE"/>
    <w:rsid w:val="249C1D5C"/>
    <w:rsid w:val="24A160C3"/>
    <w:rsid w:val="24BB79C6"/>
    <w:rsid w:val="24C52EC0"/>
    <w:rsid w:val="24CB4876"/>
    <w:rsid w:val="24CE0117"/>
    <w:rsid w:val="24D43582"/>
    <w:rsid w:val="24F16DAA"/>
    <w:rsid w:val="24F40FBC"/>
    <w:rsid w:val="24F829C8"/>
    <w:rsid w:val="25000179"/>
    <w:rsid w:val="2501550D"/>
    <w:rsid w:val="2512297D"/>
    <w:rsid w:val="251D41DD"/>
    <w:rsid w:val="25293925"/>
    <w:rsid w:val="252B1A83"/>
    <w:rsid w:val="25301CCB"/>
    <w:rsid w:val="25382DC5"/>
    <w:rsid w:val="253B6C33"/>
    <w:rsid w:val="253F0449"/>
    <w:rsid w:val="25423742"/>
    <w:rsid w:val="2543309D"/>
    <w:rsid w:val="25491A04"/>
    <w:rsid w:val="254C6A7C"/>
    <w:rsid w:val="254F37EE"/>
    <w:rsid w:val="255F67C5"/>
    <w:rsid w:val="256058C8"/>
    <w:rsid w:val="256331E6"/>
    <w:rsid w:val="256D5F08"/>
    <w:rsid w:val="25791A41"/>
    <w:rsid w:val="25857B76"/>
    <w:rsid w:val="25890204"/>
    <w:rsid w:val="258B2D19"/>
    <w:rsid w:val="259326F1"/>
    <w:rsid w:val="25936EFD"/>
    <w:rsid w:val="25954FB8"/>
    <w:rsid w:val="25A55C89"/>
    <w:rsid w:val="25B14925"/>
    <w:rsid w:val="25BF6C97"/>
    <w:rsid w:val="25C04743"/>
    <w:rsid w:val="25C6407D"/>
    <w:rsid w:val="25C9103D"/>
    <w:rsid w:val="25D94569"/>
    <w:rsid w:val="25E276E1"/>
    <w:rsid w:val="25E573D9"/>
    <w:rsid w:val="25EC2367"/>
    <w:rsid w:val="25F47BE8"/>
    <w:rsid w:val="26003FB3"/>
    <w:rsid w:val="2613591B"/>
    <w:rsid w:val="26393BA1"/>
    <w:rsid w:val="263A5FB4"/>
    <w:rsid w:val="263B7010"/>
    <w:rsid w:val="263D7040"/>
    <w:rsid w:val="26454D11"/>
    <w:rsid w:val="264C7C89"/>
    <w:rsid w:val="264F784E"/>
    <w:rsid w:val="265C6A42"/>
    <w:rsid w:val="266C1EA4"/>
    <w:rsid w:val="267001AD"/>
    <w:rsid w:val="267C5169"/>
    <w:rsid w:val="268B1F17"/>
    <w:rsid w:val="268B6A0E"/>
    <w:rsid w:val="2693187E"/>
    <w:rsid w:val="269A0FDE"/>
    <w:rsid w:val="269A176A"/>
    <w:rsid w:val="269A1B5A"/>
    <w:rsid w:val="26A07A2E"/>
    <w:rsid w:val="26B508F9"/>
    <w:rsid w:val="26B83D92"/>
    <w:rsid w:val="26B96187"/>
    <w:rsid w:val="26DE44A6"/>
    <w:rsid w:val="26E17FF5"/>
    <w:rsid w:val="26E31688"/>
    <w:rsid w:val="26E34FB2"/>
    <w:rsid w:val="26E96821"/>
    <w:rsid w:val="26F7280B"/>
    <w:rsid w:val="27071370"/>
    <w:rsid w:val="27076F27"/>
    <w:rsid w:val="27084A19"/>
    <w:rsid w:val="27092731"/>
    <w:rsid w:val="270C114A"/>
    <w:rsid w:val="270C4509"/>
    <w:rsid w:val="270C62B7"/>
    <w:rsid w:val="27160EE4"/>
    <w:rsid w:val="27167136"/>
    <w:rsid w:val="27207CA5"/>
    <w:rsid w:val="2725381D"/>
    <w:rsid w:val="27277595"/>
    <w:rsid w:val="27277C70"/>
    <w:rsid w:val="2736290A"/>
    <w:rsid w:val="27363334"/>
    <w:rsid w:val="273D5664"/>
    <w:rsid w:val="27547E9D"/>
    <w:rsid w:val="27595B5F"/>
    <w:rsid w:val="277C5B84"/>
    <w:rsid w:val="27896CD5"/>
    <w:rsid w:val="278B636C"/>
    <w:rsid w:val="279B0208"/>
    <w:rsid w:val="279F1F9B"/>
    <w:rsid w:val="27A23CB5"/>
    <w:rsid w:val="27AC0900"/>
    <w:rsid w:val="27AE07A0"/>
    <w:rsid w:val="27B05F1B"/>
    <w:rsid w:val="27B14513"/>
    <w:rsid w:val="27C23DE2"/>
    <w:rsid w:val="27CA650E"/>
    <w:rsid w:val="27D54876"/>
    <w:rsid w:val="27E522B4"/>
    <w:rsid w:val="27ED3478"/>
    <w:rsid w:val="27F51ED9"/>
    <w:rsid w:val="27FB6699"/>
    <w:rsid w:val="27FC6DC4"/>
    <w:rsid w:val="28010472"/>
    <w:rsid w:val="28043432"/>
    <w:rsid w:val="280512DC"/>
    <w:rsid w:val="281A4A03"/>
    <w:rsid w:val="28286D98"/>
    <w:rsid w:val="282A3418"/>
    <w:rsid w:val="282C4737"/>
    <w:rsid w:val="283847C4"/>
    <w:rsid w:val="284D0AAC"/>
    <w:rsid w:val="285C6DCA"/>
    <w:rsid w:val="28651288"/>
    <w:rsid w:val="2865211E"/>
    <w:rsid w:val="286710F6"/>
    <w:rsid w:val="286D6FDD"/>
    <w:rsid w:val="28700291"/>
    <w:rsid w:val="28780836"/>
    <w:rsid w:val="28810F26"/>
    <w:rsid w:val="28914E20"/>
    <w:rsid w:val="28991383"/>
    <w:rsid w:val="289A6EB3"/>
    <w:rsid w:val="289D010A"/>
    <w:rsid w:val="289E5635"/>
    <w:rsid w:val="28A310CB"/>
    <w:rsid w:val="28A354CF"/>
    <w:rsid w:val="28AB2B2B"/>
    <w:rsid w:val="28AC6B47"/>
    <w:rsid w:val="28D252DE"/>
    <w:rsid w:val="28D77AB4"/>
    <w:rsid w:val="28E079FB"/>
    <w:rsid w:val="28F13A7E"/>
    <w:rsid w:val="28F214DC"/>
    <w:rsid w:val="28F43485"/>
    <w:rsid w:val="28F72F97"/>
    <w:rsid w:val="28FC5CE1"/>
    <w:rsid w:val="2900094D"/>
    <w:rsid w:val="290F6532"/>
    <w:rsid w:val="291268AF"/>
    <w:rsid w:val="29142D1D"/>
    <w:rsid w:val="292214D4"/>
    <w:rsid w:val="292B3A56"/>
    <w:rsid w:val="29332221"/>
    <w:rsid w:val="29375D52"/>
    <w:rsid w:val="293804C3"/>
    <w:rsid w:val="29397276"/>
    <w:rsid w:val="294176B3"/>
    <w:rsid w:val="294A791C"/>
    <w:rsid w:val="295126A7"/>
    <w:rsid w:val="295210AD"/>
    <w:rsid w:val="295609D0"/>
    <w:rsid w:val="29567CBD"/>
    <w:rsid w:val="296F101F"/>
    <w:rsid w:val="29703CFC"/>
    <w:rsid w:val="29723765"/>
    <w:rsid w:val="297654D4"/>
    <w:rsid w:val="297724FD"/>
    <w:rsid w:val="297D349C"/>
    <w:rsid w:val="297E391D"/>
    <w:rsid w:val="298365D8"/>
    <w:rsid w:val="298F232A"/>
    <w:rsid w:val="29936995"/>
    <w:rsid w:val="2996630C"/>
    <w:rsid w:val="29AE7AF9"/>
    <w:rsid w:val="29B57A6F"/>
    <w:rsid w:val="29B650AB"/>
    <w:rsid w:val="29BA2674"/>
    <w:rsid w:val="29BD3504"/>
    <w:rsid w:val="29D5323A"/>
    <w:rsid w:val="29DE264F"/>
    <w:rsid w:val="29DE589B"/>
    <w:rsid w:val="29E21551"/>
    <w:rsid w:val="29EF3C6E"/>
    <w:rsid w:val="29FF4E87"/>
    <w:rsid w:val="2A111E36"/>
    <w:rsid w:val="2A164802"/>
    <w:rsid w:val="2A1B1529"/>
    <w:rsid w:val="2A221DFF"/>
    <w:rsid w:val="2A2A3E6A"/>
    <w:rsid w:val="2A325E53"/>
    <w:rsid w:val="2A3E317C"/>
    <w:rsid w:val="2A570895"/>
    <w:rsid w:val="2A643D83"/>
    <w:rsid w:val="2A67192D"/>
    <w:rsid w:val="2A6A61F9"/>
    <w:rsid w:val="2A70010A"/>
    <w:rsid w:val="2A704789"/>
    <w:rsid w:val="2AA52A6F"/>
    <w:rsid w:val="2AA93591"/>
    <w:rsid w:val="2AB078A1"/>
    <w:rsid w:val="2AB82096"/>
    <w:rsid w:val="2AC02932"/>
    <w:rsid w:val="2AC038F1"/>
    <w:rsid w:val="2AC85886"/>
    <w:rsid w:val="2AEA36FD"/>
    <w:rsid w:val="2AFA1E1A"/>
    <w:rsid w:val="2AFB17E5"/>
    <w:rsid w:val="2AFD0BD7"/>
    <w:rsid w:val="2B147238"/>
    <w:rsid w:val="2B195BC3"/>
    <w:rsid w:val="2B1A1EED"/>
    <w:rsid w:val="2B2067D5"/>
    <w:rsid w:val="2B345DDC"/>
    <w:rsid w:val="2B347D10"/>
    <w:rsid w:val="2B3A77E5"/>
    <w:rsid w:val="2B43605F"/>
    <w:rsid w:val="2B4867BE"/>
    <w:rsid w:val="2B5112B3"/>
    <w:rsid w:val="2B541789"/>
    <w:rsid w:val="2B54331A"/>
    <w:rsid w:val="2B683CD8"/>
    <w:rsid w:val="2B6B5FC8"/>
    <w:rsid w:val="2B6D12EE"/>
    <w:rsid w:val="2B7A4FF2"/>
    <w:rsid w:val="2B8075A1"/>
    <w:rsid w:val="2B812AEA"/>
    <w:rsid w:val="2B821534"/>
    <w:rsid w:val="2B830B12"/>
    <w:rsid w:val="2B874262"/>
    <w:rsid w:val="2B92441A"/>
    <w:rsid w:val="2BA0709D"/>
    <w:rsid w:val="2BA331AB"/>
    <w:rsid w:val="2BA62F64"/>
    <w:rsid w:val="2BAC197C"/>
    <w:rsid w:val="2BAF7B59"/>
    <w:rsid w:val="2BBD2276"/>
    <w:rsid w:val="2BC135BD"/>
    <w:rsid w:val="2BC3264B"/>
    <w:rsid w:val="2BC37160"/>
    <w:rsid w:val="2BC86A5A"/>
    <w:rsid w:val="2BCB15BA"/>
    <w:rsid w:val="2BCC070B"/>
    <w:rsid w:val="2BCC4267"/>
    <w:rsid w:val="2BCE1B03"/>
    <w:rsid w:val="2BCF3580"/>
    <w:rsid w:val="2BD34277"/>
    <w:rsid w:val="2BD4136D"/>
    <w:rsid w:val="2BDC0B87"/>
    <w:rsid w:val="2BDD0534"/>
    <w:rsid w:val="2BF37A45"/>
    <w:rsid w:val="2BFE641D"/>
    <w:rsid w:val="2C034AEF"/>
    <w:rsid w:val="2C12768E"/>
    <w:rsid w:val="2C156151"/>
    <w:rsid w:val="2C1826D2"/>
    <w:rsid w:val="2C20140E"/>
    <w:rsid w:val="2C245E51"/>
    <w:rsid w:val="2C3B319A"/>
    <w:rsid w:val="2C414531"/>
    <w:rsid w:val="2C42277B"/>
    <w:rsid w:val="2C424529"/>
    <w:rsid w:val="2C475FE3"/>
    <w:rsid w:val="2C4B162F"/>
    <w:rsid w:val="2C544E7C"/>
    <w:rsid w:val="2C5737A8"/>
    <w:rsid w:val="2C5A0AD8"/>
    <w:rsid w:val="2C640943"/>
    <w:rsid w:val="2C695F59"/>
    <w:rsid w:val="2C880831"/>
    <w:rsid w:val="2C8E3E4F"/>
    <w:rsid w:val="2C994A91"/>
    <w:rsid w:val="2CA541DD"/>
    <w:rsid w:val="2CAA3CF2"/>
    <w:rsid w:val="2CBB5334"/>
    <w:rsid w:val="2CC22F3C"/>
    <w:rsid w:val="2CC55886"/>
    <w:rsid w:val="2CC82322"/>
    <w:rsid w:val="2CCB197B"/>
    <w:rsid w:val="2CDE24FA"/>
    <w:rsid w:val="2CDE2540"/>
    <w:rsid w:val="2CE02E49"/>
    <w:rsid w:val="2CED7951"/>
    <w:rsid w:val="2CF61313"/>
    <w:rsid w:val="2CFA25F6"/>
    <w:rsid w:val="2D0759BE"/>
    <w:rsid w:val="2D08487E"/>
    <w:rsid w:val="2D0C02CC"/>
    <w:rsid w:val="2D14247A"/>
    <w:rsid w:val="2D1934DC"/>
    <w:rsid w:val="2D1C464D"/>
    <w:rsid w:val="2D1C74A5"/>
    <w:rsid w:val="2D1E755B"/>
    <w:rsid w:val="2D2238C9"/>
    <w:rsid w:val="2D247924"/>
    <w:rsid w:val="2D2F0F51"/>
    <w:rsid w:val="2D330555"/>
    <w:rsid w:val="2D3C71CA"/>
    <w:rsid w:val="2D417678"/>
    <w:rsid w:val="2D5704A8"/>
    <w:rsid w:val="2D5E5772"/>
    <w:rsid w:val="2D614D84"/>
    <w:rsid w:val="2D6D1A79"/>
    <w:rsid w:val="2D796670"/>
    <w:rsid w:val="2D807CF7"/>
    <w:rsid w:val="2D834DF9"/>
    <w:rsid w:val="2D8B6FDC"/>
    <w:rsid w:val="2D8D59E1"/>
    <w:rsid w:val="2D9054C0"/>
    <w:rsid w:val="2D9B7484"/>
    <w:rsid w:val="2DA243EB"/>
    <w:rsid w:val="2DA84F1F"/>
    <w:rsid w:val="2DAB0673"/>
    <w:rsid w:val="2DAC4B86"/>
    <w:rsid w:val="2DB024EC"/>
    <w:rsid w:val="2DC10656"/>
    <w:rsid w:val="2DC84C08"/>
    <w:rsid w:val="2DD65876"/>
    <w:rsid w:val="2DDD5DC6"/>
    <w:rsid w:val="2DF53ABA"/>
    <w:rsid w:val="2DF81ED2"/>
    <w:rsid w:val="2E06741D"/>
    <w:rsid w:val="2E0709C9"/>
    <w:rsid w:val="2E1047F0"/>
    <w:rsid w:val="2E162B4A"/>
    <w:rsid w:val="2E225B71"/>
    <w:rsid w:val="2E2376BD"/>
    <w:rsid w:val="2E2F550A"/>
    <w:rsid w:val="2E347D84"/>
    <w:rsid w:val="2E3D31FA"/>
    <w:rsid w:val="2E3E4ABB"/>
    <w:rsid w:val="2E405ABD"/>
    <w:rsid w:val="2E455723"/>
    <w:rsid w:val="2E4709A8"/>
    <w:rsid w:val="2E4F6444"/>
    <w:rsid w:val="2E5A1C5D"/>
    <w:rsid w:val="2E64438B"/>
    <w:rsid w:val="2E725599"/>
    <w:rsid w:val="2E8876F3"/>
    <w:rsid w:val="2E9302C2"/>
    <w:rsid w:val="2E9455B2"/>
    <w:rsid w:val="2E9E6759"/>
    <w:rsid w:val="2EB72FAC"/>
    <w:rsid w:val="2EB84F76"/>
    <w:rsid w:val="2EB974C9"/>
    <w:rsid w:val="2EBE076E"/>
    <w:rsid w:val="2EC532AA"/>
    <w:rsid w:val="2ECE6548"/>
    <w:rsid w:val="2ED06280"/>
    <w:rsid w:val="2ED74E8C"/>
    <w:rsid w:val="2EDC0B8D"/>
    <w:rsid w:val="2EE17A59"/>
    <w:rsid w:val="2EE325C2"/>
    <w:rsid w:val="2EE525A6"/>
    <w:rsid w:val="2EFA717B"/>
    <w:rsid w:val="2EFF4939"/>
    <w:rsid w:val="2F126434"/>
    <w:rsid w:val="2F236EF0"/>
    <w:rsid w:val="2F2B24C1"/>
    <w:rsid w:val="2F352EA0"/>
    <w:rsid w:val="2F37233F"/>
    <w:rsid w:val="2F3E225D"/>
    <w:rsid w:val="2F481714"/>
    <w:rsid w:val="2F4A7B7B"/>
    <w:rsid w:val="2F4E2B4E"/>
    <w:rsid w:val="2F503401"/>
    <w:rsid w:val="2F5A0774"/>
    <w:rsid w:val="2F5D06D3"/>
    <w:rsid w:val="2F5F2A25"/>
    <w:rsid w:val="2F6A6270"/>
    <w:rsid w:val="2F727FF5"/>
    <w:rsid w:val="2F785B88"/>
    <w:rsid w:val="2F7A2720"/>
    <w:rsid w:val="2F8336E1"/>
    <w:rsid w:val="2F882CB7"/>
    <w:rsid w:val="2F8D1F5F"/>
    <w:rsid w:val="2F934A7F"/>
    <w:rsid w:val="2F9C6E61"/>
    <w:rsid w:val="2F9E23BE"/>
    <w:rsid w:val="2FA04403"/>
    <w:rsid w:val="2FA54821"/>
    <w:rsid w:val="2FA708F2"/>
    <w:rsid w:val="2FAB73C8"/>
    <w:rsid w:val="2FC26D43"/>
    <w:rsid w:val="2FCD4A51"/>
    <w:rsid w:val="2FCE2CA3"/>
    <w:rsid w:val="2FCF5254"/>
    <w:rsid w:val="2FD21C66"/>
    <w:rsid w:val="2FE8468F"/>
    <w:rsid w:val="2FE86F63"/>
    <w:rsid w:val="2FE94099"/>
    <w:rsid w:val="2FF41239"/>
    <w:rsid w:val="2FFA3657"/>
    <w:rsid w:val="2FFF30C9"/>
    <w:rsid w:val="3000354E"/>
    <w:rsid w:val="3008349E"/>
    <w:rsid w:val="300A35B0"/>
    <w:rsid w:val="30115C02"/>
    <w:rsid w:val="30123BE4"/>
    <w:rsid w:val="301B7C8C"/>
    <w:rsid w:val="301E4B39"/>
    <w:rsid w:val="30200ACC"/>
    <w:rsid w:val="30221301"/>
    <w:rsid w:val="302F78B3"/>
    <w:rsid w:val="30313C70"/>
    <w:rsid w:val="30343537"/>
    <w:rsid w:val="303643A5"/>
    <w:rsid w:val="303E14AB"/>
    <w:rsid w:val="30493DBA"/>
    <w:rsid w:val="3054286C"/>
    <w:rsid w:val="3064671A"/>
    <w:rsid w:val="3065144D"/>
    <w:rsid w:val="30693762"/>
    <w:rsid w:val="306A26CB"/>
    <w:rsid w:val="30720218"/>
    <w:rsid w:val="30721A78"/>
    <w:rsid w:val="30730FEF"/>
    <w:rsid w:val="30760C45"/>
    <w:rsid w:val="307757A0"/>
    <w:rsid w:val="30835664"/>
    <w:rsid w:val="308B70F3"/>
    <w:rsid w:val="30A14B0E"/>
    <w:rsid w:val="30A752A2"/>
    <w:rsid w:val="30A9353D"/>
    <w:rsid w:val="30C9695B"/>
    <w:rsid w:val="30CB2C69"/>
    <w:rsid w:val="30CC4D09"/>
    <w:rsid w:val="30CF5E02"/>
    <w:rsid w:val="30EA6984"/>
    <w:rsid w:val="30EB1D2E"/>
    <w:rsid w:val="30EB76BB"/>
    <w:rsid w:val="30FC6C8F"/>
    <w:rsid w:val="31012C04"/>
    <w:rsid w:val="31014948"/>
    <w:rsid w:val="310426F5"/>
    <w:rsid w:val="31067D63"/>
    <w:rsid w:val="310721CF"/>
    <w:rsid w:val="311B0138"/>
    <w:rsid w:val="312119E4"/>
    <w:rsid w:val="312D3557"/>
    <w:rsid w:val="312F5F1F"/>
    <w:rsid w:val="313F5411"/>
    <w:rsid w:val="31496450"/>
    <w:rsid w:val="315216B2"/>
    <w:rsid w:val="31550888"/>
    <w:rsid w:val="31593CEB"/>
    <w:rsid w:val="316513E5"/>
    <w:rsid w:val="31731072"/>
    <w:rsid w:val="31745499"/>
    <w:rsid w:val="31781E33"/>
    <w:rsid w:val="31884C2B"/>
    <w:rsid w:val="318F0A0D"/>
    <w:rsid w:val="319E6F3D"/>
    <w:rsid w:val="31A517E2"/>
    <w:rsid w:val="31A67308"/>
    <w:rsid w:val="31B425BE"/>
    <w:rsid w:val="31B71515"/>
    <w:rsid w:val="31C17AD2"/>
    <w:rsid w:val="31CA1248"/>
    <w:rsid w:val="31D11A00"/>
    <w:rsid w:val="31D6400D"/>
    <w:rsid w:val="31DD71CE"/>
    <w:rsid w:val="31E22407"/>
    <w:rsid w:val="31E47F1B"/>
    <w:rsid w:val="31E81B07"/>
    <w:rsid w:val="31F02EF1"/>
    <w:rsid w:val="31F2254D"/>
    <w:rsid w:val="31FA037C"/>
    <w:rsid w:val="31FC4AC9"/>
    <w:rsid w:val="320049D7"/>
    <w:rsid w:val="320E7790"/>
    <w:rsid w:val="32143598"/>
    <w:rsid w:val="321926E0"/>
    <w:rsid w:val="321C5B58"/>
    <w:rsid w:val="32242450"/>
    <w:rsid w:val="322A7BDB"/>
    <w:rsid w:val="32377BD4"/>
    <w:rsid w:val="32470AEB"/>
    <w:rsid w:val="324F3E58"/>
    <w:rsid w:val="3253056A"/>
    <w:rsid w:val="32565E3D"/>
    <w:rsid w:val="32597B19"/>
    <w:rsid w:val="326371AF"/>
    <w:rsid w:val="32661404"/>
    <w:rsid w:val="326E0335"/>
    <w:rsid w:val="32722C20"/>
    <w:rsid w:val="32742CFE"/>
    <w:rsid w:val="327617D7"/>
    <w:rsid w:val="32793502"/>
    <w:rsid w:val="3281122A"/>
    <w:rsid w:val="328465A8"/>
    <w:rsid w:val="328467D6"/>
    <w:rsid w:val="3286775A"/>
    <w:rsid w:val="328C4C71"/>
    <w:rsid w:val="329136D1"/>
    <w:rsid w:val="32957BBE"/>
    <w:rsid w:val="329A25A7"/>
    <w:rsid w:val="32A85A66"/>
    <w:rsid w:val="32C171AE"/>
    <w:rsid w:val="32C5686F"/>
    <w:rsid w:val="32C76C74"/>
    <w:rsid w:val="32C95949"/>
    <w:rsid w:val="32D154A5"/>
    <w:rsid w:val="32E20583"/>
    <w:rsid w:val="32ED0FC8"/>
    <w:rsid w:val="32F5359D"/>
    <w:rsid w:val="32F90662"/>
    <w:rsid w:val="330433B8"/>
    <w:rsid w:val="3307027A"/>
    <w:rsid w:val="33071292"/>
    <w:rsid w:val="331827DA"/>
    <w:rsid w:val="33184235"/>
    <w:rsid w:val="331A37B7"/>
    <w:rsid w:val="331D6C7E"/>
    <w:rsid w:val="332151E0"/>
    <w:rsid w:val="332E1CAB"/>
    <w:rsid w:val="33345751"/>
    <w:rsid w:val="33380434"/>
    <w:rsid w:val="3339664E"/>
    <w:rsid w:val="33436F8B"/>
    <w:rsid w:val="3344630E"/>
    <w:rsid w:val="33641B5F"/>
    <w:rsid w:val="3372625C"/>
    <w:rsid w:val="337E0E26"/>
    <w:rsid w:val="33865643"/>
    <w:rsid w:val="33896EE1"/>
    <w:rsid w:val="33920EF1"/>
    <w:rsid w:val="33945FB2"/>
    <w:rsid w:val="33A76BA9"/>
    <w:rsid w:val="33A803B9"/>
    <w:rsid w:val="33AF71AB"/>
    <w:rsid w:val="33B01A61"/>
    <w:rsid w:val="33B77164"/>
    <w:rsid w:val="33B84EDE"/>
    <w:rsid w:val="33C97812"/>
    <w:rsid w:val="33CA764A"/>
    <w:rsid w:val="33CE082F"/>
    <w:rsid w:val="33D53ED4"/>
    <w:rsid w:val="33DD5720"/>
    <w:rsid w:val="33F16826"/>
    <w:rsid w:val="33F219CB"/>
    <w:rsid w:val="33F24A86"/>
    <w:rsid w:val="33F57367"/>
    <w:rsid w:val="33F9299F"/>
    <w:rsid w:val="33F97469"/>
    <w:rsid w:val="33FC5905"/>
    <w:rsid w:val="33FC7E97"/>
    <w:rsid w:val="33FD3AF4"/>
    <w:rsid w:val="34004D9F"/>
    <w:rsid w:val="340622E0"/>
    <w:rsid w:val="340963C3"/>
    <w:rsid w:val="340C5B48"/>
    <w:rsid w:val="341C1B03"/>
    <w:rsid w:val="341E7629"/>
    <w:rsid w:val="3420310A"/>
    <w:rsid w:val="34290A9A"/>
    <w:rsid w:val="343A2F39"/>
    <w:rsid w:val="343F5379"/>
    <w:rsid w:val="34476B80"/>
    <w:rsid w:val="34536C1D"/>
    <w:rsid w:val="34563267"/>
    <w:rsid w:val="34607C42"/>
    <w:rsid w:val="346D4F86"/>
    <w:rsid w:val="347800A3"/>
    <w:rsid w:val="34784400"/>
    <w:rsid w:val="34800E7F"/>
    <w:rsid w:val="34882369"/>
    <w:rsid w:val="348963A6"/>
    <w:rsid w:val="3495352F"/>
    <w:rsid w:val="349741F5"/>
    <w:rsid w:val="34A264AC"/>
    <w:rsid w:val="34A40A60"/>
    <w:rsid w:val="34A64789"/>
    <w:rsid w:val="34B947FA"/>
    <w:rsid w:val="34C0772F"/>
    <w:rsid w:val="34C96A64"/>
    <w:rsid w:val="34CB5C7B"/>
    <w:rsid w:val="34CE67ED"/>
    <w:rsid w:val="34E177C7"/>
    <w:rsid w:val="34E46AC5"/>
    <w:rsid w:val="34E77835"/>
    <w:rsid w:val="34EC03A0"/>
    <w:rsid w:val="34ED5F5D"/>
    <w:rsid w:val="34EE2DDD"/>
    <w:rsid w:val="34F02CBF"/>
    <w:rsid w:val="34FA3BF3"/>
    <w:rsid w:val="350902DA"/>
    <w:rsid w:val="351928A3"/>
    <w:rsid w:val="352E5727"/>
    <w:rsid w:val="35474915"/>
    <w:rsid w:val="35595C2B"/>
    <w:rsid w:val="355E6EEE"/>
    <w:rsid w:val="35713C89"/>
    <w:rsid w:val="35933C71"/>
    <w:rsid w:val="35976E7B"/>
    <w:rsid w:val="359C54D7"/>
    <w:rsid w:val="359F479A"/>
    <w:rsid w:val="35A02833"/>
    <w:rsid w:val="35B446E9"/>
    <w:rsid w:val="35BE1572"/>
    <w:rsid w:val="35C10BB4"/>
    <w:rsid w:val="35CC7149"/>
    <w:rsid w:val="35D501BC"/>
    <w:rsid w:val="35D64063"/>
    <w:rsid w:val="35DC154A"/>
    <w:rsid w:val="35E74520"/>
    <w:rsid w:val="35F01B00"/>
    <w:rsid w:val="35F76A56"/>
    <w:rsid w:val="35FD03A5"/>
    <w:rsid w:val="36017203"/>
    <w:rsid w:val="3603777B"/>
    <w:rsid w:val="3605599D"/>
    <w:rsid w:val="360A1526"/>
    <w:rsid w:val="360A60B7"/>
    <w:rsid w:val="36105698"/>
    <w:rsid w:val="36110DD9"/>
    <w:rsid w:val="36162CAE"/>
    <w:rsid w:val="36236C09"/>
    <w:rsid w:val="36290BB0"/>
    <w:rsid w:val="362D6C52"/>
    <w:rsid w:val="363132FE"/>
    <w:rsid w:val="363E7805"/>
    <w:rsid w:val="363F39BB"/>
    <w:rsid w:val="365F0C57"/>
    <w:rsid w:val="36675436"/>
    <w:rsid w:val="366B3FF3"/>
    <w:rsid w:val="366E094A"/>
    <w:rsid w:val="367874A2"/>
    <w:rsid w:val="367B3979"/>
    <w:rsid w:val="367C7841"/>
    <w:rsid w:val="36805789"/>
    <w:rsid w:val="368716DF"/>
    <w:rsid w:val="369B7657"/>
    <w:rsid w:val="369F0DF6"/>
    <w:rsid w:val="36A673D9"/>
    <w:rsid w:val="36AB4205"/>
    <w:rsid w:val="36AC4240"/>
    <w:rsid w:val="36AD4808"/>
    <w:rsid w:val="36BE6EA2"/>
    <w:rsid w:val="36C828DB"/>
    <w:rsid w:val="36CD5FAC"/>
    <w:rsid w:val="36CF5607"/>
    <w:rsid w:val="36DA0A6A"/>
    <w:rsid w:val="36DE2E4F"/>
    <w:rsid w:val="36E16A4F"/>
    <w:rsid w:val="36EC5AA4"/>
    <w:rsid w:val="36EE7787"/>
    <w:rsid w:val="370E5B64"/>
    <w:rsid w:val="37113475"/>
    <w:rsid w:val="37130057"/>
    <w:rsid w:val="3713353A"/>
    <w:rsid w:val="374750E9"/>
    <w:rsid w:val="37476B9F"/>
    <w:rsid w:val="374E18EF"/>
    <w:rsid w:val="375021F0"/>
    <w:rsid w:val="375A6BCB"/>
    <w:rsid w:val="37652796"/>
    <w:rsid w:val="376E2995"/>
    <w:rsid w:val="377759CE"/>
    <w:rsid w:val="377A4B96"/>
    <w:rsid w:val="377E1242"/>
    <w:rsid w:val="37816524"/>
    <w:rsid w:val="37865B39"/>
    <w:rsid w:val="378D592E"/>
    <w:rsid w:val="378E4182"/>
    <w:rsid w:val="37923388"/>
    <w:rsid w:val="37A15EE7"/>
    <w:rsid w:val="37A506ED"/>
    <w:rsid w:val="37B010C8"/>
    <w:rsid w:val="37B96F92"/>
    <w:rsid w:val="37BD4800"/>
    <w:rsid w:val="37BF1981"/>
    <w:rsid w:val="37CD55EE"/>
    <w:rsid w:val="37D4193E"/>
    <w:rsid w:val="37DA5F5D"/>
    <w:rsid w:val="37F4173B"/>
    <w:rsid w:val="38085AEE"/>
    <w:rsid w:val="380A368A"/>
    <w:rsid w:val="38123949"/>
    <w:rsid w:val="381A7128"/>
    <w:rsid w:val="38217DF3"/>
    <w:rsid w:val="3823464A"/>
    <w:rsid w:val="382F44FB"/>
    <w:rsid w:val="38313518"/>
    <w:rsid w:val="384152A8"/>
    <w:rsid w:val="38443B14"/>
    <w:rsid w:val="3845787B"/>
    <w:rsid w:val="384855BD"/>
    <w:rsid w:val="38521F98"/>
    <w:rsid w:val="385D4AE1"/>
    <w:rsid w:val="385E31E1"/>
    <w:rsid w:val="38622BB2"/>
    <w:rsid w:val="38634DD3"/>
    <w:rsid w:val="38741004"/>
    <w:rsid w:val="387E2D8D"/>
    <w:rsid w:val="3886282A"/>
    <w:rsid w:val="389762E7"/>
    <w:rsid w:val="38A25413"/>
    <w:rsid w:val="38A345A1"/>
    <w:rsid w:val="38B939D2"/>
    <w:rsid w:val="38BD683E"/>
    <w:rsid w:val="38BF27BD"/>
    <w:rsid w:val="38C3013D"/>
    <w:rsid w:val="38C71166"/>
    <w:rsid w:val="38CA52C1"/>
    <w:rsid w:val="38CC58A6"/>
    <w:rsid w:val="38DF397E"/>
    <w:rsid w:val="38E34F46"/>
    <w:rsid w:val="38E60F46"/>
    <w:rsid w:val="38EA0422"/>
    <w:rsid w:val="38F12B4F"/>
    <w:rsid w:val="38FC2D8E"/>
    <w:rsid w:val="390D6B30"/>
    <w:rsid w:val="390E5EBF"/>
    <w:rsid w:val="39110B50"/>
    <w:rsid w:val="391F16F6"/>
    <w:rsid w:val="3925145A"/>
    <w:rsid w:val="3934169D"/>
    <w:rsid w:val="39454966"/>
    <w:rsid w:val="394A7E78"/>
    <w:rsid w:val="394E09B1"/>
    <w:rsid w:val="395B25CE"/>
    <w:rsid w:val="39783360"/>
    <w:rsid w:val="39783C80"/>
    <w:rsid w:val="397B4855"/>
    <w:rsid w:val="398B1679"/>
    <w:rsid w:val="39916AF0"/>
    <w:rsid w:val="399565E0"/>
    <w:rsid w:val="39AE31FE"/>
    <w:rsid w:val="39B0240B"/>
    <w:rsid w:val="39BD1FF4"/>
    <w:rsid w:val="39C12F31"/>
    <w:rsid w:val="39C51EFE"/>
    <w:rsid w:val="39C742BF"/>
    <w:rsid w:val="39D805FD"/>
    <w:rsid w:val="39DA3FF3"/>
    <w:rsid w:val="39DE0906"/>
    <w:rsid w:val="39DE59D3"/>
    <w:rsid w:val="39E71FBB"/>
    <w:rsid w:val="39E8637F"/>
    <w:rsid w:val="39EA50E1"/>
    <w:rsid w:val="3A1F14C3"/>
    <w:rsid w:val="3A2635EC"/>
    <w:rsid w:val="3A2E6DDA"/>
    <w:rsid w:val="3A4B3142"/>
    <w:rsid w:val="3A4C7506"/>
    <w:rsid w:val="3A4F1A7A"/>
    <w:rsid w:val="3A4F334D"/>
    <w:rsid w:val="3A52002D"/>
    <w:rsid w:val="3A554DB9"/>
    <w:rsid w:val="3A557A75"/>
    <w:rsid w:val="3A677ED7"/>
    <w:rsid w:val="3A6B3A9A"/>
    <w:rsid w:val="3A7D5737"/>
    <w:rsid w:val="3A805DB1"/>
    <w:rsid w:val="3A8521B0"/>
    <w:rsid w:val="3A875E50"/>
    <w:rsid w:val="3A8C70EB"/>
    <w:rsid w:val="3A9C399E"/>
    <w:rsid w:val="3AAB2040"/>
    <w:rsid w:val="3AAB598F"/>
    <w:rsid w:val="3AB4341A"/>
    <w:rsid w:val="3ABC194A"/>
    <w:rsid w:val="3ABE3914"/>
    <w:rsid w:val="3AC61CF0"/>
    <w:rsid w:val="3AD112E2"/>
    <w:rsid w:val="3AD273C0"/>
    <w:rsid w:val="3AD75C33"/>
    <w:rsid w:val="3ADB0022"/>
    <w:rsid w:val="3AF50988"/>
    <w:rsid w:val="3B0E416B"/>
    <w:rsid w:val="3B0E72EA"/>
    <w:rsid w:val="3B12280B"/>
    <w:rsid w:val="3B327183"/>
    <w:rsid w:val="3B3922CE"/>
    <w:rsid w:val="3B3A36C7"/>
    <w:rsid w:val="3B3D519A"/>
    <w:rsid w:val="3B4E6A46"/>
    <w:rsid w:val="3B5168E9"/>
    <w:rsid w:val="3B5754DC"/>
    <w:rsid w:val="3B5D52E4"/>
    <w:rsid w:val="3B5F6C2C"/>
    <w:rsid w:val="3B626E0F"/>
    <w:rsid w:val="3B6969C9"/>
    <w:rsid w:val="3B6E620C"/>
    <w:rsid w:val="3B710390"/>
    <w:rsid w:val="3B7346FF"/>
    <w:rsid w:val="3B7B2BCE"/>
    <w:rsid w:val="3B83223B"/>
    <w:rsid w:val="3B8F1C8B"/>
    <w:rsid w:val="3B9810D7"/>
    <w:rsid w:val="3B984165"/>
    <w:rsid w:val="3B9878E7"/>
    <w:rsid w:val="3B9A6D46"/>
    <w:rsid w:val="3BA42723"/>
    <w:rsid w:val="3BA448B8"/>
    <w:rsid w:val="3BA52738"/>
    <w:rsid w:val="3BAC0FF2"/>
    <w:rsid w:val="3BB6399A"/>
    <w:rsid w:val="3BC05CCB"/>
    <w:rsid w:val="3BC30810"/>
    <w:rsid w:val="3BC36C01"/>
    <w:rsid w:val="3BCA6236"/>
    <w:rsid w:val="3BD24A47"/>
    <w:rsid w:val="3BE407BC"/>
    <w:rsid w:val="3BF26D4D"/>
    <w:rsid w:val="3BF50A89"/>
    <w:rsid w:val="3BF53366"/>
    <w:rsid w:val="3BFF0480"/>
    <w:rsid w:val="3BFF5AAE"/>
    <w:rsid w:val="3C005556"/>
    <w:rsid w:val="3C007C35"/>
    <w:rsid w:val="3C0F77F7"/>
    <w:rsid w:val="3C145EE2"/>
    <w:rsid w:val="3C2A30AD"/>
    <w:rsid w:val="3C2A693F"/>
    <w:rsid w:val="3C3245FE"/>
    <w:rsid w:val="3C3B3264"/>
    <w:rsid w:val="3C4340D1"/>
    <w:rsid w:val="3C4733D1"/>
    <w:rsid w:val="3C575E36"/>
    <w:rsid w:val="3C582FEB"/>
    <w:rsid w:val="3C636C41"/>
    <w:rsid w:val="3C6A01A7"/>
    <w:rsid w:val="3C6C6ECC"/>
    <w:rsid w:val="3C7544A7"/>
    <w:rsid w:val="3C813932"/>
    <w:rsid w:val="3C857DEE"/>
    <w:rsid w:val="3C96638B"/>
    <w:rsid w:val="3C986744"/>
    <w:rsid w:val="3CA43041"/>
    <w:rsid w:val="3CBF30E3"/>
    <w:rsid w:val="3CC476A8"/>
    <w:rsid w:val="3CC84F02"/>
    <w:rsid w:val="3CCA25E7"/>
    <w:rsid w:val="3CD613E9"/>
    <w:rsid w:val="3CED5F45"/>
    <w:rsid w:val="3CF55391"/>
    <w:rsid w:val="3CF6690D"/>
    <w:rsid w:val="3CFB3134"/>
    <w:rsid w:val="3D132237"/>
    <w:rsid w:val="3D1D1252"/>
    <w:rsid w:val="3D1F0407"/>
    <w:rsid w:val="3D23136D"/>
    <w:rsid w:val="3D2523FB"/>
    <w:rsid w:val="3D2832C7"/>
    <w:rsid w:val="3D2F18A4"/>
    <w:rsid w:val="3D3B1344"/>
    <w:rsid w:val="3D464256"/>
    <w:rsid w:val="3D52414F"/>
    <w:rsid w:val="3D55085C"/>
    <w:rsid w:val="3D647164"/>
    <w:rsid w:val="3D6E33A1"/>
    <w:rsid w:val="3D6E7B55"/>
    <w:rsid w:val="3D6F0EF6"/>
    <w:rsid w:val="3D736B9E"/>
    <w:rsid w:val="3D7A0C68"/>
    <w:rsid w:val="3D832B7C"/>
    <w:rsid w:val="3D8919C3"/>
    <w:rsid w:val="3D8D3424"/>
    <w:rsid w:val="3D9A6E6F"/>
    <w:rsid w:val="3D9B618F"/>
    <w:rsid w:val="3DA85494"/>
    <w:rsid w:val="3DA86A8F"/>
    <w:rsid w:val="3DA9265A"/>
    <w:rsid w:val="3DA93324"/>
    <w:rsid w:val="3DAD421A"/>
    <w:rsid w:val="3DB77DC4"/>
    <w:rsid w:val="3DB91977"/>
    <w:rsid w:val="3DC13B44"/>
    <w:rsid w:val="3DCD32B2"/>
    <w:rsid w:val="3DD32C78"/>
    <w:rsid w:val="3DD84B86"/>
    <w:rsid w:val="3DE6740A"/>
    <w:rsid w:val="3DEA5635"/>
    <w:rsid w:val="3DEE7D68"/>
    <w:rsid w:val="3DEF7DB1"/>
    <w:rsid w:val="3DF72918"/>
    <w:rsid w:val="3DFC4E7F"/>
    <w:rsid w:val="3E03262E"/>
    <w:rsid w:val="3E06143E"/>
    <w:rsid w:val="3E19375F"/>
    <w:rsid w:val="3E224DCC"/>
    <w:rsid w:val="3E2E48DE"/>
    <w:rsid w:val="3E2E6CFD"/>
    <w:rsid w:val="3E30164A"/>
    <w:rsid w:val="3E3F4EBB"/>
    <w:rsid w:val="3E456998"/>
    <w:rsid w:val="3E48254B"/>
    <w:rsid w:val="3E4D02E7"/>
    <w:rsid w:val="3E636CAD"/>
    <w:rsid w:val="3E670DF8"/>
    <w:rsid w:val="3E6865D3"/>
    <w:rsid w:val="3E76169E"/>
    <w:rsid w:val="3E776D92"/>
    <w:rsid w:val="3E7C7AA0"/>
    <w:rsid w:val="3E895FE7"/>
    <w:rsid w:val="3E8E22E1"/>
    <w:rsid w:val="3E9338ED"/>
    <w:rsid w:val="3E9B4ACA"/>
    <w:rsid w:val="3EA90437"/>
    <w:rsid w:val="3EB72B54"/>
    <w:rsid w:val="3EB909A3"/>
    <w:rsid w:val="3EC81B6A"/>
    <w:rsid w:val="3ECC1049"/>
    <w:rsid w:val="3ED20477"/>
    <w:rsid w:val="3EDB1C5A"/>
    <w:rsid w:val="3EEE6BAB"/>
    <w:rsid w:val="3EF33C53"/>
    <w:rsid w:val="3EF63BD9"/>
    <w:rsid w:val="3F122481"/>
    <w:rsid w:val="3F224CDF"/>
    <w:rsid w:val="3F2E4245"/>
    <w:rsid w:val="3F323817"/>
    <w:rsid w:val="3F367907"/>
    <w:rsid w:val="3F375A43"/>
    <w:rsid w:val="3F376FE4"/>
    <w:rsid w:val="3F3921DA"/>
    <w:rsid w:val="3F4026A8"/>
    <w:rsid w:val="3F546C47"/>
    <w:rsid w:val="3F59508D"/>
    <w:rsid w:val="3F5D194E"/>
    <w:rsid w:val="3F6031EC"/>
    <w:rsid w:val="3F8574FE"/>
    <w:rsid w:val="3F910DD4"/>
    <w:rsid w:val="3F924BD0"/>
    <w:rsid w:val="3F9904AC"/>
    <w:rsid w:val="3F9B06C8"/>
    <w:rsid w:val="3F9B35A2"/>
    <w:rsid w:val="3FAD56A8"/>
    <w:rsid w:val="3FB3378C"/>
    <w:rsid w:val="3FBD3F0C"/>
    <w:rsid w:val="3FC07036"/>
    <w:rsid w:val="3FC6795B"/>
    <w:rsid w:val="3FD16032"/>
    <w:rsid w:val="3FD47EB4"/>
    <w:rsid w:val="3FDB47E3"/>
    <w:rsid w:val="3FDF7B35"/>
    <w:rsid w:val="3FEE3093"/>
    <w:rsid w:val="40023BB0"/>
    <w:rsid w:val="400C5D10"/>
    <w:rsid w:val="401069C0"/>
    <w:rsid w:val="401713C6"/>
    <w:rsid w:val="40272630"/>
    <w:rsid w:val="402C1320"/>
    <w:rsid w:val="40307062"/>
    <w:rsid w:val="403C0068"/>
    <w:rsid w:val="40622FD0"/>
    <w:rsid w:val="40632F94"/>
    <w:rsid w:val="406374B4"/>
    <w:rsid w:val="406A4E6A"/>
    <w:rsid w:val="407C1A68"/>
    <w:rsid w:val="407E41B2"/>
    <w:rsid w:val="407F35F0"/>
    <w:rsid w:val="407F6492"/>
    <w:rsid w:val="408A05ED"/>
    <w:rsid w:val="40940184"/>
    <w:rsid w:val="40A21439"/>
    <w:rsid w:val="40A67D91"/>
    <w:rsid w:val="40B530C4"/>
    <w:rsid w:val="40B8594E"/>
    <w:rsid w:val="40B94AD2"/>
    <w:rsid w:val="40C515B6"/>
    <w:rsid w:val="40D47ACF"/>
    <w:rsid w:val="40D55514"/>
    <w:rsid w:val="40E53492"/>
    <w:rsid w:val="40F71D63"/>
    <w:rsid w:val="41032081"/>
    <w:rsid w:val="410B48F3"/>
    <w:rsid w:val="41132F9E"/>
    <w:rsid w:val="41193E37"/>
    <w:rsid w:val="41406E31"/>
    <w:rsid w:val="41416411"/>
    <w:rsid w:val="4147026B"/>
    <w:rsid w:val="41474664"/>
    <w:rsid w:val="41603487"/>
    <w:rsid w:val="41626922"/>
    <w:rsid w:val="4165230C"/>
    <w:rsid w:val="41652D3C"/>
    <w:rsid w:val="4170490C"/>
    <w:rsid w:val="41720FB5"/>
    <w:rsid w:val="417E5BAB"/>
    <w:rsid w:val="41875CAC"/>
    <w:rsid w:val="418F5CEA"/>
    <w:rsid w:val="41912A36"/>
    <w:rsid w:val="41913A7C"/>
    <w:rsid w:val="41A26008"/>
    <w:rsid w:val="41A43552"/>
    <w:rsid w:val="41B24187"/>
    <w:rsid w:val="41B45A71"/>
    <w:rsid w:val="41B96BE3"/>
    <w:rsid w:val="41C30908"/>
    <w:rsid w:val="41C71BC2"/>
    <w:rsid w:val="41CA2B9F"/>
    <w:rsid w:val="41CA2CB6"/>
    <w:rsid w:val="41CB3C23"/>
    <w:rsid w:val="41CD5EE4"/>
    <w:rsid w:val="41CF6407"/>
    <w:rsid w:val="41D91E3C"/>
    <w:rsid w:val="41DC106B"/>
    <w:rsid w:val="41E73751"/>
    <w:rsid w:val="42195D2D"/>
    <w:rsid w:val="421B22DC"/>
    <w:rsid w:val="42243806"/>
    <w:rsid w:val="42297E0A"/>
    <w:rsid w:val="42403830"/>
    <w:rsid w:val="424200D8"/>
    <w:rsid w:val="42440E69"/>
    <w:rsid w:val="42520D51"/>
    <w:rsid w:val="42554B5E"/>
    <w:rsid w:val="4255690C"/>
    <w:rsid w:val="425C0D20"/>
    <w:rsid w:val="42613AF3"/>
    <w:rsid w:val="42693B95"/>
    <w:rsid w:val="426F7E24"/>
    <w:rsid w:val="42733236"/>
    <w:rsid w:val="428142EF"/>
    <w:rsid w:val="42855794"/>
    <w:rsid w:val="429F227D"/>
    <w:rsid w:val="42B40FCC"/>
    <w:rsid w:val="42BD527C"/>
    <w:rsid w:val="42C13EB9"/>
    <w:rsid w:val="42C24FC5"/>
    <w:rsid w:val="42CB6BCE"/>
    <w:rsid w:val="42D206E8"/>
    <w:rsid w:val="42D24401"/>
    <w:rsid w:val="42D40A9C"/>
    <w:rsid w:val="42D7324A"/>
    <w:rsid w:val="42EE6613"/>
    <w:rsid w:val="42F02AD9"/>
    <w:rsid w:val="42F54A3F"/>
    <w:rsid w:val="42F6296F"/>
    <w:rsid w:val="430137E9"/>
    <w:rsid w:val="430976F7"/>
    <w:rsid w:val="430D71E7"/>
    <w:rsid w:val="431A58DF"/>
    <w:rsid w:val="431B75B2"/>
    <w:rsid w:val="431D5A70"/>
    <w:rsid w:val="43301127"/>
    <w:rsid w:val="43385301"/>
    <w:rsid w:val="434E7C40"/>
    <w:rsid w:val="435369C1"/>
    <w:rsid w:val="43543068"/>
    <w:rsid w:val="43590C88"/>
    <w:rsid w:val="435A2640"/>
    <w:rsid w:val="435B06CF"/>
    <w:rsid w:val="435E22AD"/>
    <w:rsid w:val="436467F7"/>
    <w:rsid w:val="43671615"/>
    <w:rsid w:val="4367629A"/>
    <w:rsid w:val="436A0F38"/>
    <w:rsid w:val="437004D9"/>
    <w:rsid w:val="43786124"/>
    <w:rsid w:val="438507C3"/>
    <w:rsid w:val="43A77C65"/>
    <w:rsid w:val="43AE0137"/>
    <w:rsid w:val="43B14E46"/>
    <w:rsid w:val="43B21E6E"/>
    <w:rsid w:val="43BB1A82"/>
    <w:rsid w:val="43CC2BFE"/>
    <w:rsid w:val="43CD10E1"/>
    <w:rsid w:val="43D1226F"/>
    <w:rsid w:val="43D14A1D"/>
    <w:rsid w:val="43DA78A7"/>
    <w:rsid w:val="43E268C5"/>
    <w:rsid w:val="43E671DC"/>
    <w:rsid w:val="43FF7BAC"/>
    <w:rsid w:val="4412205D"/>
    <w:rsid w:val="441229F7"/>
    <w:rsid w:val="44134749"/>
    <w:rsid w:val="441E71D2"/>
    <w:rsid w:val="442712BB"/>
    <w:rsid w:val="442D61D8"/>
    <w:rsid w:val="442D7735"/>
    <w:rsid w:val="443B5FD6"/>
    <w:rsid w:val="443F71F8"/>
    <w:rsid w:val="44433302"/>
    <w:rsid w:val="444C1712"/>
    <w:rsid w:val="444E04C2"/>
    <w:rsid w:val="44650EE6"/>
    <w:rsid w:val="446B0669"/>
    <w:rsid w:val="44720FAB"/>
    <w:rsid w:val="4472318E"/>
    <w:rsid w:val="447D61B9"/>
    <w:rsid w:val="447E372D"/>
    <w:rsid w:val="449142FD"/>
    <w:rsid w:val="449569FD"/>
    <w:rsid w:val="44996900"/>
    <w:rsid w:val="449A32D6"/>
    <w:rsid w:val="449B0240"/>
    <w:rsid w:val="44A1408B"/>
    <w:rsid w:val="44B91F2A"/>
    <w:rsid w:val="44C54AB2"/>
    <w:rsid w:val="44C85078"/>
    <w:rsid w:val="44D535C8"/>
    <w:rsid w:val="44E126D9"/>
    <w:rsid w:val="44E346A3"/>
    <w:rsid w:val="44E4041B"/>
    <w:rsid w:val="44E977E0"/>
    <w:rsid w:val="44EF1026"/>
    <w:rsid w:val="44FB69EE"/>
    <w:rsid w:val="44FF2E5D"/>
    <w:rsid w:val="45007340"/>
    <w:rsid w:val="450665E4"/>
    <w:rsid w:val="450A0AA9"/>
    <w:rsid w:val="450A0C18"/>
    <w:rsid w:val="451370B4"/>
    <w:rsid w:val="45144DBC"/>
    <w:rsid w:val="45147AA1"/>
    <w:rsid w:val="45155521"/>
    <w:rsid w:val="45156827"/>
    <w:rsid w:val="451E392D"/>
    <w:rsid w:val="4522311D"/>
    <w:rsid w:val="45293329"/>
    <w:rsid w:val="452A4420"/>
    <w:rsid w:val="453401B9"/>
    <w:rsid w:val="45440D78"/>
    <w:rsid w:val="454D5220"/>
    <w:rsid w:val="455F590C"/>
    <w:rsid w:val="456357E4"/>
    <w:rsid w:val="45773159"/>
    <w:rsid w:val="457C0EC6"/>
    <w:rsid w:val="457D413B"/>
    <w:rsid w:val="45815C6A"/>
    <w:rsid w:val="45852AFF"/>
    <w:rsid w:val="45865481"/>
    <w:rsid w:val="458B5CA6"/>
    <w:rsid w:val="458F028D"/>
    <w:rsid w:val="45903ED4"/>
    <w:rsid w:val="45936E26"/>
    <w:rsid w:val="45A81449"/>
    <w:rsid w:val="45AF5471"/>
    <w:rsid w:val="45B33C10"/>
    <w:rsid w:val="45B8585D"/>
    <w:rsid w:val="45B93656"/>
    <w:rsid w:val="45B943AD"/>
    <w:rsid w:val="45C35A92"/>
    <w:rsid w:val="45E22BAD"/>
    <w:rsid w:val="45E433E3"/>
    <w:rsid w:val="45E6293B"/>
    <w:rsid w:val="45F26C2A"/>
    <w:rsid w:val="45F73B36"/>
    <w:rsid w:val="45FF2766"/>
    <w:rsid w:val="460E39A2"/>
    <w:rsid w:val="461B1C1B"/>
    <w:rsid w:val="463D3DA2"/>
    <w:rsid w:val="464130D5"/>
    <w:rsid w:val="46491D56"/>
    <w:rsid w:val="464D718D"/>
    <w:rsid w:val="464F674F"/>
    <w:rsid w:val="465C2096"/>
    <w:rsid w:val="46674E60"/>
    <w:rsid w:val="466B0878"/>
    <w:rsid w:val="46733BA1"/>
    <w:rsid w:val="4678706D"/>
    <w:rsid w:val="467E748A"/>
    <w:rsid w:val="467F4E94"/>
    <w:rsid w:val="46935C55"/>
    <w:rsid w:val="469915E5"/>
    <w:rsid w:val="469A4C2E"/>
    <w:rsid w:val="46B502C1"/>
    <w:rsid w:val="46B7683C"/>
    <w:rsid w:val="46B86D90"/>
    <w:rsid w:val="46B91FEC"/>
    <w:rsid w:val="46BF4C9C"/>
    <w:rsid w:val="46C910BD"/>
    <w:rsid w:val="46D24BA2"/>
    <w:rsid w:val="46D4115F"/>
    <w:rsid w:val="46D63809"/>
    <w:rsid w:val="46D640A7"/>
    <w:rsid w:val="46D755AD"/>
    <w:rsid w:val="46DF2EEC"/>
    <w:rsid w:val="46EB2A4C"/>
    <w:rsid w:val="46EB77B3"/>
    <w:rsid w:val="46EC3F9B"/>
    <w:rsid w:val="46EE5368"/>
    <w:rsid w:val="46FE3CE1"/>
    <w:rsid w:val="47060EEE"/>
    <w:rsid w:val="47082986"/>
    <w:rsid w:val="470B7EE1"/>
    <w:rsid w:val="47142E75"/>
    <w:rsid w:val="471625F2"/>
    <w:rsid w:val="47264E3C"/>
    <w:rsid w:val="4731186A"/>
    <w:rsid w:val="473E467A"/>
    <w:rsid w:val="47424AD1"/>
    <w:rsid w:val="474653BD"/>
    <w:rsid w:val="474C5C41"/>
    <w:rsid w:val="474F7338"/>
    <w:rsid w:val="475C0558"/>
    <w:rsid w:val="476F7C8A"/>
    <w:rsid w:val="477C1626"/>
    <w:rsid w:val="477C2B8D"/>
    <w:rsid w:val="477D2B79"/>
    <w:rsid w:val="477E3B4C"/>
    <w:rsid w:val="478B7EBB"/>
    <w:rsid w:val="47974D2B"/>
    <w:rsid w:val="479942A0"/>
    <w:rsid w:val="47AF2F63"/>
    <w:rsid w:val="47AF6ABF"/>
    <w:rsid w:val="47BA7999"/>
    <w:rsid w:val="47C13872"/>
    <w:rsid w:val="47CA7D9C"/>
    <w:rsid w:val="47CB141F"/>
    <w:rsid w:val="47D106ED"/>
    <w:rsid w:val="47E24383"/>
    <w:rsid w:val="47E54B9B"/>
    <w:rsid w:val="47E631AF"/>
    <w:rsid w:val="47ED75E7"/>
    <w:rsid w:val="47F45617"/>
    <w:rsid w:val="47FB1D04"/>
    <w:rsid w:val="480120F2"/>
    <w:rsid w:val="48052B82"/>
    <w:rsid w:val="480908C5"/>
    <w:rsid w:val="4811359B"/>
    <w:rsid w:val="481608EC"/>
    <w:rsid w:val="481E4E36"/>
    <w:rsid w:val="482464BF"/>
    <w:rsid w:val="48261EA7"/>
    <w:rsid w:val="48466CC2"/>
    <w:rsid w:val="484B4B8C"/>
    <w:rsid w:val="484F2050"/>
    <w:rsid w:val="484F5E1C"/>
    <w:rsid w:val="48515DC8"/>
    <w:rsid w:val="48520F48"/>
    <w:rsid w:val="485607CC"/>
    <w:rsid w:val="485D28DB"/>
    <w:rsid w:val="48662A4B"/>
    <w:rsid w:val="4867383D"/>
    <w:rsid w:val="486C49B0"/>
    <w:rsid w:val="486E20AF"/>
    <w:rsid w:val="486F3AF2"/>
    <w:rsid w:val="48740B7B"/>
    <w:rsid w:val="48752BD8"/>
    <w:rsid w:val="487565F2"/>
    <w:rsid w:val="48757EC8"/>
    <w:rsid w:val="487A4230"/>
    <w:rsid w:val="48A07C1D"/>
    <w:rsid w:val="48B16B7D"/>
    <w:rsid w:val="48B3438D"/>
    <w:rsid w:val="48C220F3"/>
    <w:rsid w:val="48CC4405"/>
    <w:rsid w:val="48CC7523"/>
    <w:rsid w:val="48D91E89"/>
    <w:rsid w:val="48E04309"/>
    <w:rsid w:val="48FC21D7"/>
    <w:rsid w:val="490746D8"/>
    <w:rsid w:val="490C077C"/>
    <w:rsid w:val="490D04EA"/>
    <w:rsid w:val="49113969"/>
    <w:rsid w:val="493D22DB"/>
    <w:rsid w:val="49490796"/>
    <w:rsid w:val="494F73CC"/>
    <w:rsid w:val="49557B3A"/>
    <w:rsid w:val="495F7BE3"/>
    <w:rsid w:val="4962066D"/>
    <w:rsid w:val="49701657"/>
    <w:rsid w:val="49785D30"/>
    <w:rsid w:val="49912A46"/>
    <w:rsid w:val="49925DC2"/>
    <w:rsid w:val="499433DC"/>
    <w:rsid w:val="499B75E7"/>
    <w:rsid w:val="499B7E4D"/>
    <w:rsid w:val="49AA09A8"/>
    <w:rsid w:val="49AD4432"/>
    <w:rsid w:val="49AD4695"/>
    <w:rsid w:val="49AE60A8"/>
    <w:rsid w:val="49B10B60"/>
    <w:rsid w:val="49BB452F"/>
    <w:rsid w:val="49C312A6"/>
    <w:rsid w:val="49C32CF5"/>
    <w:rsid w:val="49D2347A"/>
    <w:rsid w:val="49D72BE7"/>
    <w:rsid w:val="49DB3D85"/>
    <w:rsid w:val="49E04914"/>
    <w:rsid w:val="49EB7B56"/>
    <w:rsid w:val="49EB7F45"/>
    <w:rsid w:val="49EE26D9"/>
    <w:rsid w:val="49F063B3"/>
    <w:rsid w:val="49F16684"/>
    <w:rsid w:val="49FA5FEB"/>
    <w:rsid w:val="4A05330E"/>
    <w:rsid w:val="4A0F5F3A"/>
    <w:rsid w:val="4A1323A4"/>
    <w:rsid w:val="4A1638B0"/>
    <w:rsid w:val="4A2E75A4"/>
    <w:rsid w:val="4A3A3BEB"/>
    <w:rsid w:val="4A3C0639"/>
    <w:rsid w:val="4A546892"/>
    <w:rsid w:val="4A6F17A6"/>
    <w:rsid w:val="4A77763C"/>
    <w:rsid w:val="4A7B7BE8"/>
    <w:rsid w:val="4A895C4E"/>
    <w:rsid w:val="4A8A3DBA"/>
    <w:rsid w:val="4A8B3549"/>
    <w:rsid w:val="4A8C30E7"/>
    <w:rsid w:val="4A8C4A78"/>
    <w:rsid w:val="4A905179"/>
    <w:rsid w:val="4AA46D5D"/>
    <w:rsid w:val="4AA63559"/>
    <w:rsid w:val="4AA85A47"/>
    <w:rsid w:val="4AB85386"/>
    <w:rsid w:val="4AC34182"/>
    <w:rsid w:val="4AC72371"/>
    <w:rsid w:val="4ACA1FE5"/>
    <w:rsid w:val="4ACE1952"/>
    <w:rsid w:val="4AD74667"/>
    <w:rsid w:val="4ADE7362"/>
    <w:rsid w:val="4AF018C8"/>
    <w:rsid w:val="4AF953CF"/>
    <w:rsid w:val="4B01756A"/>
    <w:rsid w:val="4B056663"/>
    <w:rsid w:val="4B155BC8"/>
    <w:rsid w:val="4B1B446B"/>
    <w:rsid w:val="4B1F10C5"/>
    <w:rsid w:val="4B1F5D09"/>
    <w:rsid w:val="4B2257F9"/>
    <w:rsid w:val="4B3C2D5F"/>
    <w:rsid w:val="4B46597F"/>
    <w:rsid w:val="4B521CCC"/>
    <w:rsid w:val="4B525B6F"/>
    <w:rsid w:val="4B67117B"/>
    <w:rsid w:val="4B674009"/>
    <w:rsid w:val="4B6E6C91"/>
    <w:rsid w:val="4B78480D"/>
    <w:rsid w:val="4B7A3887"/>
    <w:rsid w:val="4B83098E"/>
    <w:rsid w:val="4B884AF7"/>
    <w:rsid w:val="4B8A0051"/>
    <w:rsid w:val="4B95649A"/>
    <w:rsid w:val="4B9D30D2"/>
    <w:rsid w:val="4BA02C73"/>
    <w:rsid w:val="4BA34CDE"/>
    <w:rsid w:val="4BA54928"/>
    <w:rsid w:val="4BAC361F"/>
    <w:rsid w:val="4BB90742"/>
    <w:rsid w:val="4BC053FB"/>
    <w:rsid w:val="4BC311DC"/>
    <w:rsid w:val="4BC64EC4"/>
    <w:rsid w:val="4BCB1D43"/>
    <w:rsid w:val="4BD21BD6"/>
    <w:rsid w:val="4BE536F9"/>
    <w:rsid w:val="4BEB208F"/>
    <w:rsid w:val="4BF1769D"/>
    <w:rsid w:val="4BFE0015"/>
    <w:rsid w:val="4C033AEE"/>
    <w:rsid w:val="4C072974"/>
    <w:rsid w:val="4C0F3FD0"/>
    <w:rsid w:val="4C134F84"/>
    <w:rsid w:val="4C1B7790"/>
    <w:rsid w:val="4C1E6B55"/>
    <w:rsid w:val="4C26756B"/>
    <w:rsid w:val="4C35155C"/>
    <w:rsid w:val="4C383DD3"/>
    <w:rsid w:val="4C384C57"/>
    <w:rsid w:val="4C4404DB"/>
    <w:rsid w:val="4C516396"/>
    <w:rsid w:val="4C6360CA"/>
    <w:rsid w:val="4C645EB9"/>
    <w:rsid w:val="4C67308A"/>
    <w:rsid w:val="4C7937CE"/>
    <w:rsid w:val="4C8137BB"/>
    <w:rsid w:val="4C881934"/>
    <w:rsid w:val="4C9038F3"/>
    <w:rsid w:val="4CA33D63"/>
    <w:rsid w:val="4CA70190"/>
    <w:rsid w:val="4CAA239A"/>
    <w:rsid w:val="4CAA35F2"/>
    <w:rsid w:val="4CB64219"/>
    <w:rsid w:val="4CBD3A2C"/>
    <w:rsid w:val="4CC24F8D"/>
    <w:rsid w:val="4CCF62B8"/>
    <w:rsid w:val="4CD20C6F"/>
    <w:rsid w:val="4CD97FAC"/>
    <w:rsid w:val="4CE072A8"/>
    <w:rsid w:val="4CE0748D"/>
    <w:rsid w:val="4CF3569F"/>
    <w:rsid w:val="4CF35EEC"/>
    <w:rsid w:val="4CF57E8F"/>
    <w:rsid w:val="4D060CA7"/>
    <w:rsid w:val="4D094EC3"/>
    <w:rsid w:val="4D1B69A4"/>
    <w:rsid w:val="4D1F0A20"/>
    <w:rsid w:val="4D2B308B"/>
    <w:rsid w:val="4D335026"/>
    <w:rsid w:val="4D356797"/>
    <w:rsid w:val="4D363C4C"/>
    <w:rsid w:val="4D3F2693"/>
    <w:rsid w:val="4D413ABE"/>
    <w:rsid w:val="4D472603"/>
    <w:rsid w:val="4D4E6D7A"/>
    <w:rsid w:val="4D5C1852"/>
    <w:rsid w:val="4D634AF9"/>
    <w:rsid w:val="4D6B7F97"/>
    <w:rsid w:val="4D770B5F"/>
    <w:rsid w:val="4D7D07A9"/>
    <w:rsid w:val="4D7E7BCA"/>
    <w:rsid w:val="4D866514"/>
    <w:rsid w:val="4DA57429"/>
    <w:rsid w:val="4DA84B2D"/>
    <w:rsid w:val="4DC1775A"/>
    <w:rsid w:val="4DC7052A"/>
    <w:rsid w:val="4DC94510"/>
    <w:rsid w:val="4DC9726E"/>
    <w:rsid w:val="4DD21759"/>
    <w:rsid w:val="4DD317D3"/>
    <w:rsid w:val="4DDD1D27"/>
    <w:rsid w:val="4DE01999"/>
    <w:rsid w:val="4DE4148C"/>
    <w:rsid w:val="4DF23F3B"/>
    <w:rsid w:val="4DF5471B"/>
    <w:rsid w:val="4DF65813"/>
    <w:rsid w:val="4DF806E9"/>
    <w:rsid w:val="4E0D09E3"/>
    <w:rsid w:val="4E21054A"/>
    <w:rsid w:val="4E3156F1"/>
    <w:rsid w:val="4E373C44"/>
    <w:rsid w:val="4E42614F"/>
    <w:rsid w:val="4E4A12EF"/>
    <w:rsid w:val="4E5126E0"/>
    <w:rsid w:val="4E5959D6"/>
    <w:rsid w:val="4E5C54C6"/>
    <w:rsid w:val="4E6275A4"/>
    <w:rsid w:val="4E6D76D3"/>
    <w:rsid w:val="4E6F0D56"/>
    <w:rsid w:val="4E7740AE"/>
    <w:rsid w:val="4E7C1327"/>
    <w:rsid w:val="4E7F5A78"/>
    <w:rsid w:val="4E8051B9"/>
    <w:rsid w:val="4E810A89"/>
    <w:rsid w:val="4E8B7676"/>
    <w:rsid w:val="4E942D21"/>
    <w:rsid w:val="4EA13FBA"/>
    <w:rsid w:val="4EA4100F"/>
    <w:rsid w:val="4EA727A5"/>
    <w:rsid w:val="4EB7258D"/>
    <w:rsid w:val="4EB96475"/>
    <w:rsid w:val="4ED573B9"/>
    <w:rsid w:val="4ED70DD3"/>
    <w:rsid w:val="4EE008FE"/>
    <w:rsid w:val="4EF95DC6"/>
    <w:rsid w:val="4EFD5951"/>
    <w:rsid w:val="4F0B5DF8"/>
    <w:rsid w:val="4F0F2539"/>
    <w:rsid w:val="4F11017C"/>
    <w:rsid w:val="4F124446"/>
    <w:rsid w:val="4F1E3617"/>
    <w:rsid w:val="4F412709"/>
    <w:rsid w:val="4F450787"/>
    <w:rsid w:val="4F4809DD"/>
    <w:rsid w:val="4F486359"/>
    <w:rsid w:val="4F4C1064"/>
    <w:rsid w:val="4F52671E"/>
    <w:rsid w:val="4F544BC0"/>
    <w:rsid w:val="4F5E1F23"/>
    <w:rsid w:val="4F714EEB"/>
    <w:rsid w:val="4F772E6E"/>
    <w:rsid w:val="4F77676A"/>
    <w:rsid w:val="4F815A58"/>
    <w:rsid w:val="4F830CA1"/>
    <w:rsid w:val="4F9C201E"/>
    <w:rsid w:val="4F9F022F"/>
    <w:rsid w:val="4FA002AA"/>
    <w:rsid w:val="4FA014A2"/>
    <w:rsid w:val="4FB26AD9"/>
    <w:rsid w:val="4FC21359"/>
    <w:rsid w:val="4FC34284"/>
    <w:rsid w:val="4FC6443E"/>
    <w:rsid w:val="4FD224BE"/>
    <w:rsid w:val="4FD964BE"/>
    <w:rsid w:val="4FDF2531"/>
    <w:rsid w:val="4FE64C1E"/>
    <w:rsid w:val="4FEF1DA6"/>
    <w:rsid w:val="50004A95"/>
    <w:rsid w:val="50010C61"/>
    <w:rsid w:val="50066FB3"/>
    <w:rsid w:val="500B71A4"/>
    <w:rsid w:val="500D54F6"/>
    <w:rsid w:val="501004A0"/>
    <w:rsid w:val="501222E0"/>
    <w:rsid w:val="50137F4A"/>
    <w:rsid w:val="50173D37"/>
    <w:rsid w:val="5029007C"/>
    <w:rsid w:val="503660C0"/>
    <w:rsid w:val="503A2B14"/>
    <w:rsid w:val="504F52E3"/>
    <w:rsid w:val="50504BB7"/>
    <w:rsid w:val="50521801"/>
    <w:rsid w:val="5055041F"/>
    <w:rsid w:val="50626FC5"/>
    <w:rsid w:val="506724CA"/>
    <w:rsid w:val="507E02A3"/>
    <w:rsid w:val="5080549C"/>
    <w:rsid w:val="508C757F"/>
    <w:rsid w:val="508D33B3"/>
    <w:rsid w:val="509740B3"/>
    <w:rsid w:val="509A0660"/>
    <w:rsid w:val="50A2437E"/>
    <w:rsid w:val="50A83174"/>
    <w:rsid w:val="50AB7422"/>
    <w:rsid w:val="50AC4D4C"/>
    <w:rsid w:val="50B05FAB"/>
    <w:rsid w:val="50B51408"/>
    <w:rsid w:val="50B746F8"/>
    <w:rsid w:val="50BA0B94"/>
    <w:rsid w:val="50C620C8"/>
    <w:rsid w:val="50CF22E7"/>
    <w:rsid w:val="50DA0CCD"/>
    <w:rsid w:val="50E023DF"/>
    <w:rsid w:val="50ED1DB8"/>
    <w:rsid w:val="50EF617E"/>
    <w:rsid w:val="50F31D4C"/>
    <w:rsid w:val="50F47C38"/>
    <w:rsid w:val="50F94B1C"/>
    <w:rsid w:val="51020252"/>
    <w:rsid w:val="511D0051"/>
    <w:rsid w:val="5126392B"/>
    <w:rsid w:val="51275E60"/>
    <w:rsid w:val="513B4FE6"/>
    <w:rsid w:val="514706F0"/>
    <w:rsid w:val="5156345E"/>
    <w:rsid w:val="515A20ED"/>
    <w:rsid w:val="51600E2A"/>
    <w:rsid w:val="51694D24"/>
    <w:rsid w:val="517472A2"/>
    <w:rsid w:val="51751CA6"/>
    <w:rsid w:val="51780B1C"/>
    <w:rsid w:val="51791EEB"/>
    <w:rsid w:val="51856AE2"/>
    <w:rsid w:val="519C6CAE"/>
    <w:rsid w:val="51A72E00"/>
    <w:rsid w:val="51AE58E9"/>
    <w:rsid w:val="51B832C3"/>
    <w:rsid w:val="51DA6E2E"/>
    <w:rsid w:val="51DE269C"/>
    <w:rsid w:val="51E63A25"/>
    <w:rsid w:val="51F3498B"/>
    <w:rsid w:val="520E0886"/>
    <w:rsid w:val="52114B18"/>
    <w:rsid w:val="52176D48"/>
    <w:rsid w:val="52262073"/>
    <w:rsid w:val="522709FC"/>
    <w:rsid w:val="52330F24"/>
    <w:rsid w:val="5236211A"/>
    <w:rsid w:val="524167D2"/>
    <w:rsid w:val="52626275"/>
    <w:rsid w:val="526327CD"/>
    <w:rsid w:val="52653410"/>
    <w:rsid w:val="528658CC"/>
    <w:rsid w:val="5290625E"/>
    <w:rsid w:val="529333A5"/>
    <w:rsid w:val="529F4C29"/>
    <w:rsid w:val="52A336C4"/>
    <w:rsid w:val="52A5620A"/>
    <w:rsid w:val="52AA121E"/>
    <w:rsid w:val="52B05C17"/>
    <w:rsid w:val="52B47AF8"/>
    <w:rsid w:val="52B50F48"/>
    <w:rsid w:val="52B72CCB"/>
    <w:rsid w:val="52C07935"/>
    <w:rsid w:val="52CD24EF"/>
    <w:rsid w:val="52D853DF"/>
    <w:rsid w:val="52DC143A"/>
    <w:rsid w:val="52E32645"/>
    <w:rsid w:val="52E76F18"/>
    <w:rsid w:val="52EF6909"/>
    <w:rsid w:val="52FA39B7"/>
    <w:rsid w:val="53113D7C"/>
    <w:rsid w:val="531620E8"/>
    <w:rsid w:val="531A282E"/>
    <w:rsid w:val="531E6088"/>
    <w:rsid w:val="531F2787"/>
    <w:rsid w:val="532636A9"/>
    <w:rsid w:val="532D2387"/>
    <w:rsid w:val="533704B8"/>
    <w:rsid w:val="53391570"/>
    <w:rsid w:val="5342631C"/>
    <w:rsid w:val="53505DF0"/>
    <w:rsid w:val="53514B60"/>
    <w:rsid w:val="53591D99"/>
    <w:rsid w:val="535A4A14"/>
    <w:rsid w:val="53602DEC"/>
    <w:rsid w:val="536D0703"/>
    <w:rsid w:val="53753945"/>
    <w:rsid w:val="53797A39"/>
    <w:rsid w:val="538E7ED0"/>
    <w:rsid w:val="53966D85"/>
    <w:rsid w:val="539F029C"/>
    <w:rsid w:val="53A56FC8"/>
    <w:rsid w:val="53AE5938"/>
    <w:rsid w:val="53AF46FA"/>
    <w:rsid w:val="53B4350E"/>
    <w:rsid w:val="53C512E9"/>
    <w:rsid w:val="53CC7091"/>
    <w:rsid w:val="53CD05AD"/>
    <w:rsid w:val="53D55075"/>
    <w:rsid w:val="53D60BEC"/>
    <w:rsid w:val="53D855EF"/>
    <w:rsid w:val="53DA2A8A"/>
    <w:rsid w:val="53E23343"/>
    <w:rsid w:val="53E33CA0"/>
    <w:rsid w:val="53E46566"/>
    <w:rsid w:val="53E9328E"/>
    <w:rsid w:val="53FE7F31"/>
    <w:rsid w:val="54065170"/>
    <w:rsid w:val="5415104E"/>
    <w:rsid w:val="541A6BAD"/>
    <w:rsid w:val="54200CB5"/>
    <w:rsid w:val="54293912"/>
    <w:rsid w:val="542968E7"/>
    <w:rsid w:val="54370393"/>
    <w:rsid w:val="543B272A"/>
    <w:rsid w:val="543F4497"/>
    <w:rsid w:val="5446251D"/>
    <w:rsid w:val="54465E98"/>
    <w:rsid w:val="545069EA"/>
    <w:rsid w:val="5451299B"/>
    <w:rsid w:val="5458228C"/>
    <w:rsid w:val="545C1B97"/>
    <w:rsid w:val="54613836"/>
    <w:rsid w:val="5465175A"/>
    <w:rsid w:val="54651BD3"/>
    <w:rsid w:val="546A434C"/>
    <w:rsid w:val="54773068"/>
    <w:rsid w:val="547F6D5B"/>
    <w:rsid w:val="54866DF9"/>
    <w:rsid w:val="548D6505"/>
    <w:rsid w:val="549546C0"/>
    <w:rsid w:val="54967DBD"/>
    <w:rsid w:val="54970C2D"/>
    <w:rsid w:val="54992D2C"/>
    <w:rsid w:val="54B0307B"/>
    <w:rsid w:val="54B62769"/>
    <w:rsid w:val="54CA318A"/>
    <w:rsid w:val="54CF07A0"/>
    <w:rsid w:val="54CF3934"/>
    <w:rsid w:val="54D77DE2"/>
    <w:rsid w:val="54DF62FD"/>
    <w:rsid w:val="54EA671B"/>
    <w:rsid w:val="54EC0C8A"/>
    <w:rsid w:val="55006BAB"/>
    <w:rsid w:val="55091E63"/>
    <w:rsid w:val="551F6A3E"/>
    <w:rsid w:val="55264138"/>
    <w:rsid w:val="552A729A"/>
    <w:rsid w:val="553076D9"/>
    <w:rsid w:val="55324787"/>
    <w:rsid w:val="553A070B"/>
    <w:rsid w:val="5543396E"/>
    <w:rsid w:val="5545368B"/>
    <w:rsid w:val="55485324"/>
    <w:rsid w:val="55556DCF"/>
    <w:rsid w:val="555B27E3"/>
    <w:rsid w:val="555C6AF7"/>
    <w:rsid w:val="5562237D"/>
    <w:rsid w:val="55762BE7"/>
    <w:rsid w:val="557C794A"/>
    <w:rsid w:val="55855303"/>
    <w:rsid w:val="558B5C5A"/>
    <w:rsid w:val="558D23E4"/>
    <w:rsid w:val="55961E09"/>
    <w:rsid w:val="559C6013"/>
    <w:rsid w:val="55AA6B17"/>
    <w:rsid w:val="55AA7999"/>
    <w:rsid w:val="55B33748"/>
    <w:rsid w:val="55C26B6F"/>
    <w:rsid w:val="55C35029"/>
    <w:rsid w:val="55C56531"/>
    <w:rsid w:val="55C670F5"/>
    <w:rsid w:val="55C7591B"/>
    <w:rsid w:val="55CE4CE0"/>
    <w:rsid w:val="55D26E11"/>
    <w:rsid w:val="55D86398"/>
    <w:rsid w:val="55DC3463"/>
    <w:rsid w:val="55DC7289"/>
    <w:rsid w:val="55E03BE0"/>
    <w:rsid w:val="55E31D4C"/>
    <w:rsid w:val="55E643CB"/>
    <w:rsid w:val="55F27EEA"/>
    <w:rsid w:val="55F31568"/>
    <w:rsid w:val="55F80996"/>
    <w:rsid w:val="56040378"/>
    <w:rsid w:val="56243561"/>
    <w:rsid w:val="56265AD2"/>
    <w:rsid w:val="56270168"/>
    <w:rsid w:val="56386EFE"/>
    <w:rsid w:val="563A0F92"/>
    <w:rsid w:val="564C2FC9"/>
    <w:rsid w:val="5651276F"/>
    <w:rsid w:val="566A6BF6"/>
    <w:rsid w:val="568D1D6A"/>
    <w:rsid w:val="568D4815"/>
    <w:rsid w:val="568E6439"/>
    <w:rsid w:val="56920472"/>
    <w:rsid w:val="569A354A"/>
    <w:rsid w:val="56A75DA7"/>
    <w:rsid w:val="56B62A0B"/>
    <w:rsid w:val="56C74A68"/>
    <w:rsid w:val="56D448BE"/>
    <w:rsid w:val="56DC1A82"/>
    <w:rsid w:val="56DD4F66"/>
    <w:rsid w:val="56DF393A"/>
    <w:rsid w:val="56E147BB"/>
    <w:rsid w:val="56EB02EC"/>
    <w:rsid w:val="56EE0C86"/>
    <w:rsid w:val="56F02BC0"/>
    <w:rsid w:val="56FB79DE"/>
    <w:rsid w:val="57092B06"/>
    <w:rsid w:val="570C38E2"/>
    <w:rsid w:val="570D6904"/>
    <w:rsid w:val="570E6F3C"/>
    <w:rsid w:val="57122E85"/>
    <w:rsid w:val="571701DC"/>
    <w:rsid w:val="5717297F"/>
    <w:rsid w:val="572033DD"/>
    <w:rsid w:val="57263EA4"/>
    <w:rsid w:val="573561AF"/>
    <w:rsid w:val="573D2AA7"/>
    <w:rsid w:val="57452F9B"/>
    <w:rsid w:val="5748483A"/>
    <w:rsid w:val="574A6ADB"/>
    <w:rsid w:val="575B30B8"/>
    <w:rsid w:val="575E22AF"/>
    <w:rsid w:val="5771167B"/>
    <w:rsid w:val="577C2351"/>
    <w:rsid w:val="577D4C90"/>
    <w:rsid w:val="57811640"/>
    <w:rsid w:val="578143A8"/>
    <w:rsid w:val="578776BC"/>
    <w:rsid w:val="57890A26"/>
    <w:rsid w:val="579655A5"/>
    <w:rsid w:val="579B7332"/>
    <w:rsid w:val="579E2361"/>
    <w:rsid w:val="57A03951"/>
    <w:rsid w:val="57A65985"/>
    <w:rsid w:val="57A91D10"/>
    <w:rsid w:val="57AF6667"/>
    <w:rsid w:val="57B17875"/>
    <w:rsid w:val="57CA580C"/>
    <w:rsid w:val="57CC0AAC"/>
    <w:rsid w:val="57CE6B72"/>
    <w:rsid w:val="57D63C4A"/>
    <w:rsid w:val="57D7044A"/>
    <w:rsid w:val="57DD2798"/>
    <w:rsid w:val="57F350A9"/>
    <w:rsid w:val="57FF5025"/>
    <w:rsid w:val="580B3691"/>
    <w:rsid w:val="580D4907"/>
    <w:rsid w:val="581B2716"/>
    <w:rsid w:val="581D7A74"/>
    <w:rsid w:val="58282DBC"/>
    <w:rsid w:val="582D0C82"/>
    <w:rsid w:val="5847655D"/>
    <w:rsid w:val="584F0835"/>
    <w:rsid w:val="58523BC2"/>
    <w:rsid w:val="58535244"/>
    <w:rsid w:val="585B7B95"/>
    <w:rsid w:val="586124FB"/>
    <w:rsid w:val="586533D2"/>
    <w:rsid w:val="58655F51"/>
    <w:rsid w:val="58781BC3"/>
    <w:rsid w:val="587A2496"/>
    <w:rsid w:val="588B70D4"/>
    <w:rsid w:val="58975A79"/>
    <w:rsid w:val="589F639F"/>
    <w:rsid w:val="58A167E9"/>
    <w:rsid w:val="58AB446A"/>
    <w:rsid w:val="58C330C3"/>
    <w:rsid w:val="58C76163"/>
    <w:rsid w:val="58CD73F0"/>
    <w:rsid w:val="58D00F8B"/>
    <w:rsid w:val="58EB36CF"/>
    <w:rsid w:val="58F4507C"/>
    <w:rsid w:val="58F6716A"/>
    <w:rsid w:val="58FB113C"/>
    <w:rsid w:val="590A7B4E"/>
    <w:rsid w:val="590F38BD"/>
    <w:rsid w:val="59154977"/>
    <w:rsid w:val="59183E67"/>
    <w:rsid w:val="59192F0D"/>
    <w:rsid w:val="591F58ED"/>
    <w:rsid w:val="59311E97"/>
    <w:rsid w:val="59320BCE"/>
    <w:rsid w:val="593554FE"/>
    <w:rsid w:val="593B2798"/>
    <w:rsid w:val="59441479"/>
    <w:rsid w:val="59541140"/>
    <w:rsid w:val="59547CA2"/>
    <w:rsid w:val="596B480F"/>
    <w:rsid w:val="59773BEA"/>
    <w:rsid w:val="59833794"/>
    <w:rsid w:val="598B3FC7"/>
    <w:rsid w:val="599A6B02"/>
    <w:rsid w:val="59B763E4"/>
    <w:rsid w:val="59B8157B"/>
    <w:rsid w:val="59BC73E7"/>
    <w:rsid w:val="59D81EA5"/>
    <w:rsid w:val="59E45B6C"/>
    <w:rsid w:val="59ED7A03"/>
    <w:rsid w:val="5A07278A"/>
    <w:rsid w:val="5A0866EB"/>
    <w:rsid w:val="5A0D21C7"/>
    <w:rsid w:val="5A255824"/>
    <w:rsid w:val="5A272E2C"/>
    <w:rsid w:val="5A377F62"/>
    <w:rsid w:val="5A3F1F40"/>
    <w:rsid w:val="5A49507E"/>
    <w:rsid w:val="5A5432DB"/>
    <w:rsid w:val="5A5A0E37"/>
    <w:rsid w:val="5A5A4D48"/>
    <w:rsid w:val="5A6723D9"/>
    <w:rsid w:val="5A6B2D19"/>
    <w:rsid w:val="5A734E9E"/>
    <w:rsid w:val="5A7F0572"/>
    <w:rsid w:val="5A83693F"/>
    <w:rsid w:val="5A884DFC"/>
    <w:rsid w:val="5A8A1271"/>
    <w:rsid w:val="5A985A88"/>
    <w:rsid w:val="5AA321B8"/>
    <w:rsid w:val="5AB53F94"/>
    <w:rsid w:val="5AC14C4F"/>
    <w:rsid w:val="5AD13779"/>
    <w:rsid w:val="5AD72F8E"/>
    <w:rsid w:val="5AE20B01"/>
    <w:rsid w:val="5AE76118"/>
    <w:rsid w:val="5AE82D4A"/>
    <w:rsid w:val="5AF947C9"/>
    <w:rsid w:val="5B0171D9"/>
    <w:rsid w:val="5B021F55"/>
    <w:rsid w:val="5B0920F7"/>
    <w:rsid w:val="5B12588A"/>
    <w:rsid w:val="5B24111A"/>
    <w:rsid w:val="5B242552"/>
    <w:rsid w:val="5B2F3836"/>
    <w:rsid w:val="5B394DBB"/>
    <w:rsid w:val="5B3A31F8"/>
    <w:rsid w:val="5B507CE3"/>
    <w:rsid w:val="5B6861B6"/>
    <w:rsid w:val="5B852C75"/>
    <w:rsid w:val="5B8C2A9D"/>
    <w:rsid w:val="5B9A19EF"/>
    <w:rsid w:val="5B9A4B12"/>
    <w:rsid w:val="5B9C0740"/>
    <w:rsid w:val="5B9D3EBA"/>
    <w:rsid w:val="5B9F30DC"/>
    <w:rsid w:val="5BA55492"/>
    <w:rsid w:val="5BAC4FB3"/>
    <w:rsid w:val="5BBA121B"/>
    <w:rsid w:val="5BC56989"/>
    <w:rsid w:val="5BC8097B"/>
    <w:rsid w:val="5BCB6526"/>
    <w:rsid w:val="5BD0312C"/>
    <w:rsid w:val="5BD67B34"/>
    <w:rsid w:val="5BE06113"/>
    <w:rsid w:val="5BE16D7E"/>
    <w:rsid w:val="5BE70AC5"/>
    <w:rsid w:val="5BF154A0"/>
    <w:rsid w:val="5BF64864"/>
    <w:rsid w:val="5BFC52C6"/>
    <w:rsid w:val="5BFC7F71"/>
    <w:rsid w:val="5C095E6F"/>
    <w:rsid w:val="5C0A2F15"/>
    <w:rsid w:val="5C0C355F"/>
    <w:rsid w:val="5C1125D4"/>
    <w:rsid w:val="5C390BF5"/>
    <w:rsid w:val="5C3E303A"/>
    <w:rsid w:val="5C434C11"/>
    <w:rsid w:val="5C466753"/>
    <w:rsid w:val="5C4E6341"/>
    <w:rsid w:val="5C551EB1"/>
    <w:rsid w:val="5C553F9B"/>
    <w:rsid w:val="5C5C1969"/>
    <w:rsid w:val="5C5E2D32"/>
    <w:rsid w:val="5C6742CB"/>
    <w:rsid w:val="5C684645"/>
    <w:rsid w:val="5C6D790A"/>
    <w:rsid w:val="5C6F4617"/>
    <w:rsid w:val="5C7A3771"/>
    <w:rsid w:val="5C7B686D"/>
    <w:rsid w:val="5C7C5F0C"/>
    <w:rsid w:val="5C7E485A"/>
    <w:rsid w:val="5C814A4B"/>
    <w:rsid w:val="5C833FF3"/>
    <w:rsid w:val="5C87511F"/>
    <w:rsid w:val="5CA3681C"/>
    <w:rsid w:val="5CB72CEF"/>
    <w:rsid w:val="5CB81E12"/>
    <w:rsid w:val="5CB85583"/>
    <w:rsid w:val="5CBA6615"/>
    <w:rsid w:val="5CBD2769"/>
    <w:rsid w:val="5CC6160F"/>
    <w:rsid w:val="5CCC3CFF"/>
    <w:rsid w:val="5CE45005"/>
    <w:rsid w:val="5CEA0397"/>
    <w:rsid w:val="5CED1068"/>
    <w:rsid w:val="5CF1336A"/>
    <w:rsid w:val="5CF33075"/>
    <w:rsid w:val="5CF66E77"/>
    <w:rsid w:val="5CFD5BC0"/>
    <w:rsid w:val="5D0B3750"/>
    <w:rsid w:val="5D0C293C"/>
    <w:rsid w:val="5D0D0027"/>
    <w:rsid w:val="5D1D4073"/>
    <w:rsid w:val="5D2E3760"/>
    <w:rsid w:val="5D331AE8"/>
    <w:rsid w:val="5D3715D8"/>
    <w:rsid w:val="5D400CEE"/>
    <w:rsid w:val="5D411606"/>
    <w:rsid w:val="5D503A85"/>
    <w:rsid w:val="5D504EDF"/>
    <w:rsid w:val="5D6121B1"/>
    <w:rsid w:val="5D642E9A"/>
    <w:rsid w:val="5D7D1708"/>
    <w:rsid w:val="5D826A20"/>
    <w:rsid w:val="5D885990"/>
    <w:rsid w:val="5D933EF6"/>
    <w:rsid w:val="5D9E6F62"/>
    <w:rsid w:val="5DA63671"/>
    <w:rsid w:val="5DA75D46"/>
    <w:rsid w:val="5DA84AF2"/>
    <w:rsid w:val="5DAA1DAA"/>
    <w:rsid w:val="5DC0348E"/>
    <w:rsid w:val="5DCF0071"/>
    <w:rsid w:val="5DCF4033"/>
    <w:rsid w:val="5DD07337"/>
    <w:rsid w:val="5DD43DAC"/>
    <w:rsid w:val="5DDC1ACC"/>
    <w:rsid w:val="5DDF7085"/>
    <w:rsid w:val="5DE27796"/>
    <w:rsid w:val="5DE47456"/>
    <w:rsid w:val="5DF105C3"/>
    <w:rsid w:val="5DF90FB9"/>
    <w:rsid w:val="5DFC07D3"/>
    <w:rsid w:val="5E005E6E"/>
    <w:rsid w:val="5E162E4A"/>
    <w:rsid w:val="5E33481B"/>
    <w:rsid w:val="5E3E112A"/>
    <w:rsid w:val="5E3E24F3"/>
    <w:rsid w:val="5E40626B"/>
    <w:rsid w:val="5E4D0486"/>
    <w:rsid w:val="5E4D6756"/>
    <w:rsid w:val="5E50053E"/>
    <w:rsid w:val="5E555A78"/>
    <w:rsid w:val="5E6463FD"/>
    <w:rsid w:val="5E6965F6"/>
    <w:rsid w:val="5E6C52B2"/>
    <w:rsid w:val="5E7B40F9"/>
    <w:rsid w:val="5E822B82"/>
    <w:rsid w:val="5E874981"/>
    <w:rsid w:val="5E897F7A"/>
    <w:rsid w:val="5E8C325E"/>
    <w:rsid w:val="5E9D5478"/>
    <w:rsid w:val="5EAA2F03"/>
    <w:rsid w:val="5EB542DA"/>
    <w:rsid w:val="5EB807A1"/>
    <w:rsid w:val="5EB970AB"/>
    <w:rsid w:val="5EC0115A"/>
    <w:rsid w:val="5ECC3FA2"/>
    <w:rsid w:val="5ED2232A"/>
    <w:rsid w:val="5ED56729"/>
    <w:rsid w:val="5ED76291"/>
    <w:rsid w:val="5EDF1FB7"/>
    <w:rsid w:val="5EE176ED"/>
    <w:rsid w:val="5EFF0303"/>
    <w:rsid w:val="5F022DE6"/>
    <w:rsid w:val="5F0A2DCC"/>
    <w:rsid w:val="5F0C5812"/>
    <w:rsid w:val="5F1F6F52"/>
    <w:rsid w:val="5F2253EF"/>
    <w:rsid w:val="5F2310F5"/>
    <w:rsid w:val="5F240D70"/>
    <w:rsid w:val="5F2F5310"/>
    <w:rsid w:val="5F3A32DC"/>
    <w:rsid w:val="5F3E47CB"/>
    <w:rsid w:val="5F4C5A95"/>
    <w:rsid w:val="5F642FB3"/>
    <w:rsid w:val="5F683CCB"/>
    <w:rsid w:val="5F6E3056"/>
    <w:rsid w:val="5F76082E"/>
    <w:rsid w:val="5F8108E9"/>
    <w:rsid w:val="5F816B3B"/>
    <w:rsid w:val="5F853DD1"/>
    <w:rsid w:val="5F88713F"/>
    <w:rsid w:val="5F8A1D20"/>
    <w:rsid w:val="5F8E3006"/>
    <w:rsid w:val="5F92293B"/>
    <w:rsid w:val="5F953B4C"/>
    <w:rsid w:val="5F9F6FC4"/>
    <w:rsid w:val="5FA37F35"/>
    <w:rsid w:val="5FAC59C4"/>
    <w:rsid w:val="5FC058B5"/>
    <w:rsid w:val="5FC31FE4"/>
    <w:rsid w:val="5FCC26CF"/>
    <w:rsid w:val="5FCD49AD"/>
    <w:rsid w:val="5FD36793"/>
    <w:rsid w:val="5FD924D3"/>
    <w:rsid w:val="5FE367F4"/>
    <w:rsid w:val="5FED41D0"/>
    <w:rsid w:val="5FFB7A47"/>
    <w:rsid w:val="5FFC4413"/>
    <w:rsid w:val="5FFF4DF4"/>
    <w:rsid w:val="60051C5F"/>
    <w:rsid w:val="6009431E"/>
    <w:rsid w:val="60367925"/>
    <w:rsid w:val="60391C97"/>
    <w:rsid w:val="60573122"/>
    <w:rsid w:val="605D4710"/>
    <w:rsid w:val="6062071A"/>
    <w:rsid w:val="60673F83"/>
    <w:rsid w:val="606C0827"/>
    <w:rsid w:val="606E1D6E"/>
    <w:rsid w:val="606F0399"/>
    <w:rsid w:val="607341C0"/>
    <w:rsid w:val="60793CB6"/>
    <w:rsid w:val="60824919"/>
    <w:rsid w:val="608F3CC5"/>
    <w:rsid w:val="609864D9"/>
    <w:rsid w:val="609B3C2C"/>
    <w:rsid w:val="60A17DAC"/>
    <w:rsid w:val="60A22E7F"/>
    <w:rsid w:val="60AB59CF"/>
    <w:rsid w:val="60B13450"/>
    <w:rsid w:val="60C413D5"/>
    <w:rsid w:val="60D47EB3"/>
    <w:rsid w:val="60D631E2"/>
    <w:rsid w:val="60D84E52"/>
    <w:rsid w:val="60DC124A"/>
    <w:rsid w:val="60E25ED3"/>
    <w:rsid w:val="60E33BAB"/>
    <w:rsid w:val="610619ED"/>
    <w:rsid w:val="610D68DF"/>
    <w:rsid w:val="610F7C32"/>
    <w:rsid w:val="611868F5"/>
    <w:rsid w:val="61187370"/>
    <w:rsid w:val="612A53A0"/>
    <w:rsid w:val="612E4AA0"/>
    <w:rsid w:val="613C44E4"/>
    <w:rsid w:val="614E38D3"/>
    <w:rsid w:val="61502C69"/>
    <w:rsid w:val="615A5895"/>
    <w:rsid w:val="615D0920"/>
    <w:rsid w:val="6165584E"/>
    <w:rsid w:val="618958F4"/>
    <w:rsid w:val="61902A9B"/>
    <w:rsid w:val="61960A21"/>
    <w:rsid w:val="61A06CED"/>
    <w:rsid w:val="61AB611C"/>
    <w:rsid w:val="61BC58BF"/>
    <w:rsid w:val="61C5664B"/>
    <w:rsid w:val="61C730AA"/>
    <w:rsid w:val="61C972B2"/>
    <w:rsid w:val="61D44E8F"/>
    <w:rsid w:val="61EA54DC"/>
    <w:rsid w:val="61ED38C3"/>
    <w:rsid w:val="61FC5093"/>
    <w:rsid w:val="62243C5E"/>
    <w:rsid w:val="622A4C2C"/>
    <w:rsid w:val="62316E72"/>
    <w:rsid w:val="6237639F"/>
    <w:rsid w:val="623D1C57"/>
    <w:rsid w:val="625726D0"/>
    <w:rsid w:val="625A00D7"/>
    <w:rsid w:val="625A6204"/>
    <w:rsid w:val="625B4567"/>
    <w:rsid w:val="626562A0"/>
    <w:rsid w:val="62681347"/>
    <w:rsid w:val="627725AB"/>
    <w:rsid w:val="627E64F1"/>
    <w:rsid w:val="62820231"/>
    <w:rsid w:val="6291631A"/>
    <w:rsid w:val="629D4B6A"/>
    <w:rsid w:val="629D679F"/>
    <w:rsid w:val="629F597C"/>
    <w:rsid w:val="62A06B18"/>
    <w:rsid w:val="62AE1781"/>
    <w:rsid w:val="62BE5CFB"/>
    <w:rsid w:val="62BE75BB"/>
    <w:rsid w:val="62BF71E4"/>
    <w:rsid w:val="62C44677"/>
    <w:rsid w:val="62C616B2"/>
    <w:rsid w:val="62CC4571"/>
    <w:rsid w:val="62CC798F"/>
    <w:rsid w:val="62CF4061"/>
    <w:rsid w:val="62D41677"/>
    <w:rsid w:val="62E81BAA"/>
    <w:rsid w:val="62F31AFE"/>
    <w:rsid w:val="62F6339C"/>
    <w:rsid w:val="62F67840"/>
    <w:rsid w:val="62F80D06"/>
    <w:rsid w:val="630C1130"/>
    <w:rsid w:val="6311513B"/>
    <w:rsid w:val="63241C2E"/>
    <w:rsid w:val="63312EA7"/>
    <w:rsid w:val="63333F80"/>
    <w:rsid w:val="6334412D"/>
    <w:rsid w:val="63453122"/>
    <w:rsid w:val="6350711D"/>
    <w:rsid w:val="6352453D"/>
    <w:rsid w:val="6356208C"/>
    <w:rsid w:val="63582CE8"/>
    <w:rsid w:val="635B76A3"/>
    <w:rsid w:val="63767E9F"/>
    <w:rsid w:val="637B7FFC"/>
    <w:rsid w:val="637D1D0F"/>
    <w:rsid w:val="637E158D"/>
    <w:rsid w:val="63A032B6"/>
    <w:rsid w:val="63A70595"/>
    <w:rsid w:val="63A97AA3"/>
    <w:rsid w:val="63B561E8"/>
    <w:rsid w:val="63CA6F23"/>
    <w:rsid w:val="63D74A9A"/>
    <w:rsid w:val="63EC2E7C"/>
    <w:rsid w:val="63EF135B"/>
    <w:rsid w:val="63EF7854"/>
    <w:rsid w:val="63F208C0"/>
    <w:rsid w:val="640A35A3"/>
    <w:rsid w:val="641644AE"/>
    <w:rsid w:val="641F37E0"/>
    <w:rsid w:val="642063AE"/>
    <w:rsid w:val="64237A9E"/>
    <w:rsid w:val="642A7C63"/>
    <w:rsid w:val="6434096B"/>
    <w:rsid w:val="64373563"/>
    <w:rsid w:val="6444677A"/>
    <w:rsid w:val="64473DFE"/>
    <w:rsid w:val="64481398"/>
    <w:rsid w:val="645048B6"/>
    <w:rsid w:val="64520C69"/>
    <w:rsid w:val="64546374"/>
    <w:rsid w:val="64580CCA"/>
    <w:rsid w:val="646802C9"/>
    <w:rsid w:val="646D7943"/>
    <w:rsid w:val="64836EB1"/>
    <w:rsid w:val="64870402"/>
    <w:rsid w:val="648A198A"/>
    <w:rsid w:val="648B05D1"/>
    <w:rsid w:val="64AB6A78"/>
    <w:rsid w:val="64AD1AFC"/>
    <w:rsid w:val="64B463DE"/>
    <w:rsid w:val="64B7618D"/>
    <w:rsid w:val="64B76197"/>
    <w:rsid w:val="64BB1B76"/>
    <w:rsid w:val="64BE472B"/>
    <w:rsid w:val="64BF604B"/>
    <w:rsid w:val="64C40C0D"/>
    <w:rsid w:val="64D760AA"/>
    <w:rsid w:val="64D83087"/>
    <w:rsid w:val="6509385A"/>
    <w:rsid w:val="650A0089"/>
    <w:rsid w:val="650C6EA7"/>
    <w:rsid w:val="651133A9"/>
    <w:rsid w:val="65244B21"/>
    <w:rsid w:val="652A1921"/>
    <w:rsid w:val="652E3ED8"/>
    <w:rsid w:val="65363F24"/>
    <w:rsid w:val="65407434"/>
    <w:rsid w:val="654314ED"/>
    <w:rsid w:val="654B21DA"/>
    <w:rsid w:val="656809DC"/>
    <w:rsid w:val="65714685"/>
    <w:rsid w:val="65767787"/>
    <w:rsid w:val="65785CAD"/>
    <w:rsid w:val="657B1BA6"/>
    <w:rsid w:val="657D6680"/>
    <w:rsid w:val="657F1E43"/>
    <w:rsid w:val="65862E1F"/>
    <w:rsid w:val="658C5132"/>
    <w:rsid w:val="65956842"/>
    <w:rsid w:val="65976067"/>
    <w:rsid w:val="65A11CE5"/>
    <w:rsid w:val="65AE7F5E"/>
    <w:rsid w:val="65B512EC"/>
    <w:rsid w:val="65B52D15"/>
    <w:rsid w:val="65B77C2F"/>
    <w:rsid w:val="65C24E76"/>
    <w:rsid w:val="65C43C25"/>
    <w:rsid w:val="65C771ED"/>
    <w:rsid w:val="65C9123C"/>
    <w:rsid w:val="65CC4888"/>
    <w:rsid w:val="65DD10CF"/>
    <w:rsid w:val="65E43ED2"/>
    <w:rsid w:val="65E460F4"/>
    <w:rsid w:val="65E52B0F"/>
    <w:rsid w:val="65EB4CDF"/>
    <w:rsid w:val="65F36D30"/>
    <w:rsid w:val="65FE16AE"/>
    <w:rsid w:val="660832C8"/>
    <w:rsid w:val="660B3602"/>
    <w:rsid w:val="66127F31"/>
    <w:rsid w:val="661B3143"/>
    <w:rsid w:val="66266AD5"/>
    <w:rsid w:val="66297599"/>
    <w:rsid w:val="662B1A94"/>
    <w:rsid w:val="66303069"/>
    <w:rsid w:val="6635067F"/>
    <w:rsid w:val="663C37BC"/>
    <w:rsid w:val="663F5653"/>
    <w:rsid w:val="665C53C9"/>
    <w:rsid w:val="665E34E6"/>
    <w:rsid w:val="666331D0"/>
    <w:rsid w:val="6664549B"/>
    <w:rsid w:val="6664753D"/>
    <w:rsid w:val="6675759D"/>
    <w:rsid w:val="667A5538"/>
    <w:rsid w:val="6683521E"/>
    <w:rsid w:val="66886A01"/>
    <w:rsid w:val="668A0B8E"/>
    <w:rsid w:val="66A30A28"/>
    <w:rsid w:val="66A357BA"/>
    <w:rsid w:val="66A456A1"/>
    <w:rsid w:val="66AA2F82"/>
    <w:rsid w:val="66AC2E94"/>
    <w:rsid w:val="66B477F6"/>
    <w:rsid w:val="66BB5028"/>
    <w:rsid w:val="66CC58BD"/>
    <w:rsid w:val="66D45A75"/>
    <w:rsid w:val="66F759D1"/>
    <w:rsid w:val="66FC06B8"/>
    <w:rsid w:val="66FC541B"/>
    <w:rsid w:val="67060FBE"/>
    <w:rsid w:val="670B5D1A"/>
    <w:rsid w:val="67187713"/>
    <w:rsid w:val="67361A4C"/>
    <w:rsid w:val="673812C6"/>
    <w:rsid w:val="673E5311"/>
    <w:rsid w:val="675039FA"/>
    <w:rsid w:val="67517C95"/>
    <w:rsid w:val="676149A1"/>
    <w:rsid w:val="6762428C"/>
    <w:rsid w:val="6769182C"/>
    <w:rsid w:val="676A7027"/>
    <w:rsid w:val="676F5F65"/>
    <w:rsid w:val="677E6E1E"/>
    <w:rsid w:val="678205DA"/>
    <w:rsid w:val="6784541A"/>
    <w:rsid w:val="679A4C3E"/>
    <w:rsid w:val="67A41B77"/>
    <w:rsid w:val="67A67F01"/>
    <w:rsid w:val="67AB0BF9"/>
    <w:rsid w:val="67AD1B83"/>
    <w:rsid w:val="67BB73AF"/>
    <w:rsid w:val="67CC6DC1"/>
    <w:rsid w:val="67FD0B83"/>
    <w:rsid w:val="680B6E9B"/>
    <w:rsid w:val="68152865"/>
    <w:rsid w:val="68243755"/>
    <w:rsid w:val="682C160E"/>
    <w:rsid w:val="683230C8"/>
    <w:rsid w:val="683E4589"/>
    <w:rsid w:val="6841330B"/>
    <w:rsid w:val="684263BC"/>
    <w:rsid w:val="684F3FFB"/>
    <w:rsid w:val="685D0AD1"/>
    <w:rsid w:val="68614345"/>
    <w:rsid w:val="6868046C"/>
    <w:rsid w:val="68841ADE"/>
    <w:rsid w:val="688A60D0"/>
    <w:rsid w:val="689912B9"/>
    <w:rsid w:val="689D3E93"/>
    <w:rsid w:val="68A26A94"/>
    <w:rsid w:val="68AD53A5"/>
    <w:rsid w:val="68B62319"/>
    <w:rsid w:val="68C024B9"/>
    <w:rsid w:val="68C843C0"/>
    <w:rsid w:val="68D10490"/>
    <w:rsid w:val="68D66149"/>
    <w:rsid w:val="68F730E3"/>
    <w:rsid w:val="6908537E"/>
    <w:rsid w:val="6912480D"/>
    <w:rsid w:val="69132EFA"/>
    <w:rsid w:val="691A59E2"/>
    <w:rsid w:val="691C78D4"/>
    <w:rsid w:val="69332445"/>
    <w:rsid w:val="693764BC"/>
    <w:rsid w:val="693B6660"/>
    <w:rsid w:val="694915CA"/>
    <w:rsid w:val="69542EF0"/>
    <w:rsid w:val="697C2A5E"/>
    <w:rsid w:val="69A65B40"/>
    <w:rsid w:val="69AE3436"/>
    <w:rsid w:val="69B013F1"/>
    <w:rsid w:val="69B35A2A"/>
    <w:rsid w:val="69B82549"/>
    <w:rsid w:val="69B93C3B"/>
    <w:rsid w:val="69D94674"/>
    <w:rsid w:val="69F50C02"/>
    <w:rsid w:val="69F523D1"/>
    <w:rsid w:val="69FF364B"/>
    <w:rsid w:val="69FF6E3D"/>
    <w:rsid w:val="6A0B6169"/>
    <w:rsid w:val="6A1A2066"/>
    <w:rsid w:val="6A2350BB"/>
    <w:rsid w:val="6A256B54"/>
    <w:rsid w:val="6A294333"/>
    <w:rsid w:val="6A3053E5"/>
    <w:rsid w:val="6A386CBD"/>
    <w:rsid w:val="6A3B3D8A"/>
    <w:rsid w:val="6A445F67"/>
    <w:rsid w:val="6A493D3D"/>
    <w:rsid w:val="6A4C7698"/>
    <w:rsid w:val="6A4E3ABD"/>
    <w:rsid w:val="6A4F4E07"/>
    <w:rsid w:val="6A5B2612"/>
    <w:rsid w:val="6A6E6202"/>
    <w:rsid w:val="6A7554EE"/>
    <w:rsid w:val="6A7D3FC4"/>
    <w:rsid w:val="6A7F5BE8"/>
    <w:rsid w:val="6AA81420"/>
    <w:rsid w:val="6AAD4C88"/>
    <w:rsid w:val="6AB64B1A"/>
    <w:rsid w:val="6AB967D1"/>
    <w:rsid w:val="6ABC136F"/>
    <w:rsid w:val="6AC00990"/>
    <w:rsid w:val="6AC048C6"/>
    <w:rsid w:val="6AC76B81"/>
    <w:rsid w:val="6ACA084A"/>
    <w:rsid w:val="6AE27287"/>
    <w:rsid w:val="6AE83407"/>
    <w:rsid w:val="6AEA5EDC"/>
    <w:rsid w:val="6AF73CAF"/>
    <w:rsid w:val="6B014FD4"/>
    <w:rsid w:val="6B066257"/>
    <w:rsid w:val="6B155E07"/>
    <w:rsid w:val="6B1568B7"/>
    <w:rsid w:val="6B161CF0"/>
    <w:rsid w:val="6B165DA5"/>
    <w:rsid w:val="6B174751"/>
    <w:rsid w:val="6B1B42E7"/>
    <w:rsid w:val="6B2148C5"/>
    <w:rsid w:val="6B234F4A"/>
    <w:rsid w:val="6B306171"/>
    <w:rsid w:val="6B3A3020"/>
    <w:rsid w:val="6B3F109D"/>
    <w:rsid w:val="6B535CAE"/>
    <w:rsid w:val="6B573965"/>
    <w:rsid w:val="6B575A68"/>
    <w:rsid w:val="6B607A7C"/>
    <w:rsid w:val="6B6A5AF0"/>
    <w:rsid w:val="6B6B5D6F"/>
    <w:rsid w:val="6B6E64BD"/>
    <w:rsid w:val="6B712159"/>
    <w:rsid w:val="6B744139"/>
    <w:rsid w:val="6B75506E"/>
    <w:rsid w:val="6B7B5544"/>
    <w:rsid w:val="6B7B5DED"/>
    <w:rsid w:val="6B834589"/>
    <w:rsid w:val="6B851761"/>
    <w:rsid w:val="6B870C51"/>
    <w:rsid w:val="6B91008B"/>
    <w:rsid w:val="6B916358"/>
    <w:rsid w:val="6B9E23FA"/>
    <w:rsid w:val="6BA14220"/>
    <w:rsid w:val="6BAA3173"/>
    <w:rsid w:val="6BB32772"/>
    <w:rsid w:val="6BBE72BF"/>
    <w:rsid w:val="6BC63E71"/>
    <w:rsid w:val="6BCB787A"/>
    <w:rsid w:val="6BCC7390"/>
    <w:rsid w:val="6BE053C7"/>
    <w:rsid w:val="6C07486C"/>
    <w:rsid w:val="6C0C1C29"/>
    <w:rsid w:val="6C132158"/>
    <w:rsid w:val="6C167172"/>
    <w:rsid w:val="6C191A3A"/>
    <w:rsid w:val="6C1F5711"/>
    <w:rsid w:val="6C276253"/>
    <w:rsid w:val="6C3F0FD6"/>
    <w:rsid w:val="6C3F3938"/>
    <w:rsid w:val="6C4338D0"/>
    <w:rsid w:val="6C5F3CA6"/>
    <w:rsid w:val="6C692E30"/>
    <w:rsid w:val="6C695832"/>
    <w:rsid w:val="6C6E6960"/>
    <w:rsid w:val="6C757B50"/>
    <w:rsid w:val="6C7734B4"/>
    <w:rsid w:val="6C7C4FDB"/>
    <w:rsid w:val="6C7E223D"/>
    <w:rsid w:val="6C7F08A6"/>
    <w:rsid w:val="6C8835FC"/>
    <w:rsid w:val="6C8A6C65"/>
    <w:rsid w:val="6C973A2F"/>
    <w:rsid w:val="6C982DE1"/>
    <w:rsid w:val="6CA603CD"/>
    <w:rsid w:val="6CA7673A"/>
    <w:rsid w:val="6CA776FA"/>
    <w:rsid w:val="6CAC2E72"/>
    <w:rsid w:val="6CB26586"/>
    <w:rsid w:val="6CB36D21"/>
    <w:rsid w:val="6CB64CE4"/>
    <w:rsid w:val="6CBE1694"/>
    <w:rsid w:val="6CC652DE"/>
    <w:rsid w:val="6CCD74C8"/>
    <w:rsid w:val="6CCF3365"/>
    <w:rsid w:val="6CD41051"/>
    <w:rsid w:val="6CE17BD6"/>
    <w:rsid w:val="6CE70F0F"/>
    <w:rsid w:val="6CE8644B"/>
    <w:rsid w:val="6CED1CB3"/>
    <w:rsid w:val="6CED7665"/>
    <w:rsid w:val="6CFD1EAF"/>
    <w:rsid w:val="6D072B49"/>
    <w:rsid w:val="6D09622C"/>
    <w:rsid w:val="6D1425B5"/>
    <w:rsid w:val="6D311FF8"/>
    <w:rsid w:val="6D3131F6"/>
    <w:rsid w:val="6D367907"/>
    <w:rsid w:val="6D3B1955"/>
    <w:rsid w:val="6D3E14AA"/>
    <w:rsid w:val="6D3F285C"/>
    <w:rsid w:val="6D441123"/>
    <w:rsid w:val="6D451E03"/>
    <w:rsid w:val="6D510F2F"/>
    <w:rsid w:val="6D6209AD"/>
    <w:rsid w:val="6D7E3711"/>
    <w:rsid w:val="6D832679"/>
    <w:rsid w:val="6D8C31DA"/>
    <w:rsid w:val="6D976907"/>
    <w:rsid w:val="6DA647B9"/>
    <w:rsid w:val="6DAB72D8"/>
    <w:rsid w:val="6DB712B0"/>
    <w:rsid w:val="6DB91794"/>
    <w:rsid w:val="6DBB6061"/>
    <w:rsid w:val="6DBD2048"/>
    <w:rsid w:val="6DC06CF9"/>
    <w:rsid w:val="6DC20A4A"/>
    <w:rsid w:val="6DC92557"/>
    <w:rsid w:val="6DCF066E"/>
    <w:rsid w:val="6DD82B5C"/>
    <w:rsid w:val="6DDE1D98"/>
    <w:rsid w:val="6DF53275"/>
    <w:rsid w:val="6DFB0400"/>
    <w:rsid w:val="6E0979AE"/>
    <w:rsid w:val="6E0D2AED"/>
    <w:rsid w:val="6E170B51"/>
    <w:rsid w:val="6E191891"/>
    <w:rsid w:val="6E2B3E45"/>
    <w:rsid w:val="6E397736"/>
    <w:rsid w:val="6E462064"/>
    <w:rsid w:val="6E4A1ACC"/>
    <w:rsid w:val="6E5024FA"/>
    <w:rsid w:val="6E557B10"/>
    <w:rsid w:val="6E5A1E1C"/>
    <w:rsid w:val="6E5D69C5"/>
    <w:rsid w:val="6E7D5BFF"/>
    <w:rsid w:val="6E7D5F44"/>
    <w:rsid w:val="6E8201DA"/>
    <w:rsid w:val="6E847AC9"/>
    <w:rsid w:val="6E8F45DD"/>
    <w:rsid w:val="6E9103B3"/>
    <w:rsid w:val="6E9437BA"/>
    <w:rsid w:val="6E950308"/>
    <w:rsid w:val="6E9B4C6B"/>
    <w:rsid w:val="6EA2603B"/>
    <w:rsid w:val="6EA969B8"/>
    <w:rsid w:val="6EAA19EC"/>
    <w:rsid w:val="6EBF4F8A"/>
    <w:rsid w:val="6EC73C54"/>
    <w:rsid w:val="6ED15AAA"/>
    <w:rsid w:val="6EDD34E0"/>
    <w:rsid w:val="6EE60768"/>
    <w:rsid w:val="6EE637AD"/>
    <w:rsid w:val="6EF03395"/>
    <w:rsid w:val="6EFB3A28"/>
    <w:rsid w:val="6F0403A3"/>
    <w:rsid w:val="6F114EF6"/>
    <w:rsid w:val="6F11637D"/>
    <w:rsid w:val="6F292BC8"/>
    <w:rsid w:val="6F362B99"/>
    <w:rsid w:val="6F3A6772"/>
    <w:rsid w:val="6F525429"/>
    <w:rsid w:val="6F53446B"/>
    <w:rsid w:val="6F5A549B"/>
    <w:rsid w:val="6F651616"/>
    <w:rsid w:val="6F6F1ADE"/>
    <w:rsid w:val="6F827811"/>
    <w:rsid w:val="6F8306AD"/>
    <w:rsid w:val="6F9008DB"/>
    <w:rsid w:val="6FA208A3"/>
    <w:rsid w:val="6FAD024B"/>
    <w:rsid w:val="6FB31CD3"/>
    <w:rsid w:val="6FB70DA8"/>
    <w:rsid w:val="6FBD4A8B"/>
    <w:rsid w:val="6FCD682F"/>
    <w:rsid w:val="6FCF7432"/>
    <w:rsid w:val="6FD33116"/>
    <w:rsid w:val="6FD44282"/>
    <w:rsid w:val="6FD64C2D"/>
    <w:rsid w:val="6FEA0DFA"/>
    <w:rsid w:val="6FEE0C18"/>
    <w:rsid w:val="6FEF5D43"/>
    <w:rsid w:val="6FF7446D"/>
    <w:rsid w:val="700023CF"/>
    <w:rsid w:val="7011159A"/>
    <w:rsid w:val="7027728A"/>
    <w:rsid w:val="70381498"/>
    <w:rsid w:val="703D260A"/>
    <w:rsid w:val="704177BB"/>
    <w:rsid w:val="704523C0"/>
    <w:rsid w:val="70460E36"/>
    <w:rsid w:val="704E3E9E"/>
    <w:rsid w:val="70540F69"/>
    <w:rsid w:val="706400D6"/>
    <w:rsid w:val="708E0782"/>
    <w:rsid w:val="70925E24"/>
    <w:rsid w:val="70A148A2"/>
    <w:rsid w:val="70A148CA"/>
    <w:rsid w:val="70A61D60"/>
    <w:rsid w:val="70A639B5"/>
    <w:rsid w:val="70B34FC2"/>
    <w:rsid w:val="70B65E11"/>
    <w:rsid w:val="70BF6753"/>
    <w:rsid w:val="70C22EC3"/>
    <w:rsid w:val="70C7488D"/>
    <w:rsid w:val="70D50A94"/>
    <w:rsid w:val="70E07820"/>
    <w:rsid w:val="70E43028"/>
    <w:rsid w:val="70EB475C"/>
    <w:rsid w:val="70EE4AEA"/>
    <w:rsid w:val="70F47233"/>
    <w:rsid w:val="70F53623"/>
    <w:rsid w:val="70F91519"/>
    <w:rsid w:val="70F92FC5"/>
    <w:rsid w:val="70FA04FB"/>
    <w:rsid w:val="70FE1F9D"/>
    <w:rsid w:val="711478BF"/>
    <w:rsid w:val="7120276A"/>
    <w:rsid w:val="712A5284"/>
    <w:rsid w:val="712C73C3"/>
    <w:rsid w:val="712F289B"/>
    <w:rsid w:val="713B431F"/>
    <w:rsid w:val="71414588"/>
    <w:rsid w:val="71482607"/>
    <w:rsid w:val="714F4F4B"/>
    <w:rsid w:val="71525605"/>
    <w:rsid w:val="71526589"/>
    <w:rsid w:val="715E0A8A"/>
    <w:rsid w:val="7169742F"/>
    <w:rsid w:val="716B0D31"/>
    <w:rsid w:val="71710E1C"/>
    <w:rsid w:val="71724535"/>
    <w:rsid w:val="717604C9"/>
    <w:rsid w:val="718203F9"/>
    <w:rsid w:val="718504D8"/>
    <w:rsid w:val="7190721B"/>
    <w:rsid w:val="71965F6E"/>
    <w:rsid w:val="71A5317F"/>
    <w:rsid w:val="71AB0DA3"/>
    <w:rsid w:val="71AC20AA"/>
    <w:rsid w:val="71B573EC"/>
    <w:rsid w:val="71B7463E"/>
    <w:rsid w:val="71BA1F03"/>
    <w:rsid w:val="71C02B50"/>
    <w:rsid w:val="71C11019"/>
    <w:rsid w:val="71C17F8B"/>
    <w:rsid w:val="71C25CAC"/>
    <w:rsid w:val="71D112F1"/>
    <w:rsid w:val="71D549B0"/>
    <w:rsid w:val="71DC5E53"/>
    <w:rsid w:val="71E31D6B"/>
    <w:rsid w:val="71E60A7F"/>
    <w:rsid w:val="71ED117C"/>
    <w:rsid w:val="71F31D57"/>
    <w:rsid w:val="71F628CC"/>
    <w:rsid w:val="7215061B"/>
    <w:rsid w:val="721763EE"/>
    <w:rsid w:val="721B6CDD"/>
    <w:rsid w:val="721E46BD"/>
    <w:rsid w:val="722717C4"/>
    <w:rsid w:val="72325697"/>
    <w:rsid w:val="72380F4D"/>
    <w:rsid w:val="72483591"/>
    <w:rsid w:val="724F33C0"/>
    <w:rsid w:val="72523BCF"/>
    <w:rsid w:val="72571B7C"/>
    <w:rsid w:val="7258591A"/>
    <w:rsid w:val="725D254C"/>
    <w:rsid w:val="7260132E"/>
    <w:rsid w:val="72606A84"/>
    <w:rsid w:val="726C261A"/>
    <w:rsid w:val="726D2330"/>
    <w:rsid w:val="72737A75"/>
    <w:rsid w:val="72750F6A"/>
    <w:rsid w:val="727A43F5"/>
    <w:rsid w:val="727D1076"/>
    <w:rsid w:val="72834263"/>
    <w:rsid w:val="72866006"/>
    <w:rsid w:val="72907369"/>
    <w:rsid w:val="729C3486"/>
    <w:rsid w:val="72A168A3"/>
    <w:rsid w:val="72AC3A77"/>
    <w:rsid w:val="72B103AD"/>
    <w:rsid w:val="72D116C9"/>
    <w:rsid w:val="72D37C81"/>
    <w:rsid w:val="72DA05E4"/>
    <w:rsid w:val="72DC36C2"/>
    <w:rsid w:val="72E719D0"/>
    <w:rsid w:val="72F04FEC"/>
    <w:rsid w:val="72F11725"/>
    <w:rsid w:val="73033AB5"/>
    <w:rsid w:val="730438B3"/>
    <w:rsid w:val="731C2E3A"/>
    <w:rsid w:val="731E6447"/>
    <w:rsid w:val="73362468"/>
    <w:rsid w:val="73397A01"/>
    <w:rsid w:val="733E3C79"/>
    <w:rsid w:val="734144A1"/>
    <w:rsid w:val="7342337E"/>
    <w:rsid w:val="73474FE8"/>
    <w:rsid w:val="734E4B2E"/>
    <w:rsid w:val="73695E53"/>
    <w:rsid w:val="73697769"/>
    <w:rsid w:val="73726A6F"/>
    <w:rsid w:val="7373279F"/>
    <w:rsid w:val="737B3421"/>
    <w:rsid w:val="738A6344"/>
    <w:rsid w:val="738D3B7F"/>
    <w:rsid w:val="739A2A1D"/>
    <w:rsid w:val="739C7B26"/>
    <w:rsid w:val="73AC388B"/>
    <w:rsid w:val="73AE7537"/>
    <w:rsid w:val="73AF3BFF"/>
    <w:rsid w:val="73B01345"/>
    <w:rsid w:val="73D63849"/>
    <w:rsid w:val="73D87FCB"/>
    <w:rsid w:val="73E06EFA"/>
    <w:rsid w:val="73E32710"/>
    <w:rsid w:val="73F558DE"/>
    <w:rsid w:val="740308C7"/>
    <w:rsid w:val="7405486E"/>
    <w:rsid w:val="740A5D3B"/>
    <w:rsid w:val="74115AA4"/>
    <w:rsid w:val="74161CEC"/>
    <w:rsid w:val="741D30F3"/>
    <w:rsid w:val="74262FEF"/>
    <w:rsid w:val="74365605"/>
    <w:rsid w:val="743D7230"/>
    <w:rsid w:val="74572FC1"/>
    <w:rsid w:val="746023E5"/>
    <w:rsid w:val="746F1200"/>
    <w:rsid w:val="74867186"/>
    <w:rsid w:val="748C3234"/>
    <w:rsid w:val="748D6FDC"/>
    <w:rsid w:val="749A30F7"/>
    <w:rsid w:val="74A450B1"/>
    <w:rsid w:val="74B60BDD"/>
    <w:rsid w:val="74BB0A32"/>
    <w:rsid w:val="74C8194E"/>
    <w:rsid w:val="74CB3A62"/>
    <w:rsid w:val="74CD50D1"/>
    <w:rsid w:val="74CE5F27"/>
    <w:rsid w:val="74D2125C"/>
    <w:rsid w:val="74E019C5"/>
    <w:rsid w:val="74EB00D4"/>
    <w:rsid w:val="74EB0CDB"/>
    <w:rsid w:val="74EC4189"/>
    <w:rsid w:val="74F0597F"/>
    <w:rsid w:val="74F11C15"/>
    <w:rsid w:val="75095894"/>
    <w:rsid w:val="75194663"/>
    <w:rsid w:val="7528130A"/>
    <w:rsid w:val="752A04C8"/>
    <w:rsid w:val="753164B5"/>
    <w:rsid w:val="753705EB"/>
    <w:rsid w:val="75383CE8"/>
    <w:rsid w:val="753A7D56"/>
    <w:rsid w:val="7541089C"/>
    <w:rsid w:val="7546287E"/>
    <w:rsid w:val="755C1CB6"/>
    <w:rsid w:val="755E39A4"/>
    <w:rsid w:val="756D1247"/>
    <w:rsid w:val="757515B1"/>
    <w:rsid w:val="75792336"/>
    <w:rsid w:val="757D6CB0"/>
    <w:rsid w:val="757E15CA"/>
    <w:rsid w:val="758A2AF9"/>
    <w:rsid w:val="758E2F24"/>
    <w:rsid w:val="758E3908"/>
    <w:rsid w:val="75A924F0"/>
    <w:rsid w:val="75AC5C63"/>
    <w:rsid w:val="75B20B22"/>
    <w:rsid w:val="75B23A9A"/>
    <w:rsid w:val="75B33BB9"/>
    <w:rsid w:val="75B96BD7"/>
    <w:rsid w:val="75C5637C"/>
    <w:rsid w:val="75CD4598"/>
    <w:rsid w:val="75D437A2"/>
    <w:rsid w:val="75D73501"/>
    <w:rsid w:val="75DC69E9"/>
    <w:rsid w:val="75E8126A"/>
    <w:rsid w:val="75EC6587"/>
    <w:rsid w:val="76084B79"/>
    <w:rsid w:val="76085DD4"/>
    <w:rsid w:val="76086287"/>
    <w:rsid w:val="76094709"/>
    <w:rsid w:val="76206C56"/>
    <w:rsid w:val="76240770"/>
    <w:rsid w:val="7628701A"/>
    <w:rsid w:val="762B1157"/>
    <w:rsid w:val="763B77F7"/>
    <w:rsid w:val="76415984"/>
    <w:rsid w:val="76441EF2"/>
    <w:rsid w:val="764A782F"/>
    <w:rsid w:val="76590243"/>
    <w:rsid w:val="76593847"/>
    <w:rsid w:val="765E5E7A"/>
    <w:rsid w:val="7671300D"/>
    <w:rsid w:val="767770E2"/>
    <w:rsid w:val="767B2CDA"/>
    <w:rsid w:val="768074AC"/>
    <w:rsid w:val="768216BE"/>
    <w:rsid w:val="76841A59"/>
    <w:rsid w:val="76901537"/>
    <w:rsid w:val="769100D2"/>
    <w:rsid w:val="76911548"/>
    <w:rsid w:val="769612DD"/>
    <w:rsid w:val="769D2054"/>
    <w:rsid w:val="769E7B7B"/>
    <w:rsid w:val="76A51FFC"/>
    <w:rsid w:val="76A60612"/>
    <w:rsid w:val="76B82E04"/>
    <w:rsid w:val="76B91F95"/>
    <w:rsid w:val="76BD39F5"/>
    <w:rsid w:val="76BD6253"/>
    <w:rsid w:val="76C04F47"/>
    <w:rsid w:val="76CA6BC2"/>
    <w:rsid w:val="76CE0493"/>
    <w:rsid w:val="76D00D99"/>
    <w:rsid w:val="76D621D7"/>
    <w:rsid w:val="76DA30E9"/>
    <w:rsid w:val="76E62708"/>
    <w:rsid w:val="76F93003"/>
    <w:rsid w:val="77173222"/>
    <w:rsid w:val="77185B7F"/>
    <w:rsid w:val="772120FA"/>
    <w:rsid w:val="772357B5"/>
    <w:rsid w:val="772478AC"/>
    <w:rsid w:val="77274014"/>
    <w:rsid w:val="773D2F84"/>
    <w:rsid w:val="773F132D"/>
    <w:rsid w:val="773F310C"/>
    <w:rsid w:val="774066FF"/>
    <w:rsid w:val="775444AD"/>
    <w:rsid w:val="77583C4C"/>
    <w:rsid w:val="77600A6F"/>
    <w:rsid w:val="77626DFA"/>
    <w:rsid w:val="77650E22"/>
    <w:rsid w:val="7765364D"/>
    <w:rsid w:val="776876FA"/>
    <w:rsid w:val="776B5CAF"/>
    <w:rsid w:val="7771566A"/>
    <w:rsid w:val="77754420"/>
    <w:rsid w:val="77855D0F"/>
    <w:rsid w:val="77906CA0"/>
    <w:rsid w:val="77A86FB8"/>
    <w:rsid w:val="77AB3CC9"/>
    <w:rsid w:val="77B2597A"/>
    <w:rsid w:val="77B75398"/>
    <w:rsid w:val="77C43611"/>
    <w:rsid w:val="77C74E6E"/>
    <w:rsid w:val="77C91936"/>
    <w:rsid w:val="77D03781"/>
    <w:rsid w:val="77D575CC"/>
    <w:rsid w:val="77D67297"/>
    <w:rsid w:val="77DB2A4D"/>
    <w:rsid w:val="77DC3E97"/>
    <w:rsid w:val="77E36726"/>
    <w:rsid w:val="77E954BC"/>
    <w:rsid w:val="77F25450"/>
    <w:rsid w:val="77F435A1"/>
    <w:rsid w:val="77FC0FFD"/>
    <w:rsid w:val="77FC2DAB"/>
    <w:rsid w:val="77FC724F"/>
    <w:rsid w:val="780A260F"/>
    <w:rsid w:val="780E1879"/>
    <w:rsid w:val="78101A7C"/>
    <w:rsid w:val="78271CC0"/>
    <w:rsid w:val="78292D1F"/>
    <w:rsid w:val="784817E2"/>
    <w:rsid w:val="784D3606"/>
    <w:rsid w:val="78506D73"/>
    <w:rsid w:val="78634002"/>
    <w:rsid w:val="78657F82"/>
    <w:rsid w:val="786E6819"/>
    <w:rsid w:val="78A70F68"/>
    <w:rsid w:val="78B27FCB"/>
    <w:rsid w:val="78B37CA1"/>
    <w:rsid w:val="78BB2162"/>
    <w:rsid w:val="78BF13BE"/>
    <w:rsid w:val="78C17092"/>
    <w:rsid w:val="78C87A25"/>
    <w:rsid w:val="78D36002"/>
    <w:rsid w:val="78D470D8"/>
    <w:rsid w:val="78DF1CCF"/>
    <w:rsid w:val="78EB4850"/>
    <w:rsid w:val="78F14C53"/>
    <w:rsid w:val="790F3350"/>
    <w:rsid w:val="790F4D60"/>
    <w:rsid w:val="79112886"/>
    <w:rsid w:val="79156927"/>
    <w:rsid w:val="79193605"/>
    <w:rsid w:val="791D4B8B"/>
    <w:rsid w:val="791E2088"/>
    <w:rsid w:val="79216A00"/>
    <w:rsid w:val="7922752A"/>
    <w:rsid w:val="79293035"/>
    <w:rsid w:val="792A72E8"/>
    <w:rsid w:val="792F7F47"/>
    <w:rsid w:val="793F4DDD"/>
    <w:rsid w:val="7940316B"/>
    <w:rsid w:val="79546FAB"/>
    <w:rsid w:val="79556C16"/>
    <w:rsid w:val="795F0B63"/>
    <w:rsid w:val="796C129E"/>
    <w:rsid w:val="796F26C1"/>
    <w:rsid w:val="798A57D2"/>
    <w:rsid w:val="79947E0E"/>
    <w:rsid w:val="799A557D"/>
    <w:rsid w:val="79A0525E"/>
    <w:rsid w:val="79B17BA3"/>
    <w:rsid w:val="79C478F8"/>
    <w:rsid w:val="79C52C81"/>
    <w:rsid w:val="79C97D76"/>
    <w:rsid w:val="79CB3F8A"/>
    <w:rsid w:val="79D11F65"/>
    <w:rsid w:val="79D40E0D"/>
    <w:rsid w:val="79D6367C"/>
    <w:rsid w:val="79DD26AE"/>
    <w:rsid w:val="79E20577"/>
    <w:rsid w:val="79E32474"/>
    <w:rsid w:val="79E606E0"/>
    <w:rsid w:val="79ED06DF"/>
    <w:rsid w:val="79FE192A"/>
    <w:rsid w:val="7A1A39BC"/>
    <w:rsid w:val="7A1E525A"/>
    <w:rsid w:val="7A302C82"/>
    <w:rsid w:val="7A342CD0"/>
    <w:rsid w:val="7A3B2C13"/>
    <w:rsid w:val="7A3F5543"/>
    <w:rsid w:val="7A5175FF"/>
    <w:rsid w:val="7A6200CD"/>
    <w:rsid w:val="7A675C14"/>
    <w:rsid w:val="7A69101E"/>
    <w:rsid w:val="7A6D28DA"/>
    <w:rsid w:val="7A724AF2"/>
    <w:rsid w:val="7A7B44BE"/>
    <w:rsid w:val="7A7D2600"/>
    <w:rsid w:val="7A7E5FBE"/>
    <w:rsid w:val="7A873BB3"/>
    <w:rsid w:val="7A933A53"/>
    <w:rsid w:val="7A9350B8"/>
    <w:rsid w:val="7A99605C"/>
    <w:rsid w:val="7A9E157D"/>
    <w:rsid w:val="7AA339B1"/>
    <w:rsid w:val="7AA528A4"/>
    <w:rsid w:val="7AAF6B85"/>
    <w:rsid w:val="7ABB40AE"/>
    <w:rsid w:val="7ABD0F17"/>
    <w:rsid w:val="7AC24328"/>
    <w:rsid w:val="7ACE07DF"/>
    <w:rsid w:val="7AE609A0"/>
    <w:rsid w:val="7AF67026"/>
    <w:rsid w:val="7AFA0EA6"/>
    <w:rsid w:val="7AFE508C"/>
    <w:rsid w:val="7B0130F4"/>
    <w:rsid w:val="7B0D5DB9"/>
    <w:rsid w:val="7B1611E6"/>
    <w:rsid w:val="7B191639"/>
    <w:rsid w:val="7B1B79EC"/>
    <w:rsid w:val="7B2A7456"/>
    <w:rsid w:val="7B3473B8"/>
    <w:rsid w:val="7B3B1E3C"/>
    <w:rsid w:val="7B3D17B2"/>
    <w:rsid w:val="7B3D7962"/>
    <w:rsid w:val="7B455470"/>
    <w:rsid w:val="7B46268C"/>
    <w:rsid w:val="7B47082D"/>
    <w:rsid w:val="7B4F4072"/>
    <w:rsid w:val="7B5960C8"/>
    <w:rsid w:val="7B5E0327"/>
    <w:rsid w:val="7B8A65F5"/>
    <w:rsid w:val="7B8B0774"/>
    <w:rsid w:val="7B9368AD"/>
    <w:rsid w:val="7BA71010"/>
    <w:rsid w:val="7BA80E68"/>
    <w:rsid w:val="7BB61791"/>
    <w:rsid w:val="7BB9184C"/>
    <w:rsid w:val="7BD32074"/>
    <w:rsid w:val="7BE85207"/>
    <w:rsid w:val="7BF42CAC"/>
    <w:rsid w:val="7C02295A"/>
    <w:rsid w:val="7C1F1A6F"/>
    <w:rsid w:val="7C246D74"/>
    <w:rsid w:val="7C25144F"/>
    <w:rsid w:val="7C2B2391"/>
    <w:rsid w:val="7C2E1994"/>
    <w:rsid w:val="7C46335B"/>
    <w:rsid w:val="7C4D0079"/>
    <w:rsid w:val="7C5251D9"/>
    <w:rsid w:val="7C6F4A91"/>
    <w:rsid w:val="7C766094"/>
    <w:rsid w:val="7C784496"/>
    <w:rsid w:val="7C807725"/>
    <w:rsid w:val="7C831CEC"/>
    <w:rsid w:val="7C843388"/>
    <w:rsid w:val="7C8731BB"/>
    <w:rsid w:val="7CA05ACD"/>
    <w:rsid w:val="7CAC1243"/>
    <w:rsid w:val="7CCC1FB6"/>
    <w:rsid w:val="7CCD11BA"/>
    <w:rsid w:val="7CDD2B4F"/>
    <w:rsid w:val="7CF27161"/>
    <w:rsid w:val="7CF624BE"/>
    <w:rsid w:val="7CFF3BB1"/>
    <w:rsid w:val="7D0173BD"/>
    <w:rsid w:val="7D0907A1"/>
    <w:rsid w:val="7D1727C4"/>
    <w:rsid w:val="7D18150D"/>
    <w:rsid w:val="7D1974AD"/>
    <w:rsid w:val="7D2422A4"/>
    <w:rsid w:val="7D286322"/>
    <w:rsid w:val="7D2D4AA8"/>
    <w:rsid w:val="7D31246A"/>
    <w:rsid w:val="7D384885"/>
    <w:rsid w:val="7D40198C"/>
    <w:rsid w:val="7D436669"/>
    <w:rsid w:val="7D5176F5"/>
    <w:rsid w:val="7D561B88"/>
    <w:rsid w:val="7D6513F2"/>
    <w:rsid w:val="7D6876FE"/>
    <w:rsid w:val="7D7019F1"/>
    <w:rsid w:val="7D747887"/>
    <w:rsid w:val="7D840B6D"/>
    <w:rsid w:val="7D8728F0"/>
    <w:rsid w:val="7D8776C5"/>
    <w:rsid w:val="7D8C67FD"/>
    <w:rsid w:val="7D8D7E74"/>
    <w:rsid w:val="7DC145EF"/>
    <w:rsid w:val="7DCA60A9"/>
    <w:rsid w:val="7DCC4BB2"/>
    <w:rsid w:val="7DD0308E"/>
    <w:rsid w:val="7DD50946"/>
    <w:rsid w:val="7DDB4500"/>
    <w:rsid w:val="7DF01FDC"/>
    <w:rsid w:val="7DFB4A46"/>
    <w:rsid w:val="7DFD1BBE"/>
    <w:rsid w:val="7DFE1F67"/>
    <w:rsid w:val="7E13771B"/>
    <w:rsid w:val="7E14224E"/>
    <w:rsid w:val="7E171E3C"/>
    <w:rsid w:val="7E1D4EBE"/>
    <w:rsid w:val="7E2D0ED7"/>
    <w:rsid w:val="7E370D29"/>
    <w:rsid w:val="7E3F0118"/>
    <w:rsid w:val="7E4C10FB"/>
    <w:rsid w:val="7E555F1F"/>
    <w:rsid w:val="7E566BF3"/>
    <w:rsid w:val="7E635B24"/>
    <w:rsid w:val="7E674C8E"/>
    <w:rsid w:val="7E733CEE"/>
    <w:rsid w:val="7E784322"/>
    <w:rsid w:val="7E876F2C"/>
    <w:rsid w:val="7E9453B8"/>
    <w:rsid w:val="7E972339"/>
    <w:rsid w:val="7EA51D37"/>
    <w:rsid w:val="7EA70DD8"/>
    <w:rsid w:val="7EB2465F"/>
    <w:rsid w:val="7EBE3382"/>
    <w:rsid w:val="7EBE5D2D"/>
    <w:rsid w:val="7EBF0A0E"/>
    <w:rsid w:val="7EC062CE"/>
    <w:rsid w:val="7EC30EDC"/>
    <w:rsid w:val="7EC32348"/>
    <w:rsid w:val="7ED16FDB"/>
    <w:rsid w:val="7ED27E41"/>
    <w:rsid w:val="7ED4224E"/>
    <w:rsid w:val="7ED820A5"/>
    <w:rsid w:val="7EDD6480"/>
    <w:rsid w:val="7EE11B79"/>
    <w:rsid w:val="7EE25A57"/>
    <w:rsid w:val="7EE633BC"/>
    <w:rsid w:val="7EE84162"/>
    <w:rsid w:val="7F030EC3"/>
    <w:rsid w:val="7F175DC5"/>
    <w:rsid w:val="7F1906E6"/>
    <w:rsid w:val="7F1B4B4D"/>
    <w:rsid w:val="7F2C5F2D"/>
    <w:rsid w:val="7F2F0A17"/>
    <w:rsid w:val="7F327CF2"/>
    <w:rsid w:val="7F3B1130"/>
    <w:rsid w:val="7F437175"/>
    <w:rsid w:val="7F43785A"/>
    <w:rsid w:val="7F44420B"/>
    <w:rsid w:val="7F52000F"/>
    <w:rsid w:val="7F587B97"/>
    <w:rsid w:val="7F677DDD"/>
    <w:rsid w:val="7F6E0AEA"/>
    <w:rsid w:val="7F6F6558"/>
    <w:rsid w:val="7F894CE9"/>
    <w:rsid w:val="7F8A46E2"/>
    <w:rsid w:val="7F9A3E11"/>
    <w:rsid w:val="7F9B35F5"/>
    <w:rsid w:val="7FA36202"/>
    <w:rsid w:val="7FB8482C"/>
    <w:rsid w:val="7FBC3E60"/>
    <w:rsid w:val="7FC74075"/>
    <w:rsid w:val="7FC85B2D"/>
    <w:rsid w:val="7FDE02FA"/>
    <w:rsid w:val="7FF67685"/>
    <w:rsid w:val="7FFA7FE5"/>
    <w:rsid w:val="7FFC18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rFonts w:ascii="仿宋_GB2312"/>
      <w:sz w:val="32"/>
    </w:rPr>
  </w:style>
  <w:style w:type="paragraph" w:styleId="3">
    <w:name w:val="heading 2"/>
    <w:basedOn w:val="1"/>
    <w:next w:val="1"/>
    <w:semiHidden/>
    <w:unhideWhenUsed/>
    <w:qFormat/>
    <w:uiPriority w:val="0"/>
    <w:pPr>
      <w:keepNext/>
      <w:keepLines/>
      <w:widowControl w:val="0"/>
      <w:suppressLineNumbers w:val="0"/>
      <w:spacing w:before="260" w:beforeLines="0" w:beforeAutospacing="0" w:after="260" w:afterLines="0" w:afterAutospacing="0" w:line="412" w:lineRule="auto"/>
      <w:jc w:val="both"/>
      <w:outlineLvl w:val="1"/>
    </w:pPr>
    <w:rPr>
      <w:rFonts w:hint="default" w:ascii="Arial" w:hAnsi="Arial" w:eastAsia="宋体" w:cs="Times New Roman"/>
      <w:b/>
      <w:bCs/>
      <w:kern w:val="2"/>
      <w:sz w:val="28"/>
      <w:szCs w:val="28"/>
      <w:lang w:val="en-US" w:eastAsia="zh-CN" w:bidi="ar"/>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outlineLvl w:val="3"/>
    </w:pPr>
    <w:rPr>
      <w:rFonts w:ascii="Times New Roman" w:hAnsi="Times New Roman" w:eastAsia="宋体" w:cs="Times New Roman"/>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next w:val="7"/>
    <w:qFormat/>
    <w:uiPriority w:val="0"/>
    <w:pPr>
      <w:widowControl/>
      <w:ind w:firstLine="420"/>
      <w:jc w:val="left"/>
    </w:pPr>
    <w:rPr>
      <w:rFonts w:ascii="Calibri" w:hAnsi="Calibri" w:eastAsia="宋体" w:cs="Times New Roman"/>
      <w:szCs w:val="22"/>
    </w:rPr>
  </w:style>
  <w:style w:type="paragraph" w:styleId="7">
    <w:name w:val="toa heading"/>
    <w:basedOn w:val="1"/>
    <w:next w:val="1"/>
    <w:qFormat/>
    <w:uiPriority w:val="0"/>
    <w:pPr>
      <w:widowControl/>
      <w:spacing w:before="120"/>
      <w:ind w:firstLine="3584"/>
    </w:pPr>
  </w:style>
  <w:style w:type="paragraph" w:styleId="8">
    <w:name w:val="annotation text"/>
    <w:basedOn w:val="1"/>
    <w:qFormat/>
    <w:uiPriority w:val="0"/>
    <w:pPr>
      <w:jc w:val="left"/>
    </w:pPr>
  </w:style>
  <w:style w:type="paragraph" w:styleId="9">
    <w:name w:val="Body Text"/>
    <w:basedOn w:val="1"/>
    <w:next w:val="1"/>
    <w:qFormat/>
    <w:uiPriority w:val="0"/>
  </w:style>
  <w:style w:type="paragraph" w:styleId="10">
    <w:name w:val="Body Text Indent"/>
    <w:basedOn w:val="1"/>
    <w:next w:val="1"/>
    <w:qFormat/>
    <w:uiPriority w:val="0"/>
    <w:pPr>
      <w:spacing w:line="360" w:lineRule="auto"/>
    </w:pPr>
    <w:rPr>
      <w:rFonts w:ascii="仿宋体" w:eastAsia="仿宋体"/>
      <w:sz w:val="24"/>
    </w:rPr>
  </w:style>
  <w:style w:type="paragraph" w:styleId="11">
    <w:name w:val="toc 3"/>
    <w:basedOn w:val="1"/>
    <w:next w:val="1"/>
    <w:qFormat/>
    <w:uiPriority w:val="0"/>
    <w:pPr>
      <w:keepNext w:val="0"/>
      <w:keepLines w:val="0"/>
      <w:widowControl/>
      <w:suppressLineNumbers w:val="0"/>
      <w:spacing w:after="100" w:afterAutospacing="0" w:line="273" w:lineRule="auto"/>
      <w:ind w:left="440"/>
      <w:jc w:val="left"/>
    </w:pPr>
    <w:rPr>
      <w:rFonts w:hint="default" w:ascii="Calibri" w:hAnsi="Calibri" w:eastAsia="宋体" w:cs="Times New Roman"/>
      <w:kern w:val="0"/>
      <w:sz w:val="22"/>
      <w:szCs w:val="22"/>
      <w:lang w:val="en-US" w:eastAsia="zh-CN" w:bidi="ar"/>
    </w:rPr>
  </w:style>
  <w:style w:type="paragraph" w:styleId="12">
    <w:name w:val="Plain Text"/>
    <w:basedOn w:val="1"/>
    <w:unhideWhenUsed/>
    <w:qFormat/>
    <w:uiPriority w:val="99"/>
    <w:rPr>
      <w:rFonts w:ascii="宋体" w:hAnsi="Courier New" w:cs="Courier New"/>
      <w:szCs w:val="21"/>
    </w:rPr>
  </w:style>
  <w:style w:type="paragraph" w:styleId="13">
    <w:name w:val="Date"/>
    <w:basedOn w:val="1"/>
    <w:next w:val="1"/>
    <w:qFormat/>
    <w:uiPriority w:val="0"/>
    <w:pPr>
      <w:ind w:left="100" w:leftChars="2500"/>
    </w:pPr>
    <w:rPr>
      <w:rFonts w:ascii="华文仿宋" w:hAnsi="华文仿宋" w:eastAsia="华文仿宋"/>
      <w:sz w:val="24"/>
    </w:rPr>
  </w:style>
  <w:style w:type="paragraph" w:styleId="14">
    <w:name w:val="Body Text Indent 2"/>
    <w:basedOn w:val="1"/>
    <w:qFormat/>
    <w:uiPriority w:val="0"/>
    <w:pPr>
      <w:spacing w:line="360" w:lineRule="auto"/>
      <w:ind w:left="839" w:hanging="839" w:hangingChars="355"/>
    </w:pPr>
    <w:rPr>
      <w:b/>
      <w:sz w:val="24"/>
    </w:rPr>
  </w:style>
  <w:style w:type="paragraph" w:styleId="15">
    <w:name w:val="Balloon Text"/>
    <w:basedOn w:val="1"/>
    <w:link w:val="34"/>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19">
    <w:name w:val="Title"/>
    <w:basedOn w:val="1"/>
    <w:next w:val="1"/>
    <w:qFormat/>
    <w:uiPriority w:val="0"/>
    <w:pPr>
      <w:spacing w:before="240" w:after="60"/>
      <w:jc w:val="center"/>
      <w:outlineLvl w:val="0"/>
    </w:pPr>
    <w:rPr>
      <w:rFonts w:ascii="Cambria" w:hAnsi="Cambria"/>
      <w:b/>
      <w:bCs/>
      <w:sz w:val="32"/>
      <w:szCs w:val="32"/>
    </w:rPr>
  </w:style>
  <w:style w:type="paragraph" w:styleId="20">
    <w:name w:val="Body Text First Indent"/>
    <w:basedOn w:val="9"/>
    <w:next w:val="1"/>
    <w:qFormat/>
    <w:uiPriority w:val="0"/>
    <w:pPr>
      <w:ind w:firstLine="420" w:firstLineChars="100"/>
    </w:pPr>
    <w:rPr>
      <w:szCs w:val="21"/>
    </w:rPr>
  </w:style>
  <w:style w:type="paragraph" w:styleId="21">
    <w:name w:val="Body Text First Indent 2"/>
    <w:basedOn w:val="10"/>
    <w:next w:val="6"/>
    <w:qFormat/>
    <w:uiPriority w:val="0"/>
    <w:pPr>
      <w:ind w:firstLine="420" w:firstLineChars="200"/>
    </w:pPr>
    <w:rPr>
      <w:spacing w:val="10"/>
      <w:sz w:val="24"/>
    </w:rPr>
  </w:style>
  <w:style w:type="table" w:styleId="23">
    <w:name w:val="Table Grid"/>
    <w:basedOn w:val="22"/>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page number"/>
    <w:basedOn w:val="24"/>
    <w:qFormat/>
    <w:uiPriority w:val="0"/>
  </w:style>
  <w:style w:type="paragraph" w:customStyle="1" w:styleId="27">
    <w:name w:val="默认段落字体 Para Char"/>
    <w:basedOn w:val="1"/>
    <w:qFormat/>
    <w:uiPriority w:val="0"/>
    <w:pPr>
      <w:adjustRightInd w:val="0"/>
      <w:spacing w:line="360" w:lineRule="auto"/>
    </w:p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0">
    <w:name w:val="列出段落1"/>
    <w:basedOn w:val="1"/>
    <w:qFormat/>
    <w:uiPriority w:val="34"/>
    <w:pPr>
      <w:ind w:firstLine="420" w:firstLineChars="200"/>
    </w:pPr>
  </w:style>
  <w:style w:type="character" w:customStyle="1" w:styleId="31">
    <w:name w:val="font11"/>
    <w:basedOn w:val="24"/>
    <w:qFormat/>
    <w:uiPriority w:val="0"/>
    <w:rPr>
      <w:rFonts w:hint="default" w:ascii="Times New Roman" w:hAnsi="Times New Roman" w:cs="Times New Roman"/>
      <w:color w:val="000000"/>
      <w:sz w:val="24"/>
      <w:szCs w:val="24"/>
      <w:u w:val="none"/>
    </w:rPr>
  </w:style>
  <w:style w:type="character" w:customStyle="1" w:styleId="32">
    <w:name w:val="font31"/>
    <w:basedOn w:val="24"/>
    <w:qFormat/>
    <w:uiPriority w:val="0"/>
    <w:rPr>
      <w:rFonts w:hint="eastAsia" w:ascii="宋体" w:hAnsi="宋体" w:eastAsia="宋体" w:cs="宋体"/>
      <w:color w:val="000000"/>
      <w:sz w:val="24"/>
      <w:szCs w:val="24"/>
      <w:u w:val="none"/>
    </w:rPr>
  </w:style>
  <w:style w:type="paragraph" w:customStyle="1" w:styleId="33">
    <w:name w:val="WPS Plain"/>
    <w:qFormat/>
    <w:uiPriority w:val="0"/>
    <w:rPr>
      <w:rFonts w:ascii="Times New Roman" w:hAnsi="Times New Roman" w:eastAsia="宋体" w:cs="Times New Roman"/>
      <w:lang w:val="en-US" w:eastAsia="zh-CN" w:bidi="ar-SA"/>
    </w:rPr>
  </w:style>
  <w:style w:type="character" w:customStyle="1" w:styleId="34">
    <w:name w:val="批注框文本 Char"/>
    <w:basedOn w:val="24"/>
    <w:link w:val="15"/>
    <w:qFormat/>
    <w:uiPriority w:val="0"/>
    <w:rPr>
      <w:kern w:val="2"/>
      <w:sz w:val="18"/>
      <w:szCs w:val="18"/>
    </w:rPr>
  </w:style>
  <w:style w:type="paragraph" w:customStyle="1" w:styleId="3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6">
    <w:name w:val="采购正文"/>
    <w:basedOn w:val="1"/>
    <w:qFormat/>
    <w:uiPriority w:val="0"/>
    <w:pPr>
      <w:snapToGrid w:val="0"/>
      <w:spacing w:line="560" w:lineRule="exact"/>
      <w:ind w:firstLine="480" w:firstLineChars="200"/>
    </w:pPr>
    <w:rPr>
      <w:rFonts w:ascii="仿宋" w:hAnsi="仿宋" w:eastAsia="仿宋"/>
      <w:sz w:val="24"/>
    </w:rPr>
  </w:style>
  <w:style w:type="paragraph" w:customStyle="1" w:styleId="37">
    <w:name w:val="采购二级"/>
    <w:basedOn w:val="1"/>
    <w:qFormat/>
    <w:uiPriority w:val="99"/>
    <w:pPr>
      <w:snapToGrid w:val="0"/>
      <w:spacing w:line="560" w:lineRule="exact"/>
      <w:ind w:firstLine="480" w:firstLineChars="200"/>
      <w:outlineLvl w:val="1"/>
    </w:pPr>
    <w:rPr>
      <w:rFonts w:ascii="仿宋" w:hAnsi="仿宋" w:eastAsia="仿宋"/>
      <w:b/>
      <w:sz w:val="24"/>
    </w:rPr>
  </w:style>
  <w:style w:type="paragraph" w:styleId="38">
    <w:name w:val="List Paragraph"/>
    <w:basedOn w:val="1"/>
    <w:qFormat/>
    <w:uiPriority w:val="34"/>
    <w:pPr>
      <w:ind w:firstLine="420" w:firstLineChars="200"/>
    </w:pPr>
  </w:style>
  <w:style w:type="paragraph" w:customStyle="1" w:styleId="39">
    <w:name w:val="Table Paragraph"/>
    <w:basedOn w:val="1"/>
    <w:qFormat/>
    <w:uiPriority w:val="1"/>
    <w:rPr>
      <w:rFonts w:ascii="宋体" w:hAnsi="宋体" w:cs="宋体"/>
      <w:lang w:val="zh-CN" w:bidi="zh-CN"/>
    </w:rPr>
  </w:style>
  <w:style w:type="paragraph" w:customStyle="1" w:styleId="40">
    <w:name w:val="Item List in Table"/>
    <w:basedOn w:val="1"/>
    <w:qFormat/>
    <w:uiPriority w:val="0"/>
    <w:pPr>
      <w:numPr>
        <w:ilvl w:val="0"/>
        <w:numId w:val="1"/>
      </w:numPr>
      <w:tabs>
        <w:tab w:val="left" w:pos="420"/>
        <w:tab w:val="clear" w:pos="960"/>
      </w:tabs>
      <w:jc w:val="left"/>
    </w:pPr>
    <w:rPr>
      <w:rFonts w:eastAsia="宋体"/>
      <w:sz w:val="21"/>
      <w:szCs w:val="24"/>
    </w:rPr>
  </w:style>
  <w:style w:type="character" w:customStyle="1" w:styleId="41">
    <w:name w:val="font01"/>
    <w:basedOn w:val="24"/>
    <w:qFormat/>
    <w:uiPriority w:val="0"/>
    <w:rPr>
      <w:rFonts w:ascii="黑体" w:hAnsi="宋体" w:eastAsia="黑体" w:cs="黑体"/>
      <w:color w:val="000000"/>
      <w:sz w:val="36"/>
      <w:szCs w:val="36"/>
      <w:u w:val="none"/>
    </w:rPr>
  </w:style>
  <w:style w:type="character" w:customStyle="1" w:styleId="42">
    <w:name w:val="font21"/>
    <w:basedOn w:val="24"/>
    <w:qFormat/>
    <w:uiPriority w:val="0"/>
    <w:rPr>
      <w:rFonts w:hint="eastAsia" w:ascii="仿宋" w:hAnsi="仿宋" w:eastAsia="仿宋" w:cs="仿宋"/>
      <w:color w:val="000000"/>
      <w:sz w:val="32"/>
      <w:szCs w:val="32"/>
      <w:u w:val="none"/>
    </w:rPr>
  </w:style>
  <w:style w:type="paragraph" w:customStyle="1" w:styleId="43">
    <w:name w:val="样式 样式 样式 左侧:  2 字符1 + 首行缩进:  2 字符1 + 首行缩进:  2 字符"/>
    <w:basedOn w:val="1"/>
    <w:qFormat/>
    <w:uiPriority w:val="99"/>
    <w:pPr>
      <w:widowControl/>
      <w:spacing w:before="60" w:after="120" w:line="440" w:lineRule="atLeast"/>
      <w:ind w:firstLine="480"/>
    </w:pPr>
    <w:rPr>
      <w:rFonts w:hint="eastAsia"/>
      <w:sz w:val="24"/>
      <w:szCs w:val="20"/>
    </w:rPr>
  </w:style>
  <w:style w:type="paragraph" w:customStyle="1" w:styleId="44">
    <w:name w:val="Default"/>
    <w:qFormat/>
    <w:uiPriority w:val="0"/>
    <w:pPr>
      <w:widowControl w:val="0"/>
      <w:autoSpaceDE w:val="0"/>
      <w:autoSpaceDN w:val="0"/>
    </w:pPr>
    <w:rPr>
      <w:rFonts w:ascii="ó×.2" w:hAnsi="Calibri" w:eastAsia="ó×.2" w:cs="ó×.2"/>
      <w:color w:val="000000"/>
      <w:sz w:val="24"/>
      <w:szCs w:val="24"/>
      <w:lang w:val="en-US" w:eastAsia="zh-CN" w:bidi="ar-SA"/>
    </w:rPr>
  </w:style>
  <w:style w:type="table" w:customStyle="1" w:styleId="45">
    <w:name w:val="Table Normal"/>
    <w:semiHidden/>
    <w:unhideWhenUsed/>
    <w:qFormat/>
    <w:uiPriority w:val="0"/>
    <w:tblPr>
      <w:tblCellMar>
        <w:top w:w="0" w:type="dxa"/>
        <w:left w:w="0" w:type="dxa"/>
        <w:bottom w:w="0" w:type="dxa"/>
        <w:right w:w="0" w:type="dxa"/>
      </w:tblCellMar>
    </w:tblPr>
  </w:style>
  <w:style w:type="character" w:customStyle="1" w:styleId="46">
    <w:name w:val="font41"/>
    <w:qFormat/>
    <w:uiPriority w:val="0"/>
    <w:rPr>
      <w:rFonts w:hint="eastAsia" w:ascii="宋体" w:hAnsi="宋体" w:eastAsia="宋体" w:cs="宋体"/>
      <w:color w:val="FF0000"/>
      <w:sz w:val="24"/>
      <w:szCs w:val="24"/>
      <w:u w:val="none"/>
    </w:rPr>
  </w:style>
  <w:style w:type="character" w:customStyle="1" w:styleId="47">
    <w:name w:val="font51"/>
    <w:qFormat/>
    <w:uiPriority w:val="0"/>
    <w:rPr>
      <w:rFonts w:hint="eastAsia" w:ascii="宋体" w:hAnsi="宋体" w:eastAsia="宋体" w:cs="宋体"/>
      <w:color w:val="FF0000"/>
      <w:sz w:val="24"/>
      <w:szCs w:val="24"/>
      <w:u w:val="none"/>
    </w:rPr>
  </w:style>
  <w:style w:type="paragraph" w:customStyle="1" w:styleId="48">
    <w:name w:val="表格"/>
    <w:basedOn w:val="1"/>
    <w:qFormat/>
    <w:uiPriority w:val="0"/>
    <w:pPr>
      <w:keepNext w:val="0"/>
      <w:keepLines w:val="0"/>
      <w:widowControl w:val="0"/>
      <w:suppressLineNumbers w:val="0"/>
      <w:topLinePunct/>
      <w:spacing w:before="0" w:beforeAutospacing="0" w:after="0" w:afterAutospacing="0" w:line="440" w:lineRule="exact"/>
      <w:ind w:left="0" w:right="0"/>
      <w:jc w:val="center"/>
    </w:pPr>
    <w:rPr>
      <w:rFonts w:hint="eastAsia" w:ascii="宋体" w:hAnsi="宋体" w:eastAsia="宋体" w:cs="宋体"/>
      <w:kern w:val="2"/>
      <w:sz w:val="21"/>
      <w:szCs w:val="21"/>
      <w:lang w:val="en-US" w:eastAsia="zh-CN" w:bidi="ar"/>
    </w:rPr>
  </w:style>
  <w:style w:type="paragraph" w:customStyle="1" w:styleId="49">
    <w:name w:val="正"/>
    <w:qFormat/>
    <w:uiPriority w:val="0"/>
    <w:pPr>
      <w:widowControl w:val="0"/>
      <w:tabs>
        <w:tab w:val="left" w:pos="-120"/>
      </w:tabs>
      <w:suppressAutoHyphens/>
      <w:spacing w:line="560" w:lineRule="exact"/>
      <w:ind w:firstLine="600"/>
      <w:jc w:val="both"/>
      <w:textAlignment w:val="baseline"/>
    </w:pPr>
    <w:rPr>
      <w:rFonts w:ascii="仿宋_GB2312" w:hAnsi="仿宋_GB2312" w:eastAsia="仿宋_GB2312" w:cs="仿宋_GB2312"/>
      <w:color w:val="000000"/>
      <w:spacing w:val="20"/>
      <w:kern w:val="0"/>
      <w:sz w:val="21"/>
      <w:szCs w:val="21"/>
      <w:lang w:val="en-US" w:eastAsia="zh-CN" w:bidi="ar-SA"/>
    </w:rPr>
  </w:style>
  <w:style w:type="paragraph" w:customStyle="1" w:styleId="50">
    <w:name w:val="正文_1"/>
    <w:next w:val="51"/>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51">
    <w:name w:val="列表_0"/>
    <w:semiHidden/>
    <w:qFormat/>
    <w:locked/>
    <w:uiPriority w:val="0"/>
    <w:pPr>
      <w:widowControl w:val="0"/>
      <w:suppressAutoHyphens/>
      <w:ind w:left="200" w:hanging="200" w:hangingChars="200"/>
      <w:jc w:val="both"/>
    </w:pPr>
    <w:rPr>
      <w:rFonts w:ascii="Calibri" w:hAnsi="Calibri" w:eastAsia="宋体;SimSun" w:cs="Calibri"/>
      <w:kern w:val="2"/>
      <w:sz w:val="21"/>
      <w:szCs w:val="21"/>
      <w:lang w:val="en-US" w:eastAsia="zh-CN" w:bidi="ar-SA"/>
    </w:rPr>
  </w:style>
  <w:style w:type="paragraph" w:customStyle="1" w:styleId="52">
    <w:name w:val="正文_2"/>
    <w:next w:val="53"/>
    <w:qFormat/>
    <w:uiPriority w:val="0"/>
    <w:pPr>
      <w:widowControl w:val="0"/>
      <w:suppressAutoHyphens/>
      <w:jc w:val="both"/>
    </w:pPr>
    <w:rPr>
      <w:rFonts w:ascii="Calibri" w:hAnsi="Calibri" w:eastAsia="仿宋_GB2312" w:cs="Times New Roman"/>
      <w:kern w:val="2"/>
      <w:sz w:val="28"/>
      <w:szCs w:val="28"/>
      <w:lang w:val="en-US" w:eastAsia="zh-CN" w:bidi="ar-SA"/>
    </w:rPr>
  </w:style>
  <w:style w:type="paragraph" w:customStyle="1" w:styleId="53">
    <w:name w:val="引文目录标题_1"/>
    <w:next w:val="52"/>
    <w:qFormat/>
    <w:uiPriority w:val="0"/>
    <w:pPr>
      <w:widowControl w:val="0"/>
      <w:suppressAutoHyphens/>
      <w:spacing w:before="120"/>
      <w:jc w:val="both"/>
    </w:pPr>
    <w:rPr>
      <w:rFonts w:ascii="Cambria" w:hAnsi="Cambria" w:eastAsia="仿宋_GB2312" w:cs="Times New Roman"/>
      <w:kern w:val="2"/>
      <w:sz w:val="24"/>
      <w:szCs w:val="24"/>
      <w:lang w:val="en-US" w:eastAsia="zh-CN" w:bidi="ar-SA"/>
    </w:rPr>
  </w:style>
  <w:style w:type="paragraph" w:customStyle="1" w:styleId="54">
    <w:name w:val="正文_3"/>
    <w:next w:val="55"/>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55">
    <w:name w:val="正文文本_0"/>
    <w:qFormat/>
    <w:uiPriority w:val="0"/>
    <w:pPr>
      <w:widowControl w:val="0"/>
      <w:spacing w:after="120"/>
      <w:jc w:val="both"/>
    </w:pPr>
    <w:rPr>
      <w:rFonts w:ascii="Times New Roman" w:hAnsi="Times New Roman" w:eastAsia="Times New Roman" w:cs="Times New Roman"/>
      <w:kern w:val="2"/>
      <w:sz w:val="21"/>
      <w:szCs w:val="24"/>
      <w:lang w:val="en-US" w:eastAsia="zh-CN" w:bidi="ar-SA"/>
    </w:rPr>
  </w:style>
  <w:style w:type="paragraph" w:customStyle="1" w:styleId="56">
    <w:name w:val="正文_4"/>
    <w:next w:val="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页脚_0"/>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customStyle="1" w:styleId="58">
    <w:name w:val="正文_5"/>
    <w:next w:val="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首行缩进_1"/>
    <w:qFormat/>
    <w:uiPriority w:val="0"/>
    <w:pPr>
      <w:widowControl w:val="0"/>
      <w:spacing w:after="120"/>
      <w:ind w:firstLine="420" w:firstLineChars="100"/>
      <w:jc w:val="both"/>
    </w:pPr>
    <w:rPr>
      <w:rFonts w:ascii="宋体" w:hAnsi="Times New Roman" w:eastAsia="宋体" w:cs="Times New Roman"/>
      <w:kern w:val="2"/>
      <w:sz w:val="21"/>
      <w:szCs w:val="22"/>
      <w:lang w:val="en-US" w:eastAsia="zh-CN" w:bidi="ar-SA"/>
    </w:rPr>
  </w:style>
  <w:style w:type="paragraph" w:customStyle="1" w:styleId="60">
    <w:name w:val="正文文本_2"/>
    <w:qFormat/>
    <w:uiPriority w:val="0"/>
    <w:pPr>
      <w:widowControl w:val="0"/>
      <w:spacing w:after="120"/>
      <w:jc w:val="both"/>
    </w:pPr>
    <w:rPr>
      <w:rFonts w:ascii="Times New Roman" w:hAnsi="Times New Roman" w:eastAsia="宋体" w:cs="Times New Roman"/>
      <w:kern w:val="2"/>
      <w:sz w:val="21"/>
      <w:szCs w:val="22"/>
      <w:lang w:val="en-US" w:eastAsia="zh-CN" w:bidi="ar-SA"/>
    </w:rPr>
  </w:style>
  <w:style w:type="paragraph" w:customStyle="1" w:styleId="61">
    <w:name w:val="正文_7_1"/>
    <w:next w:val="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正文_3_0_0"/>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63">
    <w:name w:val="Normal"/>
    <w:next w:val="64"/>
    <w:qFormat/>
    <w:uiPriority w:val="0"/>
    <w:rPr>
      <w:rFonts w:ascii="Times New Roman" w:hAnsi="Times New Roman" w:eastAsia="Times New Roman" w:cs="Times New Roman"/>
      <w:sz w:val="24"/>
      <w:szCs w:val="24"/>
      <w:lang w:bidi="ar-SA"/>
    </w:rPr>
  </w:style>
  <w:style w:type="paragraph" w:customStyle="1" w:styleId="64">
    <w:name w:val="Body Text"/>
    <w:qFormat/>
    <w:uiPriority w:val="0"/>
    <w:pPr>
      <w:spacing w:after="120"/>
    </w:pPr>
    <w:rPr>
      <w:rFonts w:ascii="Times New Roman" w:hAnsi="Times New Roman" w:eastAsia="Times New Roman" w:cs="Times New Roman"/>
      <w:sz w:val="24"/>
      <w:szCs w:val="24"/>
      <w:lang w:bidi="ar-SA"/>
    </w:rPr>
  </w:style>
  <w:style w:type="paragraph" w:customStyle="1" w:styleId="65">
    <w:name w:val="正文_13_0"/>
    <w:next w:val="6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正文文本_2_0"/>
    <w:qFormat/>
    <w:uiPriority w:val="0"/>
    <w:pPr>
      <w:widowControl w:val="0"/>
      <w:spacing w:after="120"/>
      <w:jc w:val="both"/>
    </w:pPr>
    <w:rPr>
      <w:rFonts w:ascii="Times New Roman" w:hAnsi="Times New Roman" w:eastAsia="宋体" w:cs="Times New Roman"/>
      <w:kern w:val="2"/>
      <w:sz w:val="21"/>
      <w:szCs w:val="22"/>
      <w:lang w:val="en-US" w:eastAsia="zh-CN" w:bidi="ar-SA"/>
    </w:rPr>
  </w:style>
  <w:style w:type="paragraph" w:customStyle="1" w:styleId="67">
    <w:name w:val="表格文字"/>
    <w:basedOn w:val="1"/>
    <w:next w:val="9"/>
    <w:qFormat/>
    <w:uiPriority w:val="0"/>
    <w:pPr>
      <w:adjustRightInd w:val="0"/>
      <w:spacing w:line="420" w:lineRule="atLeast"/>
      <w:jc w:val="left"/>
      <w:textAlignment w:val="baseline"/>
    </w:pPr>
    <w:rPr>
      <w:kern w:val="0"/>
      <w:szCs w:val="20"/>
    </w:rPr>
  </w:style>
  <w:style w:type="paragraph" w:customStyle="1" w:styleId="6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110</Pages>
  <Words>59792</Words>
  <Characters>69135</Characters>
  <Lines>1</Lines>
  <Paragraphs>1</Paragraphs>
  <TotalTime>36</TotalTime>
  <ScaleCrop>false</ScaleCrop>
  <LinksUpToDate>false</LinksUpToDate>
  <CharactersWithSpaces>69939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2019-04-23T04:10:00Z</dcterms:created>
  <dc:creator>HapPy</dc:creator>
  <cp:lastModifiedBy>虫儿飞</cp:lastModifiedBy>
  <cp:lastPrinted>2019-05-09T12:07:00Z</cp:lastPrinted>
  <dcterms:modified xsi:type="dcterms:W3CDTF">2026-05-20T09:20:55Z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216E3CEDA9C54FEA82239B230E631408_13</vt:lpwstr>
  </property>
  <property fmtid="{D5CDD505-2E9C-101B-9397-08002B2CF9AE}" pid="4" name="KSOTemplateDocerSaveRecord">
    <vt:lpwstr>eyJoZGlkIjoiMzJkNzUzODhhODc1MmJmMzkwZjc4NGY1YjBhODdhMzYiLCJ1c2VySWQiOiIyNzE2NDc0MjcifQ==</vt:lpwstr>
  </property>
</Properties>
</file>