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1DB15D">
      <w:pPr>
        <w:pStyle w:val="9"/>
        <w:jc w:val="left"/>
        <w:outlineLvl w:val="0"/>
      </w:pPr>
      <w:r>
        <w:rPr>
          <w:rFonts w:ascii="仿宋_GB2312" w:hAnsi="仿宋_GB2312" w:eastAsia="仿宋_GB2312" w:cs="仿宋_GB2312"/>
          <w:b/>
          <w:sz w:val="48"/>
        </w:rPr>
        <w:t xml:space="preserve"> 政府采购合同</w:t>
      </w:r>
    </w:p>
    <w:p w14:paraId="3D7B92AC">
      <w:pPr>
        <w:pStyle w:val="9"/>
        <w:jc w:val="center"/>
        <w:outlineLvl w:val="0"/>
      </w:pPr>
      <w:r>
        <w:rPr>
          <w:rFonts w:ascii="仿宋_GB2312" w:hAnsi="仿宋_GB2312" w:eastAsia="仿宋_GB2312" w:cs="仿宋_GB2312"/>
          <w:b/>
          <w:sz w:val="48"/>
        </w:rPr>
        <w:t xml:space="preserve"> （服务类）</w:t>
      </w:r>
      <w:r>
        <w:br w:type="textWrapping"/>
      </w:r>
      <w:r>
        <w:br w:type="textWrapping"/>
      </w:r>
      <w:r>
        <w:br w:type="textWrapping"/>
      </w:r>
      <w:r>
        <w:br w:type="textWrapping"/>
      </w:r>
      <w:r>
        <w:br w:type="textWrapping"/>
      </w:r>
    </w:p>
    <w:p w14:paraId="198BE04E">
      <w:pPr>
        <w:pStyle w:val="9"/>
        <w:ind w:left="1800"/>
        <w:jc w:val="left"/>
        <w:rPr>
          <w:rFonts w:hint="default" w:eastAsia="仿宋_GB2312"/>
          <w:lang w:val="en-US" w:eastAsia="zh-CN"/>
        </w:rPr>
      </w:pPr>
      <w:r>
        <w:rPr>
          <w:rFonts w:ascii="仿宋_GB2312" w:hAnsi="仿宋_GB2312" w:eastAsia="仿宋_GB2312" w:cs="仿宋_GB2312"/>
          <w:b/>
          <w:sz w:val="27"/>
        </w:rPr>
        <w:t xml:space="preserve"> 政府采购合同编号：</w:t>
      </w:r>
      <w:r>
        <w:rPr>
          <w:rFonts w:hint="eastAsia" w:ascii="仿宋_GB2312" w:hAnsi="仿宋_GB2312" w:eastAsia="仿宋_GB2312" w:cs="仿宋_GB2312"/>
          <w:b/>
          <w:sz w:val="27"/>
          <w:u w:val="single"/>
          <w:lang w:val="en-US" w:eastAsia="zh-CN"/>
        </w:rPr>
        <w:t xml:space="preserve">               </w:t>
      </w:r>
    </w:p>
    <w:p w14:paraId="044989E5">
      <w:pPr>
        <w:pStyle w:val="9"/>
        <w:jc w:val="left"/>
      </w:pPr>
      <w:r>
        <w:rPr>
          <w:rFonts w:ascii="仿宋_GB2312" w:hAnsi="仿宋_GB2312" w:eastAsia="仿宋_GB2312" w:cs="仿宋_GB2312"/>
          <w:b/>
          <w:sz w:val="27"/>
        </w:rPr>
        <w:t xml:space="preserve"> 履约地点：</w:t>
      </w:r>
      <w:r>
        <w:rPr>
          <w:rFonts w:hint="eastAsia" w:ascii="仿宋_GB2312" w:hAnsi="仿宋_GB2312" w:eastAsia="仿宋_GB2312" w:cs="仿宋_GB2312"/>
          <w:b/>
          <w:sz w:val="27"/>
          <w:u w:val="single"/>
          <w:lang w:val="en-US" w:eastAsia="zh-CN"/>
        </w:rPr>
        <w:t xml:space="preserve">四川省雅安中学 </w:t>
      </w:r>
      <w:r>
        <w:rPr>
          <w:rFonts w:ascii="仿宋_GB2312" w:hAnsi="仿宋_GB2312" w:eastAsia="仿宋_GB2312" w:cs="仿宋_GB2312"/>
          <w:b/>
          <w:sz w:val="27"/>
          <w:lang w:val="en-US" w:eastAsia="zh-CN"/>
        </w:rPr>
        <w:t xml:space="preserve"> </w:t>
      </w:r>
    </w:p>
    <w:p w14:paraId="3A117DD7">
      <w:pPr>
        <w:pStyle w:val="9"/>
        <w:jc w:val="left"/>
      </w:pPr>
      <w:r>
        <w:rPr>
          <w:rFonts w:ascii="仿宋_GB2312" w:hAnsi="仿宋_GB2312" w:eastAsia="仿宋_GB2312" w:cs="仿宋_GB2312"/>
          <w:b/>
          <w:sz w:val="27"/>
        </w:rPr>
        <w:t xml:space="preserve"> 签订地点：__________________</w:t>
      </w:r>
    </w:p>
    <w:p w14:paraId="79E8204F">
      <w:pPr>
        <w:pStyle w:val="9"/>
        <w:jc w:val="left"/>
      </w:pPr>
      <w:r>
        <w:rPr>
          <w:rFonts w:ascii="仿宋_GB2312" w:hAnsi="仿宋_GB2312" w:eastAsia="仿宋_GB2312" w:cs="仿宋_GB2312"/>
          <w:b/>
          <w:sz w:val="27"/>
        </w:rPr>
        <w:t xml:space="preserve"> 签订时间：20___年___月___日</w:t>
      </w:r>
    </w:p>
    <w:p w14:paraId="6F686BDF">
      <w:pPr>
        <w:pStyle w:val="9"/>
        <w:jc w:val="left"/>
      </w:pPr>
      <w:r>
        <w:rPr>
          <w:rFonts w:ascii="仿宋_GB2312" w:hAnsi="仿宋_GB2312" w:eastAsia="仿宋_GB2312" w:cs="仿宋_GB2312"/>
          <w:b/>
          <w:sz w:val="27"/>
        </w:rPr>
        <w:t xml:space="preserve"> </w:t>
      </w:r>
      <w:r>
        <w:rPr>
          <w:rFonts w:hint="eastAsia" w:ascii="仿宋_GB2312" w:hAnsi="仿宋_GB2312" w:eastAsia="仿宋_GB2312" w:cs="仿宋_GB2312"/>
          <w:b/>
          <w:sz w:val="27"/>
          <w:lang w:eastAsia="zh-CN"/>
        </w:rPr>
        <w:t>甲方</w:t>
      </w:r>
      <w:r>
        <w:rPr>
          <w:rFonts w:ascii="仿宋_GB2312" w:hAnsi="仿宋_GB2312" w:eastAsia="仿宋_GB2312" w:cs="仿宋_GB2312"/>
          <w:b/>
          <w:sz w:val="27"/>
        </w:rPr>
        <w:t>（</w:t>
      </w:r>
      <w:r>
        <w:rPr>
          <w:rFonts w:hint="eastAsia" w:ascii="仿宋_GB2312" w:hAnsi="仿宋_GB2312" w:eastAsia="仿宋_GB2312" w:cs="仿宋_GB2312"/>
          <w:b/>
          <w:sz w:val="27"/>
          <w:lang w:val="en-US" w:eastAsia="zh-CN"/>
        </w:rPr>
        <w:t>采购人</w:t>
      </w:r>
      <w:r>
        <w:rPr>
          <w:rFonts w:ascii="仿宋_GB2312" w:hAnsi="仿宋_GB2312" w:eastAsia="仿宋_GB2312" w:cs="仿宋_GB2312"/>
          <w:b/>
          <w:sz w:val="27"/>
        </w:rPr>
        <w:t>）：__________________</w:t>
      </w:r>
    </w:p>
    <w:p w14:paraId="1F4620AA">
      <w:pPr>
        <w:pStyle w:val="9"/>
        <w:jc w:val="left"/>
      </w:pPr>
      <w:r>
        <w:rPr>
          <w:rFonts w:ascii="仿宋_GB2312" w:hAnsi="仿宋_GB2312" w:eastAsia="仿宋_GB2312" w:cs="仿宋_GB2312"/>
          <w:b/>
          <w:sz w:val="27"/>
        </w:rPr>
        <w:t xml:space="preserve"> </w:t>
      </w:r>
      <w:r>
        <w:rPr>
          <w:rFonts w:hint="eastAsia" w:ascii="仿宋_GB2312" w:hAnsi="仿宋_GB2312" w:eastAsia="仿宋_GB2312" w:cs="仿宋_GB2312"/>
          <w:b/>
          <w:sz w:val="27"/>
          <w:lang w:eastAsia="zh-CN"/>
        </w:rPr>
        <w:t>甲方</w:t>
      </w:r>
      <w:r>
        <w:rPr>
          <w:rFonts w:ascii="仿宋_GB2312" w:hAnsi="仿宋_GB2312" w:eastAsia="仿宋_GB2312" w:cs="仿宋_GB2312"/>
          <w:b/>
          <w:sz w:val="27"/>
        </w:rPr>
        <w:t>地址：__________________</w:t>
      </w:r>
    </w:p>
    <w:p w14:paraId="371F4029">
      <w:pPr>
        <w:pStyle w:val="9"/>
        <w:jc w:val="left"/>
      </w:pPr>
      <w:r>
        <w:rPr>
          <w:rFonts w:ascii="仿宋_GB2312" w:hAnsi="仿宋_GB2312" w:eastAsia="仿宋_GB2312" w:cs="仿宋_GB2312"/>
          <w:b/>
          <w:sz w:val="27"/>
        </w:rPr>
        <w:t xml:space="preserve"> </w:t>
      </w:r>
      <w:r>
        <w:rPr>
          <w:rFonts w:hint="eastAsia" w:ascii="仿宋_GB2312" w:hAnsi="仿宋_GB2312" w:eastAsia="仿宋_GB2312" w:cs="仿宋_GB2312"/>
          <w:b/>
          <w:sz w:val="27"/>
          <w:lang w:eastAsia="zh-CN"/>
        </w:rPr>
        <w:t>乙方</w:t>
      </w:r>
      <w:r>
        <w:rPr>
          <w:rFonts w:ascii="仿宋_GB2312" w:hAnsi="仿宋_GB2312" w:eastAsia="仿宋_GB2312" w:cs="仿宋_GB2312"/>
          <w:b/>
          <w:sz w:val="27"/>
        </w:rPr>
        <w:t>(</w:t>
      </w:r>
      <w:r>
        <w:rPr>
          <w:rFonts w:hint="eastAsia" w:ascii="仿宋_GB2312" w:hAnsi="仿宋_GB2312" w:eastAsia="仿宋_GB2312" w:cs="仿宋_GB2312"/>
          <w:b/>
          <w:sz w:val="27"/>
          <w:lang w:val="en-US" w:eastAsia="zh-CN"/>
        </w:rPr>
        <w:t>供应商</w:t>
      </w:r>
      <w:r>
        <w:rPr>
          <w:rFonts w:ascii="仿宋_GB2312" w:hAnsi="仿宋_GB2312" w:eastAsia="仿宋_GB2312" w:cs="仿宋_GB2312"/>
          <w:b/>
          <w:sz w:val="27"/>
        </w:rPr>
        <w:t>)：__________________</w:t>
      </w:r>
    </w:p>
    <w:p w14:paraId="0E73509A">
      <w:pPr>
        <w:pStyle w:val="9"/>
        <w:jc w:val="left"/>
      </w:pPr>
      <w:r>
        <w:rPr>
          <w:rFonts w:ascii="仿宋_GB2312" w:hAnsi="仿宋_GB2312" w:eastAsia="仿宋_GB2312" w:cs="仿宋_GB2312"/>
          <w:b/>
          <w:sz w:val="27"/>
        </w:rPr>
        <w:t xml:space="preserve"> </w:t>
      </w:r>
      <w:r>
        <w:rPr>
          <w:rFonts w:hint="eastAsia" w:ascii="仿宋_GB2312" w:hAnsi="仿宋_GB2312" w:eastAsia="仿宋_GB2312" w:cs="仿宋_GB2312"/>
          <w:b/>
          <w:sz w:val="27"/>
          <w:lang w:eastAsia="zh-CN"/>
        </w:rPr>
        <w:t>乙方</w:t>
      </w:r>
      <w:r>
        <w:rPr>
          <w:rFonts w:ascii="仿宋_GB2312" w:hAnsi="仿宋_GB2312" w:eastAsia="仿宋_GB2312" w:cs="仿宋_GB2312"/>
          <w:b/>
          <w:sz w:val="27"/>
        </w:rPr>
        <w:t>地址：__________________</w:t>
      </w:r>
    </w:p>
    <w:p w14:paraId="76FBD7EF">
      <w:pPr>
        <w:pStyle w:val="9"/>
        <w:jc w:val="left"/>
      </w:pPr>
      <w:r>
        <w:rPr>
          <w:rFonts w:ascii="仿宋_GB2312" w:hAnsi="仿宋_GB2312" w:eastAsia="仿宋_GB2312" w:cs="仿宋_GB2312"/>
        </w:rPr>
        <w:t xml:space="preserve"> </w:t>
      </w:r>
    </w:p>
    <w:p w14:paraId="25313CFB">
      <w:pPr>
        <w:pStyle w:val="9"/>
        <w:jc w:val="left"/>
      </w:pPr>
      <w:r>
        <w:rPr>
          <w:rFonts w:ascii="仿宋_GB2312" w:hAnsi="仿宋_GB2312" w:eastAsia="仿宋_GB2312" w:cs="仿宋_GB2312"/>
        </w:rPr>
        <w:t xml:space="preserve"> 依据《中华人民共和国民法典》 《中华人民共和国政府采购法》与项目行业有关的法律法规，以及</w:t>
      </w:r>
      <w:r>
        <w:rPr>
          <w:rFonts w:hint="eastAsia" w:ascii="仿宋_GB2312" w:hAnsi="仿宋_GB2312" w:eastAsia="仿宋_GB2312" w:cs="仿宋_GB2312"/>
          <w:u w:val="single"/>
          <w:lang w:eastAsia="zh-CN"/>
        </w:rPr>
        <w:t>雅安中学高2023级高三阶段拔创人才培养建设项目</w:t>
      </w:r>
      <w:r>
        <w:rPr>
          <w:rFonts w:ascii="仿宋_GB2312" w:hAnsi="仿宋_GB2312" w:eastAsia="仿宋_GB2312" w:cs="仿宋_GB2312"/>
        </w:rPr>
        <w:t>的 《</w:t>
      </w:r>
      <w:r>
        <w:rPr>
          <w:rFonts w:hint="eastAsia" w:ascii="仿宋_GB2312" w:hAnsi="仿宋_GB2312" w:eastAsia="仿宋_GB2312" w:cs="仿宋_GB2312"/>
          <w:lang w:val="en-US" w:eastAsia="zh-CN"/>
        </w:rPr>
        <w:t>磋商</w:t>
      </w:r>
      <w:r>
        <w:rPr>
          <w:rFonts w:ascii="仿宋_GB2312" w:hAnsi="仿宋_GB2312" w:eastAsia="仿宋_GB2312" w:cs="仿宋_GB2312"/>
        </w:rPr>
        <w:t>文件》 ，乙方的《投标（响应）文件》及《中标（成交）通知书》，甲乙双方同意签订本合同。具体情况及要求如下：</w:t>
      </w:r>
    </w:p>
    <w:p w14:paraId="74F7BEB0">
      <w:pPr>
        <w:pStyle w:val="9"/>
        <w:numPr>
          <w:ilvl w:val="0"/>
          <w:numId w:val="0"/>
        </w:numPr>
        <w:ind w:left="140" w:leftChars="0"/>
        <w:jc w:val="left"/>
        <w:outlineLvl w:val="2"/>
        <w:rPr>
          <w:rFonts w:hint="eastAsia" w:ascii="仿宋_GB2312" w:hAnsi="仿宋_GB2312" w:eastAsia="仿宋_GB2312" w:cs="仿宋_GB2312"/>
          <w:lang w:val="en-US" w:eastAsia="zh-CN"/>
        </w:rPr>
      </w:pPr>
      <w:bookmarkStart w:id="0" w:name="_Toc11930"/>
      <w:r>
        <w:rPr>
          <w:rFonts w:hint="eastAsia" w:ascii="仿宋_GB2312" w:hAnsi="仿宋_GB2312" w:eastAsia="仿宋_GB2312" w:cs="仿宋_GB2312"/>
          <w:b/>
          <w:sz w:val="28"/>
          <w:lang w:val="en-US" w:eastAsia="zh-CN"/>
        </w:rPr>
        <w:t>一、合同履行</w:t>
      </w:r>
      <w:bookmarkEnd w:id="0"/>
    </w:p>
    <w:p w14:paraId="6582D42F">
      <w:pPr>
        <w:pStyle w:val="9"/>
        <w:jc w:val="left"/>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履约期限：政府采购合同签订签订后至2026年7月31日止。</w:t>
      </w:r>
    </w:p>
    <w:p w14:paraId="73677FF0">
      <w:pPr>
        <w:pStyle w:val="9"/>
        <w:jc w:val="left"/>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履行地点：四川省雅安中学。</w:t>
      </w:r>
    </w:p>
    <w:p w14:paraId="66ACCB74">
      <w:pPr>
        <w:pStyle w:val="9"/>
        <w:numPr>
          <w:ilvl w:val="0"/>
          <w:numId w:val="3"/>
        </w:numPr>
        <w:ind w:left="140" w:leftChars="0" w:firstLine="0" w:firstLineChars="0"/>
        <w:jc w:val="left"/>
        <w:outlineLvl w:val="2"/>
        <w:rPr>
          <w:rFonts w:ascii="仿宋_GB2312" w:hAnsi="仿宋_GB2312" w:eastAsia="仿宋_GB2312" w:cs="仿宋_GB2312"/>
          <w:b/>
          <w:sz w:val="28"/>
        </w:rPr>
      </w:pPr>
      <w:r>
        <w:rPr>
          <w:rFonts w:ascii="仿宋_GB2312" w:hAnsi="仿宋_GB2312" w:eastAsia="仿宋_GB2312" w:cs="仿宋_GB2312"/>
          <w:b/>
          <w:sz w:val="28"/>
        </w:rPr>
        <w:t>服务</w:t>
      </w:r>
      <w:r>
        <w:rPr>
          <w:rFonts w:hint="eastAsia" w:ascii="仿宋_GB2312" w:hAnsi="仿宋_GB2312" w:eastAsia="仿宋_GB2312" w:cs="仿宋_GB2312"/>
          <w:b/>
          <w:sz w:val="28"/>
          <w:lang w:val="en-US" w:eastAsia="zh-CN"/>
        </w:rPr>
        <w:t>内容及</w:t>
      </w:r>
      <w:r>
        <w:rPr>
          <w:rFonts w:ascii="仿宋_GB2312" w:hAnsi="仿宋_GB2312" w:eastAsia="仿宋_GB2312" w:cs="仿宋_GB2312"/>
          <w:b/>
          <w:sz w:val="28"/>
        </w:rPr>
        <w:t>要求</w:t>
      </w:r>
    </w:p>
    <w:p w14:paraId="45F4DFE6">
      <w:pPr>
        <w:pStyle w:val="5"/>
        <w:keepNext w:val="0"/>
        <w:keepLines w:val="0"/>
        <w:widowControl/>
        <w:suppressLineNumbers w:val="0"/>
        <w:jc w:val="both"/>
        <w:rPr>
          <w:rFonts w:hint="default" w:ascii="仿宋_GB2312" w:hAnsi="Calibri" w:eastAsia="仿宋_GB2312" w:cs="仿宋_GB2312"/>
          <w:sz w:val="21"/>
          <w:szCs w:val="21"/>
          <w:lang w:val="en-US" w:eastAsia="zh-CN"/>
        </w:rPr>
      </w:pPr>
      <w:r>
        <w:rPr>
          <w:rFonts w:hint="default" w:ascii="仿宋_GB2312" w:hAnsi="Calibri" w:eastAsia="仿宋_GB2312" w:cs="仿宋_GB2312"/>
          <w:sz w:val="21"/>
          <w:szCs w:val="21"/>
          <w:lang w:val="en-US" w:eastAsia="zh-CN"/>
        </w:rPr>
        <w:t>（一）服务目标</w:t>
      </w:r>
    </w:p>
    <w:p w14:paraId="5FD27CFD">
      <w:pPr>
        <w:pStyle w:val="5"/>
        <w:keepNext w:val="0"/>
        <w:keepLines w:val="0"/>
        <w:pageBreakBefore w:val="0"/>
        <w:widowControl/>
        <w:suppressLineNumbers w:val="0"/>
        <w:kinsoku/>
        <w:wordWrap/>
        <w:overflowPunct/>
        <w:topLinePunct w:val="0"/>
        <w:autoSpaceDE/>
        <w:autoSpaceDN/>
        <w:bidi w:val="0"/>
        <w:adjustRightInd/>
        <w:snapToGrid/>
        <w:ind w:firstLine="420" w:firstLineChars="200"/>
        <w:jc w:val="both"/>
        <w:textAlignment w:val="auto"/>
        <w:rPr>
          <w:rFonts w:hint="default" w:ascii="仿宋_GB2312" w:hAnsi="Calibri" w:eastAsia="仿宋_GB2312" w:cs="仿宋_GB2312"/>
          <w:sz w:val="21"/>
          <w:szCs w:val="21"/>
          <w:lang w:val="en-US" w:eastAsia="zh-CN"/>
        </w:rPr>
      </w:pPr>
      <w:r>
        <w:rPr>
          <w:rFonts w:hint="default" w:ascii="仿宋_GB2312" w:hAnsi="Calibri" w:eastAsia="仿宋_GB2312" w:cs="仿宋_GB2312"/>
          <w:sz w:val="21"/>
          <w:szCs w:val="21"/>
          <w:lang w:val="en-US" w:eastAsia="zh-CN"/>
        </w:rPr>
        <w:t>通过该项目，探索高中拔尖创新人才培养模式，建立拔尖学生培养体系，并选拔出具有优秀学业成绩和创新潜质的学生。通过建立动态跟踪培养机制，精准施策，分层辅导，全面提升学生应对新高考的综合能力，实现特优生群体高考成绩及高校录取层次双提升，以C9类院校录取人数突破往年数据为核心目标。</w:t>
      </w:r>
    </w:p>
    <w:p w14:paraId="1732433F">
      <w:pPr>
        <w:pStyle w:val="5"/>
        <w:keepNext w:val="0"/>
        <w:keepLines w:val="0"/>
        <w:widowControl/>
        <w:suppressLineNumbers w:val="0"/>
        <w:jc w:val="both"/>
        <w:rPr>
          <w:rFonts w:hint="default" w:ascii="仿宋_GB2312" w:hAnsi="Calibri" w:eastAsia="仿宋_GB2312" w:cs="仿宋_GB2312"/>
          <w:sz w:val="21"/>
          <w:szCs w:val="21"/>
          <w:lang w:val="en-US" w:eastAsia="zh-CN"/>
        </w:rPr>
      </w:pPr>
      <w:r>
        <w:rPr>
          <w:rFonts w:hint="default" w:ascii="仿宋_GB2312" w:hAnsi="Calibri" w:eastAsia="仿宋_GB2312" w:cs="仿宋_GB2312"/>
          <w:sz w:val="21"/>
          <w:szCs w:val="21"/>
          <w:lang w:val="en-US" w:eastAsia="zh-CN"/>
        </w:rPr>
        <w:t>（二）详细服务内容</w:t>
      </w:r>
    </w:p>
    <w:p w14:paraId="0B295CF7">
      <w:pPr>
        <w:pStyle w:val="9"/>
        <w:jc w:val="left"/>
        <w:outlineLvl w:val="2"/>
        <w:rPr>
          <w:rFonts w:hint="default" w:ascii="仿宋_GB2312" w:hAnsi="仿宋_GB2312" w:eastAsia="仿宋_GB2312" w:cs="仿宋_GB2312"/>
          <w:lang w:val="en-US" w:eastAsia="zh-CN"/>
        </w:rPr>
      </w:pPr>
      <w:r>
        <w:rPr>
          <w:rFonts w:hint="default" w:ascii="仿宋_GB2312" w:hAnsi="仿宋_GB2312" w:eastAsia="仿宋_GB2312" w:cs="仿宋_GB2312"/>
          <w:lang w:val="en-US" w:eastAsia="zh-CN"/>
        </w:rPr>
        <w:t>2.1学情诊断与个性化方案定制服务</w:t>
      </w:r>
    </w:p>
    <w:p w14:paraId="621CFB03">
      <w:pPr>
        <w:pStyle w:val="9"/>
        <w:jc w:val="left"/>
        <w:outlineLvl w:val="2"/>
        <w:rPr>
          <w:rFonts w:hint="default" w:ascii="仿宋_GB2312" w:hAnsi="仿宋_GB2312" w:eastAsia="仿宋_GB2312" w:cs="仿宋_GB2312"/>
          <w:lang w:val="en-US" w:eastAsia="zh-CN"/>
        </w:rPr>
      </w:pPr>
      <w:r>
        <w:rPr>
          <w:rFonts w:hint="default" w:ascii="仿宋_GB2312" w:hAnsi="仿宋_GB2312" w:eastAsia="仿宋_GB2312" w:cs="仿宋_GB2312"/>
          <w:lang w:val="en-US" w:eastAsia="zh-CN"/>
        </w:rPr>
        <w:t>1.与</w:t>
      </w:r>
      <w:r>
        <w:rPr>
          <w:rFonts w:hint="eastAsia" w:ascii="仿宋_GB2312" w:hAnsi="仿宋_GB2312" w:eastAsia="仿宋_GB2312" w:cs="仿宋_GB2312"/>
          <w:lang w:val="en-US" w:eastAsia="zh-CN"/>
        </w:rPr>
        <w:t>甲方</w:t>
      </w:r>
      <w:r>
        <w:rPr>
          <w:rFonts w:hint="default" w:ascii="仿宋_GB2312" w:hAnsi="仿宋_GB2312" w:eastAsia="仿宋_GB2312" w:cs="仿宋_GB2312"/>
          <w:lang w:val="en-US" w:eastAsia="zh-CN"/>
        </w:rPr>
        <w:t>联合筛选具备拔尖潜质的特优生，建立动态培养名单并定期更新。</w:t>
      </w:r>
    </w:p>
    <w:p w14:paraId="285CEFFC">
      <w:pPr>
        <w:pStyle w:val="9"/>
        <w:jc w:val="left"/>
        <w:outlineLvl w:val="2"/>
        <w:rPr>
          <w:rFonts w:hint="default" w:ascii="仿宋_GB2312" w:hAnsi="仿宋_GB2312" w:eastAsia="仿宋_GB2312" w:cs="仿宋_GB2312"/>
          <w:lang w:val="en-US" w:eastAsia="zh-CN"/>
        </w:rPr>
      </w:pPr>
      <w:r>
        <w:rPr>
          <w:rFonts w:hint="default" w:ascii="仿宋_GB2312" w:hAnsi="仿宋_GB2312" w:eastAsia="仿宋_GB2312" w:cs="仿宋_GB2312"/>
          <w:lang w:val="en-US" w:eastAsia="zh-CN"/>
        </w:rPr>
        <w:t>2.开展学科知识、学习能力、备考状态、应试心理四维学情调研，全面摸排学生现状。</w:t>
      </w:r>
    </w:p>
    <w:p w14:paraId="38E63D41">
      <w:pPr>
        <w:pStyle w:val="9"/>
        <w:jc w:val="left"/>
        <w:outlineLvl w:val="2"/>
        <w:rPr>
          <w:rFonts w:hint="default" w:ascii="仿宋_GB2312" w:hAnsi="仿宋_GB2312" w:eastAsia="仿宋_GB2312" w:cs="仿宋_GB2312"/>
          <w:lang w:val="en-US" w:eastAsia="zh-CN"/>
        </w:rPr>
      </w:pPr>
      <w:r>
        <w:rPr>
          <w:rFonts w:hint="default" w:ascii="仿宋_GB2312" w:hAnsi="仿宋_GB2312" w:eastAsia="仿宋_GB2312" w:cs="仿宋_GB2312"/>
          <w:lang w:val="en-US" w:eastAsia="zh-CN"/>
        </w:rPr>
        <w:t>3.针对高考核心考点、重难点、易错题型、压轴专题开展专业学科诊断，定位提分瓶颈。</w:t>
      </w:r>
    </w:p>
    <w:p w14:paraId="544EB7DE">
      <w:pPr>
        <w:pStyle w:val="9"/>
        <w:jc w:val="left"/>
        <w:outlineLvl w:val="2"/>
        <w:rPr>
          <w:rFonts w:hint="default" w:ascii="仿宋_GB2312" w:hAnsi="仿宋_GB2312" w:eastAsia="仿宋_GB2312" w:cs="仿宋_GB2312"/>
          <w:lang w:val="en-US" w:eastAsia="zh-CN"/>
        </w:rPr>
      </w:pPr>
      <w:r>
        <w:rPr>
          <w:rFonts w:hint="default" w:ascii="仿宋_GB2312" w:hAnsi="仿宋_GB2312" w:eastAsia="仿宋_GB2312" w:cs="仿宋_GB2312"/>
          <w:lang w:val="en-US" w:eastAsia="zh-CN"/>
        </w:rPr>
        <w:t>4.为每名学生出具个性化诊断报告，包含短板分析、提分路径、辅导计划、阶段目标。</w:t>
      </w:r>
    </w:p>
    <w:p w14:paraId="22CE7B65">
      <w:pPr>
        <w:pStyle w:val="9"/>
        <w:jc w:val="left"/>
        <w:outlineLvl w:val="2"/>
        <w:rPr>
          <w:rFonts w:hint="default" w:ascii="仿宋_GB2312" w:hAnsi="仿宋_GB2312" w:eastAsia="仿宋_GB2312" w:cs="仿宋_GB2312"/>
          <w:lang w:val="en-US" w:eastAsia="zh-CN"/>
        </w:rPr>
      </w:pPr>
      <w:r>
        <w:rPr>
          <w:rFonts w:hint="default" w:ascii="仿宋_GB2312" w:hAnsi="仿宋_GB2312" w:eastAsia="仿宋_GB2312" w:cs="仿宋_GB2312"/>
          <w:lang w:val="en-US" w:eastAsia="zh-CN"/>
        </w:rPr>
        <w:t>5.建立学生专属培养档案，全程记录学习数据、辅导过程、进步情况。</w:t>
      </w:r>
    </w:p>
    <w:p w14:paraId="1B92500F">
      <w:pPr>
        <w:pStyle w:val="9"/>
        <w:jc w:val="left"/>
        <w:outlineLvl w:val="2"/>
        <w:rPr>
          <w:rFonts w:hint="default" w:ascii="仿宋_GB2312" w:hAnsi="仿宋_GB2312" w:eastAsia="仿宋_GB2312" w:cs="仿宋_GB2312"/>
          <w:lang w:val="en-US" w:eastAsia="zh-CN"/>
        </w:rPr>
      </w:pPr>
      <w:r>
        <w:rPr>
          <w:rFonts w:hint="default" w:ascii="仿宋_GB2312" w:hAnsi="仿宋_GB2312" w:eastAsia="仿宋_GB2312" w:cs="仿宋_GB2312"/>
          <w:lang w:val="en-US" w:eastAsia="zh-CN"/>
        </w:rPr>
        <w:t>2.2一生一策个性化培优辅导服务</w:t>
      </w:r>
    </w:p>
    <w:p w14:paraId="0A3B1BC3">
      <w:pPr>
        <w:pStyle w:val="9"/>
        <w:jc w:val="left"/>
        <w:outlineLvl w:val="2"/>
        <w:rPr>
          <w:rFonts w:hint="default" w:ascii="仿宋_GB2312" w:hAnsi="仿宋_GB2312" w:eastAsia="仿宋_GB2312" w:cs="仿宋_GB2312"/>
          <w:lang w:val="en-US" w:eastAsia="zh-CN"/>
        </w:rPr>
      </w:pPr>
      <w:r>
        <w:rPr>
          <w:rFonts w:hint="default" w:ascii="仿宋_GB2312" w:hAnsi="仿宋_GB2312" w:eastAsia="仿宋_GB2312" w:cs="仿宋_GB2312"/>
          <w:lang w:val="en-US" w:eastAsia="zh-CN"/>
        </w:rPr>
        <w:t>1.覆盖高考全学科，聚焦高频考点、重难点专题、压轴题型、答题规范开展拔高教学。</w:t>
      </w:r>
    </w:p>
    <w:p w14:paraId="74C024D3">
      <w:pPr>
        <w:pStyle w:val="9"/>
        <w:jc w:val="left"/>
        <w:outlineLvl w:val="2"/>
        <w:rPr>
          <w:rFonts w:hint="default" w:ascii="仿宋_GB2312" w:hAnsi="仿宋_GB2312" w:eastAsia="仿宋_GB2312" w:cs="仿宋_GB2312"/>
          <w:lang w:val="en-US" w:eastAsia="zh-CN"/>
        </w:rPr>
      </w:pPr>
      <w:r>
        <w:rPr>
          <w:rFonts w:hint="default" w:ascii="仿宋_GB2312" w:hAnsi="仿宋_GB2312" w:eastAsia="仿宋_GB2312" w:cs="仿宋_GB2312"/>
          <w:lang w:val="en-US" w:eastAsia="zh-CN"/>
        </w:rPr>
        <w:t>2.采用分层教学、分组教学、个性化辅导相结合模式，精准匹配学生需求。</w:t>
      </w:r>
    </w:p>
    <w:p w14:paraId="180429BE">
      <w:pPr>
        <w:pStyle w:val="9"/>
        <w:jc w:val="left"/>
        <w:outlineLvl w:val="2"/>
        <w:rPr>
          <w:rFonts w:hint="default" w:ascii="仿宋_GB2312" w:hAnsi="仿宋_GB2312" w:eastAsia="仿宋_GB2312" w:cs="仿宋_GB2312"/>
          <w:lang w:val="en-US" w:eastAsia="zh-CN"/>
        </w:rPr>
      </w:pPr>
      <w:r>
        <w:rPr>
          <w:rFonts w:hint="default" w:ascii="仿宋_GB2312" w:hAnsi="仿宋_GB2312" w:eastAsia="仿宋_GB2312" w:cs="仿宋_GB2312"/>
          <w:lang w:val="en-US" w:eastAsia="zh-CN"/>
        </w:rPr>
        <w:t>3.强化新高考命题思路、解题逻辑、创新思维、应试技巧专项训练。</w:t>
      </w:r>
    </w:p>
    <w:p w14:paraId="7C027036">
      <w:pPr>
        <w:pStyle w:val="9"/>
        <w:jc w:val="left"/>
        <w:outlineLvl w:val="2"/>
        <w:rPr>
          <w:rFonts w:hint="default" w:ascii="仿宋_GB2312" w:hAnsi="仿宋_GB2312" w:eastAsia="仿宋_GB2312" w:cs="仿宋_GB2312"/>
          <w:lang w:val="en-US" w:eastAsia="zh-CN"/>
        </w:rPr>
      </w:pPr>
      <w:r>
        <w:rPr>
          <w:rFonts w:hint="default" w:ascii="仿宋_GB2312" w:hAnsi="仿宋_GB2312" w:eastAsia="仿宋_GB2312" w:cs="仿宋_GB2312"/>
          <w:lang w:val="en-US" w:eastAsia="zh-CN"/>
        </w:rPr>
        <w:t>4.严格按照一生一策方案实施授课，确保辅导针对性与有效性。</w:t>
      </w:r>
    </w:p>
    <w:p w14:paraId="689005E1">
      <w:pPr>
        <w:pStyle w:val="9"/>
        <w:jc w:val="left"/>
        <w:outlineLvl w:val="2"/>
        <w:rPr>
          <w:rFonts w:hint="default" w:ascii="仿宋_GB2312" w:hAnsi="仿宋_GB2312" w:eastAsia="仿宋_GB2312" w:cs="仿宋_GB2312"/>
          <w:lang w:val="en-US" w:eastAsia="zh-CN"/>
        </w:rPr>
      </w:pPr>
      <w:r>
        <w:rPr>
          <w:rFonts w:hint="default" w:ascii="仿宋_GB2312" w:hAnsi="仿宋_GB2312" w:eastAsia="仿宋_GB2312" w:cs="仿宋_GB2312"/>
          <w:lang w:val="en-US" w:eastAsia="zh-CN"/>
        </w:rPr>
        <w:t>2.3培训跟踪与校内教研指导服务</w:t>
      </w:r>
    </w:p>
    <w:p w14:paraId="00594170">
      <w:pPr>
        <w:pStyle w:val="9"/>
        <w:jc w:val="left"/>
        <w:outlineLvl w:val="2"/>
        <w:rPr>
          <w:rFonts w:hint="default" w:ascii="仿宋_GB2312" w:hAnsi="仿宋_GB2312" w:eastAsia="仿宋_GB2312" w:cs="仿宋_GB2312"/>
          <w:lang w:val="en-US" w:eastAsia="zh-CN"/>
        </w:rPr>
      </w:pPr>
      <w:r>
        <w:rPr>
          <w:rFonts w:hint="default" w:ascii="仿宋_GB2312" w:hAnsi="仿宋_GB2312" w:eastAsia="仿宋_GB2312" w:cs="仿宋_GB2312"/>
          <w:lang w:val="en-US" w:eastAsia="zh-CN"/>
        </w:rPr>
        <w:t>1.分阶段开展效果测评，对比分析学生提升数据，动态调整培养方案。</w:t>
      </w:r>
    </w:p>
    <w:p w14:paraId="24F17FAF">
      <w:pPr>
        <w:pStyle w:val="9"/>
        <w:jc w:val="left"/>
        <w:outlineLvl w:val="2"/>
        <w:rPr>
          <w:rFonts w:hint="default" w:ascii="仿宋_GB2312" w:hAnsi="仿宋_GB2312" w:eastAsia="仿宋_GB2312" w:cs="仿宋_GB2312"/>
          <w:lang w:val="en-US" w:eastAsia="zh-CN"/>
        </w:rPr>
      </w:pPr>
      <w:r>
        <w:rPr>
          <w:rFonts w:hint="default" w:ascii="仿宋_GB2312" w:hAnsi="仿宋_GB2312" w:eastAsia="仿宋_GB2312" w:cs="仿宋_GB2312"/>
          <w:lang w:val="en-US" w:eastAsia="zh-CN"/>
        </w:rPr>
        <w:t>2.定期向</w:t>
      </w:r>
      <w:r>
        <w:rPr>
          <w:rFonts w:hint="eastAsia" w:ascii="仿宋_GB2312" w:hAnsi="仿宋_GB2312" w:eastAsia="仿宋_GB2312" w:cs="仿宋_GB2312"/>
          <w:lang w:val="en-US" w:eastAsia="zh-CN"/>
        </w:rPr>
        <w:t>甲方</w:t>
      </w:r>
      <w:r>
        <w:rPr>
          <w:rFonts w:hint="default" w:ascii="仿宋_GB2312" w:hAnsi="仿宋_GB2312" w:eastAsia="仿宋_GB2312" w:cs="仿宋_GB2312"/>
          <w:lang w:val="en-US" w:eastAsia="zh-CN"/>
        </w:rPr>
        <w:t>提交阶段评估报告，项目结束提交最终服务总结报告。</w:t>
      </w:r>
    </w:p>
    <w:p w14:paraId="4601CF93">
      <w:pPr>
        <w:pStyle w:val="9"/>
        <w:jc w:val="left"/>
        <w:outlineLvl w:val="2"/>
        <w:rPr>
          <w:rFonts w:hint="default" w:ascii="仿宋_GB2312" w:hAnsi="仿宋_GB2312" w:eastAsia="仿宋_GB2312" w:cs="仿宋_GB2312"/>
          <w:lang w:val="en-US" w:eastAsia="zh-CN"/>
        </w:rPr>
      </w:pPr>
      <w:r>
        <w:rPr>
          <w:rFonts w:hint="default" w:ascii="仿宋_GB2312" w:hAnsi="仿宋_GB2312" w:eastAsia="仿宋_GB2312" w:cs="仿宋_GB2312"/>
          <w:lang w:val="en-US" w:eastAsia="zh-CN"/>
        </w:rPr>
        <w:t>3.为校内高三学科教师提供备考策略、专题教学、优生培养、命题研究专项指导。</w:t>
      </w:r>
    </w:p>
    <w:p w14:paraId="1D403429">
      <w:pPr>
        <w:pStyle w:val="9"/>
        <w:jc w:val="left"/>
        <w:outlineLvl w:val="2"/>
        <w:rPr>
          <w:rFonts w:hint="default" w:ascii="仿宋_GB2312" w:hAnsi="仿宋_GB2312" w:eastAsia="仿宋_GB2312" w:cs="仿宋_GB2312"/>
          <w:lang w:val="en-US" w:eastAsia="zh-CN"/>
        </w:rPr>
      </w:pPr>
      <w:r>
        <w:rPr>
          <w:rFonts w:hint="default" w:ascii="仿宋_GB2312" w:hAnsi="仿宋_GB2312" w:eastAsia="仿宋_GB2312" w:cs="仿宋_GB2312"/>
          <w:lang w:val="en-US" w:eastAsia="zh-CN"/>
        </w:rPr>
        <w:t>4.开展教研交流、示范课、专题研讨，共享培优教学资源，赋能校内教学。</w:t>
      </w:r>
    </w:p>
    <w:p w14:paraId="78101988">
      <w:pPr>
        <w:pStyle w:val="9"/>
        <w:jc w:val="left"/>
        <w:outlineLvl w:val="2"/>
        <w:rPr>
          <w:rFonts w:hint="default" w:ascii="仿宋_GB2312" w:hAnsi="仿宋_GB2312" w:eastAsia="仿宋_GB2312" w:cs="仿宋_GB2312"/>
          <w:lang w:val="en-US" w:eastAsia="zh-CN"/>
        </w:rPr>
      </w:pPr>
      <w:r>
        <w:rPr>
          <w:rFonts w:hint="default" w:ascii="仿宋_GB2312" w:hAnsi="仿宋_GB2312" w:eastAsia="仿宋_GB2312" w:cs="仿宋_GB2312"/>
          <w:lang w:val="en-US" w:eastAsia="zh-CN"/>
        </w:rPr>
        <w:t>2.4升学规划与报考指导服务</w:t>
      </w:r>
    </w:p>
    <w:p w14:paraId="1485B6C5">
      <w:pPr>
        <w:pStyle w:val="9"/>
        <w:jc w:val="left"/>
        <w:outlineLvl w:val="2"/>
        <w:rPr>
          <w:rFonts w:hint="default" w:ascii="仿宋_GB2312" w:hAnsi="仿宋_GB2312" w:eastAsia="仿宋_GB2312" w:cs="仿宋_GB2312"/>
          <w:lang w:val="en-US" w:eastAsia="zh-CN"/>
        </w:rPr>
      </w:pPr>
      <w:r>
        <w:rPr>
          <w:rFonts w:hint="default" w:ascii="仿宋_GB2312" w:hAnsi="仿宋_GB2312" w:eastAsia="仿宋_GB2312" w:cs="仿宋_GB2312"/>
          <w:lang w:val="en-US" w:eastAsia="zh-CN"/>
        </w:rPr>
        <w:t>1.强基计划指导：政策解读、报名流程、材料准备、校考笔试精讲、面试模拟训练。</w:t>
      </w:r>
    </w:p>
    <w:p w14:paraId="11EEB17E">
      <w:pPr>
        <w:pStyle w:val="9"/>
        <w:jc w:val="left"/>
        <w:outlineLvl w:val="2"/>
        <w:rPr>
          <w:rFonts w:hint="default" w:ascii="仿宋_GB2312" w:hAnsi="仿宋_GB2312" w:eastAsia="仿宋_GB2312" w:cs="仿宋_GB2312"/>
          <w:lang w:val="en-US" w:eastAsia="zh-CN"/>
        </w:rPr>
      </w:pPr>
      <w:r>
        <w:rPr>
          <w:rFonts w:hint="default" w:ascii="仿宋_GB2312" w:hAnsi="仿宋_GB2312" w:eastAsia="仿宋_GB2312" w:cs="仿宋_GB2312"/>
          <w:lang w:val="en-US" w:eastAsia="zh-CN"/>
        </w:rPr>
        <w:t>2.高校专项计划指导：五大联赛参赛培训指导、C9/985院校报考条件、资格审核、院校匹配、报考策略。</w:t>
      </w:r>
    </w:p>
    <w:p w14:paraId="18204B47">
      <w:pPr>
        <w:pStyle w:val="9"/>
        <w:jc w:val="left"/>
        <w:outlineLvl w:val="2"/>
        <w:rPr>
          <w:rFonts w:hint="default" w:ascii="仿宋_GB2312" w:hAnsi="仿宋_GB2312" w:eastAsia="仿宋_GB2312" w:cs="仿宋_GB2312"/>
          <w:lang w:val="en-US" w:eastAsia="zh-CN"/>
        </w:rPr>
      </w:pPr>
      <w:r>
        <w:rPr>
          <w:rFonts w:hint="default" w:ascii="仿宋_GB2312" w:hAnsi="仿宋_GB2312" w:eastAsia="仿宋_GB2312" w:cs="仿宋_GB2312"/>
          <w:lang w:val="en-US" w:eastAsia="zh-CN"/>
        </w:rPr>
        <w:t>3.志愿填报指导：位次分析、投档规则、专业选择、个性化志愿方案定制。</w:t>
      </w:r>
    </w:p>
    <w:p w14:paraId="02D2C526">
      <w:pPr>
        <w:pStyle w:val="9"/>
        <w:jc w:val="left"/>
        <w:outlineLvl w:val="2"/>
        <w:rPr>
          <w:rFonts w:hint="default" w:ascii="仿宋_GB2312" w:hAnsi="仿宋_GB2312" w:eastAsia="仿宋_GB2312" w:cs="仿宋_GB2312"/>
          <w:lang w:val="en-US" w:eastAsia="zh-CN"/>
        </w:rPr>
      </w:pPr>
      <w:r>
        <w:rPr>
          <w:rFonts w:hint="default" w:ascii="仿宋_GB2312" w:hAnsi="仿宋_GB2312" w:eastAsia="仿宋_GB2312" w:cs="仿宋_GB2312"/>
          <w:lang w:val="en-US" w:eastAsia="zh-CN"/>
        </w:rPr>
        <w:t>4.应试心理提升：考前压力疏导、心态调整、考场发挥技巧、突发情况应对指导。</w:t>
      </w:r>
    </w:p>
    <w:p w14:paraId="0A3106E0">
      <w:pPr>
        <w:pStyle w:val="9"/>
        <w:jc w:val="left"/>
        <w:outlineLvl w:val="2"/>
        <w:rPr>
          <w:rFonts w:hint="default" w:ascii="仿宋_GB2312" w:hAnsi="仿宋_GB2312" w:eastAsia="仿宋_GB2312" w:cs="仿宋_GB2312"/>
          <w:lang w:val="en-US" w:eastAsia="zh-CN"/>
        </w:rPr>
      </w:pPr>
      <w:r>
        <w:rPr>
          <w:rFonts w:hint="default" w:ascii="仿宋_GB2312" w:hAnsi="仿宋_GB2312" w:eastAsia="仿宋_GB2312" w:cs="仿宋_GB2312"/>
          <w:lang w:val="en-US" w:eastAsia="zh-CN"/>
        </w:rPr>
        <w:t>2.5配套服务与成果交付</w:t>
      </w:r>
    </w:p>
    <w:p w14:paraId="2233783F">
      <w:pPr>
        <w:pStyle w:val="9"/>
        <w:jc w:val="left"/>
        <w:outlineLvl w:val="2"/>
        <w:rPr>
          <w:rFonts w:hint="default" w:ascii="仿宋_GB2312" w:hAnsi="仿宋_GB2312" w:eastAsia="仿宋_GB2312" w:cs="仿宋_GB2312"/>
          <w:lang w:val="en-US" w:eastAsia="zh-CN"/>
        </w:rPr>
      </w:pPr>
      <w:r>
        <w:rPr>
          <w:rFonts w:hint="default" w:ascii="仿宋_GB2312" w:hAnsi="仿宋_GB2312" w:eastAsia="仿宋_GB2312" w:cs="仿宋_GB2312"/>
          <w:lang w:val="en-US" w:eastAsia="zh-CN"/>
        </w:rPr>
        <w:t>1.提供培优讲义、专题资料、测评试卷、备考手册等全套教学资料。</w:t>
      </w:r>
    </w:p>
    <w:p w14:paraId="7E6BCE02">
      <w:pPr>
        <w:pStyle w:val="9"/>
        <w:jc w:val="left"/>
        <w:outlineLvl w:val="2"/>
        <w:rPr>
          <w:rFonts w:hint="default" w:ascii="仿宋_GB2312" w:hAnsi="仿宋_GB2312" w:eastAsia="仿宋_GB2312" w:cs="仿宋_GB2312"/>
          <w:lang w:val="en-US" w:eastAsia="zh-CN"/>
        </w:rPr>
      </w:pPr>
      <w:r>
        <w:rPr>
          <w:rFonts w:hint="default" w:ascii="仿宋_GB2312" w:hAnsi="仿宋_GB2312" w:eastAsia="仿宋_GB2312" w:cs="仿宋_GB2312"/>
          <w:lang w:val="en-US" w:eastAsia="zh-CN"/>
        </w:rPr>
        <w:t>2.交付学生诊断报告、辅导方案、培养档案、课时记录、评估报告、教研记录等全套成果。</w:t>
      </w:r>
    </w:p>
    <w:p w14:paraId="2A5F012E">
      <w:pPr>
        <w:pStyle w:val="9"/>
        <w:jc w:val="left"/>
        <w:outlineLvl w:val="2"/>
        <w:rPr>
          <w:rFonts w:hint="default" w:ascii="仿宋_GB2312" w:hAnsi="仿宋_GB2312" w:eastAsia="仿宋_GB2312" w:cs="仿宋_GB2312"/>
          <w:lang w:val="en-US" w:eastAsia="zh-CN"/>
        </w:rPr>
      </w:pPr>
      <w:r>
        <w:rPr>
          <w:rFonts w:hint="default" w:ascii="仿宋_GB2312" w:hAnsi="仿宋_GB2312" w:eastAsia="仿宋_GB2312" w:cs="仿宋_GB2312"/>
          <w:lang w:val="en-US" w:eastAsia="zh-CN"/>
        </w:rPr>
        <w:t>3.严格遵守学校教学管理规定，保障教学秩序、学生安全与信息保密。</w:t>
      </w:r>
    </w:p>
    <w:p w14:paraId="315EA52C">
      <w:pPr>
        <w:pStyle w:val="9"/>
        <w:jc w:val="left"/>
        <w:outlineLvl w:val="2"/>
        <w:rPr>
          <w:rFonts w:hint="default" w:ascii="仿宋_GB2312" w:hAnsi="仿宋_GB2312" w:eastAsia="仿宋_GB2312" w:cs="仿宋_GB2312"/>
          <w:lang w:val="en-US" w:eastAsia="zh-CN"/>
        </w:rPr>
      </w:pPr>
      <w:r>
        <w:rPr>
          <w:rFonts w:hint="default" w:ascii="仿宋_GB2312" w:hAnsi="仿宋_GB2312" w:eastAsia="仿宋_GB2312" w:cs="仿宋_GB2312"/>
          <w:lang w:val="en-US" w:eastAsia="zh-CN"/>
        </w:rPr>
        <w:t>（三）课程实施要求</w:t>
      </w:r>
    </w:p>
    <w:p w14:paraId="04DE0332">
      <w:pPr>
        <w:pStyle w:val="9"/>
        <w:jc w:val="left"/>
        <w:outlineLvl w:val="2"/>
        <w:rPr>
          <w:rFonts w:hint="default" w:ascii="仿宋_GB2312" w:hAnsi="仿宋_GB2312" w:eastAsia="仿宋_GB2312" w:cs="仿宋_GB2312"/>
          <w:lang w:val="en-US" w:eastAsia="zh-CN"/>
        </w:rPr>
      </w:pPr>
      <w:r>
        <w:rPr>
          <w:rFonts w:hint="default" w:ascii="仿宋_GB2312" w:hAnsi="仿宋_GB2312" w:eastAsia="仿宋_GB2312" w:cs="仿宋_GB2312"/>
          <w:lang w:val="en-US" w:eastAsia="zh-CN"/>
        </w:rPr>
        <w:t>1.培训时间：2026年5月—7月，具体授课时段由</w:t>
      </w:r>
      <w:r>
        <w:rPr>
          <w:rFonts w:hint="eastAsia" w:ascii="仿宋_GB2312" w:hAnsi="仿宋_GB2312" w:eastAsia="仿宋_GB2312" w:cs="仿宋_GB2312"/>
          <w:lang w:val="en-US" w:eastAsia="zh-CN"/>
        </w:rPr>
        <w:t>甲方</w:t>
      </w:r>
      <w:r>
        <w:rPr>
          <w:rFonts w:hint="default" w:ascii="仿宋_GB2312" w:hAnsi="仿宋_GB2312" w:eastAsia="仿宋_GB2312" w:cs="仿宋_GB2312"/>
          <w:lang w:val="en-US" w:eastAsia="zh-CN"/>
        </w:rPr>
        <w:t>与</w:t>
      </w:r>
      <w:r>
        <w:rPr>
          <w:rFonts w:hint="eastAsia" w:ascii="仿宋_GB2312" w:hAnsi="仿宋_GB2312" w:eastAsia="仿宋_GB2312" w:cs="仿宋_GB2312"/>
          <w:lang w:val="en-US" w:eastAsia="zh-CN"/>
        </w:rPr>
        <w:t>乙方</w:t>
      </w:r>
      <w:r>
        <w:rPr>
          <w:rFonts w:hint="default" w:ascii="仿宋_GB2312" w:hAnsi="仿宋_GB2312" w:eastAsia="仿宋_GB2312" w:cs="仿宋_GB2312"/>
          <w:lang w:val="en-US" w:eastAsia="zh-CN"/>
        </w:rPr>
        <w:t>协商确定。</w:t>
      </w:r>
    </w:p>
    <w:p w14:paraId="0645BBCB">
      <w:pPr>
        <w:pStyle w:val="9"/>
        <w:jc w:val="left"/>
        <w:outlineLvl w:val="2"/>
        <w:rPr>
          <w:rFonts w:hint="default" w:ascii="仿宋_GB2312" w:hAnsi="仿宋_GB2312" w:eastAsia="仿宋_GB2312" w:cs="仿宋_GB2312"/>
          <w:lang w:val="en-US" w:eastAsia="zh-CN"/>
        </w:rPr>
      </w:pPr>
      <w:r>
        <w:rPr>
          <w:rFonts w:hint="default" w:ascii="仿宋_GB2312" w:hAnsi="仿宋_GB2312" w:eastAsia="仿宋_GB2312" w:cs="仿宋_GB2312"/>
          <w:lang w:val="en-US" w:eastAsia="zh-CN"/>
        </w:rPr>
        <w:t>2.培训对象：四川省雅安中学高2023级拔尖潜质特优生（双方联合筛选确定）。</w:t>
      </w:r>
    </w:p>
    <w:p w14:paraId="134F4C50">
      <w:pPr>
        <w:pStyle w:val="9"/>
        <w:jc w:val="left"/>
        <w:outlineLvl w:val="2"/>
        <w:rPr>
          <w:rFonts w:hint="default" w:ascii="仿宋_GB2312" w:hAnsi="仿宋_GB2312" w:eastAsia="仿宋_GB2312" w:cs="仿宋_GB2312"/>
          <w:lang w:val="en-US" w:eastAsia="zh-CN"/>
        </w:rPr>
      </w:pPr>
      <w:r>
        <w:rPr>
          <w:rFonts w:hint="default" w:ascii="仿宋_GB2312" w:hAnsi="仿宋_GB2312" w:eastAsia="仿宋_GB2312" w:cs="仿宋_GB2312"/>
          <w:lang w:val="en-US" w:eastAsia="zh-CN"/>
        </w:rPr>
        <w:t>3.课程范围：高考学科培优、升学规划、应试心理提升、强基计划校考及面试指导。</w:t>
      </w:r>
    </w:p>
    <w:p w14:paraId="1A6018E4">
      <w:pPr>
        <w:pStyle w:val="9"/>
        <w:jc w:val="left"/>
        <w:outlineLvl w:val="2"/>
        <w:rPr>
          <w:rFonts w:hint="default" w:ascii="仿宋_GB2312" w:hAnsi="仿宋_GB2312" w:eastAsia="仿宋_GB2312" w:cs="仿宋_GB2312"/>
          <w:lang w:val="en-US" w:eastAsia="zh-CN"/>
        </w:rPr>
      </w:pPr>
      <w:r>
        <w:rPr>
          <w:rFonts w:hint="default" w:ascii="仿宋_GB2312" w:hAnsi="仿宋_GB2312" w:eastAsia="仿宋_GB2312" w:cs="仿宋_GB2312"/>
          <w:lang w:val="en-US" w:eastAsia="zh-CN"/>
        </w:rPr>
        <w:t>4.课时标准：总课时不低于180课时，每课时不少于45分钟，全程执行一生一策课程安排。</w:t>
      </w:r>
    </w:p>
    <w:p w14:paraId="12B038D3">
      <w:pPr>
        <w:pStyle w:val="9"/>
        <w:jc w:val="left"/>
        <w:outlineLvl w:val="2"/>
        <w:rPr>
          <w:rFonts w:hint="default" w:ascii="仿宋_GB2312" w:hAnsi="仿宋_GB2312" w:eastAsia="仿宋_GB2312" w:cs="仿宋_GB2312"/>
          <w:lang w:val="en-US" w:eastAsia="zh-CN"/>
        </w:rPr>
      </w:pPr>
      <w:r>
        <w:rPr>
          <w:rFonts w:hint="default" w:ascii="仿宋_GB2312" w:hAnsi="仿宋_GB2312" w:eastAsia="仿宋_GB2312" w:cs="仿宋_GB2312"/>
          <w:lang w:val="en-US" w:eastAsia="zh-CN"/>
        </w:rPr>
        <w:t>5.授课形式：线下集中授课+个性化辅导相结合，符合学校教学管理规范。</w:t>
      </w:r>
    </w:p>
    <w:p w14:paraId="50EFDB1A">
      <w:pPr>
        <w:pStyle w:val="9"/>
        <w:jc w:val="left"/>
        <w:outlineLvl w:val="2"/>
        <w:rPr>
          <w:rFonts w:hint="default" w:ascii="仿宋_GB2312" w:hAnsi="仿宋_GB2312" w:eastAsia="仿宋_GB2312" w:cs="仿宋_GB2312"/>
          <w:lang w:val="en-US" w:eastAsia="zh-CN"/>
        </w:rPr>
      </w:pPr>
      <w:r>
        <w:rPr>
          <w:rFonts w:hint="default" w:ascii="仿宋_GB2312" w:hAnsi="仿宋_GB2312" w:eastAsia="仿宋_GB2312" w:cs="仿宋_GB2312"/>
          <w:lang w:val="en-US" w:eastAsia="zh-CN"/>
        </w:rPr>
        <w:t>（四）其它要求</w:t>
      </w:r>
    </w:p>
    <w:p w14:paraId="7E9E50A8">
      <w:pPr>
        <w:pStyle w:val="9"/>
        <w:jc w:val="left"/>
        <w:outlineLvl w:val="2"/>
        <w:rPr>
          <w:rFonts w:hint="default" w:ascii="仿宋_GB2312" w:hAnsi="仿宋_GB2312" w:eastAsia="仿宋_GB2312" w:cs="仿宋_GB2312"/>
          <w:lang w:val="en-US" w:eastAsia="zh-CN"/>
        </w:rPr>
      </w:pPr>
      <w:r>
        <w:rPr>
          <w:rFonts w:hint="default" w:ascii="仿宋_GB2312" w:hAnsi="仿宋_GB2312" w:eastAsia="仿宋_GB2312" w:cs="仿宋_GB2312"/>
          <w:lang w:val="en-US" w:eastAsia="zh-CN"/>
        </w:rPr>
        <w:t>1.教学管理要求：</w:t>
      </w:r>
      <w:r>
        <w:rPr>
          <w:rFonts w:hint="eastAsia" w:ascii="仿宋_GB2312" w:hAnsi="仿宋_GB2312" w:eastAsia="仿宋_GB2312" w:cs="仿宋_GB2312"/>
          <w:lang w:val="en-US" w:eastAsia="zh-CN"/>
        </w:rPr>
        <w:t>乙方</w:t>
      </w:r>
      <w:r>
        <w:rPr>
          <w:rFonts w:hint="default" w:ascii="仿宋_GB2312" w:hAnsi="仿宋_GB2312" w:eastAsia="仿宋_GB2312" w:cs="仿宋_GB2312"/>
          <w:lang w:val="en-US" w:eastAsia="zh-CN"/>
        </w:rPr>
        <w:t>须严格遵守四川省雅安中学教学管理制度，服从学校统一调度，授课时间、场地、课堂秩序严格匹配学校教学安排，不得干扰学校正常教学秩序。</w:t>
      </w:r>
    </w:p>
    <w:p w14:paraId="54EC7864">
      <w:pPr>
        <w:pStyle w:val="9"/>
        <w:jc w:val="left"/>
        <w:outlineLvl w:val="2"/>
        <w:rPr>
          <w:rFonts w:hint="default" w:ascii="仿宋_GB2312" w:hAnsi="仿宋_GB2312" w:eastAsia="仿宋_GB2312" w:cs="仿宋_GB2312"/>
          <w:lang w:val="en-US" w:eastAsia="zh-CN"/>
        </w:rPr>
      </w:pPr>
      <w:r>
        <w:rPr>
          <w:rFonts w:hint="default" w:ascii="仿宋_GB2312" w:hAnsi="仿宋_GB2312" w:eastAsia="仿宋_GB2312" w:cs="仿宋_GB2312"/>
          <w:lang w:val="en-US" w:eastAsia="zh-CN"/>
        </w:rPr>
        <w:t>2.信息保密要求：对学生个人信息、学情诊断数据、学校教学资料、项目相关文件承担保密义务，严禁泄露、外传、挪作他用；项目结束后按</w:t>
      </w:r>
      <w:r>
        <w:rPr>
          <w:rFonts w:hint="eastAsia" w:ascii="仿宋_GB2312" w:hAnsi="仿宋_GB2312" w:eastAsia="仿宋_GB2312" w:cs="仿宋_GB2312"/>
          <w:lang w:val="en-US" w:eastAsia="zh-CN"/>
        </w:rPr>
        <w:t>甲方</w:t>
      </w:r>
      <w:r>
        <w:rPr>
          <w:rFonts w:hint="default" w:ascii="仿宋_GB2312" w:hAnsi="仿宋_GB2312" w:eastAsia="仿宋_GB2312" w:cs="仿宋_GB2312"/>
          <w:lang w:val="en-US" w:eastAsia="zh-CN"/>
        </w:rPr>
        <w:t>要求移交或规范销毁相关资料。</w:t>
      </w:r>
    </w:p>
    <w:p w14:paraId="711627F2">
      <w:pPr>
        <w:pStyle w:val="9"/>
        <w:jc w:val="left"/>
        <w:outlineLvl w:val="2"/>
        <w:rPr>
          <w:rFonts w:hint="default" w:ascii="仿宋_GB2312" w:hAnsi="仿宋_GB2312" w:eastAsia="仿宋_GB2312" w:cs="仿宋_GB2312"/>
          <w:lang w:val="en-US" w:eastAsia="zh-CN"/>
        </w:rPr>
      </w:pPr>
      <w:r>
        <w:rPr>
          <w:rFonts w:hint="default" w:ascii="仿宋_GB2312" w:hAnsi="仿宋_GB2312" w:eastAsia="仿宋_GB2312" w:cs="仿宋_GB2312"/>
          <w:lang w:val="en-US" w:eastAsia="zh-CN"/>
        </w:rPr>
        <w:t>3.师资要求：</w:t>
      </w:r>
      <w:r>
        <w:rPr>
          <w:rFonts w:hint="eastAsia" w:ascii="仿宋_GB2312" w:hAnsi="仿宋_GB2312" w:eastAsia="仿宋_GB2312" w:cs="仿宋_GB2312"/>
          <w:lang w:val="en-US" w:eastAsia="zh-CN"/>
        </w:rPr>
        <w:t>乙方</w:t>
      </w:r>
      <w:r>
        <w:rPr>
          <w:rFonts w:hint="default" w:ascii="仿宋_GB2312" w:hAnsi="仿宋_GB2312" w:eastAsia="仿宋_GB2312" w:cs="仿宋_GB2312"/>
          <w:lang w:val="en-US" w:eastAsia="zh-CN"/>
        </w:rPr>
        <w:t>需承诺核心授课教师需具备C9院校全日制学习经历，成交后报</w:t>
      </w:r>
      <w:r>
        <w:rPr>
          <w:rFonts w:hint="eastAsia" w:ascii="仿宋_GB2312" w:hAnsi="仿宋_GB2312" w:eastAsia="仿宋_GB2312" w:cs="仿宋_GB2312"/>
          <w:lang w:val="en-US" w:eastAsia="zh-CN"/>
        </w:rPr>
        <w:t>甲方</w:t>
      </w:r>
      <w:r>
        <w:rPr>
          <w:rFonts w:hint="default" w:ascii="仿宋_GB2312" w:hAnsi="仿宋_GB2312" w:eastAsia="仿宋_GB2312" w:cs="仿宋_GB2312"/>
          <w:lang w:val="en-US" w:eastAsia="zh-CN"/>
        </w:rPr>
        <w:t>审核备案，未经</w:t>
      </w:r>
      <w:r>
        <w:rPr>
          <w:rFonts w:hint="eastAsia" w:ascii="仿宋_GB2312" w:hAnsi="仿宋_GB2312" w:eastAsia="仿宋_GB2312" w:cs="仿宋_GB2312"/>
          <w:lang w:val="en-US" w:eastAsia="zh-CN"/>
        </w:rPr>
        <w:t>甲方</w:t>
      </w:r>
      <w:r>
        <w:rPr>
          <w:rFonts w:hint="default" w:ascii="仿宋_GB2312" w:hAnsi="仿宋_GB2312" w:eastAsia="仿宋_GB2312" w:cs="仿宋_GB2312"/>
          <w:lang w:val="en-US" w:eastAsia="zh-CN"/>
        </w:rPr>
        <w:t>书面同意不得擅自更换；授课教师须遵守师德师风规范，无不良教学记录，尊重学生、配合学校管理。</w:t>
      </w:r>
    </w:p>
    <w:p w14:paraId="18F30995">
      <w:pPr>
        <w:pStyle w:val="9"/>
        <w:jc w:val="left"/>
        <w:outlineLvl w:val="2"/>
        <w:rPr>
          <w:rFonts w:hint="default" w:ascii="仿宋_GB2312" w:hAnsi="仿宋_GB2312" w:eastAsia="仿宋_GB2312" w:cs="仿宋_GB2312"/>
          <w:lang w:val="en-US" w:eastAsia="zh-CN"/>
        </w:rPr>
      </w:pPr>
      <w:r>
        <w:rPr>
          <w:rFonts w:hint="default" w:ascii="仿宋_GB2312" w:hAnsi="仿宋_GB2312" w:eastAsia="仿宋_GB2312" w:cs="仿宋_GB2312"/>
          <w:lang w:val="en-US" w:eastAsia="zh-CN"/>
        </w:rPr>
        <w:t>4.课时管控要求：严格按约定执行授课计划，做好课时签到、授课记录、课堂反馈登记，每课时时长足额达标，不得随意缩减课时、删减授课内容、更改培养计划。</w:t>
      </w:r>
    </w:p>
    <w:p w14:paraId="6F83BBCF">
      <w:pPr>
        <w:pStyle w:val="9"/>
        <w:jc w:val="left"/>
        <w:outlineLvl w:val="2"/>
        <w:rPr>
          <w:rFonts w:hint="default" w:ascii="仿宋_GB2312" w:hAnsi="仿宋_GB2312" w:eastAsia="仿宋_GB2312" w:cs="仿宋_GB2312"/>
          <w:lang w:val="en-US" w:eastAsia="zh-CN"/>
        </w:rPr>
      </w:pPr>
      <w:r>
        <w:rPr>
          <w:rFonts w:hint="default" w:ascii="仿宋_GB2312" w:hAnsi="仿宋_GB2312" w:eastAsia="仿宋_GB2312" w:cs="仿宋_GB2312"/>
          <w:lang w:val="en-US" w:eastAsia="zh-CN"/>
        </w:rPr>
        <w:t>5.教学资源要求：</w:t>
      </w:r>
      <w:r>
        <w:rPr>
          <w:rFonts w:hint="eastAsia" w:ascii="仿宋_GB2312" w:hAnsi="仿宋_GB2312" w:eastAsia="仿宋_GB2312" w:cs="仿宋_GB2312"/>
          <w:lang w:val="en-US" w:eastAsia="zh-CN"/>
        </w:rPr>
        <w:t>乙方</w:t>
      </w:r>
      <w:r>
        <w:rPr>
          <w:rFonts w:hint="default" w:ascii="仿宋_GB2312" w:hAnsi="仿宋_GB2312" w:eastAsia="仿宋_GB2312" w:cs="仿宋_GB2312"/>
          <w:lang w:val="en-US" w:eastAsia="zh-CN"/>
        </w:rPr>
        <w:t>需具备满足本项目线上教学需求的信息化平台或工具，该平台或工具应能实现以下功能：在线直播系统功能；学员管理系统功能；包含在线考试系统功能。</w:t>
      </w:r>
    </w:p>
    <w:p w14:paraId="2EAD1CFC">
      <w:pPr>
        <w:pStyle w:val="9"/>
        <w:jc w:val="left"/>
        <w:outlineLvl w:val="2"/>
        <w:rPr>
          <w:rFonts w:hint="default" w:ascii="仿宋_GB2312" w:hAnsi="仿宋_GB2312" w:eastAsia="仿宋_GB2312" w:cs="仿宋_GB2312"/>
          <w:lang w:val="en-US" w:eastAsia="zh-CN"/>
        </w:rPr>
      </w:pPr>
      <w:r>
        <w:rPr>
          <w:rFonts w:hint="default" w:ascii="仿宋_GB2312" w:hAnsi="仿宋_GB2312" w:eastAsia="仿宋_GB2312" w:cs="仿宋_GB2312"/>
          <w:lang w:val="en-US" w:eastAsia="zh-CN"/>
        </w:rPr>
        <w:t>所有培优讲义、测评试卷、诊断报告、指导手册等教学资料须提前提交</w:t>
      </w:r>
      <w:r>
        <w:rPr>
          <w:rFonts w:hint="eastAsia" w:ascii="仿宋_GB2312" w:hAnsi="仿宋_GB2312" w:eastAsia="仿宋_GB2312" w:cs="仿宋_GB2312"/>
          <w:lang w:val="en-US" w:eastAsia="zh-CN"/>
        </w:rPr>
        <w:t>甲方</w:t>
      </w:r>
      <w:r>
        <w:rPr>
          <w:rFonts w:hint="default" w:ascii="仿宋_GB2312" w:hAnsi="仿宋_GB2312" w:eastAsia="仿宋_GB2312" w:cs="仿宋_GB2312"/>
          <w:lang w:val="en-US" w:eastAsia="zh-CN"/>
        </w:rPr>
        <w:t>审核，符合版权规范与教学要求，无侵权、违规内容。</w:t>
      </w:r>
    </w:p>
    <w:p w14:paraId="51D0D9DB">
      <w:pPr>
        <w:pStyle w:val="9"/>
        <w:jc w:val="left"/>
        <w:outlineLvl w:val="2"/>
        <w:rPr>
          <w:rFonts w:hint="default" w:ascii="仿宋_GB2312" w:hAnsi="仿宋_GB2312" w:eastAsia="仿宋_GB2312" w:cs="仿宋_GB2312"/>
          <w:lang w:val="en-US" w:eastAsia="zh-CN"/>
        </w:rPr>
      </w:pPr>
      <w:r>
        <w:rPr>
          <w:rFonts w:hint="default" w:ascii="仿宋_GB2312" w:hAnsi="仿宋_GB2312" w:eastAsia="仿宋_GB2312" w:cs="仿宋_GB2312"/>
          <w:lang w:val="en-US" w:eastAsia="zh-CN"/>
        </w:rPr>
        <w:t>6.应急保障要求：建立教学应急处置机制，针对学生突发心理问题、教学设备故障、授课计划调整等突发情况快速响应、妥善处理，保障服务平稳推进。</w:t>
      </w:r>
    </w:p>
    <w:p w14:paraId="1E36C4DF">
      <w:pPr>
        <w:pStyle w:val="9"/>
        <w:jc w:val="left"/>
        <w:outlineLvl w:val="2"/>
        <w:rPr>
          <w:rFonts w:hint="default" w:ascii="仿宋_GB2312" w:hAnsi="仿宋_GB2312" w:eastAsia="仿宋_GB2312" w:cs="仿宋_GB2312"/>
          <w:lang w:val="en-US" w:eastAsia="zh-CN"/>
        </w:rPr>
      </w:pPr>
      <w:r>
        <w:rPr>
          <w:rFonts w:hint="default" w:ascii="仿宋_GB2312" w:hAnsi="仿宋_GB2312" w:eastAsia="仿宋_GB2312" w:cs="仿宋_GB2312"/>
          <w:lang w:val="en-US" w:eastAsia="zh-CN"/>
        </w:rPr>
        <w:t>7.沟通汇报要求：指定专职项目负责人与</w:t>
      </w:r>
      <w:r>
        <w:rPr>
          <w:rFonts w:hint="eastAsia" w:ascii="仿宋_GB2312" w:hAnsi="仿宋_GB2312" w:eastAsia="仿宋_GB2312" w:cs="仿宋_GB2312"/>
          <w:lang w:val="en-US" w:eastAsia="zh-CN"/>
        </w:rPr>
        <w:t>甲方</w:t>
      </w:r>
      <w:r>
        <w:rPr>
          <w:rFonts w:hint="default" w:ascii="仿宋_GB2312" w:hAnsi="仿宋_GB2312" w:eastAsia="仿宋_GB2312" w:cs="仿宋_GB2312"/>
          <w:lang w:val="en-US" w:eastAsia="zh-CN"/>
        </w:rPr>
        <w:t>常态化对接，每周书面汇报服务进度、学生培养情况、问题整改结果，及时响应</w:t>
      </w:r>
      <w:r>
        <w:rPr>
          <w:rFonts w:hint="eastAsia" w:ascii="仿宋_GB2312" w:hAnsi="仿宋_GB2312" w:eastAsia="仿宋_GB2312" w:cs="仿宋_GB2312"/>
          <w:lang w:val="en-US" w:eastAsia="zh-CN"/>
        </w:rPr>
        <w:t>甲方</w:t>
      </w:r>
      <w:r>
        <w:rPr>
          <w:rFonts w:hint="default" w:ascii="仿宋_GB2312" w:hAnsi="仿宋_GB2312" w:eastAsia="仿宋_GB2312" w:cs="仿宋_GB2312"/>
          <w:lang w:val="en-US" w:eastAsia="zh-CN"/>
        </w:rPr>
        <w:t>合理需求。</w:t>
      </w:r>
    </w:p>
    <w:p w14:paraId="67B8C6AA">
      <w:pPr>
        <w:pStyle w:val="9"/>
        <w:jc w:val="left"/>
        <w:outlineLvl w:val="2"/>
        <w:rPr>
          <w:rFonts w:hint="default" w:ascii="仿宋_GB2312" w:hAnsi="仿宋_GB2312" w:eastAsia="仿宋_GB2312" w:cs="仿宋_GB2312"/>
          <w:lang w:val="en-US" w:eastAsia="zh-CN"/>
        </w:rPr>
      </w:pPr>
      <w:r>
        <w:rPr>
          <w:rFonts w:hint="default" w:ascii="仿宋_GB2312" w:hAnsi="仿宋_GB2312" w:eastAsia="仿宋_GB2312" w:cs="仿宋_GB2312"/>
          <w:lang w:val="en-US" w:eastAsia="zh-CN"/>
        </w:rPr>
        <w:t>8.合规履约要求：本项目服务不得转包、违法分包，须由中标</w:t>
      </w:r>
      <w:r>
        <w:rPr>
          <w:rFonts w:hint="eastAsia" w:ascii="仿宋_GB2312" w:hAnsi="仿宋_GB2312" w:eastAsia="仿宋_GB2312" w:cs="仿宋_GB2312"/>
          <w:lang w:val="en-US" w:eastAsia="zh-CN"/>
        </w:rPr>
        <w:t>乙方</w:t>
      </w:r>
      <w:r>
        <w:rPr>
          <w:rFonts w:hint="default" w:ascii="仿宋_GB2312" w:hAnsi="仿宋_GB2312" w:eastAsia="仿宋_GB2312" w:cs="仿宋_GB2312"/>
          <w:lang w:val="en-US" w:eastAsia="zh-CN"/>
        </w:rPr>
        <w:t>自主完成全部服务内容，确保服务质量与履约效果。</w:t>
      </w:r>
    </w:p>
    <w:p w14:paraId="169F11EF">
      <w:pPr>
        <w:pStyle w:val="9"/>
        <w:jc w:val="left"/>
        <w:outlineLvl w:val="2"/>
        <w:rPr>
          <w:rFonts w:hint="default" w:ascii="仿宋_GB2312" w:hAnsi="仿宋_GB2312" w:eastAsia="仿宋_GB2312" w:cs="仿宋_GB2312"/>
          <w:lang w:val="en-US" w:eastAsia="zh-CN"/>
        </w:rPr>
      </w:pPr>
      <w:r>
        <w:rPr>
          <w:rFonts w:hint="default" w:ascii="仿宋_GB2312" w:hAnsi="仿宋_GB2312" w:eastAsia="仿宋_GB2312" w:cs="仿宋_GB2312"/>
          <w:lang w:val="en-US" w:eastAsia="zh-CN"/>
        </w:rPr>
        <w:t>9.安全管理要求：服务期间严格落实校园安全管理规定，做好学生人身安全、教学场所安全防护，杜绝安全事故发生。</w:t>
      </w:r>
    </w:p>
    <w:p w14:paraId="1088E8B1">
      <w:pPr>
        <w:pStyle w:val="9"/>
        <w:jc w:val="left"/>
        <w:outlineLvl w:val="2"/>
        <w:rPr>
          <w:rFonts w:ascii="仿宋_GB2312" w:hAnsi="仿宋_GB2312" w:eastAsia="仿宋_GB2312" w:cs="仿宋_GB2312"/>
        </w:rPr>
      </w:pPr>
      <w:r>
        <w:rPr>
          <w:rFonts w:ascii="仿宋_GB2312" w:hAnsi="仿宋_GB2312" w:eastAsia="仿宋_GB2312" w:cs="仿宋_GB2312"/>
          <w:b/>
          <w:sz w:val="28"/>
        </w:rPr>
        <w:t xml:space="preserve">三、合同定价方式、付款进度和支付方式 </w:t>
      </w:r>
      <w:r>
        <w:rPr>
          <w:rFonts w:ascii="仿宋_GB2312" w:hAnsi="仿宋_GB2312" w:eastAsia="仿宋_GB2312" w:cs="仿宋_GB2312"/>
        </w:rPr>
        <w:t xml:space="preserve"> </w:t>
      </w:r>
    </w:p>
    <w:p w14:paraId="6AE59BF8">
      <w:pPr>
        <w:pStyle w:val="9"/>
        <w:jc w:val="left"/>
        <w:outlineLvl w:val="2"/>
        <w:rPr>
          <w:rFonts w:hint="default" w:ascii="仿宋_GB2312" w:hAnsi="仿宋_GB2312" w:eastAsia="仿宋_GB2312" w:cs="仿宋_GB2312"/>
          <w:lang w:val="en-US" w:eastAsia="zh-CN"/>
        </w:rPr>
      </w:pPr>
      <w:r>
        <w:rPr>
          <w:rFonts w:ascii="仿宋_GB2312" w:hAnsi="仿宋_GB2312" w:eastAsia="仿宋_GB2312" w:cs="仿宋_GB2312"/>
        </w:rPr>
        <w:t>合同定价方式：</w:t>
      </w:r>
      <w:r>
        <w:rPr>
          <w:rFonts w:hint="eastAsia" w:ascii="仿宋_GB2312" w:hAnsi="仿宋_GB2312" w:eastAsia="仿宋_GB2312" w:cs="仿宋_GB2312"/>
          <w:lang w:val="en-US" w:eastAsia="zh-CN"/>
        </w:rPr>
        <w:t>固定总价</w:t>
      </w:r>
    </w:p>
    <w:p w14:paraId="1CA773F7">
      <w:pPr>
        <w:pStyle w:val="9"/>
        <w:jc w:val="left"/>
        <w:outlineLvl w:val="2"/>
        <w:rPr>
          <w:rFonts w:hint="eastAsia" w:ascii="仿宋_GB2312" w:hAnsi="仿宋_GB2312" w:eastAsia="仿宋_GB2312" w:cs="仿宋_GB2312"/>
        </w:rPr>
      </w:pPr>
      <w:r>
        <w:rPr>
          <w:rFonts w:hint="eastAsia" w:ascii="仿宋_GB2312" w:hAnsi="仿宋_GB2312" w:eastAsia="仿宋_GB2312" w:cs="仿宋_GB2312"/>
        </w:rPr>
        <w:t>1、政府采购合同签订后，达到付款条件起5日内，支付合同总金额的40.00%</w:t>
      </w:r>
    </w:p>
    <w:p w14:paraId="4FE125FE">
      <w:pPr>
        <w:pStyle w:val="9"/>
        <w:jc w:val="left"/>
        <w:outlineLvl w:val="2"/>
        <w:rPr>
          <w:rFonts w:hint="eastAsia" w:ascii="仿宋_GB2312" w:hAnsi="仿宋_GB2312" w:eastAsia="仿宋_GB2312" w:cs="仿宋_GB2312"/>
        </w:rPr>
      </w:pPr>
      <w:r>
        <w:rPr>
          <w:rFonts w:hint="eastAsia" w:ascii="仿宋_GB2312" w:hAnsi="仿宋_GB2312" w:eastAsia="仿宋_GB2312" w:cs="仿宋_GB2312"/>
        </w:rPr>
        <w:t>2、</w:t>
      </w:r>
      <w:r>
        <w:rPr>
          <w:rFonts w:hint="eastAsia" w:ascii="仿宋_GB2312" w:hAnsi="仿宋_GB2312" w:eastAsia="仿宋_GB2312" w:cs="仿宋_GB2312"/>
          <w:lang w:eastAsia="zh-CN"/>
        </w:rPr>
        <w:t>乙方</w:t>
      </w:r>
      <w:r>
        <w:rPr>
          <w:rFonts w:hint="eastAsia" w:ascii="仿宋_GB2312" w:hAnsi="仿宋_GB2312" w:eastAsia="仿宋_GB2312" w:cs="仿宋_GB2312"/>
        </w:rPr>
        <w:t>提出初步验收申请，经</w:t>
      </w:r>
      <w:r>
        <w:rPr>
          <w:rFonts w:hint="eastAsia" w:ascii="仿宋_GB2312" w:hAnsi="仿宋_GB2312" w:eastAsia="仿宋_GB2312" w:cs="仿宋_GB2312"/>
          <w:lang w:eastAsia="zh-CN"/>
        </w:rPr>
        <w:t>甲方</w:t>
      </w:r>
      <w:r>
        <w:rPr>
          <w:rFonts w:hint="eastAsia" w:ascii="仿宋_GB2312" w:hAnsi="仿宋_GB2312" w:eastAsia="仿宋_GB2312" w:cs="仿宋_GB2312"/>
        </w:rPr>
        <w:t>审核并通过初步验收，达到付款条件起10日内，支付合同总金额的25.00%</w:t>
      </w:r>
      <w:bookmarkStart w:id="1" w:name="_GoBack"/>
      <w:bookmarkEnd w:id="1"/>
    </w:p>
    <w:p w14:paraId="36A81D48">
      <w:pPr>
        <w:pStyle w:val="9"/>
        <w:jc w:val="left"/>
        <w:outlineLvl w:val="2"/>
        <w:rPr>
          <w:rFonts w:hint="eastAsia" w:ascii="仿宋_GB2312" w:hAnsi="仿宋_GB2312" w:eastAsia="仿宋_GB2312" w:cs="仿宋_GB2312"/>
          <w:lang w:eastAsia="zh-CN"/>
        </w:rPr>
      </w:pPr>
      <w:r>
        <w:rPr>
          <w:rFonts w:hint="eastAsia" w:ascii="仿宋_GB2312" w:hAnsi="仿宋_GB2312" w:eastAsia="仿宋_GB2312" w:cs="仿宋_GB2312"/>
        </w:rPr>
        <w:t>3、</w:t>
      </w:r>
      <w:r>
        <w:rPr>
          <w:rFonts w:hint="eastAsia" w:ascii="仿宋_GB2312" w:hAnsi="仿宋_GB2312" w:eastAsia="仿宋_GB2312" w:cs="仿宋_GB2312"/>
          <w:lang w:eastAsia="zh-CN"/>
        </w:rPr>
        <w:t>乙方</w:t>
      </w:r>
      <w:r>
        <w:rPr>
          <w:rFonts w:hint="eastAsia" w:ascii="仿宋_GB2312" w:hAnsi="仿宋_GB2312" w:eastAsia="仿宋_GB2312" w:cs="仿宋_GB2312"/>
        </w:rPr>
        <w:t>提出最终验收申请，经</w:t>
      </w:r>
      <w:r>
        <w:rPr>
          <w:rFonts w:hint="eastAsia" w:ascii="仿宋_GB2312" w:hAnsi="仿宋_GB2312" w:eastAsia="仿宋_GB2312" w:cs="仿宋_GB2312"/>
          <w:lang w:eastAsia="zh-CN"/>
        </w:rPr>
        <w:t>甲方</w:t>
      </w:r>
      <w:r>
        <w:rPr>
          <w:rFonts w:hint="eastAsia" w:ascii="仿宋_GB2312" w:hAnsi="仿宋_GB2312" w:eastAsia="仿宋_GB2312" w:cs="仿宋_GB2312"/>
        </w:rPr>
        <w:t>审核并通过最终验收后，达到付款条件起10日内，支付合同总金额的35.00%</w:t>
      </w:r>
      <w:r>
        <w:rPr>
          <w:rFonts w:hint="eastAsia" w:ascii="仿宋_GB2312" w:hAnsi="仿宋_GB2312" w:eastAsia="仿宋_GB2312" w:cs="仿宋_GB2312"/>
          <w:lang w:eastAsia="zh-CN"/>
        </w:rPr>
        <w:t>。</w:t>
      </w:r>
    </w:p>
    <w:p w14:paraId="08DF9BA5">
      <w:pPr>
        <w:pStyle w:val="9"/>
        <w:jc w:val="left"/>
        <w:outlineLvl w:val="9"/>
        <w:rPr>
          <w:rFonts w:hint="eastAsia" w:ascii="仿宋_GB2312" w:hAnsi="仿宋_GB2312" w:eastAsia="仿宋_GB2312" w:cs="仿宋_GB2312"/>
        </w:rPr>
      </w:pPr>
    </w:p>
    <w:p w14:paraId="7171E50E">
      <w:pPr>
        <w:pStyle w:val="9"/>
        <w:numPr>
          <w:ilvl w:val="0"/>
          <w:numId w:val="4"/>
        </w:numPr>
        <w:ind w:left="140" w:leftChars="0" w:firstLine="0" w:firstLineChars="0"/>
        <w:jc w:val="left"/>
        <w:outlineLvl w:val="2"/>
        <w:rPr>
          <w:rFonts w:ascii="仿宋_GB2312" w:hAnsi="仿宋_GB2312" w:eastAsia="仿宋_GB2312" w:cs="仿宋_GB2312"/>
          <w:b/>
          <w:sz w:val="28"/>
        </w:rPr>
      </w:pPr>
      <w:r>
        <w:rPr>
          <w:rFonts w:ascii="仿宋_GB2312" w:hAnsi="仿宋_GB2312" w:eastAsia="仿宋_GB2312" w:cs="仿宋_GB2312"/>
          <w:b/>
          <w:sz w:val="28"/>
        </w:rPr>
        <w:t>履约保证金</w:t>
      </w:r>
    </w:p>
    <w:p w14:paraId="29CD6D9D">
      <w:pPr>
        <w:pStyle w:val="9"/>
        <w:numPr>
          <w:ilvl w:val="0"/>
          <w:numId w:val="0"/>
        </w:numPr>
        <w:ind w:left="140" w:leftChars="0"/>
        <w:jc w:val="left"/>
        <w:outlineLvl w:val="2"/>
      </w:pPr>
      <w:r>
        <w:rPr>
          <w:rFonts w:hint="eastAsia" w:ascii="仿宋_GB2312" w:hAnsi="仿宋_GB2312" w:eastAsia="仿宋_GB2312" w:cs="仿宋_GB2312"/>
          <w:b/>
          <w:sz w:val="28"/>
          <w:lang w:val="en-US" w:eastAsia="zh-CN"/>
        </w:rPr>
        <w:t>本项目不涉及</w:t>
      </w:r>
    </w:p>
    <w:p w14:paraId="2BE2B641">
      <w:pPr>
        <w:pStyle w:val="9"/>
        <w:jc w:val="left"/>
        <w:outlineLvl w:val="2"/>
      </w:pPr>
      <w:r>
        <w:rPr>
          <w:rFonts w:ascii="仿宋_GB2312" w:hAnsi="仿宋_GB2312" w:eastAsia="仿宋_GB2312" w:cs="仿宋_GB2312"/>
          <w:b/>
          <w:sz w:val="28"/>
        </w:rPr>
        <w:t xml:space="preserve"> 五、验收标准和方法</w:t>
      </w:r>
    </w:p>
    <w:p w14:paraId="6B7E3647">
      <w:pPr>
        <w:pStyle w:val="9"/>
        <w:jc w:val="left"/>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 xml:space="preserve">（1）验收主体：甲方。 </w:t>
      </w:r>
    </w:p>
    <w:p w14:paraId="79745B40">
      <w:pPr>
        <w:pStyle w:val="9"/>
        <w:jc w:val="left"/>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 xml:space="preserve">（2）验收时间：当合同履约达到验收条件时，乙方按照合同约定向甲方书面发起验收申请，甲方在收到乙方验收申请之日起5日内启动项目验收，并书面通知乙方。 </w:t>
      </w:r>
    </w:p>
    <w:p w14:paraId="30AA9C12">
      <w:pPr>
        <w:pStyle w:val="9"/>
        <w:jc w:val="left"/>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 xml:space="preserve">（3）验收标准：由甲方组织履约验收小组，开展项目验收工作，严格按照《财政部关于进一步加强政府采购需求和履约验收管理的指导意见》(财库〔2016〕205号)、《政府采购需求管理办法》((财库〔2021〕22 号)、《雅安市财政局关于规范政府采购履约验收工作的通知》（雅财采〔2021〕50号）以及《磋商文件》的技术指标、服务要求及服务标准、乙方的《响应》及承诺与本合同约定标准进行验收；双方如对服务要求及服务标准的约 定有相互抵触或异议的事项,由甲方在《磋商文件》与《响应》中按比较优胜的原则确定该项的约定内容、要求及服务标准进行验收。 </w:t>
      </w:r>
    </w:p>
    <w:p w14:paraId="30EE6CA8">
      <w:pPr>
        <w:pStyle w:val="9"/>
        <w:jc w:val="left"/>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 xml:space="preserve">（4）验收内容： </w:t>
      </w:r>
    </w:p>
    <w:p w14:paraId="2035BAF2">
      <w:pPr>
        <w:pStyle w:val="9"/>
        <w:jc w:val="left"/>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 xml:space="preserve">1.全流程服务验收：完成采购需求约定的学情诊断、个性化培优辅导、升学规划指导、培训跟踪服务、校内教研指导全部服务内容，无服务模块缺失、无履约遗漏。 </w:t>
      </w:r>
    </w:p>
    <w:p w14:paraId="473A851D">
      <w:pPr>
        <w:pStyle w:val="9"/>
        <w:jc w:val="left"/>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2.课时执行验收：总课时达到不低于180课时，每课时不少于45分钟，提供完整的课时记录表、学生签到表、授课日志、课程确认单，课时执行真实可溯源。</w:t>
      </w:r>
    </w:p>
    <w:p w14:paraId="6DA2CC74">
      <w:pPr>
        <w:pStyle w:val="9"/>
        <w:jc w:val="left"/>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 xml:space="preserve">3.师资资质验收：服务团队人员配置、职称资质、教学经验完全符合采购需求，核心教师无擅自更换情况，师资证明材料齐全、有效、真实。 </w:t>
      </w:r>
    </w:p>
    <w:p w14:paraId="677D5527">
      <w:pPr>
        <w:pStyle w:val="9"/>
        <w:jc w:val="left"/>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 xml:space="preserve">4.成果资料验收：完整交付一生一策个性化诊断报告、个性化辅导方案、学生专属培养档案、阶段评估报告、最终服务总结报告、课时记录、教研指导记录、升学指导方案、教学全套资料等成果文件，资料规范、齐全、可追溯。 </w:t>
      </w:r>
    </w:p>
    <w:p w14:paraId="2A5F0C7C">
      <w:pPr>
        <w:pStyle w:val="9"/>
        <w:jc w:val="left"/>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 xml:space="preserve">5.课程实施验收：课程覆盖高考学科培优、升学规划、应试心理提升、强基计划校考及面试指导全部模块，课程内容、授课方式贴合特优生培养需求，符合采购约定。 </w:t>
      </w:r>
    </w:p>
    <w:p w14:paraId="26975493">
      <w:pPr>
        <w:pStyle w:val="9"/>
        <w:jc w:val="left"/>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 xml:space="preserve">6.教研服务验收：完成校内高三教师备考策略指导、专题教学培训、教研交流、示范课等服务，提供完整教研记录、交流纪要、培训签到表，满足校内教研赋能要求。 </w:t>
      </w:r>
    </w:p>
    <w:p w14:paraId="6063C2D8">
      <w:pPr>
        <w:pStyle w:val="9"/>
        <w:jc w:val="left"/>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 xml:space="preserve">7.服务质量验收：服务过程无教学事故、信息泄露、安全事故、违规违约行为，项目结束后，甲方可组织学生及校内教师进行满意度调查，调查满意度不低于85%，培养效果达到项目核心目标。 </w:t>
      </w:r>
    </w:p>
    <w:p w14:paraId="41B48300">
      <w:pPr>
        <w:pStyle w:val="9"/>
        <w:jc w:val="left"/>
        <w:outlineLvl w:val="2"/>
      </w:pPr>
      <w:r>
        <w:rPr>
          <w:rFonts w:hint="eastAsia" w:ascii="仿宋_GB2312" w:hAnsi="仿宋_GB2312" w:eastAsia="仿宋_GB2312" w:cs="仿宋_GB2312"/>
          <w:lang w:val="en-US" w:eastAsia="zh-CN"/>
        </w:rPr>
        <w:t xml:space="preserve"> </w:t>
      </w:r>
      <w:r>
        <w:rPr>
          <w:rFonts w:ascii="仿宋_GB2312" w:hAnsi="仿宋_GB2312" w:eastAsia="仿宋_GB2312" w:cs="仿宋_GB2312"/>
          <w:b/>
          <w:sz w:val="28"/>
        </w:rPr>
        <w:t>六、甲方的权利和义务</w:t>
      </w:r>
    </w:p>
    <w:p w14:paraId="6E4183B0">
      <w:pPr>
        <w:pStyle w:val="9"/>
        <w:jc w:val="left"/>
      </w:pPr>
      <w:r>
        <w:rPr>
          <w:rFonts w:ascii="仿宋_GB2312" w:hAnsi="仿宋_GB2312" w:eastAsia="仿宋_GB2312" w:cs="仿宋_GB2312"/>
        </w:rPr>
        <w:t>1.甲方有权对合同规定范围内乙方的服务行为进行监督和检查，拥有监管权。有权定期核对乙方提供服务</w:t>
      </w:r>
      <w:r>
        <w:rPr>
          <w:rFonts w:hint="eastAsia" w:ascii="仿宋_GB2312" w:hAnsi="仿宋_GB2312" w:eastAsia="仿宋_GB2312" w:cs="仿宋_GB2312"/>
          <w:lang w:val="en-US" w:eastAsia="zh-CN"/>
        </w:rPr>
        <w:t>进度进行监督</w:t>
      </w:r>
      <w:r>
        <w:rPr>
          <w:rFonts w:ascii="仿宋_GB2312" w:hAnsi="仿宋_GB2312" w:eastAsia="仿宋_GB2312" w:cs="仿宋_GB2312"/>
        </w:rPr>
        <w:t>。</w:t>
      </w:r>
    </w:p>
    <w:p w14:paraId="2D8B26C0">
      <w:pPr>
        <w:pStyle w:val="9"/>
        <w:jc w:val="left"/>
      </w:pPr>
      <w:r>
        <w:rPr>
          <w:rFonts w:ascii="仿宋_GB2312" w:hAnsi="仿宋_GB2312" w:eastAsia="仿宋_GB2312" w:cs="仿宋_GB2312"/>
        </w:rPr>
        <w:t>2.根据本合同规定，按时向乙方支付应付服务费用。</w:t>
      </w:r>
    </w:p>
    <w:p w14:paraId="7895C786">
      <w:pPr>
        <w:pStyle w:val="9"/>
        <w:jc w:val="left"/>
      </w:pPr>
      <w:r>
        <w:rPr>
          <w:rFonts w:ascii="仿宋_GB2312" w:hAnsi="仿宋_GB2312" w:eastAsia="仿宋_GB2312" w:cs="仿宋_GB2312"/>
        </w:rPr>
        <w:t>3.国家法律、法规所规定由甲方承担的其它责任。</w:t>
      </w:r>
    </w:p>
    <w:p w14:paraId="5F546875">
      <w:pPr>
        <w:pStyle w:val="9"/>
        <w:jc w:val="left"/>
        <w:outlineLvl w:val="2"/>
      </w:pPr>
      <w:r>
        <w:rPr>
          <w:rFonts w:ascii="仿宋_GB2312" w:hAnsi="仿宋_GB2312" w:eastAsia="仿宋_GB2312" w:cs="仿宋_GB2312"/>
          <w:b/>
          <w:sz w:val="28"/>
        </w:rPr>
        <w:t xml:space="preserve"> 七、乙方的权利和义务</w:t>
      </w:r>
    </w:p>
    <w:p w14:paraId="3510367E">
      <w:pPr>
        <w:pStyle w:val="9"/>
        <w:jc w:val="left"/>
      </w:pPr>
      <w:r>
        <w:rPr>
          <w:rFonts w:ascii="仿宋_GB2312" w:hAnsi="仿宋_GB2312" w:eastAsia="仿宋_GB2312" w:cs="仿宋_GB2312"/>
        </w:rPr>
        <w:t>1.根据本合同的约定向甲方收取相关服务费用。</w:t>
      </w:r>
    </w:p>
    <w:p w14:paraId="693A4E3E">
      <w:pPr>
        <w:pStyle w:val="9"/>
        <w:jc w:val="left"/>
      </w:pPr>
      <w:r>
        <w:rPr>
          <w:rFonts w:ascii="仿宋_GB2312" w:hAnsi="仿宋_GB2312" w:eastAsia="仿宋_GB2312" w:cs="仿宋_GB2312"/>
        </w:rPr>
        <w:t>2.接受项目行业管理部门及政府有关部门的指导，接受甲方的监督。</w:t>
      </w:r>
    </w:p>
    <w:p w14:paraId="62F97BB3">
      <w:pPr>
        <w:pStyle w:val="9"/>
        <w:jc w:val="left"/>
      </w:pPr>
      <w:r>
        <w:rPr>
          <w:rFonts w:ascii="仿宋_GB2312" w:hAnsi="仿宋_GB2312" w:eastAsia="仿宋_GB2312" w:cs="仿宋_GB2312"/>
        </w:rPr>
        <w:t>3.乙方承诺遵守《中华人民共和国劳动合同法》有关规定和《中华人民共和国妇女权益保障法》中关于“劳动和社会保障权益”的有关要求。</w:t>
      </w:r>
    </w:p>
    <w:p w14:paraId="12B700A4">
      <w:pPr>
        <w:pStyle w:val="9"/>
        <w:jc w:val="left"/>
      </w:pPr>
      <w:r>
        <w:rPr>
          <w:rFonts w:ascii="仿宋_GB2312" w:hAnsi="仿宋_GB2312" w:eastAsia="仿宋_GB2312" w:cs="仿宋_GB2312"/>
        </w:rPr>
        <w:t>4.国家法律、法规所规定由乙方承担的其它责任。</w:t>
      </w:r>
    </w:p>
    <w:p w14:paraId="5789884B">
      <w:pPr>
        <w:pStyle w:val="9"/>
        <w:jc w:val="left"/>
        <w:outlineLvl w:val="2"/>
        <w:rPr>
          <w:rFonts w:ascii="仿宋_GB2312" w:hAnsi="仿宋_GB2312" w:eastAsia="仿宋_GB2312" w:cs="仿宋_GB2312"/>
          <w:b/>
          <w:sz w:val="28"/>
        </w:rPr>
      </w:pPr>
      <w:r>
        <w:rPr>
          <w:rFonts w:ascii="仿宋_GB2312" w:hAnsi="仿宋_GB2312" w:eastAsia="仿宋_GB2312" w:cs="仿宋_GB2312"/>
          <w:b/>
          <w:sz w:val="28"/>
        </w:rPr>
        <w:t xml:space="preserve"> 八、违约责任</w:t>
      </w:r>
    </w:p>
    <w:p w14:paraId="11D5C3F4">
      <w:pPr>
        <w:pStyle w:val="9"/>
        <w:jc w:val="left"/>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 xml:space="preserve">（一）甲方违约责任 1.甲方应遵守本合同并执行合同中的各项规定，保证本合同的正常履行。 2.甲方逾期支付服务合同款项的，除应及时付足合同款项外，应向中标 人偿付欠款总额万分之一/天的违约金；逾期付款超过120天的，乙方有权终止合同。 3.甲方偿付的违约金不足以弥补乙方损失的，还应按乙方经济损失尚未弥补的部分，支付赔偿金给乙方。 （二）乙方违约责任 1.乙方必须遵守采购合同并执行合同中的各项规定，保证采购合同的正常履行。 2.如因乙方工作人员在履行职务过程中的疏忽、失职、过错等故意或者过失原因给甲方造成损失或侵害，包括但不限于甲方本身的财产损失、由此而导致的甲方对任何第三方的法律责任等，乙方对此均应承担全部的赔偿责任。 3.乙方不能按时提供服务(成果)或逾期提供的而违约的，除应及时提供服务外，应向甲方偿付逾期提供部分服务总额的万分之一/天的违约金；逾期超过15天，甲方有权终止合同，乙方则应按合同总价的百分之二十的款额向甲方偿付违约金，并须全额退还甲方已经付给乙方的服务费及其利息。 4.乙方在履约过程中，服务经甲方考核不合格的，甲方有权要求乙方整改，乙方三次整改仍不符合要求的，甲方有权终止合同。 5.乙方应当遵守甲方的相关项目需求及相关技术要求及实质性条款，实施完成采购合同应当完全满足相关项目需求及相关技术要求及实质性条款，若乙方瑕疵履行采购合同，甲方有权按磋商文件中绩效评价约定向乙方要求赔偿，若造成相关损失的，甲方有权要求乙方承担所有赔偿责任。 </w:t>
      </w:r>
    </w:p>
    <w:p w14:paraId="580376CD">
      <w:pPr>
        <w:pStyle w:val="9"/>
        <w:jc w:val="left"/>
        <w:outlineLvl w:val="2"/>
      </w:pPr>
      <w:r>
        <w:rPr>
          <w:rFonts w:ascii="仿宋_GB2312" w:hAnsi="仿宋_GB2312" w:eastAsia="仿宋_GB2312" w:cs="仿宋_GB2312"/>
          <w:b/>
          <w:sz w:val="28"/>
        </w:rPr>
        <w:t>九、不可抗事件处理</w:t>
      </w:r>
    </w:p>
    <w:p w14:paraId="5988DBFC">
      <w:pPr>
        <w:pStyle w:val="9"/>
        <w:jc w:val="left"/>
      </w:pPr>
      <w:r>
        <w:rPr>
          <w:rFonts w:ascii="仿宋_GB2312" w:hAnsi="仿宋_GB2312" w:eastAsia="仿宋_GB2312" w:cs="仿宋_GB2312"/>
        </w:rPr>
        <w:t>1.在合同有效期内，任何一方因战争、洪灾、台风、地震等不可抗力事件导致不能履行合同，则合同履行期可延长，其延长期与不可抗力事件影响期相同。</w:t>
      </w:r>
    </w:p>
    <w:p w14:paraId="21A105D0">
      <w:pPr>
        <w:pStyle w:val="9"/>
        <w:jc w:val="left"/>
      </w:pPr>
      <w:r>
        <w:rPr>
          <w:rFonts w:ascii="仿宋_GB2312" w:hAnsi="仿宋_GB2312" w:eastAsia="仿宋_GB2312" w:cs="仿宋_GB2312"/>
        </w:rPr>
        <w:t>2.受阻一方应在不可抗事件发生后尽快用电话通知对方并于事故发生后</w:t>
      </w:r>
      <w:r>
        <w:rPr>
          <w:rFonts w:hint="eastAsia" w:ascii="仿宋_GB2312" w:hAnsi="仿宋_GB2312" w:eastAsia="仿宋_GB2312" w:cs="仿宋_GB2312"/>
          <w:lang w:val="en-US" w:eastAsia="zh-CN"/>
        </w:rPr>
        <w:t>90</w:t>
      </w:r>
      <w:r>
        <w:rPr>
          <w:rFonts w:ascii="仿宋_GB2312" w:hAnsi="仿宋_GB2312" w:eastAsia="仿宋_GB2312" w:cs="仿宋_GB2312"/>
        </w:rPr>
        <w:t>天内将有关部门出具的证明文件等用特快专递或挂号信寄给对方审阅确认。</w:t>
      </w:r>
    </w:p>
    <w:p w14:paraId="11B2ACC5">
      <w:pPr>
        <w:pStyle w:val="9"/>
        <w:jc w:val="left"/>
      </w:pPr>
      <w:r>
        <w:rPr>
          <w:rFonts w:ascii="仿宋_GB2312" w:hAnsi="仿宋_GB2312" w:eastAsia="仿宋_GB2312" w:cs="仿宋_GB2312"/>
        </w:rPr>
        <w:t>3.不可抗事件延续</w:t>
      </w:r>
      <w:r>
        <w:rPr>
          <w:rFonts w:hint="eastAsia" w:ascii="仿宋_GB2312" w:hAnsi="仿宋_GB2312" w:eastAsia="仿宋_GB2312" w:cs="仿宋_GB2312"/>
          <w:lang w:val="en-US" w:eastAsia="zh-CN"/>
        </w:rPr>
        <w:t>120</w:t>
      </w:r>
      <w:r>
        <w:rPr>
          <w:rFonts w:ascii="仿宋_GB2312" w:hAnsi="仿宋_GB2312" w:eastAsia="仿宋_GB2312" w:cs="仿宋_GB2312"/>
        </w:rPr>
        <w:t>天以上，双方应通过友好协商，确定是否继续履行合同。</w:t>
      </w:r>
    </w:p>
    <w:p w14:paraId="1D2FF983">
      <w:pPr>
        <w:pStyle w:val="9"/>
        <w:jc w:val="left"/>
        <w:outlineLvl w:val="2"/>
      </w:pPr>
      <w:r>
        <w:rPr>
          <w:rFonts w:ascii="仿宋_GB2312" w:hAnsi="仿宋_GB2312" w:eastAsia="仿宋_GB2312" w:cs="仿宋_GB2312"/>
          <w:b/>
          <w:sz w:val="28"/>
        </w:rPr>
        <w:t xml:space="preserve"> 十、解决合同纠纷的方式</w:t>
      </w:r>
    </w:p>
    <w:p w14:paraId="32C76280">
      <w:pPr>
        <w:pStyle w:val="9"/>
        <w:jc w:val="left"/>
        <w:rPr>
          <w:rFonts w:hint="eastAsia" w:ascii="仿宋_GB2312" w:hAnsi="仿宋_GB2312" w:eastAsia="仿宋_GB2312" w:cs="仿宋_GB2312"/>
        </w:rPr>
      </w:pPr>
      <w:r>
        <w:rPr>
          <w:rFonts w:hint="eastAsia" w:ascii="仿宋_GB2312" w:hAnsi="仿宋_GB2312" w:eastAsia="仿宋_GB2312" w:cs="仿宋_GB2312"/>
          <w:lang w:val="en-US" w:eastAsia="zh-CN"/>
        </w:rPr>
        <w:t>1.合同履行期间,若双方发生争议，可协商或由有关部门调解解决，协商或调解不成的，按照下列方式解决(任选一项，且只能选择一项，在选定的一项前的方框内打“√”)：</w:t>
      </w:r>
    </w:p>
    <w:p w14:paraId="2782867C">
      <w:pPr>
        <w:pStyle w:val="9"/>
        <w:jc w:val="left"/>
        <w:rPr>
          <w:rFonts w:hint="eastAsia" w:ascii="仿宋_GB2312" w:hAnsi="仿宋_GB2312" w:eastAsia="仿宋_GB2312" w:cs="仿宋_GB2312"/>
        </w:rPr>
      </w:pPr>
      <w:r>
        <w:rPr>
          <w:rFonts w:hint="eastAsia" w:ascii="仿宋_GB2312" w:hAnsi="仿宋_GB2312" w:eastAsia="仿宋_GB2312" w:cs="仿宋_GB2312"/>
          <w:lang w:val="en-US" w:eastAsia="zh-CN"/>
        </w:rPr>
        <w:t>□向    仲裁委员会申请仲裁；</w:t>
      </w:r>
    </w:p>
    <w:p w14:paraId="6F6D2B62">
      <w:pPr>
        <w:pStyle w:val="9"/>
        <w:jc w:val="left"/>
        <w:rPr>
          <w:rFonts w:hint="eastAsia" w:ascii="仿宋_GB2312" w:hAnsi="仿宋_GB2312" w:eastAsia="仿宋_GB2312" w:cs="仿宋_GB2312"/>
        </w:rPr>
      </w:pPr>
      <w:r>
        <w:rPr>
          <w:rFonts w:hint="eastAsia" w:ascii="仿宋_GB2312" w:hAnsi="仿宋_GB2312" w:eastAsia="仿宋_GB2312" w:cs="仿宋_GB2312"/>
          <w:lang w:val="en-US" w:eastAsia="zh-CN"/>
        </w:rPr>
        <w:t>☑ 向 甲方   所在地人民法院起诉。</w:t>
      </w:r>
    </w:p>
    <w:p w14:paraId="51C8A757">
      <w:pPr>
        <w:pStyle w:val="9"/>
        <w:jc w:val="left"/>
        <w:rPr>
          <w:rFonts w:hint="eastAsia" w:ascii="仿宋_GB2312" w:hAnsi="仿宋_GB2312" w:eastAsia="仿宋_GB2312" w:cs="仿宋_GB2312"/>
        </w:rPr>
      </w:pPr>
      <w:r>
        <w:rPr>
          <w:rFonts w:hint="eastAsia" w:ascii="仿宋_GB2312" w:hAnsi="仿宋_GB2312" w:eastAsia="仿宋_GB2312" w:cs="仿宋_GB2312"/>
          <w:lang w:val="en-US" w:eastAsia="zh-CN"/>
        </w:rPr>
        <w:t>2.仲裁裁决应为最终决定，并对双方具有约束力。</w:t>
      </w:r>
    </w:p>
    <w:p w14:paraId="70D04E45">
      <w:pPr>
        <w:pStyle w:val="9"/>
        <w:jc w:val="left"/>
        <w:rPr>
          <w:rFonts w:hint="eastAsia" w:ascii="仿宋_GB2312" w:hAnsi="仿宋_GB2312" w:eastAsia="仿宋_GB2312" w:cs="仿宋_GB2312"/>
        </w:rPr>
      </w:pPr>
      <w:r>
        <w:rPr>
          <w:rFonts w:hint="eastAsia" w:ascii="仿宋_GB2312" w:hAnsi="仿宋_GB2312" w:eastAsia="仿宋_GB2312" w:cs="仿宋_GB2312"/>
          <w:lang w:val="en-US" w:eastAsia="zh-CN"/>
        </w:rPr>
        <w:t xml:space="preserve">3.除另有裁决外，仲裁费应由败诉方负担。 </w:t>
      </w:r>
    </w:p>
    <w:p w14:paraId="376A5DBD">
      <w:pPr>
        <w:pStyle w:val="9"/>
        <w:jc w:val="left"/>
      </w:pPr>
      <w:r>
        <w:rPr>
          <w:rFonts w:hint="eastAsia" w:ascii="仿宋_GB2312" w:hAnsi="仿宋_GB2312" w:eastAsia="仿宋_GB2312" w:cs="仿宋_GB2312"/>
          <w:lang w:val="en-US" w:eastAsia="zh-CN"/>
        </w:rPr>
        <w:t xml:space="preserve">4.在仲裁期间，除正在进行仲裁部分外，合同其他部分继续执行。 </w:t>
      </w:r>
      <w:r>
        <w:rPr>
          <w:rFonts w:ascii="仿宋_GB2312" w:hAnsi="仿宋_GB2312" w:eastAsia="仿宋_GB2312" w:cs="仿宋_GB2312"/>
        </w:rPr>
        <w:br w:type="textWrapping"/>
      </w:r>
    </w:p>
    <w:p w14:paraId="06245009">
      <w:pPr>
        <w:pStyle w:val="9"/>
        <w:jc w:val="left"/>
        <w:outlineLvl w:val="2"/>
      </w:pPr>
      <w:r>
        <w:rPr>
          <w:rFonts w:ascii="仿宋_GB2312" w:hAnsi="仿宋_GB2312" w:eastAsia="仿宋_GB2312" w:cs="仿宋_GB2312"/>
          <w:b/>
          <w:sz w:val="28"/>
        </w:rPr>
        <w:t xml:space="preserve"> 十一、合同生效及其他</w:t>
      </w:r>
    </w:p>
    <w:p w14:paraId="6AAF3983">
      <w:pPr>
        <w:pStyle w:val="9"/>
        <w:jc w:val="left"/>
      </w:pPr>
      <w:r>
        <w:rPr>
          <w:rFonts w:ascii="仿宋_GB2312" w:hAnsi="仿宋_GB2312" w:eastAsia="仿宋_GB2312" w:cs="仿宋_GB2312"/>
        </w:rPr>
        <w:t>1.合同经双方法定代表人（或主要负责人）或授权委托代理人签字并加盖公章后生效。</w:t>
      </w:r>
    </w:p>
    <w:p w14:paraId="03100CAD">
      <w:pPr>
        <w:pStyle w:val="9"/>
        <w:jc w:val="left"/>
      </w:pPr>
      <w:r>
        <w:rPr>
          <w:rFonts w:ascii="仿宋_GB2312" w:hAnsi="仿宋_GB2312" w:eastAsia="仿宋_GB2312" w:cs="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14:paraId="008BDF2C">
      <w:pPr>
        <w:pStyle w:val="9"/>
        <w:jc w:val="left"/>
      </w:pPr>
      <w:r>
        <w:rPr>
          <w:rFonts w:ascii="仿宋_GB2312" w:hAnsi="仿宋_GB2312" w:eastAsia="仿宋_GB2312" w:cs="仿宋_GB2312"/>
        </w:rPr>
        <w:t>3.本合同一式3份，自双方签章之日起生效。甲方持有1份，乙方持有1份，同级财政部门备案1份，具有同等法律效力。</w:t>
      </w:r>
    </w:p>
    <w:p w14:paraId="4BAE3746">
      <w:pPr>
        <w:pStyle w:val="9"/>
        <w:jc w:val="left"/>
      </w:pPr>
      <w:r>
        <w:br w:type="textWrapping"/>
      </w:r>
      <w:r>
        <w:br w:type="textWrapping"/>
      </w:r>
      <w:r>
        <w:br w:type="textWrapping"/>
      </w:r>
      <w:r>
        <w:br w:type="textWrapping"/>
      </w:r>
      <w:r>
        <w:br w:type="textWrapping"/>
      </w:r>
    </w:p>
    <w:p w14:paraId="7ED6CA0F">
      <w:pPr>
        <w:pStyle w:val="9"/>
        <w:jc w:val="left"/>
      </w:pPr>
      <w:r>
        <w:rPr>
          <w:rFonts w:ascii="仿宋_GB2312" w:hAnsi="仿宋_GB2312" w:eastAsia="仿宋_GB2312" w:cs="仿宋_GB2312"/>
        </w:rPr>
        <w:t xml:space="preserve"> 甲方： （盖章）</w:t>
      </w:r>
    </w:p>
    <w:p w14:paraId="60C65618">
      <w:pPr>
        <w:pStyle w:val="9"/>
        <w:jc w:val="left"/>
      </w:pPr>
      <w:r>
        <w:rPr>
          <w:rFonts w:ascii="仿宋_GB2312" w:hAnsi="仿宋_GB2312" w:eastAsia="仿宋_GB2312" w:cs="仿宋_GB2312"/>
        </w:rPr>
        <w:t xml:space="preserve"> 法定代表人或主要负责人（授权代表）：</w:t>
      </w:r>
    </w:p>
    <w:p w14:paraId="6947334B">
      <w:pPr>
        <w:pStyle w:val="9"/>
        <w:jc w:val="left"/>
      </w:pPr>
      <w:r>
        <w:rPr>
          <w:rFonts w:ascii="仿宋_GB2312" w:hAnsi="仿宋_GB2312" w:eastAsia="仿宋_GB2312" w:cs="仿宋_GB2312"/>
        </w:rPr>
        <w:t xml:space="preserve"> 地 址：</w:t>
      </w:r>
    </w:p>
    <w:p w14:paraId="59DFFAAD">
      <w:pPr>
        <w:pStyle w:val="9"/>
        <w:jc w:val="left"/>
      </w:pPr>
      <w:r>
        <w:rPr>
          <w:rFonts w:ascii="仿宋_GB2312" w:hAnsi="仿宋_GB2312" w:eastAsia="仿宋_GB2312" w:cs="仿宋_GB2312"/>
        </w:rPr>
        <w:t xml:space="preserve"> 开户银行：</w:t>
      </w:r>
    </w:p>
    <w:p w14:paraId="10C435EE">
      <w:pPr>
        <w:pStyle w:val="9"/>
        <w:jc w:val="left"/>
      </w:pPr>
      <w:r>
        <w:rPr>
          <w:rFonts w:ascii="仿宋_GB2312" w:hAnsi="仿宋_GB2312" w:eastAsia="仿宋_GB2312" w:cs="仿宋_GB2312"/>
        </w:rPr>
        <w:t xml:space="preserve"> 账号：</w:t>
      </w:r>
    </w:p>
    <w:p w14:paraId="0E8035B9">
      <w:pPr>
        <w:pStyle w:val="9"/>
        <w:jc w:val="left"/>
      </w:pPr>
      <w:r>
        <w:rPr>
          <w:rFonts w:ascii="仿宋_GB2312" w:hAnsi="仿宋_GB2312" w:eastAsia="仿宋_GB2312" w:cs="仿宋_GB2312"/>
        </w:rPr>
        <w:t xml:space="preserve"> 签订时间： 年 月 日</w:t>
      </w:r>
    </w:p>
    <w:p w14:paraId="4F5BFBBF">
      <w:pPr>
        <w:pStyle w:val="9"/>
        <w:jc w:val="left"/>
      </w:pPr>
      <w:r>
        <w:rPr>
          <w:rFonts w:ascii="仿宋_GB2312" w:hAnsi="仿宋_GB2312" w:eastAsia="仿宋_GB2312" w:cs="仿宋_GB2312"/>
        </w:rPr>
        <w:t xml:space="preserve"> 乙方：(盖章）</w:t>
      </w:r>
    </w:p>
    <w:p w14:paraId="1B4C0A36">
      <w:pPr>
        <w:pStyle w:val="9"/>
        <w:jc w:val="left"/>
      </w:pPr>
      <w:r>
        <w:rPr>
          <w:rFonts w:ascii="仿宋_GB2312" w:hAnsi="仿宋_GB2312" w:eastAsia="仿宋_GB2312" w:cs="仿宋_GB2312"/>
        </w:rPr>
        <w:t xml:space="preserve"> 法定代表人或主要负责人（授权代表）：</w:t>
      </w:r>
    </w:p>
    <w:p w14:paraId="0B3409C8">
      <w:pPr>
        <w:pStyle w:val="9"/>
        <w:jc w:val="left"/>
      </w:pPr>
      <w:r>
        <w:rPr>
          <w:rFonts w:ascii="仿宋_GB2312" w:hAnsi="仿宋_GB2312" w:eastAsia="仿宋_GB2312" w:cs="仿宋_GB2312"/>
        </w:rPr>
        <w:t xml:space="preserve"> 地 址：</w:t>
      </w:r>
    </w:p>
    <w:p w14:paraId="7EC904C6">
      <w:pPr>
        <w:pStyle w:val="9"/>
        <w:jc w:val="left"/>
      </w:pPr>
      <w:r>
        <w:rPr>
          <w:rFonts w:ascii="仿宋_GB2312" w:hAnsi="仿宋_GB2312" w:eastAsia="仿宋_GB2312" w:cs="仿宋_GB2312"/>
        </w:rPr>
        <w:t xml:space="preserve"> 开户银行：</w:t>
      </w:r>
    </w:p>
    <w:p w14:paraId="7B58357F">
      <w:pPr>
        <w:pStyle w:val="9"/>
        <w:jc w:val="left"/>
      </w:pPr>
      <w:r>
        <w:rPr>
          <w:rFonts w:ascii="仿宋_GB2312" w:hAnsi="仿宋_GB2312" w:eastAsia="仿宋_GB2312" w:cs="仿宋_GB2312"/>
        </w:rPr>
        <w:t xml:space="preserve"> 账号：</w:t>
      </w:r>
    </w:p>
    <w:p w14:paraId="21CF8B39">
      <w:pPr>
        <w:pStyle w:val="9"/>
        <w:jc w:val="left"/>
      </w:pPr>
      <w:r>
        <w:rPr>
          <w:rFonts w:ascii="仿宋_GB2312" w:hAnsi="仿宋_GB2312" w:eastAsia="仿宋_GB2312" w:cs="仿宋_GB2312"/>
        </w:rPr>
        <w:t xml:space="preserve"> 签订时间： 年 月 日</w:t>
      </w:r>
    </w:p>
    <w:p w14:paraId="2FF05532">
      <w:pPr>
        <w:pStyle w:val="9"/>
        <w:jc w:val="left"/>
      </w:pPr>
    </w:p>
    <w:p w14:paraId="316A82E8">
      <w:pPr>
        <w:pStyle w:val="9"/>
        <w:rPr>
          <w:rFonts w:hint="eastAsia"/>
          <w:lang w:val="en-US" w:eastAsia="zh-Hans"/>
        </w:rPr>
      </w:pPr>
    </w:p>
    <w:p w14:paraId="79B95BBB"/>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C6327C"/>
    <w:multiLevelType w:val="multilevel"/>
    <w:tmpl w:val="E1C6327C"/>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pStyle w:val="10"/>
      <w:suff w:val="nothing"/>
      <w:lvlText w:val="(%2)"/>
      <w:lvlJc w:val="left"/>
      <w:pPr>
        <w:ind w:left="0" w:firstLine="0"/>
      </w:pPr>
      <w:rPr>
        <w:rFonts w:hint="eastAsia" w:ascii="宋体" w:hAnsi="宋体" w:eastAsia="宋体" w:cs="宋体"/>
      </w:rPr>
    </w:lvl>
    <w:lvl w:ilvl="2" w:tentative="0">
      <w:start w:val="1"/>
      <w:numFmt w:val="decimal"/>
      <w:suff w:val="nothing"/>
      <w:lvlText w:val="%3."/>
      <w:lvlJc w:val="left"/>
      <w:pPr>
        <w:ind w:left="0" w:firstLine="0"/>
      </w:pPr>
      <w:rPr>
        <w:rFonts w:hint="eastAsia" w:ascii="宋体" w:hAnsi="宋体" w:eastAsia="宋体" w:cs="宋体"/>
      </w:rPr>
    </w:lvl>
    <w:lvl w:ilvl="3" w:tentative="0">
      <w:start w:val="1"/>
      <w:numFmt w:val="decimal"/>
      <w:suff w:val="nothing"/>
      <w:lvlText w:val="%3.%4"/>
      <w:lvlJc w:val="left"/>
      <w:pPr>
        <w:ind w:left="0" w:firstLine="0"/>
      </w:pPr>
      <w:rPr>
        <w:rFonts w:hint="eastAsia" w:ascii="宋体" w:hAnsi="宋体" w:eastAsia="宋体" w:cs="宋体"/>
      </w:rPr>
    </w:lvl>
    <w:lvl w:ilvl="4" w:tentative="0">
      <w:start w:val="1"/>
      <w:numFmt w:val="decimal"/>
      <w:suff w:val="nothing"/>
      <w:lvlText w:val="(%5)"/>
      <w:lvlJc w:val="left"/>
      <w:pPr>
        <w:ind w:left="0" w:firstLine="0"/>
      </w:pPr>
      <w:rPr>
        <w:rFonts w:hint="eastAsia" w:ascii="宋体" w:hAnsi="宋体" w:eastAsia="宋体" w:cs="宋体"/>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
    <w:nsid w:val="F6AFB587"/>
    <w:multiLevelType w:val="singleLevel"/>
    <w:tmpl w:val="F6AFB587"/>
    <w:lvl w:ilvl="0" w:tentative="0">
      <w:start w:val="2"/>
      <w:numFmt w:val="chineseCounting"/>
      <w:suff w:val="nothing"/>
      <w:lvlText w:val="%1、"/>
      <w:lvlJc w:val="left"/>
      <w:pPr>
        <w:ind w:left="140" w:leftChars="0" w:firstLine="0" w:firstLineChars="0"/>
      </w:pPr>
      <w:rPr>
        <w:rFonts w:hint="eastAsia"/>
      </w:rPr>
    </w:lvl>
  </w:abstractNum>
  <w:abstractNum w:abstractNumId="2">
    <w:nsid w:val="01429B6E"/>
    <w:multiLevelType w:val="singleLevel"/>
    <w:tmpl w:val="01429B6E"/>
    <w:lvl w:ilvl="0" w:tentative="0">
      <w:start w:val="1"/>
      <w:numFmt w:val="chineseCounting"/>
      <w:pStyle w:val="11"/>
      <w:suff w:val="nothing"/>
      <w:lvlText w:val="%1、"/>
      <w:lvlJc w:val="left"/>
      <w:pPr>
        <w:tabs>
          <w:tab w:val="left" w:pos="0"/>
        </w:tabs>
        <w:ind w:left="0" w:firstLine="0"/>
      </w:pPr>
      <w:rPr>
        <w:rFonts w:hint="eastAsia" w:ascii="宋体" w:hAnsi="宋体" w:eastAsia="宋体" w:cs="宋体"/>
      </w:rPr>
    </w:lvl>
  </w:abstractNum>
  <w:abstractNum w:abstractNumId="3">
    <w:nsid w:val="281B7C50"/>
    <w:multiLevelType w:val="singleLevel"/>
    <w:tmpl w:val="281B7C50"/>
    <w:lvl w:ilvl="0" w:tentative="0">
      <w:start w:val="4"/>
      <w:numFmt w:val="chineseCounting"/>
      <w:suff w:val="nothing"/>
      <w:lvlText w:val="%1、"/>
      <w:lvlJc w:val="left"/>
      <w:pPr>
        <w:ind w:left="140" w:leftChars="0" w:firstLine="0" w:firstLineChars="0"/>
      </w:pPr>
      <w:rPr>
        <w:rFonts w:hint="eastAsia"/>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4916B8"/>
    <w:rsid w:val="01C855F6"/>
    <w:rsid w:val="06D11321"/>
    <w:rsid w:val="22861A2A"/>
    <w:rsid w:val="31777570"/>
    <w:rsid w:val="34432ACD"/>
    <w:rsid w:val="3E4916B8"/>
    <w:rsid w:val="436E7C34"/>
    <w:rsid w:val="46F62555"/>
    <w:rsid w:val="4F8520D2"/>
    <w:rsid w:val="647D3D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2"/>
    <w:basedOn w:val="1"/>
    <w:next w:val="4"/>
    <w:qFormat/>
    <w:uiPriority w:val="0"/>
    <w:pPr>
      <w:tabs>
        <w:tab w:val="left" w:pos="0"/>
      </w:tabs>
      <w:spacing w:line="480" w:lineRule="atLeast"/>
    </w:pPr>
  </w:style>
  <w:style w:type="paragraph" w:customStyle="1" w:styleId="4">
    <w:name w:val="0正文"/>
    <w:qFormat/>
    <w:uiPriority w:val="0"/>
    <w:pPr>
      <w:spacing w:line="440" w:lineRule="exact"/>
      <w:ind w:firstLine="480" w:firstLineChars="200"/>
      <w:jc w:val="both"/>
    </w:pPr>
    <w:rPr>
      <w:rFonts w:ascii="Times New Roman" w:hAnsi="Times New Roman" w:eastAsia="宋体" w:cs="Times New Roman"/>
      <w:kern w:val="2"/>
      <w:sz w:val="24"/>
      <w:szCs w:val="24"/>
      <w:lang w:val="en-US" w:eastAsia="zh-CN" w:bidi="ar-SA"/>
    </w:rPr>
  </w:style>
  <w:style w:type="paragraph" w:styleId="5">
    <w:name w:val="Normal (Web)"/>
    <w:basedOn w:val="1"/>
    <w:qFormat/>
    <w:uiPriority w:val="0"/>
    <w:pPr>
      <w:spacing w:before="100" w:beforeAutospacing="1" w:after="100" w:afterAutospacing="1"/>
      <w:jc w:val="left"/>
    </w:pPr>
    <w:rPr>
      <w:kern w:val="0"/>
      <w:sz w:val="24"/>
    </w:rPr>
  </w:style>
  <w:style w:type="character" w:styleId="8">
    <w:name w:val="Strong"/>
    <w:basedOn w:val="7"/>
    <w:qFormat/>
    <w:uiPriority w:val="0"/>
    <w:rPr>
      <w:b/>
    </w:rPr>
  </w:style>
  <w:style w:type="paragraph" w:customStyle="1" w:styleId="9">
    <w:name w:val="null3"/>
    <w:hidden/>
    <w:qFormat/>
    <w:uiPriority w:val="0"/>
    <w:rPr>
      <w:rFonts w:hint="eastAsia" w:asciiTheme="minorHAnsi" w:hAnsiTheme="minorHAnsi" w:eastAsiaTheme="minorEastAsia" w:cstheme="minorBidi"/>
      <w:lang w:val="en-US" w:eastAsia="zh-Hans"/>
    </w:rPr>
  </w:style>
  <w:style w:type="paragraph" w:customStyle="1" w:styleId="10">
    <w:name w:val="05、“(一)”正文三级标题"/>
    <w:basedOn w:val="1"/>
    <w:autoRedefine/>
    <w:qFormat/>
    <w:uiPriority w:val="0"/>
    <w:pPr>
      <w:numPr>
        <w:ilvl w:val="1"/>
        <w:numId w:val="1"/>
      </w:numPr>
      <w:tabs>
        <w:tab w:val="left" w:pos="0"/>
      </w:tabs>
      <w:wordWrap w:val="0"/>
      <w:topLinePunct/>
      <w:ind w:firstLine="803" w:firstLineChars="200"/>
    </w:pPr>
  </w:style>
  <w:style w:type="paragraph" w:customStyle="1" w:styleId="11">
    <w:name w:val="21、合同二级标题序号"/>
    <w:basedOn w:val="12"/>
    <w:autoRedefine/>
    <w:qFormat/>
    <w:uiPriority w:val="0"/>
    <w:pPr>
      <w:numPr>
        <w:ilvl w:val="0"/>
        <w:numId w:val="2"/>
      </w:numPr>
      <w:ind w:firstLine="803" w:firstLineChars="200"/>
      <w:outlineLvl w:val="1"/>
    </w:pPr>
    <w:rPr>
      <w:b/>
    </w:rPr>
  </w:style>
  <w:style w:type="paragraph" w:customStyle="1" w:styleId="12">
    <w:name w:val="01、普通正文"/>
    <w:basedOn w:val="1"/>
    <w:autoRedefine/>
    <w:qFormat/>
    <w:uiPriority w:val="0"/>
    <w:pPr>
      <w:tabs>
        <w:tab w:val="left" w:pos="0"/>
      </w:tabs>
      <w:wordWrap w:val="0"/>
      <w:topLinePunct/>
    </w:pPr>
    <w:rPr>
      <w:snapToGrid w:val="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5539</Words>
  <Characters>5865</Characters>
  <Lines>0</Lines>
  <Paragraphs>0</Paragraphs>
  <TotalTime>7</TotalTime>
  <ScaleCrop>false</ScaleCrop>
  <LinksUpToDate>false</LinksUpToDate>
  <CharactersWithSpaces>5955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2025-08-11T03:11:00Z</dcterms:created>
  <dc:creator>一只鱼</dc:creator>
  <cp:lastModifiedBy>顽皮菟</cp:lastModifiedBy>
  <dcterms:modified xsi:type="dcterms:W3CDTF">2026-05-08T08:24:16Z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0A78E13ABF00434FA88E79C10B7A4251_11</vt:lpwstr>
  </property>
  <property fmtid="{D5CDD505-2E9C-101B-9397-08002B2CF9AE}" pid="4" name="KSOTemplateDocerSaveRecord">
    <vt:lpwstr>eyJoZGlkIjoiOGU2YjRlNTdlOTRlYzAzNmJlYzY2YzcxYjJiMzJkZDEiLCJ1c2VySWQiOiI5NDQwODAzODAifQ==</vt:lpwstr>
  </property>
</Properties>
</file>