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C99E9">
      <w:pPr>
        <w:pStyle w:val="31"/>
        <w:spacing w:line="360" w:lineRule="auto"/>
        <w:jc w:val="center"/>
        <w:rPr>
          <w:rFonts w:hint="eastAsia" w:ascii="仿宋" w:hAnsi="仿宋" w:eastAsia="仿宋" w:cs="仿宋"/>
          <w:b/>
          <w:color w:val="auto"/>
          <w:sz w:val="24"/>
          <w:szCs w:val="24"/>
        </w:rPr>
      </w:pPr>
    </w:p>
    <w:p w14:paraId="440BEB26">
      <w:pPr>
        <w:pStyle w:val="31"/>
        <w:spacing w:line="360" w:lineRule="auto"/>
        <w:jc w:val="both"/>
        <w:rPr>
          <w:rFonts w:hint="eastAsia" w:ascii="仿宋" w:hAnsi="仿宋" w:eastAsia="仿宋" w:cs="仿宋"/>
          <w:b/>
          <w:color w:val="auto"/>
          <w:sz w:val="24"/>
          <w:szCs w:val="24"/>
        </w:rPr>
      </w:pPr>
    </w:p>
    <w:p w14:paraId="79EF8BDE">
      <w:pPr>
        <w:snapToGri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巴州若羌县水域岸线保护与利用规划编制项目</w:t>
      </w:r>
    </w:p>
    <w:p w14:paraId="1DC60AB2">
      <w:pPr>
        <w:jc w:val="center"/>
        <w:rPr>
          <w:rFonts w:hint="eastAsia" w:ascii="仿宋" w:hAnsi="仿宋" w:eastAsia="仿宋" w:cs="仿宋"/>
          <w:b/>
          <w:bCs/>
          <w:sz w:val="28"/>
          <w:szCs w:val="28"/>
        </w:rPr>
      </w:pPr>
    </w:p>
    <w:p w14:paraId="558D26D1">
      <w:pPr>
        <w:jc w:val="center"/>
        <w:rPr>
          <w:rFonts w:hint="eastAsia" w:ascii="仿宋" w:hAnsi="仿宋" w:eastAsia="仿宋" w:cs="仿宋"/>
          <w:b/>
          <w:bCs/>
          <w:sz w:val="28"/>
          <w:szCs w:val="28"/>
        </w:rPr>
      </w:pPr>
    </w:p>
    <w:p w14:paraId="77CB4E0D">
      <w:pPr>
        <w:jc w:val="center"/>
        <w:rPr>
          <w:rFonts w:hint="default" w:ascii="仿宋" w:hAnsi="仿宋" w:eastAsia="仿宋" w:cs="仿宋"/>
          <w:b/>
          <w:bCs/>
          <w:sz w:val="28"/>
          <w:szCs w:val="28"/>
          <w:highlight w:val="yellow"/>
          <w:lang w:val="en-US" w:eastAsia="zh-CN"/>
        </w:rPr>
      </w:pPr>
      <w:r>
        <w:rPr>
          <w:rFonts w:hint="eastAsia" w:ascii="仿宋" w:hAnsi="仿宋" w:eastAsia="仿宋" w:cs="仿宋"/>
          <w:b/>
          <w:bCs/>
          <w:sz w:val="28"/>
          <w:szCs w:val="28"/>
        </w:rPr>
        <w:t>项目编号：</w:t>
      </w:r>
      <w:r>
        <w:rPr>
          <w:rFonts w:hint="eastAsia" w:ascii="仿宋" w:hAnsi="仿宋" w:eastAsia="仿宋" w:cs="仿宋"/>
          <w:b/>
          <w:bCs/>
          <w:sz w:val="28"/>
          <w:szCs w:val="28"/>
          <w:highlight w:val="none"/>
          <w:lang w:eastAsia="zh-CN"/>
        </w:rPr>
        <w:t>ZHSSZC(JC）2026-022</w:t>
      </w:r>
    </w:p>
    <w:p w14:paraId="0CA22F02">
      <w:pPr>
        <w:snapToGrid w:val="0"/>
        <w:spacing w:line="360" w:lineRule="auto"/>
        <w:jc w:val="center"/>
        <w:rPr>
          <w:rFonts w:hint="eastAsia" w:ascii="仿宋" w:hAnsi="仿宋" w:eastAsia="仿宋" w:cs="仿宋"/>
          <w:b/>
          <w:sz w:val="28"/>
          <w:szCs w:val="28"/>
        </w:rPr>
      </w:pPr>
    </w:p>
    <w:p w14:paraId="5A5D7325">
      <w:pPr>
        <w:snapToGrid w:val="0"/>
        <w:spacing w:line="360" w:lineRule="auto"/>
        <w:jc w:val="center"/>
        <w:rPr>
          <w:rFonts w:hint="eastAsia" w:ascii="仿宋" w:hAnsi="仿宋" w:eastAsia="仿宋" w:cs="仿宋"/>
          <w:b/>
          <w:sz w:val="28"/>
          <w:szCs w:val="28"/>
        </w:rPr>
      </w:pPr>
    </w:p>
    <w:p w14:paraId="3DD11DF3">
      <w:pPr>
        <w:pStyle w:val="7"/>
        <w:rPr>
          <w:rFonts w:hint="eastAsia" w:ascii="仿宋" w:hAnsi="仿宋" w:eastAsia="仿宋" w:cs="仿宋"/>
          <w:b/>
          <w:sz w:val="28"/>
          <w:szCs w:val="28"/>
        </w:rPr>
      </w:pPr>
    </w:p>
    <w:p w14:paraId="522FA3F3">
      <w:pPr>
        <w:pStyle w:val="7"/>
        <w:rPr>
          <w:rFonts w:hint="eastAsia" w:ascii="仿宋" w:hAnsi="仿宋" w:eastAsia="仿宋" w:cs="仿宋"/>
          <w:b/>
          <w:sz w:val="28"/>
          <w:szCs w:val="28"/>
        </w:rPr>
      </w:pPr>
    </w:p>
    <w:p w14:paraId="34C23E63">
      <w:pPr>
        <w:snapToGrid w:val="0"/>
        <w:spacing w:line="360" w:lineRule="auto"/>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竞争性磋商文件</w:t>
      </w:r>
    </w:p>
    <w:p w14:paraId="57730EE7">
      <w:pPr>
        <w:snapToGrid w:val="0"/>
        <w:spacing w:line="360" w:lineRule="auto"/>
        <w:rPr>
          <w:rFonts w:hint="eastAsia" w:ascii="仿宋" w:hAnsi="仿宋" w:eastAsia="仿宋" w:cs="仿宋"/>
          <w:b/>
          <w:sz w:val="28"/>
          <w:szCs w:val="28"/>
        </w:rPr>
      </w:pPr>
    </w:p>
    <w:p w14:paraId="1919EFA9">
      <w:pPr>
        <w:pStyle w:val="7"/>
        <w:rPr>
          <w:rFonts w:hint="eastAsia" w:ascii="仿宋" w:hAnsi="仿宋" w:eastAsia="仿宋" w:cs="仿宋"/>
          <w:sz w:val="28"/>
          <w:szCs w:val="28"/>
        </w:rPr>
      </w:pPr>
    </w:p>
    <w:p w14:paraId="78945B2A">
      <w:pPr>
        <w:pStyle w:val="7"/>
        <w:rPr>
          <w:rFonts w:hint="eastAsia" w:ascii="仿宋" w:hAnsi="仿宋" w:eastAsia="仿宋" w:cs="仿宋"/>
          <w:sz w:val="28"/>
          <w:szCs w:val="28"/>
        </w:rPr>
      </w:pPr>
    </w:p>
    <w:p w14:paraId="21BB87C8">
      <w:pPr>
        <w:pStyle w:val="12"/>
        <w:rPr>
          <w:rFonts w:hint="eastAsia" w:ascii="仿宋" w:hAnsi="仿宋" w:eastAsia="仿宋" w:cs="仿宋"/>
          <w:sz w:val="28"/>
          <w:szCs w:val="28"/>
        </w:rPr>
      </w:pPr>
    </w:p>
    <w:p w14:paraId="417402E5">
      <w:pPr>
        <w:pStyle w:val="7"/>
        <w:rPr>
          <w:rFonts w:hint="eastAsia" w:ascii="仿宋" w:hAnsi="仿宋" w:eastAsia="仿宋" w:cs="仿宋"/>
          <w:sz w:val="28"/>
          <w:szCs w:val="28"/>
        </w:rPr>
      </w:pPr>
    </w:p>
    <w:p w14:paraId="4AE0E020">
      <w:pPr>
        <w:rPr>
          <w:rFonts w:hint="eastAsia" w:ascii="仿宋" w:hAnsi="仿宋" w:eastAsia="仿宋" w:cs="仿宋"/>
          <w:sz w:val="28"/>
          <w:szCs w:val="28"/>
        </w:rPr>
      </w:pPr>
    </w:p>
    <w:p w14:paraId="30A7078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采购单位：</w:t>
      </w:r>
      <w:r>
        <w:rPr>
          <w:rFonts w:hint="eastAsia" w:ascii="仿宋" w:hAnsi="仿宋" w:eastAsia="仿宋" w:cs="仿宋"/>
          <w:sz w:val="28"/>
          <w:szCs w:val="28"/>
          <w:lang w:eastAsia="zh-CN"/>
        </w:rPr>
        <w:t>若羌县水利局</w:t>
      </w:r>
    </w:p>
    <w:p w14:paraId="68AD2EA5">
      <w:pPr>
        <w:spacing w:beforeLines="50" w:afterLines="50"/>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采购代理机构：</w:t>
      </w:r>
      <w:r>
        <w:rPr>
          <w:rFonts w:hint="eastAsia" w:ascii="仿宋" w:hAnsi="仿宋" w:eastAsia="仿宋" w:cs="仿宋"/>
          <w:sz w:val="28"/>
          <w:szCs w:val="28"/>
          <w:lang w:eastAsia="zh-CN"/>
        </w:rPr>
        <w:t>新疆众禾顺晟工程管理咨询有限公司</w:t>
      </w:r>
    </w:p>
    <w:p w14:paraId="0F520BBE">
      <w:pPr>
        <w:pStyle w:val="7"/>
        <w:rPr>
          <w:rFonts w:hint="eastAsia" w:ascii="仿宋" w:hAnsi="仿宋" w:eastAsia="仿宋" w:cs="仿宋"/>
          <w:sz w:val="28"/>
          <w:szCs w:val="28"/>
        </w:rPr>
      </w:pPr>
    </w:p>
    <w:p w14:paraId="655E4304">
      <w:pPr>
        <w:jc w:val="center"/>
        <w:rPr>
          <w:rFonts w:hint="eastAsia"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p>
    <w:p w14:paraId="29669895">
      <w:pPr>
        <w:kinsoku w:val="0"/>
        <w:autoSpaceDE w:val="0"/>
        <w:autoSpaceDN w:val="0"/>
        <w:spacing w:line="360" w:lineRule="auto"/>
        <w:ind w:firstLine="420"/>
        <w:jc w:val="center"/>
        <w:rPr>
          <w:rFonts w:hint="eastAsia" w:ascii="仿宋" w:hAnsi="仿宋" w:eastAsia="仿宋" w:cs="仿宋"/>
          <w:b/>
          <w:color w:val="auto"/>
          <w:sz w:val="24"/>
          <w:szCs w:val="24"/>
          <w:highlight w:val="none"/>
          <w:lang w:eastAsia="zh-CN"/>
        </w:rPr>
        <w:sectPr>
          <w:headerReference r:id="rId4" w:type="first"/>
          <w:footerReference r:id="rId5" w:type="first"/>
          <w:headerReference r:id="rId3" w:type="default"/>
          <w:pgSz w:w="11906" w:h="16838"/>
          <w:pgMar w:top="1418" w:right="1106" w:bottom="1418" w:left="1418" w:header="737" w:footer="992" w:gutter="0"/>
          <w:pgNumType w:fmt="decimal" w:start="1"/>
          <w:cols w:space="720" w:num="1"/>
          <w:docGrid w:type="lines" w:linePitch="312" w:charSpace="0"/>
        </w:sectPr>
      </w:pPr>
    </w:p>
    <w:p w14:paraId="158B25A8">
      <w:pPr>
        <w:pStyle w:val="7"/>
        <w:rPr>
          <w:rFonts w:hint="eastAsia" w:ascii="仿宋" w:hAnsi="仿宋" w:eastAsia="仿宋" w:cs="仿宋"/>
          <w:sz w:val="24"/>
          <w:szCs w:val="24"/>
        </w:rPr>
        <w:sectPr>
          <w:headerReference r:id="rId7" w:type="first"/>
          <w:headerReference r:id="rId6" w:type="default"/>
          <w:footerReference r:id="rId8" w:type="default"/>
          <w:footerReference r:id="rId9" w:type="even"/>
          <w:pgSz w:w="11906" w:h="16838"/>
          <w:pgMar w:top="1304" w:right="1644" w:bottom="1304" w:left="1418" w:header="680" w:footer="765" w:gutter="0"/>
          <w:cols w:space="720" w:num="1"/>
          <w:docGrid w:type="lines" w:linePitch="312" w:charSpace="0"/>
        </w:sectPr>
      </w:pPr>
    </w:p>
    <w:p w14:paraId="73DAE125">
      <w:pPr>
        <w:spacing w:beforeLines="50" w:afterLines="50" w:line="360" w:lineRule="auto"/>
        <w:jc w:val="center"/>
        <w:outlineLvl w:val="0"/>
        <w:rPr>
          <w:rFonts w:hint="eastAsia" w:ascii="仿宋" w:hAnsi="仿宋" w:eastAsia="仿宋" w:cs="仿宋"/>
          <w:b/>
          <w:sz w:val="24"/>
          <w:szCs w:val="24"/>
        </w:rPr>
      </w:pPr>
      <w:r>
        <w:rPr>
          <w:rFonts w:hint="eastAsia" w:ascii="仿宋" w:hAnsi="仿宋" w:eastAsia="仿宋" w:cs="仿宋"/>
          <w:b/>
          <w:sz w:val="24"/>
          <w:szCs w:val="24"/>
        </w:rPr>
        <w:t>目    录</w:t>
      </w:r>
    </w:p>
    <w:p w14:paraId="2E68A2A2">
      <w:pPr>
        <w:pStyle w:val="31"/>
        <w:spacing w:line="360" w:lineRule="auto"/>
        <w:ind w:firstLine="270" w:firstLineChars="112"/>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招标公告</w:t>
      </w:r>
    </w:p>
    <w:p w14:paraId="4C7A08A0">
      <w:pPr>
        <w:pStyle w:val="31"/>
        <w:spacing w:line="360" w:lineRule="auto"/>
        <w:ind w:firstLine="748" w:firstLineChars="312"/>
        <w:rPr>
          <w:rFonts w:hint="eastAsia" w:ascii="仿宋" w:hAnsi="仿宋" w:eastAsia="仿宋" w:cs="仿宋"/>
          <w:b/>
          <w:bCs/>
          <w:color w:val="auto"/>
          <w:sz w:val="24"/>
          <w:szCs w:val="24"/>
        </w:rPr>
      </w:pPr>
      <w:r>
        <w:rPr>
          <w:rFonts w:hint="eastAsia" w:ascii="仿宋" w:hAnsi="仿宋" w:eastAsia="仿宋" w:cs="仿宋"/>
          <w:color w:val="auto"/>
          <w:sz w:val="24"/>
          <w:szCs w:val="24"/>
        </w:rPr>
        <w:t>招标公告</w:t>
      </w:r>
    </w:p>
    <w:p w14:paraId="5A70CD81">
      <w:pPr>
        <w:pStyle w:val="31"/>
        <w:spacing w:line="360" w:lineRule="auto"/>
        <w:ind w:firstLine="270" w:firstLineChars="112"/>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第二部分 投标须知</w:t>
      </w:r>
    </w:p>
    <w:p w14:paraId="54435528">
      <w:pPr>
        <w:pStyle w:val="31"/>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投标须知</w:t>
      </w:r>
    </w:p>
    <w:p w14:paraId="5DBB36BA">
      <w:pPr>
        <w:pStyle w:val="31"/>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第三部分 服务需求及技术要求</w:t>
      </w:r>
    </w:p>
    <w:p w14:paraId="3FCCB942">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第一章 服务需求及技术要求</w:t>
      </w:r>
    </w:p>
    <w:p w14:paraId="0EFDB180">
      <w:pPr>
        <w:pStyle w:val="31"/>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第四部分 招标说明</w:t>
      </w:r>
    </w:p>
    <w:p w14:paraId="36CAD118">
      <w:pPr>
        <w:pStyle w:val="31"/>
        <w:spacing w:line="360" w:lineRule="auto"/>
        <w:ind w:firstLine="241" w:firstLineChars="100"/>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第五部分 投标说明</w:t>
      </w:r>
    </w:p>
    <w:p w14:paraId="063F114E">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第一章 对投标方的资质要求</w:t>
      </w:r>
    </w:p>
    <w:p w14:paraId="6757050F">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第二章 投标文件的编写</w:t>
      </w:r>
    </w:p>
    <w:p w14:paraId="34DD3BA9">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第三章 投标文件的递交</w:t>
      </w:r>
    </w:p>
    <w:p w14:paraId="440BF429">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第四章 评标委员会</w:t>
      </w:r>
    </w:p>
    <w:p w14:paraId="4360547A">
      <w:pPr>
        <w:pStyle w:val="31"/>
        <w:spacing w:line="360" w:lineRule="auto"/>
        <w:ind w:firstLine="241" w:firstLineChars="100"/>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第六部分 开标 评标 定标说明</w:t>
      </w:r>
    </w:p>
    <w:p w14:paraId="71EC58EF">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第一章 开　标</w:t>
      </w:r>
    </w:p>
    <w:p w14:paraId="7EBA5E46">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第二章 评　标</w:t>
      </w:r>
    </w:p>
    <w:p w14:paraId="6D77B500">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第三章 定　标</w:t>
      </w:r>
    </w:p>
    <w:p w14:paraId="5F6AC12C">
      <w:pPr>
        <w:spacing w:line="360" w:lineRule="auto"/>
        <w:ind w:firstLine="720" w:firstLineChars="300"/>
        <w:outlineLvl w:val="1"/>
        <w:rPr>
          <w:rFonts w:hint="eastAsia" w:ascii="仿宋" w:hAnsi="仿宋" w:eastAsia="仿宋" w:cs="仿宋"/>
          <w:bCs/>
          <w:sz w:val="24"/>
          <w:szCs w:val="24"/>
        </w:rPr>
      </w:pPr>
      <w:r>
        <w:rPr>
          <w:rFonts w:hint="eastAsia" w:ascii="仿宋" w:hAnsi="仿宋" w:eastAsia="仿宋" w:cs="仿宋"/>
          <w:bCs/>
          <w:sz w:val="24"/>
          <w:szCs w:val="24"/>
        </w:rPr>
        <w:t>第四章 授予合同</w:t>
      </w:r>
    </w:p>
    <w:p w14:paraId="00237DC0">
      <w:pPr>
        <w:pStyle w:val="31"/>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第七部分 商务部分</w:t>
      </w:r>
    </w:p>
    <w:p w14:paraId="0EA6EB97">
      <w:pPr>
        <w:pStyle w:val="31"/>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第一章 合同一般条款 </w:t>
      </w:r>
    </w:p>
    <w:p w14:paraId="2971D687">
      <w:pPr>
        <w:pStyle w:val="31"/>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第二章 付款币种及方式 </w:t>
      </w:r>
    </w:p>
    <w:p w14:paraId="5B0705D1">
      <w:pPr>
        <w:pStyle w:val="31"/>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第三章 服务承诺 </w:t>
      </w:r>
    </w:p>
    <w:p w14:paraId="5E75D98F">
      <w:pPr>
        <w:pStyle w:val="31"/>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第八部分  投标文件的编制装订</w:t>
      </w:r>
    </w:p>
    <w:p w14:paraId="2F49F88A">
      <w:pPr>
        <w:pStyle w:val="31"/>
        <w:spacing w:line="360" w:lineRule="auto"/>
        <w:ind w:firstLine="720" w:firstLineChars="300"/>
        <w:outlineLvl w:val="1"/>
        <w:rPr>
          <w:rFonts w:hint="eastAsia" w:ascii="仿宋" w:hAnsi="仿宋" w:eastAsia="仿宋" w:cs="仿宋"/>
          <w:color w:val="auto"/>
          <w:sz w:val="24"/>
          <w:szCs w:val="24"/>
        </w:rPr>
      </w:pPr>
      <w:r>
        <w:rPr>
          <w:rFonts w:hint="eastAsia" w:ascii="仿宋" w:hAnsi="仿宋" w:eastAsia="仿宋" w:cs="仿宋"/>
          <w:color w:val="auto"/>
          <w:sz w:val="24"/>
          <w:szCs w:val="24"/>
        </w:rPr>
        <w:t>一、投标文件编制和装订顺序</w:t>
      </w:r>
    </w:p>
    <w:p w14:paraId="40BABC1D">
      <w:pPr>
        <w:pStyle w:val="31"/>
        <w:spacing w:line="360" w:lineRule="auto"/>
        <w:ind w:firstLine="720" w:firstLineChars="3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二、投标报价文件顺序及格式范本 </w:t>
      </w:r>
    </w:p>
    <w:p w14:paraId="2BC5C0D8">
      <w:pPr>
        <w:pStyle w:val="31"/>
        <w:spacing w:line="360" w:lineRule="auto"/>
        <w:ind w:firstLine="720" w:firstLineChars="300"/>
        <w:rPr>
          <w:rFonts w:hint="eastAsia" w:ascii="仿宋" w:hAnsi="仿宋" w:eastAsia="仿宋" w:cs="仿宋"/>
          <w:color w:val="auto"/>
          <w:sz w:val="24"/>
          <w:szCs w:val="24"/>
        </w:rPr>
      </w:pPr>
    </w:p>
    <w:p w14:paraId="7E5A124A">
      <w:pPr>
        <w:pStyle w:val="31"/>
        <w:spacing w:line="360" w:lineRule="auto"/>
        <w:rPr>
          <w:rFonts w:hint="eastAsia" w:ascii="仿宋" w:hAnsi="仿宋" w:eastAsia="仿宋" w:cs="仿宋"/>
          <w:color w:val="auto"/>
          <w:sz w:val="24"/>
          <w:szCs w:val="24"/>
        </w:rPr>
      </w:pPr>
    </w:p>
    <w:p w14:paraId="1A4DB10A">
      <w:pPr>
        <w:pStyle w:val="31"/>
        <w:spacing w:line="360" w:lineRule="auto"/>
        <w:ind w:firstLine="723" w:firstLineChars="300"/>
        <w:jc w:val="center"/>
        <w:outlineLvl w:val="0"/>
        <w:rPr>
          <w:rFonts w:hint="eastAsia" w:ascii="仿宋" w:hAnsi="仿宋" w:eastAsia="仿宋" w:cs="仿宋"/>
          <w:b/>
          <w:color w:val="auto"/>
          <w:sz w:val="24"/>
          <w:szCs w:val="24"/>
        </w:rPr>
        <w:sectPr>
          <w:footerReference r:id="rId10" w:type="default"/>
          <w:pgSz w:w="11906" w:h="16838"/>
          <w:pgMar w:top="1440" w:right="1800" w:bottom="1440" w:left="1800" w:header="907" w:footer="992" w:gutter="0"/>
          <w:pgNumType w:start="1"/>
          <w:cols w:space="720" w:num="1"/>
          <w:docGrid w:type="lines" w:linePitch="312" w:charSpace="0"/>
        </w:sectPr>
      </w:pPr>
    </w:p>
    <w:p w14:paraId="6424031F">
      <w:pPr>
        <w:pStyle w:val="31"/>
        <w:spacing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第一部分 招标公告</w:t>
      </w:r>
    </w:p>
    <w:tbl>
      <w:tblPr>
        <w:tblStyle w:val="53"/>
        <w:tblW w:w="91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7564C9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99" w:hRule="atLeast"/>
        </w:trPr>
        <w:tc>
          <w:tcPr>
            <w:tcW w:w="9140" w:type="dxa"/>
            <w:vAlign w:val="top"/>
          </w:tcPr>
          <w:p w14:paraId="53D60DF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3AF4E749">
            <w:pPr>
              <w:spacing w:line="360" w:lineRule="auto"/>
              <w:ind w:firstLine="306" w:firstLineChars="125"/>
              <w:rPr>
                <w:rFonts w:ascii="宋体" w:hAnsi="宋体" w:eastAsia="宋体" w:cs="宋体"/>
                <w:sz w:val="23"/>
                <w:szCs w:val="23"/>
              </w:rPr>
            </w:pPr>
            <w:r>
              <w:rPr>
                <w:rFonts w:hint="eastAsia" w:ascii="仿宋" w:hAnsi="仿宋" w:eastAsia="仿宋" w:cs="仿宋"/>
                <w:sz w:val="24"/>
                <w:szCs w:val="24"/>
                <w:lang w:eastAsia="zh-CN"/>
              </w:rPr>
              <w:t>巴州若羌县水域岸线保护与利用规划编制项目</w:t>
            </w:r>
            <w:r>
              <w:rPr>
                <w:rFonts w:hint="eastAsia" w:ascii="仿宋" w:hAnsi="仿宋" w:eastAsia="仿宋" w:cs="仿宋"/>
                <w:sz w:val="24"/>
                <w:szCs w:val="24"/>
              </w:rPr>
              <w:t>的潜在供应商应在政采云平台线上获取采购文件，并于</w:t>
            </w:r>
            <w:r>
              <w:rPr>
                <w:rFonts w:hint="eastAsia" w:ascii="仿宋" w:hAnsi="仿宋" w:eastAsia="仿宋" w:cs="仿宋"/>
                <w:color w:val="0000FF"/>
                <w:sz w:val="24"/>
                <w:szCs w:val="24"/>
                <w:lang w:eastAsia="zh-CN"/>
              </w:rPr>
              <w:t>2026年6月5日16：30分</w:t>
            </w:r>
            <w:r>
              <w:rPr>
                <w:rFonts w:hint="eastAsia" w:ascii="仿宋" w:hAnsi="仿宋" w:eastAsia="仿宋" w:cs="仿宋"/>
                <w:sz w:val="24"/>
                <w:szCs w:val="24"/>
              </w:rPr>
              <w:t>（北京时间）前递交响应文件。</w:t>
            </w:r>
          </w:p>
        </w:tc>
      </w:tr>
    </w:tbl>
    <w:p w14:paraId="02ECF259">
      <w:pPr>
        <w:spacing w:line="360" w:lineRule="auto"/>
        <w:ind w:firstLine="306" w:firstLineChars="125"/>
        <w:rPr>
          <w:rFonts w:hint="eastAsia" w:ascii="仿宋" w:hAnsi="仿宋" w:eastAsia="仿宋" w:cs="仿宋"/>
          <w:sz w:val="24"/>
          <w:szCs w:val="24"/>
        </w:rPr>
      </w:pPr>
      <w:r>
        <w:rPr>
          <w:rFonts w:hint="eastAsia" w:ascii="仿宋" w:hAnsi="仿宋" w:eastAsia="仿宋" w:cs="仿宋"/>
          <w:b/>
          <w:bCs/>
          <w:sz w:val="24"/>
          <w:szCs w:val="24"/>
        </w:rPr>
        <w:t>一、项目基本情况</w:t>
      </w:r>
    </w:p>
    <w:p w14:paraId="18574C74">
      <w:pPr>
        <w:spacing w:line="360" w:lineRule="auto"/>
        <w:ind w:left="0" w:leftChars="0" w:firstLine="301" w:firstLineChars="123"/>
        <w:rPr>
          <w:rFonts w:hint="default" w:ascii="仿宋" w:hAnsi="仿宋" w:eastAsia="仿宋" w:cs="仿宋"/>
          <w:sz w:val="24"/>
          <w:szCs w:val="24"/>
          <w:lang w:val="en-US" w:eastAsia="zh-CN"/>
        </w:rPr>
      </w:pPr>
      <w:r>
        <w:rPr>
          <w:rFonts w:hint="eastAsia" w:ascii="仿宋" w:hAnsi="仿宋" w:eastAsia="仿宋" w:cs="仿宋"/>
          <w:sz w:val="24"/>
          <w:szCs w:val="24"/>
        </w:rPr>
        <w:t> 项目编号：</w:t>
      </w:r>
      <w:r>
        <w:rPr>
          <w:rFonts w:hint="eastAsia" w:ascii="仿宋" w:hAnsi="仿宋" w:eastAsia="仿宋" w:cs="仿宋"/>
          <w:sz w:val="24"/>
          <w:szCs w:val="24"/>
          <w:lang w:eastAsia="zh-CN"/>
        </w:rPr>
        <w:t>ZHSSZC(JC）2026-022</w:t>
      </w:r>
    </w:p>
    <w:p w14:paraId="7392F831">
      <w:pPr>
        <w:spacing w:line="360" w:lineRule="auto"/>
        <w:ind w:left="0" w:leftChars="0" w:firstLine="301" w:firstLineChars="123"/>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巴州若羌县水域岸线保护与利用规划编制项目</w:t>
      </w:r>
      <w:r>
        <w:rPr>
          <w:rFonts w:hint="eastAsia" w:ascii="仿宋" w:hAnsi="仿宋" w:eastAsia="仿宋" w:cs="仿宋"/>
          <w:sz w:val="24"/>
          <w:szCs w:val="24"/>
        </w:rPr>
        <w:t xml:space="preserve">  </w:t>
      </w:r>
    </w:p>
    <w:p w14:paraId="6E8C01DF">
      <w:pPr>
        <w:spacing w:line="360" w:lineRule="auto"/>
        <w:ind w:left="0" w:leftChars="0" w:firstLine="301" w:firstLineChars="123"/>
        <w:rPr>
          <w:rFonts w:hint="eastAsia" w:ascii="仿宋" w:hAnsi="仿宋" w:eastAsia="仿宋" w:cs="仿宋"/>
          <w:sz w:val="24"/>
          <w:szCs w:val="24"/>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80万元</w:t>
      </w:r>
      <w:r>
        <w:rPr>
          <w:rFonts w:hint="eastAsia" w:ascii="仿宋" w:hAnsi="仿宋" w:eastAsia="仿宋" w:cs="仿宋"/>
          <w:sz w:val="24"/>
          <w:szCs w:val="24"/>
        </w:rPr>
        <w:t> </w:t>
      </w:r>
    </w:p>
    <w:p w14:paraId="20F171EB">
      <w:pPr>
        <w:spacing w:line="360" w:lineRule="auto"/>
        <w:ind w:left="0" w:leftChars="0" w:firstLine="301" w:firstLineChars="123"/>
        <w:rPr>
          <w:rFonts w:hint="eastAsia" w:ascii="仿宋" w:hAnsi="仿宋" w:eastAsia="仿宋" w:cs="仿宋"/>
          <w:sz w:val="24"/>
          <w:szCs w:val="24"/>
          <w:lang w:eastAsia="zh-CN"/>
        </w:rPr>
      </w:pPr>
      <w:r>
        <w:rPr>
          <w:rFonts w:hint="eastAsia" w:ascii="仿宋" w:hAnsi="仿宋" w:eastAsia="仿宋" w:cs="仿宋"/>
          <w:sz w:val="24"/>
          <w:szCs w:val="24"/>
        </w:rPr>
        <w:t>简要规格描述：</w:t>
      </w:r>
      <w:r>
        <w:rPr>
          <w:rFonts w:hint="eastAsia" w:ascii="仿宋" w:hAnsi="仿宋" w:eastAsia="仿宋" w:cs="仿宋"/>
          <w:sz w:val="24"/>
          <w:szCs w:val="24"/>
          <w:lang w:eastAsia="zh-CN"/>
        </w:rPr>
        <w:t>开展若羌县库力萨伊河、塔特勒克布拉克河、土格曼塔什萨依河、阿克奇艾肯河、库如克萨伊河、古尔嘎赫德河、阿特阿提坎河、玉苏普阿里克河岸线保护与利用规划编制。</w:t>
      </w:r>
    </w:p>
    <w:p w14:paraId="4D465508">
      <w:pPr>
        <w:spacing w:line="360" w:lineRule="auto"/>
        <w:ind w:left="0" w:leftChars="0" w:firstLine="301" w:firstLineChars="123"/>
        <w:rPr>
          <w:rFonts w:hint="eastAsia" w:ascii="仿宋" w:hAnsi="仿宋" w:eastAsia="仿宋" w:cs="仿宋"/>
          <w:sz w:val="24"/>
          <w:szCs w:val="24"/>
          <w:lang w:eastAsia="zh-CN"/>
        </w:rPr>
      </w:pPr>
      <w:r>
        <w:rPr>
          <w:rFonts w:hint="eastAsia" w:ascii="仿宋" w:hAnsi="仿宋" w:eastAsia="仿宋" w:cs="仿宋"/>
          <w:sz w:val="24"/>
          <w:szCs w:val="24"/>
          <w:lang w:eastAsia="zh-CN"/>
        </w:rPr>
        <w:t>合同履约期限：合同签订后30天内完成。（具体以签订合同为准）</w:t>
      </w:r>
    </w:p>
    <w:p w14:paraId="4425C48F">
      <w:pPr>
        <w:spacing w:line="360" w:lineRule="auto"/>
        <w:ind w:left="0" w:leftChars="0" w:firstLine="301" w:firstLineChars="123"/>
        <w:rPr>
          <w:rFonts w:hint="eastAsia" w:ascii="仿宋" w:hAnsi="仿宋" w:eastAsia="仿宋" w:cs="仿宋"/>
          <w:sz w:val="24"/>
          <w:szCs w:val="24"/>
        </w:rPr>
      </w:pPr>
      <w:r>
        <w:rPr>
          <w:rFonts w:hint="eastAsia" w:ascii="仿宋" w:hAnsi="仿宋" w:eastAsia="仿宋" w:cs="仿宋"/>
          <w:sz w:val="24"/>
          <w:szCs w:val="24"/>
        </w:rPr>
        <w:t> 本项目（否）接受联合体投标。</w:t>
      </w:r>
    </w:p>
    <w:p w14:paraId="4F015832">
      <w:pPr>
        <w:pStyle w:val="7"/>
        <w:spacing w:line="360" w:lineRule="auto"/>
        <w:ind w:firstLine="490"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rPr>
        <w:t>二、申请人的资格要求：</w:t>
      </w:r>
    </w:p>
    <w:p w14:paraId="183F7C32">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1.满足《中华人民共和国政府采购法》第二十二条规定；</w:t>
      </w:r>
    </w:p>
    <w:p w14:paraId="6580E241">
      <w:pPr>
        <w:pStyle w:val="33"/>
        <w:tabs>
          <w:tab w:val="left" w:pos="636"/>
        </w:tabs>
        <w:spacing w:line="360" w:lineRule="auto"/>
        <w:ind w:left="107" w:right="98" w:firstLine="490" w:firstLineChars="200"/>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lang w:val="en-US" w:bidi="ar-SA"/>
        </w:rPr>
        <w:t>2.落实政府采购政策需满足的资格要求：</w:t>
      </w:r>
      <w:r>
        <w:rPr>
          <w:rFonts w:hint="eastAsia" w:ascii="仿宋" w:hAnsi="仿宋" w:eastAsia="仿宋" w:cs="仿宋"/>
          <w:color w:val="auto"/>
          <w:kern w:val="0"/>
          <w:sz w:val="24"/>
          <w:szCs w:val="24"/>
          <w:highlight w:val="none"/>
          <w:lang w:val="en-US" w:eastAsia="zh-CN" w:bidi="ar-SA"/>
        </w:rPr>
        <w:t>本项目专门面向小微企业。</w:t>
      </w:r>
    </w:p>
    <w:p w14:paraId="0E60F436">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eastAsia="zh-CN" w:bidi="ar-SA"/>
        </w:rPr>
        <w:t>3.</w:t>
      </w:r>
      <w:r>
        <w:rPr>
          <w:rFonts w:hint="eastAsia" w:ascii="仿宋" w:hAnsi="仿宋" w:eastAsia="仿宋" w:cs="仿宋"/>
          <w:kern w:val="0"/>
          <w:sz w:val="24"/>
          <w:szCs w:val="24"/>
          <w:lang w:val="en-US" w:bidi="ar-SA"/>
        </w:rPr>
        <w:t>本项目资格要求： </w:t>
      </w:r>
    </w:p>
    <w:p w14:paraId="044FCB37">
      <w:pPr>
        <w:pStyle w:val="33"/>
        <w:tabs>
          <w:tab w:val="left" w:pos="636"/>
        </w:tabs>
        <w:spacing w:line="360" w:lineRule="auto"/>
        <w:ind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（1）</w:t>
      </w:r>
      <w:r>
        <w:rPr>
          <w:rFonts w:hint="eastAsia" w:ascii="仿宋" w:hAnsi="仿宋" w:eastAsia="仿宋" w:cs="仿宋"/>
          <w:kern w:val="0"/>
          <w:sz w:val="24"/>
          <w:szCs w:val="24"/>
          <w:lang w:val="en-US" w:eastAsia="zh-CN" w:bidi="ar-SA"/>
        </w:rPr>
        <w:t>具有有效的营业执照</w:t>
      </w:r>
      <w:r>
        <w:rPr>
          <w:rFonts w:hint="eastAsia" w:ascii="仿宋" w:hAnsi="仿宋" w:eastAsia="仿宋" w:cs="仿宋"/>
          <w:kern w:val="0"/>
          <w:sz w:val="24"/>
          <w:szCs w:val="24"/>
          <w:lang w:val="en-US" w:bidi="ar-SA"/>
        </w:rPr>
        <w:t xml:space="preserve">； </w:t>
      </w:r>
    </w:p>
    <w:p w14:paraId="3C2C4581">
      <w:pPr>
        <w:pStyle w:val="33"/>
        <w:tabs>
          <w:tab w:val="left" w:pos="636"/>
        </w:tabs>
        <w:spacing w:line="360" w:lineRule="auto"/>
        <w:ind w:left="490" w:leftChars="228"/>
        <w:outlineLvl w:val="1"/>
        <w:rPr>
          <w:rFonts w:hint="eastAsia" w:ascii="仿宋" w:hAnsi="仿宋" w:eastAsia="仿宋" w:cs="仿宋"/>
          <w:sz w:val="24"/>
          <w:szCs w:val="24"/>
          <w:lang w:val="en-US"/>
        </w:rPr>
      </w:pPr>
      <w:r>
        <w:rPr>
          <w:rFonts w:hint="eastAsia" w:ascii="仿宋" w:hAnsi="仿宋" w:eastAsia="仿宋" w:cs="仿宋"/>
          <w:kern w:val="0"/>
          <w:sz w:val="24"/>
          <w:szCs w:val="24"/>
          <w:lang w:val="en-US" w:bidi="ar-SA"/>
        </w:rPr>
        <w:t xml:space="preserve">（2）法定代表人资格证明书及身份证或法人授权委托书及被授权人身份证； </w:t>
      </w:r>
    </w:p>
    <w:p w14:paraId="1586D142">
      <w:pPr>
        <w:pStyle w:val="33"/>
        <w:tabs>
          <w:tab w:val="left" w:pos="636"/>
        </w:tabs>
        <w:spacing w:line="360" w:lineRule="auto"/>
        <w:ind w:left="490" w:leftChars="228"/>
        <w:outlineLvl w:val="1"/>
        <w:rPr>
          <w:rFonts w:hint="eastAsia" w:ascii="仿宋" w:hAnsi="仿宋" w:eastAsia="仿宋" w:cs="仿宋"/>
          <w:kern w:val="0"/>
          <w:sz w:val="24"/>
          <w:szCs w:val="24"/>
          <w:lang w:val="en-US" w:bidi="ar-SA"/>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w:t>
      </w:r>
      <w:r>
        <w:rPr>
          <w:rFonts w:hint="eastAsia" w:ascii="仿宋" w:hAnsi="仿宋" w:eastAsia="仿宋" w:cs="仿宋"/>
          <w:kern w:val="0"/>
          <w:sz w:val="24"/>
          <w:szCs w:val="24"/>
          <w:lang w:val="en-US" w:eastAsia="zh-CN" w:bidi="ar-SA"/>
        </w:rPr>
        <w:t>投标人未在“信用中国网www.creditchina.gov.cn”被列入失信被执行人、严重失信主体名单（尚在处罚期内的）；未在“中国政府采购网（www.ccgp.gov.cn）”被列入政府采购严重违法失信行为记录名单的（尚在处罚期内的）；</w:t>
      </w:r>
      <w:r>
        <w:rPr>
          <w:rFonts w:hint="eastAsia" w:ascii="仿宋" w:hAnsi="仿宋" w:eastAsia="仿宋" w:cs="仿宋"/>
          <w:kern w:val="0"/>
          <w:sz w:val="24"/>
          <w:szCs w:val="24"/>
          <w:lang w:val="en-US" w:bidi="ar-SA"/>
        </w:rPr>
        <w:t>（需注明具体查询时间，不得早于招标公告发布日期）</w:t>
      </w:r>
    </w:p>
    <w:p w14:paraId="7A4CF562">
      <w:pPr>
        <w:pStyle w:val="33"/>
        <w:tabs>
          <w:tab w:val="left" w:pos="636"/>
        </w:tabs>
        <w:spacing w:line="360" w:lineRule="auto"/>
        <w:ind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w:t>
      </w:r>
      <w:r>
        <w:rPr>
          <w:rFonts w:hint="eastAsia" w:ascii="仿宋" w:hAnsi="仿宋" w:eastAsia="仿宋" w:cs="仿宋"/>
          <w:kern w:val="0"/>
          <w:sz w:val="24"/>
          <w:szCs w:val="24"/>
          <w:lang w:val="en-US" w:eastAsia="zh-CN" w:bidi="ar-SA"/>
        </w:rPr>
        <w:t>4</w:t>
      </w:r>
      <w:r>
        <w:rPr>
          <w:rFonts w:hint="eastAsia" w:ascii="仿宋" w:hAnsi="仿宋" w:eastAsia="仿宋" w:cs="仿宋"/>
          <w:kern w:val="0"/>
          <w:sz w:val="24"/>
          <w:szCs w:val="24"/>
          <w:lang w:val="en-US" w:bidi="ar-SA"/>
        </w:rPr>
        <w:t>）单位负责人为同一人或者存在直接控股、管理关系的不同供应商，不得参加同一合同项下的政府采购活动。</w:t>
      </w:r>
    </w:p>
    <w:p w14:paraId="7F42A420">
      <w:pPr>
        <w:pStyle w:val="33"/>
        <w:tabs>
          <w:tab w:val="left" w:pos="636"/>
        </w:tabs>
        <w:spacing w:line="360" w:lineRule="auto"/>
        <w:ind w:firstLine="490" w:firstLineChars="200"/>
        <w:outlineLvl w:val="1"/>
        <w:rPr>
          <w:rFonts w:hint="eastAsia" w:ascii="仿宋" w:hAnsi="仿宋" w:eastAsia="仿宋" w:cs="仿宋"/>
          <w:sz w:val="24"/>
          <w:szCs w:val="24"/>
          <w:lang w:val="en-US" w:bidi="ar-SA"/>
        </w:rPr>
      </w:pPr>
      <w:r>
        <w:rPr>
          <w:rFonts w:hint="eastAsia" w:ascii="仿宋" w:hAnsi="仿宋" w:eastAsia="仿宋" w:cs="仿宋"/>
          <w:kern w:val="0"/>
          <w:sz w:val="24"/>
          <w:szCs w:val="24"/>
          <w:lang w:val="en-US" w:bidi="ar-SA"/>
        </w:rPr>
        <w:t>（</w:t>
      </w:r>
      <w:r>
        <w:rPr>
          <w:rFonts w:hint="eastAsia" w:ascii="仿宋" w:hAnsi="仿宋" w:eastAsia="仿宋" w:cs="仿宋"/>
          <w:kern w:val="0"/>
          <w:sz w:val="24"/>
          <w:szCs w:val="24"/>
          <w:lang w:val="en-US" w:eastAsia="zh-CN" w:bidi="ar-SA"/>
        </w:rPr>
        <w:t>5</w:t>
      </w:r>
      <w:r>
        <w:rPr>
          <w:rFonts w:hint="eastAsia" w:ascii="仿宋" w:hAnsi="仿宋" w:eastAsia="仿宋" w:cs="仿宋"/>
          <w:kern w:val="0"/>
          <w:sz w:val="24"/>
          <w:szCs w:val="24"/>
          <w:lang w:val="en-US" w:bidi="ar-SA"/>
        </w:rPr>
        <w:t>）</w:t>
      </w:r>
      <w:r>
        <w:rPr>
          <w:rFonts w:hint="eastAsia" w:ascii="仿宋" w:hAnsi="仿宋" w:eastAsia="仿宋" w:cs="仿宋"/>
          <w:sz w:val="24"/>
          <w:szCs w:val="24"/>
          <w:lang w:val="en-US" w:bidi="ar-SA"/>
        </w:rPr>
        <w:t>本项目不接受联合体投标。</w:t>
      </w:r>
    </w:p>
    <w:p w14:paraId="44C9D69B">
      <w:pPr>
        <w:pStyle w:val="33"/>
        <w:tabs>
          <w:tab w:val="left" w:pos="636"/>
        </w:tabs>
        <w:spacing w:line="360" w:lineRule="auto"/>
        <w:ind w:firstLine="490" w:firstLineChars="200"/>
        <w:outlineLvl w:val="1"/>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（6）本项目的特定资格要求：</w:t>
      </w:r>
    </w:p>
    <w:p w14:paraId="2CAC2439">
      <w:pPr>
        <w:pStyle w:val="33"/>
        <w:tabs>
          <w:tab w:val="left" w:pos="636"/>
        </w:tabs>
        <w:spacing w:line="360" w:lineRule="auto"/>
        <w:ind w:firstLine="490" w:firstLineChars="200"/>
        <w:outlineLvl w:val="1"/>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企业资质等级要求：水利行业乙级及以上工程设计资质，项目经理资质要求：具有水利相关专业高级职称。</w:t>
      </w:r>
    </w:p>
    <w:p w14:paraId="7D8C8C11">
      <w:pPr>
        <w:pStyle w:val="7"/>
        <w:spacing w:line="360" w:lineRule="auto"/>
        <w:ind w:firstLine="490" w:firstLineChars="200"/>
        <w:rPr>
          <w:rFonts w:hint="eastAsia" w:ascii="仿宋" w:hAnsi="仿宋" w:eastAsia="仿宋" w:cs="仿宋"/>
          <w:sz w:val="24"/>
          <w:szCs w:val="24"/>
          <w:lang w:val="en-US"/>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val="en-US"/>
        </w:rPr>
        <w:t>、获取（下载）采购文件</w:t>
      </w:r>
    </w:p>
    <w:p w14:paraId="40B13A06">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1、时间：</w:t>
      </w:r>
      <w:r>
        <w:rPr>
          <w:rFonts w:hint="eastAsia" w:ascii="仿宋" w:hAnsi="仿宋" w:eastAsia="仿宋" w:cs="仿宋"/>
          <w:kern w:val="0"/>
          <w:sz w:val="24"/>
          <w:szCs w:val="24"/>
          <w:lang w:val="en-US" w:eastAsia="zh-CN" w:bidi="ar-SA"/>
        </w:rPr>
        <w:t>2026年5月22日至2026年6月3日</w:t>
      </w:r>
      <w:r>
        <w:rPr>
          <w:rFonts w:hint="eastAsia" w:ascii="仿宋" w:hAnsi="仿宋" w:eastAsia="仿宋" w:cs="仿宋"/>
          <w:kern w:val="0"/>
          <w:sz w:val="24"/>
          <w:szCs w:val="24"/>
          <w:lang w:val="en-US" w:bidi="ar-SA"/>
        </w:rPr>
        <w:t>，每天上午</w:t>
      </w:r>
      <w:r>
        <w:rPr>
          <w:rFonts w:hint="eastAsia" w:ascii="仿宋" w:hAnsi="仿宋" w:eastAsia="仿宋" w:cs="仿宋"/>
          <w:kern w:val="0"/>
          <w:sz w:val="24"/>
          <w:szCs w:val="24"/>
          <w:lang w:val="en-US" w:eastAsia="zh-CN" w:bidi="ar-SA"/>
        </w:rPr>
        <w:t>00:00至12:00</w:t>
      </w:r>
      <w:r>
        <w:rPr>
          <w:rFonts w:hint="eastAsia" w:ascii="仿宋" w:hAnsi="仿宋" w:eastAsia="仿宋" w:cs="仿宋"/>
          <w:kern w:val="0"/>
          <w:sz w:val="24"/>
          <w:szCs w:val="24"/>
          <w:lang w:val="en-US" w:bidi="ar-SA"/>
        </w:rPr>
        <w:t>，下午</w:t>
      </w:r>
      <w:r>
        <w:rPr>
          <w:rFonts w:hint="eastAsia" w:ascii="仿宋" w:hAnsi="仿宋" w:eastAsia="仿宋" w:cs="仿宋"/>
          <w:kern w:val="0"/>
          <w:sz w:val="24"/>
          <w:szCs w:val="24"/>
          <w:lang w:val="en-US" w:eastAsia="zh-CN" w:bidi="ar-SA"/>
        </w:rPr>
        <w:t>12:00至23:59</w:t>
      </w:r>
      <w:r>
        <w:rPr>
          <w:rFonts w:hint="eastAsia" w:ascii="仿宋" w:hAnsi="仿宋" w:eastAsia="仿宋" w:cs="仿宋"/>
          <w:kern w:val="0"/>
          <w:sz w:val="24"/>
          <w:szCs w:val="24"/>
          <w:lang w:val="en-US" w:bidi="ar-SA"/>
        </w:rPr>
        <w:t>（北京时间，线上获取）</w:t>
      </w:r>
    </w:p>
    <w:p w14:paraId="45F75290">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2、地点（网址）：供应商登陆政采云平台http://www.zcygov.cn</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szCs w:val="24"/>
          <w:lang w:val="en-US" w:bidi="ar-SA"/>
        </w:rPr>
        <w:t>在线申请获取采购文件（登录政府采购云平台 → 项目采购 → 获取采购文件 → 申请，审核通过后可下载</w:t>
      </w:r>
      <w:r>
        <w:rPr>
          <w:rFonts w:hint="eastAsia" w:ascii="仿宋" w:hAnsi="仿宋" w:eastAsia="仿宋" w:cs="仿宋"/>
          <w:kern w:val="0"/>
          <w:sz w:val="24"/>
          <w:szCs w:val="24"/>
          <w:lang w:val="en-US" w:eastAsia="zh-CN" w:bidi="ar-SA"/>
        </w:rPr>
        <w:t>磋商</w:t>
      </w:r>
      <w:r>
        <w:rPr>
          <w:rFonts w:hint="eastAsia" w:ascii="仿宋" w:hAnsi="仿宋" w:eastAsia="仿宋" w:cs="仿宋"/>
          <w:kern w:val="0"/>
          <w:sz w:val="24"/>
          <w:szCs w:val="24"/>
          <w:lang w:val="en-US" w:bidi="ar-SA"/>
        </w:rPr>
        <w:t>文件，如有操作性问题，可与政采云在线客服进行咨询，咨询电话：</w:t>
      </w:r>
      <w:r>
        <w:rPr>
          <w:rFonts w:hint="eastAsia" w:ascii="仿宋" w:hAnsi="仿宋" w:eastAsia="仿宋" w:cs="仿宋"/>
          <w:kern w:val="0"/>
          <w:sz w:val="24"/>
          <w:szCs w:val="24"/>
          <w:lang w:val="en-US" w:eastAsia="zh-CN" w:bidi="ar-SA"/>
        </w:rPr>
        <w:t>95763</w:t>
      </w:r>
      <w:r>
        <w:rPr>
          <w:rFonts w:hint="eastAsia" w:ascii="仿宋" w:hAnsi="仿宋" w:eastAsia="仿宋" w:cs="仿宋"/>
          <w:kern w:val="0"/>
          <w:sz w:val="24"/>
          <w:szCs w:val="24"/>
          <w:lang w:val="en-US" w:bidi="ar-SA"/>
        </w:rPr>
        <w:t>）  </w:t>
      </w:r>
    </w:p>
    <w:p w14:paraId="678105CF">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3、方式：线上获取 </w:t>
      </w:r>
    </w:p>
    <w:p w14:paraId="3FE05A6A">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4、售价（元）：0元</w:t>
      </w:r>
    </w:p>
    <w:p w14:paraId="73B52867">
      <w:pPr>
        <w:pStyle w:val="7"/>
        <w:spacing w:line="360" w:lineRule="auto"/>
        <w:ind w:firstLine="490"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b/>
          <w:bCs/>
          <w:sz w:val="24"/>
          <w:szCs w:val="24"/>
          <w:lang w:val="en-US"/>
        </w:rPr>
        <w:t>提交响应文件截止时间、开标时间和地点</w:t>
      </w:r>
    </w:p>
    <w:p w14:paraId="6B736F8D">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提交响应文件截止时间：</w:t>
      </w:r>
      <w:r>
        <w:rPr>
          <w:rFonts w:hint="eastAsia" w:ascii="仿宋" w:hAnsi="仿宋" w:eastAsia="仿宋" w:cs="仿宋"/>
          <w:kern w:val="0"/>
          <w:sz w:val="24"/>
          <w:szCs w:val="24"/>
          <w:lang w:val="en-US" w:eastAsia="zh-CN" w:bidi="ar-SA"/>
        </w:rPr>
        <w:t>2026年6月5日16：30</w:t>
      </w:r>
      <w:r>
        <w:rPr>
          <w:rFonts w:hint="eastAsia" w:ascii="仿宋" w:hAnsi="仿宋" w:eastAsia="仿宋" w:cs="仿宋"/>
          <w:kern w:val="0"/>
          <w:sz w:val="24"/>
          <w:szCs w:val="24"/>
          <w:lang w:val="en-US" w:bidi="ar-SA"/>
        </w:rPr>
        <w:t>（北京时间）</w:t>
      </w:r>
    </w:p>
    <w:p w14:paraId="683A8DCA">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投标地点：政采云开标大厅（</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"https://www.zcygov.xn--cn)-np6ej63c8vhfp5b/"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bidi="ar-SA"/>
        </w:rPr>
        <w:t>https://www.zcygov.cn在线投标）</w:t>
      </w:r>
      <w:r>
        <w:rPr>
          <w:rFonts w:hint="eastAsia" w:ascii="仿宋" w:hAnsi="仿宋" w:eastAsia="仿宋" w:cs="仿宋"/>
          <w:kern w:val="0"/>
          <w:sz w:val="24"/>
          <w:szCs w:val="24"/>
          <w:lang w:val="en-US" w:bidi="ar-SA"/>
        </w:rPr>
        <w:fldChar w:fldCharType="end"/>
      </w:r>
    </w:p>
    <w:p w14:paraId="5901B5C1">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开标时间：</w:t>
      </w:r>
      <w:r>
        <w:rPr>
          <w:rFonts w:hint="eastAsia" w:ascii="仿宋" w:hAnsi="仿宋" w:eastAsia="仿宋" w:cs="仿宋"/>
          <w:kern w:val="0"/>
          <w:sz w:val="24"/>
          <w:szCs w:val="24"/>
          <w:lang w:val="en-US" w:eastAsia="zh-CN" w:bidi="ar-SA"/>
        </w:rPr>
        <w:t>2026年6月5日16：30</w:t>
      </w:r>
      <w:r>
        <w:rPr>
          <w:rFonts w:hint="eastAsia" w:ascii="仿宋" w:hAnsi="仿宋" w:eastAsia="仿宋" w:cs="仿宋"/>
          <w:kern w:val="0"/>
          <w:sz w:val="24"/>
          <w:szCs w:val="24"/>
          <w:lang w:val="en-US" w:bidi="ar-SA"/>
        </w:rPr>
        <w:t>（北京时间）</w:t>
      </w:r>
    </w:p>
    <w:p w14:paraId="5FA2AC19">
      <w:pPr>
        <w:pStyle w:val="33"/>
        <w:tabs>
          <w:tab w:val="left" w:pos="636"/>
        </w:tabs>
        <w:spacing w:line="360" w:lineRule="auto"/>
        <w:ind w:left="107" w:right="98" w:firstLine="490" w:firstLineChars="200"/>
        <w:outlineLvl w:val="1"/>
        <w:rPr>
          <w:rFonts w:hint="eastAsia" w:ascii="仿宋" w:hAnsi="仿宋" w:eastAsia="仿宋" w:cs="仿宋"/>
          <w:sz w:val="24"/>
          <w:szCs w:val="24"/>
          <w:lang w:val="en-GB"/>
        </w:rPr>
      </w:pPr>
      <w:r>
        <w:rPr>
          <w:rFonts w:hint="eastAsia" w:ascii="仿宋" w:hAnsi="仿宋" w:eastAsia="仿宋" w:cs="仿宋"/>
          <w:kern w:val="0"/>
          <w:sz w:val="24"/>
          <w:szCs w:val="24"/>
          <w:lang w:val="en-US" w:bidi="ar-SA"/>
        </w:rPr>
        <w:t>开标地点：政采云开标大厅（https://www.zcygov.cn在线投标）</w:t>
      </w:r>
    </w:p>
    <w:p w14:paraId="69BC826C">
      <w:pPr>
        <w:pStyle w:val="7"/>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、公告期限</w:t>
      </w:r>
    </w:p>
    <w:p w14:paraId="0EB03DA0">
      <w:pPr>
        <w:pStyle w:val="33"/>
        <w:tabs>
          <w:tab w:val="left" w:pos="636"/>
        </w:tabs>
        <w:spacing w:line="360" w:lineRule="auto"/>
        <w:ind w:left="107" w:right="98" w:firstLine="490" w:firstLineChars="200"/>
        <w:outlineLvl w:val="1"/>
        <w:rPr>
          <w:rFonts w:hint="eastAsia" w:ascii="仿宋" w:hAnsi="仿宋" w:eastAsia="仿宋" w:cs="仿宋"/>
          <w:kern w:val="0"/>
          <w:sz w:val="24"/>
          <w:szCs w:val="24"/>
          <w:lang w:val="en-GB" w:bidi="ar-SA"/>
        </w:rPr>
      </w:pPr>
      <w:r>
        <w:rPr>
          <w:rFonts w:hint="eastAsia" w:ascii="仿宋" w:hAnsi="仿宋" w:eastAsia="仿宋" w:cs="仿宋"/>
          <w:kern w:val="0"/>
          <w:sz w:val="24"/>
          <w:szCs w:val="24"/>
          <w:lang w:val="en-GB" w:bidi="ar-SA"/>
        </w:rPr>
        <w:t>自本公告发布之日起</w:t>
      </w:r>
      <w:r>
        <w:rPr>
          <w:rFonts w:hint="eastAsia" w:ascii="仿宋" w:hAnsi="仿宋" w:eastAsia="仿宋" w:cs="仿宋"/>
          <w:kern w:val="0"/>
          <w:sz w:val="24"/>
          <w:szCs w:val="24"/>
          <w:lang w:val="en-US" w:bidi="ar-SA"/>
        </w:rPr>
        <w:t>5</w:t>
      </w:r>
      <w:r>
        <w:rPr>
          <w:rFonts w:hint="eastAsia" w:ascii="仿宋" w:hAnsi="仿宋" w:eastAsia="仿宋" w:cs="仿宋"/>
          <w:kern w:val="0"/>
          <w:sz w:val="24"/>
          <w:szCs w:val="24"/>
          <w:lang w:val="en-GB" w:bidi="ar-SA"/>
        </w:rPr>
        <w:t>个工作日。</w:t>
      </w:r>
    </w:p>
    <w:p w14:paraId="2893310A">
      <w:pPr>
        <w:pStyle w:val="7"/>
        <w:spacing w:line="360" w:lineRule="auto"/>
        <w:ind w:firstLine="490"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val="en-US"/>
        </w:rPr>
        <w:t>、其他补充事宜</w:t>
      </w:r>
    </w:p>
    <w:p w14:paraId="5D4B31CA">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1.本项目为电子招投标，供应商需要使用CA加密锁，凡参加本项目投标须自行申领CA加密锁。 </w:t>
      </w:r>
    </w:p>
    <w:p w14:paraId="40C6B1FD">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2.本项目实行网上投标，采用电子投标文件</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供应商须使用CA加密锁通过政采云电子投标客户端制作投标文件</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。若供应商参与投标，自行承担投标一切费用。 </w:t>
      </w:r>
    </w:p>
    <w:p w14:paraId="02A60242">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3.各供应商应确保是新疆维吾尔自治区政府采购网正式注册入库供应商，并完成CA数字证书申领。因未注册入库、未办理CA数字证书等原因造成无法投标或投标失败等后果由供应商自行承担。 </w:t>
      </w:r>
    </w:p>
    <w:p w14:paraId="05F1190E">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kern w:val="0"/>
          <w:sz w:val="24"/>
          <w:szCs w:val="24"/>
          <w:lang w:eastAsia="zh-CN"/>
        </w:rPr>
        <w:t>95763</w:t>
      </w:r>
      <w:r>
        <w:rPr>
          <w:rFonts w:hint="eastAsia" w:ascii="仿宋" w:hAnsi="仿宋" w:eastAsia="仿宋" w:cs="仿宋"/>
          <w:kern w:val="0"/>
          <w:sz w:val="24"/>
          <w:szCs w:val="24"/>
        </w:rPr>
        <w:t xml:space="preserve">进行咨询。 </w:t>
      </w:r>
    </w:p>
    <w:p w14:paraId="45D507B2">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5.供应商在开标时须使用制作加密电子投标文件所使用的CA锁及电脑，电脑须提前配置好浏览器（建议使用360浏览器或谷歌浏览器），以便开标时解锁。  </w:t>
      </w:r>
    </w:p>
    <w:p w14:paraId="1BC8E8D9">
      <w:pPr>
        <w:spacing w:line="360" w:lineRule="auto"/>
        <w:ind w:left="38" w:leftChars="18" w:right="36" w:rightChars="17" w:firstLine="49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电子招投标”—“政府采购项目电子交易管理操作指南</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AF612F4">
      <w:pPr>
        <w:spacing w:line="360" w:lineRule="auto"/>
        <w:ind w:firstLine="306" w:firstLineChars="125"/>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、对本次招标提出询问，请按以下方式联系。</w:t>
      </w:r>
      <w:r>
        <w:rPr>
          <w:rFonts w:hint="eastAsia" w:ascii="仿宋" w:hAnsi="仿宋" w:eastAsia="仿宋" w:cs="仿宋"/>
          <w:sz w:val="24"/>
          <w:szCs w:val="24"/>
        </w:rPr>
        <w:t>　　　　　　　　　　　　</w:t>
      </w:r>
    </w:p>
    <w:p w14:paraId="7154F54E">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1.采购人信息</w:t>
      </w:r>
    </w:p>
    <w:p w14:paraId="2D8AED3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名    称：</w:t>
      </w:r>
      <w:r>
        <w:rPr>
          <w:rFonts w:hint="eastAsia" w:ascii="仿宋" w:hAnsi="仿宋" w:eastAsia="仿宋" w:cs="仿宋"/>
          <w:bCs/>
          <w:sz w:val="24"/>
          <w:szCs w:val="24"/>
          <w:lang w:eastAsia="zh-CN"/>
        </w:rPr>
        <w:t>若羌县水利局</w:t>
      </w:r>
      <w:r>
        <w:rPr>
          <w:rFonts w:hint="eastAsia" w:ascii="仿宋" w:hAnsi="仿宋" w:eastAsia="仿宋" w:cs="仿宋"/>
          <w:bCs/>
          <w:sz w:val="24"/>
          <w:szCs w:val="24"/>
        </w:rPr>
        <w:t>　　　　　　　　　　　</w:t>
      </w:r>
    </w:p>
    <w:p w14:paraId="0A013AE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地    址： 若羌县    </w:t>
      </w:r>
    </w:p>
    <w:p w14:paraId="7BBF6C8D">
      <w:pPr>
        <w:spacing w:line="360" w:lineRule="auto"/>
        <w:ind w:firstLine="490" w:firstLineChars="200"/>
        <w:rPr>
          <w:rFonts w:hint="eastAsia" w:ascii="仿宋" w:hAnsi="仿宋" w:eastAsia="仿宋" w:cs="仿宋"/>
          <w:bCs/>
          <w:color w:val="auto"/>
          <w:sz w:val="24"/>
          <w:szCs w:val="24"/>
        </w:rPr>
      </w:pPr>
      <w:r>
        <w:rPr>
          <w:rFonts w:hint="eastAsia" w:ascii="仿宋" w:hAnsi="仿宋" w:eastAsia="仿宋" w:cs="仿宋"/>
          <w:bCs/>
          <w:sz w:val="24"/>
          <w:szCs w:val="24"/>
        </w:rPr>
        <w:t>联系人：</w:t>
      </w:r>
      <w:r>
        <w:rPr>
          <w:rFonts w:hint="eastAsia" w:ascii="仿宋" w:hAnsi="仿宋" w:eastAsia="仿宋" w:cs="仿宋"/>
          <w:bCs/>
          <w:color w:val="auto"/>
          <w:sz w:val="24"/>
          <w:szCs w:val="24"/>
          <w:lang w:val="en-US" w:eastAsia="zh-CN"/>
        </w:rPr>
        <w:t>董家宁</w:t>
      </w:r>
      <w:r>
        <w:rPr>
          <w:rFonts w:hint="eastAsia" w:ascii="仿宋" w:hAnsi="仿宋" w:eastAsia="仿宋" w:cs="仿宋"/>
          <w:bCs/>
          <w:color w:val="auto"/>
          <w:sz w:val="24"/>
          <w:szCs w:val="24"/>
        </w:rPr>
        <w:t>　　　　　　　　　　</w:t>
      </w:r>
    </w:p>
    <w:p w14:paraId="75133685">
      <w:pPr>
        <w:spacing w:line="360" w:lineRule="auto"/>
        <w:ind w:firstLine="490" w:firstLineChars="200"/>
        <w:rPr>
          <w:rFonts w:hint="eastAsia" w:ascii="仿宋" w:hAnsi="仿宋" w:eastAsia="仿宋" w:cs="仿宋"/>
          <w:bCs/>
          <w:sz w:val="24"/>
          <w:szCs w:val="24"/>
          <w:lang w:eastAsia="zh-CN"/>
        </w:rPr>
      </w:pPr>
      <w:r>
        <w:rPr>
          <w:rFonts w:hint="eastAsia" w:ascii="仿宋" w:hAnsi="仿宋" w:eastAsia="仿宋" w:cs="仿宋"/>
          <w:bCs/>
          <w:color w:val="auto"/>
          <w:sz w:val="24"/>
          <w:szCs w:val="24"/>
        </w:rPr>
        <w:t>联系方式：</w:t>
      </w:r>
      <w:r>
        <w:rPr>
          <w:rFonts w:hint="eastAsia" w:ascii="仿宋" w:hAnsi="仿宋" w:eastAsia="仿宋" w:cs="仿宋"/>
          <w:bCs/>
          <w:color w:val="auto"/>
          <w:sz w:val="24"/>
          <w:szCs w:val="24"/>
          <w:lang w:eastAsia="zh-CN"/>
        </w:rPr>
        <w:t>18799987933</w:t>
      </w:r>
      <w:r>
        <w:rPr>
          <w:rFonts w:hint="eastAsia" w:ascii="仿宋" w:hAnsi="仿宋" w:eastAsia="仿宋" w:cs="仿宋"/>
          <w:bCs/>
          <w:sz w:val="24"/>
          <w:szCs w:val="24"/>
        </w:rPr>
        <w:t>　　　　　　　</w:t>
      </w:r>
    </w:p>
    <w:p w14:paraId="662D870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2.采购代理机构信息</w:t>
      </w:r>
    </w:p>
    <w:p w14:paraId="5245CEA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名    称：</w:t>
      </w:r>
      <w:r>
        <w:rPr>
          <w:rFonts w:hint="eastAsia" w:ascii="仿宋" w:hAnsi="仿宋" w:eastAsia="仿宋" w:cs="仿宋"/>
          <w:bCs/>
          <w:sz w:val="24"/>
          <w:szCs w:val="24"/>
          <w:lang w:eastAsia="zh-CN"/>
        </w:rPr>
        <w:t>新疆众禾顺晟工程管理咨询有限公司</w:t>
      </w:r>
      <w:r>
        <w:rPr>
          <w:rFonts w:hint="eastAsia" w:ascii="仿宋" w:hAnsi="仿宋" w:eastAsia="仿宋" w:cs="仿宋"/>
          <w:bCs/>
          <w:sz w:val="24"/>
          <w:szCs w:val="24"/>
        </w:rPr>
        <w:t> 　　　　　　　　　　　</w:t>
      </w:r>
    </w:p>
    <w:p w14:paraId="11A3739D">
      <w:pPr>
        <w:spacing w:line="360" w:lineRule="auto"/>
        <w:ind w:firstLine="490" w:firstLineChars="200"/>
        <w:rPr>
          <w:rFonts w:hint="eastAsia" w:ascii="仿宋" w:hAnsi="仿宋" w:eastAsia="仿宋" w:cs="仿宋"/>
          <w:bCs/>
          <w:sz w:val="24"/>
          <w:szCs w:val="24"/>
          <w:lang w:eastAsia="zh-CN"/>
        </w:rPr>
      </w:pPr>
      <w:r>
        <w:rPr>
          <w:rFonts w:hint="eastAsia" w:ascii="仿宋" w:hAnsi="仿宋" w:eastAsia="仿宋" w:cs="仿宋"/>
          <w:bCs/>
          <w:sz w:val="24"/>
          <w:szCs w:val="24"/>
        </w:rPr>
        <w:t>地    址：</w:t>
      </w:r>
      <w:r>
        <w:rPr>
          <w:rFonts w:hint="eastAsia" w:ascii="仿宋" w:hAnsi="仿宋" w:eastAsia="仿宋" w:cs="仿宋"/>
          <w:bCs/>
          <w:sz w:val="24"/>
          <w:szCs w:val="24"/>
          <w:lang w:eastAsia="zh-CN"/>
        </w:rPr>
        <w:t>库尔勒市圣果路21号天汇广源新寓1栋2层</w:t>
      </w:r>
    </w:p>
    <w:p w14:paraId="4EBAD9F5">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项目联系人：</w:t>
      </w:r>
      <w:r>
        <w:rPr>
          <w:rFonts w:hint="eastAsia" w:ascii="仿宋" w:hAnsi="仿宋" w:eastAsia="仿宋" w:cs="仿宋"/>
          <w:bCs/>
          <w:sz w:val="24"/>
          <w:szCs w:val="24"/>
          <w:lang w:eastAsia="zh-CN"/>
        </w:rPr>
        <w:t>周纪龙</w:t>
      </w:r>
      <w:r>
        <w:rPr>
          <w:rFonts w:hint="eastAsia" w:ascii="仿宋" w:hAnsi="仿宋" w:eastAsia="仿宋" w:cs="仿宋"/>
          <w:bCs/>
          <w:sz w:val="24"/>
          <w:szCs w:val="24"/>
        </w:rPr>
        <w:t>　　　　　　　　　　　</w:t>
      </w:r>
    </w:p>
    <w:p w14:paraId="365A295B">
      <w:pPr>
        <w:pStyle w:val="7"/>
        <w:spacing w:line="360" w:lineRule="auto"/>
        <w:ind w:firstLine="490" w:firstLineChars="200"/>
        <w:rPr>
          <w:rFonts w:hint="eastAsia" w:ascii="仿宋" w:hAnsi="仿宋" w:eastAsia="仿宋" w:cs="仿宋"/>
          <w:b/>
          <w:sz w:val="24"/>
          <w:szCs w:val="24"/>
        </w:rPr>
      </w:pPr>
      <w:r>
        <w:rPr>
          <w:rFonts w:hint="eastAsia" w:ascii="仿宋" w:hAnsi="仿宋" w:eastAsia="仿宋" w:cs="仿宋"/>
          <w:bCs/>
          <w:sz w:val="24"/>
          <w:szCs w:val="24"/>
          <w:lang w:val="en-US"/>
        </w:rPr>
        <w:t>联系方式：</w:t>
      </w:r>
      <w:r>
        <w:rPr>
          <w:rFonts w:hint="eastAsia" w:ascii="仿宋" w:hAnsi="仿宋" w:eastAsia="仿宋" w:cs="仿宋"/>
          <w:bCs/>
          <w:sz w:val="24"/>
          <w:szCs w:val="24"/>
          <w:lang w:val="en-US" w:eastAsia="zh-CN"/>
        </w:rPr>
        <w:t>15199914906</w:t>
      </w:r>
    </w:p>
    <w:p w14:paraId="0A9401DE">
      <w:pPr>
        <w:widowControl/>
        <w:spacing w:line="360" w:lineRule="auto"/>
        <w:jc w:val="center"/>
        <w:outlineLvl w:val="0"/>
        <w:rPr>
          <w:rFonts w:hint="eastAsia" w:ascii="仿宋" w:hAnsi="仿宋" w:eastAsia="仿宋" w:cs="仿宋"/>
          <w:b/>
          <w:sz w:val="24"/>
          <w:szCs w:val="24"/>
        </w:rPr>
      </w:pPr>
    </w:p>
    <w:p w14:paraId="76F80D28">
      <w:pPr>
        <w:widowControl/>
        <w:spacing w:line="360" w:lineRule="auto"/>
        <w:outlineLvl w:val="0"/>
        <w:rPr>
          <w:rFonts w:hint="eastAsia" w:ascii="仿宋" w:hAnsi="仿宋" w:eastAsia="仿宋" w:cs="仿宋"/>
          <w:b/>
          <w:sz w:val="24"/>
          <w:szCs w:val="24"/>
        </w:rPr>
      </w:pPr>
    </w:p>
    <w:p w14:paraId="6AD9AA65">
      <w:pPr>
        <w:jc w:val="center"/>
        <w:rPr>
          <w:rFonts w:hint="eastAsia" w:ascii="仿宋" w:hAnsi="仿宋" w:eastAsia="仿宋" w:cs="仿宋"/>
          <w:sz w:val="24"/>
          <w:szCs w:val="24"/>
        </w:rPr>
      </w:pPr>
      <w:r>
        <w:rPr>
          <w:rFonts w:hint="eastAsia" w:ascii="仿宋" w:hAnsi="仿宋" w:eastAsia="仿宋" w:cs="仿宋"/>
          <w:b/>
          <w:sz w:val="24"/>
          <w:szCs w:val="24"/>
        </w:rPr>
        <w:br w:type="page"/>
      </w:r>
      <w:r>
        <w:rPr>
          <w:rFonts w:hint="eastAsia" w:ascii="仿宋" w:hAnsi="仿宋" w:eastAsia="仿宋" w:cs="仿宋"/>
          <w:b/>
          <w:sz w:val="24"/>
          <w:szCs w:val="24"/>
          <w:lang w:eastAsia="zh-CN"/>
        </w:rPr>
        <w:t>第二部分</w:t>
      </w:r>
      <w:r>
        <w:rPr>
          <w:rFonts w:hint="eastAsia" w:ascii="仿宋" w:hAnsi="仿宋" w:eastAsia="仿宋" w:cs="仿宋"/>
          <w:b/>
          <w:sz w:val="24"/>
          <w:szCs w:val="24"/>
        </w:rPr>
        <w:t xml:space="preserve"> 投标须知</w:t>
      </w:r>
    </w:p>
    <w:tbl>
      <w:tblPr>
        <w:tblStyle w:val="2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69"/>
        <w:gridCol w:w="6915"/>
      </w:tblGrid>
      <w:tr w14:paraId="601A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00F68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项号</w:t>
            </w:r>
          </w:p>
        </w:tc>
        <w:tc>
          <w:tcPr>
            <w:tcW w:w="1269" w:type="dxa"/>
            <w:vAlign w:val="center"/>
          </w:tcPr>
          <w:p w14:paraId="318A93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tc>
        <w:tc>
          <w:tcPr>
            <w:tcW w:w="6915" w:type="dxa"/>
            <w:vAlign w:val="center"/>
          </w:tcPr>
          <w:p w14:paraId="3D293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内</w:t>
            </w:r>
            <w:r>
              <w:rPr>
                <w:rFonts w:hint="eastAsia" w:ascii="仿宋" w:hAnsi="仿宋" w:eastAsia="仿宋" w:cs="仿宋"/>
                <w:sz w:val="24"/>
                <w:szCs w:val="24"/>
              </w:rPr>
              <w:tab/>
            </w:r>
            <w:r>
              <w:rPr>
                <w:rFonts w:hint="eastAsia" w:ascii="仿宋" w:hAnsi="仿宋" w:eastAsia="仿宋" w:cs="仿宋"/>
                <w:sz w:val="24"/>
                <w:szCs w:val="24"/>
              </w:rPr>
              <w:t>容</w:t>
            </w:r>
          </w:p>
        </w:tc>
      </w:tr>
      <w:tr w14:paraId="3007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3EB696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69" w:type="dxa"/>
            <w:vAlign w:val="center"/>
          </w:tcPr>
          <w:p w14:paraId="43AAE4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6915" w:type="dxa"/>
            <w:vAlign w:val="center"/>
          </w:tcPr>
          <w:p w14:paraId="397482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巴州若羌县水域岸线保护与利用规划编制项目</w:t>
            </w:r>
          </w:p>
        </w:tc>
      </w:tr>
      <w:tr w14:paraId="1CEA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363647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69" w:type="dxa"/>
            <w:vAlign w:val="center"/>
          </w:tcPr>
          <w:p w14:paraId="599B09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项目编号</w:t>
            </w:r>
          </w:p>
        </w:tc>
        <w:tc>
          <w:tcPr>
            <w:tcW w:w="6915" w:type="dxa"/>
            <w:vAlign w:val="center"/>
          </w:tcPr>
          <w:p w14:paraId="55FAE17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ZHSSZC(JC）2026-022</w:t>
            </w:r>
          </w:p>
        </w:tc>
      </w:tr>
      <w:tr w14:paraId="67C1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30FA90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269" w:type="dxa"/>
            <w:vAlign w:val="center"/>
          </w:tcPr>
          <w:p w14:paraId="72FA3D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服务期限</w:t>
            </w:r>
          </w:p>
        </w:tc>
        <w:tc>
          <w:tcPr>
            <w:tcW w:w="6915" w:type="dxa"/>
            <w:vAlign w:val="center"/>
          </w:tcPr>
          <w:p w14:paraId="53DB87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合同签订后30天内完成。（具体以签订合同为准）</w:t>
            </w:r>
          </w:p>
        </w:tc>
      </w:tr>
      <w:tr w14:paraId="1FAC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2E2687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269" w:type="dxa"/>
            <w:vAlign w:val="center"/>
          </w:tcPr>
          <w:p w14:paraId="2DB8B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资金来源</w:t>
            </w:r>
          </w:p>
        </w:tc>
        <w:tc>
          <w:tcPr>
            <w:tcW w:w="6915" w:type="dxa"/>
            <w:vAlign w:val="center"/>
          </w:tcPr>
          <w:p w14:paraId="698793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财政资金</w:t>
            </w:r>
          </w:p>
        </w:tc>
      </w:tr>
      <w:tr w14:paraId="703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2CBE94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269" w:type="dxa"/>
            <w:vAlign w:val="center"/>
          </w:tcPr>
          <w:p w14:paraId="5684C5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采购方式</w:t>
            </w:r>
          </w:p>
        </w:tc>
        <w:tc>
          <w:tcPr>
            <w:tcW w:w="6915" w:type="dxa"/>
            <w:vAlign w:val="center"/>
          </w:tcPr>
          <w:p w14:paraId="36D5ED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竞争性磋商</w:t>
            </w:r>
          </w:p>
        </w:tc>
      </w:tr>
      <w:tr w14:paraId="3C96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023A5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269" w:type="dxa"/>
            <w:vAlign w:val="center"/>
          </w:tcPr>
          <w:p w14:paraId="2DE8AF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采购人</w:t>
            </w:r>
          </w:p>
        </w:tc>
        <w:tc>
          <w:tcPr>
            <w:tcW w:w="6915" w:type="dxa"/>
            <w:vAlign w:val="center"/>
          </w:tcPr>
          <w:p w14:paraId="06DF8A2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若羌县水利局</w:t>
            </w:r>
            <w:r>
              <w:rPr>
                <w:rFonts w:hint="eastAsia" w:ascii="仿宋" w:hAnsi="仿宋" w:eastAsia="仿宋" w:cs="仿宋"/>
                <w:sz w:val="24"/>
                <w:szCs w:val="24"/>
              </w:rPr>
              <w:t>　　　　　　　　　　　</w:t>
            </w:r>
          </w:p>
          <w:p w14:paraId="7AAD52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eastAsia="zh-CN"/>
              </w:rPr>
              <w:t>若羌县</w:t>
            </w:r>
            <w:r>
              <w:rPr>
                <w:rFonts w:hint="eastAsia" w:ascii="仿宋" w:hAnsi="仿宋" w:eastAsia="仿宋" w:cs="仿宋"/>
                <w:sz w:val="24"/>
                <w:szCs w:val="24"/>
              </w:rPr>
              <w:t>     </w:t>
            </w:r>
          </w:p>
          <w:p w14:paraId="1B003D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联系人：董家宁</w:t>
            </w:r>
          </w:p>
          <w:p w14:paraId="7D806A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bCs/>
                <w:color w:val="auto"/>
                <w:sz w:val="24"/>
                <w:szCs w:val="24"/>
                <w:lang w:val="en-US" w:eastAsia="zh-CN"/>
              </w:rPr>
              <w:t>18799987933</w:t>
            </w:r>
            <w:r>
              <w:rPr>
                <w:rFonts w:hint="eastAsia" w:ascii="仿宋" w:hAnsi="仿宋" w:eastAsia="仿宋" w:cs="仿宋"/>
                <w:bCs/>
                <w:sz w:val="24"/>
                <w:szCs w:val="24"/>
              </w:rPr>
              <w:t>　</w:t>
            </w:r>
          </w:p>
        </w:tc>
      </w:tr>
      <w:tr w14:paraId="0250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1B354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69" w:type="dxa"/>
            <w:vAlign w:val="center"/>
          </w:tcPr>
          <w:p w14:paraId="60BA16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采购代理机构</w:t>
            </w:r>
          </w:p>
        </w:tc>
        <w:tc>
          <w:tcPr>
            <w:tcW w:w="6915" w:type="dxa"/>
            <w:vAlign w:val="center"/>
          </w:tcPr>
          <w:p w14:paraId="5F55BB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新疆众禾顺晟工程管理咨询有限公司</w:t>
            </w:r>
            <w:r>
              <w:rPr>
                <w:rFonts w:hint="eastAsia" w:ascii="仿宋" w:hAnsi="仿宋" w:eastAsia="仿宋" w:cs="仿宋"/>
                <w:sz w:val="24"/>
                <w:szCs w:val="24"/>
              </w:rPr>
              <w:t> 　　　　　　　　　　　</w:t>
            </w:r>
          </w:p>
          <w:p w14:paraId="6CEF49D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库尔勒市圣果路21号天汇广源新寓1栋2层</w:t>
            </w:r>
          </w:p>
          <w:p w14:paraId="45C6AC5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eastAsia="zh-CN"/>
              </w:rPr>
              <w:t>周纪龙</w:t>
            </w:r>
            <w:r>
              <w:rPr>
                <w:rFonts w:hint="eastAsia" w:ascii="仿宋" w:hAnsi="仿宋" w:eastAsia="仿宋" w:cs="仿宋"/>
                <w:sz w:val="24"/>
                <w:szCs w:val="24"/>
              </w:rPr>
              <w:t>   　　　　　　　　　　　</w:t>
            </w:r>
          </w:p>
          <w:p w14:paraId="0CA87E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15199914906</w:t>
            </w:r>
          </w:p>
        </w:tc>
      </w:tr>
      <w:tr w14:paraId="0FD2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1D0D8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69" w:type="dxa"/>
            <w:vAlign w:val="center"/>
          </w:tcPr>
          <w:p w14:paraId="16DF79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投标人必备资质</w:t>
            </w:r>
          </w:p>
        </w:tc>
        <w:tc>
          <w:tcPr>
            <w:tcW w:w="6915" w:type="dxa"/>
            <w:vAlign w:val="center"/>
          </w:tcPr>
          <w:p w14:paraId="137139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D2B3F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b/>
                <w:bCs/>
                <w:sz w:val="24"/>
                <w:szCs w:val="24"/>
                <w:lang w:val="en-US" w:eastAsia="zh-CN"/>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highlight w:val="none"/>
                <w:lang w:eastAsia="zh-CN"/>
              </w:rPr>
              <w:t>本项目专门面向小微企业</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本项目所属行业：其他未列明行业</w:t>
            </w:r>
          </w:p>
          <w:p w14:paraId="4F11EE5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3.本项目资格要求： </w:t>
            </w:r>
          </w:p>
          <w:p w14:paraId="602556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具有有效的营业执照</w:t>
            </w:r>
            <w:r>
              <w:rPr>
                <w:rFonts w:hint="eastAsia" w:ascii="仿宋" w:hAnsi="仿宋" w:eastAsia="仿宋" w:cs="仿宋"/>
                <w:sz w:val="24"/>
                <w:szCs w:val="24"/>
              </w:rPr>
              <w:t xml:space="preserve">； </w:t>
            </w:r>
          </w:p>
          <w:p w14:paraId="666304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（2）法定代表人资格证明书及身份证或法人授权委托书及被授权人身份证； </w:t>
            </w:r>
          </w:p>
          <w:p w14:paraId="4AB008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投标人未在“信用中国网www.creditchina.gov.cn”被列入失信被执行人、严重失信主体名单（尚在处罚期内的）；未在“中国政府采购网（www.ccgp.gov.cn）”被列入政府采购严重违法失信行为记录名单的（尚在处罚期内的）；</w:t>
            </w:r>
            <w:r>
              <w:rPr>
                <w:rFonts w:hint="eastAsia" w:ascii="仿宋" w:hAnsi="仿宋" w:eastAsia="仿宋" w:cs="仿宋"/>
                <w:sz w:val="24"/>
                <w:szCs w:val="24"/>
              </w:rPr>
              <w:t>（需注明具体查询时间，不得早于招标公告发布日期）</w:t>
            </w:r>
          </w:p>
          <w:p w14:paraId="050FD9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（4）单位负责人为同一人或者存在直接控股、管理关系的不同供应商，不得参加同一合同项下的政府采购活动。</w:t>
            </w:r>
          </w:p>
          <w:p w14:paraId="50DBA5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（5）本项目不接受联合体投标。</w:t>
            </w:r>
          </w:p>
          <w:p w14:paraId="2927FBD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（6）本项目的特定资格要求：</w:t>
            </w:r>
          </w:p>
          <w:p w14:paraId="636094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sz w:val="24"/>
                <w:szCs w:val="24"/>
                <w:lang w:val="en-US"/>
              </w:rPr>
            </w:pPr>
            <w:r>
              <w:rPr>
                <w:rFonts w:hint="eastAsia" w:ascii="仿宋" w:hAnsi="仿宋" w:eastAsia="仿宋" w:cs="仿宋"/>
                <w:sz w:val="24"/>
                <w:szCs w:val="24"/>
                <w:lang w:eastAsia="zh-CN"/>
              </w:rPr>
              <w:t>企业资质等级要求：水利行业乙级及以上工程设计资质，项目经理资质要求：具有水利相关专业高级职称。</w:t>
            </w:r>
          </w:p>
        </w:tc>
      </w:tr>
      <w:tr w14:paraId="31B2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44E29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69" w:type="dxa"/>
            <w:vAlign w:val="center"/>
          </w:tcPr>
          <w:p w14:paraId="3EC8C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开标时间</w:t>
            </w:r>
          </w:p>
        </w:tc>
        <w:tc>
          <w:tcPr>
            <w:tcW w:w="6915" w:type="dxa"/>
            <w:vAlign w:val="center"/>
          </w:tcPr>
          <w:p w14:paraId="681F2E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GB" w:eastAsia="zh-CN"/>
              </w:rPr>
              <w:t>2026年6月5日16：30</w:t>
            </w:r>
            <w:r>
              <w:rPr>
                <w:rFonts w:hint="eastAsia" w:ascii="仿宋" w:hAnsi="仿宋" w:eastAsia="仿宋" w:cs="仿宋"/>
                <w:sz w:val="24"/>
                <w:szCs w:val="24"/>
                <w:lang w:val="en-GB"/>
              </w:rPr>
              <w:t>（北京时间）</w:t>
            </w:r>
          </w:p>
        </w:tc>
      </w:tr>
      <w:tr w14:paraId="3B0B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216DC0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69" w:type="dxa"/>
            <w:vAlign w:val="center"/>
          </w:tcPr>
          <w:p w14:paraId="4A0711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开标地点</w:t>
            </w:r>
          </w:p>
        </w:tc>
        <w:tc>
          <w:tcPr>
            <w:tcW w:w="6915" w:type="dxa"/>
            <w:vAlign w:val="center"/>
          </w:tcPr>
          <w:p w14:paraId="530B74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政采云开标大厅</w:t>
            </w:r>
            <w:r>
              <w:rPr>
                <w:rFonts w:hint="eastAsia" w:ascii="仿宋" w:hAnsi="仿宋" w:eastAsia="仿宋" w:cs="仿宋"/>
                <w:sz w:val="24"/>
                <w:szCs w:val="24"/>
                <w:lang w:val="en-GB"/>
              </w:rPr>
              <w:t>（</w:t>
            </w:r>
            <w:r>
              <w:rPr>
                <w:rFonts w:hint="eastAsia" w:ascii="仿宋" w:hAnsi="仿宋" w:eastAsia="仿宋" w:cs="仿宋"/>
                <w:sz w:val="24"/>
                <w:szCs w:val="24"/>
              </w:rPr>
              <w:t>https://www.zcygov.cn在线投标</w:t>
            </w:r>
            <w:r>
              <w:rPr>
                <w:rFonts w:hint="eastAsia" w:ascii="仿宋" w:hAnsi="仿宋" w:eastAsia="仿宋" w:cs="仿宋"/>
                <w:sz w:val="24"/>
                <w:szCs w:val="24"/>
                <w:lang w:val="en-GB"/>
              </w:rPr>
              <w:t>）</w:t>
            </w:r>
          </w:p>
        </w:tc>
      </w:tr>
      <w:tr w14:paraId="5873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518F37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269" w:type="dxa"/>
            <w:vAlign w:val="center"/>
          </w:tcPr>
          <w:p w14:paraId="54525C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联合体</w:t>
            </w:r>
          </w:p>
        </w:tc>
        <w:tc>
          <w:tcPr>
            <w:tcW w:w="6915" w:type="dxa"/>
            <w:vAlign w:val="center"/>
          </w:tcPr>
          <w:p w14:paraId="1E94AC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不接受联合体</w:t>
            </w:r>
          </w:p>
        </w:tc>
      </w:tr>
      <w:tr w14:paraId="6087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C610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69" w:type="dxa"/>
            <w:vAlign w:val="center"/>
          </w:tcPr>
          <w:p w14:paraId="25A25C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投标文件解密时长</w:t>
            </w:r>
          </w:p>
        </w:tc>
        <w:tc>
          <w:tcPr>
            <w:tcW w:w="6915" w:type="dxa"/>
            <w:vAlign w:val="center"/>
          </w:tcPr>
          <w:p w14:paraId="0D2055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30分钟（投标人若未在规定时间内完成，所造成的一切后果由投标人自行承担）</w:t>
            </w:r>
          </w:p>
        </w:tc>
      </w:tr>
      <w:tr w14:paraId="3DA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4D760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269" w:type="dxa"/>
            <w:vAlign w:val="center"/>
          </w:tcPr>
          <w:p w14:paraId="33E312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投标人报价确认报价签字时长</w:t>
            </w:r>
          </w:p>
        </w:tc>
        <w:tc>
          <w:tcPr>
            <w:tcW w:w="6915" w:type="dxa"/>
            <w:vAlign w:val="center"/>
          </w:tcPr>
          <w:p w14:paraId="239546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30分钟（投标人若未在规定时间内完成，所造成的一切后果由投标人自行承担）</w:t>
            </w:r>
          </w:p>
        </w:tc>
      </w:tr>
      <w:tr w14:paraId="0C9C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4B069F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69" w:type="dxa"/>
            <w:vAlign w:val="center"/>
          </w:tcPr>
          <w:p w14:paraId="043663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投标有效期</w:t>
            </w:r>
          </w:p>
        </w:tc>
        <w:tc>
          <w:tcPr>
            <w:tcW w:w="6915" w:type="dxa"/>
            <w:vAlign w:val="center"/>
          </w:tcPr>
          <w:p w14:paraId="09A9A0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90日（从递交响应文件截止日起计算）。</w:t>
            </w:r>
          </w:p>
        </w:tc>
      </w:tr>
      <w:tr w14:paraId="677F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B945B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269" w:type="dxa"/>
            <w:vAlign w:val="center"/>
          </w:tcPr>
          <w:p w14:paraId="116371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投标保证金</w:t>
            </w:r>
          </w:p>
        </w:tc>
        <w:tc>
          <w:tcPr>
            <w:tcW w:w="6915" w:type="dxa"/>
            <w:vAlign w:val="center"/>
          </w:tcPr>
          <w:p w14:paraId="2E174F18">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ind w:left="960" w:hanging="980" w:hangingChars="400"/>
              <w:jc w:val="left"/>
              <w:textAlignment w:val="auto"/>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投标保证金金额：</w:t>
            </w:r>
            <w:r>
              <w:rPr>
                <w:rFonts w:hint="eastAsia" w:ascii="仿宋" w:hAnsi="仿宋" w:eastAsia="仿宋" w:cs="仿宋"/>
                <w:color w:val="auto"/>
                <w:sz w:val="24"/>
                <w:szCs w:val="24"/>
                <w:highlight w:val="none"/>
                <w:lang w:val="en-US" w:bidi="zh-CN"/>
              </w:rPr>
              <w:t>15000</w:t>
            </w:r>
            <w:r>
              <w:rPr>
                <w:rFonts w:hint="eastAsia" w:ascii="仿宋" w:hAnsi="仿宋" w:eastAsia="仿宋" w:cs="仿宋"/>
                <w:color w:val="auto"/>
                <w:sz w:val="24"/>
                <w:szCs w:val="24"/>
                <w:highlight w:val="none"/>
                <w:lang w:bidi="zh-CN"/>
              </w:rPr>
              <w:t>元</w:t>
            </w:r>
            <w:r>
              <w:rPr>
                <w:rFonts w:hint="eastAsia" w:ascii="仿宋" w:hAnsi="仿宋" w:eastAsia="仿宋" w:cs="仿宋"/>
                <w:color w:val="auto"/>
                <w:sz w:val="24"/>
                <w:szCs w:val="24"/>
                <w:highlight w:val="none"/>
                <w:lang w:val="en-US" w:bidi="zh-CN"/>
              </w:rPr>
              <w:t>（壹万伍仟元整）</w:t>
            </w:r>
          </w:p>
          <w:p w14:paraId="68DFB13B">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1.供应商自主选择以银行转账或者电子保函、纸质保函等非现金方式缴纳，以上几种方式投标人仅需选择其中一种即可。具体缴纳方式如下：</w:t>
            </w:r>
          </w:p>
          <w:p w14:paraId="6EA83CF6">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方式一：电子保证金</w:t>
            </w:r>
          </w:p>
          <w:p w14:paraId="6AE7E816">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35928046">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方式二：保函</w:t>
            </w:r>
          </w:p>
          <w:p w14:paraId="4B361B38">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2.保函（电子保函、纸质保函）</w:t>
            </w:r>
          </w:p>
          <w:p w14:paraId="73824A07">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保函推荐使用政采云电子保函。投标人通过政采云平台金融服务页面点击“电子保函→立即申请”，具体操作详见以下网址：</w:t>
            </w:r>
            <w:r>
              <w:rPr>
                <w:rFonts w:hint="eastAsia" w:ascii="仿宋" w:hAnsi="仿宋" w:eastAsia="仿宋" w:cs="仿宋"/>
                <w:color w:val="auto"/>
                <w:sz w:val="23"/>
                <w:szCs w:val="23"/>
                <w:highlight w:val="none"/>
                <w:lang w:val="en-US" w:bidi="zh-CN"/>
              </w:rPr>
              <w:fldChar w:fldCharType="begin"/>
            </w:r>
            <w:r>
              <w:rPr>
                <w:rFonts w:hint="eastAsia" w:ascii="仿宋" w:hAnsi="仿宋" w:eastAsia="仿宋" w:cs="仿宋"/>
                <w:color w:val="auto"/>
                <w:sz w:val="23"/>
                <w:szCs w:val="23"/>
                <w:highlight w:val="none"/>
                <w:lang w:val="en-US" w:bidi="zh-CN"/>
              </w:rPr>
              <w:instrText xml:space="preserve"> HYPERLINK "https://jinrong.zcygov.cn/luban/finance/letter/xinjiang?pageModelFlag=650000&amp;utm=luban.luban-PC-42055.959-pc-websitegroup-navBar-front.6.7e243ab01fd611eeaa409fcd72e2594c" </w:instrText>
            </w:r>
            <w:r>
              <w:rPr>
                <w:rFonts w:hint="eastAsia" w:ascii="仿宋" w:hAnsi="仿宋" w:eastAsia="仿宋" w:cs="仿宋"/>
                <w:color w:val="auto"/>
                <w:sz w:val="23"/>
                <w:szCs w:val="23"/>
                <w:highlight w:val="none"/>
                <w:lang w:val="en-US" w:bidi="zh-CN"/>
              </w:rPr>
              <w:fldChar w:fldCharType="separate"/>
            </w:r>
            <w:r>
              <w:rPr>
                <w:rStyle w:val="30"/>
                <w:rFonts w:hint="eastAsia" w:ascii="仿宋" w:hAnsi="仿宋" w:eastAsia="仿宋" w:cs="仿宋"/>
                <w:sz w:val="23"/>
                <w:szCs w:val="23"/>
                <w:highlight w:val="none"/>
                <w:lang w:val="en-US" w:bidi="zh-CN"/>
              </w:rPr>
              <w:t>https://jinrong.zcygov.cn/luban/finance/letter/xinjiang?pageModelFlag=650000&amp;utm=luban.luban-PC-42055.959-pc-websitegroup-navBar-front.6.7e243ab01fd611eeaa409fcd72e2594c</w:t>
            </w:r>
            <w:r>
              <w:rPr>
                <w:rFonts w:hint="eastAsia" w:ascii="仿宋" w:hAnsi="仿宋" w:eastAsia="仿宋" w:cs="仿宋"/>
                <w:color w:val="auto"/>
                <w:sz w:val="23"/>
                <w:szCs w:val="23"/>
                <w:highlight w:val="none"/>
                <w:lang w:val="en-US" w:bidi="zh-CN"/>
              </w:rPr>
              <w:fldChar w:fldCharType="end"/>
            </w:r>
          </w:p>
          <w:p w14:paraId="262BE4FA">
            <w:pPr>
              <w:pStyle w:val="32"/>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zh-CN" w:bidi="zh-CN"/>
              </w:rPr>
            </w:pPr>
            <w:r>
              <w:rPr>
                <w:rFonts w:hint="eastAsia" w:ascii="仿宋" w:hAnsi="仿宋" w:eastAsia="仿宋" w:cs="仿宋"/>
                <w:color w:val="auto"/>
                <w:sz w:val="23"/>
                <w:szCs w:val="23"/>
                <w:highlight w:val="none"/>
                <w:lang w:val="en-US" w:bidi="zh-CN"/>
              </w:rPr>
              <w:t>3</w:t>
            </w:r>
            <w:r>
              <w:rPr>
                <w:rFonts w:hint="eastAsia" w:ascii="仿宋" w:hAnsi="仿宋" w:eastAsia="仿宋" w:cs="仿宋"/>
                <w:color w:val="auto"/>
                <w:sz w:val="23"/>
                <w:szCs w:val="23"/>
                <w:highlight w:val="none"/>
                <w:lang w:val="zh-CN" w:bidi="zh-CN"/>
              </w:rPr>
              <w:t>.供应商以保函形式缴纳保证金的，应通过“新疆政府采购信用融资服务平台 ”，使用其企业 CA 证书申请购买电子投标保函，同时将电子投标保单作为电子投标文件组成部分在投标时一并提交。备注：如采用电子保函形式缴纳的，在响应截止日之前须从新疆电子保函服务管理平台中确认是否生效。电子保函服务管理平台技术人员联系方式：95763。</w:t>
            </w:r>
          </w:p>
          <w:p w14:paraId="5B8757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zh-CN" w:bidi="zh-CN"/>
              </w:rPr>
            </w:pPr>
            <w:r>
              <w:rPr>
                <w:rFonts w:hint="eastAsia" w:ascii="仿宋" w:hAnsi="仿宋" w:eastAsia="仿宋" w:cs="仿宋"/>
                <w:b/>
                <w:bCs/>
                <w:color w:val="auto"/>
                <w:sz w:val="23"/>
                <w:szCs w:val="23"/>
                <w:highlight w:val="none"/>
                <w:lang w:val="zh-CN" w:eastAsia="zh-CN" w:bidi="zh-CN"/>
              </w:rPr>
              <w:t>注：投标</w:t>
            </w:r>
            <w:r>
              <w:rPr>
                <w:rFonts w:hint="eastAsia" w:ascii="仿宋" w:hAnsi="仿宋" w:eastAsia="仿宋" w:cs="仿宋"/>
                <w:b/>
                <w:bCs/>
                <w:color w:val="auto"/>
                <w:sz w:val="23"/>
                <w:szCs w:val="23"/>
                <w:highlight w:val="none"/>
                <w:lang w:val="zh-CN" w:bidi="zh-CN"/>
              </w:rPr>
              <w:t>保证金以到账信息为准，投标人应充分考虑在途时间，投标人未按照</w:t>
            </w:r>
            <w:r>
              <w:rPr>
                <w:rFonts w:hint="eastAsia" w:ascii="仿宋" w:hAnsi="仿宋" w:eastAsia="仿宋" w:cs="仿宋"/>
                <w:b/>
                <w:bCs/>
                <w:color w:val="auto"/>
                <w:sz w:val="23"/>
                <w:szCs w:val="23"/>
                <w:highlight w:val="none"/>
                <w:lang w:val="zh-CN" w:eastAsia="zh-CN" w:bidi="zh-CN"/>
              </w:rPr>
              <w:t>竞争性磋商文件</w:t>
            </w:r>
            <w:r>
              <w:rPr>
                <w:rFonts w:hint="eastAsia" w:ascii="仿宋" w:hAnsi="仿宋" w:eastAsia="仿宋" w:cs="仿宋"/>
                <w:b/>
                <w:bCs/>
                <w:color w:val="auto"/>
                <w:sz w:val="23"/>
                <w:szCs w:val="23"/>
                <w:highlight w:val="none"/>
                <w:lang w:val="zh-CN" w:bidi="zh-CN"/>
              </w:rPr>
              <w:t>要求提交</w:t>
            </w:r>
            <w:r>
              <w:rPr>
                <w:rFonts w:hint="eastAsia" w:ascii="仿宋" w:hAnsi="仿宋" w:eastAsia="仿宋" w:cs="仿宋"/>
                <w:b/>
                <w:bCs/>
                <w:color w:val="auto"/>
                <w:sz w:val="23"/>
                <w:szCs w:val="23"/>
                <w:highlight w:val="none"/>
                <w:lang w:val="zh-CN" w:eastAsia="zh-CN" w:bidi="zh-CN"/>
              </w:rPr>
              <w:t>投标</w:t>
            </w:r>
            <w:r>
              <w:rPr>
                <w:rFonts w:hint="eastAsia" w:ascii="仿宋" w:hAnsi="仿宋" w:eastAsia="仿宋" w:cs="仿宋"/>
                <w:b/>
                <w:bCs/>
                <w:color w:val="auto"/>
                <w:sz w:val="23"/>
                <w:szCs w:val="23"/>
                <w:highlight w:val="none"/>
                <w:lang w:val="zh-CN" w:bidi="zh-CN"/>
              </w:rPr>
              <w:t>保证金的，</w:t>
            </w:r>
            <w:r>
              <w:rPr>
                <w:rFonts w:hint="eastAsia" w:ascii="仿宋" w:hAnsi="仿宋" w:eastAsia="仿宋" w:cs="仿宋"/>
                <w:b/>
                <w:bCs/>
                <w:color w:val="auto"/>
                <w:sz w:val="23"/>
                <w:szCs w:val="23"/>
                <w:highlight w:val="none"/>
                <w:lang w:val="zh-CN" w:eastAsia="zh-CN" w:bidi="zh-CN"/>
              </w:rPr>
              <w:t>投标</w:t>
            </w:r>
            <w:r>
              <w:rPr>
                <w:rFonts w:hint="eastAsia" w:ascii="仿宋" w:hAnsi="仿宋" w:eastAsia="仿宋" w:cs="仿宋"/>
                <w:b/>
                <w:bCs/>
                <w:color w:val="auto"/>
                <w:sz w:val="23"/>
                <w:szCs w:val="23"/>
                <w:highlight w:val="none"/>
                <w:lang w:val="zh-CN" w:bidi="zh-CN"/>
              </w:rPr>
              <w:t>无效。</w:t>
            </w:r>
          </w:p>
        </w:tc>
      </w:tr>
      <w:tr w14:paraId="3F77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2A82E7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269" w:type="dxa"/>
            <w:vAlign w:val="center"/>
          </w:tcPr>
          <w:p w14:paraId="2B4EFFD6">
            <w:pPr>
              <w:pStyle w:val="3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竞争性磋商文件</w:t>
            </w:r>
          </w:p>
          <w:p w14:paraId="473E67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发售时间</w:t>
            </w:r>
          </w:p>
        </w:tc>
        <w:tc>
          <w:tcPr>
            <w:tcW w:w="6915" w:type="dxa"/>
            <w:vAlign w:val="center"/>
          </w:tcPr>
          <w:p w14:paraId="1897B3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zh-CN" w:bidi="zh-CN"/>
              </w:rPr>
            </w:pPr>
            <w:r>
              <w:rPr>
                <w:rFonts w:hint="eastAsia" w:ascii="仿宋" w:hAnsi="仿宋" w:eastAsia="仿宋" w:cs="仿宋"/>
                <w:sz w:val="24"/>
                <w:szCs w:val="24"/>
                <w:lang w:val="zh-CN" w:bidi="zh-CN"/>
              </w:rPr>
              <w:t>发售时间：</w:t>
            </w:r>
            <w:r>
              <w:rPr>
                <w:rFonts w:hint="eastAsia" w:ascii="仿宋" w:hAnsi="仿宋" w:eastAsia="仿宋" w:cs="仿宋"/>
                <w:kern w:val="0"/>
                <w:sz w:val="24"/>
                <w:szCs w:val="24"/>
                <w:lang w:val="en-US" w:eastAsia="zh-CN" w:bidi="ar-SA"/>
              </w:rPr>
              <w:t>2026年5月22日至2026年6月3日</w:t>
            </w:r>
          </w:p>
          <w:p w14:paraId="079B61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zh-CN" w:bidi="zh-CN"/>
              </w:rPr>
            </w:pPr>
            <w:r>
              <w:rPr>
                <w:rFonts w:hint="eastAsia" w:ascii="仿宋" w:hAnsi="仿宋" w:eastAsia="仿宋" w:cs="仿宋"/>
                <w:sz w:val="24"/>
                <w:szCs w:val="24"/>
                <w:lang w:val="zh-CN" w:bidi="zh-CN"/>
              </w:rPr>
              <w:t>上午：</w:t>
            </w:r>
            <w:r>
              <w:rPr>
                <w:rFonts w:hint="eastAsia" w:ascii="仿宋" w:hAnsi="仿宋" w:eastAsia="仿宋" w:cs="仿宋"/>
                <w:sz w:val="24"/>
                <w:szCs w:val="24"/>
                <w:lang w:bidi="zh-CN"/>
              </w:rPr>
              <w:t>00:00至12:00</w:t>
            </w:r>
          </w:p>
          <w:p w14:paraId="5B938D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zh-CN" w:bidi="zh-CN"/>
              </w:rPr>
            </w:pPr>
            <w:r>
              <w:rPr>
                <w:rFonts w:hint="eastAsia" w:ascii="仿宋" w:hAnsi="仿宋" w:eastAsia="仿宋" w:cs="仿宋"/>
                <w:sz w:val="24"/>
                <w:szCs w:val="24"/>
                <w:lang w:val="zh-CN" w:bidi="zh-CN"/>
              </w:rPr>
              <w:t>下午：12:00至23:59（北京时间）</w:t>
            </w:r>
          </w:p>
        </w:tc>
      </w:tr>
      <w:tr w14:paraId="6642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0D7E9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269" w:type="dxa"/>
            <w:vAlign w:val="center"/>
          </w:tcPr>
          <w:p w14:paraId="2F99973B">
            <w:pPr>
              <w:pStyle w:val="3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响应文件</w:t>
            </w:r>
          </w:p>
          <w:p w14:paraId="371FE24D">
            <w:pPr>
              <w:pStyle w:val="3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rPr>
              <w:t>递交上传地址</w:t>
            </w:r>
          </w:p>
        </w:tc>
        <w:tc>
          <w:tcPr>
            <w:tcW w:w="6915" w:type="dxa"/>
            <w:vAlign w:val="center"/>
          </w:tcPr>
          <w:p w14:paraId="5F47D3CF">
            <w:pPr>
              <w:keepNext w:val="0"/>
              <w:keepLines w:val="0"/>
              <w:pageBreakBefore w:val="0"/>
              <w:widowControl w:val="0"/>
              <w:tabs>
                <w:tab w:val="left" w:pos="2448"/>
              </w:tabs>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投标人应于2026年6月5日16：30之前将电子投标文件上传到“政采云”平台。应按照本项目采购文件和政采云平台的要求编制、加密传输响应文件。供应商在使用系统进行投标的过程中遇到涉及平台使用的任何问题，可致电政采云平台技术支持热线咨询，联系方式：95763。</w:t>
            </w:r>
          </w:p>
          <w:p w14:paraId="7A122225">
            <w:pPr>
              <w:keepNext w:val="0"/>
              <w:keepLines w:val="0"/>
              <w:pageBreakBefore w:val="0"/>
              <w:widowControl w:val="0"/>
              <w:tabs>
                <w:tab w:val="left" w:pos="2448"/>
              </w:tabs>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zh-CN" w:bidi="zh-CN"/>
              </w:rPr>
            </w:pPr>
            <w:r>
              <w:rPr>
                <w:rFonts w:hint="eastAsia" w:ascii="仿宋" w:hAnsi="仿宋" w:eastAsia="仿宋" w:cs="仿宋"/>
                <w:sz w:val="24"/>
                <w:szCs w:val="24"/>
                <w:lang w:val="zh-CN"/>
              </w:rPr>
              <w:t>政采云线上开标大厅（https://www.zcygov.cn在线投标）本次招标采取网上开标方式，所有投标人可准时进入政采云电子招标投标交易平台开标大厅参加在线开标仪式，不组织线下开标仪式。</w:t>
            </w:r>
          </w:p>
        </w:tc>
      </w:tr>
      <w:tr w14:paraId="03D2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E74EA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269" w:type="dxa"/>
            <w:vAlign w:val="center"/>
          </w:tcPr>
          <w:p w14:paraId="61AD73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付款方式</w:t>
            </w:r>
          </w:p>
        </w:tc>
        <w:tc>
          <w:tcPr>
            <w:tcW w:w="6915" w:type="dxa"/>
            <w:vAlign w:val="center"/>
          </w:tcPr>
          <w:p w14:paraId="1039A7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bidi="zh-CN"/>
              </w:rPr>
            </w:pPr>
            <w:r>
              <w:rPr>
                <w:rFonts w:hint="eastAsia" w:ascii="仿宋" w:hAnsi="仿宋" w:eastAsia="仿宋" w:cs="仿宋"/>
                <w:color w:val="auto"/>
                <w:sz w:val="24"/>
                <w:szCs w:val="24"/>
                <w:lang w:bidi="zh-CN"/>
              </w:rPr>
              <w:t>以实际签订合同双方约定为准</w:t>
            </w:r>
          </w:p>
        </w:tc>
      </w:tr>
      <w:tr w14:paraId="588C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109A90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269" w:type="dxa"/>
            <w:vAlign w:val="center"/>
          </w:tcPr>
          <w:p w14:paraId="28936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履约保证金</w:t>
            </w:r>
          </w:p>
        </w:tc>
        <w:tc>
          <w:tcPr>
            <w:tcW w:w="6915" w:type="dxa"/>
            <w:vAlign w:val="center"/>
          </w:tcPr>
          <w:p w14:paraId="32796E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ascii="Wingdings" w:hAnsi="Wingdings" w:eastAsia="Wingdings" w:cs="Wingdings"/>
                <w:spacing w:val="-1"/>
                <w:position w:val="2"/>
              </w:rPr>
              <w:sym w:font="Wingdings" w:char="00A8"/>
            </w:r>
            <w:r>
              <w:rPr>
                <w:rFonts w:hint="eastAsia" w:ascii="仿宋" w:hAnsi="仿宋" w:eastAsia="仿宋" w:cs="仿宋"/>
                <w:sz w:val="24"/>
                <w:szCs w:val="24"/>
              </w:rPr>
              <w:t>是 履约担保的形式：现金、银行出具的银行保函、保兑支票、 银行汇票或现金支票</w:t>
            </w:r>
          </w:p>
          <w:p w14:paraId="2BC539B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履约担保的金额：以实际双方签订合同约定为准</w:t>
            </w:r>
            <w:r>
              <w:rPr>
                <w:rFonts w:hint="eastAsia" w:ascii="仿宋" w:hAnsi="仿宋" w:eastAsia="仿宋" w:cs="仿宋"/>
                <w:sz w:val="24"/>
                <w:szCs w:val="24"/>
                <w:lang w:eastAsia="zh-CN"/>
              </w:rPr>
              <w:t>（</w:t>
            </w:r>
            <w:r>
              <w:rPr>
                <w:rFonts w:hint="eastAsia" w:ascii="仿宋" w:hAnsi="仿宋" w:eastAsia="仿宋" w:cs="仿宋"/>
                <w:sz w:val="24"/>
                <w:szCs w:val="24"/>
              </w:rPr>
              <w:t>不得超过中标金额的 10%）</w:t>
            </w:r>
          </w:p>
          <w:p w14:paraId="26FCF92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bidi="zh-CN"/>
              </w:rPr>
            </w:pPr>
            <w:r>
              <w:rPr>
                <w:rFonts w:ascii="Wingdings" w:hAnsi="Wingdings" w:eastAsia="Wingdings" w:cs="Wingdings"/>
                <w:spacing w:val="-1"/>
                <w:position w:val="2"/>
              </w:rPr>
              <w:sym w:font="Wingdings" w:char="00FE"/>
            </w:r>
            <w:r>
              <w:rPr>
                <w:rFonts w:hint="eastAsia" w:ascii="仿宋" w:hAnsi="仿宋" w:eastAsia="仿宋" w:cs="仿宋"/>
                <w:sz w:val="24"/>
                <w:szCs w:val="24"/>
                <w:lang w:val="en-US" w:eastAsia="zh-CN"/>
              </w:rPr>
              <w:t>否</w:t>
            </w:r>
          </w:p>
        </w:tc>
      </w:tr>
      <w:tr w14:paraId="57C5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1F183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69" w:type="dxa"/>
            <w:vAlign w:val="center"/>
          </w:tcPr>
          <w:p w14:paraId="633D6D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投标单位CA申领</w:t>
            </w:r>
          </w:p>
        </w:tc>
        <w:tc>
          <w:tcPr>
            <w:tcW w:w="6915" w:type="dxa"/>
            <w:vAlign w:val="center"/>
          </w:tcPr>
          <w:p w14:paraId="668650F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zh-CN" w:bidi="zh-CN"/>
              </w:rPr>
            </w:pPr>
            <w:r>
              <w:rPr>
                <w:rFonts w:hint="eastAsia" w:ascii="仿宋" w:hAnsi="仿宋" w:eastAsia="仿宋" w:cs="仿宋"/>
                <w:sz w:val="24"/>
                <w:szCs w:val="24"/>
              </w:rPr>
              <w:t>访问新疆数字证书认证中心官方网站（https://www.xjca.com.cn/）或下载“新疆政务通”APP自行进行申领。如需咨询，请联系新疆CA服务热线0991-2819290</w:t>
            </w:r>
          </w:p>
        </w:tc>
      </w:tr>
      <w:tr w14:paraId="3B33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5502DD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269" w:type="dxa"/>
            <w:vAlign w:val="center"/>
          </w:tcPr>
          <w:p w14:paraId="2172B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915" w:type="dxa"/>
            <w:vAlign w:val="center"/>
          </w:tcPr>
          <w:p w14:paraId="0B3FE4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人民币</w:t>
            </w:r>
            <w:r>
              <w:rPr>
                <w:rFonts w:hint="eastAsia" w:ascii="仿宋" w:hAnsi="仿宋" w:eastAsia="仿宋" w:cs="仿宋"/>
                <w:color w:val="auto"/>
                <w:sz w:val="24"/>
                <w:szCs w:val="24"/>
                <w:highlight w:val="none"/>
                <w:lang w:val="en-US" w:bidi="zh-CN"/>
              </w:rPr>
              <w:t>80万元</w:t>
            </w:r>
            <w:r>
              <w:rPr>
                <w:rFonts w:hint="eastAsia" w:ascii="仿宋" w:hAnsi="仿宋" w:eastAsia="仿宋" w:cs="仿宋"/>
                <w:color w:val="auto"/>
                <w:sz w:val="24"/>
                <w:szCs w:val="24"/>
                <w:highlight w:val="none"/>
                <w:lang w:val="zh-CN" w:bidi="zh-CN"/>
              </w:rPr>
              <w:t>，大写</w:t>
            </w:r>
            <w:r>
              <w:rPr>
                <w:rFonts w:hint="eastAsia" w:ascii="仿宋" w:hAnsi="仿宋" w:eastAsia="仿宋" w:cs="仿宋"/>
                <w:color w:val="auto"/>
                <w:sz w:val="24"/>
                <w:szCs w:val="24"/>
                <w:highlight w:val="none"/>
                <w:lang w:bidi="zh-CN"/>
              </w:rPr>
              <w:t>：</w:t>
            </w:r>
            <w:r>
              <w:rPr>
                <w:rFonts w:hint="eastAsia" w:ascii="仿宋" w:hAnsi="仿宋" w:eastAsia="仿宋" w:cs="仿宋"/>
                <w:color w:val="auto"/>
                <w:sz w:val="24"/>
                <w:szCs w:val="24"/>
                <w:highlight w:val="none"/>
                <w:lang w:val="en-US" w:bidi="zh-CN"/>
              </w:rPr>
              <w:t>捌拾万元整</w:t>
            </w:r>
            <w:r>
              <w:rPr>
                <w:rFonts w:hint="eastAsia" w:ascii="仿宋" w:hAnsi="仿宋" w:eastAsia="仿宋" w:cs="仿宋"/>
                <w:color w:val="auto"/>
                <w:sz w:val="24"/>
                <w:szCs w:val="24"/>
                <w:highlight w:val="none"/>
                <w:lang w:val="zh-CN" w:bidi="zh-CN"/>
              </w:rPr>
              <w:t>。</w:t>
            </w:r>
          </w:p>
          <w:p w14:paraId="366EE5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（投标报价高于最高限价的，作为废标处理）</w:t>
            </w:r>
          </w:p>
        </w:tc>
      </w:tr>
      <w:tr w14:paraId="516E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DD7A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69" w:type="dxa"/>
            <w:vAlign w:val="center"/>
          </w:tcPr>
          <w:p w14:paraId="57BC29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招标代理服务费</w:t>
            </w:r>
          </w:p>
        </w:tc>
        <w:tc>
          <w:tcPr>
            <w:tcW w:w="6915" w:type="dxa"/>
            <w:vAlign w:val="center"/>
          </w:tcPr>
          <w:p w14:paraId="4AE1ED39">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8" w:right="-17"/>
              <w:textAlignment w:val="auto"/>
              <w:outlineLvl w:val="1"/>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rPr>
              <w:t>1、代理报酬的计算方法：《国家发展改革委关于进一步放开建设项目专业服务价格的通知》〔2015〕299 号文件计取。</w:t>
            </w:r>
          </w:p>
          <w:p w14:paraId="5ACD3DCB">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8" w:right="-17"/>
              <w:textAlignment w:val="auto"/>
              <w:outlineLvl w:val="1"/>
              <w:rPr>
                <w:rFonts w:hint="eastAsia" w:ascii="仿宋" w:hAnsi="仿宋" w:eastAsia="仿宋" w:cs="仿宋"/>
                <w:spacing w:val="-6"/>
                <w:sz w:val="24"/>
                <w:szCs w:val="24"/>
              </w:rPr>
            </w:pPr>
            <w:r>
              <w:rPr>
                <w:rFonts w:hint="eastAsia" w:ascii="仿宋" w:hAnsi="仿宋" w:eastAsia="仿宋" w:cs="仿宋"/>
                <w:spacing w:val="-6"/>
                <w:sz w:val="24"/>
                <w:szCs w:val="24"/>
              </w:rPr>
              <w:t>2、代理报酬支付方式：由中标人支付</w:t>
            </w:r>
          </w:p>
          <w:p w14:paraId="1607FFA1">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8" w:right="-17"/>
              <w:textAlignment w:val="auto"/>
              <w:outlineLvl w:val="1"/>
              <w:rPr>
                <w:rFonts w:hint="eastAsia" w:ascii="仿宋" w:hAnsi="仿宋" w:eastAsia="仿宋" w:cs="仿宋"/>
                <w:sz w:val="24"/>
                <w:szCs w:val="24"/>
              </w:rPr>
            </w:pPr>
            <w:r>
              <w:rPr>
                <w:rFonts w:hint="eastAsia" w:ascii="仿宋" w:hAnsi="仿宋" w:eastAsia="仿宋" w:cs="仿宋"/>
                <w:spacing w:val="-6"/>
                <w:sz w:val="24"/>
                <w:szCs w:val="24"/>
              </w:rPr>
              <w:t>3、代理报酬的支付时间：由中标人领取中标通知书</w:t>
            </w:r>
            <w:r>
              <w:rPr>
                <w:rFonts w:hint="eastAsia" w:ascii="仿宋" w:hAnsi="仿宋" w:eastAsia="仿宋" w:cs="仿宋"/>
                <w:spacing w:val="-6"/>
                <w:sz w:val="24"/>
                <w:szCs w:val="24"/>
                <w:lang w:val="en-US" w:eastAsia="zh-CN"/>
              </w:rPr>
              <w:t>时</w:t>
            </w:r>
            <w:r>
              <w:rPr>
                <w:rFonts w:hint="eastAsia" w:ascii="仿宋" w:hAnsi="仿宋" w:eastAsia="仿宋" w:cs="仿宋"/>
                <w:spacing w:val="-6"/>
                <w:sz w:val="24"/>
                <w:szCs w:val="24"/>
              </w:rPr>
              <w:t>支付</w:t>
            </w:r>
          </w:p>
        </w:tc>
      </w:tr>
      <w:tr w14:paraId="10E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5E117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269" w:type="dxa"/>
            <w:vAlign w:val="center"/>
          </w:tcPr>
          <w:p w14:paraId="5D718D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政府采购政策支持</w:t>
            </w:r>
          </w:p>
        </w:tc>
        <w:tc>
          <w:tcPr>
            <w:tcW w:w="6915" w:type="dxa"/>
            <w:vAlign w:val="center"/>
          </w:tcPr>
          <w:p w14:paraId="2AEA18E8">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1、财政部、国家发展改革委、生态环境部、市场监管总局《关于调整优化节能产品、环境标志产品政府采购执行机制的通知》（财库[2019]9 号文）；</w:t>
            </w:r>
          </w:p>
          <w:p w14:paraId="4B4442FE">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2、财政部、生态环境部《关于印发环境标志产品政府采购品目清单的通知》（财库[2019]18 号文）；</w:t>
            </w:r>
          </w:p>
          <w:p w14:paraId="1B236028">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3、财政部、发展改革委《关于印发节能产品政府采购品目清单的通知》</w:t>
            </w:r>
          </w:p>
          <w:p w14:paraId="62AD7D57">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（财库[2019]19 号文）；</w:t>
            </w:r>
          </w:p>
          <w:p w14:paraId="3917A0CD">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4、市场监管总局《市场监管总局关于发布参与实施政府采购节能产品、环境标志产品认证机构名录的公告》（2019 年第 16 号）；</w:t>
            </w:r>
          </w:p>
          <w:p w14:paraId="1F2CCA81">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5、财政部、工业和信息化部《关于印发《政府采购促进中小企</w:t>
            </w:r>
            <w:r>
              <w:rPr>
                <w:rFonts w:hint="eastAsia" w:ascii="仿宋" w:hAnsi="仿宋" w:eastAsia="仿宋" w:cs="仿宋"/>
                <w:spacing w:val="-6"/>
                <w:sz w:val="24"/>
                <w:szCs w:val="24"/>
                <w:lang w:val="en-US" w:eastAsia="zh-CN"/>
              </w:rPr>
              <w:t>业发</w:t>
            </w:r>
            <w:r>
              <w:rPr>
                <w:rFonts w:hint="eastAsia" w:ascii="仿宋" w:hAnsi="仿宋" w:eastAsia="仿宋" w:cs="仿宋"/>
                <w:spacing w:val="-6"/>
                <w:sz w:val="24"/>
                <w:szCs w:val="24"/>
                <w:lang w:val="en-US"/>
              </w:rPr>
              <w:t>展暂行办法》的通知》（财库</w:t>
            </w:r>
            <w:r>
              <w:rPr>
                <w:rFonts w:hint="eastAsia" w:ascii="仿宋" w:hAnsi="仿宋" w:eastAsia="仿宋" w:cs="仿宋"/>
                <w:spacing w:val="-6"/>
                <w:sz w:val="24"/>
                <w:szCs w:val="24"/>
                <w:lang w:val="en-US" w:eastAsia="zh-CN"/>
              </w:rPr>
              <w:t>〔2020〕46</w:t>
            </w:r>
            <w:r>
              <w:rPr>
                <w:rFonts w:hint="eastAsia" w:ascii="仿宋" w:hAnsi="仿宋" w:eastAsia="仿宋" w:cs="仿宋"/>
                <w:spacing w:val="-6"/>
                <w:sz w:val="24"/>
                <w:szCs w:val="24"/>
                <w:lang w:val="en-US"/>
              </w:rPr>
              <w:t xml:space="preserve"> 号文）；</w:t>
            </w:r>
          </w:p>
          <w:p w14:paraId="515AFC98">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6、财政部、民政部、中国残疾人联合会《关于促进残疾人就业政府采购政策的通知》（财库[2017]141 号）；</w:t>
            </w:r>
          </w:p>
          <w:p w14:paraId="6B29A9E2">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7、财政部、司法部《关于政府采购支持监狱企业发展有关问题的通知》（财库[2014]68 号文）。（中小企业优惠、监狱企业、节能产品、环境标志产品等）。</w:t>
            </w:r>
          </w:p>
          <w:p w14:paraId="25A39DFD">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8、扶持中小企业政策：评审时小型和微型企业享受</w:t>
            </w:r>
            <w:r>
              <w:rPr>
                <w:rFonts w:hint="eastAsia" w:ascii="仿宋" w:hAnsi="仿宋" w:eastAsia="仿宋" w:cs="仿宋"/>
                <w:spacing w:val="-6"/>
                <w:sz w:val="24"/>
                <w:szCs w:val="24"/>
                <w:lang w:val="en-US" w:eastAsia="zh-CN"/>
              </w:rPr>
              <w:t>10</w:t>
            </w:r>
            <w:r>
              <w:rPr>
                <w:rFonts w:hint="eastAsia" w:ascii="仿宋" w:hAnsi="仿宋" w:eastAsia="仿宋" w:cs="仿宋"/>
                <w:spacing w:val="-6"/>
                <w:sz w:val="24"/>
                <w:szCs w:val="24"/>
                <w:lang w:val="en-US"/>
              </w:rPr>
              <w:t>%的价格折扣。监狱企业、残疾人福利组织视同小型、微型企业。 </w:t>
            </w:r>
          </w:p>
          <w:p w14:paraId="4FC91DC4">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pacing w:val="-6"/>
                <w:sz w:val="24"/>
                <w:szCs w:val="24"/>
                <w:lang w:val="en-US"/>
              </w:rPr>
            </w:pPr>
            <w:r>
              <w:rPr>
                <w:rFonts w:hint="eastAsia" w:ascii="仿宋" w:hAnsi="仿宋" w:eastAsia="仿宋" w:cs="仿宋"/>
                <w:spacing w:val="-6"/>
                <w:sz w:val="24"/>
                <w:szCs w:val="24"/>
                <w:lang w:val="en-US"/>
              </w:rPr>
              <w:t>9、《关于运用政府采购政策支持脱贫攻坚的通知》（财库【2019】27号文）。  </w:t>
            </w:r>
          </w:p>
          <w:p w14:paraId="4681EECF">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10、本项目专门面向小微企业采购，不再执行中小企业价格扣除政策。</w:t>
            </w:r>
          </w:p>
        </w:tc>
      </w:tr>
      <w:tr w14:paraId="2DC6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23052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269" w:type="dxa"/>
            <w:vAlign w:val="center"/>
          </w:tcPr>
          <w:p w14:paraId="641E42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评标方法</w:t>
            </w:r>
          </w:p>
        </w:tc>
        <w:tc>
          <w:tcPr>
            <w:tcW w:w="6915" w:type="dxa"/>
            <w:vAlign w:val="center"/>
          </w:tcPr>
          <w:p w14:paraId="1C8CC7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综合评分法</w:t>
            </w:r>
          </w:p>
        </w:tc>
      </w:tr>
      <w:tr w14:paraId="2B4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C1870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269" w:type="dxa"/>
            <w:vAlign w:val="top"/>
          </w:tcPr>
          <w:p w14:paraId="4885F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磋商小组的组成</w:t>
            </w:r>
          </w:p>
        </w:tc>
        <w:tc>
          <w:tcPr>
            <w:tcW w:w="6915" w:type="dxa"/>
            <w:vAlign w:val="top"/>
          </w:tcPr>
          <w:p w14:paraId="6DE6CE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评审专家人数： 3人。</w:t>
            </w:r>
          </w:p>
          <w:p w14:paraId="655AF64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评审专家确定方式： 政采云平台专家库中随机抽取确定。</w:t>
            </w:r>
          </w:p>
        </w:tc>
      </w:tr>
      <w:tr w14:paraId="165E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0B06F9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269" w:type="dxa"/>
            <w:vAlign w:val="top"/>
          </w:tcPr>
          <w:p w14:paraId="49CF7B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磋商轮数和最后 报价的其他要求</w:t>
            </w:r>
          </w:p>
        </w:tc>
        <w:tc>
          <w:tcPr>
            <w:tcW w:w="6915" w:type="dxa"/>
            <w:vAlign w:val="top"/>
          </w:tcPr>
          <w:p w14:paraId="224013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1、磋商轮数：一轮磋商二次报价；</w:t>
            </w:r>
          </w:p>
          <w:p w14:paraId="441BB8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2、各投标供应商在政采云不见面开标大厅进行二次报价，二次报价有时间限制 30分钟，请各供应商务必在系统规定时间内完成二次报价，如超时未完成，所造成的一切后果由供应商自行承担。根据实际情况可进行多轮报价，以最终轮报价为准</w:t>
            </w:r>
            <w:r>
              <w:rPr>
                <w:rFonts w:hint="eastAsia" w:ascii="仿宋" w:hAnsi="仿宋" w:eastAsia="仿宋" w:cs="仿宋"/>
                <w:sz w:val="24"/>
                <w:szCs w:val="24"/>
                <w:lang w:eastAsia="zh-CN"/>
              </w:rPr>
              <w:t>。</w:t>
            </w:r>
          </w:p>
        </w:tc>
      </w:tr>
      <w:tr w14:paraId="65F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296E33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269" w:type="dxa"/>
            <w:vAlign w:val="center"/>
          </w:tcPr>
          <w:p w14:paraId="7B3E07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分段质疑</w:t>
            </w:r>
          </w:p>
        </w:tc>
        <w:tc>
          <w:tcPr>
            <w:tcW w:w="6915" w:type="dxa"/>
            <w:vAlign w:val="center"/>
          </w:tcPr>
          <w:p w14:paraId="4A044646">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（1）供应商对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有异议的，应在收到采购文件之日或者采购文件公告期限届满之日内提出；</w:t>
            </w:r>
          </w:p>
          <w:p w14:paraId="5A6A128E">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（2）供应商对开标有异议的，应在开标现场提出；</w:t>
            </w:r>
          </w:p>
          <w:p w14:paraId="0EE24997">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（3）供应商对评标结果有异议的，应在中标候选人公示期间提出。</w:t>
            </w:r>
          </w:p>
        </w:tc>
      </w:tr>
      <w:tr w14:paraId="27CB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CFF10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269" w:type="dxa"/>
            <w:vAlign w:val="center"/>
          </w:tcPr>
          <w:p w14:paraId="260A0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其它</w:t>
            </w:r>
          </w:p>
        </w:tc>
        <w:tc>
          <w:tcPr>
            <w:tcW w:w="6915" w:type="dxa"/>
            <w:vAlign w:val="center"/>
          </w:tcPr>
          <w:p w14:paraId="3D3D5756">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z w:val="24"/>
                <w:szCs w:val="24"/>
              </w:rPr>
            </w:pPr>
            <w:r>
              <w:rPr>
                <w:rFonts w:hint="eastAsia" w:ascii="仿宋" w:hAnsi="仿宋" w:eastAsia="仿宋" w:cs="仿宋"/>
                <w:sz w:val="24"/>
                <w:szCs w:val="24"/>
              </w:rPr>
              <w:t>（1）投标供应商编制电子响应文件可参考《政府采购项目电子交易管理操作指南</w:t>
            </w:r>
            <w:r>
              <w:rPr>
                <w:rFonts w:hint="eastAsia" w:ascii="仿宋" w:hAnsi="仿宋" w:eastAsia="仿宋" w:cs="仿宋"/>
                <w:sz w:val="24"/>
                <w:szCs w:val="24"/>
                <w:lang w:eastAsia="zh-CN"/>
              </w:rPr>
              <w:t>－</w:t>
            </w:r>
            <w:r>
              <w:rPr>
                <w:rFonts w:hint="eastAsia" w:ascii="仿宋" w:hAnsi="仿宋" w:eastAsia="仿宋" w:cs="仿宋"/>
                <w:sz w:val="24"/>
                <w:szCs w:val="24"/>
              </w:rPr>
              <w:t>供应商》，在政采云《帮助文档》下载；</w:t>
            </w:r>
          </w:p>
          <w:p w14:paraId="4A923C0C">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z w:val="24"/>
                <w:szCs w:val="24"/>
              </w:rPr>
            </w:pPr>
            <w:r>
              <w:rPr>
                <w:rFonts w:hint="eastAsia" w:ascii="仿宋" w:hAnsi="仿宋" w:eastAsia="仿宋" w:cs="仿宋"/>
                <w:sz w:val="24"/>
                <w:szCs w:val="24"/>
              </w:rPr>
              <w:t>（2）开标时间到达后，开标主持人进行响应文件的解密操作。因供应商原因造成响应文件未解密成功的，视为撤销其响应文件；因供应商之外的原因造成响应文件未解密成功的，视为撤回其响应文件。部分响应文件未解密成功的，其他响应文件的开标可以继续进行。</w:t>
            </w:r>
          </w:p>
          <w:p w14:paraId="0FF0E2C9">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z w:val="24"/>
                <w:szCs w:val="24"/>
              </w:rPr>
            </w:pPr>
            <w:r>
              <w:rPr>
                <w:rFonts w:hint="eastAsia" w:ascii="仿宋" w:hAnsi="仿宋" w:eastAsia="仿宋" w:cs="仿宋"/>
                <w:sz w:val="24"/>
                <w:szCs w:val="24"/>
              </w:rPr>
              <w:t>（3）若递交响应文件家数少于三家或者开标后成功解密的家数少于三家的，将终止该标段的开标。</w:t>
            </w:r>
          </w:p>
          <w:p w14:paraId="096D2B50">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z w:val="24"/>
                <w:szCs w:val="24"/>
              </w:rPr>
            </w:pPr>
            <w:r>
              <w:rPr>
                <w:rFonts w:hint="eastAsia" w:ascii="仿宋" w:hAnsi="仿宋" w:eastAsia="仿宋" w:cs="仿宋"/>
                <w:sz w:val="24"/>
                <w:szCs w:val="24"/>
              </w:rPr>
              <w:t>（4）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14:paraId="78FD8D9A">
            <w:pPr>
              <w:pStyle w:val="33"/>
              <w:keepNext w:val="0"/>
              <w:keepLines w:val="0"/>
              <w:pageBreakBefore w:val="0"/>
              <w:widowControl w:val="0"/>
              <w:tabs>
                <w:tab w:val="left" w:pos="632"/>
              </w:tabs>
              <w:kinsoku/>
              <w:wordWrap/>
              <w:overflowPunct/>
              <w:topLinePunct w:val="0"/>
              <w:autoSpaceDE/>
              <w:autoSpaceDN/>
              <w:bidi w:val="0"/>
              <w:adjustRightInd w:val="0"/>
              <w:snapToGrid w:val="0"/>
              <w:spacing w:line="240" w:lineRule="auto"/>
              <w:ind w:left="107" w:right="-15"/>
              <w:textAlignment w:val="auto"/>
              <w:outlineLvl w:val="1"/>
              <w:rPr>
                <w:rFonts w:hint="eastAsia" w:ascii="仿宋" w:hAnsi="仿宋" w:eastAsia="仿宋" w:cs="仿宋"/>
                <w:sz w:val="24"/>
                <w:szCs w:val="24"/>
              </w:rPr>
            </w:pPr>
            <w:r>
              <w:rPr>
                <w:rFonts w:hint="eastAsia" w:ascii="仿宋" w:hAnsi="仿宋" w:eastAsia="仿宋" w:cs="仿宋"/>
                <w:sz w:val="24"/>
                <w:szCs w:val="24"/>
              </w:rPr>
              <w:t>（5）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tc>
      </w:tr>
      <w:tr w14:paraId="0A50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6E5F0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269" w:type="dxa"/>
            <w:vAlign w:val="center"/>
          </w:tcPr>
          <w:p w14:paraId="27703529">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标前准备</w:t>
            </w:r>
          </w:p>
        </w:tc>
        <w:tc>
          <w:tcPr>
            <w:tcW w:w="6915" w:type="dxa"/>
            <w:vAlign w:val="center"/>
          </w:tcPr>
          <w:p w14:paraId="373DB29C">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1、本项目实行网上投标，采用电子响应文件。若供应商参与投标，自行承担投标一切费用。</w:t>
            </w:r>
          </w:p>
          <w:p w14:paraId="2C8DCF41">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D8C65B6">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"http://www.ccgp-xinjiang.gov.cn/"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）下载专区查看，如有问题可拨打政采云客户服务热线95763进行咨询。</w:t>
            </w:r>
          </w:p>
        </w:tc>
      </w:tr>
      <w:tr w14:paraId="1DB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vAlign w:val="center"/>
          </w:tcPr>
          <w:p w14:paraId="733E3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269" w:type="dxa"/>
            <w:vAlign w:val="center"/>
          </w:tcPr>
          <w:p w14:paraId="1E09D411">
            <w:pPr>
              <w:keepNext w:val="0"/>
              <w:keepLines w:val="0"/>
              <w:pageBreakBefore w:val="0"/>
              <w:widowControl w:val="0"/>
              <w:kinsoku/>
              <w:wordWrap/>
              <w:overflowPunct/>
              <w:topLinePunct w:val="0"/>
              <w:autoSpaceDE/>
              <w:autoSpaceDN/>
              <w:bidi w:val="0"/>
              <w:snapToGrid/>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w:t>
            </w:r>
          </w:p>
        </w:tc>
        <w:tc>
          <w:tcPr>
            <w:tcW w:w="6915" w:type="dxa"/>
            <w:vAlign w:val="center"/>
          </w:tcPr>
          <w:p w14:paraId="03ADF244">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（一）评审中出现下列情形之一的，评审委员会应当启动异常低价投标（响应）审查程序：1. 投标（响应）报价低于全部通过符合性审查供应商投标（响应）报价平均值50%的，即投标（响应）报价&lt;全部通过符合性审查供应商投标（响应）报价平均值×50%；2. 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在政采云系统上传原件扫描件），包括但不限于原材料成本、人工成本、制造费用等，给予相关供应商的合理时间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05B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4" w:type="dxa"/>
            <w:tcBorders>
              <w:bottom w:val="single" w:color="auto" w:sz="4" w:space="0"/>
            </w:tcBorders>
            <w:vAlign w:val="center"/>
          </w:tcPr>
          <w:p w14:paraId="0F94A7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备注</w:t>
            </w:r>
          </w:p>
        </w:tc>
        <w:tc>
          <w:tcPr>
            <w:tcW w:w="8184" w:type="dxa"/>
            <w:gridSpan w:val="2"/>
            <w:tcBorders>
              <w:bottom w:val="single" w:color="auto" w:sz="4" w:space="0"/>
            </w:tcBorders>
            <w:vAlign w:val="center"/>
          </w:tcPr>
          <w:p w14:paraId="363C8936">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备注一：</w:t>
            </w:r>
          </w:p>
          <w:p w14:paraId="35FC3986">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竞争性磋商文件中关于废标、无效标、投标被拒绝等字样的条款，为招标的实质性要求和条件，着重提醒各供应商注意，并认真查看竞争性磋商文件中的每一个条款及要求，因误读竞争性磋商文件而造成的后果，采购人概不负责。</w:t>
            </w:r>
          </w:p>
          <w:p w14:paraId="57417178">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2、响应文件中有弄虚作假的内容，其响应文件作废。在签订合同之前，采购人如发现竞标人的响应文件有弄虚作假内容，采购人可拒绝与其签订合同。并将其列入政府采购黑名单库。</w:t>
            </w:r>
          </w:p>
          <w:p w14:paraId="23CFF814">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备注二：</w:t>
            </w:r>
          </w:p>
          <w:p w14:paraId="52E0D9B4">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1、评审专家劳务报酬由取定的中标人支付。评审专家劳务报酬计算方法及支付标准执行新财购〔2015〕26号关于印发《新疆维吾尔自治区政府采购评审专家劳务报酬支付标准指导意见》的通知</w:t>
            </w:r>
            <w:r>
              <w:rPr>
                <w:rFonts w:hint="eastAsia" w:ascii="仿宋" w:hAnsi="仿宋" w:eastAsia="仿宋" w:cs="仿宋"/>
                <w:sz w:val="24"/>
                <w:szCs w:val="24"/>
                <w:lang w:eastAsia="zh-CN"/>
              </w:rPr>
              <w:t>。</w:t>
            </w:r>
          </w:p>
          <w:p w14:paraId="4A3F8A2B">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2、正常情况下，依据电子响应文件进行评标</w:t>
            </w:r>
            <w:r>
              <w:rPr>
                <w:rFonts w:hint="eastAsia" w:ascii="仿宋" w:hAnsi="仿宋" w:eastAsia="仿宋" w:cs="仿宋"/>
                <w:sz w:val="24"/>
                <w:szCs w:val="24"/>
                <w:lang w:eastAsia="zh-CN"/>
              </w:rPr>
              <w:t>；</w:t>
            </w:r>
            <w:r>
              <w:rPr>
                <w:rFonts w:hint="eastAsia" w:ascii="仿宋" w:hAnsi="仿宋" w:eastAsia="仿宋" w:cs="仿宋"/>
                <w:sz w:val="24"/>
                <w:szCs w:val="24"/>
              </w:rPr>
              <w:t>当停电或系统故障及不可抗力情况，该项目可根据情况另择时间进行开、评标。</w:t>
            </w:r>
          </w:p>
          <w:p w14:paraId="641304D8">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3、有下列情况之一的，该供应商的响应文件将被拒绝：</w:t>
            </w:r>
          </w:p>
          <w:p w14:paraId="4CFBC182">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（1）使用非供应商自有的政采云电子投标客户端编制电子响应文件；</w:t>
            </w:r>
          </w:p>
          <w:p w14:paraId="7C6C620C">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（2）政采云上传响应文件在开标现场均无法正常解锁；</w:t>
            </w:r>
          </w:p>
          <w:p w14:paraId="3D3EE42D">
            <w:pPr>
              <w:pStyle w:val="4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（3）因供应商自身原因导致电子响应文件无法正常进入电子评标环节的其他情况</w:t>
            </w:r>
          </w:p>
        </w:tc>
      </w:tr>
      <w:tr w14:paraId="43D8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8" w:type="dxa"/>
            <w:gridSpan w:val="3"/>
            <w:tcBorders>
              <w:top w:val="single" w:color="auto" w:sz="4" w:space="0"/>
              <w:bottom w:val="single" w:color="auto" w:sz="4" w:space="0"/>
            </w:tcBorders>
            <w:vAlign w:val="center"/>
          </w:tcPr>
          <w:p w14:paraId="7A7A5404">
            <w:pPr>
              <w:keepNext w:val="0"/>
              <w:keepLines w:val="0"/>
              <w:pageBreakBefore w:val="0"/>
              <w:widowControl w:val="0"/>
              <w:kinsoku/>
              <w:wordWrap/>
              <w:overflowPunct/>
              <w:topLinePunct w:val="0"/>
              <w:autoSpaceDE/>
              <w:autoSpaceDN/>
              <w:bidi w:val="0"/>
              <w:adjustRightInd w:val="0"/>
              <w:snapToGrid w:val="0"/>
              <w:spacing w:line="240"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p w14:paraId="35133FC8">
            <w:pPr>
              <w:keepNext w:val="0"/>
              <w:keepLines w:val="0"/>
              <w:pageBreakBefore w:val="0"/>
              <w:widowControl w:val="0"/>
              <w:kinsoku/>
              <w:wordWrap/>
              <w:overflowPunct/>
              <w:topLinePunct w:val="0"/>
              <w:autoSpaceDE/>
              <w:autoSpaceDN/>
              <w:bidi w:val="0"/>
              <w:adjustRightInd w:val="0"/>
              <w:snapToGrid w:val="0"/>
              <w:spacing w:line="240"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的报价明显低于其他通过符合性审查供应商的报价，有可能影响服务质量或者不能诚信履约的，供应商应在评标现场合理的时间内提供书面说明，必要时提交相关证明材料；供应商不能证明其报价合理性的，自行承担相关责任。</w:t>
            </w:r>
          </w:p>
          <w:p w14:paraId="3343663C">
            <w:pPr>
              <w:keepNext w:val="0"/>
              <w:keepLines w:val="0"/>
              <w:pageBreakBefore w:val="0"/>
              <w:widowControl w:val="0"/>
              <w:kinsoku/>
              <w:wordWrap/>
              <w:overflowPunct/>
              <w:topLinePunct w:val="0"/>
              <w:autoSpaceDE/>
              <w:autoSpaceDN/>
              <w:bidi w:val="0"/>
              <w:adjustRightInd w:val="0"/>
              <w:snapToGrid w:val="0"/>
              <w:spacing w:line="240" w:lineRule="auto"/>
              <w:ind w:firstLine="49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tc>
      </w:tr>
      <w:tr w14:paraId="46C8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8" w:type="dxa"/>
            <w:gridSpan w:val="3"/>
            <w:tcBorders>
              <w:top w:val="single" w:color="auto" w:sz="4" w:space="0"/>
              <w:bottom w:val="single" w:color="auto" w:sz="4" w:space="0"/>
            </w:tcBorders>
            <w:vAlign w:val="center"/>
          </w:tcPr>
          <w:p w14:paraId="4CFF02C0">
            <w:pPr>
              <w:keepNext w:val="0"/>
              <w:keepLines w:val="0"/>
              <w:pageBreakBefore w:val="0"/>
              <w:widowControl w:val="0"/>
              <w:kinsoku/>
              <w:wordWrap/>
              <w:overflowPunct/>
              <w:topLinePunct w:val="0"/>
              <w:autoSpaceDE/>
              <w:autoSpaceDN/>
              <w:bidi w:val="0"/>
              <w:adjustRightInd w:val="0"/>
              <w:snapToGrid w:val="0"/>
              <w:spacing w:line="240" w:lineRule="auto"/>
              <w:ind w:firstLine="49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成交的供应商在领取成交通知书时须向采购代理机构递交纸质响应文件三份、格式为PDF的电子响应文件一份。</w:t>
            </w:r>
          </w:p>
        </w:tc>
      </w:tr>
      <w:tr w14:paraId="50E7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8" w:type="dxa"/>
            <w:gridSpan w:val="3"/>
            <w:tcBorders>
              <w:top w:val="single" w:color="auto" w:sz="4" w:space="0"/>
            </w:tcBorders>
            <w:vAlign w:val="center"/>
          </w:tcPr>
          <w:p w14:paraId="522FBA7B">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代理费缴纳账户：</w:t>
            </w:r>
          </w:p>
          <w:p w14:paraId="13333383">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 新疆众禾顺晟工程管理咨询有限公司</w:t>
            </w:r>
          </w:p>
          <w:p w14:paraId="3406489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纳税识别号： 91652801MA786P2N9N</w:t>
            </w:r>
          </w:p>
          <w:p w14:paraId="61F4EEF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  电话： 新疆巴州库尔勒市圣果路21号天汇广源新寓2栋1-2层1号-2号</w:t>
            </w:r>
          </w:p>
          <w:p w14:paraId="01F6BF5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  户  行： 新疆库尔勒农村商业银行股份有限公司香梨大道支行</w:t>
            </w:r>
          </w:p>
          <w:p w14:paraId="61B5ED5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      号： 843011912010111238552</w:t>
            </w:r>
          </w:p>
          <w:p w14:paraId="64110F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行     号 :  4028 8800 0298</w:t>
            </w:r>
          </w:p>
        </w:tc>
      </w:tr>
    </w:tbl>
    <w:p w14:paraId="3A68DE82">
      <w:pPr>
        <w:rPr>
          <w:rFonts w:hint="eastAsia" w:ascii="仿宋" w:hAnsi="仿宋" w:eastAsia="仿宋" w:cs="仿宋"/>
          <w:b/>
          <w:sz w:val="24"/>
          <w:szCs w:val="24"/>
        </w:rPr>
      </w:pPr>
      <w:r>
        <w:rPr>
          <w:rFonts w:hint="eastAsia" w:ascii="仿宋" w:hAnsi="仿宋" w:eastAsia="仿宋" w:cs="仿宋"/>
          <w:b/>
          <w:sz w:val="24"/>
          <w:szCs w:val="24"/>
        </w:rPr>
        <w:br w:type="page"/>
      </w:r>
    </w:p>
    <w:p w14:paraId="2FC138DC">
      <w:pPr>
        <w:pStyle w:val="13"/>
        <w:numPr>
          <w:ilvl w:val="0"/>
          <w:numId w:val="3"/>
        </w:numPr>
        <w:spacing w:line="36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服务需求及技术要求</w:t>
      </w:r>
    </w:p>
    <w:p w14:paraId="726A84C5">
      <w:pPr>
        <w:bidi w:val="0"/>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项目名称：</w:t>
      </w:r>
      <w:r>
        <w:rPr>
          <w:rFonts w:hint="eastAsia" w:ascii="仿宋" w:hAnsi="仿宋" w:eastAsia="仿宋" w:cs="仿宋"/>
          <w:color w:val="auto"/>
          <w:sz w:val="24"/>
          <w:szCs w:val="24"/>
          <w:highlight w:val="none"/>
          <w:lang w:val="en-US" w:eastAsia="zh-CN"/>
        </w:rPr>
        <w:t>巴州若羌县水域岸线保护与利用规划编制项目</w:t>
      </w:r>
    </w:p>
    <w:p w14:paraId="5CD127ED">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服务内容：</w:t>
      </w:r>
      <w:r>
        <w:rPr>
          <w:rFonts w:hint="eastAsia" w:ascii="仿宋" w:hAnsi="仿宋" w:eastAsia="仿宋" w:cs="仿宋"/>
          <w:color w:val="auto"/>
          <w:sz w:val="24"/>
          <w:szCs w:val="24"/>
          <w:highlight w:val="none"/>
          <w:lang w:val="en-US" w:eastAsia="zh-CN"/>
        </w:rPr>
        <w:t>开展若羌县库力萨伊河、塔特勒克布拉克河、土格曼塔什萨依河、阿克奇艾肯河、库如克萨伊河、古尔嘎赫德河、阿特阿提坎河、玉苏普阿里克河岸线保护与利用规划编制。</w:t>
      </w:r>
    </w:p>
    <w:p w14:paraId="01FADDA6">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r>
        <w:rPr>
          <w:rFonts w:hint="eastAsia" w:ascii="仿宋" w:hAnsi="仿宋" w:eastAsia="仿宋" w:cs="仿宋"/>
          <w:color w:val="auto"/>
          <w:sz w:val="24"/>
          <w:szCs w:val="24"/>
          <w:lang w:eastAsia="zh-CN"/>
        </w:rPr>
        <w:t>合同签订后30天内完成。（具体以签订合同为准）</w:t>
      </w:r>
    </w:p>
    <w:p w14:paraId="06A89F35">
      <w:pPr>
        <w:bidi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付款方式：</w:t>
      </w:r>
      <w:r>
        <w:rPr>
          <w:rFonts w:hint="eastAsia" w:ascii="仿宋" w:hAnsi="仿宋" w:eastAsia="仿宋" w:cs="仿宋"/>
          <w:color w:val="auto"/>
          <w:sz w:val="24"/>
          <w:szCs w:val="24"/>
          <w:lang w:bidi="zh-CN"/>
        </w:rPr>
        <w:t>以实际签订合同双方约定为准。</w:t>
      </w:r>
    </w:p>
    <w:p w14:paraId="7A147395">
      <w:pPr>
        <w:pStyle w:val="13"/>
        <w:widowControl w:val="0"/>
        <w:numPr>
          <w:ilvl w:val="0"/>
          <w:numId w:val="0"/>
        </w:numPr>
        <w:spacing w:line="360" w:lineRule="auto"/>
        <w:jc w:val="both"/>
        <w:rPr>
          <w:rFonts w:hint="eastAsia" w:ascii="仿宋" w:hAnsi="仿宋" w:eastAsia="仿宋" w:cs="仿宋"/>
          <w:b/>
          <w:color w:val="auto"/>
          <w:sz w:val="24"/>
          <w:szCs w:val="24"/>
        </w:rPr>
      </w:pPr>
      <w:r>
        <w:rPr>
          <w:rFonts w:hint="eastAsia" w:ascii="仿宋" w:hAnsi="仿宋" w:eastAsia="仿宋" w:cs="仿宋"/>
          <w:b/>
          <w:color w:val="auto"/>
          <w:sz w:val="24"/>
          <w:szCs w:val="24"/>
        </w:rPr>
        <w:t>一、编制要求</w:t>
      </w:r>
    </w:p>
    <w:p w14:paraId="6670D458">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1.1 编制依据</w:t>
      </w:r>
    </w:p>
    <w:p w14:paraId="6836E9E5">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严格依据《水法》《防洪法》等法律法规，SL/T 826-2024规程、水利部相关指南，以及新疆、巴州、若羌县国土空间、水资源、生态保护等相关规划及最新政策。</w:t>
      </w:r>
    </w:p>
    <w:p w14:paraId="39428F24">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1.2 规划基准</w:t>
      </w:r>
    </w:p>
    <w:p w14:paraId="5FDC4A15">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 范围：覆盖8条河流干流全线，明确起止点及三线划定，无遗漏；2. 基准：CGCS2000坐标系、1985高程基准；3. 水平年：现状基准年采用近一年数据，规划至2035年，展望2050年；4. 底图：常规1:10000，重点河段1:2000～1:5000，遥感影像分辨率≥2m。</w:t>
      </w:r>
    </w:p>
    <w:p w14:paraId="2E03BE45">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1.3 核心原则</w:t>
      </w:r>
    </w:p>
    <w:p w14:paraId="0D46E3F5">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遵循生态优先、防洪安全、以水定岸、多规融合、一河一策五大原则，适配若羌内陆河生态特征。</w:t>
      </w:r>
    </w:p>
    <w:p w14:paraId="3445EE7D">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1.4 核心工作</w:t>
      </w:r>
    </w:p>
    <w:p w14:paraId="4C48B9A1">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完成基础资料收集、现场踏勘、现状调查及分析，划定三线、四类功能区，制定管控修复措施，建立管控体系，编制全套成果。</w:t>
      </w:r>
    </w:p>
    <w:p w14:paraId="3E603871">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1.5 成果要求</w:t>
      </w:r>
    </w:p>
    <w:p w14:paraId="0C7470B9">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提交文字（规划文本、说明、认定评估报告）、图件、表格、矢量数据四类成果，满足纸质版份数及电子格式要求，符合水利、国土空间一张图入库标准。</w:t>
      </w:r>
    </w:p>
    <w:p w14:paraId="5054B6A0">
      <w:pPr>
        <w:bidi w:val="0"/>
        <w:spacing w:line="360" w:lineRule="auto"/>
        <w:rPr>
          <w:rFonts w:hint="eastAsia" w:ascii="仿宋" w:hAnsi="仿宋" w:eastAsia="仿宋" w:cs="仿宋"/>
          <w:b/>
          <w:bCs/>
          <w:color w:val="auto"/>
          <w:sz w:val="24"/>
          <w:szCs w:val="24"/>
          <w:lang w:bidi="zh-CN"/>
        </w:rPr>
      </w:pPr>
      <w:r>
        <w:rPr>
          <w:rFonts w:hint="eastAsia" w:ascii="仿宋" w:hAnsi="仿宋" w:eastAsia="仿宋" w:cs="仿宋"/>
          <w:b/>
          <w:bCs/>
          <w:color w:val="auto"/>
          <w:sz w:val="24"/>
          <w:szCs w:val="24"/>
          <w:lang w:bidi="zh-CN"/>
        </w:rPr>
        <w:t>二、技术指标</w:t>
      </w:r>
    </w:p>
    <w:p w14:paraId="17C045B2">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2.1 测绘调查</w:t>
      </w:r>
    </w:p>
    <w:p w14:paraId="4C3C45B0">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拐点定位平面误差≤±10cm、高程误差≤±15cm；常规河段横断面间距50～100m，重点河段20～50m；遥感解译准确率≥95%；“四乱”排查全覆盖。</w:t>
      </w:r>
    </w:p>
    <w:p w14:paraId="246C55C2">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2.2 水文防洪</w:t>
      </w:r>
    </w:p>
    <w:p w14:paraId="4EE5F584">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乡村段防洪标准10年一遇，乡镇及重要设施段20年一遇；逐条核算生态基流，避免河道常态化断流。</w:t>
      </w:r>
    </w:p>
    <w:p w14:paraId="753EE9F6">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2.3 功能分区</w:t>
      </w:r>
    </w:p>
    <w:p w14:paraId="335017BE">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保护区≥30%，保留区20%～40%，控制利用区10%～30%，开发利用区≤10%，严格按规范管控。</w:t>
      </w:r>
    </w:p>
    <w:p w14:paraId="74FEAE1E">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2.4 生态管控</w:t>
      </w:r>
    </w:p>
    <w:p w14:paraId="3CFF8425">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2035年自然岸线保有率≥85%，岸线总体保护率≥60%；“四乱”问题清零，生态功能不退化。</w:t>
      </w:r>
    </w:p>
    <w:p w14:paraId="2FCD66A4">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2.5 数据要求</w:t>
      </w:r>
    </w:p>
    <w:p w14:paraId="6BBC3A98">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矢量数据规范，满足入库要求，成果格式统一（Word、CAD、SHP、PDF）。</w:t>
      </w:r>
    </w:p>
    <w:p w14:paraId="771B1540">
      <w:pPr>
        <w:bidi w:val="0"/>
        <w:spacing w:line="360" w:lineRule="auto"/>
        <w:rPr>
          <w:rFonts w:hint="eastAsia" w:ascii="仿宋" w:hAnsi="仿宋" w:eastAsia="仿宋" w:cs="仿宋"/>
          <w:color w:val="auto"/>
          <w:sz w:val="24"/>
          <w:szCs w:val="24"/>
          <w:lang w:bidi="zh-CN"/>
        </w:rPr>
      </w:pPr>
      <w:r>
        <w:rPr>
          <w:rFonts w:hint="eastAsia" w:ascii="仿宋" w:hAnsi="仿宋" w:eastAsia="仿宋" w:cs="仿宋"/>
          <w:color w:val="auto"/>
          <w:sz w:val="24"/>
          <w:szCs w:val="24"/>
          <w:lang w:bidi="zh-CN"/>
        </w:rPr>
        <w:t>三、工作深度要求</w:t>
      </w:r>
    </w:p>
    <w:p w14:paraId="3A0CFA6F">
      <w:pPr>
        <w:bidi w:val="0"/>
        <w:spacing w:line="360" w:lineRule="auto"/>
        <w:rPr>
          <w:rFonts w:hint="eastAsia" w:ascii="仿宋" w:hAnsi="仿宋" w:eastAsia="仿宋" w:cs="仿宋"/>
          <w:color w:val="0000FF"/>
          <w:sz w:val="24"/>
          <w:szCs w:val="24"/>
          <w:lang w:bidi="zh-CN"/>
        </w:rPr>
      </w:pPr>
      <w:r>
        <w:rPr>
          <w:rFonts w:hint="eastAsia" w:ascii="仿宋" w:hAnsi="仿宋" w:eastAsia="仿宋" w:cs="仿宋"/>
          <w:color w:val="auto"/>
          <w:sz w:val="24"/>
          <w:szCs w:val="24"/>
          <w:lang w:bidi="zh-CN"/>
        </w:rPr>
        <w:t>8条河流逐条独立编制；问题诊断精准，措施可落地；结论明确；成果通过相关部门审核，可作为法定依据。</w:t>
      </w:r>
    </w:p>
    <w:p w14:paraId="7ED1C44D">
      <w:pPr>
        <w:pStyle w:val="13"/>
        <w:widowControl w:val="0"/>
        <w:numPr>
          <w:ilvl w:val="0"/>
          <w:numId w:val="0"/>
        </w:numPr>
        <w:spacing w:line="360" w:lineRule="auto"/>
        <w:jc w:val="center"/>
        <w:rPr>
          <w:rFonts w:hint="eastAsia" w:ascii="仿宋" w:hAnsi="仿宋" w:eastAsia="仿宋" w:cs="仿宋"/>
          <w:b/>
          <w:sz w:val="24"/>
          <w:szCs w:val="24"/>
        </w:rPr>
      </w:pPr>
    </w:p>
    <w:p w14:paraId="650B945F">
      <w:pPr>
        <w:pStyle w:val="13"/>
        <w:widowControl w:val="0"/>
        <w:numPr>
          <w:ilvl w:val="0"/>
          <w:numId w:val="0"/>
        </w:numPr>
        <w:spacing w:line="360" w:lineRule="auto"/>
        <w:jc w:val="center"/>
        <w:rPr>
          <w:rFonts w:hint="eastAsia" w:ascii="仿宋" w:hAnsi="仿宋" w:eastAsia="仿宋" w:cs="仿宋"/>
          <w:b/>
          <w:sz w:val="24"/>
          <w:szCs w:val="24"/>
        </w:rPr>
      </w:pPr>
    </w:p>
    <w:p w14:paraId="597964C6">
      <w:pPr>
        <w:pStyle w:val="13"/>
        <w:widowControl w:val="0"/>
        <w:numPr>
          <w:ilvl w:val="0"/>
          <w:numId w:val="0"/>
        </w:numPr>
        <w:spacing w:line="360" w:lineRule="auto"/>
        <w:jc w:val="center"/>
        <w:rPr>
          <w:rFonts w:hint="eastAsia" w:ascii="仿宋" w:hAnsi="仿宋" w:eastAsia="仿宋" w:cs="仿宋"/>
          <w:b/>
          <w:sz w:val="24"/>
          <w:szCs w:val="24"/>
        </w:rPr>
      </w:pPr>
    </w:p>
    <w:p w14:paraId="32BB1AD3">
      <w:pPr>
        <w:pStyle w:val="13"/>
        <w:widowControl w:val="0"/>
        <w:numPr>
          <w:ilvl w:val="0"/>
          <w:numId w:val="0"/>
        </w:numPr>
        <w:spacing w:line="360" w:lineRule="auto"/>
        <w:jc w:val="center"/>
        <w:rPr>
          <w:rFonts w:hint="eastAsia" w:ascii="仿宋" w:hAnsi="仿宋" w:eastAsia="仿宋" w:cs="仿宋"/>
          <w:b/>
          <w:sz w:val="24"/>
          <w:szCs w:val="24"/>
        </w:rPr>
      </w:pPr>
    </w:p>
    <w:p w14:paraId="17061D61">
      <w:pPr>
        <w:pStyle w:val="13"/>
        <w:widowControl w:val="0"/>
        <w:numPr>
          <w:ilvl w:val="0"/>
          <w:numId w:val="0"/>
        </w:numPr>
        <w:spacing w:line="360" w:lineRule="auto"/>
        <w:jc w:val="center"/>
        <w:rPr>
          <w:rFonts w:hint="eastAsia" w:ascii="仿宋" w:hAnsi="仿宋" w:eastAsia="仿宋" w:cs="仿宋"/>
          <w:b/>
          <w:sz w:val="24"/>
          <w:szCs w:val="24"/>
        </w:rPr>
      </w:pPr>
    </w:p>
    <w:p w14:paraId="165FE552">
      <w:pPr>
        <w:pStyle w:val="13"/>
        <w:widowControl w:val="0"/>
        <w:numPr>
          <w:ilvl w:val="0"/>
          <w:numId w:val="0"/>
        </w:numPr>
        <w:spacing w:line="360" w:lineRule="auto"/>
        <w:jc w:val="center"/>
        <w:rPr>
          <w:rFonts w:hint="eastAsia" w:ascii="仿宋" w:hAnsi="仿宋" w:eastAsia="仿宋" w:cs="仿宋"/>
          <w:b/>
          <w:sz w:val="24"/>
          <w:szCs w:val="24"/>
        </w:rPr>
      </w:pPr>
    </w:p>
    <w:p w14:paraId="28FBB22A">
      <w:pPr>
        <w:pStyle w:val="13"/>
        <w:widowControl w:val="0"/>
        <w:numPr>
          <w:ilvl w:val="0"/>
          <w:numId w:val="0"/>
        </w:numPr>
        <w:spacing w:line="360" w:lineRule="auto"/>
        <w:jc w:val="center"/>
        <w:rPr>
          <w:rFonts w:hint="eastAsia" w:ascii="仿宋" w:hAnsi="仿宋" w:eastAsia="仿宋" w:cs="仿宋"/>
          <w:b/>
          <w:sz w:val="24"/>
          <w:szCs w:val="24"/>
        </w:rPr>
      </w:pPr>
    </w:p>
    <w:p w14:paraId="62E2EFCE">
      <w:pPr>
        <w:pStyle w:val="13"/>
        <w:widowControl w:val="0"/>
        <w:numPr>
          <w:ilvl w:val="0"/>
          <w:numId w:val="0"/>
        </w:numPr>
        <w:spacing w:line="360" w:lineRule="auto"/>
        <w:jc w:val="center"/>
        <w:rPr>
          <w:rFonts w:hint="eastAsia" w:ascii="仿宋" w:hAnsi="仿宋" w:eastAsia="仿宋" w:cs="仿宋"/>
          <w:b/>
          <w:sz w:val="24"/>
          <w:szCs w:val="24"/>
        </w:rPr>
      </w:pPr>
    </w:p>
    <w:p w14:paraId="2B8A321C">
      <w:pPr>
        <w:pStyle w:val="13"/>
        <w:widowControl w:val="0"/>
        <w:numPr>
          <w:ilvl w:val="0"/>
          <w:numId w:val="0"/>
        </w:numPr>
        <w:spacing w:line="360" w:lineRule="auto"/>
        <w:jc w:val="center"/>
        <w:rPr>
          <w:rFonts w:hint="eastAsia" w:ascii="仿宋" w:hAnsi="仿宋" w:eastAsia="仿宋" w:cs="仿宋"/>
          <w:b/>
          <w:sz w:val="24"/>
          <w:szCs w:val="24"/>
        </w:rPr>
      </w:pPr>
    </w:p>
    <w:p w14:paraId="16CD09F5">
      <w:pPr>
        <w:pStyle w:val="13"/>
        <w:widowControl w:val="0"/>
        <w:numPr>
          <w:ilvl w:val="0"/>
          <w:numId w:val="0"/>
        </w:numPr>
        <w:spacing w:line="360" w:lineRule="auto"/>
        <w:jc w:val="center"/>
        <w:rPr>
          <w:rFonts w:hint="eastAsia" w:ascii="仿宋" w:hAnsi="仿宋" w:eastAsia="仿宋" w:cs="仿宋"/>
          <w:b/>
          <w:sz w:val="24"/>
          <w:szCs w:val="24"/>
        </w:rPr>
      </w:pPr>
    </w:p>
    <w:p w14:paraId="7F11358F">
      <w:pPr>
        <w:pStyle w:val="13"/>
        <w:widowControl w:val="0"/>
        <w:numPr>
          <w:ilvl w:val="0"/>
          <w:numId w:val="0"/>
        </w:numPr>
        <w:spacing w:line="360" w:lineRule="auto"/>
        <w:jc w:val="center"/>
        <w:rPr>
          <w:rFonts w:hint="eastAsia" w:ascii="仿宋" w:hAnsi="仿宋" w:eastAsia="仿宋" w:cs="仿宋"/>
          <w:b/>
          <w:sz w:val="24"/>
          <w:szCs w:val="24"/>
        </w:rPr>
      </w:pPr>
    </w:p>
    <w:p w14:paraId="67061A06">
      <w:pPr>
        <w:pStyle w:val="13"/>
        <w:widowControl w:val="0"/>
        <w:numPr>
          <w:ilvl w:val="0"/>
          <w:numId w:val="0"/>
        </w:numPr>
        <w:spacing w:line="360" w:lineRule="auto"/>
        <w:jc w:val="center"/>
        <w:rPr>
          <w:rFonts w:hint="eastAsia" w:ascii="仿宋" w:hAnsi="仿宋" w:eastAsia="仿宋" w:cs="仿宋"/>
          <w:b/>
          <w:sz w:val="24"/>
          <w:szCs w:val="24"/>
        </w:rPr>
      </w:pPr>
    </w:p>
    <w:p w14:paraId="7E8519F7">
      <w:pPr>
        <w:pStyle w:val="13"/>
        <w:widowControl w:val="0"/>
        <w:numPr>
          <w:ilvl w:val="0"/>
          <w:numId w:val="0"/>
        </w:numPr>
        <w:spacing w:line="360" w:lineRule="auto"/>
        <w:jc w:val="center"/>
        <w:rPr>
          <w:rFonts w:hint="eastAsia" w:ascii="仿宋" w:hAnsi="仿宋" w:eastAsia="仿宋" w:cs="仿宋"/>
          <w:b/>
          <w:sz w:val="24"/>
          <w:szCs w:val="24"/>
        </w:rPr>
      </w:pPr>
    </w:p>
    <w:p w14:paraId="0FF2EAAC">
      <w:pPr>
        <w:pStyle w:val="13"/>
        <w:widowControl w:val="0"/>
        <w:numPr>
          <w:ilvl w:val="0"/>
          <w:numId w:val="0"/>
        </w:numPr>
        <w:spacing w:line="360" w:lineRule="auto"/>
        <w:jc w:val="center"/>
        <w:rPr>
          <w:rFonts w:hint="eastAsia" w:ascii="仿宋" w:hAnsi="仿宋" w:eastAsia="仿宋" w:cs="仿宋"/>
          <w:b/>
          <w:sz w:val="24"/>
          <w:szCs w:val="24"/>
        </w:rPr>
      </w:pPr>
    </w:p>
    <w:p w14:paraId="6F420FA4">
      <w:pPr>
        <w:pStyle w:val="13"/>
        <w:widowControl w:val="0"/>
        <w:numPr>
          <w:ilvl w:val="0"/>
          <w:numId w:val="0"/>
        </w:numPr>
        <w:spacing w:line="360" w:lineRule="auto"/>
        <w:jc w:val="center"/>
        <w:rPr>
          <w:rFonts w:hint="eastAsia" w:ascii="仿宋" w:hAnsi="仿宋" w:eastAsia="仿宋" w:cs="仿宋"/>
          <w:b/>
          <w:sz w:val="24"/>
          <w:szCs w:val="24"/>
        </w:rPr>
      </w:pPr>
    </w:p>
    <w:p w14:paraId="662298A4">
      <w:pPr>
        <w:pStyle w:val="31"/>
        <w:spacing w:line="360" w:lineRule="auto"/>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第四部分 招标说明</w:t>
      </w:r>
    </w:p>
    <w:p w14:paraId="2F7A39D7">
      <w:pPr>
        <w:spacing w:line="360" w:lineRule="auto"/>
        <w:rPr>
          <w:rFonts w:hint="eastAsia" w:ascii="仿宋" w:hAnsi="仿宋" w:eastAsia="仿宋" w:cs="仿宋"/>
          <w:b/>
          <w:sz w:val="24"/>
          <w:szCs w:val="24"/>
        </w:rPr>
      </w:pPr>
      <w:r>
        <w:rPr>
          <w:rFonts w:hint="eastAsia" w:ascii="仿宋" w:hAnsi="仿宋" w:eastAsia="仿宋" w:cs="仿宋"/>
          <w:b/>
          <w:sz w:val="24"/>
          <w:szCs w:val="24"/>
        </w:rPr>
        <w:t>1. 适用范围</w:t>
      </w:r>
    </w:p>
    <w:p w14:paraId="30E2F7E7">
      <w:pPr>
        <w:spacing w:line="360" w:lineRule="auto"/>
        <w:ind w:firstLine="490" w:firstLineChars="200"/>
        <w:rPr>
          <w:rFonts w:hint="eastAsia" w:ascii="仿宋" w:hAnsi="仿宋" w:eastAsia="仿宋" w:cs="仿宋"/>
          <w:kern w:val="0"/>
          <w:sz w:val="24"/>
          <w:szCs w:val="24"/>
        </w:rPr>
      </w:pPr>
      <w:r>
        <w:rPr>
          <w:rFonts w:hint="eastAsia" w:ascii="仿宋" w:hAnsi="仿宋" w:eastAsia="仿宋" w:cs="仿宋"/>
          <w:bCs/>
          <w:sz w:val="24"/>
          <w:szCs w:val="24"/>
        </w:rPr>
        <w:t>1.1 本</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仅适用于在</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中所叙述的本采购项目的合格投标人。</w:t>
      </w:r>
    </w:p>
    <w:p w14:paraId="5DFCC272">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 投标资格</w:t>
      </w:r>
    </w:p>
    <w:p w14:paraId="3091CFFC">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2.1 凡在中华人民共和国境内注册的合法的法人且有承担本项目的能力以及能够提供资格必备条件和审查项目条件且均应合格的投标人（制造商、代理商）。</w:t>
      </w:r>
    </w:p>
    <w:p w14:paraId="409B039E">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2.2　投标人应遵守中华人民共和国</w:t>
      </w:r>
      <w:r>
        <w:rPr>
          <w:rFonts w:hint="eastAsia" w:ascii="仿宋" w:hAnsi="仿宋" w:eastAsia="仿宋" w:cs="仿宋"/>
          <w:bCs/>
          <w:sz w:val="24"/>
          <w:szCs w:val="24"/>
          <w:lang w:eastAsia="zh-CN"/>
        </w:rPr>
        <w:t>法律法规</w:t>
      </w:r>
      <w:r>
        <w:rPr>
          <w:rFonts w:hint="eastAsia" w:ascii="仿宋" w:hAnsi="仿宋" w:eastAsia="仿宋" w:cs="仿宋"/>
          <w:bCs/>
          <w:sz w:val="24"/>
          <w:szCs w:val="24"/>
        </w:rPr>
        <w:t>和行政规章。</w:t>
      </w:r>
    </w:p>
    <w:p w14:paraId="75FFA704">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2.3  本项目不接受联合体投标。</w:t>
      </w:r>
    </w:p>
    <w:p w14:paraId="5EB3990C">
      <w:pPr>
        <w:tabs>
          <w:tab w:val="left" w:pos="1185"/>
        </w:tabs>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rPr>
        <w:t>3. 定义</w:t>
      </w:r>
    </w:p>
    <w:p w14:paraId="18CF1A25">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下列术语和缩写的定义为：</w:t>
      </w:r>
    </w:p>
    <w:p w14:paraId="7CF3150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3.1 “采购人”系指</w:t>
      </w:r>
      <w:r>
        <w:rPr>
          <w:rFonts w:hint="eastAsia" w:ascii="仿宋" w:hAnsi="仿宋" w:eastAsia="仿宋" w:cs="仿宋"/>
          <w:bCs/>
          <w:sz w:val="24"/>
          <w:szCs w:val="24"/>
          <w:lang w:eastAsia="zh-CN"/>
        </w:rPr>
        <w:t>若羌县水利局</w:t>
      </w:r>
      <w:r>
        <w:rPr>
          <w:rFonts w:hint="eastAsia" w:ascii="仿宋" w:hAnsi="仿宋" w:eastAsia="仿宋" w:cs="仿宋"/>
          <w:bCs/>
          <w:sz w:val="24"/>
          <w:szCs w:val="24"/>
        </w:rPr>
        <w:t>。</w:t>
      </w:r>
    </w:p>
    <w:p w14:paraId="7D4FBABD">
      <w:pPr>
        <w:spacing w:line="360" w:lineRule="auto"/>
        <w:ind w:firstLine="490" w:firstLineChars="200"/>
        <w:rPr>
          <w:rFonts w:hint="eastAsia" w:ascii="仿宋" w:hAnsi="仿宋" w:eastAsia="仿宋" w:cs="仿宋"/>
          <w:bCs/>
          <w:sz w:val="24"/>
          <w:szCs w:val="24"/>
          <w:lang w:eastAsia="zh-CN"/>
        </w:rPr>
      </w:pPr>
      <w:r>
        <w:rPr>
          <w:rFonts w:hint="eastAsia" w:ascii="仿宋" w:hAnsi="仿宋" w:eastAsia="仿宋" w:cs="仿宋"/>
          <w:bCs/>
          <w:sz w:val="24"/>
          <w:szCs w:val="24"/>
        </w:rPr>
        <w:t>3.2 “采购代理机构”系</w:t>
      </w:r>
      <w:r>
        <w:rPr>
          <w:rFonts w:hint="eastAsia" w:ascii="仿宋" w:hAnsi="仿宋" w:eastAsia="仿宋" w:cs="仿宋"/>
          <w:bCs/>
          <w:sz w:val="24"/>
          <w:szCs w:val="24"/>
          <w:lang w:eastAsia="zh-CN"/>
        </w:rPr>
        <w:t>新疆众禾顺晟工程管理咨询有限公司</w:t>
      </w:r>
    </w:p>
    <w:p w14:paraId="3D0973A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3.3 “投标方</w:t>
      </w:r>
      <w:r>
        <w:rPr>
          <w:rFonts w:hint="eastAsia" w:ascii="仿宋" w:hAnsi="仿宋" w:eastAsia="仿宋" w:cs="仿宋"/>
          <w:bCs/>
          <w:sz w:val="24"/>
          <w:szCs w:val="24"/>
          <w:lang w:eastAsia="zh-CN"/>
        </w:rPr>
        <w:t>”“</w:t>
      </w:r>
      <w:r>
        <w:rPr>
          <w:rFonts w:hint="eastAsia" w:ascii="仿宋" w:hAnsi="仿宋" w:eastAsia="仿宋" w:cs="仿宋"/>
          <w:bCs/>
          <w:sz w:val="24"/>
          <w:szCs w:val="24"/>
        </w:rPr>
        <w:t>投标人”系指有资格的投标人及投标表现人。</w:t>
      </w:r>
    </w:p>
    <w:p w14:paraId="4A6766F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3.4 “货物”系指</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规定的，投标方须向采购人提供的一切设备、附件、备品备件、工具、手册</w:t>
      </w:r>
      <w:r>
        <w:rPr>
          <w:rFonts w:hint="eastAsia" w:ascii="仿宋" w:hAnsi="仿宋" w:eastAsia="仿宋" w:cs="仿宋"/>
          <w:bCs/>
          <w:sz w:val="24"/>
          <w:szCs w:val="24"/>
          <w:lang w:eastAsia="zh-CN"/>
        </w:rPr>
        <w:t>及其他有关资料</w:t>
      </w:r>
      <w:r>
        <w:rPr>
          <w:rFonts w:hint="eastAsia" w:ascii="仿宋" w:hAnsi="仿宋" w:eastAsia="仿宋" w:cs="仿宋"/>
          <w:bCs/>
          <w:sz w:val="24"/>
          <w:szCs w:val="24"/>
        </w:rPr>
        <w:t>和材料。</w:t>
      </w:r>
    </w:p>
    <w:p w14:paraId="71854444">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3.5 “服务”系指</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规定投标方须承担的保修、技术协助、培训及其他类似的责任。</w:t>
      </w:r>
    </w:p>
    <w:p w14:paraId="137D8E47">
      <w:pPr>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rPr>
        <w:t>4. 投标费用</w:t>
      </w:r>
    </w:p>
    <w:p w14:paraId="42091A9E">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4.1无论投标结果如何，凡参与招标、投标活动有关的所有费用将由投标方自行承担。</w:t>
      </w:r>
    </w:p>
    <w:p w14:paraId="29ABC84A">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4.2 投标人被视为熟悉本招标项目的各种情况以及与履行合同有关的一切情况。</w:t>
      </w:r>
    </w:p>
    <w:p w14:paraId="1ABDDFA5">
      <w:pPr>
        <w:tabs>
          <w:tab w:val="left" w:pos="1185"/>
        </w:tabs>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rPr>
        <w:t xml:space="preserve">5. </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的构成</w:t>
      </w:r>
    </w:p>
    <w:p w14:paraId="5CA7276F">
      <w:pPr>
        <w:pStyle w:val="31"/>
        <w:spacing w:line="360" w:lineRule="auto"/>
        <w:ind w:firstLine="273" w:firstLineChars="112"/>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5.1 </w:t>
      </w:r>
      <w:r>
        <w:rPr>
          <w:rFonts w:hint="eastAsia" w:ascii="仿宋" w:hAnsi="仿宋" w:eastAsia="仿宋" w:cs="仿宋"/>
          <w:bCs/>
          <w:color w:val="auto"/>
          <w:sz w:val="24"/>
          <w:szCs w:val="24"/>
          <w:lang w:eastAsia="zh-CN"/>
        </w:rPr>
        <w:t>竞争性磋商文件</w:t>
      </w:r>
      <w:r>
        <w:rPr>
          <w:rFonts w:hint="eastAsia" w:ascii="仿宋" w:hAnsi="仿宋" w:eastAsia="仿宋" w:cs="仿宋"/>
          <w:bCs/>
          <w:color w:val="auto"/>
          <w:sz w:val="24"/>
          <w:szCs w:val="24"/>
        </w:rPr>
        <w:t>由</w:t>
      </w:r>
      <w:r>
        <w:rPr>
          <w:rFonts w:hint="eastAsia" w:ascii="仿宋" w:hAnsi="仿宋" w:eastAsia="仿宋" w:cs="仿宋"/>
          <w:color w:val="auto"/>
          <w:sz w:val="24"/>
          <w:szCs w:val="24"/>
        </w:rPr>
        <w:t>招标公告、 投标须知、</w:t>
      </w:r>
      <w:r>
        <w:rPr>
          <w:rFonts w:hint="eastAsia" w:ascii="仿宋" w:hAnsi="仿宋" w:eastAsia="仿宋" w:cs="仿宋"/>
          <w:color w:val="auto"/>
          <w:kern w:val="2"/>
          <w:sz w:val="24"/>
          <w:szCs w:val="24"/>
          <w:lang w:eastAsia="zh-CN"/>
        </w:rPr>
        <w:t>服务</w:t>
      </w:r>
      <w:r>
        <w:rPr>
          <w:rFonts w:hint="eastAsia" w:ascii="仿宋" w:hAnsi="仿宋" w:eastAsia="仿宋" w:cs="仿宋"/>
          <w:color w:val="auto"/>
          <w:kern w:val="2"/>
          <w:sz w:val="24"/>
          <w:szCs w:val="24"/>
        </w:rPr>
        <w:t>需求、技术说明、</w:t>
      </w:r>
      <w:r>
        <w:rPr>
          <w:rFonts w:hint="eastAsia" w:ascii="仿宋" w:hAnsi="仿宋" w:eastAsia="仿宋" w:cs="仿宋"/>
          <w:color w:val="auto"/>
          <w:sz w:val="24"/>
          <w:szCs w:val="24"/>
        </w:rPr>
        <w:t>招标说明、投标说明、开标、评标、定标说明、商务部分、投标文件的编制装订</w:t>
      </w:r>
      <w:r>
        <w:rPr>
          <w:rFonts w:hint="eastAsia" w:ascii="仿宋" w:hAnsi="仿宋" w:eastAsia="仿宋" w:cs="仿宋"/>
          <w:bCs/>
          <w:color w:val="auto"/>
          <w:sz w:val="24"/>
          <w:szCs w:val="24"/>
        </w:rPr>
        <w:t>。</w:t>
      </w:r>
    </w:p>
    <w:p w14:paraId="26719FED">
      <w:pPr>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rPr>
        <w:t xml:space="preserve">6. </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的澄清</w:t>
      </w:r>
    </w:p>
    <w:p w14:paraId="0C45060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6.1投标人对</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如有疑点，可在投标截止日的</w:t>
      </w:r>
      <w:r>
        <w:rPr>
          <w:rFonts w:hint="eastAsia" w:ascii="仿宋" w:hAnsi="仿宋" w:eastAsia="仿宋" w:cs="仿宋"/>
          <w:bCs/>
          <w:sz w:val="24"/>
          <w:szCs w:val="24"/>
          <w:lang w:val="en-US" w:eastAsia="zh-CN"/>
        </w:rPr>
        <w:t>3</w:t>
      </w:r>
      <w:r>
        <w:rPr>
          <w:rFonts w:hint="eastAsia" w:ascii="仿宋" w:hAnsi="仿宋" w:eastAsia="仿宋" w:cs="仿宋"/>
          <w:bCs/>
          <w:sz w:val="24"/>
          <w:szCs w:val="24"/>
        </w:rPr>
        <w:t>日前按招标书中载明的地址以书面形式通知采购代理机构要求澄清。采购代理机构将视情况确定采用适当方式予以澄清或以书面形式予以答复。采购代理机构认为有必要时，可将答复内容（包括原提出问题，但不包括问题的来源）分发给所有拟投标人。</w:t>
      </w:r>
    </w:p>
    <w:p w14:paraId="5726D1F4">
      <w:pPr>
        <w:spacing w:line="360" w:lineRule="exact"/>
        <w:ind w:left="182" w:leftChars="85" w:firstLine="245" w:firstLineChars="100"/>
        <w:jc w:val="left"/>
        <w:rPr>
          <w:rFonts w:hint="eastAsia" w:ascii="仿宋" w:hAnsi="仿宋" w:eastAsia="仿宋" w:cs="仿宋"/>
          <w:b/>
          <w:sz w:val="24"/>
          <w:szCs w:val="24"/>
        </w:rPr>
      </w:pPr>
      <w:r>
        <w:rPr>
          <w:rFonts w:hint="eastAsia" w:ascii="仿宋" w:hAnsi="仿宋" w:eastAsia="仿宋" w:cs="仿宋"/>
          <w:b/>
          <w:sz w:val="24"/>
          <w:szCs w:val="24"/>
        </w:rPr>
        <w:t xml:space="preserve">7. </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的修改或补充、修改</w:t>
      </w:r>
    </w:p>
    <w:p w14:paraId="164CBA0F">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7.1 采购人或者采购代理机构可以对已发出的</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进行必要的澄清或者修改。澄清或者修改的内容可能影响投标文件编制的，采购人或者采购代理机构应当在投标截止时间至少</w:t>
      </w:r>
      <w:r>
        <w:rPr>
          <w:rFonts w:hint="eastAsia" w:ascii="仿宋" w:hAnsi="仿宋" w:eastAsia="仿宋" w:cs="仿宋"/>
          <w:bCs/>
          <w:sz w:val="24"/>
          <w:szCs w:val="24"/>
          <w:lang w:val="en-US" w:eastAsia="zh-CN"/>
        </w:rPr>
        <w:t>3</w:t>
      </w:r>
      <w:r>
        <w:rPr>
          <w:rFonts w:hint="eastAsia" w:ascii="仿宋" w:hAnsi="仿宋" w:eastAsia="仿宋" w:cs="仿宋"/>
          <w:bCs/>
          <w:sz w:val="24"/>
          <w:szCs w:val="24"/>
        </w:rPr>
        <w:t>日前，以书面形式通知所有获取</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的潜在投标人</w:t>
      </w:r>
      <w:r>
        <w:rPr>
          <w:rFonts w:hint="eastAsia" w:ascii="仿宋" w:hAnsi="仿宋" w:eastAsia="仿宋" w:cs="仿宋"/>
          <w:bCs/>
          <w:sz w:val="24"/>
          <w:szCs w:val="24"/>
          <w:lang w:eastAsia="zh-CN"/>
        </w:rPr>
        <w:t>；</w:t>
      </w:r>
      <w:r>
        <w:rPr>
          <w:rFonts w:hint="eastAsia" w:ascii="仿宋" w:hAnsi="仿宋" w:eastAsia="仿宋" w:cs="仿宋"/>
          <w:bCs/>
          <w:sz w:val="24"/>
          <w:szCs w:val="24"/>
        </w:rPr>
        <w:t>不足</w:t>
      </w:r>
      <w:r>
        <w:rPr>
          <w:rFonts w:hint="eastAsia" w:ascii="仿宋" w:hAnsi="仿宋" w:eastAsia="仿宋" w:cs="仿宋"/>
          <w:bCs/>
          <w:sz w:val="24"/>
          <w:szCs w:val="24"/>
          <w:lang w:val="en-US" w:eastAsia="zh-CN"/>
        </w:rPr>
        <w:t>3</w:t>
      </w:r>
      <w:r>
        <w:rPr>
          <w:rFonts w:hint="eastAsia" w:ascii="仿宋" w:hAnsi="仿宋" w:eastAsia="仿宋" w:cs="仿宋"/>
          <w:bCs/>
          <w:sz w:val="24"/>
          <w:szCs w:val="24"/>
        </w:rPr>
        <w:t>日的，采购人或者采购代理机构应当顺延提交投标文件的截止时间。</w:t>
      </w:r>
    </w:p>
    <w:p w14:paraId="1094829C">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7.2 为使投标人在准备投标时有适当的时间考虑投标文件的修改，采购代理机构有权决定推迟投标截止日期和开标日期，并将此变更以书面或公告等形式通知所有投标人。</w:t>
      </w:r>
    </w:p>
    <w:p w14:paraId="2707CEE2">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7.3 </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的修改和补充文件将构成</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的一部分，并且对投标人具有优先约束力。</w:t>
      </w:r>
    </w:p>
    <w:p w14:paraId="383203EA">
      <w:pPr>
        <w:pStyle w:val="5"/>
        <w:rPr>
          <w:rFonts w:hint="eastAsia" w:ascii="仿宋" w:hAnsi="仿宋" w:eastAsia="仿宋" w:cs="仿宋"/>
          <w:b/>
          <w:sz w:val="24"/>
          <w:szCs w:val="24"/>
        </w:rPr>
      </w:pPr>
      <w:r>
        <w:rPr>
          <w:rFonts w:hint="eastAsia" w:ascii="仿宋" w:hAnsi="仿宋" w:eastAsia="仿宋" w:cs="仿宋"/>
          <w:b/>
          <w:sz w:val="24"/>
          <w:szCs w:val="24"/>
        </w:rPr>
        <w:t>8. 廉洁自律承诺要求</w:t>
      </w:r>
    </w:p>
    <w:p w14:paraId="797FB442">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8.1 在本次招标活动中，</w:t>
      </w:r>
      <w:r>
        <w:rPr>
          <w:rFonts w:hint="eastAsia" w:ascii="仿宋" w:hAnsi="仿宋" w:eastAsia="仿宋" w:cs="仿宋"/>
          <w:bCs/>
          <w:sz w:val="24"/>
          <w:szCs w:val="24"/>
          <w:lang w:eastAsia="zh-CN"/>
        </w:rPr>
        <w:t>新疆众禾顺晟工程管理咨询有限公司</w:t>
      </w:r>
      <w:r>
        <w:rPr>
          <w:rFonts w:hint="eastAsia" w:ascii="仿宋" w:hAnsi="仿宋" w:eastAsia="仿宋" w:cs="仿宋"/>
          <w:bCs/>
          <w:sz w:val="24"/>
          <w:szCs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504793">
      <w:pPr>
        <w:pStyle w:val="5"/>
        <w:rPr>
          <w:rFonts w:hint="eastAsia"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 招标会场纪律及要求</w:t>
      </w:r>
    </w:p>
    <w:p w14:paraId="7C4DF6A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.1 会议按照“公开、公平、公正、诚信”的原则，招标采取全封闭方式主持进行。</w:t>
      </w:r>
    </w:p>
    <w:p w14:paraId="0508A94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.2 凡没有按投标报价截止时间准时参加会议的投标人、评审专家、与招标活动有关的工作人员（即监标人、采购人代表、特邀代表、工作人员等），一律不允许进场。</w:t>
      </w:r>
    </w:p>
    <w:p w14:paraId="33A088D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.3 与会人员要关闭手机等</w:t>
      </w:r>
      <w:r>
        <w:rPr>
          <w:rFonts w:hint="eastAsia" w:ascii="仿宋" w:hAnsi="仿宋" w:eastAsia="仿宋" w:cs="仿宋"/>
          <w:bCs/>
          <w:sz w:val="24"/>
          <w:szCs w:val="24"/>
          <w:lang w:eastAsia="zh-CN"/>
        </w:rPr>
        <w:t>一切通信</w:t>
      </w:r>
      <w:r>
        <w:rPr>
          <w:rFonts w:hint="eastAsia" w:ascii="仿宋" w:hAnsi="仿宋" w:eastAsia="仿宋" w:cs="仿宋"/>
          <w:bCs/>
          <w:sz w:val="24"/>
          <w:szCs w:val="24"/>
        </w:rPr>
        <w:t>工具，严禁在会场大声喧哗。否则，将请你离开会场。</w:t>
      </w:r>
    </w:p>
    <w:p w14:paraId="4AFE5DBF">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.4 严禁投标方会议期间与评委单独接触和交往。</w:t>
      </w:r>
    </w:p>
    <w:p w14:paraId="06EE456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.5 评标活动结束前，评标委员会各成员务必自觉做到不与外界及</w:t>
      </w:r>
      <w:r>
        <w:rPr>
          <w:rFonts w:hint="eastAsia" w:ascii="仿宋" w:hAnsi="仿宋" w:eastAsia="仿宋" w:cs="仿宋"/>
          <w:bCs/>
          <w:sz w:val="24"/>
          <w:szCs w:val="24"/>
          <w:lang w:eastAsia="zh-CN"/>
        </w:rPr>
        <w:t>投标</w:t>
      </w:r>
      <w:r>
        <w:rPr>
          <w:rFonts w:hint="eastAsia" w:ascii="仿宋" w:hAnsi="仿宋" w:eastAsia="仿宋" w:cs="仿宋"/>
          <w:bCs/>
          <w:sz w:val="24"/>
          <w:szCs w:val="24"/>
        </w:rPr>
        <w:t>人有任何形式的联系，确有特殊原因需要外出或其他方面的，必须由监标人提交采购代理机构后，方可外出，外出时须有监标人员陪同。</w:t>
      </w:r>
    </w:p>
    <w:p w14:paraId="0AB73C71">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.6</w:t>
      </w:r>
      <w:r>
        <w:rPr>
          <w:rFonts w:hint="eastAsia" w:ascii="仿宋" w:hAnsi="仿宋" w:eastAsia="仿宋" w:cs="仿宋"/>
          <w:bCs/>
          <w:sz w:val="24"/>
          <w:szCs w:val="24"/>
          <w:lang w:eastAsia="zh-CN"/>
        </w:rPr>
        <w:t>投标</w:t>
      </w:r>
      <w:r>
        <w:rPr>
          <w:rFonts w:hint="eastAsia" w:ascii="仿宋" w:hAnsi="仿宋" w:eastAsia="仿宋" w:cs="仿宋"/>
          <w:bCs/>
          <w:sz w:val="24"/>
          <w:szCs w:val="24"/>
        </w:rPr>
        <w:t>人如果认为参加本次评标的专家成员及其他与会人员与其他</w:t>
      </w:r>
      <w:r>
        <w:rPr>
          <w:rFonts w:hint="eastAsia" w:ascii="仿宋" w:hAnsi="仿宋" w:eastAsia="仿宋" w:cs="仿宋"/>
          <w:bCs/>
          <w:sz w:val="24"/>
          <w:szCs w:val="24"/>
          <w:lang w:eastAsia="zh-CN"/>
        </w:rPr>
        <w:t>投标</w:t>
      </w:r>
      <w:r>
        <w:rPr>
          <w:rFonts w:hint="eastAsia" w:ascii="仿宋" w:hAnsi="仿宋" w:eastAsia="仿宋" w:cs="仿宋"/>
          <w:bCs/>
          <w:sz w:val="24"/>
          <w:szCs w:val="24"/>
        </w:rPr>
        <w:t>人有利害关系的，可以现场申请其回避。如不申请其回避的，则视同无利害关系。</w:t>
      </w:r>
    </w:p>
    <w:p w14:paraId="2D43282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.7对各</w:t>
      </w:r>
      <w:r>
        <w:rPr>
          <w:rFonts w:hint="eastAsia" w:ascii="仿宋" w:hAnsi="仿宋" w:eastAsia="仿宋" w:cs="仿宋"/>
          <w:bCs/>
          <w:sz w:val="24"/>
          <w:szCs w:val="24"/>
          <w:lang w:eastAsia="zh-CN"/>
        </w:rPr>
        <w:t>投标</w:t>
      </w:r>
      <w:r>
        <w:rPr>
          <w:rFonts w:hint="eastAsia" w:ascii="仿宋" w:hAnsi="仿宋" w:eastAsia="仿宋" w:cs="仿宋"/>
          <w:bCs/>
          <w:sz w:val="24"/>
          <w:szCs w:val="24"/>
        </w:rPr>
        <w:t>人的资格审查、开标、报价、评标、询标（答疑）、澄清、定标等工作，采取逐一方式进行，评</w:t>
      </w:r>
      <w:r>
        <w:rPr>
          <w:rFonts w:hint="eastAsia" w:ascii="仿宋" w:hAnsi="仿宋" w:eastAsia="仿宋" w:cs="仿宋"/>
          <w:bCs/>
          <w:sz w:val="24"/>
          <w:szCs w:val="24"/>
          <w:lang w:eastAsia="zh-CN"/>
        </w:rPr>
        <w:t>标</w:t>
      </w:r>
      <w:r>
        <w:rPr>
          <w:rFonts w:hint="eastAsia" w:ascii="仿宋" w:hAnsi="仿宋" w:eastAsia="仿宋" w:cs="仿宋"/>
          <w:bCs/>
          <w:sz w:val="24"/>
          <w:szCs w:val="24"/>
        </w:rPr>
        <w:t>期间</w:t>
      </w:r>
      <w:r>
        <w:rPr>
          <w:rFonts w:hint="eastAsia" w:ascii="仿宋" w:hAnsi="仿宋" w:eastAsia="仿宋" w:cs="仿宋"/>
          <w:bCs/>
          <w:sz w:val="24"/>
          <w:szCs w:val="24"/>
          <w:lang w:eastAsia="zh-CN"/>
        </w:rPr>
        <w:t>投标</w:t>
      </w:r>
      <w:r>
        <w:rPr>
          <w:rFonts w:hint="eastAsia" w:ascii="仿宋" w:hAnsi="仿宋" w:eastAsia="仿宋" w:cs="仿宋"/>
          <w:bCs/>
          <w:sz w:val="24"/>
          <w:szCs w:val="24"/>
        </w:rPr>
        <w:t>人务必保持通讯工具的畅通，不要远离招标现场，以便及时联络和不延误工作。若发生通讯工具不通或备案通讯工具号码有误，无法实现联络的，或无理拒绝或不执行采购人工作安排的，将视同自愿放弃本次投标权利。</w:t>
      </w:r>
    </w:p>
    <w:p w14:paraId="114BDFB5">
      <w:pPr>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.8 凡是</w:t>
      </w:r>
      <w:r>
        <w:rPr>
          <w:rFonts w:hint="eastAsia" w:ascii="仿宋" w:hAnsi="仿宋" w:eastAsia="仿宋" w:cs="仿宋"/>
          <w:b/>
          <w:sz w:val="24"/>
          <w:szCs w:val="24"/>
          <w:lang w:eastAsia="zh-CN"/>
        </w:rPr>
        <w:t>需要经过</w:t>
      </w:r>
      <w:r>
        <w:rPr>
          <w:rFonts w:hint="eastAsia" w:ascii="仿宋" w:hAnsi="仿宋" w:eastAsia="仿宋" w:cs="仿宋"/>
          <w:b/>
          <w:sz w:val="24"/>
          <w:szCs w:val="24"/>
        </w:rPr>
        <w:t>会议通过的事宜事项，采购人对投标人在招标</w:t>
      </w:r>
      <w:r>
        <w:rPr>
          <w:rFonts w:hint="eastAsia" w:ascii="仿宋" w:hAnsi="仿宋" w:eastAsia="仿宋" w:cs="仿宋"/>
          <w:b/>
          <w:sz w:val="24"/>
          <w:szCs w:val="24"/>
          <w:lang w:eastAsia="zh-CN"/>
        </w:rPr>
        <w:t>之后</w:t>
      </w:r>
      <w:r>
        <w:rPr>
          <w:rFonts w:hint="eastAsia" w:ascii="仿宋" w:hAnsi="仿宋" w:eastAsia="仿宋" w:cs="仿宋"/>
          <w:b/>
          <w:sz w:val="24"/>
          <w:szCs w:val="24"/>
        </w:rPr>
        <w:t>发生的已通过事宜事项的质疑或投诉，将不予采信。</w:t>
      </w:r>
    </w:p>
    <w:p w14:paraId="4A2D3B34">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0</w:t>
      </w:r>
      <w:r>
        <w:rPr>
          <w:rFonts w:hint="eastAsia" w:ascii="仿宋" w:hAnsi="仿宋" w:eastAsia="仿宋" w:cs="仿宋"/>
          <w:bCs/>
          <w:sz w:val="24"/>
          <w:szCs w:val="24"/>
        </w:rPr>
        <w:t>. 招标评标须在监标人的监督下由采购代理机构组织进行。评标委员会各成员、采购人代表、投标人、特邀代表、工作人员等与会人员如有违纪、违规行为，监标人有权予以纠正或制止。</w:t>
      </w:r>
    </w:p>
    <w:p w14:paraId="10BE1990">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．与评标活动有关的工作人员。是指评标委员会成员以外的、因参与评标监督工作或者事务性工作而知悉有关评标情况的所有人员。</w:t>
      </w:r>
    </w:p>
    <w:p w14:paraId="1F0D391F">
      <w:pPr>
        <w:pStyle w:val="5"/>
        <w:ind w:firstLine="0"/>
        <w:jc w:val="center"/>
        <w:rPr>
          <w:rFonts w:hint="eastAsia" w:ascii="仿宋" w:hAnsi="仿宋" w:eastAsia="仿宋" w:cs="仿宋"/>
          <w:b/>
          <w:kern w:val="2"/>
          <w:sz w:val="24"/>
          <w:szCs w:val="24"/>
        </w:rPr>
      </w:pPr>
      <w:r>
        <w:rPr>
          <w:rFonts w:hint="eastAsia" w:ascii="仿宋" w:hAnsi="仿宋" w:eastAsia="仿宋" w:cs="仿宋"/>
          <w:b/>
          <w:kern w:val="2"/>
          <w:sz w:val="24"/>
          <w:szCs w:val="24"/>
        </w:rPr>
        <w:br w:type="page"/>
      </w:r>
      <w:r>
        <w:rPr>
          <w:rFonts w:hint="eastAsia" w:ascii="仿宋" w:hAnsi="仿宋" w:eastAsia="仿宋" w:cs="仿宋"/>
          <w:b/>
          <w:kern w:val="2"/>
          <w:sz w:val="24"/>
          <w:szCs w:val="24"/>
        </w:rPr>
        <w:t>第五部分 投标说明</w:t>
      </w:r>
    </w:p>
    <w:p w14:paraId="140341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第一章 对投标方的资质要求</w:t>
      </w:r>
    </w:p>
    <w:p w14:paraId="0292DA5F">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rPr>
        <w:t>1.1 投标人必须提交能够证明其具有履行本招标项目合同能力的资质证明文件，作为投标文件的一部分。</w:t>
      </w:r>
    </w:p>
    <w:p w14:paraId="498B7446">
      <w:pPr>
        <w:pStyle w:val="7"/>
        <w:ind w:firstLine="490" w:firstLineChars="200"/>
        <w:rPr>
          <w:rFonts w:hint="eastAsia" w:ascii="仿宋" w:hAnsi="仿宋" w:eastAsia="仿宋" w:cs="仿宋"/>
          <w:sz w:val="24"/>
          <w:szCs w:val="24"/>
          <w:lang w:val="zh-CN"/>
        </w:rPr>
      </w:pPr>
      <w:r>
        <w:rPr>
          <w:rFonts w:hint="eastAsia" w:ascii="仿宋" w:hAnsi="仿宋" w:eastAsia="仿宋" w:cs="仿宋"/>
          <w:bCs/>
          <w:sz w:val="24"/>
          <w:szCs w:val="24"/>
        </w:rPr>
        <w:t xml:space="preserve">1.2 </w:t>
      </w:r>
      <w:r>
        <w:rPr>
          <w:rFonts w:hint="eastAsia" w:ascii="仿宋" w:hAnsi="仿宋" w:eastAsia="仿宋" w:cs="仿宋"/>
          <w:b/>
          <w:sz w:val="24"/>
          <w:szCs w:val="24"/>
        </w:rPr>
        <w:t>投标时资格审查的必要条件。如果不能提供或有缺项则视为对</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资格审查内容的不响应，其投标将被拒绝。</w:t>
      </w:r>
    </w:p>
    <w:p w14:paraId="342F903E">
      <w:pPr>
        <w:spacing w:line="360" w:lineRule="auto"/>
        <w:ind w:firstLine="490" w:firstLineChars="200"/>
        <w:rPr>
          <w:rFonts w:hint="eastAsia" w:ascii="仿宋" w:hAnsi="仿宋" w:eastAsia="仿宋" w:cs="仿宋"/>
          <w:b/>
          <w:sz w:val="24"/>
          <w:szCs w:val="24"/>
        </w:rPr>
      </w:pPr>
      <w:r>
        <w:rPr>
          <w:rFonts w:hint="eastAsia" w:ascii="仿宋" w:hAnsi="仿宋" w:eastAsia="仿宋" w:cs="仿宋"/>
          <w:bCs/>
          <w:sz w:val="24"/>
          <w:szCs w:val="24"/>
        </w:rPr>
        <w:t>1.3</w:t>
      </w:r>
      <w:r>
        <w:rPr>
          <w:rFonts w:hint="eastAsia" w:ascii="仿宋" w:hAnsi="仿宋" w:eastAsia="仿宋" w:cs="仿宋"/>
          <w:b/>
          <w:bCs/>
          <w:sz w:val="24"/>
          <w:szCs w:val="24"/>
        </w:rPr>
        <w:t>开标现场对投标方投标资质中的所有投标资质及评标所需的资料证明等，严格遵循“第四部分”中</w:t>
      </w:r>
      <w:r>
        <w:rPr>
          <w:rFonts w:hint="eastAsia" w:ascii="仿宋" w:hAnsi="仿宋" w:eastAsia="仿宋" w:cs="仿宋"/>
          <w:b/>
          <w:sz w:val="24"/>
          <w:szCs w:val="24"/>
        </w:rPr>
        <w:t>条款之规定。</w:t>
      </w:r>
    </w:p>
    <w:p w14:paraId="76E67D72">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1.4投标方保证和承诺所投产品报价不存在恶意或有意压价、恶意或有意虚报报价，也不存在恶意或有意抬高报价等行为。 </w:t>
      </w:r>
    </w:p>
    <w:p w14:paraId="69F4F82B">
      <w:pPr>
        <w:spacing w:line="360" w:lineRule="auto"/>
        <w:ind w:firstLine="490" w:firstLineChars="200"/>
        <w:rPr>
          <w:rFonts w:hint="eastAsia" w:ascii="仿宋" w:hAnsi="仿宋" w:eastAsia="仿宋" w:cs="仿宋"/>
          <w:b/>
          <w:sz w:val="24"/>
          <w:szCs w:val="24"/>
        </w:rPr>
      </w:pPr>
      <w:r>
        <w:rPr>
          <w:rFonts w:hint="eastAsia" w:ascii="仿宋" w:hAnsi="仿宋" w:eastAsia="仿宋" w:cs="仿宋"/>
          <w:bCs/>
          <w:sz w:val="24"/>
          <w:szCs w:val="24"/>
        </w:rPr>
        <w:t>1.5投标方保证和承诺不存在</w:t>
      </w:r>
      <w:r>
        <w:rPr>
          <w:rFonts w:hint="eastAsia" w:ascii="仿宋" w:hAnsi="仿宋" w:eastAsia="仿宋" w:cs="仿宋"/>
          <w:bCs/>
          <w:sz w:val="24"/>
          <w:szCs w:val="24"/>
          <w:lang w:eastAsia="zh-CN"/>
        </w:rPr>
        <w:t>与其他</w:t>
      </w:r>
      <w:r>
        <w:rPr>
          <w:rFonts w:hint="eastAsia" w:ascii="仿宋" w:hAnsi="仿宋" w:eastAsia="仿宋" w:cs="仿宋"/>
          <w:bCs/>
          <w:sz w:val="24"/>
          <w:szCs w:val="24"/>
        </w:rPr>
        <w:t xml:space="preserve">投标人有串标、陪标等行为。 </w:t>
      </w:r>
    </w:p>
    <w:p w14:paraId="77310B7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第二章 投标文件的编写</w:t>
      </w:r>
    </w:p>
    <w:p w14:paraId="25207A28">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zh-CN"/>
        </w:rPr>
        <w:t>．要求</w:t>
      </w:r>
    </w:p>
    <w:p w14:paraId="2B7C4897">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2.1 投标人应详细阅读</w:t>
      </w:r>
      <w:r>
        <w:rPr>
          <w:rFonts w:hint="eastAsia" w:ascii="仿宋" w:hAnsi="仿宋" w:eastAsia="仿宋" w:cs="仿宋"/>
          <w:bCs/>
          <w:sz w:val="24"/>
          <w:szCs w:val="24"/>
        </w:rPr>
        <w:t>采购代理机构</w:t>
      </w:r>
      <w:r>
        <w:rPr>
          <w:rFonts w:hint="eastAsia" w:ascii="仿宋" w:hAnsi="仿宋" w:eastAsia="仿宋" w:cs="仿宋"/>
          <w:sz w:val="24"/>
          <w:szCs w:val="24"/>
          <w:lang w:val="zh-CN"/>
        </w:rPr>
        <w:t>的竞争性磋商文件中的条款、规范、表示、条件和格式等所有内容，按竞争性磋商文件的要求编制投标文件和提供要求份数的投标文件，并保证所提供全部材料的真实性；投标文件必须对竞争性磋商文件提出的要求和条件作出实质性响应。否则，其投标可能将被拒绝。</w:t>
      </w:r>
    </w:p>
    <w:p w14:paraId="07B88A8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2.2 允许投标人对竞争性磋商文件中的所有包投标，也可根据本企业生产或代理产品的情况对部分包进行投标，但不允许投标人对某一包中的一项或部分项进行投标。采购人可选择一家投标人为所有包的成交人，也可选择若干个分别中标。</w:t>
      </w:r>
    </w:p>
    <w:p w14:paraId="0F6443C4">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val="zh-CN"/>
        </w:rPr>
        <w:t>．投标文件语言和度量单位</w:t>
      </w:r>
    </w:p>
    <w:p w14:paraId="537A23A9">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3.1 竞争性磋商文件及投标人和</w:t>
      </w:r>
      <w:r>
        <w:rPr>
          <w:rFonts w:hint="eastAsia" w:ascii="仿宋" w:hAnsi="仿宋" w:eastAsia="仿宋" w:cs="仿宋"/>
          <w:bCs/>
          <w:sz w:val="24"/>
          <w:szCs w:val="24"/>
        </w:rPr>
        <w:t>采购代理机构</w:t>
      </w:r>
      <w:r>
        <w:rPr>
          <w:rFonts w:hint="eastAsia" w:ascii="仿宋" w:hAnsi="仿宋" w:eastAsia="仿宋" w:cs="仿宋"/>
          <w:sz w:val="24"/>
          <w:szCs w:val="24"/>
          <w:lang w:val="zh-CN"/>
        </w:rPr>
        <w:t>就招标、投标交换的文件和往来信件，须以中文书写。</w:t>
      </w:r>
    </w:p>
    <w:p w14:paraId="312515E7">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3.2 除在竞争性磋商文件的技术规格中另有规定外，计量单位应使用中华人民共和国法定计量单位。</w:t>
      </w:r>
    </w:p>
    <w:p w14:paraId="422FFE3A">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zh-CN"/>
        </w:rPr>
        <w:t>．投标文件的组成</w:t>
      </w:r>
    </w:p>
    <w:p w14:paraId="7565D8B8">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4.1 投标人编写的投标文件应包括下列内容：</w:t>
      </w:r>
    </w:p>
    <w:p w14:paraId="50C8E8D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1、投标函</w:t>
      </w:r>
    </w:p>
    <w:p w14:paraId="353DC6B6">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2、法定代表人资格证明书、法定代表人的授权委托书</w:t>
      </w:r>
    </w:p>
    <w:p w14:paraId="10D4CEBF">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3、报价一览表</w:t>
      </w:r>
    </w:p>
    <w:p w14:paraId="71E264A4">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4、供应商资质证明文件，包括：</w:t>
      </w:r>
    </w:p>
    <w:p w14:paraId="0159717C">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1、营业执照；</w:t>
      </w:r>
    </w:p>
    <w:p w14:paraId="21CAE557">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4.2、</w:t>
      </w:r>
      <w:r>
        <w:rPr>
          <w:rFonts w:hint="eastAsia" w:ascii="仿宋" w:hAnsi="仿宋" w:eastAsia="仿宋" w:cs="仿宋"/>
          <w:sz w:val="24"/>
          <w:szCs w:val="24"/>
          <w:lang w:val="zh-CN"/>
        </w:rPr>
        <w:t xml:space="preserve">未被“信用中国”（www.creditchina.gov.cn）、中国政府采购网（www.ccgp.gov.cn）列入失信被执行人、严重失信主体名单、政府采购严重违法失信行为记录名单的网页截图并加盖公章；  </w:t>
      </w:r>
    </w:p>
    <w:p w14:paraId="6E5AD8A6">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4.3、投标保证金缴纳凭证。</w:t>
      </w:r>
    </w:p>
    <w:p w14:paraId="7565DB4D">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无重大违法记录的书面声明（详见附件5）；</w:t>
      </w:r>
    </w:p>
    <w:p w14:paraId="2BBE10B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“重法纪、讲诚信”承诺书（详见附件</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p>
    <w:p w14:paraId="3AF8629C">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反商业贿赂承诺书（详见附件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p>
    <w:p w14:paraId="3B481709">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商务条款偏离表（详见附件</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p>
    <w:p w14:paraId="038EAE54">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年同类项目业绩表（详见附件1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w:t>
      </w:r>
    </w:p>
    <w:p w14:paraId="268FA3BD">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拟派项目负责人简历表（详见附件1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p>
    <w:p w14:paraId="6FB71B85">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技术规格偏离表（详见附件</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p>
    <w:p w14:paraId="01326F0C">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技术支持及服务承诺书（详见附件</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w:t>
      </w:r>
    </w:p>
    <w:p w14:paraId="1B0CCE9F">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服务方案（详见附件1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p>
    <w:p w14:paraId="1591256C">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投标单位（投标单位）《遵守政府采购相关法律法规承诺书》（详见附件1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p>
    <w:p w14:paraId="3205D69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不参与围标串标承诺书（详见附件1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p>
    <w:p w14:paraId="6636EF9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要求提供</w:t>
      </w:r>
      <w:r>
        <w:rPr>
          <w:rFonts w:hint="eastAsia" w:ascii="仿宋" w:hAnsi="仿宋" w:eastAsia="仿宋" w:cs="仿宋"/>
          <w:color w:val="auto"/>
          <w:sz w:val="24"/>
          <w:highlight w:val="none"/>
          <w:lang w:eastAsia="zh-CN"/>
        </w:rPr>
        <w:t>的其他</w:t>
      </w:r>
      <w:r>
        <w:rPr>
          <w:rFonts w:hint="eastAsia" w:ascii="仿宋" w:hAnsi="仿宋" w:eastAsia="仿宋" w:cs="仿宋"/>
          <w:color w:val="auto"/>
          <w:sz w:val="24"/>
          <w:highlight w:val="none"/>
        </w:rPr>
        <w:t>材料以及供应商认为需要提交的材料。</w:t>
      </w:r>
    </w:p>
    <w:p w14:paraId="4B86039C">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p>
    <w:p w14:paraId="70641AD9">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lang w:val="zh-CN"/>
        </w:rPr>
        <w:t>．投标文件格式</w:t>
      </w:r>
    </w:p>
    <w:p w14:paraId="424DA859">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sz w:val="24"/>
          <w:szCs w:val="24"/>
          <w:lang w:val="zh-CN"/>
        </w:rPr>
        <w:t>5.1 投标方应按</w:t>
      </w:r>
      <w:r>
        <w:rPr>
          <w:rFonts w:hint="eastAsia" w:ascii="仿宋" w:hAnsi="仿宋" w:eastAsia="仿宋" w:cs="仿宋"/>
          <w:color w:val="auto"/>
          <w:sz w:val="24"/>
          <w:highlight w:val="none"/>
          <w:lang w:val="zh-CN"/>
        </w:rPr>
        <w:t>招标文件范本格式中提供的响应文件格式认真编制响应文件，若未按照招标文件标准格式填写的，视为不响应招标文件要求，投标将被拒绝。</w:t>
      </w:r>
    </w:p>
    <w:p w14:paraId="5BE4C91B">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6．投标报价</w:t>
      </w:r>
    </w:p>
    <w:p w14:paraId="07A1DA33">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6.1 投标方须在完成采购范围内全部内容采购及相关伴随服务全过程的全部费用。小写和大写不符，以大写为准。投标方如果不同意上述修改原则，其投标将被拒绝。投标方应标明其提供的所有</w:t>
      </w:r>
      <w:r>
        <w:rPr>
          <w:rFonts w:hint="eastAsia" w:ascii="仿宋" w:hAnsi="仿宋" w:eastAsia="仿宋" w:cs="仿宋"/>
          <w:bCs/>
          <w:sz w:val="24"/>
          <w:szCs w:val="24"/>
          <w:lang w:eastAsia="zh-CN"/>
        </w:rPr>
        <w:t>服务</w:t>
      </w:r>
      <w:r>
        <w:rPr>
          <w:rFonts w:hint="eastAsia" w:ascii="仿宋" w:hAnsi="仿宋" w:eastAsia="仿宋" w:cs="仿宋"/>
          <w:bCs/>
          <w:sz w:val="24"/>
          <w:szCs w:val="24"/>
        </w:rPr>
        <w:t>及其相关工作范围内所有费用的总价，采购人不接受有任何选择性的报价。</w:t>
      </w:r>
    </w:p>
    <w:p w14:paraId="501B1AE3">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7．投标报价的货币单位</w:t>
      </w:r>
    </w:p>
    <w:p w14:paraId="0A1940DD">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7.1 投标报价单位为人民币。</w:t>
      </w:r>
    </w:p>
    <w:p w14:paraId="228FE0A0">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8．投标文件规定的技术响应文件</w:t>
      </w:r>
    </w:p>
    <w:p w14:paraId="63C4096E">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8.1 投标方须提交证明拟供货物和服务符合</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规定的技术响应文件，作为投标文件的一部分。</w:t>
      </w:r>
    </w:p>
    <w:p w14:paraId="3B9A0C7F">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没有按要求提供资料或提供资料不完全的，将视为对</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没有做出实质性响应，其风险由投标人自行承担。</w:t>
      </w:r>
    </w:p>
    <w:p w14:paraId="1A9B4CA6">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9．投标有效期</w:t>
      </w:r>
    </w:p>
    <w:p w14:paraId="5218460D">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9.1 投标文件从开标之日起，投标有效期为90天（如不满足将导致废标）。</w:t>
      </w:r>
    </w:p>
    <w:p w14:paraId="0AF5673A">
      <w:pPr>
        <w:autoSpaceDE w:val="0"/>
        <w:autoSpaceDN w:val="0"/>
        <w:adjustRightInd w:val="0"/>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9.2 在特殊情况下，采购代理机构可与投标人协商延长投标文件的有效期。</w:t>
      </w:r>
    </w:p>
    <w:p w14:paraId="0219B25C">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10．投标保证金</w:t>
      </w:r>
    </w:p>
    <w:p w14:paraId="3AE52DB8">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0</w:t>
      </w:r>
      <w:r>
        <w:rPr>
          <w:rFonts w:hint="eastAsia" w:ascii="仿宋" w:hAnsi="仿宋" w:eastAsia="仿宋" w:cs="仿宋"/>
          <w:sz w:val="24"/>
          <w:szCs w:val="24"/>
          <w:lang w:val="zh-CN"/>
        </w:rPr>
        <w:t>.1 投标保证金是为了弥补采购人因投标人的违规行为而蒙受的损失。采购人在因投标人的违规行为而受到损害时将没收其投标保证金，作为所受损害的补偿。</w:t>
      </w:r>
    </w:p>
    <w:p w14:paraId="75B93395">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0</w:t>
      </w:r>
      <w:r>
        <w:rPr>
          <w:rFonts w:hint="eastAsia" w:ascii="仿宋" w:hAnsi="仿宋" w:eastAsia="仿宋" w:cs="仿宋"/>
          <w:sz w:val="24"/>
          <w:szCs w:val="24"/>
          <w:lang w:val="zh-CN"/>
        </w:rPr>
        <w:t>.2 投标人在提交投标文件时应交纳投标保证金，其有效期应不低于投标有效期。</w:t>
      </w:r>
    </w:p>
    <w:p w14:paraId="54098B9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0</w:t>
      </w:r>
      <w:r>
        <w:rPr>
          <w:rFonts w:hint="eastAsia" w:ascii="仿宋" w:hAnsi="仿宋" w:eastAsia="仿宋" w:cs="仿宋"/>
          <w:sz w:val="24"/>
          <w:szCs w:val="24"/>
          <w:lang w:val="zh-CN"/>
        </w:rPr>
        <w:t>.3 投标保证金不接受现金。按竞争性磋商文件要求，在投标截止时间前将本项目投标保证金从投标公司的基本账户汇到</w:t>
      </w:r>
      <w:r>
        <w:rPr>
          <w:rFonts w:hint="eastAsia" w:ascii="仿宋" w:hAnsi="仿宋" w:eastAsia="仿宋" w:cs="仿宋"/>
          <w:bCs/>
          <w:sz w:val="24"/>
          <w:szCs w:val="24"/>
        </w:rPr>
        <w:t>采购代理机构</w:t>
      </w:r>
      <w:r>
        <w:rPr>
          <w:rFonts w:hint="eastAsia" w:ascii="仿宋" w:hAnsi="仿宋" w:eastAsia="仿宋" w:cs="仿宋"/>
          <w:bCs/>
          <w:sz w:val="24"/>
          <w:szCs w:val="24"/>
          <w:lang w:eastAsia="zh-CN"/>
        </w:rPr>
        <w:t>指定账户</w:t>
      </w:r>
      <w:r>
        <w:rPr>
          <w:rFonts w:hint="eastAsia" w:ascii="仿宋" w:hAnsi="仿宋" w:eastAsia="仿宋" w:cs="仿宋"/>
          <w:sz w:val="24"/>
          <w:szCs w:val="24"/>
          <w:lang w:val="zh-CN"/>
        </w:rPr>
        <w:t>。</w:t>
      </w:r>
    </w:p>
    <w:p w14:paraId="7DED4410">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10.</w:t>
      </w:r>
      <w:r>
        <w:rPr>
          <w:rFonts w:hint="eastAsia" w:ascii="仿宋" w:hAnsi="仿宋" w:eastAsia="仿宋" w:cs="仿宋"/>
          <w:sz w:val="24"/>
          <w:szCs w:val="24"/>
          <w:lang w:val="zh-CN"/>
        </w:rPr>
        <w:t xml:space="preserve">4 </w:t>
      </w:r>
      <w:r>
        <w:rPr>
          <w:rFonts w:hint="eastAsia" w:ascii="仿宋" w:hAnsi="仿宋" w:eastAsia="仿宋" w:cs="仿宋"/>
          <w:bCs/>
          <w:sz w:val="24"/>
          <w:szCs w:val="24"/>
        </w:rPr>
        <w:t>采购代理机构</w:t>
      </w:r>
      <w:r>
        <w:rPr>
          <w:rFonts w:hint="eastAsia" w:ascii="仿宋" w:hAnsi="仿宋" w:eastAsia="仿宋" w:cs="仿宋"/>
          <w:sz w:val="24"/>
          <w:szCs w:val="24"/>
          <w:lang w:val="zh-CN"/>
        </w:rPr>
        <w:t>应当在《中标通知书》发出后5个工作日内无息退还未成交投标人的投标保证金，在采购合同签订5个工作日内无息退还中标投标人的投标保证金。</w:t>
      </w:r>
    </w:p>
    <w:p w14:paraId="1141CF51">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0</w:t>
      </w:r>
      <w:r>
        <w:rPr>
          <w:rFonts w:hint="eastAsia" w:ascii="仿宋" w:hAnsi="仿宋" w:eastAsia="仿宋" w:cs="仿宋"/>
          <w:sz w:val="24"/>
          <w:szCs w:val="24"/>
          <w:lang w:val="zh-CN"/>
        </w:rPr>
        <w:t>.5 未按竞争性磋商文件规定提交投标保证金的，</w:t>
      </w:r>
      <w:r>
        <w:rPr>
          <w:rFonts w:hint="eastAsia" w:ascii="仿宋" w:hAnsi="仿宋" w:eastAsia="仿宋" w:cs="仿宋"/>
          <w:bCs/>
          <w:sz w:val="24"/>
          <w:szCs w:val="24"/>
        </w:rPr>
        <w:t>采购代理机构</w:t>
      </w:r>
      <w:r>
        <w:rPr>
          <w:rFonts w:hint="eastAsia" w:ascii="仿宋" w:hAnsi="仿宋" w:eastAsia="仿宋" w:cs="仿宋"/>
          <w:sz w:val="24"/>
          <w:szCs w:val="24"/>
          <w:lang w:val="zh-CN"/>
        </w:rPr>
        <w:t>应当拒绝接受投标方的投标文件，视为无效投标。</w:t>
      </w:r>
    </w:p>
    <w:p w14:paraId="436A661C">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0</w:t>
      </w:r>
      <w:r>
        <w:rPr>
          <w:rFonts w:hint="eastAsia" w:ascii="仿宋" w:hAnsi="仿宋" w:eastAsia="仿宋" w:cs="仿宋"/>
          <w:sz w:val="24"/>
          <w:szCs w:val="24"/>
          <w:lang w:val="zh-CN"/>
        </w:rPr>
        <w:t>.6 下列任何情况发生时，投标报价保证金将被没收。</w:t>
      </w:r>
    </w:p>
    <w:p w14:paraId="1C89A888">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有下列情形之一的，投标保证金不予退还：</w:t>
      </w:r>
    </w:p>
    <w:p w14:paraId="7202619C">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10.6.1 投标人在提交响应文件截止时间后撤回响应文件的；</w:t>
      </w:r>
    </w:p>
    <w:p w14:paraId="4E19A3C0">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10.6.2投标人在响应文件中提供虚假材料的；</w:t>
      </w:r>
    </w:p>
    <w:p w14:paraId="6EE1D973">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10.6.3除因不可抗力或</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认可的情形以外，成交投标人不与采购人签订合同的；</w:t>
      </w:r>
    </w:p>
    <w:p w14:paraId="077D0EDE">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10.6.4投标人与采购人、其他投标人或者采购代理机构恶意串通的；</w:t>
      </w:r>
    </w:p>
    <w:p w14:paraId="7F4C0BCF">
      <w:pPr>
        <w:autoSpaceDE w:val="0"/>
        <w:autoSpaceDN w:val="0"/>
        <w:adjustRightInd w:val="0"/>
        <w:spacing w:line="360" w:lineRule="auto"/>
        <w:ind w:firstLine="490" w:firstLineChars="200"/>
        <w:jc w:val="left"/>
        <w:rPr>
          <w:rFonts w:hint="eastAsia" w:ascii="仿宋" w:hAnsi="仿宋" w:eastAsia="仿宋" w:cs="仿宋"/>
          <w:b/>
          <w:sz w:val="24"/>
          <w:szCs w:val="24"/>
        </w:rPr>
      </w:pPr>
      <w:r>
        <w:rPr>
          <w:rFonts w:hint="eastAsia" w:ascii="仿宋" w:hAnsi="仿宋" w:eastAsia="仿宋" w:cs="仿宋"/>
          <w:b/>
          <w:sz w:val="24"/>
          <w:szCs w:val="24"/>
        </w:rPr>
        <w:t>10.6.5</w:t>
      </w:r>
      <w:r>
        <w:rPr>
          <w:rFonts w:hint="eastAsia" w:ascii="仿宋" w:hAnsi="仿宋" w:eastAsia="仿宋" w:cs="仿宋"/>
          <w:b/>
          <w:sz w:val="24"/>
          <w:szCs w:val="24"/>
          <w:lang w:eastAsia="zh-CN"/>
        </w:rPr>
        <w:t>竞争性磋商文件</w:t>
      </w:r>
      <w:r>
        <w:rPr>
          <w:rFonts w:hint="eastAsia" w:ascii="仿宋" w:hAnsi="仿宋" w:eastAsia="仿宋" w:cs="仿宋"/>
          <w:b/>
          <w:sz w:val="24"/>
          <w:szCs w:val="24"/>
        </w:rPr>
        <w:t>规定的其他情形。</w:t>
      </w:r>
    </w:p>
    <w:p w14:paraId="5ADF66AC">
      <w:pPr>
        <w:pStyle w:val="7"/>
        <w:rPr>
          <w:rFonts w:hint="eastAsia" w:ascii="仿宋" w:hAnsi="仿宋" w:eastAsia="仿宋" w:cs="仿宋"/>
          <w:sz w:val="24"/>
          <w:szCs w:val="24"/>
        </w:rPr>
      </w:pPr>
    </w:p>
    <w:p w14:paraId="412DC100">
      <w:pPr>
        <w:pStyle w:val="7"/>
        <w:rPr>
          <w:rFonts w:hint="eastAsia" w:ascii="仿宋" w:hAnsi="仿宋" w:eastAsia="仿宋" w:cs="仿宋"/>
          <w:sz w:val="24"/>
          <w:szCs w:val="24"/>
        </w:rPr>
      </w:pPr>
    </w:p>
    <w:p w14:paraId="128A00FD">
      <w:pPr>
        <w:pStyle w:val="12"/>
        <w:ind w:left="0"/>
        <w:rPr>
          <w:rFonts w:hint="eastAsia" w:ascii="仿宋" w:hAnsi="仿宋" w:eastAsia="仿宋" w:cs="仿宋"/>
          <w:sz w:val="24"/>
          <w:szCs w:val="24"/>
        </w:rPr>
      </w:pPr>
    </w:p>
    <w:p w14:paraId="6C3CF922">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第三章 投标文件的递交</w:t>
      </w:r>
    </w:p>
    <w:p w14:paraId="32E769ED">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lang w:val="zh-CN"/>
        </w:rPr>
        <w:t>、投标报价截止时间</w:t>
      </w:r>
    </w:p>
    <w:p w14:paraId="574CB385">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1</w:t>
      </w:r>
      <w:r>
        <w:rPr>
          <w:rFonts w:hint="eastAsia" w:ascii="仿宋" w:hAnsi="仿宋" w:eastAsia="仿宋" w:cs="仿宋"/>
          <w:sz w:val="24"/>
          <w:szCs w:val="24"/>
          <w:lang w:val="zh-CN"/>
        </w:rPr>
        <w:t>.1 投标文件的</w:t>
      </w:r>
      <w:r>
        <w:rPr>
          <w:rFonts w:hint="eastAsia" w:ascii="仿宋" w:hAnsi="仿宋" w:eastAsia="仿宋" w:cs="仿宋"/>
          <w:sz w:val="24"/>
          <w:szCs w:val="24"/>
        </w:rPr>
        <w:t>上传</w:t>
      </w:r>
      <w:r>
        <w:rPr>
          <w:rFonts w:hint="eastAsia" w:ascii="仿宋" w:hAnsi="仿宋" w:eastAsia="仿宋" w:cs="仿宋"/>
          <w:sz w:val="24"/>
          <w:szCs w:val="24"/>
          <w:lang w:val="zh-CN"/>
        </w:rPr>
        <w:t>不得迟于</w:t>
      </w:r>
      <w:r>
        <w:rPr>
          <w:rFonts w:hint="eastAsia" w:ascii="仿宋" w:hAnsi="仿宋" w:eastAsia="仿宋" w:cs="仿宋"/>
          <w:bCs/>
          <w:sz w:val="24"/>
          <w:szCs w:val="24"/>
          <w:lang w:val="zh-CN"/>
        </w:rPr>
        <w:t>规定时间</w:t>
      </w:r>
      <w:r>
        <w:rPr>
          <w:rFonts w:hint="eastAsia" w:ascii="仿宋" w:hAnsi="仿宋" w:eastAsia="仿宋" w:cs="仿宋"/>
          <w:sz w:val="24"/>
          <w:szCs w:val="24"/>
          <w:lang w:val="zh-CN"/>
        </w:rPr>
        <w:t>。</w:t>
      </w:r>
    </w:p>
    <w:p w14:paraId="05E08AE0">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1</w:t>
      </w:r>
      <w:r>
        <w:rPr>
          <w:rFonts w:hint="eastAsia" w:ascii="仿宋" w:hAnsi="仿宋" w:eastAsia="仿宋" w:cs="仿宋"/>
          <w:sz w:val="24"/>
          <w:szCs w:val="24"/>
          <w:lang w:val="zh-CN"/>
        </w:rPr>
        <w:t>.2 参加招标的投标人的所有投标文件都必须在竞争性磋商文件规定的地点投标截止时间之前，将投标文件送达规定的指定地点。截止时间之后送达的（上传），将为无效投标，其投标将一律被拒绝。</w:t>
      </w:r>
    </w:p>
    <w:p w14:paraId="435B80F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1</w:t>
      </w:r>
      <w:r>
        <w:rPr>
          <w:rFonts w:hint="eastAsia" w:ascii="仿宋" w:hAnsi="仿宋" w:eastAsia="仿宋" w:cs="仿宋"/>
          <w:sz w:val="24"/>
          <w:szCs w:val="24"/>
          <w:lang w:val="zh-CN"/>
        </w:rPr>
        <w:t>.3 出现因竞争性磋商文件的修改而推迟投标截止时间的情况时，投标方则须按采购代理机构的修改通知重新规定的投标时间递交。</w:t>
      </w:r>
    </w:p>
    <w:p w14:paraId="4BB1972D">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lang w:val="zh-CN"/>
        </w:rPr>
        <w:t>．投标文件的补充、修改或者撤回</w:t>
      </w:r>
    </w:p>
    <w:p w14:paraId="7087F7D4">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2</w:t>
      </w:r>
      <w:r>
        <w:rPr>
          <w:rFonts w:hint="eastAsia" w:ascii="仿宋" w:hAnsi="仿宋" w:eastAsia="仿宋" w:cs="仿宋"/>
          <w:sz w:val="24"/>
          <w:szCs w:val="24"/>
          <w:lang w:val="zh-CN"/>
        </w:rPr>
        <w:t>.1 投标方在</w:t>
      </w:r>
      <w:r>
        <w:rPr>
          <w:rFonts w:hint="eastAsia" w:ascii="仿宋" w:hAnsi="仿宋" w:eastAsia="仿宋" w:cs="仿宋"/>
          <w:sz w:val="24"/>
          <w:szCs w:val="24"/>
        </w:rPr>
        <w:t>上传</w:t>
      </w:r>
      <w:r>
        <w:rPr>
          <w:rFonts w:hint="eastAsia" w:ascii="仿宋" w:hAnsi="仿宋" w:eastAsia="仿宋" w:cs="仿宋"/>
          <w:sz w:val="24"/>
          <w:szCs w:val="24"/>
          <w:lang w:val="zh-CN"/>
        </w:rPr>
        <w:t>投标文件后，可在规定的投标截止时间之前，对其投标文件进行补充、修改或者撤回。</w:t>
      </w:r>
    </w:p>
    <w:p w14:paraId="2180C0A5">
      <w:pPr>
        <w:autoSpaceDE w:val="0"/>
        <w:autoSpaceDN w:val="0"/>
        <w:adjustRightInd w:val="0"/>
        <w:spacing w:line="360" w:lineRule="auto"/>
        <w:ind w:firstLine="480"/>
        <w:rPr>
          <w:rFonts w:hint="eastAsia" w:ascii="仿宋" w:hAnsi="仿宋" w:eastAsia="仿宋" w:cs="仿宋"/>
          <w:b/>
          <w:sz w:val="24"/>
          <w:szCs w:val="24"/>
        </w:rPr>
      </w:pPr>
      <w:r>
        <w:rPr>
          <w:rFonts w:hint="eastAsia" w:ascii="仿宋" w:hAnsi="仿宋" w:eastAsia="仿宋" w:cs="仿宋"/>
          <w:sz w:val="24"/>
          <w:szCs w:val="24"/>
          <w:lang w:val="zh-CN"/>
        </w:rPr>
        <w:t>1</w:t>
      </w:r>
      <w:r>
        <w:rPr>
          <w:rFonts w:hint="eastAsia" w:ascii="仿宋" w:hAnsi="仿宋" w:eastAsia="仿宋" w:cs="仿宋"/>
          <w:sz w:val="24"/>
          <w:szCs w:val="24"/>
        </w:rPr>
        <w:t>2</w:t>
      </w: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 xml:space="preserve"> 投标方不得在开标后至投标有效期期满前撤回投标文件。否则，采购人将没收其投标保证金。</w:t>
      </w:r>
    </w:p>
    <w:p w14:paraId="3CA2C96A">
      <w:pPr>
        <w:pStyle w:val="7"/>
        <w:rPr>
          <w:rFonts w:hint="eastAsia" w:ascii="仿宋" w:hAnsi="仿宋" w:eastAsia="仿宋" w:cs="仿宋"/>
          <w:sz w:val="24"/>
          <w:szCs w:val="24"/>
        </w:rPr>
      </w:pPr>
    </w:p>
    <w:p w14:paraId="1A5798E2">
      <w:pPr>
        <w:spacing w:line="360" w:lineRule="auto"/>
        <w:ind w:left="480" w:hanging="480"/>
        <w:jc w:val="center"/>
        <w:rPr>
          <w:rFonts w:hint="eastAsia" w:ascii="仿宋" w:hAnsi="仿宋" w:eastAsia="仿宋" w:cs="仿宋"/>
          <w:b/>
          <w:sz w:val="24"/>
          <w:szCs w:val="24"/>
        </w:rPr>
      </w:pPr>
      <w:r>
        <w:rPr>
          <w:rFonts w:hint="eastAsia" w:ascii="仿宋" w:hAnsi="仿宋" w:eastAsia="仿宋" w:cs="仿宋"/>
          <w:b/>
          <w:sz w:val="24"/>
          <w:szCs w:val="24"/>
        </w:rPr>
        <w:t>第四章 评标委员会</w:t>
      </w:r>
    </w:p>
    <w:p w14:paraId="7FE979E6">
      <w:pPr>
        <w:tabs>
          <w:tab w:val="left" w:pos="1620"/>
        </w:tabs>
        <w:spacing w:line="360" w:lineRule="auto"/>
        <w:ind w:left="492" w:leftChars="229"/>
        <w:rPr>
          <w:rFonts w:hint="eastAsia" w:ascii="仿宋" w:hAnsi="仿宋" w:eastAsia="仿宋" w:cs="仿宋"/>
          <w:b/>
          <w:sz w:val="24"/>
          <w:szCs w:val="24"/>
        </w:rPr>
      </w:pPr>
      <w:r>
        <w:rPr>
          <w:rFonts w:hint="eastAsia" w:ascii="仿宋" w:hAnsi="仿宋" w:eastAsia="仿宋" w:cs="仿宋"/>
          <w:b/>
          <w:sz w:val="24"/>
          <w:szCs w:val="24"/>
        </w:rPr>
        <w:t>13、评标委员会组成</w:t>
      </w:r>
    </w:p>
    <w:p w14:paraId="6CBBAB3E">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13.1</w:t>
      </w:r>
      <w:r>
        <w:rPr>
          <w:rFonts w:hint="eastAsia" w:ascii="仿宋" w:hAnsi="仿宋" w:eastAsia="仿宋" w:cs="仿宋"/>
          <w:bCs/>
          <w:sz w:val="24"/>
          <w:szCs w:val="24"/>
          <w:lang w:eastAsia="zh-CN"/>
        </w:rPr>
        <w:t xml:space="preserve"> </w:t>
      </w:r>
      <w:r>
        <w:rPr>
          <w:rFonts w:hint="eastAsia" w:ascii="仿宋" w:hAnsi="仿宋" w:eastAsia="仿宋" w:cs="仿宋"/>
          <w:bCs/>
          <w:sz w:val="24"/>
          <w:szCs w:val="24"/>
        </w:rPr>
        <w:t>采购代理机构将根据《中华人民共和国政府采购法》规定，依法组建本次招标的评标委员会，负责组织本次招标的评标活动。评标委员会负责向采购人推荐拟中标人或者根据采购人的授权直接确定中标人。</w:t>
      </w:r>
    </w:p>
    <w:p w14:paraId="6CBF882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本竞争性磋商文件中所指的磋商小组及其成员，适用于公开招标和邀请招标的采购方式。本竞争性磋商文件中对评审委员会及其成员的要求，同时适用于采取邀请招标、竞争性磋商、询价或单一来源采购方式时依法组成的磋商小组及其成员。</w:t>
      </w:r>
    </w:p>
    <w:p w14:paraId="6DB33BBD">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13.2 评标委员会人选于开标前确定。评标委员会成员名单在中标结果确定前保密。</w:t>
      </w:r>
    </w:p>
    <w:p w14:paraId="19592047">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13.3磋商小组由采购人代表和评审专家共3人以上单数组成，其中评审专家人数不得少于磋商小组成员总数的2/3</w:t>
      </w:r>
      <w:r>
        <w:rPr>
          <w:rFonts w:hint="eastAsia" w:ascii="仿宋" w:hAnsi="仿宋" w:eastAsia="仿宋" w:cs="仿宋"/>
          <w:bCs/>
          <w:sz w:val="24"/>
          <w:szCs w:val="24"/>
          <w:lang w:eastAsia="zh-CN"/>
        </w:rPr>
        <w:t>，</w:t>
      </w:r>
      <w:r>
        <w:rPr>
          <w:rFonts w:hint="eastAsia" w:ascii="仿宋" w:hAnsi="仿宋" w:eastAsia="仿宋" w:cs="仿宋"/>
          <w:bCs/>
          <w:sz w:val="24"/>
          <w:szCs w:val="24"/>
        </w:rPr>
        <w:t>采购代理机构人员不得参加本机构代理的采购项目的评审。</w:t>
      </w:r>
    </w:p>
    <w:p w14:paraId="35E3DAE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13.4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240403D0">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14.评标委员会专家的条件和回避规定</w:t>
      </w:r>
    </w:p>
    <w:p w14:paraId="48F146BA">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14.1 评标委员会专家应符合下列条件：</w:t>
      </w:r>
    </w:p>
    <w:p w14:paraId="07E72D03">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14.1.1 熟悉</w:t>
      </w:r>
      <w:r>
        <w:rPr>
          <w:rFonts w:hint="eastAsia" w:ascii="仿宋" w:hAnsi="仿宋" w:eastAsia="仿宋" w:cs="仿宋"/>
          <w:bCs/>
          <w:sz w:val="24"/>
          <w:szCs w:val="24"/>
          <w:lang w:eastAsia="zh-CN"/>
        </w:rPr>
        <w:t>有关</w:t>
      </w:r>
      <w:r>
        <w:rPr>
          <w:rFonts w:hint="eastAsia" w:ascii="仿宋" w:hAnsi="仿宋" w:eastAsia="仿宋" w:cs="仿宋"/>
          <w:bCs/>
          <w:sz w:val="24"/>
          <w:szCs w:val="24"/>
        </w:rPr>
        <w:t>招标投标的法律法规；</w:t>
      </w:r>
    </w:p>
    <w:p w14:paraId="1AE7E911">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14.1.2 具有中级专业技术职称或同等专业水平且从事相关领域工作满8年</w:t>
      </w:r>
      <w:r>
        <w:rPr>
          <w:rFonts w:hint="eastAsia" w:ascii="仿宋" w:hAnsi="仿宋" w:eastAsia="仿宋" w:cs="仿宋"/>
          <w:bCs/>
          <w:sz w:val="24"/>
          <w:szCs w:val="24"/>
          <w:lang w:eastAsia="zh-CN"/>
        </w:rPr>
        <w:t>，</w:t>
      </w:r>
      <w:r>
        <w:rPr>
          <w:rFonts w:hint="eastAsia" w:ascii="仿宋" w:hAnsi="仿宋" w:eastAsia="仿宋" w:cs="仿宋"/>
          <w:bCs/>
          <w:sz w:val="24"/>
          <w:szCs w:val="24"/>
        </w:rPr>
        <w:t>或者具有高级专业技术职称或同等专业水平；</w:t>
      </w:r>
    </w:p>
    <w:p w14:paraId="42F6CFB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14.1.3熟悉有关招标投标的法律法规，并具有与招标项目相关的实践经验；</w:t>
      </w:r>
    </w:p>
    <w:p w14:paraId="5CA4E88A">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14.1.4 能够认真、公正、诚实、廉洁</w:t>
      </w:r>
      <w:r>
        <w:rPr>
          <w:rFonts w:hint="eastAsia" w:ascii="仿宋" w:hAnsi="仿宋" w:eastAsia="仿宋" w:cs="仿宋"/>
          <w:bCs/>
          <w:sz w:val="24"/>
          <w:szCs w:val="24"/>
          <w:lang w:eastAsia="zh-CN"/>
        </w:rPr>
        <w:t>地</w:t>
      </w:r>
      <w:r>
        <w:rPr>
          <w:rFonts w:hint="eastAsia" w:ascii="仿宋" w:hAnsi="仿宋" w:eastAsia="仿宋" w:cs="仿宋"/>
          <w:bCs/>
          <w:sz w:val="24"/>
          <w:szCs w:val="24"/>
        </w:rPr>
        <w:t>履行职责。</w:t>
      </w:r>
    </w:p>
    <w:p w14:paraId="59490E0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14.2  有下列情形之一的，不得担任评标委员会成员：</w:t>
      </w:r>
    </w:p>
    <w:p w14:paraId="7141D49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14.2.1 与投标方或者投标方主要负责人有近亲关系的或有利害关系的；</w:t>
      </w:r>
    </w:p>
    <w:p w14:paraId="6CADBBC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14.2.2 与项目主管部门或者行政监督部门的人员有近亲关系的或有利害关系的；</w:t>
      </w:r>
    </w:p>
    <w:p w14:paraId="47F4AA4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14.2.3 与投标方有经济利益关系，可能影响对投标公正评标的；</w:t>
      </w:r>
    </w:p>
    <w:p w14:paraId="1E95A6A0">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14.2.4 曾因在招标、评标以及其他与招标、投标有关活动中从事违法行为而受过行政处罚或刑事处罚的。</w:t>
      </w:r>
    </w:p>
    <w:p w14:paraId="570931E8">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15. 评标委员会成员应当熟悉并认真研究</w:t>
      </w:r>
      <w:r>
        <w:rPr>
          <w:rFonts w:hint="eastAsia" w:ascii="仿宋" w:hAnsi="仿宋" w:eastAsia="仿宋" w:cs="仿宋"/>
          <w:b/>
          <w:bCs/>
          <w:sz w:val="24"/>
          <w:szCs w:val="24"/>
          <w:lang w:eastAsia="zh-CN"/>
        </w:rPr>
        <w:t>竞争性磋商文件</w:t>
      </w:r>
      <w:r>
        <w:rPr>
          <w:rFonts w:hint="eastAsia" w:ascii="仿宋" w:hAnsi="仿宋" w:eastAsia="仿宋" w:cs="仿宋"/>
          <w:b/>
          <w:bCs/>
          <w:sz w:val="24"/>
          <w:szCs w:val="24"/>
        </w:rPr>
        <w:t>，至少应了解和熟悉以下内容：</w:t>
      </w:r>
    </w:p>
    <w:p w14:paraId="0A184418">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15.1 招标目的。</w:t>
      </w:r>
    </w:p>
    <w:p w14:paraId="4E99BC7F">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15.2 招标项目的范围、性质。</w:t>
      </w:r>
    </w:p>
    <w:p w14:paraId="181E8704">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15.3 </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中规定的主要技术要求、标准和商务条款。</w:t>
      </w:r>
    </w:p>
    <w:p w14:paraId="4E5DF70D">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15.4 </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规定的评标原则、评标标准、评标方法和在评标过程中应考虑的相关因素。</w:t>
      </w:r>
    </w:p>
    <w:p w14:paraId="793BEFE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16. 采购人应当向评标委员会提供评标所需的重要信息和数据。</w:t>
      </w:r>
    </w:p>
    <w:p w14:paraId="601A4AB8">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17. 评标委员会成员有前款规定情形之一的，应当主动提出回避。</w:t>
      </w:r>
    </w:p>
    <w:p w14:paraId="632F6CF1">
      <w:pPr>
        <w:spacing w:line="360" w:lineRule="auto"/>
        <w:ind w:firstLine="479" w:firstLineChars="196"/>
        <w:rPr>
          <w:rFonts w:hint="eastAsia" w:ascii="仿宋" w:hAnsi="仿宋" w:eastAsia="仿宋" w:cs="仿宋"/>
          <w:b/>
          <w:sz w:val="24"/>
          <w:szCs w:val="24"/>
        </w:rPr>
      </w:pPr>
      <w:r>
        <w:rPr>
          <w:rFonts w:hint="eastAsia" w:ascii="仿宋" w:hAnsi="仿宋" w:eastAsia="仿宋" w:cs="仿宋"/>
          <w:b/>
          <w:bCs/>
          <w:sz w:val="24"/>
          <w:szCs w:val="24"/>
        </w:rPr>
        <w:t>18. 评标委员会</w:t>
      </w:r>
      <w:r>
        <w:rPr>
          <w:rFonts w:hint="eastAsia" w:ascii="仿宋" w:hAnsi="仿宋" w:eastAsia="仿宋" w:cs="仿宋"/>
          <w:b/>
          <w:sz w:val="24"/>
          <w:szCs w:val="24"/>
        </w:rPr>
        <w:t xml:space="preserve">及其成员应当履行的义务： </w:t>
      </w:r>
    </w:p>
    <w:p w14:paraId="6D8EE75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18.1 遵纪守法，客观、公正、廉洁地履行职责；</w:t>
      </w:r>
    </w:p>
    <w:p w14:paraId="3142284F">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18.2 按照</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规定的评标方法和标准进行评标，严格履行签字确认手续，对评标意见承担个人责任；</w:t>
      </w:r>
    </w:p>
    <w:p w14:paraId="7BB01662">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18.3 对评标过程和结果，以及投标人的商业秘密保密；</w:t>
      </w:r>
    </w:p>
    <w:p w14:paraId="1FFE7BF0">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18.4 参与评标报告的起草；</w:t>
      </w:r>
    </w:p>
    <w:p w14:paraId="77AA9629">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18.5 配合财政部门的投诉处理工作；</w:t>
      </w:r>
    </w:p>
    <w:p w14:paraId="139731A3">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18.6 配合采购人答复</w:t>
      </w:r>
      <w:r>
        <w:rPr>
          <w:rFonts w:hint="eastAsia" w:ascii="仿宋" w:hAnsi="仿宋" w:eastAsia="仿宋" w:cs="仿宋"/>
          <w:bCs/>
          <w:sz w:val="24"/>
          <w:szCs w:val="24"/>
          <w:lang w:eastAsia="zh-CN"/>
        </w:rPr>
        <w:t>投标</w:t>
      </w:r>
      <w:r>
        <w:rPr>
          <w:rFonts w:hint="eastAsia" w:ascii="仿宋" w:hAnsi="仿宋" w:eastAsia="仿宋" w:cs="仿宋"/>
          <w:bCs/>
          <w:sz w:val="24"/>
          <w:szCs w:val="24"/>
        </w:rPr>
        <w:t>人提出的质疑。</w:t>
      </w:r>
    </w:p>
    <w:p w14:paraId="28FF0DAA">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19. 评标委员会及其成员应注意事项：</w:t>
      </w:r>
    </w:p>
    <w:p w14:paraId="0DD11501">
      <w:pPr>
        <w:spacing w:line="360" w:lineRule="auto"/>
        <w:ind w:firstLine="490" w:firstLineChars="200"/>
        <w:rPr>
          <w:rFonts w:hint="eastAsia" w:ascii="仿宋" w:hAnsi="仿宋" w:eastAsia="仿宋" w:cs="仿宋"/>
          <w:sz w:val="24"/>
          <w:szCs w:val="24"/>
        </w:rPr>
      </w:pPr>
      <w:r>
        <w:rPr>
          <w:rFonts w:hint="eastAsia" w:ascii="仿宋" w:hAnsi="仿宋" w:eastAsia="仿宋" w:cs="仿宋"/>
          <w:bCs/>
          <w:sz w:val="24"/>
          <w:szCs w:val="24"/>
        </w:rPr>
        <w:t>19.1 评标委员会应当客观、公正地履行职责，遵守职业道德，不得与任何投标人或者与招标结果有利害关系的人员进行私下接触，须响应前款</w:t>
      </w:r>
      <w:r>
        <w:rPr>
          <w:rFonts w:hint="eastAsia" w:ascii="仿宋" w:hAnsi="仿宋" w:eastAsia="仿宋" w:cs="仿宋"/>
          <w:sz w:val="24"/>
          <w:szCs w:val="24"/>
        </w:rPr>
        <w:t>“第三部分”中8.1条款之规定要求。</w:t>
      </w:r>
    </w:p>
    <w:p w14:paraId="1BE016CF">
      <w:pPr>
        <w:tabs>
          <w:tab w:val="left" w:pos="8280"/>
        </w:tabs>
        <w:spacing w:line="360" w:lineRule="auto"/>
        <w:ind w:right="-1" w:firstLine="551" w:firstLineChars="225"/>
        <w:rPr>
          <w:rFonts w:hint="eastAsia" w:ascii="仿宋" w:hAnsi="仿宋" w:eastAsia="仿宋" w:cs="仿宋"/>
          <w:bCs/>
          <w:sz w:val="24"/>
          <w:szCs w:val="24"/>
        </w:rPr>
      </w:pPr>
      <w:r>
        <w:rPr>
          <w:rFonts w:hint="eastAsia" w:ascii="仿宋" w:hAnsi="仿宋" w:eastAsia="仿宋" w:cs="仿宋"/>
          <w:bCs/>
          <w:sz w:val="24"/>
          <w:szCs w:val="24"/>
        </w:rPr>
        <w:t>19.2 评标委员会应当</w:t>
      </w:r>
      <w:r>
        <w:rPr>
          <w:rFonts w:hint="eastAsia" w:ascii="仿宋" w:hAnsi="仿宋" w:eastAsia="仿宋" w:cs="仿宋"/>
          <w:sz w:val="24"/>
          <w:szCs w:val="24"/>
        </w:rPr>
        <w:t>遵循独立评标的原则</w:t>
      </w:r>
      <w:r>
        <w:rPr>
          <w:rFonts w:hint="eastAsia" w:ascii="仿宋" w:hAnsi="仿宋" w:eastAsia="仿宋" w:cs="仿宋"/>
          <w:bCs/>
          <w:sz w:val="24"/>
          <w:szCs w:val="24"/>
        </w:rPr>
        <w:t>，按照《中华人民共和国政府采购法》，要以</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为评标的唯一依据，不做标书以外无关问题讨论和将</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中没有规定的标准和方法不得作为评标的依据。应本着“实事求是、公正诚信”的原则，根据</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规定的评标标准和方法，对投标方的投标文件进行</w:t>
      </w:r>
      <w:r>
        <w:rPr>
          <w:rFonts w:hint="eastAsia" w:ascii="仿宋" w:hAnsi="仿宋" w:eastAsia="仿宋" w:cs="仿宋"/>
          <w:bCs/>
          <w:sz w:val="24"/>
          <w:szCs w:val="24"/>
          <w:lang w:eastAsia="zh-CN"/>
        </w:rPr>
        <w:t>系统的</w:t>
      </w:r>
      <w:r>
        <w:rPr>
          <w:rFonts w:hint="eastAsia" w:ascii="仿宋" w:hAnsi="仿宋" w:eastAsia="仿宋" w:cs="仿宋"/>
          <w:bCs/>
          <w:sz w:val="24"/>
          <w:szCs w:val="24"/>
        </w:rPr>
        <w:t>评标和比较。并按要求</w:t>
      </w:r>
      <w:r>
        <w:rPr>
          <w:rFonts w:hint="eastAsia" w:ascii="仿宋" w:hAnsi="仿宋" w:eastAsia="仿宋" w:cs="仿宋"/>
          <w:sz w:val="24"/>
          <w:szCs w:val="24"/>
          <w:lang w:val="zh-CN"/>
        </w:rPr>
        <w:t>做好相关书面原始署名记录。</w:t>
      </w:r>
    </w:p>
    <w:p w14:paraId="590A8752">
      <w:pPr>
        <w:tabs>
          <w:tab w:val="left" w:pos="8280"/>
        </w:tabs>
        <w:spacing w:line="360" w:lineRule="auto"/>
        <w:ind w:right="-1" w:firstLine="551" w:firstLineChars="225"/>
        <w:rPr>
          <w:rFonts w:hint="eastAsia" w:ascii="仿宋" w:hAnsi="仿宋" w:eastAsia="仿宋" w:cs="仿宋"/>
          <w:sz w:val="24"/>
          <w:szCs w:val="24"/>
          <w:lang w:val="zh-CN"/>
        </w:rPr>
      </w:pPr>
      <w:r>
        <w:rPr>
          <w:rFonts w:hint="eastAsia" w:ascii="仿宋" w:hAnsi="仿宋" w:eastAsia="仿宋" w:cs="仿宋"/>
          <w:bCs/>
          <w:sz w:val="24"/>
          <w:szCs w:val="24"/>
        </w:rPr>
        <w:t>19.3 评标委员会应当客观、公正地履行职责。评标时，严禁存在</w:t>
      </w:r>
      <w:r>
        <w:rPr>
          <w:rFonts w:hint="eastAsia" w:ascii="仿宋" w:hAnsi="仿宋" w:eastAsia="仿宋" w:cs="仿宋"/>
          <w:sz w:val="24"/>
          <w:szCs w:val="24"/>
          <w:lang w:val="zh-CN"/>
        </w:rPr>
        <w:t>个人印象、个人关系或带有明显倾向性的行为发生。</w:t>
      </w:r>
      <w:r>
        <w:rPr>
          <w:rFonts w:hint="eastAsia" w:ascii="仿宋" w:hAnsi="仿宋" w:eastAsia="仿宋" w:cs="仿宋"/>
          <w:bCs/>
          <w:sz w:val="24"/>
          <w:szCs w:val="24"/>
        </w:rPr>
        <w:t>否则，经核实后，采购人将有权予以制止此类行为的发生，</w:t>
      </w:r>
      <w:r>
        <w:rPr>
          <w:rFonts w:hint="eastAsia" w:ascii="仿宋" w:hAnsi="仿宋" w:eastAsia="仿宋" w:cs="仿宋"/>
          <w:sz w:val="24"/>
          <w:szCs w:val="24"/>
          <w:lang w:val="zh-CN"/>
        </w:rPr>
        <w:t>责成其修正不果的，将作为不良记录记录在案，并按相关政策法规的规定和程序，向财政监管部门提出处罚建议意见。</w:t>
      </w:r>
    </w:p>
    <w:p w14:paraId="6479F9FC">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19.4评标委员会成员和与本次评标活动有关的工作人员，不得透露对投标文件的评标和比较、中标候选人的推荐情况以及与评标有关的其他情况。</w:t>
      </w:r>
    </w:p>
    <w:p w14:paraId="367842E0">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19.5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3970DDFA">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20. 与评标活动有关的工作人员，自开标</w:t>
      </w:r>
      <w:r>
        <w:rPr>
          <w:rFonts w:hint="eastAsia" w:ascii="仿宋" w:hAnsi="仿宋" w:eastAsia="仿宋" w:cs="仿宋"/>
          <w:bCs/>
          <w:sz w:val="24"/>
          <w:szCs w:val="24"/>
          <w:lang w:eastAsia="zh-CN"/>
        </w:rPr>
        <w:t>之日起</w:t>
      </w:r>
      <w:r>
        <w:rPr>
          <w:rFonts w:hint="eastAsia" w:ascii="仿宋" w:hAnsi="仿宋" w:eastAsia="仿宋" w:cs="仿宋"/>
          <w:bCs/>
          <w:sz w:val="24"/>
          <w:szCs w:val="24"/>
        </w:rPr>
        <w:t>至定标日止，在此期间任何监标人、采购人代表、特邀代表、工作人员及投标人不得干扰评标委员会正常</w:t>
      </w:r>
      <w:r>
        <w:rPr>
          <w:rFonts w:hint="eastAsia" w:ascii="仿宋" w:hAnsi="仿宋" w:eastAsia="仿宋" w:cs="仿宋"/>
          <w:bCs/>
          <w:sz w:val="24"/>
          <w:szCs w:val="24"/>
          <w:lang w:eastAsia="zh-CN"/>
        </w:rPr>
        <w:t>及其他</w:t>
      </w:r>
      <w:r>
        <w:rPr>
          <w:rFonts w:hint="eastAsia" w:ascii="仿宋" w:hAnsi="仿宋" w:eastAsia="仿宋" w:cs="仿宋"/>
          <w:bCs/>
          <w:sz w:val="24"/>
          <w:szCs w:val="24"/>
        </w:rPr>
        <w:t>评标工作，否则，采购人将有权取消其权利资格。</w:t>
      </w:r>
      <w:r>
        <w:rPr>
          <w:rFonts w:hint="eastAsia" w:ascii="仿宋" w:hAnsi="仿宋" w:eastAsia="仿宋" w:cs="仿宋"/>
          <w:bCs/>
          <w:sz w:val="24"/>
          <w:szCs w:val="24"/>
        </w:rPr>
        <w:tab/>
      </w:r>
    </w:p>
    <w:p w14:paraId="1928618E">
      <w:pPr>
        <w:spacing w:line="360" w:lineRule="auto"/>
        <w:jc w:val="center"/>
        <w:rPr>
          <w:rFonts w:hint="eastAsia" w:ascii="仿宋" w:hAnsi="仿宋" w:eastAsia="仿宋" w:cs="仿宋"/>
          <w:b/>
          <w:bCs/>
          <w:sz w:val="24"/>
          <w:szCs w:val="24"/>
        </w:rPr>
      </w:pPr>
    </w:p>
    <w:p w14:paraId="21A38FD7">
      <w:pPr>
        <w:rPr>
          <w:rFonts w:hint="eastAsia" w:ascii="仿宋" w:hAnsi="仿宋" w:eastAsia="仿宋" w:cs="仿宋"/>
          <w:b/>
          <w:bCs/>
          <w:sz w:val="24"/>
          <w:szCs w:val="24"/>
        </w:rPr>
      </w:pPr>
    </w:p>
    <w:p w14:paraId="1E1B780D">
      <w:pPr>
        <w:rPr>
          <w:rFonts w:hint="eastAsia" w:ascii="仿宋" w:hAnsi="仿宋" w:eastAsia="仿宋" w:cs="仿宋"/>
          <w:b/>
          <w:bCs/>
          <w:sz w:val="24"/>
          <w:szCs w:val="24"/>
        </w:rPr>
      </w:pPr>
      <w:r>
        <w:rPr>
          <w:rFonts w:hint="eastAsia" w:ascii="仿宋" w:hAnsi="仿宋" w:eastAsia="仿宋" w:cs="仿宋"/>
          <w:b/>
          <w:bCs/>
          <w:sz w:val="24"/>
          <w:szCs w:val="24"/>
        </w:rPr>
        <w:br w:type="page"/>
      </w:r>
    </w:p>
    <w:p w14:paraId="43BC1F54">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第六部分 开标 评标 定标说明</w:t>
      </w:r>
    </w:p>
    <w:p w14:paraId="6E995D54">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第一章 开　标</w:t>
      </w:r>
    </w:p>
    <w:p w14:paraId="65322ADA">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21．开标</w:t>
      </w:r>
    </w:p>
    <w:p w14:paraId="1977F8D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21.1 本次采购按招标文件的规定的时间和地点在政采云平台进行磋商。</w:t>
      </w:r>
    </w:p>
    <w:p w14:paraId="18EAD561">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.2 为了体现投标人的合法权益，确保评标工作的公平、公正，投标人如果认为参加评标的评标委员会成员及其他与会人员与其他投标人有利害关系的，有权在开标现场向采购人申请其回避。如现场不提请采购人申请其回避的，则视同无利害关系。</w:t>
      </w:r>
    </w:p>
    <w:p w14:paraId="2280589D">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.3 按照上述会议通过事项，所有参加投标的投标人如事后发生上述原因的质疑或投诉事项，新疆众禾顺晟工程管理咨询有限公司将不予采信。</w:t>
      </w:r>
    </w:p>
    <w:p w14:paraId="699BDCBB">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21.4 投标文件响应性审查</w:t>
      </w:r>
    </w:p>
    <w:p w14:paraId="574E2262">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.4.1</w:t>
      </w:r>
      <w:r>
        <w:rPr>
          <w:rFonts w:hint="eastAsia" w:ascii="仿宋" w:hAnsi="仿宋" w:eastAsia="仿宋" w:cs="仿宋"/>
          <w:bCs/>
          <w:sz w:val="24"/>
          <w:szCs w:val="24"/>
        </w:rPr>
        <w:t>开标后，采购人将组织对投标文件进行审查，应检查其是否完整，是否出现计算性错误，是否满足</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的格式要求，是否提供投标保证金等。</w:t>
      </w:r>
    </w:p>
    <w:p w14:paraId="0359893A">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.4.2</w:t>
      </w:r>
      <w:r>
        <w:rPr>
          <w:rFonts w:hint="eastAsia" w:ascii="仿宋" w:hAnsi="仿宋" w:eastAsia="仿宋" w:cs="仿宋"/>
          <w:bCs/>
          <w:sz w:val="24"/>
          <w:szCs w:val="24"/>
        </w:rPr>
        <w:t>在对投标文件进行综合评估之前，采购人将依据投标人提供的资格证明文件，审查投标人的财务和技术能力。如果确定投标人无能力履行合同，其投标将被拒绝。</w:t>
      </w:r>
    </w:p>
    <w:p w14:paraId="4A74753A">
      <w:pPr>
        <w:spacing w:line="360" w:lineRule="auto"/>
        <w:ind w:firstLine="490" w:firstLineChars="20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.4.3评标委员会将确定每一投标人是否对投标文件的要求做出了实质性响应，而没有重大偏离。实质性响应的投标是指符合竞争性磋商文件的所有条款、条件和规定且没有重大偏离和保留的投标。</w:t>
      </w:r>
    </w:p>
    <w:p w14:paraId="1080D0AE">
      <w:pPr>
        <w:spacing w:line="360" w:lineRule="auto"/>
        <w:ind w:firstLine="490" w:firstLineChars="20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.4.4评标委员会判断投标文件的响应性仅基于投标文件本身而不靠外部证据。</w:t>
      </w:r>
    </w:p>
    <w:p w14:paraId="71CEC635">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1</w:t>
      </w:r>
      <w:r>
        <w:rPr>
          <w:rFonts w:hint="eastAsia" w:ascii="仿宋" w:hAnsi="仿宋" w:eastAsia="仿宋" w:cs="仿宋"/>
          <w:sz w:val="24"/>
          <w:szCs w:val="24"/>
          <w:lang w:val="zh-CN"/>
        </w:rPr>
        <w:t>.4.5</w:t>
      </w:r>
      <w:r>
        <w:rPr>
          <w:rFonts w:hint="eastAsia" w:ascii="仿宋" w:hAnsi="仿宋" w:eastAsia="仿宋" w:cs="仿宋"/>
          <w:bCs/>
          <w:sz w:val="24"/>
          <w:szCs w:val="24"/>
        </w:rPr>
        <w:t>评标委员会将拒绝被确定为非实质性响应的投标。投标方不能通过修正或撤回不符合之处而使其投标成为实质性响应的投标。</w:t>
      </w:r>
    </w:p>
    <w:p w14:paraId="1AF05B72">
      <w:pPr>
        <w:spacing w:line="360" w:lineRule="auto"/>
        <w:ind w:firstLine="479" w:firstLineChars="196"/>
        <w:rPr>
          <w:rFonts w:hint="eastAsia" w:ascii="仿宋" w:hAnsi="仿宋" w:eastAsia="仿宋" w:cs="仿宋"/>
          <w:b/>
          <w:bCs/>
          <w:sz w:val="24"/>
          <w:szCs w:val="24"/>
        </w:rPr>
      </w:pPr>
      <w:r>
        <w:rPr>
          <w:rFonts w:hint="eastAsia" w:ascii="仿宋" w:hAnsi="仿宋" w:eastAsia="仿宋" w:cs="仿宋"/>
          <w:b/>
          <w:bCs/>
          <w:sz w:val="24"/>
          <w:szCs w:val="24"/>
        </w:rPr>
        <w:t>21.5 投标登记确认的审查</w:t>
      </w:r>
    </w:p>
    <w:p w14:paraId="4C7045DC">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21.5.1</w:t>
      </w:r>
      <w:r>
        <w:rPr>
          <w:rFonts w:hint="eastAsia" w:ascii="仿宋" w:hAnsi="仿宋" w:eastAsia="仿宋" w:cs="仿宋"/>
          <w:sz w:val="24"/>
          <w:szCs w:val="24"/>
        </w:rPr>
        <w:t>由投标单位在政采云平台线上签到（解密）方式，对按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规定的开标时间准时参加的投标人的投标确认情况，进行现场审查。凡按规定时间前进行了投标签到（解密）确认的，其投标被接受。否则，其投标将直接被拒绝。</w:t>
      </w:r>
    </w:p>
    <w:p w14:paraId="556B90F1">
      <w:pPr>
        <w:spacing w:line="360" w:lineRule="auto"/>
        <w:ind w:firstLine="479" w:firstLineChars="196"/>
        <w:rPr>
          <w:rFonts w:hint="eastAsia" w:ascii="仿宋" w:hAnsi="仿宋" w:eastAsia="仿宋" w:cs="仿宋"/>
          <w:sz w:val="24"/>
          <w:szCs w:val="24"/>
        </w:rPr>
      </w:pPr>
      <w:r>
        <w:rPr>
          <w:rFonts w:hint="eastAsia" w:ascii="仿宋" w:hAnsi="仿宋" w:eastAsia="仿宋" w:cs="仿宋"/>
          <w:sz w:val="24"/>
          <w:szCs w:val="24"/>
        </w:rPr>
        <w:t>21.5.2 在</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及程序符合法律规定的前提下，对</w:t>
      </w:r>
      <w:r>
        <w:rPr>
          <w:rFonts w:hint="eastAsia" w:ascii="仿宋" w:hAnsi="仿宋" w:eastAsia="仿宋" w:cs="仿宋"/>
          <w:sz w:val="24"/>
          <w:szCs w:val="24"/>
          <w:lang w:eastAsia="zh-CN"/>
        </w:rPr>
        <w:t>竞争性磋商文件作出</w:t>
      </w:r>
      <w:r>
        <w:rPr>
          <w:rFonts w:hint="eastAsia" w:ascii="仿宋" w:hAnsi="仿宋" w:eastAsia="仿宋" w:cs="仿宋"/>
          <w:sz w:val="24"/>
          <w:szCs w:val="24"/>
        </w:rPr>
        <w:t>实质性响应的投标人只有两家时，且是第一次开标，采购人应中止</w:t>
      </w:r>
      <w:r>
        <w:rPr>
          <w:rFonts w:hint="eastAsia" w:ascii="仿宋" w:hAnsi="仿宋" w:eastAsia="仿宋" w:cs="仿宋"/>
          <w:sz w:val="24"/>
          <w:szCs w:val="24"/>
          <w:lang w:eastAsia="zh-CN"/>
        </w:rPr>
        <w:t>磋商</w:t>
      </w:r>
      <w:r>
        <w:rPr>
          <w:rFonts w:hint="eastAsia" w:ascii="仿宋" w:hAnsi="仿宋" w:eastAsia="仿宋" w:cs="仿宋"/>
          <w:sz w:val="24"/>
          <w:szCs w:val="24"/>
        </w:rPr>
        <w:t>，重新组织采购；如果是第二次开标，按照公开、公平和竞争的原则，采购人可以书面提出转竞争性</w:t>
      </w:r>
      <w:r>
        <w:rPr>
          <w:rFonts w:hint="eastAsia" w:ascii="仿宋" w:hAnsi="仿宋" w:eastAsia="仿宋" w:cs="仿宋"/>
          <w:sz w:val="24"/>
          <w:szCs w:val="24"/>
          <w:lang w:eastAsia="zh-CN"/>
        </w:rPr>
        <w:t>磋商</w:t>
      </w:r>
      <w:r>
        <w:rPr>
          <w:rFonts w:hint="eastAsia" w:ascii="仿宋" w:hAnsi="仿宋" w:eastAsia="仿宋" w:cs="仿宋"/>
          <w:sz w:val="24"/>
          <w:szCs w:val="24"/>
        </w:rPr>
        <w:t>方式进行且提交批准后，按批准后的采购方式继续开标。反之，则应直接作废标处理，并依法重新组织采购。</w:t>
      </w:r>
    </w:p>
    <w:p w14:paraId="00BCF2ED">
      <w:pPr>
        <w:spacing w:line="360" w:lineRule="auto"/>
        <w:ind w:firstLine="479" w:firstLineChars="196"/>
        <w:rPr>
          <w:rFonts w:hint="eastAsia" w:ascii="仿宋" w:hAnsi="仿宋" w:eastAsia="仿宋" w:cs="仿宋"/>
          <w:sz w:val="24"/>
          <w:szCs w:val="24"/>
        </w:rPr>
      </w:pPr>
      <w:r>
        <w:rPr>
          <w:rFonts w:hint="eastAsia" w:ascii="仿宋" w:hAnsi="仿宋" w:eastAsia="仿宋" w:cs="仿宋"/>
          <w:sz w:val="24"/>
          <w:szCs w:val="24"/>
        </w:rPr>
        <w:t>21.5.3 如果合格投标人只有一家时，且是第一次开标，采购人应中止</w:t>
      </w:r>
      <w:r>
        <w:rPr>
          <w:rFonts w:hint="eastAsia" w:ascii="仿宋" w:hAnsi="仿宋" w:eastAsia="仿宋" w:cs="仿宋"/>
          <w:sz w:val="24"/>
          <w:szCs w:val="24"/>
          <w:lang w:eastAsia="zh-CN"/>
        </w:rPr>
        <w:t>磋商</w:t>
      </w:r>
      <w:r>
        <w:rPr>
          <w:rFonts w:hint="eastAsia" w:ascii="仿宋" w:hAnsi="仿宋" w:eastAsia="仿宋" w:cs="仿宋"/>
          <w:sz w:val="24"/>
          <w:szCs w:val="24"/>
        </w:rPr>
        <w:t>，重新组织采购；如果是第二次开标，采购人和投标商既没有过不良行为记录，也不存在明显或恶意的投标倾向性行为，采购人可以书面申请</w:t>
      </w:r>
      <w:r>
        <w:rPr>
          <w:rFonts w:hint="eastAsia" w:ascii="仿宋" w:hAnsi="仿宋" w:eastAsia="仿宋" w:cs="仿宋"/>
          <w:bCs/>
          <w:sz w:val="24"/>
          <w:szCs w:val="24"/>
        </w:rPr>
        <w:t>单一来源方式</w:t>
      </w:r>
      <w:r>
        <w:rPr>
          <w:rFonts w:hint="eastAsia" w:ascii="仿宋" w:hAnsi="仿宋" w:eastAsia="仿宋" w:cs="仿宋"/>
          <w:sz w:val="24"/>
          <w:szCs w:val="24"/>
        </w:rPr>
        <w:t>采购，经批准后，按批准后的采购方式依法按程序组织采购。反之，则应直接作废标处理，并依法重新组织采购。</w:t>
      </w:r>
    </w:p>
    <w:p w14:paraId="0C90F9BD">
      <w:pPr>
        <w:spacing w:line="360" w:lineRule="auto"/>
        <w:ind w:firstLine="479" w:firstLineChars="196"/>
        <w:rPr>
          <w:rFonts w:hint="eastAsia" w:ascii="仿宋" w:hAnsi="仿宋" w:eastAsia="仿宋" w:cs="仿宋"/>
          <w:b/>
          <w:bCs/>
          <w:sz w:val="24"/>
          <w:szCs w:val="24"/>
        </w:rPr>
      </w:pPr>
      <w:r>
        <w:rPr>
          <w:rFonts w:hint="eastAsia" w:ascii="仿宋" w:hAnsi="仿宋" w:eastAsia="仿宋" w:cs="仿宋"/>
          <w:b/>
          <w:bCs/>
          <w:sz w:val="24"/>
          <w:szCs w:val="24"/>
        </w:rPr>
        <w:t>21.6 评标前的意见征求</w:t>
      </w:r>
    </w:p>
    <w:p w14:paraId="5F837478">
      <w:pPr>
        <w:spacing w:line="360" w:lineRule="auto"/>
        <w:ind w:firstLine="479" w:firstLineChars="196"/>
        <w:rPr>
          <w:rFonts w:hint="eastAsia" w:ascii="仿宋" w:hAnsi="仿宋" w:eastAsia="仿宋" w:cs="仿宋"/>
          <w:sz w:val="24"/>
          <w:szCs w:val="24"/>
        </w:rPr>
      </w:pPr>
      <w:r>
        <w:rPr>
          <w:rFonts w:hint="eastAsia" w:ascii="仿宋" w:hAnsi="仿宋" w:eastAsia="仿宋" w:cs="仿宋"/>
          <w:bCs/>
          <w:sz w:val="24"/>
          <w:szCs w:val="24"/>
        </w:rPr>
        <w:t>21.6.1</w:t>
      </w:r>
      <w:r>
        <w:rPr>
          <w:rFonts w:hint="eastAsia" w:ascii="仿宋" w:hAnsi="仿宋" w:eastAsia="仿宋" w:cs="仿宋"/>
          <w:sz w:val="24"/>
          <w:szCs w:val="24"/>
        </w:rPr>
        <w:t>严格在</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的规定范围内，由采购代理机构现场以书面的方式，征求采购单位代表对本次评标委员会评标时应注意的事项及意见建议，并签字确认。</w:t>
      </w:r>
    </w:p>
    <w:p w14:paraId="1622DF41">
      <w:pPr>
        <w:spacing w:line="360" w:lineRule="auto"/>
        <w:ind w:firstLine="479" w:firstLineChars="196"/>
        <w:rPr>
          <w:rFonts w:hint="eastAsia" w:ascii="仿宋" w:hAnsi="仿宋" w:eastAsia="仿宋" w:cs="仿宋"/>
          <w:sz w:val="24"/>
          <w:szCs w:val="24"/>
        </w:rPr>
      </w:pPr>
      <w:r>
        <w:rPr>
          <w:rFonts w:hint="eastAsia" w:ascii="仿宋" w:hAnsi="仿宋" w:eastAsia="仿宋" w:cs="仿宋"/>
          <w:bCs/>
          <w:sz w:val="24"/>
          <w:szCs w:val="24"/>
        </w:rPr>
        <w:t>21.6.2</w:t>
      </w:r>
      <w:r>
        <w:rPr>
          <w:rFonts w:hint="eastAsia" w:ascii="仿宋" w:hAnsi="仿宋" w:eastAsia="仿宋" w:cs="仿宋"/>
          <w:sz w:val="24"/>
          <w:szCs w:val="24"/>
        </w:rPr>
        <w:t xml:space="preserve"> 由采购人本次项目承办责任人严格按照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的规定范围，核实并提出是否采信的意见并签字确认。</w:t>
      </w:r>
    </w:p>
    <w:p w14:paraId="4033E8C9">
      <w:pPr>
        <w:spacing w:line="360" w:lineRule="auto"/>
        <w:ind w:firstLine="479" w:firstLineChars="196"/>
        <w:rPr>
          <w:rFonts w:hint="eastAsia" w:ascii="仿宋" w:hAnsi="仿宋" w:eastAsia="仿宋" w:cs="仿宋"/>
          <w:bCs/>
          <w:sz w:val="24"/>
          <w:szCs w:val="24"/>
        </w:rPr>
      </w:pPr>
      <w:r>
        <w:rPr>
          <w:rFonts w:hint="eastAsia" w:ascii="仿宋" w:hAnsi="仿宋" w:eastAsia="仿宋" w:cs="仿宋"/>
          <w:bCs/>
          <w:sz w:val="24"/>
          <w:szCs w:val="24"/>
        </w:rPr>
        <w:t>21.6.3</w:t>
      </w:r>
      <w:r>
        <w:rPr>
          <w:rFonts w:hint="eastAsia" w:ascii="仿宋" w:hAnsi="仿宋" w:eastAsia="仿宋" w:cs="仿宋"/>
          <w:sz w:val="24"/>
          <w:szCs w:val="24"/>
        </w:rPr>
        <w:t>由采购人将可采信的上述意见建议，现场向评标委员会及成员提出可以予以采纳的决定。反之，则不予采纳。</w:t>
      </w:r>
    </w:p>
    <w:p w14:paraId="1161353B">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第二章 评  标</w:t>
      </w:r>
    </w:p>
    <w:p w14:paraId="13C7EE77">
      <w:pPr>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rPr>
        <w:t>22．开标报价</w:t>
      </w:r>
    </w:p>
    <w:p w14:paraId="1D1CEA9F">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b/>
          <w:bCs/>
          <w:sz w:val="24"/>
          <w:szCs w:val="24"/>
          <w:lang w:val="zh-CN"/>
        </w:rPr>
        <w:t>2</w:t>
      </w:r>
      <w:r>
        <w:rPr>
          <w:rFonts w:hint="eastAsia" w:ascii="仿宋" w:hAnsi="仿宋" w:eastAsia="仿宋" w:cs="仿宋"/>
          <w:b/>
          <w:bCs/>
          <w:sz w:val="24"/>
          <w:szCs w:val="24"/>
        </w:rPr>
        <w:t>2</w:t>
      </w:r>
      <w:r>
        <w:rPr>
          <w:rFonts w:hint="eastAsia" w:ascii="仿宋" w:hAnsi="仿宋" w:eastAsia="仿宋" w:cs="仿宋"/>
          <w:b/>
          <w:bCs/>
          <w:sz w:val="24"/>
          <w:szCs w:val="24"/>
          <w:lang w:val="zh-CN"/>
        </w:rPr>
        <w:t xml:space="preserve">.1 评标依据 </w:t>
      </w:r>
    </w:p>
    <w:p w14:paraId="015603B1">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 xml:space="preserve">.1.1 </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是评标的唯一依据。</w:t>
      </w:r>
      <w:r>
        <w:rPr>
          <w:rFonts w:hint="eastAsia" w:ascii="仿宋" w:hAnsi="仿宋" w:eastAsia="仿宋" w:cs="仿宋"/>
          <w:sz w:val="24"/>
          <w:szCs w:val="24"/>
        </w:rPr>
        <w:t>评标委员会</w:t>
      </w:r>
      <w:r>
        <w:rPr>
          <w:rFonts w:hint="eastAsia" w:ascii="仿宋" w:hAnsi="仿宋" w:eastAsia="仿宋" w:cs="仿宋"/>
          <w:sz w:val="24"/>
          <w:szCs w:val="24"/>
          <w:lang w:val="zh-CN"/>
        </w:rPr>
        <w:t>评标要依据采购代理机构的磋商文件和投标方的投标文件进行比较与评标。</w:t>
      </w:r>
    </w:p>
    <w:p w14:paraId="0D9B117C">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 xml:space="preserve">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"http://www.shenmeshi.com/Education/Education_20070429223431.html" \t "_blank" </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成本分析</w:t>
      </w:r>
      <w:r>
        <w:rPr>
          <w:rFonts w:hint="eastAsia" w:ascii="仿宋" w:hAnsi="仿宋" w:eastAsia="仿宋" w:cs="仿宋"/>
          <w:sz w:val="24"/>
          <w:szCs w:val="24"/>
          <w:lang w:val="zh-CN"/>
        </w:rPr>
        <w:fldChar w:fldCharType="end"/>
      </w:r>
      <w:r>
        <w:rPr>
          <w:rFonts w:hint="eastAsia" w:ascii="仿宋" w:hAnsi="仿宋" w:eastAsia="仿宋" w:cs="仿宋"/>
          <w:sz w:val="24"/>
          <w:szCs w:val="24"/>
          <w:lang w:val="zh-CN"/>
        </w:rPr>
        <w:t>，分项乱调的；几个投标人的</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"http://www.shenmeshi.com/Science/Index.html" \t "_blank" </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技术</w:t>
      </w:r>
      <w:r>
        <w:rPr>
          <w:rFonts w:hint="eastAsia" w:ascii="仿宋" w:hAnsi="仿宋" w:eastAsia="仿宋" w:cs="仿宋"/>
          <w:sz w:val="24"/>
          <w:szCs w:val="24"/>
          <w:lang w:val="zh-CN"/>
        </w:rPr>
        <w:fldChar w:fldCharType="end"/>
      </w:r>
      <w:r>
        <w:rPr>
          <w:rFonts w:hint="eastAsia" w:ascii="仿宋" w:hAnsi="仿宋" w:eastAsia="仿宋" w:cs="仿宋"/>
          <w:sz w:val="24"/>
          <w:szCs w:val="24"/>
          <w:lang w:val="zh-CN"/>
        </w:rPr>
        <w:t>标都雷同的。</w:t>
      </w:r>
    </w:p>
    <w:p w14:paraId="35339816">
      <w:pPr>
        <w:autoSpaceDE w:val="0"/>
        <w:autoSpaceDN w:val="0"/>
        <w:adjustRightInd w:val="0"/>
        <w:spacing w:line="360" w:lineRule="auto"/>
        <w:ind w:firstLine="482"/>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.1.</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 xml:space="preserve"> 本次评标采取</w:t>
      </w:r>
      <w:r>
        <w:rPr>
          <w:rFonts w:hint="eastAsia" w:ascii="仿宋" w:hAnsi="仿宋" w:eastAsia="仿宋" w:cs="仿宋"/>
          <w:b/>
          <w:sz w:val="24"/>
          <w:szCs w:val="24"/>
          <w:u w:val="single"/>
          <w:lang w:val="zh-CN"/>
        </w:rPr>
        <w:t>综合评分法</w:t>
      </w:r>
      <w:r>
        <w:rPr>
          <w:rFonts w:hint="eastAsia" w:ascii="仿宋" w:hAnsi="仿宋" w:eastAsia="仿宋" w:cs="仿宋"/>
          <w:sz w:val="24"/>
          <w:szCs w:val="24"/>
          <w:lang w:val="zh-CN"/>
        </w:rPr>
        <w:t>。</w:t>
      </w:r>
    </w:p>
    <w:p w14:paraId="787545C0">
      <w:pPr>
        <w:autoSpaceDE w:val="0"/>
        <w:autoSpaceDN w:val="0"/>
        <w:adjustRightInd w:val="0"/>
        <w:spacing w:line="360" w:lineRule="auto"/>
        <w:ind w:firstLine="482"/>
        <w:rPr>
          <w:rFonts w:hint="eastAsia" w:ascii="仿宋" w:hAnsi="仿宋" w:eastAsia="仿宋" w:cs="仿宋"/>
          <w:b/>
          <w:bCs/>
          <w:sz w:val="24"/>
          <w:szCs w:val="24"/>
          <w:lang w:val="zh-CN"/>
        </w:rPr>
      </w:pPr>
      <w:r>
        <w:rPr>
          <w:rFonts w:hint="eastAsia" w:ascii="仿宋" w:hAnsi="仿宋" w:eastAsia="仿宋" w:cs="仿宋"/>
          <w:b/>
          <w:bCs/>
          <w:sz w:val="24"/>
          <w:szCs w:val="24"/>
          <w:lang w:val="zh-CN"/>
        </w:rPr>
        <w:t>2</w:t>
      </w:r>
      <w:r>
        <w:rPr>
          <w:rFonts w:hint="eastAsia" w:ascii="仿宋" w:hAnsi="仿宋" w:eastAsia="仿宋" w:cs="仿宋"/>
          <w:b/>
          <w:bCs/>
          <w:sz w:val="24"/>
          <w:szCs w:val="24"/>
        </w:rPr>
        <w:t>2</w:t>
      </w:r>
      <w:r>
        <w:rPr>
          <w:rFonts w:hint="eastAsia" w:ascii="仿宋" w:hAnsi="仿宋" w:eastAsia="仿宋" w:cs="仿宋"/>
          <w:b/>
          <w:bCs/>
          <w:sz w:val="24"/>
          <w:szCs w:val="24"/>
          <w:lang w:val="zh-CN"/>
        </w:rPr>
        <w:t>.2 评标过程的保密性</w:t>
      </w:r>
    </w:p>
    <w:p w14:paraId="6178D17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.2.1 所有与本次招标及评标有关的人员，均不得向投标人及与招标项目无关的其他人员，透露与评标有关的资料以及授予合同的意见等。</w:t>
      </w:r>
    </w:p>
    <w:p w14:paraId="720E366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.2.2 在评标过程中，投标人试图在投标文件审查、报价、询标（答疑）、澄清、比较及授予合同方面向采购人员施加影响的任何行为，都可能导致其投标文件被拒绝。</w:t>
      </w:r>
    </w:p>
    <w:p w14:paraId="66E7AB78">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 xml:space="preserve">.2.3 </w:t>
      </w:r>
      <w:r>
        <w:rPr>
          <w:rFonts w:hint="eastAsia" w:ascii="仿宋" w:hAnsi="仿宋" w:eastAsia="仿宋" w:cs="仿宋"/>
          <w:bCs/>
          <w:sz w:val="24"/>
          <w:szCs w:val="24"/>
        </w:rPr>
        <w:t>开标后直到授予投标人合同为止，凡是属于审查、报价、</w:t>
      </w:r>
      <w:r>
        <w:rPr>
          <w:rFonts w:hint="eastAsia" w:ascii="仿宋" w:hAnsi="仿宋" w:eastAsia="仿宋" w:cs="仿宋"/>
          <w:sz w:val="24"/>
          <w:szCs w:val="24"/>
          <w:lang w:val="zh-CN"/>
        </w:rPr>
        <w:t>询标（答疑）、</w:t>
      </w:r>
      <w:r>
        <w:rPr>
          <w:rFonts w:hint="eastAsia" w:ascii="仿宋" w:hAnsi="仿宋" w:eastAsia="仿宋" w:cs="仿宋"/>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62BF24F2">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 xml:space="preserve">.2.4 </w:t>
      </w:r>
      <w:r>
        <w:rPr>
          <w:rFonts w:hint="eastAsia" w:ascii="仿宋" w:hAnsi="仿宋" w:eastAsia="仿宋" w:cs="仿宋"/>
          <w:bCs/>
          <w:sz w:val="24"/>
          <w:szCs w:val="24"/>
        </w:rPr>
        <w:t>投标人在评标过程中，所进行的力图影响评标结果的不符合《政府采购法》及本次招标有关规定的活动，将被取消中标资格。</w:t>
      </w:r>
    </w:p>
    <w:p w14:paraId="786A0F55">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2</w:t>
      </w:r>
      <w:r>
        <w:rPr>
          <w:rFonts w:hint="eastAsia" w:ascii="仿宋" w:hAnsi="仿宋" w:eastAsia="仿宋" w:cs="仿宋"/>
          <w:b/>
          <w:sz w:val="24"/>
          <w:szCs w:val="24"/>
          <w:lang w:val="zh-CN"/>
        </w:rPr>
        <w:t xml:space="preserve">.3 评标有关规定要求 </w:t>
      </w:r>
    </w:p>
    <w:p w14:paraId="23711446">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.3.1 各投标人严格遵守前款</w:t>
      </w:r>
      <w:r>
        <w:rPr>
          <w:rFonts w:hint="eastAsia" w:ascii="仿宋" w:hAnsi="仿宋" w:eastAsia="仿宋" w:cs="仿宋"/>
          <w:bCs/>
          <w:sz w:val="24"/>
          <w:szCs w:val="24"/>
          <w:lang w:val="zh-CN"/>
        </w:rPr>
        <w:t>“第四部分”中10.7条款</w:t>
      </w:r>
      <w:r>
        <w:rPr>
          <w:rFonts w:hint="eastAsia" w:ascii="仿宋" w:hAnsi="仿宋" w:eastAsia="仿宋" w:cs="仿宋"/>
          <w:sz w:val="24"/>
          <w:szCs w:val="24"/>
          <w:lang w:val="zh-CN"/>
        </w:rPr>
        <w:t>之规定，在采购代理机构规定时间进行评标。</w:t>
      </w:r>
    </w:p>
    <w:p w14:paraId="38FF4CEA">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.3.2 评标、报价、询标（答疑）、澄清应按照投标人递交投标文件的顺序进行。</w:t>
      </w:r>
    </w:p>
    <w:p w14:paraId="1C00844F">
      <w:pPr>
        <w:spacing w:line="360" w:lineRule="auto"/>
        <w:ind w:firstLine="490" w:firstLineChars="200"/>
        <w:rPr>
          <w:rFonts w:hint="eastAsia" w:ascii="仿宋" w:hAnsi="仿宋" w:eastAsia="仿宋" w:cs="仿宋"/>
          <w:bCs/>
          <w:sz w:val="24"/>
          <w:szCs w:val="24"/>
          <w:lang w:val="zh-CN"/>
        </w:rPr>
      </w:pPr>
      <w:r>
        <w:rPr>
          <w:rFonts w:hint="eastAsia" w:ascii="仿宋" w:hAnsi="仿宋" w:eastAsia="仿宋" w:cs="仿宋"/>
          <w:bCs/>
          <w:sz w:val="24"/>
          <w:szCs w:val="24"/>
        </w:rPr>
        <w:t xml:space="preserve">22.3.3 评标委员会成员和与本次评标活动有关的工作人员，应遵循前款“第五部分”“第四章”中的规定。 </w:t>
      </w:r>
    </w:p>
    <w:p w14:paraId="7EC2B003">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22.3.4评标现场凡投标人提供所涉及的投标资料，严格按照前款“第三部分”执行。</w:t>
      </w:r>
    </w:p>
    <w:p w14:paraId="058DBDD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22.3.5 </w:t>
      </w:r>
      <w:r>
        <w:rPr>
          <w:rFonts w:hint="eastAsia" w:ascii="仿宋" w:hAnsi="仿宋" w:eastAsia="仿宋" w:cs="仿宋"/>
          <w:sz w:val="24"/>
          <w:szCs w:val="24"/>
        </w:rPr>
        <w:t>采购代理机构</w:t>
      </w:r>
      <w:r>
        <w:rPr>
          <w:rFonts w:hint="eastAsia" w:ascii="仿宋" w:hAnsi="仿宋" w:eastAsia="仿宋" w:cs="仿宋"/>
          <w:bCs/>
          <w:sz w:val="24"/>
          <w:szCs w:val="24"/>
        </w:rPr>
        <w:t>要对当事双方的评标、报价、询标（答疑）、澄清等，做好书面记录，经评标委员会、</w:t>
      </w:r>
      <w:r>
        <w:rPr>
          <w:rFonts w:hint="eastAsia" w:ascii="仿宋" w:hAnsi="仿宋" w:eastAsia="仿宋" w:cs="仿宋"/>
          <w:bCs/>
          <w:sz w:val="24"/>
          <w:szCs w:val="24"/>
          <w:lang w:eastAsia="zh-CN"/>
        </w:rPr>
        <w:t>投标</w:t>
      </w:r>
      <w:r>
        <w:rPr>
          <w:rFonts w:hint="eastAsia" w:ascii="仿宋" w:hAnsi="仿宋" w:eastAsia="仿宋" w:cs="仿宋"/>
          <w:bCs/>
          <w:sz w:val="24"/>
          <w:szCs w:val="24"/>
        </w:rPr>
        <w:t>人签字确认的记录与</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w:t>
      </w:r>
      <w:r>
        <w:rPr>
          <w:rFonts w:hint="eastAsia" w:ascii="仿宋" w:hAnsi="仿宋" w:eastAsia="仿宋" w:cs="仿宋"/>
          <w:bCs/>
          <w:sz w:val="24"/>
          <w:szCs w:val="24"/>
          <w:lang w:eastAsia="zh-CN"/>
        </w:rPr>
        <w:t>投标</w:t>
      </w:r>
      <w:r>
        <w:rPr>
          <w:rFonts w:hint="eastAsia" w:ascii="仿宋" w:hAnsi="仿宋" w:eastAsia="仿宋" w:cs="仿宋"/>
          <w:bCs/>
          <w:sz w:val="24"/>
          <w:szCs w:val="24"/>
        </w:rPr>
        <w:t>人投标文件具有同等法律地位；也是投标人一旦中标后，与采购人签订中标合同和发生质疑或投诉事项时的重要法律依据。</w:t>
      </w:r>
    </w:p>
    <w:p w14:paraId="477DDEAF">
      <w:pPr>
        <w:spacing w:line="360" w:lineRule="auto"/>
        <w:ind w:firstLine="49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2</w:t>
      </w:r>
      <w:r>
        <w:rPr>
          <w:rFonts w:hint="eastAsia" w:ascii="仿宋" w:hAnsi="仿宋" w:eastAsia="仿宋" w:cs="仿宋"/>
          <w:bCs/>
          <w:sz w:val="24"/>
          <w:szCs w:val="24"/>
        </w:rPr>
        <w:t>2</w:t>
      </w:r>
      <w:r>
        <w:rPr>
          <w:rFonts w:hint="eastAsia" w:ascii="仿宋" w:hAnsi="仿宋" w:eastAsia="仿宋" w:cs="仿宋"/>
          <w:bCs/>
          <w:sz w:val="24"/>
          <w:szCs w:val="24"/>
          <w:lang w:val="zh-CN"/>
        </w:rPr>
        <w:t xml:space="preserve">.3.6 </w:t>
      </w:r>
      <w:r>
        <w:rPr>
          <w:rFonts w:hint="eastAsia" w:ascii="仿宋" w:hAnsi="仿宋" w:eastAsia="仿宋" w:cs="仿宋"/>
          <w:bCs/>
          <w:sz w:val="24"/>
          <w:szCs w:val="24"/>
        </w:rPr>
        <w:t>评标委员会各成员应在采购人规定时间内阅读和熟悉</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，当要提出</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疑问事项时，应由采购人、采购代理机</w:t>
      </w:r>
      <w:r>
        <w:rPr>
          <w:rFonts w:hint="eastAsia" w:ascii="仿宋" w:hAnsi="仿宋" w:eastAsia="仿宋" w:cs="仿宋"/>
          <w:bCs/>
          <w:sz w:val="24"/>
          <w:szCs w:val="24"/>
          <w:lang w:eastAsia="zh-CN"/>
        </w:rPr>
        <w:t>构及</w:t>
      </w:r>
      <w:r>
        <w:rPr>
          <w:rFonts w:hint="eastAsia" w:ascii="仿宋" w:hAnsi="仿宋" w:eastAsia="仿宋" w:cs="仿宋"/>
          <w:bCs/>
          <w:sz w:val="24"/>
          <w:szCs w:val="24"/>
        </w:rPr>
        <w:t>本次招标项目的责任人作为主体解答者，解答不清的，由会议主</w:t>
      </w:r>
      <w:r>
        <w:rPr>
          <w:rFonts w:hint="eastAsia" w:ascii="仿宋" w:hAnsi="仿宋" w:eastAsia="仿宋" w:cs="仿宋"/>
          <w:bCs/>
          <w:sz w:val="24"/>
          <w:szCs w:val="24"/>
          <w:lang w:eastAsia="zh-CN"/>
        </w:rPr>
        <w:t>持人</w:t>
      </w:r>
      <w:r>
        <w:rPr>
          <w:rFonts w:hint="eastAsia" w:ascii="仿宋" w:hAnsi="仿宋" w:eastAsia="仿宋" w:cs="仿宋"/>
          <w:bCs/>
          <w:sz w:val="24"/>
          <w:szCs w:val="24"/>
        </w:rPr>
        <w:t>进行补充解答。</w:t>
      </w:r>
    </w:p>
    <w:p w14:paraId="739CE49B">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22.4 报价</w:t>
      </w:r>
    </w:p>
    <w:p w14:paraId="7DC5DCAA">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2</w:t>
      </w:r>
      <w:r>
        <w:rPr>
          <w:rFonts w:hint="eastAsia" w:ascii="仿宋" w:hAnsi="仿宋" w:eastAsia="仿宋" w:cs="仿宋"/>
          <w:b/>
          <w:sz w:val="24"/>
          <w:szCs w:val="24"/>
          <w:lang w:val="zh-CN"/>
        </w:rPr>
        <w:t xml:space="preserve">.4.1 投标报价的审查和原则要求 </w:t>
      </w:r>
    </w:p>
    <w:p w14:paraId="414923D4">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.4.1.1 采购人应须对评标委员会确定为实质上响应竞争性磋商文件要求的投标文件中的价格进行审核，检查其是否有计算和累加上的错误。</w:t>
      </w:r>
    </w:p>
    <w:p w14:paraId="671B34D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4.1.2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2A461A9B">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.4.1.3 采购人按照规定时间，应检查所有投标文件的密封情况，确认无误后，</w:t>
      </w:r>
      <w:r>
        <w:rPr>
          <w:rFonts w:hint="eastAsia" w:ascii="仿宋" w:hAnsi="仿宋" w:eastAsia="仿宋" w:cs="仿宋"/>
          <w:sz w:val="24"/>
          <w:szCs w:val="24"/>
        </w:rPr>
        <w:t>采购代理机构</w:t>
      </w:r>
      <w:r>
        <w:rPr>
          <w:rFonts w:hint="eastAsia" w:ascii="仿宋" w:hAnsi="仿宋" w:eastAsia="仿宋" w:cs="仿宋"/>
          <w:sz w:val="24"/>
          <w:szCs w:val="24"/>
          <w:lang w:val="zh-CN"/>
        </w:rPr>
        <w:t>以书面记录分别对投标人的报价单统一启封后，进行公开唱标、记标。</w:t>
      </w:r>
    </w:p>
    <w:p w14:paraId="28718C2E">
      <w:pPr>
        <w:autoSpaceDE w:val="0"/>
        <w:autoSpaceDN w:val="0"/>
        <w:adjustRightInd w:val="0"/>
        <w:spacing w:line="360" w:lineRule="auto"/>
        <w:ind w:firstLine="482"/>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 xml:space="preserve">.4.1.4 </w:t>
      </w:r>
      <w:r>
        <w:rPr>
          <w:rFonts w:hint="eastAsia" w:ascii="仿宋" w:hAnsi="仿宋" w:eastAsia="仿宋" w:cs="仿宋"/>
          <w:bCs/>
          <w:sz w:val="24"/>
          <w:szCs w:val="24"/>
          <w:lang w:val="zh-CN"/>
        </w:rPr>
        <w:t>报价</w:t>
      </w:r>
      <w:r>
        <w:rPr>
          <w:rFonts w:hint="eastAsia" w:ascii="仿宋" w:hAnsi="仿宋" w:eastAsia="仿宋" w:cs="仿宋"/>
          <w:sz w:val="24"/>
          <w:szCs w:val="24"/>
          <w:lang w:val="zh-CN"/>
        </w:rPr>
        <w:t>采取密封的形式提交</w:t>
      </w:r>
      <w:r>
        <w:rPr>
          <w:rFonts w:hint="eastAsia" w:ascii="仿宋" w:hAnsi="仿宋" w:eastAsia="仿宋" w:cs="仿宋"/>
          <w:sz w:val="24"/>
          <w:szCs w:val="24"/>
        </w:rPr>
        <w:t>，</w:t>
      </w:r>
      <w:r>
        <w:rPr>
          <w:rFonts w:hint="eastAsia" w:ascii="仿宋" w:hAnsi="仿宋" w:eastAsia="仿宋" w:cs="仿宋"/>
          <w:sz w:val="24"/>
          <w:szCs w:val="24"/>
          <w:lang w:val="zh-CN"/>
        </w:rPr>
        <w:t>采用一次性报价方式，且为最终报价。</w:t>
      </w:r>
    </w:p>
    <w:p w14:paraId="16824C9A">
      <w:pPr>
        <w:autoSpaceDE w:val="0"/>
        <w:autoSpaceDN w:val="0"/>
        <w:adjustRightInd w:val="0"/>
        <w:spacing w:line="360" w:lineRule="auto"/>
        <w:ind w:firstLine="482"/>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.4.1.5 投标人的报价均应报出拟提供货物的单价和总价。</w:t>
      </w:r>
    </w:p>
    <w:p w14:paraId="421A82B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.4.1.6 投标人的报价采取现场公开的方式进行唱标记标，报价时现场不接受涂改、不合规更正的报价单，不允许投标人与外界有任何方式的联系和沟通，且现场</w:t>
      </w:r>
      <w:r>
        <w:rPr>
          <w:rFonts w:hint="eastAsia" w:ascii="仿宋" w:hAnsi="仿宋" w:eastAsia="仿宋" w:cs="仿宋"/>
          <w:sz w:val="24"/>
          <w:szCs w:val="24"/>
        </w:rPr>
        <w:t>均不接受二次提供。否则，将直接取消其投标报价资格。</w:t>
      </w:r>
    </w:p>
    <w:p w14:paraId="77912BC7">
      <w:pPr>
        <w:autoSpaceDE w:val="0"/>
        <w:autoSpaceDN w:val="0"/>
        <w:adjustRightInd w:val="0"/>
        <w:spacing w:line="360" w:lineRule="auto"/>
        <w:ind w:firstLine="482"/>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2</w:t>
      </w:r>
      <w:r>
        <w:rPr>
          <w:rFonts w:hint="eastAsia" w:ascii="仿宋" w:hAnsi="仿宋" w:eastAsia="仿宋" w:cs="仿宋"/>
          <w:sz w:val="24"/>
          <w:szCs w:val="24"/>
          <w:lang w:val="zh-CN"/>
        </w:rPr>
        <w:t>.4.1.7 各投标人须按照采购人规定的时间进行报价，严格遵守前款“第四部分”中</w:t>
      </w:r>
      <w:r>
        <w:rPr>
          <w:rFonts w:hint="eastAsia" w:ascii="仿宋" w:hAnsi="仿宋" w:eastAsia="仿宋" w:cs="仿宋"/>
          <w:bCs/>
          <w:sz w:val="24"/>
          <w:szCs w:val="24"/>
          <w:lang w:val="zh-CN"/>
        </w:rPr>
        <w:t>10.7条款、10.8条款之</w:t>
      </w:r>
      <w:r>
        <w:rPr>
          <w:rFonts w:hint="eastAsia" w:ascii="仿宋" w:hAnsi="仿宋" w:eastAsia="仿宋" w:cs="仿宋"/>
          <w:sz w:val="24"/>
          <w:szCs w:val="24"/>
          <w:lang w:val="zh-CN"/>
        </w:rPr>
        <w:t xml:space="preserve">规定。 </w:t>
      </w:r>
    </w:p>
    <w:p w14:paraId="72FA7F1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23.4.2 唱标、记标</w:t>
      </w:r>
    </w:p>
    <w:p w14:paraId="5D0A2909">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采购代理机构对投标报价登记确认、资格审查合格，以及对竞争性磋商文件作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4E088FD2">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.4.3 最终报价是否均超过采购预算的审查确认</w:t>
      </w:r>
    </w:p>
    <w:p w14:paraId="7677703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 xml:space="preserve">.4.3.1 报价唱标结束后，采购人须根据《中华人民共和国政府采购法》及竞争性磋商文件的规定，按照最终报价不接受超过采购预算的原则，对最终报价是否均超过采购预算进行审查确认，并现场公布结果。 </w:t>
      </w:r>
    </w:p>
    <w:p w14:paraId="11D9D034">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.4.3.2 唱标结束后，如所有报价均超过采购预算，且采购人不能支付时，采购人现场应宣布本次招标废标。出现此种情况时，评标委员会有权决定拒绝所有的投标文件。</w:t>
      </w:r>
    </w:p>
    <w:p w14:paraId="57F8F508">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.4.3.3 唱标结束后，如果没有超过采购预算的投标人只有两家时，且是第一次开标，采购人应中止磋商，重新组织采购；如果是第二次开标，</w:t>
      </w:r>
      <w:r>
        <w:rPr>
          <w:rFonts w:hint="eastAsia" w:ascii="仿宋" w:hAnsi="仿宋" w:eastAsia="仿宋" w:cs="仿宋"/>
          <w:sz w:val="24"/>
          <w:szCs w:val="24"/>
        </w:rPr>
        <w:t>按照公开、公平和竞争的原则，采购人可以书面提出转竞争性</w:t>
      </w:r>
      <w:r>
        <w:rPr>
          <w:rFonts w:hint="eastAsia" w:ascii="仿宋" w:hAnsi="仿宋" w:eastAsia="仿宋" w:cs="仿宋"/>
          <w:sz w:val="24"/>
          <w:szCs w:val="24"/>
          <w:lang w:eastAsia="zh-CN"/>
        </w:rPr>
        <w:t>磋商</w:t>
      </w:r>
      <w:r>
        <w:rPr>
          <w:rFonts w:hint="eastAsia" w:ascii="仿宋" w:hAnsi="仿宋" w:eastAsia="仿宋" w:cs="仿宋"/>
          <w:sz w:val="24"/>
          <w:szCs w:val="24"/>
        </w:rPr>
        <w:t>方式采购，经批准后，按批准后的采购方式继续开标。</w:t>
      </w:r>
    </w:p>
    <w:p w14:paraId="70886DF6">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.4.3.4唱标结束后，如果没有超过采购预算的投标人只有一家时，</w:t>
      </w:r>
      <w:r>
        <w:rPr>
          <w:rFonts w:hint="eastAsia" w:ascii="仿宋" w:hAnsi="仿宋" w:eastAsia="仿宋" w:cs="仿宋"/>
          <w:sz w:val="24"/>
          <w:szCs w:val="24"/>
        </w:rPr>
        <w:t>且是第一次开标，采购人应中止</w:t>
      </w:r>
      <w:r>
        <w:rPr>
          <w:rFonts w:hint="eastAsia" w:ascii="仿宋" w:hAnsi="仿宋" w:eastAsia="仿宋" w:cs="仿宋"/>
          <w:sz w:val="24"/>
          <w:szCs w:val="24"/>
          <w:lang w:eastAsia="zh-CN"/>
        </w:rPr>
        <w:t>磋商</w:t>
      </w:r>
      <w:r>
        <w:rPr>
          <w:rFonts w:hint="eastAsia" w:ascii="仿宋" w:hAnsi="仿宋" w:eastAsia="仿宋" w:cs="仿宋"/>
          <w:sz w:val="24"/>
          <w:szCs w:val="24"/>
        </w:rPr>
        <w:t>，重新组织采购；如果是第二次开标，采购人和投标商既没有过不良行为记录，也不存在明显或恶意的投标倾向性行为，由评标委员会对其递交的投标文件和</w:t>
      </w:r>
      <w:r>
        <w:rPr>
          <w:rFonts w:hint="eastAsia" w:ascii="仿宋" w:hAnsi="仿宋" w:eastAsia="仿宋" w:cs="仿宋"/>
          <w:sz w:val="24"/>
          <w:szCs w:val="24"/>
          <w:lang w:eastAsia="zh-CN"/>
        </w:rPr>
        <w:t>竞争性磋商文件作出</w:t>
      </w:r>
      <w:r>
        <w:rPr>
          <w:rFonts w:hint="eastAsia" w:ascii="仿宋" w:hAnsi="仿宋" w:eastAsia="仿宋" w:cs="仿宋"/>
          <w:sz w:val="24"/>
          <w:szCs w:val="24"/>
        </w:rPr>
        <w:t>实质性响应进行审查确认后，采购人可以书面申请</w:t>
      </w:r>
      <w:r>
        <w:rPr>
          <w:rFonts w:hint="eastAsia" w:ascii="仿宋" w:hAnsi="仿宋" w:eastAsia="仿宋" w:cs="仿宋"/>
          <w:bCs/>
          <w:sz w:val="24"/>
          <w:szCs w:val="24"/>
        </w:rPr>
        <w:t>单一来源方式</w:t>
      </w:r>
      <w:r>
        <w:rPr>
          <w:rFonts w:hint="eastAsia" w:ascii="仿宋" w:hAnsi="仿宋" w:eastAsia="仿宋" w:cs="仿宋"/>
          <w:sz w:val="24"/>
          <w:szCs w:val="24"/>
        </w:rPr>
        <w:t>采购，经批准同意后，按批准后的采购方式依法按程序组织采购。反之，则应直接作废标处理，并依法重新组织采购。</w:t>
      </w:r>
    </w:p>
    <w:p w14:paraId="2BD927EC">
      <w:pPr>
        <w:autoSpaceDE w:val="0"/>
        <w:autoSpaceDN w:val="0"/>
        <w:adjustRightInd w:val="0"/>
        <w:spacing w:line="360" w:lineRule="auto"/>
        <w:ind w:firstLine="480"/>
        <w:rPr>
          <w:rFonts w:hint="eastAsia" w:ascii="仿宋" w:hAnsi="仿宋" w:eastAsia="仿宋" w:cs="仿宋"/>
          <w:b/>
          <w:bCs/>
          <w:sz w:val="24"/>
          <w:szCs w:val="24"/>
          <w:lang w:val="zh-CN"/>
        </w:rPr>
      </w:pPr>
      <w:r>
        <w:rPr>
          <w:rFonts w:hint="eastAsia" w:ascii="仿宋" w:hAnsi="仿宋" w:eastAsia="仿宋" w:cs="仿宋"/>
          <w:b/>
          <w:bCs/>
          <w:sz w:val="24"/>
          <w:szCs w:val="24"/>
        </w:rPr>
        <w:t xml:space="preserve">23.5 </w:t>
      </w:r>
      <w:r>
        <w:rPr>
          <w:rFonts w:hint="eastAsia" w:ascii="仿宋" w:hAnsi="仿宋" w:eastAsia="仿宋" w:cs="仿宋"/>
          <w:b/>
          <w:bCs/>
          <w:sz w:val="24"/>
          <w:szCs w:val="24"/>
          <w:lang w:val="zh-CN"/>
        </w:rPr>
        <w:t>评标程序</w:t>
      </w:r>
    </w:p>
    <w:p w14:paraId="5E5FC960">
      <w:pPr>
        <w:autoSpaceDE w:val="0"/>
        <w:autoSpaceDN w:val="0"/>
        <w:adjustRightInd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23.5.1 评标委员会及其成员应当遵循独立评标的原则，按照独立初审、单独（或集中）询标（答疑）、独立综合评审、独立推荐拟中标人、集体定标、出具评标报告的工作程序进行。</w:t>
      </w:r>
    </w:p>
    <w:p w14:paraId="089BE612">
      <w:pPr>
        <w:autoSpaceDE w:val="0"/>
        <w:autoSpaceDN w:val="0"/>
        <w:adjustRightInd w:val="0"/>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.5.2 投标人按采购人规定时间要求，向本次评标委员会进行投标方案的简要介绍。</w:t>
      </w:r>
    </w:p>
    <w:p w14:paraId="4E7FCD73">
      <w:pPr>
        <w:autoSpaceDE w:val="0"/>
        <w:autoSpaceDN w:val="0"/>
        <w:adjustRightInd w:val="0"/>
        <w:spacing w:line="360" w:lineRule="auto"/>
        <w:ind w:firstLine="480"/>
        <w:rPr>
          <w:rFonts w:hint="eastAsia" w:ascii="仿宋" w:hAnsi="仿宋" w:eastAsia="仿宋" w:cs="仿宋"/>
          <w:b/>
          <w:bCs/>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.5.3 评标委员会应单独（或集中）与资格审查合格的投标人分别进行技术和商务评审与比较。</w:t>
      </w:r>
    </w:p>
    <w:p w14:paraId="5059B496">
      <w:pPr>
        <w:spacing w:line="360" w:lineRule="auto"/>
        <w:ind w:firstLine="490" w:firstLineChars="200"/>
        <w:rPr>
          <w:rFonts w:hint="eastAsia" w:ascii="仿宋" w:hAnsi="仿宋" w:eastAsia="仿宋" w:cs="仿宋"/>
          <w:sz w:val="24"/>
          <w:szCs w:val="24"/>
          <w:lang w:val="zh-CN"/>
        </w:rPr>
      </w:pPr>
      <w:r>
        <w:rPr>
          <w:rFonts w:hint="eastAsia" w:ascii="仿宋" w:hAnsi="仿宋" w:eastAsia="仿宋" w:cs="仿宋"/>
          <w:bCs/>
          <w:sz w:val="24"/>
          <w:szCs w:val="24"/>
        </w:rPr>
        <w:t>23.5.4 按照采购人规定程序，评标当事双方应本着“实事求是、公正诚信”的原则，要以</w:t>
      </w:r>
      <w:r>
        <w:rPr>
          <w:rFonts w:hint="eastAsia" w:ascii="仿宋" w:hAnsi="仿宋" w:eastAsia="仿宋" w:cs="仿宋"/>
          <w:sz w:val="24"/>
          <w:szCs w:val="24"/>
        </w:rPr>
        <w:t>采购代理机构</w:t>
      </w:r>
      <w:r>
        <w:rPr>
          <w:rFonts w:hint="eastAsia" w:ascii="仿宋" w:hAnsi="仿宋" w:eastAsia="仿宋" w:cs="仿宋"/>
          <w:bCs/>
          <w:sz w:val="24"/>
          <w:szCs w:val="24"/>
        </w:rPr>
        <w:t>的</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为评标的唯一依据，不允许做</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以外无关问题讨论；评标委员会成员可以采取单独（或集中）的方式与投标人分别逐一进行评标、询标（</w:t>
      </w:r>
      <w:r>
        <w:rPr>
          <w:rFonts w:hint="eastAsia" w:ascii="仿宋" w:hAnsi="仿宋" w:eastAsia="仿宋" w:cs="仿宋"/>
          <w:sz w:val="24"/>
          <w:szCs w:val="24"/>
          <w:lang w:val="zh-CN"/>
        </w:rPr>
        <w:t>答疑）、澄清。</w:t>
      </w:r>
    </w:p>
    <w:p w14:paraId="061CC2CC">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
          <w:bCs/>
          <w:sz w:val="24"/>
          <w:szCs w:val="24"/>
        </w:rPr>
        <w:t>23.5.5 询标（答疑）、</w:t>
      </w:r>
      <w:r>
        <w:rPr>
          <w:rFonts w:hint="eastAsia" w:ascii="仿宋" w:hAnsi="仿宋" w:eastAsia="仿宋" w:cs="仿宋"/>
          <w:b/>
          <w:bCs/>
          <w:sz w:val="24"/>
          <w:szCs w:val="24"/>
          <w:lang w:val="zh-CN"/>
        </w:rPr>
        <w:t>澄清</w:t>
      </w:r>
    </w:p>
    <w:p w14:paraId="6C873F97">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23.5.5.1在评标过程中，</w:t>
      </w:r>
      <w:r>
        <w:rPr>
          <w:rFonts w:hint="eastAsia" w:ascii="仿宋" w:hAnsi="仿宋" w:eastAsia="仿宋" w:cs="仿宋"/>
          <w:sz w:val="24"/>
          <w:szCs w:val="24"/>
          <w:lang w:val="zh-CN"/>
        </w:rPr>
        <w:t>评标委员会</w:t>
      </w:r>
      <w:r>
        <w:rPr>
          <w:rFonts w:hint="eastAsia" w:ascii="仿宋" w:hAnsi="仿宋" w:eastAsia="仿宋" w:cs="仿宋"/>
          <w:bCs/>
          <w:sz w:val="24"/>
          <w:szCs w:val="24"/>
        </w:rPr>
        <w:t>各成员如对投标文件中含义不明确、同类问题表述不一致或者有明显文字和计算错误的内容，需要投标人进行必</w:t>
      </w:r>
      <w:r>
        <w:rPr>
          <w:rFonts w:hint="eastAsia" w:ascii="仿宋" w:hAnsi="仿宋" w:eastAsia="仿宋" w:cs="仿宋"/>
          <w:bCs/>
          <w:sz w:val="24"/>
          <w:szCs w:val="24"/>
          <w:lang w:eastAsia="zh-CN"/>
        </w:rPr>
        <w:t>要的</w:t>
      </w:r>
      <w:r>
        <w:rPr>
          <w:rFonts w:hint="eastAsia" w:ascii="仿宋" w:hAnsi="仿宋" w:eastAsia="仿宋" w:cs="仿宋"/>
          <w:bCs/>
          <w:sz w:val="24"/>
          <w:szCs w:val="24"/>
        </w:rPr>
        <w:t>澄清、说明或者纠正，</w:t>
      </w:r>
      <w:r>
        <w:rPr>
          <w:rFonts w:hint="eastAsia" w:ascii="仿宋" w:hAnsi="仿宋" w:eastAsia="仿宋" w:cs="仿宋"/>
          <w:sz w:val="24"/>
          <w:szCs w:val="24"/>
          <w:lang w:val="zh-CN"/>
        </w:rPr>
        <w:t>应以书面形式要求投标人在</w:t>
      </w:r>
      <w:r>
        <w:rPr>
          <w:rFonts w:hint="eastAsia" w:ascii="仿宋" w:hAnsi="仿宋" w:eastAsia="仿宋" w:cs="仿宋"/>
          <w:sz w:val="24"/>
          <w:szCs w:val="24"/>
        </w:rPr>
        <w:t>采购代理机构</w:t>
      </w:r>
      <w:r>
        <w:rPr>
          <w:rFonts w:hint="eastAsia" w:ascii="仿宋" w:hAnsi="仿宋" w:eastAsia="仿宋" w:cs="仿宋"/>
          <w:sz w:val="24"/>
          <w:szCs w:val="24"/>
          <w:lang w:val="zh-CN"/>
        </w:rPr>
        <w:t>规定的时间内作出必要的澄清、说明或者补正，</w:t>
      </w:r>
      <w:r>
        <w:rPr>
          <w:rFonts w:hint="eastAsia" w:ascii="仿宋" w:hAnsi="仿宋" w:eastAsia="仿宋" w:cs="仿宋"/>
          <w:bCs/>
          <w:sz w:val="24"/>
          <w:szCs w:val="24"/>
        </w:rPr>
        <w:t>和分别单独</w:t>
      </w:r>
      <w:r>
        <w:rPr>
          <w:rFonts w:hint="eastAsia" w:ascii="仿宋" w:hAnsi="仿宋" w:eastAsia="仿宋" w:cs="仿宋"/>
          <w:sz w:val="24"/>
          <w:szCs w:val="24"/>
          <w:lang w:val="zh-CN"/>
        </w:rPr>
        <w:t>（或集中）</w:t>
      </w:r>
      <w:r>
        <w:rPr>
          <w:rFonts w:hint="eastAsia" w:ascii="仿宋" w:hAnsi="仿宋" w:eastAsia="仿宋" w:cs="仿宋"/>
          <w:bCs/>
          <w:sz w:val="24"/>
          <w:szCs w:val="24"/>
        </w:rPr>
        <w:t>进行询标（答疑）。</w:t>
      </w:r>
    </w:p>
    <w:p w14:paraId="7B4536CA">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23.5.5.2 为</w:t>
      </w:r>
      <w:r>
        <w:rPr>
          <w:rFonts w:hint="eastAsia" w:ascii="仿宋" w:hAnsi="仿宋" w:eastAsia="仿宋" w:cs="仿宋"/>
          <w:bCs/>
          <w:sz w:val="24"/>
          <w:szCs w:val="24"/>
          <w:lang w:eastAsia="zh-CN"/>
        </w:rPr>
        <w:t>有助于</w:t>
      </w:r>
      <w:r>
        <w:rPr>
          <w:rFonts w:hint="eastAsia" w:ascii="仿宋" w:hAnsi="仿宋" w:eastAsia="仿宋" w:cs="仿宋"/>
          <w:bCs/>
          <w:sz w:val="24"/>
          <w:szCs w:val="24"/>
        </w:rPr>
        <w:t>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46D9E0F2">
      <w:pPr>
        <w:autoSpaceDE w:val="0"/>
        <w:autoSpaceDN w:val="0"/>
        <w:adjustRightInd w:val="0"/>
        <w:spacing w:line="360" w:lineRule="auto"/>
        <w:ind w:firstLine="480"/>
        <w:rPr>
          <w:rFonts w:hint="eastAsia" w:ascii="仿宋" w:hAnsi="仿宋" w:eastAsia="仿宋" w:cs="仿宋"/>
          <w:b/>
          <w:bCs/>
          <w:sz w:val="24"/>
          <w:szCs w:val="24"/>
          <w:lang w:val="zh-CN"/>
        </w:rPr>
      </w:pPr>
      <w:r>
        <w:rPr>
          <w:rFonts w:hint="eastAsia" w:ascii="仿宋" w:hAnsi="仿宋" w:eastAsia="仿宋" w:cs="仿宋"/>
          <w:bCs/>
          <w:sz w:val="24"/>
          <w:szCs w:val="24"/>
        </w:rPr>
        <w:t>23.5.5.3</w:t>
      </w:r>
      <w:r>
        <w:rPr>
          <w:rFonts w:hint="eastAsia" w:ascii="仿宋" w:hAnsi="仿宋" w:eastAsia="仿宋" w:cs="仿宋"/>
          <w:sz w:val="24"/>
          <w:szCs w:val="24"/>
          <w:lang w:val="zh-CN"/>
        </w:rPr>
        <w:t xml:space="preserve"> 评标委员会在初步评审的基础上，单独（或集体）讨论、分析、综合各种因素后，可决定是否与各投标人再次进行询标（答疑）。</w:t>
      </w:r>
    </w:p>
    <w:p w14:paraId="4E3CE829">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 xml:space="preserve">23.5.5.4 </w:t>
      </w:r>
      <w:r>
        <w:rPr>
          <w:rFonts w:hint="eastAsia" w:ascii="仿宋" w:hAnsi="仿宋" w:eastAsia="仿宋" w:cs="仿宋"/>
          <w:sz w:val="24"/>
          <w:szCs w:val="24"/>
        </w:rPr>
        <w:t>采购代理机构</w:t>
      </w:r>
      <w:r>
        <w:rPr>
          <w:rFonts w:hint="eastAsia" w:ascii="仿宋" w:hAnsi="仿宋" w:eastAsia="仿宋" w:cs="仿宋"/>
          <w:bCs/>
          <w:sz w:val="24"/>
          <w:szCs w:val="24"/>
        </w:rPr>
        <w:t>要对投标人的澄清、说明或者补正，</w:t>
      </w:r>
      <w:r>
        <w:rPr>
          <w:rFonts w:hint="eastAsia" w:ascii="仿宋" w:hAnsi="仿宋" w:eastAsia="仿宋" w:cs="仿宋"/>
          <w:sz w:val="24"/>
          <w:szCs w:val="24"/>
          <w:lang w:val="zh-CN"/>
        </w:rPr>
        <w:t>采用书面形式，</w:t>
      </w:r>
      <w:r>
        <w:rPr>
          <w:rFonts w:hint="eastAsia" w:ascii="仿宋" w:hAnsi="仿宋" w:eastAsia="仿宋" w:cs="仿宋"/>
          <w:bCs/>
          <w:sz w:val="24"/>
          <w:szCs w:val="24"/>
        </w:rPr>
        <w:t>由</w:t>
      </w:r>
      <w:r>
        <w:rPr>
          <w:rFonts w:hint="eastAsia" w:ascii="仿宋" w:hAnsi="仿宋" w:eastAsia="仿宋" w:cs="仿宋"/>
          <w:sz w:val="24"/>
          <w:szCs w:val="24"/>
        </w:rPr>
        <w:t>采购代理机构</w:t>
      </w:r>
      <w:r>
        <w:rPr>
          <w:rFonts w:hint="eastAsia" w:ascii="仿宋" w:hAnsi="仿宋" w:eastAsia="仿宋" w:cs="仿宋"/>
          <w:bCs/>
          <w:sz w:val="24"/>
          <w:szCs w:val="24"/>
        </w:rPr>
        <w:t>做好书面记录，并由其</w:t>
      </w:r>
      <w:r>
        <w:rPr>
          <w:rFonts w:hint="eastAsia" w:ascii="仿宋" w:hAnsi="仿宋" w:eastAsia="仿宋" w:cs="仿宋"/>
          <w:sz w:val="24"/>
          <w:szCs w:val="24"/>
          <w:lang w:val="zh-CN"/>
        </w:rPr>
        <w:t>法定代表人或</w:t>
      </w:r>
      <w:r>
        <w:rPr>
          <w:rFonts w:hint="eastAsia" w:ascii="仿宋" w:hAnsi="仿宋" w:eastAsia="仿宋" w:cs="仿宋"/>
          <w:bCs/>
          <w:sz w:val="24"/>
          <w:szCs w:val="24"/>
        </w:rPr>
        <w:t>授权的代表签字或加盖单位公章，其澄清、说明或者补正不得超出投标报价文件的范围或者改变其实质性内容，并作为投标文件的组成部分。</w:t>
      </w:r>
    </w:p>
    <w:p w14:paraId="65D78E9F">
      <w:pPr>
        <w:autoSpaceDE w:val="0"/>
        <w:autoSpaceDN w:val="0"/>
        <w:adjustRightInd w:val="0"/>
        <w:spacing w:line="360" w:lineRule="auto"/>
        <w:ind w:firstLine="480"/>
        <w:rPr>
          <w:rFonts w:hint="eastAsia" w:ascii="仿宋" w:hAnsi="仿宋" w:eastAsia="仿宋" w:cs="仿宋"/>
          <w:b/>
          <w:bCs/>
          <w:sz w:val="24"/>
          <w:szCs w:val="24"/>
          <w:lang w:val="zh-CN"/>
        </w:rPr>
      </w:pPr>
      <w:r>
        <w:rPr>
          <w:rFonts w:hint="eastAsia" w:ascii="仿宋" w:hAnsi="仿宋" w:eastAsia="仿宋" w:cs="仿宋"/>
          <w:bCs/>
          <w:sz w:val="24"/>
          <w:szCs w:val="24"/>
        </w:rPr>
        <w:t>23.5.5.5</w:t>
      </w:r>
      <w:r>
        <w:rPr>
          <w:rFonts w:hint="eastAsia" w:ascii="仿宋" w:hAnsi="仿宋" w:eastAsia="仿宋" w:cs="仿宋"/>
          <w:sz w:val="24"/>
          <w:szCs w:val="24"/>
          <w:lang w:val="zh-CN"/>
        </w:rPr>
        <w:t xml:space="preserve"> 投标人拒不进行澄清、说明或者补正的，或者不能在</w:t>
      </w:r>
      <w:r>
        <w:rPr>
          <w:rFonts w:hint="eastAsia" w:ascii="仿宋" w:hAnsi="仿宋" w:eastAsia="仿宋" w:cs="仿宋"/>
          <w:sz w:val="24"/>
          <w:szCs w:val="24"/>
        </w:rPr>
        <w:t>采购代理机构</w:t>
      </w:r>
      <w:r>
        <w:rPr>
          <w:rFonts w:hint="eastAsia" w:ascii="仿宋" w:hAnsi="仿宋" w:eastAsia="仿宋" w:cs="仿宋"/>
          <w:sz w:val="24"/>
          <w:szCs w:val="24"/>
          <w:lang w:val="zh-CN"/>
        </w:rPr>
        <w:t>规定时间内做出书面澄清、说明或者补正的，评标委员会将取消其继续参加评标的资格。</w:t>
      </w:r>
    </w:p>
    <w:p w14:paraId="64BBC790">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bCs/>
          <w:sz w:val="24"/>
          <w:szCs w:val="24"/>
        </w:rPr>
        <w:t>23.5.5.6</w:t>
      </w:r>
      <w:r>
        <w:rPr>
          <w:rFonts w:hint="eastAsia" w:ascii="仿宋" w:hAnsi="仿宋" w:eastAsia="仿宋" w:cs="仿宋"/>
          <w:sz w:val="24"/>
          <w:szCs w:val="24"/>
          <w:lang w:val="zh-CN"/>
        </w:rPr>
        <w:t xml:space="preserve"> 参加投标的投标人应当对评标（审）的承诺和最终报价以书面形式确认，并由其法定代表人或其授权人签署或加盖公章。</w:t>
      </w:r>
    </w:p>
    <w:p w14:paraId="1AF37CA8">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.5.6 符合性审查</w:t>
      </w:r>
    </w:p>
    <w:p w14:paraId="14597FF9">
      <w:pPr>
        <w:autoSpaceDE w:val="0"/>
        <w:autoSpaceDN w:val="0"/>
        <w:adjustRightInd w:val="0"/>
        <w:spacing w:line="360" w:lineRule="auto"/>
        <w:ind w:firstLine="480"/>
        <w:rPr>
          <w:rFonts w:hint="eastAsia" w:ascii="仿宋" w:hAnsi="仿宋" w:eastAsia="仿宋" w:cs="仿宋"/>
          <w:b/>
          <w:sz w:val="24"/>
          <w:szCs w:val="24"/>
          <w:lang w:val="zh-CN"/>
        </w:rPr>
      </w:pPr>
      <w:r>
        <w:rPr>
          <w:rFonts w:hint="eastAsia" w:ascii="仿宋" w:hAnsi="仿宋" w:eastAsia="仿宋" w:cs="仿宋"/>
          <w:bCs/>
          <w:sz w:val="24"/>
          <w:szCs w:val="24"/>
        </w:rPr>
        <w:t>23.5.6.1 评标委员会</w:t>
      </w:r>
      <w:r>
        <w:rPr>
          <w:rFonts w:hint="eastAsia" w:ascii="仿宋" w:hAnsi="仿宋" w:eastAsia="仿宋" w:cs="仿宋"/>
          <w:sz w:val="24"/>
          <w:szCs w:val="24"/>
          <w:lang w:val="zh-CN"/>
        </w:rPr>
        <w:t>应依据竞争性磋商文件的规定，对投标人的报价文件的有效性、完整性和对竞争性磋商文件的响应程度进行审查，以确定是否对竞争性磋商文件的要求作出实质性响应，对竞争性磋商文件的要求未作出实质性响应的投标人，不得进入具体评标程序。</w:t>
      </w:r>
    </w:p>
    <w:p w14:paraId="0CAA4216">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23.5.6.2 评标委员会应当根据</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，审查并逐项列出每一个投标文件的全部投标偏差。投标偏差分为重大偏差和细微偏差。</w:t>
      </w:r>
    </w:p>
    <w:p w14:paraId="35F5BEBD">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1、细微偏差是指投标实质上响应了</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要求，但在个别地方存在漏项或者提供了不完整的技术信息和数据等情况，并且补正这些遗漏或不完整不会对其他投标人造成不公平的结果。细微偏差不影响投标文件的有效性。</w:t>
      </w:r>
    </w:p>
    <w:p w14:paraId="41B58BE1">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2、应当要求存在细小偏差的投标人在评标结束前以书面形式予以补正。拒绝补正的，在综合评审时可以对细微偏差</w:t>
      </w:r>
      <w:r>
        <w:rPr>
          <w:rFonts w:hint="eastAsia" w:ascii="仿宋" w:hAnsi="仿宋" w:eastAsia="仿宋" w:cs="仿宋"/>
          <w:bCs/>
          <w:sz w:val="24"/>
          <w:szCs w:val="24"/>
          <w:lang w:eastAsia="zh-CN"/>
        </w:rPr>
        <w:t>做</w:t>
      </w:r>
      <w:r>
        <w:rPr>
          <w:rFonts w:hint="eastAsia" w:ascii="仿宋" w:hAnsi="仿宋" w:eastAsia="仿宋" w:cs="仿宋"/>
          <w:bCs/>
          <w:sz w:val="24"/>
          <w:szCs w:val="24"/>
        </w:rPr>
        <w:t>不利于该投标人的量化。</w:t>
      </w:r>
    </w:p>
    <w:p w14:paraId="15D053E3">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3、重大偏离或保留系指影响到</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规定的服务范围和质量，或限制了采购人的</w:t>
      </w:r>
      <w:r>
        <w:rPr>
          <w:rFonts w:hint="eastAsia" w:ascii="仿宋" w:hAnsi="仿宋" w:eastAsia="仿宋" w:cs="仿宋"/>
          <w:bCs/>
          <w:sz w:val="24"/>
          <w:szCs w:val="24"/>
          <w:lang w:eastAsia="zh-CN"/>
        </w:rPr>
        <w:t>权利和义务</w:t>
      </w:r>
      <w:r>
        <w:rPr>
          <w:rFonts w:hint="eastAsia" w:ascii="仿宋" w:hAnsi="仿宋" w:eastAsia="仿宋" w:cs="仿宋"/>
          <w:bCs/>
          <w:sz w:val="24"/>
          <w:szCs w:val="24"/>
        </w:rPr>
        <w:t>的规定，而纠正这些偏离将影响到其他提交实质性响应的投标方的公平竞争地位。主要表现有投标文件没有按照</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要求提供投标保证金的，投标文件没有投标人授权代表签字和加盖公章的，投标文件中附有采购人不能接受的条件的，和不符合</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中规定的其他实质性要求的等。</w:t>
      </w:r>
    </w:p>
    <w:p w14:paraId="0A8F4272">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4、发现有重大偏差时，评标委员会及其成员应按</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中的规定，可以取消其投标的权利。</w:t>
      </w:r>
    </w:p>
    <w:p w14:paraId="17A3C562">
      <w:pPr>
        <w:spacing w:line="360" w:lineRule="auto"/>
        <w:ind w:firstLine="490" w:firstLineChars="200"/>
        <w:rPr>
          <w:rFonts w:hint="eastAsia" w:ascii="仿宋" w:hAnsi="仿宋" w:eastAsia="仿宋" w:cs="仿宋"/>
          <w:b/>
          <w:sz w:val="24"/>
          <w:szCs w:val="24"/>
          <w:lang w:val="zh-CN"/>
        </w:rPr>
      </w:pPr>
      <w:r>
        <w:rPr>
          <w:rFonts w:hint="eastAsia" w:ascii="仿宋" w:hAnsi="仿宋" w:eastAsia="仿宋" w:cs="仿宋"/>
          <w:bCs/>
          <w:sz w:val="24"/>
          <w:szCs w:val="24"/>
        </w:rPr>
        <w:t xml:space="preserve">23.5.6.3 </w:t>
      </w:r>
      <w:r>
        <w:rPr>
          <w:rFonts w:hint="eastAsia" w:ascii="仿宋" w:hAnsi="仿宋" w:eastAsia="仿宋" w:cs="仿宋"/>
          <w:bCs/>
          <w:sz w:val="24"/>
          <w:szCs w:val="24"/>
          <w:lang w:val="zh-CN"/>
        </w:rPr>
        <w:t>进行符合性审查时，评标委员会</w:t>
      </w:r>
      <w:r>
        <w:rPr>
          <w:rFonts w:hint="eastAsia" w:ascii="仿宋" w:hAnsi="仿宋" w:eastAsia="仿宋" w:cs="仿宋"/>
          <w:bCs/>
          <w:sz w:val="24"/>
          <w:szCs w:val="24"/>
        </w:rPr>
        <w:t>应当审查每一个投标文件是否对</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提出的所有实质性要求和条件作出响应。未能实质上响应的，视情况按照</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的规定</w:t>
      </w:r>
      <w:r>
        <w:rPr>
          <w:rFonts w:hint="eastAsia" w:ascii="仿宋" w:hAnsi="仿宋" w:eastAsia="仿宋" w:cs="仿宋"/>
          <w:bCs/>
          <w:sz w:val="24"/>
          <w:szCs w:val="24"/>
          <w:lang w:eastAsia="zh-CN"/>
        </w:rPr>
        <w:t>，</w:t>
      </w:r>
      <w:r>
        <w:rPr>
          <w:rFonts w:hint="eastAsia" w:ascii="仿宋" w:hAnsi="仿宋" w:eastAsia="仿宋" w:cs="仿宋"/>
          <w:bCs/>
          <w:sz w:val="24"/>
          <w:szCs w:val="24"/>
        </w:rPr>
        <w:t>不得进入综合评审程序。主要情况详见符合性审查一览表。</w:t>
      </w:r>
    </w:p>
    <w:p w14:paraId="0D9512C8">
      <w:pPr>
        <w:adjustRightInd w:val="0"/>
        <w:snapToGrid w:val="0"/>
        <w:spacing w:line="360" w:lineRule="auto"/>
        <w:ind w:firstLine="490" w:firstLineChars="200"/>
        <w:rPr>
          <w:rFonts w:hint="eastAsia" w:ascii="仿宋" w:hAnsi="仿宋" w:eastAsia="仿宋" w:cs="仿宋"/>
          <w:b/>
          <w:kern w:val="0"/>
          <w:sz w:val="24"/>
          <w:szCs w:val="24"/>
        </w:rPr>
      </w:pPr>
      <w:r>
        <w:rPr>
          <w:rFonts w:hint="eastAsia" w:ascii="仿宋" w:hAnsi="仿宋" w:eastAsia="仿宋" w:cs="仿宋"/>
          <w:b/>
          <w:kern w:val="0"/>
          <w:sz w:val="24"/>
          <w:szCs w:val="24"/>
        </w:rPr>
        <w:t>23.5.6.4有下列情形之一的，视为投标人串通投标，其投标无效</w:t>
      </w:r>
      <w:r>
        <w:rPr>
          <w:rFonts w:hint="eastAsia" w:ascii="仿宋" w:hAnsi="仿宋" w:eastAsia="仿宋" w:cs="仿宋"/>
          <w:b/>
          <w:kern w:val="0"/>
          <w:sz w:val="24"/>
          <w:szCs w:val="24"/>
          <w:lang w:eastAsia="zh-CN"/>
        </w:rPr>
        <w:t>，</w:t>
      </w:r>
      <w:r>
        <w:rPr>
          <w:rFonts w:hint="eastAsia" w:ascii="仿宋" w:hAnsi="仿宋" w:eastAsia="仿宋" w:cs="仿宋"/>
          <w:b/>
          <w:kern w:val="0"/>
          <w:sz w:val="24"/>
          <w:szCs w:val="24"/>
        </w:rPr>
        <w:t>并对投标人依照《政府采购法》第七十七条的规定追究法律责任：</w:t>
      </w:r>
    </w:p>
    <w:p w14:paraId="7695EA0C">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1、不同投标人的投标文件由同一单位或者个人编制；</w:t>
      </w:r>
    </w:p>
    <w:p w14:paraId="13E1DB71">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2、不同投标人委托同一单位或者个人办理投标事宜；</w:t>
      </w:r>
    </w:p>
    <w:p w14:paraId="2398183D">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3、不同投标人的投标文件载明的项目管理成员或者联系人员为同一人；</w:t>
      </w:r>
    </w:p>
    <w:p w14:paraId="4D3F5D87">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4、不同投标人的投标文件异常一致或者投标报价呈规律性差异；</w:t>
      </w:r>
    </w:p>
    <w:p w14:paraId="140C3236">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5、不同投标人的投标文件相互混装；</w:t>
      </w:r>
    </w:p>
    <w:p w14:paraId="06D11ED5">
      <w:pPr>
        <w:adjustRightInd w:val="0"/>
        <w:snapToGrid w:val="0"/>
        <w:spacing w:line="360" w:lineRule="auto"/>
        <w:ind w:firstLine="490" w:firstLineChars="200"/>
        <w:rPr>
          <w:rFonts w:hint="eastAsia" w:ascii="仿宋" w:hAnsi="仿宋" w:eastAsia="仿宋" w:cs="仿宋"/>
          <w:kern w:val="0"/>
          <w:sz w:val="24"/>
          <w:szCs w:val="24"/>
        </w:rPr>
      </w:pPr>
      <w:r>
        <w:rPr>
          <w:rFonts w:hint="eastAsia" w:ascii="仿宋" w:hAnsi="仿宋" w:eastAsia="仿宋" w:cs="仿宋"/>
          <w:kern w:val="0"/>
          <w:sz w:val="24"/>
          <w:szCs w:val="24"/>
        </w:rPr>
        <w:t>6、不同投标人的投标保证金从同一单位或者个人的账户转出。</w:t>
      </w:r>
    </w:p>
    <w:p w14:paraId="0ED6FAA2">
      <w:pPr>
        <w:pStyle w:val="7"/>
        <w:jc w:val="center"/>
        <w:rPr>
          <w:rFonts w:hint="eastAsia" w:ascii="仿宋" w:hAnsi="仿宋" w:eastAsia="仿宋" w:cs="仿宋"/>
          <w:b/>
          <w:bCs/>
          <w:sz w:val="24"/>
          <w:szCs w:val="24"/>
        </w:rPr>
      </w:pPr>
    </w:p>
    <w:p w14:paraId="37CF45A4">
      <w:pPr>
        <w:pStyle w:val="7"/>
        <w:jc w:val="center"/>
        <w:rPr>
          <w:rFonts w:hint="eastAsia" w:ascii="仿宋" w:hAnsi="仿宋" w:eastAsia="仿宋" w:cs="仿宋"/>
          <w:b/>
          <w:bCs/>
          <w:sz w:val="24"/>
          <w:szCs w:val="24"/>
        </w:rPr>
      </w:pPr>
    </w:p>
    <w:p w14:paraId="29D3CA69">
      <w:pPr>
        <w:pStyle w:val="7"/>
        <w:jc w:val="center"/>
        <w:rPr>
          <w:rFonts w:hint="eastAsia" w:ascii="仿宋" w:hAnsi="仿宋" w:eastAsia="仿宋" w:cs="仿宋"/>
          <w:b/>
          <w:bCs/>
          <w:sz w:val="24"/>
          <w:szCs w:val="24"/>
        </w:rPr>
      </w:pPr>
    </w:p>
    <w:p w14:paraId="77E0EF9B">
      <w:pPr>
        <w:pStyle w:val="7"/>
        <w:jc w:val="center"/>
        <w:rPr>
          <w:rFonts w:hint="eastAsia" w:ascii="仿宋" w:hAnsi="仿宋" w:eastAsia="仿宋" w:cs="仿宋"/>
          <w:b/>
          <w:bCs/>
          <w:sz w:val="24"/>
          <w:szCs w:val="24"/>
        </w:rPr>
      </w:pPr>
    </w:p>
    <w:p w14:paraId="7EFB1D34">
      <w:pPr>
        <w:pStyle w:val="7"/>
        <w:jc w:val="center"/>
        <w:rPr>
          <w:rFonts w:hint="eastAsia" w:ascii="仿宋" w:hAnsi="仿宋" w:eastAsia="仿宋" w:cs="仿宋"/>
          <w:b/>
          <w:bCs/>
          <w:sz w:val="24"/>
          <w:szCs w:val="24"/>
        </w:rPr>
      </w:pPr>
    </w:p>
    <w:p w14:paraId="1E5E5391">
      <w:pPr>
        <w:pStyle w:val="7"/>
        <w:jc w:val="center"/>
        <w:rPr>
          <w:rFonts w:hint="eastAsia" w:ascii="仿宋" w:hAnsi="仿宋" w:eastAsia="仿宋" w:cs="仿宋"/>
          <w:b/>
          <w:bCs/>
          <w:sz w:val="24"/>
          <w:szCs w:val="24"/>
        </w:rPr>
      </w:pPr>
    </w:p>
    <w:p w14:paraId="4EDF73A4">
      <w:pPr>
        <w:pStyle w:val="7"/>
        <w:jc w:val="center"/>
        <w:rPr>
          <w:rFonts w:hint="eastAsia" w:ascii="仿宋" w:hAnsi="仿宋" w:eastAsia="仿宋" w:cs="仿宋"/>
          <w:b/>
          <w:bCs/>
          <w:sz w:val="24"/>
          <w:szCs w:val="24"/>
        </w:rPr>
      </w:pPr>
    </w:p>
    <w:p w14:paraId="2C5EC371">
      <w:pPr>
        <w:pStyle w:val="7"/>
        <w:jc w:val="center"/>
        <w:rPr>
          <w:rFonts w:hint="eastAsia" w:ascii="仿宋" w:hAnsi="仿宋" w:eastAsia="仿宋" w:cs="仿宋"/>
          <w:b/>
          <w:bCs/>
          <w:sz w:val="24"/>
          <w:szCs w:val="24"/>
        </w:rPr>
      </w:pPr>
    </w:p>
    <w:p w14:paraId="06CCDC58">
      <w:pPr>
        <w:pStyle w:val="7"/>
        <w:jc w:val="center"/>
        <w:rPr>
          <w:rFonts w:hint="eastAsia" w:ascii="仿宋" w:hAnsi="仿宋" w:eastAsia="仿宋" w:cs="仿宋"/>
          <w:b/>
          <w:bCs/>
          <w:sz w:val="24"/>
          <w:szCs w:val="24"/>
        </w:rPr>
      </w:pPr>
    </w:p>
    <w:p w14:paraId="7DD2B13D">
      <w:pPr>
        <w:pStyle w:val="7"/>
        <w:jc w:val="center"/>
        <w:rPr>
          <w:rFonts w:hint="eastAsia" w:ascii="仿宋" w:hAnsi="仿宋" w:eastAsia="仿宋" w:cs="仿宋"/>
          <w:b/>
          <w:bCs/>
          <w:sz w:val="24"/>
          <w:szCs w:val="24"/>
        </w:rPr>
      </w:pPr>
    </w:p>
    <w:p w14:paraId="29C4D30F">
      <w:pPr>
        <w:pStyle w:val="7"/>
        <w:jc w:val="center"/>
        <w:rPr>
          <w:rFonts w:hint="eastAsia" w:ascii="仿宋" w:hAnsi="仿宋" w:eastAsia="仿宋" w:cs="仿宋"/>
          <w:b/>
          <w:bCs/>
          <w:sz w:val="24"/>
          <w:szCs w:val="24"/>
        </w:rPr>
      </w:pPr>
    </w:p>
    <w:p w14:paraId="121C7BD3">
      <w:pPr>
        <w:pStyle w:val="7"/>
        <w:jc w:val="center"/>
        <w:rPr>
          <w:rFonts w:hint="eastAsia" w:ascii="仿宋" w:hAnsi="仿宋" w:eastAsia="仿宋" w:cs="仿宋"/>
          <w:b/>
          <w:bCs/>
          <w:sz w:val="24"/>
          <w:szCs w:val="24"/>
        </w:rPr>
      </w:pPr>
    </w:p>
    <w:p w14:paraId="16337F31">
      <w:pPr>
        <w:pStyle w:val="7"/>
        <w:jc w:val="center"/>
        <w:rPr>
          <w:rFonts w:hint="eastAsia" w:ascii="仿宋" w:hAnsi="仿宋" w:eastAsia="仿宋" w:cs="仿宋"/>
          <w:b/>
          <w:bCs/>
          <w:sz w:val="24"/>
          <w:szCs w:val="24"/>
        </w:rPr>
      </w:pPr>
    </w:p>
    <w:p w14:paraId="3EBB6E9C">
      <w:pPr>
        <w:pStyle w:val="7"/>
        <w:jc w:val="center"/>
        <w:rPr>
          <w:rFonts w:hint="eastAsia" w:ascii="仿宋" w:hAnsi="仿宋" w:eastAsia="仿宋" w:cs="仿宋"/>
          <w:b/>
          <w:bCs/>
          <w:sz w:val="24"/>
          <w:szCs w:val="24"/>
        </w:rPr>
      </w:pPr>
    </w:p>
    <w:p w14:paraId="4AA8C07F">
      <w:pPr>
        <w:pStyle w:val="7"/>
        <w:jc w:val="center"/>
        <w:rPr>
          <w:rFonts w:hint="eastAsia" w:ascii="仿宋" w:hAnsi="仿宋" w:eastAsia="仿宋" w:cs="仿宋"/>
          <w:b/>
          <w:bCs/>
          <w:sz w:val="24"/>
          <w:szCs w:val="24"/>
        </w:rPr>
      </w:pPr>
    </w:p>
    <w:p w14:paraId="57174655">
      <w:pPr>
        <w:pStyle w:val="7"/>
        <w:jc w:val="center"/>
        <w:rPr>
          <w:rFonts w:hint="eastAsia" w:ascii="仿宋" w:hAnsi="仿宋" w:eastAsia="仿宋" w:cs="仿宋"/>
          <w:b/>
          <w:bCs/>
          <w:sz w:val="24"/>
          <w:szCs w:val="24"/>
        </w:rPr>
      </w:pPr>
    </w:p>
    <w:p w14:paraId="220D2CC6">
      <w:pPr>
        <w:pStyle w:val="7"/>
        <w:jc w:val="center"/>
        <w:rPr>
          <w:rFonts w:hint="eastAsia" w:ascii="仿宋" w:hAnsi="仿宋" w:eastAsia="仿宋" w:cs="仿宋"/>
          <w:b/>
          <w:bCs/>
          <w:sz w:val="24"/>
          <w:szCs w:val="24"/>
        </w:rPr>
      </w:pPr>
    </w:p>
    <w:p w14:paraId="25F4D446">
      <w:pPr>
        <w:pStyle w:val="7"/>
        <w:jc w:val="center"/>
        <w:rPr>
          <w:rFonts w:hint="eastAsia" w:ascii="仿宋" w:hAnsi="仿宋" w:eastAsia="仿宋" w:cs="仿宋"/>
          <w:b/>
          <w:bCs/>
          <w:sz w:val="24"/>
          <w:szCs w:val="24"/>
        </w:rPr>
      </w:pPr>
    </w:p>
    <w:p w14:paraId="20E122F0">
      <w:pPr>
        <w:pStyle w:val="7"/>
        <w:jc w:val="center"/>
        <w:rPr>
          <w:rFonts w:hint="eastAsia" w:ascii="仿宋" w:hAnsi="仿宋" w:eastAsia="仿宋" w:cs="仿宋"/>
          <w:b/>
          <w:bCs/>
          <w:sz w:val="24"/>
          <w:szCs w:val="24"/>
        </w:rPr>
      </w:pPr>
    </w:p>
    <w:p w14:paraId="290252CD">
      <w:pPr>
        <w:pStyle w:val="7"/>
        <w:jc w:val="center"/>
        <w:rPr>
          <w:rFonts w:hint="eastAsia" w:ascii="仿宋" w:hAnsi="仿宋" w:eastAsia="仿宋" w:cs="仿宋"/>
          <w:b/>
          <w:bCs/>
          <w:sz w:val="24"/>
          <w:szCs w:val="24"/>
        </w:rPr>
      </w:pPr>
    </w:p>
    <w:p w14:paraId="1865660B">
      <w:pPr>
        <w:pStyle w:val="7"/>
        <w:jc w:val="center"/>
        <w:rPr>
          <w:rFonts w:hint="eastAsia" w:ascii="仿宋" w:hAnsi="仿宋" w:eastAsia="仿宋" w:cs="仿宋"/>
          <w:b/>
          <w:bCs/>
          <w:sz w:val="24"/>
          <w:szCs w:val="24"/>
        </w:rPr>
      </w:pPr>
    </w:p>
    <w:p w14:paraId="7FECC7DC">
      <w:pPr>
        <w:pStyle w:val="7"/>
        <w:jc w:val="center"/>
        <w:rPr>
          <w:rFonts w:hint="eastAsia" w:ascii="仿宋" w:hAnsi="仿宋" w:eastAsia="仿宋" w:cs="仿宋"/>
          <w:b/>
          <w:bCs/>
          <w:sz w:val="24"/>
          <w:szCs w:val="24"/>
        </w:rPr>
      </w:pPr>
    </w:p>
    <w:p w14:paraId="4E9DED10">
      <w:pPr>
        <w:pStyle w:val="7"/>
        <w:jc w:val="center"/>
        <w:rPr>
          <w:rFonts w:hint="eastAsia" w:ascii="仿宋" w:hAnsi="仿宋" w:eastAsia="仿宋" w:cs="仿宋"/>
          <w:b/>
          <w:bCs/>
          <w:sz w:val="24"/>
          <w:szCs w:val="24"/>
        </w:rPr>
      </w:pPr>
    </w:p>
    <w:p w14:paraId="393E8628">
      <w:pPr>
        <w:pStyle w:val="7"/>
        <w:jc w:val="center"/>
        <w:rPr>
          <w:rFonts w:hint="eastAsia" w:ascii="仿宋" w:hAnsi="仿宋" w:eastAsia="仿宋" w:cs="仿宋"/>
          <w:b/>
          <w:bCs/>
          <w:sz w:val="24"/>
          <w:szCs w:val="24"/>
        </w:rPr>
      </w:pPr>
    </w:p>
    <w:p w14:paraId="6A005A00">
      <w:pPr>
        <w:pStyle w:val="7"/>
        <w:jc w:val="center"/>
        <w:rPr>
          <w:rFonts w:hint="eastAsia" w:ascii="仿宋" w:hAnsi="仿宋" w:eastAsia="仿宋" w:cs="仿宋"/>
          <w:b/>
          <w:bCs/>
          <w:sz w:val="24"/>
          <w:szCs w:val="24"/>
        </w:rPr>
      </w:pPr>
    </w:p>
    <w:p w14:paraId="50468DDB">
      <w:pPr>
        <w:pStyle w:val="7"/>
        <w:jc w:val="center"/>
        <w:rPr>
          <w:rFonts w:hint="eastAsia" w:ascii="仿宋" w:hAnsi="仿宋" w:eastAsia="仿宋" w:cs="仿宋"/>
          <w:b/>
          <w:bCs/>
          <w:sz w:val="24"/>
          <w:szCs w:val="24"/>
        </w:rPr>
      </w:pPr>
    </w:p>
    <w:p w14:paraId="76F3AD00">
      <w:pPr>
        <w:pStyle w:val="7"/>
        <w:jc w:val="center"/>
        <w:rPr>
          <w:rFonts w:hint="eastAsia" w:ascii="仿宋" w:hAnsi="仿宋" w:eastAsia="仿宋" w:cs="仿宋"/>
          <w:b/>
          <w:bCs/>
          <w:sz w:val="24"/>
          <w:szCs w:val="24"/>
        </w:rPr>
      </w:pPr>
    </w:p>
    <w:p w14:paraId="3E2A2585">
      <w:pPr>
        <w:pStyle w:val="7"/>
        <w:jc w:val="center"/>
        <w:rPr>
          <w:rFonts w:hint="eastAsia" w:ascii="仿宋" w:hAnsi="仿宋" w:eastAsia="仿宋" w:cs="仿宋"/>
          <w:b/>
          <w:bCs/>
          <w:sz w:val="24"/>
          <w:szCs w:val="24"/>
        </w:rPr>
      </w:pPr>
    </w:p>
    <w:p w14:paraId="79432D5A">
      <w:pPr>
        <w:pStyle w:val="7"/>
        <w:jc w:val="center"/>
        <w:rPr>
          <w:rFonts w:hint="eastAsia" w:ascii="仿宋" w:hAnsi="仿宋" w:eastAsia="仿宋" w:cs="仿宋"/>
          <w:b/>
          <w:bCs/>
          <w:sz w:val="24"/>
          <w:szCs w:val="24"/>
        </w:rPr>
      </w:pPr>
    </w:p>
    <w:p w14:paraId="3F639E02">
      <w:pPr>
        <w:pStyle w:val="7"/>
        <w:jc w:val="center"/>
        <w:rPr>
          <w:rFonts w:hint="eastAsia" w:ascii="仿宋" w:hAnsi="仿宋" w:eastAsia="仿宋" w:cs="仿宋"/>
          <w:b/>
          <w:bCs/>
          <w:sz w:val="24"/>
          <w:szCs w:val="24"/>
        </w:rPr>
      </w:pPr>
      <w:r>
        <w:rPr>
          <w:rFonts w:hint="eastAsia" w:ascii="仿宋" w:hAnsi="仿宋" w:eastAsia="仿宋" w:cs="仿宋"/>
          <w:b/>
          <w:bCs/>
          <w:sz w:val="24"/>
          <w:szCs w:val="24"/>
        </w:rPr>
        <w:t>资格审查一览表</w:t>
      </w:r>
    </w:p>
    <w:tbl>
      <w:tblPr>
        <w:tblStyle w:val="25"/>
        <w:tblW w:w="1042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1497"/>
        <w:gridCol w:w="6688"/>
        <w:gridCol w:w="1483"/>
      </w:tblGrid>
      <w:tr w14:paraId="1EC09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94FA678">
            <w:pPr>
              <w:pStyle w:val="33"/>
              <w:spacing w:before="107"/>
              <w:ind w:left="82" w:right="6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5825222">
            <w:pPr>
              <w:pStyle w:val="33"/>
              <w:spacing w:before="107"/>
              <w:ind w:left="82" w:right="6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A11830F">
            <w:pPr>
              <w:pStyle w:val="33"/>
              <w:spacing w:before="107"/>
              <w:ind w:left="1957" w:leftChars="0" w:right="1925" w:right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评审标准</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1F8E109">
            <w:pPr>
              <w:pStyle w:val="33"/>
              <w:spacing w:before="107"/>
              <w:ind w:left="192"/>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结论</w:t>
            </w:r>
          </w:p>
        </w:tc>
      </w:tr>
      <w:tr w14:paraId="73A15C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6"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EC5A3">
            <w:pPr>
              <w:pStyle w:val="33"/>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3A3ED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339A2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有效的</w:t>
            </w:r>
            <w:r>
              <w:rPr>
                <w:rFonts w:hint="eastAsia" w:ascii="仿宋" w:hAnsi="仿宋" w:eastAsia="仿宋" w:cs="仿宋"/>
                <w:color w:val="auto"/>
                <w:sz w:val="24"/>
                <w:szCs w:val="24"/>
                <w:highlight w:val="none"/>
              </w:rPr>
              <w:t>营业执照；</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384E51D">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0F12D7E3">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1A78D3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7"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A8EA2">
            <w:pPr>
              <w:pStyle w:val="33"/>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8B57B">
            <w:pPr>
              <w:pStyle w:val="33"/>
              <w:spacing w:before="171" w:line="268" w:lineRule="auto"/>
              <w:ind w:left="113" w:right="83"/>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法人或授权委托书</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0A0592">
            <w:pPr>
              <w:pStyle w:val="33"/>
              <w:spacing w:before="171" w:line="268" w:lineRule="auto"/>
              <w:ind w:left="113" w:leftChars="0" w:right="83" w:rightChars="0"/>
              <w:jc w:val="left"/>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法定代表人资格证明书及身份证</w:t>
            </w:r>
            <w:r>
              <w:rPr>
                <w:rFonts w:hint="eastAsia" w:ascii="仿宋" w:hAnsi="仿宋" w:eastAsia="仿宋" w:cs="仿宋"/>
                <w:b w:val="0"/>
                <w:color w:val="auto"/>
                <w:sz w:val="24"/>
                <w:szCs w:val="24"/>
                <w:highlight w:val="none"/>
                <w:lang w:val="en-US" w:eastAsia="zh-CN"/>
              </w:rPr>
              <w:t>扫描件</w:t>
            </w:r>
            <w:r>
              <w:rPr>
                <w:rFonts w:hint="eastAsia" w:ascii="仿宋" w:hAnsi="仿宋" w:eastAsia="仿宋" w:cs="仿宋"/>
                <w:b w:val="0"/>
                <w:color w:val="auto"/>
                <w:sz w:val="24"/>
                <w:szCs w:val="24"/>
                <w:highlight w:val="none"/>
              </w:rPr>
              <w:t>或法人授权委托书及被授权人身份证</w:t>
            </w:r>
            <w:r>
              <w:rPr>
                <w:rFonts w:hint="eastAsia" w:ascii="仿宋" w:hAnsi="仿宋" w:eastAsia="仿宋" w:cs="仿宋"/>
                <w:b w:val="0"/>
                <w:color w:val="auto"/>
                <w:sz w:val="24"/>
                <w:szCs w:val="24"/>
                <w:highlight w:val="none"/>
                <w:lang w:val="en-US" w:eastAsia="zh-CN"/>
              </w:rPr>
              <w:t>扫描件加盖公章</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A6BEAA7">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61B5466B">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02BE7B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2"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1AC32">
            <w:pPr>
              <w:pStyle w:val="33"/>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lang w:val="en-US" w:eastAsia="zh-CN"/>
              </w:rPr>
              <w:t>3</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7B380D">
            <w:pPr>
              <w:pStyle w:val="33"/>
              <w:spacing w:before="170"/>
              <w:ind w:left="113" w:leftChars="0"/>
              <w:jc w:val="left"/>
              <w:rPr>
                <w:rFonts w:hint="default" w:ascii="仿宋" w:hAnsi="仿宋" w:eastAsia="仿宋" w:cs="仿宋"/>
                <w:color w:val="auto"/>
                <w:kern w:val="2"/>
                <w:sz w:val="24"/>
                <w:szCs w:val="24"/>
                <w:highlight w:val="none"/>
                <w:lang w:val="en-US" w:eastAsia="zh-CN" w:bidi="zh-CN"/>
              </w:rPr>
            </w:pPr>
            <w:r>
              <w:rPr>
                <w:rFonts w:hint="default" w:ascii="仿宋" w:hAnsi="仿宋" w:eastAsia="仿宋" w:cs="仿宋"/>
                <w:color w:val="auto"/>
                <w:kern w:val="2"/>
                <w:sz w:val="24"/>
                <w:szCs w:val="24"/>
                <w:highlight w:val="none"/>
                <w:lang w:val="en-US" w:eastAsia="zh-CN" w:bidi="zh-CN"/>
              </w:rPr>
              <w:t>是否缴纳投标保证金</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575224">
            <w:pPr>
              <w:pStyle w:val="33"/>
              <w:spacing w:before="170"/>
              <w:ind w:left="113"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投标保证金缴纳凭证或保函加盖公章</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9216B50">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5C7ECB5F">
            <w:pPr>
              <w:pStyle w:val="33"/>
              <w:keepNext w:val="0"/>
              <w:keepLines w:val="0"/>
              <w:pageBreakBefore w:val="0"/>
              <w:widowControl w:val="0"/>
              <w:kinsoku/>
              <w:wordWrap/>
              <w:overflowPunct/>
              <w:topLinePunct w:val="0"/>
              <w:autoSpaceDE/>
              <w:autoSpaceDN/>
              <w:bidi w:val="0"/>
              <w:adjustRightInd/>
              <w:snapToGrid/>
              <w:ind w:left="0" w:leftChars="0" w:firstLine="245" w:firstLineChars="100"/>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rPr>
              <w:t>□不通过</w:t>
            </w:r>
          </w:p>
        </w:tc>
      </w:tr>
      <w:tr w14:paraId="7616F5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2D7FE4">
            <w:pPr>
              <w:pStyle w:val="33"/>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sz w:val="24"/>
                <w:szCs w:val="24"/>
                <w:highlight w:val="none"/>
                <w:lang w:val="en-US" w:eastAsia="zh-CN"/>
              </w:rPr>
              <w:t>4</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B810D4">
            <w:pPr>
              <w:pStyle w:val="33"/>
              <w:spacing w:before="33"/>
              <w:ind w:left="113" w:leftChars="0"/>
              <w:jc w:val="left"/>
              <w:rPr>
                <w:rFonts w:hint="default" w:ascii="仿宋" w:hAnsi="仿宋" w:eastAsia="仿宋" w:cs="仿宋"/>
                <w:b w:val="0"/>
                <w:color w:val="auto"/>
                <w:kern w:val="2"/>
                <w:sz w:val="24"/>
                <w:szCs w:val="24"/>
                <w:highlight w:val="none"/>
                <w:lang w:val="en-US" w:eastAsia="zh-CN" w:bidi="zh-CN"/>
              </w:rPr>
            </w:pPr>
            <w:r>
              <w:rPr>
                <w:rFonts w:hint="eastAsia" w:ascii="仿宋" w:hAnsi="仿宋" w:eastAsia="仿宋" w:cs="仿宋"/>
                <w:b w:val="0"/>
                <w:color w:val="auto"/>
                <w:kern w:val="2"/>
                <w:sz w:val="24"/>
                <w:szCs w:val="24"/>
                <w:highlight w:val="none"/>
                <w:lang w:val="en-US" w:eastAsia="zh-CN" w:bidi="zh-CN"/>
              </w:rPr>
              <w:t>特定资格要求</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6C2F0E">
            <w:pPr>
              <w:pStyle w:val="33"/>
              <w:spacing w:before="33"/>
              <w:ind w:left="113"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企业资质等级要求：水利行业乙级及以上工程设计资质，项目经理资质要求：具有水利相关专业高级职称。</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C77C2A6">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11696AF8">
            <w:pPr>
              <w:pStyle w:val="33"/>
              <w:keepNext w:val="0"/>
              <w:keepLines w:val="0"/>
              <w:pageBreakBefore w:val="0"/>
              <w:widowControl w:val="0"/>
              <w:kinsoku/>
              <w:wordWrap/>
              <w:overflowPunct/>
              <w:topLinePunct w:val="0"/>
              <w:autoSpaceDE/>
              <w:autoSpaceDN/>
              <w:bidi w:val="0"/>
              <w:adjustRightInd/>
              <w:snapToGrid/>
              <w:ind w:left="0" w:leftChars="0" w:firstLine="245" w:firstLineChars="100"/>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rPr>
              <w:t>□不通过</w:t>
            </w:r>
          </w:p>
        </w:tc>
      </w:tr>
      <w:tr w14:paraId="4399C9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7B70CE">
            <w:pPr>
              <w:pStyle w:val="33"/>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9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CA0F1A">
            <w:pPr>
              <w:pStyle w:val="33"/>
              <w:spacing w:before="33"/>
              <w:ind w:left="113" w:left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中小企业声明函</w:t>
            </w:r>
          </w:p>
        </w:tc>
        <w:tc>
          <w:tcPr>
            <w:tcW w:w="66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D0615">
            <w:pPr>
              <w:pStyle w:val="33"/>
              <w:spacing w:before="33"/>
              <w:ind w:left="113"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w:t>
            </w:r>
            <w:r>
              <w:rPr>
                <w:rFonts w:hint="eastAsia" w:ascii="仿宋" w:hAnsi="仿宋" w:eastAsia="仿宋" w:cs="仿宋"/>
                <w:color w:val="auto"/>
                <w:sz w:val="24"/>
                <w:szCs w:val="24"/>
                <w:highlight w:val="none"/>
                <w:lang w:val="zh-CN" w:eastAsia="zh-CN"/>
              </w:rPr>
              <w:t>应商结合自身实际，按照采购文件要求，提供《中小企业声明函》或《残疾人福利性单位声明函》或者《监狱企业证明文件》进行响应;</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9E6DB27">
            <w:pPr>
              <w:pStyle w:val="33"/>
              <w:keepNext w:val="0"/>
              <w:keepLines w:val="0"/>
              <w:pageBreakBefore w:val="0"/>
              <w:widowControl w:val="0"/>
              <w:kinsoku/>
              <w:wordWrap/>
              <w:overflowPunct/>
              <w:topLinePunct w:val="0"/>
              <w:autoSpaceDE/>
              <w:autoSpaceDN/>
              <w:bidi w:val="0"/>
              <w:adjustRightInd/>
              <w:snapToGrid/>
              <w:ind w:left="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19AAD219">
            <w:pPr>
              <w:pStyle w:val="33"/>
              <w:keepNext w:val="0"/>
              <w:keepLines w:val="0"/>
              <w:pageBreakBefore w:val="0"/>
              <w:widowControl w:val="0"/>
              <w:kinsoku/>
              <w:wordWrap/>
              <w:overflowPunct/>
              <w:topLinePunct w:val="0"/>
              <w:autoSpaceDE/>
              <w:autoSpaceDN/>
              <w:bidi w:val="0"/>
              <w:adjustRightInd/>
              <w:snapToGrid/>
              <w:ind w:left="0" w:leftChars="0" w:firstLine="245"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bl>
    <w:p w14:paraId="4D2C447D">
      <w:pPr>
        <w:pStyle w:val="7"/>
        <w:jc w:val="center"/>
        <w:rPr>
          <w:rFonts w:hint="eastAsia" w:ascii="仿宋" w:hAnsi="仿宋" w:eastAsia="仿宋" w:cs="仿宋"/>
          <w:b/>
          <w:bCs/>
          <w:sz w:val="24"/>
          <w:szCs w:val="24"/>
        </w:rPr>
      </w:pPr>
    </w:p>
    <w:p w14:paraId="61B33AC6">
      <w:pPr>
        <w:pStyle w:val="7"/>
        <w:jc w:val="center"/>
        <w:rPr>
          <w:rFonts w:hint="eastAsia" w:ascii="仿宋" w:hAnsi="仿宋" w:eastAsia="仿宋" w:cs="仿宋"/>
          <w:b/>
          <w:sz w:val="24"/>
          <w:szCs w:val="24"/>
          <w:lang w:val="zh-CN"/>
        </w:rPr>
      </w:pPr>
      <w:r>
        <w:rPr>
          <w:rFonts w:hint="eastAsia" w:ascii="仿宋" w:hAnsi="仿宋" w:eastAsia="仿宋" w:cs="仿宋"/>
          <w:b/>
          <w:bCs/>
          <w:sz w:val="24"/>
          <w:szCs w:val="24"/>
        </w:rPr>
        <w:t>符合性审查一览表</w:t>
      </w:r>
    </w:p>
    <w:tbl>
      <w:tblPr>
        <w:tblStyle w:val="25"/>
        <w:tblW w:w="106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1578"/>
        <w:gridCol w:w="6712"/>
        <w:gridCol w:w="1576"/>
      </w:tblGrid>
      <w:tr w14:paraId="444544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0BC7AAC">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7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28975B5">
            <w:pPr>
              <w:pStyle w:val="33"/>
              <w:keepNext w:val="0"/>
              <w:keepLines w:val="0"/>
              <w:pageBreakBefore w:val="0"/>
              <w:widowControl w:val="0"/>
              <w:kinsoku/>
              <w:wordWrap/>
              <w:overflowPunct/>
              <w:topLinePunct w:val="0"/>
              <w:bidi w:val="0"/>
              <w:adjustRightInd w:val="0"/>
              <w:snapToGrid w:val="0"/>
              <w:spacing w:line="400" w:lineRule="exact"/>
              <w:ind w:left="0" w:right="0"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评审因素</w:t>
            </w:r>
          </w:p>
        </w:tc>
        <w:tc>
          <w:tcPr>
            <w:tcW w:w="6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BA514">
            <w:pPr>
              <w:pStyle w:val="33"/>
              <w:keepNext w:val="0"/>
              <w:keepLines w:val="0"/>
              <w:pageBreakBefore w:val="0"/>
              <w:widowControl w:val="0"/>
              <w:kinsoku/>
              <w:wordWrap/>
              <w:overflowPunct/>
              <w:topLinePunct w:val="0"/>
              <w:bidi w:val="0"/>
              <w:adjustRightInd w:val="0"/>
              <w:snapToGrid w:val="0"/>
              <w:spacing w:line="400" w:lineRule="exact"/>
              <w:ind w:left="0" w:right="0" w:firstLine="0" w:firstLine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评审标准</w:t>
            </w:r>
          </w:p>
        </w:tc>
        <w:tc>
          <w:tcPr>
            <w:tcW w:w="15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C43508">
            <w:pPr>
              <w:pStyle w:val="33"/>
              <w:keepNext w:val="0"/>
              <w:keepLines w:val="0"/>
              <w:pageBreakBefore w:val="0"/>
              <w:widowControl w:val="0"/>
              <w:kinsoku/>
              <w:wordWrap/>
              <w:overflowPunct/>
              <w:topLinePunct w:val="0"/>
              <w:bidi w:val="0"/>
              <w:adjustRightInd w:val="0"/>
              <w:snapToGrid w:val="0"/>
              <w:spacing w:line="400" w:lineRule="exact"/>
              <w:ind w:left="0" w:right="0" w:firstLine="0" w:firstLine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结论</w:t>
            </w:r>
          </w:p>
        </w:tc>
      </w:tr>
      <w:tr w14:paraId="14577A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0"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533D1">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5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D16E3">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center"/>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响应文件格式</w:t>
            </w:r>
          </w:p>
        </w:tc>
        <w:tc>
          <w:tcPr>
            <w:tcW w:w="6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AE7C58">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响应文件</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val="zh-CN"/>
              </w:rPr>
              <w:t>按竞争性磋商文件规定格式填写、盖章的；</w:t>
            </w:r>
          </w:p>
        </w:tc>
        <w:tc>
          <w:tcPr>
            <w:tcW w:w="15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4CDE13">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27AF828D">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7913FD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365015">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5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D8D754">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center"/>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响应有效期</w:t>
            </w:r>
          </w:p>
        </w:tc>
        <w:tc>
          <w:tcPr>
            <w:tcW w:w="6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E96D06">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投标有效期</w:t>
            </w:r>
            <w:r>
              <w:rPr>
                <w:rFonts w:hint="eastAsia" w:ascii="仿宋" w:hAnsi="仿宋" w:eastAsia="仿宋" w:cs="仿宋"/>
                <w:bCs/>
                <w:color w:val="auto"/>
                <w:sz w:val="24"/>
                <w:szCs w:val="24"/>
                <w:highlight w:val="none"/>
                <w:lang w:val="en-US" w:eastAsia="zh-CN"/>
              </w:rPr>
              <w:t>是否</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要求的；</w:t>
            </w:r>
          </w:p>
        </w:tc>
        <w:tc>
          <w:tcPr>
            <w:tcW w:w="15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4BACF">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30C7C21E">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52EC20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404D2">
            <w:pPr>
              <w:pStyle w:val="33"/>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15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3FEF01">
            <w:pPr>
              <w:keepNext w:val="0"/>
              <w:keepLines w:val="0"/>
              <w:pageBreakBefore w:val="0"/>
              <w:widowControl w:val="0"/>
              <w:kinsoku/>
              <w:wordWrap/>
              <w:overflowPunct/>
              <w:topLinePunct w:val="0"/>
              <w:bidi w:val="0"/>
              <w:adjustRightInd w:val="0"/>
              <w:snapToGrid w:val="0"/>
              <w:spacing w:line="400" w:lineRule="exact"/>
              <w:ind w:left="0" w:leftChars="0" w:right="0" w:rightChars="0" w:firstLine="245" w:firstLineChars="10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sz w:val="24"/>
                <w:szCs w:val="24"/>
                <w:highlight w:val="none"/>
              </w:rPr>
              <w:t>报价唯一</w:t>
            </w:r>
            <w:r>
              <w:rPr>
                <w:rFonts w:hint="eastAsia" w:ascii="仿宋" w:hAnsi="仿宋" w:eastAsia="仿宋" w:cs="仿宋"/>
                <w:b w:val="0"/>
                <w:color w:val="auto"/>
                <w:sz w:val="24"/>
                <w:szCs w:val="24"/>
                <w:highlight w:val="none"/>
                <w:lang w:val="en-US" w:eastAsia="zh-CN"/>
              </w:rPr>
              <w:t>性</w:t>
            </w:r>
          </w:p>
        </w:tc>
        <w:tc>
          <w:tcPr>
            <w:tcW w:w="6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0DBB3B">
            <w:pPr>
              <w:keepNext w:val="0"/>
              <w:keepLines w:val="0"/>
              <w:pageBreakBefore w:val="0"/>
              <w:widowControl w:val="0"/>
              <w:kinsoku/>
              <w:wordWrap/>
              <w:overflowPunct/>
              <w:topLinePunct w:val="0"/>
              <w:bidi w:val="0"/>
              <w:adjustRightInd w:val="0"/>
              <w:snapToGrid w:val="0"/>
              <w:spacing w:line="400" w:lineRule="exact"/>
              <w:ind w:right="0" w:righ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投标文件针对同一种服务</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出现两个或两个以上的报价，供应商的报价</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超过预算价或最高限价。</w:t>
            </w:r>
          </w:p>
        </w:tc>
        <w:tc>
          <w:tcPr>
            <w:tcW w:w="15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5F47AB">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010C9342">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1C6F91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98176">
            <w:pPr>
              <w:pStyle w:val="33"/>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137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right="0" w:rightChars="0" w:firstLine="245" w:firstLineChars="10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6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AFB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zh-CN"/>
              </w:rPr>
              <w:t>符合法律法规和竞争性磋商文件中规定的其他实质性要求的；</w:t>
            </w:r>
          </w:p>
        </w:tc>
        <w:tc>
          <w:tcPr>
            <w:tcW w:w="15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0C9A08">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3D4D03AD">
            <w:pPr>
              <w:pStyle w:val="33"/>
              <w:keepNext w:val="0"/>
              <w:keepLines w:val="0"/>
              <w:pageBreakBefore w:val="0"/>
              <w:widowControl w:val="0"/>
              <w:kinsoku/>
              <w:wordWrap/>
              <w:overflowPunct/>
              <w:topLinePunct w:val="0"/>
              <w:autoSpaceDE/>
              <w:autoSpaceDN/>
              <w:bidi w:val="0"/>
              <w:adjustRightInd w:val="0"/>
              <w:snapToGrid w:val="0"/>
              <w:spacing w:line="400" w:lineRule="exact"/>
              <w:ind w:left="0" w:right="0" w:firstLine="245"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bl>
    <w:p w14:paraId="764DA332">
      <w:pPr>
        <w:rPr>
          <w:rFonts w:hint="eastAsia" w:ascii="仿宋" w:hAnsi="仿宋" w:eastAsia="仿宋" w:cs="仿宋"/>
          <w:b/>
          <w:sz w:val="24"/>
          <w:szCs w:val="24"/>
          <w:lang w:val="zh-CN"/>
        </w:rPr>
      </w:pPr>
    </w:p>
    <w:p w14:paraId="5B7946D4">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.5.8</w:t>
      </w:r>
      <w:r>
        <w:rPr>
          <w:rFonts w:hint="eastAsia" w:ascii="仿宋" w:hAnsi="仿宋" w:eastAsia="仿宋" w:cs="仿宋"/>
          <w:b/>
          <w:sz w:val="24"/>
          <w:szCs w:val="24"/>
        </w:rPr>
        <w:t xml:space="preserve"> 综合评审 </w:t>
      </w:r>
    </w:p>
    <w:p w14:paraId="39FCA6F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24.5.8.1</w:t>
      </w:r>
      <w:r>
        <w:rPr>
          <w:rFonts w:hint="eastAsia" w:ascii="仿宋" w:hAnsi="仿宋" w:eastAsia="仿宋" w:cs="仿宋"/>
          <w:bCs/>
          <w:sz w:val="24"/>
          <w:szCs w:val="24"/>
        </w:rPr>
        <w:t>评标委员会各成员</w:t>
      </w:r>
      <w:r>
        <w:rPr>
          <w:rFonts w:hint="eastAsia" w:ascii="仿宋" w:hAnsi="仿宋" w:eastAsia="仿宋" w:cs="仿宋"/>
          <w:sz w:val="24"/>
          <w:szCs w:val="24"/>
        </w:rPr>
        <w:t>应当</w:t>
      </w:r>
      <w:r>
        <w:rPr>
          <w:rFonts w:hint="eastAsia" w:ascii="仿宋" w:hAnsi="仿宋" w:eastAsia="仿宋" w:cs="仿宋"/>
          <w:bCs/>
          <w:sz w:val="24"/>
          <w:szCs w:val="24"/>
        </w:rPr>
        <w:t>遵循独立评审原则，</w:t>
      </w:r>
      <w:r>
        <w:rPr>
          <w:rFonts w:hint="eastAsia" w:ascii="仿宋" w:hAnsi="仿宋" w:eastAsia="仿宋" w:cs="仿宋"/>
          <w:sz w:val="24"/>
          <w:szCs w:val="24"/>
          <w:lang w:val="zh-CN"/>
        </w:rPr>
        <w:t>按照竞争性磋商文件的评标方法和标准，对资质资格资质检查和复合性检查合格的投标文件的商务和技术进行评估，综合比较与评价。并应当以书面方式发表各自（或集体）的具体综合评审意见。</w:t>
      </w:r>
    </w:p>
    <w:p w14:paraId="57153AE0">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.5.8.2 评估和综合比较与评价，应当</w:t>
      </w:r>
      <w:r>
        <w:rPr>
          <w:rFonts w:hint="eastAsia" w:ascii="仿宋" w:hAnsi="仿宋" w:eastAsia="仿宋" w:cs="仿宋"/>
          <w:bCs/>
          <w:sz w:val="24"/>
          <w:szCs w:val="24"/>
        </w:rPr>
        <w:t>严格</w:t>
      </w:r>
      <w:r>
        <w:rPr>
          <w:rFonts w:hint="eastAsia" w:ascii="仿宋" w:hAnsi="仿宋" w:eastAsia="仿宋" w:cs="仿宋"/>
          <w:sz w:val="24"/>
          <w:szCs w:val="24"/>
          <w:lang w:val="zh-CN"/>
        </w:rPr>
        <w:t>按照采购人设计格式要求，做好书面原始署名记录，</w:t>
      </w:r>
      <w:r>
        <w:rPr>
          <w:rFonts w:hint="eastAsia" w:ascii="仿宋" w:hAnsi="仿宋" w:eastAsia="仿宋" w:cs="仿宋"/>
          <w:bCs/>
          <w:sz w:val="24"/>
          <w:szCs w:val="24"/>
        </w:rPr>
        <w:t>连同书面评标报告提交采购人。</w:t>
      </w:r>
    </w:p>
    <w:p w14:paraId="07F3E7FA">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.5.8.3</w:t>
      </w:r>
      <w:r>
        <w:rPr>
          <w:rFonts w:hint="eastAsia" w:ascii="仿宋" w:hAnsi="仿宋" w:eastAsia="仿宋" w:cs="仿宋"/>
          <w:bCs/>
          <w:sz w:val="24"/>
          <w:szCs w:val="24"/>
        </w:rPr>
        <w:t xml:space="preserve"> “综合评分法”应当载明投标人的投标项目、所作的任何修正、对商业偏差的调整、对技术偏差的调整、对各评审因素的评估，以及对每一投标的最终评标结果。</w:t>
      </w:r>
    </w:p>
    <w:p w14:paraId="32F551BF">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.5.8.4综合评审记录要突出重点、抓住关键（核</w:t>
      </w:r>
      <w:r>
        <w:rPr>
          <w:rFonts w:hint="eastAsia" w:ascii="仿宋" w:hAnsi="仿宋" w:eastAsia="仿宋" w:cs="仿宋"/>
          <w:bCs/>
          <w:sz w:val="24"/>
          <w:szCs w:val="24"/>
        </w:rPr>
        <w:t>心）、真实准确、简明扼要，体现公平、公正、合理。否则，经核实后，将按前款</w:t>
      </w:r>
      <w:r>
        <w:rPr>
          <w:rFonts w:hint="eastAsia" w:ascii="仿宋" w:hAnsi="仿宋" w:eastAsia="仿宋" w:cs="仿宋"/>
          <w:sz w:val="24"/>
          <w:szCs w:val="24"/>
        </w:rPr>
        <w:t>“第五部分”中“第四章”的21.3条款之规定执行。</w:t>
      </w:r>
    </w:p>
    <w:p w14:paraId="47CEBC69">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.5.8.9 比较与评价</w:t>
      </w:r>
    </w:p>
    <w:p w14:paraId="68BACE01">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Cs/>
          <w:sz w:val="24"/>
          <w:szCs w:val="24"/>
        </w:rPr>
        <w:t>综合评标时，评标委员会各成员应当对每一个有效</w:t>
      </w:r>
      <w:r>
        <w:rPr>
          <w:rFonts w:hint="eastAsia" w:ascii="仿宋" w:hAnsi="仿宋" w:eastAsia="仿宋" w:cs="仿宋"/>
          <w:bCs/>
          <w:sz w:val="24"/>
          <w:szCs w:val="24"/>
          <w:lang w:eastAsia="zh-CN"/>
        </w:rPr>
        <w:t>投标</w:t>
      </w:r>
      <w:r>
        <w:rPr>
          <w:rFonts w:hint="eastAsia" w:ascii="仿宋" w:hAnsi="仿宋" w:eastAsia="仿宋" w:cs="仿宋"/>
          <w:bCs/>
          <w:sz w:val="24"/>
          <w:szCs w:val="24"/>
        </w:rPr>
        <w:t>人的投标文件，</w:t>
      </w:r>
      <w:r>
        <w:rPr>
          <w:rFonts w:hint="eastAsia" w:ascii="仿宋" w:hAnsi="仿宋" w:eastAsia="仿宋" w:cs="仿宋"/>
          <w:sz w:val="24"/>
          <w:szCs w:val="24"/>
          <w:lang w:val="zh-CN"/>
        </w:rPr>
        <w:t>根据竞争性磋商文件中要求的产品价格、技术、性能、质量及质检认证、环保节能、财务状况、信誉、业绩、服务、培训、货物供应及对竞争性磋商文件的响应程度等指标，进行具体评估。</w:t>
      </w:r>
    </w:p>
    <w:p w14:paraId="3925DC76">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3DD1D052">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.5.9 综合评分法的原则、方法和标准</w:t>
      </w:r>
    </w:p>
    <w:p w14:paraId="6514FD36">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.5.9.1</w:t>
      </w:r>
      <w:r>
        <w:rPr>
          <w:rFonts w:hint="eastAsia" w:ascii="仿宋" w:hAnsi="仿宋" w:eastAsia="仿宋" w:cs="仿宋"/>
          <w:bCs/>
          <w:sz w:val="24"/>
          <w:szCs w:val="24"/>
        </w:rPr>
        <w:t>采用综合评分法，是指在最大限度地满足</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实质性要求前提下，按照</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中规定的各项因素进行综合评审后，以评分得分最高的投标人作为中标候选投标人或者中标投标人的评标方法。</w:t>
      </w:r>
    </w:p>
    <w:p w14:paraId="532DC7B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.5.9.2综合评分方法：评标委员会成员</w:t>
      </w:r>
      <w:r>
        <w:rPr>
          <w:rFonts w:hint="eastAsia" w:ascii="仿宋" w:hAnsi="仿宋" w:eastAsia="仿宋" w:cs="仿宋"/>
          <w:sz w:val="24"/>
          <w:szCs w:val="24"/>
        </w:rPr>
        <w:t>应按照独立综合评审原则，根据对</w:t>
      </w:r>
      <w:r>
        <w:rPr>
          <w:rFonts w:hint="eastAsia" w:ascii="仿宋" w:hAnsi="仿宋" w:eastAsia="仿宋" w:cs="仿宋"/>
          <w:sz w:val="24"/>
          <w:szCs w:val="24"/>
          <w:lang w:eastAsia="zh-CN"/>
        </w:rPr>
        <w:t>竞争性磋商文件</w:t>
      </w:r>
      <w:r>
        <w:rPr>
          <w:rFonts w:hint="eastAsia" w:ascii="仿宋" w:hAnsi="仿宋" w:eastAsia="仿宋" w:cs="仿宋"/>
          <w:sz w:val="24"/>
          <w:szCs w:val="24"/>
          <w:lang w:val="zh-CN"/>
        </w:rPr>
        <w:t>的响应程度和具体评标</w:t>
      </w:r>
      <w:r>
        <w:rPr>
          <w:rFonts w:hint="eastAsia" w:ascii="仿宋" w:hAnsi="仿宋" w:eastAsia="仿宋" w:cs="仿宋"/>
          <w:sz w:val="24"/>
          <w:szCs w:val="24"/>
        </w:rPr>
        <w:t>情况，</w:t>
      </w:r>
      <w:r>
        <w:rPr>
          <w:rFonts w:hint="eastAsia" w:ascii="仿宋" w:hAnsi="仿宋" w:eastAsia="仿宋" w:cs="仿宋"/>
          <w:sz w:val="24"/>
          <w:szCs w:val="24"/>
          <w:lang w:val="zh-CN"/>
        </w:rPr>
        <w:t>独立对具体投标文件的商务和技术指标进行评估和综合比较与评价后，独立（或集体）发表综合评审（建议）意见，对每一个投标人做出打分决定；经</w:t>
      </w:r>
      <w:r>
        <w:rPr>
          <w:rFonts w:hint="eastAsia" w:ascii="仿宋" w:hAnsi="仿宋" w:eastAsia="仿宋" w:cs="仿宋"/>
          <w:sz w:val="24"/>
          <w:szCs w:val="24"/>
        </w:rPr>
        <w:t>采购代理机构</w:t>
      </w:r>
      <w:r>
        <w:rPr>
          <w:rFonts w:hint="eastAsia" w:ascii="仿宋" w:hAnsi="仿宋" w:eastAsia="仿宋" w:cs="仿宋"/>
          <w:sz w:val="24"/>
          <w:szCs w:val="24"/>
          <w:lang w:val="zh-CN"/>
        </w:rPr>
        <w:t>核对和汇总后，按得高分原则，由高到低进行排序后，</w:t>
      </w:r>
      <w:r>
        <w:rPr>
          <w:rFonts w:hint="eastAsia" w:ascii="仿宋" w:hAnsi="仿宋" w:eastAsia="仿宋" w:cs="仿宋"/>
          <w:sz w:val="24"/>
          <w:szCs w:val="24"/>
        </w:rPr>
        <w:t>最后根据评标委员会各成员签署的打分结果，得出评标结论。</w:t>
      </w:r>
    </w:p>
    <w:p w14:paraId="10BAC2F0">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.5.9.3 评标时，评标委员会各成员应当独立对每个有效投标人的投标文件进行评价、打分，然后由</w:t>
      </w:r>
      <w:r>
        <w:rPr>
          <w:rFonts w:hint="eastAsia" w:ascii="仿宋" w:hAnsi="仿宋" w:eastAsia="仿宋" w:cs="仿宋"/>
          <w:sz w:val="24"/>
          <w:szCs w:val="24"/>
        </w:rPr>
        <w:t>采购代理机构</w:t>
      </w:r>
      <w:r>
        <w:rPr>
          <w:rFonts w:hint="eastAsia" w:ascii="仿宋" w:hAnsi="仿宋" w:eastAsia="仿宋" w:cs="仿宋"/>
          <w:sz w:val="24"/>
          <w:szCs w:val="24"/>
          <w:lang w:val="zh-CN"/>
        </w:rPr>
        <w:t>核对汇总出每个投标人每项评分因素的得分。</w:t>
      </w:r>
    </w:p>
    <w:p w14:paraId="2A3BFC33">
      <w:pPr>
        <w:autoSpaceDE w:val="0"/>
        <w:autoSpaceDN w:val="0"/>
        <w:adjustRightInd w:val="0"/>
        <w:spacing w:line="360" w:lineRule="auto"/>
        <w:ind w:firstLine="48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3</w:t>
      </w:r>
      <w:r>
        <w:rPr>
          <w:rFonts w:hint="eastAsia" w:ascii="仿宋" w:hAnsi="仿宋" w:eastAsia="仿宋" w:cs="仿宋"/>
          <w:sz w:val="24"/>
          <w:szCs w:val="24"/>
          <w:lang w:val="zh-CN"/>
        </w:rPr>
        <w:t>.5.9.4 综合评分，应严格遵守前款“</w:t>
      </w:r>
      <w:r>
        <w:rPr>
          <w:rFonts w:hint="eastAsia" w:ascii="仿宋" w:hAnsi="仿宋" w:eastAsia="仿宋" w:cs="仿宋"/>
          <w:bCs/>
          <w:sz w:val="24"/>
          <w:szCs w:val="24"/>
          <w:lang w:val="zh-CN"/>
        </w:rPr>
        <w:t>24.5.8</w:t>
      </w:r>
      <w:r>
        <w:rPr>
          <w:rFonts w:hint="eastAsia" w:ascii="仿宋" w:hAnsi="仿宋" w:eastAsia="仿宋" w:cs="仿宋"/>
          <w:bCs/>
          <w:sz w:val="24"/>
          <w:szCs w:val="24"/>
        </w:rPr>
        <w:t xml:space="preserve"> 综合评审”条款之规定。</w:t>
      </w:r>
      <w:r>
        <w:rPr>
          <w:rFonts w:hint="eastAsia" w:ascii="仿宋" w:hAnsi="仿宋" w:eastAsia="仿宋" w:cs="仿宋"/>
          <w:bCs/>
          <w:sz w:val="24"/>
          <w:szCs w:val="24"/>
          <w:lang w:val="zh-CN"/>
        </w:rPr>
        <w:t>否则，经核实后，</w:t>
      </w:r>
      <w:r>
        <w:rPr>
          <w:rFonts w:hint="eastAsia" w:ascii="仿宋" w:hAnsi="仿宋" w:eastAsia="仿宋" w:cs="仿宋"/>
          <w:bCs/>
          <w:sz w:val="24"/>
          <w:szCs w:val="24"/>
        </w:rPr>
        <w:t>将按前款“第五部分”中“第四章”的21.3条款之规定执行。</w:t>
      </w:r>
    </w:p>
    <w:p w14:paraId="6F6BDC77">
      <w:pPr>
        <w:tabs>
          <w:tab w:val="left" w:pos="8280"/>
        </w:tabs>
        <w:spacing w:line="360" w:lineRule="auto"/>
        <w:ind w:right="-1" w:firstLine="551" w:firstLineChars="225"/>
        <w:rPr>
          <w:rFonts w:hint="eastAsia" w:ascii="仿宋" w:hAnsi="仿宋" w:eastAsia="仿宋" w:cs="仿宋"/>
          <w:sz w:val="24"/>
          <w:szCs w:val="24"/>
          <w:lang w:val="zh-CN"/>
        </w:rPr>
      </w:pPr>
      <w:r>
        <w:rPr>
          <w:rFonts w:hint="eastAsia" w:ascii="仿宋" w:hAnsi="仿宋" w:eastAsia="仿宋" w:cs="仿宋"/>
          <w:bCs/>
          <w:sz w:val="24"/>
          <w:szCs w:val="24"/>
          <w:lang w:val="zh-CN"/>
        </w:rPr>
        <w:t>2</w:t>
      </w:r>
      <w:r>
        <w:rPr>
          <w:rFonts w:hint="eastAsia" w:ascii="仿宋" w:hAnsi="仿宋" w:eastAsia="仿宋" w:cs="仿宋"/>
          <w:bCs/>
          <w:sz w:val="24"/>
          <w:szCs w:val="24"/>
        </w:rPr>
        <w:t>3</w:t>
      </w:r>
      <w:r>
        <w:rPr>
          <w:rFonts w:hint="eastAsia" w:ascii="仿宋" w:hAnsi="仿宋" w:eastAsia="仿宋" w:cs="仿宋"/>
          <w:bCs/>
          <w:sz w:val="24"/>
          <w:szCs w:val="24"/>
          <w:lang w:val="zh-CN"/>
        </w:rPr>
        <w:t>.5.9.5 评标委员会</w:t>
      </w:r>
      <w:r>
        <w:rPr>
          <w:rFonts w:hint="eastAsia" w:ascii="仿宋" w:hAnsi="仿宋" w:eastAsia="仿宋" w:cs="仿宋"/>
          <w:bCs/>
          <w:sz w:val="24"/>
          <w:szCs w:val="24"/>
        </w:rPr>
        <w:t>各成员</w:t>
      </w:r>
      <w:r>
        <w:rPr>
          <w:rFonts w:hint="eastAsia" w:ascii="仿宋" w:hAnsi="仿宋" w:eastAsia="仿宋" w:cs="仿宋"/>
          <w:bCs/>
          <w:sz w:val="24"/>
          <w:szCs w:val="24"/>
          <w:lang w:val="zh-CN"/>
        </w:rPr>
        <w:t>要按照采购人规定格式，将每一个投标</w:t>
      </w:r>
      <w:r>
        <w:rPr>
          <w:rFonts w:hint="eastAsia" w:ascii="仿宋" w:hAnsi="仿宋" w:eastAsia="仿宋" w:cs="仿宋"/>
          <w:sz w:val="24"/>
          <w:szCs w:val="24"/>
          <w:lang w:val="zh-CN"/>
        </w:rPr>
        <w:t>人的综合评审意见、打分结果、推荐理由等进行署名原始记录。</w:t>
      </w:r>
    </w:p>
    <w:p w14:paraId="3791B423">
      <w:pPr>
        <w:spacing w:line="360" w:lineRule="auto"/>
        <w:ind w:firstLine="490" w:firstLineChars="200"/>
        <w:rPr>
          <w:rFonts w:hint="eastAsia" w:ascii="仿宋" w:hAnsi="仿宋" w:eastAsia="仿宋" w:cs="仿宋"/>
          <w:b/>
          <w:sz w:val="24"/>
          <w:szCs w:val="24"/>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.5.9.</w:t>
      </w:r>
      <w:r>
        <w:rPr>
          <w:rFonts w:hint="eastAsia" w:ascii="仿宋" w:hAnsi="仿宋" w:eastAsia="仿宋" w:cs="仿宋"/>
          <w:b/>
          <w:sz w:val="24"/>
          <w:szCs w:val="24"/>
        </w:rPr>
        <w:t>6 综合评分原则</w:t>
      </w:r>
    </w:p>
    <w:p w14:paraId="61B1BB17">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bCs/>
          <w:sz w:val="24"/>
          <w:szCs w:val="24"/>
        </w:rPr>
      </w:pPr>
      <w:r>
        <w:rPr>
          <w:rFonts w:hint="eastAsia" w:ascii="仿宋" w:hAnsi="仿宋" w:eastAsia="仿宋" w:cs="仿宋"/>
          <w:sz w:val="24"/>
          <w:szCs w:val="24"/>
        </w:rPr>
        <w:t>1、评标委员会依据《评标（分）记录明细表》对投标文件进行比较与评价，并进行打分和汇总</w:t>
      </w:r>
      <w:r>
        <w:rPr>
          <w:rFonts w:hint="eastAsia" w:ascii="仿宋" w:hAnsi="仿宋" w:eastAsia="仿宋" w:cs="仿宋"/>
          <w:sz w:val="24"/>
          <w:szCs w:val="24"/>
          <w:lang w:eastAsia="zh-CN"/>
        </w:rPr>
        <w:t>。</w:t>
      </w:r>
    </w:p>
    <w:p w14:paraId="768AF33E">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b/>
          <w:sz w:val="24"/>
          <w:szCs w:val="24"/>
        </w:rPr>
      </w:pPr>
      <w:r>
        <w:rPr>
          <w:rFonts w:hint="eastAsia" w:ascii="仿宋" w:hAnsi="仿宋" w:eastAsia="仿宋" w:cs="仿宋"/>
          <w:sz w:val="24"/>
          <w:szCs w:val="24"/>
        </w:rPr>
        <w:t>2、评标委员会小组成员评标、打分时不得协商，应独立完成。</w:t>
      </w:r>
    </w:p>
    <w:p w14:paraId="06EBA076">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b/>
          <w:sz w:val="24"/>
          <w:szCs w:val="24"/>
        </w:rPr>
      </w:pPr>
      <w:r>
        <w:rPr>
          <w:rFonts w:hint="eastAsia" w:ascii="仿宋" w:hAnsi="仿宋" w:eastAsia="仿宋" w:cs="仿宋"/>
          <w:sz w:val="24"/>
          <w:szCs w:val="24"/>
        </w:rPr>
        <w:t>3、未满足</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要求的投标方，不予评分。</w:t>
      </w:r>
    </w:p>
    <w:p w14:paraId="4FF2343A">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b/>
          <w:sz w:val="24"/>
          <w:szCs w:val="24"/>
        </w:rPr>
      </w:pPr>
      <w:r>
        <w:rPr>
          <w:rFonts w:hint="eastAsia" w:ascii="仿宋" w:hAnsi="仿宋" w:eastAsia="仿宋" w:cs="仿宋"/>
          <w:sz w:val="24"/>
          <w:szCs w:val="24"/>
        </w:rPr>
        <w:t>4、评标打分应当按照技术部分、商务部分、报价部分的顺序进行，打分可保留两位小数。</w:t>
      </w:r>
    </w:p>
    <w:p w14:paraId="0E85D62D">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rPr>
        <w:t>5、技术、商务部分应按各小项分档打分，投标文件中各小项指标相近的，打分应属同一档次。在采购人同意的情况下，允许评标委员会小组各成员根据招标书文件部分要求的技术、功能和</w:t>
      </w:r>
      <w:r>
        <w:rPr>
          <w:rFonts w:hint="eastAsia" w:ascii="仿宋" w:hAnsi="仿宋" w:eastAsia="仿宋" w:cs="仿宋"/>
          <w:sz w:val="24"/>
          <w:szCs w:val="24"/>
          <w:lang w:val="zh-CN"/>
        </w:rPr>
        <w:t>《</w:t>
      </w:r>
      <w:r>
        <w:rPr>
          <w:rFonts w:hint="eastAsia" w:ascii="仿宋" w:hAnsi="仿宋" w:eastAsia="仿宋" w:cs="仿宋"/>
          <w:sz w:val="24"/>
          <w:szCs w:val="24"/>
        </w:rPr>
        <w:t>评标（分）记录明细表》表格部分的性能指标要求，可以按各投标文件（投标书和产品技术说明书）实际情况在档次打分范围内调整分值。</w:t>
      </w:r>
    </w:p>
    <w:p w14:paraId="625AF141">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rPr>
        <w:t>6、打分采取百分制。</w:t>
      </w:r>
    </w:p>
    <w:p w14:paraId="0F091A2A">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由采购代理机构核对录入和汇总计算出每一个投标人的所得分数值，</w:t>
      </w:r>
      <w:r>
        <w:rPr>
          <w:rFonts w:hint="eastAsia" w:ascii="仿宋" w:hAnsi="仿宋" w:eastAsia="仿宋" w:cs="仿宋"/>
          <w:sz w:val="24"/>
          <w:szCs w:val="24"/>
        </w:rPr>
        <w:t>并</w:t>
      </w:r>
      <w:r>
        <w:rPr>
          <w:rFonts w:hint="eastAsia" w:ascii="仿宋" w:hAnsi="仿宋" w:eastAsia="仿宋" w:cs="仿宋"/>
          <w:sz w:val="24"/>
          <w:szCs w:val="24"/>
          <w:lang w:eastAsia="zh-CN"/>
        </w:rPr>
        <w:t>由高到低</w:t>
      </w:r>
      <w:r>
        <w:rPr>
          <w:rFonts w:hint="eastAsia" w:ascii="仿宋" w:hAnsi="仿宋" w:eastAsia="仿宋" w:cs="仿宋"/>
          <w:sz w:val="24"/>
          <w:szCs w:val="24"/>
        </w:rPr>
        <w:t>排序后，须</w:t>
      </w:r>
      <w:r>
        <w:rPr>
          <w:rFonts w:hint="eastAsia" w:ascii="仿宋" w:hAnsi="仿宋" w:eastAsia="仿宋" w:cs="仿宋"/>
          <w:sz w:val="24"/>
          <w:szCs w:val="24"/>
          <w:lang w:eastAsia="zh-CN"/>
        </w:rPr>
        <w:t>由</w:t>
      </w:r>
      <w:r>
        <w:rPr>
          <w:rFonts w:hint="eastAsia" w:ascii="仿宋" w:hAnsi="仿宋" w:eastAsia="仿宋" w:cs="仿宋"/>
          <w:sz w:val="24"/>
          <w:szCs w:val="24"/>
        </w:rPr>
        <w:t>评标委员会小组各成员署名确认。如出现得分相同的，</w:t>
      </w:r>
      <w:r>
        <w:rPr>
          <w:rFonts w:hint="eastAsia" w:ascii="仿宋" w:hAnsi="仿宋" w:eastAsia="仿宋" w:cs="仿宋"/>
          <w:sz w:val="24"/>
          <w:szCs w:val="24"/>
          <w:lang w:val="zh-CN"/>
        </w:rPr>
        <w:t>应按投标人的报价由低到高顺序排列；得分且其报价相等的，则按核心技术指标优劣顺序排列。价格、技术指标的高</w:t>
      </w:r>
      <w:r>
        <w:rPr>
          <w:rFonts w:hint="eastAsia" w:ascii="仿宋" w:hAnsi="仿宋" w:eastAsia="仿宋" w:cs="仿宋"/>
          <w:sz w:val="24"/>
          <w:szCs w:val="24"/>
        </w:rPr>
        <w:t>低或优劣由评标委</w:t>
      </w:r>
      <w:r>
        <w:rPr>
          <w:rFonts w:hint="eastAsia" w:ascii="仿宋" w:hAnsi="仿宋" w:eastAsia="仿宋" w:cs="仿宋"/>
          <w:sz w:val="24"/>
          <w:szCs w:val="24"/>
          <w:lang w:eastAsia="zh-CN"/>
        </w:rPr>
        <w:t>员会</w:t>
      </w:r>
      <w:r>
        <w:rPr>
          <w:rFonts w:hint="eastAsia" w:ascii="仿宋" w:hAnsi="仿宋" w:eastAsia="仿宋" w:cs="仿宋"/>
          <w:sz w:val="24"/>
          <w:szCs w:val="24"/>
        </w:rPr>
        <w:t>成员确认评定。</w:t>
      </w:r>
    </w:p>
    <w:p w14:paraId="07309F40">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sz w:val="24"/>
          <w:szCs w:val="24"/>
        </w:rPr>
      </w:pPr>
      <w:r>
        <w:rPr>
          <w:rFonts w:hint="eastAsia" w:ascii="仿宋" w:hAnsi="仿宋" w:eastAsia="仿宋" w:cs="仿宋"/>
          <w:sz w:val="24"/>
          <w:szCs w:val="24"/>
        </w:rPr>
        <w:t>8、若发现打分有误或者有差错的，或发现存在个人印象或带有明显倾向性时，将按前款“第五部分”中“第四章”的21.3条款之规定执行。</w:t>
      </w:r>
    </w:p>
    <w:p w14:paraId="6C600927">
      <w:pPr>
        <w:keepNext w:val="0"/>
        <w:keepLines w:val="0"/>
        <w:pageBreakBefore w:val="0"/>
        <w:widowControl w:val="0"/>
        <w:kinsoku/>
        <w:wordWrap/>
        <w:overflowPunct/>
        <w:topLinePunct w:val="0"/>
        <w:autoSpaceDE/>
        <w:autoSpaceDN/>
        <w:bidi w:val="0"/>
        <w:adjustRightInd/>
        <w:snapToGrid/>
        <w:spacing w:line="288" w:lineRule="auto"/>
        <w:ind w:firstLine="490" w:firstLineChars="200"/>
        <w:textAlignment w:val="auto"/>
        <w:rPr>
          <w:rFonts w:hint="eastAsia" w:ascii="仿宋" w:hAnsi="仿宋" w:eastAsia="仿宋" w:cs="仿宋"/>
          <w:b/>
          <w:sz w:val="24"/>
          <w:szCs w:val="24"/>
        </w:rPr>
      </w:pPr>
      <w:r>
        <w:rPr>
          <w:rFonts w:hint="eastAsia" w:ascii="仿宋" w:hAnsi="仿宋" w:eastAsia="仿宋" w:cs="仿宋"/>
          <w:b/>
          <w:sz w:val="24"/>
          <w:szCs w:val="24"/>
          <w:lang w:val="zh-CN"/>
        </w:rPr>
        <w:t>2</w:t>
      </w:r>
      <w:r>
        <w:rPr>
          <w:rFonts w:hint="eastAsia" w:ascii="仿宋" w:hAnsi="仿宋" w:eastAsia="仿宋" w:cs="仿宋"/>
          <w:b/>
          <w:sz w:val="24"/>
          <w:szCs w:val="24"/>
        </w:rPr>
        <w:t>3</w:t>
      </w:r>
      <w:r>
        <w:rPr>
          <w:rFonts w:hint="eastAsia" w:ascii="仿宋" w:hAnsi="仿宋" w:eastAsia="仿宋" w:cs="仿宋"/>
          <w:b/>
          <w:sz w:val="24"/>
          <w:szCs w:val="24"/>
          <w:lang w:val="zh-CN"/>
        </w:rPr>
        <w:t>.5.9.8</w:t>
      </w:r>
      <w:r>
        <w:rPr>
          <w:rFonts w:hint="eastAsia" w:ascii="仿宋" w:hAnsi="仿宋" w:eastAsia="仿宋" w:cs="仿宋"/>
          <w:b/>
          <w:sz w:val="24"/>
          <w:szCs w:val="24"/>
        </w:rPr>
        <w:t xml:space="preserve"> 《评标（分）记录明细表》</w:t>
      </w:r>
    </w:p>
    <w:p w14:paraId="1473F4B3">
      <w:pPr>
        <w:keepNext w:val="0"/>
        <w:keepLines w:val="0"/>
        <w:pageBreakBefore w:val="0"/>
        <w:widowControl w:val="0"/>
        <w:kinsoku/>
        <w:wordWrap/>
        <w:overflowPunct/>
        <w:topLinePunct w:val="0"/>
        <w:autoSpaceDE/>
        <w:autoSpaceDN/>
        <w:bidi w:val="0"/>
        <w:adjustRightInd/>
        <w:snapToGrid/>
        <w:spacing w:line="288" w:lineRule="auto"/>
        <w:ind w:firstLine="490" w:firstLineChars="200"/>
        <w:jc w:val="left"/>
        <w:textAlignment w:val="auto"/>
        <w:rPr>
          <w:rFonts w:hint="eastAsia" w:ascii="仿宋" w:hAnsi="仿宋" w:eastAsia="仿宋" w:cs="仿宋"/>
          <w:b/>
          <w:sz w:val="24"/>
          <w:szCs w:val="24"/>
        </w:rPr>
      </w:pPr>
      <w:r>
        <w:rPr>
          <w:rFonts w:hint="eastAsia" w:ascii="仿宋" w:hAnsi="仿宋" w:eastAsia="仿宋" w:cs="仿宋"/>
          <w:sz w:val="24"/>
          <w:szCs w:val="24"/>
        </w:rPr>
        <w:t>评标委员会各成员记录原则上不允许有涂改、划擦等，如有应按合规方式修正。不允许在采购代理机构核对汇总且确认之后，在未经许可时，不能再要回重新记录。</w:t>
      </w:r>
    </w:p>
    <w:p w14:paraId="6C5ED68B">
      <w:pPr>
        <w:rPr>
          <w:rFonts w:hint="eastAsia" w:ascii="仿宋" w:hAnsi="仿宋" w:eastAsia="仿宋" w:cs="仿宋"/>
          <w:b/>
          <w:sz w:val="24"/>
          <w:szCs w:val="24"/>
        </w:rPr>
      </w:pPr>
      <w:r>
        <w:rPr>
          <w:rFonts w:hint="eastAsia" w:ascii="仿宋" w:hAnsi="仿宋" w:eastAsia="仿宋" w:cs="仿宋"/>
          <w:b/>
          <w:sz w:val="24"/>
          <w:szCs w:val="24"/>
        </w:rPr>
        <w:br w:type="page"/>
      </w:r>
    </w:p>
    <w:p w14:paraId="3DED7892">
      <w:pPr>
        <w:pStyle w:val="34"/>
        <w:spacing w:before="0" w:after="0" w:line="360" w:lineRule="auto"/>
        <w:ind w:firstLine="0"/>
        <w:jc w:val="center"/>
        <w:rPr>
          <w:rFonts w:hint="eastAsia" w:ascii="仿宋" w:hAnsi="仿宋" w:eastAsia="仿宋" w:cs="仿宋"/>
          <w:b/>
          <w:sz w:val="24"/>
          <w:szCs w:val="24"/>
          <w:vertAlign w:val="baseline"/>
        </w:rPr>
      </w:pPr>
      <w:r>
        <w:rPr>
          <w:rFonts w:hint="eastAsia" w:ascii="仿宋" w:hAnsi="仿宋" w:eastAsia="仿宋" w:cs="仿宋"/>
          <w:b/>
          <w:sz w:val="24"/>
          <w:szCs w:val="24"/>
        </w:rPr>
        <w:t>技术商务部分评标（分）记录明细表</w:t>
      </w:r>
    </w:p>
    <w:tbl>
      <w:tblPr>
        <w:tblStyle w:val="26"/>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68"/>
        <w:gridCol w:w="1012"/>
        <w:gridCol w:w="5112"/>
      </w:tblGrid>
      <w:tr w14:paraId="6DDB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gridSpan w:val="2"/>
            <w:noWrap w:val="0"/>
            <w:vAlign w:val="center"/>
          </w:tcPr>
          <w:p w14:paraId="08F6D472">
            <w:pPr>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评分因素</w:t>
            </w:r>
          </w:p>
        </w:tc>
        <w:tc>
          <w:tcPr>
            <w:tcW w:w="1012" w:type="dxa"/>
            <w:noWrap w:val="0"/>
            <w:vAlign w:val="center"/>
          </w:tcPr>
          <w:p w14:paraId="0FDFB59A">
            <w:p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分值</w:t>
            </w:r>
          </w:p>
        </w:tc>
        <w:tc>
          <w:tcPr>
            <w:tcW w:w="5112" w:type="dxa"/>
            <w:noWrap w:val="0"/>
            <w:vAlign w:val="center"/>
          </w:tcPr>
          <w:p w14:paraId="30AB1005">
            <w:pPr>
              <w:tabs>
                <w:tab w:val="left" w:pos="1943"/>
                <w:tab w:val="left" w:pos="2159"/>
              </w:tabs>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评分细则</w:t>
            </w:r>
          </w:p>
        </w:tc>
      </w:tr>
      <w:tr w14:paraId="3A61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noWrap w:val="0"/>
            <w:vAlign w:val="center"/>
          </w:tcPr>
          <w:p w14:paraId="71D19D10">
            <w:pPr>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商务部分(</w:t>
            </w:r>
            <w:r>
              <w:rPr>
                <w:rFonts w:hint="eastAsia" w:ascii="仿宋" w:hAnsi="仿宋" w:eastAsia="仿宋" w:cs="仿宋"/>
                <w:b w:val="0"/>
                <w:bCs/>
                <w:sz w:val="24"/>
                <w:szCs w:val="24"/>
                <w:vertAlign w:val="baseline"/>
                <w:lang w:val="en-US" w:eastAsia="zh-CN"/>
              </w:rPr>
              <w:t>17</w:t>
            </w:r>
            <w:r>
              <w:rPr>
                <w:rFonts w:hint="eastAsia" w:ascii="仿宋" w:hAnsi="仿宋" w:eastAsia="仿宋" w:cs="仿宋"/>
                <w:b w:val="0"/>
                <w:bCs/>
                <w:sz w:val="24"/>
                <w:szCs w:val="24"/>
                <w:vertAlign w:val="baseline"/>
              </w:rPr>
              <w:t>分)</w:t>
            </w:r>
          </w:p>
        </w:tc>
        <w:tc>
          <w:tcPr>
            <w:tcW w:w="1468" w:type="dxa"/>
            <w:noWrap w:val="0"/>
            <w:vAlign w:val="center"/>
          </w:tcPr>
          <w:p w14:paraId="7CD33B5A">
            <w:pPr>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企业类似业绩</w:t>
            </w:r>
          </w:p>
        </w:tc>
        <w:tc>
          <w:tcPr>
            <w:tcW w:w="1012" w:type="dxa"/>
            <w:noWrap w:val="0"/>
            <w:vAlign w:val="center"/>
          </w:tcPr>
          <w:p w14:paraId="39037D65">
            <w:pPr>
              <w:jc w:val="center"/>
              <w:rPr>
                <w:rFonts w:hint="default"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6</w:t>
            </w:r>
          </w:p>
        </w:tc>
        <w:tc>
          <w:tcPr>
            <w:tcW w:w="5112" w:type="dxa"/>
            <w:noWrap w:val="0"/>
            <w:vAlign w:val="center"/>
          </w:tcPr>
          <w:p w14:paraId="40DA842A">
            <w:pPr>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供应商近三年完成的类似项目业绩</w:t>
            </w:r>
            <w:r>
              <w:rPr>
                <w:rFonts w:hint="eastAsia" w:ascii="仿宋" w:hAnsi="仿宋" w:eastAsia="仿宋" w:cs="仿宋"/>
                <w:b w:val="0"/>
                <w:bCs/>
                <w:color w:val="auto"/>
                <w:sz w:val="24"/>
                <w:szCs w:val="24"/>
                <w:vertAlign w:val="baseline"/>
                <w:lang w:eastAsia="zh-CN"/>
              </w:rPr>
              <w:t>（岸线规划或工程设计）</w:t>
            </w:r>
            <w:r>
              <w:rPr>
                <w:rFonts w:hint="eastAsia" w:ascii="仿宋" w:hAnsi="仿宋" w:eastAsia="仿宋" w:cs="仿宋"/>
                <w:b w:val="0"/>
                <w:bCs/>
                <w:sz w:val="24"/>
                <w:szCs w:val="24"/>
                <w:vertAlign w:val="baseline"/>
              </w:rPr>
              <w:t xml:space="preserve">，每提供一项得 </w:t>
            </w:r>
            <w:r>
              <w:rPr>
                <w:rFonts w:hint="eastAsia" w:ascii="仿宋" w:hAnsi="仿宋" w:eastAsia="仿宋" w:cs="仿宋"/>
                <w:b w:val="0"/>
                <w:bCs/>
                <w:sz w:val="24"/>
                <w:szCs w:val="24"/>
                <w:vertAlign w:val="baseline"/>
                <w:lang w:val="en-US" w:eastAsia="zh-CN"/>
              </w:rPr>
              <w:t>3</w:t>
            </w:r>
            <w:r>
              <w:rPr>
                <w:rFonts w:hint="eastAsia" w:ascii="仿宋" w:hAnsi="仿宋" w:eastAsia="仿宋" w:cs="仿宋"/>
                <w:b w:val="0"/>
                <w:bCs/>
                <w:sz w:val="24"/>
                <w:szCs w:val="24"/>
                <w:vertAlign w:val="baseline"/>
              </w:rPr>
              <w:t xml:space="preserve"> 分，最多得</w:t>
            </w:r>
            <w:r>
              <w:rPr>
                <w:rFonts w:hint="eastAsia" w:ascii="仿宋" w:hAnsi="仿宋" w:eastAsia="仿宋" w:cs="仿宋"/>
                <w:b w:val="0"/>
                <w:bCs/>
                <w:sz w:val="24"/>
                <w:szCs w:val="24"/>
                <w:vertAlign w:val="baseline"/>
                <w:lang w:val="en-US" w:eastAsia="zh-CN"/>
              </w:rPr>
              <w:t>6</w:t>
            </w:r>
            <w:r>
              <w:rPr>
                <w:rFonts w:hint="eastAsia" w:ascii="仿宋" w:hAnsi="仿宋" w:eastAsia="仿宋" w:cs="仿宋"/>
                <w:b w:val="0"/>
                <w:bCs/>
                <w:sz w:val="24"/>
                <w:szCs w:val="24"/>
                <w:vertAlign w:val="baseline"/>
              </w:rPr>
              <w:t xml:space="preserve"> 分。</w:t>
            </w:r>
          </w:p>
          <w:p w14:paraId="7312D515">
            <w:pPr>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注：1.须提供中标（成交）通知书</w:t>
            </w:r>
            <w:r>
              <w:rPr>
                <w:rFonts w:hint="eastAsia" w:ascii="仿宋" w:hAnsi="仿宋" w:eastAsia="仿宋" w:cs="仿宋"/>
                <w:b w:val="0"/>
                <w:bCs/>
                <w:sz w:val="24"/>
                <w:szCs w:val="24"/>
                <w:vertAlign w:val="baseline"/>
                <w:lang w:val="en-US" w:eastAsia="zh-CN"/>
              </w:rPr>
              <w:t>或</w:t>
            </w:r>
            <w:r>
              <w:rPr>
                <w:rFonts w:hint="eastAsia" w:ascii="仿宋" w:hAnsi="仿宋" w:eastAsia="仿宋" w:cs="仿宋"/>
                <w:b w:val="0"/>
                <w:bCs/>
                <w:sz w:val="24"/>
                <w:szCs w:val="24"/>
                <w:vertAlign w:val="baseline"/>
              </w:rPr>
              <w:t>合同关键页</w:t>
            </w:r>
            <w:r>
              <w:rPr>
                <w:rFonts w:hint="eastAsia" w:ascii="仿宋" w:hAnsi="仿宋" w:eastAsia="仿宋" w:cs="仿宋"/>
                <w:b w:val="0"/>
                <w:bCs/>
                <w:sz w:val="24"/>
                <w:szCs w:val="24"/>
                <w:highlight w:val="none"/>
                <w:vertAlign w:val="baseline"/>
              </w:rPr>
              <w:t>（含：首页、服务内容信息页、签字盖章页）</w:t>
            </w:r>
            <w:r>
              <w:rPr>
                <w:rFonts w:hint="eastAsia" w:ascii="仿宋" w:hAnsi="仿宋" w:eastAsia="仿宋" w:cs="仿宋"/>
                <w:b w:val="0"/>
                <w:bCs/>
                <w:sz w:val="24"/>
                <w:szCs w:val="24"/>
                <w:vertAlign w:val="baseline"/>
              </w:rPr>
              <w:t xml:space="preserve"> 复印件加盖公章，时间以合同签订日期为准。不符合上述要求或未按要求提供有效证明文件的业绩在评审时将不予承认。</w:t>
            </w:r>
          </w:p>
          <w:p w14:paraId="30735F33">
            <w:pPr>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2.供应商提供虚假合同的，按虚假投标处理。</w:t>
            </w:r>
          </w:p>
        </w:tc>
      </w:tr>
      <w:tr w14:paraId="002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noWrap w:val="0"/>
            <w:vAlign w:val="center"/>
          </w:tcPr>
          <w:p w14:paraId="0A41D853">
            <w:pPr>
              <w:jc w:val="center"/>
              <w:rPr>
                <w:rFonts w:hint="eastAsia" w:ascii="仿宋" w:hAnsi="仿宋" w:eastAsia="仿宋" w:cs="仿宋"/>
                <w:b w:val="0"/>
                <w:bCs/>
                <w:sz w:val="24"/>
                <w:szCs w:val="24"/>
                <w:vertAlign w:val="baseline"/>
              </w:rPr>
            </w:pPr>
          </w:p>
        </w:tc>
        <w:tc>
          <w:tcPr>
            <w:tcW w:w="1468" w:type="dxa"/>
            <w:noWrap w:val="0"/>
            <w:vAlign w:val="center"/>
          </w:tcPr>
          <w:p w14:paraId="3BC67DC5">
            <w:pPr>
              <w:jc w:val="center"/>
              <w:rPr>
                <w:rFonts w:hint="eastAsia" w:ascii="仿宋" w:hAnsi="仿宋" w:eastAsia="仿宋" w:cs="仿宋"/>
                <w:b w:val="0"/>
                <w:bCs/>
                <w:strike/>
                <w:dstrike w:val="0"/>
                <w:sz w:val="24"/>
                <w:szCs w:val="24"/>
                <w:highlight w:val="yellow"/>
                <w:vertAlign w:val="baseline"/>
              </w:rPr>
            </w:pPr>
            <w:r>
              <w:rPr>
                <w:rFonts w:hint="eastAsia" w:ascii="仿宋" w:hAnsi="仿宋" w:eastAsia="仿宋" w:cs="仿宋"/>
                <w:b w:val="0"/>
                <w:bCs/>
                <w:strike w:val="0"/>
                <w:dstrike w:val="0"/>
                <w:sz w:val="24"/>
                <w:szCs w:val="24"/>
                <w:highlight w:val="none"/>
                <w:vertAlign w:val="baseline"/>
              </w:rPr>
              <w:t>项目负责人</w:t>
            </w:r>
          </w:p>
        </w:tc>
        <w:tc>
          <w:tcPr>
            <w:tcW w:w="1012" w:type="dxa"/>
            <w:noWrap w:val="0"/>
            <w:vAlign w:val="center"/>
          </w:tcPr>
          <w:p w14:paraId="3B095714">
            <w:pPr>
              <w:jc w:val="center"/>
              <w:rPr>
                <w:rFonts w:hint="eastAsia" w:ascii="仿宋" w:hAnsi="仿宋" w:eastAsia="仿宋" w:cs="仿宋"/>
                <w:b w:val="0"/>
                <w:bCs/>
                <w:strike w:val="0"/>
                <w:dstrike w:val="0"/>
                <w:sz w:val="24"/>
                <w:szCs w:val="24"/>
                <w:highlight w:val="none"/>
                <w:vertAlign w:val="baseline"/>
                <w:lang w:val="en-US" w:eastAsia="zh-CN"/>
              </w:rPr>
            </w:pPr>
            <w:r>
              <w:rPr>
                <w:rFonts w:hint="eastAsia" w:ascii="仿宋" w:hAnsi="仿宋" w:eastAsia="仿宋" w:cs="仿宋"/>
                <w:b w:val="0"/>
                <w:bCs/>
                <w:strike w:val="0"/>
                <w:dstrike w:val="0"/>
                <w:sz w:val="24"/>
                <w:szCs w:val="24"/>
                <w:highlight w:val="none"/>
                <w:vertAlign w:val="baseline"/>
                <w:lang w:val="en-US" w:eastAsia="zh-CN"/>
              </w:rPr>
              <w:t>6</w:t>
            </w:r>
          </w:p>
        </w:tc>
        <w:tc>
          <w:tcPr>
            <w:tcW w:w="5112" w:type="dxa"/>
            <w:noWrap w:val="0"/>
            <w:vAlign w:val="center"/>
          </w:tcPr>
          <w:p w14:paraId="1A21E578">
            <w:pPr>
              <w:numPr>
                <w:ilvl w:val="0"/>
                <w:numId w:val="0"/>
              </w:numPr>
              <w:tabs>
                <w:tab w:val="left" w:pos="2159"/>
              </w:tabs>
              <w:jc w:val="both"/>
              <w:rPr>
                <w:rFonts w:hint="eastAsia" w:ascii="仿宋" w:hAnsi="仿宋" w:eastAsia="仿宋" w:cs="仿宋"/>
                <w:b w:val="0"/>
                <w:bCs/>
                <w:strike w:val="0"/>
                <w:dstrike w:val="0"/>
                <w:sz w:val="24"/>
                <w:szCs w:val="24"/>
                <w:highlight w:val="none"/>
                <w:vertAlign w:val="baseline"/>
              </w:rPr>
            </w:pPr>
            <w:r>
              <w:rPr>
                <w:rFonts w:hint="eastAsia" w:ascii="仿宋" w:hAnsi="仿宋" w:eastAsia="仿宋" w:cs="仿宋"/>
                <w:b w:val="0"/>
                <w:bCs/>
                <w:strike w:val="0"/>
                <w:dstrike w:val="0"/>
                <w:kern w:val="2"/>
                <w:sz w:val="24"/>
                <w:szCs w:val="24"/>
                <w:vertAlign w:val="baseline"/>
                <w:lang w:val="en-US" w:eastAsia="zh-CN" w:bidi="ar-SA"/>
              </w:rPr>
              <w:t>1.</w:t>
            </w:r>
            <w:r>
              <w:rPr>
                <w:rFonts w:hint="eastAsia" w:ascii="仿宋" w:hAnsi="仿宋" w:eastAsia="仿宋" w:cs="仿宋"/>
                <w:b w:val="0"/>
                <w:bCs/>
                <w:strike w:val="0"/>
                <w:dstrike w:val="0"/>
                <w:sz w:val="24"/>
                <w:szCs w:val="24"/>
                <w:highlight w:val="none"/>
                <w:vertAlign w:val="baseline"/>
              </w:rPr>
              <w:t>具备相关专业高级工程师职称，近3年承担过3项及以上县级及以上</w:t>
            </w:r>
            <w:r>
              <w:rPr>
                <w:rFonts w:hint="eastAsia" w:ascii="仿宋" w:hAnsi="仿宋" w:eastAsia="仿宋" w:cs="仿宋"/>
                <w:b w:val="0"/>
                <w:bCs/>
                <w:strike w:val="0"/>
                <w:dstrike w:val="0"/>
                <w:color w:val="auto"/>
                <w:sz w:val="24"/>
                <w:szCs w:val="24"/>
                <w:highlight w:val="none"/>
                <w:vertAlign w:val="baseline"/>
                <w:lang w:val="en-US" w:eastAsia="zh-CN"/>
              </w:rPr>
              <w:t>类似</w:t>
            </w:r>
            <w:r>
              <w:rPr>
                <w:rFonts w:hint="eastAsia" w:ascii="仿宋" w:hAnsi="仿宋" w:eastAsia="仿宋" w:cs="仿宋"/>
                <w:b w:val="0"/>
                <w:bCs/>
                <w:strike w:val="0"/>
                <w:dstrike w:val="0"/>
                <w:color w:val="auto"/>
                <w:sz w:val="24"/>
                <w:szCs w:val="24"/>
                <w:highlight w:val="none"/>
                <w:vertAlign w:val="baseline"/>
              </w:rPr>
              <w:t>项目</w:t>
            </w:r>
            <w:r>
              <w:rPr>
                <w:rFonts w:hint="eastAsia" w:ascii="仿宋" w:hAnsi="仿宋" w:eastAsia="仿宋" w:cs="仿宋"/>
                <w:b w:val="0"/>
                <w:bCs/>
                <w:color w:val="auto"/>
                <w:sz w:val="24"/>
                <w:szCs w:val="24"/>
                <w:vertAlign w:val="baseline"/>
                <w:lang w:eastAsia="zh-CN"/>
              </w:rPr>
              <w:t>（岸线规划或工程设计）</w:t>
            </w:r>
            <w:r>
              <w:rPr>
                <w:rFonts w:hint="eastAsia" w:ascii="仿宋" w:hAnsi="仿宋" w:eastAsia="仿宋" w:cs="仿宋"/>
                <w:b w:val="0"/>
                <w:bCs/>
                <w:strike w:val="0"/>
                <w:dstrike w:val="0"/>
                <w:sz w:val="24"/>
                <w:szCs w:val="24"/>
                <w:highlight w:val="none"/>
                <w:vertAlign w:val="baseline"/>
                <w:lang w:val="en-US" w:eastAsia="zh-CN"/>
              </w:rPr>
              <w:t>得</w:t>
            </w:r>
            <w:r>
              <w:rPr>
                <w:rFonts w:hint="eastAsia" w:ascii="仿宋" w:hAnsi="仿宋" w:eastAsia="仿宋" w:cs="仿宋"/>
                <w:b w:val="0"/>
                <w:bCs/>
                <w:strike w:val="0"/>
                <w:dstrike w:val="0"/>
                <w:sz w:val="24"/>
                <w:szCs w:val="24"/>
                <w:highlight w:val="none"/>
                <w:vertAlign w:val="baseline"/>
              </w:rPr>
              <w:t>6分；</w:t>
            </w:r>
          </w:p>
          <w:p w14:paraId="28D83AFC">
            <w:pPr>
              <w:numPr>
                <w:ilvl w:val="0"/>
                <w:numId w:val="0"/>
              </w:numPr>
              <w:tabs>
                <w:tab w:val="left" w:pos="2159"/>
              </w:tabs>
              <w:jc w:val="both"/>
              <w:rPr>
                <w:rFonts w:hint="eastAsia" w:ascii="仿宋" w:hAnsi="仿宋" w:eastAsia="仿宋" w:cs="仿宋"/>
                <w:b w:val="0"/>
                <w:bCs/>
                <w:strike w:val="0"/>
                <w:dstrike w:val="0"/>
                <w:sz w:val="24"/>
                <w:szCs w:val="24"/>
                <w:highlight w:val="none"/>
                <w:vertAlign w:val="baseline"/>
              </w:rPr>
            </w:pPr>
            <w:r>
              <w:rPr>
                <w:rFonts w:hint="eastAsia" w:ascii="仿宋" w:hAnsi="仿宋" w:eastAsia="仿宋" w:cs="仿宋"/>
                <w:b w:val="0"/>
                <w:bCs/>
                <w:strike w:val="0"/>
                <w:dstrike w:val="0"/>
                <w:sz w:val="24"/>
                <w:szCs w:val="24"/>
                <w:highlight w:val="none"/>
                <w:vertAlign w:val="baseline"/>
              </w:rPr>
              <w:t>2.具备相关专业高级工程师职称，近3年承担过2项县级及以上同类规划项目</w:t>
            </w:r>
            <w:r>
              <w:rPr>
                <w:rFonts w:hint="eastAsia" w:ascii="仿宋" w:hAnsi="仿宋" w:eastAsia="仿宋" w:cs="仿宋"/>
                <w:b w:val="0"/>
                <w:bCs/>
                <w:strike w:val="0"/>
                <w:dstrike w:val="0"/>
                <w:sz w:val="24"/>
                <w:szCs w:val="24"/>
                <w:highlight w:val="none"/>
                <w:vertAlign w:val="baseline"/>
                <w:lang w:val="en-US" w:eastAsia="zh-CN"/>
              </w:rPr>
              <w:t>得</w:t>
            </w:r>
            <w:r>
              <w:rPr>
                <w:rFonts w:hint="eastAsia" w:ascii="仿宋" w:hAnsi="仿宋" w:eastAsia="仿宋" w:cs="仿宋"/>
                <w:b w:val="0"/>
                <w:bCs/>
                <w:strike w:val="0"/>
                <w:dstrike w:val="0"/>
                <w:sz w:val="24"/>
                <w:szCs w:val="24"/>
                <w:highlight w:val="none"/>
                <w:vertAlign w:val="baseline"/>
              </w:rPr>
              <w:t>4分；</w:t>
            </w:r>
          </w:p>
          <w:p w14:paraId="21F0868C">
            <w:pPr>
              <w:numPr>
                <w:ilvl w:val="0"/>
                <w:numId w:val="0"/>
              </w:numPr>
              <w:tabs>
                <w:tab w:val="left" w:pos="2159"/>
              </w:tabs>
              <w:jc w:val="both"/>
              <w:rPr>
                <w:rFonts w:hint="eastAsia" w:ascii="仿宋" w:hAnsi="仿宋" w:eastAsia="仿宋" w:cs="仿宋"/>
                <w:b w:val="0"/>
                <w:bCs/>
                <w:strike w:val="0"/>
                <w:dstrike w:val="0"/>
                <w:sz w:val="24"/>
                <w:szCs w:val="24"/>
                <w:highlight w:val="none"/>
                <w:vertAlign w:val="baseline"/>
              </w:rPr>
            </w:pPr>
            <w:r>
              <w:rPr>
                <w:rFonts w:hint="eastAsia" w:ascii="仿宋" w:hAnsi="仿宋" w:eastAsia="仿宋" w:cs="仿宋"/>
                <w:b w:val="0"/>
                <w:bCs/>
                <w:strike w:val="0"/>
                <w:dstrike w:val="0"/>
                <w:sz w:val="24"/>
                <w:szCs w:val="24"/>
                <w:highlight w:val="none"/>
                <w:vertAlign w:val="baseline"/>
              </w:rPr>
              <w:t>3.具备相关专业高级工程师职称，近3年承担过1项县级及以上同类规划项目</w:t>
            </w:r>
            <w:r>
              <w:rPr>
                <w:rFonts w:hint="eastAsia" w:ascii="仿宋" w:hAnsi="仿宋" w:eastAsia="仿宋" w:cs="仿宋"/>
                <w:b w:val="0"/>
                <w:bCs/>
                <w:strike w:val="0"/>
                <w:dstrike w:val="0"/>
                <w:sz w:val="24"/>
                <w:szCs w:val="24"/>
                <w:highlight w:val="none"/>
                <w:vertAlign w:val="baseline"/>
                <w:lang w:val="en-US" w:eastAsia="zh-CN"/>
              </w:rPr>
              <w:t>得</w:t>
            </w:r>
            <w:r>
              <w:rPr>
                <w:rFonts w:hint="eastAsia" w:ascii="仿宋" w:hAnsi="仿宋" w:eastAsia="仿宋" w:cs="仿宋"/>
                <w:b w:val="0"/>
                <w:bCs/>
                <w:strike w:val="0"/>
                <w:dstrike w:val="0"/>
                <w:sz w:val="24"/>
                <w:szCs w:val="24"/>
                <w:highlight w:val="none"/>
                <w:vertAlign w:val="baseline"/>
              </w:rPr>
              <w:t>2分；</w:t>
            </w:r>
          </w:p>
          <w:p w14:paraId="42273847">
            <w:pPr>
              <w:numPr>
                <w:ilvl w:val="0"/>
                <w:numId w:val="0"/>
              </w:numPr>
              <w:tabs>
                <w:tab w:val="left" w:pos="2159"/>
              </w:tabs>
              <w:jc w:val="both"/>
              <w:rPr>
                <w:rFonts w:hint="eastAsia" w:ascii="仿宋" w:hAnsi="仿宋" w:eastAsia="仿宋" w:cs="仿宋"/>
                <w:b w:val="0"/>
                <w:bCs/>
                <w:strike w:val="0"/>
                <w:dstrike w:val="0"/>
                <w:sz w:val="24"/>
                <w:szCs w:val="24"/>
                <w:highlight w:val="none"/>
                <w:vertAlign w:val="baseline"/>
              </w:rPr>
            </w:pPr>
            <w:r>
              <w:rPr>
                <w:rFonts w:hint="eastAsia" w:ascii="仿宋" w:hAnsi="仿宋" w:eastAsia="仿宋" w:cs="仿宋"/>
                <w:b w:val="0"/>
                <w:bCs/>
                <w:strike w:val="0"/>
                <w:dstrike w:val="0"/>
                <w:sz w:val="24"/>
                <w:szCs w:val="24"/>
                <w:highlight w:val="none"/>
                <w:vertAlign w:val="baseline"/>
              </w:rPr>
              <w:t>4.不满足上述条件</w:t>
            </w:r>
            <w:r>
              <w:rPr>
                <w:rFonts w:hint="eastAsia" w:ascii="仿宋" w:hAnsi="仿宋" w:eastAsia="仿宋" w:cs="仿宋"/>
                <w:b w:val="0"/>
                <w:bCs/>
                <w:strike w:val="0"/>
                <w:dstrike w:val="0"/>
                <w:sz w:val="24"/>
                <w:szCs w:val="24"/>
                <w:highlight w:val="none"/>
                <w:vertAlign w:val="baseline"/>
                <w:lang w:val="en-US" w:eastAsia="zh-CN"/>
              </w:rPr>
              <w:t>得</w:t>
            </w:r>
            <w:r>
              <w:rPr>
                <w:rFonts w:hint="eastAsia" w:ascii="仿宋" w:hAnsi="仿宋" w:eastAsia="仿宋" w:cs="仿宋"/>
                <w:b w:val="0"/>
                <w:bCs/>
                <w:strike w:val="0"/>
                <w:dstrike w:val="0"/>
                <w:sz w:val="24"/>
                <w:szCs w:val="24"/>
                <w:highlight w:val="none"/>
                <w:vertAlign w:val="baseline"/>
              </w:rPr>
              <w:t>0分。</w:t>
            </w:r>
          </w:p>
        </w:tc>
      </w:tr>
      <w:tr w14:paraId="4A93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noWrap w:val="0"/>
            <w:vAlign w:val="center"/>
          </w:tcPr>
          <w:p w14:paraId="7E2BBE67">
            <w:pPr>
              <w:jc w:val="center"/>
              <w:rPr>
                <w:rFonts w:hint="eastAsia" w:ascii="仿宋" w:hAnsi="仿宋" w:eastAsia="仿宋" w:cs="仿宋"/>
                <w:b w:val="0"/>
                <w:bCs/>
                <w:sz w:val="24"/>
                <w:szCs w:val="24"/>
                <w:vertAlign w:val="baseline"/>
              </w:rPr>
            </w:pPr>
          </w:p>
        </w:tc>
        <w:tc>
          <w:tcPr>
            <w:tcW w:w="1468" w:type="dxa"/>
            <w:shd w:val="clear"/>
            <w:noWrap w:val="0"/>
            <w:vAlign w:val="center"/>
          </w:tcPr>
          <w:p w14:paraId="0ACEA6F7">
            <w:pPr>
              <w:widowControl/>
              <w:kinsoku w:val="0"/>
              <w:autoSpaceDE w:val="0"/>
              <w:autoSpaceDN w:val="0"/>
              <w:adjustRightInd w:val="0"/>
              <w:snapToGrid w:val="0"/>
              <w:spacing w:line="252" w:lineRule="auto"/>
              <w:jc w:val="center"/>
              <w:textAlignment w:val="baseline"/>
              <w:rPr>
                <w:rFonts w:hint="eastAsia" w:ascii="仿宋" w:hAnsi="仿宋" w:eastAsia="仿宋" w:cs="仿宋"/>
                <w:b w:val="0"/>
                <w:bCs/>
                <w:snapToGrid w:val="0"/>
                <w:color w:val="000000"/>
                <w:kern w:val="0"/>
                <w:sz w:val="21"/>
                <w:szCs w:val="21"/>
                <w:lang w:val="en-US" w:eastAsia="en-US" w:bidi="ar-SA"/>
              </w:rPr>
            </w:pPr>
            <w:r>
              <w:rPr>
                <w:rFonts w:hint="eastAsia" w:ascii="仿宋" w:hAnsi="仿宋" w:eastAsia="仿宋" w:cs="仿宋"/>
                <w:b w:val="0"/>
                <w:bCs/>
                <w:snapToGrid w:val="0"/>
                <w:color w:val="000000"/>
                <w:kern w:val="0"/>
                <w:sz w:val="21"/>
                <w:szCs w:val="21"/>
                <w:lang w:eastAsia="en-US"/>
              </w:rPr>
              <w:t>项目团队人员</w:t>
            </w:r>
          </w:p>
        </w:tc>
        <w:tc>
          <w:tcPr>
            <w:tcW w:w="1012" w:type="dxa"/>
            <w:shd w:val="clear"/>
            <w:noWrap w:val="0"/>
            <w:vAlign w:val="center"/>
          </w:tcPr>
          <w:p w14:paraId="60BA64D8">
            <w:pPr>
              <w:pStyle w:val="60"/>
              <w:spacing w:before="78"/>
              <w:ind w:left="420" w:leftChars="0"/>
              <w:jc w:val="both"/>
              <w:rPr>
                <w:rFonts w:hint="eastAsia" w:ascii="仿宋" w:hAnsi="仿宋" w:eastAsia="仿宋" w:cs="仿宋"/>
                <w:b w:val="0"/>
                <w:bCs/>
                <w:kern w:val="2"/>
                <w:sz w:val="24"/>
                <w:szCs w:val="24"/>
                <w:vertAlign w:val="baseline"/>
                <w:lang w:val="en-US" w:eastAsia="zh-CN" w:bidi="ar-SA"/>
              </w:rPr>
            </w:pPr>
            <w:r>
              <w:rPr>
                <w:rFonts w:hint="eastAsia" w:cs="仿宋"/>
                <w:b w:val="0"/>
                <w:bCs/>
                <w:lang w:val="en-US" w:eastAsia="zh-CN"/>
              </w:rPr>
              <w:t>5</w:t>
            </w:r>
          </w:p>
        </w:tc>
        <w:tc>
          <w:tcPr>
            <w:tcW w:w="5112" w:type="dxa"/>
            <w:shd w:val="clear"/>
            <w:noWrap w:val="0"/>
            <w:vAlign w:val="center"/>
          </w:tcPr>
          <w:p w14:paraId="546DBF51">
            <w:pPr>
              <w:tabs>
                <w:tab w:val="left" w:pos="2159"/>
              </w:tabs>
              <w:jc w:val="both"/>
              <w:rPr>
                <w:rFonts w:hint="default"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rPr>
              <w:t>供应商拟投入本项目的</w:t>
            </w:r>
            <w:r>
              <w:rPr>
                <w:rFonts w:hint="eastAsia" w:ascii="仿宋" w:hAnsi="仿宋" w:eastAsia="仿宋" w:cs="仿宋"/>
                <w:b w:val="0"/>
                <w:bCs/>
                <w:sz w:val="24"/>
                <w:szCs w:val="24"/>
                <w:vertAlign w:val="baseline"/>
                <w:lang w:val="en-US" w:eastAsia="zh-CN"/>
              </w:rPr>
              <w:t>相关</w:t>
            </w:r>
            <w:r>
              <w:rPr>
                <w:rFonts w:hint="eastAsia" w:ascii="仿宋" w:hAnsi="仿宋" w:eastAsia="仿宋" w:cs="仿宋"/>
                <w:b w:val="0"/>
                <w:bCs/>
                <w:sz w:val="24"/>
                <w:szCs w:val="24"/>
                <w:vertAlign w:val="baseline"/>
              </w:rPr>
              <w:t>专业人员具备高级工程师或注册师证书 ,</w:t>
            </w:r>
            <w:r>
              <w:rPr>
                <w:rFonts w:hint="eastAsia" w:ascii="仿宋" w:hAnsi="仿宋" w:eastAsia="仿宋" w:cs="仿宋"/>
                <w:b w:val="0"/>
                <w:bCs/>
                <w:sz w:val="24"/>
                <w:szCs w:val="24"/>
                <w:vertAlign w:val="baseline"/>
                <w:lang w:val="en-US" w:eastAsia="zh-CN"/>
              </w:rPr>
              <w:t>提供一个得1分，最多得5分。</w:t>
            </w:r>
          </w:p>
          <w:p w14:paraId="7FF5E686">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rPr>
              <w:t>注：人员须提供身份证、职称证书或注册证书、</w:t>
            </w:r>
            <w:r>
              <w:rPr>
                <w:rFonts w:hint="eastAsia" w:ascii="仿宋" w:hAnsi="仿宋" w:eastAsia="仿宋" w:cs="仿宋"/>
                <w:b w:val="0"/>
                <w:bCs/>
                <w:strike w:val="0"/>
                <w:dstrike w:val="0"/>
                <w:sz w:val="24"/>
                <w:szCs w:val="24"/>
                <w:highlight w:val="none"/>
                <w:vertAlign w:val="baseline"/>
                <w:lang w:val="en-US" w:eastAsia="zh-CN"/>
              </w:rPr>
              <w:t>近半年任意一个月</w:t>
            </w:r>
            <w:r>
              <w:rPr>
                <w:rFonts w:hint="eastAsia" w:ascii="仿宋" w:hAnsi="仿宋" w:eastAsia="仿宋" w:cs="仿宋"/>
                <w:b w:val="0"/>
                <w:bCs/>
                <w:sz w:val="24"/>
                <w:szCs w:val="24"/>
                <w:vertAlign w:val="baseline"/>
              </w:rPr>
              <w:t>社保证明等证明材料复印件。未提供相关证明材料或提供证明材料不全者不得分。</w:t>
            </w:r>
          </w:p>
        </w:tc>
      </w:tr>
      <w:tr w14:paraId="0C5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noWrap w:val="0"/>
            <w:vAlign w:val="center"/>
          </w:tcPr>
          <w:p w14:paraId="370236C1">
            <w:pPr>
              <w:jc w:val="center"/>
              <w:rPr>
                <w:rFonts w:hint="eastAsia" w:ascii="仿宋" w:hAnsi="仿宋" w:eastAsia="仿宋" w:cs="仿宋"/>
                <w:b w:val="0"/>
                <w:bCs/>
                <w:sz w:val="24"/>
                <w:szCs w:val="24"/>
                <w:vertAlign w:val="baseline"/>
              </w:rPr>
            </w:pPr>
          </w:p>
          <w:p w14:paraId="7651E138">
            <w:pPr>
              <w:bidi w:val="0"/>
              <w:jc w:val="center"/>
              <w:rPr>
                <w:rFonts w:hint="eastAsia" w:ascii="仿宋" w:hAnsi="仿宋" w:eastAsia="仿宋" w:cs="仿宋"/>
                <w:b w:val="0"/>
                <w:bCs/>
                <w:kern w:val="2"/>
                <w:sz w:val="21"/>
                <w:lang w:val="en-US" w:eastAsia="zh-CN" w:bidi="ar-SA"/>
              </w:rPr>
            </w:pPr>
          </w:p>
          <w:p w14:paraId="3F269318">
            <w:pPr>
              <w:bidi w:val="0"/>
              <w:jc w:val="center"/>
              <w:rPr>
                <w:rFonts w:hint="eastAsia" w:ascii="仿宋" w:hAnsi="仿宋" w:eastAsia="仿宋" w:cs="仿宋"/>
                <w:b w:val="0"/>
                <w:bCs/>
                <w:lang w:val="en-US" w:eastAsia="zh-CN"/>
              </w:rPr>
            </w:pPr>
          </w:p>
          <w:p w14:paraId="21579EC3">
            <w:pPr>
              <w:bidi w:val="0"/>
              <w:jc w:val="both"/>
              <w:rPr>
                <w:rFonts w:hint="eastAsia" w:ascii="仿宋" w:hAnsi="仿宋" w:eastAsia="仿宋" w:cs="仿宋"/>
                <w:b w:val="0"/>
                <w:bCs/>
                <w:lang w:val="en-US" w:eastAsia="zh-CN"/>
              </w:rPr>
            </w:pPr>
            <w:r>
              <w:rPr>
                <w:rFonts w:hint="eastAsia" w:ascii="仿宋" w:hAnsi="仿宋" w:eastAsia="仿宋" w:cs="仿宋"/>
                <w:b w:val="0"/>
                <w:bCs/>
                <w:lang w:val="en-US" w:eastAsia="zh-CN"/>
              </w:rPr>
              <w:t>技术部分(53分)</w:t>
            </w:r>
          </w:p>
        </w:tc>
        <w:tc>
          <w:tcPr>
            <w:tcW w:w="1468" w:type="dxa"/>
            <w:shd w:val="clear"/>
            <w:noWrap w:val="0"/>
            <w:vAlign w:val="center"/>
          </w:tcPr>
          <w:p w14:paraId="6CFEF954">
            <w:pPr>
              <w:widowControl/>
              <w:kinsoku w:val="0"/>
              <w:autoSpaceDE w:val="0"/>
              <w:autoSpaceDN w:val="0"/>
              <w:adjustRightInd w:val="0"/>
              <w:snapToGrid w:val="0"/>
              <w:spacing w:line="252" w:lineRule="auto"/>
              <w:jc w:val="center"/>
              <w:textAlignment w:val="baseline"/>
              <w:rPr>
                <w:rFonts w:hint="eastAsia" w:ascii="仿宋" w:hAnsi="仿宋" w:eastAsia="仿宋" w:cs="仿宋"/>
                <w:b w:val="0"/>
                <w:bCs/>
                <w:snapToGrid w:val="0"/>
                <w:color w:val="000000"/>
                <w:kern w:val="0"/>
                <w:sz w:val="21"/>
                <w:szCs w:val="21"/>
                <w:lang w:eastAsia="en-US"/>
              </w:rPr>
            </w:pPr>
            <w:r>
              <w:rPr>
                <w:rFonts w:hint="eastAsia" w:ascii="仿宋" w:hAnsi="仿宋" w:eastAsia="仿宋" w:cs="仿宋"/>
                <w:b w:val="0"/>
                <w:bCs/>
                <w:snapToGrid w:val="0"/>
                <w:color w:val="000000"/>
                <w:kern w:val="0"/>
                <w:sz w:val="21"/>
                <w:szCs w:val="21"/>
                <w:lang w:eastAsia="en-US"/>
              </w:rPr>
              <w:t>总体技术</w:t>
            </w:r>
          </w:p>
          <w:p w14:paraId="56AEFCE1">
            <w:pPr>
              <w:widowControl/>
              <w:kinsoku w:val="0"/>
              <w:autoSpaceDE w:val="0"/>
              <w:autoSpaceDN w:val="0"/>
              <w:adjustRightInd w:val="0"/>
              <w:snapToGrid w:val="0"/>
              <w:spacing w:line="252" w:lineRule="auto"/>
              <w:jc w:val="center"/>
              <w:textAlignment w:val="baseline"/>
              <w:rPr>
                <w:rFonts w:hint="eastAsia" w:ascii="仿宋" w:hAnsi="仿宋" w:eastAsia="仿宋" w:cs="仿宋"/>
                <w:b w:val="0"/>
                <w:bCs/>
                <w:snapToGrid w:val="0"/>
                <w:color w:val="000000"/>
                <w:kern w:val="0"/>
                <w:sz w:val="21"/>
                <w:szCs w:val="21"/>
                <w:lang w:val="en-US" w:eastAsia="en-US" w:bidi="ar-SA"/>
              </w:rPr>
            </w:pPr>
            <w:r>
              <w:rPr>
                <w:rFonts w:hint="eastAsia" w:ascii="仿宋" w:hAnsi="仿宋" w:eastAsia="仿宋" w:cs="仿宋"/>
                <w:b w:val="0"/>
                <w:bCs/>
                <w:snapToGrid w:val="0"/>
                <w:color w:val="000000"/>
                <w:kern w:val="0"/>
                <w:sz w:val="21"/>
                <w:szCs w:val="21"/>
                <w:lang w:eastAsia="en-US"/>
              </w:rPr>
              <w:t>方案</w:t>
            </w:r>
          </w:p>
        </w:tc>
        <w:tc>
          <w:tcPr>
            <w:tcW w:w="1012" w:type="dxa"/>
            <w:shd w:val="clear"/>
            <w:noWrap w:val="0"/>
            <w:vAlign w:val="center"/>
          </w:tcPr>
          <w:p w14:paraId="5AA41FB2">
            <w:pPr>
              <w:pStyle w:val="60"/>
              <w:spacing w:before="78"/>
              <w:ind w:left="396" w:leftChars="0"/>
              <w:jc w:val="both"/>
              <w:rPr>
                <w:rFonts w:hint="eastAsia" w:ascii="仿宋" w:hAnsi="仿宋" w:eastAsia="仿宋" w:cs="仿宋"/>
                <w:b w:val="0"/>
                <w:bCs/>
                <w:kern w:val="2"/>
                <w:sz w:val="24"/>
                <w:szCs w:val="24"/>
                <w:vertAlign w:val="baseline"/>
                <w:lang w:val="en-US" w:eastAsia="zh-CN" w:bidi="ar-SA"/>
              </w:rPr>
            </w:pPr>
            <w:r>
              <w:rPr>
                <w:rFonts w:hint="eastAsia" w:cs="仿宋"/>
                <w:b w:val="0"/>
                <w:bCs/>
                <w:spacing w:val="-14"/>
                <w:lang w:val="en-US" w:eastAsia="zh-CN"/>
              </w:rPr>
              <w:t>24</w:t>
            </w:r>
          </w:p>
        </w:tc>
        <w:tc>
          <w:tcPr>
            <w:tcW w:w="5112" w:type="dxa"/>
            <w:shd w:val="clear"/>
            <w:noWrap w:val="0"/>
            <w:vAlign w:val="center"/>
          </w:tcPr>
          <w:p w14:paraId="6D1322C2">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方案内容全面（涵盖岸线现状调查、问题分析、保护目标、利用布局、实施措施、后期管护等）；思路清晰，逻辑严谨，完全符合《河道岸线保护与利用规划编制指南》《国土空间规划编制通则》及新疆地方相关规范；针对性极强，精准识别岸线保护与利用中的核心问题（如岸线侵占、生态破坏、利用不合理等），提出的解决方案具体、可落地，可操作性强，能直接指导项目实施。</w:t>
            </w:r>
            <w:r>
              <w:rPr>
                <w:rFonts w:hint="eastAsia" w:ascii="仿宋" w:hAnsi="仿宋" w:eastAsia="仿宋" w:cs="仿宋"/>
                <w:b w:val="0"/>
                <w:bCs/>
                <w:sz w:val="24"/>
                <w:szCs w:val="24"/>
                <w:vertAlign w:val="baseline"/>
                <w:lang w:val="en-US" w:eastAsia="zh-CN"/>
              </w:rPr>
              <w:t>方案</w:t>
            </w:r>
            <w:r>
              <w:rPr>
                <w:rFonts w:hint="eastAsia" w:ascii="仿宋" w:hAnsi="仿宋" w:eastAsia="仿宋" w:cs="仿宋"/>
                <w:b w:val="0"/>
                <w:bCs/>
                <w:sz w:val="24"/>
                <w:szCs w:val="24"/>
                <w:vertAlign w:val="baseline"/>
              </w:rPr>
              <w:t>内容完整、层次分明、无缺项漏项、满足采购需求得</w:t>
            </w:r>
            <w:r>
              <w:rPr>
                <w:rFonts w:hint="eastAsia" w:ascii="仿宋" w:hAnsi="仿宋" w:eastAsia="仿宋" w:cs="仿宋"/>
                <w:b w:val="0"/>
                <w:bCs/>
                <w:sz w:val="24"/>
                <w:szCs w:val="24"/>
                <w:vertAlign w:val="baseline"/>
                <w:lang w:val="en-US" w:eastAsia="zh-CN"/>
              </w:rPr>
              <w:t>24</w:t>
            </w:r>
            <w:r>
              <w:rPr>
                <w:rFonts w:hint="eastAsia" w:ascii="仿宋" w:hAnsi="仿宋" w:eastAsia="仿宋" w:cs="仿宋"/>
                <w:b w:val="0"/>
                <w:bCs/>
                <w:sz w:val="24"/>
                <w:szCs w:val="24"/>
                <w:vertAlign w:val="baseline"/>
              </w:rPr>
              <w:t>分；每缺一项扣</w:t>
            </w:r>
            <w:r>
              <w:rPr>
                <w:rFonts w:hint="eastAsia" w:ascii="仿宋" w:hAnsi="仿宋" w:eastAsia="仿宋" w:cs="仿宋"/>
                <w:b w:val="0"/>
                <w:bCs/>
                <w:sz w:val="24"/>
                <w:szCs w:val="24"/>
                <w:vertAlign w:val="baseline"/>
                <w:lang w:val="en-US" w:eastAsia="zh-CN"/>
              </w:rPr>
              <w:t>4</w:t>
            </w:r>
            <w:r>
              <w:rPr>
                <w:rFonts w:hint="eastAsia" w:ascii="仿宋" w:hAnsi="仿宋" w:eastAsia="仿宋" w:cs="仿宋"/>
                <w:b w:val="0"/>
                <w:bCs/>
                <w:sz w:val="24"/>
                <w:szCs w:val="24"/>
                <w:vertAlign w:val="baseline"/>
              </w:rPr>
              <w:t>分，每有一项不合理扣</w:t>
            </w:r>
            <w:r>
              <w:rPr>
                <w:rFonts w:hint="eastAsia" w:ascii="仿宋" w:hAnsi="仿宋" w:eastAsia="仿宋" w:cs="仿宋"/>
                <w:b w:val="0"/>
                <w:bCs/>
                <w:sz w:val="24"/>
                <w:szCs w:val="24"/>
                <w:vertAlign w:val="baseline"/>
                <w:lang w:val="en-US" w:eastAsia="zh-CN"/>
              </w:rPr>
              <w:t>2</w:t>
            </w:r>
            <w:r>
              <w:rPr>
                <w:rFonts w:hint="eastAsia" w:ascii="仿宋" w:hAnsi="仿宋" w:eastAsia="仿宋" w:cs="仿宋"/>
                <w:b w:val="0"/>
                <w:bCs/>
                <w:sz w:val="24"/>
                <w:szCs w:val="24"/>
                <w:vertAlign w:val="baseline"/>
              </w:rPr>
              <w:t>分，扣完为止。</w:t>
            </w:r>
          </w:p>
          <w:p w14:paraId="144AF8D0">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注：</w:t>
            </w:r>
            <w:r>
              <w:rPr>
                <w:rFonts w:hint="eastAsia" w:ascii="仿宋" w:hAnsi="仿宋" w:eastAsia="仿宋" w:cs="仿宋"/>
                <w:b w:val="0"/>
                <w:bCs/>
                <w:sz w:val="24"/>
                <w:szCs w:val="24"/>
                <w:vertAlign w:val="baseline"/>
              </w:rPr>
              <w:t>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r w14:paraId="1DC5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noWrap w:val="0"/>
            <w:vAlign w:val="center"/>
          </w:tcPr>
          <w:p w14:paraId="3CABDC22">
            <w:pPr>
              <w:jc w:val="center"/>
              <w:rPr>
                <w:rFonts w:hint="eastAsia" w:ascii="仿宋" w:hAnsi="仿宋" w:eastAsia="仿宋" w:cs="仿宋"/>
                <w:b w:val="0"/>
                <w:bCs/>
                <w:sz w:val="24"/>
                <w:szCs w:val="24"/>
                <w:vertAlign w:val="baseline"/>
              </w:rPr>
            </w:pPr>
          </w:p>
        </w:tc>
        <w:tc>
          <w:tcPr>
            <w:tcW w:w="1468" w:type="dxa"/>
            <w:shd w:val="clear" w:color="auto" w:fill="auto"/>
            <w:noWrap w:val="0"/>
            <w:vAlign w:val="center"/>
          </w:tcPr>
          <w:p w14:paraId="4BF00FD5">
            <w:pPr>
              <w:tabs>
                <w:tab w:val="left" w:pos="2159"/>
              </w:tabs>
              <w:jc w:val="center"/>
              <w:rPr>
                <w:rFonts w:hint="eastAsia" w:ascii="仿宋" w:hAnsi="仿宋" w:eastAsia="仿宋" w:cs="仿宋"/>
                <w:b w:val="0"/>
                <w:bCs/>
                <w:kern w:val="2"/>
                <w:sz w:val="24"/>
                <w:szCs w:val="24"/>
                <w:vertAlign w:val="baseline"/>
                <w:lang w:val="en-US" w:eastAsia="en-US" w:bidi="ar-SA"/>
              </w:rPr>
            </w:pPr>
            <w:r>
              <w:rPr>
                <w:rFonts w:hint="eastAsia" w:ascii="仿宋" w:hAnsi="仿宋" w:eastAsia="仿宋" w:cs="仿宋"/>
                <w:b w:val="0"/>
                <w:bCs/>
                <w:sz w:val="24"/>
                <w:szCs w:val="24"/>
                <w:vertAlign w:val="baseline"/>
                <w:lang w:val="en-US" w:eastAsia="zh-CN"/>
              </w:rPr>
              <w:t>进度安排</w:t>
            </w:r>
          </w:p>
        </w:tc>
        <w:tc>
          <w:tcPr>
            <w:tcW w:w="1012" w:type="dxa"/>
            <w:shd w:val="clear" w:color="auto" w:fill="auto"/>
            <w:noWrap w:val="0"/>
            <w:vAlign w:val="center"/>
          </w:tcPr>
          <w:p w14:paraId="473A6A77">
            <w:pPr>
              <w:tabs>
                <w:tab w:val="left" w:pos="2159"/>
              </w:tabs>
              <w:jc w:val="center"/>
              <w:rPr>
                <w:rFonts w:hint="default"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10</w:t>
            </w:r>
          </w:p>
        </w:tc>
        <w:tc>
          <w:tcPr>
            <w:tcW w:w="5112" w:type="dxa"/>
            <w:shd w:val="clear" w:color="auto" w:fill="auto"/>
            <w:noWrap w:val="0"/>
            <w:vAlign w:val="center"/>
          </w:tcPr>
          <w:p w14:paraId="7EFC0FF9">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进度计划科学合理，明确划分现状调查、方案编制、征求意见、修改完善、成果提交5个阶段，每个阶段时间节点精准；各阶段衔接顺畅，无脱节、冗余情况；保障措施完善（含人员保障、技术保障、时间管控保障），明确各阶段责任人及工作要求，能确保在服务期限内足额完成全部工作内容（附详细进度计划表，明确各阶段工作任务及完成时限）。</w:t>
            </w:r>
          </w:p>
          <w:p w14:paraId="6892A944">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kern w:val="2"/>
                <w:sz w:val="24"/>
                <w:szCs w:val="24"/>
                <w:vertAlign w:val="baseline"/>
                <w:lang w:val="en-US" w:eastAsia="zh-CN" w:bidi="ar-SA"/>
              </w:rPr>
              <w:t>进度计划合理，明确划分工作阶段，时间节点；各阶段衔接顺畅，不存在明显脱节、冗余</w:t>
            </w:r>
            <w:r>
              <w:rPr>
                <w:rFonts w:hint="eastAsia" w:ascii="仿宋" w:hAnsi="仿宋" w:eastAsia="仿宋" w:cs="仿宋"/>
                <w:b w:val="0"/>
                <w:bCs/>
                <w:sz w:val="24"/>
                <w:szCs w:val="24"/>
                <w:vertAlign w:val="baseline"/>
              </w:rPr>
              <w:t>得</w:t>
            </w:r>
            <w:r>
              <w:rPr>
                <w:rFonts w:hint="eastAsia" w:ascii="仿宋" w:hAnsi="仿宋" w:eastAsia="仿宋" w:cs="仿宋"/>
                <w:b w:val="0"/>
                <w:bCs/>
                <w:sz w:val="24"/>
                <w:szCs w:val="24"/>
                <w:vertAlign w:val="baseline"/>
                <w:lang w:val="en-US" w:eastAsia="zh-CN"/>
              </w:rPr>
              <w:t>10</w:t>
            </w:r>
            <w:r>
              <w:rPr>
                <w:rFonts w:hint="eastAsia" w:ascii="仿宋" w:hAnsi="仿宋" w:eastAsia="仿宋" w:cs="仿宋"/>
                <w:b w:val="0"/>
                <w:bCs/>
                <w:sz w:val="24"/>
                <w:szCs w:val="24"/>
                <w:vertAlign w:val="baseline"/>
              </w:rPr>
              <w:t>分；每缺一项扣</w:t>
            </w:r>
            <w:r>
              <w:rPr>
                <w:rFonts w:hint="eastAsia" w:ascii="仿宋" w:hAnsi="仿宋" w:eastAsia="仿宋" w:cs="仿宋"/>
                <w:b w:val="0"/>
                <w:bCs/>
                <w:sz w:val="24"/>
                <w:szCs w:val="24"/>
                <w:vertAlign w:val="baseline"/>
                <w:lang w:val="en-US" w:eastAsia="zh-CN"/>
              </w:rPr>
              <w:t>2</w:t>
            </w:r>
            <w:r>
              <w:rPr>
                <w:rFonts w:hint="eastAsia" w:ascii="仿宋" w:hAnsi="仿宋" w:eastAsia="仿宋" w:cs="仿宋"/>
                <w:b w:val="0"/>
                <w:bCs/>
                <w:sz w:val="24"/>
                <w:szCs w:val="24"/>
                <w:vertAlign w:val="baseline"/>
              </w:rPr>
              <w:t>分，每有一项不合理扣</w:t>
            </w:r>
            <w:r>
              <w:rPr>
                <w:rFonts w:hint="eastAsia" w:ascii="仿宋" w:hAnsi="仿宋" w:eastAsia="仿宋" w:cs="仿宋"/>
                <w:b w:val="0"/>
                <w:bCs/>
                <w:sz w:val="24"/>
                <w:szCs w:val="24"/>
                <w:vertAlign w:val="baseline"/>
                <w:lang w:val="en-US" w:eastAsia="zh-CN"/>
              </w:rPr>
              <w:t>1</w:t>
            </w:r>
            <w:r>
              <w:rPr>
                <w:rFonts w:hint="eastAsia" w:ascii="仿宋" w:hAnsi="仿宋" w:eastAsia="仿宋" w:cs="仿宋"/>
                <w:b w:val="0"/>
                <w:bCs/>
                <w:sz w:val="24"/>
                <w:szCs w:val="24"/>
                <w:vertAlign w:val="baseline"/>
              </w:rPr>
              <w:t>分，扣完为止。</w:t>
            </w:r>
          </w:p>
          <w:p w14:paraId="4CF3A506">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注：</w:t>
            </w:r>
            <w:r>
              <w:rPr>
                <w:rFonts w:hint="eastAsia" w:ascii="仿宋" w:hAnsi="仿宋" w:eastAsia="仿宋" w:cs="仿宋"/>
                <w:b w:val="0"/>
                <w:bCs/>
                <w:sz w:val="24"/>
                <w:szCs w:val="24"/>
                <w:vertAlign w:val="baseline"/>
              </w:rPr>
              <w:t>内容不合理是指非专门针对本项目或不适用项目特性的情形、内容不完整或错误、缺少关键节点、内容前后矛盾、</w:t>
            </w:r>
            <w:r>
              <w:rPr>
                <w:rFonts w:hint="eastAsia" w:ascii="仿宋" w:hAnsi="仿宋" w:eastAsia="仿宋" w:cs="仿宋"/>
                <w:b w:val="0"/>
                <w:bCs/>
                <w:sz w:val="24"/>
                <w:szCs w:val="24"/>
                <w:vertAlign w:val="baseline"/>
                <w:lang w:val="en-US" w:eastAsia="zh-CN"/>
              </w:rPr>
              <w:t>存在明显脱节</w:t>
            </w:r>
            <w:r>
              <w:rPr>
                <w:rFonts w:hint="eastAsia" w:ascii="仿宋" w:hAnsi="仿宋" w:eastAsia="仿宋" w:cs="仿宋"/>
                <w:b w:val="0"/>
                <w:bCs/>
                <w:sz w:val="24"/>
                <w:szCs w:val="24"/>
                <w:vertAlign w:val="baseline"/>
              </w:rPr>
              <w:t>或与本项目无关的内容、不利于项目实施、不可能实现的情形等任意一种情形。</w:t>
            </w:r>
          </w:p>
        </w:tc>
      </w:tr>
      <w:tr w14:paraId="0325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noWrap w:val="0"/>
            <w:vAlign w:val="center"/>
          </w:tcPr>
          <w:p w14:paraId="40EB77F3">
            <w:pPr>
              <w:jc w:val="center"/>
              <w:rPr>
                <w:rFonts w:hint="eastAsia" w:ascii="仿宋" w:hAnsi="仿宋" w:eastAsia="仿宋" w:cs="仿宋"/>
                <w:b w:val="0"/>
                <w:bCs/>
                <w:sz w:val="24"/>
                <w:szCs w:val="24"/>
                <w:vertAlign w:val="baseline"/>
              </w:rPr>
            </w:pPr>
          </w:p>
        </w:tc>
        <w:tc>
          <w:tcPr>
            <w:tcW w:w="1468" w:type="dxa"/>
            <w:shd w:val="clear" w:color="auto" w:fill="auto"/>
            <w:noWrap w:val="0"/>
            <w:vAlign w:val="center"/>
          </w:tcPr>
          <w:p w14:paraId="4B5339A0">
            <w:pPr>
              <w:tabs>
                <w:tab w:val="left" w:pos="2159"/>
              </w:tabs>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rPr>
              <w:t>质量保证措施</w:t>
            </w:r>
          </w:p>
        </w:tc>
        <w:tc>
          <w:tcPr>
            <w:tcW w:w="1012" w:type="dxa"/>
            <w:shd w:val="clear" w:color="auto" w:fill="auto"/>
            <w:noWrap w:val="0"/>
            <w:vAlign w:val="center"/>
          </w:tcPr>
          <w:p w14:paraId="5677376D">
            <w:pPr>
              <w:tabs>
                <w:tab w:val="left" w:pos="2159"/>
              </w:tabs>
              <w:jc w:val="center"/>
              <w:rPr>
                <w:rFonts w:hint="default"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8</w:t>
            </w:r>
          </w:p>
        </w:tc>
        <w:tc>
          <w:tcPr>
            <w:tcW w:w="5112" w:type="dxa"/>
            <w:shd w:val="clear" w:color="auto" w:fill="auto"/>
            <w:noWrap w:val="0"/>
            <w:vAlign w:val="center"/>
          </w:tcPr>
          <w:p w14:paraId="38F65F42">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lang w:val="en-US" w:eastAsia="zh-CN"/>
              </w:rPr>
              <w:t xml:space="preserve">保证措施实施各阶段均提出具体的服务计划和实施细则内容：①组织保障；②技术保障；③质量保障；④服务安全保障；内容齐全且符合本项目要求的得 8分，每缺少一项的扣2分，每有一处有缺陷扣0.4分，扣完为止。 </w:t>
            </w:r>
          </w:p>
          <w:p w14:paraId="236EBD64">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套用其他项目内容。</w:t>
            </w:r>
          </w:p>
        </w:tc>
      </w:tr>
      <w:tr w14:paraId="01D7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noWrap w:val="0"/>
            <w:vAlign w:val="center"/>
          </w:tcPr>
          <w:p w14:paraId="17807475">
            <w:pPr>
              <w:jc w:val="center"/>
              <w:rPr>
                <w:rFonts w:hint="eastAsia" w:ascii="仿宋" w:hAnsi="仿宋" w:eastAsia="仿宋" w:cs="仿宋"/>
                <w:b w:val="0"/>
                <w:bCs/>
                <w:sz w:val="24"/>
                <w:szCs w:val="24"/>
                <w:vertAlign w:val="baseline"/>
              </w:rPr>
            </w:pPr>
          </w:p>
        </w:tc>
        <w:tc>
          <w:tcPr>
            <w:tcW w:w="1468" w:type="dxa"/>
            <w:shd w:val="clear" w:color="auto" w:fill="auto"/>
            <w:noWrap w:val="0"/>
            <w:vAlign w:val="center"/>
          </w:tcPr>
          <w:p w14:paraId="3EFCA268">
            <w:pPr>
              <w:tabs>
                <w:tab w:val="left" w:pos="2159"/>
              </w:tabs>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项目管理</w:t>
            </w:r>
          </w:p>
        </w:tc>
        <w:tc>
          <w:tcPr>
            <w:tcW w:w="1012" w:type="dxa"/>
            <w:shd w:val="clear" w:color="auto" w:fill="auto"/>
            <w:noWrap w:val="0"/>
            <w:vAlign w:val="center"/>
          </w:tcPr>
          <w:p w14:paraId="0B0FB389">
            <w:pPr>
              <w:tabs>
                <w:tab w:val="left" w:pos="2159"/>
              </w:tabs>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6</w:t>
            </w:r>
          </w:p>
        </w:tc>
        <w:tc>
          <w:tcPr>
            <w:tcW w:w="5112" w:type="dxa"/>
            <w:shd w:val="clear" w:color="auto" w:fill="auto"/>
            <w:noWrap w:val="0"/>
            <w:vAlign w:val="center"/>
          </w:tcPr>
          <w:p w14:paraId="36E8EF41">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①</w:t>
            </w:r>
            <w:r>
              <w:rPr>
                <w:rFonts w:hint="eastAsia" w:ascii="仿宋" w:hAnsi="仿宋" w:eastAsia="仿宋" w:cs="仿宋"/>
                <w:b w:val="0"/>
                <w:bCs/>
                <w:kern w:val="2"/>
                <w:sz w:val="24"/>
                <w:szCs w:val="24"/>
                <w:vertAlign w:val="baseline"/>
                <w:lang w:val="en-US" w:eastAsia="zh-CN" w:bidi="ar-SA"/>
              </w:rPr>
              <w:t>对项目理解与县域河湖现状研判、</w:t>
            </w:r>
            <w:r>
              <w:rPr>
                <w:rFonts w:hint="eastAsia" w:ascii="仿宋" w:hAnsi="仿宋" w:eastAsia="仿宋" w:cs="仿宋"/>
                <w:b w:val="0"/>
                <w:bCs/>
                <w:sz w:val="24"/>
                <w:szCs w:val="24"/>
                <w:vertAlign w:val="baseline"/>
                <w:lang w:val="en-US" w:eastAsia="zh-CN"/>
              </w:rPr>
              <w:t>②</w:t>
            </w:r>
            <w:r>
              <w:rPr>
                <w:rFonts w:hint="eastAsia" w:ascii="仿宋" w:hAnsi="仿宋" w:eastAsia="仿宋" w:cs="仿宋"/>
                <w:b w:val="0"/>
                <w:bCs/>
                <w:kern w:val="2"/>
                <w:sz w:val="24"/>
                <w:szCs w:val="24"/>
                <w:vertAlign w:val="baseline"/>
                <w:lang w:val="en-US" w:eastAsia="zh-CN" w:bidi="ar-SA"/>
              </w:rPr>
              <w:t>编制范围与工作边界界定、</w:t>
            </w:r>
            <w:r>
              <w:rPr>
                <w:rFonts w:hint="eastAsia" w:ascii="仿宋" w:hAnsi="仿宋" w:eastAsia="仿宋" w:cs="仿宋"/>
                <w:b w:val="0"/>
                <w:bCs/>
                <w:sz w:val="24"/>
                <w:szCs w:val="24"/>
                <w:vertAlign w:val="baseline"/>
                <w:lang w:val="en-US" w:eastAsia="zh-CN"/>
              </w:rPr>
              <w:t>③</w:t>
            </w:r>
            <w:r>
              <w:rPr>
                <w:rFonts w:hint="eastAsia" w:ascii="仿宋" w:hAnsi="仿宋" w:eastAsia="仿宋" w:cs="仿宋"/>
                <w:b w:val="0"/>
                <w:bCs/>
                <w:kern w:val="2"/>
                <w:sz w:val="24"/>
                <w:szCs w:val="24"/>
                <w:vertAlign w:val="baseline"/>
                <w:lang w:val="en-US" w:eastAsia="zh-CN" w:bidi="ar-SA"/>
              </w:rPr>
              <w:t>协调对接机制与部门联动管理：</w:t>
            </w:r>
          </w:p>
          <w:p w14:paraId="43626AAB">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研判全面、贴合县域实际及自治区河湖岸线规划编制政策要求，岸线的编制范围及边界界定</w:t>
            </w:r>
          </w:p>
          <w:p w14:paraId="54A99A50">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kern w:val="2"/>
                <w:sz w:val="24"/>
                <w:szCs w:val="24"/>
                <w:vertAlign w:val="baseline"/>
                <w:lang w:val="en-US" w:eastAsia="zh-CN" w:bidi="ar-SA"/>
              </w:rPr>
              <w:t>与相关部门对接管理合理得6分，</w:t>
            </w:r>
            <w:r>
              <w:rPr>
                <w:rFonts w:hint="eastAsia" w:ascii="仿宋" w:hAnsi="仿宋" w:eastAsia="仿宋" w:cs="仿宋"/>
                <w:b w:val="0"/>
                <w:bCs/>
                <w:sz w:val="24"/>
                <w:szCs w:val="24"/>
                <w:vertAlign w:val="baseline"/>
              </w:rPr>
              <w:t>每缺一项扣</w:t>
            </w:r>
            <w:r>
              <w:rPr>
                <w:rFonts w:hint="eastAsia" w:ascii="仿宋" w:hAnsi="仿宋" w:eastAsia="仿宋" w:cs="仿宋"/>
                <w:b w:val="0"/>
                <w:bCs/>
                <w:sz w:val="24"/>
                <w:szCs w:val="24"/>
                <w:vertAlign w:val="baseline"/>
                <w:lang w:val="en-US" w:eastAsia="zh-CN"/>
              </w:rPr>
              <w:t>2</w:t>
            </w:r>
            <w:r>
              <w:rPr>
                <w:rFonts w:hint="eastAsia" w:ascii="仿宋" w:hAnsi="仿宋" w:eastAsia="仿宋" w:cs="仿宋"/>
                <w:b w:val="0"/>
                <w:bCs/>
                <w:sz w:val="24"/>
                <w:szCs w:val="24"/>
                <w:vertAlign w:val="baseline"/>
              </w:rPr>
              <w:t>分，每有一项不合理扣</w:t>
            </w:r>
            <w:r>
              <w:rPr>
                <w:rFonts w:hint="eastAsia" w:ascii="仿宋" w:hAnsi="仿宋" w:eastAsia="仿宋" w:cs="仿宋"/>
                <w:b w:val="0"/>
                <w:bCs/>
                <w:sz w:val="24"/>
                <w:szCs w:val="24"/>
                <w:vertAlign w:val="baseline"/>
                <w:lang w:val="en-US" w:eastAsia="zh-CN"/>
              </w:rPr>
              <w:t>1</w:t>
            </w:r>
            <w:r>
              <w:rPr>
                <w:rFonts w:hint="eastAsia" w:ascii="仿宋" w:hAnsi="仿宋" w:eastAsia="仿宋" w:cs="仿宋"/>
                <w:b w:val="0"/>
                <w:bCs/>
                <w:sz w:val="24"/>
                <w:szCs w:val="24"/>
                <w:vertAlign w:val="baseline"/>
              </w:rPr>
              <w:t>分，扣完为止。</w:t>
            </w:r>
          </w:p>
          <w:p w14:paraId="1E39BA23">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注：</w:t>
            </w:r>
            <w:r>
              <w:rPr>
                <w:rFonts w:hint="eastAsia" w:ascii="仿宋" w:hAnsi="仿宋" w:eastAsia="仿宋" w:cs="仿宋"/>
                <w:b w:val="0"/>
                <w:bCs/>
                <w:sz w:val="24"/>
                <w:szCs w:val="24"/>
                <w:vertAlign w:val="baseline"/>
              </w:rPr>
              <w:t>内容不合理是指非专门针对本项目或不适用项目特性的情形、内容不完整或错误、缺少关键节点、内容前后矛盾、与本项目无关的内容、不利于项目实施、不可能实现的情形等任意一种情形。</w:t>
            </w:r>
          </w:p>
        </w:tc>
      </w:tr>
      <w:tr w14:paraId="391C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noWrap w:val="0"/>
            <w:vAlign w:val="center"/>
          </w:tcPr>
          <w:p w14:paraId="160054CE">
            <w:pPr>
              <w:jc w:val="center"/>
              <w:rPr>
                <w:rFonts w:hint="eastAsia" w:ascii="仿宋" w:hAnsi="仿宋" w:eastAsia="仿宋" w:cs="仿宋"/>
                <w:b w:val="0"/>
                <w:bCs/>
                <w:sz w:val="24"/>
                <w:szCs w:val="24"/>
                <w:vertAlign w:val="baseline"/>
              </w:rPr>
            </w:pPr>
          </w:p>
        </w:tc>
        <w:tc>
          <w:tcPr>
            <w:tcW w:w="1468" w:type="dxa"/>
            <w:shd w:val="clear" w:color="auto" w:fill="auto"/>
            <w:noWrap w:val="0"/>
            <w:vAlign w:val="center"/>
          </w:tcPr>
          <w:p w14:paraId="43B70731">
            <w:pPr>
              <w:pStyle w:val="34"/>
              <w:keepNext w:val="0"/>
              <w:keepLines w:val="0"/>
              <w:pageBreakBefore w:val="0"/>
              <w:kinsoku/>
              <w:wordWrap/>
              <w:overflowPunct/>
              <w:topLinePunct w:val="0"/>
              <w:autoSpaceDE/>
              <w:autoSpaceDN/>
              <w:bidi w:val="0"/>
              <w:adjustRightInd w:val="0"/>
              <w:snapToGrid w:val="0"/>
              <w:spacing w:before="0" w:after="0" w:line="288" w:lineRule="auto"/>
              <w:ind w:firstLine="0" w:firstLineChars="0"/>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Cs/>
                <w:color w:val="000000"/>
                <w:kern w:val="0"/>
                <w:sz w:val="24"/>
                <w:szCs w:val="24"/>
                <w:lang w:val="en-US" w:eastAsia="zh-CN"/>
              </w:rPr>
              <w:t>服务承诺</w:t>
            </w:r>
          </w:p>
        </w:tc>
        <w:tc>
          <w:tcPr>
            <w:tcW w:w="1012" w:type="dxa"/>
            <w:shd w:val="clear" w:color="auto" w:fill="auto"/>
            <w:noWrap w:val="0"/>
            <w:vAlign w:val="center"/>
          </w:tcPr>
          <w:p w14:paraId="457E94EC">
            <w:pPr>
              <w:tabs>
                <w:tab w:val="left" w:pos="2159"/>
              </w:tabs>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1</w:t>
            </w:r>
          </w:p>
        </w:tc>
        <w:tc>
          <w:tcPr>
            <w:tcW w:w="5112" w:type="dxa"/>
            <w:shd w:val="clear" w:color="auto" w:fill="auto"/>
            <w:noWrap w:val="0"/>
            <w:vAlign w:val="center"/>
          </w:tcPr>
          <w:p w14:paraId="7D0FEE0D">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供应商在编制团队组建、规划服务承诺、后续服务时效性与保障性承诺是否全面进行对比打分：</w:t>
            </w:r>
          </w:p>
          <w:p w14:paraId="64D59063">
            <w:pPr>
              <w:tabs>
                <w:tab w:val="left" w:pos="2159"/>
              </w:tabs>
              <w:jc w:val="both"/>
              <w:rPr>
                <w:rFonts w:hint="eastAsia" w:ascii="仿宋" w:hAnsi="仿宋" w:eastAsia="仿宋" w:cs="仿宋"/>
                <w:b w:val="0"/>
                <w:bCs/>
                <w:sz w:val="24"/>
                <w:szCs w:val="24"/>
                <w:vertAlign w:val="baseline"/>
              </w:rPr>
            </w:pPr>
            <w:r>
              <w:rPr>
                <w:rFonts w:hint="eastAsia" w:ascii="仿宋" w:hAnsi="仿宋" w:eastAsia="仿宋" w:cs="仿宋"/>
                <w:b w:val="0"/>
                <w:bCs/>
                <w:sz w:val="24"/>
                <w:szCs w:val="24"/>
                <w:vertAlign w:val="baseline"/>
              </w:rPr>
              <w:t>1.供应商承诺按要求组建编制团队，能够全面响应其他各项承诺的，得</w:t>
            </w:r>
            <w:r>
              <w:rPr>
                <w:rFonts w:hint="eastAsia" w:ascii="仿宋" w:hAnsi="仿宋" w:eastAsia="仿宋" w:cs="仿宋"/>
                <w:b w:val="0"/>
                <w:bCs/>
                <w:sz w:val="24"/>
                <w:szCs w:val="24"/>
                <w:vertAlign w:val="baseline"/>
                <w:lang w:val="en-US" w:eastAsia="zh-CN"/>
              </w:rPr>
              <w:t>1</w:t>
            </w:r>
            <w:r>
              <w:rPr>
                <w:rFonts w:hint="eastAsia" w:ascii="仿宋" w:hAnsi="仿宋" w:eastAsia="仿宋" w:cs="仿宋"/>
                <w:b w:val="0"/>
                <w:bCs/>
                <w:sz w:val="24"/>
                <w:szCs w:val="24"/>
                <w:vertAlign w:val="baseline"/>
              </w:rPr>
              <w:t>分。</w:t>
            </w:r>
          </w:p>
          <w:p w14:paraId="6B8BF7CF">
            <w:pPr>
              <w:tabs>
                <w:tab w:val="left" w:pos="2159"/>
              </w:tabs>
              <w:jc w:val="both"/>
              <w:rPr>
                <w:rFonts w:hint="default"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rPr>
              <w:t>2.供应商无法组建编制团队，各项服务承诺响应</w:t>
            </w:r>
            <w:r>
              <w:rPr>
                <w:rFonts w:hint="eastAsia" w:ascii="仿宋" w:hAnsi="仿宋" w:eastAsia="仿宋" w:cs="仿宋"/>
                <w:b w:val="0"/>
                <w:bCs/>
                <w:sz w:val="24"/>
                <w:szCs w:val="24"/>
                <w:vertAlign w:val="baseline"/>
                <w:lang w:val="en-US" w:eastAsia="zh-CN"/>
              </w:rPr>
              <w:t>不符合本项目编制要求</w:t>
            </w:r>
            <w:r>
              <w:rPr>
                <w:rFonts w:hint="eastAsia" w:ascii="仿宋" w:hAnsi="仿宋" w:eastAsia="仿宋" w:cs="仿宋"/>
                <w:b w:val="0"/>
                <w:bCs/>
                <w:sz w:val="24"/>
                <w:szCs w:val="24"/>
                <w:vertAlign w:val="baseline"/>
              </w:rPr>
              <w:t>的，不得分。</w:t>
            </w:r>
          </w:p>
        </w:tc>
      </w:tr>
      <w:tr w14:paraId="55AC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noWrap w:val="0"/>
            <w:vAlign w:val="center"/>
          </w:tcPr>
          <w:p w14:paraId="2387C5BA">
            <w:pPr>
              <w:jc w:val="center"/>
              <w:rPr>
                <w:rFonts w:hint="eastAsia" w:ascii="仿宋" w:hAnsi="仿宋" w:eastAsia="仿宋" w:cs="仿宋"/>
                <w:b w:val="0"/>
                <w:bCs/>
                <w:sz w:val="24"/>
                <w:szCs w:val="24"/>
                <w:vertAlign w:val="baseline"/>
              </w:rPr>
            </w:pPr>
          </w:p>
        </w:tc>
        <w:tc>
          <w:tcPr>
            <w:tcW w:w="1468" w:type="dxa"/>
            <w:shd w:val="clear" w:color="auto" w:fill="auto"/>
            <w:noWrap w:val="0"/>
            <w:vAlign w:val="center"/>
          </w:tcPr>
          <w:p w14:paraId="73E89995">
            <w:pPr>
              <w:pStyle w:val="34"/>
              <w:keepNext w:val="0"/>
              <w:keepLines w:val="0"/>
              <w:pageBreakBefore w:val="0"/>
              <w:kinsoku/>
              <w:wordWrap/>
              <w:overflowPunct/>
              <w:topLinePunct w:val="0"/>
              <w:autoSpaceDE/>
              <w:autoSpaceDN/>
              <w:bidi w:val="0"/>
              <w:adjustRightInd w:val="0"/>
              <w:snapToGrid w:val="0"/>
              <w:spacing w:before="0" w:after="0" w:line="288" w:lineRule="auto"/>
              <w:ind w:firstLine="0" w:firstLineChars="0"/>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color w:val="000000" w:themeColor="text1"/>
                <w:kern w:val="0"/>
                <w:sz w:val="24"/>
                <w:szCs w:val="24"/>
                <w:highlight w:val="none"/>
                <w:lang w:val="en-US" w:eastAsia="zh-CN" w:bidi="ar"/>
              </w:rPr>
              <w:t>数据保护措施</w:t>
            </w:r>
          </w:p>
        </w:tc>
        <w:tc>
          <w:tcPr>
            <w:tcW w:w="1012" w:type="dxa"/>
            <w:shd w:val="clear" w:color="auto" w:fill="auto"/>
            <w:noWrap w:val="0"/>
            <w:vAlign w:val="center"/>
          </w:tcPr>
          <w:p w14:paraId="3E1C28EB">
            <w:pPr>
              <w:tabs>
                <w:tab w:val="left" w:pos="2159"/>
              </w:tabs>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4</w:t>
            </w:r>
          </w:p>
        </w:tc>
        <w:tc>
          <w:tcPr>
            <w:tcW w:w="5112" w:type="dxa"/>
            <w:shd w:val="clear" w:color="auto" w:fill="auto"/>
            <w:noWrap w:val="0"/>
            <w:vAlign w:val="center"/>
          </w:tcPr>
          <w:p w14:paraId="40D26BC8">
            <w:pPr>
              <w:tabs>
                <w:tab w:val="left" w:pos="2159"/>
              </w:tabs>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针对本项目制定详细的管理数据措施，包括但不限于以下内容：</w:t>
            </w:r>
          </w:p>
          <w:p w14:paraId="55CEB85D">
            <w:pPr>
              <w:tabs>
                <w:tab w:val="left" w:pos="2159"/>
              </w:tabs>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①制度建设；②数据存储、传输安全；③人员管理④应急与泄密处置；</w:t>
            </w:r>
          </w:p>
          <w:p w14:paraId="03AE2463">
            <w:pPr>
              <w:tabs>
                <w:tab w:val="left" w:pos="2159"/>
              </w:tabs>
              <w:jc w:val="both"/>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编制内容完整、层次分明、无缺项漏项、满足采购需求得4分；每缺一项扣1分，每有一项不合理扣0.5分，扣完为止。</w:t>
            </w:r>
          </w:p>
          <w:p w14:paraId="2536BEAE">
            <w:pPr>
              <w:tabs>
                <w:tab w:val="left" w:pos="2159"/>
              </w:tabs>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sz w:val="24"/>
                <w:szCs w:val="24"/>
                <w:vertAlign w:val="baseline"/>
                <w:lang w:val="en-US" w:eastAsia="zh-CN"/>
              </w:rPr>
              <w:t>注：内容不合理是指非专门针对本项目或不适用项目特性的情形、内容不完整或错误、缺少关键节点、内容前后矛盾、涉及的规范及标准错误、套用其他项目方案或存在明显与本项目无关的内容、不利于项目实施、不可能实现的情形等任意一种情形。</w:t>
            </w:r>
          </w:p>
        </w:tc>
      </w:tr>
    </w:tbl>
    <w:p w14:paraId="6E862E33">
      <w:pPr>
        <w:rPr>
          <w:rFonts w:hint="eastAsia" w:ascii="仿宋" w:hAnsi="仿宋" w:eastAsia="仿宋" w:cs="仿宋"/>
          <w:b/>
          <w:sz w:val="24"/>
          <w:szCs w:val="24"/>
        </w:rPr>
      </w:pPr>
    </w:p>
    <w:p w14:paraId="7E898DFF">
      <w:pPr>
        <w:rPr>
          <w:rFonts w:hint="eastAsia" w:ascii="仿宋" w:hAnsi="仿宋" w:eastAsia="仿宋" w:cs="仿宋"/>
          <w:b/>
          <w:sz w:val="24"/>
          <w:szCs w:val="24"/>
        </w:rPr>
      </w:pPr>
    </w:p>
    <w:p w14:paraId="2B9ACBBB">
      <w:pPr>
        <w:tabs>
          <w:tab w:val="left" w:pos="8280"/>
        </w:tabs>
        <w:spacing w:line="360" w:lineRule="auto"/>
        <w:ind w:right="-1"/>
        <w:jc w:val="center"/>
        <w:rPr>
          <w:rFonts w:hint="eastAsia" w:ascii="仿宋" w:hAnsi="仿宋" w:eastAsia="仿宋" w:cs="仿宋"/>
          <w:b/>
          <w:sz w:val="24"/>
          <w:szCs w:val="24"/>
        </w:rPr>
      </w:pPr>
      <w:r>
        <w:rPr>
          <w:rFonts w:hint="eastAsia" w:ascii="仿宋" w:hAnsi="仿宋" w:eastAsia="仿宋" w:cs="仿宋"/>
          <w:b/>
          <w:sz w:val="24"/>
          <w:szCs w:val="24"/>
        </w:rPr>
        <w:t>价格评标（分）记录明细表</w:t>
      </w:r>
    </w:p>
    <w:tbl>
      <w:tblPr>
        <w:tblStyle w:val="25"/>
        <w:tblW w:w="905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6521"/>
        <w:gridCol w:w="958"/>
      </w:tblGrid>
      <w:tr w14:paraId="723E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571" w:type="dxa"/>
            <w:vAlign w:val="center"/>
          </w:tcPr>
          <w:p w14:paraId="4E62E616">
            <w:pPr>
              <w:pStyle w:val="35"/>
              <w:jc w:val="center"/>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项目</w:t>
            </w:r>
          </w:p>
        </w:tc>
        <w:tc>
          <w:tcPr>
            <w:tcW w:w="6521" w:type="dxa"/>
            <w:vAlign w:val="center"/>
          </w:tcPr>
          <w:p w14:paraId="518E1E61">
            <w:pPr>
              <w:pStyle w:val="35"/>
              <w:jc w:val="center"/>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评标内容</w:t>
            </w:r>
          </w:p>
        </w:tc>
        <w:tc>
          <w:tcPr>
            <w:tcW w:w="958" w:type="dxa"/>
            <w:vAlign w:val="center"/>
          </w:tcPr>
          <w:p w14:paraId="5115B3F7">
            <w:pPr>
              <w:pStyle w:val="35"/>
              <w:jc w:val="center"/>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分值</w:t>
            </w:r>
          </w:p>
        </w:tc>
      </w:tr>
      <w:tr w14:paraId="320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50" w:type="dxa"/>
            <w:gridSpan w:val="3"/>
            <w:vAlign w:val="center"/>
          </w:tcPr>
          <w:p w14:paraId="703B5DC1">
            <w:pPr>
              <w:pStyle w:val="35"/>
              <w:jc w:val="both"/>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投标价格评分</w:t>
            </w:r>
            <w:r>
              <w:rPr>
                <w:rFonts w:hint="eastAsia" w:ascii="仿宋" w:hAnsi="仿宋" w:eastAsia="仿宋" w:cs="仿宋"/>
                <w:b/>
                <w:bCs/>
                <w:color w:val="auto"/>
                <w:kern w:val="2"/>
                <w:sz w:val="24"/>
                <w:szCs w:val="24"/>
                <w:lang w:val="en-US" w:eastAsia="zh-CN"/>
              </w:rPr>
              <w:t>30</w:t>
            </w:r>
            <w:r>
              <w:rPr>
                <w:rFonts w:hint="eastAsia" w:ascii="仿宋" w:hAnsi="仿宋" w:eastAsia="仿宋" w:cs="仿宋"/>
                <w:b/>
                <w:bCs/>
                <w:color w:val="auto"/>
                <w:kern w:val="2"/>
                <w:sz w:val="24"/>
                <w:szCs w:val="24"/>
              </w:rPr>
              <w:t>分</w:t>
            </w:r>
          </w:p>
        </w:tc>
      </w:tr>
      <w:tr w14:paraId="68B5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571" w:type="dxa"/>
            <w:vMerge w:val="restart"/>
            <w:vAlign w:val="center"/>
          </w:tcPr>
          <w:p w14:paraId="7D492C96">
            <w:pPr>
              <w:jc w:val="center"/>
              <w:rPr>
                <w:rFonts w:hint="eastAsia" w:ascii="仿宋" w:hAnsi="仿宋" w:eastAsia="仿宋" w:cs="仿宋"/>
                <w:sz w:val="24"/>
                <w:szCs w:val="24"/>
              </w:rPr>
            </w:pPr>
            <w:r>
              <w:rPr>
                <w:rFonts w:hint="eastAsia" w:ascii="仿宋" w:hAnsi="仿宋" w:eastAsia="仿宋" w:cs="仿宋"/>
                <w:sz w:val="24"/>
                <w:szCs w:val="24"/>
              </w:rPr>
              <w:t>价格评审</w:t>
            </w:r>
          </w:p>
          <w:p w14:paraId="04D841EF">
            <w:pPr>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6521" w:type="dxa"/>
            <w:vAlign w:val="center"/>
          </w:tcPr>
          <w:p w14:paraId="45CE3752">
            <w:pPr>
              <w:pStyle w:val="38"/>
              <w:widowControl w:val="0"/>
              <w:spacing w:line="28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评标基准价 =有效投标报价的最低值，有效投标报价等于基准值的得满分，投标报价得分= （评标基准价/投标报价）×</w:t>
            </w:r>
            <w:r>
              <w:rPr>
                <w:rFonts w:hint="eastAsia" w:ascii="仿宋" w:hAnsi="仿宋" w:eastAsia="仿宋" w:cs="仿宋"/>
                <w:kern w:val="2"/>
                <w:sz w:val="24"/>
                <w:szCs w:val="24"/>
                <w:lang w:val="en-US" w:eastAsia="zh-CN"/>
              </w:rPr>
              <w:t>30%</w:t>
            </w:r>
            <w:r>
              <w:rPr>
                <w:rFonts w:hint="eastAsia" w:ascii="仿宋" w:hAnsi="仿宋" w:eastAsia="仿宋" w:cs="仿宋"/>
                <w:kern w:val="2"/>
                <w:sz w:val="24"/>
                <w:szCs w:val="24"/>
              </w:rPr>
              <w:t>×</w:t>
            </w:r>
            <w:r>
              <w:rPr>
                <w:rFonts w:hint="eastAsia" w:ascii="仿宋" w:hAnsi="仿宋" w:eastAsia="仿宋" w:cs="仿宋"/>
                <w:kern w:val="2"/>
                <w:sz w:val="24"/>
                <w:szCs w:val="24"/>
                <w:lang w:val="en-US" w:eastAsia="zh-CN"/>
              </w:rPr>
              <w:t>100</w:t>
            </w:r>
            <w:r>
              <w:rPr>
                <w:rFonts w:hint="eastAsia" w:ascii="仿宋" w:hAnsi="仿宋" w:eastAsia="仿宋" w:cs="仿宋"/>
                <w:kern w:val="2"/>
                <w:sz w:val="24"/>
                <w:szCs w:val="24"/>
              </w:rPr>
              <w:t>。有效投标报价为通过初步审查的投标人报价；</w:t>
            </w:r>
          </w:p>
        </w:tc>
        <w:tc>
          <w:tcPr>
            <w:tcW w:w="958" w:type="dxa"/>
            <w:vMerge w:val="restart"/>
            <w:vAlign w:val="center"/>
          </w:tcPr>
          <w:p w14:paraId="089F1590">
            <w:pPr>
              <w:pStyle w:val="35"/>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30</w:t>
            </w:r>
            <w:r>
              <w:rPr>
                <w:rFonts w:hint="eastAsia" w:ascii="仿宋" w:hAnsi="仿宋" w:eastAsia="仿宋" w:cs="仿宋"/>
                <w:color w:val="auto"/>
                <w:kern w:val="2"/>
                <w:sz w:val="24"/>
                <w:szCs w:val="24"/>
              </w:rPr>
              <w:t>分</w:t>
            </w:r>
          </w:p>
        </w:tc>
      </w:tr>
      <w:tr w14:paraId="7BF8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571" w:type="dxa"/>
            <w:vMerge w:val="continue"/>
            <w:vAlign w:val="center"/>
          </w:tcPr>
          <w:p w14:paraId="06B0F520">
            <w:pPr>
              <w:pStyle w:val="35"/>
              <w:jc w:val="center"/>
              <w:rPr>
                <w:rFonts w:hint="eastAsia" w:ascii="仿宋" w:hAnsi="仿宋" w:eastAsia="仿宋" w:cs="仿宋"/>
                <w:color w:val="auto"/>
                <w:kern w:val="2"/>
                <w:sz w:val="24"/>
                <w:szCs w:val="24"/>
              </w:rPr>
            </w:pPr>
          </w:p>
        </w:tc>
        <w:tc>
          <w:tcPr>
            <w:tcW w:w="6521" w:type="dxa"/>
            <w:vAlign w:val="center"/>
          </w:tcPr>
          <w:p w14:paraId="6BEE1B70">
            <w:pPr>
              <w:pStyle w:val="38"/>
              <w:widowControl w:val="0"/>
              <w:spacing w:line="280" w:lineRule="exact"/>
              <w:jc w:val="both"/>
              <w:rPr>
                <w:rFonts w:hint="eastAsia" w:ascii="仿宋" w:hAnsi="仿宋" w:eastAsia="仿宋" w:cs="仿宋"/>
                <w:kern w:val="2"/>
                <w:sz w:val="24"/>
                <w:szCs w:val="24"/>
              </w:rPr>
            </w:pPr>
            <w:r>
              <w:rPr>
                <w:rFonts w:hint="eastAsia" w:ascii="仿宋" w:hAnsi="仿宋" w:eastAsia="仿宋" w:cs="仿宋"/>
                <w:kern w:val="2"/>
                <w:sz w:val="24"/>
                <w:szCs w:val="24"/>
              </w:rPr>
              <w:t>按上述公式计算得分为负值时，其投标报价得分为零分。计算公式的计算结果值在小数点后均保留两位小数，后余位数四舍五入计。当计算结果为负数时，计为零分。</w:t>
            </w:r>
          </w:p>
        </w:tc>
        <w:tc>
          <w:tcPr>
            <w:tcW w:w="958" w:type="dxa"/>
            <w:vMerge w:val="continue"/>
            <w:vAlign w:val="center"/>
          </w:tcPr>
          <w:p w14:paraId="0145879B">
            <w:pPr>
              <w:pStyle w:val="35"/>
              <w:jc w:val="center"/>
              <w:rPr>
                <w:rFonts w:hint="eastAsia" w:ascii="仿宋" w:hAnsi="仿宋" w:eastAsia="仿宋" w:cs="仿宋"/>
                <w:color w:val="auto"/>
                <w:kern w:val="2"/>
                <w:sz w:val="24"/>
                <w:szCs w:val="24"/>
              </w:rPr>
            </w:pPr>
          </w:p>
        </w:tc>
      </w:tr>
      <w:tr w14:paraId="21B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50" w:type="dxa"/>
            <w:gridSpan w:val="3"/>
            <w:vAlign w:val="center"/>
          </w:tcPr>
          <w:p w14:paraId="4C7BD1A5">
            <w:pPr>
              <w:pStyle w:val="35"/>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注：1、计算过程中，算术平均值保留2位小数（百分比亦取2位小数），第三位小数四舍五入。</w:t>
            </w:r>
          </w:p>
          <w:p w14:paraId="1370A4A4">
            <w:pPr>
              <w:pStyle w:val="35"/>
              <w:ind w:firstLine="49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2、投标人的最终得分为：所有评委对其评分的算术平均值。</w:t>
            </w:r>
          </w:p>
        </w:tc>
      </w:tr>
    </w:tbl>
    <w:p w14:paraId="248A0BF8">
      <w:pPr>
        <w:rPr>
          <w:rFonts w:hint="eastAsia" w:ascii="仿宋" w:hAnsi="仿宋" w:eastAsia="仿宋" w:cs="仿宋"/>
          <w:sz w:val="24"/>
          <w:szCs w:val="24"/>
          <w:lang w:val="zh-CN"/>
        </w:rPr>
      </w:pPr>
    </w:p>
    <w:p w14:paraId="6A9BF8DB">
      <w:pPr>
        <w:tabs>
          <w:tab w:val="left" w:pos="8280"/>
        </w:tabs>
        <w:spacing w:line="360" w:lineRule="auto"/>
        <w:ind w:right="-1" w:firstLine="551" w:firstLineChars="225"/>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4</w:t>
      </w:r>
      <w:r>
        <w:rPr>
          <w:rFonts w:hint="eastAsia" w:ascii="仿宋" w:hAnsi="仿宋" w:eastAsia="仿宋" w:cs="仿宋"/>
          <w:b/>
          <w:sz w:val="24"/>
          <w:szCs w:val="24"/>
          <w:lang w:val="zh-CN"/>
        </w:rPr>
        <w:t>. 推荐拟中标候选人</w:t>
      </w:r>
    </w:p>
    <w:p w14:paraId="0B82F7B0">
      <w:pPr>
        <w:tabs>
          <w:tab w:val="left" w:pos="8280"/>
        </w:tabs>
        <w:spacing w:line="360" w:lineRule="auto"/>
        <w:ind w:right="-1" w:firstLine="551" w:firstLineChars="225"/>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4</w:t>
      </w:r>
      <w:r>
        <w:rPr>
          <w:rFonts w:hint="eastAsia" w:ascii="仿宋" w:hAnsi="仿宋" w:eastAsia="仿宋" w:cs="仿宋"/>
          <w:sz w:val="24"/>
          <w:szCs w:val="24"/>
          <w:lang w:val="zh-CN"/>
        </w:rPr>
        <w:t>.1由评标委员会集体按照经署名确认的汇总得分排序顺序，</w:t>
      </w:r>
      <w:r>
        <w:rPr>
          <w:rFonts w:hint="eastAsia" w:ascii="仿宋" w:hAnsi="仿宋" w:eastAsia="仿宋" w:cs="仿宋"/>
          <w:bCs/>
          <w:sz w:val="24"/>
          <w:szCs w:val="24"/>
        </w:rPr>
        <w:t>推荐拟中标候选人。</w:t>
      </w:r>
    </w:p>
    <w:p w14:paraId="43A28F85">
      <w:pPr>
        <w:tabs>
          <w:tab w:val="left" w:pos="8280"/>
        </w:tabs>
        <w:spacing w:line="360" w:lineRule="auto"/>
        <w:ind w:right="-1" w:firstLine="551" w:firstLineChars="225"/>
        <w:rPr>
          <w:rFonts w:hint="eastAsia" w:ascii="仿宋" w:hAnsi="仿宋" w:eastAsia="仿宋" w:cs="仿宋"/>
          <w:bCs/>
          <w:sz w:val="24"/>
          <w:szCs w:val="24"/>
        </w:rPr>
      </w:pPr>
      <w:r>
        <w:rPr>
          <w:rFonts w:hint="eastAsia" w:ascii="仿宋" w:hAnsi="仿宋" w:eastAsia="仿宋" w:cs="仿宋"/>
          <w:bCs/>
          <w:sz w:val="24"/>
          <w:szCs w:val="24"/>
        </w:rPr>
        <w:t>24.2 推荐拟中标候选投标人数量应当根据采购需要确定，应当限定在一至三人，并标明排列顺序。排序第一位的为推荐的</w:t>
      </w:r>
      <w:r>
        <w:rPr>
          <w:rFonts w:hint="eastAsia" w:ascii="仿宋" w:hAnsi="仿宋" w:eastAsia="仿宋" w:cs="仿宋"/>
          <w:sz w:val="24"/>
          <w:szCs w:val="24"/>
        </w:rPr>
        <w:t>第一拟成交投标人。</w:t>
      </w:r>
    </w:p>
    <w:p w14:paraId="619569D2">
      <w:pPr>
        <w:tabs>
          <w:tab w:val="left" w:pos="8280"/>
        </w:tabs>
        <w:spacing w:line="360" w:lineRule="auto"/>
        <w:ind w:right="-1" w:firstLine="551" w:firstLineChars="225"/>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4</w:t>
      </w:r>
      <w:r>
        <w:rPr>
          <w:rFonts w:hint="eastAsia" w:ascii="仿宋" w:hAnsi="仿宋" w:eastAsia="仿宋" w:cs="仿宋"/>
          <w:sz w:val="24"/>
          <w:szCs w:val="24"/>
          <w:lang w:val="zh-CN"/>
        </w:rPr>
        <w:t>.3 投标方</w:t>
      </w:r>
      <w:r>
        <w:rPr>
          <w:rFonts w:hint="eastAsia" w:ascii="仿宋" w:hAnsi="仿宋" w:eastAsia="仿宋" w:cs="仿宋"/>
          <w:bCs/>
          <w:sz w:val="24"/>
          <w:szCs w:val="24"/>
        </w:rPr>
        <w:t>最低投标报价不是唯一中标条件</w:t>
      </w:r>
      <w:r>
        <w:rPr>
          <w:rFonts w:hint="eastAsia" w:ascii="仿宋" w:hAnsi="仿宋" w:eastAsia="仿宋" w:cs="仿宋"/>
          <w:sz w:val="24"/>
          <w:szCs w:val="24"/>
          <w:lang w:val="zh-CN"/>
        </w:rPr>
        <w:t>。对资格审查和符合性审查合格的投标报价文件完整无缺、最大限度地满足竞争性磋商文件需求的投标方，中标机会均等。</w:t>
      </w:r>
    </w:p>
    <w:p w14:paraId="0B87F902">
      <w:pPr>
        <w:tabs>
          <w:tab w:val="left" w:pos="8280"/>
        </w:tabs>
        <w:spacing w:line="360" w:lineRule="auto"/>
        <w:ind w:right="-1" w:firstLine="551" w:firstLineChars="225"/>
        <w:rPr>
          <w:rFonts w:hint="eastAsia" w:ascii="仿宋" w:hAnsi="仿宋" w:eastAsia="仿宋" w:cs="仿宋"/>
          <w:sz w:val="24"/>
          <w:szCs w:val="24"/>
        </w:rPr>
      </w:pPr>
      <w:r>
        <w:rPr>
          <w:rFonts w:hint="eastAsia" w:ascii="仿宋" w:hAnsi="仿宋" w:eastAsia="仿宋" w:cs="仿宋"/>
          <w:sz w:val="24"/>
          <w:szCs w:val="24"/>
        </w:rPr>
        <w:t>24.4 如汇总得分排序后出现</w:t>
      </w:r>
      <w:r>
        <w:rPr>
          <w:rFonts w:hint="eastAsia" w:ascii="仿宋" w:hAnsi="仿宋" w:eastAsia="仿宋" w:cs="仿宋"/>
          <w:bCs/>
          <w:sz w:val="24"/>
          <w:szCs w:val="24"/>
        </w:rPr>
        <w:t>推荐拟中标候选人</w:t>
      </w:r>
      <w:r>
        <w:rPr>
          <w:rFonts w:hint="eastAsia" w:ascii="仿宋" w:hAnsi="仿宋" w:eastAsia="仿宋" w:cs="仿宋"/>
          <w:sz w:val="24"/>
          <w:szCs w:val="24"/>
        </w:rPr>
        <w:t>得分相同的，评标委员会只对取得得分前三位投标人，按照</w:t>
      </w:r>
      <w:r>
        <w:rPr>
          <w:rFonts w:hint="eastAsia" w:ascii="仿宋" w:hAnsi="仿宋" w:eastAsia="仿宋" w:cs="仿宋"/>
          <w:sz w:val="24"/>
          <w:szCs w:val="24"/>
          <w:lang w:val="zh-CN"/>
        </w:rPr>
        <w:t>其报价由低到高顺序排列；得分且其报价相等的，则按核心技术指标优劣顺序排列。价格、技术指标的高</w:t>
      </w:r>
      <w:r>
        <w:rPr>
          <w:rFonts w:hint="eastAsia" w:ascii="仿宋" w:hAnsi="仿宋" w:eastAsia="仿宋" w:cs="仿宋"/>
          <w:sz w:val="24"/>
          <w:szCs w:val="24"/>
        </w:rPr>
        <w:t>低或优劣由评标委员会集体进行综合确认评定。排序在前三位之后的，按原排序不变，允许排序并列。</w:t>
      </w:r>
    </w:p>
    <w:p w14:paraId="1F783014">
      <w:pPr>
        <w:spacing w:line="360" w:lineRule="auto"/>
        <w:ind w:firstLine="490" w:firstLineChars="200"/>
        <w:rPr>
          <w:rFonts w:hint="eastAsia" w:ascii="仿宋" w:hAnsi="仿宋" w:eastAsia="仿宋" w:cs="仿宋"/>
          <w:bCs/>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4</w:t>
      </w:r>
      <w:r>
        <w:rPr>
          <w:rFonts w:hint="eastAsia" w:ascii="仿宋" w:hAnsi="仿宋" w:eastAsia="仿宋" w:cs="仿宋"/>
          <w:sz w:val="24"/>
          <w:szCs w:val="24"/>
          <w:lang w:val="zh-CN"/>
        </w:rPr>
        <w:t>.5 由采购代理机构对未推荐拟成交候选人、确认废标的，进行核对汇总后，由评标委员会各成员签署确认。</w:t>
      </w:r>
    </w:p>
    <w:p w14:paraId="2243F4C5">
      <w:pPr>
        <w:tabs>
          <w:tab w:val="left" w:pos="8280"/>
        </w:tabs>
        <w:spacing w:line="360" w:lineRule="auto"/>
        <w:ind w:right="-1" w:firstLine="551" w:firstLineChars="225"/>
        <w:rPr>
          <w:rFonts w:hint="eastAsia" w:ascii="仿宋" w:hAnsi="仿宋" w:eastAsia="仿宋" w:cs="仿宋"/>
          <w:b/>
          <w:sz w:val="24"/>
          <w:szCs w:val="24"/>
          <w:lang w:val="zh-CN"/>
        </w:rPr>
      </w:pPr>
      <w:r>
        <w:rPr>
          <w:rFonts w:hint="eastAsia" w:ascii="仿宋" w:hAnsi="仿宋" w:eastAsia="仿宋" w:cs="仿宋"/>
          <w:b/>
          <w:sz w:val="24"/>
          <w:szCs w:val="24"/>
          <w:lang w:val="zh-CN"/>
        </w:rPr>
        <w:t>2</w:t>
      </w:r>
      <w:r>
        <w:rPr>
          <w:rFonts w:hint="eastAsia" w:ascii="仿宋" w:hAnsi="仿宋" w:eastAsia="仿宋" w:cs="仿宋"/>
          <w:b/>
          <w:sz w:val="24"/>
          <w:szCs w:val="24"/>
        </w:rPr>
        <w:t>5</w:t>
      </w:r>
      <w:r>
        <w:rPr>
          <w:rFonts w:hint="eastAsia" w:ascii="仿宋" w:hAnsi="仿宋" w:eastAsia="仿宋" w:cs="仿宋"/>
          <w:b/>
          <w:sz w:val="24"/>
          <w:szCs w:val="24"/>
          <w:lang w:val="zh-CN"/>
        </w:rPr>
        <w:t>. 编写评标报告</w:t>
      </w:r>
    </w:p>
    <w:p w14:paraId="73AE2E17">
      <w:pPr>
        <w:tabs>
          <w:tab w:val="left" w:pos="8280"/>
        </w:tabs>
        <w:spacing w:line="360" w:lineRule="auto"/>
        <w:ind w:right="-1" w:firstLine="551" w:firstLineChars="225"/>
        <w:rPr>
          <w:rFonts w:hint="eastAsia" w:ascii="仿宋" w:hAnsi="仿宋" w:eastAsia="仿宋" w:cs="仿宋"/>
          <w:sz w:val="24"/>
          <w:szCs w:val="24"/>
        </w:rPr>
      </w:pPr>
      <w:r>
        <w:rPr>
          <w:rFonts w:hint="eastAsia" w:ascii="仿宋" w:hAnsi="仿宋" w:eastAsia="仿宋" w:cs="仿宋"/>
          <w:sz w:val="24"/>
          <w:szCs w:val="24"/>
        </w:rPr>
        <w:t>25.1</w:t>
      </w:r>
      <w:r>
        <w:rPr>
          <w:rFonts w:hint="eastAsia" w:ascii="仿宋" w:hAnsi="仿宋" w:eastAsia="仿宋" w:cs="仿宋"/>
          <w:sz w:val="24"/>
          <w:szCs w:val="24"/>
          <w:lang w:val="zh-CN"/>
        </w:rPr>
        <w:t>评标委员会</w:t>
      </w:r>
      <w:r>
        <w:rPr>
          <w:rFonts w:hint="eastAsia" w:ascii="仿宋" w:hAnsi="仿宋" w:eastAsia="仿宋" w:cs="仿宋"/>
          <w:sz w:val="24"/>
          <w:szCs w:val="24"/>
        </w:rPr>
        <w:t>根据全体成员签字的评标（评审）原始记录和结果，编写评标报告，并现场提交给采购代理机构。编写的评标报告要符合</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的要求。</w:t>
      </w:r>
    </w:p>
    <w:p w14:paraId="060A5EA5">
      <w:pPr>
        <w:tabs>
          <w:tab w:val="left" w:pos="8280"/>
        </w:tabs>
        <w:spacing w:line="360" w:lineRule="auto"/>
        <w:ind w:right="-1" w:firstLine="551" w:firstLineChars="225"/>
        <w:rPr>
          <w:rFonts w:hint="eastAsia" w:ascii="仿宋" w:hAnsi="仿宋" w:eastAsia="仿宋" w:cs="仿宋"/>
          <w:b/>
          <w:sz w:val="24"/>
          <w:szCs w:val="24"/>
        </w:rPr>
      </w:pPr>
      <w:r>
        <w:rPr>
          <w:rFonts w:hint="eastAsia" w:ascii="仿宋" w:hAnsi="仿宋" w:eastAsia="仿宋" w:cs="仿宋"/>
          <w:b/>
          <w:sz w:val="24"/>
          <w:szCs w:val="24"/>
        </w:rPr>
        <w:t>26. 评标结束</w:t>
      </w:r>
    </w:p>
    <w:p w14:paraId="5B0F71B3">
      <w:pPr>
        <w:tabs>
          <w:tab w:val="left" w:pos="8280"/>
        </w:tabs>
        <w:spacing w:line="360" w:lineRule="auto"/>
        <w:ind w:right="-1" w:firstLine="551" w:firstLineChars="225"/>
        <w:rPr>
          <w:rFonts w:hint="eastAsia" w:ascii="仿宋" w:hAnsi="仿宋" w:eastAsia="仿宋" w:cs="仿宋"/>
          <w:b/>
          <w:sz w:val="24"/>
          <w:szCs w:val="24"/>
        </w:rPr>
      </w:pPr>
      <w:r>
        <w:rPr>
          <w:rFonts w:hint="eastAsia" w:ascii="仿宋" w:hAnsi="仿宋" w:eastAsia="仿宋" w:cs="仿宋"/>
          <w:sz w:val="24"/>
          <w:szCs w:val="24"/>
        </w:rPr>
        <w:t>26.1采购代理机构应按规定时间，通知全部参与本次招标投标有效的投标人入场，进行会议总结，宣布本次</w:t>
      </w:r>
      <w:r>
        <w:rPr>
          <w:rFonts w:hint="eastAsia" w:ascii="仿宋" w:hAnsi="仿宋" w:eastAsia="仿宋" w:cs="仿宋"/>
          <w:sz w:val="24"/>
          <w:szCs w:val="24"/>
          <w:lang w:val="zh-CN"/>
        </w:rPr>
        <w:t>评标委员会</w:t>
      </w:r>
      <w:r>
        <w:rPr>
          <w:rFonts w:hint="eastAsia" w:ascii="仿宋" w:hAnsi="仿宋" w:eastAsia="仿宋" w:cs="仿宋"/>
          <w:sz w:val="24"/>
          <w:szCs w:val="24"/>
        </w:rPr>
        <w:t>推荐的第一拟成交投标人名单。</w:t>
      </w:r>
    </w:p>
    <w:p w14:paraId="3FFFE707">
      <w:pPr>
        <w:tabs>
          <w:tab w:val="left" w:pos="8280"/>
        </w:tabs>
        <w:spacing w:line="360" w:lineRule="auto"/>
        <w:ind w:right="-1" w:firstLine="551" w:firstLineChars="225"/>
        <w:rPr>
          <w:rFonts w:hint="eastAsia" w:ascii="仿宋" w:hAnsi="仿宋" w:eastAsia="仿宋" w:cs="仿宋"/>
          <w:b/>
          <w:sz w:val="24"/>
          <w:szCs w:val="24"/>
        </w:rPr>
      </w:pPr>
      <w:r>
        <w:rPr>
          <w:rFonts w:hint="eastAsia" w:ascii="仿宋" w:hAnsi="仿宋" w:eastAsia="仿宋" w:cs="仿宋"/>
          <w:sz w:val="24"/>
          <w:szCs w:val="24"/>
        </w:rPr>
        <w:t>26.2 评审小组各成员名单不公开。</w:t>
      </w:r>
    </w:p>
    <w:p w14:paraId="086ED54B">
      <w:pPr>
        <w:tabs>
          <w:tab w:val="left" w:pos="8280"/>
        </w:tabs>
        <w:spacing w:line="360" w:lineRule="auto"/>
        <w:ind w:right="-1" w:firstLine="551" w:firstLineChars="225"/>
        <w:rPr>
          <w:rFonts w:hint="eastAsia" w:ascii="仿宋" w:hAnsi="仿宋" w:eastAsia="仿宋" w:cs="仿宋"/>
          <w:sz w:val="24"/>
          <w:szCs w:val="24"/>
        </w:rPr>
      </w:pPr>
      <w:r>
        <w:rPr>
          <w:rFonts w:hint="eastAsia" w:ascii="仿宋" w:hAnsi="仿宋" w:eastAsia="仿宋" w:cs="仿宋"/>
          <w:sz w:val="24"/>
          <w:szCs w:val="24"/>
        </w:rPr>
        <w:t>26.3 由采购代理机构宣读有关招标信息公告、中标确认原则及质疑（投诉）事项等说明。</w:t>
      </w:r>
    </w:p>
    <w:p w14:paraId="1882C28F">
      <w:pPr>
        <w:tabs>
          <w:tab w:val="left" w:pos="8280"/>
        </w:tabs>
        <w:spacing w:line="360" w:lineRule="auto"/>
        <w:ind w:right="-1" w:firstLine="551" w:firstLineChars="225"/>
        <w:rPr>
          <w:rFonts w:hint="eastAsia" w:ascii="仿宋" w:hAnsi="仿宋" w:eastAsia="仿宋" w:cs="仿宋"/>
          <w:sz w:val="24"/>
          <w:szCs w:val="24"/>
        </w:rPr>
      </w:pPr>
      <w:r>
        <w:rPr>
          <w:rFonts w:hint="eastAsia" w:ascii="仿宋" w:hAnsi="仿宋" w:eastAsia="仿宋" w:cs="仿宋"/>
          <w:sz w:val="24"/>
          <w:szCs w:val="24"/>
        </w:rPr>
        <w:t>26.4 在宣布会议结束后，采购代理机构均有义务告知所有</w:t>
      </w:r>
      <w:r>
        <w:rPr>
          <w:rFonts w:hint="eastAsia" w:ascii="仿宋" w:hAnsi="仿宋" w:eastAsia="仿宋" w:cs="仿宋"/>
          <w:sz w:val="24"/>
          <w:szCs w:val="24"/>
          <w:lang w:eastAsia="zh-CN"/>
        </w:rPr>
        <w:t>投标</w:t>
      </w:r>
      <w:r>
        <w:rPr>
          <w:rFonts w:hint="eastAsia" w:ascii="仿宋" w:hAnsi="仿宋" w:eastAsia="仿宋" w:cs="仿宋"/>
          <w:sz w:val="24"/>
          <w:szCs w:val="24"/>
        </w:rPr>
        <w:t>人办理投标保证金的退付手续。</w:t>
      </w:r>
    </w:p>
    <w:p w14:paraId="73261474">
      <w:pPr>
        <w:tabs>
          <w:tab w:val="left" w:pos="8280"/>
        </w:tabs>
        <w:spacing w:line="360" w:lineRule="auto"/>
        <w:ind w:right="-1" w:firstLine="551" w:firstLineChars="225"/>
        <w:rPr>
          <w:rFonts w:hint="eastAsia"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6</w:t>
      </w:r>
      <w:r>
        <w:rPr>
          <w:rFonts w:hint="eastAsia" w:ascii="仿宋" w:hAnsi="仿宋" w:eastAsia="仿宋" w:cs="仿宋"/>
          <w:sz w:val="24"/>
          <w:szCs w:val="24"/>
          <w:lang w:val="zh-CN"/>
        </w:rPr>
        <w:t xml:space="preserve">.5 </w:t>
      </w:r>
      <w:r>
        <w:rPr>
          <w:rFonts w:hint="eastAsia" w:ascii="仿宋" w:hAnsi="仿宋" w:eastAsia="仿宋" w:cs="仿宋"/>
          <w:sz w:val="24"/>
          <w:szCs w:val="24"/>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31384EDB">
      <w:pPr>
        <w:rPr>
          <w:rFonts w:hint="eastAsia" w:ascii="仿宋" w:hAnsi="仿宋" w:eastAsia="仿宋" w:cs="仿宋"/>
          <w:sz w:val="24"/>
          <w:szCs w:val="24"/>
        </w:rPr>
      </w:pPr>
    </w:p>
    <w:p w14:paraId="7954724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第三章 定　标</w:t>
      </w:r>
    </w:p>
    <w:p w14:paraId="61E055B8">
      <w:pPr>
        <w:autoSpaceDE w:val="0"/>
        <w:autoSpaceDN w:val="0"/>
        <w:adjustRightInd w:val="0"/>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27</w:t>
      </w:r>
      <w:r>
        <w:rPr>
          <w:rFonts w:hint="eastAsia" w:ascii="仿宋" w:hAnsi="仿宋" w:eastAsia="仿宋" w:cs="仿宋"/>
          <w:b/>
          <w:bCs/>
          <w:sz w:val="24"/>
          <w:szCs w:val="24"/>
          <w:lang w:val="zh-CN"/>
        </w:rPr>
        <w:t>．定标标准</w:t>
      </w:r>
    </w:p>
    <w:p w14:paraId="57FA1FDB">
      <w:pPr>
        <w:autoSpaceDE w:val="0"/>
        <w:autoSpaceDN w:val="0"/>
        <w:adjustRightInd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27.1 招标代理机构</w:t>
      </w:r>
      <w:r>
        <w:rPr>
          <w:rFonts w:hint="eastAsia" w:ascii="仿宋" w:hAnsi="仿宋" w:eastAsia="仿宋" w:cs="仿宋"/>
          <w:sz w:val="24"/>
          <w:szCs w:val="24"/>
          <w:lang w:val="zh-CN"/>
        </w:rPr>
        <w:t>应在评标结束后</w:t>
      </w:r>
      <w:r>
        <w:rPr>
          <w:rFonts w:hint="eastAsia" w:ascii="仿宋" w:hAnsi="仿宋" w:eastAsia="仿宋" w:cs="仿宋"/>
          <w:sz w:val="24"/>
          <w:szCs w:val="24"/>
        </w:rPr>
        <w:t>2</w:t>
      </w:r>
      <w:r>
        <w:rPr>
          <w:rFonts w:hint="eastAsia" w:ascii="仿宋" w:hAnsi="仿宋" w:eastAsia="仿宋" w:cs="仿宋"/>
          <w:sz w:val="24"/>
          <w:szCs w:val="24"/>
          <w:lang w:val="zh-CN"/>
        </w:rPr>
        <w:t>个工作日内，以书面形式向采购人发出《关于给予评审结果的确认函》，采购人在收到后5个工作日内，应按照评标报告确定的中标候选投标人名单中的顺序确认中标投标人</w:t>
      </w:r>
      <w:r>
        <w:rPr>
          <w:rFonts w:hint="eastAsia" w:ascii="仿宋" w:hAnsi="仿宋" w:eastAsia="仿宋" w:cs="仿宋"/>
          <w:sz w:val="24"/>
          <w:szCs w:val="24"/>
        </w:rPr>
        <w:t>。</w:t>
      </w:r>
    </w:p>
    <w:p w14:paraId="63380BB3">
      <w:pPr>
        <w:autoSpaceDE w:val="0"/>
        <w:autoSpaceDN w:val="0"/>
        <w:adjustRightInd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27.2 中标投标人因不可抗力或者自身原因不能履行合同的，采购人可以与排位在中标投标人之后第一位的中标候选投标人签订合同，以此类推。</w:t>
      </w:r>
    </w:p>
    <w:p w14:paraId="5E09671B">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27.2.1 最低投标价不一定是被授予合同的保证。</w:t>
      </w:r>
    </w:p>
    <w:p w14:paraId="73F638BD">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27.2.2 合同将授予被确定为实质上响应</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要求，经评定认为具备履行合同义务能力、报价合理、技术和商务条件都符合</w:t>
      </w:r>
      <w:r>
        <w:rPr>
          <w:rFonts w:hint="eastAsia" w:ascii="仿宋" w:hAnsi="仿宋" w:eastAsia="仿宋" w:cs="仿宋"/>
          <w:bCs/>
          <w:sz w:val="24"/>
          <w:szCs w:val="24"/>
          <w:lang w:eastAsia="zh-CN"/>
        </w:rPr>
        <w:t>竞争性磋商文件</w:t>
      </w:r>
      <w:r>
        <w:rPr>
          <w:rFonts w:hint="eastAsia" w:ascii="仿宋" w:hAnsi="仿宋" w:eastAsia="仿宋" w:cs="仿宋"/>
          <w:bCs/>
          <w:sz w:val="24"/>
          <w:szCs w:val="24"/>
        </w:rPr>
        <w:t>要求的、对买方最为有利的</w:t>
      </w:r>
      <w:r>
        <w:rPr>
          <w:rFonts w:hint="eastAsia" w:ascii="仿宋" w:hAnsi="仿宋" w:eastAsia="仿宋" w:cs="仿宋"/>
          <w:bCs/>
          <w:sz w:val="24"/>
          <w:szCs w:val="24"/>
          <w:lang w:eastAsia="zh-CN"/>
        </w:rPr>
        <w:t>投标</w:t>
      </w:r>
      <w:r>
        <w:rPr>
          <w:rFonts w:hint="eastAsia" w:ascii="仿宋" w:hAnsi="仿宋" w:eastAsia="仿宋" w:cs="仿宋"/>
          <w:bCs/>
          <w:sz w:val="24"/>
          <w:szCs w:val="24"/>
        </w:rPr>
        <w:t>人。</w:t>
      </w:r>
    </w:p>
    <w:p w14:paraId="48BADE0E">
      <w:pPr>
        <w:spacing w:line="360" w:lineRule="auto"/>
        <w:ind w:firstLine="490" w:firstLineChars="200"/>
        <w:rPr>
          <w:rFonts w:hint="eastAsia" w:ascii="仿宋" w:hAnsi="仿宋" w:eastAsia="仿宋" w:cs="仿宋"/>
          <w:bCs/>
          <w:sz w:val="24"/>
          <w:szCs w:val="24"/>
        </w:rPr>
      </w:pPr>
      <w:r>
        <w:rPr>
          <w:rFonts w:hint="eastAsia" w:ascii="仿宋" w:hAnsi="仿宋" w:eastAsia="仿宋" w:cs="仿宋"/>
          <w:bCs/>
          <w:sz w:val="24"/>
          <w:szCs w:val="24"/>
        </w:rPr>
        <w:t>27.2.3 如果采购人确定该中标投标人无条件圆满履行合同，应由采购</w:t>
      </w:r>
      <w:r>
        <w:rPr>
          <w:rFonts w:hint="eastAsia" w:ascii="仿宋" w:hAnsi="仿宋" w:eastAsia="仿宋" w:cs="仿宋"/>
          <w:bCs/>
          <w:sz w:val="24"/>
          <w:szCs w:val="24"/>
          <w:lang w:eastAsia="zh-CN"/>
        </w:rPr>
        <w:t>人</w:t>
      </w:r>
      <w:r>
        <w:rPr>
          <w:rFonts w:hint="eastAsia" w:ascii="仿宋" w:hAnsi="仿宋" w:eastAsia="仿宋" w:cs="仿宋"/>
          <w:bCs/>
          <w:sz w:val="24"/>
          <w:szCs w:val="24"/>
        </w:rPr>
        <w:t>对下一个可能成交的</w:t>
      </w:r>
      <w:r>
        <w:rPr>
          <w:rFonts w:hint="eastAsia" w:ascii="仿宋" w:hAnsi="仿宋" w:eastAsia="仿宋" w:cs="仿宋"/>
          <w:bCs/>
          <w:sz w:val="24"/>
          <w:szCs w:val="24"/>
          <w:lang w:eastAsia="zh-CN"/>
        </w:rPr>
        <w:t>投标</w:t>
      </w:r>
      <w:r>
        <w:rPr>
          <w:rFonts w:hint="eastAsia" w:ascii="仿宋" w:hAnsi="仿宋" w:eastAsia="仿宋" w:cs="仿宋"/>
          <w:bCs/>
          <w:sz w:val="24"/>
          <w:szCs w:val="24"/>
        </w:rPr>
        <w:t>人资格做出类似的审查。</w:t>
      </w:r>
    </w:p>
    <w:p w14:paraId="13C15585">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28</w:t>
      </w:r>
      <w:r>
        <w:rPr>
          <w:rFonts w:hint="eastAsia" w:ascii="仿宋" w:hAnsi="仿宋" w:eastAsia="仿宋" w:cs="仿宋"/>
          <w:b/>
          <w:bCs/>
          <w:sz w:val="24"/>
          <w:szCs w:val="24"/>
          <w:lang w:val="zh-CN"/>
        </w:rPr>
        <w:t>．接受和拒绝任何或所有投标的权力</w:t>
      </w:r>
    </w:p>
    <w:p w14:paraId="3E8D5E3F">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rPr>
        <w:t>28</w:t>
      </w:r>
      <w:r>
        <w:rPr>
          <w:rFonts w:hint="eastAsia" w:ascii="仿宋" w:hAnsi="仿宋" w:eastAsia="仿宋" w:cs="仿宋"/>
          <w:sz w:val="24"/>
          <w:szCs w:val="24"/>
          <w:lang w:val="zh-CN"/>
        </w:rPr>
        <w:t>.1 为维护国家利益，评标委员会在授予合同之前仍有选择或拒绝任何投标的权力。</w:t>
      </w:r>
    </w:p>
    <w:p w14:paraId="0F63E55F">
      <w:pPr>
        <w:autoSpaceDE w:val="0"/>
        <w:autoSpaceDN w:val="0"/>
        <w:adjustRightInd w:val="0"/>
        <w:spacing w:line="360" w:lineRule="auto"/>
        <w:ind w:firstLine="482"/>
        <w:rPr>
          <w:rFonts w:hint="eastAsia" w:ascii="仿宋" w:hAnsi="仿宋" w:eastAsia="仿宋" w:cs="仿宋"/>
          <w:b/>
          <w:bCs/>
          <w:sz w:val="24"/>
          <w:szCs w:val="24"/>
          <w:lang w:val="zh-CN"/>
        </w:rPr>
      </w:pPr>
      <w:r>
        <w:rPr>
          <w:rFonts w:hint="eastAsia" w:ascii="仿宋" w:hAnsi="仿宋" w:eastAsia="仿宋" w:cs="仿宋"/>
          <w:b/>
          <w:bCs/>
          <w:sz w:val="24"/>
          <w:szCs w:val="24"/>
        </w:rPr>
        <w:t>29</w:t>
      </w:r>
      <w:r>
        <w:rPr>
          <w:rFonts w:hint="eastAsia" w:ascii="仿宋" w:hAnsi="仿宋" w:eastAsia="仿宋" w:cs="仿宋"/>
          <w:b/>
          <w:bCs/>
          <w:sz w:val="24"/>
          <w:szCs w:val="24"/>
          <w:lang w:val="zh-CN"/>
        </w:rPr>
        <w:t>．中标通知书</w:t>
      </w:r>
    </w:p>
    <w:p w14:paraId="251F9B7F">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rPr>
        <w:t>29.1 中标投标人确定后，采购代理机构应当将中标结果在省级以上财政部门指定的信息发布媒体上公告1个工作日，在公告中标结果的同时，采购代理机构向中标投标人发出</w:t>
      </w:r>
      <w:r>
        <w:rPr>
          <w:rFonts w:hint="eastAsia" w:ascii="仿宋" w:hAnsi="仿宋" w:eastAsia="仿宋" w:cs="仿宋"/>
          <w:bCs/>
          <w:sz w:val="24"/>
          <w:szCs w:val="24"/>
        </w:rPr>
        <w:t>《中标通知书》。</w:t>
      </w:r>
    </w:p>
    <w:p w14:paraId="291B1854">
      <w:pPr>
        <w:autoSpaceDE w:val="0"/>
        <w:autoSpaceDN w:val="0"/>
        <w:adjustRightInd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29.1.1 </w:t>
      </w:r>
      <w:r>
        <w:rPr>
          <w:rFonts w:hint="eastAsia" w:ascii="仿宋" w:hAnsi="仿宋" w:eastAsia="仿宋" w:cs="仿宋"/>
          <w:sz w:val="24"/>
          <w:szCs w:val="24"/>
          <w:lang w:eastAsia="zh-CN"/>
        </w:rPr>
        <w:t>投标</w:t>
      </w:r>
      <w:r>
        <w:rPr>
          <w:rFonts w:hint="eastAsia" w:ascii="仿宋" w:hAnsi="仿宋" w:eastAsia="仿宋" w:cs="仿宋"/>
          <w:sz w:val="24"/>
          <w:szCs w:val="24"/>
        </w:rPr>
        <w:t>人对中标公告有异议的，应当在中标公告发布之日起七个工作日内，以书面形式向采购代理机构提出质疑。采购代理机构应当在收到</w:t>
      </w:r>
      <w:r>
        <w:rPr>
          <w:rFonts w:hint="eastAsia" w:ascii="仿宋" w:hAnsi="仿宋" w:eastAsia="仿宋" w:cs="仿宋"/>
          <w:sz w:val="24"/>
          <w:szCs w:val="24"/>
          <w:lang w:eastAsia="zh-CN"/>
        </w:rPr>
        <w:t>投标</w:t>
      </w:r>
      <w:r>
        <w:rPr>
          <w:rFonts w:hint="eastAsia" w:ascii="仿宋" w:hAnsi="仿宋" w:eastAsia="仿宋" w:cs="仿宋"/>
          <w:sz w:val="24"/>
          <w:szCs w:val="24"/>
        </w:rPr>
        <w:t>人书面质疑后七个工作日内，对质疑内容</w:t>
      </w:r>
      <w:r>
        <w:rPr>
          <w:rFonts w:hint="eastAsia" w:ascii="仿宋" w:hAnsi="仿宋" w:eastAsia="仿宋" w:cs="仿宋"/>
          <w:sz w:val="24"/>
          <w:szCs w:val="24"/>
          <w:lang w:eastAsia="zh-CN"/>
        </w:rPr>
        <w:t>作出</w:t>
      </w:r>
      <w:r>
        <w:rPr>
          <w:rFonts w:hint="eastAsia" w:ascii="仿宋" w:hAnsi="仿宋" w:eastAsia="仿宋" w:cs="仿宋"/>
          <w:sz w:val="24"/>
          <w:szCs w:val="24"/>
        </w:rPr>
        <w:t>答复。质疑投标人对答复不满意或者采购代理机构未在规定时间内答复的，可以在答复期满后十五个工作日内按有关规定，向同级人民政府财政部门投诉。</w:t>
      </w:r>
    </w:p>
    <w:p w14:paraId="554823FB">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rPr>
        <w:t>29</w:t>
      </w:r>
      <w:r>
        <w:rPr>
          <w:rFonts w:hint="eastAsia" w:ascii="仿宋" w:hAnsi="仿宋" w:eastAsia="仿宋" w:cs="仿宋"/>
          <w:sz w:val="24"/>
          <w:szCs w:val="24"/>
          <w:lang w:val="zh-CN"/>
        </w:rPr>
        <w:t>.1.2 采购人在收到《关于给予评审结果的确认函》5个工作日内，如不按规定确认中标投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7E5A681A">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29</w:t>
      </w:r>
      <w:r>
        <w:rPr>
          <w:rFonts w:hint="eastAsia" w:ascii="仿宋" w:hAnsi="仿宋" w:eastAsia="仿宋" w:cs="仿宋"/>
          <w:sz w:val="24"/>
          <w:szCs w:val="24"/>
          <w:lang w:val="zh-CN"/>
        </w:rPr>
        <w:t>.1.3 中标投标人领取《中标通知书》时，须向采购人提交合同履约保证金，拒绝提交的，视为放弃成交项目。</w:t>
      </w:r>
    </w:p>
    <w:p w14:paraId="61921786">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29</w:t>
      </w:r>
      <w:r>
        <w:rPr>
          <w:rFonts w:hint="eastAsia" w:ascii="仿宋" w:hAnsi="仿宋" w:eastAsia="仿宋" w:cs="仿宋"/>
          <w:sz w:val="24"/>
          <w:szCs w:val="24"/>
          <w:lang w:val="zh-CN"/>
        </w:rPr>
        <w:t>.1.3.1 合同履约保证金待合同执行期满、货物验收合格及办理货款结算时，由采购人无息退还。</w:t>
      </w:r>
    </w:p>
    <w:p w14:paraId="005A52E0">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29</w:t>
      </w:r>
      <w:r>
        <w:rPr>
          <w:rFonts w:hint="eastAsia" w:ascii="仿宋" w:hAnsi="仿宋" w:eastAsia="仿宋" w:cs="仿宋"/>
          <w:sz w:val="24"/>
          <w:szCs w:val="24"/>
          <w:lang w:val="zh-CN"/>
        </w:rPr>
        <w:t>.1.3.2 合同履约保证金可采用银行汇票、银行保函等形式交纳，成交投标人须将履约保证金交到采购人指定账户。指定账户与投标报价保证金同账户。</w:t>
      </w:r>
    </w:p>
    <w:p w14:paraId="210556CD">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29</w:t>
      </w:r>
      <w:r>
        <w:rPr>
          <w:rFonts w:hint="eastAsia" w:ascii="仿宋" w:hAnsi="仿宋" w:eastAsia="仿宋" w:cs="仿宋"/>
          <w:sz w:val="24"/>
          <w:szCs w:val="24"/>
          <w:lang w:val="zh-CN"/>
        </w:rPr>
        <w:t>.1.3.3 中标投标人提交的合同履约保证金，其有效期限应不低于合同有效期。</w:t>
      </w:r>
    </w:p>
    <w:p w14:paraId="0A8ECB3A">
      <w:pPr>
        <w:autoSpaceDE w:val="0"/>
        <w:autoSpaceDN w:val="0"/>
        <w:adjustRightInd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29.2  </w:t>
      </w:r>
      <w:r>
        <w:rPr>
          <w:rFonts w:hint="eastAsia" w:ascii="仿宋" w:hAnsi="仿宋" w:eastAsia="仿宋" w:cs="仿宋"/>
          <w:sz w:val="24"/>
          <w:szCs w:val="24"/>
          <w:lang w:val="zh-CN"/>
        </w:rPr>
        <w:t>在发布中标公告后，招标采购单位应当向中标投标人发出中标通知书，中标通知书对采购人和中标投标人具有同等法律效力。《中标通知书》</w:t>
      </w:r>
      <w:r>
        <w:rPr>
          <w:rFonts w:hint="eastAsia" w:ascii="仿宋" w:hAnsi="仿宋" w:eastAsia="仿宋" w:cs="仿宋"/>
          <w:sz w:val="24"/>
          <w:szCs w:val="24"/>
        </w:rPr>
        <w:t>发出后，采购人改变中标结果，或者中标投标人放弃成交，应当承担相应的法律责任。</w:t>
      </w:r>
    </w:p>
    <w:p w14:paraId="194A50F7">
      <w:pPr>
        <w:autoSpaceDE w:val="0"/>
        <w:autoSpaceDN w:val="0"/>
        <w:adjustRightInd w:val="0"/>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29</w:t>
      </w:r>
      <w:r>
        <w:rPr>
          <w:rFonts w:hint="eastAsia" w:ascii="仿宋" w:hAnsi="仿宋" w:eastAsia="仿宋" w:cs="仿宋"/>
          <w:sz w:val="24"/>
          <w:szCs w:val="24"/>
          <w:lang w:val="zh-CN"/>
        </w:rPr>
        <w:t>.3 《中标通知书》要作为</w:t>
      </w:r>
      <w:r>
        <w:rPr>
          <w:rFonts w:hint="eastAsia" w:ascii="仿宋" w:hAnsi="仿宋" w:eastAsia="仿宋" w:cs="仿宋"/>
          <w:sz w:val="24"/>
          <w:szCs w:val="24"/>
        </w:rPr>
        <w:t>采购人、中标投标人</w:t>
      </w:r>
      <w:r>
        <w:rPr>
          <w:rFonts w:hint="eastAsia" w:ascii="仿宋" w:hAnsi="仿宋" w:eastAsia="仿宋" w:cs="仿宋"/>
          <w:sz w:val="24"/>
          <w:szCs w:val="24"/>
          <w:lang w:val="zh-CN"/>
        </w:rPr>
        <w:t>签订的由采购人签章的合同的依据。</w:t>
      </w:r>
    </w:p>
    <w:p w14:paraId="50544266">
      <w:pPr>
        <w:spacing w:line="360" w:lineRule="auto"/>
        <w:jc w:val="center"/>
        <w:rPr>
          <w:rFonts w:hint="eastAsia" w:ascii="仿宋" w:hAnsi="仿宋" w:eastAsia="仿宋" w:cs="仿宋"/>
          <w:b/>
          <w:sz w:val="24"/>
          <w:szCs w:val="24"/>
        </w:rPr>
      </w:pPr>
    </w:p>
    <w:p w14:paraId="340B8ADB">
      <w:pPr>
        <w:spacing w:line="360" w:lineRule="auto"/>
        <w:jc w:val="center"/>
        <w:rPr>
          <w:rFonts w:hint="eastAsia" w:ascii="仿宋" w:hAnsi="仿宋" w:eastAsia="仿宋" w:cs="仿宋"/>
          <w:b/>
          <w:sz w:val="24"/>
          <w:szCs w:val="24"/>
        </w:rPr>
      </w:pPr>
    </w:p>
    <w:p w14:paraId="4623F14D">
      <w:pPr>
        <w:spacing w:line="360" w:lineRule="auto"/>
        <w:jc w:val="center"/>
        <w:rPr>
          <w:rFonts w:hint="eastAsia" w:ascii="仿宋" w:hAnsi="仿宋" w:eastAsia="仿宋" w:cs="仿宋"/>
          <w:b/>
          <w:sz w:val="24"/>
          <w:szCs w:val="24"/>
        </w:rPr>
      </w:pPr>
    </w:p>
    <w:p w14:paraId="04F2F2E2">
      <w:pPr>
        <w:spacing w:line="360" w:lineRule="auto"/>
        <w:jc w:val="center"/>
        <w:rPr>
          <w:rFonts w:hint="eastAsia" w:ascii="仿宋" w:hAnsi="仿宋" w:eastAsia="仿宋" w:cs="仿宋"/>
          <w:b/>
          <w:sz w:val="24"/>
          <w:szCs w:val="24"/>
        </w:rPr>
      </w:pPr>
    </w:p>
    <w:p w14:paraId="24129CF6">
      <w:pPr>
        <w:spacing w:line="360" w:lineRule="auto"/>
        <w:jc w:val="center"/>
        <w:rPr>
          <w:rFonts w:hint="eastAsia" w:ascii="仿宋" w:hAnsi="仿宋" w:eastAsia="仿宋" w:cs="仿宋"/>
          <w:b/>
          <w:sz w:val="24"/>
          <w:szCs w:val="24"/>
        </w:rPr>
      </w:pPr>
    </w:p>
    <w:p w14:paraId="4681CA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第四章 授予合同</w:t>
      </w:r>
    </w:p>
    <w:p w14:paraId="128493DE">
      <w:pPr>
        <w:autoSpaceDE w:val="0"/>
        <w:autoSpaceDN w:val="0"/>
        <w:adjustRightInd w:val="0"/>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 xml:space="preserve">30. </w:t>
      </w:r>
      <w:r>
        <w:rPr>
          <w:rFonts w:hint="eastAsia" w:ascii="仿宋" w:hAnsi="仿宋" w:eastAsia="仿宋" w:cs="仿宋"/>
          <w:b/>
          <w:bCs/>
          <w:sz w:val="24"/>
          <w:szCs w:val="24"/>
          <w:lang w:val="zh-CN"/>
        </w:rPr>
        <w:t>签订合同</w:t>
      </w:r>
    </w:p>
    <w:p w14:paraId="1C967F71">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.1</w:t>
      </w:r>
      <w:r>
        <w:rPr>
          <w:rFonts w:hint="eastAsia" w:ascii="仿宋" w:hAnsi="仿宋" w:eastAsia="仿宋" w:cs="仿宋"/>
          <w:sz w:val="24"/>
          <w:szCs w:val="24"/>
        </w:rPr>
        <w:t xml:space="preserve"> 中标投标人应当自《中标通知书》发出之日起30日内，</w:t>
      </w:r>
      <w:r>
        <w:rPr>
          <w:rFonts w:hint="eastAsia" w:ascii="仿宋" w:hAnsi="仿宋" w:eastAsia="仿宋" w:cs="仿宋"/>
          <w:sz w:val="24"/>
          <w:szCs w:val="24"/>
          <w:lang w:val="zh-CN"/>
        </w:rPr>
        <w:t>按照采购代理机构竞争性磋商文件的约定和中标方投标文件中的承诺与采购单位签订书面合同，所签订的合同不得对采购代理机构竞争性磋商文件和中标方的投标文件作实质性修改。</w:t>
      </w:r>
    </w:p>
    <w:p w14:paraId="3D17773B">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.2 采购单位不得向中标投标人提出任何不合理要求作为签订合同的条件，不得与中标投标人私下订立背离合同实质性内容的协议。</w:t>
      </w:r>
    </w:p>
    <w:p w14:paraId="59CB66FB">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.3 合同的双方当事人不得擅自变更、中止或者终止合同。</w:t>
      </w:r>
    </w:p>
    <w:p w14:paraId="2AD152E4">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.4 合同继续履行将损害国家利益和社会公共利益的，双方当事人应当变更、中止或者终止合同。有过错的一方承担赔偿责任，双方都有过错的，各自承担相应责任。</w:t>
      </w:r>
    </w:p>
    <w:p w14:paraId="4F77796E">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.5 合同履行中，采购人需追加与合同标的相同的货物、工程或者服务的，在不改变其他条款的前提下，经采购人审查后，可以与投标人签订补充合同，补充合同须有采购人签章，但所有补充合同的采购金额不得超过原合同金额的10%。</w:t>
      </w:r>
    </w:p>
    <w:p w14:paraId="35163EAA">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.5.1 采购人在授予中标人合同时，经审查采购人的书面申请后，有权对竞争性磋商文件中规定的货物和服务的数量在10%的幅度内予以增加或减少，并要在合同中增加条款进行说明。</w:t>
      </w:r>
    </w:p>
    <w:p w14:paraId="32ECC108">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.6 如中标投标人拒签合同，则按违约处理。采购人将没收其合同履约保证金。</w:t>
      </w:r>
    </w:p>
    <w:p w14:paraId="74B2807F">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rPr>
        <w:t>30.</w:t>
      </w:r>
      <w:r>
        <w:rPr>
          <w:rFonts w:hint="eastAsia" w:ascii="仿宋" w:hAnsi="仿宋" w:eastAsia="仿宋" w:cs="仿宋"/>
          <w:sz w:val="24"/>
          <w:szCs w:val="24"/>
          <w:lang w:val="zh-CN"/>
        </w:rPr>
        <w:t>7 采购代理机构的竞争性磋商文件、中标方的投标文件及其澄清、询标（答疑）文件等，均作为签订合同的法律依据。</w:t>
      </w:r>
    </w:p>
    <w:p w14:paraId="322334E0">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.8 在未经采购人允许的情况下，不允许中标人将成交项目分包或转交他人承担。而且，采购人也不得直接指定分包人。</w:t>
      </w:r>
    </w:p>
    <w:p w14:paraId="594FCFB9">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.8.1 经采购人同意，中标投标人可以依法采取分包方式履行合同。合同分包履行的，中标投标人就采购项目和分包项目向采购人负责，分包投标人向分包项目承担责任。</w:t>
      </w:r>
    </w:p>
    <w:p w14:paraId="22655B73">
      <w:pPr>
        <w:autoSpaceDE w:val="0"/>
        <w:autoSpaceDN w:val="0"/>
        <w:adjustRightInd w:val="0"/>
        <w:spacing w:line="360" w:lineRule="auto"/>
        <w:ind w:firstLine="472"/>
        <w:rPr>
          <w:rFonts w:hint="eastAsia"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.8.2 对于不具备分包条件或者不符合分包规定的，采购人有权在签订合同或中标投标人提出分包要求时予以拒绝。如发现中标投标人转包或违法分包时，有权要求其改正；拒不改正的，有权要求终止合同，并报请有关行政监督部门查处。</w:t>
      </w:r>
    </w:p>
    <w:p w14:paraId="55EC3620">
      <w:pPr>
        <w:autoSpaceDE w:val="0"/>
        <w:autoSpaceDN w:val="0"/>
        <w:adjustRightInd w:val="0"/>
        <w:spacing w:line="360" w:lineRule="auto"/>
        <w:ind w:firstLine="472"/>
        <w:rPr>
          <w:rFonts w:hint="eastAsia" w:ascii="仿宋" w:hAnsi="仿宋" w:eastAsia="仿宋" w:cs="仿宋"/>
          <w:b/>
          <w:sz w:val="24"/>
          <w:szCs w:val="24"/>
        </w:rPr>
      </w:pPr>
      <w:r>
        <w:rPr>
          <w:rFonts w:hint="eastAsia" w:ascii="仿宋" w:hAnsi="仿宋" w:eastAsia="仿宋" w:cs="仿宋"/>
          <w:sz w:val="24"/>
          <w:szCs w:val="24"/>
          <w:lang w:val="zh-CN"/>
        </w:rPr>
        <w:t>3</w:t>
      </w:r>
      <w:r>
        <w:rPr>
          <w:rFonts w:hint="eastAsia" w:ascii="仿宋" w:hAnsi="仿宋" w:eastAsia="仿宋" w:cs="仿宋"/>
          <w:sz w:val="24"/>
          <w:szCs w:val="24"/>
        </w:rPr>
        <w:t>0</w:t>
      </w:r>
      <w:r>
        <w:rPr>
          <w:rFonts w:hint="eastAsia" w:ascii="仿宋" w:hAnsi="仿宋" w:eastAsia="仿宋" w:cs="仿宋"/>
          <w:sz w:val="24"/>
          <w:szCs w:val="24"/>
          <w:lang w:val="zh-CN"/>
        </w:rPr>
        <w:t>.8.2.1 中标投标人必须与采购人协商后，共同决定将合同标的中的部分由第三方承担供货和服务责任，但中标投标人必须对合同标的的全部内容向采购人负责，并保证第三方提供的供货和服务符合采购代理机构竞争性磋商文件的约定和其投标文件的承诺及相关约定。</w:t>
      </w:r>
    </w:p>
    <w:p w14:paraId="1B221AA1">
      <w:pPr>
        <w:rPr>
          <w:rFonts w:hint="eastAsia" w:ascii="仿宋" w:hAnsi="仿宋" w:eastAsia="仿宋" w:cs="仿宋"/>
          <w:b/>
          <w:sz w:val="24"/>
          <w:szCs w:val="24"/>
        </w:rPr>
      </w:pPr>
      <w:r>
        <w:rPr>
          <w:rFonts w:hint="eastAsia" w:ascii="仿宋" w:hAnsi="仿宋" w:eastAsia="仿宋" w:cs="仿宋"/>
          <w:b/>
          <w:sz w:val="24"/>
          <w:szCs w:val="24"/>
        </w:rPr>
        <w:br w:type="page"/>
      </w:r>
    </w:p>
    <w:p w14:paraId="01FDF92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第七部分 商务部分</w:t>
      </w:r>
    </w:p>
    <w:p w14:paraId="58A29B54">
      <w:pPr>
        <w:pStyle w:val="12"/>
        <w:numPr>
          <w:ilvl w:val="0"/>
          <w:numId w:val="0"/>
        </w:numPr>
        <w:jc w:val="center"/>
        <w:rPr>
          <w:rFonts w:hint="eastAsia" w:ascii="仿宋" w:hAnsi="仿宋" w:eastAsia="仿宋" w:cs="仿宋"/>
          <w:b/>
          <w:bCs w:val="0"/>
          <w:i w:val="0"/>
          <w:iCs/>
          <w:color w:val="auto"/>
          <w:kern w:val="2"/>
          <w:sz w:val="24"/>
          <w:szCs w:val="24"/>
          <w:highlight w:val="none"/>
          <w:lang w:val="en-US" w:eastAsia="zh-CN" w:bidi="ar-SA"/>
        </w:rPr>
      </w:pPr>
      <w:r>
        <w:rPr>
          <w:rFonts w:hint="eastAsia" w:ascii="仿宋" w:hAnsi="仿宋" w:eastAsia="仿宋" w:cs="仿宋"/>
          <w:b/>
          <w:bCs w:val="0"/>
          <w:i w:val="0"/>
          <w:iCs/>
          <w:color w:val="auto"/>
          <w:kern w:val="2"/>
          <w:sz w:val="24"/>
          <w:szCs w:val="24"/>
          <w:highlight w:val="none"/>
          <w:lang w:val="en-US" w:eastAsia="zh-CN" w:bidi="ar-SA"/>
        </w:rPr>
        <w:t>（注：具体以双方签订合同为准）</w:t>
      </w:r>
    </w:p>
    <w:p w14:paraId="49DB3344">
      <w:pPr>
        <w:tabs>
          <w:tab w:val="left" w:pos="1456"/>
        </w:tabs>
        <w:spacing w:line="360" w:lineRule="auto"/>
        <w:ind w:left="730" w:leftChars="226" w:hanging="245" w:hangingChars="100"/>
        <w:outlineLvl w:val="0"/>
        <w:rPr>
          <w:rFonts w:hint="eastAsia" w:ascii="仿宋" w:hAnsi="仿宋" w:eastAsia="仿宋" w:cs="仿宋"/>
          <w:b/>
          <w:sz w:val="24"/>
          <w:szCs w:val="24"/>
          <w:highlight w:val="none"/>
        </w:rPr>
      </w:pPr>
      <w:bookmarkStart w:id="0" w:name="_Toc13906"/>
      <w:bookmarkStart w:id="1" w:name="_Toc22967"/>
      <w:r>
        <w:rPr>
          <w:rFonts w:hint="eastAsia" w:ascii="仿宋" w:hAnsi="仿宋" w:eastAsia="仿宋" w:cs="仿宋"/>
          <w:b/>
          <w:sz w:val="24"/>
          <w:szCs w:val="24"/>
          <w:highlight w:val="none"/>
        </w:rPr>
        <w:t>一、本合同当事人</w:t>
      </w:r>
      <w:bookmarkEnd w:id="0"/>
      <w:bookmarkEnd w:id="1"/>
    </w:p>
    <w:p w14:paraId="5C11253B">
      <w:pPr>
        <w:tabs>
          <w:tab w:val="left" w:pos="840"/>
        </w:tabs>
        <w:spacing w:line="360" w:lineRule="auto"/>
        <w:ind w:left="466" w:leftChars="217" w:firstLine="245"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业主方  （以下简称甲方）：</w:t>
      </w:r>
      <w:r>
        <w:rPr>
          <w:rFonts w:hint="eastAsia" w:ascii="仿宋" w:hAnsi="仿宋" w:eastAsia="仿宋" w:cs="仿宋"/>
          <w:sz w:val="24"/>
          <w:szCs w:val="24"/>
          <w:highlight w:val="none"/>
          <w:u w:val="single"/>
        </w:rPr>
        <w:t xml:space="preserve">                             </w:t>
      </w:r>
    </w:p>
    <w:p w14:paraId="716FD8D1">
      <w:pPr>
        <w:tabs>
          <w:tab w:val="left" w:pos="840"/>
        </w:tabs>
        <w:spacing w:line="360" w:lineRule="auto"/>
        <w:ind w:left="466" w:leftChars="217" w:firstLine="245"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受聘方  （以下简称乙方）：</w:t>
      </w:r>
      <w:r>
        <w:rPr>
          <w:rFonts w:hint="eastAsia" w:ascii="仿宋" w:hAnsi="仿宋" w:eastAsia="仿宋" w:cs="仿宋"/>
          <w:sz w:val="24"/>
          <w:szCs w:val="24"/>
          <w:highlight w:val="none"/>
          <w:u w:val="single"/>
        </w:rPr>
        <w:t xml:space="preserve">                              </w:t>
      </w:r>
    </w:p>
    <w:p w14:paraId="2BC66F12">
      <w:pPr>
        <w:tabs>
          <w:tab w:val="left" w:pos="840"/>
        </w:tabs>
        <w:spacing w:line="360" w:lineRule="auto"/>
        <w:ind w:left="688" w:leftChars="320" w:firstLine="367"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根据有关</w:t>
      </w:r>
      <w:r>
        <w:rPr>
          <w:rFonts w:hint="eastAsia" w:ascii="仿宋" w:hAnsi="仿宋" w:eastAsia="仿宋" w:cs="仿宋"/>
          <w:sz w:val="24"/>
          <w:szCs w:val="24"/>
          <w:highlight w:val="none"/>
          <w:lang w:eastAsia="zh-CN"/>
        </w:rPr>
        <w:t>法律法规</w:t>
      </w:r>
      <w:r>
        <w:rPr>
          <w:rFonts w:hint="eastAsia" w:ascii="仿宋" w:hAnsi="仿宋" w:eastAsia="仿宋" w:cs="仿宋"/>
          <w:sz w:val="24"/>
          <w:szCs w:val="24"/>
          <w:highlight w:val="none"/>
        </w:rPr>
        <w:t>要求，在自愿、平等、协商一致的基础上，订立本合同。</w:t>
      </w:r>
    </w:p>
    <w:p w14:paraId="03E1BF45">
      <w:pPr>
        <w:tabs>
          <w:tab w:val="left" w:pos="1456"/>
        </w:tabs>
        <w:spacing w:line="360" w:lineRule="auto"/>
        <w:ind w:left="730" w:leftChars="226" w:hanging="245" w:hangingChars="100"/>
        <w:outlineLvl w:val="0"/>
        <w:rPr>
          <w:rFonts w:hint="eastAsia" w:ascii="仿宋" w:hAnsi="仿宋" w:eastAsia="仿宋" w:cs="仿宋"/>
          <w:b/>
          <w:sz w:val="24"/>
          <w:szCs w:val="24"/>
          <w:highlight w:val="none"/>
        </w:rPr>
      </w:pPr>
      <w:bookmarkStart w:id="2" w:name="_Toc11733"/>
      <w:bookmarkStart w:id="3" w:name="_Toc29226"/>
      <w:r>
        <w:rPr>
          <w:rFonts w:hint="eastAsia" w:ascii="仿宋" w:hAnsi="仿宋" w:eastAsia="仿宋" w:cs="仿宋"/>
          <w:b/>
          <w:sz w:val="24"/>
          <w:szCs w:val="24"/>
          <w:highlight w:val="none"/>
        </w:rPr>
        <w:t>二、项目基本情况</w:t>
      </w:r>
      <w:bookmarkEnd w:id="2"/>
      <w:bookmarkEnd w:id="3"/>
    </w:p>
    <w:p w14:paraId="1B77684F">
      <w:pPr>
        <w:tabs>
          <w:tab w:val="left" w:pos="840"/>
        </w:tabs>
        <w:spacing w:line="360" w:lineRule="auto"/>
        <w:ind w:left="408" w:leftChars="190" w:firstLine="245"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咨询服务的构成细目见</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文件第</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lang w:val="en-US" w:eastAsia="zh-CN"/>
        </w:rPr>
        <w:t>标准及要求</w:t>
      </w:r>
      <w:r>
        <w:rPr>
          <w:rFonts w:hint="eastAsia" w:ascii="仿宋" w:hAnsi="仿宋" w:eastAsia="仿宋" w:cs="仿宋"/>
          <w:sz w:val="24"/>
          <w:szCs w:val="24"/>
          <w:highlight w:val="none"/>
        </w:rPr>
        <w:t>》。</w:t>
      </w:r>
    </w:p>
    <w:p w14:paraId="49CDD9E6">
      <w:pPr>
        <w:tabs>
          <w:tab w:val="left" w:pos="840"/>
        </w:tabs>
        <w:spacing w:line="360" w:lineRule="auto"/>
        <w:ind w:firstLine="420"/>
        <w:outlineLvl w:val="0"/>
        <w:rPr>
          <w:rFonts w:hint="eastAsia" w:ascii="仿宋" w:hAnsi="仿宋" w:eastAsia="仿宋" w:cs="仿宋"/>
          <w:b/>
          <w:sz w:val="24"/>
          <w:szCs w:val="24"/>
          <w:highlight w:val="none"/>
        </w:rPr>
      </w:pPr>
      <w:bookmarkStart w:id="4" w:name="_Toc27769"/>
      <w:bookmarkStart w:id="5" w:name="_Toc26341"/>
      <w:r>
        <w:rPr>
          <w:rFonts w:hint="eastAsia" w:ascii="仿宋" w:hAnsi="仿宋" w:eastAsia="仿宋" w:cs="仿宋"/>
          <w:b/>
          <w:sz w:val="24"/>
          <w:szCs w:val="24"/>
          <w:highlight w:val="none"/>
        </w:rPr>
        <w:t>三、履行期限、地点</w:t>
      </w:r>
      <w:r>
        <w:rPr>
          <w:rFonts w:hint="eastAsia" w:ascii="仿宋" w:hAnsi="仿宋" w:eastAsia="仿宋" w:cs="仿宋"/>
          <w:b/>
          <w:bCs/>
          <w:sz w:val="24"/>
          <w:szCs w:val="24"/>
          <w:highlight w:val="none"/>
        </w:rPr>
        <w:t>和方式</w:t>
      </w:r>
      <w:r>
        <w:rPr>
          <w:rFonts w:hint="eastAsia" w:ascii="仿宋" w:hAnsi="仿宋" w:eastAsia="仿宋" w:cs="仿宋"/>
          <w:b/>
          <w:sz w:val="24"/>
          <w:szCs w:val="24"/>
          <w:highlight w:val="none"/>
        </w:rPr>
        <w:t>：</w:t>
      </w:r>
      <w:bookmarkEnd w:id="4"/>
      <w:bookmarkEnd w:id="5"/>
    </w:p>
    <w:p w14:paraId="49114847">
      <w:pPr>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jc w:val="left"/>
        <w:textAlignment w:val="auto"/>
        <w:outlineLvl w:val="9"/>
        <w:rPr>
          <w:rFonts w:hint="eastAsia" w:ascii="仿宋" w:hAnsi="仿宋" w:eastAsia="仿宋" w:cs="仿宋"/>
          <w:color w:val="auto"/>
          <w:sz w:val="24"/>
          <w:highlight w:val="none"/>
          <w:lang w:eastAsia="zh-CN"/>
        </w:rPr>
      </w:pPr>
      <w:bookmarkStart w:id="6" w:name="_Toc797"/>
      <w:bookmarkStart w:id="7" w:name="_Toc30296"/>
      <w:r>
        <w:rPr>
          <w:rFonts w:hint="eastAsia" w:ascii="仿宋" w:hAnsi="仿宋" w:eastAsia="仿宋" w:cs="仿宋"/>
          <w:color w:val="auto"/>
          <w:sz w:val="24"/>
          <w:highlight w:val="none"/>
        </w:rPr>
        <w:t>自项目开工之日起开始实施，至工程竣工完毕并出具结算审核报告日终结。</w:t>
      </w:r>
    </w:p>
    <w:p w14:paraId="5916AD9E">
      <w:pPr>
        <w:tabs>
          <w:tab w:val="left" w:pos="1456"/>
        </w:tabs>
        <w:spacing w:line="360" w:lineRule="auto"/>
        <w:ind w:left="730" w:leftChars="226" w:hanging="245" w:hangingChars="100"/>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四、 委托方义务</w:t>
      </w:r>
      <w:bookmarkEnd w:id="6"/>
      <w:bookmarkEnd w:id="7"/>
    </w:p>
    <w:p w14:paraId="22A9FF26">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5.1按要求提供资料，保证所提供资料的真实性、可靠性和及时性。</w:t>
      </w:r>
    </w:p>
    <w:p w14:paraId="286F1580">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 按照合同约定向受托方支付费用。</w:t>
      </w:r>
    </w:p>
    <w:p w14:paraId="2C492E06">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 甲方对其应提供资料的完整性和准确性负责，若因报件材料不完整或支撑性附件不足造成审批机关未能通过审核，乙方概不负责。</w:t>
      </w:r>
    </w:p>
    <w:p w14:paraId="798C78F4">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5.5 指定履行本合同的项目联系人，并书面通知受托方。</w:t>
      </w:r>
    </w:p>
    <w:p w14:paraId="7E8ACFE3">
      <w:pPr>
        <w:tabs>
          <w:tab w:val="left" w:pos="1456"/>
        </w:tabs>
        <w:spacing w:line="360" w:lineRule="auto"/>
        <w:ind w:left="730" w:leftChars="226" w:hanging="245" w:hangingChars="100"/>
        <w:outlineLvl w:val="0"/>
        <w:rPr>
          <w:rFonts w:hint="eastAsia" w:ascii="仿宋" w:hAnsi="仿宋" w:eastAsia="仿宋" w:cs="仿宋"/>
          <w:b/>
          <w:sz w:val="24"/>
          <w:szCs w:val="24"/>
          <w:highlight w:val="none"/>
        </w:rPr>
      </w:pPr>
      <w:bookmarkStart w:id="8" w:name="_Toc16930"/>
      <w:bookmarkStart w:id="9" w:name="_Toc9648"/>
      <w:r>
        <w:rPr>
          <w:rFonts w:hint="eastAsia" w:ascii="仿宋" w:hAnsi="仿宋" w:eastAsia="仿宋" w:cs="仿宋"/>
          <w:b/>
          <w:sz w:val="24"/>
          <w:szCs w:val="24"/>
          <w:highlight w:val="none"/>
        </w:rPr>
        <w:t>五、技术情报和资料的保密：</w:t>
      </w:r>
      <w:bookmarkEnd w:id="8"/>
      <w:bookmarkEnd w:id="9"/>
    </w:p>
    <w:p w14:paraId="6F86A56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6.1受托方及其工作人员应当遵守执业准则和恪守职业道德，本合同以及委托方提供的文件资料</w:t>
      </w:r>
      <w:r>
        <w:rPr>
          <w:rFonts w:hint="eastAsia" w:ascii="仿宋" w:hAnsi="仿宋" w:eastAsia="仿宋" w:cs="仿宋"/>
          <w:sz w:val="24"/>
          <w:szCs w:val="24"/>
          <w:highlight w:val="none"/>
          <w:lang w:eastAsia="zh-CN"/>
        </w:rPr>
        <w:t>以及其他</w:t>
      </w:r>
      <w:r>
        <w:rPr>
          <w:rFonts w:hint="eastAsia" w:ascii="仿宋" w:hAnsi="仿宋" w:eastAsia="仿宋" w:cs="仿宋"/>
          <w:sz w:val="24"/>
          <w:szCs w:val="24"/>
          <w:highlight w:val="none"/>
        </w:rPr>
        <w:t>与执行合同有关的信息、资料，受托方在面对第三方时均应保密。在未征得委托方同意前，不得以任何理由、任何方式向第三方扩散、转让、泄露或在刊物上发表。</w:t>
      </w:r>
    </w:p>
    <w:p w14:paraId="03D49092">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 乙方在履行合同过程中借用甲方的技术资料，在本合同任务完成后，全部归还给甲方；</w:t>
      </w:r>
    </w:p>
    <w:p w14:paraId="4875784B">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6.3本条规定在合同终止后亦有效。</w:t>
      </w:r>
    </w:p>
    <w:p w14:paraId="1459E9DE">
      <w:pPr>
        <w:spacing w:line="360" w:lineRule="auto"/>
        <w:ind w:left="420"/>
        <w:outlineLvl w:val="0"/>
        <w:rPr>
          <w:rFonts w:hint="eastAsia" w:ascii="仿宋" w:hAnsi="仿宋" w:eastAsia="仿宋" w:cs="仿宋"/>
          <w:b/>
          <w:sz w:val="24"/>
          <w:szCs w:val="24"/>
          <w:highlight w:val="none"/>
        </w:rPr>
      </w:pPr>
      <w:bookmarkStart w:id="10" w:name="_Toc21080"/>
      <w:bookmarkStart w:id="11" w:name="_Toc25843"/>
      <w:r>
        <w:rPr>
          <w:rFonts w:hint="eastAsia" w:ascii="仿宋" w:hAnsi="仿宋" w:eastAsia="仿宋" w:cs="仿宋"/>
          <w:b/>
          <w:sz w:val="24"/>
          <w:szCs w:val="24"/>
          <w:highlight w:val="none"/>
        </w:rPr>
        <w:t>六、报酬及其支付方式：</w:t>
      </w:r>
      <w:bookmarkEnd w:id="10"/>
      <w:bookmarkEnd w:id="11"/>
    </w:p>
    <w:p w14:paraId="4CDC93D8">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本项目收费（合同价）为人民币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元，本项目按照合同价一次包干，合同期内甲方不再向乙方另行支付其他费用。</w:t>
      </w:r>
    </w:p>
    <w:p w14:paraId="3D7CDAAF">
      <w:pPr>
        <w:spacing w:line="360" w:lineRule="auto"/>
        <w:ind w:firstLine="49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2、支付方式：</w:t>
      </w:r>
      <w:bookmarkStart w:id="12" w:name="_Toc27229"/>
    </w:p>
    <w:p w14:paraId="01DADF93">
      <w:pPr>
        <w:spacing w:line="360" w:lineRule="auto"/>
        <w:ind w:left="420"/>
        <w:outlineLvl w:val="0"/>
        <w:rPr>
          <w:rFonts w:hint="eastAsia" w:ascii="仿宋" w:hAnsi="仿宋" w:eastAsia="仿宋" w:cs="仿宋"/>
          <w:b/>
          <w:sz w:val="24"/>
          <w:szCs w:val="24"/>
          <w:highlight w:val="none"/>
        </w:rPr>
      </w:pPr>
      <w:bookmarkStart w:id="13" w:name="_Toc19491"/>
      <w:r>
        <w:rPr>
          <w:rFonts w:hint="eastAsia" w:ascii="仿宋" w:hAnsi="仿宋" w:eastAsia="仿宋" w:cs="仿宋"/>
          <w:b/>
          <w:sz w:val="24"/>
          <w:szCs w:val="24"/>
          <w:highlight w:val="none"/>
        </w:rPr>
        <w:t>七、违约责任：</w:t>
      </w:r>
      <w:bookmarkEnd w:id="12"/>
      <w:bookmarkEnd w:id="13"/>
    </w:p>
    <w:p w14:paraId="4D99783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1合同生效后，如乙方擅自中途停止或解除合同，乙方应向甲方双倍返还合同金额。</w:t>
      </w:r>
    </w:p>
    <w:p w14:paraId="7303537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未能按合同规定的日期提交合格的报告，应向甲方偿付拖期损失费，每天的拖期损失费按本合同约定的工程总价款的0.1％计算。乙方原因造成报告未能通过审查，甲方有权单方解除合同，要求乙方退还已支付的合同款，并有权要求乙方赔偿甲方损失。</w:t>
      </w:r>
    </w:p>
    <w:p w14:paraId="58D657A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甲方未能按合同规定的日期向乙方提供相关基础技术资料，乙方提交报告时间相应延迟，甲方未按合同规定向乙方付款，应向乙方偿付拖期损失费，每天的拖期损失费按本合同约定的工程总价款的0.1％计算，同时提交报告时间相应顺延。</w:t>
      </w:r>
    </w:p>
    <w:p w14:paraId="56417E57">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4对于甲方提供的图纸和技术资料以及属于甲方的相关资料，乙方有义务保密，不得向第三方转让，否则，甲方有权对因此造成的损失追究责任。</w:t>
      </w:r>
    </w:p>
    <w:p w14:paraId="7E8041CF">
      <w:pPr>
        <w:snapToGrid w:val="0"/>
        <w:spacing w:line="360" w:lineRule="auto"/>
        <w:ind w:firstLine="490" w:firstLineChars="200"/>
        <w:outlineLvl w:val="0"/>
        <w:rPr>
          <w:rFonts w:hint="eastAsia" w:ascii="仿宋" w:hAnsi="仿宋" w:eastAsia="仿宋" w:cs="仿宋"/>
          <w:sz w:val="24"/>
          <w:szCs w:val="24"/>
          <w:highlight w:val="none"/>
        </w:rPr>
      </w:pPr>
      <w:bookmarkStart w:id="14" w:name="_Toc6623"/>
      <w:bookmarkStart w:id="15" w:name="_Toc7282"/>
      <w:r>
        <w:rPr>
          <w:rFonts w:hint="eastAsia" w:ascii="仿宋" w:hAnsi="仿宋" w:eastAsia="仿宋" w:cs="仿宋"/>
          <w:b/>
          <w:bCs/>
          <w:sz w:val="24"/>
          <w:szCs w:val="24"/>
          <w:highlight w:val="none"/>
        </w:rPr>
        <w:t>八、 不可抗力</w:t>
      </w:r>
      <w:bookmarkEnd w:id="14"/>
      <w:bookmarkEnd w:id="15"/>
    </w:p>
    <w:p w14:paraId="66290620">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1本合同所指不可抗力是不能预见、不能避免并不能克服的，足以致使本合同无法继续履行或不能完全履行的事件。</w:t>
      </w:r>
    </w:p>
    <w:p w14:paraId="4B6EE839">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2受不可抗力影响的一方应在通知可能的情况下立即通知对方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并在不可抗力发生后7日内向另一方送达相关部门提供的证明文件。</w:t>
      </w:r>
    </w:p>
    <w:p w14:paraId="68E60BE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3不可抗力事件终止或消除后，受不可抗力影响的一方，应立即通知对方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不可抗力事件终止或消除后7日内向另一方送达相关部门提供的证明文件。</w:t>
      </w:r>
    </w:p>
    <w:p w14:paraId="367AE0DC">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4逾期履行合同的，不得以不可抗力为由免除其违约责任。</w:t>
      </w:r>
    </w:p>
    <w:p w14:paraId="2D5F75A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5如果不可抗力的影响持续超过1月，受不可抗力影响的一方应与对方取得联系，以便解决进一步履行合同的问题。</w:t>
      </w:r>
    </w:p>
    <w:p w14:paraId="5F337E39">
      <w:pPr>
        <w:spacing w:line="360" w:lineRule="auto"/>
        <w:ind w:firstLine="490" w:firstLineChars="200"/>
        <w:outlineLvl w:val="0"/>
        <w:rPr>
          <w:rFonts w:hint="eastAsia" w:ascii="仿宋" w:hAnsi="仿宋" w:eastAsia="仿宋" w:cs="仿宋"/>
          <w:b/>
          <w:bCs/>
          <w:sz w:val="24"/>
          <w:szCs w:val="24"/>
          <w:highlight w:val="none"/>
        </w:rPr>
      </w:pPr>
      <w:bookmarkStart w:id="16" w:name="_Toc4151"/>
      <w:bookmarkStart w:id="17" w:name="_Toc16185"/>
      <w:r>
        <w:rPr>
          <w:rFonts w:hint="eastAsia" w:ascii="仿宋" w:hAnsi="仿宋" w:eastAsia="仿宋" w:cs="仿宋"/>
          <w:b/>
          <w:bCs/>
          <w:sz w:val="24"/>
          <w:szCs w:val="24"/>
          <w:highlight w:val="none"/>
        </w:rPr>
        <w:t>九、 合同的变更和解除</w:t>
      </w:r>
      <w:bookmarkEnd w:id="16"/>
      <w:bookmarkEnd w:id="17"/>
    </w:p>
    <w:p w14:paraId="700B9CD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双方协商一致可变更或解除本合同。合同变更或解除应采取书面形式。</w:t>
      </w:r>
    </w:p>
    <w:p w14:paraId="7C21447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有下列情形之一者，可单方解除合同：</w:t>
      </w:r>
    </w:p>
    <w:p w14:paraId="49A587A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2.1因不可抗力，不能实现合同目的；</w:t>
      </w:r>
    </w:p>
    <w:p w14:paraId="2EE3280E">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2.2在履行期限届满之前，一方明确表示或者以自己的行为表明不履行主要债务；</w:t>
      </w:r>
    </w:p>
    <w:p w14:paraId="136B77E6">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2.3一方迟延履行主要债务，经催告后在合理期限内仍未履行；</w:t>
      </w:r>
    </w:p>
    <w:p w14:paraId="19C3CBCC">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2.4一方迟延履行债务或者有其他违约行为致使不能实现合同目的；</w:t>
      </w:r>
    </w:p>
    <w:p w14:paraId="4E7C5835">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 法律规定的其他情形。</w:t>
      </w:r>
    </w:p>
    <w:p w14:paraId="6AF2739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解除合同方在解除合同时，应履行通知对方义务。</w:t>
      </w:r>
    </w:p>
    <w:p w14:paraId="2F8CDAEC">
      <w:pPr>
        <w:spacing w:line="360" w:lineRule="auto"/>
        <w:ind w:firstLine="490" w:firstLineChars="200"/>
        <w:outlineLvl w:val="0"/>
        <w:rPr>
          <w:rFonts w:hint="eastAsia" w:ascii="仿宋" w:hAnsi="仿宋" w:eastAsia="仿宋" w:cs="仿宋"/>
          <w:b/>
          <w:bCs/>
          <w:sz w:val="24"/>
          <w:szCs w:val="24"/>
          <w:highlight w:val="none"/>
        </w:rPr>
      </w:pPr>
      <w:bookmarkStart w:id="18" w:name="_Toc4663"/>
      <w:bookmarkStart w:id="19" w:name="_Toc30081"/>
      <w:r>
        <w:rPr>
          <w:rFonts w:hint="eastAsia" w:ascii="仿宋" w:hAnsi="仿宋" w:eastAsia="仿宋" w:cs="仿宋"/>
          <w:b/>
          <w:bCs/>
          <w:sz w:val="24"/>
          <w:szCs w:val="24"/>
          <w:highlight w:val="none"/>
        </w:rPr>
        <w:t>十、 廉洁经营</w:t>
      </w:r>
      <w:bookmarkEnd w:id="18"/>
      <w:bookmarkEnd w:id="19"/>
    </w:p>
    <w:p w14:paraId="11C6EB3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双方在公开、公平、公正的前提下达成并履行本合同，承诺本方及其工作人员不从事任何商业贿赂和不正当竞争行为。</w:t>
      </w:r>
    </w:p>
    <w:p w14:paraId="6CDA01D0">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双方签署的廉洁经营协议、责任书、承诺书、声明书、保证书等均构成本合同的组成部分，应严格遵守，共同执行。</w:t>
      </w:r>
    </w:p>
    <w:p w14:paraId="2584A790">
      <w:pPr>
        <w:spacing w:line="360" w:lineRule="auto"/>
        <w:ind w:left="420"/>
        <w:outlineLvl w:val="0"/>
        <w:rPr>
          <w:rFonts w:hint="eastAsia" w:ascii="仿宋" w:hAnsi="仿宋" w:eastAsia="仿宋" w:cs="仿宋"/>
          <w:b/>
          <w:sz w:val="24"/>
          <w:szCs w:val="24"/>
          <w:highlight w:val="none"/>
        </w:rPr>
      </w:pPr>
      <w:bookmarkStart w:id="20" w:name="_Toc22980"/>
      <w:bookmarkStart w:id="21" w:name="_Toc4623"/>
      <w:r>
        <w:rPr>
          <w:rFonts w:hint="eastAsia" w:ascii="仿宋" w:hAnsi="仿宋" w:eastAsia="仿宋" w:cs="仿宋"/>
          <w:b/>
          <w:sz w:val="24"/>
          <w:szCs w:val="24"/>
          <w:highlight w:val="none"/>
        </w:rPr>
        <w:t>十一、争议的解决办法：</w:t>
      </w:r>
      <w:bookmarkEnd w:id="20"/>
      <w:bookmarkEnd w:id="21"/>
    </w:p>
    <w:p w14:paraId="4DA9CEC7">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1双方应当努力营造诚信和谐的合同关系，加强沟通，避免纠纷的发生。</w:t>
      </w:r>
    </w:p>
    <w:p w14:paraId="00FB91F9">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不能避免的纠纷，在双方协商过程中和未达成一致意见时及之后的任何时间，除委托方明示暂停的外，受托方都有义务继续进行评价工作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不得因此停工、怠工。</w:t>
      </w:r>
    </w:p>
    <w:p w14:paraId="7DB313F5">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3本合同在履行过程中发生的争议，由双方当事人协商解决，协商不成的，按下列方式解决：</w:t>
      </w:r>
    </w:p>
    <w:p w14:paraId="122B3300">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项目所在地</w:t>
      </w:r>
      <w:r>
        <w:rPr>
          <w:rFonts w:hint="eastAsia" w:ascii="仿宋" w:hAnsi="仿宋" w:eastAsia="仿宋" w:cs="仿宋"/>
          <w:sz w:val="24"/>
          <w:szCs w:val="24"/>
          <w:highlight w:val="none"/>
        </w:rPr>
        <w:t>人民法院解决。</w:t>
      </w:r>
    </w:p>
    <w:p w14:paraId="68C331B0">
      <w:pPr>
        <w:pStyle w:val="11"/>
        <w:spacing w:line="360" w:lineRule="auto"/>
        <w:ind w:firstLine="490" w:firstLineChars="200"/>
        <w:outlineLvl w:val="0"/>
        <w:rPr>
          <w:rFonts w:hint="eastAsia" w:ascii="仿宋" w:hAnsi="仿宋" w:eastAsia="仿宋" w:cs="仿宋"/>
          <w:b/>
          <w:bCs/>
          <w:sz w:val="24"/>
          <w:szCs w:val="24"/>
          <w:highlight w:val="none"/>
        </w:rPr>
      </w:pPr>
      <w:bookmarkStart w:id="22" w:name="_Toc8755"/>
      <w:bookmarkStart w:id="23" w:name="_Toc11989"/>
      <w:r>
        <w:rPr>
          <w:rFonts w:hint="eastAsia" w:ascii="仿宋" w:hAnsi="仿宋" w:eastAsia="仿宋" w:cs="仿宋"/>
          <w:b/>
          <w:bCs/>
          <w:sz w:val="24"/>
          <w:szCs w:val="24"/>
          <w:highlight w:val="none"/>
        </w:rPr>
        <w:t>十二、 其他约定</w:t>
      </w:r>
      <w:bookmarkEnd w:id="22"/>
      <w:bookmarkEnd w:id="23"/>
    </w:p>
    <w:p w14:paraId="65E31BFB">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本合同自双方代表签字盖章后生效。</w:t>
      </w:r>
    </w:p>
    <w:p w14:paraId="428F5DF1">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本合同未尽事宜，经双方协商一致，签订补充协议，补充协议与本合同具有同等效力。</w:t>
      </w:r>
    </w:p>
    <w:p w14:paraId="66224CA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3本合同一式    份，委托方    份，受托方   份。</w:t>
      </w:r>
    </w:p>
    <w:p w14:paraId="53554DE4">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44926CAA">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甲方签章：                                    乙方签章：                 </w:t>
      </w:r>
    </w:p>
    <w:p w14:paraId="57F509B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代 表 人：                                    代 表 人：                 </w:t>
      </w:r>
    </w:p>
    <w:p w14:paraId="4D3B13D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日    期：                                    日    期：                 </w:t>
      </w:r>
    </w:p>
    <w:p w14:paraId="170D783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                                     开户银行：</w:t>
      </w:r>
    </w:p>
    <w:p w14:paraId="60AB4CA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银行账户：                                     银行账户：</w:t>
      </w:r>
    </w:p>
    <w:p w14:paraId="5DF32012">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银行账号：                                     银行账号：</w:t>
      </w:r>
    </w:p>
    <w:p w14:paraId="692690FC">
      <w:pPr>
        <w:rPr>
          <w:rFonts w:hint="eastAsia" w:ascii="仿宋" w:hAnsi="仿宋" w:eastAsia="仿宋" w:cs="仿宋"/>
          <w:b/>
          <w:sz w:val="24"/>
          <w:szCs w:val="24"/>
        </w:rPr>
      </w:pPr>
      <w:r>
        <w:rPr>
          <w:rFonts w:hint="eastAsia" w:ascii="仿宋" w:hAnsi="仿宋" w:eastAsia="仿宋" w:cs="仿宋"/>
          <w:b/>
          <w:sz w:val="24"/>
          <w:szCs w:val="24"/>
          <w:highlight w:val="none"/>
        </w:rPr>
        <w:t>注：本服务合同仅为参考文本，签订双方可根据项目的具体要求进行修订。</w:t>
      </w:r>
      <w:r>
        <w:rPr>
          <w:rFonts w:hint="eastAsia" w:ascii="仿宋" w:hAnsi="仿宋" w:eastAsia="仿宋" w:cs="仿宋"/>
          <w:b/>
          <w:sz w:val="24"/>
          <w:szCs w:val="24"/>
        </w:rPr>
        <w:br w:type="page"/>
      </w:r>
    </w:p>
    <w:p w14:paraId="48FF8FC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第八部分 投标文件的编制装订</w:t>
      </w:r>
    </w:p>
    <w:p w14:paraId="771E08D8">
      <w:pPr>
        <w:spacing w:line="460" w:lineRule="exact"/>
        <w:ind w:firstLine="609" w:firstLineChars="249"/>
        <w:outlineLvl w:val="1"/>
        <w:rPr>
          <w:rFonts w:hint="eastAsia" w:ascii="仿宋" w:hAnsi="仿宋" w:eastAsia="仿宋" w:cs="仿宋"/>
          <w:b/>
          <w:sz w:val="24"/>
          <w:szCs w:val="24"/>
        </w:rPr>
      </w:pPr>
      <w:r>
        <w:rPr>
          <w:rFonts w:hint="eastAsia" w:ascii="仿宋" w:hAnsi="仿宋" w:eastAsia="仿宋" w:cs="仿宋"/>
          <w:b/>
          <w:sz w:val="24"/>
          <w:szCs w:val="24"/>
        </w:rPr>
        <w:t>一、响应文件编制和装订顺序</w:t>
      </w:r>
    </w:p>
    <w:p w14:paraId="0B69BCB3">
      <w:pPr>
        <w:spacing w:line="460" w:lineRule="exact"/>
        <w:ind w:firstLine="609" w:firstLineChars="249"/>
        <w:rPr>
          <w:rFonts w:hint="eastAsia" w:ascii="仿宋" w:hAnsi="仿宋" w:eastAsia="仿宋" w:cs="仿宋"/>
          <w:b/>
          <w:bCs/>
          <w:sz w:val="24"/>
          <w:szCs w:val="24"/>
        </w:rPr>
      </w:pPr>
      <w:r>
        <w:rPr>
          <w:rFonts w:hint="eastAsia" w:ascii="仿宋" w:hAnsi="仿宋" w:eastAsia="仿宋" w:cs="仿宋"/>
          <w:b/>
          <w:bCs/>
          <w:sz w:val="24"/>
          <w:szCs w:val="24"/>
        </w:rPr>
        <w:t>（一）供应商的响应文件必须制作目录和页码。</w:t>
      </w:r>
    </w:p>
    <w:p w14:paraId="2222A80F">
      <w:pPr>
        <w:spacing w:line="460" w:lineRule="exact"/>
        <w:ind w:firstLine="609" w:firstLineChars="249"/>
        <w:rPr>
          <w:rFonts w:hint="eastAsia" w:ascii="仿宋" w:hAnsi="仿宋" w:eastAsia="仿宋" w:cs="仿宋"/>
          <w:sz w:val="24"/>
          <w:szCs w:val="24"/>
        </w:rPr>
      </w:pPr>
      <w:r>
        <w:rPr>
          <w:rFonts w:hint="eastAsia" w:ascii="仿宋" w:hAnsi="仿宋" w:eastAsia="仿宋" w:cs="仿宋"/>
          <w:sz w:val="24"/>
          <w:szCs w:val="24"/>
        </w:rPr>
        <w:t>（二）供应商的响应文件编制顺序，必须按下列顺序排列和装订，编制排列和装订顺序严格如下：</w:t>
      </w:r>
    </w:p>
    <w:p w14:paraId="37718AD1">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1、投标函</w:t>
      </w:r>
    </w:p>
    <w:p w14:paraId="3861291B">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2、法定代表人资格证明书、法定代表人的授权委托书</w:t>
      </w:r>
    </w:p>
    <w:p w14:paraId="6C1D8A74">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3、报价一览表</w:t>
      </w:r>
    </w:p>
    <w:p w14:paraId="43ADE5A2">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4、供应商资质证明文件，包括：</w:t>
      </w:r>
    </w:p>
    <w:p w14:paraId="1DD8776A">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 xml:space="preserve">1、营业执照； </w:t>
      </w:r>
    </w:p>
    <w:p w14:paraId="4BA87F45">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2</w:t>
      </w:r>
      <w:r>
        <w:rPr>
          <w:rFonts w:hint="eastAsia" w:ascii="仿宋" w:hAnsi="仿宋" w:eastAsia="仿宋" w:cs="仿宋"/>
          <w:sz w:val="24"/>
          <w:szCs w:val="24"/>
        </w:rPr>
        <w:t>、投标保证金缴纳凭证</w:t>
      </w:r>
      <w:r>
        <w:rPr>
          <w:rFonts w:hint="eastAsia" w:ascii="仿宋" w:hAnsi="仿宋" w:eastAsia="仿宋" w:cs="仿宋"/>
          <w:sz w:val="24"/>
          <w:szCs w:val="24"/>
          <w:lang w:val="en-US" w:eastAsia="zh-CN"/>
        </w:rPr>
        <w:t>或保函</w:t>
      </w:r>
      <w:r>
        <w:rPr>
          <w:rFonts w:hint="eastAsia" w:ascii="仿宋" w:hAnsi="仿宋" w:eastAsia="仿宋" w:cs="仿宋"/>
          <w:sz w:val="24"/>
          <w:szCs w:val="24"/>
        </w:rPr>
        <w:t>。</w:t>
      </w:r>
    </w:p>
    <w:p w14:paraId="7AF09E26">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无重大违法记录的书面声明（详见附件5）；</w:t>
      </w:r>
    </w:p>
    <w:p w14:paraId="073F2FF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“重法纪、讲诚信”承诺书（详见附件</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p>
    <w:p w14:paraId="57ADAEBF">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反商业贿赂承诺书（详见附件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p>
    <w:p w14:paraId="50F3B9F2">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商务条款偏离表（详见附件</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p>
    <w:p w14:paraId="3D50D2F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年同类项目业绩表（详见附件1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w:t>
      </w:r>
    </w:p>
    <w:p w14:paraId="56C2A0BD">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拟派项目负责人简历表（详见附件1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p>
    <w:p w14:paraId="270954DB">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技术规格偏离表（详见附件</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p>
    <w:p w14:paraId="54C72B61">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技术支持及服务承诺书（详见附件</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w:t>
      </w:r>
    </w:p>
    <w:p w14:paraId="5E828D83">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服务方案（详见附件1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p>
    <w:p w14:paraId="2A0CB043">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投标单位（投标单位）《遵守政府采购相关法律法规承诺书》（详见附件1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p>
    <w:p w14:paraId="68EFE735">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不参与围标串标承诺书（详见附件1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p>
    <w:p w14:paraId="626B8F58">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要求提供</w:t>
      </w:r>
      <w:r>
        <w:rPr>
          <w:rFonts w:hint="eastAsia" w:ascii="仿宋" w:hAnsi="仿宋" w:eastAsia="仿宋" w:cs="仿宋"/>
          <w:color w:val="auto"/>
          <w:sz w:val="24"/>
          <w:highlight w:val="none"/>
          <w:lang w:eastAsia="zh-CN"/>
        </w:rPr>
        <w:t>的其他</w:t>
      </w:r>
      <w:r>
        <w:rPr>
          <w:rFonts w:hint="eastAsia" w:ascii="仿宋" w:hAnsi="仿宋" w:eastAsia="仿宋" w:cs="仿宋"/>
          <w:color w:val="auto"/>
          <w:sz w:val="24"/>
          <w:highlight w:val="none"/>
        </w:rPr>
        <w:t>材料以及供应商认为需要提交的材料。</w:t>
      </w:r>
    </w:p>
    <w:p w14:paraId="786D4E0D">
      <w:pPr>
        <w:spacing w:line="480" w:lineRule="exact"/>
        <w:ind w:firstLine="612" w:firstLineChars="250"/>
        <w:outlineLvl w:val="1"/>
        <w:rPr>
          <w:rFonts w:hint="eastAsia" w:ascii="仿宋" w:hAnsi="仿宋" w:eastAsia="仿宋" w:cs="仿宋"/>
          <w:b/>
          <w:sz w:val="24"/>
          <w:szCs w:val="24"/>
        </w:rPr>
      </w:pPr>
      <w:r>
        <w:rPr>
          <w:rFonts w:hint="eastAsia" w:ascii="仿宋" w:hAnsi="仿宋" w:eastAsia="仿宋" w:cs="仿宋"/>
          <w:b/>
          <w:sz w:val="24"/>
          <w:szCs w:val="24"/>
        </w:rPr>
        <w:t xml:space="preserve">二、响应文件顺序及格式范本 </w:t>
      </w:r>
    </w:p>
    <w:p w14:paraId="31DEACC3">
      <w:pPr>
        <w:spacing w:line="480" w:lineRule="exact"/>
        <w:ind w:firstLine="612" w:firstLineChars="250"/>
        <w:outlineLvl w:val="2"/>
        <w:rPr>
          <w:rFonts w:hint="eastAsia" w:ascii="仿宋" w:hAnsi="仿宋" w:eastAsia="仿宋" w:cs="仿宋"/>
          <w:b/>
          <w:sz w:val="24"/>
          <w:szCs w:val="24"/>
        </w:rPr>
      </w:pPr>
      <w:r>
        <w:rPr>
          <w:rFonts w:hint="eastAsia" w:ascii="仿宋" w:hAnsi="仿宋" w:eastAsia="仿宋" w:cs="仿宋"/>
          <w:b/>
          <w:sz w:val="24"/>
          <w:szCs w:val="24"/>
        </w:rPr>
        <w:t>（一）响应文件顺序及要求（纸质版投标文件按照以下要求制作）</w:t>
      </w:r>
    </w:p>
    <w:p w14:paraId="0F3A0960">
      <w:pPr>
        <w:spacing w:line="460" w:lineRule="exact"/>
        <w:ind w:firstLine="612" w:firstLineChars="250"/>
        <w:rPr>
          <w:rFonts w:hint="eastAsia" w:ascii="仿宋" w:hAnsi="仿宋" w:eastAsia="仿宋" w:cs="仿宋"/>
          <w:sz w:val="24"/>
          <w:szCs w:val="24"/>
        </w:rPr>
      </w:pPr>
      <w:r>
        <w:rPr>
          <w:rFonts w:hint="eastAsia" w:ascii="仿宋" w:hAnsi="仿宋" w:eastAsia="仿宋" w:cs="仿宋"/>
          <w:sz w:val="24"/>
          <w:szCs w:val="24"/>
        </w:rPr>
        <w:t>1、各供应商应严格按格式范本提供，不允许擅自或随意改变和变动，标书范本应做到工整整齐和完整。</w:t>
      </w:r>
    </w:p>
    <w:p w14:paraId="69F4F580">
      <w:pPr>
        <w:spacing w:line="460" w:lineRule="exact"/>
        <w:ind w:firstLine="612" w:firstLineChars="250"/>
        <w:rPr>
          <w:rFonts w:hint="eastAsia" w:ascii="仿宋" w:hAnsi="仿宋" w:eastAsia="仿宋" w:cs="仿宋"/>
          <w:sz w:val="24"/>
          <w:szCs w:val="24"/>
        </w:rPr>
      </w:pPr>
      <w:r>
        <w:rPr>
          <w:rFonts w:hint="eastAsia" w:ascii="仿宋" w:hAnsi="仿宋" w:eastAsia="仿宋" w:cs="仿宋"/>
          <w:sz w:val="24"/>
          <w:szCs w:val="24"/>
        </w:rPr>
        <w:t>2、文书字体应选择不大于仿宋三号或宋体三号字体，表格内字体应选择不大于仿宋小四号或宋体小四号字体，</w:t>
      </w:r>
    </w:p>
    <w:p w14:paraId="0E73F503">
      <w:pPr>
        <w:spacing w:line="460" w:lineRule="exact"/>
        <w:ind w:firstLine="612" w:firstLineChars="250"/>
        <w:rPr>
          <w:rFonts w:hint="eastAsia" w:ascii="仿宋" w:hAnsi="仿宋" w:eastAsia="仿宋" w:cs="仿宋"/>
          <w:sz w:val="24"/>
          <w:szCs w:val="24"/>
        </w:rPr>
      </w:pPr>
      <w:r>
        <w:rPr>
          <w:rFonts w:hint="eastAsia" w:ascii="仿宋" w:hAnsi="仿宋" w:eastAsia="仿宋" w:cs="仿宋"/>
          <w:sz w:val="24"/>
          <w:szCs w:val="24"/>
        </w:rPr>
        <w:t>3、凡</w:t>
      </w:r>
      <w:r>
        <w:rPr>
          <w:rFonts w:hint="eastAsia" w:ascii="仿宋" w:hAnsi="仿宋" w:eastAsia="仿宋" w:cs="仿宋"/>
          <w:sz w:val="24"/>
          <w:szCs w:val="24"/>
          <w:lang w:eastAsia="zh-CN"/>
        </w:rPr>
        <w:t>需要</w:t>
      </w:r>
      <w:r>
        <w:rPr>
          <w:rFonts w:hint="eastAsia" w:ascii="仿宋" w:hAnsi="仿宋" w:eastAsia="仿宋" w:cs="仿宋"/>
          <w:sz w:val="24"/>
          <w:szCs w:val="24"/>
        </w:rPr>
        <w:t>签字盖章的，必须有符合</w:t>
      </w:r>
      <w:r>
        <w:rPr>
          <w:rFonts w:hint="eastAsia" w:ascii="仿宋" w:hAnsi="仿宋" w:eastAsia="仿宋" w:cs="仿宋"/>
          <w:sz w:val="24"/>
          <w:szCs w:val="24"/>
          <w:lang w:eastAsia="zh-CN"/>
        </w:rPr>
        <w:t>磋商</w:t>
      </w:r>
      <w:r>
        <w:rPr>
          <w:rFonts w:hint="eastAsia" w:ascii="仿宋" w:hAnsi="仿宋" w:eastAsia="仿宋" w:cs="仿宋"/>
          <w:sz w:val="24"/>
          <w:szCs w:val="24"/>
        </w:rPr>
        <w:t>文件规定要求的人员签字，公章必须是单位法人印章。</w:t>
      </w:r>
    </w:p>
    <w:p w14:paraId="4BDCD957">
      <w:pPr>
        <w:spacing w:line="460" w:lineRule="exact"/>
        <w:ind w:firstLine="612" w:firstLineChars="250"/>
        <w:rPr>
          <w:rFonts w:hint="eastAsia" w:ascii="仿宋" w:hAnsi="仿宋" w:eastAsia="仿宋" w:cs="仿宋"/>
          <w:sz w:val="24"/>
          <w:szCs w:val="24"/>
        </w:rPr>
      </w:pPr>
      <w:r>
        <w:rPr>
          <w:rFonts w:hint="eastAsia" w:ascii="仿宋" w:hAnsi="仿宋" w:eastAsia="仿宋" w:cs="仿宋"/>
          <w:sz w:val="24"/>
          <w:szCs w:val="24"/>
        </w:rPr>
        <w:t>4、凡有备注说明的，必须符合说明的要求。</w:t>
      </w:r>
    </w:p>
    <w:p w14:paraId="67FCC788">
      <w:pPr>
        <w:spacing w:line="460" w:lineRule="exact"/>
        <w:ind w:firstLine="612" w:firstLineChars="250"/>
        <w:rPr>
          <w:rFonts w:hint="eastAsia" w:ascii="仿宋" w:hAnsi="仿宋" w:eastAsia="仿宋" w:cs="仿宋"/>
          <w:b/>
          <w:sz w:val="24"/>
          <w:szCs w:val="24"/>
        </w:rPr>
      </w:pPr>
      <w:r>
        <w:rPr>
          <w:rFonts w:hint="eastAsia" w:ascii="仿宋" w:hAnsi="仿宋" w:eastAsia="仿宋" w:cs="仿宋"/>
          <w:sz w:val="24"/>
          <w:szCs w:val="24"/>
        </w:rPr>
        <w:t>5、凡</w:t>
      </w:r>
      <w:r>
        <w:rPr>
          <w:rFonts w:hint="eastAsia" w:ascii="仿宋" w:hAnsi="仿宋" w:eastAsia="仿宋" w:cs="仿宋"/>
          <w:sz w:val="24"/>
          <w:szCs w:val="24"/>
          <w:lang w:eastAsia="zh-CN"/>
        </w:rPr>
        <w:t>磋商</w:t>
      </w:r>
      <w:r>
        <w:rPr>
          <w:rFonts w:hint="eastAsia" w:ascii="仿宋" w:hAnsi="仿宋" w:eastAsia="仿宋" w:cs="仿宋"/>
          <w:sz w:val="24"/>
          <w:szCs w:val="24"/>
        </w:rPr>
        <w:t>文件要求提供的，必须提供。</w:t>
      </w:r>
    </w:p>
    <w:p w14:paraId="1002DE6B">
      <w:pPr>
        <w:spacing w:line="460" w:lineRule="exact"/>
        <w:ind w:firstLine="612" w:firstLineChars="250"/>
        <w:rPr>
          <w:rFonts w:hint="eastAsia" w:ascii="仿宋" w:hAnsi="仿宋" w:eastAsia="仿宋" w:cs="仿宋"/>
          <w:b/>
          <w:sz w:val="24"/>
          <w:szCs w:val="24"/>
        </w:rPr>
      </w:pPr>
    </w:p>
    <w:p w14:paraId="14C99716">
      <w:pPr>
        <w:spacing w:line="460" w:lineRule="exact"/>
        <w:ind w:firstLine="612" w:firstLineChars="250"/>
        <w:rPr>
          <w:rFonts w:hint="eastAsia" w:ascii="仿宋" w:hAnsi="仿宋" w:eastAsia="仿宋" w:cs="仿宋"/>
          <w:b/>
          <w:sz w:val="24"/>
          <w:szCs w:val="24"/>
        </w:rPr>
      </w:pPr>
    </w:p>
    <w:p w14:paraId="2D0BA309">
      <w:pPr>
        <w:spacing w:line="460" w:lineRule="exact"/>
        <w:ind w:firstLine="612" w:firstLineChars="250"/>
        <w:rPr>
          <w:rFonts w:hint="eastAsia" w:ascii="仿宋" w:hAnsi="仿宋" w:eastAsia="仿宋" w:cs="仿宋"/>
          <w:b/>
          <w:sz w:val="24"/>
          <w:szCs w:val="24"/>
        </w:rPr>
      </w:pPr>
    </w:p>
    <w:p w14:paraId="788E3130">
      <w:pPr>
        <w:pStyle w:val="39"/>
        <w:rPr>
          <w:rFonts w:hint="eastAsia" w:ascii="仿宋" w:hAnsi="仿宋" w:eastAsia="仿宋" w:cs="仿宋"/>
          <w:sz w:val="24"/>
          <w:szCs w:val="24"/>
        </w:rPr>
      </w:pPr>
    </w:p>
    <w:p w14:paraId="054885DC">
      <w:pPr>
        <w:pStyle w:val="40"/>
        <w:rPr>
          <w:rFonts w:hint="eastAsia" w:ascii="仿宋" w:hAnsi="仿宋" w:eastAsia="仿宋" w:cs="仿宋"/>
          <w:b/>
          <w:sz w:val="24"/>
          <w:szCs w:val="24"/>
        </w:rPr>
      </w:pPr>
    </w:p>
    <w:p w14:paraId="0E91F73D">
      <w:pPr>
        <w:pStyle w:val="40"/>
        <w:rPr>
          <w:rFonts w:hint="eastAsia" w:ascii="仿宋" w:hAnsi="仿宋" w:eastAsia="仿宋" w:cs="仿宋"/>
          <w:b/>
          <w:sz w:val="24"/>
          <w:szCs w:val="24"/>
        </w:rPr>
      </w:pPr>
    </w:p>
    <w:p w14:paraId="18C1B2F9">
      <w:pPr>
        <w:pStyle w:val="40"/>
        <w:rPr>
          <w:rFonts w:hint="eastAsia" w:ascii="仿宋" w:hAnsi="仿宋" w:eastAsia="仿宋" w:cs="仿宋"/>
          <w:b/>
          <w:sz w:val="24"/>
          <w:szCs w:val="24"/>
        </w:rPr>
      </w:pPr>
    </w:p>
    <w:p w14:paraId="6642A188">
      <w:pPr>
        <w:pStyle w:val="40"/>
        <w:rPr>
          <w:rFonts w:hint="eastAsia" w:ascii="仿宋" w:hAnsi="仿宋" w:eastAsia="仿宋" w:cs="仿宋"/>
          <w:b/>
          <w:sz w:val="24"/>
          <w:szCs w:val="24"/>
        </w:rPr>
      </w:pPr>
    </w:p>
    <w:p w14:paraId="75BC7376">
      <w:pPr>
        <w:pStyle w:val="40"/>
        <w:rPr>
          <w:rFonts w:hint="eastAsia" w:ascii="仿宋" w:hAnsi="仿宋" w:eastAsia="仿宋" w:cs="仿宋"/>
          <w:b/>
          <w:sz w:val="24"/>
          <w:szCs w:val="24"/>
        </w:rPr>
      </w:pPr>
    </w:p>
    <w:p w14:paraId="080C81B3">
      <w:pPr>
        <w:pStyle w:val="40"/>
        <w:rPr>
          <w:rFonts w:hint="eastAsia" w:ascii="仿宋" w:hAnsi="仿宋" w:eastAsia="仿宋" w:cs="仿宋"/>
          <w:b/>
          <w:sz w:val="24"/>
          <w:szCs w:val="24"/>
        </w:rPr>
      </w:pPr>
    </w:p>
    <w:p w14:paraId="66F43415">
      <w:pPr>
        <w:pStyle w:val="40"/>
        <w:rPr>
          <w:rFonts w:hint="eastAsia" w:ascii="仿宋" w:hAnsi="仿宋" w:eastAsia="仿宋" w:cs="仿宋"/>
          <w:b/>
          <w:sz w:val="24"/>
          <w:szCs w:val="24"/>
        </w:rPr>
      </w:pPr>
    </w:p>
    <w:p w14:paraId="037273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C377311">
      <w:pPr>
        <w:pStyle w:val="4"/>
        <w:ind w:firstLine="562"/>
        <w:jc w:val="center"/>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rPr>
        <w:t>1、</w:t>
      </w:r>
      <w:r>
        <w:rPr>
          <w:rFonts w:hint="eastAsia" w:ascii="仿宋" w:hAnsi="仿宋" w:eastAsia="仿宋" w:cs="仿宋"/>
          <w:b/>
          <w:bCs/>
          <w:sz w:val="24"/>
          <w:szCs w:val="24"/>
        </w:rPr>
        <w:t>投标函</w:t>
      </w:r>
    </w:p>
    <w:p w14:paraId="3E195EFA">
      <w:pPr>
        <w:spacing w:line="400" w:lineRule="exact"/>
        <w:rPr>
          <w:rFonts w:hint="eastAsia" w:ascii="仿宋" w:hAnsi="仿宋" w:eastAsia="仿宋" w:cs="仿宋"/>
          <w:sz w:val="24"/>
          <w:szCs w:val="24"/>
        </w:rPr>
      </w:pPr>
      <w:r>
        <w:rPr>
          <w:rFonts w:hint="eastAsia" w:ascii="仿宋" w:hAnsi="仿宋" w:eastAsia="仿宋" w:cs="仿宋"/>
          <w:sz w:val="24"/>
          <w:szCs w:val="24"/>
        </w:rPr>
        <w:t>致：（采购人）</w:t>
      </w:r>
    </w:p>
    <w:p w14:paraId="781386B4">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我公司收到贵单位   （项目名称）  招标文件，经认真研究，我们决定参加本项目投标。</w:t>
      </w:r>
    </w:p>
    <w:p w14:paraId="29C8374F">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14:paraId="5DFDFD43">
      <w:pPr>
        <w:numPr>
          <w:ilvl w:val="0"/>
          <w:numId w:val="0"/>
        </w:numPr>
        <w:bidi w:val="0"/>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中的一切要求，我方完全接受</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的规定和要求愿以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完成上述项目的所有工作。</w:t>
      </w:r>
    </w:p>
    <w:p w14:paraId="6A40A5FC">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2、供应商将按</w:t>
      </w:r>
      <w:r>
        <w:rPr>
          <w:rFonts w:hint="eastAsia" w:ascii="仿宋" w:hAnsi="仿宋" w:eastAsia="仿宋" w:cs="仿宋"/>
          <w:sz w:val="24"/>
          <w:szCs w:val="24"/>
          <w:lang w:eastAsia="zh-CN"/>
        </w:rPr>
        <w:t>磋商</w:t>
      </w:r>
      <w:r>
        <w:rPr>
          <w:rFonts w:hint="eastAsia" w:ascii="仿宋" w:hAnsi="仿宋" w:eastAsia="仿宋" w:cs="仿宋"/>
          <w:sz w:val="24"/>
          <w:szCs w:val="24"/>
        </w:rPr>
        <w:t>文件的规定履行合同责任和义务；</w:t>
      </w:r>
    </w:p>
    <w:p w14:paraId="334206F1">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3、供应商已详细阅读并理解了</w:t>
      </w:r>
      <w:r>
        <w:rPr>
          <w:rFonts w:hint="eastAsia" w:ascii="仿宋" w:hAnsi="仿宋" w:eastAsia="仿宋" w:cs="仿宋"/>
          <w:sz w:val="24"/>
          <w:szCs w:val="24"/>
          <w:lang w:eastAsia="zh-CN"/>
        </w:rPr>
        <w:t>磋商</w:t>
      </w:r>
      <w:r>
        <w:rPr>
          <w:rFonts w:hint="eastAsia" w:ascii="仿宋" w:hAnsi="仿宋" w:eastAsia="仿宋" w:cs="仿宋"/>
          <w:sz w:val="24"/>
          <w:szCs w:val="24"/>
        </w:rPr>
        <w:t>文件的全部，包括修改文件。我们完全理解并同意放弃对这方面有不明及误解的权利。</w:t>
      </w:r>
    </w:p>
    <w:p w14:paraId="7F8B0014">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4、本投标有效期自开标之日起</w:t>
      </w:r>
      <w:r>
        <w:rPr>
          <w:rFonts w:hint="eastAsia" w:ascii="仿宋" w:hAnsi="仿宋" w:eastAsia="仿宋" w:cs="仿宋"/>
          <w:sz w:val="24"/>
          <w:szCs w:val="24"/>
          <w:u w:val="single"/>
        </w:rPr>
        <w:t>　　　</w:t>
      </w:r>
      <w:r>
        <w:rPr>
          <w:rFonts w:hint="eastAsia" w:ascii="仿宋" w:hAnsi="仿宋" w:eastAsia="仿宋" w:cs="仿宋"/>
          <w:sz w:val="24"/>
          <w:szCs w:val="24"/>
        </w:rPr>
        <w:t>个日历日。</w:t>
      </w:r>
    </w:p>
    <w:p w14:paraId="509FE112">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5、在规定的开标时间后，如果在投标有效期内撤回投标，同意投标保证金将被贵方没收。</w:t>
      </w:r>
    </w:p>
    <w:p w14:paraId="1725FF6B">
      <w:pPr>
        <w:spacing w:line="400" w:lineRule="exact"/>
        <w:ind w:firstLine="555"/>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6、供应商同意提供按照贵方可能要求的与其投标有关的一切数据或资料，完全理解贵方不一定接受最低价的投标或收到的任何投标的约定。</w:t>
      </w:r>
    </w:p>
    <w:p w14:paraId="059FA72E">
      <w:pPr>
        <w:spacing w:line="400" w:lineRule="exact"/>
        <w:ind w:firstLine="570"/>
        <w:rPr>
          <w:rFonts w:hint="eastAsia" w:ascii="仿宋" w:hAnsi="仿宋" w:eastAsia="仿宋" w:cs="仿宋"/>
          <w:sz w:val="24"/>
          <w:szCs w:val="24"/>
        </w:rPr>
      </w:pPr>
      <w:r>
        <w:rPr>
          <w:rFonts w:hint="eastAsia" w:ascii="仿宋" w:hAnsi="仿宋" w:eastAsia="仿宋" w:cs="仿宋"/>
          <w:sz w:val="24"/>
          <w:szCs w:val="24"/>
        </w:rPr>
        <w:t>7、与本投标有关的一切正式往来信函请寄：</w:t>
      </w:r>
    </w:p>
    <w:p w14:paraId="3868DE8B">
      <w:pPr>
        <w:spacing w:line="400" w:lineRule="exact"/>
        <w:ind w:firstLine="857" w:firstLineChars="350"/>
        <w:rPr>
          <w:rFonts w:hint="eastAsia" w:ascii="仿宋" w:hAnsi="仿宋" w:eastAsia="仿宋" w:cs="仿宋"/>
          <w:sz w:val="24"/>
          <w:szCs w:val="24"/>
          <w:u w:val="single"/>
        </w:rPr>
      </w:pPr>
      <w:r>
        <w:rPr>
          <w:rFonts w:hint="eastAsia" w:ascii="仿宋" w:hAnsi="仿宋" w:eastAsia="仿宋" w:cs="仿宋"/>
          <w:sz w:val="24"/>
          <w:szCs w:val="24"/>
        </w:rPr>
        <w:t>供 应 商 名 称：</w:t>
      </w:r>
      <w:r>
        <w:rPr>
          <w:rFonts w:hint="eastAsia" w:ascii="仿宋" w:hAnsi="仿宋" w:eastAsia="仿宋" w:cs="仿宋"/>
          <w:sz w:val="24"/>
          <w:szCs w:val="24"/>
          <w:u w:val="single"/>
        </w:rPr>
        <w:t xml:space="preserve">　      　　　　　　　　　          </w:t>
      </w:r>
    </w:p>
    <w:p w14:paraId="5C0F607F">
      <w:pPr>
        <w:spacing w:line="400" w:lineRule="exact"/>
        <w:ind w:firstLine="857" w:firstLineChars="350"/>
        <w:rPr>
          <w:rFonts w:hint="eastAsia" w:ascii="仿宋" w:hAnsi="仿宋" w:eastAsia="仿宋" w:cs="仿宋"/>
          <w:sz w:val="24"/>
          <w:szCs w:val="24"/>
          <w:u w:val="single"/>
        </w:rPr>
      </w:pPr>
      <w:r>
        <w:rPr>
          <w:rFonts w:hint="eastAsia" w:ascii="仿宋" w:hAnsi="仿宋" w:eastAsia="仿宋" w:cs="仿宋"/>
          <w:sz w:val="24"/>
          <w:szCs w:val="24"/>
        </w:rPr>
        <w:t>供应商代表签字：</w:t>
      </w:r>
      <w:r>
        <w:rPr>
          <w:rFonts w:hint="eastAsia" w:ascii="仿宋" w:hAnsi="仿宋" w:eastAsia="仿宋" w:cs="仿宋"/>
          <w:sz w:val="24"/>
          <w:szCs w:val="24"/>
          <w:u w:val="single"/>
        </w:rPr>
        <w:t xml:space="preserve">　　　　　　　　　　　              </w:t>
      </w:r>
    </w:p>
    <w:p w14:paraId="0E831225">
      <w:pPr>
        <w:spacing w:line="400" w:lineRule="exact"/>
        <w:ind w:firstLine="857" w:firstLineChars="350"/>
        <w:rPr>
          <w:rFonts w:hint="eastAsia" w:ascii="仿宋" w:hAnsi="仿宋" w:eastAsia="仿宋" w:cs="仿宋"/>
          <w:sz w:val="24"/>
          <w:szCs w:val="24"/>
          <w:u w:val="single"/>
        </w:rPr>
      </w:pPr>
      <w:r>
        <w:rPr>
          <w:rFonts w:hint="eastAsia" w:ascii="仿宋" w:hAnsi="仿宋" w:eastAsia="仿宋" w:cs="仿宋"/>
          <w:sz w:val="24"/>
          <w:szCs w:val="24"/>
        </w:rPr>
        <w:t>公          章：</w:t>
      </w:r>
      <w:r>
        <w:rPr>
          <w:rFonts w:hint="eastAsia" w:ascii="仿宋" w:hAnsi="仿宋" w:eastAsia="仿宋" w:cs="仿宋"/>
          <w:sz w:val="24"/>
          <w:szCs w:val="24"/>
          <w:u w:val="single"/>
        </w:rPr>
        <w:t xml:space="preserve">　　　　　　　　　　　　　          </w:t>
      </w:r>
    </w:p>
    <w:p w14:paraId="53081158">
      <w:pPr>
        <w:spacing w:line="400" w:lineRule="exact"/>
        <w:ind w:firstLine="894" w:firstLineChars="365"/>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4689B6F2">
      <w:pPr>
        <w:spacing w:line="400" w:lineRule="exact"/>
        <w:rPr>
          <w:rFonts w:hint="eastAsia" w:ascii="仿宋" w:hAnsi="仿宋" w:eastAsia="仿宋" w:cs="仿宋"/>
          <w:sz w:val="24"/>
          <w:szCs w:val="24"/>
        </w:rPr>
      </w:pPr>
      <w:r>
        <w:rPr>
          <w:rFonts w:hint="eastAsia" w:ascii="仿宋" w:hAnsi="仿宋" w:eastAsia="仿宋" w:cs="仿宋"/>
          <w:sz w:val="24"/>
          <w:szCs w:val="24"/>
        </w:rPr>
        <w:t>　     电　　　　　话：</w:t>
      </w:r>
      <w:r>
        <w:rPr>
          <w:rFonts w:hint="eastAsia" w:ascii="仿宋" w:hAnsi="仿宋" w:eastAsia="仿宋" w:cs="仿宋"/>
          <w:sz w:val="24"/>
          <w:szCs w:val="24"/>
          <w:u w:val="single"/>
        </w:rPr>
        <w:t xml:space="preserve">　　　　　　　　　　                </w:t>
      </w:r>
    </w:p>
    <w:p w14:paraId="5D55B1FE">
      <w:pPr>
        <w:spacing w:line="400" w:lineRule="exact"/>
        <w:rPr>
          <w:rFonts w:hint="eastAsia" w:ascii="仿宋" w:hAnsi="仿宋" w:eastAsia="仿宋" w:cs="仿宋"/>
          <w:sz w:val="24"/>
          <w:szCs w:val="24"/>
        </w:rPr>
      </w:pPr>
      <w:r>
        <w:rPr>
          <w:rFonts w:hint="eastAsia" w:ascii="仿宋" w:hAnsi="仿宋" w:eastAsia="仿宋" w:cs="仿宋"/>
          <w:sz w:val="24"/>
          <w:szCs w:val="24"/>
        </w:rPr>
        <w:t>　     邮          编：</w:t>
      </w:r>
      <w:r>
        <w:rPr>
          <w:rFonts w:hint="eastAsia" w:ascii="仿宋" w:hAnsi="仿宋" w:eastAsia="仿宋" w:cs="仿宋"/>
          <w:sz w:val="24"/>
          <w:szCs w:val="24"/>
          <w:u w:val="single"/>
        </w:rPr>
        <w:t xml:space="preserve">　　　　   　　　                   </w:t>
      </w:r>
    </w:p>
    <w:p w14:paraId="78A295C3">
      <w:pPr>
        <w:spacing w:line="400" w:lineRule="exact"/>
        <w:rPr>
          <w:rFonts w:hint="eastAsia" w:ascii="仿宋" w:hAnsi="仿宋" w:eastAsia="仿宋" w:cs="仿宋"/>
          <w:sz w:val="24"/>
          <w:szCs w:val="24"/>
        </w:rPr>
      </w:pPr>
      <w:r>
        <w:rPr>
          <w:rFonts w:hint="eastAsia" w:ascii="仿宋" w:hAnsi="仿宋" w:eastAsia="仿宋" w:cs="仿宋"/>
          <w:sz w:val="24"/>
          <w:szCs w:val="24"/>
        </w:rPr>
        <w:t>　     传          真：</w:t>
      </w:r>
      <w:r>
        <w:rPr>
          <w:rFonts w:hint="eastAsia" w:ascii="仿宋" w:hAnsi="仿宋" w:eastAsia="仿宋" w:cs="仿宋"/>
          <w:sz w:val="24"/>
          <w:szCs w:val="24"/>
          <w:u w:val="single"/>
        </w:rPr>
        <w:t xml:space="preserve">　   　　　　　　                   </w:t>
      </w:r>
    </w:p>
    <w:p w14:paraId="357EE890">
      <w:pPr>
        <w:spacing w:line="400" w:lineRule="exact"/>
        <w:ind w:firstLine="245" w:firstLineChars="100"/>
        <w:rPr>
          <w:rFonts w:hint="eastAsia" w:ascii="仿宋" w:hAnsi="仿宋" w:eastAsia="仿宋" w:cs="仿宋"/>
          <w:sz w:val="24"/>
          <w:szCs w:val="24"/>
        </w:rPr>
      </w:pPr>
      <w:r>
        <w:rPr>
          <w:rFonts w:hint="eastAsia" w:ascii="仿宋" w:hAnsi="仿宋" w:eastAsia="仿宋" w:cs="仿宋"/>
          <w:sz w:val="24"/>
          <w:szCs w:val="24"/>
        </w:rPr>
        <w:t>　</w:t>
      </w:r>
    </w:p>
    <w:p w14:paraId="3A5C8021">
      <w:pPr>
        <w:spacing w:line="400" w:lineRule="exact"/>
        <w:rPr>
          <w:rFonts w:hint="eastAsia" w:ascii="仿宋" w:hAnsi="仿宋" w:eastAsia="仿宋" w:cs="仿宋"/>
          <w:sz w:val="24"/>
          <w:szCs w:val="24"/>
        </w:rPr>
      </w:pPr>
      <w:r>
        <w:rPr>
          <w:rFonts w:hint="eastAsia" w:ascii="仿宋" w:hAnsi="仿宋" w:eastAsia="仿宋" w:cs="仿宋"/>
          <w:sz w:val="24"/>
          <w:szCs w:val="24"/>
        </w:rPr>
        <w:t>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37552F">
      <w:pPr>
        <w:spacing w:line="400" w:lineRule="exact"/>
        <w:rPr>
          <w:rFonts w:hint="eastAsia" w:ascii="仿宋" w:hAnsi="仿宋" w:eastAsia="仿宋" w:cs="仿宋"/>
          <w:b/>
          <w:sz w:val="24"/>
          <w:szCs w:val="24"/>
        </w:rPr>
      </w:pPr>
    </w:p>
    <w:p w14:paraId="34DFE3E4">
      <w:pPr>
        <w:pStyle w:val="7"/>
        <w:rPr>
          <w:rFonts w:hint="eastAsia" w:ascii="仿宋" w:hAnsi="仿宋" w:eastAsia="仿宋" w:cs="仿宋"/>
          <w:b/>
          <w:sz w:val="24"/>
          <w:szCs w:val="24"/>
        </w:rPr>
      </w:pPr>
    </w:p>
    <w:p w14:paraId="13A03895">
      <w:pPr>
        <w:pStyle w:val="7"/>
        <w:rPr>
          <w:rFonts w:hint="eastAsia" w:ascii="仿宋" w:hAnsi="仿宋" w:eastAsia="仿宋" w:cs="仿宋"/>
          <w:b/>
          <w:sz w:val="24"/>
          <w:szCs w:val="24"/>
        </w:rPr>
      </w:pPr>
    </w:p>
    <w:p w14:paraId="669C1C78">
      <w:pPr>
        <w:pStyle w:val="7"/>
        <w:rPr>
          <w:rFonts w:hint="eastAsia" w:ascii="仿宋" w:hAnsi="仿宋" w:eastAsia="仿宋" w:cs="仿宋"/>
          <w:b/>
          <w:sz w:val="24"/>
          <w:szCs w:val="24"/>
        </w:rPr>
      </w:pPr>
    </w:p>
    <w:p w14:paraId="39061EA6">
      <w:pPr>
        <w:pStyle w:val="7"/>
        <w:rPr>
          <w:rFonts w:hint="eastAsia" w:ascii="仿宋" w:hAnsi="仿宋" w:eastAsia="仿宋" w:cs="仿宋"/>
          <w:b/>
          <w:sz w:val="24"/>
          <w:szCs w:val="24"/>
        </w:rPr>
      </w:pPr>
    </w:p>
    <w:p w14:paraId="43CC73E2">
      <w:pPr>
        <w:pStyle w:val="7"/>
        <w:rPr>
          <w:rFonts w:hint="eastAsia" w:ascii="仿宋" w:hAnsi="仿宋" w:eastAsia="仿宋" w:cs="仿宋"/>
          <w:b/>
          <w:sz w:val="24"/>
          <w:szCs w:val="24"/>
        </w:rPr>
      </w:pPr>
    </w:p>
    <w:p w14:paraId="58DB997E">
      <w:pPr>
        <w:pStyle w:val="7"/>
        <w:rPr>
          <w:rFonts w:hint="eastAsia" w:ascii="仿宋" w:hAnsi="仿宋" w:eastAsia="仿宋" w:cs="仿宋"/>
          <w:b/>
          <w:sz w:val="24"/>
          <w:szCs w:val="24"/>
        </w:rPr>
      </w:pPr>
    </w:p>
    <w:p w14:paraId="410F7C23">
      <w:pPr>
        <w:rPr>
          <w:rFonts w:hint="eastAsia" w:ascii="仿宋" w:hAnsi="仿宋" w:eastAsia="仿宋" w:cs="仿宋"/>
          <w:b/>
          <w:bCs/>
          <w:sz w:val="24"/>
          <w:szCs w:val="24"/>
        </w:rPr>
      </w:pPr>
      <w:r>
        <w:rPr>
          <w:rFonts w:hint="eastAsia" w:ascii="仿宋" w:hAnsi="仿宋" w:eastAsia="仿宋" w:cs="仿宋"/>
          <w:b/>
          <w:bCs/>
          <w:sz w:val="24"/>
          <w:szCs w:val="24"/>
        </w:rPr>
        <w:br w:type="page"/>
      </w:r>
    </w:p>
    <w:p w14:paraId="379DBDE9">
      <w:pPr>
        <w:pStyle w:val="4"/>
        <w:ind w:firstLine="562"/>
        <w:jc w:val="center"/>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rPr>
        <w:t>2、</w:t>
      </w:r>
      <w:r>
        <w:rPr>
          <w:rFonts w:hint="eastAsia" w:ascii="仿宋" w:hAnsi="仿宋" w:eastAsia="仿宋" w:cs="仿宋"/>
          <w:b/>
          <w:bCs/>
          <w:sz w:val="24"/>
          <w:szCs w:val="24"/>
        </w:rPr>
        <w:t>法人代表授权书格式</w:t>
      </w:r>
    </w:p>
    <w:p w14:paraId="185D339E">
      <w:pPr>
        <w:jc w:val="center"/>
        <w:rPr>
          <w:rFonts w:hint="eastAsia" w:ascii="仿宋" w:hAnsi="仿宋" w:eastAsia="仿宋" w:cs="仿宋"/>
          <w:b/>
          <w:bCs/>
          <w:sz w:val="24"/>
          <w:szCs w:val="24"/>
        </w:rPr>
      </w:pPr>
      <w:r>
        <w:rPr>
          <w:rFonts w:hint="eastAsia" w:ascii="仿宋" w:hAnsi="仿宋" w:eastAsia="仿宋" w:cs="仿宋"/>
          <w:b/>
          <w:bCs/>
          <w:sz w:val="24"/>
          <w:szCs w:val="24"/>
        </w:rPr>
        <w:t>法定代表人资格证明书</w:t>
      </w:r>
    </w:p>
    <w:p w14:paraId="0D437746">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单位名称：</w:t>
      </w:r>
    </w:p>
    <w:p w14:paraId="49D22E5C">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单位性质：</w:t>
      </w:r>
    </w:p>
    <w:p w14:paraId="51946249">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地址：</w:t>
      </w:r>
    </w:p>
    <w:p w14:paraId="060E3359">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成立时间：</w:t>
      </w:r>
    </w:p>
    <w:p w14:paraId="2645481C">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经营期限：</w:t>
      </w:r>
    </w:p>
    <w:p w14:paraId="36B0289A">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姓名： 性别：</w:t>
      </w:r>
    </w:p>
    <w:p w14:paraId="1D4D745B">
      <w:pPr>
        <w:spacing w:beforeLines="50" w:afterLines="50" w:line="360" w:lineRule="auto"/>
        <w:ind w:left="559" w:leftChars="260"/>
        <w:rPr>
          <w:rFonts w:hint="eastAsia" w:ascii="仿宋" w:hAnsi="仿宋" w:eastAsia="仿宋" w:cs="仿宋"/>
          <w:sz w:val="24"/>
          <w:szCs w:val="24"/>
          <w:u w:val="single"/>
        </w:rPr>
      </w:pPr>
      <w:r>
        <w:rPr>
          <w:rFonts w:hint="eastAsia" w:ascii="仿宋" w:hAnsi="仿宋" w:eastAsia="仿宋" w:cs="仿宋"/>
          <w:sz w:val="24"/>
          <w:szCs w:val="24"/>
        </w:rPr>
        <w:t>年龄：职务：</w:t>
      </w:r>
    </w:p>
    <w:p w14:paraId="791B766F">
      <w:pPr>
        <w:spacing w:beforeLines="50"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（供应商）</w:t>
      </w:r>
      <w:r>
        <w:rPr>
          <w:rFonts w:hint="eastAsia" w:ascii="仿宋" w:hAnsi="仿宋" w:eastAsia="仿宋" w:cs="仿宋"/>
          <w:sz w:val="24"/>
          <w:szCs w:val="24"/>
        </w:rPr>
        <w:t>的法定代表人。</w:t>
      </w:r>
      <w:r>
        <w:rPr>
          <w:rFonts w:hint="eastAsia" w:ascii="仿宋" w:hAnsi="仿宋" w:eastAsia="仿宋" w:cs="仿宋"/>
          <w:sz w:val="24"/>
          <w:szCs w:val="24"/>
        </w:rPr>
        <w:cr/>
      </w:r>
    </w:p>
    <w:p w14:paraId="41ACD3E8">
      <w:pPr>
        <w:spacing w:beforeLines="50"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15E97EC5">
      <w:pPr>
        <w:pStyle w:val="7"/>
        <w:rPr>
          <w:rFonts w:hint="eastAsia" w:ascii="仿宋" w:hAnsi="仿宋" w:eastAsia="仿宋" w:cs="仿宋"/>
          <w:sz w:val="24"/>
          <w:szCs w:val="24"/>
        </w:rPr>
      </w:pPr>
    </w:p>
    <w:p w14:paraId="2C49EA49">
      <w:pPr>
        <w:pStyle w:val="7"/>
        <w:spacing w:line="48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（此处附法人身份证复印件）</w:t>
      </w:r>
    </w:p>
    <w:p w14:paraId="0A19FF99">
      <w:pPr>
        <w:spacing w:beforeLines="50" w:afterLines="50" w:line="48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供应商公章：[供应商盖章]</w:t>
      </w:r>
    </w:p>
    <w:p w14:paraId="7A4E3987">
      <w:pPr>
        <w:spacing w:beforeLines="50" w:afterLines="50" w:line="480" w:lineRule="auto"/>
        <w:ind w:firstLine="506" w:firstLineChars="200"/>
        <w:rPr>
          <w:rFonts w:hint="eastAsia" w:ascii="仿宋" w:hAnsi="仿宋" w:eastAsia="仿宋" w:cs="仿宋"/>
          <w:sz w:val="24"/>
          <w:szCs w:val="24"/>
        </w:rPr>
      </w:pPr>
      <w:r>
        <w:rPr>
          <w:rFonts w:hint="eastAsia" w:ascii="仿宋" w:hAnsi="仿宋" w:eastAsia="仿宋" w:cs="仿宋"/>
          <w:spacing w:val="4"/>
          <w:sz w:val="24"/>
          <w:szCs w:val="24"/>
        </w:rPr>
        <w:t>日期：</w:t>
      </w:r>
      <w:r>
        <w:rPr>
          <w:rFonts w:hint="eastAsia" w:ascii="仿宋" w:hAnsi="仿宋" w:eastAsia="仿宋" w:cs="仿宋"/>
          <w:sz w:val="24"/>
          <w:szCs w:val="24"/>
        </w:rPr>
        <w:t>年   月   日</w:t>
      </w:r>
    </w:p>
    <w:p w14:paraId="01493D79">
      <w:pPr>
        <w:pStyle w:val="12"/>
        <w:ind w:left="0"/>
        <w:rPr>
          <w:rFonts w:hint="eastAsia" w:ascii="仿宋" w:hAnsi="仿宋" w:eastAsia="仿宋" w:cs="仿宋"/>
          <w:sz w:val="24"/>
          <w:szCs w:val="24"/>
        </w:rPr>
      </w:pPr>
    </w:p>
    <w:p w14:paraId="5D83D965">
      <w:pPr>
        <w:jc w:val="center"/>
        <w:rPr>
          <w:rFonts w:hint="eastAsia" w:ascii="仿宋" w:hAnsi="仿宋" w:eastAsia="仿宋" w:cs="仿宋"/>
          <w:b/>
          <w:bCs/>
          <w:sz w:val="24"/>
          <w:szCs w:val="24"/>
        </w:rPr>
      </w:pPr>
    </w:p>
    <w:p w14:paraId="6040611B">
      <w:pPr>
        <w:jc w:val="center"/>
        <w:rPr>
          <w:rFonts w:hint="eastAsia" w:ascii="仿宋" w:hAnsi="仿宋" w:eastAsia="仿宋" w:cs="仿宋"/>
          <w:b/>
          <w:bCs/>
          <w:sz w:val="24"/>
          <w:szCs w:val="24"/>
        </w:rPr>
      </w:pPr>
    </w:p>
    <w:p w14:paraId="757DA86D">
      <w:pPr>
        <w:jc w:val="center"/>
        <w:rPr>
          <w:rFonts w:hint="eastAsia" w:ascii="仿宋" w:hAnsi="仿宋" w:eastAsia="仿宋" w:cs="仿宋"/>
          <w:b/>
          <w:bCs/>
          <w:sz w:val="24"/>
          <w:szCs w:val="24"/>
        </w:rPr>
      </w:pPr>
    </w:p>
    <w:p w14:paraId="4488BFE5">
      <w:pPr>
        <w:jc w:val="center"/>
        <w:rPr>
          <w:rFonts w:hint="eastAsia" w:ascii="仿宋" w:hAnsi="仿宋" w:eastAsia="仿宋" w:cs="仿宋"/>
          <w:b/>
          <w:bCs/>
          <w:sz w:val="24"/>
          <w:szCs w:val="24"/>
        </w:rPr>
      </w:pPr>
    </w:p>
    <w:p w14:paraId="0DCC809F">
      <w:pPr>
        <w:jc w:val="center"/>
        <w:rPr>
          <w:rFonts w:hint="eastAsia" w:ascii="仿宋" w:hAnsi="仿宋" w:eastAsia="仿宋" w:cs="仿宋"/>
          <w:b/>
          <w:bCs/>
          <w:sz w:val="24"/>
          <w:szCs w:val="24"/>
        </w:rPr>
      </w:pPr>
    </w:p>
    <w:p w14:paraId="6BAD1A86">
      <w:pPr>
        <w:jc w:val="center"/>
        <w:rPr>
          <w:rFonts w:hint="eastAsia" w:ascii="仿宋" w:hAnsi="仿宋" w:eastAsia="仿宋" w:cs="仿宋"/>
          <w:b/>
          <w:bCs/>
          <w:sz w:val="24"/>
          <w:szCs w:val="24"/>
        </w:rPr>
      </w:pPr>
    </w:p>
    <w:p w14:paraId="701A0595">
      <w:pPr>
        <w:jc w:val="center"/>
        <w:rPr>
          <w:rFonts w:hint="eastAsia" w:ascii="仿宋" w:hAnsi="仿宋" w:eastAsia="仿宋" w:cs="仿宋"/>
          <w:b/>
          <w:bCs/>
          <w:sz w:val="24"/>
          <w:szCs w:val="24"/>
        </w:rPr>
      </w:pPr>
    </w:p>
    <w:p w14:paraId="0097C700">
      <w:pPr>
        <w:jc w:val="center"/>
        <w:rPr>
          <w:rFonts w:hint="eastAsia" w:ascii="仿宋" w:hAnsi="仿宋" w:eastAsia="仿宋" w:cs="仿宋"/>
          <w:b/>
          <w:bCs/>
          <w:sz w:val="24"/>
          <w:szCs w:val="24"/>
        </w:rPr>
      </w:pPr>
    </w:p>
    <w:p w14:paraId="1A9C3E42">
      <w:pPr>
        <w:jc w:val="center"/>
        <w:rPr>
          <w:rFonts w:hint="eastAsia" w:ascii="仿宋" w:hAnsi="仿宋" w:eastAsia="仿宋" w:cs="仿宋"/>
          <w:b/>
          <w:bCs/>
          <w:sz w:val="24"/>
          <w:szCs w:val="24"/>
        </w:rPr>
      </w:pPr>
    </w:p>
    <w:p w14:paraId="28B3CADD">
      <w:pPr>
        <w:jc w:val="center"/>
        <w:rPr>
          <w:rFonts w:hint="eastAsia" w:ascii="仿宋" w:hAnsi="仿宋" w:eastAsia="仿宋" w:cs="仿宋"/>
          <w:b/>
          <w:bCs/>
          <w:sz w:val="24"/>
          <w:szCs w:val="24"/>
        </w:rPr>
      </w:pPr>
    </w:p>
    <w:p w14:paraId="03CD3BD4">
      <w:pPr>
        <w:spacing w:beforeLines="50" w:afterLines="150"/>
        <w:jc w:val="cente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法人代表授权书</w:t>
      </w:r>
    </w:p>
    <w:p w14:paraId="1F66DDA4">
      <w:pPr>
        <w:spacing w:line="480" w:lineRule="auto"/>
        <w:ind w:firstLine="601"/>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（地区的名称）</w:t>
      </w:r>
      <w:r>
        <w:rPr>
          <w:rFonts w:hint="eastAsia" w:ascii="仿宋" w:hAnsi="仿宋" w:eastAsia="仿宋" w:cs="仿宋"/>
          <w:sz w:val="24"/>
          <w:szCs w:val="24"/>
        </w:rPr>
        <w:t>的</w:t>
      </w:r>
      <w:r>
        <w:rPr>
          <w:rFonts w:hint="eastAsia" w:ascii="仿宋" w:hAnsi="仿宋" w:eastAsia="仿宋" w:cs="仿宋"/>
          <w:sz w:val="24"/>
          <w:szCs w:val="24"/>
          <w:u w:val="single"/>
        </w:rPr>
        <w:t>（公司名称）</w:t>
      </w:r>
      <w:r>
        <w:rPr>
          <w:rFonts w:hint="eastAsia" w:ascii="仿宋" w:hAnsi="仿宋" w:eastAsia="仿宋" w:cs="仿宋"/>
          <w:sz w:val="24"/>
          <w:szCs w:val="24"/>
        </w:rPr>
        <w:t>，在下面签字的法人代表</w:t>
      </w:r>
      <w:r>
        <w:rPr>
          <w:rFonts w:hint="eastAsia" w:ascii="仿宋" w:hAnsi="仿宋" w:eastAsia="仿宋" w:cs="仿宋"/>
          <w:sz w:val="24"/>
          <w:szCs w:val="24"/>
          <w:u w:val="single"/>
        </w:rPr>
        <w:t>（姓名、职务）</w:t>
      </w:r>
      <w:r>
        <w:rPr>
          <w:rFonts w:hint="eastAsia" w:ascii="仿宋" w:hAnsi="仿宋" w:eastAsia="仿宋" w:cs="仿宋"/>
          <w:sz w:val="24"/>
          <w:szCs w:val="24"/>
        </w:rPr>
        <w:t>，代表本公司授权在下面签字的</w:t>
      </w:r>
      <w:r>
        <w:rPr>
          <w:rFonts w:hint="eastAsia" w:ascii="仿宋" w:hAnsi="仿宋" w:eastAsia="仿宋" w:cs="仿宋"/>
          <w:sz w:val="24"/>
          <w:szCs w:val="24"/>
          <w:u w:val="single"/>
        </w:rPr>
        <w:t>（被授权人的姓名、职务）</w:t>
      </w:r>
      <w:r>
        <w:rPr>
          <w:rFonts w:hint="eastAsia" w:ascii="仿宋" w:hAnsi="仿宋" w:eastAsia="仿宋" w:cs="仿宋"/>
          <w:sz w:val="24"/>
          <w:szCs w:val="24"/>
        </w:rPr>
        <w:t>为本公司的合法代理人，就</w:t>
      </w:r>
      <w:r>
        <w:rPr>
          <w:rFonts w:hint="eastAsia" w:ascii="仿宋" w:hAnsi="仿宋" w:eastAsia="仿宋" w:cs="仿宋"/>
          <w:sz w:val="24"/>
          <w:szCs w:val="24"/>
          <w:u w:val="single"/>
        </w:rPr>
        <w:t>　（项目名称）　</w:t>
      </w:r>
      <w:r>
        <w:rPr>
          <w:rFonts w:hint="eastAsia" w:ascii="仿宋" w:hAnsi="仿宋" w:eastAsia="仿宋" w:cs="仿宋"/>
          <w:sz w:val="24"/>
          <w:szCs w:val="24"/>
        </w:rPr>
        <w:t>的投标，以本公司的名义处理一切与之有关的事务。本授权书于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日签字生效，特此声明。</w:t>
      </w:r>
    </w:p>
    <w:p w14:paraId="1670573D">
      <w:pPr>
        <w:pStyle w:val="7"/>
        <w:rPr>
          <w:rFonts w:hint="eastAsia" w:ascii="仿宋" w:hAnsi="仿宋" w:eastAsia="仿宋" w:cs="仿宋"/>
          <w:sz w:val="24"/>
          <w:szCs w:val="24"/>
        </w:rPr>
      </w:pPr>
    </w:p>
    <w:p w14:paraId="3D536452">
      <w:pPr>
        <w:pStyle w:val="7"/>
        <w:rPr>
          <w:rFonts w:hint="eastAsia" w:ascii="仿宋" w:hAnsi="仿宋" w:eastAsia="仿宋" w:cs="仿宋"/>
          <w:sz w:val="24"/>
          <w:szCs w:val="24"/>
        </w:rPr>
      </w:pPr>
      <w:r>
        <w:rPr>
          <w:rFonts w:hint="eastAsia" w:ascii="仿宋" w:hAnsi="仿宋" w:eastAsia="仿宋" w:cs="仿宋"/>
          <w:sz w:val="24"/>
          <w:szCs w:val="24"/>
        </w:rPr>
        <w:t>（此处附法人身份证复印件及被授权人身份证复印件）</w:t>
      </w:r>
    </w:p>
    <w:p w14:paraId="3720CBAC">
      <w:pPr>
        <w:spacing w:line="360" w:lineRule="auto"/>
        <w:ind w:firstLine="482"/>
        <w:rPr>
          <w:rFonts w:hint="eastAsia" w:ascii="仿宋" w:hAnsi="仿宋" w:eastAsia="仿宋" w:cs="仿宋"/>
          <w:sz w:val="24"/>
          <w:szCs w:val="24"/>
        </w:rPr>
      </w:pPr>
    </w:p>
    <w:p w14:paraId="42955B4F">
      <w:pPr>
        <w:spacing w:line="480" w:lineRule="auto"/>
        <w:ind w:firstLine="2450" w:firstLineChars="1000"/>
        <w:rPr>
          <w:rFonts w:hint="eastAsia"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w:t>
      </w:r>
    </w:p>
    <w:p w14:paraId="1760BD88">
      <w:pPr>
        <w:spacing w:line="480" w:lineRule="auto"/>
        <w:ind w:firstLine="2450" w:firstLineChars="1000"/>
        <w:rPr>
          <w:rFonts w:hint="eastAsia"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w:t>
      </w:r>
    </w:p>
    <w:p w14:paraId="37112AC1">
      <w:pPr>
        <w:spacing w:line="480" w:lineRule="auto"/>
        <w:ind w:firstLine="2450" w:firstLineChars="1000"/>
        <w:rPr>
          <w:rFonts w:hint="eastAsia" w:ascii="仿宋" w:hAnsi="仿宋" w:eastAsia="仿宋" w:cs="仿宋"/>
          <w:sz w:val="24"/>
          <w:szCs w:val="24"/>
        </w:rPr>
      </w:pPr>
      <w:r>
        <w:rPr>
          <w:rFonts w:hint="eastAsia" w:ascii="仿宋" w:hAnsi="仿宋" w:eastAsia="仿宋" w:cs="仿宋"/>
          <w:sz w:val="24"/>
          <w:szCs w:val="24"/>
        </w:rPr>
        <w:t>公        章：</w:t>
      </w:r>
    </w:p>
    <w:p w14:paraId="57447451">
      <w:pPr>
        <w:spacing w:line="480" w:lineRule="auto"/>
        <w:ind w:firstLine="480"/>
        <w:rPr>
          <w:rFonts w:hint="eastAsia" w:ascii="仿宋" w:hAnsi="仿宋" w:eastAsia="仿宋" w:cs="仿宋"/>
          <w:sz w:val="24"/>
          <w:szCs w:val="24"/>
          <w:u w:val="single"/>
        </w:rPr>
      </w:pPr>
      <w:r>
        <w:rPr>
          <w:rFonts w:hint="eastAsia" w:ascii="仿宋" w:hAnsi="仿宋" w:eastAsia="仿宋" w:cs="仿宋"/>
          <w:sz w:val="24"/>
          <w:szCs w:val="24"/>
        </w:rPr>
        <w:t>　　　　　　　　授  权 日 期：</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14:paraId="483115B5">
      <w:pPr>
        <w:ind w:firstLine="490" w:firstLineChars="200"/>
        <w:rPr>
          <w:rFonts w:hint="eastAsia" w:ascii="仿宋" w:hAnsi="仿宋" w:eastAsia="仿宋" w:cs="仿宋"/>
          <w:b/>
          <w:sz w:val="24"/>
          <w:szCs w:val="24"/>
        </w:rPr>
      </w:pPr>
      <w:r>
        <w:rPr>
          <w:rFonts w:hint="eastAsia" w:ascii="仿宋" w:hAnsi="仿宋" w:eastAsia="仿宋" w:cs="仿宋"/>
          <w:b/>
          <w:sz w:val="24"/>
          <w:szCs w:val="24"/>
        </w:rPr>
        <w:t>注：法人代表本人作为公司代理人前来参加投标的，供应商可以不提供此项证明文件。</w:t>
      </w:r>
    </w:p>
    <w:p w14:paraId="6D13AA00">
      <w:pPr>
        <w:ind w:firstLine="490" w:firstLineChars="200"/>
        <w:rPr>
          <w:rFonts w:hint="eastAsia" w:ascii="仿宋" w:hAnsi="仿宋" w:eastAsia="仿宋" w:cs="仿宋"/>
          <w:b/>
          <w:sz w:val="24"/>
          <w:szCs w:val="24"/>
        </w:rPr>
      </w:pPr>
    </w:p>
    <w:p w14:paraId="6394E706">
      <w:pPr>
        <w:pStyle w:val="7"/>
        <w:rPr>
          <w:rFonts w:hint="eastAsia" w:ascii="仿宋" w:hAnsi="仿宋" w:eastAsia="仿宋" w:cs="仿宋"/>
          <w:b/>
          <w:sz w:val="24"/>
          <w:szCs w:val="24"/>
        </w:rPr>
      </w:pPr>
    </w:p>
    <w:p w14:paraId="7726FC13">
      <w:pPr>
        <w:pStyle w:val="7"/>
        <w:rPr>
          <w:rFonts w:hint="eastAsia" w:ascii="仿宋" w:hAnsi="仿宋" w:eastAsia="仿宋" w:cs="仿宋"/>
          <w:b/>
          <w:sz w:val="24"/>
          <w:szCs w:val="24"/>
        </w:rPr>
      </w:pPr>
    </w:p>
    <w:p w14:paraId="1FC3FBAF">
      <w:pPr>
        <w:pStyle w:val="4"/>
        <w:ind w:firstLine="562"/>
        <w:jc w:val="center"/>
        <w:rPr>
          <w:rFonts w:hint="eastAsia" w:ascii="仿宋" w:hAnsi="仿宋" w:eastAsia="仿宋" w:cs="仿宋"/>
          <w:b/>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rPr>
        <w:t>3、</w:t>
      </w:r>
      <w:r>
        <w:rPr>
          <w:rFonts w:hint="eastAsia" w:ascii="仿宋" w:hAnsi="仿宋" w:eastAsia="仿宋" w:cs="仿宋"/>
          <w:b/>
          <w:bCs/>
          <w:sz w:val="24"/>
          <w:szCs w:val="24"/>
        </w:rPr>
        <w:t>报价一览表</w:t>
      </w:r>
    </w:p>
    <w:p w14:paraId="4586D4D4">
      <w:pPr>
        <w:pStyle w:val="31"/>
        <w:spacing w:line="360" w:lineRule="auto"/>
        <w:ind w:left="215" w:leftChars="-86" w:hanging="399" w:hangingChars="163"/>
        <w:jc w:val="both"/>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供应商名称：                      </w:t>
      </w:r>
    </w:p>
    <w:p w14:paraId="1BD94C80">
      <w:pPr>
        <w:pStyle w:val="31"/>
        <w:spacing w:line="360" w:lineRule="auto"/>
        <w:ind w:left="215" w:leftChars="-86" w:hanging="399" w:hangingChars="163"/>
        <w:jc w:val="both"/>
        <w:rPr>
          <w:rFonts w:hint="eastAsia" w:ascii="仿宋" w:hAnsi="仿宋" w:eastAsia="仿宋" w:cs="仿宋"/>
          <w:b/>
          <w:color w:val="auto"/>
          <w:sz w:val="24"/>
          <w:szCs w:val="24"/>
        </w:rPr>
      </w:pPr>
      <w:r>
        <w:rPr>
          <w:rFonts w:hint="eastAsia" w:ascii="仿宋" w:hAnsi="仿宋" w:eastAsia="仿宋" w:cs="仿宋"/>
          <w:b/>
          <w:color w:val="auto"/>
          <w:sz w:val="24"/>
          <w:szCs w:val="24"/>
        </w:rPr>
        <w:t>项目编号：</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项目名称：</w:t>
      </w:r>
    </w:p>
    <w:tbl>
      <w:tblPr>
        <w:tblStyle w:val="25"/>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194"/>
        <w:gridCol w:w="1756"/>
        <w:gridCol w:w="2012"/>
        <w:gridCol w:w="867"/>
      </w:tblGrid>
      <w:tr w14:paraId="1CA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314" w:type="dxa"/>
            <w:noWrap/>
            <w:vAlign w:val="center"/>
          </w:tcPr>
          <w:p w14:paraId="78AEAC72">
            <w:pPr>
              <w:pStyle w:val="31"/>
              <w:ind w:left="-134" w:leftChars="-422" w:right="-761" w:rightChars="-354" w:hanging="773" w:hangingChars="316"/>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项目名称</w:t>
            </w:r>
          </w:p>
        </w:tc>
        <w:tc>
          <w:tcPr>
            <w:tcW w:w="2194" w:type="dxa"/>
            <w:noWrap/>
            <w:vAlign w:val="center"/>
          </w:tcPr>
          <w:p w14:paraId="4C279CE6">
            <w:pPr>
              <w:pStyle w:val="31"/>
              <w:ind w:left="-342" w:right="-354"/>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投标报价（元）</w:t>
            </w:r>
          </w:p>
        </w:tc>
        <w:tc>
          <w:tcPr>
            <w:tcW w:w="1756" w:type="dxa"/>
            <w:noWrap/>
            <w:vAlign w:val="center"/>
          </w:tcPr>
          <w:p w14:paraId="38CB6BCE">
            <w:pPr>
              <w:pStyle w:val="31"/>
              <w:ind w:left="-342" w:right="-354"/>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项目负责人</w:t>
            </w:r>
          </w:p>
        </w:tc>
        <w:tc>
          <w:tcPr>
            <w:tcW w:w="2012" w:type="dxa"/>
            <w:noWrap/>
            <w:vAlign w:val="center"/>
          </w:tcPr>
          <w:p w14:paraId="2CC074B8">
            <w:pPr>
              <w:pStyle w:val="31"/>
              <w:ind w:left="-342" w:right="-354"/>
              <w:jc w:val="center"/>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服务</w:t>
            </w:r>
            <w:r>
              <w:rPr>
                <w:rFonts w:hint="eastAsia" w:ascii="仿宋" w:hAnsi="仿宋" w:eastAsia="仿宋" w:cs="仿宋"/>
                <w:b/>
                <w:color w:val="auto"/>
                <w:kern w:val="2"/>
                <w:sz w:val="24"/>
                <w:szCs w:val="24"/>
              </w:rPr>
              <w:t>期限</w:t>
            </w:r>
          </w:p>
        </w:tc>
        <w:tc>
          <w:tcPr>
            <w:tcW w:w="867" w:type="dxa"/>
            <w:noWrap/>
            <w:vAlign w:val="center"/>
          </w:tcPr>
          <w:p w14:paraId="2C4997F9">
            <w:pPr>
              <w:pStyle w:val="31"/>
              <w:ind w:left="-342" w:right="-354"/>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备 注</w:t>
            </w:r>
          </w:p>
        </w:tc>
      </w:tr>
      <w:tr w14:paraId="3737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14" w:type="dxa"/>
            <w:noWrap/>
            <w:vAlign w:val="center"/>
          </w:tcPr>
          <w:p w14:paraId="61F2511B">
            <w:pPr>
              <w:pStyle w:val="31"/>
              <w:ind w:left="-342" w:right="-354"/>
              <w:jc w:val="center"/>
              <w:rPr>
                <w:rFonts w:hint="eastAsia" w:ascii="仿宋" w:hAnsi="仿宋" w:eastAsia="仿宋" w:cs="仿宋"/>
                <w:color w:val="auto"/>
                <w:kern w:val="2"/>
                <w:sz w:val="24"/>
                <w:szCs w:val="24"/>
              </w:rPr>
            </w:pPr>
          </w:p>
        </w:tc>
        <w:tc>
          <w:tcPr>
            <w:tcW w:w="2194" w:type="dxa"/>
            <w:noWrap/>
            <w:vAlign w:val="center"/>
          </w:tcPr>
          <w:p w14:paraId="098C1B5E">
            <w:pPr>
              <w:pStyle w:val="31"/>
              <w:ind w:left="-342" w:right="-354"/>
              <w:jc w:val="center"/>
              <w:rPr>
                <w:rFonts w:hint="eastAsia" w:ascii="仿宋" w:hAnsi="仿宋" w:eastAsia="仿宋" w:cs="仿宋"/>
                <w:color w:val="auto"/>
                <w:kern w:val="2"/>
                <w:sz w:val="24"/>
                <w:szCs w:val="24"/>
              </w:rPr>
            </w:pPr>
          </w:p>
        </w:tc>
        <w:tc>
          <w:tcPr>
            <w:tcW w:w="1756" w:type="dxa"/>
            <w:noWrap/>
            <w:vAlign w:val="center"/>
          </w:tcPr>
          <w:p w14:paraId="1DFC9AB9">
            <w:pPr>
              <w:pStyle w:val="31"/>
              <w:ind w:left="-342" w:right="-354"/>
              <w:jc w:val="center"/>
              <w:rPr>
                <w:rFonts w:hint="eastAsia" w:ascii="仿宋" w:hAnsi="仿宋" w:eastAsia="仿宋" w:cs="仿宋"/>
                <w:color w:val="auto"/>
                <w:kern w:val="2"/>
                <w:sz w:val="24"/>
                <w:szCs w:val="24"/>
              </w:rPr>
            </w:pPr>
          </w:p>
        </w:tc>
        <w:tc>
          <w:tcPr>
            <w:tcW w:w="2012" w:type="dxa"/>
            <w:noWrap/>
            <w:vAlign w:val="center"/>
          </w:tcPr>
          <w:p w14:paraId="014840DA">
            <w:pPr>
              <w:pStyle w:val="31"/>
              <w:ind w:left="-342" w:right="-354"/>
              <w:jc w:val="center"/>
              <w:rPr>
                <w:rFonts w:hint="eastAsia" w:ascii="仿宋" w:hAnsi="仿宋" w:eastAsia="仿宋" w:cs="仿宋"/>
                <w:color w:val="auto"/>
                <w:kern w:val="2"/>
                <w:sz w:val="24"/>
                <w:szCs w:val="24"/>
              </w:rPr>
            </w:pPr>
          </w:p>
        </w:tc>
        <w:tc>
          <w:tcPr>
            <w:tcW w:w="867" w:type="dxa"/>
            <w:noWrap/>
            <w:vAlign w:val="center"/>
          </w:tcPr>
          <w:p w14:paraId="4E2978BB">
            <w:pPr>
              <w:pStyle w:val="31"/>
              <w:ind w:left="-342" w:right="-354"/>
              <w:jc w:val="center"/>
              <w:rPr>
                <w:rFonts w:hint="eastAsia" w:ascii="仿宋" w:hAnsi="仿宋" w:eastAsia="仿宋" w:cs="仿宋"/>
                <w:color w:val="auto"/>
                <w:kern w:val="2"/>
                <w:sz w:val="24"/>
                <w:szCs w:val="24"/>
              </w:rPr>
            </w:pPr>
          </w:p>
        </w:tc>
      </w:tr>
      <w:tr w14:paraId="43B3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14" w:type="dxa"/>
            <w:noWrap/>
            <w:vAlign w:val="center"/>
          </w:tcPr>
          <w:p w14:paraId="28B7914B">
            <w:pPr>
              <w:pStyle w:val="31"/>
              <w:ind w:left="-342" w:right="69" w:firstLine="271" w:firstLineChars="111"/>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p>
        </w:tc>
        <w:tc>
          <w:tcPr>
            <w:tcW w:w="6829" w:type="dxa"/>
            <w:gridSpan w:val="4"/>
            <w:noWrap/>
            <w:vAlign w:val="center"/>
          </w:tcPr>
          <w:p w14:paraId="78E0E59F">
            <w:pPr>
              <w:pStyle w:val="31"/>
              <w:ind w:left="-342" w:right="-354"/>
              <w:jc w:val="center"/>
              <w:rPr>
                <w:rFonts w:hint="eastAsia" w:ascii="仿宋" w:hAnsi="仿宋" w:eastAsia="仿宋" w:cs="仿宋"/>
                <w:color w:val="auto"/>
                <w:kern w:val="2"/>
                <w:sz w:val="24"/>
                <w:szCs w:val="24"/>
              </w:rPr>
            </w:pPr>
          </w:p>
        </w:tc>
      </w:tr>
      <w:tr w14:paraId="49A1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14" w:type="dxa"/>
            <w:noWrap/>
            <w:vAlign w:val="center"/>
          </w:tcPr>
          <w:p w14:paraId="62A2F2C7">
            <w:pPr>
              <w:pStyle w:val="31"/>
              <w:ind w:left="-342" w:right="-354"/>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备注</w:t>
            </w:r>
          </w:p>
        </w:tc>
        <w:tc>
          <w:tcPr>
            <w:tcW w:w="6829" w:type="dxa"/>
            <w:gridSpan w:val="4"/>
            <w:noWrap/>
            <w:vAlign w:val="center"/>
          </w:tcPr>
          <w:p w14:paraId="5C030FB1">
            <w:pPr>
              <w:pStyle w:val="31"/>
              <w:tabs>
                <w:tab w:val="left" w:pos="507"/>
              </w:tabs>
              <w:ind w:right="-354"/>
              <w:rPr>
                <w:rFonts w:hint="eastAsia" w:ascii="仿宋" w:hAnsi="仿宋" w:eastAsia="仿宋" w:cs="仿宋"/>
                <w:color w:val="auto"/>
                <w:kern w:val="2"/>
                <w:sz w:val="24"/>
                <w:szCs w:val="24"/>
              </w:rPr>
            </w:pPr>
          </w:p>
        </w:tc>
      </w:tr>
    </w:tbl>
    <w:p w14:paraId="71676E4B">
      <w:pPr>
        <w:pStyle w:val="31"/>
        <w:spacing w:line="360" w:lineRule="auto"/>
        <w:ind w:left="-340" w:right="-351" w:firstLine="245" w:firstLineChars="100"/>
        <w:rPr>
          <w:rFonts w:hint="eastAsia" w:ascii="仿宋" w:hAnsi="仿宋" w:eastAsia="仿宋" w:cs="仿宋"/>
          <w:b/>
          <w:color w:val="auto"/>
          <w:sz w:val="24"/>
          <w:szCs w:val="24"/>
        </w:rPr>
      </w:pPr>
      <w:r>
        <w:rPr>
          <w:rFonts w:hint="eastAsia" w:ascii="仿宋" w:hAnsi="仿宋" w:eastAsia="仿宋" w:cs="仿宋"/>
          <w:bCs/>
          <w:color w:val="auto"/>
          <w:sz w:val="24"/>
          <w:szCs w:val="24"/>
        </w:rPr>
        <w:t>注：</w:t>
      </w:r>
      <w:r>
        <w:rPr>
          <w:rFonts w:hint="eastAsia" w:ascii="仿宋" w:hAnsi="仿宋" w:eastAsia="仿宋" w:cs="仿宋"/>
          <w:color w:val="auto"/>
          <w:sz w:val="24"/>
          <w:szCs w:val="24"/>
          <w:highlight w:val="none"/>
          <w:lang w:val="zh-CN"/>
        </w:rPr>
        <w:t>报价包含本合同承揽事项所需的一切</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zh-CN"/>
        </w:rPr>
        <w:t>（人工费、材料费、差旅费、委托第三方事项产生的所有设备费和其他费用以及本项目产生的所有税费）</w:t>
      </w:r>
    </w:p>
    <w:p w14:paraId="6AA59E41">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供应商名称（盖章）：</w:t>
      </w:r>
    </w:p>
    <w:p w14:paraId="0BA5B882">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法定代表人或委托代理人（签字或盖章）：</w:t>
      </w:r>
    </w:p>
    <w:p w14:paraId="4F50CED2">
      <w:pPr>
        <w:bidi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82EA7EF">
      <w:pPr>
        <w:pStyle w:val="31"/>
        <w:spacing w:line="480" w:lineRule="auto"/>
        <w:rPr>
          <w:rFonts w:hint="eastAsia" w:ascii="仿宋" w:hAnsi="仿宋" w:eastAsia="仿宋" w:cs="仿宋"/>
          <w:b/>
          <w:color w:val="auto"/>
          <w:sz w:val="24"/>
          <w:szCs w:val="24"/>
        </w:rPr>
      </w:pPr>
    </w:p>
    <w:p w14:paraId="3BC98E37">
      <w:pPr>
        <w:pStyle w:val="31"/>
        <w:spacing w:line="480" w:lineRule="auto"/>
        <w:rPr>
          <w:rFonts w:hint="eastAsia" w:ascii="仿宋" w:hAnsi="仿宋" w:eastAsia="仿宋" w:cs="仿宋"/>
          <w:b/>
          <w:color w:val="auto"/>
          <w:sz w:val="24"/>
          <w:szCs w:val="24"/>
        </w:rPr>
      </w:pPr>
    </w:p>
    <w:p w14:paraId="7765C7CB">
      <w:pPr>
        <w:pStyle w:val="31"/>
        <w:spacing w:line="480" w:lineRule="auto"/>
        <w:rPr>
          <w:rFonts w:hint="eastAsia" w:ascii="仿宋" w:hAnsi="仿宋" w:eastAsia="仿宋" w:cs="仿宋"/>
          <w:b/>
          <w:color w:val="auto"/>
          <w:sz w:val="24"/>
          <w:szCs w:val="24"/>
        </w:rPr>
      </w:pPr>
    </w:p>
    <w:p w14:paraId="1522B91D">
      <w:pPr>
        <w:pStyle w:val="31"/>
        <w:spacing w:line="480" w:lineRule="auto"/>
        <w:rPr>
          <w:rFonts w:hint="eastAsia" w:ascii="仿宋" w:hAnsi="仿宋" w:eastAsia="仿宋" w:cs="仿宋"/>
          <w:b/>
          <w:color w:val="auto"/>
          <w:sz w:val="24"/>
          <w:szCs w:val="24"/>
        </w:rPr>
      </w:pPr>
    </w:p>
    <w:p w14:paraId="3AEAE385">
      <w:pPr>
        <w:pStyle w:val="31"/>
        <w:spacing w:line="480" w:lineRule="auto"/>
        <w:rPr>
          <w:rFonts w:hint="eastAsia" w:ascii="仿宋" w:hAnsi="仿宋" w:eastAsia="仿宋" w:cs="仿宋"/>
          <w:b/>
          <w:color w:val="auto"/>
          <w:sz w:val="24"/>
          <w:szCs w:val="24"/>
        </w:rPr>
      </w:pPr>
    </w:p>
    <w:p w14:paraId="686CB0E5">
      <w:pPr>
        <w:pStyle w:val="31"/>
        <w:spacing w:line="480" w:lineRule="auto"/>
        <w:rPr>
          <w:rFonts w:hint="eastAsia" w:ascii="仿宋" w:hAnsi="仿宋" w:eastAsia="仿宋" w:cs="仿宋"/>
          <w:b/>
          <w:color w:val="auto"/>
          <w:sz w:val="24"/>
          <w:szCs w:val="24"/>
        </w:rPr>
      </w:pPr>
    </w:p>
    <w:p w14:paraId="4F390283">
      <w:pPr>
        <w:rPr>
          <w:rFonts w:hint="eastAsia" w:ascii="仿宋" w:hAnsi="仿宋" w:eastAsia="仿宋" w:cs="仿宋"/>
          <w:b/>
          <w:bCs/>
          <w:sz w:val="24"/>
          <w:szCs w:val="24"/>
        </w:rPr>
      </w:pPr>
      <w:r>
        <w:rPr>
          <w:rFonts w:hint="eastAsia" w:ascii="仿宋" w:hAnsi="仿宋" w:eastAsia="仿宋" w:cs="仿宋"/>
          <w:b/>
          <w:bCs/>
          <w:sz w:val="24"/>
          <w:szCs w:val="24"/>
        </w:rPr>
        <w:br w:type="page"/>
      </w:r>
    </w:p>
    <w:p w14:paraId="11871CCA">
      <w:pPr>
        <w:pStyle w:val="4"/>
        <w:ind w:firstLine="562"/>
        <w:jc w:val="center"/>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rPr>
        <w:t>4、供应商资质证明文件（包括但不限于）</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980"/>
        <w:gridCol w:w="146"/>
        <w:gridCol w:w="893"/>
        <w:gridCol w:w="917"/>
        <w:gridCol w:w="459"/>
        <w:gridCol w:w="341"/>
        <w:gridCol w:w="1176"/>
        <w:gridCol w:w="147"/>
        <w:gridCol w:w="57"/>
        <w:gridCol w:w="686"/>
        <w:gridCol w:w="1669"/>
      </w:tblGrid>
      <w:tr w14:paraId="3D5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25" w:type="dxa"/>
            <w:noWrap w:val="0"/>
            <w:vAlign w:val="center"/>
          </w:tcPr>
          <w:p w14:paraId="186AE6BB">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471" w:type="dxa"/>
            <w:gridSpan w:val="11"/>
            <w:noWrap w:val="0"/>
            <w:vAlign w:val="center"/>
          </w:tcPr>
          <w:p w14:paraId="1922843F">
            <w:pPr>
              <w:pStyle w:val="56"/>
              <w:topLinePunct/>
              <w:spacing w:line="360" w:lineRule="auto"/>
              <w:jc w:val="center"/>
              <w:rPr>
                <w:rFonts w:hint="eastAsia" w:ascii="仿宋" w:hAnsi="仿宋" w:eastAsia="仿宋" w:cs="仿宋"/>
                <w:color w:val="auto"/>
                <w:sz w:val="24"/>
                <w:szCs w:val="24"/>
                <w:highlight w:val="none"/>
              </w:rPr>
            </w:pPr>
          </w:p>
        </w:tc>
      </w:tr>
      <w:tr w14:paraId="0DC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14:paraId="4E77702F">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7471" w:type="dxa"/>
            <w:gridSpan w:val="11"/>
            <w:noWrap w:val="0"/>
            <w:vAlign w:val="center"/>
          </w:tcPr>
          <w:p w14:paraId="1DC11FDB">
            <w:pPr>
              <w:pStyle w:val="56"/>
              <w:topLinePunct/>
              <w:spacing w:line="360" w:lineRule="auto"/>
              <w:jc w:val="center"/>
              <w:rPr>
                <w:rFonts w:hint="eastAsia" w:ascii="仿宋" w:hAnsi="仿宋" w:eastAsia="仿宋" w:cs="仿宋"/>
                <w:color w:val="auto"/>
                <w:sz w:val="24"/>
                <w:szCs w:val="24"/>
                <w:highlight w:val="none"/>
              </w:rPr>
            </w:pPr>
          </w:p>
        </w:tc>
      </w:tr>
      <w:tr w14:paraId="1E95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restart"/>
            <w:noWrap w:val="0"/>
            <w:vAlign w:val="center"/>
          </w:tcPr>
          <w:p w14:paraId="4FC7B846">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126" w:type="dxa"/>
            <w:gridSpan w:val="2"/>
            <w:noWrap w:val="0"/>
            <w:vAlign w:val="center"/>
          </w:tcPr>
          <w:p w14:paraId="326C97A2">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610" w:type="dxa"/>
            <w:gridSpan w:val="4"/>
            <w:noWrap w:val="0"/>
            <w:vAlign w:val="center"/>
          </w:tcPr>
          <w:p w14:paraId="70934B2D">
            <w:pPr>
              <w:pStyle w:val="56"/>
              <w:topLinePunct/>
              <w:spacing w:line="360" w:lineRule="auto"/>
              <w:jc w:val="center"/>
              <w:rPr>
                <w:rFonts w:hint="eastAsia" w:ascii="仿宋" w:hAnsi="仿宋" w:eastAsia="仿宋" w:cs="仿宋"/>
                <w:color w:val="auto"/>
                <w:sz w:val="24"/>
                <w:szCs w:val="24"/>
                <w:highlight w:val="none"/>
              </w:rPr>
            </w:pPr>
          </w:p>
        </w:tc>
        <w:tc>
          <w:tcPr>
            <w:tcW w:w="1380" w:type="dxa"/>
            <w:gridSpan w:val="3"/>
            <w:noWrap w:val="0"/>
            <w:vAlign w:val="center"/>
          </w:tcPr>
          <w:p w14:paraId="5C61AC8D">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355" w:type="dxa"/>
            <w:gridSpan w:val="2"/>
            <w:noWrap w:val="0"/>
            <w:vAlign w:val="center"/>
          </w:tcPr>
          <w:p w14:paraId="4FCFE98D">
            <w:pPr>
              <w:pStyle w:val="56"/>
              <w:topLinePunct/>
              <w:spacing w:line="360" w:lineRule="auto"/>
              <w:jc w:val="center"/>
              <w:rPr>
                <w:rFonts w:hint="eastAsia" w:ascii="仿宋" w:hAnsi="仿宋" w:eastAsia="仿宋" w:cs="仿宋"/>
                <w:color w:val="auto"/>
                <w:sz w:val="24"/>
                <w:szCs w:val="24"/>
                <w:highlight w:val="none"/>
              </w:rPr>
            </w:pPr>
          </w:p>
        </w:tc>
      </w:tr>
      <w:tr w14:paraId="7CED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continue"/>
            <w:noWrap w:val="0"/>
            <w:vAlign w:val="center"/>
          </w:tcPr>
          <w:p w14:paraId="26DFC92E">
            <w:pPr>
              <w:spacing w:line="360" w:lineRule="auto"/>
              <w:rPr>
                <w:rFonts w:hint="eastAsia" w:ascii="仿宋" w:hAnsi="仿宋" w:eastAsia="仿宋" w:cs="仿宋"/>
                <w:color w:val="auto"/>
                <w:sz w:val="24"/>
                <w:szCs w:val="24"/>
                <w:highlight w:val="none"/>
              </w:rPr>
            </w:pPr>
          </w:p>
        </w:tc>
        <w:tc>
          <w:tcPr>
            <w:tcW w:w="1126" w:type="dxa"/>
            <w:gridSpan w:val="2"/>
            <w:noWrap w:val="0"/>
            <w:vAlign w:val="center"/>
          </w:tcPr>
          <w:p w14:paraId="1D71DEA8">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610" w:type="dxa"/>
            <w:gridSpan w:val="4"/>
            <w:noWrap w:val="0"/>
            <w:vAlign w:val="center"/>
          </w:tcPr>
          <w:p w14:paraId="4CC7B628">
            <w:pPr>
              <w:pStyle w:val="56"/>
              <w:topLinePunct/>
              <w:spacing w:line="360" w:lineRule="auto"/>
              <w:jc w:val="center"/>
              <w:rPr>
                <w:rFonts w:hint="eastAsia" w:ascii="仿宋" w:hAnsi="仿宋" w:eastAsia="仿宋" w:cs="仿宋"/>
                <w:color w:val="auto"/>
                <w:sz w:val="24"/>
                <w:szCs w:val="24"/>
                <w:highlight w:val="none"/>
              </w:rPr>
            </w:pPr>
          </w:p>
        </w:tc>
        <w:tc>
          <w:tcPr>
            <w:tcW w:w="1380" w:type="dxa"/>
            <w:gridSpan w:val="3"/>
            <w:noWrap w:val="0"/>
            <w:vAlign w:val="center"/>
          </w:tcPr>
          <w:p w14:paraId="1726ABAF">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355" w:type="dxa"/>
            <w:gridSpan w:val="2"/>
            <w:noWrap w:val="0"/>
            <w:vAlign w:val="center"/>
          </w:tcPr>
          <w:p w14:paraId="245B9D30">
            <w:pPr>
              <w:pStyle w:val="56"/>
              <w:topLinePunct/>
              <w:spacing w:line="360" w:lineRule="auto"/>
              <w:jc w:val="center"/>
              <w:rPr>
                <w:rFonts w:hint="eastAsia" w:ascii="仿宋" w:hAnsi="仿宋" w:eastAsia="仿宋" w:cs="仿宋"/>
                <w:color w:val="auto"/>
                <w:sz w:val="24"/>
                <w:szCs w:val="24"/>
                <w:highlight w:val="none"/>
              </w:rPr>
            </w:pPr>
          </w:p>
        </w:tc>
      </w:tr>
      <w:tr w14:paraId="4444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25" w:type="dxa"/>
            <w:noWrap w:val="0"/>
            <w:vAlign w:val="center"/>
          </w:tcPr>
          <w:p w14:paraId="1B54B86B">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p w14:paraId="0B04BC86">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w:t>
            </w:r>
          </w:p>
        </w:tc>
        <w:tc>
          <w:tcPr>
            <w:tcW w:w="7471" w:type="dxa"/>
            <w:gridSpan w:val="11"/>
            <w:noWrap w:val="0"/>
            <w:vAlign w:val="center"/>
          </w:tcPr>
          <w:p w14:paraId="469FA337">
            <w:pPr>
              <w:pStyle w:val="56"/>
              <w:topLinePunct/>
              <w:spacing w:line="360" w:lineRule="auto"/>
              <w:jc w:val="center"/>
              <w:rPr>
                <w:rFonts w:hint="eastAsia" w:ascii="仿宋" w:hAnsi="仿宋" w:eastAsia="仿宋" w:cs="仿宋"/>
                <w:color w:val="auto"/>
                <w:sz w:val="24"/>
                <w:szCs w:val="24"/>
                <w:highlight w:val="none"/>
              </w:rPr>
            </w:pPr>
          </w:p>
        </w:tc>
      </w:tr>
      <w:tr w14:paraId="0A66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14:paraId="7AF03EB1">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980" w:type="dxa"/>
            <w:noWrap w:val="0"/>
            <w:vAlign w:val="center"/>
          </w:tcPr>
          <w:p w14:paraId="5C195802">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39" w:type="dxa"/>
            <w:gridSpan w:val="2"/>
            <w:noWrap w:val="0"/>
            <w:vAlign w:val="center"/>
          </w:tcPr>
          <w:p w14:paraId="10B30B3B">
            <w:pPr>
              <w:pStyle w:val="56"/>
              <w:topLinePunct/>
              <w:spacing w:line="360" w:lineRule="auto"/>
              <w:jc w:val="center"/>
              <w:rPr>
                <w:rFonts w:hint="eastAsia" w:ascii="仿宋" w:hAnsi="仿宋" w:eastAsia="仿宋" w:cs="仿宋"/>
                <w:color w:val="auto"/>
                <w:sz w:val="24"/>
                <w:szCs w:val="24"/>
                <w:highlight w:val="none"/>
              </w:rPr>
            </w:pPr>
          </w:p>
        </w:tc>
        <w:tc>
          <w:tcPr>
            <w:tcW w:w="1376" w:type="dxa"/>
            <w:gridSpan w:val="2"/>
            <w:noWrap w:val="0"/>
            <w:vAlign w:val="center"/>
          </w:tcPr>
          <w:p w14:paraId="6656F6FE">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517" w:type="dxa"/>
            <w:gridSpan w:val="2"/>
            <w:noWrap w:val="0"/>
            <w:vAlign w:val="center"/>
          </w:tcPr>
          <w:p w14:paraId="0C2A6E84">
            <w:pPr>
              <w:pStyle w:val="56"/>
              <w:topLinePunct/>
              <w:spacing w:line="360" w:lineRule="auto"/>
              <w:jc w:val="center"/>
              <w:rPr>
                <w:rFonts w:hint="eastAsia" w:ascii="仿宋" w:hAnsi="仿宋" w:eastAsia="仿宋" w:cs="仿宋"/>
                <w:color w:val="auto"/>
                <w:sz w:val="24"/>
                <w:szCs w:val="24"/>
                <w:highlight w:val="none"/>
              </w:rPr>
            </w:pPr>
          </w:p>
        </w:tc>
        <w:tc>
          <w:tcPr>
            <w:tcW w:w="890" w:type="dxa"/>
            <w:gridSpan w:val="3"/>
            <w:noWrap w:val="0"/>
            <w:vAlign w:val="center"/>
          </w:tcPr>
          <w:p w14:paraId="3CA4BB2A">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669" w:type="dxa"/>
            <w:noWrap w:val="0"/>
            <w:vAlign w:val="center"/>
          </w:tcPr>
          <w:p w14:paraId="3DBA98C1">
            <w:pPr>
              <w:pStyle w:val="56"/>
              <w:topLinePunct/>
              <w:spacing w:line="360" w:lineRule="auto"/>
              <w:jc w:val="center"/>
              <w:rPr>
                <w:rFonts w:hint="eastAsia" w:ascii="仿宋" w:hAnsi="仿宋" w:eastAsia="仿宋" w:cs="仿宋"/>
                <w:color w:val="auto"/>
                <w:sz w:val="24"/>
                <w:szCs w:val="24"/>
                <w:highlight w:val="none"/>
              </w:rPr>
            </w:pPr>
          </w:p>
        </w:tc>
      </w:tr>
      <w:tr w14:paraId="1A31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5" w:type="dxa"/>
            <w:noWrap w:val="0"/>
            <w:vAlign w:val="center"/>
          </w:tcPr>
          <w:p w14:paraId="4E3EA743">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980" w:type="dxa"/>
            <w:noWrap w:val="0"/>
            <w:vAlign w:val="center"/>
          </w:tcPr>
          <w:p w14:paraId="0F636BFF">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39" w:type="dxa"/>
            <w:gridSpan w:val="2"/>
            <w:noWrap w:val="0"/>
            <w:vAlign w:val="center"/>
          </w:tcPr>
          <w:p w14:paraId="222F87DB">
            <w:pPr>
              <w:pStyle w:val="56"/>
              <w:topLinePunct/>
              <w:spacing w:line="360" w:lineRule="auto"/>
              <w:jc w:val="center"/>
              <w:rPr>
                <w:rFonts w:hint="eastAsia" w:ascii="仿宋" w:hAnsi="仿宋" w:eastAsia="仿宋" w:cs="仿宋"/>
                <w:color w:val="auto"/>
                <w:sz w:val="24"/>
                <w:szCs w:val="24"/>
                <w:highlight w:val="none"/>
              </w:rPr>
            </w:pPr>
          </w:p>
        </w:tc>
        <w:tc>
          <w:tcPr>
            <w:tcW w:w="1376" w:type="dxa"/>
            <w:gridSpan w:val="2"/>
            <w:noWrap w:val="0"/>
            <w:vAlign w:val="center"/>
          </w:tcPr>
          <w:p w14:paraId="7487EDF0">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517" w:type="dxa"/>
            <w:gridSpan w:val="2"/>
            <w:noWrap w:val="0"/>
            <w:vAlign w:val="center"/>
          </w:tcPr>
          <w:p w14:paraId="1836A5F3">
            <w:pPr>
              <w:pStyle w:val="56"/>
              <w:topLinePunct/>
              <w:spacing w:line="360" w:lineRule="auto"/>
              <w:jc w:val="center"/>
              <w:rPr>
                <w:rFonts w:hint="eastAsia" w:ascii="仿宋" w:hAnsi="仿宋" w:eastAsia="仿宋" w:cs="仿宋"/>
                <w:color w:val="auto"/>
                <w:sz w:val="24"/>
                <w:szCs w:val="24"/>
                <w:highlight w:val="none"/>
              </w:rPr>
            </w:pPr>
          </w:p>
        </w:tc>
        <w:tc>
          <w:tcPr>
            <w:tcW w:w="890" w:type="dxa"/>
            <w:gridSpan w:val="3"/>
            <w:noWrap w:val="0"/>
            <w:vAlign w:val="center"/>
          </w:tcPr>
          <w:p w14:paraId="308FDA75">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669" w:type="dxa"/>
            <w:noWrap w:val="0"/>
            <w:vAlign w:val="center"/>
          </w:tcPr>
          <w:p w14:paraId="1D46814F">
            <w:pPr>
              <w:pStyle w:val="56"/>
              <w:topLinePunct/>
              <w:spacing w:line="360" w:lineRule="auto"/>
              <w:jc w:val="center"/>
              <w:rPr>
                <w:rFonts w:hint="eastAsia" w:ascii="仿宋" w:hAnsi="仿宋" w:eastAsia="仿宋" w:cs="仿宋"/>
                <w:color w:val="auto"/>
                <w:sz w:val="24"/>
                <w:szCs w:val="24"/>
                <w:highlight w:val="none"/>
              </w:rPr>
            </w:pPr>
          </w:p>
        </w:tc>
      </w:tr>
      <w:tr w14:paraId="24BE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25" w:type="dxa"/>
            <w:noWrap w:val="0"/>
            <w:vAlign w:val="center"/>
          </w:tcPr>
          <w:p w14:paraId="6C1B416B">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019" w:type="dxa"/>
            <w:gridSpan w:val="3"/>
            <w:noWrap w:val="0"/>
            <w:vAlign w:val="center"/>
          </w:tcPr>
          <w:p w14:paraId="3194E3EA">
            <w:pPr>
              <w:pStyle w:val="56"/>
              <w:topLinePunct/>
              <w:spacing w:line="360" w:lineRule="auto"/>
              <w:jc w:val="center"/>
              <w:rPr>
                <w:rFonts w:hint="eastAsia" w:ascii="仿宋" w:hAnsi="仿宋" w:eastAsia="仿宋" w:cs="仿宋"/>
                <w:color w:val="auto"/>
                <w:sz w:val="24"/>
                <w:szCs w:val="24"/>
                <w:highlight w:val="none"/>
              </w:rPr>
            </w:pPr>
          </w:p>
        </w:tc>
        <w:tc>
          <w:tcPr>
            <w:tcW w:w="5452" w:type="dxa"/>
            <w:gridSpan w:val="8"/>
            <w:noWrap w:val="0"/>
            <w:vAlign w:val="center"/>
          </w:tcPr>
          <w:p w14:paraId="3D25218A">
            <w:pPr>
              <w:pStyle w:val="56"/>
              <w:topLinePunct/>
              <w:spacing w:line="360" w:lineRule="auto"/>
              <w:ind w:firstLine="122"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769E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725" w:type="dxa"/>
            <w:noWrap w:val="0"/>
            <w:vAlign w:val="center"/>
          </w:tcPr>
          <w:p w14:paraId="52DBA140">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p w14:paraId="5A3C21AF">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2019" w:type="dxa"/>
            <w:gridSpan w:val="3"/>
            <w:noWrap w:val="0"/>
            <w:vAlign w:val="center"/>
          </w:tcPr>
          <w:p w14:paraId="3020852F">
            <w:pPr>
              <w:pStyle w:val="56"/>
              <w:topLinePunct/>
              <w:spacing w:line="360" w:lineRule="auto"/>
              <w:rPr>
                <w:rFonts w:hint="eastAsia" w:ascii="仿宋" w:hAnsi="仿宋" w:eastAsia="仿宋" w:cs="仿宋"/>
                <w:color w:val="auto"/>
                <w:sz w:val="24"/>
                <w:szCs w:val="24"/>
                <w:highlight w:val="none"/>
              </w:rPr>
            </w:pPr>
          </w:p>
        </w:tc>
        <w:tc>
          <w:tcPr>
            <w:tcW w:w="917" w:type="dxa"/>
            <w:vMerge w:val="restart"/>
            <w:noWrap w:val="0"/>
            <w:vAlign w:val="center"/>
          </w:tcPr>
          <w:p w14:paraId="3E0451B7">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2123" w:type="dxa"/>
            <w:gridSpan w:val="4"/>
            <w:noWrap w:val="0"/>
            <w:vAlign w:val="center"/>
          </w:tcPr>
          <w:p w14:paraId="4AF2BC92">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p w14:paraId="650C6DF6">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eastAsia="zh-CN"/>
              </w:rPr>
              <w:t>）</w:t>
            </w:r>
          </w:p>
        </w:tc>
        <w:tc>
          <w:tcPr>
            <w:tcW w:w="2412" w:type="dxa"/>
            <w:gridSpan w:val="3"/>
            <w:noWrap w:val="0"/>
            <w:vAlign w:val="center"/>
          </w:tcPr>
          <w:p w14:paraId="05DA980D">
            <w:pPr>
              <w:pStyle w:val="56"/>
              <w:topLinePunct/>
              <w:spacing w:line="360" w:lineRule="auto"/>
              <w:jc w:val="center"/>
              <w:rPr>
                <w:rFonts w:hint="eastAsia" w:ascii="仿宋" w:hAnsi="仿宋" w:eastAsia="仿宋" w:cs="仿宋"/>
                <w:color w:val="auto"/>
                <w:sz w:val="24"/>
                <w:szCs w:val="24"/>
                <w:highlight w:val="none"/>
              </w:rPr>
            </w:pPr>
          </w:p>
        </w:tc>
      </w:tr>
      <w:tr w14:paraId="309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25" w:type="dxa"/>
            <w:noWrap w:val="0"/>
            <w:vAlign w:val="center"/>
          </w:tcPr>
          <w:p w14:paraId="58C553AD">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019" w:type="dxa"/>
            <w:gridSpan w:val="3"/>
            <w:noWrap w:val="0"/>
            <w:vAlign w:val="center"/>
          </w:tcPr>
          <w:p w14:paraId="6B69469C">
            <w:pPr>
              <w:pStyle w:val="56"/>
              <w:topLinePunct/>
              <w:spacing w:line="360" w:lineRule="auto"/>
              <w:jc w:val="center"/>
              <w:rPr>
                <w:rFonts w:hint="eastAsia" w:ascii="仿宋" w:hAnsi="仿宋" w:eastAsia="仿宋" w:cs="仿宋"/>
                <w:color w:val="auto"/>
                <w:sz w:val="24"/>
                <w:szCs w:val="24"/>
                <w:highlight w:val="none"/>
              </w:rPr>
            </w:pPr>
          </w:p>
        </w:tc>
        <w:tc>
          <w:tcPr>
            <w:tcW w:w="917" w:type="dxa"/>
            <w:vMerge w:val="continue"/>
            <w:noWrap w:val="0"/>
            <w:vAlign w:val="center"/>
          </w:tcPr>
          <w:p w14:paraId="662DC88A">
            <w:pPr>
              <w:spacing w:line="360" w:lineRule="auto"/>
              <w:rPr>
                <w:rFonts w:hint="eastAsia" w:ascii="仿宋" w:hAnsi="仿宋" w:eastAsia="仿宋" w:cs="仿宋"/>
                <w:color w:val="auto"/>
                <w:sz w:val="24"/>
                <w:szCs w:val="24"/>
                <w:highlight w:val="none"/>
              </w:rPr>
            </w:pPr>
          </w:p>
        </w:tc>
        <w:tc>
          <w:tcPr>
            <w:tcW w:w="2123" w:type="dxa"/>
            <w:gridSpan w:val="4"/>
            <w:noWrap w:val="0"/>
            <w:vAlign w:val="center"/>
          </w:tcPr>
          <w:p w14:paraId="4856AFBC">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412" w:type="dxa"/>
            <w:gridSpan w:val="3"/>
            <w:noWrap w:val="0"/>
            <w:vAlign w:val="center"/>
          </w:tcPr>
          <w:p w14:paraId="1B6B6204">
            <w:pPr>
              <w:pStyle w:val="56"/>
              <w:topLinePunct/>
              <w:spacing w:line="360" w:lineRule="auto"/>
              <w:jc w:val="center"/>
              <w:rPr>
                <w:rFonts w:hint="eastAsia" w:ascii="仿宋" w:hAnsi="仿宋" w:eastAsia="仿宋" w:cs="仿宋"/>
                <w:color w:val="auto"/>
                <w:sz w:val="24"/>
                <w:szCs w:val="24"/>
                <w:highlight w:val="none"/>
              </w:rPr>
            </w:pPr>
          </w:p>
        </w:tc>
      </w:tr>
      <w:tr w14:paraId="68C4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14:paraId="38BEDD1E">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019" w:type="dxa"/>
            <w:gridSpan w:val="3"/>
            <w:noWrap w:val="0"/>
            <w:vAlign w:val="center"/>
          </w:tcPr>
          <w:p w14:paraId="1E790554">
            <w:pPr>
              <w:pStyle w:val="56"/>
              <w:topLinePunct/>
              <w:spacing w:line="360" w:lineRule="auto"/>
              <w:jc w:val="center"/>
              <w:rPr>
                <w:rFonts w:hint="eastAsia" w:ascii="仿宋" w:hAnsi="仿宋" w:eastAsia="仿宋" w:cs="仿宋"/>
                <w:color w:val="auto"/>
                <w:sz w:val="24"/>
                <w:szCs w:val="24"/>
                <w:highlight w:val="none"/>
              </w:rPr>
            </w:pPr>
          </w:p>
        </w:tc>
        <w:tc>
          <w:tcPr>
            <w:tcW w:w="917" w:type="dxa"/>
            <w:vMerge w:val="continue"/>
            <w:noWrap w:val="0"/>
            <w:vAlign w:val="center"/>
          </w:tcPr>
          <w:p w14:paraId="51D735F6">
            <w:pPr>
              <w:spacing w:line="360" w:lineRule="auto"/>
              <w:rPr>
                <w:rFonts w:hint="eastAsia" w:ascii="仿宋" w:hAnsi="仿宋" w:eastAsia="仿宋" w:cs="仿宋"/>
                <w:color w:val="auto"/>
                <w:sz w:val="24"/>
                <w:szCs w:val="24"/>
                <w:highlight w:val="none"/>
              </w:rPr>
            </w:pPr>
          </w:p>
        </w:tc>
        <w:tc>
          <w:tcPr>
            <w:tcW w:w="2123" w:type="dxa"/>
            <w:gridSpan w:val="4"/>
            <w:noWrap w:val="0"/>
            <w:vAlign w:val="center"/>
          </w:tcPr>
          <w:p w14:paraId="76B00AD8">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412" w:type="dxa"/>
            <w:gridSpan w:val="3"/>
            <w:noWrap w:val="0"/>
            <w:vAlign w:val="center"/>
          </w:tcPr>
          <w:p w14:paraId="7662E114">
            <w:pPr>
              <w:pStyle w:val="56"/>
              <w:topLinePunct/>
              <w:spacing w:line="360" w:lineRule="auto"/>
              <w:jc w:val="center"/>
              <w:rPr>
                <w:rFonts w:hint="eastAsia" w:ascii="仿宋" w:hAnsi="仿宋" w:eastAsia="仿宋" w:cs="仿宋"/>
                <w:color w:val="auto"/>
                <w:sz w:val="24"/>
                <w:szCs w:val="24"/>
                <w:highlight w:val="none"/>
              </w:rPr>
            </w:pPr>
          </w:p>
        </w:tc>
      </w:tr>
      <w:tr w14:paraId="3D7A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14:paraId="323227FF">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019" w:type="dxa"/>
            <w:gridSpan w:val="3"/>
            <w:noWrap w:val="0"/>
            <w:vAlign w:val="center"/>
          </w:tcPr>
          <w:p w14:paraId="364141EC">
            <w:pPr>
              <w:pStyle w:val="56"/>
              <w:topLinePunct/>
              <w:spacing w:line="360" w:lineRule="auto"/>
              <w:jc w:val="center"/>
              <w:rPr>
                <w:rFonts w:hint="eastAsia" w:ascii="仿宋" w:hAnsi="仿宋" w:eastAsia="仿宋" w:cs="仿宋"/>
                <w:color w:val="auto"/>
                <w:sz w:val="24"/>
                <w:szCs w:val="24"/>
                <w:highlight w:val="none"/>
              </w:rPr>
            </w:pPr>
          </w:p>
        </w:tc>
        <w:tc>
          <w:tcPr>
            <w:tcW w:w="917" w:type="dxa"/>
            <w:vMerge w:val="continue"/>
            <w:noWrap w:val="0"/>
            <w:vAlign w:val="center"/>
          </w:tcPr>
          <w:p w14:paraId="6998ADCE">
            <w:pPr>
              <w:spacing w:line="360" w:lineRule="auto"/>
              <w:rPr>
                <w:rFonts w:hint="eastAsia" w:ascii="仿宋" w:hAnsi="仿宋" w:eastAsia="仿宋" w:cs="仿宋"/>
                <w:color w:val="auto"/>
                <w:sz w:val="24"/>
                <w:szCs w:val="24"/>
                <w:highlight w:val="none"/>
              </w:rPr>
            </w:pPr>
          </w:p>
        </w:tc>
        <w:tc>
          <w:tcPr>
            <w:tcW w:w="2123" w:type="dxa"/>
            <w:gridSpan w:val="4"/>
            <w:noWrap w:val="0"/>
            <w:vAlign w:val="center"/>
          </w:tcPr>
          <w:p w14:paraId="1763BFC9">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412" w:type="dxa"/>
            <w:gridSpan w:val="3"/>
            <w:noWrap w:val="0"/>
            <w:vAlign w:val="center"/>
          </w:tcPr>
          <w:p w14:paraId="42457573">
            <w:pPr>
              <w:pStyle w:val="56"/>
              <w:topLinePunct/>
              <w:spacing w:line="360" w:lineRule="auto"/>
              <w:jc w:val="center"/>
              <w:rPr>
                <w:rFonts w:hint="eastAsia" w:ascii="仿宋" w:hAnsi="仿宋" w:eastAsia="仿宋" w:cs="仿宋"/>
                <w:color w:val="auto"/>
                <w:sz w:val="24"/>
                <w:szCs w:val="24"/>
                <w:highlight w:val="none"/>
              </w:rPr>
            </w:pPr>
          </w:p>
        </w:tc>
      </w:tr>
      <w:tr w14:paraId="5036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14:paraId="0CC24014">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019" w:type="dxa"/>
            <w:gridSpan w:val="3"/>
            <w:noWrap w:val="0"/>
            <w:vAlign w:val="center"/>
          </w:tcPr>
          <w:p w14:paraId="2F494FCD">
            <w:pPr>
              <w:pStyle w:val="56"/>
              <w:topLinePunct/>
              <w:spacing w:line="360" w:lineRule="auto"/>
              <w:jc w:val="center"/>
              <w:rPr>
                <w:rFonts w:hint="eastAsia" w:ascii="仿宋" w:hAnsi="仿宋" w:eastAsia="仿宋" w:cs="仿宋"/>
                <w:color w:val="auto"/>
                <w:sz w:val="24"/>
                <w:szCs w:val="24"/>
                <w:highlight w:val="none"/>
              </w:rPr>
            </w:pPr>
          </w:p>
        </w:tc>
        <w:tc>
          <w:tcPr>
            <w:tcW w:w="917" w:type="dxa"/>
            <w:vMerge w:val="continue"/>
            <w:noWrap w:val="0"/>
            <w:vAlign w:val="center"/>
          </w:tcPr>
          <w:p w14:paraId="46BAF5DE">
            <w:pPr>
              <w:spacing w:line="360" w:lineRule="auto"/>
              <w:rPr>
                <w:rFonts w:hint="eastAsia" w:ascii="仿宋" w:hAnsi="仿宋" w:eastAsia="仿宋" w:cs="仿宋"/>
                <w:color w:val="auto"/>
                <w:sz w:val="24"/>
                <w:szCs w:val="24"/>
                <w:highlight w:val="none"/>
              </w:rPr>
            </w:pPr>
          </w:p>
        </w:tc>
        <w:tc>
          <w:tcPr>
            <w:tcW w:w="2123" w:type="dxa"/>
            <w:gridSpan w:val="4"/>
            <w:noWrap w:val="0"/>
            <w:vAlign w:val="center"/>
          </w:tcPr>
          <w:p w14:paraId="0ED58167">
            <w:pPr>
              <w:pStyle w:val="56"/>
              <w:topLinePunct/>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技工</w:t>
            </w:r>
          </w:p>
        </w:tc>
        <w:tc>
          <w:tcPr>
            <w:tcW w:w="2412" w:type="dxa"/>
            <w:gridSpan w:val="3"/>
            <w:noWrap w:val="0"/>
            <w:vAlign w:val="center"/>
          </w:tcPr>
          <w:p w14:paraId="0671ACE4">
            <w:pPr>
              <w:pStyle w:val="56"/>
              <w:topLinePunct/>
              <w:spacing w:line="360" w:lineRule="auto"/>
              <w:jc w:val="center"/>
              <w:rPr>
                <w:rFonts w:hint="eastAsia" w:ascii="仿宋" w:hAnsi="仿宋" w:eastAsia="仿宋" w:cs="仿宋"/>
                <w:color w:val="auto"/>
                <w:sz w:val="24"/>
                <w:szCs w:val="24"/>
                <w:highlight w:val="none"/>
              </w:rPr>
            </w:pPr>
          </w:p>
        </w:tc>
      </w:tr>
      <w:tr w14:paraId="7FCD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196" w:type="dxa"/>
            <w:gridSpan w:val="12"/>
            <w:noWrap w:val="0"/>
            <w:vAlign w:val="center"/>
          </w:tcPr>
          <w:p w14:paraId="1F9C7AD8">
            <w:pPr>
              <w:pStyle w:val="56"/>
              <w:topLinePunct/>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单位概括（组织结构）等</w:t>
            </w:r>
          </w:p>
          <w:p w14:paraId="4AA0F1ED">
            <w:pPr>
              <w:pStyle w:val="57"/>
              <w:adjustRightInd w:val="0"/>
              <w:snapToGrid w:val="0"/>
              <w:spacing w:before="100" w:after="10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组织机构框图（包括机构、领导成员、主要技术人员数量等情况）</w:t>
            </w:r>
          </w:p>
          <w:p w14:paraId="4480B6D5">
            <w:pPr>
              <w:pStyle w:val="56"/>
              <w:topLinePunct/>
              <w:spacing w:line="360" w:lineRule="auto"/>
              <w:jc w:val="left"/>
              <w:rPr>
                <w:rFonts w:hint="eastAsia" w:ascii="仿宋" w:hAnsi="仿宋" w:eastAsia="仿宋" w:cs="仿宋"/>
                <w:color w:val="auto"/>
                <w:sz w:val="24"/>
                <w:szCs w:val="24"/>
                <w:highlight w:val="none"/>
              </w:rPr>
            </w:pPr>
          </w:p>
          <w:p w14:paraId="18095A7F">
            <w:pPr>
              <w:pStyle w:val="13"/>
              <w:spacing w:line="360" w:lineRule="auto"/>
              <w:ind w:left="838" w:firstLine="3675"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供应商名称（盖章）：</w:t>
            </w:r>
          </w:p>
          <w:p w14:paraId="3782DA32">
            <w:pPr>
              <w:pStyle w:val="13"/>
              <w:spacing w:line="360" w:lineRule="auto"/>
              <w:ind w:left="838" w:firstLine="490" w:firstLineChars="200"/>
              <w:jc w:val="right"/>
              <w:rPr>
                <w:rFonts w:hint="eastAsia" w:ascii="仿宋" w:hAnsi="仿宋" w:eastAsia="仿宋" w:cs="仿宋"/>
                <w:bCs/>
                <w:color w:val="auto"/>
                <w:sz w:val="24"/>
                <w:szCs w:val="24"/>
                <w:highlight w:val="none"/>
              </w:rPr>
            </w:pPr>
          </w:p>
          <w:p w14:paraId="4944D4DF">
            <w:pPr>
              <w:pStyle w:val="13"/>
              <w:spacing w:line="360" w:lineRule="auto"/>
              <w:ind w:left="838" w:firstLine="490" w:firstLineChars="20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法定代表人或委托代理人（签字或盖章）：</w:t>
            </w:r>
          </w:p>
          <w:p w14:paraId="417839AA">
            <w:pPr>
              <w:pStyle w:val="35"/>
              <w:wordWrap w:val="0"/>
              <w:spacing w:line="360" w:lineRule="auto"/>
              <w:ind w:firstLine="567"/>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A6212DD">
            <w:pPr>
              <w:pStyle w:val="58"/>
              <w:wordWrap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日</w:t>
            </w:r>
          </w:p>
        </w:tc>
      </w:tr>
    </w:tbl>
    <w:p w14:paraId="539AC13E">
      <w:pPr>
        <w:ind w:firstLine="490" w:firstLineChars="200"/>
        <w:rPr>
          <w:rFonts w:hint="eastAsia" w:ascii="仿宋" w:hAnsi="仿宋" w:eastAsia="仿宋" w:cs="仿宋"/>
          <w:b/>
          <w:sz w:val="24"/>
          <w:szCs w:val="24"/>
        </w:rPr>
      </w:pPr>
    </w:p>
    <w:p w14:paraId="4F22BA32">
      <w:pPr>
        <w:pStyle w:val="12"/>
        <w:rPr>
          <w:rFonts w:hint="eastAsia" w:ascii="仿宋" w:hAnsi="仿宋" w:eastAsia="仿宋" w:cs="仿宋"/>
          <w:b/>
          <w:sz w:val="24"/>
          <w:szCs w:val="24"/>
        </w:rPr>
      </w:pPr>
    </w:p>
    <w:p w14:paraId="5E8D7DA5">
      <w:pPr>
        <w:rPr>
          <w:rFonts w:hint="eastAsia" w:ascii="仿宋" w:hAnsi="仿宋" w:eastAsia="仿宋" w:cs="仿宋"/>
          <w:b/>
          <w:sz w:val="24"/>
          <w:szCs w:val="24"/>
        </w:rPr>
      </w:pPr>
    </w:p>
    <w:p w14:paraId="3FED3435">
      <w:pPr>
        <w:pStyle w:val="12"/>
        <w:rPr>
          <w:rFonts w:hint="eastAsia"/>
        </w:rPr>
      </w:pPr>
    </w:p>
    <w:p w14:paraId="72D5ED78">
      <w:pPr>
        <w:spacing w:line="480" w:lineRule="exact"/>
        <w:ind w:firstLine="612" w:firstLineChars="250"/>
        <w:outlineLvl w:val="1"/>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zh-CN"/>
        </w:rPr>
        <w:t>、营业执照</w:t>
      </w:r>
      <w:r>
        <w:rPr>
          <w:rFonts w:hint="eastAsia" w:ascii="仿宋" w:hAnsi="仿宋" w:eastAsia="仿宋" w:cs="仿宋"/>
          <w:bCs/>
          <w:sz w:val="24"/>
          <w:szCs w:val="24"/>
        </w:rPr>
        <w:t xml:space="preserve">； </w:t>
      </w:r>
    </w:p>
    <w:p w14:paraId="7B8436D5">
      <w:pPr>
        <w:spacing w:line="480" w:lineRule="exact"/>
        <w:ind w:firstLine="612" w:firstLineChars="250"/>
        <w:outlineLvl w:val="1"/>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、投标保证金缴纳凭证</w:t>
      </w:r>
      <w:r>
        <w:rPr>
          <w:rFonts w:hint="eastAsia" w:ascii="仿宋" w:hAnsi="仿宋" w:eastAsia="仿宋" w:cs="仿宋"/>
          <w:bCs/>
          <w:sz w:val="24"/>
          <w:szCs w:val="24"/>
          <w:lang w:val="en-US" w:eastAsia="zh-CN"/>
        </w:rPr>
        <w:t>或保函</w:t>
      </w:r>
      <w:r>
        <w:rPr>
          <w:rFonts w:hint="eastAsia" w:ascii="仿宋" w:hAnsi="仿宋" w:eastAsia="仿宋" w:cs="仿宋"/>
          <w:bCs/>
          <w:sz w:val="24"/>
          <w:szCs w:val="24"/>
        </w:rPr>
        <w:t>。</w:t>
      </w:r>
    </w:p>
    <w:p w14:paraId="58839550">
      <w:pPr>
        <w:spacing w:line="480" w:lineRule="exact"/>
        <w:ind w:firstLine="612" w:firstLineChars="250"/>
        <w:outlineLvl w:val="1"/>
        <w:rPr>
          <w:rFonts w:hint="eastAsia" w:ascii="仿宋" w:hAnsi="仿宋" w:eastAsia="仿宋" w:cs="仿宋"/>
          <w:bCs/>
          <w:sz w:val="24"/>
          <w:szCs w:val="24"/>
        </w:rPr>
      </w:pPr>
    </w:p>
    <w:p w14:paraId="5BCBA4EA">
      <w:pPr>
        <w:spacing w:line="480" w:lineRule="exact"/>
        <w:ind w:firstLine="612" w:firstLineChars="250"/>
        <w:jc w:val="center"/>
        <w:outlineLvl w:val="1"/>
        <w:rPr>
          <w:rFonts w:hint="eastAsia" w:ascii="仿宋" w:hAnsi="仿宋" w:eastAsia="仿宋" w:cs="仿宋"/>
          <w:bCs/>
          <w:sz w:val="24"/>
          <w:szCs w:val="24"/>
        </w:rPr>
      </w:pPr>
      <w:r>
        <w:rPr>
          <w:rFonts w:hint="eastAsia" w:ascii="仿宋" w:hAnsi="仿宋" w:eastAsia="仿宋" w:cs="仿宋"/>
          <w:bCs/>
          <w:sz w:val="24"/>
          <w:szCs w:val="24"/>
        </w:rPr>
        <w:t>（格式自拟）</w:t>
      </w:r>
    </w:p>
    <w:p w14:paraId="0657B9D1">
      <w:pPr>
        <w:rPr>
          <w:rFonts w:hint="eastAsia" w:ascii="仿宋" w:hAnsi="仿宋" w:eastAsia="仿宋" w:cs="仿宋"/>
          <w:b/>
          <w:bCs/>
          <w:sz w:val="24"/>
          <w:szCs w:val="24"/>
        </w:rPr>
      </w:pPr>
    </w:p>
    <w:p w14:paraId="4AF83882">
      <w:pPr>
        <w:pStyle w:val="4"/>
        <w:ind w:firstLine="562"/>
        <w:jc w:val="center"/>
        <w:rPr>
          <w:rFonts w:hint="eastAsia" w:ascii="仿宋" w:hAnsi="仿宋" w:eastAsia="仿宋" w:cs="仿宋"/>
          <w:b/>
          <w:bCs/>
          <w:sz w:val="24"/>
          <w:szCs w:val="24"/>
        </w:rPr>
      </w:pPr>
    </w:p>
    <w:p w14:paraId="00127F94">
      <w:pPr>
        <w:pStyle w:val="4"/>
        <w:ind w:firstLine="562"/>
        <w:jc w:val="center"/>
        <w:rPr>
          <w:rFonts w:hint="eastAsia" w:ascii="仿宋" w:hAnsi="仿宋" w:eastAsia="仿宋" w:cs="仿宋"/>
          <w:b/>
          <w:bCs/>
          <w:sz w:val="24"/>
          <w:szCs w:val="24"/>
        </w:rPr>
      </w:pPr>
    </w:p>
    <w:p w14:paraId="5E7DC663">
      <w:pPr>
        <w:pStyle w:val="4"/>
        <w:ind w:firstLine="562"/>
        <w:jc w:val="center"/>
        <w:rPr>
          <w:rFonts w:hint="eastAsia" w:ascii="仿宋" w:hAnsi="仿宋" w:eastAsia="仿宋" w:cs="仿宋"/>
          <w:b/>
          <w:bCs/>
          <w:sz w:val="24"/>
          <w:szCs w:val="24"/>
        </w:rPr>
      </w:pPr>
    </w:p>
    <w:p w14:paraId="51217C63">
      <w:pPr>
        <w:pStyle w:val="4"/>
        <w:ind w:firstLine="562"/>
        <w:jc w:val="center"/>
        <w:rPr>
          <w:rFonts w:hint="eastAsia" w:ascii="仿宋" w:hAnsi="仿宋" w:eastAsia="仿宋" w:cs="仿宋"/>
          <w:b/>
          <w:bCs/>
          <w:sz w:val="24"/>
          <w:szCs w:val="24"/>
        </w:rPr>
      </w:pPr>
    </w:p>
    <w:p w14:paraId="5C5393E0">
      <w:pPr>
        <w:pStyle w:val="4"/>
        <w:ind w:firstLine="562"/>
        <w:jc w:val="center"/>
        <w:rPr>
          <w:rFonts w:hint="eastAsia" w:ascii="仿宋" w:hAnsi="仿宋" w:eastAsia="仿宋" w:cs="仿宋"/>
          <w:b/>
          <w:bCs/>
          <w:sz w:val="24"/>
          <w:szCs w:val="24"/>
        </w:rPr>
      </w:pPr>
    </w:p>
    <w:p w14:paraId="28D471A6">
      <w:pPr>
        <w:pStyle w:val="4"/>
        <w:ind w:firstLine="562"/>
        <w:jc w:val="center"/>
        <w:rPr>
          <w:rFonts w:hint="eastAsia" w:ascii="仿宋" w:hAnsi="仿宋" w:eastAsia="仿宋" w:cs="仿宋"/>
          <w:b/>
          <w:bCs/>
          <w:sz w:val="24"/>
          <w:szCs w:val="24"/>
        </w:rPr>
      </w:pPr>
    </w:p>
    <w:p w14:paraId="22FB5B6A">
      <w:pPr>
        <w:pStyle w:val="4"/>
        <w:ind w:firstLine="562"/>
        <w:jc w:val="center"/>
        <w:rPr>
          <w:rFonts w:hint="eastAsia" w:ascii="仿宋" w:hAnsi="仿宋" w:eastAsia="仿宋" w:cs="仿宋"/>
          <w:b/>
          <w:bCs/>
          <w:sz w:val="24"/>
          <w:szCs w:val="24"/>
        </w:rPr>
      </w:pPr>
    </w:p>
    <w:p w14:paraId="3CDABB65">
      <w:pPr>
        <w:pStyle w:val="4"/>
        <w:ind w:firstLine="562"/>
        <w:jc w:val="center"/>
        <w:rPr>
          <w:rFonts w:hint="eastAsia" w:ascii="仿宋" w:hAnsi="仿宋" w:eastAsia="仿宋" w:cs="仿宋"/>
          <w:b/>
          <w:bCs/>
          <w:sz w:val="24"/>
          <w:szCs w:val="24"/>
        </w:rPr>
      </w:pPr>
    </w:p>
    <w:p w14:paraId="56CECEE4">
      <w:pPr>
        <w:pStyle w:val="4"/>
        <w:ind w:firstLine="562"/>
        <w:jc w:val="center"/>
        <w:rPr>
          <w:rFonts w:hint="eastAsia" w:ascii="仿宋" w:hAnsi="仿宋" w:eastAsia="仿宋" w:cs="仿宋"/>
          <w:b/>
          <w:bCs/>
          <w:sz w:val="24"/>
          <w:szCs w:val="24"/>
        </w:rPr>
      </w:pPr>
    </w:p>
    <w:p w14:paraId="05E7F679">
      <w:pPr>
        <w:pStyle w:val="4"/>
        <w:ind w:firstLine="562"/>
        <w:jc w:val="center"/>
        <w:rPr>
          <w:rFonts w:hint="eastAsia" w:ascii="仿宋" w:hAnsi="仿宋" w:eastAsia="仿宋" w:cs="仿宋"/>
          <w:b/>
          <w:bCs/>
          <w:sz w:val="24"/>
          <w:szCs w:val="24"/>
        </w:rPr>
      </w:pPr>
    </w:p>
    <w:p w14:paraId="25A6AB61">
      <w:pPr>
        <w:pStyle w:val="4"/>
        <w:ind w:firstLine="562"/>
        <w:jc w:val="center"/>
        <w:rPr>
          <w:rFonts w:hint="eastAsia" w:ascii="仿宋" w:hAnsi="仿宋" w:eastAsia="仿宋" w:cs="仿宋"/>
          <w:b/>
          <w:bCs/>
          <w:sz w:val="24"/>
          <w:szCs w:val="24"/>
        </w:rPr>
      </w:pPr>
    </w:p>
    <w:p w14:paraId="46306489">
      <w:pPr>
        <w:pStyle w:val="4"/>
        <w:ind w:firstLine="562"/>
        <w:jc w:val="center"/>
        <w:rPr>
          <w:rFonts w:hint="eastAsia" w:ascii="仿宋" w:hAnsi="仿宋" w:eastAsia="仿宋" w:cs="仿宋"/>
          <w:b/>
          <w:bCs/>
          <w:sz w:val="24"/>
          <w:szCs w:val="24"/>
        </w:rPr>
      </w:pPr>
    </w:p>
    <w:p w14:paraId="3B910D4A">
      <w:pPr>
        <w:pStyle w:val="4"/>
        <w:ind w:firstLine="562"/>
        <w:jc w:val="center"/>
        <w:rPr>
          <w:rFonts w:hint="eastAsia" w:ascii="仿宋" w:hAnsi="仿宋" w:eastAsia="仿宋" w:cs="仿宋"/>
          <w:b/>
          <w:bCs/>
          <w:sz w:val="24"/>
          <w:szCs w:val="24"/>
        </w:rPr>
      </w:pPr>
    </w:p>
    <w:p w14:paraId="0D504E86">
      <w:pPr>
        <w:pStyle w:val="4"/>
        <w:ind w:firstLine="562"/>
        <w:jc w:val="center"/>
        <w:rPr>
          <w:rFonts w:hint="eastAsia" w:ascii="仿宋" w:hAnsi="仿宋" w:eastAsia="仿宋" w:cs="仿宋"/>
          <w:b/>
          <w:bCs/>
          <w:sz w:val="24"/>
          <w:szCs w:val="24"/>
        </w:rPr>
      </w:pPr>
    </w:p>
    <w:p w14:paraId="76DE47AE">
      <w:pPr>
        <w:pStyle w:val="4"/>
        <w:ind w:firstLine="562"/>
        <w:jc w:val="center"/>
        <w:rPr>
          <w:rFonts w:hint="eastAsia" w:ascii="仿宋" w:hAnsi="仿宋" w:eastAsia="仿宋" w:cs="仿宋"/>
          <w:b/>
          <w:bCs/>
          <w:sz w:val="24"/>
          <w:szCs w:val="24"/>
        </w:rPr>
      </w:pPr>
    </w:p>
    <w:p w14:paraId="11E03B4D">
      <w:pPr>
        <w:rPr>
          <w:rFonts w:hint="eastAsia" w:ascii="仿宋" w:hAnsi="仿宋" w:eastAsia="仿宋" w:cs="仿宋"/>
          <w:b/>
          <w:bCs/>
          <w:sz w:val="24"/>
          <w:szCs w:val="24"/>
        </w:rPr>
      </w:pPr>
    </w:p>
    <w:p w14:paraId="2C1C3900">
      <w:pPr>
        <w:pStyle w:val="7"/>
        <w:rPr>
          <w:rFonts w:hint="eastAsia" w:ascii="仿宋" w:hAnsi="仿宋" w:eastAsia="仿宋" w:cs="仿宋"/>
          <w:sz w:val="24"/>
          <w:szCs w:val="24"/>
        </w:rPr>
      </w:pPr>
    </w:p>
    <w:p w14:paraId="0D194DC0">
      <w:pPr>
        <w:pStyle w:val="4"/>
        <w:ind w:firstLine="562"/>
        <w:rPr>
          <w:rFonts w:hint="eastAsia" w:ascii="仿宋" w:hAnsi="仿宋" w:eastAsia="仿宋" w:cs="仿宋"/>
          <w:b/>
          <w:bCs/>
          <w:sz w:val="24"/>
          <w:szCs w:val="24"/>
        </w:rPr>
      </w:pPr>
    </w:p>
    <w:p w14:paraId="21530DE4">
      <w:pPr>
        <w:pStyle w:val="4"/>
        <w:ind w:firstLine="562"/>
        <w:jc w:val="center"/>
        <w:rPr>
          <w:rFonts w:hint="eastAsia" w:ascii="仿宋" w:hAnsi="仿宋" w:eastAsia="仿宋" w:cs="仿宋"/>
          <w:b/>
          <w:bCs/>
          <w:sz w:val="24"/>
          <w:szCs w:val="24"/>
        </w:rPr>
      </w:pPr>
    </w:p>
    <w:p w14:paraId="55751291">
      <w:pPr>
        <w:pStyle w:val="4"/>
        <w:ind w:firstLine="562"/>
        <w:jc w:val="center"/>
        <w:rPr>
          <w:rFonts w:hint="eastAsia" w:ascii="仿宋" w:hAnsi="仿宋" w:eastAsia="仿宋" w:cs="仿宋"/>
          <w:b/>
          <w:bCs/>
          <w:sz w:val="24"/>
          <w:szCs w:val="24"/>
        </w:rPr>
      </w:pPr>
    </w:p>
    <w:p w14:paraId="7CE80065">
      <w:pPr>
        <w:pStyle w:val="4"/>
        <w:ind w:firstLine="562"/>
        <w:jc w:val="center"/>
        <w:rPr>
          <w:rFonts w:hint="eastAsia" w:ascii="仿宋" w:hAnsi="仿宋" w:eastAsia="仿宋" w:cs="仿宋"/>
          <w:b/>
          <w:bCs/>
          <w:sz w:val="24"/>
          <w:szCs w:val="24"/>
        </w:rPr>
      </w:pPr>
    </w:p>
    <w:p w14:paraId="797EE3CC">
      <w:pPr>
        <w:pStyle w:val="4"/>
        <w:ind w:firstLine="562"/>
        <w:jc w:val="center"/>
        <w:rPr>
          <w:rFonts w:hint="eastAsia" w:ascii="仿宋" w:hAnsi="仿宋" w:eastAsia="仿宋" w:cs="仿宋"/>
          <w:b/>
          <w:bCs/>
          <w:sz w:val="24"/>
          <w:szCs w:val="24"/>
        </w:rPr>
      </w:pPr>
    </w:p>
    <w:p w14:paraId="39D72B78">
      <w:pPr>
        <w:pStyle w:val="4"/>
        <w:ind w:firstLine="562"/>
        <w:jc w:val="center"/>
        <w:rPr>
          <w:rFonts w:hint="eastAsia" w:ascii="仿宋" w:hAnsi="仿宋" w:eastAsia="仿宋" w:cs="仿宋"/>
          <w:b/>
          <w:bCs/>
          <w:sz w:val="24"/>
          <w:szCs w:val="24"/>
        </w:rPr>
      </w:pPr>
    </w:p>
    <w:p w14:paraId="15F2A1D2">
      <w:pPr>
        <w:rPr>
          <w:rFonts w:hint="eastAsia" w:ascii="仿宋" w:hAnsi="仿宋" w:eastAsia="仿宋" w:cs="仿宋"/>
          <w:b/>
          <w:bCs/>
          <w:sz w:val="24"/>
          <w:szCs w:val="24"/>
        </w:rPr>
      </w:pPr>
    </w:p>
    <w:p w14:paraId="0E251F62">
      <w:pPr>
        <w:rPr>
          <w:rFonts w:hint="eastAsia" w:ascii="仿宋" w:hAnsi="仿宋" w:eastAsia="仿宋" w:cs="仿宋"/>
          <w:b/>
          <w:bCs/>
          <w:sz w:val="24"/>
          <w:szCs w:val="24"/>
        </w:rPr>
      </w:pPr>
    </w:p>
    <w:p w14:paraId="4E0E7039">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r>
        <w:rPr>
          <w:rStyle w:val="48"/>
          <w:rFonts w:hint="eastAsia" w:ascii="仿宋" w:hAnsi="仿宋" w:eastAsia="仿宋" w:cs="仿宋"/>
          <w:b/>
          <w:bCs/>
          <w:color w:val="auto"/>
          <w:sz w:val="28"/>
          <w:szCs w:val="28"/>
          <w:highlight w:val="none"/>
          <w:lang w:val="en-US" w:eastAsia="zh-CN"/>
        </w:rPr>
        <w:t>附件5：</w:t>
      </w:r>
      <w:bookmarkStart w:id="24" w:name="_Toc18062"/>
      <w:bookmarkStart w:id="25" w:name="_Toc9319"/>
      <w:bookmarkStart w:id="26" w:name="_Toc21508"/>
      <w:r>
        <w:rPr>
          <w:rStyle w:val="48"/>
          <w:rFonts w:hint="eastAsia" w:ascii="仿宋" w:hAnsi="仿宋" w:eastAsia="仿宋" w:cs="仿宋"/>
          <w:b/>
          <w:bCs/>
          <w:color w:val="auto"/>
          <w:sz w:val="28"/>
          <w:szCs w:val="28"/>
          <w:highlight w:val="none"/>
          <w:lang w:val="en-US" w:eastAsia="zh-CN"/>
        </w:rPr>
        <w:t>无重大违法记录的书面声明</w:t>
      </w:r>
      <w:bookmarkEnd w:id="24"/>
      <w:bookmarkEnd w:id="25"/>
      <w:bookmarkEnd w:id="26"/>
    </w:p>
    <w:p w14:paraId="4689B8E2">
      <w:pPr>
        <w:spacing w:line="360" w:lineRule="auto"/>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供应商应当提供参加政府采购活动前3年内在经营活动中没有重大违法记录的书面声明。</w:t>
      </w:r>
    </w:p>
    <w:p w14:paraId="312225D3">
      <w:pPr>
        <w:pStyle w:val="35"/>
        <w:spacing w:line="360" w:lineRule="auto"/>
        <w:jc w:val="both"/>
        <w:rPr>
          <w:rStyle w:val="59"/>
          <w:rFonts w:hint="eastAsia" w:ascii="仿宋" w:hAnsi="仿宋" w:eastAsia="仿宋" w:cs="仿宋"/>
          <w:color w:val="auto"/>
          <w:sz w:val="24"/>
          <w:szCs w:val="24"/>
          <w:highlight w:val="none"/>
        </w:rPr>
      </w:pPr>
    </w:p>
    <w:p w14:paraId="59D4F10D">
      <w:pPr>
        <w:spacing w:line="360" w:lineRule="auto"/>
        <w:ind w:firstLine="490" w:firstLineChars="200"/>
        <w:rPr>
          <w:rFonts w:hint="eastAsia" w:ascii="仿宋" w:hAnsi="仿宋" w:eastAsia="仿宋" w:cs="仿宋"/>
          <w:color w:val="auto"/>
          <w:kern w:val="0"/>
          <w:sz w:val="24"/>
          <w:szCs w:val="24"/>
          <w:highlight w:val="none"/>
          <w:lang w:eastAsia="zh-CN"/>
        </w:rPr>
      </w:pPr>
      <w:bookmarkStart w:id="27" w:name="_Toc25306"/>
      <w:bookmarkStart w:id="28" w:name="_Toc11389"/>
      <w:bookmarkStart w:id="29" w:name="_Toc19830"/>
      <w:r>
        <w:rPr>
          <w:rStyle w:val="48"/>
          <w:rFonts w:hint="eastAsia" w:ascii="仿宋" w:hAnsi="仿宋" w:eastAsia="仿宋" w:cs="仿宋"/>
          <w:b/>
          <w:bCs/>
          <w:color w:val="auto"/>
          <w:sz w:val="24"/>
          <w:szCs w:val="24"/>
          <w:highlight w:val="none"/>
          <w:lang w:val="en-US" w:eastAsia="zh-CN"/>
        </w:rPr>
        <w:br w:type="page"/>
      </w:r>
      <w:bookmarkEnd w:id="27"/>
      <w:bookmarkEnd w:id="28"/>
      <w:bookmarkEnd w:id="29"/>
    </w:p>
    <w:p w14:paraId="13B33868">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30" w:name="_Toc15551"/>
      <w:bookmarkStart w:id="31" w:name="_Toc3838"/>
      <w:bookmarkStart w:id="32" w:name="_Toc2823"/>
      <w:r>
        <w:rPr>
          <w:rStyle w:val="48"/>
          <w:rFonts w:hint="eastAsia" w:ascii="仿宋" w:hAnsi="仿宋" w:eastAsia="仿宋" w:cs="仿宋"/>
          <w:b/>
          <w:bCs/>
          <w:color w:val="auto"/>
          <w:sz w:val="28"/>
          <w:szCs w:val="28"/>
          <w:highlight w:val="none"/>
          <w:lang w:val="en-US" w:eastAsia="zh-CN"/>
        </w:rPr>
        <w:t>附件6:</w:t>
      </w:r>
      <w:bookmarkEnd w:id="30"/>
      <w:bookmarkEnd w:id="31"/>
      <w:bookmarkEnd w:id="32"/>
      <w:bookmarkStart w:id="33" w:name="_Toc29474"/>
      <w:bookmarkStart w:id="34" w:name="_Toc24088"/>
      <w:bookmarkStart w:id="35" w:name="_Toc122"/>
      <w:r>
        <w:rPr>
          <w:rStyle w:val="48"/>
          <w:rFonts w:hint="eastAsia" w:ascii="仿宋" w:hAnsi="仿宋" w:eastAsia="仿宋" w:cs="仿宋"/>
          <w:b/>
          <w:bCs/>
          <w:color w:val="auto"/>
          <w:sz w:val="28"/>
          <w:szCs w:val="28"/>
          <w:highlight w:val="none"/>
          <w:lang w:val="en-US" w:eastAsia="zh-CN"/>
        </w:rPr>
        <w:t>“重法纪、讲诚信”承诺书</w:t>
      </w:r>
      <w:bookmarkEnd w:id="33"/>
      <w:bookmarkEnd w:id="34"/>
      <w:bookmarkEnd w:id="35"/>
    </w:p>
    <w:p w14:paraId="379BC3EF">
      <w:pPr>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zh-CN"/>
        </w:rPr>
        <w:t>（采购人名称）</w:t>
      </w:r>
      <w:r>
        <w:rPr>
          <w:rFonts w:hint="eastAsia" w:ascii="仿宋" w:hAnsi="仿宋" w:eastAsia="仿宋" w:cs="仿宋"/>
          <w:color w:val="auto"/>
          <w:sz w:val="24"/>
          <w:szCs w:val="24"/>
          <w:highlight w:val="none"/>
        </w:rPr>
        <w:t xml:space="preserve"> ：</w:t>
      </w:r>
    </w:p>
    <w:p w14:paraId="02E9277C">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为积极配合防范和遏制招投标活动中不公平竞争和违规违纪行为的发生， 确保招标工作公平、公正、公开、有序进行，我公司在参与贵公司</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采购活动中， 保证自觉遵守《中华人民共和国政府采购法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 等国家法律法规以及廉洁自律有关规章制度，并向贵公司承诺如下事项：</w:t>
      </w:r>
    </w:p>
    <w:p w14:paraId="6401F692">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不以任何形式通过社会上的“代理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掮客”等采取不正当手段谋取中标；</w:t>
      </w:r>
    </w:p>
    <w:p w14:paraId="6A452AFC">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不以任何形式打着领导及其亲友旗号或冒充领导及其亲友等采取不正当手段谋取中标；</w:t>
      </w:r>
    </w:p>
    <w:p w14:paraId="57752BA8">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不以任何名义向参与采购活动、评标工作的有关人员赠送回扣、红包、礼金、购物卡、有价证券、贵重物品和好处费、感谢费等；不以任何名义向参与采购活动、评标工作的有关人员提供高消费宴请及娱乐活动；</w:t>
      </w:r>
    </w:p>
    <w:p w14:paraId="06B1B921">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不以任何名义为参与采购活动、评标工作的有关人员报销应由参与采购活动、评标工作的有关人员支付的任何费用；</w:t>
      </w:r>
    </w:p>
    <w:p w14:paraId="685758AB">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不以谋取非正当利益为目的，与参与采购活动、评标工作的有关人员就业务问题进行私下商谈或者达成利益默契；</w:t>
      </w:r>
    </w:p>
    <w:p w14:paraId="0438E738">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不以任何名义接受或暗示为参与采购活动、评标工作的有关人员装修住房、婚丧嫁娶以及境内外旅游等提供方便；</w:t>
      </w:r>
    </w:p>
    <w:p w14:paraId="74DD473A">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不与采购人、采购代理机构工作人员串通投标，损害国家利益、企业利益以及他人的合法利益；</w:t>
      </w:r>
    </w:p>
    <w:p w14:paraId="2E1642AE">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不以任何方式与其他供应商相互串通投标，不排挤其他供应商，不损害采购人或其他供应商的合法权益；</w:t>
      </w:r>
    </w:p>
    <w:p w14:paraId="385A9C61">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不采取捏造事实或者提供虚假投诉材料，恶意投诉、诋毁、排挤其他供应商；</w:t>
      </w:r>
    </w:p>
    <w:p w14:paraId="0D36885A">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参与采购活动时不以任何形式提供任何虚假信息或证明文件。</w:t>
      </w:r>
    </w:p>
    <w:p w14:paraId="2EB8200F">
      <w:pPr>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14:paraId="16A97EAC">
      <w:pPr>
        <w:bidi w:val="0"/>
        <w:spacing w:line="24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本承诺函为我公司应答此次采购项目正式文件的附件，与其他</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具有同等法律效力，经我公司盖章后立即生效。</w:t>
      </w:r>
    </w:p>
    <w:p w14:paraId="738BF39B">
      <w:pPr>
        <w:bidi w:val="0"/>
        <w:spacing w:line="240" w:lineRule="auto"/>
        <w:rPr>
          <w:rFonts w:hint="eastAsia" w:ascii="仿宋" w:hAnsi="仿宋" w:eastAsia="仿宋" w:cs="仿宋"/>
          <w:color w:val="auto"/>
          <w:sz w:val="24"/>
          <w:szCs w:val="24"/>
          <w:highlight w:val="none"/>
        </w:rPr>
      </w:pPr>
    </w:p>
    <w:p w14:paraId="33649CB2">
      <w:pPr>
        <w:bidi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供应商名称（盖章）：</w:t>
      </w:r>
    </w:p>
    <w:p w14:paraId="10014B12">
      <w:pPr>
        <w:bidi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6ECD0C67">
      <w:pPr>
        <w:pStyle w:val="3"/>
        <w:keepNext w:val="0"/>
        <w:numPr>
          <w:ilvl w:val="0"/>
          <w:numId w:val="0"/>
        </w:numPr>
        <w:tabs>
          <w:tab w:val="left" w:pos="420"/>
        </w:tabs>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bookmarkStart w:id="36" w:name="_Toc30133"/>
      <w:bookmarkStart w:id="37" w:name="_Toc3317"/>
      <w:bookmarkStart w:id="38" w:name="_Toc24465"/>
    </w:p>
    <w:p w14:paraId="7B6E8D62">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4"/>
          <w:szCs w:val="24"/>
          <w:highlight w:val="none"/>
          <w:lang w:val="en-US" w:eastAsia="zh-CN"/>
        </w:rPr>
      </w:pPr>
      <w:r>
        <w:rPr>
          <w:rStyle w:val="48"/>
          <w:rFonts w:hint="eastAsia" w:ascii="仿宋" w:hAnsi="仿宋" w:eastAsia="仿宋" w:cs="仿宋"/>
          <w:b/>
          <w:bCs/>
          <w:color w:val="auto"/>
          <w:sz w:val="24"/>
          <w:szCs w:val="24"/>
          <w:highlight w:val="none"/>
          <w:lang w:val="en-US" w:eastAsia="zh-CN"/>
        </w:rPr>
        <w:br w:type="page"/>
      </w:r>
      <w:r>
        <w:rPr>
          <w:rStyle w:val="48"/>
          <w:rFonts w:hint="eastAsia" w:ascii="仿宋" w:hAnsi="仿宋" w:eastAsia="仿宋" w:cs="仿宋"/>
          <w:b/>
          <w:bCs/>
          <w:color w:val="auto"/>
          <w:sz w:val="24"/>
          <w:szCs w:val="24"/>
          <w:highlight w:val="none"/>
          <w:lang w:val="en-US" w:eastAsia="zh-CN"/>
        </w:rPr>
        <w:t>附件7:</w:t>
      </w:r>
      <w:bookmarkEnd w:id="36"/>
      <w:bookmarkEnd w:id="37"/>
      <w:bookmarkEnd w:id="38"/>
    </w:p>
    <w:p w14:paraId="1AF85619">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39" w:name="_Toc11427"/>
      <w:bookmarkStart w:id="40" w:name="_Toc10393"/>
      <w:bookmarkStart w:id="41" w:name="_Toc9462"/>
      <w:r>
        <w:rPr>
          <w:rStyle w:val="48"/>
          <w:rFonts w:hint="eastAsia" w:ascii="仿宋" w:hAnsi="仿宋" w:eastAsia="仿宋" w:cs="仿宋"/>
          <w:b/>
          <w:bCs/>
          <w:color w:val="auto"/>
          <w:sz w:val="28"/>
          <w:szCs w:val="28"/>
          <w:highlight w:val="none"/>
          <w:lang w:val="en-US" w:eastAsia="zh-CN"/>
        </w:rPr>
        <w:t>反商业贿赂承诺书</w:t>
      </w:r>
      <w:bookmarkEnd w:id="39"/>
      <w:bookmarkEnd w:id="40"/>
      <w:bookmarkEnd w:id="41"/>
    </w:p>
    <w:p w14:paraId="58A95D04">
      <w:pPr>
        <w:adjustRightInd w:val="0"/>
        <w:snapToGrid w:val="0"/>
        <w:spacing w:line="360" w:lineRule="auto"/>
        <w:ind w:firstLine="490" w:firstLineChars="200"/>
        <w:jc w:val="left"/>
        <w:rPr>
          <w:rFonts w:hint="eastAsia" w:ascii="仿宋" w:hAnsi="仿宋" w:eastAsia="仿宋" w:cs="仿宋"/>
          <w:color w:val="auto"/>
          <w:sz w:val="24"/>
          <w:szCs w:val="24"/>
          <w:highlight w:val="none"/>
        </w:rPr>
      </w:pPr>
    </w:p>
    <w:p w14:paraId="2D7D6E58">
      <w:pPr>
        <w:adjustRightInd w:val="0"/>
        <w:snapToGrid w:val="0"/>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为了从源头上防治腐败，杜绝商业贿赂行为的发生，更好地配合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代理机构的工作，我们供应商承诺如下：</w:t>
      </w:r>
    </w:p>
    <w:p w14:paraId="49B7EB90">
      <w:pPr>
        <w:adjustRightInd w:val="0"/>
        <w:snapToGrid w:val="0"/>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1、不以各种名义给</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代理工作人员借或送现金、有价证券及物品。</w:t>
      </w:r>
    </w:p>
    <w:p w14:paraId="34361B9E">
      <w:pPr>
        <w:adjustRightInd w:val="0"/>
        <w:snapToGrid w:val="0"/>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2、不以个人名义邀请</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代理工作人员参与考察旅游活动和宴请活动。</w:t>
      </w:r>
    </w:p>
    <w:p w14:paraId="1E479C48">
      <w:pPr>
        <w:adjustRightInd w:val="0"/>
        <w:snapToGrid w:val="0"/>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3、不发生与采购事项有关的其他违规违纪行为。</w:t>
      </w:r>
    </w:p>
    <w:p w14:paraId="5CD33D11">
      <w:pPr>
        <w:adjustRightInd w:val="0"/>
        <w:snapToGrid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4、如违反其中一项，同意将我公司列入政府采购黑名单并终止投标资格，今后不得参与我市政府采购活动，触犯法律由司法部门处理。</w:t>
      </w:r>
    </w:p>
    <w:p w14:paraId="7F19EE70">
      <w:pPr>
        <w:adjustRightInd w:val="0"/>
        <w:snapToGrid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A89D5BC">
      <w:pPr>
        <w:bidi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t>供应商名称（盖章）：</w:t>
      </w:r>
    </w:p>
    <w:p w14:paraId="6FC72F6A">
      <w:pPr>
        <w:bidi w:val="0"/>
        <w:spacing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5AEFE070">
      <w:pPr>
        <w:wordWrap w:val="0"/>
        <w:bidi w:val="0"/>
        <w:spacing w:line="480" w:lineRule="auto"/>
        <w:jc w:val="right"/>
        <w:rPr>
          <w:rFonts w:hint="eastAsia" w:ascii="仿宋" w:hAnsi="仿宋" w:eastAsia="仿宋" w:cs="仿宋"/>
          <w:color w:val="auto"/>
          <w:sz w:val="24"/>
          <w:szCs w:val="24"/>
          <w:highlight w:val="none"/>
          <w:lang w:val="en-US" w:eastAsia="zh-CN"/>
        </w:rPr>
        <w:sectPr>
          <w:footerReference r:id="rId12" w:type="first"/>
          <w:footerReference r:id="rId11" w:type="default"/>
          <w:pgSz w:w="11906" w:h="16838"/>
          <w:pgMar w:top="1417" w:right="1417" w:bottom="1417" w:left="1417" w:header="794" w:footer="850" w:gutter="0"/>
          <w:pgNumType w:fmt="decimal" w:start="1"/>
          <w:cols w:space="720" w:num="1"/>
          <w:titlePg/>
          <w:rtlGutter w:val="0"/>
          <w:docGrid w:type="linesAndChars" w:linePitch="312" w:charSpace="1228"/>
        </w:sectPr>
      </w:pPr>
      <w:r>
        <w:rPr>
          <w:rFonts w:hint="eastAsia" w:ascii="仿宋" w:hAnsi="仿宋" w:eastAsia="仿宋" w:cs="仿宋"/>
          <w:color w:val="auto"/>
          <w:sz w:val="24"/>
          <w:szCs w:val="24"/>
          <w:highlight w:val="none"/>
        </w:rPr>
        <w:t>日期：     年   月</w:t>
      </w:r>
      <w:bookmarkStart w:id="42" w:name="_Toc15866"/>
      <w:bookmarkStart w:id="43" w:name="_Toc5939"/>
      <w:bookmarkStart w:id="44" w:name="_Toc22473"/>
      <w:r>
        <w:rPr>
          <w:rFonts w:hint="eastAsia" w:ascii="仿宋" w:hAnsi="仿宋" w:eastAsia="仿宋" w:cs="仿宋"/>
          <w:color w:val="auto"/>
          <w:sz w:val="24"/>
          <w:szCs w:val="24"/>
          <w:highlight w:val="none"/>
          <w:lang w:val="en-US" w:eastAsia="zh-CN"/>
        </w:rPr>
        <w:t xml:space="preserve">   日</w:t>
      </w:r>
    </w:p>
    <w:p w14:paraId="1AB8BF50">
      <w:pPr>
        <w:bidi w:val="0"/>
        <w:spacing w:line="360" w:lineRule="auto"/>
        <w:jc w:val="both"/>
        <w:rPr>
          <w:rStyle w:val="48"/>
          <w:rFonts w:hint="eastAsia" w:ascii="仿宋" w:hAnsi="仿宋" w:eastAsia="仿宋" w:cs="仿宋"/>
          <w:b/>
          <w:bCs/>
          <w:color w:val="auto"/>
          <w:sz w:val="24"/>
          <w:szCs w:val="24"/>
          <w:highlight w:val="none"/>
          <w:lang w:val="en-US" w:eastAsia="zh-CN"/>
        </w:rPr>
      </w:pPr>
      <w:r>
        <w:rPr>
          <w:rStyle w:val="48"/>
          <w:rFonts w:hint="eastAsia" w:ascii="仿宋" w:hAnsi="仿宋" w:eastAsia="仿宋" w:cs="仿宋"/>
          <w:b/>
          <w:bCs/>
          <w:color w:val="auto"/>
          <w:sz w:val="24"/>
          <w:szCs w:val="24"/>
          <w:highlight w:val="none"/>
          <w:lang w:val="en-US" w:eastAsia="zh-CN"/>
        </w:rPr>
        <w:t>附件8:</w:t>
      </w:r>
      <w:bookmarkEnd w:id="42"/>
      <w:bookmarkEnd w:id="43"/>
      <w:bookmarkEnd w:id="44"/>
    </w:p>
    <w:p w14:paraId="4F963F38">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45" w:name="_Toc4526"/>
      <w:bookmarkStart w:id="46" w:name="_Toc13267"/>
      <w:bookmarkStart w:id="47" w:name="_Toc6467"/>
      <w:r>
        <w:rPr>
          <w:rStyle w:val="48"/>
          <w:rFonts w:hint="eastAsia" w:ascii="仿宋" w:hAnsi="仿宋" w:eastAsia="仿宋" w:cs="仿宋"/>
          <w:b/>
          <w:bCs/>
          <w:color w:val="auto"/>
          <w:sz w:val="28"/>
          <w:szCs w:val="28"/>
          <w:highlight w:val="none"/>
          <w:lang w:val="en-US" w:eastAsia="zh-CN"/>
        </w:rPr>
        <w:t>商务条款偏离表</w:t>
      </w:r>
      <w:bookmarkEnd w:id="45"/>
      <w:bookmarkEnd w:id="46"/>
      <w:bookmarkEnd w:id="47"/>
    </w:p>
    <w:p w14:paraId="0D7AB0F9">
      <w:pPr>
        <w:pStyle w:val="35"/>
        <w:spacing w:line="360" w:lineRule="auto"/>
        <w:ind w:firstLine="105" w:firstLineChars="4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rPr>
        <w:t xml:space="preserve">　　　　　                                                                  </w:t>
      </w:r>
    </w:p>
    <w:tbl>
      <w:tblPr>
        <w:tblStyle w:val="25"/>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73"/>
        <w:gridCol w:w="2336"/>
        <w:gridCol w:w="2257"/>
        <w:gridCol w:w="1432"/>
        <w:gridCol w:w="1164"/>
      </w:tblGrid>
      <w:tr w14:paraId="2162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5" w:type="dxa"/>
            <w:noWrap w:val="0"/>
            <w:vAlign w:val="center"/>
          </w:tcPr>
          <w:p w14:paraId="4ED4F73E">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73" w:type="dxa"/>
            <w:noWrap w:val="0"/>
            <w:vAlign w:val="center"/>
          </w:tcPr>
          <w:p w14:paraId="71549F17">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条目号</w:t>
            </w:r>
          </w:p>
        </w:tc>
        <w:tc>
          <w:tcPr>
            <w:tcW w:w="2336" w:type="dxa"/>
            <w:noWrap w:val="0"/>
            <w:vAlign w:val="center"/>
          </w:tcPr>
          <w:p w14:paraId="776375FE">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的商务条款</w:t>
            </w:r>
          </w:p>
        </w:tc>
        <w:tc>
          <w:tcPr>
            <w:tcW w:w="2257" w:type="dxa"/>
            <w:noWrap w:val="0"/>
            <w:vAlign w:val="center"/>
          </w:tcPr>
          <w:p w14:paraId="1369C051">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的商务条款</w:t>
            </w:r>
          </w:p>
        </w:tc>
        <w:tc>
          <w:tcPr>
            <w:tcW w:w="1432" w:type="dxa"/>
            <w:noWrap w:val="0"/>
            <w:vAlign w:val="center"/>
          </w:tcPr>
          <w:p w14:paraId="3F1C0402">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1164" w:type="dxa"/>
            <w:noWrap w:val="0"/>
            <w:vAlign w:val="center"/>
          </w:tcPr>
          <w:p w14:paraId="029BE27B">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4F6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14:paraId="40BE243D">
            <w:pPr>
              <w:bidi w:val="0"/>
              <w:spacing w:line="360" w:lineRule="auto"/>
              <w:rPr>
                <w:rFonts w:hint="eastAsia" w:ascii="仿宋" w:hAnsi="仿宋" w:eastAsia="仿宋" w:cs="仿宋"/>
                <w:color w:val="auto"/>
                <w:sz w:val="24"/>
                <w:szCs w:val="24"/>
                <w:highlight w:val="none"/>
              </w:rPr>
            </w:pPr>
          </w:p>
        </w:tc>
        <w:tc>
          <w:tcPr>
            <w:tcW w:w="1773" w:type="dxa"/>
            <w:noWrap w:val="0"/>
            <w:vAlign w:val="top"/>
          </w:tcPr>
          <w:p w14:paraId="38988712">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7E6CDFBF">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1F61FEA7">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5C457061">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36109172">
            <w:pPr>
              <w:bidi w:val="0"/>
              <w:spacing w:line="360" w:lineRule="auto"/>
              <w:rPr>
                <w:rFonts w:hint="eastAsia" w:ascii="仿宋" w:hAnsi="仿宋" w:eastAsia="仿宋" w:cs="仿宋"/>
                <w:color w:val="auto"/>
                <w:sz w:val="24"/>
                <w:szCs w:val="24"/>
                <w:highlight w:val="none"/>
              </w:rPr>
            </w:pPr>
          </w:p>
        </w:tc>
      </w:tr>
      <w:tr w14:paraId="5677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14:paraId="5AF08AED">
            <w:pPr>
              <w:bidi w:val="0"/>
              <w:spacing w:line="360" w:lineRule="auto"/>
              <w:rPr>
                <w:rFonts w:hint="eastAsia" w:ascii="仿宋" w:hAnsi="仿宋" w:eastAsia="仿宋" w:cs="仿宋"/>
                <w:color w:val="auto"/>
                <w:sz w:val="24"/>
                <w:szCs w:val="24"/>
                <w:highlight w:val="none"/>
              </w:rPr>
            </w:pPr>
          </w:p>
        </w:tc>
        <w:tc>
          <w:tcPr>
            <w:tcW w:w="1773" w:type="dxa"/>
            <w:noWrap w:val="0"/>
            <w:vAlign w:val="top"/>
          </w:tcPr>
          <w:p w14:paraId="428DB47E">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7E764C4B">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1E953FA8">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60CA7CD6">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64BA5376">
            <w:pPr>
              <w:bidi w:val="0"/>
              <w:spacing w:line="360" w:lineRule="auto"/>
              <w:rPr>
                <w:rFonts w:hint="eastAsia" w:ascii="仿宋" w:hAnsi="仿宋" w:eastAsia="仿宋" w:cs="仿宋"/>
                <w:color w:val="auto"/>
                <w:sz w:val="24"/>
                <w:szCs w:val="24"/>
                <w:highlight w:val="none"/>
              </w:rPr>
            </w:pPr>
          </w:p>
        </w:tc>
      </w:tr>
      <w:tr w14:paraId="578B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14:paraId="12CB8F12">
            <w:pPr>
              <w:bidi w:val="0"/>
              <w:spacing w:line="360" w:lineRule="auto"/>
              <w:rPr>
                <w:rFonts w:hint="eastAsia" w:ascii="仿宋" w:hAnsi="仿宋" w:eastAsia="仿宋" w:cs="仿宋"/>
                <w:color w:val="auto"/>
                <w:sz w:val="24"/>
                <w:szCs w:val="24"/>
                <w:highlight w:val="none"/>
              </w:rPr>
            </w:pPr>
          </w:p>
        </w:tc>
        <w:tc>
          <w:tcPr>
            <w:tcW w:w="1773" w:type="dxa"/>
            <w:noWrap w:val="0"/>
            <w:vAlign w:val="top"/>
          </w:tcPr>
          <w:p w14:paraId="5A52A7B3">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03F127CB">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63287C46">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174A5C55">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40219822">
            <w:pPr>
              <w:bidi w:val="0"/>
              <w:spacing w:line="360" w:lineRule="auto"/>
              <w:rPr>
                <w:rFonts w:hint="eastAsia" w:ascii="仿宋" w:hAnsi="仿宋" w:eastAsia="仿宋" w:cs="仿宋"/>
                <w:color w:val="auto"/>
                <w:sz w:val="24"/>
                <w:szCs w:val="24"/>
                <w:highlight w:val="none"/>
              </w:rPr>
            </w:pPr>
          </w:p>
        </w:tc>
      </w:tr>
      <w:tr w14:paraId="395D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14:paraId="2577872C">
            <w:pPr>
              <w:bidi w:val="0"/>
              <w:spacing w:line="360" w:lineRule="auto"/>
              <w:rPr>
                <w:rFonts w:hint="eastAsia" w:ascii="仿宋" w:hAnsi="仿宋" w:eastAsia="仿宋" w:cs="仿宋"/>
                <w:color w:val="auto"/>
                <w:sz w:val="24"/>
                <w:szCs w:val="24"/>
                <w:highlight w:val="none"/>
              </w:rPr>
            </w:pPr>
          </w:p>
        </w:tc>
        <w:tc>
          <w:tcPr>
            <w:tcW w:w="1773" w:type="dxa"/>
            <w:noWrap w:val="0"/>
            <w:vAlign w:val="top"/>
          </w:tcPr>
          <w:p w14:paraId="38ED8282">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7D359CCE">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624A1BA9">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24ED93F4">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006BAC78">
            <w:pPr>
              <w:bidi w:val="0"/>
              <w:spacing w:line="360" w:lineRule="auto"/>
              <w:rPr>
                <w:rFonts w:hint="eastAsia" w:ascii="仿宋" w:hAnsi="仿宋" w:eastAsia="仿宋" w:cs="仿宋"/>
                <w:color w:val="auto"/>
                <w:sz w:val="24"/>
                <w:szCs w:val="24"/>
                <w:highlight w:val="none"/>
              </w:rPr>
            </w:pPr>
          </w:p>
        </w:tc>
      </w:tr>
      <w:tr w14:paraId="32CF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14:paraId="1AEBEB73">
            <w:pPr>
              <w:bidi w:val="0"/>
              <w:spacing w:line="360" w:lineRule="auto"/>
              <w:rPr>
                <w:rFonts w:hint="eastAsia" w:ascii="仿宋" w:hAnsi="仿宋" w:eastAsia="仿宋" w:cs="仿宋"/>
                <w:color w:val="auto"/>
                <w:sz w:val="24"/>
                <w:szCs w:val="24"/>
                <w:highlight w:val="none"/>
              </w:rPr>
            </w:pPr>
          </w:p>
        </w:tc>
        <w:tc>
          <w:tcPr>
            <w:tcW w:w="1773" w:type="dxa"/>
            <w:noWrap w:val="0"/>
            <w:vAlign w:val="top"/>
          </w:tcPr>
          <w:p w14:paraId="74139574">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627E7B31">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739E033A">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41D0280A">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321C3C5B">
            <w:pPr>
              <w:bidi w:val="0"/>
              <w:spacing w:line="360" w:lineRule="auto"/>
              <w:rPr>
                <w:rFonts w:hint="eastAsia" w:ascii="仿宋" w:hAnsi="仿宋" w:eastAsia="仿宋" w:cs="仿宋"/>
                <w:color w:val="auto"/>
                <w:sz w:val="24"/>
                <w:szCs w:val="24"/>
                <w:highlight w:val="none"/>
              </w:rPr>
            </w:pPr>
          </w:p>
        </w:tc>
      </w:tr>
      <w:tr w14:paraId="5E0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5" w:type="dxa"/>
            <w:noWrap w:val="0"/>
            <w:vAlign w:val="top"/>
          </w:tcPr>
          <w:p w14:paraId="7E0090EA">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73" w:type="dxa"/>
            <w:noWrap w:val="0"/>
            <w:vAlign w:val="top"/>
          </w:tcPr>
          <w:p w14:paraId="5C133B19">
            <w:pPr>
              <w:bidi w:val="0"/>
              <w:spacing w:line="360" w:lineRule="auto"/>
              <w:rPr>
                <w:rFonts w:hint="eastAsia" w:ascii="仿宋" w:hAnsi="仿宋" w:eastAsia="仿宋" w:cs="仿宋"/>
                <w:color w:val="auto"/>
                <w:sz w:val="24"/>
                <w:szCs w:val="24"/>
                <w:highlight w:val="none"/>
              </w:rPr>
            </w:pPr>
          </w:p>
        </w:tc>
        <w:tc>
          <w:tcPr>
            <w:tcW w:w="2336" w:type="dxa"/>
            <w:noWrap w:val="0"/>
            <w:vAlign w:val="top"/>
          </w:tcPr>
          <w:p w14:paraId="0ECAA9B2">
            <w:pPr>
              <w:bidi w:val="0"/>
              <w:spacing w:line="360" w:lineRule="auto"/>
              <w:rPr>
                <w:rFonts w:hint="eastAsia" w:ascii="仿宋" w:hAnsi="仿宋" w:eastAsia="仿宋" w:cs="仿宋"/>
                <w:color w:val="auto"/>
                <w:sz w:val="24"/>
                <w:szCs w:val="24"/>
                <w:highlight w:val="none"/>
              </w:rPr>
            </w:pPr>
          </w:p>
        </w:tc>
        <w:tc>
          <w:tcPr>
            <w:tcW w:w="2257" w:type="dxa"/>
            <w:noWrap w:val="0"/>
            <w:vAlign w:val="top"/>
          </w:tcPr>
          <w:p w14:paraId="21B982FB">
            <w:pPr>
              <w:bidi w:val="0"/>
              <w:spacing w:line="360" w:lineRule="auto"/>
              <w:rPr>
                <w:rFonts w:hint="eastAsia" w:ascii="仿宋" w:hAnsi="仿宋" w:eastAsia="仿宋" w:cs="仿宋"/>
                <w:color w:val="auto"/>
                <w:sz w:val="24"/>
                <w:szCs w:val="24"/>
                <w:highlight w:val="none"/>
              </w:rPr>
            </w:pPr>
          </w:p>
        </w:tc>
        <w:tc>
          <w:tcPr>
            <w:tcW w:w="1432" w:type="dxa"/>
            <w:noWrap w:val="0"/>
            <w:vAlign w:val="top"/>
          </w:tcPr>
          <w:p w14:paraId="21A20ADF">
            <w:pPr>
              <w:bidi w:val="0"/>
              <w:spacing w:line="360" w:lineRule="auto"/>
              <w:rPr>
                <w:rFonts w:hint="eastAsia" w:ascii="仿宋" w:hAnsi="仿宋" w:eastAsia="仿宋" w:cs="仿宋"/>
                <w:color w:val="auto"/>
                <w:sz w:val="24"/>
                <w:szCs w:val="24"/>
                <w:highlight w:val="none"/>
              </w:rPr>
            </w:pPr>
          </w:p>
        </w:tc>
        <w:tc>
          <w:tcPr>
            <w:tcW w:w="1164" w:type="dxa"/>
            <w:noWrap w:val="0"/>
            <w:vAlign w:val="top"/>
          </w:tcPr>
          <w:p w14:paraId="7593D828">
            <w:pPr>
              <w:bidi w:val="0"/>
              <w:spacing w:line="360" w:lineRule="auto"/>
              <w:rPr>
                <w:rFonts w:hint="eastAsia" w:ascii="仿宋" w:hAnsi="仿宋" w:eastAsia="仿宋" w:cs="仿宋"/>
                <w:color w:val="auto"/>
                <w:sz w:val="24"/>
                <w:szCs w:val="24"/>
                <w:highlight w:val="none"/>
              </w:rPr>
            </w:pPr>
          </w:p>
        </w:tc>
      </w:tr>
    </w:tbl>
    <w:p w14:paraId="49F72852">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若有偏离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请将具体偏离条款在“偏离”一栏中详细说明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若无偏离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请在“偏离”一栏中标注“无”字样。</w:t>
      </w:r>
    </w:p>
    <w:p w14:paraId="2AAA6472">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684E7A89">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1340EE92">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bookmarkStart w:id="48" w:name="_Toc5781"/>
      <w:bookmarkStart w:id="49" w:name="_Toc2824"/>
      <w:bookmarkStart w:id="50" w:name="_Toc28375"/>
    </w:p>
    <w:p w14:paraId="0C65E1F1">
      <w:pPr>
        <w:bidi w:val="0"/>
        <w:spacing w:line="360" w:lineRule="auto"/>
        <w:rPr>
          <w:rStyle w:val="48"/>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r>
        <w:rPr>
          <w:rStyle w:val="48"/>
          <w:rFonts w:hint="eastAsia" w:ascii="仿宋" w:hAnsi="仿宋" w:eastAsia="仿宋" w:cs="仿宋"/>
          <w:b/>
          <w:bCs/>
          <w:color w:val="auto"/>
          <w:sz w:val="24"/>
          <w:szCs w:val="24"/>
          <w:highlight w:val="none"/>
          <w:lang w:val="en-US" w:eastAsia="zh-CN"/>
        </w:rPr>
        <w:t>附件9:</w:t>
      </w:r>
      <w:bookmarkEnd w:id="48"/>
      <w:bookmarkEnd w:id="49"/>
      <w:bookmarkEnd w:id="50"/>
    </w:p>
    <w:p w14:paraId="74525D61">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51" w:name="_Toc8532"/>
      <w:bookmarkStart w:id="52" w:name="_Toc8429"/>
      <w:bookmarkStart w:id="53" w:name="_Toc28929"/>
      <w:r>
        <w:rPr>
          <w:rStyle w:val="48"/>
          <w:rFonts w:hint="eastAsia" w:ascii="仿宋" w:hAnsi="仿宋" w:eastAsia="仿宋" w:cs="仿宋"/>
          <w:b/>
          <w:bCs/>
          <w:color w:val="auto"/>
          <w:sz w:val="28"/>
          <w:szCs w:val="28"/>
          <w:highlight w:val="none"/>
          <w:lang w:val="en-US" w:eastAsia="zh-CN"/>
        </w:rPr>
        <w:t>技术规格偏离表</w:t>
      </w:r>
      <w:bookmarkEnd w:id="51"/>
      <w:bookmarkEnd w:id="52"/>
      <w:bookmarkEnd w:id="53"/>
    </w:p>
    <w:p w14:paraId="6F34EA45">
      <w:pPr>
        <w:pStyle w:val="35"/>
        <w:spacing w:line="360" w:lineRule="auto"/>
        <w:ind w:firstLine="49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 xml:space="preserve">　　　　　　　　　　　　                                                        </w:t>
      </w:r>
    </w:p>
    <w:tbl>
      <w:tblPr>
        <w:tblStyle w:val="25"/>
        <w:tblW w:w="8758"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29"/>
        <w:gridCol w:w="1809"/>
        <w:gridCol w:w="1278"/>
        <w:gridCol w:w="1235"/>
        <w:gridCol w:w="1057"/>
      </w:tblGrid>
      <w:tr w14:paraId="78B2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0" w:type="dxa"/>
            <w:noWrap w:val="0"/>
            <w:vAlign w:val="center"/>
          </w:tcPr>
          <w:p w14:paraId="1C48139C">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29" w:type="dxa"/>
            <w:noWrap w:val="0"/>
            <w:vAlign w:val="center"/>
          </w:tcPr>
          <w:p w14:paraId="7743C5CA">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条目号</w:t>
            </w:r>
          </w:p>
        </w:tc>
        <w:tc>
          <w:tcPr>
            <w:tcW w:w="1809" w:type="dxa"/>
            <w:noWrap w:val="0"/>
            <w:vAlign w:val="center"/>
          </w:tcPr>
          <w:p w14:paraId="4297FA17">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条款</w:t>
            </w:r>
          </w:p>
        </w:tc>
        <w:tc>
          <w:tcPr>
            <w:tcW w:w="1278" w:type="dxa"/>
            <w:noWrap w:val="0"/>
            <w:vAlign w:val="center"/>
          </w:tcPr>
          <w:p w14:paraId="7559FF0B">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条款</w:t>
            </w:r>
          </w:p>
        </w:tc>
        <w:tc>
          <w:tcPr>
            <w:tcW w:w="1235" w:type="dxa"/>
            <w:noWrap w:val="0"/>
            <w:vAlign w:val="center"/>
          </w:tcPr>
          <w:p w14:paraId="1817CC7A">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1057" w:type="dxa"/>
            <w:noWrap w:val="0"/>
            <w:vAlign w:val="center"/>
          </w:tcPr>
          <w:p w14:paraId="51C7DE8A">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D5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14:paraId="47632B5C">
            <w:pPr>
              <w:pStyle w:val="35"/>
              <w:spacing w:line="360" w:lineRule="auto"/>
              <w:rPr>
                <w:rFonts w:hint="eastAsia" w:ascii="仿宋" w:hAnsi="仿宋" w:eastAsia="仿宋" w:cs="仿宋"/>
                <w:color w:val="auto"/>
                <w:sz w:val="24"/>
                <w:szCs w:val="24"/>
                <w:highlight w:val="none"/>
              </w:rPr>
            </w:pPr>
          </w:p>
        </w:tc>
        <w:tc>
          <w:tcPr>
            <w:tcW w:w="2529" w:type="dxa"/>
            <w:noWrap w:val="0"/>
            <w:vAlign w:val="top"/>
          </w:tcPr>
          <w:p w14:paraId="6C18B649">
            <w:pPr>
              <w:pStyle w:val="35"/>
              <w:spacing w:line="360" w:lineRule="auto"/>
              <w:rPr>
                <w:rFonts w:hint="eastAsia" w:ascii="仿宋" w:hAnsi="仿宋" w:eastAsia="仿宋" w:cs="仿宋"/>
                <w:color w:val="auto"/>
                <w:sz w:val="24"/>
                <w:szCs w:val="24"/>
                <w:highlight w:val="none"/>
              </w:rPr>
            </w:pPr>
          </w:p>
        </w:tc>
        <w:tc>
          <w:tcPr>
            <w:tcW w:w="1809" w:type="dxa"/>
            <w:noWrap w:val="0"/>
            <w:vAlign w:val="top"/>
          </w:tcPr>
          <w:p w14:paraId="129D8A00">
            <w:pPr>
              <w:spacing w:line="360" w:lineRule="auto"/>
              <w:jc w:val="left"/>
              <w:rPr>
                <w:rFonts w:hint="eastAsia" w:ascii="仿宋" w:hAnsi="仿宋" w:eastAsia="仿宋" w:cs="仿宋"/>
                <w:color w:val="auto"/>
                <w:kern w:val="0"/>
                <w:sz w:val="24"/>
                <w:szCs w:val="24"/>
                <w:highlight w:val="none"/>
              </w:rPr>
            </w:pPr>
          </w:p>
          <w:p w14:paraId="01D41637">
            <w:pPr>
              <w:pStyle w:val="35"/>
              <w:spacing w:line="360" w:lineRule="auto"/>
              <w:rPr>
                <w:rFonts w:hint="eastAsia" w:ascii="仿宋" w:hAnsi="仿宋" w:eastAsia="仿宋" w:cs="仿宋"/>
                <w:color w:val="auto"/>
                <w:sz w:val="24"/>
                <w:szCs w:val="24"/>
                <w:highlight w:val="none"/>
              </w:rPr>
            </w:pPr>
          </w:p>
        </w:tc>
        <w:tc>
          <w:tcPr>
            <w:tcW w:w="1278" w:type="dxa"/>
            <w:noWrap w:val="0"/>
            <w:vAlign w:val="top"/>
          </w:tcPr>
          <w:p w14:paraId="011A5EC7">
            <w:pPr>
              <w:pStyle w:val="35"/>
              <w:spacing w:line="360" w:lineRule="auto"/>
              <w:rPr>
                <w:rFonts w:hint="eastAsia" w:ascii="仿宋" w:hAnsi="仿宋" w:eastAsia="仿宋" w:cs="仿宋"/>
                <w:color w:val="auto"/>
                <w:sz w:val="24"/>
                <w:szCs w:val="24"/>
                <w:highlight w:val="none"/>
              </w:rPr>
            </w:pPr>
          </w:p>
        </w:tc>
        <w:tc>
          <w:tcPr>
            <w:tcW w:w="1235" w:type="dxa"/>
            <w:noWrap w:val="0"/>
            <w:vAlign w:val="top"/>
          </w:tcPr>
          <w:p w14:paraId="17B79212">
            <w:pPr>
              <w:pStyle w:val="35"/>
              <w:spacing w:line="360" w:lineRule="auto"/>
              <w:rPr>
                <w:rFonts w:hint="eastAsia" w:ascii="仿宋" w:hAnsi="仿宋" w:eastAsia="仿宋" w:cs="仿宋"/>
                <w:color w:val="auto"/>
                <w:sz w:val="24"/>
                <w:szCs w:val="24"/>
                <w:highlight w:val="none"/>
              </w:rPr>
            </w:pPr>
          </w:p>
        </w:tc>
        <w:tc>
          <w:tcPr>
            <w:tcW w:w="1057" w:type="dxa"/>
            <w:noWrap w:val="0"/>
            <w:vAlign w:val="top"/>
          </w:tcPr>
          <w:p w14:paraId="35334121">
            <w:pPr>
              <w:pStyle w:val="35"/>
              <w:spacing w:line="360" w:lineRule="auto"/>
              <w:rPr>
                <w:rFonts w:hint="eastAsia" w:ascii="仿宋" w:hAnsi="仿宋" w:eastAsia="仿宋" w:cs="仿宋"/>
                <w:color w:val="auto"/>
                <w:sz w:val="24"/>
                <w:szCs w:val="24"/>
                <w:highlight w:val="none"/>
              </w:rPr>
            </w:pPr>
          </w:p>
        </w:tc>
      </w:tr>
      <w:tr w14:paraId="1FD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14:paraId="6592676C">
            <w:pPr>
              <w:pStyle w:val="35"/>
              <w:spacing w:line="360" w:lineRule="auto"/>
              <w:rPr>
                <w:rFonts w:hint="eastAsia" w:ascii="仿宋" w:hAnsi="仿宋" w:eastAsia="仿宋" w:cs="仿宋"/>
                <w:color w:val="auto"/>
                <w:sz w:val="24"/>
                <w:szCs w:val="24"/>
                <w:highlight w:val="none"/>
              </w:rPr>
            </w:pPr>
          </w:p>
        </w:tc>
        <w:tc>
          <w:tcPr>
            <w:tcW w:w="2529" w:type="dxa"/>
            <w:noWrap w:val="0"/>
            <w:vAlign w:val="top"/>
          </w:tcPr>
          <w:p w14:paraId="70807B5C">
            <w:pPr>
              <w:pStyle w:val="35"/>
              <w:spacing w:line="360" w:lineRule="auto"/>
              <w:rPr>
                <w:rFonts w:hint="eastAsia" w:ascii="仿宋" w:hAnsi="仿宋" w:eastAsia="仿宋" w:cs="仿宋"/>
                <w:color w:val="auto"/>
                <w:sz w:val="24"/>
                <w:szCs w:val="24"/>
                <w:highlight w:val="none"/>
              </w:rPr>
            </w:pPr>
          </w:p>
        </w:tc>
        <w:tc>
          <w:tcPr>
            <w:tcW w:w="1809" w:type="dxa"/>
            <w:noWrap w:val="0"/>
            <w:vAlign w:val="top"/>
          </w:tcPr>
          <w:p w14:paraId="1F5F245D">
            <w:pPr>
              <w:spacing w:line="360" w:lineRule="auto"/>
              <w:jc w:val="left"/>
              <w:rPr>
                <w:rFonts w:hint="eastAsia" w:ascii="仿宋" w:hAnsi="仿宋" w:eastAsia="仿宋" w:cs="仿宋"/>
                <w:color w:val="auto"/>
                <w:kern w:val="0"/>
                <w:sz w:val="24"/>
                <w:szCs w:val="24"/>
                <w:highlight w:val="none"/>
              </w:rPr>
            </w:pPr>
          </w:p>
          <w:p w14:paraId="3FE2C182">
            <w:pPr>
              <w:pStyle w:val="35"/>
              <w:spacing w:line="360" w:lineRule="auto"/>
              <w:rPr>
                <w:rFonts w:hint="eastAsia" w:ascii="仿宋" w:hAnsi="仿宋" w:eastAsia="仿宋" w:cs="仿宋"/>
                <w:color w:val="auto"/>
                <w:sz w:val="24"/>
                <w:szCs w:val="24"/>
                <w:highlight w:val="none"/>
              </w:rPr>
            </w:pPr>
          </w:p>
        </w:tc>
        <w:tc>
          <w:tcPr>
            <w:tcW w:w="1278" w:type="dxa"/>
            <w:noWrap w:val="0"/>
            <w:vAlign w:val="top"/>
          </w:tcPr>
          <w:p w14:paraId="3927419C">
            <w:pPr>
              <w:pStyle w:val="35"/>
              <w:spacing w:line="360" w:lineRule="auto"/>
              <w:rPr>
                <w:rFonts w:hint="eastAsia" w:ascii="仿宋" w:hAnsi="仿宋" w:eastAsia="仿宋" w:cs="仿宋"/>
                <w:color w:val="auto"/>
                <w:sz w:val="24"/>
                <w:szCs w:val="24"/>
                <w:highlight w:val="none"/>
              </w:rPr>
            </w:pPr>
          </w:p>
        </w:tc>
        <w:tc>
          <w:tcPr>
            <w:tcW w:w="1235" w:type="dxa"/>
            <w:noWrap w:val="0"/>
            <w:vAlign w:val="top"/>
          </w:tcPr>
          <w:p w14:paraId="2F56A9D4">
            <w:pPr>
              <w:pStyle w:val="35"/>
              <w:spacing w:line="360" w:lineRule="auto"/>
              <w:rPr>
                <w:rFonts w:hint="eastAsia" w:ascii="仿宋" w:hAnsi="仿宋" w:eastAsia="仿宋" w:cs="仿宋"/>
                <w:color w:val="auto"/>
                <w:sz w:val="24"/>
                <w:szCs w:val="24"/>
                <w:highlight w:val="none"/>
              </w:rPr>
            </w:pPr>
          </w:p>
        </w:tc>
        <w:tc>
          <w:tcPr>
            <w:tcW w:w="1057" w:type="dxa"/>
            <w:noWrap w:val="0"/>
            <w:vAlign w:val="top"/>
          </w:tcPr>
          <w:p w14:paraId="4573BA02">
            <w:pPr>
              <w:pStyle w:val="35"/>
              <w:spacing w:line="360" w:lineRule="auto"/>
              <w:rPr>
                <w:rFonts w:hint="eastAsia" w:ascii="仿宋" w:hAnsi="仿宋" w:eastAsia="仿宋" w:cs="仿宋"/>
                <w:color w:val="auto"/>
                <w:sz w:val="24"/>
                <w:szCs w:val="24"/>
                <w:highlight w:val="none"/>
              </w:rPr>
            </w:pPr>
          </w:p>
        </w:tc>
      </w:tr>
      <w:tr w14:paraId="7C2D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 w:type="dxa"/>
            <w:noWrap w:val="0"/>
            <w:vAlign w:val="top"/>
          </w:tcPr>
          <w:p w14:paraId="145CFBFE">
            <w:pPr>
              <w:pStyle w:val="35"/>
              <w:spacing w:line="360" w:lineRule="auto"/>
              <w:rPr>
                <w:rFonts w:hint="eastAsia" w:ascii="仿宋" w:hAnsi="仿宋" w:eastAsia="仿宋" w:cs="仿宋"/>
                <w:color w:val="auto"/>
                <w:sz w:val="24"/>
                <w:szCs w:val="24"/>
                <w:highlight w:val="none"/>
              </w:rPr>
            </w:pPr>
          </w:p>
        </w:tc>
        <w:tc>
          <w:tcPr>
            <w:tcW w:w="2529" w:type="dxa"/>
            <w:noWrap w:val="0"/>
            <w:vAlign w:val="top"/>
          </w:tcPr>
          <w:p w14:paraId="1ECA8B0D">
            <w:pPr>
              <w:pStyle w:val="35"/>
              <w:spacing w:line="360" w:lineRule="auto"/>
              <w:rPr>
                <w:rFonts w:hint="eastAsia" w:ascii="仿宋" w:hAnsi="仿宋" w:eastAsia="仿宋" w:cs="仿宋"/>
                <w:color w:val="auto"/>
                <w:sz w:val="24"/>
                <w:szCs w:val="24"/>
                <w:highlight w:val="none"/>
              </w:rPr>
            </w:pPr>
          </w:p>
        </w:tc>
        <w:tc>
          <w:tcPr>
            <w:tcW w:w="1809" w:type="dxa"/>
            <w:noWrap w:val="0"/>
            <w:vAlign w:val="top"/>
          </w:tcPr>
          <w:p w14:paraId="49F6B7D1">
            <w:pPr>
              <w:spacing w:line="360" w:lineRule="auto"/>
              <w:jc w:val="left"/>
              <w:rPr>
                <w:rFonts w:hint="eastAsia" w:ascii="仿宋" w:hAnsi="仿宋" w:eastAsia="仿宋" w:cs="仿宋"/>
                <w:color w:val="auto"/>
                <w:kern w:val="0"/>
                <w:sz w:val="24"/>
                <w:szCs w:val="24"/>
                <w:highlight w:val="none"/>
              </w:rPr>
            </w:pPr>
          </w:p>
          <w:p w14:paraId="5082D04C">
            <w:pPr>
              <w:pStyle w:val="35"/>
              <w:spacing w:line="360" w:lineRule="auto"/>
              <w:rPr>
                <w:rFonts w:hint="eastAsia" w:ascii="仿宋" w:hAnsi="仿宋" w:eastAsia="仿宋" w:cs="仿宋"/>
                <w:color w:val="auto"/>
                <w:sz w:val="24"/>
                <w:szCs w:val="24"/>
                <w:highlight w:val="none"/>
              </w:rPr>
            </w:pPr>
          </w:p>
        </w:tc>
        <w:tc>
          <w:tcPr>
            <w:tcW w:w="1278" w:type="dxa"/>
            <w:noWrap w:val="0"/>
            <w:vAlign w:val="top"/>
          </w:tcPr>
          <w:p w14:paraId="63EE08BD">
            <w:pPr>
              <w:pStyle w:val="35"/>
              <w:spacing w:line="360" w:lineRule="auto"/>
              <w:rPr>
                <w:rFonts w:hint="eastAsia" w:ascii="仿宋" w:hAnsi="仿宋" w:eastAsia="仿宋" w:cs="仿宋"/>
                <w:color w:val="auto"/>
                <w:sz w:val="24"/>
                <w:szCs w:val="24"/>
                <w:highlight w:val="none"/>
              </w:rPr>
            </w:pPr>
          </w:p>
        </w:tc>
        <w:tc>
          <w:tcPr>
            <w:tcW w:w="1235" w:type="dxa"/>
            <w:noWrap w:val="0"/>
            <w:vAlign w:val="top"/>
          </w:tcPr>
          <w:p w14:paraId="095D74BB">
            <w:pPr>
              <w:pStyle w:val="35"/>
              <w:spacing w:line="360" w:lineRule="auto"/>
              <w:rPr>
                <w:rFonts w:hint="eastAsia" w:ascii="仿宋" w:hAnsi="仿宋" w:eastAsia="仿宋" w:cs="仿宋"/>
                <w:color w:val="auto"/>
                <w:sz w:val="24"/>
                <w:szCs w:val="24"/>
                <w:highlight w:val="none"/>
              </w:rPr>
            </w:pPr>
          </w:p>
        </w:tc>
        <w:tc>
          <w:tcPr>
            <w:tcW w:w="1057" w:type="dxa"/>
            <w:noWrap w:val="0"/>
            <w:vAlign w:val="top"/>
          </w:tcPr>
          <w:p w14:paraId="4E23F549">
            <w:pPr>
              <w:pStyle w:val="35"/>
              <w:spacing w:line="360" w:lineRule="auto"/>
              <w:rPr>
                <w:rFonts w:hint="eastAsia" w:ascii="仿宋" w:hAnsi="仿宋" w:eastAsia="仿宋" w:cs="仿宋"/>
                <w:color w:val="auto"/>
                <w:sz w:val="24"/>
                <w:szCs w:val="24"/>
                <w:highlight w:val="none"/>
              </w:rPr>
            </w:pPr>
          </w:p>
        </w:tc>
      </w:tr>
    </w:tbl>
    <w:p w14:paraId="1488A7EF">
      <w:pPr>
        <w:bidi w:val="0"/>
        <w:spacing w:line="360" w:lineRule="auto"/>
        <w:rPr>
          <w:rFonts w:hint="eastAsia" w:ascii="仿宋" w:hAnsi="仿宋" w:eastAsia="仿宋" w:cs="仿宋"/>
          <w:color w:val="auto"/>
          <w:sz w:val="24"/>
          <w:szCs w:val="24"/>
          <w:highlight w:val="none"/>
        </w:rPr>
      </w:pPr>
      <w:bookmarkStart w:id="54" w:name="_Toc19858"/>
      <w:bookmarkStart w:id="55" w:name="_Toc32067"/>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若有偏离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请将具体偏离条款在“偏离”一栏中详细说明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若无偏离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请在“偏离”一栏中标注“无”字样。</w:t>
      </w:r>
    </w:p>
    <w:p w14:paraId="0F1DA38B">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67120C8F">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07B6A997">
      <w:pPr>
        <w:pStyle w:val="3"/>
        <w:keepNext w:val="0"/>
        <w:numPr>
          <w:ilvl w:val="0"/>
          <w:numId w:val="0"/>
        </w:numPr>
        <w:tabs>
          <w:tab w:val="left" w:pos="420"/>
        </w:tabs>
        <w:spacing w:line="360" w:lineRule="auto"/>
        <w:jc w:val="left"/>
        <w:rPr>
          <w:rFonts w:hint="eastAsia" w:ascii="仿宋" w:hAnsi="仿宋" w:eastAsia="仿宋" w:cs="仿宋"/>
          <w:color w:val="auto"/>
          <w:sz w:val="24"/>
          <w:szCs w:val="24"/>
          <w:highlight w:val="none"/>
        </w:rPr>
        <w:sectPr>
          <w:headerReference r:id="rId14" w:type="first"/>
          <w:footerReference r:id="rId16" w:type="first"/>
          <w:headerReference r:id="rId13" w:type="default"/>
          <w:footerReference r:id="rId15" w:type="default"/>
          <w:pgSz w:w="11906" w:h="16838"/>
          <w:pgMar w:top="1417" w:right="1417" w:bottom="1417" w:left="1417" w:header="510" w:footer="850" w:gutter="0"/>
          <w:pgNumType w:fmt="decimal"/>
          <w:cols w:space="720" w:num="1"/>
          <w:titlePg/>
          <w:rtlGutter w:val="0"/>
          <w:docGrid w:type="linesAndChars" w:linePitch="312" w:charSpace="1228"/>
        </w:sectPr>
      </w:pPr>
      <w:r>
        <w:rPr>
          <w:rFonts w:hint="eastAsia" w:ascii="仿宋" w:hAnsi="仿宋" w:eastAsia="仿宋" w:cs="仿宋"/>
          <w:color w:val="auto"/>
          <w:sz w:val="24"/>
          <w:szCs w:val="24"/>
          <w:highlight w:val="none"/>
        </w:rPr>
        <w:t>日期：     年   月   日</w:t>
      </w:r>
      <w:bookmarkEnd w:id="54"/>
      <w:bookmarkEnd w:id="55"/>
      <w:bookmarkStart w:id="56" w:name="_Toc10091"/>
      <w:bookmarkStart w:id="57" w:name="_Toc6379"/>
      <w:bookmarkStart w:id="58" w:name="_Toc24389"/>
    </w:p>
    <w:p w14:paraId="49CA7325">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4"/>
          <w:szCs w:val="24"/>
          <w:highlight w:val="none"/>
          <w:lang w:val="en-US" w:eastAsia="zh-CN"/>
        </w:rPr>
      </w:pPr>
      <w:r>
        <w:rPr>
          <w:rStyle w:val="48"/>
          <w:rFonts w:hint="eastAsia" w:ascii="仿宋" w:hAnsi="仿宋" w:eastAsia="仿宋" w:cs="仿宋"/>
          <w:b/>
          <w:bCs/>
          <w:color w:val="auto"/>
          <w:sz w:val="24"/>
          <w:szCs w:val="24"/>
          <w:highlight w:val="none"/>
          <w:lang w:val="en-US" w:eastAsia="zh-CN"/>
        </w:rPr>
        <w:t>附件10:</w:t>
      </w:r>
      <w:bookmarkEnd w:id="56"/>
      <w:bookmarkEnd w:id="57"/>
      <w:bookmarkEnd w:id="58"/>
    </w:p>
    <w:p w14:paraId="7DA3B577">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59" w:name="_Toc25331"/>
      <w:bookmarkStart w:id="60" w:name="_Toc7717"/>
      <w:bookmarkStart w:id="61" w:name="_Toc12578"/>
      <w:r>
        <w:rPr>
          <w:rStyle w:val="48"/>
          <w:rFonts w:hint="eastAsia" w:ascii="仿宋" w:hAnsi="仿宋" w:eastAsia="仿宋" w:cs="仿宋"/>
          <w:b/>
          <w:bCs/>
          <w:color w:val="auto"/>
          <w:sz w:val="28"/>
          <w:szCs w:val="28"/>
          <w:highlight w:val="none"/>
          <w:lang w:val="en-US" w:eastAsia="zh-CN"/>
        </w:rPr>
        <w:t>近三年同类项目业绩表</w:t>
      </w:r>
      <w:bookmarkEnd w:id="59"/>
      <w:bookmarkEnd w:id="60"/>
      <w:bookmarkEnd w:id="61"/>
    </w:p>
    <w:tbl>
      <w:tblPr>
        <w:tblStyle w:val="25"/>
        <w:tblW w:w="49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59"/>
        <w:gridCol w:w="1848"/>
        <w:gridCol w:w="1801"/>
        <w:gridCol w:w="1391"/>
        <w:gridCol w:w="1797"/>
        <w:gridCol w:w="1693"/>
      </w:tblGrid>
      <w:tr w14:paraId="45B20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25574A06">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983" w:type="pct"/>
            <w:noWrap w:val="0"/>
            <w:vAlign w:val="center"/>
          </w:tcPr>
          <w:p w14:paraId="7AA11BFF">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959" w:type="pct"/>
            <w:noWrap w:val="0"/>
            <w:vAlign w:val="center"/>
          </w:tcPr>
          <w:p w14:paraId="0DA58A39">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完成时间</w:t>
            </w:r>
          </w:p>
        </w:tc>
        <w:tc>
          <w:tcPr>
            <w:tcW w:w="741" w:type="pct"/>
            <w:noWrap w:val="0"/>
            <w:vAlign w:val="center"/>
          </w:tcPr>
          <w:p w14:paraId="7FDB6803">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合同金额</w:t>
            </w:r>
          </w:p>
        </w:tc>
        <w:tc>
          <w:tcPr>
            <w:tcW w:w="957" w:type="pct"/>
            <w:noWrap w:val="0"/>
            <w:vAlign w:val="center"/>
          </w:tcPr>
          <w:p w14:paraId="6558BADC">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采购人名称</w:t>
            </w:r>
          </w:p>
        </w:tc>
        <w:tc>
          <w:tcPr>
            <w:tcW w:w="901" w:type="pct"/>
            <w:tcBorders>
              <w:left w:val="single" w:color="auto" w:sz="4" w:space="0"/>
            </w:tcBorders>
            <w:noWrap w:val="0"/>
            <w:vAlign w:val="center"/>
          </w:tcPr>
          <w:p w14:paraId="47F0E635">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6AE2C9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5761E2AB">
            <w:pPr>
              <w:spacing w:line="360" w:lineRule="auto"/>
              <w:jc w:val="center"/>
              <w:rPr>
                <w:rFonts w:hint="eastAsia" w:ascii="仿宋" w:hAnsi="仿宋" w:eastAsia="仿宋" w:cs="仿宋"/>
                <w:bCs/>
                <w:color w:val="auto"/>
                <w:sz w:val="24"/>
                <w:szCs w:val="24"/>
                <w:highlight w:val="none"/>
              </w:rPr>
            </w:pPr>
          </w:p>
        </w:tc>
        <w:tc>
          <w:tcPr>
            <w:tcW w:w="983" w:type="pct"/>
            <w:noWrap w:val="0"/>
            <w:vAlign w:val="center"/>
          </w:tcPr>
          <w:p w14:paraId="04DF9BD9">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1DF49F06">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1C662B64">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25CE23BD">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042497C7">
            <w:pPr>
              <w:spacing w:line="360" w:lineRule="auto"/>
              <w:jc w:val="center"/>
              <w:rPr>
                <w:rFonts w:hint="eastAsia" w:ascii="仿宋" w:hAnsi="仿宋" w:eastAsia="仿宋" w:cs="仿宋"/>
                <w:bCs/>
                <w:color w:val="auto"/>
                <w:sz w:val="24"/>
                <w:szCs w:val="24"/>
                <w:highlight w:val="none"/>
              </w:rPr>
            </w:pPr>
          </w:p>
        </w:tc>
      </w:tr>
      <w:tr w14:paraId="53380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139D64C1">
            <w:pPr>
              <w:spacing w:line="360" w:lineRule="auto"/>
              <w:jc w:val="center"/>
              <w:rPr>
                <w:rFonts w:hint="eastAsia" w:ascii="仿宋" w:hAnsi="仿宋" w:eastAsia="仿宋" w:cs="仿宋"/>
                <w:bCs/>
                <w:color w:val="auto"/>
                <w:sz w:val="24"/>
                <w:szCs w:val="24"/>
                <w:highlight w:val="none"/>
              </w:rPr>
            </w:pPr>
          </w:p>
        </w:tc>
        <w:tc>
          <w:tcPr>
            <w:tcW w:w="983" w:type="pct"/>
            <w:noWrap w:val="0"/>
            <w:vAlign w:val="center"/>
          </w:tcPr>
          <w:p w14:paraId="21A1F339">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5F0534DD">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62CB841D">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51CF06F8">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6B827416">
            <w:pPr>
              <w:spacing w:line="360" w:lineRule="auto"/>
              <w:jc w:val="center"/>
              <w:rPr>
                <w:rFonts w:hint="eastAsia" w:ascii="仿宋" w:hAnsi="仿宋" w:eastAsia="仿宋" w:cs="仿宋"/>
                <w:bCs/>
                <w:color w:val="auto"/>
                <w:sz w:val="24"/>
                <w:szCs w:val="24"/>
                <w:highlight w:val="none"/>
              </w:rPr>
            </w:pPr>
          </w:p>
        </w:tc>
      </w:tr>
      <w:tr w14:paraId="3701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78812D71">
            <w:pPr>
              <w:spacing w:line="360" w:lineRule="auto"/>
              <w:jc w:val="center"/>
              <w:rPr>
                <w:rFonts w:hint="eastAsia" w:ascii="仿宋" w:hAnsi="仿宋" w:eastAsia="仿宋" w:cs="仿宋"/>
                <w:bCs/>
                <w:color w:val="auto"/>
                <w:sz w:val="24"/>
                <w:szCs w:val="24"/>
                <w:highlight w:val="none"/>
              </w:rPr>
            </w:pPr>
          </w:p>
        </w:tc>
        <w:tc>
          <w:tcPr>
            <w:tcW w:w="983" w:type="pct"/>
            <w:noWrap w:val="0"/>
            <w:vAlign w:val="center"/>
          </w:tcPr>
          <w:p w14:paraId="72B50111">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7CCB1B39">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4D1B1DBD">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0BB1888E">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477BD01D">
            <w:pPr>
              <w:spacing w:line="360" w:lineRule="auto"/>
              <w:jc w:val="center"/>
              <w:rPr>
                <w:rFonts w:hint="eastAsia" w:ascii="仿宋" w:hAnsi="仿宋" w:eastAsia="仿宋" w:cs="仿宋"/>
                <w:bCs/>
                <w:color w:val="auto"/>
                <w:sz w:val="24"/>
                <w:szCs w:val="24"/>
                <w:highlight w:val="none"/>
              </w:rPr>
            </w:pPr>
          </w:p>
        </w:tc>
      </w:tr>
      <w:tr w14:paraId="50F5B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5D992EDB">
            <w:pPr>
              <w:spacing w:line="360" w:lineRule="auto"/>
              <w:jc w:val="center"/>
              <w:rPr>
                <w:rFonts w:hint="eastAsia" w:ascii="仿宋" w:hAnsi="仿宋" w:eastAsia="仿宋" w:cs="仿宋"/>
                <w:bCs/>
                <w:color w:val="auto"/>
                <w:sz w:val="24"/>
                <w:szCs w:val="24"/>
                <w:highlight w:val="none"/>
              </w:rPr>
            </w:pPr>
          </w:p>
        </w:tc>
        <w:tc>
          <w:tcPr>
            <w:tcW w:w="983" w:type="pct"/>
            <w:noWrap w:val="0"/>
            <w:vAlign w:val="center"/>
          </w:tcPr>
          <w:p w14:paraId="549ED35C">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3934D748">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4F498089">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5EE4D046">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7B9D9B2F">
            <w:pPr>
              <w:spacing w:line="360" w:lineRule="auto"/>
              <w:jc w:val="center"/>
              <w:rPr>
                <w:rFonts w:hint="eastAsia" w:ascii="仿宋" w:hAnsi="仿宋" w:eastAsia="仿宋" w:cs="仿宋"/>
                <w:bCs/>
                <w:color w:val="auto"/>
                <w:sz w:val="24"/>
                <w:szCs w:val="24"/>
                <w:highlight w:val="none"/>
              </w:rPr>
            </w:pPr>
          </w:p>
        </w:tc>
      </w:tr>
      <w:tr w14:paraId="34E67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54C3B1D8">
            <w:pPr>
              <w:spacing w:line="360" w:lineRule="auto"/>
              <w:jc w:val="center"/>
              <w:rPr>
                <w:rFonts w:hint="eastAsia" w:ascii="仿宋" w:hAnsi="仿宋" w:eastAsia="仿宋" w:cs="仿宋"/>
                <w:bCs/>
                <w:color w:val="auto"/>
                <w:sz w:val="24"/>
                <w:szCs w:val="24"/>
                <w:highlight w:val="none"/>
              </w:rPr>
            </w:pPr>
          </w:p>
        </w:tc>
        <w:tc>
          <w:tcPr>
            <w:tcW w:w="983" w:type="pct"/>
            <w:noWrap w:val="0"/>
            <w:vAlign w:val="center"/>
          </w:tcPr>
          <w:p w14:paraId="7343A9A3">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3521D6A6">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48764A5C">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59B8A348">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73F6CCA9">
            <w:pPr>
              <w:spacing w:line="360" w:lineRule="auto"/>
              <w:jc w:val="center"/>
              <w:rPr>
                <w:rFonts w:hint="eastAsia" w:ascii="仿宋" w:hAnsi="仿宋" w:eastAsia="仿宋" w:cs="仿宋"/>
                <w:bCs/>
                <w:color w:val="auto"/>
                <w:sz w:val="24"/>
                <w:szCs w:val="24"/>
                <w:highlight w:val="none"/>
              </w:rPr>
            </w:pPr>
          </w:p>
        </w:tc>
      </w:tr>
      <w:tr w14:paraId="2B0941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tcBorders>
            <w:noWrap w:val="0"/>
            <w:vAlign w:val="center"/>
          </w:tcPr>
          <w:p w14:paraId="35F97DC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983" w:type="pct"/>
            <w:noWrap w:val="0"/>
            <w:vAlign w:val="center"/>
          </w:tcPr>
          <w:p w14:paraId="31586624">
            <w:pPr>
              <w:spacing w:line="360" w:lineRule="auto"/>
              <w:jc w:val="center"/>
              <w:rPr>
                <w:rFonts w:hint="eastAsia" w:ascii="仿宋" w:hAnsi="仿宋" w:eastAsia="仿宋" w:cs="仿宋"/>
                <w:bCs/>
                <w:color w:val="auto"/>
                <w:sz w:val="24"/>
                <w:szCs w:val="24"/>
                <w:highlight w:val="none"/>
              </w:rPr>
            </w:pPr>
          </w:p>
        </w:tc>
        <w:tc>
          <w:tcPr>
            <w:tcW w:w="959" w:type="pct"/>
            <w:noWrap w:val="0"/>
            <w:vAlign w:val="center"/>
          </w:tcPr>
          <w:p w14:paraId="5F379022">
            <w:pPr>
              <w:spacing w:line="360" w:lineRule="auto"/>
              <w:jc w:val="center"/>
              <w:rPr>
                <w:rFonts w:hint="eastAsia" w:ascii="仿宋" w:hAnsi="仿宋" w:eastAsia="仿宋" w:cs="仿宋"/>
                <w:bCs/>
                <w:color w:val="auto"/>
                <w:sz w:val="24"/>
                <w:szCs w:val="24"/>
                <w:highlight w:val="none"/>
              </w:rPr>
            </w:pPr>
          </w:p>
        </w:tc>
        <w:tc>
          <w:tcPr>
            <w:tcW w:w="741" w:type="pct"/>
            <w:noWrap w:val="0"/>
            <w:vAlign w:val="center"/>
          </w:tcPr>
          <w:p w14:paraId="3F548076">
            <w:pPr>
              <w:spacing w:line="360" w:lineRule="auto"/>
              <w:jc w:val="center"/>
              <w:rPr>
                <w:rFonts w:hint="eastAsia" w:ascii="仿宋" w:hAnsi="仿宋" w:eastAsia="仿宋" w:cs="仿宋"/>
                <w:bCs/>
                <w:color w:val="auto"/>
                <w:sz w:val="24"/>
                <w:szCs w:val="24"/>
                <w:highlight w:val="none"/>
              </w:rPr>
            </w:pPr>
          </w:p>
        </w:tc>
        <w:tc>
          <w:tcPr>
            <w:tcW w:w="957" w:type="pct"/>
            <w:noWrap w:val="0"/>
            <w:vAlign w:val="center"/>
          </w:tcPr>
          <w:p w14:paraId="2FA0B2EB">
            <w:pPr>
              <w:spacing w:line="360" w:lineRule="auto"/>
              <w:jc w:val="center"/>
              <w:rPr>
                <w:rFonts w:hint="eastAsia" w:ascii="仿宋" w:hAnsi="仿宋" w:eastAsia="仿宋" w:cs="仿宋"/>
                <w:bCs/>
                <w:color w:val="auto"/>
                <w:sz w:val="24"/>
                <w:szCs w:val="24"/>
                <w:highlight w:val="none"/>
              </w:rPr>
            </w:pPr>
          </w:p>
        </w:tc>
        <w:tc>
          <w:tcPr>
            <w:tcW w:w="901" w:type="pct"/>
            <w:tcBorders>
              <w:left w:val="single" w:color="auto" w:sz="4" w:space="0"/>
            </w:tcBorders>
            <w:noWrap w:val="0"/>
            <w:vAlign w:val="center"/>
          </w:tcPr>
          <w:p w14:paraId="63CDE163">
            <w:pPr>
              <w:spacing w:line="360" w:lineRule="auto"/>
              <w:jc w:val="center"/>
              <w:rPr>
                <w:rFonts w:hint="eastAsia" w:ascii="仿宋" w:hAnsi="仿宋" w:eastAsia="仿宋" w:cs="仿宋"/>
                <w:bCs/>
                <w:color w:val="auto"/>
                <w:sz w:val="24"/>
                <w:szCs w:val="24"/>
                <w:highlight w:val="none"/>
              </w:rPr>
            </w:pPr>
          </w:p>
        </w:tc>
      </w:tr>
    </w:tbl>
    <w:p w14:paraId="40036D66">
      <w:pPr>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、附业绩证明资料（如成交通知书/中标通知书或合同复印件）</w:t>
      </w:r>
    </w:p>
    <w:p w14:paraId="700CBF1B">
      <w:pPr>
        <w:spacing w:line="360" w:lineRule="auto"/>
        <w:rPr>
          <w:rFonts w:hint="eastAsia" w:ascii="仿宋" w:hAnsi="仿宋" w:eastAsia="仿宋" w:cs="仿宋"/>
          <w:b/>
          <w:bCs/>
          <w:color w:val="auto"/>
          <w:sz w:val="24"/>
          <w:szCs w:val="24"/>
          <w:highlight w:val="none"/>
        </w:rPr>
      </w:pPr>
    </w:p>
    <w:p w14:paraId="67240DF5">
      <w:pPr>
        <w:spacing w:line="360" w:lineRule="auto"/>
        <w:rPr>
          <w:rFonts w:hint="eastAsia" w:ascii="仿宋" w:hAnsi="仿宋" w:eastAsia="仿宋" w:cs="仿宋"/>
          <w:b/>
          <w:bCs/>
          <w:color w:val="auto"/>
          <w:sz w:val="24"/>
          <w:szCs w:val="24"/>
          <w:highlight w:val="none"/>
        </w:rPr>
      </w:pPr>
    </w:p>
    <w:p w14:paraId="1FA6827F">
      <w:pPr>
        <w:pStyle w:val="13"/>
        <w:spacing w:line="36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供应商名称（盖章）：</w:t>
      </w:r>
    </w:p>
    <w:p w14:paraId="1C705BB7">
      <w:pPr>
        <w:pStyle w:val="13"/>
        <w:spacing w:line="360" w:lineRule="auto"/>
        <w:ind w:left="838" w:firstLine="480" w:firstLineChars="200"/>
        <w:jc w:val="right"/>
        <w:rPr>
          <w:rFonts w:hint="eastAsia" w:ascii="仿宋" w:hAnsi="仿宋" w:eastAsia="仿宋" w:cs="仿宋"/>
          <w:bCs/>
          <w:color w:val="auto"/>
          <w:sz w:val="24"/>
          <w:szCs w:val="24"/>
          <w:highlight w:val="none"/>
        </w:rPr>
      </w:pPr>
    </w:p>
    <w:p w14:paraId="47994F44">
      <w:pPr>
        <w:pStyle w:val="13"/>
        <w:spacing w:line="360" w:lineRule="auto"/>
        <w:ind w:left="838" w:firstLine="480" w:firstLineChars="20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法定代表人或委托代理人（签字或盖章）：</w:t>
      </w:r>
    </w:p>
    <w:p w14:paraId="6237D0D2">
      <w:pPr>
        <w:pStyle w:val="35"/>
        <w:wordWrap w:val="0"/>
        <w:spacing w:line="360" w:lineRule="auto"/>
        <w:ind w:firstLine="567"/>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B15C242">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bookmarkStart w:id="62" w:name="_Toc597"/>
      <w:bookmarkStart w:id="63" w:name="_Toc27572"/>
      <w:bookmarkStart w:id="64" w:name="_Toc13500"/>
    </w:p>
    <w:p w14:paraId="70DE9463">
      <w:pPr>
        <w:spacing w:line="360" w:lineRule="auto"/>
        <w:jc w:val="both"/>
        <w:rPr>
          <w:rStyle w:val="48"/>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r>
        <w:rPr>
          <w:rStyle w:val="48"/>
          <w:rFonts w:hint="eastAsia" w:ascii="仿宋" w:hAnsi="仿宋" w:eastAsia="仿宋" w:cs="仿宋"/>
          <w:b/>
          <w:bCs/>
          <w:color w:val="auto"/>
          <w:sz w:val="24"/>
          <w:szCs w:val="24"/>
          <w:highlight w:val="none"/>
          <w:lang w:val="en-US" w:eastAsia="zh-CN"/>
        </w:rPr>
        <w:t>附件11:</w:t>
      </w:r>
      <w:bookmarkEnd w:id="62"/>
      <w:bookmarkEnd w:id="63"/>
      <w:bookmarkEnd w:id="64"/>
    </w:p>
    <w:p w14:paraId="1032C6DF">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8"/>
          <w:highlight w:val="none"/>
          <w:lang w:val="en-US" w:eastAsia="zh-CN"/>
        </w:rPr>
      </w:pPr>
      <w:bookmarkStart w:id="65" w:name="_Toc15132"/>
      <w:bookmarkStart w:id="66" w:name="_Toc4298"/>
      <w:r>
        <w:rPr>
          <w:rStyle w:val="48"/>
          <w:rFonts w:hint="eastAsia" w:ascii="仿宋" w:hAnsi="仿宋" w:eastAsia="仿宋" w:cs="仿宋"/>
          <w:b/>
          <w:bCs/>
          <w:color w:val="auto"/>
          <w:sz w:val="28"/>
          <w:szCs w:val="28"/>
          <w:highlight w:val="none"/>
          <w:lang w:val="en-US" w:eastAsia="zh-CN"/>
        </w:rPr>
        <w:t>拟派项目负责人简历表</w:t>
      </w:r>
      <w:bookmarkEnd w:id="65"/>
      <w:bookmarkEnd w:id="66"/>
    </w:p>
    <w:tbl>
      <w:tblPr>
        <w:tblStyle w:val="25"/>
        <w:tblW w:w="48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322"/>
        <w:gridCol w:w="1000"/>
        <w:gridCol w:w="931"/>
        <w:gridCol w:w="385"/>
        <w:gridCol w:w="1406"/>
        <w:gridCol w:w="3056"/>
        <w:gridCol w:w="1202"/>
      </w:tblGrid>
      <w:tr w14:paraId="6FF4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4879A73B">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14:paraId="616CD5A6">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14:paraId="279CC5A3">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0EB214">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13422293">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1C54A501">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5D88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13E7810F">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14:paraId="5A428A20">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14:paraId="551634CF">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7BE7F6A">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48292065">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26ADC442">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46CE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14:paraId="50FCB1D6">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w:t>
            </w:r>
          </w:p>
          <w:p w14:paraId="239A7F63">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或注册证书</w:t>
            </w:r>
          </w:p>
        </w:tc>
        <w:tc>
          <w:tcPr>
            <w:tcW w:w="1462" w:type="pct"/>
            <w:gridSpan w:val="3"/>
            <w:tcBorders>
              <w:top w:val="single" w:color="auto" w:sz="4" w:space="0"/>
              <w:left w:val="single" w:color="auto" w:sz="4" w:space="0"/>
              <w:bottom w:val="single" w:color="auto" w:sz="4" w:space="0"/>
              <w:right w:val="single" w:color="auto" w:sz="4" w:space="0"/>
            </w:tcBorders>
            <w:noWrap w:val="0"/>
            <w:vAlign w:val="center"/>
          </w:tcPr>
          <w:p w14:paraId="1DEAD1A3">
            <w:pPr>
              <w:tabs>
                <w:tab w:val="left" w:pos="360"/>
                <w:tab w:val="left" w:pos="1800"/>
              </w:tabs>
              <w:spacing w:line="360" w:lineRule="auto"/>
              <w:jc w:val="center"/>
              <w:rPr>
                <w:rFonts w:hint="eastAsia" w:ascii="仿宋" w:hAnsi="仿宋" w:eastAsia="仿宋" w:cs="仿宋"/>
                <w:color w:val="auto"/>
                <w:sz w:val="24"/>
                <w:szCs w:val="24"/>
                <w:highlight w:val="none"/>
                <w:u w:val="singl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1E03AF3F">
            <w:pPr>
              <w:tabs>
                <w:tab w:val="left" w:pos="360"/>
                <w:tab w:val="left" w:pos="1800"/>
              </w:tabs>
              <w:spacing w:line="360" w:lineRule="auto"/>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证书编号</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97AAA05">
            <w:pPr>
              <w:tabs>
                <w:tab w:val="left" w:pos="360"/>
                <w:tab w:val="left" w:pos="1800"/>
              </w:tabs>
              <w:spacing w:line="360" w:lineRule="auto"/>
              <w:jc w:val="center"/>
              <w:rPr>
                <w:rFonts w:hint="eastAsia" w:ascii="仿宋" w:hAnsi="仿宋" w:eastAsia="仿宋" w:cs="仿宋"/>
                <w:color w:val="auto"/>
                <w:sz w:val="24"/>
                <w:szCs w:val="24"/>
                <w:highlight w:val="none"/>
                <w:u w:val="single"/>
              </w:rPr>
            </w:pPr>
          </w:p>
        </w:tc>
      </w:tr>
      <w:tr w14:paraId="7BA6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14:paraId="69EDA05F">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14:paraId="362252F0">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2396" w:type="pct"/>
            <w:gridSpan w:val="2"/>
            <w:tcBorders>
              <w:top w:val="single" w:color="auto" w:sz="4" w:space="0"/>
              <w:left w:val="single" w:color="auto" w:sz="4" w:space="0"/>
              <w:bottom w:val="single" w:color="auto" w:sz="4" w:space="0"/>
              <w:right w:val="single" w:color="auto" w:sz="4" w:space="0"/>
            </w:tcBorders>
            <w:noWrap w:val="0"/>
            <w:vAlign w:val="center"/>
          </w:tcPr>
          <w:p w14:paraId="092B901C">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从事本专业工作时间</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721B1EDA">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2C83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89C68FB">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    历</w:t>
            </w:r>
          </w:p>
        </w:tc>
      </w:tr>
      <w:tr w14:paraId="2F71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2A16B6AD">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0CCD7BFA">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w:t>
            </w:r>
          </w:p>
          <w:p w14:paraId="729D7439">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65470129">
            <w:pPr>
              <w:tabs>
                <w:tab w:val="left" w:pos="360"/>
                <w:tab w:val="left" w:pos="1800"/>
              </w:tabs>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服务内容</w:t>
            </w:r>
          </w:p>
        </w:tc>
        <w:tc>
          <w:tcPr>
            <w:tcW w:w="1641" w:type="pct"/>
            <w:tcBorders>
              <w:top w:val="single" w:color="auto" w:sz="4" w:space="0"/>
              <w:left w:val="single" w:color="auto" w:sz="4" w:space="0"/>
              <w:bottom w:val="single" w:color="auto" w:sz="4" w:space="0"/>
              <w:right w:val="single" w:color="auto" w:sz="4" w:space="0"/>
            </w:tcBorders>
            <w:noWrap w:val="0"/>
            <w:vAlign w:val="center"/>
          </w:tcPr>
          <w:p w14:paraId="2FDF0BA4">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0C6533C7">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7EE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48DE9E45">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4C2D6B79">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5469964D">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26818D6D">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64F6A616">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3315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5A4EDF69">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4DCD4628">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30D7050E">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31BCCBDB">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656480CC">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5985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3BACA268">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25346E79">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1491B574">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3867D1C0">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CD82DC7">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0009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09B1C673">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2BF680EB">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55B7E1A0">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70BC1FF2">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68B2D8DF">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0931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07DEE70D">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326B7314">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61F03D45">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3B6CFAFA">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82B086A">
            <w:pPr>
              <w:tabs>
                <w:tab w:val="left" w:pos="360"/>
                <w:tab w:val="left" w:pos="1800"/>
              </w:tabs>
              <w:spacing w:line="360" w:lineRule="auto"/>
              <w:jc w:val="center"/>
              <w:rPr>
                <w:rFonts w:hint="eastAsia" w:ascii="仿宋" w:hAnsi="仿宋" w:eastAsia="仿宋" w:cs="仿宋"/>
                <w:color w:val="auto"/>
                <w:sz w:val="24"/>
                <w:szCs w:val="24"/>
                <w:highlight w:val="none"/>
              </w:rPr>
            </w:pPr>
          </w:p>
        </w:tc>
      </w:tr>
      <w:tr w14:paraId="1E7E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14:paraId="2604530A">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14:paraId="706B7393">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33A3182C">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14:paraId="1565E7EC">
            <w:pPr>
              <w:tabs>
                <w:tab w:val="left" w:pos="360"/>
                <w:tab w:val="left" w:pos="1800"/>
              </w:tabs>
              <w:spacing w:line="360" w:lineRule="auto"/>
              <w:jc w:val="center"/>
              <w:rPr>
                <w:rFonts w:hint="eastAsia" w:ascii="仿宋" w:hAnsi="仿宋" w:eastAsia="仿宋" w:cs="仿宋"/>
                <w:color w:val="auto"/>
                <w:sz w:val="24"/>
                <w:szCs w:val="24"/>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C993157">
            <w:pPr>
              <w:tabs>
                <w:tab w:val="left" w:pos="360"/>
                <w:tab w:val="left" w:pos="1800"/>
              </w:tabs>
              <w:spacing w:line="360" w:lineRule="auto"/>
              <w:jc w:val="center"/>
              <w:rPr>
                <w:rFonts w:hint="eastAsia" w:ascii="仿宋" w:hAnsi="仿宋" w:eastAsia="仿宋" w:cs="仿宋"/>
                <w:color w:val="auto"/>
                <w:sz w:val="24"/>
                <w:szCs w:val="24"/>
                <w:highlight w:val="none"/>
              </w:rPr>
            </w:pPr>
          </w:p>
        </w:tc>
      </w:tr>
    </w:tbl>
    <w:p w14:paraId="2FD1B2ED">
      <w:pPr>
        <w:keepNext w:val="0"/>
        <w:keepLines w:val="0"/>
        <w:pageBreakBefore w:val="0"/>
        <w:widowControl w:val="0"/>
        <w:overflowPunct/>
        <w:bidi w:val="0"/>
        <w:spacing w:line="360" w:lineRule="auto"/>
        <w:jc w:val="left"/>
        <w:rPr>
          <w:rStyle w:val="59"/>
          <w:rFonts w:hint="eastAsia" w:ascii="仿宋" w:hAnsi="仿宋" w:eastAsia="仿宋" w:cs="仿宋"/>
          <w:b/>
          <w:color w:val="auto"/>
          <w:sz w:val="24"/>
          <w:szCs w:val="24"/>
          <w:highlight w:val="none"/>
          <w:lang w:val="en-US" w:eastAsia="zh-CN" w:bidi="ar-SA"/>
        </w:rPr>
      </w:pPr>
      <w:bookmarkStart w:id="67" w:name="_Toc27273"/>
      <w:bookmarkStart w:id="68" w:name="_Toc25963"/>
      <w:bookmarkStart w:id="69" w:name="_Toc23652"/>
      <w:r>
        <w:rPr>
          <w:rStyle w:val="59"/>
          <w:rFonts w:hint="eastAsia" w:ascii="仿宋" w:hAnsi="仿宋" w:eastAsia="仿宋" w:cs="仿宋"/>
          <w:b/>
          <w:color w:val="auto"/>
          <w:sz w:val="24"/>
          <w:szCs w:val="24"/>
          <w:highlight w:val="none"/>
          <w:lang w:val="en-US" w:eastAsia="zh-CN" w:bidi="ar-SA"/>
        </w:rPr>
        <w:t>附项目负责人相关资料、社保缴纳凭证、业绩证明资料复印件（如成交通知书/中标通知书或合同复印件），作为本表的附件。</w:t>
      </w:r>
    </w:p>
    <w:bookmarkEnd w:id="67"/>
    <w:bookmarkEnd w:id="68"/>
    <w:bookmarkEnd w:id="69"/>
    <w:p w14:paraId="45CAB0E8">
      <w:pPr>
        <w:pStyle w:val="13"/>
        <w:spacing w:line="36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33152FEA">
      <w:pPr>
        <w:pStyle w:val="13"/>
        <w:spacing w:line="36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 供应商名称（盖章）：</w:t>
      </w:r>
    </w:p>
    <w:p w14:paraId="5920EE97">
      <w:pPr>
        <w:pStyle w:val="13"/>
        <w:spacing w:line="360" w:lineRule="auto"/>
        <w:ind w:left="838" w:firstLine="480" w:firstLineChars="200"/>
        <w:jc w:val="right"/>
        <w:rPr>
          <w:rFonts w:hint="eastAsia" w:ascii="仿宋" w:hAnsi="仿宋" w:eastAsia="仿宋" w:cs="仿宋"/>
          <w:bCs/>
          <w:color w:val="auto"/>
          <w:sz w:val="24"/>
          <w:szCs w:val="24"/>
          <w:highlight w:val="none"/>
        </w:rPr>
      </w:pPr>
    </w:p>
    <w:p w14:paraId="43BDF76E">
      <w:pPr>
        <w:pStyle w:val="13"/>
        <w:spacing w:line="360" w:lineRule="auto"/>
        <w:ind w:left="838" w:firstLine="480" w:firstLineChars="20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法定代表人或委托代理人（签字或盖章）：</w:t>
      </w:r>
    </w:p>
    <w:p w14:paraId="5272B851">
      <w:pPr>
        <w:pStyle w:val="35"/>
        <w:wordWrap w:val="0"/>
        <w:spacing w:line="360" w:lineRule="auto"/>
        <w:ind w:firstLine="567"/>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8C823A5">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bookmarkStart w:id="70" w:name="_Toc6788"/>
      <w:bookmarkStart w:id="71" w:name="_Toc26982"/>
      <w:bookmarkStart w:id="72" w:name="_Toc4287"/>
    </w:p>
    <w:p w14:paraId="591F1B5A">
      <w:pPr>
        <w:spacing w:line="360" w:lineRule="auto"/>
        <w:jc w:val="both"/>
        <w:rPr>
          <w:rStyle w:val="48"/>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4"/>
          <w:szCs w:val="24"/>
          <w:highlight w:val="none"/>
        </w:rPr>
        <w:br w:type="page"/>
      </w:r>
      <w:bookmarkEnd w:id="70"/>
      <w:bookmarkEnd w:id="71"/>
      <w:bookmarkEnd w:id="72"/>
      <w:bookmarkStart w:id="73" w:name="_Toc13542"/>
      <w:bookmarkStart w:id="74" w:name="_Toc7251"/>
      <w:bookmarkStart w:id="75" w:name="_Toc2493"/>
      <w:r>
        <w:rPr>
          <w:rStyle w:val="48"/>
          <w:rFonts w:hint="eastAsia" w:ascii="仿宋" w:hAnsi="仿宋" w:eastAsia="仿宋" w:cs="仿宋"/>
          <w:b/>
          <w:bCs/>
          <w:color w:val="auto"/>
          <w:sz w:val="28"/>
          <w:szCs w:val="24"/>
          <w:highlight w:val="none"/>
          <w:lang w:val="en-US" w:eastAsia="zh-CN"/>
        </w:rPr>
        <w:t>附件12:</w:t>
      </w:r>
      <w:bookmarkEnd w:id="73"/>
      <w:bookmarkEnd w:id="74"/>
      <w:bookmarkEnd w:id="75"/>
    </w:p>
    <w:p w14:paraId="30722CA1">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4"/>
          <w:highlight w:val="none"/>
          <w:lang w:val="en-US" w:eastAsia="zh-CN"/>
        </w:rPr>
      </w:pPr>
      <w:bookmarkStart w:id="76" w:name="_Toc24019"/>
      <w:bookmarkStart w:id="77" w:name="_Toc25373"/>
      <w:bookmarkStart w:id="78" w:name="_Toc19593"/>
      <w:r>
        <w:rPr>
          <w:rStyle w:val="48"/>
          <w:rFonts w:hint="eastAsia" w:ascii="仿宋" w:hAnsi="仿宋" w:eastAsia="仿宋" w:cs="仿宋"/>
          <w:b/>
          <w:bCs/>
          <w:color w:val="auto"/>
          <w:sz w:val="28"/>
          <w:szCs w:val="24"/>
          <w:highlight w:val="none"/>
          <w:lang w:val="en-US" w:eastAsia="zh-CN"/>
        </w:rPr>
        <w:t>技术支持及服务承诺书</w:t>
      </w:r>
      <w:bookmarkEnd w:id="76"/>
      <w:bookmarkEnd w:id="77"/>
      <w:bookmarkEnd w:id="78"/>
    </w:p>
    <w:p w14:paraId="0DA9EADA">
      <w:pPr>
        <w:bidi w:val="0"/>
        <w:spacing w:line="360" w:lineRule="auto"/>
        <w:rPr>
          <w:rFonts w:hint="eastAsia" w:ascii="仿宋" w:hAnsi="仿宋" w:eastAsia="仿宋" w:cs="仿宋"/>
          <w:color w:val="auto"/>
          <w:sz w:val="24"/>
          <w:szCs w:val="22"/>
          <w:highlight w:val="none"/>
          <w:u w:val="single"/>
        </w:rPr>
      </w:pPr>
      <w:r>
        <w:rPr>
          <w:rFonts w:hint="eastAsia" w:ascii="仿宋" w:hAnsi="仿宋" w:eastAsia="仿宋" w:cs="仿宋"/>
          <w:color w:val="auto"/>
          <w:sz w:val="24"/>
          <w:szCs w:val="22"/>
          <w:highlight w:val="none"/>
          <w:u w:val="single"/>
          <w:lang w:val="zh-CN"/>
        </w:rPr>
        <w:t>（采购人名称）</w:t>
      </w:r>
      <w:r>
        <w:rPr>
          <w:rFonts w:hint="eastAsia" w:ascii="仿宋" w:hAnsi="仿宋" w:eastAsia="仿宋" w:cs="仿宋"/>
          <w:color w:val="auto"/>
          <w:sz w:val="24"/>
          <w:szCs w:val="22"/>
          <w:highlight w:val="none"/>
          <w:u w:val="none"/>
        </w:rPr>
        <w:t>：</w:t>
      </w:r>
    </w:p>
    <w:p w14:paraId="49F748C3">
      <w:pPr>
        <w:spacing w:line="36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　　我公司</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（供应商名称）</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lang w:eastAsia="zh-CN"/>
        </w:rPr>
        <w:t>文件</w:t>
      </w:r>
      <w:r>
        <w:rPr>
          <w:rFonts w:hint="eastAsia" w:ascii="仿宋" w:hAnsi="仿宋" w:eastAsia="仿宋" w:cs="仿宋"/>
          <w:bCs/>
          <w:color w:val="auto"/>
          <w:sz w:val="24"/>
          <w:szCs w:val="24"/>
          <w:highlight w:val="none"/>
        </w:rPr>
        <w:t>中有关</w:t>
      </w:r>
      <w:r>
        <w:rPr>
          <w:rFonts w:hint="eastAsia" w:ascii="仿宋" w:hAnsi="仿宋" w:eastAsia="仿宋" w:cs="仿宋"/>
          <w:bCs/>
          <w:color w:val="auto"/>
          <w:sz w:val="24"/>
          <w:szCs w:val="24"/>
          <w:highlight w:val="none"/>
          <w:lang w:val="en-US" w:eastAsia="zh-CN"/>
        </w:rPr>
        <w:t>服务内容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服务期限</w:t>
      </w:r>
      <w:r>
        <w:rPr>
          <w:rFonts w:hint="eastAsia" w:ascii="仿宋" w:hAnsi="仿宋" w:eastAsia="仿宋" w:cs="仿宋"/>
          <w:bCs/>
          <w:color w:val="auto"/>
          <w:sz w:val="24"/>
          <w:szCs w:val="24"/>
          <w:highlight w:val="none"/>
        </w:rPr>
        <w:t>、投标有效期、付款方式、</w:t>
      </w:r>
      <w:r>
        <w:rPr>
          <w:rFonts w:hint="eastAsia" w:ascii="仿宋" w:hAnsi="仿宋" w:eastAsia="仿宋" w:cs="仿宋"/>
          <w:bCs/>
          <w:color w:val="auto"/>
          <w:sz w:val="24"/>
          <w:szCs w:val="24"/>
          <w:highlight w:val="none"/>
          <w:lang w:eastAsia="zh-CN"/>
        </w:rPr>
        <w:t>服务标准及要求</w:t>
      </w:r>
    </w:p>
    <w:p w14:paraId="60E6A9B1">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废标条件、承诺和采购人不能接受的条件等实质性内容完全响应。如我公司能在本次招标中中标，我公司郑重承诺如下：</w:t>
      </w:r>
    </w:p>
    <w:tbl>
      <w:tblPr>
        <w:tblStyle w:val="2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97"/>
        <w:gridCol w:w="2550"/>
        <w:gridCol w:w="1561"/>
      </w:tblGrid>
      <w:tr w14:paraId="2EF7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13CC559C">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3797" w:type="dxa"/>
            <w:noWrap w:val="0"/>
            <w:vAlign w:val="center"/>
          </w:tcPr>
          <w:p w14:paraId="361BAB40">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内容</w:t>
            </w:r>
          </w:p>
        </w:tc>
        <w:tc>
          <w:tcPr>
            <w:tcW w:w="2550" w:type="dxa"/>
            <w:noWrap w:val="0"/>
            <w:vAlign w:val="center"/>
          </w:tcPr>
          <w:p w14:paraId="23FF222E">
            <w:pPr>
              <w:tabs>
                <w:tab w:val="center" w:pos="1130"/>
                <w:tab w:val="right" w:pos="2140"/>
              </w:tabs>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承诺</w:t>
            </w:r>
            <w:r>
              <w:rPr>
                <w:rFonts w:hint="eastAsia" w:ascii="仿宋" w:hAnsi="仿宋" w:eastAsia="仿宋" w:cs="仿宋"/>
                <w:bCs/>
                <w:color w:val="auto"/>
                <w:sz w:val="24"/>
                <w:szCs w:val="24"/>
                <w:highlight w:val="none"/>
              </w:rPr>
              <w:tab/>
            </w:r>
          </w:p>
        </w:tc>
        <w:tc>
          <w:tcPr>
            <w:tcW w:w="1561" w:type="dxa"/>
            <w:noWrap w:val="0"/>
            <w:vAlign w:val="center"/>
          </w:tcPr>
          <w:p w14:paraId="4B0B275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2784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6059818F">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１</w:t>
            </w:r>
          </w:p>
        </w:tc>
        <w:tc>
          <w:tcPr>
            <w:tcW w:w="3797" w:type="dxa"/>
            <w:noWrap w:val="0"/>
            <w:vAlign w:val="center"/>
          </w:tcPr>
          <w:p w14:paraId="68F37896">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45F1655F">
            <w:pPr>
              <w:tabs>
                <w:tab w:val="center" w:pos="1130"/>
                <w:tab w:val="right" w:pos="2140"/>
              </w:tabs>
              <w:spacing w:line="360" w:lineRule="auto"/>
              <w:jc w:val="left"/>
              <w:rPr>
                <w:rFonts w:hint="eastAsia" w:ascii="仿宋" w:hAnsi="仿宋" w:eastAsia="仿宋" w:cs="仿宋"/>
                <w:bCs/>
                <w:color w:val="auto"/>
                <w:sz w:val="24"/>
                <w:szCs w:val="24"/>
                <w:highlight w:val="none"/>
              </w:rPr>
            </w:pPr>
          </w:p>
        </w:tc>
        <w:tc>
          <w:tcPr>
            <w:tcW w:w="1561" w:type="dxa"/>
            <w:noWrap w:val="0"/>
            <w:vAlign w:val="center"/>
          </w:tcPr>
          <w:p w14:paraId="331ACD67">
            <w:pPr>
              <w:spacing w:line="360" w:lineRule="auto"/>
              <w:jc w:val="center"/>
              <w:rPr>
                <w:rFonts w:hint="eastAsia" w:ascii="仿宋" w:hAnsi="仿宋" w:eastAsia="仿宋" w:cs="仿宋"/>
                <w:bCs/>
                <w:color w:val="auto"/>
                <w:sz w:val="24"/>
                <w:szCs w:val="24"/>
                <w:highlight w:val="none"/>
              </w:rPr>
            </w:pPr>
          </w:p>
        </w:tc>
      </w:tr>
      <w:tr w14:paraId="3A93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0CFA527">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２</w:t>
            </w:r>
          </w:p>
        </w:tc>
        <w:tc>
          <w:tcPr>
            <w:tcW w:w="3797" w:type="dxa"/>
            <w:noWrap w:val="0"/>
            <w:vAlign w:val="center"/>
          </w:tcPr>
          <w:p w14:paraId="1DDE5EB4">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037D0DFD">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2CE7B9D8">
            <w:pPr>
              <w:spacing w:line="360" w:lineRule="auto"/>
              <w:jc w:val="center"/>
              <w:rPr>
                <w:rFonts w:hint="eastAsia" w:ascii="仿宋" w:hAnsi="仿宋" w:eastAsia="仿宋" w:cs="仿宋"/>
                <w:bCs/>
                <w:color w:val="auto"/>
                <w:sz w:val="24"/>
                <w:szCs w:val="24"/>
                <w:highlight w:val="none"/>
              </w:rPr>
            </w:pPr>
          </w:p>
        </w:tc>
      </w:tr>
      <w:tr w14:paraId="78E0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17A88D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３</w:t>
            </w:r>
          </w:p>
        </w:tc>
        <w:tc>
          <w:tcPr>
            <w:tcW w:w="3797" w:type="dxa"/>
            <w:noWrap w:val="0"/>
            <w:vAlign w:val="center"/>
          </w:tcPr>
          <w:p w14:paraId="5AC4AC63">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509DBAD5">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368F1D3D">
            <w:pPr>
              <w:spacing w:line="360" w:lineRule="auto"/>
              <w:jc w:val="center"/>
              <w:rPr>
                <w:rFonts w:hint="eastAsia" w:ascii="仿宋" w:hAnsi="仿宋" w:eastAsia="仿宋" w:cs="仿宋"/>
                <w:bCs/>
                <w:color w:val="auto"/>
                <w:sz w:val="24"/>
                <w:szCs w:val="24"/>
                <w:highlight w:val="none"/>
              </w:rPr>
            </w:pPr>
          </w:p>
        </w:tc>
      </w:tr>
      <w:tr w14:paraId="5AB7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7EA7C6F">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４</w:t>
            </w:r>
          </w:p>
        </w:tc>
        <w:tc>
          <w:tcPr>
            <w:tcW w:w="3797" w:type="dxa"/>
            <w:noWrap w:val="0"/>
            <w:vAlign w:val="center"/>
          </w:tcPr>
          <w:p w14:paraId="09702721">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337ECB29">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5DA2EE0A">
            <w:pPr>
              <w:spacing w:line="360" w:lineRule="auto"/>
              <w:jc w:val="center"/>
              <w:rPr>
                <w:rFonts w:hint="eastAsia" w:ascii="仿宋" w:hAnsi="仿宋" w:eastAsia="仿宋" w:cs="仿宋"/>
                <w:bCs/>
                <w:color w:val="auto"/>
                <w:sz w:val="24"/>
                <w:szCs w:val="24"/>
                <w:highlight w:val="none"/>
              </w:rPr>
            </w:pPr>
          </w:p>
        </w:tc>
      </w:tr>
      <w:tr w14:paraId="46BD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3D6C8C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５</w:t>
            </w:r>
          </w:p>
        </w:tc>
        <w:tc>
          <w:tcPr>
            <w:tcW w:w="3797" w:type="dxa"/>
            <w:noWrap w:val="0"/>
            <w:vAlign w:val="center"/>
          </w:tcPr>
          <w:p w14:paraId="1D3949E1">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4B2A1874">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539EA290">
            <w:pPr>
              <w:spacing w:line="360" w:lineRule="auto"/>
              <w:jc w:val="center"/>
              <w:rPr>
                <w:rFonts w:hint="eastAsia" w:ascii="仿宋" w:hAnsi="仿宋" w:eastAsia="仿宋" w:cs="仿宋"/>
                <w:bCs/>
                <w:color w:val="auto"/>
                <w:sz w:val="24"/>
                <w:szCs w:val="24"/>
                <w:highlight w:val="none"/>
              </w:rPr>
            </w:pPr>
          </w:p>
        </w:tc>
      </w:tr>
      <w:tr w14:paraId="6BB0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7DCCA64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3797" w:type="dxa"/>
            <w:noWrap w:val="0"/>
            <w:vAlign w:val="center"/>
          </w:tcPr>
          <w:p w14:paraId="58B3CF64">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00E14508">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1532A9B0">
            <w:pPr>
              <w:spacing w:line="360" w:lineRule="auto"/>
              <w:jc w:val="center"/>
              <w:rPr>
                <w:rFonts w:hint="eastAsia" w:ascii="仿宋" w:hAnsi="仿宋" w:eastAsia="仿宋" w:cs="仿宋"/>
                <w:bCs/>
                <w:color w:val="auto"/>
                <w:sz w:val="24"/>
                <w:szCs w:val="24"/>
                <w:highlight w:val="none"/>
              </w:rPr>
            </w:pPr>
          </w:p>
        </w:tc>
      </w:tr>
      <w:tr w14:paraId="00ED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6CD9F8B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3797" w:type="dxa"/>
            <w:noWrap w:val="0"/>
            <w:vAlign w:val="center"/>
          </w:tcPr>
          <w:p w14:paraId="41D7B40D">
            <w:pPr>
              <w:spacing w:line="360" w:lineRule="auto"/>
              <w:jc w:val="center"/>
              <w:rPr>
                <w:rFonts w:hint="eastAsia" w:ascii="仿宋" w:hAnsi="仿宋" w:eastAsia="仿宋" w:cs="仿宋"/>
                <w:bCs/>
                <w:color w:val="auto"/>
                <w:sz w:val="24"/>
                <w:szCs w:val="24"/>
                <w:highlight w:val="none"/>
              </w:rPr>
            </w:pPr>
          </w:p>
        </w:tc>
        <w:tc>
          <w:tcPr>
            <w:tcW w:w="2550" w:type="dxa"/>
            <w:noWrap w:val="0"/>
            <w:vAlign w:val="center"/>
          </w:tcPr>
          <w:p w14:paraId="2EBD08A7">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0265FDF9">
            <w:pPr>
              <w:spacing w:line="360" w:lineRule="auto"/>
              <w:jc w:val="center"/>
              <w:rPr>
                <w:rFonts w:hint="eastAsia" w:ascii="仿宋" w:hAnsi="仿宋" w:eastAsia="仿宋" w:cs="仿宋"/>
                <w:bCs/>
                <w:color w:val="auto"/>
                <w:sz w:val="24"/>
                <w:szCs w:val="24"/>
                <w:highlight w:val="none"/>
              </w:rPr>
            </w:pPr>
          </w:p>
        </w:tc>
      </w:tr>
      <w:tr w14:paraId="5A50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4D8A157">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3797" w:type="dxa"/>
            <w:noWrap w:val="0"/>
            <w:vAlign w:val="center"/>
          </w:tcPr>
          <w:p w14:paraId="7EDE6D39">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2550" w:type="dxa"/>
            <w:noWrap w:val="0"/>
            <w:vAlign w:val="center"/>
          </w:tcPr>
          <w:p w14:paraId="2D4B7C51">
            <w:pPr>
              <w:spacing w:line="360" w:lineRule="auto"/>
              <w:jc w:val="center"/>
              <w:rPr>
                <w:rFonts w:hint="eastAsia" w:ascii="仿宋" w:hAnsi="仿宋" w:eastAsia="仿宋" w:cs="仿宋"/>
                <w:bCs/>
                <w:color w:val="auto"/>
                <w:sz w:val="24"/>
                <w:szCs w:val="24"/>
                <w:highlight w:val="none"/>
              </w:rPr>
            </w:pPr>
          </w:p>
        </w:tc>
        <w:tc>
          <w:tcPr>
            <w:tcW w:w="1561" w:type="dxa"/>
            <w:noWrap w:val="0"/>
            <w:vAlign w:val="center"/>
          </w:tcPr>
          <w:p w14:paraId="0FCB6ADC">
            <w:pPr>
              <w:spacing w:line="360" w:lineRule="auto"/>
              <w:jc w:val="center"/>
              <w:rPr>
                <w:rFonts w:hint="eastAsia" w:ascii="仿宋" w:hAnsi="仿宋" w:eastAsia="仿宋" w:cs="仿宋"/>
                <w:bCs/>
                <w:color w:val="auto"/>
                <w:sz w:val="24"/>
                <w:szCs w:val="24"/>
                <w:highlight w:val="none"/>
              </w:rPr>
            </w:pPr>
          </w:p>
        </w:tc>
      </w:tr>
    </w:tbl>
    <w:p w14:paraId="50E80958">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本承诺函为我公司应答此次采购项目正式文件的附件，与其他</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具有同等法律效力，经我公司盖章后立即生效。</w:t>
      </w:r>
    </w:p>
    <w:p w14:paraId="196F0012">
      <w:pPr>
        <w:spacing w:line="360" w:lineRule="auto"/>
        <w:rPr>
          <w:rFonts w:hint="eastAsia" w:ascii="仿宋" w:hAnsi="仿宋" w:eastAsia="仿宋" w:cs="仿宋"/>
          <w:bCs/>
          <w:color w:val="auto"/>
          <w:sz w:val="24"/>
          <w:szCs w:val="24"/>
          <w:highlight w:val="none"/>
        </w:rPr>
      </w:pPr>
    </w:p>
    <w:p w14:paraId="2DC5781F">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0"/>
          <w:szCs w:val="18"/>
          <w:highlight w:val="none"/>
        </w:rPr>
        <w:t xml:space="preserve">      </w:t>
      </w:r>
      <w:r>
        <w:rPr>
          <w:rFonts w:hint="eastAsia" w:ascii="仿宋" w:hAnsi="仿宋" w:eastAsia="仿宋" w:cs="仿宋"/>
          <w:bCs/>
          <w:color w:val="auto"/>
          <w:sz w:val="20"/>
          <w:szCs w:val="18"/>
          <w:highlight w:val="none"/>
          <w:lang w:val="en-US" w:eastAsia="zh-CN"/>
        </w:rPr>
        <w:t xml:space="preserve">               </w:t>
      </w:r>
      <w:r>
        <w:rPr>
          <w:rFonts w:hint="eastAsia" w:ascii="仿宋" w:hAnsi="仿宋" w:eastAsia="仿宋" w:cs="仿宋"/>
          <w:color w:val="auto"/>
          <w:sz w:val="24"/>
          <w:szCs w:val="24"/>
          <w:highlight w:val="none"/>
        </w:rPr>
        <w:t>供应商名称（盖章）：</w:t>
      </w:r>
    </w:p>
    <w:p w14:paraId="7FAA7971">
      <w:pPr>
        <w:bidi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702C276F">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bookmarkStart w:id="79" w:name="_Toc12791"/>
      <w:bookmarkStart w:id="80" w:name="_Toc12421"/>
      <w:bookmarkStart w:id="81" w:name="_Toc28079"/>
    </w:p>
    <w:p w14:paraId="28689A9C">
      <w:pPr>
        <w:spacing w:line="360" w:lineRule="auto"/>
        <w:jc w:val="both"/>
        <w:rPr>
          <w:rStyle w:val="48"/>
          <w:rFonts w:hint="eastAsia" w:ascii="仿宋" w:hAnsi="仿宋" w:eastAsia="仿宋" w:cs="仿宋"/>
          <w:b/>
          <w:color w:val="auto"/>
          <w:sz w:val="28"/>
          <w:szCs w:val="24"/>
          <w:highlight w:val="none"/>
          <w:lang w:val="en-US" w:eastAsia="zh-CN"/>
        </w:rPr>
      </w:pPr>
      <w:r>
        <w:rPr>
          <w:rStyle w:val="48"/>
          <w:rFonts w:hint="eastAsia" w:ascii="仿宋" w:hAnsi="仿宋" w:eastAsia="仿宋" w:cs="仿宋"/>
          <w:b/>
          <w:color w:val="auto"/>
          <w:sz w:val="28"/>
          <w:szCs w:val="24"/>
          <w:highlight w:val="none"/>
          <w:lang w:val="en-US" w:eastAsia="zh-CN"/>
        </w:rPr>
        <w:br w:type="page"/>
      </w:r>
      <w:r>
        <w:rPr>
          <w:rStyle w:val="48"/>
          <w:rFonts w:hint="eastAsia" w:ascii="仿宋" w:hAnsi="仿宋" w:eastAsia="仿宋" w:cs="仿宋"/>
          <w:b/>
          <w:color w:val="auto"/>
          <w:sz w:val="28"/>
          <w:szCs w:val="24"/>
          <w:highlight w:val="none"/>
          <w:lang w:val="en-US" w:eastAsia="zh-CN"/>
        </w:rPr>
        <w:t>附件13:</w:t>
      </w:r>
      <w:bookmarkEnd w:id="79"/>
      <w:bookmarkEnd w:id="80"/>
      <w:bookmarkEnd w:id="81"/>
    </w:p>
    <w:p w14:paraId="02F44266">
      <w:pPr>
        <w:pStyle w:val="3"/>
        <w:keepNext w:val="0"/>
        <w:numPr>
          <w:ilvl w:val="0"/>
          <w:numId w:val="0"/>
        </w:numPr>
        <w:tabs>
          <w:tab w:val="left" w:pos="420"/>
        </w:tabs>
        <w:spacing w:line="360" w:lineRule="auto"/>
        <w:jc w:val="center"/>
        <w:rPr>
          <w:rStyle w:val="48"/>
          <w:rFonts w:hint="eastAsia" w:ascii="仿宋" w:hAnsi="仿宋" w:eastAsia="仿宋" w:cs="仿宋"/>
          <w:b/>
          <w:bCs/>
          <w:color w:val="auto"/>
          <w:sz w:val="28"/>
          <w:szCs w:val="24"/>
          <w:highlight w:val="none"/>
          <w:lang w:val="en-US" w:eastAsia="zh-CN"/>
        </w:rPr>
      </w:pPr>
      <w:r>
        <w:rPr>
          <w:rStyle w:val="48"/>
          <w:rFonts w:hint="eastAsia" w:ascii="仿宋" w:hAnsi="仿宋" w:eastAsia="仿宋" w:cs="仿宋"/>
          <w:b/>
          <w:bCs/>
          <w:color w:val="auto"/>
          <w:sz w:val="28"/>
          <w:szCs w:val="24"/>
          <w:highlight w:val="none"/>
          <w:lang w:val="en-US" w:eastAsia="zh-CN"/>
        </w:rPr>
        <w:t>服务方案</w:t>
      </w:r>
    </w:p>
    <w:p w14:paraId="004892D5">
      <w:pPr>
        <w:pStyle w:val="7"/>
        <w:spacing w:after="120" w:afterLines="50" w:line="360" w:lineRule="auto"/>
        <w:jc w:val="center"/>
        <w:rPr>
          <w:rStyle w:val="28"/>
          <w:rFonts w:hint="eastAsia" w:ascii="仿宋" w:hAnsi="仿宋" w:eastAsia="仿宋" w:cs="仿宋"/>
          <w:kern w:val="28"/>
          <w:sz w:val="32"/>
          <w:szCs w:val="32"/>
          <w:highlight w:val="none"/>
        </w:rPr>
      </w:pPr>
      <w:bookmarkStart w:id="82" w:name="_Toc5206"/>
      <w:r>
        <w:rPr>
          <w:rStyle w:val="48"/>
          <w:rFonts w:hint="eastAsia" w:ascii="仿宋" w:hAnsi="仿宋" w:eastAsia="仿宋" w:cs="仿宋"/>
          <w:color w:val="auto"/>
          <w:sz w:val="28"/>
          <w:szCs w:val="24"/>
          <w:highlight w:val="none"/>
          <w:lang w:val="en-US" w:eastAsia="zh-CN"/>
        </w:rPr>
        <w:br w:type="page"/>
      </w:r>
      <w:r>
        <w:rPr>
          <w:rStyle w:val="48"/>
          <w:rFonts w:hint="eastAsia" w:ascii="仿宋" w:hAnsi="仿宋" w:eastAsia="仿宋" w:cs="仿宋"/>
          <w:color w:val="auto"/>
          <w:sz w:val="28"/>
          <w:szCs w:val="24"/>
          <w:highlight w:val="none"/>
          <w:lang w:val="en-US" w:eastAsia="zh-CN"/>
        </w:rPr>
        <w:t>附件14：</w:t>
      </w:r>
      <w:bookmarkEnd w:id="82"/>
      <w:r>
        <w:rPr>
          <w:rStyle w:val="48"/>
          <w:rFonts w:hint="eastAsia" w:ascii="仿宋" w:hAnsi="仿宋" w:eastAsia="仿宋" w:cs="仿宋"/>
          <w:b/>
          <w:bCs/>
          <w:color w:val="auto"/>
          <w:sz w:val="28"/>
          <w:szCs w:val="24"/>
          <w:highlight w:val="none"/>
          <w:lang w:val="en-US" w:eastAsia="zh-CN"/>
        </w:rPr>
        <w:t>投标单位（投标单位）《遵守政府采购相关法律法规承诺书》</w:t>
      </w:r>
    </w:p>
    <w:p w14:paraId="27D456AE">
      <w:pPr>
        <w:pStyle w:val="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我公司承诺在（项目编号、项目名称）采购活动中，严格遵守政府采购相关法律法规，遵循公平竞争的原则，不存在恶意串通的行为，不存在妨碍其他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的竞争行为，不存在损害采购人或者其他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的合法权益的行为。</w:t>
      </w:r>
    </w:p>
    <w:p w14:paraId="412BCB82">
      <w:pPr>
        <w:pStyle w:val="7"/>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如发生违反政府采购相关法律法规行为，我公司及项目参与人员自愿放弃本次项目的投标、报价资格，并承担相关法律责任。</w:t>
      </w:r>
    </w:p>
    <w:p w14:paraId="7DEB01FF">
      <w:pPr>
        <w:pStyle w:val="7"/>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651A4B05">
      <w:pPr>
        <w:rPr>
          <w:rFonts w:hint="eastAsia" w:ascii="仿宋" w:hAnsi="仿宋" w:eastAsia="仿宋" w:cs="仿宋"/>
          <w:sz w:val="24"/>
          <w:szCs w:val="24"/>
          <w:highlight w:val="none"/>
        </w:rPr>
      </w:pPr>
    </w:p>
    <w:p w14:paraId="0CD06500">
      <w:pPr>
        <w:pStyle w:val="12"/>
        <w:rPr>
          <w:rFonts w:hint="eastAsia" w:ascii="仿宋" w:hAnsi="仿宋" w:eastAsia="仿宋" w:cs="仿宋"/>
          <w:sz w:val="24"/>
          <w:szCs w:val="24"/>
          <w:highlight w:val="none"/>
        </w:rPr>
      </w:pPr>
    </w:p>
    <w:p w14:paraId="7A4ACC89">
      <w:pPr>
        <w:rPr>
          <w:rFonts w:hint="eastAsia" w:ascii="仿宋" w:hAnsi="仿宋" w:eastAsia="仿宋" w:cs="仿宋"/>
          <w:sz w:val="24"/>
          <w:szCs w:val="24"/>
          <w:highlight w:val="none"/>
        </w:rPr>
      </w:pPr>
    </w:p>
    <w:p w14:paraId="35EC0D03">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公司名称：（盖章） </w:t>
      </w:r>
    </w:p>
    <w:p w14:paraId="6ADCC603">
      <w:pPr>
        <w:pStyle w:val="7"/>
        <w:spacing w:line="360" w:lineRule="auto"/>
        <w:ind w:firstLine="3360" w:firstLineChars="1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公司法人代表：</w:t>
      </w:r>
    </w:p>
    <w:p w14:paraId="0D9ED12E">
      <w:pPr>
        <w:pStyle w:val="7"/>
        <w:spacing w:line="360" w:lineRule="auto"/>
        <w:ind w:firstLine="3360" w:firstLineChars="1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法人授权代表：</w:t>
      </w:r>
    </w:p>
    <w:p w14:paraId="3F97471C">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2026</w:t>
      </w:r>
      <w:r>
        <w:rPr>
          <w:rFonts w:hint="eastAsia" w:ascii="仿宋" w:hAnsi="仿宋" w:eastAsia="仿宋" w:cs="仿宋"/>
          <w:sz w:val="24"/>
          <w:szCs w:val="24"/>
          <w:highlight w:val="none"/>
        </w:rPr>
        <w:t>年xx月xx日</w:t>
      </w:r>
    </w:p>
    <w:p w14:paraId="7479B765">
      <w:pPr>
        <w:adjustRightInd w:val="0"/>
        <w:spacing w:line="360" w:lineRule="atLeast"/>
        <w:jc w:val="center"/>
        <w:textAlignment w:val="baseline"/>
        <w:rPr>
          <w:rFonts w:hint="eastAsia" w:ascii="仿宋" w:hAnsi="仿宋" w:eastAsia="仿宋" w:cs="仿宋"/>
          <w:b/>
          <w:color w:val="auto"/>
          <w:sz w:val="32"/>
          <w:szCs w:val="32"/>
          <w:highlight w:val="none"/>
          <w:lang w:val="en-US" w:eastAsia="zh-CN"/>
        </w:rPr>
      </w:pPr>
    </w:p>
    <w:p w14:paraId="37DF287E">
      <w:pPr>
        <w:pStyle w:val="20"/>
        <w:spacing w:line="360" w:lineRule="auto"/>
        <w:jc w:val="both"/>
        <w:rPr>
          <w:rStyle w:val="48"/>
          <w:rFonts w:hint="eastAsia" w:ascii="仿宋" w:hAnsi="仿宋" w:eastAsia="仿宋" w:cs="仿宋"/>
          <w:b/>
          <w:color w:val="auto"/>
          <w:sz w:val="28"/>
          <w:szCs w:val="24"/>
          <w:highlight w:val="none"/>
          <w:lang w:val="en-US" w:eastAsia="zh-CN"/>
        </w:rPr>
      </w:pPr>
      <w:r>
        <w:rPr>
          <w:rFonts w:hint="eastAsia" w:ascii="仿宋" w:hAnsi="仿宋" w:eastAsia="仿宋" w:cs="仿宋"/>
          <w:b/>
          <w:color w:val="auto"/>
          <w:sz w:val="32"/>
          <w:szCs w:val="32"/>
          <w:highlight w:val="none"/>
          <w:lang w:val="en-US" w:eastAsia="zh-CN"/>
        </w:rPr>
        <w:br w:type="page"/>
      </w:r>
      <w:r>
        <w:rPr>
          <w:rStyle w:val="48"/>
          <w:rFonts w:hint="eastAsia" w:ascii="仿宋" w:hAnsi="仿宋" w:eastAsia="仿宋" w:cs="仿宋"/>
          <w:b/>
          <w:color w:val="auto"/>
          <w:sz w:val="28"/>
          <w:szCs w:val="24"/>
          <w:highlight w:val="none"/>
          <w:lang w:val="en-US" w:eastAsia="zh-CN"/>
        </w:rPr>
        <w:t>附件15:</w:t>
      </w:r>
    </w:p>
    <w:p w14:paraId="0E9366BA">
      <w:pPr>
        <w:pStyle w:val="2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不参与围标串标承诺书</w:t>
      </w:r>
    </w:p>
    <w:p w14:paraId="2D1720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本人作为</w:t>
      </w:r>
      <w:r>
        <w:rPr>
          <w:rFonts w:hint="eastAsia" w:ascii="仿宋" w:hAnsi="仿宋" w:eastAsia="仿宋" w:cs="仿宋"/>
          <w:color w:val="auto"/>
          <w:sz w:val="24"/>
          <w:szCs w:val="24"/>
          <w:highlight w:val="none"/>
          <w:lang w:eastAsia="zh-CN"/>
        </w:rPr>
        <w:t>经授权</w:t>
      </w:r>
      <w:r>
        <w:rPr>
          <w:rFonts w:hint="eastAsia" w:ascii="仿宋" w:hAnsi="仿宋" w:eastAsia="仿宋" w:cs="仿宋"/>
          <w:color w:val="auto"/>
          <w:sz w:val="24"/>
          <w:szCs w:val="24"/>
          <w:highlight w:val="none"/>
        </w:rPr>
        <w:t>投标人代表，清楚知晓我单位本项目活动，对以下事项作出承诺：</w:t>
      </w:r>
    </w:p>
    <w:p w14:paraId="258A0C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一、我单位和我本人遵循公开、公平、公正、诚实守信的原则，依法依规参与本项目竞标。</w:t>
      </w:r>
    </w:p>
    <w:p w14:paraId="07383E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二、我单位和我本人在本项目活动中，未参与围标串标。</w:t>
      </w:r>
    </w:p>
    <w:p w14:paraId="46C7E6C7">
      <w:pPr>
        <w:spacing w:line="360" w:lineRule="auto"/>
        <w:ind w:firstLine="480" w:firstLineChars="200"/>
        <w:rPr>
          <w:rFonts w:hint="eastAsia" w:ascii="仿宋" w:hAnsi="仿宋" w:eastAsia="仿宋" w:cs="仿宋"/>
          <w:color w:val="auto"/>
          <w:sz w:val="22"/>
          <w:szCs w:val="22"/>
          <w:highlight w:val="none"/>
        </w:rPr>
      </w:pPr>
      <w:r>
        <w:rPr>
          <w:rFonts w:hint="eastAsia" w:ascii="仿宋" w:hAnsi="仿宋" w:eastAsia="仿宋" w:cs="仿宋"/>
          <w:color w:val="auto"/>
          <w:sz w:val="24"/>
          <w:szCs w:val="24"/>
          <w:highlight w:val="none"/>
        </w:rPr>
        <w:t>三、我单位如被查实在本项目活动中存在围标串标行为的，递交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文件行为作为实施串通投标违法行为的关键环节，本人承担直接责任人员法律责任，接受相应行政处罚和失信惩戒</w:t>
      </w:r>
      <w:r>
        <w:rPr>
          <w:rFonts w:hint="eastAsia" w:ascii="仿宋" w:hAnsi="仿宋" w:eastAsia="仿宋" w:cs="仿宋"/>
          <w:color w:val="auto"/>
          <w:sz w:val="22"/>
          <w:szCs w:val="22"/>
          <w:highlight w:val="none"/>
        </w:rPr>
        <w:t>。</w:t>
      </w:r>
    </w:p>
    <w:p w14:paraId="34831B75">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8"/>
          <w:szCs w:val="24"/>
          <w:highlight w:val="none"/>
          <w:lang w:val="en-US" w:eastAsia="zh-CN"/>
        </w:rPr>
      </w:pPr>
    </w:p>
    <w:p w14:paraId="0680D7C4">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8"/>
          <w:szCs w:val="24"/>
          <w:highlight w:val="none"/>
          <w:lang w:val="en-US" w:eastAsia="zh-CN"/>
        </w:rPr>
      </w:pPr>
    </w:p>
    <w:p w14:paraId="66985066">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8"/>
          <w:szCs w:val="24"/>
          <w:highlight w:val="none"/>
          <w:lang w:val="en-US" w:eastAsia="zh-CN"/>
        </w:rPr>
      </w:pPr>
    </w:p>
    <w:p w14:paraId="5F845D61">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8"/>
          <w:szCs w:val="24"/>
          <w:highlight w:val="none"/>
          <w:lang w:val="en-US" w:eastAsia="zh-CN"/>
        </w:rPr>
      </w:pPr>
    </w:p>
    <w:p w14:paraId="0518A09C">
      <w:pPr>
        <w:pStyle w:val="3"/>
        <w:keepNext w:val="0"/>
        <w:numPr>
          <w:ilvl w:val="0"/>
          <w:numId w:val="0"/>
        </w:numPr>
        <w:tabs>
          <w:tab w:val="left" w:pos="420"/>
        </w:tabs>
        <w:spacing w:line="360" w:lineRule="auto"/>
        <w:jc w:val="left"/>
        <w:rPr>
          <w:rStyle w:val="48"/>
          <w:rFonts w:hint="eastAsia" w:ascii="仿宋" w:hAnsi="仿宋" w:eastAsia="仿宋" w:cs="仿宋"/>
          <w:b/>
          <w:bCs/>
          <w:color w:val="auto"/>
          <w:sz w:val="28"/>
          <w:szCs w:val="24"/>
          <w:highlight w:val="none"/>
          <w:lang w:val="en-US" w:eastAsia="zh-CN"/>
        </w:rPr>
      </w:pPr>
    </w:p>
    <w:p w14:paraId="769599BA">
      <w:pPr>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0"/>
          <w:szCs w:val="18"/>
          <w:highlight w:val="none"/>
          <w:lang w:val="en-US" w:eastAsia="zh-CN"/>
        </w:rPr>
        <w:t xml:space="preserve">                     </w:t>
      </w:r>
      <w:r>
        <w:rPr>
          <w:rFonts w:hint="eastAsia" w:ascii="仿宋" w:hAnsi="仿宋" w:eastAsia="仿宋" w:cs="仿宋"/>
          <w:color w:val="auto"/>
          <w:sz w:val="24"/>
          <w:szCs w:val="24"/>
          <w:highlight w:val="none"/>
        </w:rPr>
        <w:t>供应商名称（盖章）：</w:t>
      </w:r>
    </w:p>
    <w:p w14:paraId="3C937ED3">
      <w:pPr>
        <w:bidi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47FEE242">
      <w:pPr>
        <w:spacing w:line="360" w:lineRule="auto"/>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日期：     年   月   </w:t>
      </w:r>
      <w:r>
        <w:rPr>
          <w:rFonts w:hint="eastAsia" w:ascii="仿宋" w:hAnsi="仿宋" w:eastAsia="仿宋" w:cs="仿宋"/>
          <w:color w:val="auto"/>
          <w:sz w:val="24"/>
          <w:szCs w:val="24"/>
          <w:highlight w:val="none"/>
          <w:lang w:val="en-US" w:eastAsia="zh-CN"/>
        </w:rPr>
        <w:t>日</w:t>
      </w:r>
    </w:p>
    <w:p w14:paraId="0C90E90F">
      <w:pPr>
        <w:spacing w:line="360" w:lineRule="auto"/>
        <w:jc w:val="left"/>
        <w:rPr>
          <w:rStyle w:val="48"/>
          <w:rFonts w:hint="eastAsia" w:ascii="仿宋" w:hAnsi="仿宋" w:eastAsia="仿宋" w:cs="仿宋"/>
          <w:b/>
          <w:color w:val="auto"/>
          <w:sz w:val="28"/>
          <w:szCs w:val="24"/>
          <w:highlight w:val="none"/>
          <w:lang w:val="en-US" w:eastAsia="zh-CN"/>
        </w:rPr>
      </w:pPr>
      <w:r>
        <w:rPr>
          <w:rFonts w:hint="eastAsia" w:ascii="仿宋" w:hAnsi="仿宋" w:eastAsia="仿宋" w:cs="仿宋"/>
          <w:color w:val="auto"/>
          <w:sz w:val="24"/>
          <w:szCs w:val="24"/>
          <w:highlight w:val="none"/>
          <w:lang w:val="en-US" w:eastAsia="zh-CN"/>
        </w:rPr>
        <w:br w:type="page"/>
      </w:r>
      <w:r>
        <w:rPr>
          <w:rStyle w:val="48"/>
          <w:rFonts w:hint="eastAsia" w:ascii="仿宋" w:hAnsi="仿宋" w:eastAsia="仿宋" w:cs="仿宋"/>
          <w:b/>
          <w:color w:val="auto"/>
          <w:sz w:val="28"/>
          <w:szCs w:val="24"/>
          <w:highlight w:val="none"/>
          <w:lang w:val="en-US" w:eastAsia="zh-CN"/>
        </w:rPr>
        <w:t>附件16:</w:t>
      </w:r>
    </w:p>
    <w:p w14:paraId="205D454E">
      <w:pPr>
        <w:pStyle w:val="2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要求提供</w:t>
      </w:r>
      <w:r>
        <w:rPr>
          <w:rFonts w:hint="eastAsia" w:ascii="仿宋" w:hAnsi="仿宋" w:eastAsia="仿宋" w:cs="仿宋"/>
          <w:b/>
          <w:color w:val="auto"/>
          <w:sz w:val="28"/>
          <w:szCs w:val="28"/>
          <w:highlight w:val="none"/>
          <w:lang w:eastAsia="zh-CN"/>
        </w:rPr>
        <w:t>的其他</w:t>
      </w:r>
      <w:r>
        <w:rPr>
          <w:rFonts w:hint="eastAsia" w:ascii="仿宋" w:hAnsi="仿宋" w:eastAsia="仿宋" w:cs="仿宋"/>
          <w:b/>
          <w:color w:val="auto"/>
          <w:sz w:val="28"/>
          <w:szCs w:val="28"/>
          <w:highlight w:val="none"/>
        </w:rPr>
        <w:t>材料以及供应商认为需要提交的材料</w:t>
      </w:r>
    </w:p>
    <w:p w14:paraId="17C05E58">
      <w:pPr>
        <w:spacing w:before="310" w:line="223" w:lineRule="auto"/>
        <w:ind w:left="3567"/>
        <w:rPr>
          <w:rFonts w:ascii="仿宋" w:hAnsi="仿宋" w:eastAsia="仿宋" w:cs="仿宋"/>
          <w:b/>
          <w:bCs/>
          <w:spacing w:val="-12"/>
          <w:sz w:val="28"/>
          <w:szCs w:val="28"/>
        </w:rPr>
        <w:sectPr>
          <w:pgSz w:w="11900" w:h="16838"/>
          <w:pgMar w:top="1245" w:right="1144" w:bottom="0" w:left="1416" w:header="170" w:footer="0" w:gutter="0"/>
          <w:pgNumType w:fmt="decimal"/>
          <w:cols w:space="720" w:num="1"/>
        </w:sectPr>
      </w:pPr>
    </w:p>
    <w:p w14:paraId="584A4FCD">
      <w:pPr>
        <w:spacing w:before="310" w:line="223" w:lineRule="auto"/>
        <w:jc w:val="center"/>
        <w:rPr>
          <w:rFonts w:ascii="仿宋" w:hAnsi="仿宋" w:eastAsia="仿宋" w:cs="仿宋"/>
          <w:sz w:val="28"/>
          <w:szCs w:val="28"/>
        </w:rPr>
      </w:pPr>
      <w:r>
        <w:rPr>
          <w:rFonts w:ascii="仿宋" w:hAnsi="仿宋" w:eastAsia="仿宋" w:cs="仿宋"/>
          <w:b/>
          <w:bCs/>
          <w:spacing w:val="-12"/>
          <w:sz w:val="28"/>
          <w:szCs w:val="28"/>
        </w:rPr>
        <w:t>中小</w:t>
      </w:r>
      <w:bookmarkStart w:id="83" w:name="_GoBack"/>
      <w:bookmarkEnd w:id="83"/>
      <w:r>
        <w:rPr>
          <w:rFonts w:ascii="仿宋" w:hAnsi="仿宋" w:eastAsia="仿宋" w:cs="仿宋"/>
          <w:b/>
          <w:bCs/>
          <w:spacing w:val="-12"/>
          <w:sz w:val="28"/>
          <w:szCs w:val="28"/>
        </w:rPr>
        <w:t>企业声明函</w:t>
      </w:r>
    </w:p>
    <w:p w14:paraId="78D12536">
      <w:pPr>
        <w:spacing w:before="200" w:line="493" w:lineRule="auto"/>
        <w:ind w:left="15" w:right="4" w:firstLine="503"/>
        <w:jc w:val="both"/>
        <w:rPr>
          <w:rFonts w:ascii="仿宋" w:hAnsi="仿宋" w:eastAsia="仿宋" w:cs="仿宋"/>
          <w:sz w:val="23"/>
          <w:szCs w:val="23"/>
        </w:rPr>
      </w:pPr>
      <w:r>
        <w:rPr>
          <w:rFonts w:ascii="仿宋" w:hAnsi="仿宋" w:eastAsia="仿宋" w:cs="仿宋"/>
          <w:spacing w:val="19"/>
          <w:sz w:val="23"/>
          <w:szCs w:val="23"/>
        </w:rPr>
        <w:t>本公司（联合体）郑重声明，根据《政府采购促进中小企业发展</w:t>
      </w:r>
      <w:r>
        <w:rPr>
          <w:rFonts w:ascii="仿宋" w:hAnsi="仿宋" w:eastAsia="仿宋" w:cs="仿宋"/>
          <w:spacing w:val="18"/>
          <w:sz w:val="23"/>
          <w:szCs w:val="23"/>
        </w:rPr>
        <w:t>暂行办法》（财</w:t>
      </w:r>
      <w:r>
        <w:rPr>
          <w:rFonts w:ascii="仿宋" w:hAnsi="仿宋" w:eastAsia="仿宋" w:cs="仿宋"/>
          <w:sz w:val="23"/>
          <w:szCs w:val="23"/>
        </w:rPr>
        <w:t xml:space="preserve">  </w:t>
      </w:r>
      <w:r>
        <w:rPr>
          <w:rFonts w:ascii="仿宋" w:hAnsi="仿宋" w:eastAsia="仿宋" w:cs="仿宋"/>
          <w:spacing w:val="16"/>
          <w:sz w:val="23"/>
          <w:szCs w:val="23"/>
        </w:rPr>
        <w:t>库[2020]46号）</w:t>
      </w:r>
      <w:r>
        <w:rPr>
          <w:rFonts w:ascii="仿宋" w:hAnsi="仿宋" w:eastAsia="仿宋" w:cs="仿宋"/>
          <w:spacing w:val="-61"/>
          <w:sz w:val="23"/>
          <w:szCs w:val="23"/>
        </w:rPr>
        <w:t xml:space="preserve"> </w:t>
      </w:r>
      <w:r>
        <w:rPr>
          <w:rFonts w:ascii="仿宋" w:hAnsi="仿宋" w:eastAsia="仿宋" w:cs="仿宋"/>
          <w:spacing w:val="16"/>
          <w:sz w:val="23"/>
          <w:szCs w:val="23"/>
        </w:rPr>
        <w:t>的规定，本公司（联合体）参加</w:t>
      </w:r>
      <w:r>
        <w:rPr>
          <w:rFonts w:ascii="仿宋" w:hAnsi="仿宋" w:eastAsia="仿宋" w:cs="仿宋"/>
          <w:spacing w:val="-103"/>
          <w:sz w:val="23"/>
          <w:szCs w:val="23"/>
        </w:rPr>
        <w:t xml:space="preserve"> </w:t>
      </w:r>
      <w:r>
        <w:rPr>
          <w:rFonts w:ascii="仿宋" w:hAnsi="仿宋" w:eastAsia="仿宋" w:cs="仿宋"/>
          <w:spacing w:val="16"/>
          <w:sz w:val="23"/>
          <w:szCs w:val="23"/>
          <w:u w:val="single" w:color="auto"/>
        </w:rPr>
        <w:t xml:space="preserve">  （单位名称）  </w:t>
      </w:r>
      <w:r>
        <w:rPr>
          <w:rFonts w:ascii="仿宋" w:hAnsi="仿宋" w:eastAsia="仿宋" w:cs="仿宋"/>
          <w:spacing w:val="-84"/>
          <w:sz w:val="23"/>
          <w:szCs w:val="23"/>
        </w:rPr>
        <w:t xml:space="preserve"> </w:t>
      </w:r>
      <w:r>
        <w:rPr>
          <w:rFonts w:ascii="仿宋" w:hAnsi="仿宋" w:eastAsia="仿宋" w:cs="仿宋"/>
          <w:spacing w:val="16"/>
          <w:sz w:val="23"/>
          <w:szCs w:val="23"/>
        </w:rPr>
        <w:t>的</w:t>
      </w:r>
      <w:r>
        <w:rPr>
          <w:rFonts w:ascii="仿宋" w:hAnsi="仿宋" w:eastAsia="仿宋" w:cs="仿宋"/>
          <w:spacing w:val="-104"/>
          <w:sz w:val="23"/>
          <w:szCs w:val="23"/>
        </w:rPr>
        <w:t xml:space="preserve"> </w:t>
      </w:r>
      <w:r>
        <w:rPr>
          <w:rFonts w:ascii="仿宋" w:hAnsi="仿宋" w:eastAsia="仿宋" w:cs="仿宋"/>
          <w:spacing w:val="16"/>
          <w:sz w:val="23"/>
          <w:szCs w:val="23"/>
          <w:u w:val="single" w:color="auto"/>
        </w:rPr>
        <w:t xml:space="preserve">  </w:t>
      </w:r>
      <w:r>
        <w:rPr>
          <w:rFonts w:ascii="仿宋" w:hAnsi="仿宋" w:eastAsia="仿宋" w:cs="仿宋"/>
          <w:spacing w:val="15"/>
          <w:sz w:val="23"/>
          <w:szCs w:val="23"/>
          <w:u w:val="single" w:color="auto"/>
        </w:rPr>
        <w:t>（项目名称）</w:t>
      </w:r>
      <w:r>
        <w:rPr>
          <w:rFonts w:ascii="仿宋" w:hAnsi="仿宋" w:eastAsia="仿宋" w:cs="仿宋"/>
          <w:sz w:val="23"/>
          <w:szCs w:val="23"/>
        </w:rPr>
        <w:t xml:space="preserve"> </w:t>
      </w:r>
      <w:r>
        <w:rPr>
          <w:rFonts w:ascii="仿宋" w:hAnsi="仿宋" w:eastAsia="仿宋" w:cs="仿宋"/>
          <w:spacing w:val="19"/>
          <w:sz w:val="23"/>
          <w:szCs w:val="23"/>
        </w:rPr>
        <w:t>采购活动，工程的施工单位全部为符合政策要求的中小企业（或者：服务全部由符合</w:t>
      </w:r>
      <w:r>
        <w:rPr>
          <w:rFonts w:ascii="仿宋" w:hAnsi="仿宋" w:eastAsia="仿宋" w:cs="仿宋"/>
          <w:sz w:val="23"/>
          <w:szCs w:val="23"/>
        </w:rPr>
        <w:t xml:space="preserve">  </w:t>
      </w:r>
      <w:r>
        <w:rPr>
          <w:rFonts w:ascii="仿宋" w:hAnsi="仿宋" w:eastAsia="仿宋" w:cs="仿宋"/>
          <w:spacing w:val="18"/>
          <w:sz w:val="23"/>
          <w:szCs w:val="23"/>
        </w:rPr>
        <w:t>政策要求的中小企业承接）</w:t>
      </w:r>
      <w:r>
        <w:rPr>
          <w:rFonts w:ascii="仿宋" w:hAnsi="仿宋" w:eastAsia="仿宋" w:cs="仿宋"/>
          <w:spacing w:val="-68"/>
          <w:sz w:val="23"/>
          <w:szCs w:val="23"/>
        </w:rPr>
        <w:t xml:space="preserve"> </w:t>
      </w:r>
      <w:r>
        <w:rPr>
          <w:rFonts w:ascii="仿宋" w:hAnsi="仿宋" w:eastAsia="仿宋" w:cs="仿宋"/>
          <w:spacing w:val="18"/>
          <w:sz w:val="23"/>
          <w:szCs w:val="23"/>
        </w:rPr>
        <w:t>。相关企业（含联合体中的中小企业</w:t>
      </w:r>
      <w:r>
        <w:rPr>
          <w:rFonts w:ascii="仿宋" w:hAnsi="仿宋" w:eastAsia="仿宋" w:cs="仿宋"/>
          <w:spacing w:val="17"/>
          <w:sz w:val="23"/>
          <w:szCs w:val="23"/>
        </w:rPr>
        <w:t>、签订分包意向协议</w:t>
      </w:r>
      <w:r>
        <w:rPr>
          <w:rFonts w:ascii="仿宋" w:hAnsi="仿宋" w:eastAsia="仿宋" w:cs="仿宋"/>
          <w:sz w:val="23"/>
          <w:szCs w:val="23"/>
        </w:rPr>
        <w:t xml:space="preserve">  </w:t>
      </w:r>
      <w:r>
        <w:rPr>
          <w:rFonts w:ascii="仿宋" w:hAnsi="仿宋" w:eastAsia="仿宋" w:cs="仿宋"/>
          <w:spacing w:val="13"/>
          <w:sz w:val="23"/>
          <w:szCs w:val="23"/>
        </w:rPr>
        <w:t>的中小企业）</w:t>
      </w:r>
      <w:r>
        <w:rPr>
          <w:rFonts w:ascii="仿宋" w:hAnsi="仿宋" w:eastAsia="仿宋" w:cs="仿宋"/>
          <w:spacing w:val="-40"/>
          <w:sz w:val="23"/>
          <w:szCs w:val="23"/>
        </w:rPr>
        <w:t xml:space="preserve"> </w:t>
      </w:r>
      <w:r>
        <w:rPr>
          <w:rFonts w:ascii="仿宋" w:hAnsi="仿宋" w:eastAsia="仿宋" w:cs="仿宋"/>
          <w:spacing w:val="13"/>
          <w:sz w:val="23"/>
          <w:szCs w:val="23"/>
        </w:rPr>
        <w:t>的具体情况如下：</w:t>
      </w:r>
    </w:p>
    <w:p w14:paraId="3D7A50F0">
      <w:pPr>
        <w:spacing w:before="40" w:line="489" w:lineRule="auto"/>
        <w:ind w:left="14" w:firstLine="515"/>
        <w:jc w:val="both"/>
        <w:rPr>
          <w:rFonts w:ascii="仿宋" w:hAnsi="仿宋" w:eastAsia="仿宋" w:cs="仿宋"/>
          <w:sz w:val="23"/>
          <w:szCs w:val="23"/>
        </w:rPr>
      </w:pPr>
      <w:r>
        <w:rPr>
          <w:rFonts w:ascii="仿宋" w:hAnsi="仿宋" w:eastAsia="仿宋" w:cs="仿宋"/>
          <w:spacing w:val="19"/>
          <w:sz w:val="23"/>
          <w:szCs w:val="23"/>
        </w:rPr>
        <w:t>1.</w:t>
      </w:r>
      <w:r>
        <w:rPr>
          <w:rFonts w:ascii="仿宋" w:hAnsi="仿宋" w:eastAsia="仿宋" w:cs="仿宋"/>
          <w:spacing w:val="19"/>
          <w:sz w:val="23"/>
          <w:szCs w:val="23"/>
          <w:u w:val="single" w:color="auto"/>
        </w:rPr>
        <w:t xml:space="preserve">  （标的名称</w:t>
      </w:r>
      <w:r>
        <w:rPr>
          <w:rFonts w:ascii="仿宋" w:hAnsi="仿宋" w:eastAsia="仿宋" w:cs="仿宋"/>
          <w:spacing w:val="-5"/>
          <w:sz w:val="23"/>
          <w:szCs w:val="23"/>
          <w:u w:val="single" w:color="auto"/>
        </w:rPr>
        <w:t>）</w:t>
      </w:r>
      <w:r>
        <w:rPr>
          <w:rFonts w:ascii="仿宋" w:hAnsi="仿宋" w:eastAsia="仿宋" w:cs="仿宋"/>
          <w:spacing w:val="21"/>
          <w:sz w:val="23"/>
          <w:szCs w:val="23"/>
          <w:u w:val="single" w:color="auto"/>
        </w:rPr>
        <w:t xml:space="preserve">   </w:t>
      </w:r>
      <w:r>
        <w:rPr>
          <w:rFonts w:ascii="仿宋" w:hAnsi="仿宋" w:eastAsia="仿宋" w:cs="仿宋"/>
          <w:spacing w:val="-80"/>
          <w:sz w:val="23"/>
          <w:szCs w:val="23"/>
        </w:rPr>
        <w:t xml:space="preserve"> </w:t>
      </w:r>
      <w:r>
        <w:rPr>
          <w:rFonts w:ascii="仿宋" w:hAnsi="仿宋" w:eastAsia="仿宋" w:cs="仿宋"/>
          <w:spacing w:val="-5"/>
          <w:sz w:val="23"/>
          <w:szCs w:val="23"/>
        </w:rPr>
        <w:t>，</w:t>
      </w:r>
      <w:r>
        <w:rPr>
          <w:rFonts w:ascii="仿宋" w:hAnsi="仿宋" w:eastAsia="仿宋" w:cs="仿宋"/>
          <w:spacing w:val="19"/>
          <w:sz w:val="23"/>
          <w:szCs w:val="23"/>
        </w:rPr>
        <w:t>属于</w:t>
      </w:r>
      <w:r>
        <w:rPr>
          <w:rFonts w:ascii="仿宋" w:hAnsi="仿宋" w:eastAsia="仿宋" w:cs="仿宋"/>
          <w:spacing w:val="-104"/>
          <w:sz w:val="23"/>
          <w:szCs w:val="23"/>
        </w:rPr>
        <w:t xml:space="preserve"> </w:t>
      </w:r>
      <w:r>
        <w:rPr>
          <w:rFonts w:ascii="仿宋" w:hAnsi="仿宋" w:eastAsia="仿宋" w:cs="仿宋"/>
          <w:spacing w:val="19"/>
          <w:sz w:val="23"/>
          <w:szCs w:val="23"/>
          <w:u w:val="single" w:color="auto"/>
        </w:rPr>
        <w:t xml:space="preserve"> （采购文件中明确的所属行业</w:t>
      </w:r>
      <w:r>
        <w:rPr>
          <w:rFonts w:ascii="仿宋" w:hAnsi="仿宋" w:eastAsia="仿宋" w:cs="仿宋"/>
          <w:spacing w:val="-5"/>
          <w:sz w:val="23"/>
          <w:szCs w:val="23"/>
          <w:u w:val="single" w:color="auto"/>
        </w:rPr>
        <w:t>）</w:t>
      </w:r>
      <w:r>
        <w:rPr>
          <w:rFonts w:ascii="仿宋" w:hAnsi="仿宋" w:eastAsia="仿宋" w:cs="仿宋"/>
          <w:spacing w:val="23"/>
          <w:sz w:val="23"/>
          <w:szCs w:val="23"/>
          <w:u w:val="single" w:color="auto"/>
        </w:rPr>
        <w:t xml:space="preserve">  </w:t>
      </w:r>
      <w:r>
        <w:rPr>
          <w:rFonts w:ascii="仿宋" w:hAnsi="仿宋" w:eastAsia="仿宋" w:cs="仿宋"/>
          <w:spacing w:val="-82"/>
          <w:sz w:val="23"/>
          <w:szCs w:val="23"/>
        </w:rPr>
        <w:t xml:space="preserve"> </w:t>
      </w:r>
      <w:r>
        <w:rPr>
          <w:rFonts w:ascii="仿宋" w:hAnsi="仿宋" w:eastAsia="仿宋" w:cs="仿宋"/>
          <w:spacing w:val="-5"/>
          <w:sz w:val="23"/>
          <w:szCs w:val="23"/>
        </w:rPr>
        <w:t>，</w:t>
      </w:r>
      <w:r>
        <w:rPr>
          <w:rFonts w:ascii="仿宋" w:hAnsi="仿宋" w:eastAsia="仿宋" w:cs="仿宋"/>
          <w:spacing w:val="19"/>
          <w:sz w:val="23"/>
          <w:szCs w:val="23"/>
        </w:rPr>
        <w:t>承建（承接）</w:t>
      </w:r>
      <w:r>
        <w:rPr>
          <w:rFonts w:ascii="仿宋" w:hAnsi="仿宋" w:eastAsia="仿宋" w:cs="仿宋"/>
          <w:sz w:val="23"/>
          <w:szCs w:val="23"/>
        </w:rPr>
        <w:t xml:space="preserve"> </w:t>
      </w:r>
      <w:r>
        <w:rPr>
          <w:rFonts w:ascii="仿宋" w:hAnsi="仿宋" w:eastAsia="仿宋" w:cs="仿宋"/>
          <w:spacing w:val="13"/>
          <w:sz w:val="23"/>
          <w:szCs w:val="23"/>
        </w:rPr>
        <w:t>企业为</w:t>
      </w:r>
      <w:r>
        <w:rPr>
          <w:rFonts w:ascii="仿宋" w:hAnsi="仿宋" w:eastAsia="仿宋" w:cs="仿宋"/>
          <w:spacing w:val="-101"/>
          <w:sz w:val="23"/>
          <w:szCs w:val="23"/>
        </w:rPr>
        <w:t xml:space="preserve"> </w:t>
      </w:r>
      <w:r>
        <w:rPr>
          <w:rFonts w:ascii="仿宋" w:hAnsi="仿宋" w:eastAsia="仿宋" w:cs="仿宋"/>
          <w:spacing w:val="13"/>
          <w:sz w:val="23"/>
          <w:szCs w:val="23"/>
          <w:u w:val="single" w:color="auto"/>
        </w:rPr>
        <w:t xml:space="preserve">   （企业名称</w:t>
      </w:r>
      <w:r>
        <w:rPr>
          <w:rFonts w:ascii="仿宋" w:hAnsi="仿宋" w:eastAsia="仿宋" w:cs="仿宋"/>
          <w:spacing w:val="11"/>
          <w:sz w:val="23"/>
          <w:szCs w:val="23"/>
          <w:u w:val="single" w:color="auto"/>
        </w:rPr>
        <w:t>）</w:t>
      </w:r>
      <w:r>
        <w:rPr>
          <w:rFonts w:ascii="仿宋" w:hAnsi="仿宋" w:eastAsia="仿宋" w:cs="仿宋"/>
          <w:spacing w:val="36"/>
          <w:sz w:val="23"/>
          <w:szCs w:val="23"/>
          <w:u w:val="single" w:color="auto"/>
        </w:rPr>
        <w:t xml:space="preserve">  </w:t>
      </w:r>
      <w:r>
        <w:rPr>
          <w:rFonts w:ascii="仿宋" w:hAnsi="仿宋" w:eastAsia="仿宋" w:cs="仿宋"/>
          <w:spacing w:val="-82"/>
          <w:sz w:val="23"/>
          <w:szCs w:val="23"/>
        </w:rPr>
        <w:t xml:space="preserve"> </w:t>
      </w:r>
      <w:r>
        <w:rPr>
          <w:rFonts w:ascii="仿宋" w:hAnsi="仿宋" w:eastAsia="仿宋" w:cs="仿宋"/>
          <w:spacing w:val="11"/>
          <w:sz w:val="23"/>
          <w:szCs w:val="23"/>
        </w:rPr>
        <w:t>，</w:t>
      </w:r>
      <w:r>
        <w:rPr>
          <w:rFonts w:ascii="仿宋" w:hAnsi="仿宋" w:eastAsia="仿宋" w:cs="仿宋"/>
          <w:spacing w:val="13"/>
          <w:sz w:val="23"/>
          <w:szCs w:val="23"/>
        </w:rPr>
        <w:t>从业人员</w:t>
      </w:r>
      <w:r>
        <w:rPr>
          <w:rFonts w:ascii="仿宋" w:hAnsi="仿宋" w:eastAsia="仿宋" w:cs="仿宋"/>
          <w:spacing w:val="-102"/>
          <w:sz w:val="23"/>
          <w:szCs w:val="23"/>
        </w:rPr>
        <w:t xml:space="preserve"> </w:t>
      </w:r>
      <w:r>
        <w:rPr>
          <w:rFonts w:ascii="仿宋" w:hAnsi="仿宋" w:eastAsia="仿宋" w:cs="仿宋"/>
          <w:spacing w:val="18"/>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13"/>
          <w:sz w:val="23"/>
          <w:szCs w:val="23"/>
        </w:rPr>
        <w:t>人，</w:t>
      </w:r>
      <w:r>
        <w:rPr>
          <w:rFonts w:ascii="仿宋" w:hAnsi="仿宋" w:eastAsia="仿宋" w:cs="仿宋"/>
          <w:spacing w:val="-56"/>
          <w:sz w:val="23"/>
          <w:szCs w:val="23"/>
        </w:rPr>
        <w:t xml:space="preserve"> </w:t>
      </w:r>
      <w:r>
        <w:rPr>
          <w:rFonts w:ascii="仿宋" w:hAnsi="仿宋" w:eastAsia="仿宋" w:cs="仿宋"/>
          <w:spacing w:val="13"/>
          <w:sz w:val="23"/>
          <w:szCs w:val="23"/>
        </w:rPr>
        <w:t>营业收入为</w:t>
      </w:r>
      <w:r>
        <w:rPr>
          <w:rFonts w:ascii="仿宋" w:hAnsi="仿宋" w:eastAsia="仿宋" w:cs="仿宋"/>
          <w:spacing w:val="-102"/>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91"/>
          <w:sz w:val="23"/>
          <w:szCs w:val="23"/>
        </w:rPr>
        <w:t xml:space="preserve"> </w:t>
      </w:r>
      <w:r>
        <w:rPr>
          <w:rFonts w:ascii="仿宋" w:hAnsi="仿宋" w:eastAsia="仿宋" w:cs="仿宋"/>
          <w:spacing w:val="13"/>
          <w:sz w:val="23"/>
          <w:szCs w:val="23"/>
        </w:rPr>
        <w:t>万元，</w:t>
      </w:r>
      <w:r>
        <w:rPr>
          <w:rFonts w:ascii="仿宋" w:hAnsi="仿宋" w:eastAsia="仿宋" w:cs="仿宋"/>
          <w:spacing w:val="-50"/>
          <w:sz w:val="23"/>
          <w:szCs w:val="23"/>
        </w:rPr>
        <w:t xml:space="preserve"> </w:t>
      </w:r>
      <w:r>
        <w:rPr>
          <w:rFonts w:ascii="仿宋" w:hAnsi="仿宋" w:eastAsia="仿宋" w:cs="仿宋"/>
          <w:spacing w:val="13"/>
          <w:sz w:val="23"/>
          <w:szCs w:val="23"/>
        </w:rPr>
        <w:t>资产总</w:t>
      </w:r>
      <w:r>
        <w:rPr>
          <w:rFonts w:ascii="仿宋" w:hAnsi="仿宋" w:eastAsia="仿宋" w:cs="仿宋"/>
          <w:sz w:val="23"/>
          <w:szCs w:val="23"/>
        </w:rPr>
        <w:t xml:space="preserve">  </w:t>
      </w:r>
      <w:r>
        <w:rPr>
          <w:rFonts w:ascii="仿宋" w:hAnsi="仿宋" w:eastAsia="仿宋" w:cs="仿宋"/>
          <w:spacing w:val="16"/>
          <w:sz w:val="23"/>
          <w:szCs w:val="23"/>
        </w:rPr>
        <w:t>额为</w:t>
      </w:r>
      <w:r>
        <w:rPr>
          <w:rFonts w:ascii="仿宋" w:hAnsi="仿宋" w:eastAsia="仿宋" w:cs="仿宋"/>
          <w:spacing w:val="-103"/>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16"/>
          <w:sz w:val="23"/>
          <w:szCs w:val="23"/>
        </w:rPr>
        <w:t>万元，</w:t>
      </w:r>
      <w:r>
        <w:rPr>
          <w:rFonts w:ascii="仿宋" w:hAnsi="仿宋" w:eastAsia="仿宋" w:cs="仿宋"/>
          <w:spacing w:val="-64"/>
          <w:sz w:val="23"/>
          <w:szCs w:val="23"/>
        </w:rPr>
        <w:t xml:space="preserve"> </w:t>
      </w:r>
      <w:r>
        <w:rPr>
          <w:rFonts w:ascii="仿宋" w:hAnsi="仿宋" w:eastAsia="仿宋" w:cs="仿宋"/>
          <w:spacing w:val="16"/>
          <w:sz w:val="23"/>
          <w:szCs w:val="23"/>
        </w:rPr>
        <w:t>属于</w:t>
      </w:r>
      <w:r>
        <w:rPr>
          <w:rFonts w:ascii="仿宋" w:hAnsi="仿宋" w:eastAsia="仿宋" w:cs="仿宋"/>
          <w:spacing w:val="-104"/>
          <w:sz w:val="23"/>
          <w:szCs w:val="23"/>
        </w:rPr>
        <w:t xml:space="preserve"> </w:t>
      </w:r>
      <w:r>
        <w:rPr>
          <w:rFonts w:ascii="仿宋" w:hAnsi="仿宋" w:eastAsia="仿宋" w:cs="仿宋"/>
          <w:spacing w:val="16"/>
          <w:sz w:val="23"/>
          <w:szCs w:val="23"/>
          <w:u w:val="single" w:color="auto"/>
        </w:rPr>
        <w:t xml:space="preserve"> （中型企业、小型企业、微型企业</w:t>
      </w:r>
      <w:r>
        <w:rPr>
          <w:rFonts w:ascii="仿宋" w:hAnsi="仿宋" w:eastAsia="仿宋" w:cs="仿宋"/>
          <w:spacing w:val="8"/>
          <w:sz w:val="23"/>
          <w:szCs w:val="23"/>
          <w:u w:val="single" w:color="auto"/>
        </w:rPr>
        <w:t>）</w:t>
      </w:r>
      <w:r>
        <w:rPr>
          <w:rFonts w:ascii="仿宋" w:hAnsi="仿宋" w:eastAsia="仿宋" w:cs="仿宋"/>
          <w:spacing w:val="32"/>
          <w:sz w:val="23"/>
          <w:szCs w:val="23"/>
          <w:u w:val="single" w:color="auto"/>
        </w:rPr>
        <w:t xml:space="preserve">  </w:t>
      </w:r>
      <w:r>
        <w:rPr>
          <w:rFonts w:ascii="仿宋" w:hAnsi="仿宋" w:eastAsia="仿宋" w:cs="仿宋"/>
          <w:spacing w:val="8"/>
          <w:sz w:val="23"/>
          <w:szCs w:val="23"/>
        </w:rPr>
        <w:t>；</w:t>
      </w:r>
    </w:p>
    <w:p w14:paraId="1CF76699">
      <w:pPr>
        <w:spacing w:before="42" w:line="488" w:lineRule="auto"/>
        <w:ind w:left="14" w:firstLine="500"/>
        <w:jc w:val="both"/>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20"/>
          <w:sz w:val="23"/>
          <w:szCs w:val="23"/>
          <w:u w:val="single" w:color="auto"/>
        </w:rPr>
        <w:t xml:space="preserve">  （标的名称</w:t>
      </w:r>
      <w:r>
        <w:rPr>
          <w:rFonts w:ascii="仿宋" w:hAnsi="仿宋" w:eastAsia="仿宋" w:cs="仿宋"/>
          <w:spacing w:val="-7"/>
          <w:sz w:val="23"/>
          <w:szCs w:val="23"/>
          <w:u w:val="single" w:color="auto"/>
        </w:rPr>
        <w:t>）</w:t>
      </w:r>
      <w:r>
        <w:rPr>
          <w:rFonts w:ascii="仿宋" w:hAnsi="仿宋" w:eastAsia="仿宋" w:cs="仿宋"/>
          <w:spacing w:val="21"/>
          <w:sz w:val="23"/>
          <w:szCs w:val="23"/>
          <w:u w:val="single" w:color="auto"/>
        </w:rPr>
        <w:t xml:space="preserve">   </w:t>
      </w:r>
      <w:r>
        <w:rPr>
          <w:rFonts w:ascii="仿宋" w:hAnsi="仿宋" w:eastAsia="仿宋" w:cs="仿宋"/>
          <w:spacing w:val="-80"/>
          <w:sz w:val="23"/>
          <w:szCs w:val="23"/>
        </w:rPr>
        <w:t xml:space="preserve"> </w:t>
      </w:r>
      <w:r>
        <w:rPr>
          <w:rFonts w:ascii="仿宋" w:hAnsi="仿宋" w:eastAsia="仿宋" w:cs="仿宋"/>
          <w:spacing w:val="-7"/>
          <w:sz w:val="23"/>
          <w:szCs w:val="23"/>
        </w:rPr>
        <w:t>，</w:t>
      </w:r>
      <w:r>
        <w:rPr>
          <w:rFonts w:ascii="仿宋" w:hAnsi="仿宋" w:eastAsia="仿宋" w:cs="仿宋"/>
          <w:spacing w:val="20"/>
          <w:sz w:val="23"/>
          <w:szCs w:val="23"/>
        </w:rPr>
        <w:t>属于</w:t>
      </w:r>
      <w:r>
        <w:rPr>
          <w:rFonts w:ascii="仿宋" w:hAnsi="仿宋" w:eastAsia="仿宋" w:cs="仿宋"/>
          <w:spacing w:val="-104"/>
          <w:sz w:val="23"/>
          <w:szCs w:val="23"/>
        </w:rPr>
        <w:t xml:space="preserve"> </w:t>
      </w:r>
      <w:r>
        <w:rPr>
          <w:rFonts w:ascii="仿宋" w:hAnsi="仿宋" w:eastAsia="仿宋" w:cs="仿宋"/>
          <w:spacing w:val="20"/>
          <w:sz w:val="23"/>
          <w:szCs w:val="23"/>
          <w:u w:val="single" w:color="auto"/>
        </w:rPr>
        <w:t xml:space="preserve"> （采购文件中明确的所属</w:t>
      </w:r>
      <w:r>
        <w:rPr>
          <w:rFonts w:ascii="仿宋" w:hAnsi="仿宋" w:eastAsia="仿宋" w:cs="仿宋"/>
          <w:spacing w:val="19"/>
          <w:sz w:val="23"/>
          <w:szCs w:val="23"/>
          <w:u w:val="single" w:color="auto"/>
        </w:rPr>
        <w:t>行业</w:t>
      </w:r>
      <w:r>
        <w:rPr>
          <w:rFonts w:ascii="仿宋" w:hAnsi="仿宋" w:eastAsia="仿宋" w:cs="仿宋"/>
          <w:spacing w:val="-7"/>
          <w:sz w:val="23"/>
          <w:szCs w:val="23"/>
          <w:u w:val="single" w:color="auto"/>
        </w:rPr>
        <w:t>）</w:t>
      </w:r>
      <w:r>
        <w:rPr>
          <w:rFonts w:ascii="仿宋" w:hAnsi="仿宋" w:eastAsia="仿宋" w:cs="仿宋"/>
          <w:spacing w:val="23"/>
          <w:sz w:val="23"/>
          <w:szCs w:val="23"/>
          <w:u w:val="single" w:color="auto"/>
        </w:rPr>
        <w:t xml:space="preserve">  </w:t>
      </w:r>
      <w:r>
        <w:rPr>
          <w:rFonts w:ascii="仿宋" w:hAnsi="仿宋" w:eastAsia="仿宋" w:cs="仿宋"/>
          <w:spacing w:val="-82"/>
          <w:sz w:val="23"/>
          <w:szCs w:val="23"/>
        </w:rPr>
        <w:t xml:space="preserve"> </w:t>
      </w:r>
      <w:r>
        <w:rPr>
          <w:rFonts w:ascii="仿宋" w:hAnsi="仿宋" w:eastAsia="仿宋" w:cs="仿宋"/>
          <w:spacing w:val="-7"/>
          <w:sz w:val="23"/>
          <w:szCs w:val="23"/>
        </w:rPr>
        <w:t>，</w:t>
      </w:r>
      <w:r>
        <w:rPr>
          <w:rFonts w:ascii="仿宋" w:hAnsi="仿宋" w:eastAsia="仿宋" w:cs="仿宋"/>
          <w:spacing w:val="19"/>
          <w:sz w:val="23"/>
          <w:szCs w:val="23"/>
        </w:rPr>
        <w:t>承建（承接）</w:t>
      </w:r>
      <w:r>
        <w:rPr>
          <w:rFonts w:ascii="仿宋" w:hAnsi="仿宋" w:eastAsia="仿宋" w:cs="仿宋"/>
          <w:sz w:val="23"/>
          <w:szCs w:val="23"/>
        </w:rPr>
        <w:t xml:space="preserve"> </w:t>
      </w:r>
      <w:r>
        <w:rPr>
          <w:rFonts w:ascii="仿宋" w:hAnsi="仿宋" w:eastAsia="仿宋" w:cs="仿宋"/>
          <w:spacing w:val="13"/>
          <w:sz w:val="23"/>
          <w:szCs w:val="23"/>
        </w:rPr>
        <w:t>企业为</w:t>
      </w:r>
      <w:r>
        <w:rPr>
          <w:rFonts w:ascii="仿宋" w:hAnsi="仿宋" w:eastAsia="仿宋" w:cs="仿宋"/>
          <w:spacing w:val="-101"/>
          <w:sz w:val="23"/>
          <w:szCs w:val="23"/>
        </w:rPr>
        <w:t xml:space="preserve"> </w:t>
      </w:r>
      <w:r>
        <w:rPr>
          <w:rFonts w:ascii="仿宋" w:hAnsi="仿宋" w:eastAsia="仿宋" w:cs="仿宋"/>
          <w:spacing w:val="13"/>
          <w:sz w:val="23"/>
          <w:szCs w:val="23"/>
          <w:u w:val="single" w:color="auto"/>
        </w:rPr>
        <w:t xml:space="preserve">   （企业名称</w:t>
      </w:r>
      <w:r>
        <w:rPr>
          <w:rFonts w:ascii="仿宋" w:hAnsi="仿宋" w:eastAsia="仿宋" w:cs="仿宋"/>
          <w:spacing w:val="11"/>
          <w:sz w:val="23"/>
          <w:szCs w:val="23"/>
          <w:u w:val="single" w:color="auto"/>
        </w:rPr>
        <w:t>）</w:t>
      </w:r>
      <w:r>
        <w:rPr>
          <w:rFonts w:ascii="仿宋" w:hAnsi="仿宋" w:eastAsia="仿宋" w:cs="仿宋"/>
          <w:spacing w:val="36"/>
          <w:sz w:val="23"/>
          <w:szCs w:val="23"/>
          <w:u w:val="single" w:color="auto"/>
        </w:rPr>
        <w:t xml:space="preserve">  </w:t>
      </w:r>
      <w:r>
        <w:rPr>
          <w:rFonts w:ascii="仿宋" w:hAnsi="仿宋" w:eastAsia="仿宋" w:cs="仿宋"/>
          <w:spacing w:val="-82"/>
          <w:sz w:val="23"/>
          <w:szCs w:val="23"/>
        </w:rPr>
        <w:t xml:space="preserve"> </w:t>
      </w:r>
      <w:r>
        <w:rPr>
          <w:rFonts w:ascii="仿宋" w:hAnsi="仿宋" w:eastAsia="仿宋" w:cs="仿宋"/>
          <w:spacing w:val="11"/>
          <w:sz w:val="23"/>
          <w:szCs w:val="23"/>
        </w:rPr>
        <w:t>，</w:t>
      </w:r>
      <w:r>
        <w:rPr>
          <w:rFonts w:ascii="仿宋" w:hAnsi="仿宋" w:eastAsia="仿宋" w:cs="仿宋"/>
          <w:spacing w:val="13"/>
          <w:sz w:val="23"/>
          <w:szCs w:val="23"/>
        </w:rPr>
        <w:t>从业人员</w:t>
      </w:r>
      <w:r>
        <w:rPr>
          <w:rFonts w:ascii="仿宋" w:hAnsi="仿宋" w:eastAsia="仿宋" w:cs="仿宋"/>
          <w:spacing w:val="-102"/>
          <w:sz w:val="23"/>
          <w:szCs w:val="23"/>
        </w:rPr>
        <w:t xml:space="preserve"> </w:t>
      </w:r>
      <w:r>
        <w:rPr>
          <w:rFonts w:ascii="仿宋" w:hAnsi="仿宋" w:eastAsia="仿宋" w:cs="仿宋"/>
          <w:spacing w:val="18"/>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13"/>
          <w:sz w:val="23"/>
          <w:szCs w:val="23"/>
        </w:rPr>
        <w:t>人，</w:t>
      </w:r>
      <w:r>
        <w:rPr>
          <w:rFonts w:ascii="仿宋" w:hAnsi="仿宋" w:eastAsia="仿宋" w:cs="仿宋"/>
          <w:spacing w:val="-56"/>
          <w:sz w:val="23"/>
          <w:szCs w:val="23"/>
        </w:rPr>
        <w:t xml:space="preserve"> </w:t>
      </w:r>
      <w:r>
        <w:rPr>
          <w:rFonts w:ascii="仿宋" w:hAnsi="仿宋" w:eastAsia="仿宋" w:cs="仿宋"/>
          <w:spacing w:val="13"/>
          <w:sz w:val="23"/>
          <w:szCs w:val="23"/>
        </w:rPr>
        <w:t>营业收入为</w:t>
      </w:r>
      <w:r>
        <w:rPr>
          <w:rFonts w:ascii="仿宋" w:hAnsi="仿宋" w:eastAsia="仿宋" w:cs="仿宋"/>
          <w:spacing w:val="-102"/>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91"/>
          <w:sz w:val="23"/>
          <w:szCs w:val="23"/>
        </w:rPr>
        <w:t xml:space="preserve"> </w:t>
      </w:r>
      <w:r>
        <w:rPr>
          <w:rFonts w:ascii="仿宋" w:hAnsi="仿宋" w:eastAsia="仿宋" w:cs="仿宋"/>
          <w:spacing w:val="13"/>
          <w:sz w:val="23"/>
          <w:szCs w:val="23"/>
        </w:rPr>
        <w:t>万元，</w:t>
      </w:r>
      <w:r>
        <w:rPr>
          <w:rFonts w:ascii="仿宋" w:hAnsi="仿宋" w:eastAsia="仿宋" w:cs="仿宋"/>
          <w:spacing w:val="-50"/>
          <w:sz w:val="23"/>
          <w:szCs w:val="23"/>
        </w:rPr>
        <w:t xml:space="preserve"> </w:t>
      </w:r>
      <w:r>
        <w:rPr>
          <w:rFonts w:ascii="仿宋" w:hAnsi="仿宋" w:eastAsia="仿宋" w:cs="仿宋"/>
          <w:spacing w:val="13"/>
          <w:sz w:val="23"/>
          <w:szCs w:val="23"/>
        </w:rPr>
        <w:t>资产总</w:t>
      </w:r>
      <w:r>
        <w:rPr>
          <w:rFonts w:ascii="仿宋" w:hAnsi="仿宋" w:eastAsia="仿宋" w:cs="仿宋"/>
          <w:sz w:val="23"/>
          <w:szCs w:val="23"/>
        </w:rPr>
        <w:t xml:space="preserve">  </w:t>
      </w:r>
      <w:r>
        <w:rPr>
          <w:rFonts w:ascii="仿宋" w:hAnsi="仿宋" w:eastAsia="仿宋" w:cs="仿宋"/>
          <w:spacing w:val="16"/>
          <w:sz w:val="23"/>
          <w:szCs w:val="23"/>
        </w:rPr>
        <w:t>额为</w:t>
      </w:r>
      <w:r>
        <w:rPr>
          <w:rFonts w:ascii="仿宋" w:hAnsi="仿宋" w:eastAsia="仿宋" w:cs="仿宋"/>
          <w:spacing w:val="-103"/>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16"/>
          <w:sz w:val="23"/>
          <w:szCs w:val="23"/>
        </w:rPr>
        <w:t>万元，</w:t>
      </w:r>
      <w:r>
        <w:rPr>
          <w:rFonts w:ascii="仿宋" w:hAnsi="仿宋" w:eastAsia="仿宋" w:cs="仿宋"/>
          <w:spacing w:val="-64"/>
          <w:sz w:val="23"/>
          <w:szCs w:val="23"/>
        </w:rPr>
        <w:t xml:space="preserve"> </w:t>
      </w:r>
      <w:r>
        <w:rPr>
          <w:rFonts w:ascii="仿宋" w:hAnsi="仿宋" w:eastAsia="仿宋" w:cs="仿宋"/>
          <w:spacing w:val="16"/>
          <w:sz w:val="23"/>
          <w:szCs w:val="23"/>
        </w:rPr>
        <w:t>属于</w:t>
      </w:r>
      <w:r>
        <w:rPr>
          <w:rFonts w:ascii="仿宋" w:hAnsi="仿宋" w:eastAsia="仿宋" w:cs="仿宋"/>
          <w:spacing w:val="-104"/>
          <w:sz w:val="23"/>
          <w:szCs w:val="23"/>
        </w:rPr>
        <w:t xml:space="preserve"> </w:t>
      </w:r>
      <w:r>
        <w:rPr>
          <w:rFonts w:ascii="仿宋" w:hAnsi="仿宋" w:eastAsia="仿宋" w:cs="仿宋"/>
          <w:spacing w:val="16"/>
          <w:sz w:val="23"/>
          <w:szCs w:val="23"/>
          <w:u w:val="single" w:color="auto"/>
        </w:rPr>
        <w:t xml:space="preserve"> （中型企业、小型企业、微型企业</w:t>
      </w:r>
      <w:r>
        <w:rPr>
          <w:rFonts w:ascii="仿宋" w:hAnsi="仿宋" w:eastAsia="仿宋" w:cs="仿宋"/>
          <w:spacing w:val="8"/>
          <w:sz w:val="23"/>
          <w:szCs w:val="23"/>
          <w:u w:val="single" w:color="auto"/>
        </w:rPr>
        <w:t>）</w:t>
      </w:r>
      <w:r>
        <w:rPr>
          <w:rFonts w:ascii="仿宋" w:hAnsi="仿宋" w:eastAsia="仿宋" w:cs="仿宋"/>
          <w:spacing w:val="32"/>
          <w:sz w:val="23"/>
          <w:szCs w:val="23"/>
          <w:u w:val="single" w:color="auto"/>
        </w:rPr>
        <w:t xml:space="preserve">  </w:t>
      </w:r>
      <w:r>
        <w:rPr>
          <w:rFonts w:ascii="仿宋" w:hAnsi="仿宋" w:eastAsia="仿宋" w:cs="仿宋"/>
          <w:spacing w:val="8"/>
          <w:sz w:val="23"/>
          <w:szCs w:val="23"/>
        </w:rPr>
        <w:t>；</w:t>
      </w:r>
    </w:p>
    <w:p w14:paraId="45C27F79">
      <w:pPr>
        <w:spacing w:before="224" w:line="91" w:lineRule="exact"/>
        <w:ind w:left="914"/>
        <w:rPr>
          <w:rFonts w:ascii="仿宋" w:hAnsi="仿宋" w:eastAsia="仿宋" w:cs="仿宋"/>
          <w:sz w:val="23"/>
          <w:szCs w:val="23"/>
        </w:rPr>
      </w:pPr>
      <w:r>
        <w:rPr>
          <w:rFonts w:ascii="仿宋" w:hAnsi="仿宋" w:eastAsia="仿宋" w:cs="仿宋"/>
          <w:spacing w:val="23"/>
          <w:position w:val="2"/>
          <w:sz w:val="23"/>
          <w:szCs w:val="23"/>
        </w:rPr>
        <w:t>........</w:t>
      </w:r>
    </w:p>
    <w:p w14:paraId="0B817FA1">
      <w:pPr>
        <w:pStyle w:val="7"/>
        <w:spacing w:line="273" w:lineRule="auto"/>
      </w:pPr>
    </w:p>
    <w:p w14:paraId="44D1A441">
      <w:pPr>
        <w:spacing w:before="74" w:line="481" w:lineRule="auto"/>
        <w:ind w:left="16" w:right="108" w:firstLine="526"/>
        <w:rPr>
          <w:rFonts w:ascii="仿宋" w:hAnsi="仿宋" w:eastAsia="仿宋" w:cs="仿宋"/>
          <w:sz w:val="23"/>
          <w:szCs w:val="23"/>
        </w:rPr>
      </w:pPr>
      <w:r>
        <w:rPr>
          <w:rFonts w:ascii="仿宋" w:hAnsi="仿宋" w:eastAsia="仿宋" w:cs="仿宋"/>
          <w:spacing w:val="18"/>
          <w:sz w:val="23"/>
          <w:szCs w:val="23"/>
        </w:rPr>
        <w:t>以上企业，不属于大企业的分支机构，不存在控股股东为大企业的情形，也不存</w:t>
      </w:r>
      <w:r>
        <w:rPr>
          <w:rFonts w:ascii="仿宋" w:hAnsi="仿宋" w:eastAsia="仿宋" w:cs="仿宋"/>
          <w:spacing w:val="16"/>
          <w:sz w:val="23"/>
          <w:szCs w:val="23"/>
        </w:rPr>
        <w:t>在与大企业的负责人为同一</w:t>
      </w:r>
      <w:r>
        <w:rPr>
          <w:rFonts w:ascii="仿宋" w:hAnsi="仿宋" w:eastAsia="仿宋" w:cs="仿宋"/>
          <w:spacing w:val="-63"/>
          <w:sz w:val="23"/>
          <w:szCs w:val="23"/>
        </w:rPr>
        <w:t xml:space="preserve"> </w:t>
      </w:r>
      <w:r>
        <w:rPr>
          <w:rFonts w:ascii="仿宋" w:hAnsi="仿宋" w:eastAsia="仿宋" w:cs="仿宋"/>
          <w:spacing w:val="16"/>
          <w:sz w:val="23"/>
          <w:szCs w:val="23"/>
        </w:rPr>
        <w:t>人的情形。</w:t>
      </w:r>
    </w:p>
    <w:p w14:paraId="0BFB0A86">
      <w:pPr>
        <w:spacing w:before="47" w:line="228" w:lineRule="auto"/>
        <w:rPr>
          <w:rFonts w:ascii="仿宋" w:hAnsi="仿宋" w:eastAsia="仿宋" w:cs="仿宋"/>
          <w:sz w:val="23"/>
          <w:szCs w:val="23"/>
        </w:rPr>
      </w:pPr>
      <w:r>
        <w:rPr>
          <w:rFonts w:ascii="仿宋" w:hAnsi="仿宋" w:eastAsia="仿宋" w:cs="仿宋"/>
          <w:spacing w:val="19"/>
          <w:sz w:val="23"/>
          <w:szCs w:val="23"/>
        </w:rPr>
        <w:t>本企业对上述声明内容的真实性负责。如有虚假，</w:t>
      </w:r>
      <w:r>
        <w:rPr>
          <w:rFonts w:ascii="仿宋" w:hAnsi="仿宋" w:eastAsia="仿宋" w:cs="仿宋"/>
          <w:spacing w:val="-64"/>
          <w:sz w:val="23"/>
          <w:szCs w:val="23"/>
        </w:rPr>
        <w:t xml:space="preserve"> </w:t>
      </w:r>
      <w:r>
        <w:rPr>
          <w:rFonts w:ascii="仿宋" w:hAnsi="仿宋" w:eastAsia="仿宋" w:cs="仿宋"/>
          <w:spacing w:val="19"/>
          <w:sz w:val="23"/>
          <w:szCs w:val="23"/>
        </w:rPr>
        <w:t>将依法承担相应责任。</w:t>
      </w:r>
    </w:p>
    <w:p w14:paraId="3DCCCC24">
      <w:pPr>
        <w:pStyle w:val="7"/>
        <w:spacing w:line="269" w:lineRule="auto"/>
      </w:pPr>
    </w:p>
    <w:p w14:paraId="6B11275F">
      <w:pPr>
        <w:pStyle w:val="7"/>
        <w:spacing w:line="270" w:lineRule="auto"/>
      </w:pPr>
    </w:p>
    <w:p w14:paraId="15439BBB">
      <w:pPr>
        <w:spacing w:before="75" w:line="229" w:lineRule="auto"/>
        <w:ind w:left="4028"/>
        <w:rPr>
          <w:rFonts w:ascii="仿宋" w:hAnsi="仿宋" w:eastAsia="仿宋" w:cs="仿宋"/>
          <w:sz w:val="23"/>
          <w:szCs w:val="23"/>
        </w:rPr>
      </w:pPr>
      <w:r>
        <w:rPr>
          <w:rFonts w:ascii="仿宋" w:hAnsi="仿宋" w:eastAsia="仿宋" w:cs="仿宋"/>
          <w:spacing w:val="4"/>
          <w:sz w:val="23"/>
          <w:szCs w:val="23"/>
        </w:rPr>
        <w:t>企业名称（盖章</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14:paraId="569ECA73">
      <w:pPr>
        <w:spacing w:before="300" w:line="231" w:lineRule="auto"/>
        <w:ind w:left="4078"/>
        <w:rPr>
          <w:rFonts w:ascii="仿宋" w:hAnsi="仿宋" w:eastAsia="仿宋" w:cs="仿宋"/>
          <w:sz w:val="23"/>
          <w:szCs w:val="23"/>
        </w:rPr>
      </w:pPr>
      <w:r>
        <w:rPr>
          <w:rFonts w:ascii="仿宋" w:hAnsi="仿宋" w:eastAsia="仿宋" w:cs="仿宋"/>
          <w:spacing w:val="-11"/>
          <w:sz w:val="23"/>
          <w:szCs w:val="23"/>
        </w:rPr>
        <w:t>日期：</w:t>
      </w:r>
      <w:r>
        <w:rPr>
          <w:rFonts w:ascii="仿宋" w:hAnsi="仿宋" w:eastAsia="仿宋" w:cs="仿宋"/>
          <w:spacing w:val="5"/>
          <w:sz w:val="23"/>
          <w:szCs w:val="23"/>
          <w:u w:val="single" w:color="auto"/>
        </w:rPr>
        <w:t xml:space="preserve">      </w:t>
      </w:r>
      <w:r>
        <w:rPr>
          <w:rFonts w:ascii="仿宋" w:hAnsi="仿宋" w:eastAsia="仿宋" w:cs="仿宋"/>
          <w:spacing w:val="-91"/>
          <w:sz w:val="23"/>
          <w:szCs w:val="23"/>
        </w:rPr>
        <w:t xml:space="preserve"> </w:t>
      </w:r>
      <w:r>
        <w:rPr>
          <w:rFonts w:ascii="仿宋" w:hAnsi="仿宋" w:eastAsia="仿宋" w:cs="仿宋"/>
          <w:spacing w:val="-11"/>
          <w:sz w:val="23"/>
          <w:szCs w:val="23"/>
        </w:rPr>
        <w:t>年</w:t>
      </w:r>
      <w:r>
        <w:rPr>
          <w:rFonts w:ascii="仿宋" w:hAnsi="仿宋" w:eastAsia="仿宋" w:cs="仿宋"/>
          <w:spacing w:val="4"/>
          <w:sz w:val="23"/>
          <w:szCs w:val="23"/>
          <w:u w:val="single" w:color="auto"/>
        </w:rPr>
        <w:t xml:space="preserve">      </w:t>
      </w:r>
      <w:r>
        <w:rPr>
          <w:rFonts w:ascii="仿宋" w:hAnsi="仿宋" w:eastAsia="仿宋" w:cs="仿宋"/>
          <w:spacing w:val="-82"/>
          <w:sz w:val="23"/>
          <w:szCs w:val="23"/>
        </w:rPr>
        <w:t xml:space="preserve"> </w:t>
      </w:r>
      <w:r>
        <w:rPr>
          <w:rFonts w:ascii="仿宋" w:hAnsi="仿宋" w:eastAsia="仿宋" w:cs="仿宋"/>
          <w:spacing w:val="-11"/>
          <w:sz w:val="23"/>
          <w:szCs w:val="23"/>
        </w:rPr>
        <w:t xml:space="preserve">月 </w:t>
      </w:r>
      <w:r>
        <w:rPr>
          <w:rFonts w:ascii="仿宋" w:hAnsi="仿宋" w:eastAsia="仿宋" w:cs="仿宋"/>
          <w:spacing w:val="5"/>
          <w:sz w:val="23"/>
          <w:szCs w:val="23"/>
          <w:u w:val="single" w:color="auto"/>
        </w:rPr>
        <w:t xml:space="preserve">     </w:t>
      </w:r>
      <w:r>
        <w:rPr>
          <w:rFonts w:ascii="仿宋" w:hAnsi="仿宋" w:eastAsia="仿宋" w:cs="仿宋"/>
          <w:spacing w:val="72"/>
          <w:sz w:val="23"/>
          <w:szCs w:val="23"/>
        </w:rPr>
        <w:t xml:space="preserve"> </w:t>
      </w:r>
      <w:r>
        <w:rPr>
          <w:rFonts w:ascii="仿宋" w:hAnsi="仿宋" w:eastAsia="仿宋" w:cs="仿宋"/>
          <w:spacing w:val="-11"/>
          <w:sz w:val="23"/>
          <w:szCs w:val="23"/>
        </w:rPr>
        <w:t>日</w:t>
      </w:r>
    </w:p>
    <w:p w14:paraId="537A3FF1">
      <w:pPr>
        <w:pStyle w:val="7"/>
        <w:spacing w:line="284" w:lineRule="auto"/>
      </w:pPr>
    </w:p>
    <w:p w14:paraId="79506FBE">
      <w:pPr>
        <w:spacing w:before="75" w:line="358" w:lineRule="auto"/>
        <w:ind w:left="18" w:right="79" w:firstLine="506"/>
        <w:rPr>
          <w:rFonts w:ascii="仿宋" w:hAnsi="仿宋" w:eastAsia="仿宋" w:cs="仿宋"/>
          <w:sz w:val="23"/>
          <w:szCs w:val="23"/>
        </w:rPr>
      </w:pPr>
      <w:r>
        <w:rPr>
          <w:rFonts w:ascii="仿宋" w:hAnsi="仿宋" w:eastAsia="仿宋" w:cs="仿宋"/>
          <w:b/>
          <w:bCs/>
          <w:spacing w:val="10"/>
          <w:sz w:val="23"/>
          <w:szCs w:val="23"/>
        </w:rPr>
        <w:t>注</w:t>
      </w:r>
      <w:r>
        <w:rPr>
          <w:rFonts w:ascii="仿宋" w:hAnsi="仿宋" w:eastAsia="仿宋" w:cs="仿宋"/>
          <w:spacing w:val="-67"/>
          <w:sz w:val="23"/>
          <w:szCs w:val="23"/>
        </w:rPr>
        <w:t xml:space="preserve"> </w:t>
      </w:r>
      <w:r>
        <w:rPr>
          <w:rFonts w:ascii="仿宋" w:hAnsi="仿宋" w:eastAsia="仿宋" w:cs="仿宋"/>
          <w:b/>
          <w:bCs/>
          <w:spacing w:val="10"/>
          <w:sz w:val="23"/>
          <w:szCs w:val="23"/>
        </w:rPr>
        <w:t>：1.从业人员</w:t>
      </w:r>
      <w:r>
        <w:rPr>
          <w:rFonts w:ascii="仿宋" w:hAnsi="仿宋" w:eastAsia="仿宋" w:cs="仿宋"/>
          <w:spacing w:val="-67"/>
          <w:sz w:val="23"/>
          <w:szCs w:val="23"/>
        </w:rPr>
        <w:t xml:space="preserve"> </w:t>
      </w:r>
      <w:r>
        <w:rPr>
          <w:rFonts w:ascii="仿宋" w:hAnsi="仿宋" w:eastAsia="仿宋" w:cs="仿宋"/>
          <w:b/>
          <w:bCs/>
          <w:spacing w:val="10"/>
          <w:sz w:val="23"/>
          <w:szCs w:val="23"/>
        </w:rPr>
        <w:t>、营业收入</w:t>
      </w:r>
      <w:r>
        <w:rPr>
          <w:rFonts w:ascii="仿宋" w:hAnsi="仿宋" w:eastAsia="仿宋" w:cs="仿宋"/>
          <w:spacing w:val="-65"/>
          <w:sz w:val="23"/>
          <w:szCs w:val="23"/>
        </w:rPr>
        <w:t xml:space="preserve"> </w:t>
      </w:r>
      <w:r>
        <w:rPr>
          <w:rFonts w:ascii="仿宋" w:hAnsi="仿宋" w:eastAsia="仿宋" w:cs="仿宋"/>
          <w:b/>
          <w:bCs/>
          <w:spacing w:val="10"/>
          <w:sz w:val="23"/>
          <w:szCs w:val="23"/>
        </w:rPr>
        <w:t>、资产总额填</w:t>
      </w:r>
      <w:r>
        <w:rPr>
          <w:rFonts w:ascii="仿宋" w:hAnsi="仿宋" w:eastAsia="仿宋" w:cs="仿宋"/>
          <w:b/>
          <w:bCs/>
          <w:spacing w:val="9"/>
          <w:sz w:val="23"/>
          <w:szCs w:val="23"/>
        </w:rPr>
        <w:t>报上一</w:t>
      </w:r>
      <w:r>
        <w:rPr>
          <w:rFonts w:ascii="仿宋" w:hAnsi="仿宋" w:eastAsia="仿宋" w:cs="仿宋"/>
          <w:spacing w:val="-62"/>
          <w:sz w:val="23"/>
          <w:szCs w:val="23"/>
        </w:rPr>
        <w:t xml:space="preserve"> </w:t>
      </w:r>
      <w:r>
        <w:rPr>
          <w:rFonts w:ascii="仿宋" w:hAnsi="仿宋" w:eastAsia="仿宋" w:cs="仿宋"/>
          <w:b/>
          <w:bCs/>
          <w:spacing w:val="9"/>
          <w:sz w:val="23"/>
          <w:szCs w:val="23"/>
        </w:rPr>
        <w:t>年度数据，无上一</w:t>
      </w:r>
      <w:r>
        <w:rPr>
          <w:rFonts w:ascii="仿宋" w:hAnsi="仿宋" w:eastAsia="仿宋" w:cs="仿宋"/>
          <w:spacing w:val="-62"/>
          <w:sz w:val="23"/>
          <w:szCs w:val="23"/>
        </w:rPr>
        <w:t xml:space="preserve"> </w:t>
      </w:r>
      <w:r>
        <w:rPr>
          <w:rFonts w:ascii="仿宋" w:hAnsi="仿宋" w:eastAsia="仿宋" w:cs="仿宋"/>
          <w:b/>
          <w:bCs/>
          <w:spacing w:val="9"/>
          <w:sz w:val="23"/>
          <w:szCs w:val="23"/>
        </w:rPr>
        <w:t>年度数据的新</w:t>
      </w:r>
      <w:r>
        <w:rPr>
          <w:rFonts w:ascii="仿宋" w:hAnsi="仿宋" w:eastAsia="仿宋" w:cs="仿宋"/>
          <w:b/>
          <w:bCs/>
          <w:spacing w:val="14"/>
          <w:sz w:val="23"/>
          <w:szCs w:val="23"/>
        </w:rPr>
        <w:t>成立企业可不填报。</w:t>
      </w:r>
    </w:p>
    <w:p w14:paraId="367BC9E5">
      <w:pPr>
        <w:spacing w:before="43" w:line="357" w:lineRule="auto"/>
        <w:ind w:left="19" w:right="58" w:firstLine="919"/>
        <w:rPr>
          <w:rFonts w:ascii="仿宋" w:hAnsi="仿宋" w:eastAsia="仿宋" w:cs="仿宋"/>
          <w:sz w:val="23"/>
          <w:szCs w:val="23"/>
        </w:rPr>
      </w:pPr>
      <w:r>
        <w:rPr>
          <w:rFonts w:ascii="仿宋" w:hAnsi="仿宋" w:eastAsia="仿宋" w:cs="仿宋"/>
          <w:b/>
          <w:bCs/>
          <w:spacing w:val="-1"/>
          <w:sz w:val="23"/>
          <w:szCs w:val="23"/>
        </w:rPr>
        <w:t>2.如未按上述要求提供、填写，评审时造成的资格审查不通过或价格评审时的价格</w:t>
      </w:r>
      <w:r>
        <w:rPr>
          <w:rFonts w:ascii="仿宋" w:hAnsi="仿宋" w:eastAsia="仿宋" w:cs="仿宋"/>
          <w:b/>
          <w:bCs/>
          <w:spacing w:val="-3"/>
          <w:sz w:val="23"/>
          <w:szCs w:val="23"/>
        </w:rPr>
        <w:t>扣除不予认定等后果，由供应商自行承担。</w:t>
      </w:r>
    </w:p>
    <w:p w14:paraId="2EB33EE7">
      <w:pPr>
        <w:spacing w:before="295" w:line="233" w:lineRule="auto"/>
        <w:ind w:left="280"/>
        <w:rPr>
          <w:rFonts w:ascii="仿宋" w:hAnsi="仿宋" w:eastAsia="仿宋" w:cs="仿宋"/>
          <w:sz w:val="17"/>
          <w:szCs w:val="17"/>
        </w:rPr>
      </w:pPr>
      <w:r>
        <w:rPr>
          <w:rFonts w:ascii="仿宋" w:hAnsi="仿宋" w:eastAsia="仿宋" w:cs="仿宋"/>
          <w:b/>
          <w:bCs/>
          <w:spacing w:val="7"/>
          <w:sz w:val="17"/>
          <w:szCs w:val="17"/>
        </w:rPr>
        <w:t>附表：大中小微型企业划分标准</w:t>
      </w:r>
      <w:r>
        <w:rPr>
          <w:rFonts w:hint="eastAsia" w:ascii="仿宋" w:hAnsi="仿宋" w:eastAsia="仿宋" w:cs="仿宋"/>
          <w:b/>
          <w:bCs/>
          <w:spacing w:val="7"/>
          <w:sz w:val="17"/>
          <w:szCs w:val="17"/>
          <w:lang w:eastAsia="zh-CN"/>
        </w:rPr>
        <w:t>《</w:t>
      </w:r>
      <w:r>
        <w:rPr>
          <w:rFonts w:hint="eastAsia" w:ascii="仿宋" w:hAnsi="仿宋" w:eastAsia="仿宋" w:cs="仿宋"/>
          <w:b/>
          <w:bCs/>
          <w:spacing w:val="7"/>
          <w:sz w:val="17"/>
          <w:szCs w:val="17"/>
        </w:rPr>
        <w:t>关于印发中小企业划型标准规定的通知工信部联企业〔2011〕300号</w:t>
      </w:r>
      <w:r>
        <w:rPr>
          <w:rFonts w:hint="eastAsia" w:ascii="仿宋" w:hAnsi="仿宋" w:eastAsia="仿宋" w:cs="仿宋"/>
          <w:b/>
          <w:bCs/>
          <w:spacing w:val="7"/>
          <w:sz w:val="17"/>
          <w:szCs w:val="17"/>
          <w:lang w:eastAsia="zh-CN"/>
        </w:rPr>
        <w:t>》</w:t>
      </w:r>
    </w:p>
    <w:p w14:paraId="4E9F2C79">
      <w:pPr>
        <w:spacing w:line="52" w:lineRule="exact"/>
      </w:pPr>
    </w:p>
    <w:tbl>
      <w:tblPr>
        <w:tblStyle w:val="53"/>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5"/>
        <w:gridCol w:w="1565"/>
        <w:gridCol w:w="864"/>
        <w:gridCol w:w="1152"/>
        <w:gridCol w:w="2003"/>
        <w:gridCol w:w="1628"/>
        <w:gridCol w:w="1206"/>
      </w:tblGrid>
      <w:tr w14:paraId="2B0D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1345" w:type="dxa"/>
            <w:vAlign w:val="top"/>
          </w:tcPr>
          <w:p w14:paraId="539342AD">
            <w:pPr>
              <w:pStyle w:val="60"/>
              <w:spacing w:before="229" w:line="232" w:lineRule="auto"/>
              <w:rPr>
                <w:sz w:val="17"/>
                <w:szCs w:val="17"/>
              </w:rPr>
            </w:pPr>
            <w:r>
              <w:rPr>
                <w:b/>
                <w:bCs/>
                <w:spacing w:val="5"/>
                <w:sz w:val="17"/>
                <w:szCs w:val="17"/>
              </w:rPr>
              <w:t>行业名称</w:t>
            </w:r>
          </w:p>
        </w:tc>
        <w:tc>
          <w:tcPr>
            <w:tcW w:w="1565" w:type="dxa"/>
            <w:vAlign w:val="top"/>
          </w:tcPr>
          <w:p w14:paraId="593898CD">
            <w:pPr>
              <w:pStyle w:val="60"/>
              <w:spacing w:before="219" w:line="232" w:lineRule="auto"/>
              <w:ind w:left="333"/>
              <w:rPr>
                <w:sz w:val="17"/>
                <w:szCs w:val="17"/>
              </w:rPr>
            </w:pPr>
            <w:r>
              <w:rPr>
                <w:b/>
                <w:bCs/>
                <w:spacing w:val="5"/>
                <w:sz w:val="17"/>
                <w:szCs w:val="17"/>
              </w:rPr>
              <w:t>指标名称</w:t>
            </w:r>
          </w:p>
        </w:tc>
        <w:tc>
          <w:tcPr>
            <w:tcW w:w="864" w:type="dxa"/>
            <w:vAlign w:val="top"/>
          </w:tcPr>
          <w:p w14:paraId="0E022687">
            <w:pPr>
              <w:pStyle w:val="60"/>
              <w:spacing w:before="101" w:line="244" w:lineRule="auto"/>
              <w:ind w:left="187" w:right="171" w:hanging="3"/>
              <w:jc w:val="left"/>
              <w:rPr>
                <w:sz w:val="17"/>
                <w:szCs w:val="17"/>
              </w:rPr>
            </w:pPr>
            <w:r>
              <w:rPr>
                <w:b/>
                <w:bCs/>
                <w:spacing w:val="2"/>
                <w:sz w:val="17"/>
                <w:szCs w:val="17"/>
              </w:rPr>
              <w:t>计量</w:t>
            </w:r>
            <w:r>
              <w:rPr>
                <w:sz w:val="17"/>
                <w:szCs w:val="17"/>
              </w:rPr>
              <w:t xml:space="preserve"> </w:t>
            </w:r>
            <w:r>
              <w:rPr>
                <w:b/>
                <w:bCs/>
                <w:sz w:val="17"/>
                <w:szCs w:val="17"/>
              </w:rPr>
              <w:t>单位</w:t>
            </w:r>
          </w:p>
        </w:tc>
        <w:tc>
          <w:tcPr>
            <w:tcW w:w="1152" w:type="dxa"/>
            <w:vAlign w:val="top"/>
          </w:tcPr>
          <w:p w14:paraId="44490E9B">
            <w:pPr>
              <w:pStyle w:val="60"/>
              <w:spacing w:before="219" w:line="235" w:lineRule="auto"/>
              <w:ind w:left="394"/>
              <w:rPr>
                <w:sz w:val="17"/>
                <w:szCs w:val="17"/>
              </w:rPr>
            </w:pPr>
            <w:r>
              <w:rPr>
                <w:b/>
                <w:bCs/>
                <w:spacing w:val="1"/>
                <w:sz w:val="17"/>
                <w:szCs w:val="17"/>
              </w:rPr>
              <w:t>大型</w:t>
            </w:r>
          </w:p>
        </w:tc>
        <w:tc>
          <w:tcPr>
            <w:tcW w:w="2003" w:type="dxa"/>
            <w:vAlign w:val="top"/>
          </w:tcPr>
          <w:p w14:paraId="278532C8">
            <w:pPr>
              <w:pStyle w:val="60"/>
              <w:spacing w:before="220" w:line="233" w:lineRule="auto"/>
              <w:ind w:left="768"/>
              <w:rPr>
                <w:sz w:val="17"/>
                <w:szCs w:val="17"/>
              </w:rPr>
            </w:pPr>
            <w:r>
              <w:rPr>
                <w:b/>
                <w:bCs/>
                <w:spacing w:val="-6"/>
                <w:sz w:val="17"/>
                <w:szCs w:val="17"/>
              </w:rPr>
              <w:t>中型</w:t>
            </w:r>
          </w:p>
        </w:tc>
        <w:tc>
          <w:tcPr>
            <w:tcW w:w="1628" w:type="dxa"/>
            <w:vAlign w:val="top"/>
          </w:tcPr>
          <w:p w14:paraId="108ECE0B">
            <w:pPr>
              <w:pStyle w:val="60"/>
              <w:spacing w:before="220" w:line="236" w:lineRule="auto"/>
              <w:ind w:left="623"/>
              <w:rPr>
                <w:sz w:val="17"/>
                <w:szCs w:val="17"/>
              </w:rPr>
            </w:pPr>
            <w:r>
              <w:rPr>
                <w:b/>
                <w:bCs/>
                <w:spacing w:val="2"/>
                <w:sz w:val="17"/>
                <w:szCs w:val="17"/>
              </w:rPr>
              <w:t>小型</w:t>
            </w:r>
          </w:p>
        </w:tc>
        <w:tc>
          <w:tcPr>
            <w:tcW w:w="1206" w:type="dxa"/>
            <w:vAlign w:val="top"/>
          </w:tcPr>
          <w:p w14:paraId="5D0D8555">
            <w:pPr>
              <w:pStyle w:val="60"/>
              <w:spacing w:before="219" w:line="235" w:lineRule="auto"/>
              <w:ind w:left="391"/>
              <w:rPr>
                <w:sz w:val="17"/>
                <w:szCs w:val="17"/>
              </w:rPr>
            </w:pPr>
            <w:r>
              <w:rPr>
                <w:b/>
                <w:bCs/>
                <w:spacing w:val="2"/>
                <w:sz w:val="17"/>
                <w:szCs w:val="17"/>
              </w:rPr>
              <w:t>微型</w:t>
            </w:r>
          </w:p>
        </w:tc>
      </w:tr>
      <w:tr w14:paraId="6BF9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345" w:type="dxa"/>
            <w:vAlign w:val="top"/>
          </w:tcPr>
          <w:p w14:paraId="28BBCF0E">
            <w:pPr>
              <w:pStyle w:val="60"/>
              <w:spacing w:before="112" w:line="233" w:lineRule="auto"/>
              <w:ind w:left="119"/>
              <w:rPr>
                <w:sz w:val="17"/>
                <w:szCs w:val="17"/>
              </w:rPr>
            </w:pPr>
            <w:r>
              <w:rPr>
                <w:spacing w:val="8"/>
                <w:sz w:val="17"/>
                <w:szCs w:val="17"/>
              </w:rPr>
              <w:t>农、林、牧、渔业</w:t>
            </w:r>
          </w:p>
        </w:tc>
        <w:tc>
          <w:tcPr>
            <w:tcW w:w="1565" w:type="dxa"/>
            <w:vAlign w:val="top"/>
          </w:tcPr>
          <w:p w14:paraId="6028C3A3">
            <w:pPr>
              <w:pStyle w:val="60"/>
              <w:spacing w:before="102" w:line="234" w:lineRule="auto"/>
              <w:ind w:left="204"/>
              <w:rPr>
                <w:sz w:val="17"/>
                <w:szCs w:val="17"/>
              </w:rPr>
            </w:pP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3C7CD38F">
            <w:pPr>
              <w:pStyle w:val="60"/>
              <w:spacing w:before="102" w:line="237" w:lineRule="auto"/>
              <w:ind w:left="185"/>
              <w:rPr>
                <w:sz w:val="17"/>
                <w:szCs w:val="17"/>
              </w:rPr>
            </w:pPr>
            <w:r>
              <w:rPr>
                <w:spacing w:val="3"/>
                <w:sz w:val="17"/>
                <w:szCs w:val="17"/>
              </w:rPr>
              <w:t>万元</w:t>
            </w:r>
          </w:p>
        </w:tc>
        <w:tc>
          <w:tcPr>
            <w:tcW w:w="1152" w:type="dxa"/>
            <w:vAlign w:val="top"/>
          </w:tcPr>
          <w:p w14:paraId="00B20BBA">
            <w:pPr>
              <w:pStyle w:val="60"/>
              <w:spacing w:before="102" w:line="232" w:lineRule="exact"/>
              <w:ind w:left="203"/>
              <w:rPr>
                <w:sz w:val="17"/>
                <w:szCs w:val="17"/>
              </w:rPr>
            </w:pPr>
            <w:r>
              <w:rPr>
                <w:spacing w:val="17"/>
                <w:position w:val="1"/>
                <w:sz w:val="17"/>
                <w:szCs w:val="17"/>
              </w:rPr>
              <w:t>Y≥20000</w:t>
            </w:r>
          </w:p>
        </w:tc>
        <w:tc>
          <w:tcPr>
            <w:tcW w:w="2003" w:type="dxa"/>
            <w:vAlign w:val="top"/>
          </w:tcPr>
          <w:p w14:paraId="473A8A50">
            <w:pPr>
              <w:pStyle w:val="60"/>
              <w:spacing w:before="102" w:line="232" w:lineRule="exact"/>
              <w:ind w:left="383"/>
              <w:rPr>
                <w:sz w:val="17"/>
                <w:szCs w:val="17"/>
              </w:rPr>
            </w:pPr>
            <w:r>
              <w:rPr>
                <w:spacing w:val="13"/>
                <w:position w:val="1"/>
                <w:sz w:val="17"/>
                <w:szCs w:val="17"/>
              </w:rPr>
              <w:t>500≤Y＜20000</w:t>
            </w:r>
          </w:p>
        </w:tc>
        <w:tc>
          <w:tcPr>
            <w:tcW w:w="1628" w:type="dxa"/>
            <w:vAlign w:val="top"/>
          </w:tcPr>
          <w:p w14:paraId="78C2FA11">
            <w:pPr>
              <w:pStyle w:val="60"/>
              <w:spacing w:before="102" w:line="232" w:lineRule="exact"/>
              <w:ind w:left="396"/>
              <w:rPr>
                <w:sz w:val="17"/>
                <w:szCs w:val="17"/>
              </w:rPr>
            </w:pPr>
            <w:r>
              <w:rPr>
                <w:spacing w:val="16"/>
                <w:position w:val="1"/>
                <w:sz w:val="17"/>
                <w:szCs w:val="17"/>
              </w:rPr>
              <w:t>50≤Y＜500</w:t>
            </w:r>
          </w:p>
        </w:tc>
        <w:tc>
          <w:tcPr>
            <w:tcW w:w="1206" w:type="dxa"/>
            <w:vAlign w:val="top"/>
          </w:tcPr>
          <w:p w14:paraId="44601BB6">
            <w:pPr>
              <w:pStyle w:val="60"/>
              <w:spacing w:before="102" w:line="232" w:lineRule="exact"/>
              <w:ind w:left="337"/>
              <w:rPr>
                <w:sz w:val="17"/>
                <w:szCs w:val="17"/>
              </w:rPr>
            </w:pPr>
            <w:r>
              <w:rPr>
                <w:spacing w:val="19"/>
                <w:w w:val="108"/>
                <w:position w:val="1"/>
                <w:sz w:val="17"/>
                <w:szCs w:val="17"/>
              </w:rPr>
              <w:t>Y＜50</w:t>
            </w:r>
          </w:p>
        </w:tc>
      </w:tr>
      <w:tr w14:paraId="5254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7CD81920">
            <w:pPr>
              <w:spacing w:line="253" w:lineRule="auto"/>
              <w:rPr>
                <w:rFonts w:ascii="Arial"/>
                <w:sz w:val="21"/>
              </w:rPr>
            </w:pPr>
          </w:p>
          <w:p w14:paraId="344BA038">
            <w:pPr>
              <w:pStyle w:val="60"/>
              <w:spacing w:before="55" w:line="225" w:lineRule="exact"/>
              <w:ind w:left="123"/>
              <w:rPr>
                <w:sz w:val="17"/>
                <w:szCs w:val="17"/>
              </w:rPr>
            </w:pPr>
            <w:r>
              <w:rPr>
                <w:spacing w:val="31"/>
                <w:sz w:val="17"/>
                <w:szCs w:val="17"/>
              </w:rPr>
              <w:t>工业</w:t>
            </w:r>
            <w:r>
              <w:rPr>
                <w:spacing w:val="11"/>
                <w:sz w:val="17"/>
                <w:szCs w:val="17"/>
              </w:rPr>
              <w:t xml:space="preserve"> </w:t>
            </w:r>
          </w:p>
        </w:tc>
        <w:tc>
          <w:tcPr>
            <w:tcW w:w="1565" w:type="dxa"/>
            <w:vAlign w:val="top"/>
          </w:tcPr>
          <w:p w14:paraId="0289F524">
            <w:pPr>
              <w:pStyle w:val="60"/>
              <w:spacing w:before="103" w:line="367"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251DCF43">
            <w:pPr>
              <w:pStyle w:val="60"/>
              <w:spacing w:before="103" w:line="367"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5C84AB13">
            <w:pPr>
              <w:pStyle w:val="60"/>
              <w:spacing w:before="103" w:line="367" w:lineRule="auto"/>
              <w:ind w:left="203" w:right="110" w:firstLine="46"/>
              <w:rPr>
                <w:sz w:val="17"/>
                <w:szCs w:val="17"/>
              </w:rPr>
            </w:pPr>
            <w:r>
              <w:rPr>
                <w:spacing w:val="19"/>
                <w:sz w:val="17"/>
                <w:szCs w:val="17"/>
              </w:rPr>
              <w:t>X≥1000</w:t>
            </w:r>
            <w:r>
              <w:rPr>
                <w:spacing w:val="3"/>
                <w:sz w:val="17"/>
                <w:szCs w:val="17"/>
              </w:rPr>
              <w:t xml:space="preserve"> </w:t>
            </w:r>
            <w:r>
              <w:rPr>
                <w:spacing w:val="17"/>
                <w:sz w:val="17"/>
                <w:szCs w:val="17"/>
              </w:rPr>
              <w:t>Y≥40000</w:t>
            </w:r>
          </w:p>
        </w:tc>
        <w:tc>
          <w:tcPr>
            <w:tcW w:w="2003" w:type="dxa"/>
            <w:vAlign w:val="top"/>
          </w:tcPr>
          <w:p w14:paraId="2B5399EF">
            <w:pPr>
              <w:pStyle w:val="60"/>
              <w:spacing w:before="103" w:line="367" w:lineRule="auto"/>
              <w:ind w:left="290" w:right="191" w:firstLine="92"/>
              <w:rPr>
                <w:sz w:val="17"/>
                <w:szCs w:val="17"/>
              </w:rPr>
            </w:pPr>
            <w:r>
              <w:rPr>
                <w:spacing w:val="13"/>
                <w:sz w:val="17"/>
                <w:szCs w:val="17"/>
              </w:rPr>
              <w:t>300≤X＜1000</w:t>
            </w:r>
            <w:r>
              <w:rPr>
                <w:spacing w:val="4"/>
                <w:sz w:val="17"/>
                <w:szCs w:val="17"/>
              </w:rPr>
              <w:t xml:space="preserve">  </w:t>
            </w:r>
            <w:r>
              <w:rPr>
                <w:spacing w:val="12"/>
                <w:sz w:val="17"/>
                <w:szCs w:val="17"/>
              </w:rPr>
              <w:t>2000≤Y＜40000</w:t>
            </w:r>
          </w:p>
        </w:tc>
        <w:tc>
          <w:tcPr>
            <w:tcW w:w="1628" w:type="dxa"/>
            <w:vAlign w:val="top"/>
          </w:tcPr>
          <w:p w14:paraId="759CAE0A">
            <w:pPr>
              <w:pStyle w:val="60"/>
              <w:spacing w:before="103" w:line="367" w:lineRule="auto"/>
              <w:ind w:left="307" w:right="116" w:firstLine="87"/>
              <w:rPr>
                <w:sz w:val="17"/>
                <w:szCs w:val="17"/>
              </w:rPr>
            </w:pPr>
            <w:r>
              <w:rPr>
                <w:spacing w:val="16"/>
                <w:sz w:val="17"/>
                <w:szCs w:val="17"/>
              </w:rPr>
              <w:t>20≤X＜300</w:t>
            </w:r>
            <w:r>
              <w:rPr>
                <w:sz w:val="17"/>
                <w:szCs w:val="17"/>
              </w:rPr>
              <w:t xml:space="preserve">  </w:t>
            </w:r>
            <w:r>
              <w:rPr>
                <w:spacing w:val="13"/>
                <w:sz w:val="17"/>
                <w:szCs w:val="17"/>
              </w:rPr>
              <w:t>300≤Y＜2000</w:t>
            </w:r>
          </w:p>
        </w:tc>
        <w:tc>
          <w:tcPr>
            <w:tcW w:w="1206" w:type="dxa"/>
            <w:vAlign w:val="top"/>
          </w:tcPr>
          <w:p w14:paraId="659F3930">
            <w:pPr>
              <w:pStyle w:val="60"/>
              <w:spacing w:before="103" w:line="367" w:lineRule="auto"/>
              <w:ind w:left="292" w:right="201" w:firstLine="46"/>
              <w:rPr>
                <w:sz w:val="17"/>
                <w:szCs w:val="17"/>
              </w:rPr>
            </w:pPr>
            <w:r>
              <w:rPr>
                <w:spacing w:val="19"/>
                <w:w w:val="108"/>
                <w:sz w:val="17"/>
                <w:szCs w:val="17"/>
              </w:rPr>
              <w:t>X＜20</w:t>
            </w:r>
            <w:r>
              <w:rPr>
                <w:sz w:val="17"/>
                <w:szCs w:val="17"/>
              </w:rPr>
              <w:t xml:space="preserve"> </w:t>
            </w:r>
            <w:r>
              <w:rPr>
                <w:spacing w:val="23"/>
                <w:sz w:val="17"/>
                <w:szCs w:val="17"/>
              </w:rPr>
              <w:t>Y＜300</w:t>
            </w:r>
          </w:p>
        </w:tc>
      </w:tr>
      <w:tr w14:paraId="6638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345" w:type="dxa"/>
            <w:vAlign w:val="top"/>
          </w:tcPr>
          <w:p w14:paraId="62FAC8A2">
            <w:pPr>
              <w:spacing w:line="253" w:lineRule="auto"/>
              <w:rPr>
                <w:rFonts w:ascii="Arial"/>
                <w:sz w:val="21"/>
              </w:rPr>
            </w:pPr>
          </w:p>
          <w:p w14:paraId="5D4BF435">
            <w:pPr>
              <w:pStyle w:val="60"/>
              <w:spacing w:before="56" w:line="235" w:lineRule="auto"/>
              <w:ind w:left="119"/>
              <w:rPr>
                <w:sz w:val="17"/>
                <w:szCs w:val="17"/>
              </w:rPr>
            </w:pPr>
            <w:r>
              <w:rPr>
                <w:spacing w:val="6"/>
                <w:sz w:val="17"/>
                <w:szCs w:val="17"/>
              </w:rPr>
              <w:t>建筑业</w:t>
            </w:r>
          </w:p>
        </w:tc>
        <w:tc>
          <w:tcPr>
            <w:tcW w:w="1565" w:type="dxa"/>
            <w:vAlign w:val="top"/>
          </w:tcPr>
          <w:p w14:paraId="73F2E47B">
            <w:pPr>
              <w:pStyle w:val="60"/>
              <w:spacing w:before="103" w:line="366" w:lineRule="auto"/>
              <w:ind w:left="208" w:right="98" w:hanging="4"/>
              <w:rPr>
                <w:sz w:val="17"/>
                <w:szCs w:val="17"/>
              </w:rPr>
            </w:pP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r>
              <w:rPr>
                <w:spacing w:val="5"/>
                <w:sz w:val="17"/>
                <w:szCs w:val="17"/>
              </w:rPr>
              <w:t xml:space="preserve"> </w:t>
            </w:r>
            <w:r>
              <w:rPr>
                <w:spacing w:val="17"/>
                <w:sz w:val="17"/>
                <w:szCs w:val="17"/>
              </w:rPr>
              <w:t>资产总额</w:t>
            </w:r>
            <w:r>
              <w:rPr>
                <w:rFonts w:hint="eastAsia"/>
                <w:spacing w:val="17"/>
                <w:sz w:val="17"/>
                <w:szCs w:val="17"/>
                <w:lang w:eastAsia="zh-CN"/>
              </w:rPr>
              <w:t>（</w:t>
            </w:r>
            <w:r>
              <w:rPr>
                <w:spacing w:val="17"/>
                <w:sz w:val="17"/>
                <w:szCs w:val="17"/>
              </w:rPr>
              <w:t>Z</w:t>
            </w:r>
            <w:r>
              <w:rPr>
                <w:rFonts w:hint="eastAsia"/>
                <w:spacing w:val="17"/>
                <w:sz w:val="17"/>
                <w:szCs w:val="17"/>
                <w:lang w:eastAsia="zh-CN"/>
              </w:rPr>
              <w:t>）</w:t>
            </w:r>
          </w:p>
        </w:tc>
        <w:tc>
          <w:tcPr>
            <w:tcW w:w="864" w:type="dxa"/>
            <w:vAlign w:val="top"/>
          </w:tcPr>
          <w:p w14:paraId="04632B6A">
            <w:pPr>
              <w:pStyle w:val="60"/>
              <w:spacing w:before="103" w:line="366" w:lineRule="auto"/>
              <w:ind w:left="185" w:right="171"/>
              <w:rPr>
                <w:sz w:val="17"/>
                <w:szCs w:val="17"/>
              </w:rPr>
            </w:pPr>
            <w:r>
              <w:rPr>
                <w:spacing w:val="3"/>
                <w:sz w:val="17"/>
                <w:szCs w:val="17"/>
              </w:rPr>
              <w:t>万元</w:t>
            </w:r>
            <w:r>
              <w:rPr>
                <w:sz w:val="17"/>
                <w:szCs w:val="17"/>
              </w:rPr>
              <w:t xml:space="preserve"> </w:t>
            </w:r>
            <w:r>
              <w:rPr>
                <w:spacing w:val="3"/>
                <w:sz w:val="17"/>
                <w:szCs w:val="17"/>
              </w:rPr>
              <w:t>万元</w:t>
            </w:r>
          </w:p>
        </w:tc>
        <w:tc>
          <w:tcPr>
            <w:tcW w:w="1152" w:type="dxa"/>
            <w:vAlign w:val="top"/>
          </w:tcPr>
          <w:p w14:paraId="53B67FC5">
            <w:pPr>
              <w:pStyle w:val="60"/>
              <w:spacing w:before="103" w:line="366" w:lineRule="auto"/>
              <w:ind w:left="204" w:right="110" w:hanging="1"/>
              <w:rPr>
                <w:sz w:val="17"/>
                <w:szCs w:val="17"/>
              </w:rPr>
            </w:pPr>
            <w:r>
              <w:rPr>
                <w:spacing w:val="17"/>
                <w:sz w:val="17"/>
                <w:szCs w:val="17"/>
              </w:rPr>
              <w:t>Y≥80000</w:t>
            </w:r>
            <w:r>
              <w:rPr>
                <w:spacing w:val="5"/>
                <w:sz w:val="17"/>
                <w:szCs w:val="17"/>
              </w:rPr>
              <w:t xml:space="preserve"> </w:t>
            </w:r>
            <w:r>
              <w:rPr>
                <w:spacing w:val="17"/>
                <w:sz w:val="17"/>
                <w:szCs w:val="17"/>
              </w:rPr>
              <w:t>Z≥80000</w:t>
            </w:r>
          </w:p>
        </w:tc>
        <w:tc>
          <w:tcPr>
            <w:tcW w:w="2003" w:type="dxa"/>
            <w:vAlign w:val="top"/>
          </w:tcPr>
          <w:p w14:paraId="4996B7AD">
            <w:pPr>
              <w:pStyle w:val="60"/>
              <w:spacing w:before="103" w:line="366" w:lineRule="auto"/>
              <w:ind w:left="291" w:right="191" w:hanging="2"/>
              <w:rPr>
                <w:sz w:val="17"/>
                <w:szCs w:val="17"/>
              </w:rPr>
            </w:pPr>
            <w:r>
              <w:rPr>
                <w:spacing w:val="12"/>
                <w:sz w:val="17"/>
                <w:szCs w:val="17"/>
              </w:rPr>
              <w:t>6000≤Y＜80000</w:t>
            </w:r>
            <w:r>
              <w:rPr>
                <w:spacing w:val="6"/>
                <w:sz w:val="17"/>
                <w:szCs w:val="17"/>
              </w:rPr>
              <w:t xml:space="preserve"> </w:t>
            </w:r>
            <w:r>
              <w:rPr>
                <w:spacing w:val="12"/>
                <w:sz w:val="17"/>
                <w:szCs w:val="17"/>
              </w:rPr>
              <w:t>5000≤Z＜80000</w:t>
            </w:r>
          </w:p>
        </w:tc>
        <w:tc>
          <w:tcPr>
            <w:tcW w:w="1628" w:type="dxa"/>
            <w:vAlign w:val="top"/>
          </w:tcPr>
          <w:p w14:paraId="3E02DDC1">
            <w:pPr>
              <w:pStyle w:val="60"/>
              <w:spacing w:before="103" w:line="366" w:lineRule="auto"/>
              <w:ind w:left="307" w:right="116"/>
              <w:rPr>
                <w:sz w:val="17"/>
                <w:szCs w:val="17"/>
              </w:rPr>
            </w:pPr>
            <w:r>
              <w:rPr>
                <w:spacing w:val="13"/>
                <w:sz w:val="17"/>
                <w:szCs w:val="17"/>
              </w:rPr>
              <w:t>300≤Y＜6000</w:t>
            </w:r>
            <w:r>
              <w:rPr>
                <w:spacing w:val="8"/>
                <w:sz w:val="17"/>
                <w:szCs w:val="17"/>
              </w:rPr>
              <w:t xml:space="preserve"> </w:t>
            </w:r>
            <w:r>
              <w:rPr>
                <w:spacing w:val="13"/>
                <w:sz w:val="17"/>
                <w:szCs w:val="17"/>
              </w:rPr>
              <w:t>300≤Z＜5000</w:t>
            </w:r>
          </w:p>
        </w:tc>
        <w:tc>
          <w:tcPr>
            <w:tcW w:w="1206" w:type="dxa"/>
            <w:vAlign w:val="top"/>
          </w:tcPr>
          <w:p w14:paraId="075F902F">
            <w:pPr>
              <w:pStyle w:val="60"/>
              <w:spacing w:before="103" w:line="366" w:lineRule="auto"/>
              <w:ind w:left="293" w:right="201" w:hanging="1"/>
              <w:rPr>
                <w:sz w:val="17"/>
                <w:szCs w:val="17"/>
              </w:rPr>
            </w:pPr>
            <w:r>
              <w:rPr>
                <w:spacing w:val="23"/>
                <w:sz w:val="17"/>
                <w:szCs w:val="17"/>
              </w:rPr>
              <w:t>Y＜300</w:t>
            </w:r>
            <w:r>
              <w:rPr>
                <w:sz w:val="17"/>
                <w:szCs w:val="17"/>
              </w:rPr>
              <w:t xml:space="preserve"> </w:t>
            </w:r>
            <w:r>
              <w:rPr>
                <w:spacing w:val="22"/>
                <w:sz w:val="17"/>
                <w:szCs w:val="17"/>
              </w:rPr>
              <w:t>Z＜300</w:t>
            </w:r>
          </w:p>
        </w:tc>
      </w:tr>
      <w:tr w14:paraId="755C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345" w:type="dxa"/>
            <w:vAlign w:val="top"/>
          </w:tcPr>
          <w:p w14:paraId="7203970D">
            <w:pPr>
              <w:spacing w:line="255" w:lineRule="auto"/>
              <w:rPr>
                <w:rFonts w:ascii="Arial"/>
                <w:sz w:val="21"/>
              </w:rPr>
            </w:pPr>
          </w:p>
          <w:p w14:paraId="5DC01A15">
            <w:pPr>
              <w:pStyle w:val="60"/>
              <w:spacing w:before="55" w:line="234" w:lineRule="auto"/>
              <w:ind w:left="119"/>
              <w:rPr>
                <w:sz w:val="17"/>
                <w:szCs w:val="17"/>
              </w:rPr>
            </w:pPr>
            <w:r>
              <w:rPr>
                <w:spacing w:val="6"/>
                <w:sz w:val="17"/>
                <w:szCs w:val="17"/>
              </w:rPr>
              <w:t>批发业</w:t>
            </w:r>
          </w:p>
        </w:tc>
        <w:tc>
          <w:tcPr>
            <w:tcW w:w="1565" w:type="dxa"/>
            <w:vAlign w:val="top"/>
          </w:tcPr>
          <w:p w14:paraId="23B1F261">
            <w:pPr>
              <w:pStyle w:val="60"/>
              <w:spacing w:before="103" w:line="366"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0FBF4D11">
            <w:pPr>
              <w:pStyle w:val="60"/>
              <w:spacing w:before="103" w:line="366"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424107D8">
            <w:pPr>
              <w:pStyle w:val="60"/>
              <w:spacing w:before="103" w:line="366" w:lineRule="auto"/>
              <w:ind w:left="203" w:right="110" w:firstLine="91"/>
              <w:rPr>
                <w:sz w:val="17"/>
                <w:szCs w:val="17"/>
              </w:rPr>
            </w:pPr>
            <w:r>
              <w:rPr>
                <w:spacing w:val="22"/>
                <w:sz w:val="17"/>
                <w:szCs w:val="17"/>
              </w:rPr>
              <w:t>X≥200</w:t>
            </w:r>
            <w:r>
              <w:rPr>
                <w:sz w:val="17"/>
                <w:szCs w:val="17"/>
              </w:rPr>
              <w:t xml:space="preserve">  </w:t>
            </w:r>
            <w:r>
              <w:rPr>
                <w:spacing w:val="17"/>
                <w:sz w:val="17"/>
                <w:szCs w:val="17"/>
              </w:rPr>
              <w:t>Y≥40000</w:t>
            </w:r>
          </w:p>
        </w:tc>
        <w:tc>
          <w:tcPr>
            <w:tcW w:w="2003" w:type="dxa"/>
            <w:vAlign w:val="top"/>
          </w:tcPr>
          <w:p w14:paraId="6041F37C">
            <w:pPr>
              <w:pStyle w:val="60"/>
              <w:spacing w:before="103" w:line="231" w:lineRule="exact"/>
              <w:ind w:left="470"/>
              <w:rPr>
                <w:sz w:val="17"/>
                <w:szCs w:val="17"/>
              </w:rPr>
            </w:pPr>
            <w:r>
              <w:rPr>
                <w:spacing w:val="16"/>
                <w:position w:val="1"/>
                <w:sz w:val="17"/>
                <w:szCs w:val="17"/>
              </w:rPr>
              <w:t>20≤X＜200</w:t>
            </w:r>
          </w:p>
          <w:p w14:paraId="1C20FFA7">
            <w:pPr>
              <w:pStyle w:val="60"/>
              <w:spacing w:before="166" w:line="232" w:lineRule="exact"/>
              <w:ind w:left="292"/>
              <w:rPr>
                <w:sz w:val="17"/>
                <w:szCs w:val="17"/>
              </w:rPr>
            </w:pPr>
            <w:r>
              <w:rPr>
                <w:spacing w:val="12"/>
                <w:position w:val="1"/>
                <w:sz w:val="17"/>
                <w:szCs w:val="17"/>
              </w:rPr>
              <w:t>5000≤Y＜40000</w:t>
            </w:r>
          </w:p>
        </w:tc>
        <w:tc>
          <w:tcPr>
            <w:tcW w:w="1628" w:type="dxa"/>
            <w:vAlign w:val="top"/>
          </w:tcPr>
          <w:p w14:paraId="29814411">
            <w:pPr>
              <w:pStyle w:val="60"/>
              <w:spacing w:before="103" w:line="231" w:lineRule="exact"/>
              <w:ind w:left="487"/>
              <w:rPr>
                <w:sz w:val="17"/>
                <w:szCs w:val="17"/>
              </w:rPr>
            </w:pPr>
            <w:r>
              <w:rPr>
                <w:spacing w:val="19"/>
                <w:position w:val="1"/>
                <w:sz w:val="17"/>
                <w:szCs w:val="17"/>
              </w:rPr>
              <w:t>5≤X＜20</w:t>
            </w:r>
          </w:p>
          <w:p w14:paraId="494BDF48">
            <w:pPr>
              <w:pStyle w:val="60"/>
              <w:spacing w:before="166" w:line="232" w:lineRule="exact"/>
              <w:ind w:left="225"/>
              <w:rPr>
                <w:sz w:val="17"/>
                <w:szCs w:val="17"/>
              </w:rPr>
            </w:pPr>
            <w:r>
              <w:rPr>
                <w:spacing w:val="12"/>
                <w:position w:val="1"/>
                <w:sz w:val="17"/>
                <w:szCs w:val="17"/>
              </w:rPr>
              <w:t>1000≤Y＜5000</w:t>
            </w:r>
          </w:p>
        </w:tc>
        <w:tc>
          <w:tcPr>
            <w:tcW w:w="1206" w:type="dxa"/>
            <w:vAlign w:val="top"/>
          </w:tcPr>
          <w:p w14:paraId="0F287DB0">
            <w:pPr>
              <w:pStyle w:val="60"/>
              <w:spacing w:before="103" w:line="366" w:lineRule="auto"/>
              <w:ind w:left="248" w:right="156" w:firstLine="134"/>
              <w:rPr>
                <w:sz w:val="17"/>
                <w:szCs w:val="17"/>
              </w:rPr>
            </w:pPr>
            <w:r>
              <w:rPr>
                <w:spacing w:val="21"/>
                <w:w w:val="112"/>
                <w:sz w:val="17"/>
                <w:szCs w:val="17"/>
              </w:rPr>
              <w:t>X＜5</w:t>
            </w:r>
            <w:r>
              <w:rPr>
                <w:sz w:val="17"/>
                <w:szCs w:val="17"/>
              </w:rPr>
              <w:t xml:space="preserve">  </w:t>
            </w:r>
            <w:r>
              <w:rPr>
                <w:spacing w:val="19"/>
                <w:sz w:val="17"/>
                <w:szCs w:val="17"/>
              </w:rPr>
              <w:t>Y＜1000</w:t>
            </w:r>
          </w:p>
        </w:tc>
      </w:tr>
      <w:tr w14:paraId="1D50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2118A8D4">
            <w:pPr>
              <w:spacing w:line="254" w:lineRule="auto"/>
              <w:rPr>
                <w:rFonts w:ascii="Arial"/>
                <w:sz w:val="21"/>
              </w:rPr>
            </w:pPr>
          </w:p>
          <w:p w14:paraId="7E72551E">
            <w:pPr>
              <w:pStyle w:val="60"/>
              <w:spacing w:before="55" w:line="232" w:lineRule="auto"/>
              <w:ind w:left="119"/>
              <w:rPr>
                <w:sz w:val="17"/>
                <w:szCs w:val="17"/>
              </w:rPr>
            </w:pPr>
            <w:r>
              <w:rPr>
                <w:spacing w:val="5"/>
                <w:sz w:val="17"/>
                <w:szCs w:val="17"/>
              </w:rPr>
              <w:t>零售业</w:t>
            </w:r>
          </w:p>
        </w:tc>
        <w:tc>
          <w:tcPr>
            <w:tcW w:w="1565" w:type="dxa"/>
            <w:vAlign w:val="top"/>
          </w:tcPr>
          <w:p w14:paraId="5825F707">
            <w:pPr>
              <w:pStyle w:val="60"/>
              <w:spacing w:before="104" w:line="366"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1EDCA80E">
            <w:pPr>
              <w:pStyle w:val="60"/>
              <w:spacing w:before="104" w:line="366"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15BA13EC">
            <w:pPr>
              <w:pStyle w:val="60"/>
              <w:spacing w:before="104" w:line="366" w:lineRule="auto"/>
              <w:ind w:left="203" w:right="110" w:firstLine="91"/>
              <w:rPr>
                <w:sz w:val="17"/>
                <w:szCs w:val="17"/>
              </w:rPr>
            </w:pPr>
            <w:r>
              <w:rPr>
                <w:spacing w:val="22"/>
                <w:sz w:val="17"/>
                <w:szCs w:val="17"/>
              </w:rPr>
              <w:t>X≥300</w:t>
            </w:r>
            <w:r>
              <w:rPr>
                <w:sz w:val="17"/>
                <w:szCs w:val="17"/>
              </w:rPr>
              <w:t xml:space="preserve">  </w:t>
            </w:r>
            <w:r>
              <w:rPr>
                <w:spacing w:val="17"/>
                <w:sz w:val="17"/>
                <w:szCs w:val="17"/>
              </w:rPr>
              <w:t>Y≥20000</w:t>
            </w:r>
          </w:p>
        </w:tc>
        <w:tc>
          <w:tcPr>
            <w:tcW w:w="2003" w:type="dxa"/>
            <w:vAlign w:val="top"/>
          </w:tcPr>
          <w:p w14:paraId="46B74088">
            <w:pPr>
              <w:pStyle w:val="60"/>
              <w:spacing w:before="104" w:line="232" w:lineRule="exact"/>
              <w:ind w:left="472"/>
              <w:rPr>
                <w:sz w:val="17"/>
                <w:szCs w:val="17"/>
              </w:rPr>
            </w:pPr>
            <w:r>
              <w:rPr>
                <w:spacing w:val="16"/>
                <w:position w:val="1"/>
                <w:sz w:val="17"/>
                <w:szCs w:val="17"/>
              </w:rPr>
              <w:t>50≤X＜300</w:t>
            </w:r>
          </w:p>
          <w:p w14:paraId="09779C83">
            <w:pPr>
              <w:pStyle w:val="60"/>
              <w:spacing w:before="166" w:line="232" w:lineRule="exact"/>
              <w:ind w:left="383"/>
              <w:rPr>
                <w:sz w:val="17"/>
                <w:szCs w:val="17"/>
              </w:rPr>
            </w:pPr>
            <w:r>
              <w:rPr>
                <w:spacing w:val="13"/>
                <w:position w:val="1"/>
                <w:sz w:val="17"/>
                <w:szCs w:val="17"/>
              </w:rPr>
              <w:t>500≤Y＜20000</w:t>
            </w:r>
          </w:p>
        </w:tc>
        <w:tc>
          <w:tcPr>
            <w:tcW w:w="1628" w:type="dxa"/>
            <w:vAlign w:val="top"/>
          </w:tcPr>
          <w:p w14:paraId="3E2DCD60">
            <w:pPr>
              <w:pStyle w:val="60"/>
              <w:spacing w:before="104" w:line="366" w:lineRule="auto"/>
              <w:ind w:left="317" w:right="207" w:firstLine="88"/>
              <w:rPr>
                <w:sz w:val="17"/>
                <w:szCs w:val="17"/>
              </w:rPr>
            </w:pPr>
            <w:r>
              <w:rPr>
                <w:spacing w:val="16"/>
                <w:sz w:val="17"/>
                <w:szCs w:val="17"/>
              </w:rPr>
              <w:t>10≤X＜50</w:t>
            </w:r>
            <w:r>
              <w:rPr>
                <w:spacing w:val="1"/>
                <w:sz w:val="17"/>
                <w:szCs w:val="17"/>
              </w:rPr>
              <w:t xml:space="preserve">  </w:t>
            </w:r>
            <w:r>
              <w:rPr>
                <w:spacing w:val="13"/>
                <w:sz w:val="17"/>
                <w:szCs w:val="17"/>
              </w:rPr>
              <w:t>100≤Y＜500</w:t>
            </w:r>
          </w:p>
        </w:tc>
        <w:tc>
          <w:tcPr>
            <w:tcW w:w="1206" w:type="dxa"/>
            <w:vAlign w:val="top"/>
          </w:tcPr>
          <w:p w14:paraId="7DF24DAC">
            <w:pPr>
              <w:pStyle w:val="60"/>
              <w:spacing w:before="104" w:line="366" w:lineRule="auto"/>
              <w:ind w:left="292" w:right="201" w:firstLine="46"/>
              <w:rPr>
                <w:sz w:val="17"/>
                <w:szCs w:val="17"/>
              </w:rPr>
            </w:pPr>
            <w:r>
              <w:rPr>
                <w:spacing w:val="24"/>
                <w:w w:val="103"/>
                <w:sz w:val="17"/>
                <w:szCs w:val="17"/>
              </w:rPr>
              <w:t>X＜10</w:t>
            </w:r>
            <w:r>
              <w:rPr>
                <w:spacing w:val="1"/>
                <w:sz w:val="17"/>
                <w:szCs w:val="17"/>
              </w:rPr>
              <w:t xml:space="preserve"> </w:t>
            </w:r>
            <w:r>
              <w:rPr>
                <w:spacing w:val="23"/>
                <w:sz w:val="17"/>
                <w:szCs w:val="17"/>
              </w:rPr>
              <w:t>Y＜100</w:t>
            </w:r>
          </w:p>
        </w:tc>
      </w:tr>
      <w:tr w14:paraId="0DEC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345" w:type="dxa"/>
            <w:vAlign w:val="top"/>
          </w:tcPr>
          <w:p w14:paraId="40B4C270">
            <w:pPr>
              <w:spacing w:line="254" w:lineRule="auto"/>
              <w:rPr>
                <w:rFonts w:ascii="Arial"/>
                <w:sz w:val="21"/>
              </w:rPr>
            </w:pPr>
          </w:p>
          <w:p w14:paraId="0566830C">
            <w:pPr>
              <w:pStyle w:val="60"/>
              <w:spacing w:before="55" w:line="235" w:lineRule="auto"/>
              <w:ind w:left="123"/>
              <w:rPr>
                <w:sz w:val="17"/>
                <w:szCs w:val="17"/>
              </w:rPr>
            </w:pPr>
            <w:r>
              <w:rPr>
                <w:spacing w:val="19"/>
                <w:sz w:val="17"/>
                <w:szCs w:val="17"/>
              </w:rPr>
              <w:t xml:space="preserve">交通运输业 </w:t>
            </w:r>
          </w:p>
        </w:tc>
        <w:tc>
          <w:tcPr>
            <w:tcW w:w="1565" w:type="dxa"/>
            <w:vAlign w:val="top"/>
          </w:tcPr>
          <w:p w14:paraId="7BFA7AA5">
            <w:pPr>
              <w:pStyle w:val="60"/>
              <w:spacing w:before="105" w:line="365"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5611DFB3">
            <w:pPr>
              <w:pStyle w:val="60"/>
              <w:spacing w:before="105" w:line="365"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29370055">
            <w:pPr>
              <w:pStyle w:val="60"/>
              <w:spacing w:before="105" w:line="365" w:lineRule="auto"/>
              <w:ind w:left="203" w:right="110" w:firstLine="46"/>
              <w:rPr>
                <w:sz w:val="17"/>
                <w:szCs w:val="17"/>
              </w:rPr>
            </w:pPr>
            <w:r>
              <w:rPr>
                <w:spacing w:val="19"/>
                <w:sz w:val="17"/>
                <w:szCs w:val="17"/>
              </w:rPr>
              <w:t>X≥1000</w:t>
            </w:r>
            <w:r>
              <w:rPr>
                <w:spacing w:val="3"/>
                <w:sz w:val="17"/>
                <w:szCs w:val="17"/>
              </w:rPr>
              <w:t xml:space="preserve"> </w:t>
            </w:r>
            <w:r>
              <w:rPr>
                <w:spacing w:val="17"/>
                <w:sz w:val="17"/>
                <w:szCs w:val="17"/>
              </w:rPr>
              <w:t>Y≥30000</w:t>
            </w:r>
          </w:p>
        </w:tc>
        <w:tc>
          <w:tcPr>
            <w:tcW w:w="2003" w:type="dxa"/>
            <w:vAlign w:val="top"/>
          </w:tcPr>
          <w:p w14:paraId="71298B61">
            <w:pPr>
              <w:pStyle w:val="60"/>
              <w:spacing w:before="105" w:line="365" w:lineRule="auto"/>
              <w:ind w:left="292" w:right="191" w:firstLine="91"/>
              <w:rPr>
                <w:sz w:val="17"/>
                <w:szCs w:val="17"/>
              </w:rPr>
            </w:pPr>
            <w:r>
              <w:rPr>
                <w:spacing w:val="13"/>
                <w:sz w:val="17"/>
                <w:szCs w:val="17"/>
              </w:rPr>
              <w:t>300≤X＜1000</w:t>
            </w:r>
            <w:r>
              <w:rPr>
                <w:spacing w:val="4"/>
                <w:sz w:val="17"/>
                <w:szCs w:val="17"/>
              </w:rPr>
              <w:t xml:space="preserve">  </w:t>
            </w:r>
            <w:r>
              <w:rPr>
                <w:spacing w:val="12"/>
                <w:sz w:val="17"/>
                <w:szCs w:val="17"/>
              </w:rPr>
              <w:t>3000≤Y＜30000</w:t>
            </w:r>
          </w:p>
        </w:tc>
        <w:tc>
          <w:tcPr>
            <w:tcW w:w="1628" w:type="dxa"/>
            <w:vAlign w:val="top"/>
          </w:tcPr>
          <w:p w14:paraId="62463A05">
            <w:pPr>
              <w:pStyle w:val="60"/>
              <w:spacing w:before="105" w:line="365" w:lineRule="auto"/>
              <w:ind w:left="305" w:right="116" w:firstLine="88"/>
              <w:rPr>
                <w:sz w:val="17"/>
                <w:szCs w:val="17"/>
              </w:rPr>
            </w:pPr>
            <w:r>
              <w:rPr>
                <w:spacing w:val="16"/>
                <w:sz w:val="17"/>
                <w:szCs w:val="17"/>
              </w:rPr>
              <w:t>20≤X＜300</w:t>
            </w:r>
            <w:r>
              <w:rPr>
                <w:sz w:val="17"/>
                <w:szCs w:val="17"/>
              </w:rPr>
              <w:t xml:space="preserve">  </w:t>
            </w:r>
            <w:r>
              <w:rPr>
                <w:spacing w:val="14"/>
                <w:sz w:val="17"/>
                <w:szCs w:val="17"/>
              </w:rPr>
              <w:t>200≤Y＜3000</w:t>
            </w:r>
          </w:p>
        </w:tc>
        <w:tc>
          <w:tcPr>
            <w:tcW w:w="1206" w:type="dxa"/>
            <w:vAlign w:val="top"/>
          </w:tcPr>
          <w:p w14:paraId="7AF786C2">
            <w:pPr>
              <w:pStyle w:val="60"/>
              <w:spacing w:before="105" w:line="365" w:lineRule="auto"/>
              <w:ind w:left="292" w:right="201" w:firstLine="46"/>
              <w:rPr>
                <w:sz w:val="17"/>
                <w:szCs w:val="17"/>
              </w:rPr>
            </w:pPr>
            <w:r>
              <w:rPr>
                <w:spacing w:val="19"/>
                <w:w w:val="108"/>
                <w:sz w:val="17"/>
                <w:szCs w:val="17"/>
              </w:rPr>
              <w:t>X＜20</w:t>
            </w:r>
            <w:r>
              <w:rPr>
                <w:sz w:val="17"/>
                <w:szCs w:val="17"/>
              </w:rPr>
              <w:t xml:space="preserve"> </w:t>
            </w:r>
            <w:r>
              <w:rPr>
                <w:spacing w:val="23"/>
                <w:sz w:val="17"/>
                <w:szCs w:val="17"/>
              </w:rPr>
              <w:t>Y＜200</w:t>
            </w:r>
          </w:p>
        </w:tc>
      </w:tr>
      <w:tr w14:paraId="43E2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7A1EE00F">
            <w:pPr>
              <w:spacing w:line="256" w:lineRule="auto"/>
              <w:rPr>
                <w:rFonts w:ascii="Arial"/>
                <w:sz w:val="21"/>
              </w:rPr>
            </w:pPr>
          </w:p>
          <w:p w14:paraId="380B8EC0">
            <w:pPr>
              <w:pStyle w:val="60"/>
              <w:spacing w:before="55" w:line="234" w:lineRule="auto"/>
              <w:ind w:left="122"/>
              <w:rPr>
                <w:sz w:val="17"/>
                <w:szCs w:val="17"/>
              </w:rPr>
            </w:pPr>
            <w:r>
              <w:rPr>
                <w:spacing w:val="27"/>
                <w:sz w:val="17"/>
                <w:szCs w:val="17"/>
              </w:rPr>
              <w:t>仓储业</w:t>
            </w:r>
          </w:p>
        </w:tc>
        <w:tc>
          <w:tcPr>
            <w:tcW w:w="1565" w:type="dxa"/>
            <w:vAlign w:val="top"/>
          </w:tcPr>
          <w:p w14:paraId="17F52329">
            <w:pPr>
              <w:pStyle w:val="60"/>
              <w:spacing w:before="106" w:line="365"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437960C6">
            <w:pPr>
              <w:pStyle w:val="60"/>
              <w:spacing w:before="106" w:line="365"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067D7CBE">
            <w:pPr>
              <w:pStyle w:val="60"/>
              <w:spacing w:before="106" w:line="365" w:lineRule="auto"/>
              <w:ind w:left="203" w:right="110" w:firstLine="91"/>
              <w:rPr>
                <w:sz w:val="17"/>
                <w:szCs w:val="17"/>
              </w:rPr>
            </w:pPr>
            <w:r>
              <w:rPr>
                <w:spacing w:val="22"/>
                <w:sz w:val="17"/>
                <w:szCs w:val="17"/>
              </w:rPr>
              <w:t>X≥200</w:t>
            </w:r>
            <w:r>
              <w:rPr>
                <w:sz w:val="17"/>
                <w:szCs w:val="17"/>
              </w:rPr>
              <w:t xml:space="preserve">  </w:t>
            </w:r>
            <w:r>
              <w:rPr>
                <w:spacing w:val="17"/>
                <w:sz w:val="17"/>
                <w:szCs w:val="17"/>
              </w:rPr>
              <w:t>Y≥30000</w:t>
            </w:r>
          </w:p>
        </w:tc>
        <w:tc>
          <w:tcPr>
            <w:tcW w:w="2003" w:type="dxa"/>
            <w:vAlign w:val="top"/>
          </w:tcPr>
          <w:p w14:paraId="015A2451">
            <w:pPr>
              <w:pStyle w:val="60"/>
              <w:spacing w:before="106" w:line="232" w:lineRule="exact"/>
              <w:ind w:left="383"/>
              <w:rPr>
                <w:sz w:val="17"/>
                <w:szCs w:val="17"/>
              </w:rPr>
            </w:pPr>
            <w:r>
              <w:rPr>
                <w:spacing w:val="13"/>
                <w:position w:val="1"/>
                <w:sz w:val="17"/>
                <w:szCs w:val="17"/>
              </w:rPr>
              <w:t>100≤X＜200</w:t>
            </w:r>
          </w:p>
          <w:p w14:paraId="2FA498D4">
            <w:pPr>
              <w:pStyle w:val="60"/>
              <w:spacing w:before="164" w:line="231" w:lineRule="exact"/>
              <w:ind w:left="301"/>
              <w:rPr>
                <w:sz w:val="17"/>
                <w:szCs w:val="17"/>
              </w:rPr>
            </w:pPr>
            <w:r>
              <w:rPr>
                <w:spacing w:val="11"/>
                <w:position w:val="1"/>
                <w:sz w:val="17"/>
                <w:szCs w:val="17"/>
              </w:rPr>
              <w:t>1000≤Y＜30000</w:t>
            </w:r>
          </w:p>
        </w:tc>
        <w:tc>
          <w:tcPr>
            <w:tcW w:w="1628" w:type="dxa"/>
            <w:vAlign w:val="top"/>
          </w:tcPr>
          <w:p w14:paraId="4DC30393">
            <w:pPr>
              <w:pStyle w:val="60"/>
              <w:spacing w:before="106" w:line="365" w:lineRule="auto"/>
              <w:ind w:left="317" w:right="116" w:firstLine="77"/>
              <w:rPr>
                <w:sz w:val="17"/>
                <w:szCs w:val="17"/>
              </w:rPr>
            </w:pPr>
            <w:r>
              <w:rPr>
                <w:spacing w:val="16"/>
                <w:sz w:val="17"/>
                <w:szCs w:val="17"/>
              </w:rPr>
              <w:t>20≤X＜100</w:t>
            </w:r>
            <w:r>
              <w:rPr>
                <w:sz w:val="17"/>
                <w:szCs w:val="17"/>
              </w:rPr>
              <w:t xml:space="preserve">  </w:t>
            </w:r>
            <w:r>
              <w:rPr>
                <w:spacing w:val="12"/>
                <w:sz w:val="17"/>
                <w:szCs w:val="17"/>
              </w:rPr>
              <w:t>100≤Y＜1000</w:t>
            </w:r>
          </w:p>
        </w:tc>
        <w:tc>
          <w:tcPr>
            <w:tcW w:w="1206" w:type="dxa"/>
            <w:vAlign w:val="top"/>
          </w:tcPr>
          <w:p w14:paraId="0A9D8242">
            <w:pPr>
              <w:pStyle w:val="60"/>
              <w:spacing w:before="106" w:line="365" w:lineRule="auto"/>
              <w:ind w:left="292" w:right="201" w:firstLine="46"/>
              <w:rPr>
                <w:sz w:val="17"/>
                <w:szCs w:val="17"/>
              </w:rPr>
            </w:pPr>
            <w:r>
              <w:rPr>
                <w:spacing w:val="19"/>
                <w:w w:val="108"/>
                <w:sz w:val="17"/>
                <w:szCs w:val="17"/>
              </w:rPr>
              <w:t>X＜20</w:t>
            </w:r>
            <w:r>
              <w:rPr>
                <w:sz w:val="17"/>
                <w:szCs w:val="17"/>
              </w:rPr>
              <w:t xml:space="preserve"> </w:t>
            </w:r>
            <w:r>
              <w:rPr>
                <w:spacing w:val="23"/>
                <w:sz w:val="17"/>
                <w:szCs w:val="17"/>
              </w:rPr>
              <w:t>Y＜100</w:t>
            </w:r>
          </w:p>
        </w:tc>
      </w:tr>
      <w:tr w14:paraId="2235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345" w:type="dxa"/>
            <w:vAlign w:val="top"/>
          </w:tcPr>
          <w:p w14:paraId="5203064F">
            <w:pPr>
              <w:spacing w:line="256" w:lineRule="auto"/>
              <w:rPr>
                <w:rFonts w:ascii="Arial"/>
                <w:sz w:val="21"/>
              </w:rPr>
            </w:pPr>
          </w:p>
          <w:p w14:paraId="401C3BA1">
            <w:pPr>
              <w:pStyle w:val="60"/>
              <w:spacing w:before="55" w:line="233" w:lineRule="auto"/>
              <w:ind w:left="132"/>
              <w:rPr>
                <w:sz w:val="17"/>
                <w:szCs w:val="17"/>
              </w:rPr>
            </w:pPr>
            <w:r>
              <w:rPr>
                <w:spacing w:val="1"/>
                <w:sz w:val="17"/>
                <w:szCs w:val="17"/>
              </w:rPr>
              <w:t>邮政业</w:t>
            </w:r>
          </w:p>
        </w:tc>
        <w:tc>
          <w:tcPr>
            <w:tcW w:w="1565" w:type="dxa"/>
            <w:vAlign w:val="top"/>
          </w:tcPr>
          <w:p w14:paraId="26786E97">
            <w:pPr>
              <w:pStyle w:val="60"/>
              <w:spacing w:before="107" w:line="364"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6D4A681A">
            <w:pPr>
              <w:pStyle w:val="60"/>
              <w:spacing w:before="107" w:line="364"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092D6B8C">
            <w:pPr>
              <w:pStyle w:val="60"/>
              <w:spacing w:before="107" w:line="364" w:lineRule="auto"/>
              <w:ind w:left="203" w:right="110" w:firstLine="46"/>
              <w:rPr>
                <w:sz w:val="17"/>
                <w:szCs w:val="17"/>
              </w:rPr>
            </w:pPr>
            <w:r>
              <w:rPr>
                <w:spacing w:val="19"/>
                <w:sz w:val="17"/>
                <w:szCs w:val="17"/>
              </w:rPr>
              <w:t>X≥1000</w:t>
            </w:r>
            <w:r>
              <w:rPr>
                <w:spacing w:val="3"/>
                <w:sz w:val="17"/>
                <w:szCs w:val="17"/>
              </w:rPr>
              <w:t xml:space="preserve"> </w:t>
            </w:r>
            <w:r>
              <w:rPr>
                <w:spacing w:val="17"/>
                <w:sz w:val="17"/>
                <w:szCs w:val="17"/>
              </w:rPr>
              <w:t>Y≥30000</w:t>
            </w:r>
          </w:p>
        </w:tc>
        <w:tc>
          <w:tcPr>
            <w:tcW w:w="2003" w:type="dxa"/>
            <w:vAlign w:val="top"/>
          </w:tcPr>
          <w:p w14:paraId="41E932CA">
            <w:pPr>
              <w:pStyle w:val="60"/>
              <w:spacing w:before="107" w:line="364" w:lineRule="auto"/>
              <w:ind w:left="290" w:right="191" w:firstLine="92"/>
              <w:rPr>
                <w:sz w:val="17"/>
                <w:szCs w:val="17"/>
              </w:rPr>
            </w:pPr>
            <w:r>
              <w:rPr>
                <w:spacing w:val="13"/>
                <w:sz w:val="17"/>
                <w:szCs w:val="17"/>
              </w:rPr>
              <w:t>300≤X＜1000</w:t>
            </w:r>
            <w:r>
              <w:rPr>
                <w:spacing w:val="4"/>
                <w:sz w:val="17"/>
                <w:szCs w:val="17"/>
              </w:rPr>
              <w:t xml:space="preserve">  </w:t>
            </w:r>
            <w:r>
              <w:rPr>
                <w:spacing w:val="12"/>
                <w:sz w:val="17"/>
                <w:szCs w:val="17"/>
              </w:rPr>
              <w:t>2000≤Y＜30000</w:t>
            </w:r>
          </w:p>
        </w:tc>
        <w:tc>
          <w:tcPr>
            <w:tcW w:w="1628" w:type="dxa"/>
            <w:vAlign w:val="top"/>
          </w:tcPr>
          <w:p w14:paraId="4047463D">
            <w:pPr>
              <w:pStyle w:val="60"/>
              <w:spacing w:before="107" w:line="364" w:lineRule="auto"/>
              <w:ind w:left="317" w:right="116" w:firstLine="77"/>
              <w:rPr>
                <w:sz w:val="17"/>
                <w:szCs w:val="17"/>
              </w:rPr>
            </w:pPr>
            <w:r>
              <w:rPr>
                <w:spacing w:val="16"/>
                <w:sz w:val="17"/>
                <w:szCs w:val="17"/>
              </w:rPr>
              <w:t>20≤X＜300</w:t>
            </w:r>
            <w:r>
              <w:rPr>
                <w:sz w:val="17"/>
                <w:szCs w:val="17"/>
              </w:rPr>
              <w:t xml:space="preserve">  </w:t>
            </w:r>
            <w:r>
              <w:rPr>
                <w:spacing w:val="12"/>
                <w:sz w:val="17"/>
                <w:szCs w:val="17"/>
              </w:rPr>
              <w:t>100≤Y＜2000</w:t>
            </w:r>
          </w:p>
        </w:tc>
        <w:tc>
          <w:tcPr>
            <w:tcW w:w="1206" w:type="dxa"/>
            <w:vAlign w:val="top"/>
          </w:tcPr>
          <w:p w14:paraId="76928584">
            <w:pPr>
              <w:pStyle w:val="60"/>
              <w:spacing w:before="107" w:line="364" w:lineRule="auto"/>
              <w:ind w:left="292" w:right="201" w:firstLine="46"/>
              <w:rPr>
                <w:sz w:val="17"/>
                <w:szCs w:val="17"/>
              </w:rPr>
            </w:pPr>
            <w:r>
              <w:rPr>
                <w:spacing w:val="19"/>
                <w:w w:val="108"/>
                <w:sz w:val="17"/>
                <w:szCs w:val="17"/>
              </w:rPr>
              <w:t>X＜20</w:t>
            </w:r>
            <w:r>
              <w:rPr>
                <w:sz w:val="17"/>
                <w:szCs w:val="17"/>
              </w:rPr>
              <w:t xml:space="preserve"> </w:t>
            </w:r>
            <w:r>
              <w:rPr>
                <w:spacing w:val="23"/>
                <w:sz w:val="17"/>
                <w:szCs w:val="17"/>
              </w:rPr>
              <w:t>Y＜100</w:t>
            </w:r>
          </w:p>
        </w:tc>
      </w:tr>
      <w:tr w14:paraId="0973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5B488781">
            <w:pPr>
              <w:spacing w:line="257" w:lineRule="auto"/>
              <w:rPr>
                <w:rFonts w:ascii="Arial"/>
                <w:sz w:val="21"/>
              </w:rPr>
            </w:pPr>
          </w:p>
          <w:p w14:paraId="7D72BC9D">
            <w:pPr>
              <w:pStyle w:val="60"/>
              <w:spacing w:before="55" w:line="233" w:lineRule="auto"/>
              <w:ind w:left="119"/>
              <w:rPr>
                <w:sz w:val="17"/>
                <w:szCs w:val="17"/>
              </w:rPr>
            </w:pPr>
            <w:r>
              <w:rPr>
                <w:spacing w:val="6"/>
                <w:sz w:val="17"/>
                <w:szCs w:val="17"/>
              </w:rPr>
              <w:t>住宿业</w:t>
            </w:r>
          </w:p>
        </w:tc>
        <w:tc>
          <w:tcPr>
            <w:tcW w:w="1565" w:type="dxa"/>
            <w:vAlign w:val="top"/>
          </w:tcPr>
          <w:p w14:paraId="3FF8B9AC">
            <w:pPr>
              <w:pStyle w:val="60"/>
              <w:spacing w:before="108" w:line="364"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69E763CD">
            <w:pPr>
              <w:pStyle w:val="60"/>
              <w:spacing w:before="108" w:line="364"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4D8E366B">
            <w:pPr>
              <w:pStyle w:val="60"/>
              <w:spacing w:before="108" w:line="364" w:lineRule="auto"/>
              <w:ind w:left="203" w:right="110" w:firstLine="91"/>
              <w:rPr>
                <w:sz w:val="17"/>
                <w:szCs w:val="17"/>
              </w:rPr>
            </w:pPr>
            <w:r>
              <w:rPr>
                <w:spacing w:val="22"/>
                <w:sz w:val="17"/>
                <w:szCs w:val="17"/>
              </w:rPr>
              <w:t>X≥300</w:t>
            </w:r>
            <w:r>
              <w:rPr>
                <w:sz w:val="17"/>
                <w:szCs w:val="17"/>
              </w:rPr>
              <w:t xml:space="preserve">  </w:t>
            </w:r>
            <w:r>
              <w:rPr>
                <w:spacing w:val="17"/>
                <w:sz w:val="17"/>
                <w:szCs w:val="17"/>
              </w:rPr>
              <w:t>Y≥10000</w:t>
            </w:r>
          </w:p>
        </w:tc>
        <w:tc>
          <w:tcPr>
            <w:tcW w:w="2003" w:type="dxa"/>
            <w:vAlign w:val="top"/>
          </w:tcPr>
          <w:p w14:paraId="5B6F9E08">
            <w:pPr>
              <w:pStyle w:val="60"/>
              <w:spacing w:before="108" w:line="231" w:lineRule="exact"/>
              <w:ind w:left="383"/>
              <w:rPr>
                <w:sz w:val="17"/>
                <w:szCs w:val="17"/>
              </w:rPr>
            </w:pPr>
            <w:r>
              <w:rPr>
                <w:spacing w:val="13"/>
                <w:position w:val="1"/>
                <w:sz w:val="17"/>
                <w:szCs w:val="17"/>
              </w:rPr>
              <w:t>100≤X＜300</w:t>
            </w:r>
          </w:p>
          <w:p w14:paraId="15A32D7C">
            <w:pPr>
              <w:pStyle w:val="60"/>
              <w:spacing w:before="164" w:line="231" w:lineRule="exact"/>
              <w:ind w:left="290"/>
              <w:rPr>
                <w:sz w:val="17"/>
                <w:szCs w:val="17"/>
              </w:rPr>
            </w:pPr>
            <w:r>
              <w:rPr>
                <w:spacing w:val="12"/>
                <w:position w:val="1"/>
                <w:sz w:val="17"/>
                <w:szCs w:val="17"/>
              </w:rPr>
              <w:t>2000≤Y＜10000</w:t>
            </w:r>
          </w:p>
        </w:tc>
        <w:tc>
          <w:tcPr>
            <w:tcW w:w="1628" w:type="dxa"/>
            <w:vAlign w:val="top"/>
          </w:tcPr>
          <w:p w14:paraId="3AF56562">
            <w:pPr>
              <w:pStyle w:val="60"/>
              <w:spacing w:before="108" w:line="364" w:lineRule="auto"/>
              <w:ind w:left="317" w:right="116" w:firstLine="88"/>
              <w:rPr>
                <w:sz w:val="17"/>
                <w:szCs w:val="17"/>
              </w:rPr>
            </w:pPr>
            <w:r>
              <w:rPr>
                <w:spacing w:val="14"/>
                <w:sz w:val="17"/>
                <w:szCs w:val="17"/>
              </w:rPr>
              <w:t>10≤X＜100</w:t>
            </w:r>
            <w:r>
              <w:rPr>
                <w:spacing w:val="3"/>
                <w:sz w:val="17"/>
                <w:szCs w:val="17"/>
              </w:rPr>
              <w:t xml:space="preserve">  </w:t>
            </w:r>
            <w:r>
              <w:rPr>
                <w:spacing w:val="12"/>
                <w:sz w:val="17"/>
                <w:szCs w:val="17"/>
              </w:rPr>
              <w:t>100≤Y＜2000</w:t>
            </w:r>
          </w:p>
        </w:tc>
        <w:tc>
          <w:tcPr>
            <w:tcW w:w="1206" w:type="dxa"/>
            <w:vAlign w:val="top"/>
          </w:tcPr>
          <w:p w14:paraId="5F3F03EE">
            <w:pPr>
              <w:pStyle w:val="60"/>
              <w:spacing w:before="108" w:line="364" w:lineRule="auto"/>
              <w:ind w:left="292" w:right="201" w:firstLine="46"/>
              <w:rPr>
                <w:sz w:val="17"/>
                <w:szCs w:val="17"/>
              </w:rPr>
            </w:pPr>
            <w:r>
              <w:rPr>
                <w:spacing w:val="24"/>
                <w:w w:val="103"/>
                <w:sz w:val="17"/>
                <w:szCs w:val="17"/>
              </w:rPr>
              <w:t>X＜10</w:t>
            </w:r>
            <w:r>
              <w:rPr>
                <w:spacing w:val="1"/>
                <w:sz w:val="17"/>
                <w:szCs w:val="17"/>
              </w:rPr>
              <w:t xml:space="preserve"> </w:t>
            </w:r>
            <w:r>
              <w:rPr>
                <w:spacing w:val="23"/>
                <w:sz w:val="17"/>
                <w:szCs w:val="17"/>
              </w:rPr>
              <w:t>Y＜100</w:t>
            </w:r>
          </w:p>
        </w:tc>
      </w:tr>
      <w:tr w14:paraId="3B0F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2CE637B8">
            <w:pPr>
              <w:spacing w:line="258" w:lineRule="auto"/>
              <w:rPr>
                <w:rFonts w:ascii="Arial"/>
                <w:sz w:val="21"/>
              </w:rPr>
            </w:pPr>
          </w:p>
          <w:p w14:paraId="36A28FBC">
            <w:pPr>
              <w:pStyle w:val="60"/>
              <w:spacing w:before="55" w:line="234" w:lineRule="auto"/>
              <w:ind w:left="122"/>
              <w:rPr>
                <w:sz w:val="17"/>
                <w:szCs w:val="17"/>
              </w:rPr>
            </w:pPr>
            <w:r>
              <w:rPr>
                <w:spacing w:val="5"/>
                <w:sz w:val="17"/>
                <w:szCs w:val="17"/>
              </w:rPr>
              <w:t>餐饮业</w:t>
            </w:r>
          </w:p>
        </w:tc>
        <w:tc>
          <w:tcPr>
            <w:tcW w:w="1565" w:type="dxa"/>
            <w:vAlign w:val="top"/>
          </w:tcPr>
          <w:p w14:paraId="1FD8D030">
            <w:pPr>
              <w:pStyle w:val="60"/>
              <w:spacing w:before="106" w:line="365"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53557529">
            <w:pPr>
              <w:pStyle w:val="60"/>
              <w:spacing w:before="106" w:line="365"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7F98B5D7">
            <w:pPr>
              <w:pStyle w:val="60"/>
              <w:spacing w:before="106" w:line="365" w:lineRule="auto"/>
              <w:ind w:left="203" w:right="110" w:firstLine="91"/>
              <w:rPr>
                <w:sz w:val="17"/>
                <w:szCs w:val="17"/>
              </w:rPr>
            </w:pPr>
            <w:r>
              <w:rPr>
                <w:spacing w:val="22"/>
                <w:sz w:val="17"/>
                <w:szCs w:val="17"/>
              </w:rPr>
              <w:t>X≥300</w:t>
            </w:r>
            <w:r>
              <w:rPr>
                <w:sz w:val="17"/>
                <w:szCs w:val="17"/>
              </w:rPr>
              <w:t xml:space="preserve">  </w:t>
            </w:r>
            <w:r>
              <w:rPr>
                <w:spacing w:val="17"/>
                <w:sz w:val="17"/>
                <w:szCs w:val="17"/>
              </w:rPr>
              <w:t>Y≥10000</w:t>
            </w:r>
          </w:p>
        </w:tc>
        <w:tc>
          <w:tcPr>
            <w:tcW w:w="2003" w:type="dxa"/>
            <w:vAlign w:val="top"/>
          </w:tcPr>
          <w:p w14:paraId="3FCB30CC">
            <w:pPr>
              <w:pStyle w:val="60"/>
              <w:spacing w:before="106" w:line="231" w:lineRule="exact"/>
              <w:ind w:left="383"/>
              <w:rPr>
                <w:sz w:val="17"/>
                <w:szCs w:val="17"/>
              </w:rPr>
            </w:pPr>
            <w:r>
              <w:rPr>
                <w:spacing w:val="13"/>
                <w:position w:val="1"/>
                <w:sz w:val="17"/>
                <w:szCs w:val="17"/>
              </w:rPr>
              <w:t>100≤X＜300</w:t>
            </w:r>
          </w:p>
          <w:p w14:paraId="1B65B4BB">
            <w:pPr>
              <w:pStyle w:val="60"/>
              <w:spacing w:before="166" w:line="232" w:lineRule="exact"/>
              <w:ind w:left="290"/>
              <w:rPr>
                <w:sz w:val="17"/>
                <w:szCs w:val="17"/>
              </w:rPr>
            </w:pPr>
            <w:r>
              <w:rPr>
                <w:spacing w:val="12"/>
                <w:position w:val="1"/>
                <w:sz w:val="17"/>
                <w:szCs w:val="17"/>
              </w:rPr>
              <w:t>2000≤Y＜10000</w:t>
            </w:r>
          </w:p>
        </w:tc>
        <w:tc>
          <w:tcPr>
            <w:tcW w:w="1628" w:type="dxa"/>
            <w:vAlign w:val="top"/>
          </w:tcPr>
          <w:p w14:paraId="4A9D3670">
            <w:pPr>
              <w:pStyle w:val="60"/>
              <w:spacing w:before="106" w:line="365" w:lineRule="auto"/>
              <w:ind w:left="317" w:right="116" w:firstLine="88"/>
              <w:rPr>
                <w:sz w:val="17"/>
                <w:szCs w:val="17"/>
              </w:rPr>
            </w:pPr>
            <w:r>
              <w:rPr>
                <w:spacing w:val="14"/>
                <w:sz w:val="17"/>
                <w:szCs w:val="17"/>
              </w:rPr>
              <w:t>10≤X＜100</w:t>
            </w:r>
            <w:r>
              <w:rPr>
                <w:spacing w:val="3"/>
                <w:sz w:val="17"/>
                <w:szCs w:val="17"/>
              </w:rPr>
              <w:t xml:space="preserve">  </w:t>
            </w:r>
            <w:r>
              <w:rPr>
                <w:spacing w:val="12"/>
                <w:sz w:val="17"/>
                <w:szCs w:val="17"/>
              </w:rPr>
              <w:t>100≤Y＜2000</w:t>
            </w:r>
          </w:p>
        </w:tc>
        <w:tc>
          <w:tcPr>
            <w:tcW w:w="1206" w:type="dxa"/>
            <w:vAlign w:val="top"/>
          </w:tcPr>
          <w:p w14:paraId="149C4EBE">
            <w:pPr>
              <w:pStyle w:val="60"/>
              <w:spacing w:before="106" w:line="365" w:lineRule="auto"/>
              <w:ind w:left="292" w:right="201" w:firstLine="46"/>
              <w:rPr>
                <w:sz w:val="17"/>
                <w:szCs w:val="17"/>
              </w:rPr>
            </w:pPr>
            <w:r>
              <w:rPr>
                <w:spacing w:val="24"/>
                <w:w w:val="103"/>
                <w:sz w:val="17"/>
                <w:szCs w:val="17"/>
              </w:rPr>
              <w:t>X＜10</w:t>
            </w:r>
            <w:r>
              <w:rPr>
                <w:spacing w:val="1"/>
                <w:sz w:val="17"/>
                <w:szCs w:val="17"/>
              </w:rPr>
              <w:t xml:space="preserve"> </w:t>
            </w:r>
            <w:r>
              <w:rPr>
                <w:spacing w:val="23"/>
                <w:sz w:val="17"/>
                <w:szCs w:val="17"/>
              </w:rPr>
              <w:t>Y＜100</w:t>
            </w:r>
          </w:p>
        </w:tc>
      </w:tr>
      <w:tr w14:paraId="2FAD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345" w:type="dxa"/>
            <w:vAlign w:val="top"/>
          </w:tcPr>
          <w:p w14:paraId="1EACE222">
            <w:pPr>
              <w:spacing w:line="255" w:lineRule="auto"/>
              <w:rPr>
                <w:rFonts w:ascii="Arial"/>
                <w:sz w:val="21"/>
              </w:rPr>
            </w:pPr>
          </w:p>
          <w:p w14:paraId="75E04C4C">
            <w:pPr>
              <w:pStyle w:val="60"/>
              <w:spacing w:before="56" w:line="233" w:lineRule="auto"/>
              <w:ind w:left="119"/>
              <w:rPr>
                <w:sz w:val="17"/>
                <w:szCs w:val="17"/>
              </w:rPr>
            </w:pPr>
            <w:r>
              <w:rPr>
                <w:spacing w:val="19"/>
                <w:sz w:val="17"/>
                <w:szCs w:val="17"/>
              </w:rPr>
              <w:t xml:space="preserve">信息传输业 </w:t>
            </w:r>
          </w:p>
        </w:tc>
        <w:tc>
          <w:tcPr>
            <w:tcW w:w="1565" w:type="dxa"/>
            <w:vAlign w:val="top"/>
          </w:tcPr>
          <w:p w14:paraId="40CA29A8">
            <w:pPr>
              <w:pStyle w:val="60"/>
              <w:spacing w:before="106" w:line="365"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25CC1213">
            <w:pPr>
              <w:pStyle w:val="60"/>
              <w:spacing w:before="106" w:line="365"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0AE05085">
            <w:pPr>
              <w:pStyle w:val="60"/>
              <w:spacing w:before="106" w:line="365" w:lineRule="auto"/>
              <w:ind w:left="158" w:right="65" w:firstLine="91"/>
              <w:rPr>
                <w:sz w:val="17"/>
                <w:szCs w:val="17"/>
              </w:rPr>
            </w:pPr>
            <w:r>
              <w:rPr>
                <w:spacing w:val="19"/>
                <w:sz w:val="17"/>
                <w:szCs w:val="17"/>
              </w:rPr>
              <w:t>X≥2000</w:t>
            </w:r>
            <w:r>
              <w:rPr>
                <w:spacing w:val="1"/>
                <w:sz w:val="17"/>
                <w:szCs w:val="17"/>
              </w:rPr>
              <w:t xml:space="preserve">  </w:t>
            </w:r>
            <w:r>
              <w:rPr>
                <w:spacing w:val="16"/>
                <w:sz w:val="17"/>
                <w:szCs w:val="17"/>
              </w:rPr>
              <w:t>Y≥100000</w:t>
            </w:r>
          </w:p>
        </w:tc>
        <w:tc>
          <w:tcPr>
            <w:tcW w:w="2003" w:type="dxa"/>
            <w:vAlign w:val="top"/>
          </w:tcPr>
          <w:p w14:paraId="47C6C41A">
            <w:pPr>
              <w:pStyle w:val="60"/>
              <w:spacing w:before="106" w:line="232" w:lineRule="exact"/>
              <w:ind w:left="393"/>
              <w:rPr>
                <w:sz w:val="17"/>
                <w:szCs w:val="17"/>
              </w:rPr>
            </w:pPr>
            <w:r>
              <w:rPr>
                <w:spacing w:val="12"/>
                <w:position w:val="1"/>
                <w:sz w:val="17"/>
                <w:szCs w:val="17"/>
              </w:rPr>
              <w:t>100≤X＜2000</w:t>
            </w:r>
          </w:p>
          <w:p w14:paraId="3E242280">
            <w:pPr>
              <w:pStyle w:val="60"/>
              <w:spacing w:before="166" w:line="232" w:lineRule="exact"/>
              <w:ind w:left="301"/>
              <w:rPr>
                <w:sz w:val="17"/>
                <w:szCs w:val="17"/>
              </w:rPr>
            </w:pPr>
            <w:r>
              <w:rPr>
                <w:spacing w:val="11"/>
                <w:position w:val="1"/>
                <w:sz w:val="17"/>
                <w:szCs w:val="17"/>
              </w:rPr>
              <w:t>1000≤Y＜100000</w:t>
            </w:r>
          </w:p>
        </w:tc>
        <w:tc>
          <w:tcPr>
            <w:tcW w:w="1628" w:type="dxa"/>
            <w:vAlign w:val="top"/>
          </w:tcPr>
          <w:p w14:paraId="7E6B7416">
            <w:pPr>
              <w:pStyle w:val="60"/>
              <w:spacing w:before="106" w:line="365" w:lineRule="auto"/>
              <w:ind w:left="317" w:right="116" w:firstLine="88"/>
              <w:rPr>
                <w:sz w:val="17"/>
                <w:szCs w:val="17"/>
              </w:rPr>
            </w:pPr>
            <w:r>
              <w:rPr>
                <w:spacing w:val="14"/>
                <w:sz w:val="17"/>
                <w:szCs w:val="17"/>
              </w:rPr>
              <w:t>10≤X＜100</w:t>
            </w:r>
            <w:r>
              <w:rPr>
                <w:spacing w:val="3"/>
                <w:sz w:val="17"/>
                <w:szCs w:val="17"/>
              </w:rPr>
              <w:t xml:space="preserve">  </w:t>
            </w:r>
            <w:r>
              <w:rPr>
                <w:spacing w:val="12"/>
                <w:sz w:val="17"/>
                <w:szCs w:val="17"/>
              </w:rPr>
              <w:t>100≤Y＜1000</w:t>
            </w:r>
          </w:p>
        </w:tc>
        <w:tc>
          <w:tcPr>
            <w:tcW w:w="1206" w:type="dxa"/>
            <w:vAlign w:val="top"/>
          </w:tcPr>
          <w:p w14:paraId="2498BF36">
            <w:pPr>
              <w:pStyle w:val="60"/>
              <w:spacing w:before="106" w:line="365" w:lineRule="auto"/>
              <w:ind w:left="292" w:right="201" w:firstLine="46"/>
              <w:rPr>
                <w:sz w:val="17"/>
                <w:szCs w:val="17"/>
              </w:rPr>
            </w:pPr>
            <w:r>
              <w:rPr>
                <w:spacing w:val="24"/>
                <w:w w:val="103"/>
                <w:sz w:val="17"/>
                <w:szCs w:val="17"/>
              </w:rPr>
              <w:t>X＜10</w:t>
            </w:r>
            <w:r>
              <w:rPr>
                <w:spacing w:val="1"/>
                <w:sz w:val="17"/>
                <w:szCs w:val="17"/>
              </w:rPr>
              <w:t xml:space="preserve"> </w:t>
            </w:r>
            <w:r>
              <w:rPr>
                <w:spacing w:val="23"/>
                <w:sz w:val="17"/>
                <w:szCs w:val="17"/>
              </w:rPr>
              <w:t>Y＜100</w:t>
            </w:r>
          </w:p>
        </w:tc>
      </w:tr>
      <w:tr w14:paraId="60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1345" w:type="dxa"/>
            <w:vAlign w:val="top"/>
          </w:tcPr>
          <w:p w14:paraId="5997278B">
            <w:pPr>
              <w:pStyle w:val="60"/>
              <w:spacing w:before="257" w:line="233" w:lineRule="auto"/>
              <w:ind w:left="119"/>
              <w:rPr>
                <w:sz w:val="17"/>
                <w:szCs w:val="17"/>
              </w:rPr>
            </w:pPr>
            <w:r>
              <w:rPr>
                <w:spacing w:val="-11"/>
                <w:sz w:val="17"/>
                <w:szCs w:val="17"/>
              </w:rPr>
              <w:t>软件和信息技术服务业</w:t>
            </w:r>
          </w:p>
        </w:tc>
        <w:tc>
          <w:tcPr>
            <w:tcW w:w="1565" w:type="dxa"/>
            <w:vAlign w:val="top"/>
          </w:tcPr>
          <w:p w14:paraId="14BC0961">
            <w:pPr>
              <w:pStyle w:val="60"/>
              <w:spacing w:before="77" w:line="319"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5D44A870">
            <w:pPr>
              <w:pStyle w:val="60"/>
              <w:spacing w:before="77" w:line="319"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6D6DA81B">
            <w:pPr>
              <w:pStyle w:val="60"/>
              <w:spacing w:before="77" w:line="319" w:lineRule="auto"/>
              <w:ind w:left="203" w:right="110" w:firstLine="91"/>
              <w:rPr>
                <w:sz w:val="17"/>
                <w:szCs w:val="17"/>
              </w:rPr>
            </w:pPr>
            <w:r>
              <w:rPr>
                <w:spacing w:val="22"/>
                <w:sz w:val="17"/>
                <w:szCs w:val="17"/>
              </w:rPr>
              <w:t>X≥300</w:t>
            </w:r>
            <w:r>
              <w:rPr>
                <w:sz w:val="17"/>
                <w:szCs w:val="17"/>
              </w:rPr>
              <w:t xml:space="preserve">  </w:t>
            </w:r>
            <w:r>
              <w:rPr>
                <w:spacing w:val="17"/>
                <w:sz w:val="17"/>
                <w:szCs w:val="17"/>
              </w:rPr>
              <w:t>Y≥10000</w:t>
            </w:r>
          </w:p>
        </w:tc>
        <w:tc>
          <w:tcPr>
            <w:tcW w:w="2003" w:type="dxa"/>
            <w:vAlign w:val="top"/>
          </w:tcPr>
          <w:p w14:paraId="26E8CC80">
            <w:pPr>
              <w:pStyle w:val="60"/>
              <w:spacing w:before="78" w:line="231" w:lineRule="exact"/>
              <w:ind w:left="383"/>
              <w:rPr>
                <w:sz w:val="17"/>
                <w:szCs w:val="17"/>
              </w:rPr>
            </w:pPr>
            <w:r>
              <w:rPr>
                <w:spacing w:val="13"/>
                <w:position w:val="1"/>
                <w:sz w:val="17"/>
                <w:szCs w:val="17"/>
              </w:rPr>
              <w:t>100≤X＜300</w:t>
            </w:r>
          </w:p>
          <w:p w14:paraId="12E1EBAF">
            <w:pPr>
              <w:pStyle w:val="60"/>
              <w:spacing w:before="109" w:line="231" w:lineRule="exact"/>
              <w:ind w:left="301"/>
              <w:rPr>
                <w:sz w:val="17"/>
                <w:szCs w:val="17"/>
              </w:rPr>
            </w:pPr>
            <w:r>
              <w:rPr>
                <w:spacing w:val="11"/>
                <w:position w:val="1"/>
                <w:sz w:val="17"/>
                <w:szCs w:val="17"/>
              </w:rPr>
              <w:t>1000≤Y＜10000</w:t>
            </w:r>
          </w:p>
        </w:tc>
        <w:tc>
          <w:tcPr>
            <w:tcW w:w="1628" w:type="dxa"/>
            <w:vAlign w:val="top"/>
          </w:tcPr>
          <w:p w14:paraId="4568128E">
            <w:pPr>
              <w:pStyle w:val="60"/>
              <w:spacing w:before="77" w:line="319" w:lineRule="auto"/>
              <w:ind w:left="396" w:right="116" w:firstLine="9"/>
              <w:rPr>
                <w:sz w:val="17"/>
                <w:szCs w:val="17"/>
              </w:rPr>
            </w:pPr>
            <w:r>
              <w:rPr>
                <w:spacing w:val="14"/>
                <w:sz w:val="17"/>
                <w:szCs w:val="17"/>
              </w:rPr>
              <w:t>10≤X＜100</w:t>
            </w:r>
            <w:r>
              <w:rPr>
                <w:spacing w:val="3"/>
                <w:sz w:val="17"/>
                <w:szCs w:val="17"/>
              </w:rPr>
              <w:t xml:space="preserve">  </w:t>
            </w:r>
            <w:r>
              <w:rPr>
                <w:spacing w:val="15"/>
                <w:sz w:val="17"/>
                <w:szCs w:val="17"/>
              </w:rPr>
              <w:t>50≤Y＜1000</w:t>
            </w:r>
          </w:p>
        </w:tc>
        <w:tc>
          <w:tcPr>
            <w:tcW w:w="1206" w:type="dxa"/>
            <w:vAlign w:val="top"/>
          </w:tcPr>
          <w:p w14:paraId="5813142A">
            <w:pPr>
              <w:pStyle w:val="60"/>
              <w:spacing w:before="77" w:line="319" w:lineRule="auto"/>
              <w:ind w:left="337" w:right="245"/>
              <w:rPr>
                <w:sz w:val="17"/>
                <w:szCs w:val="17"/>
              </w:rPr>
            </w:pPr>
            <w:r>
              <w:rPr>
                <w:spacing w:val="24"/>
                <w:w w:val="103"/>
                <w:sz w:val="17"/>
                <w:szCs w:val="17"/>
              </w:rPr>
              <w:t>X＜10</w:t>
            </w:r>
            <w:r>
              <w:rPr>
                <w:spacing w:val="1"/>
                <w:sz w:val="17"/>
                <w:szCs w:val="17"/>
              </w:rPr>
              <w:t xml:space="preserve"> </w:t>
            </w:r>
            <w:r>
              <w:rPr>
                <w:spacing w:val="19"/>
                <w:w w:val="108"/>
                <w:sz w:val="17"/>
                <w:szCs w:val="17"/>
              </w:rPr>
              <w:t>Y＜50</w:t>
            </w:r>
          </w:p>
        </w:tc>
      </w:tr>
      <w:tr w14:paraId="1782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1345" w:type="dxa"/>
            <w:vAlign w:val="top"/>
          </w:tcPr>
          <w:p w14:paraId="144D4B38">
            <w:pPr>
              <w:pStyle w:val="60"/>
              <w:spacing w:before="257" w:line="233" w:lineRule="auto"/>
              <w:ind w:left="122"/>
              <w:rPr>
                <w:sz w:val="17"/>
                <w:szCs w:val="17"/>
              </w:rPr>
            </w:pPr>
            <w:r>
              <w:rPr>
                <w:spacing w:val="7"/>
                <w:sz w:val="17"/>
                <w:szCs w:val="17"/>
              </w:rPr>
              <w:t>房地产开发经营</w:t>
            </w:r>
          </w:p>
        </w:tc>
        <w:tc>
          <w:tcPr>
            <w:tcW w:w="1565" w:type="dxa"/>
            <w:vAlign w:val="top"/>
          </w:tcPr>
          <w:p w14:paraId="1A3E4727">
            <w:pPr>
              <w:pStyle w:val="60"/>
              <w:spacing w:before="79" w:line="318" w:lineRule="auto"/>
              <w:ind w:left="208" w:right="98" w:hanging="4"/>
              <w:rPr>
                <w:sz w:val="17"/>
                <w:szCs w:val="17"/>
              </w:rPr>
            </w:pP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r>
              <w:rPr>
                <w:spacing w:val="5"/>
                <w:sz w:val="17"/>
                <w:szCs w:val="17"/>
              </w:rPr>
              <w:t xml:space="preserve"> </w:t>
            </w:r>
            <w:r>
              <w:rPr>
                <w:spacing w:val="17"/>
                <w:sz w:val="17"/>
                <w:szCs w:val="17"/>
              </w:rPr>
              <w:t>资产总额</w:t>
            </w:r>
            <w:r>
              <w:rPr>
                <w:rFonts w:hint="eastAsia"/>
                <w:spacing w:val="17"/>
                <w:sz w:val="17"/>
                <w:szCs w:val="17"/>
                <w:lang w:eastAsia="zh-CN"/>
              </w:rPr>
              <w:t>（</w:t>
            </w:r>
            <w:r>
              <w:rPr>
                <w:spacing w:val="17"/>
                <w:sz w:val="17"/>
                <w:szCs w:val="17"/>
              </w:rPr>
              <w:t>Z</w:t>
            </w:r>
            <w:r>
              <w:rPr>
                <w:rFonts w:hint="eastAsia"/>
                <w:spacing w:val="17"/>
                <w:sz w:val="17"/>
                <w:szCs w:val="17"/>
                <w:lang w:eastAsia="zh-CN"/>
              </w:rPr>
              <w:t>）</w:t>
            </w:r>
          </w:p>
        </w:tc>
        <w:tc>
          <w:tcPr>
            <w:tcW w:w="864" w:type="dxa"/>
            <w:vAlign w:val="top"/>
          </w:tcPr>
          <w:p w14:paraId="4B909987">
            <w:pPr>
              <w:pStyle w:val="60"/>
              <w:spacing w:before="79" w:line="318" w:lineRule="auto"/>
              <w:ind w:left="185" w:right="171"/>
              <w:rPr>
                <w:sz w:val="17"/>
                <w:szCs w:val="17"/>
              </w:rPr>
            </w:pPr>
            <w:r>
              <w:rPr>
                <w:spacing w:val="3"/>
                <w:sz w:val="17"/>
                <w:szCs w:val="17"/>
              </w:rPr>
              <w:t>万元</w:t>
            </w:r>
            <w:r>
              <w:rPr>
                <w:sz w:val="17"/>
                <w:szCs w:val="17"/>
              </w:rPr>
              <w:t xml:space="preserve"> </w:t>
            </w:r>
            <w:r>
              <w:rPr>
                <w:spacing w:val="3"/>
                <w:sz w:val="17"/>
                <w:szCs w:val="17"/>
              </w:rPr>
              <w:t>万元</w:t>
            </w:r>
          </w:p>
        </w:tc>
        <w:tc>
          <w:tcPr>
            <w:tcW w:w="1152" w:type="dxa"/>
            <w:vAlign w:val="top"/>
          </w:tcPr>
          <w:p w14:paraId="3EDE9BC3">
            <w:pPr>
              <w:pStyle w:val="60"/>
              <w:spacing w:before="79" w:line="318" w:lineRule="auto"/>
              <w:ind w:left="205" w:right="65" w:hanging="47"/>
              <w:rPr>
                <w:sz w:val="17"/>
                <w:szCs w:val="17"/>
              </w:rPr>
            </w:pPr>
            <w:r>
              <w:rPr>
                <w:spacing w:val="16"/>
                <w:sz w:val="17"/>
                <w:szCs w:val="17"/>
              </w:rPr>
              <w:t>Y≥200000</w:t>
            </w:r>
            <w:r>
              <w:rPr>
                <w:spacing w:val="2"/>
                <w:sz w:val="17"/>
                <w:szCs w:val="17"/>
              </w:rPr>
              <w:t xml:space="preserve"> </w:t>
            </w:r>
            <w:r>
              <w:rPr>
                <w:spacing w:val="17"/>
                <w:sz w:val="17"/>
                <w:szCs w:val="17"/>
              </w:rPr>
              <w:t>Z≥10000</w:t>
            </w:r>
          </w:p>
        </w:tc>
        <w:tc>
          <w:tcPr>
            <w:tcW w:w="2003" w:type="dxa"/>
            <w:vAlign w:val="top"/>
          </w:tcPr>
          <w:p w14:paraId="59BF68C9">
            <w:pPr>
              <w:pStyle w:val="60"/>
              <w:spacing w:before="79" w:line="318" w:lineRule="auto"/>
              <w:ind w:left="292" w:right="100" w:firstLine="9"/>
              <w:rPr>
                <w:sz w:val="17"/>
                <w:szCs w:val="17"/>
              </w:rPr>
            </w:pPr>
            <w:r>
              <w:rPr>
                <w:spacing w:val="11"/>
                <w:sz w:val="17"/>
                <w:szCs w:val="17"/>
              </w:rPr>
              <w:t>1000≤Y＜200000</w:t>
            </w:r>
            <w:r>
              <w:rPr>
                <w:spacing w:val="1"/>
                <w:sz w:val="17"/>
                <w:szCs w:val="17"/>
              </w:rPr>
              <w:t xml:space="preserve"> </w:t>
            </w:r>
            <w:r>
              <w:rPr>
                <w:spacing w:val="12"/>
                <w:sz w:val="17"/>
                <w:szCs w:val="17"/>
              </w:rPr>
              <w:t>5000≤Z＜10000</w:t>
            </w:r>
          </w:p>
        </w:tc>
        <w:tc>
          <w:tcPr>
            <w:tcW w:w="1628" w:type="dxa"/>
            <w:vAlign w:val="top"/>
          </w:tcPr>
          <w:p w14:paraId="55AE9C35">
            <w:pPr>
              <w:pStyle w:val="60"/>
              <w:spacing w:before="79" w:line="318" w:lineRule="auto"/>
              <w:ind w:left="214" w:right="116" w:firstLine="102"/>
              <w:rPr>
                <w:sz w:val="17"/>
                <w:szCs w:val="17"/>
              </w:rPr>
            </w:pPr>
            <w:r>
              <w:rPr>
                <w:spacing w:val="12"/>
                <w:sz w:val="17"/>
                <w:szCs w:val="17"/>
              </w:rPr>
              <w:t>100≤Y＜1000</w:t>
            </w:r>
            <w:r>
              <w:rPr>
                <w:spacing w:val="8"/>
                <w:sz w:val="17"/>
                <w:szCs w:val="17"/>
              </w:rPr>
              <w:t xml:space="preserve"> </w:t>
            </w:r>
            <w:r>
              <w:rPr>
                <w:spacing w:val="13"/>
                <w:sz w:val="17"/>
                <w:szCs w:val="17"/>
              </w:rPr>
              <w:t>2000≤Z＜5000</w:t>
            </w:r>
          </w:p>
        </w:tc>
        <w:tc>
          <w:tcPr>
            <w:tcW w:w="1206" w:type="dxa"/>
            <w:vAlign w:val="top"/>
          </w:tcPr>
          <w:p w14:paraId="465362ED">
            <w:pPr>
              <w:pStyle w:val="60"/>
              <w:spacing w:before="79" w:line="318" w:lineRule="auto"/>
              <w:ind w:left="250" w:right="156" w:firstLine="41"/>
              <w:rPr>
                <w:sz w:val="17"/>
                <w:szCs w:val="17"/>
              </w:rPr>
            </w:pPr>
            <w:r>
              <w:rPr>
                <w:spacing w:val="23"/>
                <w:sz w:val="17"/>
                <w:szCs w:val="17"/>
              </w:rPr>
              <w:t>Y＜100</w:t>
            </w:r>
            <w:r>
              <w:rPr>
                <w:sz w:val="17"/>
                <w:szCs w:val="17"/>
              </w:rPr>
              <w:t xml:space="preserve"> </w:t>
            </w:r>
            <w:r>
              <w:rPr>
                <w:spacing w:val="19"/>
                <w:sz w:val="17"/>
                <w:szCs w:val="17"/>
              </w:rPr>
              <w:t>Z＜2000</w:t>
            </w:r>
          </w:p>
        </w:tc>
      </w:tr>
      <w:tr w14:paraId="16A6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1345" w:type="dxa"/>
            <w:vAlign w:val="top"/>
          </w:tcPr>
          <w:p w14:paraId="78E66F27">
            <w:pPr>
              <w:pStyle w:val="60"/>
              <w:spacing w:before="256" w:line="232" w:lineRule="auto"/>
              <w:ind w:left="119"/>
              <w:rPr>
                <w:sz w:val="17"/>
                <w:szCs w:val="17"/>
              </w:rPr>
            </w:pPr>
            <w:r>
              <w:rPr>
                <w:spacing w:val="6"/>
                <w:sz w:val="17"/>
                <w:szCs w:val="17"/>
              </w:rPr>
              <w:t>物业管理</w:t>
            </w:r>
          </w:p>
        </w:tc>
        <w:tc>
          <w:tcPr>
            <w:tcW w:w="1565" w:type="dxa"/>
            <w:vAlign w:val="top"/>
          </w:tcPr>
          <w:p w14:paraId="2E931574">
            <w:pPr>
              <w:pStyle w:val="60"/>
              <w:spacing w:before="79" w:line="318" w:lineRule="auto"/>
              <w:ind w:left="203" w:right="98" w:hanging="5"/>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营业收入</w:t>
            </w:r>
            <w:r>
              <w:rPr>
                <w:rFonts w:hint="eastAsia"/>
                <w:spacing w:val="17"/>
                <w:sz w:val="17"/>
                <w:szCs w:val="17"/>
                <w:lang w:eastAsia="zh-CN"/>
              </w:rPr>
              <w:t>（</w:t>
            </w:r>
            <w:r>
              <w:rPr>
                <w:spacing w:val="17"/>
                <w:sz w:val="17"/>
                <w:szCs w:val="17"/>
              </w:rPr>
              <w:t>Y</w:t>
            </w:r>
            <w:r>
              <w:rPr>
                <w:rFonts w:hint="eastAsia"/>
                <w:spacing w:val="17"/>
                <w:sz w:val="17"/>
                <w:szCs w:val="17"/>
                <w:lang w:eastAsia="zh-CN"/>
              </w:rPr>
              <w:t>）</w:t>
            </w:r>
          </w:p>
        </w:tc>
        <w:tc>
          <w:tcPr>
            <w:tcW w:w="864" w:type="dxa"/>
            <w:vAlign w:val="top"/>
          </w:tcPr>
          <w:p w14:paraId="0502519C">
            <w:pPr>
              <w:pStyle w:val="60"/>
              <w:spacing w:before="79" w:line="318"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7A48CD03">
            <w:pPr>
              <w:pStyle w:val="60"/>
              <w:spacing w:before="79" w:line="318" w:lineRule="auto"/>
              <w:ind w:left="249" w:right="156"/>
              <w:rPr>
                <w:sz w:val="17"/>
                <w:szCs w:val="17"/>
              </w:rPr>
            </w:pPr>
            <w:r>
              <w:rPr>
                <w:spacing w:val="19"/>
                <w:sz w:val="17"/>
                <w:szCs w:val="17"/>
              </w:rPr>
              <w:t>X≥1000</w:t>
            </w:r>
            <w:r>
              <w:rPr>
                <w:spacing w:val="3"/>
                <w:sz w:val="17"/>
                <w:szCs w:val="17"/>
              </w:rPr>
              <w:t xml:space="preserve"> </w:t>
            </w:r>
            <w:r>
              <w:rPr>
                <w:spacing w:val="19"/>
                <w:sz w:val="17"/>
                <w:szCs w:val="17"/>
              </w:rPr>
              <w:t>Y≥5000</w:t>
            </w:r>
          </w:p>
        </w:tc>
        <w:tc>
          <w:tcPr>
            <w:tcW w:w="2003" w:type="dxa"/>
            <w:vAlign w:val="top"/>
          </w:tcPr>
          <w:p w14:paraId="49669D2E">
            <w:pPr>
              <w:pStyle w:val="60"/>
              <w:spacing w:before="79" w:line="318" w:lineRule="auto"/>
              <w:ind w:left="292" w:right="280" w:firstLine="91"/>
              <w:rPr>
                <w:sz w:val="17"/>
                <w:szCs w:val="17"/>
              </w:rPr>
            </w:pPr>
            <w:r>
              <w:rPr>
                <w:spacing w:val="13"/>
                <w:sz w:val="17"/>
                <w:szCs w:val="17"/>
              </w:rPr>
              <w:t>300≤X＜1000</w:t>
            </w:r>
            <w:r>
              <w:rPr>
                <w:spacing w:val="8"/>
                <w:sz w:val="17"/>
                <w:szCs w:val="17"/>
              </w:rPr>
              <w:t xml:space="preserve"> </w:t>
            </w:r>
            <w:r>
              <w:rPr>
                <w:spacing w:val="12"/>
                <w:sz w:val="17"/>
                <w:szCs w:val="17"/>
              </w:rPr>
              <w:t>1000≤Y＜5000</w:t>
            </w:r>
          </w:p>
        </w:tc>
        <w:tc>
          <w:tcPr>
            <w:tcW w:w="1628" w:type="dxa"/>
            <w:vAlign w:val="top"/>
          </w:tcPr>
          <w:p w14:paraId="64A3C655">
            <w:pPr>
              <w:pStyle w:val="60"/>
              <w:spacing w:before="79" w:line="318" w:lineRule="auto"/>
              <w:ind w:left="307" w:right="116" w:firstLine="9"/>
              <w:rPr>
                <w:sz w:val="17"/>
                <w:szCs w:val="17"/>
              </w:rPr>
            </w:pPr>
            <w:r>
              <w:rPr>
                <w:spacing w:val="13"/>
                <w:sz w:val="17"/>
                <w:szCs w:val="17"/>
              </w:rPr>
              <w:t>100≤X＜300</w:t>
            </w:r>
            <w:r>
              <w:rPr>
                <w:spacing w:val="2"/>
                <w:sz w:val="17"/>
                <w:szCs w:val="17"/>
              </w:rPr>
              <w:t xml:space="preserve">  </w:t>
            </w:r>
            <w:r>
              <w:rPr>
                <w:spacing w:val="13"/>
                <w:sz w:val="17"/>
                <w:szCs w:val="17"/>
              </w:rPr>
              <w:t>500≤Y＜1000</w:t>
            </w:r>
          </w:p>
        </w:tc>
        <w:tc>
          <w:tcPr>
            <w:tcW w:w="1206" w:type="dxa"/>
            <w:vAlign w:val="top"/>
          </w:tcPr>
          <w:p w14:paraId="54B82660">
            <w:pPr>
              <w:pStyle w:val="60"/>
              <w:spacing w:before="79" w:line="318" w:lineRule="auto"/>
              <w:ind w:left="292" w:right="201"/>
              <w:rPr>
                <w:sz w:val="17"/>
                <w:szCs w:val="17"/>
              </w:rPr>
            </w:pPr>
            <w:r>
              <w:rPr>
                <w:spacing w:val="22"/>
                <w:sz w:val="17"/>
                <w:szCs w:val="17"/>
              </w:rPr>
              <w:t>X＜100</w:t>
            </w:r>
            <w:r>
              <w:rPr>
                <w:spacing w:val="3"/>
                <w:sz w:val="17"/>
                <w:szCs w:val="17"/>
              </w:rPr>
              <w:t xml:space="preserve"> </w:t>
            </w:r>
            <w:r>
              <w:rPr>
                <w:spacing w:val="23"/>
                <w:sz w:val="17"/>
                <w:szCs w:val="17"/>
              </w:rPr>
              <w:t>Y＜500</w:t>
            </w:r>
          </w:p>
        </w:tc>
      </w:tr>
      <w:tr w14:paraId="767D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1345" w:type="dxa"/>
            <w:vAlign w:val="top"/>
          </w:tcPr>
          <w:p w14:paraId="2F775A56">
            <w:pPr>
              <w:pStyle w:val="60"/>
              <w:spacing w:before="257" w:line="233" w:lineRule="auto"/>
              <w:ind w:left="119"/>
              <w:rPr>
                <w:sz w:val="17"/>
                <w:szCs w:val="17"/>
              </w:rPr>
            </w:pPr>
            <w:r>
              <w:rPr>
                <w:spacing w:val="8"/>
                <w:sz w:val="17"/>
                <w:szCs w:val="17"/>
              </w:rPr>
              <w:t>租赁和商务服务业</w:t>
            </w:r>
          </w:p>
        </w:tc>
        <w:tc>
          <w:tcPr>
            <w:tcW w:w="1565" w:type="dxa"/>
            <w:vAlign w:val="top"/>
          </w:tcPr>
          <w:p w14:paraId="3FCE4904">
            <w:pPr>
              <w:pStyle w:val="60"/>
              <w:spacing w:before="77" w:line="319" w:lineRule="auto"/>
              <w:ind w:left="207" w:right="98" w:hanging="9"/>
              <w:rPr>
                <w:sz w:val="17"/>
                <w:szCs w:val="17"/>
              </w:rPr>
            </w:pPr>
            <w:r>
              <w:rPr>
                <w:spacing w:val="13"/>
                <w:sz w:val="17"/>
                <w:szCs w:val="17"/>
              </w:rPr>
              <w:t>从业人员</w:t>
            </w:r>
            <w:r>
              <w:rPr>
                <w:spacing w:val="-46"/>
                <w:sz w:val="17"/>
                <w:szCs w:val="17"/>
              </w:rPr>
              <w:t xml:space="preserve"> </w:t>
            </w:r>
            <w:r>
              <w:rPr>
                <w:spacing w:val="13"/>
                <w:sz w:val="17"/>
                <w:szCs w:val="17"/>
              </w:rPr>
              <w:t>(X)</w:t>
            </w:r>
            <w:r>
              <w:rPr>
                <w:sz w:val="17"/>
                <w:szCs w:val="17"/>
              </w:rPr>
              <w:t xml:space="preserve"> </w:t>
            </w:r>
            <w:r>
              <w:rPr>
                <w:spacing w:val="17"/>
                <w:sz w:val="17"/>
                <w:szCs w:val="17"/>
              </w:rPr>
              <w:t>资产总额</w:t>
            </w:r>
            <w:r>
              <w:rPr>
                <w:rFonts w:hint="eastAsia"/>
                <w:spacing w:val="17"/>
                <w:sz w:val="17"/>
                <w:szCs w:val="17"/>
                <w:lang w:eastAsia="zh-CN"/>
              </w:rPr>
              <w:t>（</w:t>
            </w:r>
            <w:r>
              <w:rPr>
                <w:spacing w:val="17"/>
                <w:sz w:val="17"/>
                <w:szCs w:val="17"/>
              </w:rPr>
              <w:t>Z</w:t>
            </w:r>
            <w:r>
              <w:rPr>
                <w:rFonts w:hint="eastAsia"/>
                <w:spacing w:val="17"/>
                <w:sz w:val="17"/>
                <w:szCs w:val="17"/>
                <w:lang w:eastAsia="zh-CN"/>
              </w:rPr>
              <w:t>）</w:t>
            </w:r>
          </w:p>
        </w:tc>
        <w:tc>
          <w:tcPr>
            <w:tcW w:w="864" w:type="dxa"/>
            <w:vAlign w:val="top"/>
          </w:tcPr>
          <w:p w14:paraId="31EB0B05">
            <w:pPr>
              <w:pStyle w:val="60"/>
              <w:spacing w:before="77" w:line="319" w:lineRule="auto"/>
              <w:ind w:left="185" w:right="171" w:firstLine="92"/>
              <w:rPr>
                <w:sz w:val="17"/>
                <w:szCs w:val="17"/>
              </w:rPr>
            </w:pPr>
            <w:r>
              <w:rPr>
                <w:spacing w:val="-5"/>
                <w:sz w:val="17"/>
                <w:szCs w:val="17"/>
              </w:rPr>
              <w:t>人</w:t>
            </w:r>
            <w:r>
              <w:rPr>
                <w:sz w:val="17"/>
                <w:szCs w:val="17"/>
              </w:rPr>
              <w:t xml:space="preserve">  </w:t>
            </w:r>
            <w:r>
              <w:rPr>
                <w:spacing w:val="3"/>
                <w:sz w:val="17"/>
                <w:szCs w:val="17"/>
              </w:rPr>
              <w:t>万元</w:t>
            </w:r>
          </w:p>
        </w:tc>
        <w:tc>
          <w:tcPr>
            <w:tcW w:w="1152" w:type="dxa"/>
            <w:vAlign w:val="top"/>
          </w:tcPr>
          <w:p w14:paraId="3DBCB47B">
            <w:pPr>
              <w:pStyle w:val="60"/>
              <w:spacing w:before="77" w:line="319" w:lineRule="auto"/>
              <w:ind w:left="160" w:right="65" w:firstLine="135"/>
              <w:rPr>
                <w:sz w:val="17"/>
                <w:szCs w:val="17"/>
              </w:rPr>
            </w:pPr>
            <w:r>
              <w:rPr>
                <w:spacing w:val="22"/>
                <w:sz w:val="17"/>
                <w:szCs w:val="17"/>
              </w:rPr>
              <w:t>X≥300</w:t>
            </w:r>
            <w:r>
              <w:rPr>
                <w:sz w:val="17"/>
                <w:szCs w:val="17"/>
              </w:rPr>
              <w:t xml:space="preserve">  </w:t>
            </w:r>
            <w:r>
              <w:rPr>
                <w:spacing w:val="16"/>
                <w:sz w:val="17"/>
                <w:szCs w:val="17"/>
              </w:rPr>
              <w:t>Z≥120000</w:t>
            </w:r>
          </w:p>
        </w:tc>
        <w:tc>
          <w:tcPr>
            <w:tcW w:w="2003" w:type="dxa"/>
            <w:vAlign w:val="top"/>
          </w:tcPr>
          <w:p w14:paraId="542E467E">
            <w:pPr>
              <w:pStyle w:val="60"/>
              <w:spacing w:before="78" w:line="231" w:lineRule="exact"/>
              <w:ind w:left="383"/>
              <w:rPr>
                <w:sz w:val="17"/>
                <w:szCs w:val="17"/>
              </w:rPr>
            </w:pPr>
            <w:r>
              <w:rPr>
                <w:spacing w:val="13"/>
                <w:position w:val="1"/>
                <w:sz w:val="17"/>
                <w:szCs w:val="17"/>
              </w:rPr>
              <w:t>100≤X＜300</w:t>
            </w:r>
          </w:p>
          <w:p w14:paraId="063E9E90">
            <w:pPr>
              <w:pStyle w:val="60"/>
              <w:spacing w:before="109" w:line="231" w:lineRule="exact"/>
              <w:ind w:left="289"/>
              <w:rPr>
                <w:sz w:val="17"/>
                <w:szCs w:val="17"/>
              </w:rPr>
            </w:pPr>
            <w:r>
              <w:rPr>
                <w:spacing w:val="12"/>
                <w:position w:val="1"/>
                <w:sz w:val="17"/>
                <w:szCs w:val="17"/>
              </w:rPr>
              <w:t>8000≤Z＜120000</w:t>
            </w:r>
          </w:p>
        </w:tc>
        <w:tc>
          <w:tcPr>
            <w:tcW w:w="1628" w:type="dxa"/>
            <w:vAlign w:val="top"/>
          </w:tcPr>
          <w:p w14:paraId="5E1EADB0">
            <w:pPr>
              <w:pStyle w:val="60"/>
              <w:spacing w:before="77" w:line="319" w:lineRule="auto"/>
              <w:ind w:left="317" w:right="116" w:firstLine="88"/>
              <w:rPr>
                <w:sz w:val="17"/>
                <w:szCs w:val="17"/>
              </w:rPr>
            </w:pPr>
            <w:r>
              <w:rPr>
                <w:spacing w:val="14"/>
                <w:sz w:val="17"/>
                <w:szCs w:val="17"/>
              </w:rPr>
              <w:t>10≤X＜100</w:t>
            </w:r>
            <w:r>
              <w:rPr>
                <w:spacing w:val="3"/>
                <w:sz w:val="17"/>
                <w:szCs w:val="17"/>
              </w:rPr>
              <w:t xml:space="preserve">  </w:t>
            </w:r>
            <w:r>
              <w:rPr>
                <w:spacing w:val="12"/>
                <w:sz w:val="17"/>
                <w:szCs w:val="17"/>
              </w:rPr>
              <w:t>100≤Z＜8000</w:t>
            </w:r>
          </w:p>
        </w:tc>
        <w:tc>
          <w:tcPr>
            <w:tcW w:w="1206" w:type="dxa"/>
            <w:vAlign w:val="top"/>
          </w:tcPr>
          <w:p w14:paraId="1EBB9B0E">
            <w:pPr>
              <w:pStyle w:val="60"/>
              <w:spacing w:before="77" w:line="319" w:lineRule="auto"/>
              <w:ind w:left="294" w:right="201" w:firstLine="44"/>
              <w:rPr>
                <w:sz w:val="17"/>
                <w:szCs w:val="17"/>
              </w:rPr>
            </w:pPr>
            <w:r>
              <w:rPr>
                <w:spacing w:val="24"/>
                <w:w w:val="103"/>
                <w:sz w:val="17"/>
                <w:szCs w:val="17"/>
              </w:rPr>
              <w:t>X＜10</w:t>
            </w:r>
            <w:r>
              <w:rPr>
                <w:spacing w:val="1"/>
                <w:sz w:val="17"/>
                <w:szCs w:val="17"/>
              </w:rPr>
              <w:t xml:space="preserve"> </w:t>
            </w:r>
            <w:r>
              <w:rPr>
                <w:spacing w:val="22"/>
                <w:sz w:val="17"/>
                <w:szCs w:val="17"/>
              </w:rPr>
              <w:t>Z＜100</w:t>
            </w:r>
          </w:p>
        </w:tc>
      </w:tr>
      <w:tr w14:paraId="2C10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345" w:type="dxa"/>
            <w:vAlign w:val="top"/>
          </w:tcPr>
          <w:p w14:paraId="1B973700">
            <w:pPr>
              <w:pStyle w:val="60"/>
              <w:spacing w:before="115" w:line="232" w:lineRule="auto"/>
              <w:ind w:left="120"/>
              <w:jc w:val="left"/>
              <w:rPr>
                <w:sz w:val="17"/>
                <w:szCs w:val="17"/>
              </w:rPr>
            </w:pPr>
            <w:r>
              <w:rPr>
                <w:spacing w:val="17"/>
                <w:sz w:val="17"/>
                <w:szCs w:val="17"/>
              </w:rPr>
              <w:t xml:space="preserve">其他未列明行业 </w:t>
            </w:r>
          </w:p>
        </w:tc>
        <w:tc>
          <w:tcPr>
            <w:tcW w:w="1565" w:type="dxa"/>
            <w:vAlign w:val="top"/>
          </w:tcPr>
          <w:p w14:paraId="7F227513">
            <w:pPr>
              <w:pStyle w:val="60"/>
              <w:spacing w:before="106" w:line="234" w:lineRule="auto"/>
              <w:ind w:left="198"/>
              <w:rPr>
                <w:sz w:val="17"/>
                <w:szCs w:val="17"/>
              </w:rPr>
            </w:pPr>
            <w:r>
              <w:rPr>
                <w:spacing w:val="13"/>
                <w:sz w:val="17"/>
                <w:szCs w:val="17"/>
              </w:rPr>
              <w:t>从业人员</w:t>
            </w:r>
            <w:r>
              <w:rPr>
                <w:spacing w:val="-46"/>
                <w:sz w:val="17"/>
                <w:szCs w:val="17"/>
              </w:rPr>
              <w:t xml:space="preserve"> </w:t>
            </w:r>
            <w:r>
              <w:rPr>
                <w:spacing w:val="13"/>
                <w:sz w:val="17"/>
                <w:szCs w:val="17"/>
              </w:rPr>
              <w:t>(X)</w:t>
            </w:r>
          </w:p>
        </w:tc>
        <w:tc>
          <w:tcPr>
            <w:tcW w:w="864" w:type="dxa"/>
            <w:vAlign w:val="top"/>
          </w:tcPr>
          <w:p w14:paraId="4B88CE5B">
            <w:pPr>
              <w:pStyle w:val="60"/>
              <w:spacing w:before="105" w:line="238" w:lineRule="auto"/>
              <w:ind w:left="278"/>
              <w:rPr>
                <w:sz w:val="17"/>
                <w:szCs w:val="17"/>
              </w:rPr>
            </w:pPr>
            <w:r>
              <w:rPr>
                <w:sz w:val="17"/>
                <w:szCs w:val="17"/>
              </w:rPr>
              <w:t>人</w:t>
            </w:r>
          </w:p>
        </w:tc>
        <w:tc>
          <w:tcPr>
            <w:tcW w:w="1152" w:type="dxa"/>
            <w:vAlign w:val="top"/>
          </w:tcPr>
          <w:p w14:paraId="79335659">
            <w:pPr>
              <w:pStyle w:val="60"/>
              <w:spacing w:before="106" w:line="232" w:lineRule="exact"/>
              <w:ind w:left="295"/>
              <w:rPr>
                <w:sz w:val="17"/>
                <w:szCs w:val="17"/>
              </w:rPr>
            </w:pPr>
            <w:r>
              <w:rPr>
                <w:spacing w:val="22"/>
                <w:position w:val="1"/>
                <w:sz w:val="17"/>
                <w:szCs w:val="17"/>
              </w:rPr>
              <w:t>X≥300</w:t>
            </w:r>
          </w:p>
        </w:tc>
        <w:tc>
          <w:tcPr>
            <w:tcW w:w="2003" w:type="dxa"/>
            <w:vAlign w:val="top"/>
          </w:tcPr>
          <w:p w14:paraId="1E1B40A7">
            <w:pPr>
              <w:pStyle w:val="60"/>
              <w:spacing w:before="106" w:line="231" w:lineRule="exact"/>
              <w:ind w:left="383"/>
              <w:rPr>
                <w:sz w:val="17"/>
                <w:szCs w:val="17"/>
              </w:rPr>
            </w:pPr>
            <w:r>
              <w:rPr>
                <w:spacing w:val="13"/>
                <w:position w:val="1"/>
                <w:sz w:val="17"/>
                <w:szCs w:val="17"/>
              </w:rPr>
              <w:t>100≤X＜300</w:t>
            </w:r>
          </w:p>
        </w:tc>
        <w:tc>
          <w:tcPr>
            <w:tcW w:w="1628" w:type="dxa"/>
            <w:vAlign w:val="top"/>
          </w:tcPr>
          <w:p w14:paraId="0B7DE0CC">
            <w:pPr>
              <w:pStyle w:val="60"/>
              <w:spacing w:before="106" w:line="231" w:lineRule="exact"/>
              <w:ind w:left="405"/>
              <w:rPr>
                <w:sz w:val="17"/>
                <w:szCs w:val="17"/>
              </w:rPr>
            </w:pPr>
            <w:r>
              <w:rPr>
                <w:spacing w:val="14"/>
                <w:position w:val="1"/>
                <w:sz w:val="17"/>
                <w:szCs w:val="17"/>
              </w:rPr>
              <w:t>10≤X＜100</w:t>
            </w:r>
          </w:p>
        </w:tc>
        <w:tc>
          <w:tcPr>
            <w:tcW w:w="1206" w:type="dxa"/>
            <w:vAlign w:val="top"/>
          </w:tcPr>
          <w:p w14:paraId="06A5EBE5">
            <w:pPr>
              <w:pStyle w:val="60"/>
              <w:spacing w:before="106" w:line="232" w:lineRule="exact"/>
              <w:ind w:left="338"/>
              <w:rPr>
                <w:sz w:val="17"/>
                <w:szCs w:val="17"/>
              </w:rPr>
            </w:pPr>
            <w:r>
              <w:rPr>
                <w:spacing w:val="24"/>
                <w:w w:val="103"/>
                <w:position w:val="1"/>
                <w:sz w:val="17"/>
                <w:szCs w:val="17"/>
              </w:rPr>
              <w:t>X＜10</w:t>
            </w:r>
          </w:p>
        </w:tc>
      </w:tr>
    </w:tbl>
    <w:p w14:paraId="0DF92FF6">
      <w:pPr>
        <w:pStyle w:val="7"/>
        <w:spacing w:line="275" w:lineRule="auto"/>
      </w:pPr>
    </w:p>
    <w:p w14:paraId="70BE0CAB">
      <w:pPr>
        <w:pStyle w:val="7"/>
        <w:spacing w:line="275" w:lineRule="auto"/>
      </w:pPr>
    </w:p>
    <w:p w14:paraId="59BE24ED">
      <w:pPr>
        <w:adjustRightInd w:val="0"/>
        <w:snapToGrid w:val="0"/>
        <w:spacing w:beforeLines="50"/>
        <w:outlineLvl w:val="1"/>
        <w:rPr>
          <w:rFonts w:hint="eastAsia" w:ascii="仿宋" w:hAnsi="仿宋" w:eastAsia="仿宋" w:cs="仿宋"/>
          <w:sz w:val="24"/>
          <w:szCs w:val="24"/>
        </w:rPr>
      </w:pPr>
    </w:p>
    <w:sectPr>
      <w:footerReference r:id="rId20" w:type="first"/>
      <w:headerReference r:id="rId17" w:type="default"/>
      <w:footerReference r:id="rId18" w:type="default"/>
      <w:footerReference r:id="rId19" w:type="even"/>
      <w:pgSz w:w="11906" w:h="16838"/>
      <w:pgMar w:top="1440" w:right="1489" w:bottom="1440" w:left="1797" w:header="567"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FFA5">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CB8D">
    <w:pPr>
      <w:pStyle w:val="15"/>
      <w:framePr w:wrap="around" w:vAnchor="text" w:hAnchor="margin" w:xAlign="center" w:y="1"/>
      <w:rPr>
        <w:rStyle w:val="29"/>
      </w:rPr>
    </w:pPr>
    <w:r>
      <w:fldChar w:fldCharType="begin"/>
    </w:r>
    <w:r>
      <w:rPr>
        <w:rStyle w:val="29"/>
      </w:rPr>
      <w:instrText xml:space="preserve">PAGE  </w:instrText>
    </w:r>
    <w:r>
      <w:fldChar w:fldCharType="end"/>
    </w:r>
  </w:p>
  <w:p w14:paraId="08C32DC9">
    <w:pPr>
      <w:pStyle w:val="15"/>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8C0B">
    <w:pPr>
      <w:pStyle w:val="15"/>
    </w:pPr>
  </w:p>
  <w:p w14:paraId="2BE3ECA7">
    <w:pPr>
      <w:pStyle w:val="15"/>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5CE6C134">
                <w:pPr>
                  <w:pStyle w:val="15"/>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80DD">
    <w:pPr>
      <w:pStyle w:val="15"/>
      <w:jc w:val="both"/>
    </w:pPr>
  </w:p>
  <w:p w14:paraId="59BA3E0E">
    <w:pPr>
      <w:pStyle w:val="15"/>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joinstyle="miter"/>
          <v:imagedata o:title=""/>
          <o:lock v:ext="edit"/>
          <v:textbox inset="0mm,0mm,0mm,0mm" style="mso-fit-shape-to-text:t;">
            <w:txbxContent>
              <w:p w14:paraId="552E4260">
                <w:pPr>
                  <w:pStyle w:val="15"/>
                </w:pPr>
              </w:p>
            </w:txbxContent>
          </v:textbox>
        </v:shape>
      </w:pict>
    </w:r>
  </w:p>
  <w:p w14:paraId="4A6623BB">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6A765">
    <w:pPr>
      <w:pStyle w:val="15"/>
      <w:framePr w:wrap="around" w:vAnchor="text" w:hAnchor="margin" w:xAlign="center" w:y="1"/>
      <w:rPr>
        <w:rStyle w:val="29"/>
      </w:rPr>
    </w:pPr>
    <w:r>
      <w:fldChar w:fldCharType="begin"/>
    </w:r>
    <w:r>
      <w:rPr>
        <w:rStyle w:val="29"/>
      </w:rPr>
      <w:instrText xml:space="preserve">PAGE  </w:instrText>
    </w:r>
    <w:r>
      <w:fldChar w:fldCharType="end"/>
    </w:r>
  </w:p>
  <w:p w14:paraId="0180D74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D677">
    <w:pPr>
      <w:pStyle w:val="15"/>
      <w:jc w:val="both"/>
    </w:pPr>
  </w:p>
  <w:p w14:paraId="29D08AF6">
    <w:pPr>
      <w:pStyle w:val="15"/>
      <w:jc w:val="both"/>
    </w:pPr>
    <w: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path/>
          <v:fill on="f" focussize="0,0"/>
          <v:stroke on="f" weight="1.25pt" joinstyle="miter"/>
          <v:imagedata o:title=""/>
          <o:lock v:ext="edit"/>
          <v:textbox inset="0mm,0mm,0mm,0mm" style="mso-fit-shape-to-text:t;">
            <w:txbxContent>
              <w:p w14:paraId="0C6E37B0">
                <w:pPr>
                  <w:pStyle w:val="15"/>
                </w:pPr>
              </w:p>
            </w:txbxContent>
          </v:textbox>
        </v:shape>
      </w:pict>
    </w:r>
  </w:p>
  <w:p w14:paraId="526F0075">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6241">
    <w:pPr>
      <w:pStyle w:val="15"/>
      <w:jc w:val="both"/>
    </w:pPr>
    <w:r>
      <w:rPr>
        <w:sz w:val="18"/>
      </w:rPr>
      <w:pict>
        <v:shape id="_x0000_s1034" o:spid="_x0000_s103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3E105FC">
                <w:pPr>
                  <w:pStyle w:val="15"/>
                </w:pPr>
                <w:r>
                  <w:fldChar w:fldCharType="begin"/>
                </w:r>
                <w:r>
                  <w:instrText xml:space="preserve"> PAGE  \* MERGEFORMAT </w:instrText>
                </w:r>
                <w:r>
                  <w:fldChar w:fldCharType="separate"/>
                </w:r>
                <w:r>
                  <w:t>3</w:t>
                </w:r>
                <w:r>
                  <w:fldChar w:fldCharType="end"/>
                </w:r>
              </w:p>
            </w:txbxContent>
          </v:textbox>
        </v:shape>
      </w:pict>
    </w:r>
  </w:p>
  <w:p w14:paraId="5AA77911">
    <w:pPr>
      <w:pStyle w:val="15"/>
      <w:jc w:val="both"/>
    </w:pPr>
    <w: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path/>
          <v:fill on="f" focussize="0,0"/>
          <v:stroke on="f" weight="1.25pt" joinstyle="miter"/>
          <v:imagedata o:title=""/>
          <o:lock v:ext="edit"/>
          <v:textbox inset="0mm,0mm,0mm,0mm" style="mso-fit-shape-to-text:t;">
            <w:txbxContent>
              <w:p w14:paraId="1F312738">
                <w:pPr>
                  <w:pStyle w:val="15"/>
                </w:pPr>
              </w:p>
            </w:txbxContent>
          </v:textbox>
        </v:shape>
      </w:pict>
    </w:r>
  </w:p>
  <w:p w14:paraId="184AB1CC">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EBCF">
    <w:pPr>
      <w:pStyle w:val="15"/>
    </w:pPr>
    <w:r>
      <w:rPr>
        <w:sz w:val="18"/>
      </w:rPr>
      <w:pict>
        <v:shape id="_x0000_s1035" o:spid="_x0000_s103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0B7789C">
                <w:pPr>
                  <w:pStyle w:val="15"/>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9FEE">
    <w:pPr>
      <w:pStyle w:val="15"/>
      <w:rPr>
        <w:rFonts w:hint="eastAsia"/>
      </w:rPr>
    </w:pPr>
    <w:r>
      <w:rPr>
        <w:sz w:val="18"/>
      </w:rPr>
      <w:pict>
        <v:shape id="_x0000_s1036" o:spid="_x0000_s103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225E0B6">
                <w:pPr>
                  <w:pStyle w:val="15"/>
                </w:pPr>
                <w:r>
                  <w:fldChar w:fldCharType="begin"/>
                </w:r>
                <w:r>
                  <w:instrText xml:space="preserve"> PAGE  \* MERGEFORMAT </w:instrText>
                </w:r>
                <w:r>
                  <w:fldChar w:fldCharType="separate"/>
                </w:r>
                <w:r>
                  <w:t>56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6B9F">
    <w:pPr>
      <w:pStyle w:val="15"/>
    </w:pPr>
    <w:r>
      <w:rPr>
        <w:sz w:val="18"/>
      </w:rPr>
      <w:pict>
        <v:shape id="_x0000_s1037" o:spid="_x0000_s103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3B6DEA9">
                <w:pPr>
                  <w:pStyle w:val="15"/>
                </w:pPr>
                <w:r>
                  <w:fldChar w:fldCharType="begin"/>
                </w:r>
                <w:r>
                  <w:instrText xml:space="preserve"> PAGE  \* MERGEFORMAT </w:instrText>
                </w:r>
                <w:r>
                  <w:fldChar w:fldCharType="separate"/>
                </w:r>
                <w:r>
                  <w:t>55</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805C">
    <w:pPr>
      <w:pStyle w:val="15"/>
      <w:ind w:right="360"/>
      <w:jc w:val="right"/>
      <w:rPr>
        <w:i/>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1AC75D91">
                <w:pPr>
                  <w:pStyle w:val="15"/>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6F3D">
    <w:pPr>
      <w:pStyle w:val="17"/>
      <w:pBdr>
        <w:bottom w:val="none" w:color="auto" w:sz="0" w:space="1"/>
      </w:pBdr>
      <w:jc w:val="right"/>
      <w:rPr>
        <w:rFonts w:hint="eastAsia" w:eastAsia="宋体"/>
        <w:lang w:eastAsia="zh-CN"/>
      </w:rPr>
    </w:pPr>
    <w:r>
      <w:rPr>
        <w:rFonts w:hint="eastAsia"/>
        <w:lang w:val="en-US" w:eastAsia="zh-CN"/>
      </w:rPr>
      <w:t xml:space="preserve">                                             </w:t>
    </w:r>
    <w:r>
      <w:rPr>
        <w:rFonts w:hint="eastAsia" w:ascii="宋体" w:hAnsi="宋体" w:eastAsia="宋体" w:cs="宋体"/>
        <w:sz w:val="20"/>
        <w:szCs w:val="20"/>
      </w:rPr>
      <w:t>新疆众禾顺晟工程管理咨询有限公司</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CCC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19EE">
    <w:pPr>
      <w:pStyle w:val="17"/>
      <w:pBdr>
        <w:bottom w:val="none" w:color="auto" w:sz="0" w:space="1"/>
      </w:pBdr>
      <w:tabs>
        <w:tab w:val="left" w:pos="1605"/>
      </w:tabs>
      <w:wordWrap w:val="0"/>
      <w:jc w:val="right"/>
      <w:rPr>
        <w:rFonts w:hint="eastAsia" w:ascii="宋体" w:hAnsi="宋体" w:eastAsia="楷体"/>
        <w:lang w:eastAsia="zh-CN"/>
      </w:rPr>
    </w:pPr>
    <w:r>
      <w:rPr>
        <w:rFonts w:hint="eastAsia"/>
        <w:lang w:val="en-US" w:eastAsia="zh-CN"/>
      </w:rPr>
      <w:t xml:space="preserve">                                  </w:t>
    </w:r>
    <w:r>
      <w:rPr>
        <w:rFonts w:hint="eastAsia" w:ascii="宋体" w:hAnsi="宋体" w:eastAsia="宋体" w:cs="宋体"/>
        <w:sz w:val="20"/>
        <w:szCs w:val="20"/>
      </w:rPr>
      <w:t>新疆众禾顺晟工程管理咨询有限公司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B37C">
    <w:pPr>
      <w:pStyle w:val="17"/>
      <w:pBdr>
        <w:bottom w:val="none" w:color="auto" w:sz="0" w:space="1"/>
      </w:pBdr>
      <w:tabs>
        <w:tab w:val="left" w:pos="1605"/>
      </w:tabs>
      <w:wordWrap w:val="0"/>
      <w:jc w:val="right"/>
    </w:pPr>
    <w:r>
      <w:rPr>
        <w:rFonts w:hint="eastAsia"/>
        <w:lang w:val="en-US" w:eastAsia="zh-CN"/>
      </w:rPr>
      <w:t xml:space="preserve">                                  </w:t>
    </w:r>
    <w:r>
      <w:rPr>
        <w:rFonts w:hint="eastAsia" w:ascii="宋体" w:hAnsi="宋体" w:eastAsia="宋体" w:cs="宋体"/>
        <w:sz w:val="20"/>
        <w:szCs w:val="20"/>
      </w:rPr>
      <w:t>新疆众禾顺晟工程管理咨询有限公司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DA6A">
    <w:pPr>
      <w:pStyle w:val="17"/>
      <w:pBdr>
        <w:bottom w:val="none" w:color="auto" w:sz="0" w:space="1"/>
      </w:pBdr>
      <w:wordWrap/>
      <w:jc w:val="distribute"/>
      <w:rPr>
        <w:rFonts w:ascii="楷体_GB2312" w:eastAsia="楷体_GB2312"/>
        <w:sz w:val="21"/>
        <w:szCs w:val="21"/>
      </w:rPr>
    </w:pPr>
    <w:r>
      <w:rPr>
        <w:rFonts w:hint="eastAsia"/>
        <w:sz w:val="13"/>
        <w:szCs w:val="15"/>
        <w:lang w:val="en-US" w:eastAsia="zh-CN"/>
      </w:rPr>
      <w:t xml:space="preserve">                                            </w:t>
    </w:r>
  </w:p>
  <w:p w14:paraId="7FED7E66">
    <w:pPr>
      <w:pStyle w:val="17"/>
      <w:pBdr>
        <w:bottom w:val="single" w:color="auto" w:sz="4" w:space="1"/>
      </w:pBdr>
      <w:tabs>
        <w:tab w:val="left" w:pos="1795"/>
        <w:tab w:val="clear" w:pos="4153"/>
      </w:tabs>
      <w:jc w:val="both"/>
      <w:rPr>
        <w:rFonts w:hint="eastAsia" w:ascii="宋体" w:hAnsi="宋体" w:eastAsia="宋体" w:cs="宋体"/>
        <w:lang w:eastAsia="zh-CN"/>
      </w:rPr>
    </w:pPr>
    <w:r>
      <w:rPr>
        <w:rFonts w:hint="eastAsia" w:eastAsia="宋体"/>
        <w:lang w:eastAsia="zh-CN"/>
      </w:rPr>
      <w:drawing>
        <wp:inline distT="0" distB="0" distL="114300" distR="114300">
          <wp:extent cx="1242695" cy="349250"/>
          <wp:effectExtent l="0" t="0" r="11430" b="0"/>
          <wp:docPr id="6" name="图片 6" descr="众禾顺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众禾顺晟"/>
                  <pic:cNvPicPr>
                    <a:picLocks noChangeAspect="1"/>
                  </pic:cNvPicPr>
                </pic:nvPicPr>
                <pic:blipFill>
                  <a:blip r:embed="rId1"/>
                  <a:stretch>
                    <a:fillRect/>
                  </a:stretch>
                </pic:blipFill>
                <pic:spPr>
                  <a:xfrm>
                    <a:off x="0" y="0"/>
                    <a:ext cx="1242695" cy="34925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0"/>
        <w:szCs w:val="20"/>
      </w:rPr>
      <w:t>新疆众禾顺晟工程管理咨询有限公司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D50C">
    <w:pPr>
      <w:pStyle w:val="17"/>
      <w:pBdr>
        <w:bottom w:val="single" w:color="auto" w:sz="4" w:space="1"/>
      </w:pBdr>
      <w:tabs>
        <w:tab w:val="left" w:pos="1605"/>
      </w:tabs>
      <w:wordWrap w:val="0"/>
      <w:jc w:val="left"/>
      <w:rPr>
        <w:rFonts w:hint="eastAsia" w:ascii="宋体" w:hAnsi="宋体" w:eastAsia="楷体"/>
        <w:lang w:eastAsia="zh-CN"/>
      </w:rPr>
    </w:pPr>
    <w:r>
      <w:rPr>
        <w:rFonts w:hint="eastAsia"/>
        <w:sz w:val="13"/>
        <w:szCs w:val="15"/>
        <w:lang w:val="en-US" w:eastAsia="zh-CN"/>
      </w:rPr>
      <w:t xml:space="preserve">  </w:t>
    </w:r>
    <w:r>
      <w:rPr>
        <w:rFonts w:hint="eastAsia" w:eastAsia="宋体"/>
        <w:lang w:eastAsia="zh-CN"/>
      </w:rPr>
      <w:drawing>
        <wp:inline distT="0" distB="0" distL="114300" distR="114300">
          <wp:extent cx="1242695" cy="349250"/>
          <wp:effectExtent l="0" t="0" r="11430" b="0"/>
          <wp:docPr id="5" name="图片 5" descr="众禾顺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众禾顺晟"/>
                  <pic:cNvPicPr>
                    <a:picLocks noChangeAspect="1"/>
                  </pic:cNvPicPr>
                </pic:nvPicPr>
                <pic:blipFill>
                  <a:blip r:embed="rId1"/>
                  <a:stretch>
                    <a:fillRect/>
                  </a:stretch>
                </pic:blipFill>
                <pic:spPr>
                  <a:xfrm>
                    <a:off x="0" y="0"/>
                    <a:ext cx="1242695" cy="34925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0"/>
        <w:szCs w:val="20"/>
      </w:rPr>
      <w:t>新疆众禾顺晟工程管理咨询有限公司</w:t>
    </w:r>
  </w:p>
  <w:p w14:paraId="5CDEF3E2">
    <w:pPr>
      <w:pStyle w:val="17"/>
      <w:pBdr>
        <w:bottom w:val="none" w:color="auto" w:sz="0" w:space="1"/>
      </w:pBdr>
      <w:tabs>
        <w:tab w:val="left" w:pos="6976"/>
        <w:tab w:val="clear" w:pos="4153"/>
      </w:tabs>
      <w:jc w:val="both"/>
      <w:rPr>
        <w:rFonts w:hint="eastAsia" w:ascii="宋体" w:hAnsi="宋体" w:eastAsia="宋体" w:cs="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98DB">
    <w:pPr>
      <w:pStyle w:val="17"/>
      <w:pBdr>
        <w:bottom w:val="none" w:color="auto" w:sz="0" w:space="1"/>
      </w:pBdr>
      <w:wordWrap/>
      <w:jc w:val="distribute"/>
      <w:rPr>
        <w:rFonts w:ascii="楷体_GB2312" w:eastAsia="楷体_GB2312"/>
        <w:sz w:val="21"/>
        <w:szCs w:val="21"/>
      </w:rPr>
    </w:pPr>
    <w:r>
      <w:rPr>
        <w:rFonts w:hint="eastAsia" w:eastAsia="宋体"/>
        <w:lang w:eastAsia="zh-CN"/>
      </w:rPr>
      <w:drawing>
        <wp:inline distT="0" distB="0" distL="114300" distR="114300">
          <wp:extent cx="1242695" cy="349250"/>
          <wp:effectExtent l="0" t="0" r="11430" b="0"/>
          <wp:docPr id="7" name="图片 7" descr="众禾顺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众禾顺晟"/>
                  <pic:cNvPicPr>
                    <a:picLocks noChangeAspect="1"/>
                  </pic:cNvPicPr>
                </pic:nvPicPr>
                <pic:blipFill>
                  <a:blip r:embed="rId1"/>
                  <a:stretch>
                    <a:fillRect/>
                  </a:stretch>
                </pic:blipFill>
                <pic:spPr>
                  <a:xfrm>
                    <a:off x="0" y="0"/>
                    <a:ext cx="1242695" cy="34925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0"/>
        <w:szCs w:val="20"/>
      </w:rPr>
      <w:t>新疆众禾顺晟工程管理咨询有限公司</w:t>
    </w:r>
    <w:r>
      <w:rPr>
        <w:rFonts w:hint="eastAsia"/>
        <w:sz w:val="13"/>
        <w:szCs w:val="15"/>
        <w:lang w:val="en-US" w:eastAsia="zh-CN"/>
      </w:rPr>
      <w:t xml:space="preserve">                                            </w:t>
    </w:r>
  </w:p>
  <w:p w14:paraId="1A1FB792">
    <w:pPr>
      <w:pStyle w:val="17"/>
      <w:pBdr>
        <w:bottom w:val="none" w:color="auto" w:sz="0" w:space="1"/>
      </w:pBdr>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0F677"/>
    <w:multiLevelType w:val="singleLevel"/>
    <w:tmpl w:val="D950F677"/>
    <w:lvl w:ilvl="0" w:tentative="0">
      <w:start w:val="3"/>
      <w:numFmt w:val="chineseCounting"/>
      <w:suff w:val="space"/>
      <w:lvlText w:val="第%1部分"/>
      <w:lvlJc w:val="left"/>
      <w:rPr>
        <w:rFonts w:hint="eastAsia"/>
      </w:rPr>
    </w:lvl>
  </w:abstractNum>
  <w:abstractNum w:abstractNumId="1">
    <w:nsid w:val="00000002"/>
    <w:multiLevelType w:val="multilevel"/>
    <w:tmpl w:val="00000002"/>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kN2FhNjhlNmQyZWM1NGNiZTE5YTZhMDg1OGI5ZTEifQ=="/>
  </w:docVars>
  <w:rsids>
    <w:rsidRoot w:val="78525E90"/>
    <w:rsid w:val="000A2FB9"/>
    <w:rsid w:val="00186FAA"/>
    <w:rsid w:val="001E5FF6"/>
    <w:rsid w:val="002F1091"/>
    <w:rsid w:val="00326CC8"/>
    <w:rsid w:val="003D47A3"/>
    <w:rsid w:val="00521512"/>
    <w:rsid w:val="00580B8B"/>
    <w:rsid w:val="0058756A"/>
    <w:rsid w:val="0060585B"/>
    <w:rsid w:val="0063393F"/>
    <w:rsid w:val="006D0FAA"/>
    <w:rsid w:val="008E49A0"/>
    <w:rsid w:val="009C5EC8"/>
    <w:rsid w:val="00A51030"/>
    <w:rsid w:val="00A954E0"/>
    <w:rsid w:val="00AC1E5E"/>
    <w:rsid w:val="00CB0F01"/>
    <w:rsid w:val="00DB30A2"/>
    <w:rsid w:val="00E33CC3"/>
    <w:rsid w:val="00E83508"/>
    <w:rsid w:val="00ED10C3"/>
    <w:rsid w:val="01062D03"/>
    <w:rsid w:val="01821672"/>
    <w:rsid w:val="020B4CAB"/>
    <w:rsid w:val="0216443A"/>
    <w:rsid w:val="028950CA"/>
    <w:rsid w:val="02B47655"/>
    <w:rsid w:val="02C346CE"/>
    <w:rsid w:val="02F942E7"/>
    <w:rsid w:val="030F3F72"/>
    <w:rsid w:val="032B14E1"/>
    <w:rsid w:val="036F1A3A"/>
    <w:rsid w:val="038D024F"/>
    <w:rsid w:val="03D76C48"/>
    <w:rsid w:val="046370B3"/>
    <w:rsid w:val="04986C4E"/>
    <w:rsid w:val="04994F9B"/>
    <w:rsid w:val="04B70785"/>
    <w:rsid w:val="04D929F1"/>
    <w:rsid w:val="051D0075"/>
    <w:rsid w:val="054C15A1"/>
    <w:rsid w:val="05546CBA"/>
    <w:rsid w:val="055600B9"/>
    <w:rsid w:val="05580882"/>
    <w:rsid w:val="05741DFD"/>
    <w:rsid w:val="06285912"/>
    <w:rsid w:val="06550F99"/>
    <w:rsid w:val="06580515"/>
    <w:rsid w:val="068F1393"/>
    <w:rsid w:val="0699736F"/>
    <w:rsid w:val="06F0647F"/>
    <w:rsid w:val="07155C37"/>
    <w:rsid w:val="07413D98"/>
    <w:rsid w:val="07741A8A"/>
    <w:rsid w:val="077A66A6"/>
    <w:rsid w:val="07AA18D8"/>
    <w:rsid w:val="081B245D"/>
    <w:rsid w:val="081C4A36"/>
    <w:rsid w:val="08393100"/>
    <w:rsid w:val="08417EE6"/>
    <w:rsid w:val="0865562F"/>
    <w:rsid w:val="08797840"/>
    <w:rsid w:val="088875A6"/>
    <w:rsid w:val="08A80670"/>
    <w:rsid w:val="09210C8A"/>
    <w:rsid w:val="09257AA7"/>
    <w:rsid w:val="09DA710F"/>
    <w:rsid w:val="09E3210E"/>
    <w:rsid w:val="09FF3664"/>
    <w:rsid w:val="0A704DD2"/>
    <w:rsid w:val="0AA7129C"/>
    <w:rsid w:val="0AF966B1"/>
    <w:rsid w:val="0BC70A3F"/>
    <w:rsid w:val="0BEF5C8A"/>
    <w:rsid w:val="0C011C5F"/>
    <w:rsid w:val="0C432F81"/>
    <w:rsid w:val="0C861343"/>
    <w:rsid w:val="0CA460C1"/>
    <w:rsid w:val="0CC27215"/>
    <w:rsid w:val="0D0869C0"/>
    <w:rsid w:val="0D252A89"/>
    <w:rsid w:val="0D3C46F6"/>
    <w:rsid w:val="0D524B20"/>
    <w:rsid w:val="0D7A17DA"/>
    <w:rsid w:val="0D994BA6"/>
    <w:rsid w:val="0DD37BE6"/>
    <w:rsid w:val="0E015DED"/>
    <w:rsid w:val="0E0C5987"/>
    <w:rsid w:val="0E375FD3"/>
    <w:rsid w:val="0E3F531B"/>
    <w:rsid w:val="0EDD4F42"/>
    <w:rsid w:val="0F0841A4"/>
    <w:rsid w:val="0F5E268A"/>
    <w:rsid w:val="0FCC5687"/>
    <w:rsid w:val="0FE97C61"/>
    <w:rsid w:val="0FF92F22"/>
    <w:rsid w:val="102A3E23"/>
    <w:rsid w:val="103301F6"/>
    <w:rsid w:val="106755CD"/>
    <w:rsid w:val="106B3547"/>
    <w:rsid w:val="10C5095D"/>
    <w:rsid w:val="10CF4C7A"/>
    <w:rsid w:val="11251DBD"/>
    <w:rsid w:val="114207F9"/>
    <w:rsid w:val="1175252B"/>
    <w:rsid w:val="11873DE9"/>
    <w:rsid w:val="11965EB9"/>
    <w:rsid w:val="11AA6255"/>
    <w:rsid w:val="11B76418"/>
    <w:rsid w:val="11D1243D"/>
    <w:rsid w:val="11F72A8C"/>
    <w:rsid w:val="12091E74"/>
    <w:rsid w:val="121B79FB"/>
    <w:rsid w:val="12232D93"/>
    <w:rsid w:val="12627161"/>
    <w:rsid w:val="12B5514D"/>
    <w:rsid w:val="12CE44A2"/>
    <w:rsid w:val="13557AC3"/>
    <w:rsid w:val="137650EA"/>
    <w:rsid w:val="13B675C5"/>
    <w:rsid w:val="13B934D5"/>
    <w:rsid w:val="13C34FDF"/>
    <w:rsid w:val="14310539"/>
    <w:rsid w:val="14B410A9"/>
    <w:rsid w:val="14F902DA"/>
    <w:rsid w:val="14FC47EE"/>
    <w:rsid w:val="152C0457"/>
    <w:rsid w:val="15424017"/>
    <w:rsid w:val="154F1722"/>
    <w:rsid w:val="155344FA"/>
    <w:rsid w:val="158B7770"/>
    <w:rsid w:val="158C15D5"/>
    <w:rsid w:val="15AB4390"/>
    <w:rsid w:val="15CE3CEE"/>
    <w:rsid w:val="15E4326F"/>
    <w:rsid w:val="15E574A2"/>
    <w:rsid w:val="15F27DB5"/>
    <w:rsid w:val="15F41BFA"/>
    <w:rsid w:val="1657090F"/>
    <w:rsid w:val="165A3666"/>
    <w:rsid w:val="165C0F09"/>
    <w:rsid w:val="1723471F"/>
    <w:rsid w:val="176B2DF5"/>
    <w:rsid w:val="178E4079"/>
    <w:rsid w:val="17B57A28"/>
    <w:rsid w:val="17B7662A"/>
    <w:rsid w:val="17C0750C"/>
    <w:rsid w:val="17E62E22"/>
    <w:rsid w:val="17EA6C63"/>
    <w:rsid w:val="183A21CD"/>
    <w:rsid w:val="190F3461"/>
    <w:rsid w:val="192A1801"/>
    <w:rsid w:val="19542432"/>
    <w:rsid w:val="195E2931"/>
    <w:rsid w:val="196D2880"/>
    <w:rsid w:val="199E386A"/>
    <w:rsid w:val="19A8738B"/>
    <w:rsid w:val="19E17404"/>
    <w:rsid w:val="1A232291"/>
    <w:rsid w:val="1A49639A"/>
    <w:rsid w:val="1A4B7367"/>
    <w:rsid w:val="1A5D0969"/>
    <w:rsid w:val="1AA05648"/>
    <w:rsid w:val="1AFE66E8"/>
    <w:rsid w:val="1B132C1F"/>
    <w:rsid w:val="1B5F6589"/>
    <w:rsid w:val="1B900EEF"/>
    <w:rsid w:val="1BD73567"/>
    <w:rsid w:val="1BE20701"/>
    <w:rsid w:val="1C011997"/>
    <w:rsid w:val="1C0D3F81"/>
    <w:rsid w:val="1C907C71"/>
    <w:rsid w:val="1CFF3ED8"/>
    <w:rsid w:val="1D5F680A"/>
    <w:rsid w:val="1D9A6FA9"/>
    <w:rsid w:val="1DAC74A6"/>
    <w:rsid w:val="1DB6418A"/>
    <w:rsid w:val="1DFF218B"/>
    <w:rsid w:val="1E1D2551"/>
    <w:rsid w:val="1E280203"/>
    <w:rsid w:val="1E3D793C"/>
    <w:rsid w:val="1E5428B9"/>
    <w:rsid w:val="1E806FC9"/>
    <w:rsid w:val="1E9407F0"/>
    <w:rsid w:val="1EA246FF"/>
    <w:rsid w:val="1EA6173E"/>
    <w:rsid w:val="1EBF255F"/>
    <w:rsid w:val="1EC660CC"/>
    <w:rsid w:val="1F315512"/>
    <w:rsid w:val="1F457294"/>
    <w:rsid w:val="1F7847C6"/>
    <w:rsid w:val="1FBF4F7B"/>
    <w:rsid w:val="1FCC479C"/>
    <w:rsid w:val="1FD977C0"/>
    <w:rsid w:val="2024185C"/>
    <w:rsid w:val="207012F4"/>
    <w:rsid w:val="20BC433F"/>
    <w:rsid w:val="20CA69A3"/>
    <w:rsid w:val="20CB5DD4"/>
    <w:rsid w:val="20F80546"/>
    <w:rsid w:val="21243A0B"/>
    <w:rsid w:val="213C71BD"/>
    <w:rsid w:val="21797553"/>
    <w:rsid w:val="2196711A"/>
    <w:rsid w:val="220B491C"/>
    <w:rsid w:val="220D7B4C"/>
    <w:rsid w:val="221B7DFB"/>
    <w:rsid w:val="22353AD5"/>
    <w:rsid w:val="225A14D5"/>
    <w:rsid w:val="228114C2"/>
    <w:rsid w:val="22CA6707"/>
    <w:rsid w:val="22E87454"/>
    <w:rsid w:val="231C614B"/>
    <w:rsid w:val="232E31E3"/>
    <w:rsid w:val="233F7E6C"/>
    <w:rsid w:val="238144BE"/>
    <w:rsid w:val="239366F2"/>
    <w:rsid w:val="24880BD3"/>
    <w:rsid w:val="24EC29B5"/>
    <w:rsid w:val="24FD06E9"/>
    <w:rsid w:val="250543A2"/>
    <w:rsid w:val="250619BC"/>
    <w:rsid w:val="252E6A4B"/>
    <w:rsid w:val="2557308A"/>
    <w:rsid w:val="25695674"/>
    <w:rsid w:val="257220CB"/>
    <w:rsid w:val="25777959"/>
    <w:rsid w:val="258A62E0"/>
    <w:rsid w:val="259B048D"/>
    <w:rsid w:val="25A15DAB"/>
    <w:rsid w:val="25C1100C"/>
    <w:rsid w:val="26017C95"/>
    <w:rsid w:val="26203A2B"/>
    <w:rsid w:val="27286E6F"/>
    <w:rsid w:val="272F1A59"/>
    <w:rsid w:val="275E6CEB"/>
    <w:rsid w:val="27693709"/>
    <w:rsid w:val="27E148FC"/>
    <w:rsid w:val="28174635"/>
    <w:rsid w:val="282B717C"/>
    <w:rsid w:val="289602CC"/>
    <w:rsid w:val="28B17325"/>
    <w:rsid w:val="28C759B8"/>
    <w:rsid w:val="292237A8"/>
    <w:rsid w:val="29C07ECC"/>
    <w:rsid w:val="29EB34F7"/>
    <w:rsid w:val="2A12724C"/>
    <w:rsid w:val="2A280C75"/>
    <w:rsid w:val="2A2D3F97"/>
    <w:rsid w:val="2A6A6763"/>
    <w:rsid w:val="2A6D48C7"/>
    <w:rsid w:val="2A8D1923"/>
    <w:rsid w:val="2AC15854"/>
    <w:rsid w:val="2AF6454E"/>
    <w:rsid w:val="2B13143F"/>
    <w:rsid w:val="2BB44B13"/>
    <w:rsid w:val="2BD46813"/>
    <w:rsid w:val="2BF340E7"/>
    <w:rsid w:val="2C003E0D"/>
    <w:rsid w:val="2C0D4C09"/>
    <w:rsid w:val="2C291DB4"/>
    <w:rsid w:val="2CFA597F"/>
    <w:rsid w:val="2D222F77"/>
    <w:rsid w:val="2D2505FC"/>
    <w:rsid w:val="2D4529EC"/>
    <w:rsid w:val="2D46629B"/>
    <w:rsid w:val="2D547862"/>
    <w:rsid w:val="2D961506"/>
    <w:rsid w:val="2D9D0099"/>
    <w:rsid w:val="2DBE6288"/>
    <w:rsid w:val="2DDF31C0"/>
    <w:rsid w:val="2E0C5805"/>
    <w:rsid w:val="2E40068A"/>
    <w:rsid w:val="2E681C88"/>
    <w:rsid w:val="2E8335F3"/>
    <w:rsid w:val="2EAA1035"/>
    <w:rsid w:val="2EC766AE"/>
    <w:rsid w:val="2ED51855"/>
    <w:rsid w:val="2F1773F1"/>
    <w:rsid w:val="2F3C14A7"/>
    <w:rsid w:val="2F55162F"/>
    <w:rsid w:val="2F58597D"/>
    <w:rsid w:val="2F8B71B4"/>
    <w:rsid w:val="2F9978C6"/>
    <w:rsid w:val="2FA220AC"/>
    <w:rsid w:val="2FB725D1"/>
    <w:rsid w:val="2FBC5C8C"/>
    <w:rsid w:val="300541EB"/>
    <w:rsid w:val="305D053A"/>
    <w:rsid w:val="305F7026"/>
    <w:rsid w:val="30AA62CA"/>
    <w:rsid w:val="30B5754E"/>
    <w:rsid w:val="30C3097F"/>
    <w:rsid w:val="30CC095A"/>
    <w:rsid w:val="30E36BA8"/>
    <w:rsid w:val="31634333"/>
    <w:rsid w:val="31EF6985"/>
    <w:rsid w:val="321C0C2E"/>
    <w:rsid w:val="322B3D92"/>
    <w:rsid w:val="32CB29BE"/>
    <w:rsid w:val="32FE7827"/>
    <w:rsid w:val="331B7BCF"/>
    <w:rsid w:val="33326CF6"/>
    <w:rsid w:val="33C561CF"/>
    <w:rsid w:val="34112296"/>
    <w:rsid w:val="34281E00"/>
    <w:rsid w:val="346839BD"/>
    <w:rsid w:val="34FD7A88"/>
    <w:rsid w:val="35461581"/>
    <w:rsid w:val="3581698D"/>
    <w:rsid w:val="358C17D9"/>
    <w:rsid w:val="36A85F66"/>
    <w:rsid w:val="36C35DE9"/>
    <w:rsid w:val="36C7634F"/>
    <w:rsid w:val="36CA751D"/>
    <w:rsid w:val="36E05768"/>
    <w:rsid w:val="371B6127"/>
    <w:rsid w:val="37225084"/>
    <w:rsid w:val="37AF71BF"/>
    <w:rsid w:val="38630140"/>
    <w:rsid w:val="389B07FB"/>
    <w:rsid w:val="38DC5E0F"/>
    <w:rsid w:val="38E532C1"/>
    <w:rsid w:val="395975B6"/>
    <w:rsid w:val="396F565E"/>
    <w:rsid w:val="399B02E5"/>
    <w:rsid w:val="39A76CFF"/>
    <w:rsid w:val="39F86175"/>
    <w:rsid w:val="3A03765F"/>
    <w:rsid w:val="3A3B1F24"/>
    <w:rsid w:val="3A697E64"/>
    <w:rsid w:val="3A744447"/>
    <w:rsid w:val="3A9A678A"/>
    <w:rsid w:val="3B014C8E"/>
    <w:rsid w:val="3B024E57"/>
    <w:rsid w:val="3B0279E9"/>
    <w:rsid w:val="3B42214B"/>
    <w:rsid w:val="3B79490E"/>
    <w:rsid w:val="3B932066"/>
    <w:rsid w:val="3B942165"/>
    <w:rsid w:val="3B9D751A"/>
    <w:rsid w:val="3BA857C2"/>
    <w:rsid w:val="3BB20C2D"/>
    <w:rsid w:val="3BB86F42"/>
    <w:rsid w:val="3BBE6F1D"/>
    <w:rsid w:val="3BBF6EEC"/>
    <w:rsid w:val="3BF842D3"/>
    <w:rsid w:val="3C2E277D"/>
    <w:rsid w:val="3C4D5FB4"/>
    <w:rsid w:val="3C63750B"/>
    <w:rsid w:val="3C643726"/>
    <w:rsid w:val="3C9F370F"/>
    <w:rsid w:val="3CF77B6F"/>
    <w:rsid w:val="3D35086E"/>
    <w:rsid w:val="3D4C42C2"/>
    <w:rsid w:val="3D4E6832"/>
    <w:rsid w:val="3D596DFF"/>
    <w:rsid w:val="3D9B60C2"/>
    <w:rsid w:val="3DD32DD1"/>
    <w:rsid w:val="3DDB54C2"/>
    <w:rsid w:val="3E3318C2"/>
    <w:rsid w:val="3E3523E4"/>
    <w:rsid w:val="3E397D57"/>
    <w:rsid w:val="3E4B09A8"/>
    <w:rsid w:val="3E66112F"/>
    <w:rsid w:val="3E9B7CF7"/>
    <w:rsid w:val="3ECA598C"/>
    <w:rsid w:val="3EDE0A9B"/>
    <w:rsid w:val="3F312800"/>
    <w:rsid w:val="3F554271"/>
    <w:rsid w:val="4039795F"/>
    <w:rsid w:val="40806FD6"/>
    <w:rsid w:val="40C65EC6"/>
    <w:rsid w:val="40DC22B7"/>
    <w:rsid w:val="40F670A3"/>
    <w:rsid w:val="40FF4EC3"/>
    <w:rsid w:val="4112007A"/>
    <w:rsid w:val="415A1F35"/>
    <w:rsid w:val="419A1457"/>
    <w:rsid w:val="41B97F86"/>
    <w:rsid w:val="41C77EE8"/>
    <w:rsid w:val="422A32F2"/>
    <w:rsid w:val="42425239"/>
    <w:rsid w:val="42450E1B"/>
    <w:rsid w:val="4280477A"/>
    <w:rsid w:val="43482915"/>
    <w:rsid w:val="4368266F"/>
    <w:rsid w:val="43D52051"/>
    <w:rsid w:val="44294999"/>
    <w:rsid w:val="444E06E1"/>
    <w:rsid w:val="445C78F7"/>
    <w:rsid w:val="449F47DD"/>
    <w:rsid w:val="44FA7B26"/>
    <w:rsid w:val="45400CF4"/>
    <w:rsid w:val="45430DBC"/>
    <w:rsid w:val="455A2C50"/>
    <w:rsid w:val="455E28AF"/>
    <w:rsid w:val="45614D7A"/>
    <w:rsid w:val="457A4E08"/>
    <w:rsid w:val="45982A94"/>
    <w:rsid w:val="45991789"/>
    <w:rsid w:val="45EE0C20"/>
    <w:rsid w:val="460E4796"/>
    <w:rsid w:val="46334AB0"/>
    <w:rsid w:val="4664486E"/>
    <w:rsid w:val="46794700"/>
    <w:rsid w:val="468579EE"/>
    <w:rsid w:val="468C6015"/>
    <w:rsid w:val="46D5758F"/>
    <w:rsid w:val="46DA7553"/>
    <w:rsid w:val="476154E3"/>
    <w:rsid w:val="477A66E7"/>
    <w:rsid w:val="477F0273"/>
    <w:rsid w:val="48434B95"/>
    <w:rsid w:val="485211B2"/>
    <w:rsid w:val="487049C9"/>
    <w:rsid w:val="48BA5CE3"/>
    <w:rsid w:val="48F367D8"/>
    <w:rsid w:val="48FA66C3"/>
    <w:rsid w:val="492A1857"/>
    <w:rsid w:val="493D6047"/>
    <w:rsid w:val="498E2B50"/>
    <w:rsid w:val="49CA1332"/>
    <w:rsid w:val="49CF5A9C"/>
    <w:rsid w:val="49FA20A9"/>
    <w:rsid w:val="4A263982"/>
    <w:rsid w:val="4A4B786B"/>
    <w:rsid w:val="4A9C34A5"/>
    <w:rsid w:val="4A9C42D8"/>
    <w:rsid w:val="4AD01990"/>
    <w:rsid w:val="4AD31F88"/>
    <w:rsid w:val="4B4E1182"/>
    <w:rsid w:val="4B582815"/>
    <w:rsid w:val="4B8250FD"/>
    <w:rsid w:val="4C242A08"/>
    <w:rsid w:val="4C8B58EE"/>
    <w:rsid w:val="4CD755EA"/>
    <w:rsid w:val="4CEB4F5E"/>
    <w:rsid w:val="4D272AD1"/>
    <w:rsid w:val="4D62409F"/>
    <w:rsid w:val="4D6A495D"/>
    <w:rsid w:val="4D6C2C67"/>
    <w:rsid w:val="4D8A4AF9"/>
    <w:rsid w:val="4D9A471E"/>
    <w:rsid w:val="4DA00909"/>
    <w:rsid w:val="4DEA1FD9"/>
    <w:rsid w:val="4E902F1E"/>
    <w:rsid w:val="4ECB1BCC"/>
    <w:rsid w:val="4EDA2B2D"/>
    <w:rsid w:val="4F02323F"/>
    <w:rsid w:val="4F102445"/>
    <w:rsid w:val="4F276EF8"/>
    <w:rsid w:val="4FBC7AB7"/>
    <w:rsid w:val="4FC812D7"/>
    <w:rsid w:val="4FD13FB0"/>
    <w:rsid w:val="4FD56958"/>
    <w:rsid w:val="4FF87563"/>
    <w:rsid w:val="4FFC45E3"/>
    <w:rsid w:val="502C7313"/>
    <w:rsid w:val="505F1638"/>
    <w:rsid w:val="50621842"/>
    <w:rsid w:val="508B1503"/>
    <w:rsid w:val="5112261F"/>
    <w:rsid w:val="51310E43"/>
    <w:rsid w:val="5138246A"/>
    <w:rsid w:val="518646E7"/>
    <w:rsid w:val="51C55300"/>
    <w:rsid w:val="524260B9"/>
    <w:rsid w:val="529E6941"/>
    <w:rsid w:val="52DE4E11"/>
    <w:rsid w:val="53211D34"/>
    <w:rsid w:val="534D44EA"/>
    <w:rsid w:val="53763B7A"/>
    <w:rsid w:val="53A01C3C"/>
    <w:rsid w:val="53AF590E"/>
    <w:rsid w:val="53BB4763"/>
    <w:rsid w:val="542331C5"/>
    <w:rsid w:val="543B6BBD"/>
    <w:rsid w:val="54A649A8"/>
    <w:rsid w:val="54AB2BCD"/>
    <w:rsid w:val="54BF54F7"/>
    <w:rsid w:val="551E3FFA"/>
    <w:rsid w:val="55853A7A"/>
    <w:rsid w:val="55AA2EC6"/>
    <w:rsid w:val="566A5882"/>
    <w:rsid w:val="56827D24"/>
    <w:rsid w:val="568C0174"/>
    <w:rsid w:val="569056F0"/>
    <w:rsid w:val="56A64EBB"/>
    <w:rsid w:val="56B1265B"/>
    <w:rsid w:val="56C74FEE"/>
    <w:rsid w:val="572D02C8"/>
    <w:rsid w:val="573F34B0"/>
    <w:rsid w:val="57464C52"/>
    <w:rsid w:val="574D286F"/>
    <w:rsid w:val="577552C4"/>
    <w:rsid w:val="579969E8"/>
    <w:rsid w:val="57D2634C"/>
    <w:rsid w:val="57E83927"/>
    <w:rsid w:val="5807605B"/>
    <w:rsid w:val="58120FE6"/>
    <w:rsid w:val="5819028C"/>
    <w:rsid w:val="581F55FD"/>
    <w:rsid w:val="582E1C82"/>
    <w:rsid w:val="58542566"/>
    <w:rsid w:val="585B793F"/>
    <w:rsid w:val="58B033DA"/>
    <w:rsid w:val="58BF676B"/>
    <w:rsid w:val="58E62B46"/>
    <w:rsid w:val="5909413A"/>
    <w:rsid w:val="59494716"/>
    <w:rsid w:val="599B0EF7"/>
    <w:rsid w:val="59A210E1"/>
    <w:rsid w:val="59C93711"/>
    <w:rsid w:val="5A18747F"/>
    <w:rsid w:val="5AB60F49"/>
    <w:rsid w:val="5ACC2D05"/>
    <w:rsid w:val="5AF44532"/>
    <w:rsid w:val="5B5579B1"/>
    <w:rsid w:val="5B5855BD"/>
    <w:rsid w:val="5B61674D"/>
    <w:rsid w:val="5B804155"/>
    <w:rsid w:val="5BA046DA"/>
    <w:rsid w:val="5BA0637A"/>
    <w:rsid w:val="5BBB21E0"/>
    <w:rsid w:val="5BDD7CE8"/>
    <w:rsid w:val="5C013E42"/>
    <w:rsid w:val="5C290ABE"/>
    <w:rsid w:val="5C38691D"/>
    <w:rsid w:val="5C4662D1"/>
    <w:rsid w:val="5C482300"/>
    <w:rsid w:val="5C5A5A22"/>
    <w:rsid w:val="5C7F118A"/>
    <w:rsid w:val="5CCC2757"/>
    <w:rsid w:val="5CD04451"/>
    <w:rsid w:val="5CD27925"/>
    <w:rsid w:val="5D3055E3"/>
    <w:rsid w:val="5D5A52C7"/>
    <w:rsid w:val="5D8A5DD0"/>
    <w:rsid w:val="5D8E3F8D"/>
    <w:rsid w:val="5DB6564D"/>
    <w:rsid w:val="5DFB4CA1"/>
    <w:rsid w:val="5E012011"/>
    <w:rsid w:val="5E364C03"/>
    <w:rsid w:val="5E3B2604"/>
    <w:rsid w:val="5E484631"/>
    <w:rsid w:val="5EA26F25"/>
    <w:rsid w:val="5ED233AA"/>
    <w:rsid w:val="5EF81FF5"/>
    <w:rsid w:val="5F2372A2"/>
    <w:rsid w:val="5F2F2D75"/>
    <w:rsid w:val="5F4F0736"/>
    <w:rsid w:val="5FAF6488"/>
    <w:rsid w:val="5FC72C10"/>
    <w:rsid w:val="5FD11739"/>
    <w:rsid w:val="5FE51F93"/>
    <w:rsid w:val="5FFC24B8"/>
    <w:rsid w:val="602C11A5"/>
    <w:rsid w:val="602E0341"/>
    <w:rsid w:val="60466747"/>
    <w:rsid w:val="60751F2A"/>
    <w:rsid w:val="60C45A9F"/>
    <w:rsid w:val="60D33512"/>
    <w:rsid w:val="60F652EE"/>
    <w:rsid w:val="615E1FB9"/>
    <w:rsid w:val="61BA7E7E"/>
    <w:rsid w:val="61E32559"/>
    <w:rsid w:val="61F21D5B"/>
    <w:rsid w:val="624C2B5E"/>
    <w:rsid w:val="62540E71"/>
    <w:rsid w:val="626E176E"/>
    <w:rsid w:val="629A4F01"/>
    <w:rsid w:val="62AA48B3"/>
    <w:rsid w:val="62B14371"/>
    <w:rsid w:val="62C836C9"/>
    <w:rsid w:val="62CE3006"/>
    <w:rsid w:val="62E21D17"/>
    <w:rsid w:val="63112AC0"/>
    <w:rsid w:val="63164E37"/>
    <w:rsid w:val="63242C78"/>
    <w:rsid w:val="63583DC3"/>
    <w:rsid w:val="6382626D"/>
    <w:rsid w:val="639674EB"/>
    <w:rsid w:val="63BA4065"/>
    <w:rsid w:val="63FB65F1"/>
    <w:rsid w:val="64021659"/>
    <w:rsid w:val="6454680A"/>
    <w:rsid w:val="645E6D6A"/>
    <w:rsid w:val="6482013B"/>
    <w:rsid w:val="64C63A42"/>
    <w:rsid w:val="64D56A2A"/>
    <w:rsid w:val="64E02633"/>
    <w:rsid w:val="64F77CC2"/>
    <w:rsid w:val="651B03F4"/>
    <w:rsid w:val="651D21E6"/>
    <w:rsid w:val="656A0A8D"/>
    <w:rsid w:val="65A436DE"/>
    <w:rsid w:val="661B2089"/>
    <w:rsid w:val="66371F44"/>
    <w:rsid w:val="66524CAA"/>
    <w:rsid w:val="667E025A"/>
    <w:rsid w:val="6687396F"/>
    <w:rsid w:val="66A32488"/>
    <w:rsid w:val="66AE066E"/>
    <w:rsid w:val="66E322C0"/>
    <w:rsid w:val="670430D4"/>
    <w:rsid w:val="671F73AE"/>
    <w:rsid w:val="67581835"/>
    <w:rsid w:val="67633146"/>
    <w:rsid w:val="676F0330"/>
    <w:rsid w:val="67714296"/>
    <w:rsid w:val="67F35EC1"/>
    <w:rsid w:val="680E6582"/>
    <w:rsid w:val="680F6BFB"/>
    <w:rsid w:val="685F267C"/>
    <w:rsid w:val="686A2A07"/>
    <w:rsid w:val="689313B3"/>
    <w:rsid w:val="68AD7CA4"/>
    <w:rsid w:val="68F62A70"/>
    <w:rsid w:val="690E0431"/>
    <w:rsid w:val="69112EAA"/>
    <w:rsid w:val="69185200"/>
    <w:rsid w:val="694156DB"/>
    <w:rsid w:val="69504582"/>
    <w:rsid w:val="698F209E"/>
    <w:rsid w:val="69BC21A0"/>
    <w:rsid w:val="69C448C4"/>
    <w:rsid w:val="6A0012EB"/>
    <w:rsid w:val="6AC0679A"/>
    <w:rsid w:val="6B1E265E"/>
    <w:rsid w:val="6B67754C"/>
    <w:rsid w:val="6B7F5C68"/>
    <w:rsid w:val="6BAC3141"/>
    <w:rsid w:val="6BBE1C5E"/>
    <w:rsid w:val="6BBF3AFF"/>
    <w:rsid w:val="6BBF3EAA"/>
    <w:rsid w:val="6BD22543"/>
    <w:rsid w:val="6BD96F50"/>
    <w:rsid w:val="6BDD2BE6"/>
    <w:rsid w:val="6BF36018"/>
    <w:rsid w:val="6C2A0139"/>
    <w:rsid w:val="6C2E10E7"/>
    <w:rsid w:val="6C682561"/>
    <w:rsid w:val="6C6D4EE1"/>
    <w:rsid w:val="6CE07597"/>
    <w:rsid w:val="6D415747"/>
    <w:rsid w:val="6D6C58F3"/>
    <w:rsid w:val="6D7C563B"/>
    <w:rsid w:val="6D800A0A"/>
    <w:rsid w:val="6DA952E1"/>
    <w:rsid w:val="6DB90FE6"/>
    <w:rsid w:val="6DCC46D9"/>
    <w:rsid w:val="6DDC0129"/>
    <w:rsid w:val="6DE57794"/>
    <w:rsid w:val="6E0639FF"/>
    <w:rsid w:val="6E082FB2"/>
    <w:rsid w:val="6E0F3714"/>
    <w:rsid w:val="6E201EE0"/>
    <w:rsid w:val="6E4B702B"/>
    <w:rsid w:val="6E56538F"/>
    <w:rsid w:val="6E5F4961"/>
    <w:rsid w:val="6E693C8C"/>
    <w:rsid w:val="6E6A1466"/>
    <w:rsid w:val="6E924472"/>
    <w:rsid w:val="6E950ADE"/>
    <w:rsid w:val="6E9C6E90"/>
    <w:rsid w:val="6EAD2734"/>
    <w:rsid w:val="6F474195"/>
    <w:rsid w:val="6FBB2A2C"/>
    <w:rsid w:val="6FBC3D4D"/>
    <w:rsid w:val="6FD45E68"/>
    <w:rsid w:val="700B6CDC"/>
    <w:rsid w:val="70134638"/>
    <w:rsid w:val="70292A77"/>
    <w:rsid w:val="70383BC6"/>
    <w:rsid w:val="7098030B"/>
    <w:rsid w:val="70DD038D"/>
    <w:rsid w:val="711D059B"/>
    <w:rsid w:val="71A96CDF"/>
    <w:rsid w:val="71B11CB6"/>
    <w:rsid w:val="71EA1156"/>
    <w:rsid w:val="728539F0"/>
    <w:rsid w:val="72B426FD"/>
    <w:rsid w:val="72DD451C"/>
    <w:rsid w:val="72E14A61"/>
    <w:rsid w:val="73156A77"/>
    <w:rsid w:val="731B5BBE"/>
    <w:rsid w:val="73392DA4"/>
    <w:rsid w:val="736019F1"/>
    <w:rsid w:val="7371589F"/>
    <w:rsid w:val="73F35DE2"/>
    <w:rsid w:val="741175D7"/>
    <w:rsid w:val="749368DE"/>
    <w:rsid w:val="74E176F9"/>
    <w:rsid w:val="751037AE"/>
    <w:rsid w:val="75413C0B"/>
    <w:rsid w:val="759D32A9"/>
    <w:rsid w:val="75A4312B"/>
    <w:rsid w:val="75AC0424"/>
    <w:rsid w:val="75F17865"/>
    <w:rsid w:val="75FF4630"/>
    <w:rsid w:val="760E6E1D"/>
    <w:rsid w:val="76637371"/>
    <w:rsid w:val="76A76B07"/>
    <w:rsid w:val="76CC1AB2"/>
    <w:rsid w:val="76D165F8"/>
    <w:rsid w:val="76E61D03"/>
    <w:rsid w:val="77422856"/>
    <w:rsid w:val="776E1304"/>
    <w:rsid w:val="77D23602"/>
    <w:rsid w:val="78525E90"/>
    <w:rsid w:val="790155DF"/>
    <w:rsid w:val="79770859"/>
    <w:rsid w:val="79C6782D"/>
    <w:rsid w:val="79D030EB"/>
    <w:rsid w:val="79E43495"/>
    <w:rsid w:val="7A27315F"/>
    <w:rsid w:val="7A4713D4"/>
    <w:rsid w:val="7A5D66EA"/>
    <w:rsid w:val="7AB30796"/>
    <w:rsid w:val="7ACA3EBF"/>
    <w:rsid w:val="7AD8796E"/>
    <w:rsid w:val="7B1834AF"/>
    <w:rsid w:val="7B3B0A80"/>
    <w:rsid w:val="7B6F2020"/>
    <w:rsid w:val="7B7D4B0A"/>
    <w:rsid w:val="7B9250A4"/>
    <w:rsid w:val="7BA63759"/>
    <w:rsid w:val="7BD01AD0"/>
    <w:rsid w:val="7BE12CF9"/>
    <w:rsid w:val="7BF41F9E"/>
    <w:rsid w:val="7C3D0E30"/>
    <w:rsid w:val="7C4B6622"/>
    <w:rsid w:val="7C583918"/>
    <w:rsid w:val="7CB415ED"/>
    <w:rsid w:val="7D0E6704"/>
    <w:rsid w:val="7D5C596A"/>
    <w:rsid w:val="7DA76A01"/>
    <w:rsid w:val="7DB626A9"/>
    <w:rsid w:val="7DBF6E91"/>
    <w:rsid w:val="7DCE664D"/>
    <w:rsid w:val="7DEF37A0"/>
    <w:rsid w:val="7E031C79"/>
    <w:rsid w:val="7E05032B"/>
    <w:rsid w:val="7E343AE7"/>
    <w:rsid w:val="7E3E252F"/>
    <w:rsid w:val="7EF6491B"/>
    <w:rsid w:val="7F2E1278"/>
    <w:rsid w:val="7F536D0A"/>
    <w:rsid w:val="7F9D46F9"/>
    <w:rsid w:val="7FEE4D3D"/>
    <w:rsid w:val="7FF01447"/>
    <w:rsid w:val="7FFF00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numPr>
        <w:ilvl w:val="0"/>
        <w:numId w:val="1"/>
      </w:numPr>
      <w:outlineLvl w:val="0"/>
    </w:pPr>
    <w:rPr>
      <w:b/>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spacing w:line="360" w:lineRule="auto"/>
      <w:ind w:firstLine="480" w:firstLineChars="200"/>
      <w:outlineLvl w:val="2"/>
    </w:pPr>
    <w:rPr>
      <w:rFonts w:ascii="宋体" w:hAnsi="宋体" w:cs="宋体"/>
      <w:sz w:val="24"/>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kern w:val="0"/>
      <w:sz w:val="20"/>
    </w:rPr>
  </w:style>
  <w:style w:type="paragraph" w:styleId="6">
    <w:name w:val="annotation text"/>
    <w:basedOn w:val="1"/>
    <w:qFormat/>
    <w:uiPriority w:val="0"/>
    <w:pPr>
      <w:jc w:val="left"/>
    </w:pPr>
  </w:style>
  <w:style w:type="paragraph" w:styleId="7">
    <w:name w:val="Body Text"/>
    <w:basedOn w:val="1"/>
    <w:next w:val="8"/>
    <w:qFormat/>
    <w:uiPriority w:val="0"/>
    <w:pPr>
      <w:widowControl/>
      <w:jc w:val="left"/>
    </w:pPr>
    <w:rPr>
      <w:rFonts w:ascii="Tahoma" w:hAnsi="Tahoma"/>
      <w:kern w:val="0"/>
      <w:sz w:val="22"/>
      <w:lang w:val="en-GB"/>
    </w:rPr>
  </w:style>
  <w:style w:type="paragraph" w:customStyle="1" w:styleId="8">
    <w:name w:val="目录 53"/>
    <w:basedOn w:val="1"/>
    <w:next w:val="1"/>
    <w:qFormat/>
    <w:uiPriority w:val="99"/>
    <w:pPr>
      <w:ind w:left="840"/>
    </w:pPr>
    <w:rPr>
      <w:sz w:val="18"/>
    </w:rPr>
  </w:style>
  <w:style w:type="paragraph" w:styleId="9">
    <w:name w:val="Body Text Indent"/>
    <w:basedOn w:val="1"/>
    <w:qFormat/>
    <w:uiPriority w:val="0"/>
    <w:pPr>
      <w:spacing w:after="120"/>
      <w:ind w:left="420" w:leftChars="200"/>
    </w:pPr>
  </w:style>
  <w:style w:type="paragraph" w:styleId="10">
    <w:name w:val="List 2"/>
    <w:basedOn w:val="1"/>
    <w:next w:val="11"/>
    <w:qFormat/>
    <w:uiPriority w:val="0"/>
    <w:pPr>
      <w:ind w:left="100" w:leftChars="200" w:hanging="200" w:hangingChars="200"/>
    </w:pPr>
  </w:style>
  <w:style w:type="paragraph" w:styleId="11">
    <w:name w:val="Plain Text"/>
    <w:basedOn w:val="1"/>
    <w:qFormat/>
    <w:uiPriority w:val="0"/>
    <w:rPr>
      <w:rFonts w:ascii="宋体" w:hAnsi="Courier New"/>
    </w:rPr>
  </w:style>
  <w:style w:type="paragraph" w:styleId="12">
    <w:name w:val="toc 3"/>
    <w:basedOn w:val="1"/>
    <w:next w:val="1"/>
    <w:qFormat/>
    <w:uiPriority w:val="0"/>
    <w:pPr>
      <w:ind w:left="420"/>
      <w:jc w:val="left"/>
    </w:pPr>
    <w:rPr>
      <w:i/>
      <w:sz w:val="20"/>
    </w:rPr>
  </w:style>
  <w:style w:type="paragraph" w:styleId="13">
    <w:name w:val="Body Text Indent 2"/>
    <w:basedOn w:val="1"/>
    <w:qFormat/>
    <w:uiPriority w:val="0"/>
    <w:pPr>
      <w:ind w:firstLine="480"/>
    </w:pPr>
    <w:rPr>
      <w:rFonts w:ascii="宋体" w:hAnsi="宋体"/>
      <w:sz w:val="30"/>
      <w:szCs w:val="24"/>
    </w:rPr>
  </w:style>
  <w:style w:type="paragraph" w:styleId="14">
    <w:name w:val="Balloon Text"/>
    <w:basedOn w:val="1"/>
    <w:link w:val="46"/>
    <w:qFormat/>
    <w:uiPriority w:val="0"/>
    <w:rPr>
      <w:sz w:val="18"/>
      <w:szCs w:val="18"/>
    </w:rPr>
  </w:style>
  <w:style w:type="paragraph" w:styleId="15">
    <w:name w:val="footer"/>
    <w:basedOn w:val="1"/>
    <w:next w:val="1"/>
    <w:link w:val="5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szCs w:val="20"/>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9">
    <w:name w:val="List"/>
    <w:basedOn w:val="1"/>
    <w:qFormat/>
    <w:uiPriority w:val="0"/>
    <w:pPr>
      <w:adjustRightInd w:val="0"/>
      <w:spacing w:line="360" w:lineRule="atLeast"/>
      <w:ind w:left="420" w:hanging="420"/>
      <w:jc w:val="left"/>
    </w:pPr>
    <w:rPr>
      <w:rFonts w:hint="eastAsia" w:ascii="宋体"/>
      <w:kern w:val="0"/>
      <w:sz w:val="24"/>
    </w:rPr>
  </w:style>
  <w:style w:type="paragraph" w:styleId="20">
    <w:name w:val="footnote text"/>
    <w:basedOn w:val="1"/>
    <w:qFormat/>
    <w:uiPriority w:val="0"/>
    <w:pPr>
      <w:snapToGrid w:val="0"/>
      <w:jc w:val="left"/>
    </w:pPr>
    <w:rPr>
      <w:sz w:val="1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link w:val="47"/>
    <w:qFormat/>
    <w:uiPriority w:val="0"/>
    <w:pPr>
      <w:jc w:val="center"/>
      <w:outlineLvl w:val="0"/>
    </w:pPr>
    <w:rPr>
      <w:rFonts w:ascii="Arial" w:hAnsi="Arial"/>
      <w:b/>
      <w:sz w:val="32"/>
      <w:szCs w:val="22"/>
    </w:rPr>
  </w:style>
  <w:style w:type="paragraph" w:styleId="23">
    <w:name w:val="Body Text First Indent"/>
    <w:basedOn w:val="7"/>
    <w:next w:val="1"/>
    <w:qFormat/>
    <w:uiPriority w:val="0"/>
    <w:pPr>
      <w:spacing w:line="312" w:lineRule="auto"/>
      <w:ind w:firstLine="420"/>
    </w:pPr>
  </w:style>
  <w:style w:type="paragraph" w:styleId="24">
    <w:name w:val="Body Text First Indent 2"/>
    <w:basedOn w:val="9"/>
    <w:qFormat/>
    <w:uiPriority w:val="0"/>
    <w:pPr>
      <w:ind w:left="200" w:firstLine="20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style>
  <w:style w:type="character" w:styleId="29">
    <w:name w:val="page number"/>
    <w:basedOn w:val="27"/>
    <w:qFormat/>
    <w:uiPriority w:val="0"/>
    <w:rPr>
      <w:rFonts w:ascii="Times New Roman" w:hAnsi="Times New Roman" w:eastAsia="宋体" w:cs="Times New Roman"/>
    </w:rPr>
  </w:style>
  <w:style w:type="character" w:styleId="30">
    <w:name w:val="Hyperlink"/>
    <w:basedOn w:val="27"/>
    <w:qFormat/>
    <w:uiPriority w:val="0"/>
    <w:rPr>
      <w:color w:val="0000FF"/>
      <w:u w:val="single"/>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样式1"/>
    <w:basedOn w:val="1"/>
    <w:qFormat/>
    <w:uiPriority w:val="0"/>
    <w:pPr>
      <w:jc w:val="center"/>
    </w:pPr>
    <w:rPr>
      <w:szCs w:val="30"/>
    </w:rPr>
  </w:style>
  <w:style w:type="paragraph" w:customStyle="1" w:styleId="33">
    <w:name w:val="Table Paragraph"/>
    <w:basedOn w:val="1"/>
    <w:qFormat/>
    <w:uiPriority w:val="1"/>
    <w:rPr>
      <w:rFonts w:ascii="宋体" w:hAnsi="宋体" w:cs="宋体"/>
      <w:lang w:val="zh-CN" w:bidi="zh-CN"/>
    </w:rPr>
  </w:style>
  <w:style w:type="paragraph" w:customStyle="1" w:styleId="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6">
    <w:name w:val="List Paragraph"/>
    <w:basedOn w:val="1"/>
    <w:qFormat/>
    <w:uiPriority w:val="99"/>
    <w:pPr>
      <w:ind w:firstLine="420" w:firstLineChars="200"/>
    </w:pPr>
    <w:rPr>
      <w:szCs w:val="24"/>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正文1"/>
    <w:qFormat/>
    <w:uiPriority w:val="0"/>
    <w:rPr>
      <w:rFonts w:ascii="Calibri" w:hAnsi="Calibri" w:eastAsia="Times New Roman" w:cs="Times New Roman"/>
      <w:sz w:val="24"/>
      <w:szCs w:val="24"/>
      <w:lang w:val="en-US" w:eastAsia="zh-CN" w:bidi="ar-SA"/>
    </w:rPr>
  </w:style>
  <w:style w:type="paragraph" w:customStyle="1" w:styleId="39">
    <w:name w:val="标题 5（有编号）（绿盟科技）"/>
    <w:basedOn w:val="1"/>
    <w:next w:val="40"/>
    <w:qFormat/>
    <w:uiPriority w:val="99"/>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Char Char Char Char Char Char Char Char Char Char Char Char Char Char1 Char Char Char Char"/>
    <w:basedOn w:val="1"/>
    <w:qFormat/>
    <w:uiPriority w:val="0"/>
    <w:rPr>
      <w:szCs w:val="21"/>
    </w:rPr>
  </w:style>
  <w:style w:type="character" w:customStyle="1" w:styleId="43">
    <w:name w:val="font21"/>
    <w:basedOn w:val="27"/>
    <w:qFormat/>
    <w:uiPriority w:val="0"/>
    <w:rPr>
      <w:rFonts w:hint="eastAsia" w:ascii="宋体" w:hAnsi="宋体" w:eastAsia="宋体" w:cs="宋体"/>
      <w:color w:val="000000"/>
      <w:sz w:val="24"/>
      <w:szCs w:val="24"/>
      <w:u w:val="none"/>
    </w:rPr>
  </w:style>
  <w:style w:type="paragraph" w:customStyle="1" w:styleId="4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45">
    <w:name w:val="font01"/>
    <w:basedOn w:val="27"/>
    <w:qFormat/>
    <w:uiPriority w:val="0"/>
    <w:rPr>
      <w:rFonts w:hint="eastAsia" w:ascii="宋体" w:hAnsi="宋体" w:eastAsia="宋体" w:cs="宋体"/>
      <w:color w:val="000000"/>
      <w:sz w:val="24"/>
      <w:szCs w:val="24"/>
      <w:u w:val="none"/>
    </w:rPr>
  </w:style>
  <w:style w:type="character" w:customStyle="1" w:styleId="46">
    <w:name w:val="批注框文本 Char"/>
    <w:basedOn w:val="27"/>
    <w:link w:val="14"/>
    <w:qFormat/>
    <w:uiPriority w:val="0"/>
    <w:rPr>
      <w:kern w:val="2"/>
      <w:sz w:val="18"/>
      <w:szCs w:val="18"/>
    </w:rPr>
  </w:style>
  <w:style w:type="character" w:customStyle="1" w:styleId="47">
    <w:name w:val="标题 Char"/>
    <w:basedOn w:val="27"/>
    <w:link w:val="22"/>
    <w:qFormat/>
    <w:uiPriority w:val="0"/>
    <w:rPr>
      <w:rFonts w:ascii="Arial" w:hAnsi="Arial"/>
      <w:b/>
      <w:kern w:val="2"/>
      <w:sz w:val="32"/>
      <w:szCs w:val="22"/>
    </w:rPr>
  </w:style>
  <w:style w:type="character" w:customStyle="1" w:styleId="48">
    <w:name w:val="标题 1 Char"/>
    <w:link w:val="2"/>
    <w:qFormat/>
    <w:uiPriority w:val="0"/>
    <w:rPr>
      <w:b/>
      <w:kern w:val="2"/>
      <w:sz w:val="21"/>
    </w:rPr>
  </w:style>
  <w:style w:type="paragraph" w:customStyle="1" w:styleId="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0">
    <w:name w:val="页眉 Char"/>
    <w:basedOn w:val="27"/>
    <w:link w:val="17"/>
    <w:qFormat/>
    <w:uiPriority w:val="0"/>
    <w:rPr>
      <w:kern w:val="2"/>
      <w:sz w:val="18"/>
    </w:rPr>
  </w:style>
  <w:style w:type="character" w:customStyle="1" w:styleId="51">
    <w:name w:val="页脚 Char"/>
    <w:basedOn w:val="27"/>
    <w:link w:val="15"/>
    <w:qFormat/>
    <w:uiPriority w:val="0"/>
    <w:rPr>
      <w:kern w:val="2"/>
      <w:sz w:val="18"/>
    </w:rPr>
  </w:style>
  <w:style w:type="paragraph" w:customStyle="1" w:styleId="5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sz w:val="28"/>
      <w:szCs w:val="20"/>
    </w:rPr>
  </w:style>
  <w:style w:type="table" w:customStyle="1" w:styleId="53">
    <w:name w:val="Table Normal"/>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character" w:customStyle="1" w:styleId="54">
    <w:name w:val="NormalCharacter"/>
    <w:qFormat/>
    <w:uiPriority w:val="0"/>
  </w:style>
  <w:style w:type="paragraph" w:customStyle="1" w:styleId="55">
    <w:name w:val="UserStyle_0"/>
    <w:basedOn w:val="1"/>
    <w:qFormat/>
    <w:uiPriority w:val="0"/>
    <w:pPr>
      <w:ind w:firstLine="420" w:firstLineChars="200"/>
      <w:jc w:val="both"/>
      <w:textAlignment w:val="baseline"/>
    </w:pPr>
    <w:rPr>
      <w:rFonts w:ascii="Times New Roman" w:hAnsi="Times New Roman" w:eastAsia="宋体"/>
      <w:kern w:val="0"/>
      <w:sz w:val="20"/>
      <w:szCs w:val="24"/>
      <w:lang w:val="en-US" w:eastAsia="zh-CN" w:bidi="ar-SA"/>
    </w:rPr>
  </w:style>
  <w:style w:type="paragraph" w:customStyle="1" w:styleId="5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纯文本1 New New New New New New New New"/>
    <w:basedOn w:val="1"/>
    <w:qFormat/>
    <w:uiPriority w:val="0"/>
    <w:pPr>
      <w:widowControl w:val="0"/>
      <w:suppressAutoHyphens/>
    </w:pPr>
    <w:rPr>
      <w:rFonts w:ascii="宋体"/>
      <w:kern w:val="2"/>
      <w:szCs w:val="20"/>
      <w:lang w:eastAsia="ar-SA"/>
    </w:rPr>
  </w:style>
  <w:style w:type="character" w:customStyle="1" w:styleId="59">
    <w:name w:val="标题 2 字符"/>
    <w:qFormat/>
    <w:uiPriority w:val="99"/>
    <w:rPr>
      <w:b/>
      <w:kern w:val="2"/>
      <w:sz w:val="24"/>
      <w:szCs w:val="24"/>
    </w:rPr>
  </w:style>
  <w:style w:type="paragraph" w:customStyle="1" w:styleId="60">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2"/>
    <customShpInfo spid="_x0000_s1034" textRotate="1"/>
    <customShpInfo spid="_x0000_s1033"/>
    <customShpInfo spid="_x0000_s1035" textRotate="1"/>
    <customShpInfo spid="_x0000_s1036" textRotate="1"/>
    <customShpInfo spid="_x0000_s1037"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20713</Words>
  <Characters>22539</Characters>
  <Lines>311</Lines>
  <Paragraphs>87</Paragraphs>
  <TotalTime>24</TotalTime>
  <ScaleCrop>false</ScaleCrop>
  <LinksUpToDate>false</LinksUpToDate>
  <CharactersWithSpaces>23006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Administrator</cp:lastModifiedBy>
  <cp:lastPrinted>2025-10-30T02:53:00Z</cp:lastPrinted>
  <dcterms:modified xsi:type="dcterms:W3CDTF">2026-05-21T08:28:29Z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60B6085B0D9340A0BE3155865198CAEF</vt:lpwstr>
  </property>
  <property fmtid="{D5CDD505-2E9C-101B-9397-08002B2CF9AE}" pid="4" name="KSOTemplateDocerSaveRecord">
    <vt:lpwstr>eyJoZGlkIjoiZjBkN2FhNjhlNmQyZWM1NGNiZTE5YTZhMDg1OGI5ZTEiLCJ1c2VySWQiOiI4NDc4NTM3MDkifQ==</vt:lpwstr>
  </property>
</Properties>
</file>