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010AC">
      <w:pPr>
        <w:pStyle w:val="4"/>
        <w:jc w:val="center"/>
        <w:outlineLvl w:val="1"/>
      </w:pPr>
      <w:r>
        <w:rPr>
          <w:rFonts w:ascii="仿宋_GB2312" w:hAnsi="仿宋_GB2312" w:eastAsia="仿宋_GB2312" w:cs="仿宋_GB2312"/>
          <w:b/>
          <w:sz w:val="36"/>
        </w:rPr>
        <w:t>第三章 技术、服务及其他要求</w:t>
      </w:r>
    </w:p>
    <w:p w14:paraId="267F219A">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240D8AF8">
      <w:pPr>
        <w:pStyle w:val="4"/>
        <w:jc w:val="left"/>
        <w:outlineLvl w:val="2"/>
      </w:pPr>
      <w:r>
        <w:rPr>
          <w:rFonts w:ascii="仿宋_GB2312" w:hAnsi="仿宋_GB2312" w:eastAsia="仿宋_GB2312" w:cs="仿宋_GB2312"/>
          <w:b/>
          <w:sz w:val="28"/>
        </w:rPr>
        <w:t>3.1.采购内容</w:t>
      </w:r>
    </w:p>
    <w:p w14:paraId="0E976BF5">
      <w:pPr>
        <w:pStyle w:val="4"/>
        <w:jc w:val="left"/>
      </w:pPr>
      <w:r>
        <w:rPr>
          <w:rFonts w:ascii="仿宋_GB2312" w:hAnsi="仿宋_GB2312" w:eastAsia="仿宋_GB2312" w:cs="仿宋_GB2312"/>
        </w:rPr>
        <w:t>采购包1：</w:t>
      </w:r>
    </w:p>
    <w:p w14:paraId="52CF09C0">
      <w:pPr>
        <w:pStyle w:val="4"/>
        <w:jc w:val="left"/>
      </w:pPr>
      <w:r>
        <w:rPr>
          <w:rFonts w:ascii="仿宋_GB2312" w:hAnsi="仿宋_GB2312" w:eastAsia="仿宋_GB2312" w:cs="仿宋_GB2312"/>
        </w:rPr>
        <w:t>采购包预算金额（元）: 900,000.00</w:t>
      </w:r>
    </w:p>
    <w:p w14:paraId="2568E057">
      <w:pPr>
        <w:pStyle w:val="4"/>
        <w:jc w:val="left"/>
      </w:pPr>
      <w:r>
        <w:rPr>
          <w:rFonts w:ascii="仿宋_GB2312" w:hAnsi="仿宋_GB2312" w:eastAsia="仿宋_GB2312" w:cs="仿宋_GB2312"/>
        </w:rPr>
        <w:t>采购包最高限价（元）: 900,000.00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7"/>
        <w:gridCol w:w="1116"/>
        <w:gridCol w:w="779"/>
        <w:gridCol w:w="820"/>
        <w:gridCol w:w="1216"/>
        <w:gridCol w:w="739"/>
        <w:gridCol w:w="739"/>
        <w:gridCol w:w="739"/>
        <w:gridCol w:w="739"/>
        <w:gridCol w:w="594"/>
        <w:gridCol w:w="594"/>
      </w:tblGrid>
      <w:tr w14:paraId="02A30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2923B97">
            <w:pPr>
              <w:pStyle w:val="4"/>
              <w:jc w:val="center"/>
            </w:pPr>
            <w:r>
              <w:rPr>
                <w:rFonts w:ascii="仿宋_GB2312" w:hAnsi="仿宋_GB2312" w:eastAsia="仿宋_GB2312" w:cs="仿宋_GB2312"/>
              </w:rPr>
              <w:t>序号</w:t>
            </w:r>
          </w:p>
        </w:tc>
        <w:tc>
          <w:tcPr>
            <w:tcW w:w="821" w:type="dxa"/>
          </w:tcPr>
          <w:p w14:paraId="363C2715">
            <w:pPr>
              <w:pStyle w:val="4"/>
              <w:jc w:val="center"/>
            </w:pPr>
            <w:r>
              <w:rPr>
                <w:rFonts w:ascii="仿宋_GB2312" w:hAnsi="仿宋_GB2312" w:eastAsia="仿宋_GB2312" w:cs="仿宋_GB2312"/>
              </w:rPr>
              <w:t>采购品目名称</w:t>
            </w:r>
          </w:p>
        </w:tc>
        <w:tc>
          <w:tcPr>
            <w:tcW w:w="821" w:type="dxa"/>
          </w:tcPr>
          <w:p w14:paraId="478DA067">
            <w:pPr>
              <w:pStyle w:val="4"/>
              <w:jc w:val="center"/>
            </w:pPr>
            <w:r>
              <w:rPr>
                <w:rFonts w:ascii="仿宋_GB2312" w:hAnsi="仿宋_GB2312" w:eastAsia="仿宋_GB2312" w:cs="仿宋_GB2312"/>
              </w:rPr>
              <w:t>标的名称</w:t>
            </w:r>
          </w:p>
        </w:tc>
        <w:tc>
          <w:tcPr>
            <w:tcW w:w="821" w:type="dxa"/>
          </w:tcPr>
          <w:p w14:paraId="5397E602">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6B1F3555">
            <w:pPr>
              <w:pStyle w:val="4"/>
              <w:jc w:val="center"/>
            </w:pPr>
            <w:r>
              <w:rPr>
                <w:rFonts w:ascii="仿宋_GB2312" w:hAnsi="仿宋_GB2312" w:eastAsia="仿宋_GB2312" w:cs="仿宋_GB2312"/>
              </w:rPr>
              <w:t>标的金额 （元）</w:t>
            </w:r>
          </w:p>
        </w:tc>
        <w:tc>
          <w:tcPr>
            <w:tcW w:w="821" w:type="dxa"/>
          </w:tcPr>
          <w:p w14:paraId="4DEC0B07">
            <w:pPr>
              <w:pStyle w:val="4"/>
              <w:jc w:val="center"/>
            </w:pPr>
            <w:r>
              <w:rPr>
                <w:rFonts w:ascii="仿宋_GB2312" w:hAnsi="仿宋_GB2312" w:eastAsia="仿宋_GB2312" w:cs="仿宋_GB2312"/>
              </w:rPr>
              <w:t>所属行业</w:t>
            </w:r>
          </w:p>
        </w:tc>
        <w:tc>
          <w:tcPr>
            <w:tcW w:w="821" w:type="dxa"/>
          </w:tcPr>
          <w:p w14:paraId="08593E47">
            <w:pPr>
              <w:pStyle w:val="4"/>
              <w:jc w:val="center"/>
            </w:pPr>
            <w:r>
              <w:rPr>
                <w:rFonts w:ascii="仿宋_GB2312" w:hAnsi="仿宋_GB2312" w:eastAsia="仿宋_GB2312" w:cs="仿宋_GB2312"/>
              </w:rPr>
              <w:t>是否涉及核心产品</w:t>
            </w:r>
          </w:p>
        </w:tc>
        <w:tc>
          <w:tcPr>
            <w:tcW w:w="821" w:type="dxa"/>
          </w:tcPr>
          <w:p w14:paraId="1392DAB7">
            <w:pPr>
              <w:pStyle w:val="4"/>
              <w:jc w:val="center"/>
            </w:pPr>
            <w:r>
              <w:rPr>
                <w:rFonts w:ascii="仿宋_GB2312" w:hAnsi="仿宋_GB2312" w:eastAsia="仿宋_GB2312" w:cs="仿宋_GB2312"/>
              </w:rPr>
              <w:t>是否涉及采购进口产品</w:t>
            </w:r>
          </w:p>
        </w:tc>
        <w:tc>
          <w:tcPr>
            <w:tcW w:w="821" w:type="dxa"/>
          </w:tcPr>
          <w:p w14:paraId="38B4E8BC">
            <w:pPr>
              <w:pStyle w:val="4"/>
              <w:jc w:val="center"/>
            </w:pPr>
            <w:r>
              <w:rPr>
                <w:rFonts w:ascii="仿宋_GB2312" w:hAnsi="仿宋_GB2312" w:eastAsia="仿宋_GB2312" w:cs="仿宋_GB2312"/>
              </w:rPr>
              <w:t>是否涉及强制采购节能产品</w:t>
            </w:r>
          </w:p>
        </w:tc>
        <w:tc>
          <w:tcPr>
            <w:tcW w:w="639" w:type="dxa"/>
          </w:tcPr>
          <w:p w14:paraId="37E1542D">
            <w:pPr>
              <w:pStyle w:val="4"/>
              <w:jc w:val="center"/>
            </w:pPr>
            <w:r>
              <w:rPr>
                <w:rFonts w:ascii="仿宋_GB2312" w:hAnsi="仿宋_GB2312" w:eastAsia="仿宋_GB2312" w:cs="仿宋_GB2312"/>
              </w:rPr>
              <w:t>是否涉及优先采购节能产品</w:t>
            </w:r>
          </w:p>
        </w:tc>
        <w:tc>
          <w:tcPr>
            <w:tcW w:w="639" w:type="dxa"/>
          </w:tcPr>
          <w:p w14:paraId="35CADBD1">
            <w:pPr>
              <w:pStyle w:val="4"/>
              <w:jc w:val="center"/>
            </w:pPr>
            <w:r>
              <w:rPr>
                <w:rFonts w:ascii="仿宋_GB2312" w:hAnsi="仿宋_GB2312" w:eastAsia="仿宋_GB2312" w:cs="仿宋_GB2312"/>
              </w:rPr>
              <w:t>是否涉及优先采购环境标志产品</w:t>
            </w:r>
          </w:p>
        </w:tc>
      </w:tr>
      <w:tr w14:paraId="316813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40EB5D7">
            <w:pPr>
              <w:pStyle w:val="4"/>
              <w:jc w:val="left"/>
            </w:pPr>
            <w:r>
              <w:rPr>
                <w:rFonts w:ascii="仿宋_GB2312" w:hAnsi="仿宋_GB2312" w:eastAsia="仿宋_GB2312" w:cs="仿宋_GB2312"/>
              </w:rPr>
              <w:t>1</w:t>
            </w:r>
          </w:p>
        </w:tc>
        <w:tc>
          <w:tcPr>
            <w:tcW w:w="821" w:type="dxa"/>
          </w:tcPr>
          <w:p w14:paraId="0B59A9E4">
            <w:pPr>
              <w:pStyle w:val="4"/>
              <w:jc w:val="left"/>
            </w:pPr>
            <w:r>
              <w:rPr>
                <w:rFonts w:ascii="仿宋_GB2312" w:hAnsi="仿宋_GB2312" w:eastAsia="仿宋_GB2312" w:cs="仿宋_GB2312"/>
              </w:rPr>
              <w:t>C07010100 生态资源调查与监测服务</w:t>
            </w:r>
          </w:p>
        </w:tc>
        <w:tc>
          <w:tcPr>
            <w:tcW w:w="821" w:type="dxa"/>
          </w:tcPr>
          <w:p w14:paraId="4E7289C1">
            <w:pPr>
              <w:pStyle w:val="4"/>
              <w:jc w:val="left"/>
            </w:pPr>
            <w:r>
              <w:rPr>
                <w:rFonts w:ascii="仿宋_GB2312" w:hAnsi="仿宋_GB2312" w:eastAsia="仿宋_GB2312" w:cs="仿宋_GB2312"/>
              </w:rPr>
              <w:t>2026年土壤及地下水监督性监测</w:t>
            </w:r>
          </w:p>
        </w:tc>
        <w:tc>
          <w:tcPr>
            <w:tcW w:w="821" w:type="dxa"/>
          </w:tcPr>
          <w:p w14:paraId="4A802869">
            <w:pPr>
              <w:pStyle w:val="4"/>
              <w:jc w:val="right"/>
            </w:pPr>
            <w:r>
              <w:rPr>
                <w:rFonts w:ascii="仿宋_GB2312" w:hAnsi="仿宋_GB2312" w:eastAsia="仿宋_GB2312" w:cs="仿宋_GB2312"/>
              </w:rPr>
              <w:t>1.00（项）</w:t>
            </w:r>
          </w:p>
        </w:tc>
        <w:tc>
          <w:tcPr>
            <w:tcW w:w="821" w:type="dxa"/>
          </w:tcPr>
          <w:p w14:paraId="5D1999DD">
            <w:pPr>
              <w:pStyle w:val="4"/>
              <w:jc w:val="right"/>
            </w:pPr>
            <w:r>
              <w:rPr>
                <w:rFonts w:ascii="仿宋_GB2312" w:hAnsi="仿宋_GB2312" w:eastAsia="仿宋_GB2312" w:cs="仿宋_GB2312"/>
              </w:rPr>
              <w:t>900,000.00</w:t>
            </w:r>
          </w:p>
        </w:tc>
        <w:tc>
          <w:tcPr>
            <w:tcW w:w="821" w:type="dxa"/>
          </w:tcPr>
          <w:p w14:paraId="314FC32C">
            <w:pPr>
              <w:pStyle w:val="4"/>
              <w:jc w:val="left"/>
            </w:pPr>
            <w:r>
              <w:rPr>
                <w:rFonts w:ascii="仿宋_GB2312" w:hAnsi="仿宋_GB2312" w:eastAsia="仿宋_GB2312" w:cs="仿宋_GB2312"/>
              </w:rPr>
              <w:t>其他未列明行业</w:t>
            </w:r>
          </w:p>
        </w:tc>
        <w:tc>
          <w:tcPr>
            <w:tcW w:w="821" w:type="dxa"/>
          </w:tcPr>
          <w:p w14:paraId="5B409A94">
            <w:pPr>
              <w:pStyle w:val="4"/>
              <w:jc w:val="left"/>
            </w:pPr>
            <w:r>
              <w:rPr>
                <w:rFonts w:ascii="仿宋_GB2312" w:hAnsi="仿宋_GB2312" w:eastAsia="仿宋_GB2312" w:cs="仿宋_GB2312"/>
              </w:rPr>
              <w:t>否</w:t>
            </w:r>
          </w:p>
        </w:tc>
        <w:tc>
          <w:tcPr>
            <w:tcW w:w="821" w:type="dxa"/>
          </w:tcPr>
          <w:p w14:paraId="7E6FF781">
            <w:pPr>
              <w:pStyle w:val="4"/>
              <w:jc w:val="left"/>
            </w:pPr>
            <w:r>
              <w:rPr>
                <w:rFonts w:ascii="仿宋_GB2312" w:hAnsi="仿宋_GB2312" w:eastAsia="仿宋_GB2312" w:cs="仿宋_GB2312"/>
              </w:rPr>
              <w:t>否</w:t>
            </w:r>
          </w:p>
        </w:tc>
        <w:tc>
          <w:tcPr>
            <w:tcW w:w="821" w:type="dxa"/>
          </w:tcPr>
          <w:p w14:paraId="7B86165C">
            <w:pPr>
              <w:pStyle w:val="4"/>
              <w:jc w:val="left"/>
            </w:pPr>
            <w:r>
              <w:rPr>
                <w:rFonts w:ascii="仿宋_GB2312" w:hAnsi="仿宋_GB2312" w:eastAsia="仿宋_GB2312" w:cs="仿宋_GB2312"/>
              </w:rPr>
              <w:t>否</w:t>
            </w:r>
          </w:p>
        </w:tc>
        <w:tc>
          <w:tcPr>
            <w:tcW w:w="639" w:type="dxa"/>
          </w:tcPr>
          <w:p w14:paraId="6C6B2A3C">
            <w:pPr>
              <w:pStyle w:val="4"/>
              <w:jc w:val="left"/>
            </w:pPr>
            <w:r>
              <w:rPr>
                <w:rFonts w:ascii="仿宋_GB2312" w:hAnsi="仿宋_GB2312" w:eastAsia="仿宋_GB2312" w:cs="仿宋_GB2312"/>
              </w:rPr>
              <w:t>否</w:t>
            </w:r>
          </w:p>
        </w:tc>
        <w:tc>
          <w:tcPr>
            <w:tcW w:w="639" w:type="dxa"/>
          </w:tcPr>
          <w:p w14:paraId="3C8F0097">
            <w:pPr>
              <w:pStyle w:val="4"/>
              <w:jc w:val="left"/>
            </w:pPr>
            <w:r>
              <w:rPr>
                <w:rFonts w:ascii="仿宋_GB2312" w:hAnsi="仿宋_GB2312" w:eastAsia="仿宋_GB2312" w:cs="仿宋_GB2312"/>
              </w:rPr>
              <w:t>否</w:t>
            </w:r>
          </w:p>
        </w:tc>
      </w:tr>
    </w:tbl>
    <w:p w14:paraId="23D05D97">
      <w:pPr>
        <w:pStyle w:val="4"/>
        <w:jc w:val="left"/>
      </w:pPr>
      <w:r>
        <w:rPr>
          <w:rFonts w:ascii="仿宋_GB2312" w:hAnsi="仿宋_GB2312" w:eastAsia="仿宋_GB2312" w:cs="仿宋_GB2312"/>
        </w:rPr>
        <w:t xml:space="preserve"> 是否适用本国产品标准：</w:t>
      </w:r>
    </w:p>
    <w:p w14:paraId="7572385B">
      <w:pPr>
        <w:pStyle w:val="4"/>
        <w:jc w:val="left"/>
      </w:pPr>
      <w:r>
        <w:rPr>
          <w:rFonts w:ascii="仿宋_GB2312" w:hAnsi="仿宋_GB2312" w:eastAsia="仿宋_GB2312" w:cs="仿宋_GB2312"/>
        </w:rPr>
        <w:t>采购包1：否</w:t>
      </w:r>
    </w:p>
    <w:p w14:paraId="527B8B11">
      <w:pPr>
        <w:pStyle w:val="4"/>
        <w:jc w:val="left"/>
        <w:outlineLvl w:val="3"/>
      </w:pPr>
      <w:r>
        <w:rPr>
          <w:rFonts w:ascii="仿宋_GB2312" w:hAnsi="仿宋_GB2312" w:eastAsia="仿宋_GB2312" w:cs="仿宋_GB2312"/>
          <w:b/>
          <w:sz w:val="24"/>
        </w:rPr>
        <w:t>报价要求</w:t>
      </w:r>
    </w:p>
    <w:p w14:paraId="6FCDA95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233625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24" w:type="dxa"/>
          </w:tcPr>
          <w:p w14:paraId="37837E49">
            <w:pPr>
              <w:pStyle w:val="4"/>
              <w:jc w:val="center"/>
            </w:pPr>
            <w:r>
              <w:rPr>
                <w:rFonts w:ascii="仿宋_GB2312" w:hAnsi="仿宋_GB2312" w:eastAsia="仿宋_GB2312" w:cs="仿宋_GB2312"/>
              </w:rPr>
              <w:t>序号</w:t>
            </w:r>
          </w:p>
        </w:tc>
        <w:tc>
          <w:tcPr>
            <w:tcW w:w="1707" w:type="dxa"/>
          </w:tcPr>
          <w:p w14:paraId="1AFAB22D">
            <w:pPr>
              <w:pStyle w:val="4"/>
              <w:jc w:val="center"/>
            </w:pPr>
            <w:r>
              <w:rPr>
                <w:rFonts w:ascii="仿宋_GB2312" w:hAnsi="仿宋_GB2312" w:eastAsia="仿宋_GB2312" w:cs="仿宋_GB2312"/>
              </w:rPr>
              <w:t>报价内容</w:t>
            </w:r>
          </w:p>
        </w:tc>
        <w:tc>
          <w:tcPr>
            <w:tcW w:w="1138" w:type="dxa"/>
          </w:tcPr>
          <w:p w14:paraId="1BB45066">
            <w:pPr>
              <w:pStyle w:val="4"/>
              <w:jc w:val="center"/>
            </w:pPr>
            <w:r>
              <w:rPr>
                <w:rFonts w:ascii="仿宋_GB2312" w:hAnsi="仿宋_GB2312" w:eastAsia="仿宋_GB2312" w:cs="仿宋_GB2312"/>
              </w:rPr>
              <w:t>数量（计量单位）</w:t>
            </w:r>
          </w:p>
        </w:tc>
        <w:tc>
          <w:tcPr>
            <w:tcW w:w="1365" w:type="dxa"/>
          </w:tcPr>
          <w:p w14:paraId="438779B4">
            <w:pPr>
              <w:pStyle w:val="4"/>
              <w:jc w:val="center"/>
            </w:pPr>
            <w:r>
              <w:rPr>
                <w:rFonts w:ascii="仿宋_GB2312" w:hAnsi="仿宋_GB2312" w:eastAsia="仿宋_GB2312" w:cs="仿宋_GB2312"/>
              </w:rPr>
              <w:t>最高限价</w:t>
            </w:r>
          </w:p>
        </w:tc>
        <w:tc>
          <w:tcPr>
            <w:tcW w:w="1138" w:type="dxa"/>
          </w:tcPr>
          <w:p w14:paraId="40A38E8F">
            <w:pPr>
              <w:pStyle w:val="4"/>
              <w:jc w:val="center"/>
            </w:pPr>
            <w:r>
              <w:rPr>
                <w:rFonts w:ascii="仿宋_GB2312" w:hAnsi="仿宋_GB2312" w:eastAsia="仿宋_GB2312" w:cs="仿宋_GB2312"/>
              </w:rPr>
              <w:t>价款形式</w:t>
            </w:r>
          </w:p>
        </w:tc>
        <w:tc>
          <w:tcPr>
            <w:tcW w:w="1934" w:type="dxa"/>
          </w:tcPr>
          <w:p w14:paraId="675E3B92">
            <w:pPr>
              <w:pStyle w:val="4"/>
              <w:jc w:val="center"/>
            </w:pPr>
            <w:r>
              <w:rPr>
                <w:rFonts w:ascii="仿宋_GB2312" w:hAnsi="仿宋_GB2312" w:eastAsia="仿宋_GB2312" w:cs="仿宋_GB2312"/>
              </w:rPr>
              <w:t>报价说明</w:t>
            </w:r>
          </w:p>
        </w:tc>
      </w:tr>
      <w:tr w14:paraId="058307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AF577C6">
            <w:pPr>
              <w:pStyle w:val="4"/>
              <w:jc w:val="center"/>
            </w:pPr>
            <w:r>
              <w:rPr>
                <w:rFonts w:ascii="仿宋_GB2312" w:hAnsi="仿宋_GB2312" w:eastAsia="仿宋_GB2312" w:cs="仿宋_GB2312"/>
              </w:rPr>
              <w:t>1</w:t>
            </w:r>
          </w:p>
        </w:tc>
        <w:tc>
          <w:tcPr>
            <w:tcW w:w="1707" w:type="dxa"/>
          </w:tcPr>
          <w:p w14:paraId="015EDA1F">
            <w:pPr>
              <w:pStyle w:val="4"/>
              <w:jc w:val="center"/>
            </w:pPr>
            <w:r>
              <w:rPr>
                <w:rFonts w:ascii="仿宋_GB2312" w:hAnsi="仿宋_GB2312" w:eastAsia="仿宋_GB2312" w:cs="仿宋_GB2312"/>
              </w:rPr>
              <w:t>2026年土壤及地下水监督性监测</w:t>
            </w:r>
          </w:p>
        </w:tc>
        <w:tc>
          <w:tcPr>
            <w:tcW w:w="1138" w:type="dxa"/>
          </w:tcPr>
          <w:p w14:paraId="1944BED1">
            <w:pPr>
              <w:pStyle w:val="4"/>
              <w:jc w:val="center"/>
            </w:pPr>
            <w:r>
              <w:rPr>
                <w:rFonts w:ascii="仿宋_GB2312" w:hAnsi="仿宋_GB2312" w:eastAsia="仿宋_GB2312" w:cs="仿宋_GB2312"/>
              </w:rPr>
              <w:t>1.00（项）</w:t>
            </w:r>
          </w:p>
        </w:tc>
        <w:tc>
          <w:tcPr>
            <w:tcW w:w="1365" w:type="dxa"/>
          </w:tcPr>
          <w:p w14:paraId="7A99E415">
            <w:pPr>
              <w:pStyle w:val="4"/>
              <w:jc w:val="center"/>
            </w:pPr>
            <w:r>
              <w:rPr>
                <w:rFonts w:ascii="仿宋_GB2312" w:hAnsi="仿宋_GB2312" w:eastAsia="仿宋_GB2312" w:cs="仿宋_GB2312"/>
              </w:rPr>
              <w:t>900,000.00</w:t>
            </w:r>
          </w:p>
        </w:tc>
        <w:tc>
          <w:tcPr>
            <w:tcW w:w="1138" w:type="dxa"/>
          </w:tcPr>
          <w:p w14:paraId="1A70414B">
            <w:pPr>
              <w:pStyle w:val="4"/>
              <w:jc w:val="center"/>
            </w:pPr>
            <w:r>
              <w:rPr>
                <w:rFonts w:ascii="仿宋_GB2312" w:hAnsi="仿宋_GB2312" w:eastAsia="仿宋_GB2312" w:cs="仿宋_GB2312"/>
              </w:rPr>
              <w:t>总价</w:t>
            </w:r>
          </w:p>
        </w:tc>
        <w:tc>
          <w:tcPr>
            <w:tcW w:w="1934" w:type="dxa"/>
          </w:tcPr>
          <w:p w14:paraId="31B685A7">
            <w:pPr>
              <w:pStyle w:val="4"/>
              <w:jc w:val="left"/>
            </w:pPr>
            <w:r>
              <w:rPr>
                <w:rFonts w:ascii="仿宋_GB2312" w:hAnsi="仿宋_GB2312" w:eastAsia="仿宋_GB2312" w:cs="仿宋_GB2312"/>
              </w:rPr>
              <w:t>无</w:t>
            </w:r>
          </w:p>
        </w:tc>
      </w:tr>
    </w:tbl>
    <w:p w14:paraId="0E697B05">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2FD4D28C">
      <w:pPr>
        <w:pStyle w:val="4"/>
        <w:jc w:val="left"/>
        <w:outlineLvl w:val="3"/>
      </w:pPr>
      <w:r>
        <w:rPr>
          <w:rFonts w:ascii="仿宋_GB2312" w:hAnsi="仿宋_GB2312" w:eastAsia="仿宋_GB2312" w:cs="仿宋_GB2312"/>
          <w:b/>
          <w:sz w:val="24"/>
        </w:rPr>
        <w:t>本项目涉及核心产品：</w:t>
      </w:r>
    </w:p>
    <w:p w14:paraId="00F44EF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E863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6F0FB59">
            <w:pPr>
              <w:pStyle w:val="4"/>
              <w:jc w:val="center"/>
            </w:pPr>
            <w:r>
              <w:rPr>
                <w:rFonts w:ascii="仿宋_GB2312" w:hAnsi="仿宋_GB2312" w:eastAsia="仿宋_GB2312" w:cs="仿宋_GB2312"/>
              </w:rPr>
              <w:t>序号</w:t>
            </w:r>
          </w:p>
        </w:tc>
        <w:tc>
          <w:tcPr>
            <w:tcW w:w="2492" w:type="dxa"/>
          </w:tcPr>
          <w:p w14:paraId="05B38EF8">
            <w:pPr>
              <w:pStyle w:val="4"/>
              <w:jc w:val="center"/>
            </w:pPr>
            <w:r>
              <w:rPr>
                <w:rFonts w:ascii="仿宋_GB2312" w:hAnsi="仿宋_GB2312" w:eastAsia="仿宋_GB2312" w:cs="仿宋_GB2312"/>
              </w:rPr>
              <w:t>采购品目名称</w:t>
            </w:r>
          </w:p>
        </w:tc>
        <w:tc>
          <w:tcPr>
            <w:tcW w:w="2492" w:type="dxa"/>
          </w:tcPr>
          <w:p w14:paraId="7FA660FF">
            <w:pPr>
              <w:pStyle w:val="4"/>
              <w:jc w:val="center"/>
            </w:pPr>
            <w:r>
              <w:rPr>
                <w:rFonts w:ascii="仿宋_GB2312" w:hAnsi="仿宋_GB2312" w:eastAsia="仿宋_GB2312" w:cs="仿宋_GB2312"/>
              </w:rPr>
              <w:t>标的名称</w:t>
            </w:r>
          </w:p>
        </w:tc>
        <w:tc>
          <w:tcPr>
            <w:tcW w:w="2492" w:type="dxa"/>
          </w:tcPr>
          <w:p w14:paraId="604F94B9">
            <w:pPr>
              <w:pStyle w:val="4"/>
              <w:jc w:val="center"/>
            </w:pPr>
            <w:r>
              <w:rPr>
                <w:rFonts w:ascii="仿宋_GB2312" w:hAnsi="仿宋_GB2312" w:eastAsia="仿宋_GB2312" w:cs="仿宋_GB2312"/>
              </w:rPr>
              <w:t>产品名称</w:t>
            </w:r>
          </w:p>
        </w:tc>
      </w:tr>
      <w:tr w14:paraId="0E255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E11903D">
            <w:pPr>
              <w:pStyle w:val="4"/>
              <w:jc w:val="center"/>
            </w:pPr>
            <w:r>
              <w:rPr>
                <w:rFonts w:ascii="仿宋_GB2312" w:hAnsi="仿宋_GB2312" w:eastAsia="仿宋_GB2312" w:cs="仿宋_GB2312"/>
              </w:rPr>
              <w:t>不涉及</w:t>
            </w:r>
          </w:p>
        </w:tc>
      </w:tr>
    </w:tbl>
    <w:p w14:paraId="299CCB04">
      <w:pPr>
        <w:pStyle w:val="4"/>
        <w:ind w:firstLine="480"/>
        <w:jc w:val="left"/>
      </w:pPr>
      <w:r>
        <w:rPr>
          <w:rFonts w:ascii="仿宋_GB2312" w:hAnsi="仿宋_GB2312" w:eastAsia="仿宋_GB2312" w:cs="仿宋_GB2312"/>
        </w:rPr>
        <w:t>注：涉及核心产品的，具体评审规定见第五章。</w:t>
      </w:r>
    </w:p>
    <w:p w14:paraId="1D11E49E">
      <w:pPr>
        <w:pStyle w:val="4"/>
        <w:jc w:val="left"/>
        <w:outlineLvl w:val="3"/>
      </w:pPr>
      <w:r>
        <w:rPr>
          <w:rFonts w:ascii="仿宋_GB2312" w:hAnsi="仿宋_GB2312" w:eastAsia="仿宋_GB2312" w:cs="仿宋_GB2312"/>
          <w:b/>
          <w:sz w:val="24"/>
        </w:rPr>
        <w:t>本项目涉及采购进口产品：</w:t>
      </w:r>
    </w:p>
    <w:p w14:paraId="5BDB451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C1D6B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5B7595">
            <w:pPr>
              <w:pStyle w:val="4"/>
              <w:jc w:val="center"/>
            </w:pPr>
            <w:r>
              <w:rPr>
                <w:rFonts w:ascii="仿宋_GB2312" w:hAnsi="仿宋_GB2312" w:eastAsia="仿宋_GB2312" w:cs="仿宋_GB2312"/>
              </w:rPr>
              <w:t>序号</w:t>
            </w:r>
          </w:p>
        </w:tc>
        <w:tc>
          <w:tcPr>
            <w:tcW w:w="2492" w:type="dxa"/>
          </w:tcPr>
          <w:p w14:paraId="44C8E069">
            <w:pPr>
              <w:pStyle w:val="4"/>
              <w:jc w:val="center"/>
            </w:pPr>
            <w:r>
              <w:rPr>
                <w:rFonts w:ascii="仿宋_GB2312" w:hAnsi="仿宋_GB2312" w:eastAsia="仿宋_GB2312" w:cs="仿宋_GB2312"/>
              </w:rPr>
              <w:t>采购品目名称</w:t>
            </w:r>
          </w:p>
        </w:tc>
        <w:tc>
          <w:tcPr>
            <w:tcW w:w="2492" w:type="dxa"/>
          </w:tcPr>
          <w:p w14:paraId="4021590F">
            <w:pPr>
              <w:pStyle w:val="4"/>
              <w:jc w:val="center"/>
            </w:pPr>
            <w:r>
              <w:rPr>
                <w:rFonts w:ascii="仿宋_GB2312" w:hAnsi="仿宋_GB2312" w:eastAsia="仿宋_GB2312" w:cs="仿宋_GB2312"/>
              </w:rPr>
              <w:t>标的名称</w:t>
            </w:r>
          </w:p>
        </w:tc>
        <w:tc>
          <w:tcPr>
            <w:tcW w:w="2492" w:type="dxa"/>
          </w:tcPr>
          <w:p w14:paraId="7A1E85CE">
            <w:pPr>
              <w:pStyle w:val="4"/>
              <w:jc w:val="center"/>
            </w:pPr>
            <w:r>
              <w:rPr>
                <w:rFonts w:ascii="仿宋_GB2312" w:hAnsi="仿宋_GB2312" w:eastAsia="仿宋_GB2312" w:cs="仿宋_GB2312"/>
              </w:rPr>
              <w:t>产品名称</w:t>
            </w:r>
          </w:p>
        </w:tc>
      </w:tr>
      <w:tr w14:paraId="62E615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3068141">
            <w:pPr>
              <w:pStyle w:val="4"/>
              <w:jc w:val="center"/>
            </w:pPr>
            <w:r>
              <w:rPr>
                <w:rFonts w:ascii="仿宋_GB2312" w:hAnsi="仿宋_GB2312" w:eastAsia="仿宋_GB2312" w:cs="仿宋_GB2312"/>
              </w:rPr>
              <w:t>不涉及</w:t>
            </w:r>
          </w:p>
        </w:tc>
      </w:tr>
    </w:tbl>
    <w:p w14:paraId="0E4FC368">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50461137">
      <w:pPr>
        <w:pStyle w:val="4"/>
        <w:jc w:val="left"/>
        <w:outlineLvl w:val="3"/>
      </w:pPr>
      <w:r>
        <w:rPr>
          <w:rFonts w:ascii="仿宋_GB2312" w:hAnsi="仿宋_GB2312" w:eastAsia="仿宋_GB2312" w:cs="仿宋_GB2312"/>
          <w:b/>
          <w:sz w:val="24"/>
        </w:rPr>
        <w:t>本项目涉及强制采购节能产品：</w:t>
      </w:r>
    </w:p>
    <w:p w14:paraId="55970E5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0EE38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026DBD9">
            <w:pPr>
              <w:pStyle w:val="4"/>
              <w:jc w:val="center"/>
            </w:pPr>
            <w:r>
              <w:rPr>
                <w:rFonts w:ascii="仿宋_GB2312" w:hAnsi="仿宋_GB2312" w:eastAsia="仿宋_GB2312" w:cs="仿宋_GB2312"/>
              </w:rPr>
              <w:t>序号</w:t>
            </w:r>
          </w:p>
        </w:tc>
        <w:tc>
          <w:tcPr>
            <w:tcW w:w="2492" w:type="dxa"/>
          </w:tcPr>
          <w:p w14:paraId="2BC7D988">
            <w:pPr>
              <w:pStyle w:val="4"/>
              <w:jc w:val="center"/>
            </w:pPr>
            <w:r>
              <w:rPr>
                <w:rFonts w:ascii="仿宋_GB2312" w:hAnsi="仿宋_GB2312" w:eastAsia="仿宋_GB2312" w:cs="仿宋_GB2312"/>
              </w:rPr>
              <w:t>采购品目名称</w:t>
            </w:r>
          </w:p>
        </w:tc>
        <w:tc>
          <w:tcPr>
            <w:tcW w:w="2492" w:type="dxa"/>
          </w:tcPr>
          <w:p w14:paraId="03246994">
            <w:pPr>
              <w:pStyle w:val="4"/>
              <w:jc w:val="center"/>
            </w:pPr>
            <w:r>
              <w:rPr>
                <w:rFonts w:ascii="仿宋_GB2312" w:hAnsi="仿宋_GB2312" w:eastAsia="仿宋_GB2312" w:cs="仿宋_GB2312"/>
              </w:rPr>
              <w:t>标的名称</w:t>
            </w:r>
          </w:p>
        </w:tc>
        <w:tc>
          <w:tcPr>
            <w:tcW w:w="2492" w:type="dxa"/>
          </w:tcPr>
          <w:p w14:paraId="50E25F82">
            <w:pPr>
              <w:pStyle w:val="4"/>
              <w:jc w:val="center"/>
            </w:pPr>
            <w:r>
              <w:rPr>
                <w:rFonts w:ascii="仿宋_GB2312" w:hAnsi="仿宋_GB2312" w:eastAsia="仿宋_GB2312" w:cs="仿宋_GB2312"/>
              </w:rPr>
              <w:t>产品名称</w:t>
            </w:r>
          </w:p>
        </w:tc>
      </w:tr>
      <w:tr w14:paraId="38F61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E0AFACD">
            <w:pPr>
              <w:pStyle w:val="4"/>
              <w:jc w:val="center"/>
            </w:pPr>
            <w:r>
              <w:rPr>
                <w:rFonts w:ascii="仿宋_GB2312" w:hAnsi="仿宋_GB2312" w:eastAsia="仿宋_GB2312" w:cs="仿宋_GB2312"/>
              </w:rPr>
              <w:t>不涉及</w:t>
            </w:r>
          </w:p>
        </w:tc>
      </w:tr>
    </w:tbl>
    <w:p w14:paraId="2B669CA1">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635B72E7">
      <w:pPr>
        <w:pStyle w:val="4"/>
        <w:jc w:val="left"/>
      </w:pPr>
      <w:r>
        <w:rPr>
          <w:rFonts w:ascii="仿宋_GB2312" w:hAnsi="仿宋_GB2312" w:eastAsia="仿宋_GB2312" w:cs="仿宋_GB2312"/>
          <w:b/>
        </w:rPr>
        <w:t>本项目涉及优先采购节能产品：</w:t>
      </w:r>
    </w:p>
    <w:p w14:paraId="0808840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3CD20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883182">
            <w:pPr>
              <w:pStyle w:val="4"/>
              <w:jc w:val="center"/>
            </w:pPr>
            <w:r>
              <w:rPr>
                <w:rFonts w:ascii="仿宋_GB2312" w:hAnsi="仿宋_GB2312" w:eastAsia="仿宋_GB2312" w:cs="仿宋_GB2312"/>
              </w:rPr>
              <w:t>序号</w:t>
            </w:r>
          </w:p>
        </w:tc>
        <w:tc>
          <w:tcPr>
            <w:tcW w:w="2492" w:type="dxa"/>
          </w:tcPr>
          <w:p w14:paraId="10ED397D">
            <w:pPr>
              <w:pStyle w:val="4"/>
              <w:jc w:val="center"/>
            </w:pPr>
            <w:r>
              <w:rPr>
                <w:rFonts w:ascii="仿宋_GB2312" w:hAnsi="仿宋_GB2312" w:eastAsia="仿宋_GB2312" w:cs="仿宋_GB2312"/>
              </w:rPr>
              <w:t>采购品目名称</w:t>
            </w:r>
          </w:p>
        </w:tc>
        <w:tc>
          <w:tcPr>
            <w:tcW w:w="2492" w:type="dxa"/>
          </w:tcPr>
          <w:p w14:paraId="7D5F4FDB">
            <w:pPr>
              <w:pStyle w:val="4"/>
              <w:jc w:val="center"/>
            </w:pPr>
            <w:r>
              <w:rPr>
                <w:rFonts w:ascii="仿宋_GB2312" w:hAnsi="仿宋_GB2312" w:eastAsia="仿宋_GB2312" w:cs="仿宋_GB2312"/>
              </w:rPr>
              <w:t>标的名称</w:t>
            </w:r>
          </w:p>
        </w:tc>
        <w:tc>
          <w:tcPr>
            <w:tcW w:w="2492" w:type="dxa"/>
          </w:tcPr>
          <w:p w14:paraId="731CE59D">
            <w:pPr>
              <w:pStyle w:val="4"/>
              <w:jc w:val="center"/>
            </w:pPr>
            <w:r>
              <w:rPr>
                <w:rFonts w:ascii="仿宋_GB2312" w:hAnsi="仿宋_GB2312" w:eastAsia="仿宋_GB2312" w:cs="仿宋_GB2312"/>
              </w:rPr>
              <w:t>产品名称</w:t>
            </w:r>
          </w:p>
        </w:tc>
      </w:tr>
      <w:tr w14:paraId="58EB3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E9F62D2">
            <w:pPr>
              <w:pStyle w:val="4"/>
              <w:jc w:val="center"/>
            </w:pPr>
            <w:r>
              <w:rPr>
                <w:rFonts w:ascii="仿宋_GB2312" w:hAnsi="仿宋_GB2312" w:eastAsia="仿宋_GB2312" w:cs="仿宋_GB2312"/>
              </w:rPr>
              <w:t>不涉及</w:t>
            </w:r>
          </w:p>
        </w:tc>
      </w:tr>
    </w:tbl>
    <w:p w14:paraId="5E6D1EA7">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645C3020">
      <w:pPr>
        <w:pStyle w:val="4"/>
        <w:jc w:val="left"/>
        <w:outlineLvl w:val="3"/>
      </w:pPr>
      <w:r>
        <w:rPr>
          <w:rFonts w:ascii="仿宋_GB2312" w:hAnsi="仿宋_GB2312" w:eastAsia="仿宋_GB2312" w:cs="仿宋_GB2312"/>
          <w:b/>
          <w:sz w:val="24"/>
        </w:rPr>
        <w:t>本项目涉及优先采购环境标志产品：</w:t>
      </w:r>
    </w:p>
    <w:p w14:paraId="5D543F1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EB7D9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AFF4A7E">
            <w:pPr>
              <w:pStyle w:val="4"/>
              <w:jc w:val="center"/>
            </w:pPr>
            <w:r>
              <w:rPr>
                <w:rFonts w:ascii="仿宋_GB2312" w:hAnsi="仿宋_GB2312" w:eastAsia="仿宋_GB2312" w:cs="仿宋_GB2312"/>
              </w:rPr>
              <w:t>序号</w:t>
            </w:r>
          </w:p>
        </w:tc>
        <w:tc>
          <w:tcPr>
            <w:tcW w:w="2492" w:type="dxa"/>
          </w:tcPr>
          <w:p w14:paraId="4F74C4D6">
            <w:pPr>
              <w:pStyle w:val="4"/>
              <w:jc w:val="center"/>
            </w:pPr>
            <w:r>
              <w:rPr>
                <w:rFonts w:ascii="仿宋_GB2312" w:hAnsi="仿宋_GB2312" w:eastAsia="仿宋_GB2312" w:cs="仿宋_GB2312"/>
              </w:rPr>
              <w:t>采购品目名称</w:t>
            </w:r>
          </w:p>
        </w:tc>
        <w:tc>
          <w:tcPr>
            <w:tcW w:w="2492" w:type="dxa"/>
          </w:tcPr>
          <w:p w14:paraId="375D0D1E">
            <w:pPr>
              <w:pStyle w:val="4"/>
              <w:jc w:val="center"/>
            </w:pPr>
            <w:r>
              <w:rPr>
                <w:rFonts w:ascii="仿宋_GB2312" w:hAnsi="仿宋_GB2312" w:eastAsia="仿宋_GB2312" w:cs="仿宋_GB2312"/>
              </w:rPr>
              <w:t>标的名称</w:t>
            </w:r>
          </w:p>
        </w:tc>
        <w:tc>
          <w:tcPr>
            <w:tcW w:w="2492" w:type="dxa"/>
          </w:tcPr>
          <w:p w14:paraId="366EE4B7">
            <w:pPr>
              <w:pStyle w:val="4"/>
              <w:jc w:val="center"/>
            </w:pPr>
            <w:r>
              <w:rPr>
                <w:rFonts w:ascii="仿宋_GB2312" w:hAnsi="仿宋_GB2312" w:eastAsia="仿宋_GB2312" w:cs="仿宋_GB2312"/>
              </w:rPr>
              <w:t>产品名称</w:t>
            </w:r>
          </w:p>
        </w:tc>
      </w:tr>
      <w:tr w14:paraId="367DF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5484534">
            <w:pPr>
              <w:pStyle w:val="4"/>
              <w:jc w:val="center"/>
            </w:pPr>
            <w:r>
              <w:rPr>
                <w:rFonts w:ascii="仿宋_GB2312" w:hAnsi="仿宋_GB2312" w:eastAsia="仿宋_GB2312" w:cs="仿宋_GB2312"/>
              </w:rPr>
              <w:t>不涉及</w:t>
            </w:r>
          </w:p>
        </w:tc>
      </w:tr>
    </w:tbl>
    <w:p w14:paraId="5DFE39E3">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51307713">
      <w:pPr>
        <w:pStyle w:val="4"/>
        <w:jc w:val="left"/>
        <w:outlineLvl w:val="2"/>
      </w:pPr>
      <w:r>
        <w:rPr>
          <w:rFonts w:ascii="仿宋_GB2312" w:hAnsi="仿宋_GB2312" w:eastAsia="仿宋_GB2312" w:cs="仿宋_GB2312"/>
          <w:b/>
          <w:sz w:val="28"/>
        </w:rPr>
        <w:t>3.2.技术要求</w:t>
      </w:r>
    </w:p>
    <w:p w14:paraId="620AA864">
      <w:pPr>
        <w:pStyle w:val="4"/>
        <w:jc w:val="left"/>
      </w:pPr>
      <w:r>
        <w:rPr>
          <w:rFonts w:ascii="仿宋_GB2312" w:hAnsi="仿宋_GB2312" w:eastAsia="仿宋_GB2312" w:cs="仿宋_GB2312"/>
        </w:rPr>
        <w:t>采购包1：</w:t>
      </w:r>
    </w:p>
    <w:p w14:paraId="7251BD63">
      <w:pPr>
        <w:pStyle w:val="4"/>
        <w:jc w:val="left"/>
      </w:pPr>
      <w:r>
        <w:rPr>
          <w:rFonts w:ascii="仿宋_GB2312" w:hAnsi="仿宋_GB2312" w:eastAsia="仿宋_GB2312" w:cs="仿宋_GB2312"/>
        </w:rPr>
        <w:t>标的名称：2026年土壤及地下水监督性监测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C2EC4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C92D59">
            <w:pPr>
              <w:pStyle w:val="4"/>
              <w:jc w:val="center"/>
            </w:pPr>
            <w:r>
              <w:rPr>
                <w:rFonts w:ascii="仿宋_GB2312" w:hAnsi="仿宋_GB2312" w:eastAsia="仿宋_GB2312" w:cs="仿宋_GB2312"/>
              </w:rPr>
              <w:t>序号</w:t>
            </w:r>
          </w:p>
        </w:tc>
        <w:tc>
          <w:tcPr>
            <w:tcW w:w="581" w:type="dxa"/>
          </w:tcPr>
          <w:p w14:paraId="0DE2A21A">
            <w:pPr>
              <w:pStyle w:val="4"/>
              <w:jc w:val="center"/>
            </w:pPr>
            <w:r>
              <w:rPr>
                <w:rFonts w:ascii="仿宋_GB2312" w:hAnsi="仿宋_GB2312" w:eastAsia="仿宋_GB2312" w:cs="仿宋_GB2312"/>
              </w:rPr>
              <w:t>符号标识</w:t>
            </w:r>
          </w:p>
        </w:tc>
        <w:tc>
          <w:tcPr>
            <w:tcW w:w="1495" w:type="dxa"/>
          </w:tcPr>
          <w:p w14:paraId="6A0A0A9C">
            <w:pPr>
              <w:pStyle w:val="4"/>
              <w:jc w:val="center"/>
            </w:pPr>
            <w:r>
              <w:rPr>
                <w:rFonts w:ascii="仿宋_GB2312" w:hAnsi="仿宋_GB2312" w:eastAsia="仿宋_GB2312" w:cs="仿宋_GB2312"/>
              </w:rPr>
              <w:t>技术要求名称</w:t>
            </w:r>
          </w:p>
        </w:tc>
        <w:tc>
          <w:tcPr>
            <w:tcW w:w="5814" w:type="dxa"/>
          </w:tcPr>
          <w:p w14:paraId="58DE0A24">
            <w:pPr>
              <w:pStyle w:val="4"/>
              <w:jc w:val="center"/>
            </w:pPr>
            <w:r>
              <w:rPr>
                <w:rFonts w:ascii="仿宋_GB2312" w:hAnsi="仿宋_GB2312" w:eastAsia="仿宋_GB2312" w:cs="仿宋_GB2312"/>
              </w:rPr>
              <w:t>技术参数与性能指标</w:t>
            </w:r>
          </w:p>
        </w:tc>
      </w:tr>
      <w:tr w14:paraId="19A9D5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8E6445">
            <w:pPr>
              <w:pStyle w:val="4"/>
              <w:jc w:val="center"/>
            </w:pPr>
            <w:r>
              <w:rPr>
                <w:rFonts w:ascii="仿宋_GB2312" w:hAnsi="仿宋_GB2312" w:eastAsia="仿宋_GB2312" w:cs="仿宋_GB2312"/>
              </w:rPr>
              <w:t>1</w:t>
            </w:r>
          </w:p>
        </w:tc>
        <w:tc>
          <w:tcPr>
            <w:tcW w:w="581" w:type="dxa"/>
          </w:tcPr>
          <w:p w14:paraId="3A7A1240">
            <w:pPr>
              <w:pStyle w:val="4"/>
              <w:jc w:val="center"/>
            </w:pPr>
            <w:r>
              <w:rPr>
                <w:rFonts w:ascii="仿宋_GB2312" w:hAnsi="仿宋_GB2312" w:eastAsia="仿宋_GB2312" w:cs="仿宋_GB2312"/>
              </w:rPr>
              <w:t>★</w:t>
            </w:r>
          </w:p>
        </w:tc>
        <w:tc>
          <w:tcPr>
            <w:tcW w:w="1495" w:type="dxa"/>
          </w:tcPr>
          <w:p w14:paraId="5A738BEA">
            <w:pPr>
              <w:pStyle w:val="4"/>
              <w:jc w:val="left"/>
            </w:pPr>
            <w:r>
              <w:rPr>
                <w:rFonts w:ascii="仿宋_GB2312" w:hAnsi="仿宋_GB2312" w:eastAsia="仿宋_GB2312" w:cs="仿宋_GB2312"/>
              </w:rPr>
              <w:t>技术要求（功能和质量要求）</w:t>
            </w:r>
          </w:p>
        </w:tc>
        <w:tc>
          <w:tcPr>
            <w:tcW w:w="5814" w:type="dxa"/>
          </w:tcPr>
          <w:p w14:paraId="0A57FCF5">
            <w:pPr>
              <w:pStyle w:val="4"/>
              <w:ind w:left="-105" w:firstLine="236"/>
              <w:jc w:val="left"/>
            </w:pPr>
            <w:r>
              <w:rPr>
                <w:rFonts w:ascii="仿宋_GB2312" w:hAnsi="仿宋_GB2312" w:eastAsia="仿宋_GB2312" w:cs="仿宋_GB2312"/>
                <w:sz w:val="24"/>
              </w:rPr>
              <w:t>前提：以下标注“★”的条款为本项目的实质性条款，供应商不满足的，将按照无效响应处理。</w:t>
            </w:r>
          </w:p>
          <w:p w14:paraId="567F8D13">
            <w:pPr>
              <w:pStyle w:val="4"/>
              <w:ind w:firstLine="241"/>
              <w:jc w:val="both"/>
            </w:pPr>
            <w:r>
              <w:rPr>
                <w:rFonts w:ascii="仿宋_GB2312" w:hAnsi="仿宋_GB2312" w:eastAsia="仿宋_GB2312" w:cs="仿宋_GB2312"/>
                <w:sz w:val="24"/>
              </w:rPr>
              <w:t>★</w:t>
            </w:r>
            <w:r>
              <w:rPr>
                <w:rFonts w:ascii="仿宋_GB2312" w:hAnsi="仿宋_GB2312" w:eastAsia="仿宋_GB2312" w:cs="仿宋_GB2312"/>
                <w:b/>
                <w:sz w:val="24"/>
              </w:rPr>
              <w:t>一、服务内容及要求</w:t>
            </w:r>
          </w:p>
          <w:p w14:paraId="045A2D22">
            <w:pPr>
              <w:pStyle w:val="4"/>
              <w:ind w:firstLine="241"/>
              <w:jc w:val="both"/>
            </w:pPr>
            <w:r>
              <w:rPr>
                <w:rFonts w:ascii="仿宋_GB2312" w:hAnsi="仿宋_GB2312" w:eastAsia="仿宋_GB2312" w:cs="仿宋_GB2312"/>
                <w:b/>
                <w:sz w:val="24"/>
              </w:rPr>
              <w:t>（一）服务内容：</w:t>
            </w:r>
          </w:p>
          <w:p w14:paraId="6E3DE62D">
            <w:pPr>
              <w:pStyle w:val="4"/>
              <w:ind w:firstLine="480"/>
              <w:jc w:val="both"/>
            </w:pPr>
            <w:r>
              <w:rPr>
                <w:rFonts w:ascii="仿宋_GB2312" w:hAnsi="仿宋_GB2312" w:eastAsia="仿宋_GB2312" w:cs="仿宋_GB2312"/>
                <w:sz w:val="24"/>
              </w:rPr>
              <w:t>1、土壤环境监督性监测。</w:t>
            </w:r>
          </w:p>
          <w:p w14:paraId="31C907EE">
            <w:pPr>
              <w:pStyle w:val="4"/>
              <w:ind w:firstLine="480"/>
              <w:jc w:val="both"/>
            </w:pPr>
            <w:r>
              <w:rPr>
                <w:rFonts w:ascii="仿宋_GB2312" w:hAnsi="仿宋_GB2312" w:eastAsia="仿宋_GB2312" w:cs="仿宋_GB2312"/>
                <w:sz w:val="24"/>
              </w:rPr>
              <w:t>2、地下水监督性监测。</w:t>
            </w:r>
          </w:p>
          <w:p w14:paraId="5A3F927B">
            <w:pPr>
              <w:pStyle w:val="4"/>
              <w:ind w:firstLine="241"/>
              <w:jc w:val="both"/>
            </w:pPr>
            <w:r>
              <w:rPr>
                <w:rFonts w:ascii="仿宋_GB2312" w:hAnsi="仿宋_GB2312" w:eastAsia="仿宋_GB2312" w:cs="仿宋_GB2312"/>
                <w:b/>
                <w:sz w:val="24"/>
              </w:rPr>
              <w:t>（二）服务要求</w:t>
            </w:r>
          </w:p>
          <w:p w14:paraId="58EFA304">
            <w:pPr>
              <w:pStyle w:val="4"/>
              <w:ind w:firstLine="482"/>
              <w:jc w:val="both"/>
            </w:pPr>
            <w:r>
              <w:rPr>
                <w:rFonts w:ascii="仿宋_GB2312" w:hAnsi="仿宋_GB2312" w:eastAsia="仿宋_GB2312" w:cs="仿宋_GB2312"/>
                <w:b/>
                <w:sz w:val="24"/>
              </w:rPr>
              <w:t>1、总体要求</w:t>
            </w:r>
          </w:p>
          <w:p w14:paraId="39AA212E">
            <w:pPr>
              <w:pStyle w:val="4"/>
              <w:ind w:firstLine="480"/>
              <w:jc w:val="both"/>
            </w:pPr>
            <w:r>
              <w:rPr>
                <w:rFonts w:ascii="仿宋_GB2312" w:hAnsi="仿宋_GB2312" w:eastAsia="仿宋_GB2312" w:cs="仿宋_GB2312"/>
                <w:sz w:val="24"/>
              </w:rPr>
              <w:t>1.1按照《工业企业周边土壤和地下水监测技术指南（试行）的通知（总站土字〔2024〕73号）要求，对土壤污染重点监管单位周边土壤和地下水开展监督性监测，具体监测区域按照《德阳市2026年环境监管重点单位名录》的通知及采购人要求执行。</w:t>
            </w:r>
          </w:p>
          <w:p w14:paraId="1BA60418">
            <w:pPr>
              <w:pStyle w:val="4"/>
              <w:ind w:firstLine="480"/>
              <w:jc w:val="both"/>
            </w:pPr>
            <w:r>
              <w:rPr>
                <w:rFonts w:ascii="仿宋_GB2312" w:hAnsi="仿宋_GB2312" w:eastAsia="仿宋_GB2312" w:cs="仿宋_GB2312"/>
                <w:sz w:val="24"/>
              </w:rPr>
              <w:t>1.2编制并提交2份纸质版及1份电子版的《德阳市绵竹市2026年度土壤污染重点监管单位周边土壤环境、地下水监测报告》。监测报告主要包括：项目背景、土壤污染重点监管单位概况、点位布设、监测项目与时间、采样分析、质量保证与质量控制、监测结果与评价、结论与建议等内容以及原始检测报告、采样点位图〔每个点位至少5张照片（采样点及其东、南、西、北至少1张），且每张图片必须有经纬度、采样时间等水印信息〕等附件。</w:t>
            </w:r>
          </w:p>
          <w:p w14:paraId="23351816">
            <w:pPr>
              <w:pStyle w:val="4"/>
              <w:ind w:firstLine="480"/>
              <w:jc w:val="both"/>
            </w:pPr>
            <w:r>
              <w:rPr>
                <w:rFonts w:ascii="仿宋_GB2312" w:hAnsi="仿宋_GB2312" w:eastAsia="仿宋_GB2312" w:cs="仿宋_GB2312"/>
                <w:sz w:val="24"/>
              </w:rPr>
              <w:t>1.3根据《工业企业土壤和地下水自行监测技术指南（试行）》（HJ1209-2021）规定的，发现监测结果超标或污染物浓度明显上升的，应增加监测频次或开展溯源排查，查明土壤污染隐患或超标原因，提出针对性对策措施。</w:t>
            </w:r>
          </w:p>
          <w:p w14:paraId="0AC34922">
            <w:pPr>
              <w:pStyle w:val="4"/>
              <w:ind w:firstLine="480"/>
              <w:jc w:val="both"/>
            </w:pPr>
            <w:r>
              <w:rPr>
                <w:rFonts w:ascii="仿宋_GB2312" w:hAnsi="仿宋_GB2312" w:eastAsia="仿宋_GB2312" w:cs="仿宋_GB2312"/>
                <w:sz w:val="24"/>
              </w:rPr>
              <w:t>1.4监测过程要求：全部监测过程应在四川省生态环境监测业务管理系统中登记，采样时应通知当地生态环境部门和被监测单位，采集样品应被监测单位现场人员签字确认，监测报告封面必须有系统自动生成的唯一性编号。</w:t>
            </w:r>
          </w:p>
          <w:p w14:paraId="42D8779B">
            <w:pPr>
              <w:pStyle w:val="4"/>
              <w:ind w:firstLine="482"/>
              <w:jc w:val="both"/>
            </w:pPr>
            <w:r>
              <w:rPr>
                <w:rFonts w:ascii="仿宋_GB2312" w:hAnsi="仿宋_GB2312" w:eastAsia="仿宋_GB2312" w:cs="仿宋_GB2312"/>
                <w:b/>
                <w:sz w:val="24"/>
              </w:rPr>
              <w:t>2、服务范围及要求</w:t>
            </w:r>
          </w:p>
          <w:p w14:paraId="7203A2D8">
            <w:pPr>
              <w:pStyle w:val="4"/>
              <w:ind w:firstLine="482"/>
              <w:jc w:val="both"/>
            </w:pPr>
            <w:r>
              <w:rPr>
                <w:rFonts w:ascii="仿宋_GB2312" w:hAnsi="仿宋_GB2312" w:eastAsia="仿宋_GB2312" w:cs="仿宋_GB2312"/>
                <w:b/>
                <w:sz w:val="24"/>
              </w:rPr>
              <w:t>2.1土壤监督监测重点企业</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19"/>
              <w:gridCol w:w="4454"/>
            </w:tblGrid>
            <w:tr w14:paraId="21ED6B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ECEE79B">
                  <w:pPr>
                    <w:pStyle w:val="4"/>
                    <w:jc w:val="center"/>
                  </w:pPr>
                  <w:r>
                    <w:rPr>
                      <w:rFonts w:ascii="仿宋_GB2312" w:hAnsi="仿宋_GB2312" w:eastAsia="仿宋_GB2312" w:cs="仿宋_GB2312"/>
                      <w:sz w:val="24"/>
                    </w:rPr>
                    <w:t>1</w:t>
                  </w:r>
                </w:p>
              </w:tc>
              <w:tc>
                <w:tcPr>
                  <w:tcW w:w="456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01B870E">
                  <w:pPr>
                    <w:pStyle w:val="4"/>
                    <w:jc w:val="left"/>
                  </w:pPr>
                  <w:r>
                    <w:rPr>
                      <w:rFonts w:ascii="仿宋_GB2312" w:hAnsi="仿宋_GB2312" w:eastAsia="仿宋_GB2312" w:cs="仿宋_GB2312"/>
                      <w:sz w:val="24"/>
                    </w:rPr>
                    <w:t>四川省绵竹天化助剂有限责任公司</w:t>
                  </w:r>
                </w:p>
              </w:tc>
            </w:tr>
            <w:tr w14:paraId="39029F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21CCBC">
                  <w:pPr>
                    <w:pStyle w:val="4"/>
                    <w:jc w:val="center"/>
                  </w:pPr>
                  <w:r>
                    <w:rPr>
                      <w:rFonts w:ascii="仿宋_GB2312" w:hAnsi="仿宋_GB2312" w:eastAsia="仿宋_GB2312" w:cs="仿宋_GB2312"/>
                      <w:sz w:val="24"/>
                    </w:rPr>
                    <w:t>2</w:t>
                  </w:r>
                </w:p>
              </w:tc>
              <w:tc>
                <w:tcPr>
                  <w:tcW w:w="45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19A762">
                  <w:pPr>
                    <w:pStyle w:val="4"/>
                    <w:jc w:val="left"/>
                  </w:pPr>
                  <w:r>
                    <w:rPr>
                      <w:rFonts w:ascii="仿宋_GB2312" w:hAnsi="仿宋_GB2312" w:eastAsia="仿宋_GB2312" w:cs="仿宋_GB2312"/>
                      <w:sz w:val="24"/>
                    </w:rPr>
                    <w:t>四川省绵竹市汉旺无机盐化工有限公司</w:t>
                  </w:r>
                </w:p>
              </w:tc>
            </w:tr>
            <w:tr w14:paraId="7D51AA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1F32D0">
                  <w:pPr>
                    <w:pStyle w:val="4"/>
                    <w:jc w:val="center"/>
                  </w:pPr>
                  <w:r>
                    <w:rPr>
                      <w:rFonts w:ascii="仿宋_GB2312" w:hAnsi="仿宋_GB2312" w:eastAsia="仿宋_GB2312" w:cs="仿宋_GB2312"/>
                      <w:sz w:val="24"/>
                    </w:rPr>
                    <w:t>3</w:t>
                  </w:r>
                </w:p>
              </w:tc>
              <w:tc>
                <w:tcPr>
                  <w:tcW w:w="45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220248">
                  <w:pPr>
                    <w:pStyle w:val="4"/>
                    <w:jc w:val="left"/>
                  </w:pPr>
                  <w:r>
                    <w:rPr>
                      <w:rFonts w:ascii="仿宋_GB2312" w:hAnsi="仿宋_GB2312" w:eastAsia="仿宋_GB2312" w:cs="仿宋_GB2312"/>
                      <w:sz w:val="24"/>
                    </w:rPr>
                    <w:t>四川绵竹市盘龙矿物质有限责任公司</w:t>
                  </w:r>
                </w:p>
              </w:tc>
            </w:tr>
            <w:tr w14:paraId="57C003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909A98">
                  <w:pPr>
                    <w:pStyle w:val="4"/>
                    <w:jc w:val="center"/>
                  </w:pPr>
                  <w:r>
                    <w:rPr>
                      <w:rFonts w:ascii="仿宋_GB2312" w:hAnsi="仿宋_GB2312" w:eastAsia="仿宋_GB2312" w:cs="仿宋_GB2312"/>
                      <w:sz w:val="24"/>
                    </w:rPr>
                    <w:t>4</w:t>
                  </w:r>
                </w:p>
              </w:tc>
              <w:tc>
                <w:tcPr>
                  <w:tcW w:w="45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8C365F">
                  <w:pPr>
                    <w:pStyle w:val="4"/>
                    <w:jc w:val="left"/>
                  </w:pPr>
                  <w:r>
                    <w:rPr>
                      <w:rFonts w:ascii="仿宋_GB2312" w:hAnsi="仿宋_GB2312" w:eastAsia="仿宋_GB2312" w:cs="仿宋_GB2312"/>
                      <w:sz w:val="24"/>
                    </w:rPr>
                    <w:t>德阳昊华清平磷矿有限公司（德阳昊华清平磷矿有限公司磷铵分厂）</w:t>
                  </w:r>
                </w:p>
              </w:tc>
            </w:tr>
            <w:tr w14:paraId="266A43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002D52">
                  <w:pPr>
                    <w:pStyle w:val="4"/>
                    <w:jc w:val="center"/>
                  </w:pPr>
                  <w:r>
                    <w:rPr>
                      <w:rFonts w:ascii="仿宋_GB2312" w:hAnsi="仿宋_GB2312" w:eastAsia="仿宋_GB2312" w:cs="仿宋_GB2312"/>
                      <w:sz w:val="24"/>
                    </w:rPr>
                    <w:t>5</w:t>
                  </w:r>
                </w:p>
              </w:tc>
              <w:tc>
                <w:tcPr>
                  <w:tcW w:w="45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685B5E">
                  <w:pPr>
                    <w:pStyle w:val="4"/>
                    <w:jc w:val="left"/>
                  </w:pPr>
                  <w:r>
                    <w:rPr>
                      <w:rFonts w:ascii="仿宋_GB2312" w:hAnsi="仿宋_GB2312" w:eastAsia="仿宋_GB2312" w:cs="仿宋_GB2312"/>
                      <w:sz w:val="24"/>
                    </w:rPr>
                    <w:t>绵竹四环化工有限公司</w:t>
                  </w:r>
                </w:p>
              </w:tc>
            </w:tr>
            <w:tr w14:paraId="4DBCF5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AF12C9">
                  <w:pPr>
                    <w:pStyle w:val="4"/>
                    <w:jc w:val="center"/>
                  </w:pPr>
                  <w:r>
                    <w:rPr>
                      <w:rFonts w:ascii="仿宋_GB2312" w:hAnsi="仿宋_GB2312" w:eastAsia="仿宋_GB2312" w:cs="仿宋_GB2312"/>
                      <w:sz w:val="24"/>
                    </w:rPr>
                    <w:t>6</w:t>
                  </w:r>
                </w:p>
              </w:tc>
              <w:tc>
                <w:tcPr>
                  <w:tcW w:w="45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911FDB">
                  <w:pPr>
                    <w:pStyle w:val="4"/>
                    <w:jc w:val="left"/>
                  </w:pPr>
                  <w:r>
                    <w:rPr>
                      <w:rFonts w:ascii="仿宋_GB2312" w:hAnsi="仿宋_GB2312" w:eastAsia="仿宋_GB2312" w:cs="仿宋_GB2312"/>
                      <w:sz w:val="24"/>
                    </w:rPr>
                    <w:t>四川致远锂业有限公司</w:t>
                  </w:r>
                </w:p>
              </w:tc>
            </w:tr>
            <w:tr w14:paraId="04AAB4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251649">
                  <w:pPr>
                    <w:pStyle w:val="4"/>
                    <w:jc w:val="center"/>
                  </w:pPr>
                  <w:r>
                    <w:rPr>
                      <w:rFonts w:ascii="仿宋_GB2312" w:hAnsi="仿宋_GB2312" w:eastAsia="仿宋_GB2312" w:cs="仿宋_GB2312"/>
                      <w:sz w:val="24"/>
                    </w:rPr>
                    <w:t>7</w:t>
                  </w:r>
                </w:p>
              </w:tc>
              <w:tc>
                <w:tcPr>
                  <w:tcW w:w="45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450D26">
                  <w:pPr>
                    <w:pStyle w:val="4"/>
                    <w:jc w:val="left"/>
                  </w:pPr>
                  <w:r>
                    <w:rPr>
                      <w:rFonts w:ascii="仿宋_GB2312" w:hAnsi="仿宋_GB2312" w:eastAsia="仿宋_GB2312" w:cs="仿宋_GB2312"/>
                      <w:sz w:val="24"/>
                    </w:rPr>
                    <w:t>四川荣宏科技发展有限公司</w:t>
                  </w:r>
                </w:p>
              </w:tc>
            </w:tr>
            <w:tr w14:paraId="33323C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07A6E7">
                  <w:pPr>
                    <w:pStyle w:val="4"/>
                    <w:jc w:val="center"/>
                  </w:pPr>
                  <w:r>
                    <w:rPr>
                      <w:rFonts w:ascii="仿宋_GB2312" w:hAnsi="仿宋_GB2312" w:eastAsia="仿宋_GB2312" w:cs="仿宋_GB2312"/>
                      <w:sz w:val="24"/>
                    </w:rPr>
                    <w:t>8</w:t>
                  </w:r>
                </w:p>
              </w:tc>
              <w:tc>
                <w:tcPr>
                  <w:tcW w:w="45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9317B7">
                  <w:pPr>
                    <w:pStyle w:val="4"/>
                    <w:jc w:val="left"/>
                  </w:pPr>
                  <w:r>
                    <w:rPr>
                      <w:rFonts w:ascii="仿宋_GB2312" w:hAnsi="仿宋_GB2312" w:eastAsia="仿宋_GB2312" w:cs="仿宋_GB2312"/>
                      <w:sz w:val="24"/>
                    </w:rPr>
                    <w:t>四川绵竹川渝锌业有限责任公司</w:t>
                  </w:r>
                </w:p>
              </w:tc>
            </w:tr>
            <w:tr w14:paraId="31CC22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DEAE43">
                  <w:pPr>
                    <w:pStyle w:val="4"/>
                    <w:jc w:val="center"/>
                  </w:pPr>
                  <w:r>
                    <w:rPr>
                      <w:rFonts w:ascii="仿宋_GB2312" w:hAnsi="仿宋_GB2312" w:eastAsia="仿宋_GB2312" w:cs="仿宋_GB2312"/>
                      <w:sz w:val="24"/>
                    </w:rPr>
                    <w:t>9</w:t>
                  </w:r>
                </w:p>
              </w:tc>
              <w:tc>
                <w:tcPr>
                  <w:tcW w:w="45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10CE65">
                  <w:pPr>
                    <w:pStyle w:val="4"/>
                    <w:jc w:val="left"/>
                  </w:pPr>
                  <w:r>
                    <w:rPr>
                      <w:rFonts w:ascii="仿宋_GB2312" w:hAnsi="仿宋_GB2312" w:eastAsia="仿宋_GB2312" w:cs="仿宋_GB2312"/>
                      <w:sz w:val="24"/>
                    </w:rPr>
                    <w:t>四川省亿丰油脂化学有限责任公司</w:t>
                  </w:r>
                </w:p>
              </w:tc>
            </w:tr>
            <w:tr w14:paraId="6B8EBF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65633D">
                  <w:pPr>
                    <w:pStyle w:val="4"/>
                    <w:jc w:val="center"/>
                  </w:pPr>
                  <w:r>
                    <w:rPr>
                      <w:rFonts w:ascii="仿宋_GB2312" w:hAnsi="仿宋_GB2312" w:eastAsia="仿宋_GB2312" w:cs="仿宋_GB2312"/>
                      <w:sz w:val="24"/>
                    </w:rPr>
                    <w:t>10</w:t>
                  </w:r>
                </w:p>
              </w:tc>
              <w:tc>
                <w:tcPr>
                  <w:tcW w:w="45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43A4EB">
                  <w:pPr>
                    <w:pStyle w:val="4"/>
                    <w:jc w:val="left"/>
                  </w:pPr>
                  <w:r>
                    <w:rPr>
                      <w:rFonts w:ascii="仿宋_GB2312" w:hAnsi="仿宋_GB2312" w:eastAsia="仿宋_GB2312" w:cs="仿宋_GB2312"/>
                      <w:sz w:val="24"/>
                    </w:rPr>
                    <w:t>龙佰四川钛业有限公司</w:t>
                  </w:r>
                </w:p>
              </w:tc>
            </w:tr>
            <w:tr w14:paraId="74E368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0CBA84">
                  <w:pPr>
                    <w:pStyle w:val="4"/>
                    <w:jc w:val="center"/>
                  </w:pPr>
                  <w:r>
                    <w:rPr>
                      <w:rFonts w:ascii="仿宋_GB2312" w:hAnsi="仿宋_GB2312" w:eastAsia="仿宋_GB2312" w:cs="仿宋_GB2312"/>
                      <w:sz w:val="24"/>
                    </w:rPr>
                    <w:t>11</w:t>
                  </w:r>
                </w:p>
              </w:tc>
              <w:tc>
                <w:tcPr>
                  <w:tcW w:w="45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EFB5C4">
                  <w:pPr>
                    <w:pStyle w:val="4"/>
                    <w:jc w:val="left"/>
                  </w:pPr>
                  <w:r>
                    <w:rPr>
                      <w:rFonts w:ascii="仿宋_GB2312" w:hAnsi="仿宋_GB2312" w:eastAsia="仿宋_GB2312" w:cs="仿宋_GB2312"/>
                      <w:sz w:val="24"/>
                    </w:rPr>
                    <w:t>四川盛泉钢铁集团有限公司</w:t>
                  </w:r>
                </w:p>
              </w:tc>
            </w:tr>
            <w:tr w14:paraId="5F9735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E6F9B6">
                  <w:pPr>
                    <w:pStyle w:val="4"/>
                    <w:jc w:val="center"/>
                  </w:pPr>
                  <w:r>
                    <w:rPr>
                      <w:rFonts w:ascii="仿宋_GB2312" w:hAnsi="仿宋_GB2312" w:eastAsia="仿宋_GB2312" w:cs="仿宋_GB2312"/>
                      <w:sz w:val="24"/>
                    </w:rPr>
                    <w:t>12</w:t>
                  </w:r>
                </w:p>
              </w:tc>
              <w:tc>
                <w:tcPr>
                  <w:tcW w:w="45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5DDBDF">
                  <w:pPr>
                    <w:pStyle w:val="4"/>
                    <w:jc w:val="left"/>
                  </w:pPr>
                  <w:r>
                    <w:rPr>
                      <w:rFonts w:ascii="仿宋_GB2312" w:hAnsi="仿宋_GB2312" w:eastAsia="仿宋_GB2312" w:cs="仿宋_GB2312"/>
                      <w:sz w:val="24"/>
                    </w:rPr>
                    <w:t>绵竹市鑫友机械有限公司</w:t>
                  </w:r>
                </w:p>
              </w:tc>
            </w:tr>
            <w:tr w14:paraId="702FB1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BF98E5">
                  <w:pPr>
                    <w:pStyle w:val="4"/>
                    <w:jc w:val="center"/>
                  </w:pPr>
                  <w:r>
                    <w:rPr>
                      <w:rFonts w:ascii="仿宋_GB2312" w:hAnsi="仿宋_GB2312" w:eastAsia="仿宋_GB2312" w:cs="仿宋_GB2312"/>
                      <w:sz w:val="24"/>
                    </w:rPr>
                    <w:t>13</w:t>
                  </w:r>
                </w:p>
              </w:tc>
              <w:tc>
                <w:tcPr>
                  <w:tcW w:w="45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7029E5">
                  <w:pPr>
                    <w:pStyle w:val="4"/>
                    <w:jc w:val="left"/>
                  </w:pPr>
                  <w:r>
                    <w:rPr>
                      <w:rFonts w:ascii="仿宋_GB2312" w:hAnsi="仿宋_GB2312" w:eastAsia="仿宋_GB2312" w:cs="仿宋_GB2312"/>
                      <w:sz w:val="24"/>
                    </w:rPr>
                    <w:t>绵竹市万盛金属制品有限责任公司</w:t>
                  </w:r>
                </w:p>
              </w:tc>
            </w:tr>
          </w:tbl>
          <w:p w14:paraId="7B854150">
            <w:pPr>
              <w:pStyle w:val="4"/>
              <w:ind w:firstLine="480"/>
              <w:jc w:val="both"/>
            </w:pPr>
            <w:r>
              <w:rPr>
                <w:rFonts w:ascii="仿宋_GB2312" w:hAnsi="仿宋_GB2312" w:eastAsia="仿宋_GB2312" w:cs="仿宋_GB2312"/>
                <w:sz w:val="24"/>
              </w:rPr>
              <w:t>2.1.1监测项目</w:t>
            </w:r>
          </w:p>
          <w:p w14:paraId="75E4F93D">
            <w:pPr>
              <w:pStyle w:val="4"/>
              <w:ind w:firstLine="480"/>
              <w:jc w:val="both"/>
            </w:pPr>
            <w:r>
              <w:rPr>
                <w:rFonts w:ascii="仿宋_GB2312" w:hAnsi="仿宋_GB2312" w:eastAsia="仿宋_GB2312" w:cs="仿宋_GB2312"/>
                <w:sz w:val="24"/>
              </w:rPr>
              <w:t>重点监管单位周边土壤监测项目，根据该企业所属行业涉及的污染物类型对应的分析测试项目和企业用地土壤自行监测项目进行选取。其中行业类别中需要监测pH、砷、镉、铬（周边土壤为建设用地监测六价铬；周边土壤为农用地监测总铬）、铜、铅、汞、镍、石油烃（C10-C40）、苯并[a]芘，上述指标为必测项目。</w:t>
            </w:r>
          </w:p>
          <w:p w14:paraId="174A1463">
            <w:pPr>
              <w:pStyle w:val="4"/>
              <w:ind w:firstLine="480"/>
              <w:jc w:val="both"/>
            </w:pPr>
            <w:r>
              <w:rPr>
                <w:rFonts w:ascii="仿宋_GB2312" w:hAnsi="仿宋_GB2312" w:eastAsia="仿宋_GB2312" w:cs="仿宋_GB2312"/>
                <w:sz w:val="24"/>
              </w:rPr>
              <w:t>2.1.2监测时间和频次</w:t>
            </w:r>
          </w:p>
          <w:p w14:paraId="7F91CE54">
            <w:pPr>
              <w:pStyle w:val="4"/>
              <w:ind w:firstLine="480"/>
              <w:jc w:val="both"/>
            </w:pPr>
            <w:r>
              <w:rPr>
                <w:rFonts w:ascii="仿宋_GB2312" w:hAnsi="仿宋_GB2312" w:eastAsia="仿宋_GB2312" w:cs="仿宋_GB2312"/>
                <w:sz w:val="24"/>
              </w:rPr>
              <w:t>重点监管单位、固体废物处置设施周边土壤环境监督性监测的监测频次为每年至少1次。若存在超标现象的，该点位可增加监测频次。具体要求按照国家相关标准及规范执行。</w:t>
            </w:r>
          </w:p>
          <w:p w14:paraId="2587EA36">
            <w:pPr>
              <w:pStyle w:val="4"/>
              <w:ind w:firstLine="480"/>
              <w:jc w:val="both"/>
            </w:pPr>
            <w:r>
              <w:rPr>
                <w:rFonts w:ascii="仿宋_GB2312" w:hAnsi="仿宋_GB2312" w:eastAsia="仿宋_GB2312" w:cs="仿宋_GB2312"/>
                <w:sz w:val="24"/>
              </w:rPr>
              <w:t>2.1.3监测布点与采样</w:t>
            </w:r>
          </w:p>
          <w:p w14:paraId="7CF174CD">
            <w:pPr>
              <w:pStyle w:val="4"/>
              <w:ind w:firstLine="480"/>
              <w:jc w:val="left"/>
            </w:pPr>
            <w:r>
              <w:rPr>
                <w:rFonts w:ascii="仿宋_GB2312" w:hAnsi="仿宋_GB2312" w:eastAsia="仿宋_GB2312" w:cs="仿宋_GB2312"/>
                <w:sz w:val="24"/>
              </w:rPr>
              <w:t>（1）重点监管单位周边土壤监督性监测以企业为监测单元，在其厂界红线外20 米范围内布设，监测点位不低于3个，若20米范围内无法采样，取样点位可向外延伸。具体监测点位数量可根据企业地块大小和企业污染排放等实际情况进行适当调整，监测布点应尽量设置在受企业污染影响的区域，并综合考虑污染物迁移方向和周边敏感目标位置等因素，土壤采样深度应重点关注地块周边可能受污染影响的层位。</w:t>
            </w:r>
          </w:p>
          <w:p w14:paraId="2707464C">
            <w:pPr>
              <w:pStyle w:val="4"/>
              <w:ind w:firstLine="480"/>
              <w:jc w:val="left"/>
            </w:pPr>
            <w:r>
              <w:rPr>
                <w:rFonts w:ascii="仿宋_GB2312" w:hAnsi="仿宋_GB2312" w:eastAsia="仿宋_GB2312" w:cs="仿宋_GB2312"/>
                <w:sz w:val="24"/>
              </w:rPr>
              <w:t>（2）其他对于存在污染迹象和污染痕迹的监测区域，应根据具体情况适当增加监测点位，提高监测频次。</w:t>
            </w:r>
          </w:p>
          <w:p w14:paraId="7DCA306B">
            <w:pPr>
              <w:pStyle w:val="4"/>
              <w:ind w:firstLine="480"/>
              <w:jc w:val="both"/>
            </w:pPr>
            <w:r>
              <w:rPr>
                <w:rFonts w:ascii="仿宋_GB2312" w:hAnsi="仿宋_GB2312" w:eastAsia="仿宋_GB2312" w:cs="仿宋_GB2312"/>
                <w:sz w:val="24"/>
              </w:rPr>
              <w:t>2.1.4工作程序</w:t>
            </w:r>
          </w:p>
          <w:p w14:paraId="1C01EAD3">
            <w:pPr>
              <w:pStyle w:val="4"/>
              <w:ind w:firstLine="480"/>
              <w:jc w:val="both"/>
            </w:pPr>
            <w:r>
              <w:rPr>
                <w:rFonts w:ascii="仿宋_GB2312" w:hAnsi="仿宋_GB2312" w:eastAsia="仿宋_GB2312" w:cs="仿宋_GB2312"/>
                <w:sz w:val="24"/>
              </w:rPr>
              <w:t>（1）制定方案：供应商需编制本区域土壤污染重点监管单位、固体废物处置设施周边土壤监测方案。监测方案应包括工作概况、企业、和固体废物处置设施土壤质量环境情况、监测布点、监测项目、监测时间和频次、监测方法等情况、监测单位（第三方监测机构）、质量控制、经费保障等内容以及布点图等附件。方案由采购人组织行业专家审查并通过后执行。</w:t>
            </w:r>
          </w:p>
          <w:p w14:paraId="5BD97C11">
            <w:pPr>
              <w:pStyle w:val="4"/>
              <w:ind w:firstLine="480"/>
              <w:jc w:val="both"/>
            </w:pPr>
            <w:r>
              <w:rPr>
                <w:rFonts w:ascii="仿宋_GB2312" w:hAnsi="仿宋_GB2312" w:eastAsia="仿宋_GB2312" w:cs="仿宋_GB2312"/>
                <w:sz w:val="24"/>
              </w:rPr>
              <w:t>（2）开展监测供应商依据制定方案开展监测工作。</w:t>
            </w:r>
          </w:p>
          <w:p w14:paraId="32FC6A1B">
            <w:pPr>
              <w:pStyle w:val="4"/>
              <w:ind w:firstLine="480"/>
              <w:jc w:val="both"/>
            </w:pPr>
            <w:r>
              <w:rPr>
                <w:rFonts w:ascii="仿宋_GB2312" w:hAnsi="仿宋_GB2312" w:eastAsia="仿宋_GB2312" w:cs="仿宋_GB2312"/>
                <w:sz w:val="24"/>
              </w:rPr>
              <w:t>（3）编制报告：供应商需编制监督性监测报告。监测报告主要包括：工作概况、任务完成情况、质量控制、监测结果及分析、工作建议等内容以及原始检测报告、采样点位图等附件。发现监测结果超标的，应查明原因，并提出对策措施。对于未开展监督性监测的有关企业或工业园区应说明原因。</w:t>
            </w:r>
          </w:p>
          <w:p w14:paraId="5AF02BD3">
            <w:pPr>
              <w:pStyle w:val="4"/>
              <w:ind w:firstLine="482"/>
              <w:jc w:val="both"/>
            </w:pPr>
            <w:r>
              <w:rPr>
                <w:rFonts w:ascii="仿宋_GB2312" w:hAnsi="仿宋_GB2312" w:eastAsia="仿宋_GB2312" w:cs="仿宋_GB2312"/>
                <w:b/>
                <w:sz w:val="24"/>
              </w:rPr>
              <w:t>2.2地下水监督监测重点企业</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69"/>
              <w:gridCol w:w="4504"/>
            </w:tblGrid>
            <w:tr w14:paraId="3BD52B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FE8BCB8">
                  <w:pPr>
                    <w:pStyle w:val="4"/>
                    <w:jc w:val="center"/>
                  </w:pPr>
                  <w:r>
                    <w:rPr>
                      <w:rFonts w:ascii="仿宋_GB2312" w:hAnsi="仿宋_GB2312" w:eastAsia="仿宋_GB2312" w:cs="仿宋_GB2312"/>
                      <w:sz w:val="24"/>
                    </w:rPr>
                    <w:t>1</w:t>
                  </w:r>
                </w:p>
              </w:tc>
              <w:tc>
                <w:tcPr>
                  <w:tcW w:w="460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8807325">
                  <w:pPr>
                    <w:pStyle w:val="4"/>
                    <w:jc w:val="center"/>
                  </w:pPr>
                  <w:r>
                    <w:rPr>
                      <w:rFonts w:ascii="仿宋_GB2312" w:hAnsi="仿宋_GB2312" w:eastAsia="仿宋_GB2312" w:cs="仿宋_GB2312"/>
                      <w:sz w:val="24"/>
                    </w:rPr>
                    <w:t>四川龙蟒磷化工有限公司</w:t>
                  </w:r>
                </w:p>
              </w:tc>
            </w:tr>
            <w:tr w14:paraId="44F3E0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B5C536">
                  <w:pPr>
                    <w:pStyle w:val="4"/>
                    <w:jc w:val="center"/>
                  </w:pPr>
                  <w:r>
                    <w:rPr>
                      <w:rFonts w:ascii="仿宋_GB2312" w:hAnsi="仿宋_GB2312" w:eastAsia="仿宋_GB2312" w:cs="仿宋_GB2312"/>
                      <w:sz w:val="24"/>
                    </w:rPr>
                    <w:t>2</w:t>
                  </w:r>
                </w:p>
              </w:tc>
              <w:tc>
                <w:tcPr>
                  <w:tcW w:w="46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7A0DA4">
                  <w:pPr>
                    <w:pStyle w:val="4"/>
                    <w:jc w:val="center"/>
                  </w:pPr>
                  <w:r>
                    <w:rPr>
                      <w:rFonts w:ascii="仿宋_GB2312" w:hAnsi="仿宋_GB2312" w:eastAsia="仿宋_GB2312" w:cs="仿宋_GB2312"/>
                      <w:sz w:val="24"/>
                    </w:rPr>
                    <w:t>四川绵竹三佳饲料有限责任公司</w:t>
                  </w:r>
                </w:p>
              </w:tc>
            </w:tr>
            <w:tr w14:paraId="7120F5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BEAFDE">
                  <w:pPr>
                    <w:pStyle w:val="4"/>
                    <w:jc w:val="center"/>
                  </w:pPr>
                  <w:r>
                    <w:rPr>
                      <w:rFonts w:ascii="仿宋_GB2312" w:hAnsi="仿宋_GB2312" w:eastAsia="仿宋_GB2312" w:cs="仿宋_GB2312"/>
                      <w:sz w:val="24"/>
                    </w:rPr>
                    <w:t>3</w:t>
                  </w:r>
                </w:p>
              </w:tc>
              <w:tc>
                <w:tcPr>
                  <w:tcW w:w="46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8FA83F">
                  <w:pPr>
                    <w:pStyle w:val="4"/>
                    <w:jc w:val="center"/>
                  </w:pPr>
                  <w:r>
                    <w:rPr>
                      <w:rFonts w:ascii="仿宋_GB2312" w:hAnsi="仿宋_GB2312" w:eastAsia="仿宋_GB2312" w:cs="仿宋_GB2312"/>
                      <w:sz w:val="24"/>
                    </w:rPr>
                    <w:t>四川绵竹市盘龙矿物质有限责任公司</w:t>
                  </w:r>
                </w:p>
              </w:tc>
            </w:tr>
            <w:tr w14:paraId="2CD11A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ADADE2">
                  <w:pPr>
                    <w:pStyle w:val="4"/>
                    <w:jc w:val="center"/>
                  </w:pPr>
                  <w:r>
                    <w:rPr>
                      <w:rFonts w:ascii="仿宋_GB2312" w:hAnsi="仿宋_GB2312" w:eastAsia="仿宋_GB2312" w:cs="仿宋_GB2312"/>
                      <w:sz w:val="24"/>
                    </w:rPr>
                    <w:t>4</w:t>
                  </w:r>
                </w:p>
              </w:tc>
              <w:tc>
                <w:tcPr>
                  <w:tcW w:w="46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5FB4B7">
                  <w:pPr>
                    <w:pStyle w:val="4"/>
                    <w:jc w:val="center"/>
                  </w:pPr>
                  <w:r>
                    <w:rPr>
                      <w:rFonts w:ascii="仿宋_GB2312" w:hAnsi="仿宋_GB2312" w:eastAsia="仿宋_GB2312" w:cs="仿宋_GB2312"/>
                      <w:sz w:val="24"/>
                    </w:rPr>
                    <w:t>德阳昊华清平磷矿有限公司（德阳昊华清</w:t>
                  </w:r>
                </w:p>
                <w:p w14:paraId="0932412A">
                  <w:pPr>
                    <w:pStyle w:val="4"/>
                    <w:jc w:val="center"/>
                  </w:pPr>
                  <w:r>
                    <w:rPr>
                      <w:rFonts w:ascii="仿宋_GB2312" w:hAnsi="仿宋_GB2312" w:eastAsia="仿宋_GB2312" w:cs="仿宋_GB2312"/>
                      <w:sz w:val="24"/>
                    </w:rPr>
                    <w:t>平磷矿有限公司磷铵分厂）</w:t>
                  </w:r>
                </w:p>
              </w:tc>
            </w:tr>
            <w:tr w14:paraId="1BA811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79A0B7">
                  <w:pPr>
                    <w:pStyle w:val="4"/>
                    <w:jc w:val="center"/>
                  </w:pPr>
                  <w:r>
                    <w:rPr>
                      <w:rFonts w:ascii="仿宋_GB2312" w:hAnsi="仿宋_GB2312" w:eastAsia="仿宋_GB2312" w:cs="仿宋_GB2312"/>
                      <w:sz w:val="24"/>
                    </w:rPr>
                    <w:t>5</w:t>
                  </w:r>
                </w:p>
              </w:tc>
              <w:tc>
                <w:tcPr>
                  <w:tcW w:w="46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F4D5C0">
                  <w:pPr>
                    <w:pStyle w:val="4"/>
                    <w:jc w:val="center"/>
                  </w:pPr>
                  <w:r>
                    <w:rPr>
                      <w:rFonts w:ascii="仿宋_GB2312" w:hAnsi="仿宋_GB2312" w:eastAsia="仿宋_GB2312" w:cs="仿宋_GB2312"/>
                      <w:sz w:val="24"/>
                    </w:rPr>
                    <w:t>绵竹碧海环保工程有限公司</w:t>
                  </w:r>
                </w:p>
              </w:tc>
            </w:tr>
          </w:tbl>
          <w:p w14:paraId="2D894B32">
            <w:pPr>
              <w:pStyle w:val="4"/>
              <w:ind w:firstLine="480"/>
              <w:jc w:val="both"/>
            </w:pPr>
            <w:r>
              <w:rPr>
                <w:rFonts w:ascii="仿宋_GB2312" w:hAnsi="仿宋_GB2312" w:eastAsia="仿宋_GB2312" w:cs="仿宋_GB2312"/>
                <w:sz w:val="24"/>
              </w:rPr>
              <w:t>2.2.1监测频次：每年至少1次（排放标准明确监测频次的按排放标准执行），对监测超标的排污单位，可适当增加频次。</w:t>
            </w:r>
          </w:p>
          <w:p w14:paraId="2B6BB7C3">
            <w:pPr>
              <w:pStyle w:val="4"/>
              <w:ind w:firstLine="480"/>
              <w:jc w:val="both"/>
            </w:pPr>
            <w:r>
              <w:rPr>
                <w:rFonts w:ascii="仿宋_GB2312" w:hAnsi="仿宋_GB2312" w:eastAsia="仿宋_GB2312" w:cs="仿宋_GB2312"/>
                <w:sz w:val="24"/>
              </w:rPr>
              <w:t>2.2.2监测指标：化学需氧量及氨氮必测，其他指标按照排污许可证、排放标准、环评及批复或管理需求等确定监测项目。监测项目由供应商编制监测方案确定，方案由采购人组织行业专家审查并通过后执行。</w:t>
            </w:r>
          </w:p>
          <w:p w14:paraId="4E8CB175">
            <w:pPr>
              <w:pStyle w:val="4"/>
              <w:ind w:firstLine="480"/>
              <w:jc w:val="both"/>
            </w:pPr>
            <w:r>
              <w:rPr>
                <w:rFonts w:ascii="仿宋_GB2312" w:hAnsi="仿宋_GB2312" w:eastAsia="仿宋_GB2312" w:cs="仿宋_GB2312"/>
              </w:rPr>
              <w:t>2.2.3</w:t>
            </w:r>
            <w:r>
              <w:rPr>
                <w:rFonts w:ascii="仿宋_GB2312" w:hAnsi="仿宋_GB2312" w:eastAsia="仿宋_GB2312" w:cs="仿宋_GB2312"/>
                <w:sz w:val="24"/>
              </w:rPr>
              <w:t>编制报告，提供完整的监测报告，采购人有需求时，应提供数据分析和对策措施。</w:t>
            </w:r>
          </w:p>
          <w:p w14:paraId="28F34021">
            <w:pPr>
              <w:pStyle w:val="4"/>
              <w:ind w:firstLine="482"/>
              <w:jc w:val="both"/>
            </w:pPr>
            <w:r>
              <w:rPr>
                <w:rFonts w:ascii="仿宋_GB2312" w:hAnsi="仿宋_GB2312" w:eastAsia="仿宋_GB2312" w:cs="仿宋_GB2312"/>
                <w:b/>
                <w:sz w:val="24"/>
              </w:rPr>
              <w:t>2.3地下水污染防治重点排污单位周边地下水监测</w:t>
            </w:r>
          </w:p>
          <w:p w14:paraId="1761B095">
            <w:pPr>
              <w:pStyle w:val="4"/>
              <w:ind w:firstLine="480"/>
              <w:jc w:val="both"/>
            </w:pPr>
            <w:r>
              <w:rPr>
                <w:rFonts w:ascii="仿宋_GB2312" w:hAnsi="仿宋_GB2312" w:eastAsia="仿宋_GB2312" w:cs="仿宋_GB2312"/>
                <w:sz w:val="24"/>
              </w:rPr>
              <w:t>2.3.1监测范围包括“孝德镇年画村地下水型水源地、广济镇新和村地下水型水源地、四川省绵竹天化助剂有限责任公司、孝篷101井组回注站、德阳昊华清平磷矿（燕子岩矿段）、绵竹兴达加油站、唐世军养殖场”等28处监测井。</w:t>
            </w:r>
          </w:p>
          <w:p w14:paraId="1A0C7E29">
            <w:pPr>
              <w:pStyle w:val="4"/>
              <w:ind w:firstLine="480"/>
              <w:jc w:val="both"/>
            </w:pPr>
            <w:r>
              <w:rPr>
                <w:rFonts w:ascii="仿宋_GB2312" w:hAnsi="仿宋_GB2312" w:eastAsia="仿宋_GB2312" w:cs="仿宋_GB2312"/>
                <w:sz w:val="24"/>
              </w:rPr>
              <w:t>2.3.2监测项目</w:t>
            </w:r>
          </w:p>
          <w:p w14:paraId="26A18891">
            <w:pPr>
              <w:pStyle w:val="4"/>
              <w:ind w:firstLine="480"/>
              <w:jc w:val="left"/>
            </w:pPr>
            <w:r>
              <w:rPr>
                <w:rFonts w:ascii="仿宋_GB2312" w:hAnsi="仿宋_GB2312" w:eastAsia="仿宋_GB2312" w:cs="仿宋_GB2312"/>
                <w:sz w:val="24"/>
              </w:rPr>
              <w:t>（1）基本指标：《地下水质量标准》（GB/T 14848－2017）表1常规指标中的29 项。包括pH、硫酸盐、氯化物、铁、锰、铜、锌、铝、挥发性酚类、阴离子表面活性剂、耗氧量（高锰酸盐指数）、氨氮、硫化物、钠、亚硝酸盐、硝酸盐、氰化物、氟化物、碘化物、汞、砷、硒、镉、铬（六价）、铅、三氯甲烷、四氯化碳、苯和甲苯。</w:t>
            </w:r>
          </w:p>
          <w:p w14:paraId="5D1F9815">
            <w:pPr>
              <w:pStyle w:val="4"/>
              <w:ind w:firstLine="480"/>
              <w:jc w:val="both"/>
            </w:pPr>
            <w:r>
              <w:rPr>
                <w:rFonts w:ascii="仿宋_GB2312" w:hAnsi="仿宋_GB2312" w:eastAsia="仿宋_GB2312" w:cs="仿宋_GB2312"/>
                <w:sz w:val="24"/>
              </w:rPr>
              <w:t>（2）特征指标：在基本指标的基础上，根据监测点位所在区域污染源特征，结合排污许可和生产工艺增测特征指标。四川省地下水环境调查评估与能力建设项目调查监测结果已超标，且不属于常规指标的，应作为特征指标进行监测。</w:t>
            </w:r>
          </w:p>
          <w:p w14:paraId="52AFD407">
            <w:pPr>
              <w:pStyle w:val="4"/>
              <w:ind w:firstLine="480"/>
              <w:jc w:val="both"/>
            </w:pPr>
            <w:r>
              <w:rPr>
                <w:rFonts w:ascii="仿宋_GB2312" w:hAnsi="仿宋_GB2312" w:eastAsia="仿宋_GB2312" w:cs="仿宋_GB2312"/>
                <w:sz w:val="24"/>
              </w:rPr>
              <w:t>2.3.4监测频次：丰水期和枯水期各1次。</w:t>
            </w:r>
          </w:p>
          <w:p w14:paraId="06CA0034">
            <w:pPr>
              <w:pStyle w:val="4"/>
              <w:ind w:firstLine="480"/>
              <w:jc w:val="both"/>
            </w:pPr>
            <w:r>
              <w:rPr>
                <w:rFonts w:ascii="仿宋_GB2312" w:hAnsi="仿宋_GB2312" w:eastAsia="仿宋_GB2312" w:cs="仿宋_GB2312"/>
                <w:sz w:val="24"/>
              </w:rPr>
              <w:t>2.3.5工作程序</w:t>
            </w:r>
          </w:p>
          <w:p w14:paraId="538E35FB">
            <w:pPr>
              <w:pStyle w:val="4"/>
              <w:ind w:firstLine="480"/>
              <w:jc w:val="both"/>
            </w:pPr>
            <w:r>
              <w:rPr>
                <w:rFonts w:ascii="仿宋_GB2312" w:hAnsi="仿宋_GB2312" w:eastAsia="仿宋_GB2312" w:cs="仿宋_GB2312"/>
                <w:sz w:val="24"/>
              </w:rPr>
              <w:t>（1）制定方案：供应商需编制本项目监测方案。监测方案应包括工作概况、企业、污水产生和排放情况、监测布点、监测项目、监测时间和频次、监测方法等情况、监测单位（第三方监测机构）、质量控制、经费保障等内容以及布点图等附件。</w:t>
            </w:r>
          </w:p>
          <w:p w14:paraId="057DD756">
            <w:pPr>
              <w:pStyle w:val="4"/>
              <w:ind w:firstLine="480"/>
              <w:jc w:val="both"/>
            </w:pPr>
            <w:r>
              <w:rPr>
                <w:rFonts w:ascii="仿宋_GB2312" w:hAnsi="仿宋_GB2312" w:eastAsia="仿宋_GB2312" w:cs="仿宋_GB2312"/>
                <w:sz w:val="24"/>
              </w:rPr>
              <w:t>（2）开展监测供应商依据上一年制定的方案开展监测工作。</w:t>
            </w:r>
          </w:p>
          <w:p w14:paraId="0B51D2B5">
            <w:pPr>
              <w:pStyle w:val="4"/>
              <w:ind w:firstLine="480"/>
              <w:jc w:val="both"/>
            </w:pPr>
            <w:r>
              <w:rPr>
                <w:rFonts w:ascii="仿宋_GB2312" w:hAnsi="仿宋_GB2312" w:eastAsia="仿宋_GB2312" w:cs="仿宋_GB2312"/>
                <w:sz w:val="24"/>
              </w:rPr>
              <w:t>（3）编制报告，提供完整的监测报告，采购人有需求时，应提供数据分析和对策措施。</w:t>
            </w:r>
          </w:p>
          <w:p w14:paraId="377CA095">
            <w:pPr>
              <w:pStyle w:val="4"/>
              <w:jc w:val="left"/>
            </w:pPr>
            <w:r>
              <w:rPr>
                <w:rFonts w:ascii="仿宋_GB2312" w:hAnsi="仿宋_GB2312" w:eastAsia="仿宋_GB2312" w:cs="仿宋_GB2312"/>
                <w:b/>
                <w:sz w:val="24"/>
              </w:rPr>
              <w:t>3、</w:t>
            </w:r>
            <w:r>
              <w:rPr>
                <w:rFonts w:ascii="仿宋_GB2312" w:hAnsi="仿宋_GB2312" w:eastAsia="仿宋_GB2312" w:cs="仿宋_GB2312"/>
                <w:sz w:val="24"/>
              </w:rPr>
              <w:t>供应商应确保服务人员的人身安全，在项目服务过程中发生任何安全事故均由成交供应商负责；服务人员如因自身原因不能保证正常工作的，供应商应及时安排具有同等资格的其他人员补替岗位并报采购人备案。</w:t>
            </w:r>
          </w:p>
        </w:tc>
      </w:tr>
      <w:tr w14:paraId="4F65FB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15D984">
            <w:pPr>
              <w:pStyle w:val="4"/>
              <w:jc w:val="center"/>
            </w:pPr>
            <w:r>
              <w:rPr>
                <w:rFonts w:ascii="仿宋_GB2312" w:hAnsi="仿宋_GB2312" w:eastAsia="仿宋_GB2312" w:cs="仿宋_GB2312"/>
              </w:rPr>
              <w:t>2</w:t>
            </w:r>
          </w:p>
        </w:tc>
        <w:tc>
          <w:tcPr>
            <w:tcW w:w="581" w:type="dxa"/>
          </w:tcPr>
          <w:p w14:paraId="5D7DFA23">
            <w:pPr>
              <w:pStyle w:val="4"/>
              <w:jc w:val="center"/>
            </w:pPr>
            <w:r>
              <w:rPr>
                <w:rFonts w:ascii="仿宋_GB2312" w:hAnsi="仿宋_GB2312" w:eastAsia="仿宋_GB2312" w:cs="仿宋_GB2312"/>
              </w:rPr>
              <w:t>★</w:t>
            </w:r>
          </w:p>
        </w:tc>
        <w:tc>
          <w:tcPr>
            <w:tcW w:w="1495" w:type="dxa"/>
          </w:tcPr>
          <w:p w14:paraId="2F1ABD11">
            <w:pPr>
              <w:pStyle w:val="4"/>
              <w:jc w:val="left"/>
            </w:pPr>
            <w:r>
              <w:rPr>
                <w:rFonts w:ascii="仿宋_GB2312" w:hAnsi="仿宋_GB2312" w:eastAsia="仿宋_GB2312" w:cs="仿宋_GB2312"/>
              </w:rPr>
              <w:t>商务要求</w:t>
            </w:r>
          </w:p>
        </w:tc>
        <w:tc>
          <w:tcPr>
            <w:tcW w:w="5814" w:type="dxa"/>
          </w:tcPr>
          <w:p w14:paraId="205A3536">
            <w:pPr>
              <w:pStyle w:val="4"/>
              <w:ind w:firstLine="472"/>
              <w:jc w:val="both"/>
            </w:pPr>
            <w:r>
              <w:rPr>
                <w:rFonts w:ascii="仿宋_GB2312" w:hAnsi="仿宋_GB2312" w:eastAsia="仿宋_GB2312" w:cs="仿宋_GB2312"/>
                <w:b/>
                <w:sz w:val="24"/>
              </w:rPr>
              <w:t>（因系统固定模块录入限制原因，本项目“商务要求”以此部分为准，采购文件系统模块“3.3.2. 商务要求”及系统其他模块中对应内容不作为本项目的评审依据，且不视为前后不一致或矛盾，投标人响应本项目“商务要求”时，应当根据本部分内容进行响应，未根据本部分内容响应的作无效投标处理。）</w:t>
            </w:r>
          </w:p>
          <w:p w14:paraId="19BD4402">
            <w:pPr>
              <w:pStyle w:val="4"/>
              <w:ind w:firstLine="472"/>
              <w:jc w:val="both"/>
            </w:pPr>
            <w:r>
              <w:rPr>
                <w:rFonts w:ascii="仿宋_GB2312" w:hAnsi="仿宋_GB2312" w:eastAsia="仿宋_GB2312" w:cs="仿宋_GB2312"/>
                <w:b/>
              </w:rPr>
              <w:t>★</w:t>
            </w:r>
            <w:r>
              <w:rPr>
                <w:rFonts w:ascii="仿宋_GB2312" w:hAnsi="仿宋_GB2312" w:eastAsia="仿宋_GB2312" w:cs="仿宋_GB2312"/>
              </w:rPr>
              <w:t>二、商务要求</w:t>
            </w:r>
          </w:p>
          <w:p w14:paraId="23BD2998">
            <w:pPr>
              <w:pStyle w:val="4"/>
              <w:ind w:firstLine="472"/>
              <w:jc w:val="both"/>
            </w:pPr>
            <w:r>
              <w:rPr>
                <w:rFonts w:ascii="仿宋_GB2312" w:hAnsi="仿宋_GB2312" w:eastAsia="仿宋_GB2312" w:cs="仿宋_GB2312"/>
                <w:b/>
                <w:sz w:val="24"/>
              </w:rPr>
              <w:t>1、服务地点：</w:t>
            </w:r>
            <w:r>
              <w:rPr>
                <w:rFonts w:ascii="仿宋_GB2312" w:hAnsi="仿宋_GB2312" w:eastAsia="仿宋_GB2312" w:cs="仿宋_GB2312"/>
                <w:sz w:val="24"/>
              </w:rPr>
              <w:t>采购人管辖范围内指定地点（绵竹市内）。</w:t>
            </w:r>
          </w:p>
          <w:p w14:paraId="3E85B289">
            <w:pPr>
              <w:pStyle w:val="4"/>
              <w:ind w:firstLine="472"/>
              <w:jc w:val="both"/>
            </w:pPr>
            <w:r>
              <w:rPr>
                <w:rFonts w:ascii="仿宋_GB2312" w:hAnsi="仿宋_GB2312" w:eastAsia="仿宋_GB2312" w:cs="仿宋_GB2312"/>
                <w:b/>
                <w:sz w:val="24"/>
              </w:rPr>
              <w:t>2、服务期限：</w:t>
            </w:r>
          </w:p>
          <w:p w14:paraId="27740E91">
            <w:pPr>
              <w:pStyle w:val="4"/>
              <w:ind w:firstLine="472"/>
              <w:jc w:val="left"/>
            </w:pPr>
            <w:r>
              <w:rPr>
                <w:rFonts w:ascii="仿宋_GB2312" w:hAnsi="仿宋_GB2312" w:eastAsia="仿宋_GB2312" w:cs="仿宋_GB2312"/>
                <w:sz w:val="24"/>
              </w:rPr>
              <w:t>（1）土壤监督性监测：签订合同后30日内完成监督性监测方案编制并通过专家审查，依据监测方案开展土壤监督性监测，2026年11月底前完成。</w:t>
            </w:r>
          </w:p>
          <w:p w14:paraId="44293EDF">
            <w:pPr>
              <w:pStyle w:val="4"/>
              <w:ind w:firstLine="472"/>
              <w:jc w:val="left"/>
            </w:pPr>
            <w:r>
              <w:rPr>
                <w:rFonts w:ascii="仿宋_GB2312" w:hAnsi="仿宋_GB2312" w:eastAsia="仿宋_GB2312" w:cs="仿宋_GB2312"/>
                <w:sz w:val="24"/>
              </w:rPr>
              <w:t>（2）地下水监测重点企业：签订合同后30日内完成方案编制并通过专家审查，依据监测方案开展监测，2026年12月底前完成。</w:t>
            </w:r>
          </w:p>
          <w:p w14:paraId="09B60F6C">
            <w:pPr>
              <w:pStyle w:val="4"/>
              <w:ind w:firstLine="472"/>
              <w:jc w:val="left"/>
            </w:pPr>
            <w:r>
              <w:rPr>
                <w:rFonts w:ascii="仿宋_GB2312" w:hAnsi="仿宋_GB2312" w:eastAsia="仿宋_GB2312" w:cs="仿宋_GB2312"/>
                <w:sz w:val="24"/>
              </w:rPr>
              <w:t>（3）地下水污染防治重点排污单位周边地下水监测：签订合同后30日内完成方案编制并通过专家审查，依据监测方案开展监测，2026年12月底前完成。</w:t>
            </w:r>
          </w:p>
          <w:p w14:paraId="230B3D97">
            <w:pPr>
              <w:pStyle w:val="4"/>
              <w:ind w:firstLine="472"/>
              <w:jc w:val="left"/>
            </w:pPr>
            <w:r>
              <w:rPr>
                <w:rFonts w:ascii="仿宋_GB2312" w:hAnsi="仿宋_GB2312" w:eastAsia="仿宋_GB2312" w:cs="仿宋_GB2312"/>
                <w:b/>
                <w:sz w:val="24"/>
              </w:rPr>
              <w:t>3、付款方式：</w:t>
            </w:r>
          </w:p>
          <w:p w14:paraId="6FDA7171">
            <w:pPr>
              <w:pStyle w:val="4"/>
              <w:ind w:firstLine="472"/>
              <w:jc w:val="left"/>
            </w:pPr>
            <w:r>
              <w:rPr>
                <w:rFonts w:ascii="仿宋_GB2312" w:hAnsi="仿宋_GB2312" w:eastAsia="仿宋_GB2312" w:cs="仿宋_GB2312"/>
                <w:sz w:val="24"/>
              </w:rPr>
              <w:t>(1)首付款：首付款金额为合同总金额的40%；采购人在采购合同签订生效之日起接到供应商开具的合法有效且金额准确的发票后10个工作日内支付。</w:t>
            </w:r>
          </w:p>
          <w:p w14:paraId="743875CC">
            <w:pPr>
              <w:pStyle w:val="4"/>
              <w:ind w:firstLine="472"/>
              <w:jc w:val="left"/>
            </w:pPr>
            <w:r>
              <w:rPr>
                <w:rFonts w:ascii="仿宋_GB2312" w:hAnsi="仿宋_GB2312" w:eastAsia="仿宋_GB2312" w:cs="仿宋_GB2312"/>
                <w:sz w:val="24"/>
              </w:rPr>
              <w:t>(2)尾款：合同约定的服务期限届满且工作成果经采购人验收通过后支付合同剩余款项，采购人于供应商达到付款条件起10个工作日内支付；</w:t>
            </w:r>
          </w:p>
          <w:p w14:paraId="6AC63764">
            <w:pPr>
              <w:pStyle w:val="4"/>
              <w:ind w:firstLine="472"/>
              <w:jc w:val="left"/>
            </w:pPr>
            <w:r>
              <w:rPr>
                <w:rFonts w:ascii="仿宋_GB2312" w:hAnsi="仿宋_GB2312" w:eastAsia="仿宋_GB2312" w:cs="仿宋_GB2312"/>
                <w:sz w:val="24"/>
              </w:rPr>
              <w:t>(3)供应商应当在采购人每次付款前，向采购人出具合法有效、金额准确的完税发票（须注明采购人要求的各类信息）及凭证资料，否则采购人有权拒绝或延迟支付服务费，并且不承担任何违约责任。</w:t>
            </w:r>
          </w:p>
          <w:p w14:paraId="68654766">
            <w:pPr>
              <w:pStyle w:val="4"/>
              <w:ind w:firstLine="472"/>
              <w:jc w:val="both"/>
            </w:pPr>
            <w:r>
              <w:rPr>
                <w:rFonts w:ascii="仿宋_GB2312" w:hAnsi="仿宋_GB2312" w:eastAsia="仿宋_GB2312" w:cs="仿宋_GB2312"/>
                <w:b/>
                <w:sz w:val="24"/>
              </w:rPr>
              <w:t>4、报价要求：</w:t>
            </w:r>
            <w:r>
              <w:rPr>
                <w:rFonts w:ascii="仿宋_GB2312" w:hAnsi="仿宋_GB2312" w:eastAsia="仿宋_GB2312" w:cs="仿宋_GB2312"/>
                <w:sz w:val="24"/>
              </w:rPr>
              <w:t>本项目为完成本项目的包干总价。本项目所有服务费用，包括但不限于资料整理编制、设备、维护服务、人员劳务、交通、利润、税费等一切因实施本项目所需的相关费用均包含在报价中，除此之外，采购人不承担除成交价外的其他任何费用。</w:t>
            </w:r>
          </w:p>
          <w:p w14:paraId="10CE1BBB">
            <w:pPr>
              <w:pStyle w:val="4"/>
              <w:ind w:firstLine="472"/>
              <w:jc w:val="left"/>
            </w:pPr>
            <w:r>
              <w:rPr>
                <w:rFonts w:ascii="仿宋_GB2312" w:hAnsi="仿宋_GB2312" w:eastAsia="仿宋_GB2312" w:cs="仿宋_GB2312"/>
                <w:b/>
                <w:sz w:val="24"/>
              </w:rPr>
              <w:t>5、验收要求：</w:t>
            </w:r>
          </w:p>
          <w:p w14:paraId="2C076530">
            <w:pPr>
              <w:pStyle w:val="4"/>
              <w:ind w:firstLine="472"/>
              <w:jc w:val="left"/>
            </w:pPr>
            <w:r>
              <w:rPr>
                <w:rFonts w:ascii="仿宋_GB2312" w:hAnsi="仿宋_GB2312" w:eastAsia="仿宋_GB2312" w:cs="仿宋_GB2312"/>
                <w:sz w:val="24"/>
              </w:rPr>
              <w:t>（1）验收组织方式：采购人自行验收。</w:t>
            </w:r>
          </w:p>
          <w:p w14:paraId="58AE55EF">
            <w:pPr>
              <w:pStyle w:val="4"/>
              <w:ind w:firstLine="472"/>
              <w:jc w:val="left"/>
            </w:pPr>
            <w:r>
              <w:rPr>
                <w:rFonts w:ascii="仿宋_GB2312" w:hAnsi="仿宋_GB2312" w:eastAsia="仿宋_GB2312" w:cs="仿宋_GB2312"/>
                <w:sz w:val="24"/>
              </w:rPr>
              <w:t>（2）是否邀请本项目的其他供应商：否。</w:t>
            </w:r>
          </w:p>
          <w:p w14:paraId="60905A72">
            <w:pPr>
              <w:pStyle w:val="4"/>
              <w:ind w:firstLine="472"/>
              <w:jc w:val="left"/>
            </w:pPr>
            <w:r>
              <w:rPr>
                <w:rFonts w:ascii="仿宋_GB2312" w:hAnsi="仿宋_GB2312" w:eastAsia="仿宋_GB2312" w:cs="仿宋_GB2312"/>
                <w:sz w:val="24"/>
              </w:rPr>
              <w:t>（3）是否邀请专家：否。</w:t>
            </w:r>
          </w:p>
          <w:p w14:paraId="5D4241E7">
            <w:pPr>
              <w:pStyle w:val="4"/>
              <w:ind w:firstLine="472"/>
              <w:jc w:val="left"/>
            </w:pPr>
            <w:r>
              <w:rPr>
                <w:rFonts w:ascii="仿宋_GB2312" w:hAnsi="仿宋_GB2312" w:eastAsia="仿宋_GB2312" w:cs="仿宋_GB2312"/>
                <w:sz w:val="24"/>
              </w:rPr>
              <w:t>（4）是否邀请服务对象：否。</w:t>
            </w:r>
          </w:p>
          <w:p w14:paraId="572542F5">
            <w:pPr>
              <w:pStyle w:val="4"/>
              <w:ind w:firstLine="472"/>
              <w:jc w:val="left"/>
            </w:pPr>
            <w:r>
              <w:rPr>
                <w:rFonts w:ascii="仿宋_GB2312" w:hAnsi="仿宋_GB2312" w:eastAsia="仿宋_GB2312" w:cs="仿宋_GB2312"/>
                <w:sz w:val="24"/>
              </w:rPr>
              <w:t>（5）是否邀请第三方检测机构：否。</w:t>
            </w:r>
          </w:p>
          <w:p w14:paraId="77A21182">
            <w:pPr>
              <w:pStyle w:val="4"/>
              <w:ind w:firstLine="472"/>
              <w:jc w:val="left"/>
            </w:pPr>
            <w:r>
              <w:rPr>
                <w:rFonts w:ascii="仿宋_GB2312" w:hAnsi="仿宋_GB2312" w:eastAsia="仿宋_GB2312" w:cs="仿宋_GB2312"/>
                <w:sz w:val="24"/>
              </w:rPr>
              <w:t>（6）履约验收程序：一次性验收。</w:t>
            </w:r>
          </w:p>
          <w:p w14:paraId="388F95F7">
            <w:pPr>
              <w:pStyle w:val="4"/>
              <w:ind w:firstLine="472"/>
              <w:jc w:val="left"/>
            </w:pPr>
            <w:r>
              <w:rPr>
                <w:rFonts w:ascii="仿宋_GB2312" w:hAnsi="仿宋_GB2312" w:eastAsia="仿宋_GB2312" w:cs="仿宋_GB2312"/>
                <w:sz w:val="24"/>
              </w:rPr>
              <w:t>（7）履约验收时间：满足验收条件且成交供应商提出验收申请之日起15日内。</w:t>
            </w:r>
          </w:p>
          <w:p w14:paraId="06DE6C22">
            <w:pPr>
              <w:pStyle w:val="4"/>
              <w:ind w:firstLine="472"/>
              <w:jc w:val="left"/>
            </w:pPr>
            <w:r>
              <w:rPr>
                <w:rFonts w:ascii="仿宋_GB2312" w:hAnsi="仿宋_GB2312" w:eastAsia="仿宋_GB2312" w:cs="仿宋_GB2312"/>
                <w:sz w:val="24"/>
              </w:rPr>
              <w:t>（8）技术履约验收内容：按照本项目采购文件中“服务内容及要求”及响应文件进行验收；</w:t>
            </w:r>
          </w:p>
          <w:p w14:paraId="65387921">
            <w:pPr>
              <w:pStyle w:val="4"/>
              <w:ind w:firstLine="472"/>
              <w:jc w:val="left"/>
            </w:pPr>
            <w:r>
              <w:rPr>
                <w:rFonts w:ascii="仿宋_GB2312" w:hAnsi="仿宋_GB2312" w:eastAsia="仿宋_GB2312" w:cs="仿宋_GB2312"/>
                <w:sz w:val="24"/>
              </w:rPr>
              <w:t>（9）商务履约验收内容：按照本项目采购文件中“商务要求”及响应文件进行验收；</w:t>
            </w:r>
          </w:p>
          <w:p w14:paraId="394A820D">
            <w:pPr>
              <w:pStyle w:val="4"/>
              <w:ind w:firstLine="472"/>
              <w:jc w:val="left"/>
            </w:pPr>
            <w:r>
              <w:rPr>
                <w:rFonts w:ascii="仿宋_GB2312" w:hAnsi="仿宋_GB2312" w:eastAsia="仿宋_GB2312" w:cs="仿宋_GB2312"/>
                <w:sz w:val="24"/>
              </w:rPr>
              <w:t>（10）履约验收标准：满足现行有效国家标准、行业标准以及规范等。本项目采购人将按照《财政部关于进一步加强政府采购需求和履约验收管理的指导意见》（财库（2016）205号）、项目采购文件、供应商响应文件、签订的合同的要求及国家及行业相关规范标准进行验收。</w:t>
            </w:r>
          </w:p>
          <w:p w14:paraId="4D737DC2">
            <w:pPr>
              <w:pStyle w:val="4"/>
              <w:ind w:firstLine="472"/>
              <w:jc w:val="left"/>
            </w:pPr>
            <w:r>
              <w:rPr>
                <w:rFonts w:ascii="仿宋_GB2312" w:hAnsi="仿宋_GB2312" w:eastAsia="仿宋_GB2312" w:cs="仿宋_GB2312"/>
                <w:sz w:val="24"/>
              </w:rPr>
              <w:t>（11）履约验收其他事项：无。</w:t>
            </w:r>
          </w:p>
          <w:p w14:paraId="2A66E7B7">
            <w:pPr>
              <w:pStyle w:val="4"/>
              <w:ind w:firstLine="472"/>
              <w:jc w:val="left"/>
            </w:pPr>
            <w:r>
              <w:rPr>
                <w:rFonts w:ascii="仿宋_GB2312" w:hAnsi="仿宋_GB2312" w:eastAsia="仿宋_GB2312" w:cs="仿宋_GB2312"/>
                <w:sz w:val="24"/>
              </w:rPr>
              <w:t>6、服务过程中，采购人安排第三方审计机构对服务项目进行审计，主要从服务质量是否符合采购人要求以及该项目的采购程序是否符合规定等方面进行，供应商应当予以配合，费用由采购人承担。</w:t>
            </w:r>
          </w:p>
          <w:p w14:paraId="19427B9C">
            <w:pPr>
              <w:pStyle w:val="4"/>
              <w:ind w:firstLine="472"/>
              <w:jc w:val="left"/>
            </w:pPr>
            <w:r>
              <w:rPr>
                <w:rFonts w:ascii="仿宋_GB2312" w:hAnsi="仿宋_GB2312" w:eastAsia="仿宋_GB2312" w:cs="仿宋_GB2312"/>
                <w:b/>
                <w:sz w:val="24"/>
              </w:rPr>
              <w:t>7、违约责任</w:t>
            </w:r>
          </w:p>
          <w:p w14:paraId="236FE177">
            <w:pPr>
              <w:pStyle w:val="4"/>
              <w:ind w:firstLine="472"/>
              <w:jc w:val="both"/>
            </w:pPr>
            <w:r>
              <w:rPr>
                <w:rFonts w:ascii="仿宋_GB2312" w:hAnsi="仿宋_GB2312" w:eastAsia="仿宋_GB2312" w:cs="仿宋_GB2312"/>
                <w:sz w:val="24"/>
              </w:rPr>
              <w:t>（1）采购人、供应商双方必须遵守合同并执行合同中的各项规定，保证合同的正常履行。 （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 （3）除合同另有约定外，供应商提供服务或工作不符合国家规定、合同约定标准并且被采购人通知整改的，每发生一次供应商须向采购人支付合同总额 1 %的违约金，并按时按要求整改，所涉及费用由成交人承担；供应商在合同期限内发生三次及以上被采购人通知整改的情形或供应商拒绝整改，采购人有权解除合同并不再支付剩余费用，同时供应商应向采购人支付合同总金额【10】%的违约金，若该违约金不足以弥补采购人遭受的损失，供应商应当全额补足。（4）供应商未能按合同约定时间提供服务、提交各类成果文件或者未按照采购人要求限期整改的，每逾期一日，供应商须向采购人支付合同总额0.01%的违约金，总计不超过合同总额的1%。逾期超过【30】日的，采购人有权解除合同并不再支付剩余费用，同时供应商应向采购人支付合同总金额【10】%的违约金，若该违约金不足以弥补采购人遭受的损失，供应商应当全额补足。（5）供应商如未通过项目验收，供应商应向采购人支付合同总额【1】%的违约金、根据采购人要求限期整改并再次通知采购人进行相应验收，二次验收仍未通过或供应商拒绝进行整改的，采购人有权解除合同并不再支付尾款（采购人已付款项有权要求供应商退还），同时供应商应向采购人支付合同总额10%的违约金并赔偿给采购人造成的其他全部直接和间接损失。 （6）采购人无正当理由未按照合同约定时间向供应商支付款项的，经供应商书面催告后仍未支付的，每逾期一日，供应商有权要求采购人以应付未付款项为基数，按照同期一年期LPR标准向其支付违约金，违约金总额不超过合同总额的1%。</w:t>
            </w:r>
          </w:p>
          <w:p w14:paraId="0F74B149">
            <w:pPr>
              <w:pStyle w:val="4"/>
              <w:ind w:firstLine="472"/>
              <w:jc w:val="both"/>
            </w:pPr>
            <w:r>
              <w:rPr>
                <w:rFonts w:ascii="仿宋_GB2312" w:hAnsi="仿宋_GB2312" w:eastAsia="仿宋_GB2312" w:cs="仿宋_GB2312"/>
                <w:b/>
                <w:sz w:val="24"/>
              </w:rPr>
              <w:t>8、知识产权要求</w:t>
            </w:r>
          </w:p>
          <w:p w14:paraId="1CC9D145">
            <w:pPr>
              <w:pStyle w:val="4"/>
              <w:ind w:firstLine="472"/>
              <w:jc w:val="both"/>
            </w:pPr>
            <w:r>
              <w:rPr>
                <w:rFonts w:ascii="仿宋_GB2312" w:hAnsi="仿宋_GB2312" w:eastAsia="仿宋_GB2312" w:cs="仿宋_GB2312"/>
                <w:sz w:val="24"/>
              </w:rPr>
              <w:t>（1）供应商应保证在本项目中使用的任何技术、产品和服务（包括部分使用），不会产生因第三方提出侵犯其专利权、商标权或其它知识产权而引起的法律和经济纠纷，如存在前述情形，由供应商承担所有相关责任，并赔偿因此给采购人造成的包括但不限于律师费、公证费、差旅费、诉讼费等在内的直接和间接损失。</w:t>
            </w:r>
          </w:p>
          <w:p w14:paraId="7DC4B0C7">
            <w:pPr>
              <w:pStyle w:val="4"/>
              <w:ind w:firstLine="472"/>
              <w:jc w:val="both"/>
            </w:pPr>
            <w:r>
              <w:rPr>
                <w:rFonts w:ascii="仿宋_GB2312" w:hAnsi="仿宋_GB2312" w:eastAsia="仿宋_GB2312" w:cs="仿宋_GB2312"/>
                <w:sz w:val="24"/>
              </w:rPr>
              <w:t>（2）采购人享有本项目实施过程中产生的知识成果及知识产权，未经采购人书面许可，供应商不得自行使用或提供给任何第三方使用，若供应商违反本条约定，应当向采购人支付合同总额【10】%的违约金，若该违约金不足以弥补采购人遭受的损失，供应商应当全额补足。</w:t>
            </w:r>
          </w:p>
          <w:p w14:paraId="4E16AA34">
            <w:pPr>
              <w:pStyle w:val="4"/>
              <w:ind w:firstLine="472"/>
              <w:jc w:val="both"/>
            </w:pPr>
            <w:r>
              <w:rPr>
                <w:rFonts w:ascii="仿宋_GB2312" w:hAnsi="仿宋_GB2312" w:eastAsia="仿宋_GB2312" w:cs="仿宋_GB2312"/>
                <w:sz w:val="24"/>
              </w:rPr>
              <w:t>（3）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025FB275">
            <w:pPr>
              <w:pStyle w:val="4"/>
              <w:ind w:firstLine="472"/>
              <w:jc w:val="both"/>
            </w:pPr>
            <w:r>
              <w:rPr>
                <w:rFonts w:ascii="仿宋_GB2312" w:hAnsi="仿宋_GB2312" w:eastAsia="仿宋_GB2312" w:cs="仿宋_GB2312"/>
                <w:sz w:val="24"/>
              </w:rPr>
              <w:t>（4）如采用供应商所不拥有的知识产权，则在报价中必须包括合法使用该知识产权的相关费用。</w:t>
            </w:r>
          </w:p>
          <w:p w14:paraId="1D1B6C0B">
            <w:pPr>
              <w:pStyle w:val="4"/>
              <w:ind w:firstLine="472"/>
              <w:jc w:val="both"/>
            </w:pPr>
            <w:r>
              <w:rPr>
                <w:rFonts w:ascii="仿宋_GB2312" w:hAnsi="仿宋_GB2312" w:eastAsia="仿宋_GB2312" w:cs="仿宋_GB2312"/>
                <w:sz w:val="24"/>
              </w:rPr>
              <w:t>9、保密要求</w:t>
            </w:r>
          </w:p>
          <w:p w14:paraId="7E387AD9">
            <w:pPr>
              <w:pStyle w:val="4"/>
              <w:spacing w:before="135"/>
              <w:ind w:firstLine="472"/>
              <w:jc w:val="both"/>
            </w:pPr>
            <w:r>
              <w:rPr>
                <w:rFonts w:ascii="仿宋_GB2312" w:hAnsi="仿宋_GB2312" w:eastAsia="仿宋_GB2312" w:cs="仿宋_GB2312"/>
                <w:sz w:val="24"/>
              </w:rPr>
              <w:t>（1）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w:t>
            </w:r>
          </w:p>
          <w:p w14:paraId="02EC569D">
            <w:pPr>
              <w:pStyle w:val="4"/>
              <w:spacing w:before="135"/>
              <w:ind w:firstLine="472"/>
              <w:jc w:val="both"/>
            </w:pPr>
            <w:r>
              <w:rPr>
                <w:rFonts w:ascii="仿宋_GB2312" w:hAnsi="仿宋_GB2312" w:eastAsia="仿宋_GB2312" w:cs="仿宋_GB2312"/>
                <w:sz w:val="24"/>
              </w:rPr>
              <w:t>（2）成交供应商要严格按照《中华人民共和国保守国家秘密法》、《中华人民共和国保守国家秘密法实施条例》及《中共中央保密委员会办公室、国家保密局关于国家秘密载体保密管理的规定》等相关要求，确定项目保密责任人，管理、监督、落实项目保密工作。</w:t>
            </w:r>
          </w:p>
          <w:p w14:paraId="796D6713">
            <w:pPr>
              <w:pStyle w:val="4"/>
              <w:spacing w:before="135"/>
              <w:ind w:firstLine="472"/>
              <w:jc w:val="both"/>
            </w:pPr>
            <w:r>
              <w:rPr>
                <w:rFonts w:ascii="仿宋_GB2312" w:hAnsi="仿宋_GB2312" w:eastAsia="仿宋_GB2312" w:cs="仿宋_GB2312"/>
                <w:sz w:val="24"/>
              </w:rPr>
              <w:t>（3）成交供应商在履行服务过程中所获得或接触到的任何与本合同项下有关的所有资料及信息，均被视为保密内容，未经采购人同意，成交供应商不得以任何方式泄露给第三方或作其它任何形式的使用，由此造成的法律后果和赔偿责任由成交供应商全部承担。不管本项目合同因何种原因终止，本条款仍有效。</w:t>
            </w:r>
          </w:p>
          <w:p w14:paraId="658C5E20">
            <w:pPr>
              <w:pStyle w:val="4"/>
              <w:jc w:val="left"/>
            </w:pPr>
            <w:r>
              <w:rPr>
                <w:rFonts w:ascii="仿宋_GB2312" w:hAnsi="仿宋_GB2312" w:eastAsia="仿宋_GB2312" w:cs="仿宋_GB2312"/>
                <w:sz w:val="24"/>
              </w:rPr>
              <w:t>（4）成交供应商应对本项目服务团队的保密义务承担连带责任。</w:t>
            </w:r>
          </w:p>
        </w:tc>
      </w:tr>
    </w:tbl>
    <w:p w14:paraId="76986885">
      <w:pPr>
        <w:pStyle w:val="4"/>
        <w:jc w:val="left"/>
        <w:outlineLvl w:val="2"/>
      </w:pPr>
      <w:r>
        <w:rPr>
          <w:rFonts w:ascii="仿宋_GB2312" w:hAnsi="仿宋_GB2312" w:eastAsia="仿宋_GB2312" w:cs="仿宋_GB2312"/>
          <w:b/>
          <w:sz w:val="28"/>
        </w:rPr>
        <w:t>3.3.服务要求</w:t>
      </w:r>
    </w:p>
    <w:p w14:paraId="4CC1B86E">
      <w:pPr>
        <w:pStyle w:val="4"/>
        <w:jc w:val="left"/>
        <w:outlineLvl w:val="3"/>
      </w:pPr>
      <w:r>
        <w:rPr>
          <w:rFonts w:ascii="仿宋_GB2312" w:hAnsi="仿宋_GB2312" w:eastAsia="仿宋_GB2312" w:cs="仿宋_GB2312"/>
          <w:b/>
          <w:sz w:val="24"/>
        </w:rPr>
        <w:t>3.3.1服务内容要求</w:t>
      </w:r>
    </w:p>
    <w:p w14:paraId="11E2493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029FC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5577006">
            <w:pPr>
              <w:pStyle w:val="4"/>
              <w:jc w:val="center"/>
            </w:pPr>
            <w:r>
              <w:rPr>
                <w:rFonts w:ascii="仿宋_GB2312" w:hAnsi="仿宋_GB2312" w:eastAsia="仿宋_GB2312" w:cs="仿宋_GB2312"/>
              </w:rPr>
              <w:t xml:space="preserve"> 序号</w:t>
            </w:r>
          </w:p>
        </w:tc>
        <w:tc>
          <w:tcPr>
            <w:tcW w:w="581" w:type="dxa"/>
          </w:tcPr>
          <w:p w14:paraId="36D62178">
            <w:pPr>
              <w:pStyle w:val="4"/>
              <w:jc w:val="center"/>
            </w:pPr>
            <w:r>
              <w:rPr>
                <w:rFonts w:ascii="仿宋_GB2312" w:hAnsi="仿宋_GB2312" w:eastAsia="仿宋_GB2312" w:cs="仿宋_GB2312"/>
              </w:rPr>
              <w:t xml:space="preserve"> 符号标识</w:t>
            </w:r>
          </w:p>
        </w:tc>
        <w:tc>
          <w:tcPr>
            <w:tcW w:w="1495" w:type="dxa"/>
          </w:tcPr>
          <w:p w14:paraId="4DAAF474">
            <w:pPr>
              <w:pStyle w:val="4"/>
              <w:jc w:val="center"/>
            </w:pPr>
            <w:r>
              <w:rPr>
                <w:rFonts w:ascii="仿宋_GB2312" w:hAnsi="仿宋_GB2312" w:eastAsia="仿宋_GB2312" w:cs="仿宋_GB2312"/>
              </w:rPr>
              <w:t xml:space="preserve"> 服务要求名称</w:t>
            </w:r>
          </w:p>
        </w:tc>
        <w:tc>
          <w:tcPr>
            <w:tcW w:w="5814" w:type="dxa"/>
          </w:tcPr>
          <w:p w14:paraId="0681C5CD">
            <w:pPr>
              <w:pStyle w:val="4"/>
              <w:jc w:val="center"/>
            </w:pPr>
            <w:r>
              <w:rPr>
                <w:rFonts w:ascii="仿宋_GB2312" w:hAnsi="仿宋_GB2312" w:eastAsia="仿宋_GB2312" w:cs="仿宋_GB2312"/>
              </w:rPr>
              <w:t xml:space="preserve"> 服务要求内容</w:t>
            </w:r>
          </w:p>
        </w:tc>
      </w:tr>
      <w:tr w14:paraId="456AC6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9F1CB8">
            <w:pPr>
              <w:pStyle w:val="4"/>
              <w:jc w:val="center"/>
            </w:pPr>
            <w:r>
              <w:rPr>
                <w:rFonts w:ascii="仿宋_GB2312" w:hAnsi="仿宋_GB2312" w:eastAsia="仿宋_GB2312" w:cs="仿宋_GB2312"/>
              </w:rPr>
              <w:t>1</w:t>
            </w:r>
          </w:p>
        </w:tc>
        <w:tc>
          <w:tcPr>
            <w:tcW w:w="581" w:type="dxa"/>
          </w:tcPr>
          <w:p w14:paraId="560C3721"/>
        </w:tc>
        <w:tc>
          <w:tcPr>
            <w:tcW w:w="1495" w:type="dxa"/>
          </w:tcPr>
          <w:p w14:paraId="31A7243C">
            <w:pPr>
              <w:pStyle w:val="4"/>
              <w:jc w:val="left"/>
            </w:pPr>
            <w:r>
              <w:rPr>
                <w:rFonts w:ascii="仿宋_GB2312" w:hAnsi="仿宋_GB2312" w:eastAsia="仿宋_GB2312" w:cs="仿宋_GB2312"/>
              </w:rPr>
              <w:t>综合履约要求</w:t>
            </w:r>
          </w:p>
        </w:tc>
        <w:tc>
          <w:tcPr>
            <w:tcW w:w="5814" w:type="dxa"/>
          </w:tcPr>
          <w:p w14:paraId="1A9FFD37">
            <w:pPr>
              <w:pStyle w:val="4"/>
              <w:jc w:val="left"/>
            </w:pPr>
            <w:r>
              <w:rPr>
                <w:rFonts w:ascii="仿宋_GB2312" w:hAnsi="仿宋_GB2312" w:eastAsia="仿宋_GB2312" w:cs="仿宋_GB2312"/>
              </w:rPr>
              <w:t>1.供应商根据采购文件的服务内容及要求提供详细的服务方案，包含： ①对本项目服务内容的重难点分析和解决措施； ②工作进度安排和保障； ③项目服务团队管理； ④项目档案资料收集、资料管理； ⑤项目保密措施； ⑥质量控制方案。</w:t>
            </w:r>
          </w:p>
          <w:p w14:paraId="63952639">
            <w:pPr>
              <w:pStyle w:val="4"/>
              <w:jc w:val="left"/>
            </w:pPr>
            <w:r>
              <w:rPr>
                <w:rFonts w:ascii="仿宋_GB2312" w:hAnsi="仿宋_GB2312" w:eastAsia="仿宋_GB2312" w:cs="仿宋_GB2312"/>
              </w:rPr>
              <w:t>2.供应商根据采购文件的服务内容及要求提供详细的应急方案，包含： ①服务过程中人员安全保障； ②突发事件响应时效承诺； ③突发事件预防； ④突发事件处理措施。</w:t>
            </w:r>
          </w:p>
          <w:p w14:paraId="15D9545C">
            <w:pPr>
              <w:pStyle w:val="4"/>
              <w:jc w:val="left"/>
            </w:pPr>
            <w:r>
              <w:rPr>
                <w:rFonts w:ascii="仿宋_GB2312" w:hAnsi="仿宋_GB2312" w:eastAsia="仿宋_GB2312" w:cs="仿宋_GB2312"/>
              </w:rPr>
              <w:t>3.为本项目拟派服务团队。</w:t>
            </w:r>
          </w:p>
          <w:p w14:paraId="1000D4CE">
            <w:pPr>
              <w:pStyle w:val="4"/>
              <w:jc w:val="left"/>
            </w:pPr>
            <w:r>
              <w:rPr>
                <w:rFonts w:ascii="仿宋_GB2312" w:hAnsi="仿宋_GB2312" w:eastAsia="仿宋_GB2312" w:cs="仿宋_GB2312"/>
              </w:rPr>
              <w:t>4.具备类似项目履约经验。</w:t>
            </w:r>
          </w:p>
        </w:tc>
      </w:tr>
    </w:tbl>
    <w:p w14:paraId="662FB867">
      <w:pPr>
        <w:pStyle w:val="4"/>
        <w:jc w:val="left"/>
        <w:outlineLvl w:val="3"/>
      </w:pPr>
      <w:r>
        <w:rPr>
          <w:rFonts w:ascii="仿宋_GB2312" w:hAnsi="仿宋_GB2312" w:eastAsia="仿宋_GB2312" w:cs="仿宋_GB2312"/>
          <w:b/>
          <w:sz w:val="24"/>
        </w:rPr>
        <w:t>3.3.2.商务要求</w:t>
      </w:r>
    </w:p>
    <w:p w14:paraId="794AE75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55F50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5016DC">
            <w:pPr>
              <w:pStyle w:val="4"/>
              <w:jc w:val="center"/>
            </w:pPr>
            <w:r>
              <w:rPr>
                <w:rFonts w:ascii="仿宋_GB2312" w:hAnsi="仿宋_GB2312" w:eastAsia="仿宋_GB2312" w:cs="仿宋_GB2312"/>
              </w:rPr>
              <w:t>序号</w:t>
            </w:r>
          </w:p>
        </w:tc>
        <w:tc>
          <w:tcPr>
            <w:tcW w:w="581" w:type="dxa"/>
          </w:tcPr>
          <w:p w14:paraId="62C77D5D">
            <w:pPr>
              <w:pStyle w:val="4"/>
              <w:jc w:val="center"/>
            </w:pPr>
            <w:r>
              <w:rPr>
                <w:rFonts w:ascii="仿宋_GB2312" w:hAnsi="仿宋_GB2312" w:eastAsia="仿宋_GB2312" w:cs="仿宋_GB2312"/>
              </w:rPr>
              <w:t>符号标识</w:t>
            </w:r>
          </w:p>
        </w:tc>
        <w:tc>
          <w:tcPr>
            <w:tcW w:w="1495" w:type="dxa"/>
          </w:tcPr>
          <w:p w14:paraId="465A8E22">
            <w:pPr>
              <w:pStyle w:val="4"/>
              <w:jc w:val="center"/>
            </w:pPr>
            <w:r>
              <w:rPr>
                <w:rFonts w:ascii="仿宋_GB2312" w:hAnsi="仿宋_GB2312" w:eastAsia="仿宋_GB2312" w:cs="仿宋_GB2312"/>
              </w:rPr>
              <w:t>商务要求名称</w:t>
            </w:r>
          </w:p>
        </w:tc>
        <w:tc>
          <w:tcPr>
            <w:tcW w:w="5814" w:type="dxa"/>
          </w:tcPr>
          <w:p w14:paraId="6F1A69DF">
            <w:pPr>
              <w:pStyle w:val="4"/>
              <w:jc w:val="center"/>
            </w:pPr>
            <w:r>
              <w:rPr>
                <w:rFonts w:ascii="仿宋_GB2312" w:hAnsi="仿宋_GB2312" w:eastAsia="仿宋_GB2312" w:cs="仿宋_GB2312"/>
              </w:rPr>
              <w:t>商务要求内容</w:t>
            </w:r>
          </w:p>
        </w:tc>
      </w:tr>
      <w:tr w14:paraId="63AD9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A227BF">
            <w:pPr>
              <w:pStyle w:val="4"/>
              <w:jc w:val="center"/>
            </w:pPr>
            <w:r>
              <w:rPr>
                <w:rFonts w:ascii="仿宋_GB2312" w:hAnsi="仿宋_GB2312" w:eastAsia="仿宋_GB2312" w:cs="仿宋_GB2312"/>
              </w:rPr>
              <w:t>1</w:t>
            </w:r>
          </w:p>
        </w:tc>
        <w:tc>
          <w:tcPr>
            <w:tcW w:w="581" w:type="dxa"/>
          </w:tcPr>
          <w:p w14:paraId="7A248963"/>
        </w:tc>
        <w:tc>
          <w:tcPr>
            <w:tcW w:w="1495" w:type="dxa"/>
          </w:tcPr>
          <w:p w14:paraId="6D2AB22F">
            <w:pPr>
              <w:pStyle w:val="4"/>
              <w:jc w:val="left"/>
            </w:pPr>
            <w:r>
              <w:rPr>
                <w:rFonts w:ascii="仿宋_GB2312" w:hAnsi="仿宋_GB2312" w:eastAsia="仿宋_GB2312" w:cs="仿宋_GB2312"/>
              </w:rPr>
              <w:t>服务期限</w:t>
            </w:r>
          </w:p>
        </w:tc>
        <w:tc>
          <w:tcPr>
            <w:tcW w:w="5814" w:type="dxa"/>
          </w:tcPr>
          <w:p w14:paraId="207E5D88">
            <w:pPr>
              <w:pStyle w:val="4"/>
              <w:jc w:val="left"/>
            </w:pPr>
            <w:r>
              <w:rPr>
                <w:rFonts w:ascii="仿宋_GB2312" w:hAnsi="仿宋_GB2312" w:eastAsia="仿宋_GB2312" w:cs="仿宋_GB2312"/>
              </w:rPr>
              <w:t>以采购文件第三章 技术、服务及其他要求-3.2.技术要求-技术参数与性能指标中“★二、商务要求”内容为准。</w:t>
            </w:r>
          </w:p>
        </w:tc>
      </w:tr>
      <w:tr w14:paraId="7441E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FCEF55">
            <w:pPr>
              <w:pStyle w:val="4"/>
              <w:jc w:val="center"/>
            </w:pPr>
            <w:r>
              <w:rPr>
                <w:rFonts w:ascii="仿宋_GB2312" w:hAnsi="仿宋_GB2312" w:eastAsia="仿宋_GB2312" w:cs="仿宋_GB2312"/>
              </w:rPr>
              <w:t>2</w:t>
            </w:r>
          </w:p>
        </w:tc>
        <w:tc>
          <w:tcPr>
            <w:tcW w:w="581" w:type="dxa"/>
          </w:tcPr>
          <w:p w14:paraId="735DD541">
            <w:pPr>
              <w:pStyle w:val="4"/>
              <w:jc w:val="center"/>
            </w:pPr>
            <w:r>
              <w:rPr>
                <w:rFonts w:ascii="仿宋_GB2312" w:hAnsi="仿宋_GB2312" w:eastAsia="仿宋_GB2312" w:cs="仿宋_GB2312"/>
              </w:rPr>
              <w:t>★</w:t>
            </w:r>
          </w:p>
        </w:tc>
        <w:tc>
          <w:tcPr>
            <w:tcW w:w="1495" w:type="dxa"/>
          </w:tcPr>
          <w:p w14:paraId="4D373BD4">
            <w:pPr>
              <w:pStyle w:val="4"/>
              <w:jc w:val="left"/>
            </w:pPr>
            <w:r>
              <w:rPr>
                <w:rFonts w:ascii="仿宋_GB2312" w:hAnsi="仿宋_GB2312" w:eastAsia="仿宋_GB2312" w:cs="仿宋_GB2312"/>
              </w:rPr>
              <w:t>服务地点</w:t>
            </w:r>
          </w:p>
        </w:tc>
        <w:tc>
          <w:tcPr>
            <w:tcW w:w="5814" w:type="dxa"/>
          </w:tcPr>
          <w:p w14:paraId="5C72E803">
            <w:pPr>
              <w:pStyle w:val="4"/>
              <w:jc w:val="left"/>
            </w:pPr>
            <w:r>
              <w:rPr>
                <w:rFonts w:ascii="仿宋_GB2312" w:hAnsi="仿宋_GB2312" w:eastAsia="仿宋_GB2312" w:cs="仿宋_GB2312"/>
              </w:rPr>
              <w:t>采购人管辖范围内指定地点（绵竹市内）</w:t>
            </w:r>
          </w:p>
        </w:tc>
      </w:tr>
      <w:tr w14:paraId="32FD9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5E4C5C">
            <w:pPr>
              <w:pStyle w:val="4"/>
              <w:jc w:val="center"/>
            </w:pPr>
            <w:r>
              <w:rPr>
                <w:rFonts w:ascii="仿宋_GB2312" w:hAnsi="仿宋_GB2312" w:eastAsia="仿宋_GB2312" w:cs="仿宋_GB2312"/>
              </w:rPr>
              <w:t>3</w:t>
            </w:r>
          </w:p>
        </w:tc>
        <w:tc>
          <w:tcPr>
            <w:tcW w:w="581" w:type="dxa"/>
          </w:tcPr>
          <w:p w14:paraId="00D2AD9D"/>
        </w:tc>
        <w:tc>
          <w:tcPr>
            <w:tcW w:w="1495" w:type="dxa"/>
          </w:tcPr>
          <w:p w14:paraId="6E294A7B">
            <w:pPr>
              <w:pStyle w:val="4"/>
              <w:jc w:val="left"/>
            </w:pPr>
            <w:r>
              <w:rPr>
                <w:rFonts w:ascii="仿宋_GB2312" w:hAnsi="仿宋_GB2312" w:eastAsia="仿宋_GB2312" w:cs="仿宋_GB2312"/>
              </w:rPr>
              <w:t>验收、交付标准和方法</w:t>
            </w:r>
          </w:p>
        </w:tc>
        <w:tc>
          <w:tcPr>
            <w:tcW w:w="5814" w:type="dxa"/>
          </w:tcPr>
          <w:p w14:paraId="2A05832C">
            <w:pPr>
              <w:pStyle w:val="4"/>
              <w:jc w:val="left"/>
            </w:pPr>
            <w:r>
              <w:rPr>
                <w:rFonts w:ascii="仿宋_GB2312" w:hAnsi="仿宋_GB2312" w:eastAsia="仿宋_GB2312" w:cs="仿宋_GB2312"/>
              </w:rPr>
              <w:t>以采购文件第三章 技术、服务及其他要求-3.2.技术要求-技术参数与性能指标中“★二、商务要求”内容为准。</w:t>
            </w:r>
          </w:p>
        </w:tc>
      </w:tr>
      <w:tr w14:paraId="6545B3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CA2D8F">
            <w:pPr>
              <w:pStyle w:val="4"/>
              <w:jc w:val="center"/>
            </w:pPr>
            <w:r>
              <w:rPr>
                <w:rFonts w:ascii="仿宋_GB2312" w:hAnsi="仿宋_GB2312" w:eastAsia="仿宋_GB2312" w:cs="仿宋_GB2312"/>
              </w:rPr>
              <w:t>4</w:t>
            </w:r>
          </w:p>
        </w:tc>
        <w:tc>
          <w:tcPr>
            <w:tcW w:w="581" w:type="dxa"/>
          </w:tcPr>
          <w:p w14:paraId="36CD09F0"/>
        </w:tc>
        <w:tc>
          <w:tcPr>
            <w:tcW w:w="1495" w:type="dxa"/>
          </w:tcPr>
          <w:p w14:paraId="257C5EF3">
            <w:pPr>
              <w:pStyle w:val="4"/>
              <w:jc w:val="left"/>
            </w:pPr>
            <w:r>
              <w:rPr>
                <w:rFonts w:ascii="仿宋_GB2312" w:hAnsi="仿宋_GB2312" w:eastAsia="仿宋_GB2312" w:cs="仿宋_GB2312"/>
              </w:rPr>
              <w:t>支付方式</w:t>
            </w:r>
          </w:p>
        </w:tc>
        <w:tc>
          <w:tcPr>
            <w:tcW w:w="5814" w:type="dxa"/>
          </w:tcPr>
          <w:p w14:paraId="08EF4221">
            <w:pPr>
              <w:pStyle w:val="4"/>
              <w:jc w:val="left"/>
            </w:pPr>
            <w:r>
              <w:rPr>
                <w:rFonts w:ascii="仿宋_GB2312" w:hAnsi="仿宋_GB2312" w:eastAsia="仿宋_GB2312" w:cs="仿宋_GB2312"/>
              </w:rPr>
              <w:t>分期付款</w:t>
            </w:r>
          </w:p>
        </w:tc>
      </w:tr>
      <w:tr w14:paraId="3D3A9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F1B196">
            <w:pPr>
              <w:pStyle w:val="4"/>
              <w:jc w:val="center"/>
            </w:pPr>
            <w:r>
              <w:rPr>
                <w:rFonts w:ascii="仿宋_GB2312" w:hAnsi="仿宋_GB2312" w:eastAsia="仿宋_GB2312" w:cs="仿宋_GB2312"/>
              </w:rPr>
              <w:t>5</w:t>
            </w:r>
          </w:p>
        </w:tc>
        <w:tc>
          <w:tcPr>
            <w:tcW w:w="581" w:type="dxa"/>
          </w:tcPr>
          <w:p w14:paraId="5210B13C"/>
        </w:tc>
        <w:tc>
          <w:tcPr>
            <w:tcW w:w="1495" w:type="dxa"/>
          </w:tcPr>
          <w:p w14:paraId="1E3346CD">
            <w:pPr>
              <w:pStyle w:val="4"/>
              <w:jc w:val="left"/>
            </w:pPr>
            <w:r>
              <w:rPr>
                <w:rFonts w:ascii="仿宋_GB2312" w:hAnsi="仿宋_GB2312" w:eastAsia="仿宋_GB2312" w:cs="仿宋_GB2312"/>
              </w:rPr>
              <w:t>付款进度安排</w:t>
            </w:r>
          </w:p>
        </w:tc>
        <w:tc>
          <w:tcPr>
            <w:tcW w:w="5814" w:type="dxa"/>
          </w:tcPr>
          <w:p w14:paraId="11B1052D">
            <w:pPr>
              <w:pStyle w:val="4"/>
              <w:jc w:val="left"/>
            </w:pPr>
            <w:r>
              <w:rPr>
                <w:rFonts w:ascii="仿宋_GB2312" w:hAnsi="仿宋_GB2312" w:eastAsia="仿宋_GB2312" w:cs="仿宋_GB2312"/>
              </w:rPr>
              <w:t>1、1，以采购文件第三章 技术、服务及其他要求-3.2.技术要求-技术参数与性能指标中“★二、商务要求”内容为准。，达到付款条件起10日内，支付合同总金额的40.00%</w:t>
            </w:r>
          </w:p>
          <w:p w14:paraId="535C6E5B">
            <w:pPr>
              <w:pStyle w:val="4"/>
              <w:jc w:val="left"/>
            </w:pPr>
            <w:r>
              <w:rPr>
                <w:rFonts w:ascii="仿宋_GB2312" w:hAnsi="仿宋_GB2312" w:eastAsia="仿宋_GB2312" w:cs="仿宋_GB2312"/>
              </w:rPr>
              <w:t>2、2，以采购文件第三章 技术、服务及其他要求-3.2.技术要求-技术参数与性能指标中“★二、商务要求”内容为准。，达到付款条件起10日内，支付合同总金额的60.00%</w:t>
            </w:r>
          </w:p>
        </w:tc>
      </w:tr>
      <w:tr w14:paraId="36BA66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6F3886">
            <w:pPr>
              <w:pStyle w:val="4"/>
              <w:jc w:val="center"/>
            </w:pPr>
            <w:r>
              <w:rPr>
                <w:rFonts w:ascii="仿宋_GB2312" w:hAnsi="仿宋_GB2312" w:eastAsia="仿宋_GB2312" w:cs="仿宋_GB2312"/>
              </w:rPr>
              <w:t>6</w:t>
            </w:r>
          </w:p>
        </w:tc>
        <w:tc>
          <w:tcPr>
            <w:tcW w:w="581" w:type="dxa"/>
          </w:tcPr>
          <w:p w14:paraId="1815F19F"/>
        </w:tc>
        <w:tc>
          <w:tcPr>
            <w:tcW w:w="1495" w:type="dxa"/>
          </w:tcPr>
          <w:p w14:paraId="0E45DAF9">
            <w:pPr>
              <w:pStyle w:val="4"/>
              <w:jc w:val="left"/>
            </w:pPr>
            <w:r>
              <w:rPr>
                <w:rFonts w:ascii="仿宋_GB2312" w:hAnsi="仿宋_GB2312" w:eastAsia="仿宋_GB2312" w:cs="仿宋_GB2312"/>
              </w:rPr>
              <w:t>违约责任与解决争议的方法</w:t>
            </w:r>
          </w:p>
        </w:tc>
        <w:tc>
          <w:tcPr>
            <w:tcW w:w="5814" w:type="dxa"/>
          </w:tcPr>
          <w:p w14:paraId="0CB7E415">
            <w:pPr>
              <w:pStyle w:val="4"/>
              <w:jc w:val="left"/>
            </w:pPr>
            <w:r>
              <w:rPr>
                <w:rFonts w:ascii="仿宋_GB2312" w:hAnsi="仿宋_GB2312" w:eastAsia="仿宋_GB2312" w:cs="仿宋_GB2312"/>
              </w:rPr>
              <w:t>以采购文件第三章 技术、服务及其他要求-3.2.技术要求-技术参数与性能指标中“★二、商务要求”内容为准。</w:t>
            </w:r>
          </w:p>
        </w:tc>
      </w:tr>
    </w:tbl>
    <w:p w14:paraId="62BF0684">
      <w:pPr>
        <w:pStyle w:val="4"/>
        <w:jc w:val="left"/>
        <w:outlineLvl w:val="2"/>
      </w:pPr>
      <w:r>
        <w:rPr>
          <w:rFonts w:ascii="仿宋_GB2312" w:hAnsi="仿宋_GB2312" w:eastAsia="仿宋_GB2312" w:cs="仿宋_GB2312"/>
          <w:b/>
          <w:sz w:val="28"/>
        </w:rPr>
        <w:t>3.4.其他要求</w:t>
      </w:r>
    </w:p>
    <w:p w14:paraId="51CEF68D">
      <w:pPr>
        <w:pStyle w:val="4"/>
        <w:ind w:firstLine="480"/>
        <w:jc w:val="left"/>
      </w:pPr>
      <w:r>
        <w:rPr>
          <w:rFonts w:ascii="仿宋_GB2312" w:hAnsi="仿宋_GB2312" w:eastAsia="仿宋_GB2312" w:cs="仿宋_GB2312"/>
        </w:rPr>
        <w:t>采购包1：</w:t>
      </w:r>
    </w:p>
    <w:p w14:paraId="53A7CC2E">
      <w:pPr>
        <w:pStyle w:val="4"/>
        <w:jc w:val="left"/>
      </w:pPr>
      <w:r>
        <w:rPr>
          <w:rFonts w:ascii="仿宋_GB2312" w:hAnsi="仿宋_GB2312" w:eastAsia="仿宋_GB2312" w:cs="仿宋_GB2312"/>
        </w:rPr>
        <w:t>一、【温馨提示】：★（1）除本章实质性要求，对于采购文件其他章节中实质性要求，供应商在《投标（响应）函》中以“我单位完全接受和理解本项目采购文件规定的实质性要求”进行承诺即视为响应。★（2）供应商所投报价超过最高限价的报价，视为无效投标。 二、本项目落实的政府采购政策：促进中小企业发展、促进监狱企业发展、促进残疾人福利性单位发展、扶持不发达地区。三、★报价说明：系统固化模板原因，无法调整，3.1 报价要求栏中注明的“★注：采购包涉及采购货物的，投标人响应产品应当明确品牌和规格型号并指向唯一产品，不能指向唯一产品的，应通过报价表唯一产品说明栏补充说明。”条款不适用于本项目。 四、格式关联其他说明：投标人在制作投标文件时针对采购文件未关联格式或关联的格式无法编辑的，投标人可自行编辑格式内容，统一上传在“其他相关证明材料”中。五、本项目财政监督部门：德阳市财政局；地址：德阳市天山南路一段196号；监督投诉电话：0838-2515202。</w:t>
      </w:r>
    </w:p>
    <w:p w14:paraId="0E31F80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1E3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2026-05-21T04:08:21Z</dcterms:created>
  <dc:creator>Administrator</dc:creator>
  <cp:lastModifiedBy>Administrator</cp:lastModifiedBy>
  <dcterms:modified xsi:type="dcterms:W3CDTF">2026-05-21T04:10:57Z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eyJoZGlkIjoiNzJiMDMxNGEzYTA0NDRkMmZlOTYwZTYxMDc0MGExMGUiLCJ1c2VySWQiOiIyNDI2NTk2MDYifQ==</vt:lpwstr>
  </property>
  <property fmtid="{D5CDD505-2E9C-101B-9397-08002B2CF9AE}" pid="4" name="ICV">
    <vt:lpwstr>9CD680B6DF354112B3BCD31397E54D9F_12</vt:lpwstr>
  </property>
</Properties>
</file>