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仿宋" w:hAnsi="仿宋" w:eastAsia="仿宋" w:cs="仿宋"/>
          <w:color w:val="auto"/>
          <w:sz w:val="32"/>
          <w:szCs w:val="32"/>
          <w:highlight w:val="none"/>
          <w:lang w:eastAsia="zh-CN"/>
        </w:rPr>
      </w:pPr>
    </w:p>
    <w:p w14:paraId="7E039B8B">
      <w:pPr>
        <w:jc w:val="center"/>
        <w:rPr>
          <w:rFonts w:hint="eastAsia" w:ascii="仿宋" w:hAnsi="仿宋" w:eastAsia="仿宋" w:cs="仿宋"/>
          <w:color w:val="auto"/>
          <w:spacing w:val="5760"/>
          <w:w w:val="100"/>
          <w:kern w:val="0"/>
          <w:sz w:val="36"/>
          <w:szCs w:val="36"/>
          <w:highlight w:val="none"/>
          <w:fitText w:val="6120" w:id="-1002138880"/>
          <w:lang w:val="en-US" w:eastAsia="zh-CN"/>
        </w:rPr>
      </w:pPr>
    </w:p>
    <w:p w14:paraId="143A0883">
      <w:pPr>
        <w:jc w:val="center"/>
        <w:rPr>
          <w:rFonts w:hint="eastAsia" w:ascii="仿宋" w:hAnsi="仿宋" w:eastAsia="仿宋" w:cs="仿宋"/>
          <w:b/>
          <w:bCs/>
          <w:color w:val="auto"/>
          <w:sz w:val="60"/>
          <w:szCs w:val="60"/>
          <w:highlight w:val="none"/>
          <w:lang w:val="en-US" w:eastAsia="zh-CN"/>
        </w:rPr>
      </w:pPr>
      <w:r>
        <w:rPr>
          <w:rFonts w:hint="eastAsia" w:ascii="仿宋" w:hAnsi="仿宋" w:eastAsia="仿宋" w:cs="仿宋"/>
          <w:b/>
          <w:bCs/>
          <w:color w:val="auto"/>
          <w:kern w:val="0"/>
          <w:sz w:val="60"/>
          <w:szCs w:val="60"/>
          <w:highlight w:val="none"/>
          <w:lang w:val="en-US" w:eastAsia="zh-CN"/>
        </w:rPr>
        <w:t>兵团政府采购项目</w:t>
      </w:r>
    </w:p>
    <w:p w14:paraId="01CD27AD">
      <w:pPr>
        <w:jc w:val="center"/>
        <w:rPr>
          <w:rFonts w:hint="eastAsia" w:ascii="仿宋" w:hAnsi="仿宋" w:eastAsia="仿宋" w:cs="仿宋"/>
          <w:b/>
          <w:bCs/>
          <w:color w:val="auto"/>
          <w:sz w:val="60"/>
          <w:szCs w:val="60"/>
          <w:highlight w:val="none"/>
          <w:lang w:val="en-US" w:eastAsia="zh-CN"/>
        </w:rPr>
      </w:pPr>
      <w:r>
        <w:rPr>
          <w:rFonts w:hint="eastAsia" w:ascii="仿宋" w:hAnsi="仿宋" w:eastAsia="仿宋" w:cs="仿宋"/>
          <w:b/>
          <w:bCs/>
          <w:color w:val="auto"/>
          <w:sz w:val="60"/>
          <w:szCs w:val="60"/>
          <w:highlight w:val="none"/>
        </w:rPr>
        <w:t>公开招标文件</w:t>
      </w:r>
      <w:r>
        <w:rPr>
          <w:rFonts w:hint="eastAsia" w:ascii="仿宋" w:hAnsi="仿宋" w:eastAsia="仿宋" w:cs="仿宋"/>
          <w:b/>
          <w:bCs/>
          <w:color w:val="auto"/>
          <w:sz w:val="60"/>
          <w:szCs w:val="60"/>
          <w:highlight w:val="none"/>
          <w:lang w:val="en-US" w:eastAsia="zh-CN"/>
        </w:rPr>
        <w:t>示范文本</w:t>
      </w:r>
    </w:p>
    <w:p w14:paraId="2348539C">
      <w:pPr>
        <w:jc w:val="center"/>
        <w:rPr>
          <w:rFonts w:hint="eastAsia" w:ascii="仿宋" w:hAnsi="仿宋" w:eastAsia="仿宋" w:cs="仿宋"/>
          <w:b/>
          <w:bCs/>
          <w:color w:val="auto"/>
          <w:sz w:val="60"/>
          <w:szCs w:val="60"/>
          <w:highlight w:val="none"/>
        </w:rPr>
      </w:pPr>
      <w:r>
        <w:rPr>
          <w:rFonts w:hint="eastAsia" w:ascii="仿宋" w:hAnsi="仿宋" w:eastAsia="仿宋" w:cs="仿宋"/>
          <w:b/>
          <w:bCs/>
          <w:color w:val="auto"/>
          <w:sz w:val="60"/>
          <w:szCs w:val="60"/>
          <w:highlight w:val="none"/>
          <w:lang w:val="en-US" w:eastAsia="zh-CN"/>
        </w:rPr>
        <w:t>（货物）</w:t>
      </w:r>
    </w:p>
    <w:p w14:paraId="5DC44D9A">
      <w:pPr>
        <w:jc w:val="center"/>
        <w:rPr>
          <w:rFonts w:hint="eastAsia" w:ascii="仿宋" w:hAnsi="仿宋" w:eastAsia="仿宋" w:cs="仿宋"/>
          <w:b/>
          <w:bCs/>
          <w:color w:val="auto"/>
          <w:sz w:val="60"/>
          <w:szCs w:val="60"/>
          <w:highlight w:val="none"/>
        </w:rPr>
      </w:pPr>
      <w:bookmarkStart w:id="0" w:name="_Hlk164181180"/>
      <w:r>
        <w:rPr>
          <w:rFonts w:hint="eastAsia" w:ascii="仿宋" w:hAnsi="仿宋" w:eastAsia="仿宋" w:cs="仿宋"/>
          <w:b/>
          <w:bCs/>
          <w:color w:val="auto"/>
          <w:sz w:val="60"/>
          <w:szCs w:val="60"/>
          <w:highlight w:val="none"/>
        </w:rPr>
        <w:t>（202</w:t>
      </w:r>
      <w:r>
        <w:rPr>
          <w:rFonts w:hint="eastAsia" w:ascii="仿宋" w:hAnsi="仿宋" w:eastAsia="仿宋" w:cs="仿宋"/>
          <w:b/>
          <w:bCs/>
          <w:color w:val="auto"/>
          <w:sz w:val="60"/>
          <w:szCs w:val="60"/>
          <w:highlight w:val="none"/>
          <w:lang w:val="en-US" w:eastAsia="zh-CN"/>
        </w:rPr>
        <w:t>6年</w:t>
      </w:r>
      <w:r>
        <w:rPr>
          <w:rFonts w:hint="eastAsia" w:ascii="仿宋" w:hAnsi="仿宋" w:eastAsia="仿宋" w:cs="仿宋"/>
          <w:b/>
          <w:bCs/>
          <w:color w:val="auto"/>
          <w:sz w:val="60"/>
          <w:szCs w:val="60"/>
          <w:highlight w:val="none"/>
        </w:rPr>
        <w:t>版）</w:t>
      </w:r>
    </w:p>
    <w:bookmarkEnd w:id="0"/>
    <w:p w14:paraId="7757DFAA">
      <w:pPr>
        <w:spacing w:line="240" w:lineRule="auto"/>
        <w:jc w:val="center"/>
        <w:rPr>
          <w:rFonts w:hint="eastAsia" w:ascii="仿宋" w:hAnsi="仿宋" w:eastAsia="仿宋" w:cs="仿宋"/>
          <w:color w:val="auto"/>
          <w:sz w:val="52"/>
          <w:szCs w:val="52"/>
          <w:highlight w:val="none"/>
        </w:rPr>
      </w:pPr>
    </w:p>
    <w:p w14:paraId="67E856E7">
      <w:pPr>
        <w:spacing w:line="240" w:lineRule="auto"/>
        <w:jc w:val="center"/>
        <w:rPr>
          <w:rFonts w:hint="eastAsia" w:ascii="仿宋" w:hAnsi="仿宋" w:eastAsia="仿宋" w:cs="仿宋"/>
          <w:color w:val="auto"/>
          <w:sz w:val="52"/>
          <w:szCs w:val="52"/>
          <w:highlight w:val="none"/>
        </w:rPr>
      </w:pPr>
    </w:p>
    <w:p w14:paraId="6E97F6A4">
      <w:pPr>
        <w:spacing w:line="240" w:lineRule="auto"/>
        <w:jc w:val="center"/>
        <w:rPr>
          <w:rFonts w:hint="eastAsia" w:ascii="仿宋" w:hAnsi="仿宋" w:eastAsia="仿宋" w:cs="仿宋"/>
          <w:color w:val="auto"/>
          <w:sz w:val="52"/>
          <w:szCs w:val="52"/>
          <w:highlight w:val="none"/>
        </w:rPr>
      </w:pPr>
    </w:p>
    <w:p w14:paraId="0F88ECFE">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u w:val="single"/>
        </w:rPr>
        <w:t>XJBTBJ[2026]1113号</w:t>
      </w:r>
    </w:p>
    <w:p w14:paraId="0E6E48F8">
      <w:pPr>
        <w:ind w:left="420" w:leftChars="175"/>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u w:val="single"/>
          <w:lang w:val="zh-TW" w:eastAsia="zh-CN"/>
        </w:rPr>
        <w:t>2026年新疆理工职业大学人工智能学院5G全网产教融合实训室采购项目</w:t>
      </w:r>
    </w:p>
    <w:p w14:paraId="3E3D12B2">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采</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购</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人：</w:t>
      </w:r>
      <w:r>
        <w:rPr>
          <w:rFonts w:hint="eastAsia" w:ascii="仿宋" w:hAnsi="仿宋" w:eastAsia="仿宋" w:cs="仿宋"/>
          <w:color w:val="auto"/>
          <w:sz w:val="36"/>
          <w:szCs w:val="36"/>
          <w:highlight w:val="none"/>
          <w:u w:val="single"/>
          <w:lang w:val="zh-TW" w:eastAsia="zh-TW"/>
        </w:rPr>
        <w:t>新疆理工职业大学</w:t>
      </w:r>
    </w:p>
    <w:p w14:paraId="76F1096A">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采购代理机构：</w:t>
      </w:r>
      <w:r>
        <w:rPr>
          <w:rFonts w:hint="eastAsia" w:ascii="仿宋" w:hAnsi="仿宋" w:eastAsia="仿宋" w:cs="仿宋"/>
          <w:color w:val="auto"/>
          <w:sz w:val="36"/>
          <w:szCs w:val="36"/>
          <w:highlight w:val="none"/>
          <w:u w:val="single"/>
          <w:lang w:val="en-US" w:eastAsia="zh-CN"/>
        </w:rPr>
        <w:t>新疆世纪星工程咨询有限公司</w:t>
      </w:r>
    </w:p>
    <w:p w14:paraId="2C93F193">
      <w:pPr>
        <w:rPr>
          <w:rFonts w:hint="eastAsia" w:ascii="仿宋" w:hAnsi="仿宋" w:eastAsia="仿宋" w:cs="仿宋"/>
          <w:color w:val="auto"/>
          <w:highlight w:val="none"/>
        </w:rPr>
      </w:pPr>
    </w:p>
    <w:p w14:paraId="320C1BF6">
      <w:pPr>
        <w:ind w:left="420" w:leftChars="175" w:firstLine="640" w:firstLineChars="2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14:paraId="3B2CDAF9">
      <w:pPr>
        <w:jc w:val="center"/>
        <w:rPr>
          <w:rFonts w:hint="eastAsia" w:ascii="仿宋" w:hAnsi="仿宋" w:eastAsia="仿宋" w:cs="仿宋"/>
          <w:color w:val="auto"/>
          <w:sz w:val="48"/>
          <w:szCs w:val="48"/>
          <w:highlight w:val="none"/>
        </w:rPr>
      </w:pPr>
    </w:p>
    <w:p w14:paraId="309B13BD">
      <w:pPr>
        <w:jc w:val="center"/>
        <w:rPr>
          <w:rFonts w:hint="eastAsia" w:ascii="仿宋" w:hAnsi="仿宋" w:eastAsia="仿宋" w:cs="仿宋"/>
          <w:color w:val="auto"/>
          <w:sz w:val="48"/>
          <w:szCs w:val="48"/>
          <w:highlight w:val="none"/>
        </w:rPr>
      </w:pPr>
    </w:p>
    <w:p w14:paraId="67540CEC">
      <w:pPr>
        <w:jc w:val="center"/>
        <w:rPr>
          <w:rFonts w:hint="eastAsia" w:ascii="仿宋" w:hAnsi="仿宋" w:eastAsia="仿宋" w:cs="仿宋"/>
          <w:color w:val="auto"/>
          <w:sz w:val="48"/>
          <w:szCs w:val="48"/>
          <w:highlight w:val="none"/>
        </w:rPr>
      </w:pPr>
    </w:p>
    <w:p w14:paraId="2E6E0FD2">
      <w:pPr>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 xml:space="preserve">目 </w:t>
      </w: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rPr>
        <w:t>录</w:t>
      </w:r>
    </w:p>
    <w:p w14:paraId="0456DE60">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TOC \o "1-2" \h \u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44"/>
          <w:sz w:val="24"/>
          <w:szCs w:val="24"/>
          <w:highlight w:val="none"/>
          <w:lang w:val="en-US" w:eastAsia="zh-CN" w:bidi="ar-SA"/>
        </w:rPr>
        <w:t xml:space="preserve">第一章 </w:t>
      </w:r>
      <w:r>
        <w:rPr>
          <w:rFonts w:hint="eastAsia" w:ascii="仿宋" w:hAnsi="仿宋" w:eastAsia="仿宋" w:cs="仿宋"/>
          <w:color w:val="auto"/>
          <w:sz w:val="24"/>
          <w:szCs w:val="24"/>
          <w:highlight w:val="none"/>
          <w:lang w:val="en-US" w:eastAsia="zh-CN"/>
        </w:rPr>
        <w:t>招标公告</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5B1550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_Toc24068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项目概况：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_Toc24068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AB1BE6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_Toc18984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hr-HR" w:eastAsia="zh-CN" w:bidi="ar-SA"/>
        </w:rPr>
        <w:t>一、</w:t>
      </w:r>
      <w:r>
        <w:rPr>
          <w:rFonts w:hint="eastAsia" w:ascii="仿宋" w:hAnsi="仿宋" w:eastAsia="仿宋" w:cs="仿宋"/>
          <w:color w:val="auto"/>
          <w:sz w:val="24"/>
          <w:szCs w:val="24"/>
          <w:highlight w:val="none"/>
          <w:lang w:val="hr-HR"/>
        </w:rPr>
        <w:t>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_Toc18984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E5A353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_Toc18818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二、申请</w:t>
      </w:r>
      <w:r>
        <w:rPr>
          <w:rFonts w:hint="eastAsia" w:ascii="仿宋" w:hAnsi="仿宋" w:eastAsia="仿宋" w:cs="仿宋"/>
          <w:bCs/>
          <w:color w:val="auto"/>
          <w:kern w:val="2"/>
          <w:sz w:val="24"/>
          <w:szCs w:val="24"/>
          <w:highlight w:val="none"/>
          <w:lang w:val="hr-HR" w:eastAsia="zh-CN" w:bidi="ar-SA"/>
        </w:rPr>
        <w:t>人</w:t>
      </w:r>
      <w:r>
        <w:rPr>
          <w:rFonts w:hint="eastAsia" w:ascii="仿宋" w:hAnsi="仿宋" w:eastAsia="仿宋" w:cs="仿宋"/>
          <w:bCs/>
          <w:color w:val="auto"/>
          <w:kern w:val="2"/>
          <w:sz w:val="24"/>
          <w:szCs w:val="24"/>
          <w:highlight w:val="none"/>
          <w:lang w:val="en-US" w:eastAsia="zh-CN" w:bidi="ar-SA"/>
        </w:rPr>
        <w:t>的</w:t>
      </w:r>
      <w:r>
        <w:rPr>
          <w:rFonts w:hint="eastAsia" w:ascii="仿宋" w:hAnsi="仿宋" w:eastAsia="仿宋" w:cs="仿宋"/>
          <w:bCs/>
          <w:color w:val="auto"/>
          <w:kern w:val="2"/>
          <w:sz w:val="24"/>
          <w:szCs w:val="24"/>
          <w:highlight w:val="none"/>
          <w:lang w:val="hr-HR" w:eastAsia="zh-CN" w:bidi="ar-SA"/>
        </w:rPr>
        <w:t>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_Toc18818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116B40F">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_Toc21526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三、</w:t>
      </w:r>
      <w:r>
        <w:rPr>
          <w:rFonts w:hint="eastAsia" w:ascii="仿宋" w:hAnsi="仿宋" w:eastAsia="仿宋" w:cs="仿宋"/>
          <w:bCs/>
          <w:color w:val="auto"/>
          <w:kern w:val="2"/>
          <w:sz w:val="24"/>
          <w:szCs w:val="24"/>
          <w:highlight w:val="none"/>
          <w:lang w:val="hr-HR" w:eastAsia="zh-CN" w:bidi="ar-SA"/>
        </w:rPr>
        <w:t>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_Toc21526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- 2 -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341A67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四、</w:t>
      </w:r>
      <w:r>
        <w:rPr>
          <w:rFonts w:hint="eastAsia" w:ascii="仿宋" w:hAnsi="仿宋" w:eastAsia="仿宋" w:cs="仿宋"/>
          <w:bCs/>
          <w:color w:val="auto"/>
          <w:kern w:val="2"/>
          <w:sz w:val="24"/>
          <w:szCs w:val="24"/>
          <w:highlight w:val="none"/>
          <w:lang w:val="hr-HR" w:eastAsia="zh-CN" w:bidi="ar-SA"/>
        </w:rPr>
        <w:t>提交投标文件截止时间</w:t>
      </w:r>
      <w:r>
        <w:rPr>
          <w:rFonts w:hint="eastAsia" w:ascii="仿宋" w:hAnsi="仿宋" w:eastAsia="仿宋" w:cs="仿宋"/>
          <w:bCs/>
          <w:color w:val="auto"/>
          <w:kern w:val="2"/>
          <w:sz w:val="24"/>
          <w:szCs w:val="24"/>
          <w:highlight w:val="none"/>
          <w:lang w:val="en-US" w:eastAsia="zh-CN" w:bidi="ar-SA"/>
        </w:rPr>
        <w:t>/</w:t>
      </w:r>
      <w:r>
        <w:rPr>
          <w:rFonts w:hint="eastAsia" w:ascii="仿宋" w:hAnsi="仿宋" w:eastAsia="仿宋" w:cs="仿宋"/>
          <w:bCs/>
          <w:color w:val="auto"/>
          <w:kern w:val="2"/>
          <w:sz w:val="24"/>
          <w:szCs w:val="24"/>
          <w:highlight w:val="none"/>
          <w:lang w:val="hr-HR" w:eastAsia="zh-CN" w:bidi="ar-SA"/>
        </w:rPr>
        <w:t>开标时间、递交方式和</w:t>
      </w:r>
      <w:r>
        <w:rPr>
          <w:rFonts w:hint="eastAsia" w:ascii="仿宋" w:hAnsi="仿宋" w:eastAsia="仿宋" w:cs="仿宋"/>
          <w:bCs/>
          <w:color w:val="auto"/>
          <w:kern w:val="2"/>
          <w:sz w:val="24"/>
          <w:szCs w:val="24"/>
          <w:highlight w:val="none"/>
          <w:lang w:val="en-US" w:eastAsia="zh-CN" w:bidi="ar-SA"/>
        </w:rPr>
        <w:t>开标</w:t>
      </w:r>
      <w:r>
        <w:rPr>
          <w:rFonts w:hint="eastAsia" w:ascii="仿宋" w:hAnsi="仿宋" w:eastAsia="仿宋" w:cs="仿宋"/>
          <w:bCs/>
          <w:color w:val="auto"/>
          <w:kern w:val="2"/>
          <w:sz w:val="24"/>
          <w:szCs w:val="24"/>
          <w:highlight w:val="none"/>
          <w:lang w:val="hr-HR" w:eastAsia="zh-CN" w:bidi="ar-SA"/>
        </w:rPr>
        <w:t>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- 3 -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C47654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_Toc13217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五、</w:t>
      </w:r>
      <w:r>
        <w:rPr>
          <w:rFonts w:hint="eastAsia" w:ascii="仿宋" w:hAnsi="仿宋" w:eastAsia="仿宋" w:cs="仿宋"/>
          <w:bCs/>
          <w:color w:val="auto"/>
          <w:kern w:val="2"/>
          <w:sz w:val="24"/>
          <w:szCs w:val="24"/>
          <w:highlight w:val="none"/>
          <w:lang w:val="hr-HR" w:eastAsia="zh-CN" w:bidi="ar-SA"/>
        </w:rPr>
        <w:t>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_Toc13217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- 3 -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87C054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_Toc15475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六、</w:t>
      </w:r>
      <w:r>
        <w:rPr>
          <w:rFonts w:hint="eastAsia" w:ascii="仿宋" w:hAnsi="仿宋" w:eastAsia="仿宋" w:cs="仿宋"/>
          <w:bCs/>
          <w:color w:val="auto"/>
          <w:kern w:val="2"/>
          <w:sz w:val="24"/>
          <w:szCs w:val="24"/>
          <w:highlight w:val="none"/>
          <w:lang w:val="hr-HR" w:eastAsia="zh-CN" w:bidi="ar-SA"/>
        </w:rPr>
        <w:t>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_Toc15475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- 3 -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AAE0AF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_Toc6505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七、</w:t>
      </w:r>
      <w:r>
        <w:rPr>
          <w:rFonts w:hint="eastAsia" w:ascii="仿宋" w:hAnsi="仿宋" w:eastAsia="仿宋" w:cs="仿宋"/>
          <w:bCs/>
          <w:color w:val="auto"/>
          <w:kern w:val="2"/>
          <w:sz w:val="24"/>
          <w:szCs w:val="24"/>
          <w:highlight w:val="none"/>
          <w:lang w:val="hr-HR" w:eastAsia="zh-CN" w:bidi="ar-SA"/>
        </w:rPr>
        <w:t>对本次</w:t>
      </w:r>
      <w:r>
        <w:rPr>
          <w:rFonts w:hint="eastAsia" w:ascii="仿宋" w:hAnsi="仿宋" w:eastAsia="仿宋" w:cs="仿宋"/>
          <w:bCs/>
          <w:color w:val="auto"/>
          <w:kern w:val="2"/>
          <w:sz w:val="24"/>
          <w:szCs w:val="24"/>
          <w:highlight w:val="none"/>
          <w:lang w:val="en-US" w:eastAsia="zh-CN" w:bidi="ar-SA"/>
        </w:rPr>
        <w:t>招标</w:t>
      </w:r>
      <w:r>
        <w:rPr>
          <w:rFonts w:hint="eastAsia" w:ascii="仿宋" w:hAnsi="仿宋" w:eastAsia="仿宋" w:cs="仿宋"/>
          <w:bCs/>
          <w:color w:val="auto"/>
          <w:kern w:val="2"/>
          <w:sz w:val="24"/>
          <w:szCs w:val="24"/>
          <w:highlight w:val="none"/>
          <w:lang w:val="hr-HR" w:eastAsia="zh-CN" w:bidi="ar-SA"/>
        </w:rPr>
        <w:t>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_Toc6505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- 4 -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DBFADDF">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_Toc12151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44"/>
          <w:sz w:val="24"/>
          <w:szCs w:val="24"/>
          <w:highlight w:val="none"/>
          <w:lang w:val="en-US" w:eastAsia="zh-CN" w:bidi="ar-SA"/>
        </w:rPr>
        <w:t>第二章 投标人须知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_Toc12151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- 5 -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D89C2F9">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_Toc27886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一、投标人须知前附表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_Toc27886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- 5 -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FD9729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_Toc25167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二、投标人须知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_Toc25167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- 11 -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373CC71">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_Toc13003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44"/>
          <w:sz w:val="24"/>
          <w:szCs w:val="24"/>
          <w:highlight w:val="none"/>
          <w:lang w:val="en-US" w:eastAsia="zh-CN" w:bidi="ar-SA"/>
        </w:rPr>
        <w:t>第三章 采购需求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_Toc13003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- 40 -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2A65737">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_Toc16812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44"/>
          <w:sz w:val="24"/>
          <w:szCs w:val="24"/>
          <w:highlight w:val="none"/>
          <w:lang w:val="en-US" w:eastAsia="zh-CN" w:bidi="ar-SA"/>
        </w:rPr>
        <w:t>第四章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_Toc16812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- 62 -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659375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_Toc7549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一、资格审查程序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_Toc7549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- 62 -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23BCF8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_Toc5211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二、资格审查要求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_Toc5211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- 62 -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4820C8B">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_Toc26049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44"/>
          <w:sz w:val="24"/>
          <w:szCs w:val="24"/>
          <w:highlight w:val="none"/>
          <w:lang w:val="en-US" w:eastAsia="zh-CN" w:bidi="ar-SA"/>
        </w:rPr>
        <w:t>第五章 评标方法及标准(综合评分法)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_Toc26049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- 64 -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2B65B9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_Toc4291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zh-CN" w:eastAsia="zh-CN"/>
        </w:rPr>
        <w:t>一、评标</w:t>
      </w:r>
      <w:r>
        <w:rPr>
          <w:rFonts w:hint="eastAsia" w:ascii="仿宋" w:hAnsi="仿宋" w:eastAsia="仿宋" w:cs="仿宋"/>
          <w:color w:val="auto"/>
          <w:sz w:val="24"/>
          <w:szCs w:val="24"/>
          <w:highlight w:val="none"/>
          <w:lang w:val="en-US" w:eastAsia="zh-CN"/>
        </w:rPr>
        <w:t>方</w:t>
      </w:r>
      <w:r>
        <w:rPr>
          <w:rFonts w:hint="eastAsia" w:ascii="仿宋" w:hAnsi="仿宋" w:eastAsia="仿宋" w:cs="仿宋"/>
          <w:color w:val="auto"/>
          <w:sz w:val="24"/>
          <w:szCs w:val="24"/>
          <w:highlight w:val="none"/>
          <w:lang w:val="zh-CN" w:eastAsia="zh-CN"/>
        </w:rPr>
        <w:t>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_Toc4291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- 64 -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D276CF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_Toc11920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val="zh-CN" w:eastAsia="zh-CN"/>
        </w:rPr>
        <w:t>、评标程序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_Toc11920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- 64 -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28673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_Toc17247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zh-CN" w:eastAsia="zh-CN"/>
        </w:rPr>
        <w:t>三、评标</w:t>
      </w:r>
      <w:r>
        <w:rPr>
          <w:rFonts w:hint="eastAsia" w:ascii="仿宋" w:hAnsi="仿宋" w:eastAsia="仿宋" w:cs="仿宋"/>
          <w:color w:val="auto"/>
          <w:sz w:val="24"/>
          <w:szCs w:val="24"/>
          <w:highlight w:val="none"/>
          <w:lang w:val="en-US" w:eastAsia="zh-CN"/>
        </w:rPr>
        <w:t>其他要求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_Toc17247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- 72 -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51C4BFF">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_Toc6716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lang w:val="zh-CN" w:eastAsia="zh-CN"/>
        </w:rPr>
        <w:t>、评标标准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_Toc6716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- 72 -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D019AF5">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_Toc1473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44"/>
          <w:sz w:val="24"/>
          <w:szCs w:val="24"/>
          <w:highlight w:val="none"/>
          <w:lang w:val="zh-CN" w:eastAsia="zh-CN" w:bidi="ar-SA"/>
        </w:rPr>
        <w:t>第六章 合同草案</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_Toc1473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- 80 -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A90647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_Toc16661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第一节 政府采购合同协议书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_Toc6716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82</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C8F079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_Toc25534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第二节 政府采购合同通用条款</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_Toc6716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87</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FDCF58">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_Toc30695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44"/>
          <w:sz w:val="24"/>
          <w:szCs w:val="24"/>
          <w:highlight w:val="none"/>
          <w:lang w:val="en-US" w:eastAsia="zh-CN" w:bidi="ar-SA"/>
        </w:rPr>
        <w:t>第七章 投标文件格式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_Toc30695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- 100 -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DAF74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_Toc17871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投标文件</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_Toc10318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资格证明文件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_Toc10318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- 101 -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FC31F2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_Toc31073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一、满足《中华人民共和国政府采购法》第二十二条规定</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_Toc6716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102</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C35A18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_Toc3723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二、落实政府采购政策相关证明文件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_Toc3723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- 105 -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21C498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_Toc7668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三、不参与围标串标承诺书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_Toc7668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- 130 -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CC40084">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_Toc7005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四、</w:t>
      </w:r>
      <w:r>
        <w:rPr>
          <w:rFonts w:hint="eastAsia" w:ascii="仿宋" w:hAnsi="仿宋" w:eastAsia="仿宋" w:cs="仿宋"/>
          <w:bCs/>
          <w:color w:val="auto"/>
          <w:kern w:val="2"/>
          <w:sz w:val="24"/>
          <w:szCs w:val="24"/>
          <w:highlight w:val="none"/>
          <w:lang w:val="zh-CN" w:eastAsia="zh-CN" w:bidi="ar-SA"/>
        </w:rPr>
        <w:t>其他资格证明文件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_Toc7005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- 131 -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3B448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_Toc32421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投标文件</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_Toc26359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报价文件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_Toc26359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- 132 -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9F14BD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_Toc18799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一、开标一览表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_Toc18799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- 133 -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12E91D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_Toc6640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二、分项报价表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_Toc6640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- 134 -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AF68E3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_Toc8737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三、关于符合本国产品标准的声明函或财政部规定的其他</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_Toc14371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证明文件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_Toc14371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- 136 -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85DB1A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_Toc22345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投标文件</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_Toc20355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商务技术文件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_Toc20355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- 138 -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DCC6A7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_Toc14917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一、投标函</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_Toc14917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- 139 -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E5860C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_Toc16989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二、法定代表人（单位负责人）身份证明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_Toc16989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- 141 -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1D1821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_Toc18668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三、授权委托书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_Toc18668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- 142 -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3ECBC4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_Toc12518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四、</w:t>
      </w:r>
      <w:r>
        <w:rPr>
          <w:rFonts w:hint="eastAsia" w:ascii="仿宋" w:hAnsi="仿宋" w:eastAsia="仿宋" w:cs="仿宋"/>
          <w:bCs/>
          <w:color w:val="auto"/>
          <w:kern w:val="2"/>
          <w:sz w:val="24"/>
          <w:szCs w:val="24"/>
          <w:highlight w:val="none"/>
          <w:lang w:val="zh-CN" w:eastAsia="zh-CN" w:bidi="ar-SA"/>
        </w:rPr>
        <w:t>政府采购</w:t>
      </w:r>
      <w:r>
        <w:rPr>
          <w:rFonts w:hint="eastAsia" w:ascii="仿宋" w:hAnsi="仿宋" w:eastAsia="仿宋" w:cs="仿宋"/>
          <w:bCs/>
          <w:color w:val="auto"/>
          <w:kern w:val="2"/>
          <w:sz w:val="24"/>
          <w:szCs w:val="24"/>
          <w:highlight w:val="none"/>
          <w:lang w:val="en-US" w:eastAsia="zh-CN" w:bidi="ar-SA"/>
        </w:rPr>
        <w:t>投标人</w:t>
      </w:r>
      <w:r>
        <w:rPr>
          <w:rFonts w:hint="eastAsia" w:ascii="仿宋" w:hAnsi="仿宋" w:eastAsia="仿宋" w:cs="仿宋"/>
          <w:bCs/>
          <w:color w:val="auto"/>
          <w:kern w:val="2"/>
          <w:sz w:val="24"/>
          <w:szCs w:val="24"/>
          <w:highlight w:val="none"/>
          <w:lang w:val="zh-CN" w:eastAsia="zh-CN" w:bidi="ar-SA"/>
        </w:rPr>
        <w:t>廉洁自律承诺书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_Toc12518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- 143 -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5715D30">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_Toc15732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五、</w:t>
      </w:r>
      <w:r>
        <w:rPr>
          <w:rFonts w:hint="eastAsia" w:ascii="仿宋" w:hAnsi="仿宋" w:eastAsia="仿宋" w:cs="仿宋"/>
          <w:bCs/>
          <w:color w:val="auto"/>
          <w:kern w:val="2"/>
          <w:sz w:val="24"/>
          <w:szCs w:val="24"/>
          <w:highlight w:val="none"/>
          <w:lang w:val="zh-CN" w:eastAsia="zh-CN" w:bidi="ar-SA"/>
        </w:rPr>
        <w:t>实质性响应一览表【</w:t>
      </w:r>
      <w:r>
        <w:rPr>
          <w:rFonts w:hint="eastAsia" w:ascii="仿宋" w:hAnsi="仿宋" w:eastAsia="仿宋" w:cs="仿宋"/>
          <w:bCs/>
          <w:color w:val="auto"/>
          <w:kern w:val="2"/>
          <w:sz w:val="24"/>
          <w:szCs w:val="24"/>
          <w:highlight w:val="none"/>
          <w:lang w:val="en-US" w:eastAsia="zh-CN" w:bidi="ar-SA"/>
        </w:rPr>
        <w:t>本表须与第五章的一致】</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_Toc15732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- 144 -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1B1073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_Toc25611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六、商务响应偏离表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_Toc25611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- 145 -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05BCE8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_Toc32374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七、业绩证明文件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_Toc32374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- 146 -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114E6D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_Toc27603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八、拟派项目团队</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_Toc27603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- 147 -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FFC1E6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_Toc30796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九、技术响应偏离表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_Toc30796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- 148 -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64EE40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_Toc30176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十、技术方案</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_Toc30176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- 149 -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EA39E2D">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_Toc29208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十一、其他文件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_Toc29208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- 150 -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DD905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highlight w:val="none"/>
        </w:rPr>
      </w:pPr>
      <w:r>
        <w:rPr>
          <w:rFonts w:hint="eastAsia" w:ascii="仿宋" w:hAnsi="仿宋" w:eastAsia="仿宋" w:cs="仿宋"/>
          <w:color w:val="auto"/>
          <w:sz w:val="24"/>
          <w:szCs w:val="24"/>
          <w:highlight w:val="none"/>
        </w:rPr>
        <w:fldChar w:fldCharType="end"/>
      </w:r>
    </w:p>
    <w:p w14:paraId="4C618998">
      <w:pPr>
        <w:jc w:val="center"/>
        <w:rPr>
          <w:rFonts w:hint="eastAsia" w:ascii="仿宋" w:hAnsi="仿宋" w:eastAsia="仿宋" w:cs="仿宋"/>
          <w:b/>
          <w:bCs/>
          <w:color w:val="auto"/>
          <w:sz w:val="32"/>
          <w:szCs w:val="32"/>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9DD1FC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color w:val="auto"/>
          <w:sz w:val="36"/>
          <w:szCs w:val="36"/>
          <w:highlight w:val="none"/>
          <w:lang w:val="en-US" w:eastAsia="zh-CN"/>
        </w:rPr>
      </w:pPr>
      <w:bookmarkStart w:id="1" w:name="_Toc155185859"/>
      <w:bookmarkStart w:id="2" w:name="_Toc163492811"/>
      <w:bookmarkStart w:id="3" w:name="_Toc217"/>
      <w:r>
        <w:rPr>
          <w:rFonts w:hint="eastAsia" w:ascii="仿宋" w:hAnsi="仿宋" w:eastAsia="仿宋" w:cs="仿宋"/>
          <w:b/>
          <w:bCs/>
          <w:color w:val="auto"/>
          <w:kern w:val="44"/>
          <w:sz w:val="36"/>
          <w:szCs w:val="36"/>
          <w:highlight w:val="none"/>
          <w:lang w:val="en-US" w:eastAsia="zh-CN" w:bidi="ar-SA"/>
        </w:rPr>
        <w:t xml:space="preserve">第一章 </w:t>
      </w:r>
      <w:bookmarkEnd w:id="1"/>
      <w:bookmarkEnd w:id="2"/>
      <w:bookmarkStart w:id="4" w:name="_Hlk130458318"/>
      <w:r>
        <w:rPr>
          <w:rFonts w:hint="eastAsia" w:ascii="仿宋" w:hAnsi="仿宋" w:eastAsia="仿宋" w:cs="仿宋"/>
          <w:color w:val="auto"/>
          <w:sz w:val="36"/>
          <w:szCs w:val="36"/>
          <w:highlight w:val="none"/>
          <w:lang w:val="en-US" w:eastAsia="zh-CN"/>
        </w:rPr>
        <w:t>招标公告</w:t>
      </w:r>
      <w:bookmarkEnd w:id="3"/>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4682E0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仿宋" w:hAnsi="仿宋" w:eastAsia="仿宋" w:cs="仿宋"/>
                <w:color w:val="auto"/>
                <w:sz w:val="24"/>
                <w:szCs w:val="24"/>
                <w:highlight w:val="none"/>
                <w:lang w:val="en-US" w:eastAsia="zh-CN"/>
              </w:rPr>
            </w:pPr>
            <w:bookmarkStart w:id="5" w:name="_Toc22036"/>
            <w:bookmarkStart w:id="6" w:name="_Toc24068"/>
            <w:bookmarkStart w:id="7" w:name="_Toc31284"/>
            <w:bookmarkStart w:id="8" w:name="_Toc20302"/>
            <w:bookmarkStart w:id="9" w:name="_Toc10363"/>
            <w:bookmarkStart w:id="10" w:name="_Toc17609"/>
            <w:bookmarkStart w:id="11" w:name="_Toc28359012"/>
            <w:bookmarkStart w:id="12" w:name="_Toc109899410"/>
            <w:bookmarkStart w:id="13" w:name="_Toc109900248"/>
            <w:bookmarkStart w:id="14" w:name="_Toc35393629"/>
            <w:bookmarkStart w:id="15" w:name="_Toc28359089"/>
            <w:bookmarkStart w:id="16" w:name="_Toc155185860"/>
            <w:bookmarkStart w:id="17" w:name="_Toc35393798"/>
            <w:bookmarkStart w:id="18" w:name="_Toc109899829"/>
            <w:bookmarkStart w:id="19" w:name="_Toc44583628"/>
            <w:bookmarkStart w:id="20" w:name="_Toc140132745"/>
            <w:bookmarkStart w:id="21" w:name="_Toc163492812"/>
            <w:r>
              <w:rPr>
                <w:rFonts w:hint="eastAsia" w:ascii="仿宋" w:hAnsi="仿宋" w:eastAsia="仿宋" w:cs="仿宋"/>
                <w:color w:val="auto"/>
                <w:sz w:val="24"/>
                <w:szCs w:val="24"/>
                <w:highlight w:val="none"/>
                <w:lang w:val="en-US" w:eastAsia="zh-CN"/>
              </w:rPr>
              <w:t>项目概况：</w:t>
            </w:r>
            <w:bookmarkEnd w:id="5"/>
            <w:bookmarkEnd w:id="6"/>
            <w:bookmarkEnd w:id="7"/>
            <w:bookmarkEnd w:id="8"/>
            <w:bookmarkEnd w:id="9"/>
            <w:bookmarkEnd w:id="10"/>
          </w:p>
          <w:p w14:paraId="2852FE91">
            <w:pPr>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iCs/>
                <w:color w:val="auto"/>
                <w:kern w:val="2"/>
                <w:sz w:val="24"/>
                <w:szCs w:val="24"/>
                <w:highlight w:val="none"/>
                <w:u w:val="single"/>
                <w:shd w:val="clear" w:color="auto" w:fill="FFFFFF"/>
                <w:lang w:val="hr-HR" w:eastAsia="zh-CN" w:bidi="ar-SA"/>
              </w:rPr>
              <w:t>2026年新疆理工职业大学人工智能学院5G全网产教融合实训室采购项目</w:t>
            </w:r>
            <w:r>
              <w:rPr>
                <w:rFonts w:hint="eastAsia" w:ascii="仿宋" w:hAnsi="仿宋" w:eastAsia="仿宋" w:cs="仿宋"/>
                <w:iCs/>
                <w:color w:val="auto"/>
                <w:kern w:val="2"/>
                <w:sz w:val="24"/>
                <w:szCs w:val="24"/>
                <w:highlight w:val="none"/>
                <w:shd w:val="clear" w:color="auto" w:fill="FFFFFF"/>
                <w:lang w:val="hr-HR" w:eastAsia="zh-CN" w:bidi="ar-SA"/>
              </w:rPr>
              <w:t>招标项目的潜在投标人应在</w:t>
            </w:r>
            <w:r>
              <w:rPr>
                <w:rFonts w:hint="eastAsia" w:ascii="仿宋" w:hAnsi="仿宋" w:eastAsia="仿宋" w:cs="仿宋"/>
                <w:iCs/>
                <w:color w:val="auto"/>
                <w:kern w:val="2"/>
                <w:sz w:val="24"/>
                <w:szCs w:val="24"/>
                <w:highlight w:val="none"/>
                <w:u w:val="single"/>
                <w:shd w:val="clear" w:color="auto" w:fill="FFFFFF"/>
                <w:lang w:val="hr-HR" w:eastAsia="zh-CN" w:bidi="ar-SA"/>
              </w:rPr>
              <w:t>兵团政府采购电子交易云平台（网址：https://www.zcygov.cn/）</w:t>
            </w:r>
            <w:r>
              <w:rPr>
                <w:rFonts w:hint="eastAsia" w:ascii="仿宋" w:hAnsi="仿宋" w:eastAsia="仿宋" w:cs="仿宋"/>
                <w:iCs/>
                <w:color w:val="auto"/>
                <w:kern w:val="2"/>
                <w:sz w:val="24"/>
                <w:szCs w:val="24"/>
                <w:highlight w:val="none"/>
                <w:shd w:val="clear" w:color="auto" w:fill="FFFFFF"/>
                <w:lang w:val="hr-HR" w:eastAsia="zh-CN" w:bidi="ar-SA"/>
              </w:rPr>
              <w:t>获取招标文件，并于</w:t>
            </w:r>
            <w:r>
              <w:rPr>
                <w:rFonts w:hint="eastAsia" w:ascii="仿宋_GB2312" w:hAnsi="仿宋_GB2312" w:eastAsia="仿宋_GB2312" w:cs="仿宋_GB2312"/>
                <w:highlight w:val="none"/>
                <w:u w:val="single"/>
              </w:rPr>
              <w:t>202</w:t>
            </w:r>
            <w:r>
              <w:rPr>
                <w:rFonts w:hint="eastAsia" w:ascii="仿宋_GB2312" w:hAnsi="仿宋_GB2312" w:eastAsia="仿宋_GB2312" w:cs="仿宋_GB2312"/>
                <w:highlight w:val="none"/>
                <w:u w:val="single"/>
                <w:lang w:val="en-US" w:eastAsia="zh-CN"/>
              </w:rPr>
              <w:t>6</w:t>
            </w:r>
            <w:r>
              <w:rPr>
                <w:rFonts w:hint="eastAsia" w:ascii="仿宋_GB2312" w:hAnsi="仿宋_GB2312" w:eastAsia="仿宋_GB2312" w:cs="仿宋_GB2312"/>
                <w:highlight w:val="none"/>
                <w:u w:val="single"/>
              </w:rPr>
              <w:t>年</w:t>
            </w:r>
            <w:r>
              <w:rPr>
                <w:rFonts w:hint="eastAsia" w:ascii="仿宋_GB2312" w:hAnsi="仿宋_GB2312" w:eastAsia="仿宋_GB2312" w:cs="仿宋_GB2312"/>
                <w:highlight w:val="none"/>
                <w:u w:val="single"/>
                <w:lang w:val="en-US" w:eastAsia="zh-CN"/>
              </w:rPr>
              <w:t>05</w:t>
            </w:r>
            <w:r>
              <w:rPr>
                <w:rFonts w:hint="eastAsia" w:ascii="仿宋_GB2312" w:hAnsi="仿宋_GB2312" w:eastAsia="仿宋_GB2312" w:cs="仿宋_GB2312"/>
                <w:highlight w:val="none"/>
                <w:u w:val="single"/>
              </w:rPr>
              <w:t>月</w:t>
            </w:r>
            <w:r>
              <w:rPr>
                <w:rFonts w:hint="eastAsia" w:ascii="仿宋_GB2312" w:hAnsi="仿宋_GB2312" w:eastAsia="仿宋_GB2312" w:cs="仿宋_GB2312"/>
                <w:highlight w:val="none"/>
                <w:u w:val="single"/>
                <w:lang w:val="en-US" w:eastAsia="zh-CN"/>
              </w:rPr>
              <w:t>18</w:t>
            </w:r>
            <w:r>
              <w:rPr>
                <w:rFonts w:hint="eastAsia" w:ascii="仿宋_GB2312" w:hAnsi="仿宋_GB2312" w:eastAsia="仿宋_GB2312" w:cs="仿宋_GB2312"/>
                <w:highlight w:val="none"/>
                <w:u w:val="single"/>
              </w:rPr>
              <w:t>日</w:t>
            </w:r>
            <w:r>
              <w:rPr>
                <w:rFonts w:hint="eastAsia" w:ascii="仿宋_GB2312" w:hAnsi="仿宋_GB2312" w:eastAsia="仿宋_GB2312" w:cs="仿宋_GB2312"/>
                <w:highlight w:val="none"/>
                <w:u w:val="single"/>
                <w:lang w:val="en-US" w:eastAsia="zh-CN"/>
              </w:rPr>
              <w:t>13</w:t>
            </w:r>
            <w:r>
              <w:rPr>
                <w:rFonts w:hint="eastAsia" w:ascii="仿宋_GB2312" w:hAnsi="仿宋_GB2312" w:eastAsia="仿宋_GB2312" w:cs="仿宋_GB2312"/>
                <w:highlight w:val="none"/>
                <w:u w:val="single"/>
              </w:rPr>
              <w:t>时</w:t>
            </w:r>
            <w:r>
              <w:rPr>
                <w:rFonts w:hint="eastAsia" w:ascii="仿宋_GB2312" w:hAnsi="仿宋_GB2312" w:eastAsia="仿宋_GB2312" w:cs="仿宋_GB2312"/>
                <w:highlight w:val="none"/>
                <w:u w:val="single"/>
                <w:lang w:val="en-US" w:eastAsia="zh-CN"/>
              </w:rPr>
              <w:t>30</w:t>
            </w:r>
            <w:r>
              <w:rPr>
                <w:rFonts w:hint="eastAsia" w:ascii="仿宋_GB2312" w:hAnsi="仿宋_GB2312" w:eastAsia="仿宋_GB2312" w:cs="仿宋_GB2312"/>
                <w:highlight w:val="none"/>
                <w:u w:val="single"/>
              </w:rPr>
              <w:t>分</w:t>
            </w:r>
            <w:r>
              <w:rPr>
                <w:rFonts w:hint="eastAsia" w:ascii="仿宋" w:hAnsi="仿宋" w:eastAsia="仿宋" w:cs="仿宋"/>
                <w:iCs/>
                <w:color w:val="auto"/>
                <w:kern w:val="2"/>
                <w:sz w:val="24"/>
                <w:szCs w:val="24"/>
                <w:highlight w:val="none"/>
                <w:shd w:val="clear" w:color="auto" w:fill="FFFFFF"/>
                <w:lang w:val="hr-HR" w:eastAsia="zh-CN" w:bidi="ar-SA"/>
              </w:rPr>
              <w:t>（北京时间）前递交投标文件。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jc w:val="both"/>
        <w:textAlignment w:val="auto"/>
        <w:rPr>
          <w:rFonts w:hint="eastAsia" w:ascii="仿宋" w:hAnsi="仿宋" w:eastAsia="仿宋" w:cs="仿宋"/>
          <w:color w:val="auto"/>
          <w:sz w:val="24"/>
          <w:szCs w:val="24"/>
          <w:highlight w:val="none"/>
          <w:lang w:val="hr-HR"/>
        </w:rPr>
      </w:pPr>
      <w:bookmarkStart w:id="22" w:name="_Toc2335"/>
      <w:bookmarkStart w:id="23" w:name="_Toc27682"/>
      <w:bookmarkStart w:id="24" w:name="_Toc4515"/>
      <w:bookmarkStart w:id="25" w:name="_Toc18984"/>
      <w:bookmarkStart w:id="26" w:name="_Toc11065"/>
      <w:r>
        <w:rPr>
          <w:rFonts w:hint="eastAsia" w:ascii="仿宋" w:hAnsi="仿宋" w:eastAsia="仿宋" w:cs="仿宋"/>
          <w:b/>
          <w:bCs/>
          <w:color w:val="auto"/>
          <w:kern w:val="2"/>
          <w:sz w:val="24"/>
          <w:szCs w:val="24"/>
          <w:highlight w:val="none"/>
          <w:lang w:val="hr-HR" w:eastAsia="zh-CN" w:bidi="ar-SA"/>
        </w:rPr>
        <w:t>一、</w:t>
      </w:r>
      <w:r>
        <w:rPr>
          <w:rFonts w:hint="eastAsia" w:ascii="仿宋" w:hAnsi="仿宋" w:eastAsia="仿宋" w:cs="仿宋"/>
          <w:color w:val="auto"/>
          <w:sz w:val="24"/>
          <w:szCs w:val="24"/>
          <w:highlight w:val="none"/>
          <w:lang w:val="hr-HR"/>
        </w:rPr>
        <w:t>项目基本情况</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590E39A6">
      <w:pPr>
        <w:pStyle w:val="37"/>
        <w:pageBreakBefore w:val="0"/>
        <w:widowControl w:val="0"/>
        <w:kinsoku/>
        <w:overflowPunct/>
        <w:topLinePunct w:val="0"/>
        <w:autoSpaceDE/>
        <w:autoSpaceDN/>
        <w:bidi w:val="0"/>
        <w:adjustRightInd/>
        <w:snapToGrid/>
        <w:spacing w:line="360" w:lineRule="auto"/>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hr-HR"/>
        </w:rPr>
        <w:t>1.项目编号：</w:t>
      </w:r>
      <w:r>
        <w:rPr>
          <w:rFonts w:hint="eastAsia" w:ascii="仿宋" w:hAnsi="仿宋" w:eastAsia="仿宋" w:cs="仿宋"/>
          <w:color w:val="auto"/>
          <w:sz w:val="24"/>
          <w:highlight w:val="none"/>
          <w:u w:val="single"/>
          <w:lang w:val="hr-HR"/>
        </w:rPr>
        <w:t>XJBTBJ[2026]1113号</w:t>
      </w:r>
    </w:p>
    <w:p w14:paraId="544AA4B7">
      <w:pPr>
        <w:pStyle w:val="37"/>
        <w:pageBreakBefore w:val="0"/>
        <w:widowControl w:val="0"/>
        <w:kinsoku/>
        <w:overflowPunct/>
        <w:topLinePunct w:val="0"/>
        <w:autoSpaceDE/>
        <w:autoSpaceDN/>
        <w:bidi w:val="0"/>
        <w:adjustRightInd/>
        <w:snapToGrid/>
        <w:spacing w:line="360" w:lineRule="auto"/>
        <w:jc w:val="both"/>
        <w:textAlignment w:val="auto"/>
        <w:rPr>
          <w:rFonts w:hint="eastAsia" w:ascii="仿宋" w:hAnsi="仿宋" w:eastAsia="仿宋" w:cs="仿宋"/>
          <w:color w:val="auto"/>
          <w:sz w:val="24"/>
          <w:highlight w:val="none"/>
          <w:lang w:val="hr-HR"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hr-HR"/>
        </w:rPr>
        <w:t>.项目名称：</w:t>
      </w:r>
      <w:r>
        <w:rPr>
          <w:rFonts w:hint="eastAsia" w:ascii="仿宋" w:hAnsi="仿宋" w:eastAsia="仿宋" w:cs="仿宋"/>
          <w:color w:val="auto"/>
          <w:sz w:val="24"/>
          <w:highlight w:val="none"/>
          <w:u w:val="single"/>
          <w:lang w:eastAsia="zh-CN"/>
        </w:rPr>
        <w:t>2026年新疆理工职业大学人工智能学院5G全网产教融合实训室采购项目</w:t>
      </w:r>
    </w:p>
    <w:p w14:paraId="3CE35A7E">
      <w:pPr>
        <w:pStyle w:val="37"/>
        <w:pageBreakBefore w:val="0"/>
        <w:widowControl w:val="0"/>
        <w:kinsoku/>
        <w:overflowPunct/>
        <w:topLinePunct w:val="0"/>
        <w:autoSpaceDE/>
        <w:autoSpaceDN/>
        <w:bidi w:val="0"/>
        <w:adjustRightInd/>
        <w:snapToGrid/>
        <w:spacing w:line="360" w:lineRule="auto"/>
        <w:jc w:val="both"/>
        <w:textAlignment w:val="auto"/>
        <w:rPr>
          <w:rFonts w:hint="eastAsia" w:ascii="仿宋" w:hAnsi="仿宋" w:eastAsia="仿宋" w:cs="仿宋"/>
          <w:color w:val="auto"/>
          <w:sz w:val="24"/>
          <w:highlight w:val="none"/>
          <w:lang w:val="hr-HR"/>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.采购方式：公开招标</w:t>
      </w:r>
    </w:p>
    <w:p w14:paraId="052B625A">
      <w:pPr>
        <w:pStyle w:val="37"/>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hr-HR"/>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lang w:val="hr-HR"/>
        </w:rPr>
        <w:t>预算金额：</w:t>
      </w:r>
      <w:r>
        <w:rPr>
          <w:rFonts w:hint="eastAsia" w:ascii="仿宋" w:hAnsi="仿宋" w:eastAsia="仿宋" w:cs="仿宋"/>
          <w:color w:val="auto"/>
          <w:sz w:val="24"/>
          <w:highlight w:val="none"/>
          <w:u w:val="single"/>
          <w:lang w:val="en-US" w:eastAsia="zh-CN"/>
        </w:rPr>
        <w:t>204万</w:t>
      </w:r>
      <w:r>
        <w:rPr>
          <w:rFonts w:hint="eastAsia" w:ascii="仿宋" w:hAnsi="仿宋" w:eastAsia="仿宋" w:cs="仿宋"/>
          <w:color w:val="auto"/>
          <w:sz w:val="24"/>
          <w:highlight w:val="none"/>
          <w:u w:val="single"/>
          <w:lang w:val="hr-HR"/>
        </w:rPr>
        <w:t>元</w:t>
      </w:r>
    </w:p>
    <w:p w14:paraId="5B595972">
      <w:pPr>
        <w:pStyle w:val="37"/>
        <w:pageBreakBefore w:val="0"/>
        <w:widowControl w:val="0"/>
        <w:kinsoku/>
        <w:overflowPunct/>
        <w:topLinePunct w:val="0"/>
        <w:autoSpaceDE/>
        <w:autoSpaceDN/>
        <w:bidi w:val="0"/>
        <w:adjustRightInd/>
        <w:snapToGrid/>
        <w:spacing w:line="360" w:lineRule="auto"/>
        <w:jc w:val="both"/>
        <w:textAlignment w:val="auto"/>
        <w:rPr>
          <w:rFonts w:hint="eastAsia" w:ascii="仿宋" w:hAnsi="仿宋" w:eastAsia="仿宋" w:cs="仿宋"/>
          <w:color w:val="auto"/>
          <w:sz w:val="24"/>
          <w:highlight w:val="none"/>
          <w:lang w:val="hr-HR"/>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rPr>
        <w:t>最高限价</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u w:val="single"/>
          <w:lang w:val="en-US" w:eastAsia="zh-CN"/>
        </w:rPr>
        <w:t>204万</w:t>
      </w:r>
      <w:r>
        <w:rPr>
          <w:rFonts w:hint="eastAsia" w:ascii="仿宋" w:hAnsi="仿宋" w:eastAsia="仿宋" w:cs="仿宋"/>
          <w:color w:val="auto"/>
          <w:sz w:val="24"/>
          <w:highlight w:val="none"/>
          <w:u w:val="single"/>
          <w:lang w:val="hr-HR"/>
        </w:rPr>
        <w:t>元</w:t>
      </w:r>
    </w:p>
    <w:p w14:paraId="242750DC">
      <w:pPr>
        <w:pStyle w:val="37"/>
        <w:pageBreakBefore w:val="0"/>
        <w:widowControl w:val="0"/>
        <w:kinsoku/>
        <w:overflowPunct/>
        <w:topLinePunct w:val="0"/>
        <w:autoSpaceDE/>
        <w:autoSpaceDN/>
        <w:bidi w:val="0"/>
        <w:adjustRightInd/>
        <w:snapToGrid/>
        <w:spacing w:line="360" w:lineRule="auto"/>
        <w:jc w:val="both"/>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val="hr-HR"/>
        </w:rPr>
        <w:t>.采购需求：</w:t>
      </w:r>
      <w:r>
        <w:rPr>
          <w:rFonts w:hint="eastAsia" w:ascii="仿宋" w:hAnsi="仿宋" w:eastAsia="仿宋" w:cs="仿宋"/>
          <w:color w:val="auto"/>
          <w:sz w:val="24"/>
          <w:highlight w:val="none"/>
          <w:u w:val="single"/>
          <w:lang w:val="hr-HR" w:eastAsia="zh-CN"/>
        </w:rPr>
        <w:t>采购5G核心网系统（含服务器）</w:t>
      </w:r>
      <w:r>
        <w:rPr>
          <w:rFonts w:hint="eastAsia" w:ascii="仿宋" w:hAnsi="仿宋" w:eastAsia="仿宋" w:cs="仿宋"/>
          <w:color w:val="auto"/>
          <w:sz w:val="24"/>
          <w:highlight w:val="none"/>
          <w:u w:val="single"/>
          <w:lang w:val="en-US" w:eastAsia="zh-CN"/>
        </w:rPr>
        <w:t>1套</w:t>
      </w:r>
      <w:r>
        <w:rPr>
          <w:rFonts w:hint="eastAsia" w:ascii="仿宋" w:hAnsi="仿宋" w:eastAsia="仿宋" w:cs="仿宋"/>
          <w:color w:val="auto"/>
          <w:sz w:val="24"/>
          <w:highlight w:val="none"/>
          <w:u w:val="single"/>
          <w:lang w:val="hr-HR" w:eastAsia="zh-CN"/>
        </w:rPr>
        <w:t>、5G基站基带处理单元（BBU）</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u w:val="single"/>
          <w:lang w:val="hr-HR" w:eastAsia="zh-CN"/>
        </w:rPr>
        <w:t>台、5G基站有源天线单元</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u w:val="single"/>
          <w:lang w:val="hr-HR" w:eastAsia="zh-CN"/>
        </w:rPr>
        <w:t>台、机柜</w:t>
      </w:r>
      <w:r>
        <w:rPr>
          <w:rFonts w:hint="eastAsia" w:ascii="仿宋" w:hAnsi="仿宋" w:eastAsia="仿宋" w:cs="仿宋"/>
          <w:color w:val="auto"/>
          <w:sz w:val="24"/>
          <w:highlight w:val="none"/>
          <w:u w:val="single"/>
          <w:lang w:val="en-US" w:eastAsia="zh-CN"/>
        </w:rPr>
        <w:t>2台、5G基站本地控制软件1套、5G核心网本地控制软件1套、5G专用万兆交换机1台、5G覆盖规划及优化仿真模块1套、5G全网通信工作站45台、通信全网融合仿真实验软件22套、教师讲台1台、模块化六边形学生实训桌8套、学生人体工学椅48台、触控一体机1台、教学书写黑板2台、平板显示设备2台、教室音频扩声设备1套、教学管理软件1套</w:t>
      </w:r>
      <w:r>
        <w:rPr>
          <w:rFonts w:hint="eastAsia" w:ascii="仿宋" w:hAnsi="仿宋" w:eastAsia="仿宋" w:cs="仿宋"/>
          <w:color w:val="auto"/>
          <w:sz w:val="24"/>
          <w:highlight w:val="none"/>
          <w:u w:val="single"/>
          <w:lang w:val="hr-HR" w:eastAsia="zh-CN"/>
        </w:rPr>
        <w:t>。具体需求详见招标文件第三章采购需求。</w:t>
      </w:r>
    </w:p>
    <w:p w14:paraId="56FBF6DA">
      <w:pPr>
        <w:pStyle w:val="37"/>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.合同履行期限：</w:t>
      </w:r>
      <w:r>
        <w:rPr>
          <w:rFonts w:hint="eastAsia" w:ascii="仿宋" w:hAnsi="仿宋" w:eastAsia="仿宋" w:cs="仿宋"/>
          <w:color w:val="auto"/>
          <w:sz w:val="24"/>
          <w:highlight w:val="none"/>
          <w:u w:val="single"/>
          <w:lang w:val="zh-TW" w:eastAsia="zh-TW"/>
        </w:rPr>
        <w:t>合同签订生效后45日历日内完成所有供货并安装调试完毕，并试运行达到正常运行</w:t>
      </w:r>
      <w:r>
        <w:rPr>
          <w:rFonts w:hint="eastAsia" w:ascii="仿宋" w:hAnsi="仿宋" w:eastAsia="仿宋" w:cs="仿宋"/>
          <w:color w:val="auto"/>
          <w:sz w:val="24"/>
          <w:highlight w:val="none"/>
          <w:u w:val="single"/>
          <w:lang w:val="zh-TW" w:eastAsia="zh-CN"/>
        </w:rPr>
        <w:t>。</w:t>
      </w:r>
    </w:p>
    <w:p w14:paraId="4B098642">
      <w:pPr>
        <w:pStyle w:val="37"/>
        <w:pageBreakBefore w:val="0"/>
        <w:widowControl w:val="0"/>
        <w:kinsoku/>
        <w:overflowPunct/>
        <w:topLinePunct w:val="0"/>
        <w:autoSpaceDE/>
        <w:autoSpaceDN/>
        <w:bidi w:val="0"/>
        <w:adjustRightInd/>
        <w:snapToGrid/>
        <w:spacing w:line="360" w:lineRule="auto"/>
        <w:jc w:val="both"/>
        <w:textAlignment w:val="auto"/>
        <w:rPr>
          <w:rFonts w:hint="eastAsia" w:ascii="仿宋" w:hAnsi="仿宋" w:eastAsia="仿宋" w:cs="仿宋"/>
          <w:color w:val="auto"/>
          <w:sz w:val="24"/>
          <w:highlight w:val="none"/>
          <w:lang w:val="en-US" w:eastAsia="zh-CN"/>
        </w:rPr>
      </w:pPr>
      <w:bookmarkStart w:id="27" w:name="_Toc35393799"/>
      <w:bookmarkStart w:id="28" w:name="_Toc28359090"/>
      <w:bookmarkStart w:id="29" w:name="_Toc35393630"/>
      <w:bookmarkStart w:id="30" w:name="_Toc44583629"/>
      <w:bookmarkStart w:id="31" w:name="_Toc28359013"/>
      <w:r>
        <w:rPr>
          <w:rFonts w:hint="eastAsia" w:ascii="仿宋" w:hAnsi="仿宋" w:eastAsia="仿宋" w:cs="仿宋"/>
          <w:color w:val="auto"/>
          <w:sz w:val="24"/>
          <w:highlight w:val="none"/>
          <w:lang w:val="en-US" w:eastAsia="zh-CN"/>
        </w:rPr>
        <w:t>8.</w:t>
      </w:r>
      <w:bookmarkStart w:id="32" w:name="_Hlk162011358"/>
      <w:r>
        <w:rPr>
          <w:rFonts w:hint="eastAsia" w:ascii="仿宋" w:hAnsi="仿宋" w:eastAsia="仿宋" w:cs="仿宋"/>
          <w:color w:val="auto"/>
          <w:sz w:val="24"/>
          <w:highlight w:val="none"/>
          <w:lang w:val="en-US" w:eastAsia="zh-CN"/>
        </w:rPr>
        <w:t>本项目是否接受联合体投标：□是</w:t>
      </w:r>
      <w:bookmarkEnd w:id="32"/>
      <w:r>
        <w:rPr>
          <w:rFonts w:hint="eastAsia" w:ascii="仿宋" w:hAnsi="仿宋" w:eastAsia="仿宋" w:cs="仿宋"/>
          <w:color w:val="auto"/>
          <w:sz w:val="24"/>
          <w:highlight w:val="none"/>
          <w:lang w:val="en-US" w:eastAsia="zh-CN"/>
        </w:rPr>
        <w:t xml:space="preserve">   ☑否</w:t>
      </w:r>
    </w:p>
    <w:p w14:paraId="1EEB1622">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hr-HR" w:eastAsia="zh-CN" w:bidi="ar-SA"/>
        </w:rPr>
      </w:pPr>
      <w:bookmarkStart w:id="33" w:name="_Toc140132746"/>
      <w:bookmarkStart w:id="34" w:name="_Toc30635"/>
      <w:bookmarkStart w:id="35" w:name="_Toc109899830"/>
      <w:bookmarkStart w:id="36" w:name="_Toc883"/>
      <w:bookmarkStart w:id="37" w:name="_Toc109900249"/>
      <w:bookmarkStart w:id="38" w:name="_Toc27911"/>
      <w:bookmarkStart w:id="39" w:name="_Toc18818"/>
      <w:bookmarkStart w:id="40" w:name="_Toc10801"/>
      <w:bookmarkStart w:id="41" w:name="_Toc163492813"/>
      <w:bookmarkStart w:id="42" w:name="_Toc109899411"/>
      <w:bookmarkStart w:id="43" w:name="_Toc155185861"/>
      <w:r>
        <w:rPr>
          <w:rFonts w:hint="eastAsia" w:ascii="仿宋" w:hAnsi="仿宋" w:eastAsia="仿宋" w:cs="仿宋"/>
          <w:b/>
          <w:bCs/>
          <w:color w:val="auto"/>
          <w:kern w:val="2"/>
          <w:sz w:val="24"/>
          <w:szCs w:val="24"/>
          <w:highlight w:val="none"/>
          <w:lang w:val="en-US" w:eastAsia="zh-CN" w:bidi="ar-SA"/>
        </w:rPr>
        <w:t>二、申请</w:t>
      </w:r>
      <w:r>
        <w:rPr>
          <w:rFonts w:hint="eastAsia" w:ascii="仿宋" w:hAnsi="仿宋" w:eastAsia="仿宋" w:cs="仿宋"/>
          <w:b/>
          <w:bCs/>
          <w:color w:val="auto"/>
          <w:kern w:val="2"/>
          <w:sz w:val="24"/>
          <w:szCs w:val="24"/>
          <w:highlight w:val="none"/>
          <w:lang w:val="hr-HR" w:eastAsia="zh-CN" w:bidi="ar-SA"/>
        </w:rPr>
        <w:t>人</w:t>
      </w:r>
      <w:r>
        <w:rPr>
          <w:rFonts w:hint="eastAsia" w:ascii="仿宋" w:hAnsi="仿宋" w:eastAsia="仿宋" w:cs="仿宋"/>
          <w:b/>
          <w:bCs/>
          <w:color w:val="auto"/>
          <w:kern w:val="2"/>
          <w:sz w:val="24"/>
          <w:szCs w:val="24"/>
          <w:highlight w:val="none"/>
          <w:lang w:val="en-US" w:eastAsia="zh-CN" w:bidi="ar-SA"/>
        </w:rPr>
        <w:t>的</w:t>
      </w:r>
      <w:r>
        <w:rPr>
          <w:rFonts w:hint="eastAsia" w:ascii="仿宋" w:hAnsi="仿宋" w:eastAsia="仿宋" w:cs="仿宋"/>
          <w:b/>
          <w:bCs/>
          <w:color w:val="auto"/>
          <w:kern w:val="2"/>
          <w:sz w:val="24"/>
          <w:szCs w:val="24"/>
          <w:highlight w:val="none"/>
          <w:lang w:val="hr-HR" w:eastAsia="zh-CN" w:bidi="ar-SA"/>
        </w:rPr>
        <w:t>资格要求</w:t>
      </w:r>
      <w:bookmarkEnd w:id="27"/>
      <w:bookmarkEnd w:id="28"/>
      <w:bookmarkEnd w:id="29"/>
      <w:bookmarkEnd w:id="30"/>
      <w:bookmarkEnd w:id="31"/>
      <w:bookmarkEnd w:id="33"/>
      <w:bookmarkEnd w:id="34"/>
      <w:bookmarkEnd w:id="35"/>
      <w:bookmarkEnd w:id="36"/>
      <w:bookmarkEnd w:id="37"/>
      <w:bookmarkEnd w:id="38"/>
      <w:bookmarkEnd w:id="39"/>
      <w:bookmarkEnd w:id="40"/>
      <w:bookmarkEnd w:id="41"/>
      <w:bookmarkEnd w:id="42"/>
      <w:bookmarkEnd w:id="43"/>
    </w:p>
    <w:p w14:paraId="4033335F">
      <w:pPr>
        <w:pageBreakBefore w:val="0"/>
        <w:widowControl w:val="0"/>
        <w:kinsoku/>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highlight w:val="none"/>
          <w:lang w:val="en-US" w:eastAsia="zh-CN"/>
        </w:rPr>
      </w:pPr>
      <w:bookmarkStart w:id="44" w:name="_Toc28359091"/>
      <w:bookmarkStart w:id="45" w:name="_Toc35393631"/>
      <w:bookmarkStart w:id="46" w:name="_Toc35393800"/>
      <w:bookmarkStart w:id="47" w:name="_Toc28359014"/>
      <w:bookmarkStart w:id="48" w:name="_Toc44583630"/>
      <w:r>
        <w:rPr>
          <w:rFonts w:hint="eastAsia" w:ascii="仿宋" w:hAnsi="仿宋" w:eastAsia="仿宋" w:cs="仿宋"/>
          <w:color w:val="auto"/>
          <w:sz w:val="24"/>
          <w:highlight w:val="none"/>
          <w:lang w:val="en-US" w:eastAsia="zh-CN"/>
        </w:rPr>
        <w:t>1.满足《中华人民共和国政府采购法》第二十二条规定；</w:t>
      </w:r>
    </w:p>
    <w:p w14:paraId="48E296D1">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2.落实政府采购政策需满足的资格要求：</w:t>
      </w:r>
      <w:r>
        <w:rPr>
          <w:rFonts w:hint="eastAsia" w:ascii="仿宋" w:hAnsi="仿宋" w:eastAsia="仿宋" w:cs="仿宋"/>
          <w:color w:val="auto"/>
          <w:sz w:val="24"/>
          <w:highlight w:val="none"/>
          <w:u w:val="single"/>
          <w:lang w:val="en-US" w:eastAsia="zh-CN"/>
        </w:rPr>
        <w:t>本项目为不专门面向中小企业采购。</w:t>
      </w:r>
    </w:p>
    <w:p w14:paraId="55BA9FF5">
      <w:pPr>
        <w:pageBreakBefore w:val="0"/>
        <w:widowControl w:val="0"/>
        <w:kinsoku/>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3.本项目的特定资格要求：</w:t>
      </w:r>
      <w:r>
        <w:rPr>
          <w:rFonts w:hint="eastAsia" w:ascii="仿宋" w:hAnsi="仿宋" w:eastAsia="仿宋" w:cs="仿宋"/>
          <w:color w:val="auto"/>
          <w:sz w:val="24"/>
          <w:highlight w:val="none"/>
          <w:u w:val="single"/>
          <w:lang w:val="en-US" w:eastAsia="zh-CN"/>
        </w:rPr>
        <w:t>无</w:t>
      </w:r>
    </w:p>
    <w:p w14:paraId="69D2AB04">
      <w:pPr>
        <w:pStyle w:val="37"/>
        <w:pageBreakBefore w:val="0"/>
        <w:widowControl w:val="0"/>
        <w:kinsoku/>
        <w:overflowPunct/>
        <w:topLinePunct w:val="0"/>
        <w:autoSpaceDE/>
        <w:autoSpaceDN/>
        <w:bidi w:val="0"/>
        <w:adjustRightInd/>
        <w:snapToGrid/>
        <w:spacing w:line="360" w:lineRule="auto"/>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 其他资格要求：</w:t>
      </w:r>
    </w:p>
    <w:p w14:paraId="040E7358">
      <w:pPr>
        <w:pStyle w:val="37"/>
        <w:pageBreakBefore w:val="0"/>
        <w:widowControl w:val="0"/>
        <w:kinsoku/>
        <w:overflowPunct/>
        <w:topLinePunct w:val="0"/>
        <w:autoSpaceDE/>
        <w:autoSpaceDN/>
        <w:bidi w:val="0"/>
        <w:adjustRightInd/>
        <w:snapToGrid/>
        <w:spacing w:line="360" w:lineRule="auto"/>
        <w:jc w:val="both"/>
        <w:textAlignment w:val="auto"/>
        <w:rPr>
          <w:rFonts w:hint="eastAsia" w:ascii="仿宋" w:hAnsi="仿宋" w:eastAsia="仿宋" w:cs="仿宋"/>
          <w:color w:val="auto"/>
          <w:sz w:val="24"/>
          <w:highlight w:val="none"/>
          <w:lang w:val="hr-HR"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hr-HR"/>
        </w:rPr>
        <w:t>法定代表人或</w:t>
      </w:r>
      <w:r>
        <w:rPr>
          <w:rFonts w:hint="eastAsia" w:ascii="仿宋" w:hAnsi="仿宋" w:eastAsia="仿宋" w:cs="仿宋"/>
          <w:color w:val="auto"/>
          <w:sz w:val="24"/>
          <w:highlight w:val="none"/>
          <w:lang w:val="en-US" w:eastAsia="zh-CN"/>
        </w:rPr>
        <w:t>单位</w:t>
      </w:r>
      <w:r>
        <w:rPr>
          <w:rFonts w:hint="eastAsia" w:ascii="仿宋" w:hAnsi="仿宋" w:eastAsia="仿宋" w:cs="仿宋"/>
          <w:color w:val="auto"/>
          <w:sz w:val="24"/>
          <w:highlight w:val="none"/>
          <w:lang w:val="hr-HR"/>
        </w:rPr>
        <w:t>负责人为同一人或者存在</w:t>
      </w:r>
      <w:r>
        <w:rPr>
          <w:rFonts w:hint="eastAsia" w:ascii="仿宋" w:hAnsi="仿宋" w:eastAsia="仿宋" w:cs="仿宋"/>
          <w:color w:val="auto"/>
          <w:sz w:val="24"/>
          <w:highlight w:val="none"/>
          <w:lang w:val="en-US" w:eastAsia="zh-CN"/>
        </w:rPr>
        <w:t>直接</w:t>
      </w:r>
      <w:r>
        <w:rPr>
          <w:rFonts w:hint="eastAsia" w:ascii="仿宋" w:hAnsi="仿宋" w:eastAsia="仿宋" w:cs="仿宋"/>
          <w:color w:val="auto"/>
          <w:sz w:val="24"/>
          <w:highlight w:val="none"/>
          <w:lang w:val="hr-HR"/>
        </w:rPr>
        <w:t>控股、管理关系的</w:t>
      </w:r>
      <w:r>
        <w:rPr>
          <w:rFonts w:hint="eastAsia" w:ascii="仿宋" w:hAnsi="仿宋" w:eastAsia="仿宋" w:cs="仿宋"/>
          <w:color w:val="auto"/>
          <w:sz w:val="24"/>
          <w:highlight w:val="none"/>
          <w:lang w:val="en-US" w:eastAsia="zh-CN"/>
        </w:rPr>
        <w:t>不同供应商</w:t>
      </w:r>
      <w:r>
        <w:rPr>
          <w:rFonts w:hint="eastAsia" w:ascii="仿宋" w:hAnsi="仿宋" w:eastAsia="仿宋" w:cs="仿宋"/>
          <w:color w:val="auto"/>
          <w:sz w:val="24"/>
          <w:highlight w:val="none"/>
          <w:lang w:val="hr-HR"/>
        </w:rPr>
        <w:t>，不得参加同一合同项下的政府采购活动。</w:t>
      </w:r>
    </w:p>
    <w:p w14:paraId="68099EEC">
      <w:pPr>
        <w:pStyle w:val="37"/>
        <w:pageBreakBefore w:val="0"/>
        <w:widowControl w:val="0"/>
        <w:kinsoku/>
        <w:overflowPunct/>
        <w:topLinePunct w:val="0"/>
        <w:autoSpaceDE/>
        <w:autoSpaceDN/>
        <w:bidi w:val="0"/>
        <w:adjustRightInd/>
        <w:snapToGrid/>
        <w:spacing w:line="360" w:lineRule="auto"/>
        <w:jc w:val="both"/>
        <w:textAlignment w:val="auto"/>
        <w:rPr>
          <w:rFonts w:hint="eastAsia" w:ascii="仿宋" w:hAnsi="仿宋" w:eastAsia="仿宋" w:cs="仿宋"/>
          <w:color w:val="auto"/>
          <w:sz w:val="24"/>
          <w:highlight w:val="none"/>
          <w:lang w:val="hr-HR"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hr-HR"/>
        </w:rPr>
        <w:t>除单一来源采购项目外，为采购项目提供整体设计、规范编制或者项目管理、监理、检测等服务的供应商，不得再参加该采购项目的其他采购活动。</w:t>
      </w:r>
    </w:p>
    <w:p w14:paraId="49ABF921">
      <w:pPr>
        <w:pStyle w:val="37"/>
        <w:pageBreakBefore w:val="0"/>
        <w:widowControl w:val="0"/>
        <w:kinsoku/>
        <w:overflowPunct/>
        <w:topLinePunct w:val="0"/>
        <w:autoSpaceDE/>
        <w:autoSpaceDN/>
        <w:bidi w:val="0"/>
        <w:adjustRightInd/>
        <w:snapToGrid/>
        <w:spacing w:line="360" w:lineRule="auto"/>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hr-HR"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hr-HR"/>
        </w:rPr>
        <w:t>供应商的信用行为</w:t>
      </w:r>
      <w:r>
        <w:rPr>
          <w:rFonts w:hint="eastAsia" w:ascii="仿宋" w:hAnsi="仿宋" w:eastAsia="仿宋" w:cs="仿宋"/>
          <w:color w:val="auto"/>
          <w:sz w:val="24"/>
          <w:highlight w:val="none"/>
          <w:lang w:val="hr-HR" w:eastAsia="zh-CN"/>
        </w:rPr>
        <w:t>：</w:t>
      </w:r>
      <w:r>
        <w:rPr>
          <w:rFonts w:hint="eastAsia" w:ascii="仿宋" w:hAnsi="仿宋" w:eastAsia="仿宋" w:cs="仿宋"/>
          <w:color w:val="auto"/>
          <w:sz w:val="24"/>
          <w:highlight w:val="none"/>
          <w:lang w:val="hr-HR"/>
        </w:rPr>
        <w:t>在</w:t>
      </w:r>
      <w:r>
        <w:rPr>
          <w:rFonts w:hint="eastAsia" w:ascii="仿宋" w:hAnsi="仿宋" w:eastAsia="仿宋" w:cs="仿宋"/>
          <w:color w:val="auto"/>
          <w:sz w:val="24"/>
          <w:highlight w:val="none"/>
          <w:lang w:val="en-US" w:eastAsia="zh-CN"/>
        </w:rPr>
        <w:t>资格审查阶段经查询</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lang w:val="en-US" w:eastAsia="zh-CN"/>
        </w:rPr>
        <w:t>未被列入“失信被执行人”、“重大税收违法失信主体”、“政府采购严重违法失信行为记录名单”</w:t>
      </w:r>
      <w:r>
        <w:rPr>
          <w:rFonts w:hint="eastAsia" w:ascii="仿宋" w:hAnsi="仿宋" w:eastAsia="仿宋" w:cs="仿宋"/>
          <w:color w:val="auto"/>
          <w:sz w:val="24"/>
          <w:highlight w:val="none"/>
          <w:lang w:val="hr-HR"/>
        </w:rPr>
        <w:t>其中之一。如有以上不良信用记录</w:t>
      </w:r>
      <w:r>
        <w:rPr>
          <w:rFonts w:hint="eastAsia" w:ascii="仿宋" w:hAnsi="仿宋" w:eastAsia="仿宋" w:cs="仿宋"/>
          <w:color w:val="auto"/>
          <w:sz w:val="24"/>
          <w:highlight w:val="none"/>
          <w:lang w:val="en-US" w:eastAsia="zh-CN"/>
        </w:rPr>
        <w:t>之一的，</w:t>
      </w:r>
      <w:r>
        <w:rPr>
          <w:rFonts w:hint="eastAsia" w:ascii="仿宋" w:hAnsi="仿宋" w:eastAsia="仿宋" w:cs="仿宋"/>
          <w:color w:val="auto"/>
          <w:sz w:val="24"/>
          <w:highlight w:val="none"/>
          <w:lang w:val="hr-HR"/>
        </w:rPr>
        <w:t>其</w:t>
      </w:r>
      <w:r>
        <w:rPr>
          <w:rFonts w:hint="eastAsia" w:ascii="仿宋" w:hAnsi="仿宋" w:eastAsia="仿宋" w:cs="仿宋"/>
          <w:b/>
          <w:bCs/>
          <w:color w:val="auto"/>
          <w:sz w:val="24"/>
          <w:highlight w:val="none"/>
          <w:lang w:val="hr-HR"/>
        </w:rPr>
        <w:t>投标</w:t>
      </w:r>
      <w:r>
        <w:rPr>
          <w:rFonts w:hint="eastAsia" w:ascii="仿宋" w:hAnsi="仿宋" w:eastAsia="仿宋" w:cs="仿宋"/>
          <w:b/>
          <w:bCs/>
          <w:color w:val="auto"/>
          <w:sz w:val="24"/>
          <w:highlight w:val="none"/>
          <w:lang w:val="en-US" w:eastAsia="zh-CN"/>
        </w:rPr>
        <w:t>无效</w:t>
      </w:r>
      <w:r>
        <w:rPr>
          <w:rFonts w:hint="eastAsia" w:ascii="仿宋" w:hAnsi="仿宋" w:eastAsia="仿宋" w:cs="仿宋"/>
          <w:color w:val="auto"/>
          <w:sz w:val="24"/>
          <w:highlight w:val="none"/>
          <w:lang w:val="hr-HR"/>
        </w:rPr>
        <w:t>。</w:t>
      </w:r>
    </w:p>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hr-HR" w:eastAsia="zh-CN" w:bidi="ar-SA"/>
        </w:rPr>
      </w:pPr>
      <w:bookmarkStart w:id="49" w:name="_Toc27361"/>
      <w:bookmarkStart w:id="50" w:name="_Toc109899831"/>
      <w:bookmarkStart w:id="51" w:name="_Toc109900250"/>
      <w:bookmarkStart w:id="52" w:name="_Toc23301"/>
      <w:bookmarkStart w:id="53" w:name="_Toc5466"/>
      <w:bookmarkStart w:id="54" w:name="_Toc109899412"/>
      <w:bookmarkStart w:id="55" w:name="_Toc140132747"/>
      <w:bookmarkStart w:id="56" w:name="_Toc155185862"/>
      <w:bookmarkStart w:id="57" w:name="_Toc163492814"/>
      <w:bookmarkStart w:id="58" w:name="_Toc13839"/>
      <w:bookmarkStart w:id="59" w:name="_Toc21526"/>
      <w:r>
        <w:rPr>
          <w:rFonts w:hint="eastAsia" w:ascii="仿宋" w:hAnsi="仿宋" w:eastAsia="仿宋" w:cs="仿宋"/>
          <w:b/>
          <w:bCs/>
          <w:color w:val="auto"/>
          <w:kern w:val="2"/>
          <w:sz w:val="24"/>
          <w:szCs w:val="24"/>
          <w:highlight w:val="none"/>
          <w:lang w:val="en-US" w:eastAsia="zh-CN" w:bidi="ar-SA"/>
        </w:rPr>
        <w:t>三、</w:t>
      </w:r>
      <w:r>
        <w:rPr>
          <w:rFonts w:hint="eastAsia" w:ascii="仿宋" w:hAnsi="仿宋" w:eastAsia="仿宋" w:cs="仿宋"/>
          <w:b/>
          <w:bCs/>
          <w:color w:val="auto"/>
          <w:kern w:val="2"/>
          <w:sz w:val="24"/>
          <w:szCs w:val="24"/>
          <w:highlight w:val="none"/>
          <w:lang w:val="hr-HR" w:eastAsia="zh-CN" w:bidi="ar-SA"/>
        </w:rPr>
        <w:t>获取招标文件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rFonts w:hint="eastAsia" w:ascii="仿宋" w:hAnsi="仿宋" w:eastAsia="仿宋" w:cs="仿宋"/>
          <w:b/>
          <w:bCs/>
          <w:color w:val="auto"/>
          <w:kern w:val="2"/>
          <w:sz w:val="24"/>
          <w:szCs w:val="24"/>
          <w:highlight w:val="none"/>
          <w:lang w:val="hr-HR" w:eastAsia="zh-CN" w:bidi="ar-SA"/>
        </w:rPr>
        <w:t xml:space="preserve"> </w:t>
      </w:r>
    </w:p>
    <w:p w14:paraId="7F0135DE">
      <w:pPr>
        <w:pStyle w:val="37"/>
        <w:pageBreakBefore w:val="0"/>
        <w:widowControl w:val="0"/>
        <w:kinsoku/>
        <w:overflowPunct/>
        <w:topLinePunct w:val="0"/>
        <w:autoSpaceDE/>
        <w:autoSpaceDN/>
        <w:bidi w:val="0"/>
        <w:adjustRightInd/>
        <w:snapToGrid/>
        <w:spacing w:line="360" w:lineRule="auto"/>
        <w:jc w:val="both"/>
        <w:textAlignment w:val="auto"/>
        <w:rPr>
          <w:rFonts w:hint="eastAsia" w:ascii="仿宋" w:hAnsi="仿宋" w:eastAsia="仿宋" w:cs="仿宋"/>
          <w:color w:val="auto"/>
          <w:sz w:val="24"/>
          <w:highlight w:val="none"/>
          <w:lang w:val="hr-HR"/>
        </w:rPr>
      </w:pPr>
      <w:bookmarkStart w:id="60" w:name="_Hlk130457234"/>
      <w:bookmarkStart w:id="61" w:name="_Toc35393632"/>
      <w:bookmarkStart w:id="62" w:name="_Hlk130457327"/>
      <w:bookmarkStart w:id="63" w:name="_Toc28359015"/>
      <w:bookmarkStart w:id="64" w:name="_Toc28359092"/>
      <w:bookmarkStart w:id="65" w:name="_Toc35393801"/>
      <w:bookmarkStart w:id="66" w:name="_Hlk130457261"/>
      <w:r>
        <w:rPr>
          <w:rFonts w:hint="eastAsia" w:ascii="仿宋" w:hAnsi="仿宋" w:eastAsia="仿宋" w:cs="仿宋"/>
          <w:color w:val="auto"/>
          <w:sz w:val="24"/>
          <w:highlight w:val="none"/>
          <w:lang w:val="hr-HR"/>
        </w:rPr>
        <w:t>1.时间：</w:t>
      </w:r>
      <w:r>
        <w:rPr>
          <w:rFonts w:hint="eastAsia" w:ascii="仿宋" w:hAnsi="仿宋" w:eastAsia="仿宋" w:cs="仿宋"/>
          <w:color w:val="auto"/>
          <w:sz w:val="24"/>
          <w:highlight w:val="none"/>
          <w:u w:val="single"/>
          <w:lang w:val="en-US" w:eastAsia="zh-CN"/>
        </w:rPr>
        <w:t>2026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04</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24</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00</w:t>
      </w:r>
      <w:r>
        <w:rPr>
          <w:rFonts w:hint="eastAsia" w:ascii="仿宋" w:hAnsi="仿宋" w:eastAsia="仿宋" w:cs="仿宋"/>
          <w:color w:val="auto"/>
          <w:sz w:val="24"/>
          <w:highlight w:val="none"/>
          <w:u w:val="single"/>
        </w:rPr>
        <w:t>时</w:t>
      </w:r>
      <w:r>
        <w:rPr>
          <w:rFonts w:hint="eastAsia" w:ascii="仿宋" w:hAnsi="仿宋" w:eastAsia="仿宋" w:cs="仿宋"/>
          <w:color w:val="auto"/>
          <w:sz w:val="24"/>
          <w:highlight w:val="none"/>
          <w:u w:val="single"/>
          <w:lang w:val="en-US" w:eastAsia="zh-CN"/>
        </w:rPr>
        <w:t>00</w:t>
      </w:r>
      <w:r>
        <w:rPr>
          <w:rFonts w:hint="eastAsia" w:ascii="仿宋" w:hAnsi="仿宋" w:eastAsia="仿宋" w:cs="仿宋"/>
          <w:color w:val="auto"/>
          <w:sz w:val="24"/>
          <w:highlight w:val="none"/>
          <w:u w:val="single"/>
        </w:rPr>
        <w:t>分</w:t>
      </w:r>
      <w:r>
        <w:rPr>
          <w:rFonts w:hint="eastAsia" w:ascii="仿宋" w:hAnsi="仿宋" w:eastAsia="仿宋" w:cs="仿宋"/>
          <w:color w:val="auto"/>
          <w:sz w:val="24"/>
          <w:highlight w:val="none"/>
          <w:lang w:val="hr-HR"/>
        </w:rPr>
        <w:t>至</w:t>
      </w:r>
      <w:r>
        <w:rPr>
          <w:rFonts w:hint="eastAsia" w:ascii="仿宋" w:hAnsi="仿宋" w:eastAsia="仿宋" w:cs="仿宋"/>
          <w:color w:val="auto"/>
          <w:sz w:val="24"/>
          <w:highlight w:val="none"/>
          <w:u w:val="single"/>
          <w:lang w:val="en-US" w:eastAsia="zh-CN"/>
        </w:rPr>
        <w:t>2026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05</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06</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23</w:t>
      </w:r>
      <w:r>
        <w:rPr>
          <w:rFonts w:hint="eastAsia" w:ascii="仿宋" w:hAnsi="仿宋" w:eastAsia="仿宋" w:cs="仿宋"/>
          <w:color w:val="auto"/>
          <w:sz w:val="24"/>
          <w:highlight w:val="none"/>
          <w:u w:val="single"/>
        </w:rPr>
        <w:t>时</w:t>
      </w:r>
      <w:r>
        <w:rPr>
          <w:rFonts w:hint="eastAsia" w:ascii="仿宋" w:hAnsi="仿宋" w:eastAsia="仿宋" w:cs="仿宋"/>
          <w:color w:val="auto"/>
          <w:sz w:val="24"/>
          <w:highlight w:val="none"/>
          <w:u w:val="single"/>
          <w:lang w:val="en-US" w:eastAsia="zh-CN"/>
        </w:rPr>
        <w:t>59</w:t>
      </w:r>
      <w:r>
        <w:rPr>
          <w:rFonts w:hint="eastAsia" w:ascii="仿宋" w:hAnsi="仿宋" w:eastAsia="仿宋" w:cs="仿宋"/>
          <w:color w:val="auto"/>
          <w:sz w:val="24"/>
          <w:highlight w:val="none"/>
          <w:u w:val="single"/>
        </w:rPr>
        <w:t>分</w:t>
      </w:r>
      <w:r>
        <w:rPr>
          <w:rFonts w:hint="eastAsia" w:ascii="仿宋" w:hAnsi="仿宋" w:eastAsia="仿宋" w:cs="仿宋"/>
          <w:color w:val="auto"/>
          <w:sz w:val="24"/>
          <w:highlight w:val="none"/>
          <w:lang w:val="hr-HR"/>
        </w:rPr>
        <w:t>（北京时间）。</w:t>
      </w:r>
    </w:p>
    <w:bookmarkEnd w:id="60"/>
    <w:p w14:paraId="34FD69CE">
      <w:pPr>
        <w:pStyle w:val="37"/>
        <w:pageBreakBefore w:val="0"/>
        <w:widowControl w:val="0"/>
        <w:kinsoku/>
        <w:overflowPunct/>
        <w:topLinePunct w:val="0"/>
        <w:autoSpaceDE/>
        <w:autoSpaceDN/>
        <w:bidi w:val="0"/>
        <w:adjustRightInd/>
        <w:snapToGrid/>
        <w:spacing w:line="360" w:lineRule="auto"/>
        <w:jc w:val="both"/>
        <w:textAlignment w:val="auto"/>
        <w:rPr>
          <w:rFonts w:hint="eastAsia" w:ascii="仿宋" w:hAnsi="仿宋" w:eastAsia="仿宋" w:cs="仿宋"/>
          <w:color w:val="auto"/>
          <w:sz w:val="24"/>
          <w:highlight w:val="none"/>
          <w:lang w:val="hr-HR"/>
        </w:rPr>
      </w:pPr>
      <w:r>
        <w:rPr>
          <w:rFonts w:hint="eastAsia" w:ascii="仿宋" w:hAnsi="仿宋" w:eastAsia="仿宋" w:cs="仿宋"/>
          <w:color w:val="auto"/>
          <w:sz w:val="24"/>
          <w:highlight w:val="none"/>
          <w:lang w:val="hr-HR"/>
        </w:rPr>
        <w:t>2.</w:t>
      </w: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lang w:val="hr-HR"/>
        </w:rPr>
        <w:t>：</w:t>
      </w:r>
      <w:bookmarkStart w:id="67" w:name="_Hlk89807779"/>
      <w:r>
        <w:rPr>
          <w:rFonts w:hint="eastAsia" w:ascii="仿宋" w:hAnsi="仿宋" w:eastAsia="仿宋" w:cs="仿宋"/>
          <w:color w:val="auto"/>
          <w:sz w:val="24"/>
          <w:highlight w:val="none"/>
          <w:lang w:val="en-US"/>
        </w:rPr>
        <w:t>兵团</w:t>
      </w:r>
      <w:r>
        <w:rPr>
          <w:rFonts w:hint="eastAsia" w:ascii="仿宋" w:hAnsi="仿宋" w:eastAsia="仿宋" w:cs="仿宋"/>
          <w:color w:val="auto"/>
          <w:sz w:val="24"/>
          <w:highlight w:val="none"/>
        </w:rPr>
        <w:t>政府采购</w:t>
      </w:r>
      <w:r>
        <w:rPr>
          <w:rFonts w:hint="eastAsia" w:ascii="仿宋" w:hAnsi="仿宋" w:eastAsia="仿宋" w:cs="仿宋"/>
          <w:color w:val="auto"/>
          <w:sz w:val="24"/>
          <w:highlight w:val="none"/>
          <w:lang w:val="en-US"/>
        </w:rPr>
        <w:t>电子交易云</w:t>
      </w:r>
      <w:r>
        <w:rPr>
          <w:rFonts w:hint="eastAsia" w:ascii="仿宋" w:hAnsi="仿宋" w:eastAsia="仿宋" w:cs="仿宋"/>
          <w:color w:val="auto"/>
          <w:sz w:val="24"/>
          <w:highlight w:val="none"/>
        </w:rPr>
        <w:t>平台</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rPr>
        <w:t>网址</w:t>
      </w:r>
      <w:r>
        <w:rPr>
          <w:rFonts w:hint="eastAsia" w:ascii="仿宋" w:hAnsi="仿宋" w:eastAsia="仿宋" w:cs="仿宋"/>
          <w:color w:val="auto"/>
          <w:sz w:val="24"/>
          <w:highlight w:val="none"/>
          <w:lang w:val="hr-HR"/>
        </w:rPr>
        <w:t>：https://www.zcygov.cn/）</w:t>
      </w:r>
      <w:r>
        <w:rPr>
          <w:rFonts w:hint="eastAsia" w:ascii="仿宋" w:hAnsi="仿宋" w:eastAsia="仿宋" w:cs="仿宋"/>
          <w:color w:val="auto"/>
          <w:sz w:val="24"/>
          <w:highlight w:val="none"/>
        </w:rPr>
        <w:t>。</w:t>
      </w:r>
      <w:bookmarkEnd w:id="67"/>
    </w:p>
    <w:p w14:paraId="674E7A4D">
      <w:pPr>
        <w:pStyle w:val="37"/>
        <w:pageBreakBefore w:val="0"/>
        <w:widowControl w:val="0"/>
        <w:kinsoku/>
        <w:overflowPunct/>
        <w:topLinePunct w:val="0"/>
        <w:autoSpaceDE/>
        <w:autoSpaceDN/>
        <w:bidi w:val="0"/>
        <w:adjustRightInd/>
        <w:snapToGrid/>
        <w:spacing w:line="360" w:lineRule="auto"/>
        <w:jc w:val="both"/>
        <w:textAlignment w:val="auto"/>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hr-HR"/>
        </w:rPr>
        <w:t>3.</w:t>
      </w:r>
      <w:r>
        <w:rPr>
          <w:rFonts w:hint="eastAsia" w:ascii="仿宋" w:hAnsi="仿宋" w:eastAsia="仿宋" w:cs="仿宋"/>
          <w:color w:val="auto"/>
          <w:sz w:val="24"/>
          <w:highlight w:val="none"/>
        </w:rPr>
        <w:t>方式</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lang w:val="en-US"/>
        </w:rPr>
        <w:t>投标供应商登录政采云平台</w:t>
      </w:r>
      <w:r>
        <w:rPr>
          <w:rFonts w:hint="eastAsia" w:ascii="仿宋" w:hAnsi="仿宋" w:eastAsia="仿宋" w:cs="仿宋"/>
          <w:color w:val="auto"/>
          <w:sz w:val="24"/>
          <w:highlight w:val="none"/>
          <w:lang w:val="hr-HR"/>
        </w:rPr>
        <w:t>https</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hr-HR"/>
        </w:rPr>
        <w:t>//www.zcygov.cn/</w:t>
      </w:r>
      <w:r>
        <w:rPr>
          <w:rFonts w:hint="eastAsia" w:ascii="仿宋" w:hAnsi="仿宋" w:eastAsia="仿宋" w:cs="仿宋"/>
          <w:color w:val="auto"/>
          <w:sz w:val="24"/>
          <w:highlight w:val="none"/>
          <w:lang w:val="en-US"/>
        </w:rPr>
        <w:t>在线申请</w:t>
      </w:r>
      <w:r>
        <w:rPr>
          <w:rFonts w:hint="eastAsia" w:ascii="仿宋" w:hAnsi="仿宋" w:eastAsia="仿宋" w:cs="仿宋"/>
          <w:color w:val="auto"/>
          <w:sz w:val="24"/>
          <w:highlight w:val="none"/>
          <w:lang w:val="en-US" w:eastAsia="zh-CN"/>
        </w:rPr>
        <w:t>，免费</w:t>
      </w:r>
      <w:r>
        <w:rPr>
          <w:rFonts w:hint="eastAsia" w:ascii="仿宋" w:hAnsi="仿宋" w:eastAsia="仿宋" w:cs="仿宋"/>
          <w:color w:val="auto"/>
          <w:sz w:val="24"/>
          <w:highlight w:val="none"/>
          <w:lang w:val="en-US"/>
        </w:rPr>
        <w:t>获取</w:t>
      </w:r>
      <w:r>
        <w:rPr>
          <w:rFonts w:hint="eastAsia" w:ascii="仿宋" w:hAnsi="仿宋" w:eastAsia="仿宋" w:cs="仿宋"/>
          <w:color w:val="auto"/>
          <w:sz w:val="24"/>
          <w:highlight w:val="none"/>
          <w:lang w:val="en-US" w:eastAsia="zh-CN"/>
        </w:rPr>
        <w:t>电子</w:t>
      </w:r>
      <w:r>
        <w:rPr>
          <w:rFonts w:hint="eastAsia" w:ascii="仿宋" w:hAnsi="仿宋" w:eastAsia="仿宋" w:cs="仿宋"/>
          <w:color w:val="auto"/>
          <w:sz w:val="24"/>
          <w:highlight w:val="none"/>
          <w:lang w:val="en-US"/>
        </w:rPr>
        <w:t>采购文件</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lang w:val="en-US"/>
        </w:rPr>
        <w:t>进入</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lang w:val="en-US"/>
        </w:rPr>
        <w:t>项目采购</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lang w:val="en-US"/>
        </w:rPr>
        <w:t>应用</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lang w:val="en-US"/>
        </w:rPr>
        <w:t>在获取采购文件菜单中选择项目</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lang w:val="en-US"/>
        </w:rPr>
        <w:t>申请获取采购文件</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lang w:val="en-US"/>
        </w:rPr>
        <w:t>。</w:t>
      </w:r>
    </w:p>
    <w:p w14:paraId="21D74D7F">
      <w:pPr>
        <w:pStyle w:val="37"/>
        <w:pageBreakBefore w:val="0"/>
        <w:widowControl w:val="0"/>
        <w:kinsoku/>
        <w:overflowPunct/>
        <w:topLinePunct w:val="0"/>
        <w:autoSpaceDE/>
        <w:autoSpaceDN/>
        <w:bidi w:val="0"/>
        <w:adjustRightInd/>
        <w:snapToGrid/>
        <w:spacing w:line="360" w:lineRule="auto"/>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4.售价：0元。</w:t>
      </w:r>
    </w:p>
    <w:bookmarkEnd w:id="61"/>
    <w:bookmarkEnd w:id="62"/>
    <w:bookmarkEnd w:id="63"/>
    <w:bookmarkEnd w:id="64"/>
    <w:bookmarkEnd w:id="65"/>
    <w:bookmarkEnd w:id="66"/>
    <w:p w14:paraId="6020FAF9">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hr-HR" w:eastAsia="zh-CN" w:bidi="ar-SA"/>
        </w:rPr>
      </w:pPr>
      <w:bookmarkStart w:id="68" w:name="_Toc163492815"/>
      <w:bookmarkStart w:id="69" w:name="_Toc140132748"/>
      <w:bookmarkStart w:id="70" w:name="_Toc109899832"/>
      <w:bookmarkStart w:id="71" w:name="_Toc155185863"/>
      <w:bookmarkStart w:id="72" w:name="_Toc109899413"/>
      <w:bookmarkStart w:id="73" w:name="_Toc109900251"/>
      <w:bookmarkStart w:id="74" w:name="_Toc1796"/>
      <w:bookmarkStart w:id="75" w:name="_Toc27258"/>
      <w:bookmarkStart w:id="76" w:name="_Toc24224"/>
      <w:bookmarkStart w:id="77" w:name="_Toc32460"/>
      <w:bookmarkStart w:id="78" w:name="_Toc21751"/>
      <w:r>
        <w:rPr>
          <w:rFonts w:hint="eastAsia" w:ascii="仿宋" w:hAnsi="仿宋" w:eastAsia="仿宋" w:cs="仿宋"/>
          <w:b/>
          <w:bCs/>
          <w:color w:val="auto"/>
          <w:kern w:val="2"/>
          <w:sz w:val="24"/>
          <w:szCs w:val="24"/>
          <w:highlight w:val="none"/>
          <w:lang w:val="en-US" w:eastAsia="zh-CN" w:bidi="ar-SA"/>
        </w:rPr>
        <w:t>四、</w:t>
      </w:r>
      <w:bookmarkEnd w:id="68"/>
      <w:bookmarkEnd w:id="69"/>
      <w:bookmarkEnd w:id="70"/>
      <w:bookmarkEnd w:id="71"/>
      <w:bookmarkEnd w:id="72"/>
      <w:bookmarkEnd w:id="73"/>
      <w:r>
        <w:rPr>
          <w:rFonts w:hint="eastAsia" w:ascii="仿宋" w:hAnsi="仿宋" w:eastAsia="仿宋" w:cs="仿宋"/>
          <w:b/>
          <w:bCs/>
          <w:color w:val="auto"/>
          <w:kern w:val="2"/>
          <w:sz w:val="24"/>
          <w:szCs w:val="24"/>
          <w:highlight w:val="none"/>
          <w:lang w:val="hr-HR" w:eastAsia="zh-CN" w:bidi="ar-SA"/>
        </w:rPr>
        <w:t>提交投标文件截止时间</w:t>
      </w:r>
      <w:r>
        <w:rPr>
          <w:rFonts w:hint="eastAsia" w:ascii="仿宋" w:hAnsi="仿宋" w:eastAsia="仿宋" w:cs="仿宋"/>
          <w:b/>
          <w:bCs/>
          <w:color w:val="auto"/>
          <w:kern w:val="2"/>
          <w:sz w:val="24"/>
          <w:szCs w:val="24"/>
          <w:highlight w:val="none"/>
          <w:lang w:val="en-US" w:eastAsia="zh-CN" w:bidi="ar-SA"/>
        </w:rPr>
        <w:t>/</w:t>
      </w:r>
      <w:r>
        <w:rPr>
          <w:rFonts w:hint="eastAsia" w:ascii="仿宋" w:hAnsi="仿宋" w:eastAsia="仿宋" w:cs="仿宋"/>
          <w:b/>
          <w:bCs/>
          <w:color w:val="auto"/>
          <w:kern w:val="2"/>
          <w:sz w:val="24"/>
          <w:szCs w:val="24"/>
          <w:highlight w:val="none"/>
          <w:lang w:val="hr-HR" w:eastAsia="zh-CN" w:bidi="ar-SA"/>
        </w:rPr>
        <w:t>开标时间、递交方式和</w:t>
      </w:r>
      <w:r>
        <w:rPr>
          <w:rFonts w:hint="eastAsia" w:ascii="仿宋" w:hAnsi="仿宋" w:eastAsia="仿宋" w:cs="仿宋"/>
          <w:b/>
          <w:bCs/>
          <w:color w:val="auto"/>
          <w:kern w:val="2"/>
          <w:sz w:val="24"/>
          <w:szCs w:val="24"/>
          <w:highlight w:val="none"/>
          <w:lang w:val="en-US" w:eastAsia="zh-CN" w:bidi="ar-SA"/>
        </w:rPr>
        <w:t>开标</w:t>
      </w:r>
      <w:r>
        <w:rPr>
          <w:rFonts w:hint="eastAsia" w:ascii="仿宋" w:hAnsi="仿宋" w:eastAsia="仿宋" w:cs="仿宋"/>
          <w:b/>
          <w:bCs/>
          <w:color w:val="auto"/>
          <w:kern w:val="2"/>
          <w:sz w:val="24"/>
          <w:szCs w:val="24"/>
          <w:highlight w:val="none"/>
          <w:lang w:val="hr-HR" w:eastAsia="zh-CN" w:bidi="ar-SA"/>
        </w:rPr>
        <w:t>地点</w:t>
      </w:r>
      <w:bookmarkEnd w:id="74"/>
      <w:bookmarkEnd w:id="75"/>
      <w:bookmarkEnd w:id="76"/>
      <w:bookmarkEnd w:id="77"/>
      <w:bookmarkEnd w:id="78"/>
      <w:bookmarkStart w:id="79" w:name="_Hlk130457395"/>
      <w:bookmarkStart w:id="80" w:name="_Toc28359094"/>
      <w:bookmarkStart w:id="81" w:name="_Toc28359017"/>
      <w:bookmarkStart w:id="82" w:name="_Toc35393634"/>
      <w:bookmarkStart w:id="83" w:name="_Toc44583633"/>
      <w:bookmarkStart w:id="84" w:name="_Toc35393803"/>
    </w:p>
    <w:p w14:paraId="2D110B47">
      <w:pPr>
        <w:pStyle w:val="37"/>
        <w:pageBreakBefore w:val="0"/>
        <w:widowControl w:val="0"/>
        <w:kinsoku/>
        <w:overflowPunct/>
        <w:topLinePunct w:val="0"/>
        <w:autoSpaceDE/>
        <w:autoSpaceDN/>
        <w:bidi w:val="0"/>
        <w:adjustRightInd/>
        <w:snapToGrid/>
        <w:spacing w:line="360" w:lineRule="auto"/>
        <w:jc w:val="both"/>
        <w:textAlignment w:val="auto"/>
        <w:rPr>
          <w:rFonts w:hint="eastAsia" w:ascii="仿宋" w:hAnsi="仿宋" w:eastAsia="仿宋" w:cs="仿宋"/>
          <w:color w:val="auto"/>
          <w:sz w:val="24"/>
          <w:highlight w:val="none"/>
          <w:lang w:val="en-US"/>
        </w:rPr>
      </w:pPr>
      <w:bookmarkStart w:id="85" w:name="_Toc5471"/>
      <w:bookmarkStart w:id="86" w:name="_Toc28855"/>
      <w:bookmarkStart w:id="87" w:name="_Toc12519"/>
      <w:bookmarkStart w:id="88" w:name="_Toc8573"/>
      <w:bookmarkStart w:id="89" w:name="_Toc12436"/>
      <w:r>
        <w:rPr>
          <w:rFonts w:hint="eastAsia" w:ascii="仿宋" w:hAnsi="仿宋" w:eastAsia="仿宋" w:cs="仿宋"/>
          <w:color w:val="auto"/>
          <w:sz w:val="24"/>
          <w:highlight w:val="none"/>
          <w:lang w:val="en-US"/>
        </w:rPr>
        <w:t>1.截止时间/开标时间：</w:t>
      </w:r>
      <w:r>
        <w:rPr>
          <w:rFonts w:hint="eastAsia" w:ascii="仿宋_GB2312" w:hAnsi="仿宋_GB2312" w:eastAsia="仿宋_GB2312" w:cs="仿宋_GB2312"/>
          <w:highlight w:val="none"/>
          <w:u w:val="single"/>
        </w:rPr>
        <w:t>202</w:t>
      </w:r>
      <w:r>
        <w:rPr>
          <w:rFonts w:hint="eastAsia" w:ascii="仿宋_GB2312" w:hAnsi="仿宋_GB2312" w:eastAsia="仿宋_GB2312" w:cs="仿宋_GB2312"/>
          <w:highlight w:val="none"/>
          <w:u w:val="single"/>
          <w:lang w:val="en-US" w:eastAsia="zh-CN"/>
        </w:rPr>
        <w:t>6</w:t>
      </w:r>
      <w:r>
        <w:rPr>
          <w:rFonts w:hint="eastAsia" w:ascii="仿宋_GB2312" w:hAnsi="仿宋_GB2312" w:eastAsia="仿宋_GB2312" w:cs="仿宋_GB2312"/>
          <w:highlight w:val="none"/>
          <w:u w:val="single"/>
        </w:rPr>
        <w:t>年</w:t>
      </w:r>
      <w:r>
        <w:rPr>
          <w:rFonts w:hint="eastAsia" w:ascii="仿宋_GB2312" w:hAnsi="仿宋_GB2312" w:eastAsia="仿宋_GB2312" w:cs="仿宋_GB2312"/>
          <w:highlight w:val="none"/>
          <w:u w:val="single"/>
          <w:lang w:val="en-US" w:eastAsia="zh-CN"/>
        </w:rPr>
        <w:t>05</w:t>
      </w:r>
      <w:r>
        <w:rPr>
          <w:rFonts w:hint="eastAsia" w:ascii="仿宋_GB2312" w:hAnsi="仿宋_GB2312" w:eastAsia="仿宋_GB2312" w:cs="仿宋_GB2312"/>
          <w:highlight w:val="none"/>
          <w:u w:val="single"/>
        </w:rPr>
        <w:t>月</w:t>
      </w:r>
      <w:r>
        <w:rPr>
          <w:rFonts w:hint="eastAsia" w:ascii="仿宋_GB2312" w:hAnsi="仿宋_GB2312" w:eastAsia="仿宋_GB2312" w:cs="仿宋_GB2312"/>
          <w:highlight w:val="none"/>
          <w:u w:val="single"/>
          <w:lang w:val="en-US" w:eastAsia="zh-CN"/>
        </w:rPr>
        <w:t>18</w:t>
      </w:r>
      <w:r>
        <w:rPr>
          <w:rFonts w:hint="eastAsia" w:ascii="仿宋_GB2312" w:hAnsi="仿宋_GB2312" w:eastAsia="仿宋_GB2312" w:cs="仿宋_GB2312"/>
          <w:highlight w:val="none"/>
          <w:u w:val="single"/>
        </w:rPr>
        <w:t>日</w:t>
      </w:r>
      <w:r>
        <w:rPr>
          <w:rFonts w:hint="eastAsia" w:ascii="仿宋_GB2312" w:hAnsi="仿宋_GB2312" w:eastAsia="仿宋_GB2312" w:cs="仿宋_GB2312"/>
          <w:highlight w:val="none"/>
          <w:u w:val="single"/>
          <w:lang w:val="en-US" w:eastAsia="zh-CN"/>
        </w:rPr>
        <w:t>13</w:t>
      </w:r>
      <w:r>
        <w:rPr>
          <w:rFonts w:hint="eastAsia" w:ascii="仿宋_GB2312" w:hAnsi="仿宋_GB2312" w:eastAsia="仿宋_GB2312" w:cs="仿宋_GB2312"/>
          <w:highlight w:val="none"/>
          <w:u w:val="single"/>
        </w:rPr>
        <w:t>时</w:t>
      </w:r>
      <w:r>
        <w:rPr>
          <w:rFonts w:hint="eastAsia" w:ascii="仿宋_GB2312" w:hAnsi="仿宋_GB2312" w:eastAsia="仿宋_GB2312" w:cs="仿宋_GB2312"/>
          <w:highlight w:val="none"/>
          <w:u w:val="single"/>
          <w:lang w:val="en-US" w:eastAsia="zh-CN"/>
        </w:rPr>
        <w:t>30</w:t>
      </w:r>
      <w:r>
        <w:rPr>
          <w:rFonts w:hint="eastAsia" w:ascii="仿宋_GB2312" w:hAnsi="仿宋_GB2312" w:eastAsia="仿宋_GB2312" w:cs="仿宋_GB2312"/>
          <w:highlight w:val="none"/>
          <w:u w:val="single"/>
        </w:rPr>
        <w:t>分</w:t>
      </w:r>
      <w:r>
        <w:rPr>
          <w:rFonts w:hint="eastAsia" w:ascii="仿宋" w:hAnsi="仿宋" w:eastAsia="仿宋" w:cs="仿宋"/>
          <w:color w:val="auto"/>
          <w:sz w:val="24"/>
          <w:highlight w:val="none"/>
          <w:lang w:val="hr-HR"/>
        </w:rPr>
        <w:t>（北京时间）</w:t>
      </w:r>
      <w:r>
        <w:rPr>
          <w:rFonts w:hint="eastAsia" w:ascii="仿宋" w:hAnsi="仿宋" w:eastAsia="仿宋" w:cs="仿宋"/>
          <w:color w:val="auto"/>
          <w:sz w:val="24"/>
          <w:highlight w:val="none"/>
          <w:lang w:val="en-US"/>
        </w:rPr>
        <w:t>）。</w:t>
      </w:r>
      <w:bookmarkEnd w:id="85"/>
      <w:bookmarkEnd w:id="86"/>
      <w:bookmarkEnd w:id="87"/>
      <w:bookmarkEnd w:id="88"/>
      <w:bookmarkEnd w:id="89"/>
    </w:p>
    <w:p w14:paraId="51B173F3">
      <w:pPr>
        <w:pStyle w:val="37"/>
        <w:pageBreakBefore w:val="0"/>
        <w:widowControl w:val="0"/>
        <w:kinsoku/>
        <w:overflowPunct/>
        <w:topLinePunct w:val="0"/>
        <w:autoSpaceDE/>
        <w:autoSpaceDN/>
        <w:bidi w:val="0"/>
        <w:adjustRightInd/>
        <w:snapToGrid/>
        <w:spacing w:line="360" w:lineRule="auto"/>
        <w:jc w:val="both"/>
        <w:textAlignment w:val="auto"/>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rPr>
        <w:t>2.递交方式：</w:t>
      </w:r>
      <w:bookmarkStart w:id="90" w:name="_Hlk89807823"/>
      <w:r>
        <w:rPr>
          <w:rFonts w:hint="eastAsia" w:ascii="仿宋" w:hAnsi="仿宋" w:eastAsia="仿宋" w:cs="仿宋"/>
          <w:color w:val="auto"/>
          <w:sz w:val="24"/>
          <w:highlight w:val="none"/>
          <w:lang w:val="en-US"/>
        </w:rPr>
        <w:t>在兵团政府采购电子交易云平台（网址：https://www.zcygov.cn/）进入“项目采购”应用，在投标文件上传菜单中选择项目进行上传。</w:t>
      </w:r>
      <w:bookmarkEnd w:id="90"/>
    </w:p>
    <w:p w14:paraId="276D3E17">
      <w:pPr>
        <w:pStyle w:val="37"/>
        <w:pageBreakBefore w:val="0"/>
        <w:widowControl w:val="0"/>
        <w:kinsoku/>
        <w:overflowPunct/>
        <w:topLinePunct w:val="0"/>
        <w:autoSpaceDE/>
        <w:autoSpaceDN/>
        <w:bidi w:val="0"/>
        <w:adjustRightInd/>
        <w:snapToGrid/>
        <w:spacing w:line="360" w:lineRule="auto"/>
        <w:jc w:val="both"/>
        <w:textAlignment w:val="auto"/>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rPr>
        <w:t>3.开标地点：投标</w:t>
      </w:r>
      <w:r>
        <w:rPr>
          <w:rFonts w:hint="eastAsia" w:ascii="仿宋" w:hAnsi="仿宋" w:eastAsia="仿宋" w:cs="仿宋"/>
          <w:color w:val="auto"/>
          <w:sz w:val="24"/>
          <w:highlight w:val="none"/>
          <w:lang w:val="en-US" w:eastAsia="zh-CN"/>
        </w:rPr>
        <w:t>人</w:t>
      </w:r>
      <w:r>
        <w:rPr>
          <w:rFonts w:hint="eastAsia" w:ascii="仿宋" w:hAnsi="仿宋" w:eastAsia="仿宋" w:cs="仿宋"/>
          <w:color w:val="auto"/>
          <w:sz w:val="24"/>
          <w:highlight w:val="none"/>
          <w:lang w:val="en-US"/>
        </w:rPr>
        <w:t>登录政采云平台https://www.zcygov.cn/，进入项目采购</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rPr>
        <w:t>开</w:t>
      </w:r>
      <w:r>
        <w:rPr>
          <w:rFonts w:hint="eastAsia" w:ascii="仿宋" w:hAnsi="仿宋" w:eastAsia="仿宋" w:cs="仿宋"/>
          <w:color w:val="auto"/>
          <w:sz w:val="24"/>
          <w:highlight w:val="none"/>
          <w:lang w:val="en-US" w:eastAsia="zh-CN"/>
        </w:rPr>
        <w:t>标</w:t>
      </w:r>
      <w:r>
        <w:rPr>
          <w:rFonts w:hint="eastAsia" w:ascii="仿宋" w:hAnsi="仿宋" w:eastAsia="仿宋" w:cs="仿宋"/>
          <w:color w:val="auto"/>
          <w:sz w:val="24"/>
          <w:highlight w:val="none"/>
          <w:lang w:val="en-US"/>
        </w:rPr>
        <w:t>评标</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rPr>
        <w:t>右边选择对应项目点击“进入项目”进入开标大厅。</w:t>
      </w:r>
    </w:p>
    <w:bookmarkEnd w:id="79"/>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hr-HR" w:eastAsia="zh-CN" w:bidi="ar-SA"/>
        </w:rPr>
      </w:pPr>
      <w:bookmarkStart w:id="91" w:name="_Toc140132749"/>
      <w:bookmarkStart w:id="92" w:name="_Toc13217"/>
      <w:bookmarkStart w:id="93" w:name="_Toc20013"/>
      <w:bookmarkStart w:id="94" w:name="_Toc155185864"/>
      <w:bookmarkStart w:id="95" w:name="_Toc163492816"/>
      <w:bookmarkStart w:id="96" w:name="_Toc13347"/>
      <w:bookmarkStart w:id="97" w:name="_Toc109900252"/>
      <w:bookmarkStart w:id="98" w:name="_Toc109899833"/>
      <w:bookmarkStart w:id="99" w:name="_Toc14194"/>
      <w:bookmarkStart w:id="100" w:name="_Toc6696"/>
      <w:bookmarkStart w:id="101" w:name="_Toc109899414"/>
      <w:r>
        <w:rPr>
          <w:rFonts w:hint="eastAsia" w:ascii="仿宋" w:hAnsi="仿宋" w:eastAsia="仿宋" w:cs="仿宋"/>
          <w:b/>
          <w:bCs/>
          <w:color w:val="auto"/>
          <w:kern w:val="2"/>
          <w:sz w:val="24"/>
          <w:szCs w:val="24"/>
          <w:highlight w:val="none"/>
          <w:lang w:val="en-US" w:eastAsia="zh-CN" w:bidi="ar-SA"/>
        </w:rPr>
        <w:t>五、</w:t>
      </w:r>
      <w:r>
        <w:rPr>
          <w:rFonts w:hint="eastAsia" w:ascii="仿宋" w:hAnsi="仿宋" w:eastAsia="仿宋" w:cs="仿宋"/>
          <w:b/>
          <w:bCs/>
          <w:color w:val="auto"/>
          <w:kern w:val="2"/>
          <w:sz w:val="24"/>
          <w:szCs w:val="24"/>
          <w:highlight w:val="none"/>
          <w:lang w:val="hr-HR" w:eastAsia="zh-CN" w:bidi="ar-SA"/>
        </w:rPr>
        <w:t>公告期限</w:t>
      </w:r>
      <w:bookmarkEnd w:id="80"/>
      <w:bookmarkEnd w:id="81"/>
      <w:bookmarkEnd w:id="82"/>
      <w:bookmarkEnd w:id="83"/>
      <w:bookmarkEnd w:id="84"/>
      <w:bookmarkEnd w:id="91"/>
      <w:bookmarkEnd w:id="92"/>
      <w:bookmarkEnd w:id="93"/>
      <w:bookmarkEnd w:id="94"/>
      <w:bookmarkEnd w:id="95"/>
      <w:bookmarkEnd w:id="96"/>
      <w:bookmarkEnd w:id="97"/>
      <w:bookmarkEnd w:id="98"/>
      <w:bookmarkEnd w:id="99"/>
      <w:bookmarkEnd w:id="100"/>
      <w:bookmarkEnd w:id="101"/>
    </w:p>
    <w:p w14:paraId="32028F42">
      <w:pPr>
        <w:pStyle w:val="37"/>
        <w:pageBreakBefore w:val="0"/>
        <w:widowControl w:val="0"/>
        <w:kinsoku/>
        <w:overflowPunct/>
        <w:topLinePunct w:val="0"/>
        <w:autoSpaceDE/>
        <w:autoSpaceDN/>
        <w:bidi w:val="0"/>
        <w:adjustRightInd/>
        <w:snapToGrid/>
        <w:spacing w:line="360" w:lineRule="auto"/>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自招标公告发布之日起5个工作日。</w:t>
      </w:r>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hr-HR" w:eastAsia="zh-CN" w:bidi="ar-SA"/>
        </w:rPr>
      </w:pPr>
      <w:bookmarkStart w:id="102" w:name="_Toc35393635"/>
      <w:bookmarkStart w:id="103" w:name="_Toc109899415"/>
      <w:bookmarkStart w:id="104" w:name="_Toc155185865"/>
      <w:bookmarkStart w:id="105" w:name="_Toc109899834"/>
      <w:bookmarkStart w:id="106" w:name="_Toc140132750"/>
      <w:bookmarkStart w:id="107" w:name="_Toc109900253"/>
      <w:bookmarkStart w:id="108" w:name="_Toc35393804"/>
      <w:bookmarkStart w:id="109" w:name="_Toc163492817"/>
      <w:bookmarkStart w:id="110" w:name="_Toc44583634"/>
      <w:bookmarkStart w:id="111" w:name="_Toc7635"/>
      <w:bookmarkStart w:id="112" w:name="_Toc14182"/>
      <w:bookmarkStart w:id="113" w:name="_Toc7878"/>
      <w:bookmarkStart w:id="114" w:name="_Toc15475"/>
      <w:bookmarkStart w:id="115" w:name="_Toc30667"/>
      <w:r>
        <w:rPr>
          <w:rFonts w:hint="eastAsia" w:ascii="仿宋" w:hAnsi="仿宋" w:eastAsia="仿宋" w:cs="仿宋"/>
          <w:b/>
          <w:bCs/>
          <w:color w:val="auto"/>
          <w:kern w:val="2"/>
          <w:sz w:val="24"/>
          <w:szCs w:val="24"/>
          <w:highlight w:val="none"/>
          <w:lang w:val="en-US" w:eastAsia="zh-CN" w:bidi="ar-SA"/>
        </w:rPr>
        <w:t>六、</w:t>
      </w:r>
      <w:r>
        <w:rPr>
          <w:rFonts w:hint="eastAsia" w:ascii="仿宋" w:hAnsi="仿宋" w:eastAsia="仿宋" w:cs="仿宋"/>
          <w:b/>
          <w:bCs/>
          <w:color w:val="auto"/>
          <w:kern w:val="2"/>
          <w:sz w:val="24"/>
          <w:szCs w:val="24"/>
          <w:highlight w:val="none"/>
          <w:lang w:val="hr-HR" w:eastAsia="zh-CN" w:bidi="ar-SA"/>
        </w:rPr>
        <w:t>其他补充事宜</w:t>
      </w:r>
      <w:bookmarkEnd w:id="102"/>
      <w:bookmarkEnd w:id="103"/>
      <w:bookmarkEnd w:id="104"/>
      <w:bookmarkEnd w:id="105"/>
      <w:bookmarkEnd w:id="106"/>
      <w:bookmarkEnd w:id="107"/>
      <w:bookmarkEnd w:id="108"/>
      <w:bookmarkEnd w:id="109"/>
      <w:bookmarkEnd w:id="110"/>
      <w:r>
        <w:rPr>
          <w:rFonts w:hint="eastAsia" w:ascii="仿宋" w:hAnsi="仿宋" w:eastAsia="仿宋" w:cs="仿宋"/>
          <w:b/>
          <w:bCs/>
          <w:color w:val="auto"/>
          <w:kern w:val="2"/>
          <w:sz w:val="24"/>
          <w:szCs w:val="24"/>
          <w:highlight w:val="none"/>
          <w:lang w:val="hr-HR" w:eastAsia="zh-CN" w:bidi="ar-SA"/>
        </w:rPr>
        <w:t>【如政采云平台信息内容更新，按最新内容自行修改】</w:t>
      </w:r>
      <w:bookmarkEnd w:id="111"/>
      <w:bookmarkEnd w:id="112"/>
      <w:bookmarkEnd w:id="113"/>
      <w:bookmarkEnd w:id="114"/>
      <w:bookmarkEnd w:id="115"/>
    </w:p>
    <w:p w14:paraId="30FA302A">
      <w:pPr>
        <w:pStyle w:val="37"/>
        <w:pageBreakBefore w:val="0"/>
        <w:widowControl w:val="0"/>
        <w:kinsoku/>
        <w:overflowPunct/>
        <w:topLinePunct w:val="0"/>
        <w:autoSpaceDE/>
        <w:autoSpaceDN/>
        <w:bidi w:val="0"/>
        <w:adjustRightInd/>
        <w:snapToGrid/>
        <w:spacing w:line="360" w:lineRule="auto"/>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1.本项目实行网上投标，采用电子投标文件；</w:t>
      </w:r>
    </w:p>
    <w:p w14:paraId="40387C18">
      <w:pPr>
        <w:pStyle w:val="37"/>
        <w:pageBreakBefore w:val="0"/>
        <w:widowControl w:val="0"/>
        <w:kinsoku/>
        <w:overflowPunct/>
        <w:topLinePunct w:val="0"/>
        <w:autoSpaceDE/>
        <w:autoSpaceDN/>
        <w:bidi w:val="0"/>
        <w:adjustRightInd/>
        <w:snapToGrid/>
        <w:spacing w:line="360" w:lineRule="auto"/>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各投标人应在开标前应确保成为政采云平台供应商，并完成CA数字证书（符合国密标准）申领。因未注册入库、未办理CA数字证书等原因造成无法投标或投标失败等后果由投标人自行承担。有意向参与兵团区域电子开评标的投标人，可访问兵团政府采购网-办事指南－操作指南-CA证书办理操作指南或点击链接：http://ccgp-bingtuan.gov.cn/site/detail?parentId=189171&amp;articleId=CZ0bD526ZE+CHX5isJvt0w==&amp;utm=site.site-PC-4840.633-pc-websitegroup-secondlevelpage-front.1.2e96d52081d811eebbd67dd2372c0b9a自行进行申领。</w:t>
      </w:r>
    </w:p>
    <w:p w14:paraId="34AAF104">
      <w:pPr>
        <w:pStyle w:val="37"/>
        <w:pageBreakBefore w:val="0"/>
        <w:widowControl w:val="0"/>
        <w:kinsoku/>
        <w:overflowPunct/>
        <w:topLinePunct w:val="0"/>
        <w:autoSpaceDE/>
        <w:autoSpaceDN/>
        <w:bidi w:val="0"/>
        <w:adjustRightInd/>
        <w:snapToGrid/>
        <w:spacing w:line="360" w:lineRule="auto"/>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投标人将政采云电子交易客户端下载、安装完成后，可通过账号密码或CA登录客户端进行投标文件的制作。在使用政采云“投标客户端”时，建议使用WIN7（64位）及以上操作系统。客户端请至兵团政府采购网（http://ccgp-bingtuan.gov.cn/）下载专区查看，如有问题可拨打政采云客户服务热线95763进行咨询。如因投标人自身原因导致在规定时间内无法正常解密的（如：浏览器故障、未安装相关驱动、网络故障、加密CA与解密CA不一致等），视为投标人自动弃标。</w:t>
      </w:r>
    </w:p>
    <w:p w14:paraId="3FAB242D">
      <w:pPr>
        <w:pStyle w:val="37"/>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4、供应商在开标时须使用制作加密电子投标文件所使用的CA锁及电脑，电脑须提前配置好浏览器（建议使用360浏览器极速模式或谷歌浏览器），以便开标时解锁。</w:t>
      </w:r>
    </w:p>
    <w:p w14:paraId="771528BB">
      <w:pPr>
        <w:pStyle w:val="37"/>
        <w:pageBreakBefore w:val="0"/>
        <w:widowControl w:val="0"/>
        <w:kinsoku/>
        <w:overflowPunct/>
        <w:topLinePunct w:val="0"/>
        <w:autoSpaceDE/>
        <w:autoSpaceDN/>
        <w:bidi w:val="0"/>
        <w:adjustRightInd/>
        <w:snapToGrid/>
        <w:spacing w:line="360" w:lineRule="auto"/>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供应商对不见面开评标系统的技术操作咨询，可在政采云帮助中心常见问题解答和操作流程讲解视频中自助查询，“项目采购”-“操作流程-电子招投标”-“政府采购项目电子交易管理操作指南-供应商”版面获取操作指南</w:t>
      </w:r>
    </w:p>
    <w:p w14:paraId="723251BD">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hr-HR" w:eastAsia="zh-CN" w:bidi="ar-SA"/>
        </w:rPr>
      </w:pPr>
      <w:bookmarkStart w:id="116" w:name="_Toc44583635"/>
      <w:bookmarkStart w:id="117" w:name="_Toc140132751"/>
      <w:bookmarkStart w:id="118" w:name="_Toc109899416"/>
      <w:bookmarkStart w:id="119" w:name="_Toc163492818"/>
      <w:bookmarkStart w:id="120" w:name="_Toc28359095"/>
      <w:bookmarkStart w:id="121" w:name="_Toc35393636"/>
      <w:bookmarkStart w:id="122" w:name="_Toc109900254"/>
      <w:bookmarkStart w:id="123" w:name="_Toc28359018"/>
      <w:bookmarkStart w:id="124" w:name="_Toc35393805"/>
      <w:bookmarkStart w:id="125" w:name="_Toc155185866"/>
      <w:bookmarkStart w:id="126" w:name="_Toc109899835"/>
      <w:bookmarkStart w:id="127" w:name="_Toc10795"/>
      <w:bookmarkStart w:id="128" w:name="_Toc14349"/>
      <w:bookmarkStart w:id="129" w:name="_Toc19771"/>
      <w:bookmarkStart w:id="130" w:name="_Toc6505"/>
      <w:bookmarkStart w:id="131" w:name="_Toc22960"/>
      <w:r>
        <w:rPr>
          <w:rFonts w:hint="eastAsia" w:ascii="仿宋" w:hAnsi="仿宋" w:eastAsia="仿宋" w:cs="仿宋"/>
          <w:b/>
          <w:bCs/>
          <w:color w:val="auto"/>
          <w:kern w:val="2"/>
          <w:sz w:val="24"/>
          <w:szCs w:val="24"/>
          <w:highlight w:val="none"/>
          <w:lang w:val="en-US" w:eastAsia="zh-CN" w:bidi="ar-SA"/>
        </w:rPr>
        <w:t>七、</w:t>
      </w:r>
      <w:bookmarkEnd w:id="116"/>
      <w:bookmarkEnd w:id="117"/>
      <w:bookmarkEnd w:id="118"/>
      <w:bookmarkEnd w:id="119"/>
      <w:bookmarkEnd w:id="120"/>
      <w:bookmarkEnd w:id="121"/>
      <w:bookmarkEnd w:id="122"/>
      <w:bookmarkEnd w:id="123"/>
      <w:bookmarkEnd w:id="124"/>
      <w:bookmarkEnd w:id="125"/>
      <w:bookmarkEnd w:id="126"/>
      <w:r>
        <w:rPr>
          <w:rFonts w:hint="eastAsia" w:ascii="仿宋" w:hAnsi="仿宋" w:eastAsia="仿宋" w:cs="仿宋"/>
          <w:b/>
          <w:bCs/>
          <w:color w:val="auto"/>
          <w:kern w:val="2"/>
          <w:sz w:val="24"/>
          <w:szCs w:val="24"/>
          <w:highlight w:val="none"/>
          <w:lang w:val="hr-HR" w:eastAsia="zh-CN" w:bidi="ar-SA"/>
        </w:rPr>
        <w:t>对本次</w:t>
      </w:r>
      <w:r>
        <w:rPr>
          <w:rFonts w:hint="eastAsia" w:ascii="仿宋" w:hAnsi="仿宋" w:eastAsia="仿宋" w:cs="仿宋"/>
          <w:b/>
          <w:bCs/>
          <w:color w:val="auto"/>
          <w:kern w:val="2"/>
          <w:sz w:val="24"/>
          <w:szCs w:val="24"/>
          <w:highlight w:val="none"/>
          <w:lang w:val="en-US" w:eastAsia="zh-CN" w:bidi="ar-SA"/>
        </w:rPr>
        <w:t>招标</w:t>
      </w:r>
      <w:r>
        <w:rPr>
          <w:rFonts w:hint="eastAsia" w:ascii="仿宋" w:hAnsi="仿宋" w:eastAsia="仿宋" w:cs="仿宋"/>
          <w:b/>
          <w:bCs/>
          <w:color w:val="auto"/>
          <w:kern w:val="2"/>
          <w:sz w:val="24"/>
          <w:szCs w:val="24"/>
          <w:highlight w:val="none"/>
          <w:lang w:val="hr-HR" w:eastAsia="zh-CN" w:bidi="ar-SA"/>
        </w:rPr>
        <w:t>提出询问，请按以下方式联系</w:t>
      </w:r>
      <w:bookmarkEnd w:id="127"/>
      <w:bookmarkEnd w:id="128"/>
      <w:bookmarkEnd w:id="129"/>
      <w:bookmarkEnd w:id="130"/>
      <w:bookmarkEnd w:id="131"/>
    </w:p>
    <w:p w14:paraId="68ADC554">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highlight w:val="none"/>
        </w:rPr>
      </w:pPr>
      <w:bookmarkStart w:id="132" w:name="_Toc35393637"/>
      <w:bookmarkStart w:id="133" w:name="_Toc35393806"/>
      <w:bookmarkStart w:id="134" w:name="_Toc28359096"/>
      <w:bookmarkStart w:id="135" w:name="_Toc28359019"/>
      <w:r>
        <w:rPr>
          <w:rFonts w:hint="eastAsia" w:ascii="仿宋" w:hAnsi="仿宋" w:eastAsia="仿宋" w:cs="仿宋"/>
          <w:color w:val="auto"/>
          <w:sz w:val="24"/>
          <w:highlight w:val="none"/>
        </w:rPr>
        <w:t>1.采购人信息</w:t>
      </w:r>
      <w:bookmarkEnd w:id="132"/>
      <w:bookmarkEnd w:id="133"/>
      <w:bookmarkEnd w:id="134"/>
      <w:bookmarkEnd w:id="135"/>
    </w:p>
    <w:p w14:paraId="262A945A">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u w:val="single"/>
          <w:lang w:val="en-US" w:eastAsia="zh-CN"/>
        </w:rPr>
        <w:t>新疆理工职业大学</w:t>
      </w:r>
    </w:p>
    <w:p w14:paraId="0B2DF135">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新疆喀什地区疏勒县草湖镇纬二路1号</w:t>
      </w:r>
    </w:p>
    <w:p w14:paraId="3FA3DB8E">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bookmarkStart w:id="136" w:name="_Hlk46775675"/>
      <w:r>
        <w:rPr>
          <w:rFonts w:hint="eastAsia" w:ascii="仿宋" w:hAnsi="仿宋" w:eastAsia="仿宋" w:cs="仿宋"/>
          <w:color w:val="auto"/>
          <w:sz w:val="24"/>
          <w:highlight w:val="none"/>
          <w:u w:val="single"/>
          <w:lang w:val="en-US" w:eastAsia="zh-CN"/>
        </w:rPr>
        <w:t>陈铜 18143774863</w:t>
      </w:r>
    </w:p>
    <w:bookmarkEnd w:id="136"/>
    <w:p w14:paraId="13F13F3D">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highlight w:val="none"/>
        </w:rPr>
      </w:pPr>
      <w:bookmarkStart w:id="137" w:name="_Toc28359020"/>
      <w:bookmarkStart w:id="138" w:name="_Toc35393638"/>
      <w:bookmarkStart w:id="139" w:name="_Toc35393807"/>
      <w:bookmarkStart w:id="140" w:name="_Toc28359097"/>
      <w:r>
        <w:rPr>
          <w:rFonts w:hint="eastAsia" w:ascii="仿宋" w:hAnsi="仿宋" w:eastAsia="仿宋" w:cs="仿宋"/>
          <w:color w:val="auto"/>
          <w:sz w:val="24"/>
          <w:highlight w:val="none"/>
        </w:rPr>
        <w:t>2.采购代理机构信息</w:t>
      </w:r>
      <w:bookmarkEnd w:id="137"/>
      <w:bookmarkEnd w:id="138"/>
      <w:bookmarkEnd w:id="139"/>
      <w:bookmarkEnd w:id="140"/>
    </w:p>
    <w:p w14:paraId="3AC50756">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r>
        <w:rPr>
          <w:rFonts w:hint="eastAsia" w:ascii="仿宋_GB2312" w:hAnsi="仿宋_GB2312" w:eastAsia="仿宋_GB2312" w:cs="仿宋_GB2312"/>
          <w:szCs w:val="24"/>
          <w:highlight w:val="none"/>
          <w:u w:val="single"/>
        </w:rPr>
        <w:t>新疆世纪星工程咨询有限公司</w:t>
      </w:r>
    </w:p>
    <w:p w14:paraId="1F2FF8F6">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_GB2312" w:hAnsi="仿宋_GB2312" w:eastAsia="仿宋_GB2312" w:cs="仿宋_GB2312"/>
          <w:szCs w:val="24"/>
          <w:highlight w:val="none"/>
          <w:u w:val="single"/>
        </w:rPr>
        <w:t>乌鲁木齐市黄山街一品九点阳光德港大厦B座20楼</w:t>
      </w:r>
    </w:p>
    <w:p w14:paraId="2EC0FFB3">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_GB2312" w:hAnsi="仿宋_GB2312" w:eastAsia="仿宋_GB2312" w:cs="仿宋_GB2312"/>
          <w:szCs w:val="24"/>
          <w:highlight w:val="none"/>
          <w:u w:val="single"/>
        </w:rPr>
        <w:t>0991-3678303</w:t>
      </w:r>
    </w:p>
    <w:p w14:paraId="7DFD87F0">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szCs w:val="24"/>
          <w:highlight w:val="none"/>
          <w:lang w:val="en-US" w:eastAsia="zh-CN"/>
        </w:rPr>
      </w:pPr>
      <w:bookmarkStart w:id="141" w:name="_Toc28359021"/>
      <w:bookmarkStart w:id="142" w:name="_Toc35393639"/>
      <w:bookmarkStart w:id="143" w:name="_Toc28359098"/>
      <w:bookmarkStart w:id="144" w:name="_Toc35393808"/>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项目联系方式</w:t>
      </w:r>
    </w:p>
    <w:p w14:paraId="6E438D71">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联系人：</w:t>
      </w:r>
      <w:r>
        <w:rPr>
          <w:rFonts w:hint="eastAsia" w:ascii="仿宋_GB2312" w:hAnsi="仿宋_GB2312" w:eastAsia="仿宋_GB2312" w:cs="仿宋_GB2312"/>
          <w:szCs w:val="24"/>
          <w:highlight w:val="none"/>
          <w:u w:val="single"/>
        </w:rPr>
        <w:t>李春雪、</w:t>
      </w:r>
      <w:r>
        <w:rPr>
          <w:rFonts w:hint="eastAsia" w:ascii="仿宋_GB2312" w:hAnsi="仿宋_GB2312" w:eastAsia="仿宋_GB2312" w:cs="仿宋_GB2312"/>
          <w:szCs w:val="24"/>
          <w:highlight w:val="none"/>
          <w:u w:val="single"/>
          <w:lang w:val="en-US" w:eastAsia="zh-CN"/>
        </w:rPr>
        <w:t>马莉、</w:t>
      </w:r>
      <w:r>
        <w:rPr>
          <w:rFonts w:hint="eastAsia" w:ascii="仿宋_GB2312" w:hAnsi="仿宋_GB2312" w:eastAsia="仿宋_GB2312" w:cs="仿宋_GB2312"/>
          <w:szCs w:val="24"/>
          <w:highlight w:val="none"/>
          <w:u w:val="single"/>
        </w:rPr>
        <w:t>李航、杜萍、范艳娥</w:t>
      </w:r>
    </w:p>
    <w:bookmarkEnd w:id="141"/>
    <w:bookmarkEnd w:id="142"/>
    <w:bookmarkEnd w:id="143"/>
    <w:bookmarkEnd w:id="144"/>
    <w:p w14:paraId="511A874B">
      <w:pPr>
        <w:pStyle w:val="37"/>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电话：</w:t>
      </w:r>
      <w:r>
        <w:rPr>
          <w:rFonts w:hint="eastAsia" w:ascii="仿宋_GB2312" w:hAnsi="仿宋_GB2312" w:eastAsia="仿宋_GB2312" w:cs="仿宋_GB2312"/>
          <w:szCs w:val="24"/>
          <w:highlight w:val="none"/>
          <w:u w:val="single"/>
        </w:rPr>
        <w:t>0991-3678303</w:t>
      </w:r>
    </w:p>
    <w:p w14:paraId="3EF17BC4">
      <w:pPr>
        <w:pageBreakBefore w:val="0"/>
        <w:widowControl w:val="0"/>
        <w:kinsoku/>
        <w:overflowPunct/>
        <w:topLinePunct w:val="0"/>
        <w:autoSpaceDE/>
        <w:autoSpaceDN/>
        <w:bidi w:val="0"/>
        <w:adjustRightInd/>
        <w:snapToGrid/>
        <w:spacing w:line="360" w:lineRule="auto"/>
        <w:jc w:val="both"/>
        <w:textAlignment w:val="auto"/>
        <w:rPr>
          <w:rFonts w:hint="eastAsia" w:ascii="仿宋" w:hAnsi="仿宋" w:eastAsia="仿宋" w:cs="仿宋"/>
          <w:color w:val="auto"/>
          <w:sz w:val="24"/>
          <w:highlight w:val="none"/>
        </w:rPr>
      </w:pPr>
    </w:p>
    <w:p w14:paraId="3ADF3AE0">
      <w:pPr>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p w14:paraId="3B793992">
      <w:pPr>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p w14:paraId="34A5BC61">
      <w:pPr>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p w14:paraId="10B047C1">
      <w:pPr>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4D23FB4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color w:val="auto"/>
          <w:kern w:val="44"/>
          <w:sz w:val="36"/>
          <w:szCs w:val="36"/>
          <w:highlight w:val="none"/>
          <w:lang w:val="en-US" w:eastAsia="zh-CN" w:bidi="ar-SA"/>
        </w:rPr>
      </w:pPr>
      <w:bookmarkStart w:id="145" w:name="_Toc163492819"/>
      <w:bookmarkStart w:id="146" w:name="_Toc12151"/>
      <w:bookmarkStart w:id="147" w:name="_Toc155185867"/>
      <w:r>
        <w:rPr>
          <w:rFonts w:hint="eastAsia" w:ascii="仿宋" w:hAnsi="仿宋" w:eastAsia="仿宋" w:cs="仿宋"/>
          <w:b/>
          <w:bCs/>
          <w:color w:val="auto"/>
          <w:kern w:val="44"/>
          <w:sz w:val="36"/>
          <w:szCs w:val="36"/>
          <w:highlight w:val="none"/>
          <w:lang w:val="en-US" w:eastAsia="zh-CN" w:bidi="ar-SA"/>
        </w:rPr>
        <w:t>第二章 投标人须知</w:t>
      </w:r>
      <w:bookmarkEnd w:id="145"/>
      <w:bookmarkEnd w:id="146"/>
      <w:bookmarkEnd w:id="147"/>
    </w:p>
    <w:bookmarkEnd w:id="4"/>
    <w:p w14:paraId="5A1F6903">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148" w:name="_Toc163492820"/>
      <w:bookmarkStart w:id="149" w:name="_Toc27886"/>
      <w:bookmarkStart w:id="150" w:name="_Toc155185868"/>
      <w:r>
        <w:rPr>
          <w:rFonts w:hint="eastAsia" w:ascii="仿宋" w:hAnsi="仿宋" w:eastAsia="仿宋" w:cs="仿宋"/>
          <w:b/>
          <w:bCs/>
          <w:color w:val="auto"/>
          <w:kern w:val="2"/>
          <w:sz w:val="28"/>
          <w:szCs w:val="28"/>
          <w:highlight w:val="none"/>
          <w:lang w:val="en-US" w:eastAsia="zh-CN" w:bidi="ar-SA"/>
        </w:rPr>
        <w:t>一、投标人须知前附表</w:t>
      </w:r>
      <w:bookmarkEnd w:id="148"/>
      <w:bookmarkEnd w:id="149"/>
      <w:bookmarkEnd w:id="150"/>
    </w:p>
    <w:p w14:paraId="7F3ACB7A">
      <w:pPr>
        <w:pStyle w:val="3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投标人应仔细阅读本招标文件的第二章“投标人须知”，下面所列资料是对“投标人须知”的具体补充和说明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如有矛盾，应以本表为准。</w:t>
      </w:r>
      <w:r>
        <w:rPr>
          <w:rFonts w:hint="eastAsia" w:ascii="仿宋" w:hAnsi="仿宋" w:eastAsia="仿宋" w:cs="仿宋"/>
          <w:color w:val="auto"/>
          <w:sz w:val="24"/>
          <w:szCs w:val="24"/>
          <w:highlight w:val="none"/>
          <w:lang w:val="en-US" w:eastAsia="zh-CN"/>
        </w:rPr>
        <w:t>标记“☑”的选项意为适用于本项目，标记“□”的选项意为不适用于本项目。</w:t>
      </w:r>
    </w:p>
    <w:tbl>
      <w:tblPr>
        <w:tblStyle w:val="29"/>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49"/>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49"/>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49"/>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441C76">
            <w:pPr>
              <w:pStyle w:val="49"/>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738" w:type="dxa"/>
            <w:vAlign w:val="center"/>
          </w:tcPr>
          <w:p w14:paraId="3D9DB5F0">
            <w:pPr>
              <w:pStyle w:val="4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核心产品</w:t>
            </w:r>
          </w:p>
        </w:tc>
        <w:tc>
          <w:tcPr>
            <w:tcW w:w="6700" w:type="dxa"/>
            <w:vAlign w:val="center"/>
          </w:tcPr>
          <w:p w14:paraId="7BB22B3E">
            <w:pPr>
              <w:pStyle w:val="4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□本项目第__包不适用。 </w:t>
            </w:r>
          </w:p>
          <w:p w14:paraId="3D32C559">
            <w:pPr>
              <w:pStyle w:val="4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□本项目第__包为单一产品采购项目。 </w:t>
            </w:r>
          </w:p>
          <w:p w14:paraId="6BCC34C0">
            <w:pPr>
              <w:pStyle w:val="4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☑本项目第</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lang w:val="en-US" w:eastAsia="zh-CN"/>
              </w:rPr>
              <w:t>包为非单一产品采购项目，其中核心产品为：</w:t>
            </w:r>
            <w:r>
              <w:rPr>
                <w:rFonts w:hint="eastAsia" w:ascii="仿宋" w:hAnsi="仿宋" w:eastAsia="仿宋" w:cs="仿宋"/>
                <w:color w:val="auto"/>
                <w:sz w:val="24"/>
                <w:szCs w:val="24"/>
                <w:highlight w:val="none"/>
                <w:u w:val="single"/>
                <w:lang w:val="en-US" w:eastAsia="zh-CN"/>
              </w:rPr>
              <w:t>5G核心网系统及相应设备</w:t>
            </w:r>
            <w:r>
              <w:rPr>
                <w:rFonts w:hint="eastAsia" w:ascii="仿宋" w:hAnsi="仿宋" w:eastAsia="仿宋" w:cs="仿宋"/>
                <w:color w:val="auto"/>
                <w:sz w:val="24"/>
                <w:szCs w:val="24"/>
                <w:highlight w:val="none"/>
                <w:lang w:val="en-US" w:eastAsia="zh-CN"/>
              </w:rPr>
              <w:t>。</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1BF1D896">
            <w:pPr>
              <w:pStyle w:val="49"/>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2.6</w:t>
            </w:r>
          </w:p>
        </w:tc>
        <w:tc>
          <w:tcPr>
            <w:tcW w:w="1738" w:type="dxa"/>
            <w:shd w:val="clear" w:color="auto" w:fill="auto"/>
            <w:vAlign w:val="center"/>
          </w:tcPr>
          <w:p w14:paraId="700F5EE9">
            <w:pPr>
              <w:keepNext w:val="0"/>
              <w:keepLines w:val="0"/>
              <w:widowControl/>
              <w:suppressLineNumbers w:val="0"/>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
              </w:rPr>
              <w:t>科研仪器设备</w:t>
            </w:r>
          </w:p>
        </w:tc>
        <w:tc>
          <w:tcPr>
            <w:tcW w:w="6700" w:type="dxa"/>
            <w:shd w:val="clear" w:color="auto" w:fill="auto"/>
            <w:vAlign w:val="center"/>
          </w:tcPr>
          <w:p w14:paraId="0F6FC5C1">
            <w:pPr>
              <w:keepNext w:val="0"/>
              <w:keepLines w:val="0"/>
              <w:widowControl/>
              <w:suppressLineNumbers w:val="0"/>
              <w:spacing w:line="240" w:lineRule="auto"/>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是否属于科研仪器设备采购项目： </w:t>
            </w:r>
          </w:p>
          <w:p w14:paraId="4A1686C7">
            <w:pPr>
              <w:keepNext w:val="0"/>
              <w:keepLines w:val="0"/>
              <w:widowControl/>
              <w:suppressLineNumbers w:val="0"/>
              <w:spacing w:line="240" w:lineRule="auto"/>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CN" w:bidi="ar"/>
              </w:rPr>
              <w:t xml:space="preserve">是 </w:t>
            </w:r>
          </w:p>
          <w:p w14:paraId="7C9332C8">
            <w:pPr>
              <w:keepNext w:val="0"/>
              <w:keepLines w:val="0"/>
              <w:widowControl/>
              <w:suppressLineNumbers w:val="0"/>
              <w:spacing w:line="240" w:lineRule="auto"/>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CN"/>
              </w:rPr>
              <w:t>否</w:t>
            </w:r>
          </w:p>
        </w:tc>
      </w:tr>
      <w:tr w14:paraId="58FFB5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97" w:hRule="atLeast"/>
        </w:trPr>
        <w:tc>
          <w:tcPr>
            <w:tcW w:w="970" w:type="dxa"/>
            <w:shd w:val="clear" w:color="auto" w:fill="auto"/>
            <w:vAlign w:val="center"/>
          </w:tcPr>
          <w:p w14:paraId="0A083CF0">
            <w:pPr>
              <w:pStyle w:val="49"/>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p>
        </w:tc>
        <w:tc>
          <w:tcPr>
            <w:tcW w:w="1738" w:type="dxa"/>
            <w:shd w:val="clear" w:color="auto" w:fill="auto"/>
            <w:vAlign w:val="center"/>
          </w:tcPr>
          <w:p w14:paraId="561F3E6B">
            <w:pPr>
              <w:pStyle w:val="4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资金来源</w:t>
            </w:r>
          </w:p>
        </w:tc>
        <w:tc>
          <w:tcPr>
            <w:tcW w:w="6700" w:type="dxa"/>
            <w:shd w:val="clear" w:color="auto" w:fill="auto"/>
            <w:vAlign w:val="center"/>
          </w:tcPr>
          <w:p w14:paraId="7584328D">
            <w:pPr>
              <w:pStyle w:val="4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中央财政转移支付资金</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37" w:hRule="atLeast"/>
        </w:trPr>
        <w:tc>
          <w:tcPr>
            <w:tcW w:w="970" w:type="dxa"/>
            <w:vAlign w:val="center"/>
          </w:tcPr>
          <w:p w14:paraId="3A136892">
            <w:pPr>
              <w:pStyle w:val="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w:t>
            </w:r>
          </w:p>
        </w:tc>
        <w:tc>
          <w:tcPr>
            <w:tcW w:w="1738" w:type="dxa"/>
            <w:vAlign w:val="center"/>
          </w:tcPr>
          <w:p w14:paraId="117C18AE">
            <w:pPr>
              <w:pStyle w:val="49"/>
              <w:rPr>
                <w:rFonts w:hint="eastAsia" w:ascii="仿宋" w:hAnsi="仿宋" w:eastAsia="仿宋" w:cs="仿宋"/>
                <w:color w:val="auto"/>
                <w:sz w:val="24"/>
                <w:szCs w:val="24"/>
                <w:highlight w:val="none"/>
              </w:rPr>
            </w:pPr>
            <w:bookmarkStart w:id="151" w:name="_Hlk143529175"/>
            <w:r>
              <w:rPr>
                <w:rFonts w:hint="eastAsia" w:ascii="仿宋" w:hAnsi="仿宋" w:eastAsia="仿宋" w:cs="仿宋"/>
                <w:color w:val="auto"/>
                <w:sz w:val="24"/>
                <w:szCs w:val="24"/>
                <w:highlight w:val="none"/>
              </w:rPr>
              <w:t>现场考察</w:t>
            </w:r>
            <w:bookmarkEnd w:id="151"/>
          </w:p>
        </w:tc>
        <w:tc>
          <w:tcPr>
            <w:tcW w:w="6700" w:type="dxa"/>
            <w:vAlign w:val="center"/>
          </w:tcPr>
          <w:p w14:paraId="36549596">
            <w:pPr>
              <w:pStyle w:val="4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不组织，投标人自行前往</w:t>
            </w:r>
            <w:r>
              <w:rPr>
                <w:rFonts w:hint="eastAsia" w:ascii="仿宋" w:hAnsi="仿宋" w:eastAsia="仿宋" w:cs="仿宋"/>
                <w:color w:val="auto"/>
                <w:sz w:val="24"/>
                <w:szCs w:val="24"/>
                <w:highlight w:val="none"/>
                <w:lang w:eastAsia="zh-CN"/>
              </w:rPr>
              <w:t>。</w:t>
            </w:r>
          </w:p>
          <w:p w14:paraId="6FE8AF39">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组织</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02" w:hRule="atLeast"/>
        </w:trPr>
        <w:tc>
          <w:tcPr>
            <w:tcW w:w="970" w:type="dxa"/>
            <w:vAlign w:val="center"/>
          </w:tcPr>
          <w:p w14:paraId="0D95D099">
            <w:pPr>
              <w:pStyle w:val="49"/>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9.5</w:t>
            </w:r>
          </w:p>
        </w:tc>
        <w:tc>
          <w:tcPr>
            <w:tcW w:w="1738" w:type="dxa"/>
            <w:vAlign w:val="center"/>
          </w:tcPr>
          <w:p w14:paraId="4A5FE036">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答疑会</w:t>
            </w:r>
          </w:p>
        </w:tc>
        <w:tc>
          <w:tcPr>
            <w:tcW w:w="6700" w:type="dxa"/>
            <w:vAlign w:val="center"/>
          </w:tcPr>
          <w:p w14:paraId="6B78B750">
            <w:pPr>
              <w:pStyle w:val="4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不组织</w:t>
            </w:r>
          </w:p>
          <w:p w14:paraId="7368AD2C">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组织</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49"/>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w:t>
            </w:r>
          </w:p>
        </w:tc>
        <w:tc>
          <w:tcPr>
            <w:tcW w:w="1738" w:type="dxa"/>
            <w:vAlign w:val="center"/>
          </w:tcPr>
          <w:p w14:paraId="14B3667D">
            <w:pPr>
              <w:pStyle w:val="4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询问</w:t>
            </w:r>
          </w:p>
        </w:tc>
        <w:tc>
          <w:tcPr>
            <w:tcW w:w="6700" w:type="dxa"/>
            <w:vAlign w:val="center"/>
          </w:tcPr>
          <w:p w14:paraId="2B83CF6B">
            <w:pPr>
              <w:pStyle w:val="49"/>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u w:val="single"/>
                <w:lang w:val="en-US" w:eastAsia="zh-CN"/>
              </w:rPr>
              <w:t>在供应商客户端中按照格式填写询问函，并在生成询 问函后加盖电子印章提交；</w:t>
            </w:r>
          </w:p>
          <w:p w14:paraId="60B4602D">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其他询问方式：</w:t>
            </w:r>
            <w:r>
              <w:rPr>
                <w:rFonts w:hint="eastAsia" w:ascii="仿宋_GB2312" w:hAnsi="仿宋_GB2312" w:eastAsia="仿宋_GB2312" w:cs="仿宋_GB2312"/>
                <w:kern w:val="2"/>
                <w:sz w:val="24"/>
                <w:szCs w:val="24"/>
                <w:highlight w:val="none"/>
                <w:u w:val="single"/>
              </w:rPr>
              <w:t>电话咨询</w:t>
            </w:r>
            <w:r>
              <w:rPr>
                <w:rFonts w:hint="eastAsia" w:ascii="仿宋" w:hAnsi="仿宋" w:eastAsia="仿宋" w:cs="仿宋"/>
                <w:color w:val="auto"/>
                <w:sz w:val="24"/>
                <w:szCs w:val="24"/>
                <w:highlight w:val="none"/>
                <w:u w:val="single"/>
                <w:lang w:val="en-US" w:eastAsia="zh-CN"/>
              </w:rPr>
              <w:t>，0991-3678303</w:t>
            </w:r>
            <w:r>
              <w:rPr>
                <w:rFonts w:hint="eastAsia" w:ascii="仿宋" w:hAnsi="仿宋" w:eastAsia="仿宋" w:cs="仿宋"/>
                <w:color w:val="auto"/>
                <w:sz w:val="24"/>
                <w:szCs w:val="24"/>
                <w:highlight w:val="none"/>
                <w:u w:val="single"/>
              </w:rPr>
              <w:t>。</w:t>
            </w:r>
          </w:p>
          <w:p w14:paraId="688719A3">
            <w:pPr>
              <w:pStyle w:val="4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val="en-US" w:eastAsia="zh-CN"/>
              </w:rPr>
              <w:t>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获取采购文件后72小时内,</w:t>
            </w:r>
            <w:r>
              <w:rPr>
                <w:rFonts w:hint="eastAsia" w:ascii="仿宋_GB2312" w:hAnsi="仿宋_GB2312" w:eastAsia="仿宋_GB2312" w:cs="仿宋_GB2312"/>
                <w:kern w:val="2"/>
                <w:sz w:val="24"/>
                <w:szCs w:val="24"/>
                <w:highlight w:val="none"/>
                <w:u w:val="single"/>
              </w:rPr>
              <w:t>工作日每天上午10:</w:t>
            </w:r>
            <w:r>
              <w:rPr>
                <w:rFonts w:hint="eastAsia" w:ascii="仿宋_GB2312" w:hAnsi="仿宋_GB2312" w:eastAsia="仿宋_GB2312" w:cs="仿宋_GB2312"/>
                <w:kern w:val="2"/>
                <w:sz w:val="24"/>
                <w:szCs w:val="24"/>
                <w:highlight w:val="none"/>
                <w:u w:val="single"/>
                <w:lang w:val="en-US" w:eastAsia="zh-CN"/>
              </w:rPr>
              <w:t>30</w:t>
            </w:r>
            <w:r>
              <w:rPr>
                <w:rFonts w:hint="eastAsia" w:ascii="仿宋_GB2312" w:hAnsi="仿宋_GB2312" w:eastAsia="仿宋_GB2312" w:cs="仿宋_GB2312"/>
                <w:kern w:val="2"/>
                <w:sz w:val="24"/>
                <w:szCs w:val="24"/>
                <w:highlight w:val="none"/>
                <w:u w:val="single"/>
              </w:rPr>
              <w:t>至13:</w:t>
            </w:r>
            <w:r>
              <w:rPr>
                <w:rFonts w:hint="eastAsia" w:ascii="仿宋_GB2312" w:hAnsi="仿宋_GB2312" w:eastAsia="仿宋_GB2312" w:cs="仿宋_GB2312"/>
                <w:kern w:val="2"/>
                <w:sz w:val="24"/>
                <w:szCs w:val="24"/>
                <w:highlight w:val="none"/>
                <w:u w:val="single"/>
                <w:lang w:val="en-US" w:eastAsia="zh-CN"/>
              </w:rPr>
              <w:t>30</w:t>
            </w:r>
            <w:r>
              <w:rPr>
                <w:rFonts w:hint="eastAsia" w:ascii="仿宋_GB2312" w:hAnsi="仿宋_GB2312" w:eastAsia="仿宋_GB2312" w:cs="仿宋_GB2312"/>
                <w:kern w:val="2"/>
                <w:sz w:val="24"/>
                <w:szCs w:val="24"/>
                <w:highlight w:val="none"/>
                <w:u w:val="single"/>
              </w:rPr>
              <w:t>，下午1</w:t>
            </w:r>
            <w:r>
              <w:rPr>
                <w:rFonts w:hint="eastAsia" w:ascii="仿宋_GB2312" w:hAnsi="仿宋_GB2312" w:eastAsia="仿宋_GB2312" w:cs="仿宋_GB2312"/>
                <w:kern w:val="2"/>
                <w:sz w:val="24"/>
                <w:szCs w:val="24"/>
                <w:highlight w:val="none"/>
                <w:u w:val="single"/>
                <w:lang w:val="en-US" w:eastAsia="zh-CN"/>
              </w:rPr>
              <w:t>5</w:t>
            </w:r>
            <w:r>
              <w:rPr>
                <w:rFonts w:hint="eastAsia" w:ascii="仿宋_GB2312" w:hAnsi="仿宋_GB2312" w:eastAsia="仿宋_GB2312" w:cs="仿宋_GB2312"/>
                <w:kern w:val="2"/>
                <w:sz w:val="24"/>
                <w:szCs w:val="24"/>
                <w:highlight w:val="none"/>
                <w:u w:val="single"/>
              </w:rPr>
              <w:t>:</w:t>
            </w:r>
            <w:r>
              <w:rPr>
                <w:rFonts w:hint="eastAsia" w:ascii="仿宋_GB2312" w:hAnsi="仿宋_GB2312" w:eastAsia="仿宋_GB2312" w:cs="仿宋_GB2312"/>
                <w:kern w:val="2"/>
                <w:sz w:val="24"/>
                <w:szCs w:val="24"/>
                <w:highlight w:val="none"/>
                <w:u w:val="single"/>
                <w:lang w:val="en-US" w:eastAsia="zh-CN"/>
              </w:rPr>
              <w:t>30</w:t>
            </w:r>
            <w:r>
              <w:rPr>
                <w:rFonts w:hint="eastAsia" w:ascii="仿宋_GB2312" w:hAnsi="仿宋_GB2312" w:eastAsia="仿宋_GB2312" w:cs="仿宋_GB2312"/>
                <w:kern w:val="2"/>
                <w:sz w:val="24"/>
                <w:szCs w:val="24"/>
                <w:highlight w:val="none"/>
                <w:u w:val="single"/>
              </w:rPr>
              <w:t>至</w:t>
            </w:r>
            <w:r>
              <w:rPr>
                <w:rFonts w:hint="eastAsia" w:ascii="仿宋_GB2312" w:hAnsi="仿宋_GB2312" w:eastAsia="仿宋_GB2312" w:cs="仿宋_GB2312"/>
                <w:kern w:val="2"/>
                <w:sz w:val="24"/>
                <w:szCs w:val="24"/>
                <w:highlight w:val="none"/>
                <w:u w:val="single"/>
                <w:lang w:val="en-US" w:eastAsia="zh-CN"/>
              </w:rPr>
              <w:t>19</w:t>
            </w:r>
            <w:r>
              <w:rPr>
                <w:rFonts w:hint="eastAsia" w:ascii="仿宋_GB2312" w:hAnsi="仿宋_GB2312" w:eastAsia="仿宋_GB2312" w:cs="仿宋_GB2312"/>
                <w:kern w:val="2"/>
                <w:sz w:val="24"/>
                <w:szCs w:val="24"/>
                <w:highlight w:val="none"/>
                <w:u w:val="single"/>
              </w:rPr>
              <w:t>:00（北京时间）</w:t>
            </w:r>
            <w:r>
              <w:rPr>
                <w:rFonts w:hint="eastAsia" w:ascii="仿宋" w:hAnsi="仿宋" w:eastAsia="仿宋" w:cs="仿宋"/>
                <w:color w:val="auto"/>
                <w:sz w:val="24"/>
                <w:szCs w:val="24"/>
                <w:highlight w:val="none"/>
                <w:u w:val="single"/>
                <w:lang w:val="en-US" w:eastAsia="zh-CN"/>
              </w:rPr>
              <w:t>。</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w:t>
            </w:r>
          </w:p>
        </w:tc>
        <w:tc>
          <w:tcPr>
            <w:tcW w:w="1738" w:type="dxa"/>
            <w:vAlign w:val="center"/>
          </w:tcPr>
          <w:p w14:paraId="79A1D807">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投标有效期</w:t>
            </w:r>
          </w:p>
        </w:tc>
        <w:tc>
          <w:tcPr>
            <w:tcW w:w="6700" w:type="dxa"/>
            <w:vAlign w:val="center"/>
          </w:tcPr>
          <w:p w14:paraId="41DD7733">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w:t>
            </w:r>
            <w:r>
              <w:rPr>
                <w:rFonts w:hint="eastAsia" w:ascii="仿宋" w:hAnsi="仿宋" w:eastAsia="仿宋" w:cs="仿宋"/>
                <w:color w:val="auto"/>
                <w:sz w:val="24"/>
                <w:szCs w:val="24"/>
                <w:highlight w:val="none"/>
                <w:lang w:val="en-US" w:eastAsia="zh-CN"/>
              </w:rPr>
              <w:t>时间</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u w:val="single"/>
              </w:rPr>
              <w:t>90</w:t>
            </w:r>
            <w:r>
              <w:rPr>
                <w:rFonts w:hint="eastAsia" w:ascii="仿宋" w:hAnsi="仿宋" w:eastAsia="仿宋" w:cs="仿宋"/>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74" w:hRule="atLeast"/>
        </w:trPr>
        <w:tc>
          <w:tcPr>
            <w:tcW w:w="970" w:type="dxa"/>
            <w:vAlign w:val="center"/>
          </w:tcPr>
          <w:p w14:paraId="3DB59B05">
            <w:pPr>
              <w:pStyle w:val="49"/>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17.1</w:t>
            </w:r>
          </w:p>
        </w:tc>
        <w:tc>
          <w:tcPr>
            <w:tcW w:w="1738" w:type="dxa"/>
            <w:vAlign w:val="center"/>
          </w:tcPr>
          <w:p w14:paraId="02D54664">
            <w:pPr>
              <w:pStyle w:val="4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★投标保证金</w:t>
            </w:r>
          </w:p>
        </w:tc>
        <w:tc>
          <w:tcPr>
            <w:tcW w:w="6700" w:type="dxa"/>
            <w:vAlign w:val="center"/>
          </w:tcPr>
          <w:p w14:paraId="713A171A">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金额：</w:t>
            </w:r>
          </w:p>
          <w:p w14:paraId="5947F8CF">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免收</w:t>
            </w:r>
          </w:p>
          <w:p w14:paraId="659FBE06">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预算金额</w:t>
            </w:r>
            <w:r>
              <w:rPr>
                <w:rFonts w:hint="eastAsia" w:ascii="仿宋" w:hAnsi="仿宋" w:eastAsia="仿宋" w:cs="仿宋"/>
                <w:color w:val="auto"/>
                <w:sz w:val="24"/>
                <w:szCs w:val="24"/>
                <w:highlight w:val="none"/>
              </w:rPr>
              <w:t>的   %</w:t>
            </w:r>
            <w:r>
              <w:rPr>
                <w:rFonts w:hint="eastAsia" w:ascii="仿宋" w:hAnsi="仿宋" w:eastAsia="仿宋" w:cs="仿宋"/>
                <w:color w:val="auto"/>
                <w:sz w:val="24"/>
                <w:szCs w:val="24"/>
                <w:highlight w:val="none"/>
                <w:lang w:eastAsia="zh-CN"/>
              </w:rPr>
              <w:t>。</w:t>
            </w:r>
          </w:p>
          <w:p w14:paraId="408CDEE0">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定额收取：</w:t>
            </w:r>
            <w:r>
              <w:rPr>
                <w:rFonts w:hint="eastAsia" w:ascii="仿宋" w:hAnsi="仿宋" w:eastAsia="仿宋" w:cs="仿宋"/>
                <w:color w:val="auto"/>
                <w:sz w:val="24"/>
                <w:szCs w:val="24"/>
                <w:highlight w:val="none"/>
                <w:u w:val="single"/>
              </w:rPr>
              <w:t>人民币</w:t>
            </w:r>
            <w:r>
              <w:rPr>
                <w:rFonts w:hint="eastAsia" w:ascii="仿宋" w:hAnsi="仿宋" w:eastAsia="仿宋" w:cs="仿宋"/>
                <w:color w:val="auto"/>
                <w:sz w:val="24"/>
                <w:szCs w:val="24"/>
                <w:highlight w:val="none"/>
                <w:u w:val="single"/>
                <w:lang w:val="en-US" w:eastAsia="zh-CN"/>
              </w:rPr>
              <w:t>40800</w:t>
            </w:r>
            <w:r>
              <w:rPr>
                <w:rFonts w:hint="eastAsia" w:ascii="仿宋" w:hAnsi="仿宋" w:eastAsia="仿宋" w:cs="仿宋"/>
                <w:color w:val="auto"/>
                <w:sz w:val="24"/>
                <w:szCs w:val="24"/>
                <w:highlight w:val="none"/>
                <w:u w:val="single"/>
              </w:rPr>
              <w:t>元</w:t>
            </w:r>
            <w:r>
              <w:rPr>
                <w:rFonts w:hint="eastAsia" w:ascii="仿宋" w:hAnsi="仿宋" w:eastAsia="仿宋" w:cs="仿宋"/>
                <w:color w:val="auto"/>
                <w:sz w:val="24"/>
                <w:szCs w:val="24"/>
                <w:highlight w:val="none"/>
                <w:u w:val="single"/>
                <w:lang w:eastAsia="zh-CN"/>
              </w:rPr>
              <w:t>。</w:t>
            </w:r>
          </w:p>
          <w:p w14:paraId="471258F6">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支付方式：</w:t>
            </w:r>
          </w:p>
          <w:p w14:paraId="55A9BC00">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投标人可自主选择以支票、汇票、本票、电汇、转账、网银、保函等非现金形式缴纳或提交保证金。</w:t>
            </w:r>
          </w:p>
          <w:p w14:paraId="5074674C">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网上银行缴纳方式，采购代理机构账号信息如下：</w:t>
            </w:r>
          </w:p>
          <w:p w14:paraId="3C904A11">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保证金收款人：新疆世纪星工程咨询有限公司</w:t>
            </w:r>
          </w:p>
          <w:p w14:paraId="46CD5011">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保证金收款账号：512090100100073085</w:t>
            </w:r>
          </w:p>
          <w:p w14:paraId="1DA35B7E">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保证收款银行及行号: 兴业银行乌鲁木齐分行营业部309881002010</w:t>
            </w:r>
          </w:p>
          <w:p w14:paraId="0A08D36B">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投标保证金到账（保函提交）截止时间同投标截止时间。</w:t>
            </w:r>
          </w:p>
          <w:p w14:paraId="508C3233">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以支票、汇票、本票、网上银行支付等形式提交投标保证金的，应在投标截止时间前到账；</w:t>
            </w:r>
          </w:p>
          <w:p w14:paraId="49575EB4">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投标保函递交方式：</w:t>
            </w:r>
            <w:r>
              <w:rPr>
                <w:rFonts w:hint="eastAsia" w:ascii="仿宋" w:hAnsi="仿宋" w:eastAsia="仿宋" w:cs="仿宋"/>
                <w:color w:val="auto"/>
                <w:sz w:val="24"/>
                <w:szCs w:val="24"/>
                <w:highlight w:val="none"/>
              </w:rPr>
              <w:t xml:space="preserve">供应商通过"政采云平台金融服务中心"(https://jinrong.zcygov.cn/)，申请办理投标电子保函，开标时采购人或代理机构通过政采云平台保函系统进行查询，保函信息以查询结果为准，未查询到的电子保函评审时将按无效投标（响应）处理。             </w:t>
            </w:r>
          </w:p>
          <w:p w14:paraId="6B0D44EF">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3.退还时间：</w:t>
            </w:r>
            <w:r>
              <w:rPr>
                <w:rFonts w:hint="eastAsia" w:ascii="仿宋" w:hAnsi="仿宋" w:eastAsia="仿宋" w:cs="仿宋"/>
                <w:color w:val="auto"/>
                <w:sz w:val="24"/>
                <w:szCs w:val="24"/>
                <w:highlight w:val="none"/>
                <w:lang w:val="en-US" w:eastAsia="zh-CN"/>
              </w:rPr>
              <w:t>自中标通知书发出之日起5个工作日内退还未中标供应商的投标保证金，自政府采购合同签订之日起5个工作日内退还中标供应商的投标保证金。</w:t>
            </w:r>
            <w:r>
              <w:rPr>
                <w:rFonts w:hint="eastAsia" w:ascii="仿宋" w:hAnsi="仿宋" w:eastAsia="仿宋" w:cs="仿宋"/>
                <w:color w:val="auto"/>
                <w:sz w:val="24"/>
                <w:szCs w:val="24"/>
                <w:highlight w:val="none"/>
              </w:rPr>
              <w:t xml:space="preserve">              </w:t>
            </w:r>
          </w:p>
          <w:p w14:paraId="0C5E95D7">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注意事项：</w:t>
            </w:r>
          </w:p>
          <w:p w14:paraId="76B05609">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以上各类机构出具的以担保函、保证保险承担责任的方式均须满足无条件见索即付条件。</w:t>
            </w:r>
          </w:p>
          <w:p w14:paraId="0A6AA7E8">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以担保函、保证保险形式缴纳</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保证金的，受益人和收取单位须为采购人。</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46" w:hRule="atLeast"/>
        </w:trPr>
        <w:tc>
          <w:tcPr>
            <w:tcW w:w="970" w:type="dxa"/>
            <w:vAlign w:val="center"/>
          </w:tcPr>
          <w:p w14:paraId="0FAEE6C9">
            <w:pPr>
              <w:pStyle w:val="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p>
        </w:tc>
        <w:tc>
          <w:tcPr>
            <w:tcW w:w="1738" w:type="dxa"/>
            <w:vAlign w:val="center"/>
          </w:tcPr>
          <w:p w14:paraId="1A5D11C5">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实物样品</w:t>
            </w:r>
          </w:p>
        </w:tc>
        <w:tc>
          <w:tcPr>
            <w:tcW w:w="6700" w:type="dxa"/>
            <w:vAlign w:val="center"/>
          </w:tcPr>
          <w:p w14:paraId="29F70D2B">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投标样品递交： </w:t>
            </w:r>
          </w:p>
          <w:p w14:paraId="08448385">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☑不需要 </w:t>
            </w:r>
          </w:p>
          <w:p w14:paraId="5F60BBB0">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□需要，具体要求如下：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w:t>
            </w:r>
          </w:p>
        </w:tc>
        <w:tc>
          <w:tcPr>
            <w:tcW w:w="1738" w:type="dxa"/>
            <w:vAlign w:val="center"/>
          </w:tcPr>
          <w:p w14:paraId="22504622">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演示</w:t>
            </w:r>
          </w:p>
        </w:tc>
        <w:tc>
          <w:tcPr>
            <w:tcW w:w="6700" w:type="dxa"/>
            <w:vAlign w:val="center"/>
          </w:tcPr>
          <w:p w14:paraId="7B2FDAC1">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sym w:font="Wingdings" w:char="00FE"/>
            </w:r>
            <w:r>
              <w:rPr>
                <w:rFonts w:hint="eastAsia" w:ascii="仿宋" w:hAnsi="仿宋" w:eastAsia="仿宋" w:cs="仿宋"/>
                <w:color w:val="auto"/>
                <w:sz w:val="24"/>
                <w:szCs w:val="24"/>
                <w:highlight w:val="none"/>
              </w:rPr>
              <w:t>不进行</w:t>
            </w:r>
          </w:p>
          <w:p w14:paraId="34ED7966">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进行，远程线上演示/现场演示</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4CE72DC4">
            <w:pPr>
              <w:pStyle w:val="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.3</w:t>
            </w:r>
          </w:p>
        </w:tc>
        <w:tc>
          <w:tcPr>
            <w:tcW w:w="1738" w:type="dxa"/>
            <w:vAlign w:val="center"/>
          </w:tcPr>
          <w:p w14:paraId="35FB661A">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解密投标文件的时限</w:t>
            </w:r>
          </w:p>
        </w:tc>
        <w:tc>
          <w:tcPr>
            <w:tcW w:w="6700" w:type="dxa"/>
            <w:vAlign w:val="center"/>
          </w:tcPr>
          <w:p w14:paraId="44601FEC">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不见面开标默认解密时长：</w:t>
            </w:r>
            <w:r>
              <w:rPr>
                <w:rFonts w:hint="eastAsia" w:ascii="仿宋" w:hAnsi="仿宋" w:eastAsia="仿宋" w:cs="仿宋"/>
                <w:color w:val="auto"/>
                <w:sz w:val="24"/>
                <w:szCs w:val="24"/>
                <w:highlight w:val="none"/>
                <w:u w:val="single"/>
                <w:lang w:val="en-US" w:eastAsia="zh-CN"/>
              </w:rPr>
              <w:t xml:space="preserve"> 20 </w:t>
            </w:r>
            <w:r>
              <w:rPr>
                <w:rFonts w:hint="eastAsia" w:ascii="仿宋" w:hAnsi="仿宋" w:eastAsia="仿宋" w:cs="仿宋"/>
                <w:color w:val="auto"/>
                <w:sz w:val="24"/>
                <w:szCs w:val="24"/>
                <w:highlight w:val="none"/>
                <w:lang w:val="en-US" w:eastAsia="zh-CN"/>
              </w:rPr>
              <w:t>分钟。</w:t>
            </w:r>
            <w:r>
              <w:rPr>
                <w:rFonts w:hint="eastAsia" w:ascii="仿宋" w:hAnsi="仿宋" w:eastAsia="仿宋" w:cs="仿宋"/>
                <w:color w:val="auto"/>
                <w:sz w:val="24"/>
                <w:szCs w:val="24"/>
                <w:highlight w:val="none"/>
              </w:rPr>
              <w:t xml:space="preserve"> </w:t>
            </w:r>
          </w:p>
          <w:p w14:paraId="01B25268">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除因交易平台发生故障导致投标文件无法按时解密外，投标文件未按时解密的，视为未按规定提交投标文件。</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23FC94CD">
            <w:pPr>
              <w:pStyle w:val="49"/>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29.1</w:t>
            </w:r>
          </w:p>
        </w:tc>
        <w:tc>
          <w:tcPr>
            <w:tcW w:w="1738" w:type="dxa"/>
            <w:vAlign w:val="center"/>
          </w:tcPr>
          <w:p w14:paraId="5A1E858C">
            <w:pPr>
              <w:pStyle w:val="4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评标方法</w:t>
            </w:r>
          </w:p>
        </w:tc>
        <w:tc>
          <w:tcPr>
            <w:tcW w:w="6700" w:type="dxa"/>
            <w:vAlign w:val="center"/>
          </w:tcPr>
          <w:p w14:paraId="49F2488F">
            <w:pPr>
              <w:pStyle w:val="4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lang w:val="en-US" w:eastAsia="zh-CN"/>
              </w:rPr>
              <w:t>综合评分法</w:t>
            </w:r>
          </w:p>
          <w:p w14:paraId="63A64BEE">
            <w:pPr>
              <w:pStyle w:val="4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42D57B39">
            <w:pPr>
              <w:pStyle w:val="49"/>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p>
        </w:tc>
        <w:tc>
          <w:tcPr>
            <w:tcW w:w="1738" w:type="dxa"/>
            <w:vAlign w:val="center"/>
          </w:tcPr>
          <w:p w14:paraId="109515DE">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推荐中标候选人</w:t>
            </w:r>
          </w:p>
        </w:tc>
        <w:tc>
          <w:tcPr>
            <w:tcW w:w="6700" w:type="dxa"/>
            <w:vAlign w:val="center"/>
          </w:tcPr>
          <w:p w14:paraId="0DB0E73E">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中标候选人数量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3  </w:t>
            </w:r>
            <w:r>
              <w:rPr>
                <w:rFonts w:hint="eastAsia" w:ascii="仿宋" w:hAnsi="仿宋" w:eastAsia="仿宋" w:cs="仿宋"/>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EEEE9B4">
            <w:pPr>
              <w:pStyle w:val="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.1</w:t>
            </w:r>
          </w:p>
        </w:tc>
        <w:tc>
          <w:tcPr>
            <w:tcW w:w="1738" w:type="dxa"/>
            <w:vAlign w:val="center"/>
          </w:tcPr>
          <w:p w14:paraId="266C355B">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确定中标人</w:t>
            </w:r>
          </w:p>
        </w:tc>
        <w:tc>
          <w:tcPr>
            <w:tcW w:w="6700" w:type="dxa"/>
            <w:vAlign w:val="center"/>
          </w:tcPr>
          <w:p w14:paraId="3AF868A2">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采购人按评审报告中推荐的中标候选人排序确定中标人。</w:t>
            </w:r>
          </w:p>
          <w:p w14:paraId="0911185A">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10" w:hRule="atLeast"/>
        </w:trPr>
        <w:tc>
          <w:tcPr>
            <w:tcW w:w="970" w:type="dxa"/>
            <w:vAlign w:val="center"/>
          </w:tcPr>
          <w:p w14:paraId="7325020F">
            <w:pPr>
              <w:pStyle w:val="49"/>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30.2</w:t>
            </w:r>
          </w:p>
          <w:p w14:paraId="55F094A5">
            <w:pPr>
              <w:pStyle w:val="49"/>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30.3</w:t>
            </w:r>
          </w:p>
        </w:tc>
        <w:tc>
          <w:tcPr>
            <w:tcW w:w="1738" w:type="dxa"/>
            <w:vAlign w:val="center"/>
          </w:tcPr>
          <w:p w14:paraId="1B13E6FA">
            <w:pPr>
              <w:pStyle w:val="49"/>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bidi="ar"/>
              </w:rPr>
              <w:t>提供相同品牌产品的不同投标人确定中标候选人的规定</w:t>
            </w:r>
          </w:p>
        </w:tc>
        <w:tc>
          <w:tcPr>
            <w:tcW w:w="6700" w:type="dxa"/>
            <w:vAlign w:val="center"/>
          </w:tcPr>
          <w:p w14:paraId="1B566793">
            <w:pPr>
              <w:pStyle w:val="49"/>
              <w:ind w:firstLine="480" w:firstLineChars="200"/>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仿宋" w:hAnsi="仿宋" w:eastAsia="仿宋" w:cs="仿宋"/>
                <w:color w:val="auto"/>
                <w:kern w:val="0"/>
                <w:sz w:val="24"/>
                <w:szCs w:val="24"/>
                <w:highlight w:val="none"/>
                <w:u w:val="single"/>
                <w:lang w:val="en-US" w:eastAsia="zh-CN"/>
              </w:rPr>
              <w:t>“技术指标较优的一方为中标人的方式确定一个投标人获得中标人推荐资格”</w:t>
            </w:r>
            <w:r>
              <w:rPr>
                <w:rFonts w:hint="eastAsia" w:ascii="仿宋" w:hAnsi="仿宋" w:eastAsia="仿宋" w:cs="仿宋"/>
                <w:color w:val="auto"/>
                <w:kern w:val="0"/>
                <w:sz w:val="24"/>
                <w:szCs w:val="24"/>
                <w:highlight w:val="none"/>
                <w:lang w:val="en-US" w:eastAsia="zh-CN" w:bidi="ar"/>
              </w:rPr>
              <w:t>方式确定一个投标人获得中标人推荐资格，其他同品牌投标人不作为中标候选人。</w:t>
            </w:r>
          </w:p>
          <w:p w14:paraId="0F6B6850">
            <w:pPr>
              <w:pStyle w:val="49"/>
              <w:ind w:firstLine="480" w:firstLineChars="200"/>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1D722A96">
            <w:pPr>
              <w:pStyle w:val="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w:t>
            </w:r>
          </w:p>
        </w:tc>
        <w:tc>
          <w:tcPr>
            <w:tcW w:w="1738" w:type="dxa"/>
            <w:vAlign w:val="center"/>
          </w:tcPr>
          <w:p w14:paraId="0A6B190B">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履约保证金</w:t>
            </w:r>
          </w:p>
        </w:tc>
        <w:tc>
          <w:tcPr>
            <w:tcW w:w="6700" w:type="dxa"/>
            <w:vAlign w:val="center"/>
          </w:tcPr>
          <w:p w14:paraId="52B73BFF">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金额：</w:t>
            </w:r>
          </w:p>
          <w:p w14:paraId="2D4AA05F">
            <w:pPr>
              <w:pStyle w:val="49"/>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□免收</w:t>
            </w:r>
          </w:p>
          <w:p w14:paraId="185FFD88">
            <w:pPr>
              <w:pStyle w:val="49"/>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合同价的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8</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DCA35D2">
            <w:pPr>
              <w:pStyle w:val="49"/>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□定额收取：人民币              元</w:t>
            </w:r>
          </w:p>
          <w:p w14:paraId="78911AAD">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支付方式：</w:t>
            </w:r>
          </w:p>
          <w:p w14:paraId="75A1A5BD">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中标供应商须在签订合同15日内按合同总金额8%向采购人缴纳履约保证金；保函有效期不得低于履约时间，履约完成后自动失效。</w:t>
            </w:r>
          </w:p>
          <w:p w14:paraId="7684A549">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3.</w:t>
            </w:r>
            <w:r>
              <w:rPr>
                <w:rFonts w:hint="eastAsia" w:ascii="仿宋" w:hAnsi="仿宋" w:eastAsia="仿宋" w:cs="仿宋"/>
                <w:color w:val="auto"/>
                <w:sz w:val="24"/>
                <w:szCs w:val="24"/>
                <w:highlight w:val="none"/>
              </w:rPr>
              <w:t>收取单位：</w:t>
            </w:r>
            <w:r>
              <w:rPr>
                <w:rFonts w:hint="eastAsia" w:ascii="仿宋" w:hAnsi="仿宋" w:eastAsia="仿宋" w:cs="仿宋"/>
                <w:color w:val="auto"/>
                <w:sz w:val="24"/>
                <w:highlight w:val="none"/>
                <w:u w:val="none"/>
                <w:lang w:val="en-US" w:eastAsia="zh-CN"/>
              </w:rPr>
              <w:t>新疆理工职业大学</w:t>
            </w:r>
            <w:r>
              <w:rPr>
                <w:rFonts w:hint="eastAsia" w:ascii="仿宋" w:hAnsi="仿宋" w:eastAsia="仿宋" w:cs="仿宋"/>
                <w:color w:val="auto"/>
                <w:sz w:val="24"/>
                <w:szCs w:val="24"/>
                <w:highlight w:val="none"/>
              </w:rPr>
              <w:t xml:space="preserve">                            </w:t>
            </w:r>
          </w:p>
          <w:p w14:paraId="57F1F191">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4.收取账号：/</w:t>
            </w:r>
            <w:r>
              <w:rPr>
                <w:rFonts w:hint="eastAsia" w:ascii="仿宋" w:hAnsi="仿宋" w:eastAsia="仿宋" w:cs="仿宋"/>
                <w:color w:val="auto"/>
                <w:sz w:val="24"/>
                <w:szCs w:val="24"/>
                <w:highlight w:val="none"/>
              </w:rPr>
              <w:t xml:space="preserve">              </w:t>
            </w:r>
          </w:p>
          <w:p w14:paraId="25EB0A30">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5.</w:t>
            </w:r>
            <w:r>
              <w:rPr>
                <w:rFonts w:hint="eastAsia" w:ascii="仿宋" w:hAnsi="仿宋" w:eastAsia="仿宋" w:cs="仿宋"/>
                <w:color w:val="auto"/>
                <w:sz w:val="24"/>
                <w:szCs w:val="24"/>
                <w:highlight w:val="none"/>
              </w:rPr>
              <w:t>退还时间：</w:t>
            </w:r>
            <w:r>
              <w:rPr>
                <w:rFonts w:hint="eastAsia" w:ascii="仿宋" w:hAnsi="仿宋" w:eastAsia="仿宋" w:cs="仿宋"/>
                <w:color w:val="auto"/>
                <w:kern w:val="2"/>
                <w:sz w:val="24"/>
                <w:szCs w:val="24"/>
                <w:highlight w:val="none"/>
                <w:lang w:val="en-US" w:eastAsia="zh-CN" w:bidi="ar-SA"/>
              </w:rPr>
              <w:t>履约完成后自动失效</w:t>
            </w:r>
            <w:r>
              <w:rPr>
                <w:rFonts w:hint="eastAsia" w:ascii="仿宋" w:hAnsi="仿宋" w:eastAsia="仿宋" w:cs="仿宋"/>
                <w:color w:val="auto"/>
                <w:sz w:val="24"/>
                <w:szCs w:val="24"/>
                <w:highlight w:val="none"/>
              </w:rPr>
              <w:t xml:space="preserve">              </w:t>
            </w:r>
          </w:p>
          <w:p w14:paraId="240A26ED">
            <w:pPr>
              <w:pStyle w:val="4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注意事项：</w:t>
            </w:r>
          </w:p>
          <w:p w14:paraId="47055994">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以上各类机构出具的以担保函、保证保险承担责任的方式均须满足无条件见索即付条件。</w:t>
            </w:r>
          </w:p>
          <w:p w14:paraId="34EFF32F">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9" w:hRule="atLeast"/>
        </w:trPr>
        <w:tc>
          <w:tcPr>
            <w:tcW w:w="970" w:type="dxa"/>
            <w:vAlign w:val="center"/>
          </w:tcPr>
          <w:p w14:paraId="600814BC">
            <w:pPr>
              <w:pStyle w:val="49"/>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34.5</w:t>
            </w:r>
          </w:p>
        </w:tc>
        <w:tc>
          <w:tcPr>
            <w:tcW w:w="1738" w:type="dxa"/>
            <w:vAlign w:val="center"/>
          </w:tcPr>
          <w:p w14:paraId="74D19386">
            <w:pPr>
              <w:pStyle w:val="4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中标后分包</w:t>
            </w:r>
          </w:p>
        </w:tc>
        <w:tc>
          <w:tcPr>
            <w:tcW w:w="6700" w:type="dxa"/>
            <w:vAlign w:val="center"/>
          </w:tcPr>
          <w:p w14:paraId="4344EC45">
            <w:pPr>
              <w:pStyle w:val="4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本项目的非主体、非关键性工作是否允许分包： </w:t>
            </w:r>
          </w:p>
          <w:p w14:paraId="3D901FC0">
            <w:pPr>
              <w:pStyle w:val="4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☑不允许 </w:t>
            </w:r>
          </w:p>
          <w:p w14:paraId="2F04DF99">
            <w:pPr>
              <w:pStyle w:val="4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□允许，具体要求：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49"/>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35.1</w:t>
            </w:r>
          </w:p>
        </w:tc>
        <w:tc>
          <w:tcPr>
            <w:tcW w:w="1738" w:type="dxa"/>
            <w:vAlign w:val="center"/>
          </w:tcPr>
          <w:p w14:paraId="6B25F509">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质疑</w:t>
            </w:r>
          </w:p>
        </w:tc>
        <w:tc>
          <w:tcPr>
            <w:tcW w:w="6700" w:type="dxa"/>
            <w:vAlign w:val="center"/>
          </w:tcPr>
          <w:p w14:paraId="3062F555">
            <w:pPr>
              <w:pStyle w:val="57"/>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递交方式：</w:t>
            </w:r>
            <w:r>
              <w:rPr>
                <w:rFonts w:hint="eastAsia" w:ascii="仿宋" w:hAnsi="仿宋" w:eastAsia="仿宋" w:cs="仿宋"/>
                <w:color w:val="auto"/>
                <w:kern w:val="2"/>
                <w:sz w:val="24"/>
                <w:szCs w:val="24"/>
                <w:highlight w:val="none"/>
                <w:u w:val="single"/>
                <w:lang w:val="zh-CN" w:eastAsia="zh-CN" w:bidi="ar-SA"/>
              </w:rPr>
              <w:t>①对采购文件提出质疑的，应当在获取采购文件或者采购文件公告期限届满之日起7个工作日内提出，供应商应在法定质疑期内一次性提出所有质疑事项。②质疑函</w:t>
            </w:r>
            <w:r>
              <w:rPr>
                <w:rFonts w:hint="eastAsia" w:ascii="仿宋_GB2312" w:hAnsi="仿宋_GB2312" w:eastAsia="仿宋_GB2312" w:cs="仿宋_GB2312"/>
                <w:sz w:val="24"/>
                <w:highlight w:val="none"/>
                <w:u w:val="single"/>
              </w:rPr>
              <w:t>（按照财政部94号令要求）、授权委托书及报名成功截图PDF扫描件发送至代理机构邮箱，以上资料原件邮寄或送至代理机构。</w:t>
            </w:r>
            <w:r>
              <w:rPr>
                <w:rFonts w:hint="eastAsia" w:ascii="仿宋" w:hAnsi="仿宋" w:eastAsia="仿宋" w:cs="仿宋"/>
                <w:color w:val="auto"/>
                <w:kern w:val="2"/>
                <w:sz w:val="24"/>
                <w:szCs w:val="24"/>
                <w:highlight w:val="none"/>
                <w:u w:val="single"/>
                <w:lang w:val="zh-CN" w:eastAsia="zh-CN" w:bidi="ar-SA"/>
              </w:rPr>
              <w:t>采购代理机构将在收到质疑函后7个工作日内作出答复，并以书面形式通知质疑供应商。</w:t>
            </w:r>
            <w:r>
              <w:rPr>
                <w:rFonts w:hint="eastAsia" w:ascii="仿宋" w:hAnsi="仿宋" w:eastAsia="仿宋" w:cs="仿宋"/>
                <w:color w:val="auto"/>
                <w:kern w:val="2"/>
                <w:sz w:val="24"/>
                <w:szCs w:val="24"/>
                <w:highlight w:val="none"/>
                <w:lang w:val="zh-CN" w:eastAsia="zh-CN" w:bidi="ar-SA"/>
              </w:rPr>
              <w:t xml:space="preserve">           </w:t>
            </w:r>
          </w:p>
          <w:p w14:paraId="6BF58C62">
            <w:pPr>
              <w:pStyle w:val="57"/>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接收部门：</w:t>
            </w:r>
            <w:r>
              <w:rPr>
                <w:rFonts w:hint="eastAsia" w:ascii="仿宋_GB2312" w:hAnsi="仿宋_GB2312" w:eastAsia="仿宋_GB2312" w:cs="仿宋_GB2312"/>
                <w:sz w:val="24"/>
                <w:highlight w:val="none"/>
                <w:u w:val="single"/>
              </w:rPr>
              <w:t>新疆世纪星工程咨询有限公司招标部</w:t>
            </w:r>
            <w:r>
              <w:rPr>
                <w:rFonts w:hint="eastAsia" w:ascii="仿宋" w:hAnsi="仿宋" w:eastAsia="仿宋" w:cs="仿宋"/>
                <w:color w:val="auto"/>
                <w:kern w:val="2"/>
                <w:sz w:val="24"/>
                <w:szCs w:val="24"/>
                <w:highlight w:val="none"/>
                <w:lang w:val="zh-CN" w:eastAsia="zh-CN" w:bidi="ar-SA"/>
              </w:rPr>
              <w:t xml:space="preserve">              </w:t>
            </w:r>
          </w:p>
          <w:p w14:paraId="385D5F39">
            <w:pPr>
              <w:pStyle w:val="57"/>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联系电话：</w:t>
            </w:r>
            <w:r>
              <w:rPr>
                <w:rFonts w:hint="eastAsia" w:ascii="仿宋_GB2312" w:hAnsi="仿宋_GB2312" w:eastAsia="仿宋_GB2312" w:cs="仿宋_GB2312"/>
                <w:sz w:val="24"/>
                <w:highlight w:val="none"/>
                <w:u w:val="single"/>
              </w:rPr>
              <w:t>李春雪、</w:t>
            </w:r>
            <w:r>
              <w:rPr>
                <w:rFonts w:hint="eastAsia" w:ascii="仿宋_GB2312" w:hAnsi="仿宋_GB2312" w:eastAsia="仿宋_GB2312" w:cs="仿宋_GB2312"/>
                <w:sz w:val="24"/>
                <w:highlight w:val="none"/>
                <w:u w:val="single"/>
                <w:lang w:val="en-US" w:eastAsia="zh-CN"/>
              </w:rPr>
              <w:t>马莉</w:t>
            </w:r>
            <w:r>
              <w:rPr>
                <w:rFonts w:hint="eastAsia" w:ascii="仿宋_GB2312" w:hAnsi="仿宋_GB2312" w:eastAsia="仿宋_GB2312" w:cs="仿宋_GB2312"/>
                <w:sz w:val="24"/>
                <w:highlight w:val="none"/>
                <w:u w:val="single"/>
              </w:rPr>
              <w:t xml:space="preserve">  0991-3678303 </w:t>
            </w:r>
            <w:r>
              <w:rPr>
                <w:rFonts w:hint="eastAsia" w:ascii="仿宋" w:hAnsi="仿宋" w:eastAsia="仿宋" w:cs="仿宋"/>
                <w:color w:val="auto"/>
                <w:kern w:val="2"/>
                <w:sz w:val="24"/>
                <w:szCs w:val="24"/>
                <w:highlight w:val="none"/>
                <w:lang w:val="zh-CN" w:eastAsia="zh-CN" w:bidi="ar-SA"/>
              </w:rPr>
              <w:t xml:space="preserve">              </w:t>
            </w:r>
          </w:p>
          <w:p w14:paraId="30211831">
            <w:pPr>
              <w:pStyle w:val="57"/>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通讯地址：</w:t>
            </w:r>
            <w:r>
              <w:rPr>
                <w:rFonts w:hint="eastAsia" w:ascii="仿宋_GB2312" w:hAnsi="仿宋_GB2312" w:eastAsia="仿宋_GB2312" w:cs="仿宋_GB2312"/>
                <w:sz w:val="24"/>
                <w:highlight w:val="none"/>
                <w:u w:val="single"/>
              </w:rPr>
              <w:t>乌鲁木齐市黄山街一品九点阳光德港大厦B座20楼</w:t>
            </w:r>
            <w:r>
              <w:rPr>
                <w:rFonts w:hint="eastAsia" w:ascii="仿宋" w:hAnsi="仿宋" w:eastAsia="仿宋" w:cs="仿宋"/>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29" w:hRule="atLeast"/>
        </w:trPr>
        <w:tc>
          <w:tcPr>
            <w:tcW w:w="970" w:type="dxa"/>
            <w:vAlign w:val="center"/>
          </w:tcPr>
          <w:p w14:paraId="422A3CDD">
            <w:pPr>
              <w:pStyle w:val="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w:t>
            </w:r>
          </w:p>
        </w:tc>
        <w:tc>
          <w:tcPr>
            <w:tcW w:w="1738" w:type="dxa"/>
            <w:vAlign w:val="center"/>
          </w:tcPr>
          <w:p w14:paraId="1782DE51">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采购代理服务费</w:t>
            </w:r>
          </w:p>
        </w:tc>
        <w:tc>
          <w:tcPr>
            <w:tcW w:w="6700" w:type="dxa"/>
            <w:vAlign w:val="center"/>
          </w:tcPr>
          <w:p w14:paraId="0AC4C8BA">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收</w:t>
            </w:r>
            <w:r>
              <w:rPr>
                <w:rFonts w:hint="eastAsia" w:ascii="仿宋" w:hAnsi="仿宋" w:eastAsia="仿宋" w:cs="仿宋"/>
                <w:color w:val="auto"/>
                <w:sz w:val="24"/>
                <w:szCs w:val="24"/>
                <w:highlight w:val="none"/>
              </w:rPr>
              <w:t>费</w:t>
            </w:r>
            <w:r>
              <w:rPr>
                <w:rFonts w:hint="eastAsia" w:ascii="仿宋" w:hAnsi="仿宋" w:eastAsia="仿宋" w:cs="仿宋"/>
                <w:color w:val="auto"/>
                <w:sz w:val="24"/>
                <w:szCs w:val="24"/>
                <w:highlight w:val="none"/>
                <w:lang w:val="en-US" w:eastAsia="zh-CN"/>
              </w:rPr>
              <w:t>对象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采购人支付 </w:t>
            </w: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 xml:space="preserve">中标人支付 </w:t>
            </w:r>
          </w:p>
          <w:p w14:paraId="49FB61CE">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收费</w:t>
            </w:r>
            <w:r>
              <w:rPr>
                <w:rFonts w:hint="eastAsia" w:ascii="仿宋" w:hAnsi="仿宋" w:eastAsia="仿宋" w:cs="仿宋"/>
                <w:color w:val="auto"/>
                <w:sz w:val="24"/>
                <w:szCs w:val="24"/>
                <w:highlight w:val="none"/>
              </w:rPr>
              <w:t>标准：</w:t>
            </w:r>
            <w:r>
              <w:rPr>
                <w:rFonts w:hint="eastAsia" w:ascii="仿宋" w:hAnsi="仿宋" w:eastAsia="仿宋" w:cs="仿宋"/>
                <w:color w:val="auto"/>
                <w:sz w:val="24"/>
                <w:szCs w:val="24"/>
                <w:highlight w:val="none"/>
                <w:u w:val="single"/>
                <w:lang w:val="en-US" w:eastAsia="zh-CN"/>
              </w:rPr>
              <w:t>参照</w:t>
            </w:r>
            <w:r>
              <w:rPr>
                <w:rFonts w:hint="eastAsia" w:ascii="仿宋_GB2312" w:hAnsi="仿宋_GB2312" w:eastAsia="仿宋_GB2312" w:cs="仿宋_GB2312"/>
                <w:kern w:val="2"/>
                <w:sz w:val="24"/>
                <w:szCs w:val="24"/>
                <w:highlight w:val="none"/>
                <w:u w:val="single"/>
              </w:rPr>
              <w:t>原国家计委计价格【2002】1980号文的计算方法下浮</w:t>
            </w:r>
            <w:r>
              <w:rPr>
                <w:rFonts w:hint="eastAsia" w:ascii="仿宋_GB2312" w:hAnsi="仿宋_GB2312" w:eastAsia="仿宋_GB2312" w:cs="仿宋_GB2312"/>
                <w:kern w:val="2"/>
                <w:sz w:val="24"/>
                <w:szCs w:val="24"/>
                <w:highlight w:val="none"/>
                <w:u w:val="single"/>
                <w:lang w:val="en-US" w:eastAsia="zh-CN"/>
              </w:rPr>
              <w:t>45</w:t>
            </w:r>
            <w:r>
              <w:rPr>
                <w:rFonts w:hint="eastAsia" w:ascii="仿宋_GB2312" w:hAnsi="仿宋_GB2312" w:eastAsia="仿宋_GB2312" w:cs="仿宋_GB2312"/>
                <w:kern w:val="2"/>
                <w:sz w:val="24"/>
                <w:szCs w:val="24"/>
                <w:highlight w:val="none"/>
                <w:u w:val="single"/>
              </w:rPr>
              <w:t>%进行收取</w:t>
            </w:r>
            <w:r>
              <w:rPr>
                <w:rFonts w:hint="eastAsia" w:ascii="仿宋" w:hAnsi="仿宋" w:eastAsia="仿宋" w:cs="仿宋"/>
                <w:color w:val="auto"/>
                <w:sz w:val="24"/>
                <w:szCs w:val="24"/>
                <w:highlight w:val="none"/>
                <w:u w:val="single"/>
                <w:lang w:val="en-US" w:eastAsia="zh-CN"/>
              </w:rPr>
              <w:t>。</w:t>
            </w:r>
          </w:p>
          <w:p w14:paraId="7BD9A6DE">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收取</w:t>
            </w:r>
            <w:r>
              <w:rPr>
                <w:rFonts w:hint="eastAsia" w:ascii="仿宋" w:hAnsi="仿宋" w:eastAsia="仿宋" w:cs="仿宋"/>
                <w:color w:val="auto"/>
                <w:sz w:val="24"/>
                <w:szCs w:val="24"/>
                <w:highlight w:val="none"/>
              </w:rPr>
              <w:t>时间：</w:t>
            </w:r>
            <w:r>
              <w:rPr>
                <w:rFonts w:hint="eastAsia" w:ascii="仿宋_GB2312" w:hAnsi="仿宋_GB2312" w:eastAsia="仿宋_GB2312" w:cs="仿宋_GB2312"/>
                <w:kern w:val="2"/>
                <w:sz w:val="24"/>
                <w:szCs w:val="24"/>
                <w:highlight w:val="none"/>
                <w:u w:val="single"/>
              </w:rPr>
              <w:t>在中标人领取中标通知书时，由中标人向采购代理机构一次性支付全部招标代理服务费</w:t>
            </w:r>
          </w:p>
          <w:p w14:paraId="46B02065">
            <w:pPr>
              <w:pStyle w:val="49"/>
              <w:rPr>
                <w:rFonts w:hint="eastAsia" w:ascii="仿宋_GB2312" w:hAnsi="仿宋_GB2312" w:eastAsia="仿宋_GB2312" w:cs="仿宋_GB2312"/>
                <w:kern w:val="2"/>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收取</w:t>
            </w:r>
            <w:r>
              <w:rPr>
                <w:rFonts w:hint="eastAsia" w:ascii="仿宋" w:hAnsi="仿宋" w:eastAsia="仿宋" w:cs="仿宋"/>
                <w:color w:val="auto"/>
                <w:sz w:val="24"/>
                <w:szCs w:val="24"/>
                <w:highlight w:val="none"/>
              </w:rPr>
              <w:t>方式：</w:t>
            </w:r>
            <w:r>
              <w:rPr>
                <w:rFonts w:hint="eastAsia" w:ascii="仿宋_GB2312" w:hAnsi="仿宋_GB2312" w:eastAsia="仿宋_GB2312" w:cs="仿宋_GB2312"/>
                <w:kern w:val="2"/>
                <w:sz w:val="24"/>
                <w:szCs w:val="24"/>
                <w:highlight w:val="none"/>
                <w:u w:val="single"/>
              </w:rPr>
              <w:t>以电汇、转账、网银的方式缴纳至招标代理账户</w:t>
            </w:r>
          </w:p>
          <w:p w14:paraId="27C858AB">
            <w:pPr>
              <w:pStyle w:val="49"/>
              <w:rPr>
                <w:rFonts w:hint="eastAsia" w:ascii="仿宋_GB2312" w:hAnsi="仿宋_GB2312" w:eastAsia="仿宋_GB2312" w:cs="仿宋_GB2312"/>
                <w:kern w:val="2"/>
                <w:sz w:val="24"/>
                <w:szCs w:val="24"/>
                <w:highlight w:val="none"/>
                <w:u w:val="single"/>
              </w:rPr>
            </w:pPr>
            <w:r>
              <w:rPr>
                <w:rFonts w:hint="eastAsia" w:ascii="仿宋_GB2312" w:hAnsi="仿宋_GB2312" w:eastAsia="仿宋_GB2312" w:cs="仿宋_GB2312"/>
                <w:kern w:val="2"/>
                <w:sz w:val="24"/>
                <w:szCs w:val="24"/>
                <w:highlight w:val="none"/>
                <w:u w:val="single"/>
              </w:rPr>
              <w:t>收款单位全称：新疆世纪星工程咨询有限公司</w:t>
            </w:r>
          </w:p>
          <w:p w14:paraId="29FA1FFD">
            <w:pPr>
              <w:pStyle w:val="49"/>
              <w:rPr>
                <w:rFonts w:hint="eastAsia" w:ascii="仿宋_GB2312" w:hAnsi="仿宋_GB2312" w:eastAsia="仿宋_GB2312" w:cs="仿宋_GB2312"/>
                <w:kern w:val="2"/>
                <w:sz w:val="24"/>
                <w:szCs w:val="24"/>
                <w:highlight w:val="none"/>
                <w:u w:val="single"/>
              </w:rPr>
            </w:pPr>
            <w:r>
              <w:rPr>
                <w:rFonts w:hint="eastAsia" w:ascii="仿宋_GB2312" w:hAnsi="仿宋_GB2312" w:eastAsia="仿宋_GB2312" w:cs="仿宋_GB2312"/>
                <w:kern w:val="2"/>
                <w:sz w:val="24"/>
                <w:szCs w:val="24"/>
                <w:highlight w:val="none"/>
                <w:u w:val="single"/>
              </w:rPr>
              <w:t>开户行：交通银行股份有限公司乌鲁木齐卫星路支行</w:t>
            </w:r>
          </w:p>
          <w:p w14:paraId="6867FB0C">
            <w:pPr>
              <w:pStyle w:val="49"/>
              <w:rPr>
                <w:rFonts w:hint="eastAsia" w:ascii="仿宋_GB2312" w:hAnsi="仿宋_GB2312" w:eastAsia="仿宋_GB2312" w:cs="仿宋_GB2312"/>
                <w:kern w:val="2"/>
                <w:sz w:val="24"/>
                <w:szCs w:val="24"/>
                <w:highlight w:val="none"/>
                <w:u w:val="single"/>
              </w:rPr>
            </w:pPr>
            <w:r>
              <w:rPr>
                <w:rFonts w:hint="eastAsia" w:ascii="仿宋_GB2312" w:hAnsi="仿宋_GB2312" w:eastAsia="仿宋_GB2312" w:cs="仿宋_GB2312"/>
                <w:kern w:val="2"/>
                <w:sz w:val="24"/>
                <w:szCs w:val="24"/>
                <w:highlight w:val="none"/>
                <w:u w:val="single"/>
              </w:rPr>
              <w:t>银行账号：651651056018800020157</w:t>
            </w:r>
          </w:p>
          <w:p w14:paraId="329AFD4C">
            <w:pPr>
              <w:pStyle w:val="49"/>
              <w:rPr>
                <w:rFonts w:hint="eastAsia" w:ascii="仿宋" w:hAnsi="仿宋" w:eastAsia="仿宋" w:cs="仿宋"/>
                <w:color w:val="auto"/>
                <w:sz w:val="24"/>
                <w:szCs w:val="24"/>
                <w:highlight w:val="none"/>
              </w:rPr>
            </w:pPr>
            <w:r>
              <w:rPr>
                <w:rFonts w:hint="eastAsia" w:ascii="仿宋_GB2312" w:hAnsi="仿宋_GB2312" w:eastAsia="仿宋_GB2312" w:cs="仿宋_GB2312"/>
                <w:kern w:val="2"/>
                <w:sz w:val="24"/>
                <w:szCs w:val="24"/>
                <w:highlight w:val="none"/>
                <w:u w:val="single"/>
                <w:lang w:val="en-US" w:eastAsia="zh-CN"/>
              </w:rPr>
              <w:t>注：此账号为缴纳代理服务费专用账户</w:t>
            </w:r>
            <w:r>
              <w:rPr>
                <w:rFonts w:hint="eastAsia" w:ascii="仿宋_GB2312" w:hAnsi="仿宋_GB2312" w:eastAsia="仿宋_GB2312" w:cs="仿宋_GB2312"/>
                <w:kern w:val="2"/>
                <w:sz w:val="24"/>
                <w:szCs w:val="24"/>
                <w:highlight w:val="none"/>
                <w:u w:val="single"/>
                <w:lang w:eastAsia="zh-CN"/>
              </w:rPr>
              <w:t>。</w:t>
            </w:r>
          </w:p>
        </w:tc>
      </w:tr>
      <w:tr w14:paraId="501D2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688159B2">
            <w:pPr>
              <w:pStyle w:val="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41.1</w:t>
            </w:r>
          </w:p>
        </w:tc>
        <w:tc>
          <w:tcPr>
            <w:tcW w:w="1738" w:type="dxa"/>
            <w:vAlign w:val="center"/>
          </w:tcPr>
          <w:p w14:paraId="5EBF982D">
            <w:pPr>
              <w:pStyle w:val="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支持本国产品政策</w:t>
            </w:r>
          </w:p>
        </w:tc>
        <w:tc>
          <w:tcPr>
            <w:tcW w:w="6700" w:type="dxa"/>
            <w:vAlign w:val="center"/>
          </w:tcPr>
          <w:p w14:paraId="5874193E">
            <w:pPr>
              <w:pStyle w:val="70"/>
              <w:widowControl w:val="0"/>
              <w:spacing w:before="0" w:beforeAutospacing="0" w:after="0" w:afterAutospacing="0" w:line="240" w:lineRule="auto"/>
              <w:jc w:val="both"/>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bidi="ar-SA"/>
              </w:rPr>
              <w:t>对符合本国产品标准的，依法对本国产品给予价格评审优惠，用扣除后的价格参与评审。</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F1BF374">
            <w:pPr>
              <w:pStyle w:val="49"/>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p>
        </w:tc>
        <w:tc>
          <w:tcPr>
            <w:tcW w:w="1738" w:type="dxa"/>
            <w:vAlign w:val="center"/>
          </w:tcPr>
          <w:p w14:paraId="5D860FC6">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是否接受进口产品</w:t>
            </w:r>
          </w:p>
        </w:tc>
        <w:tc>
          <w:tcPr>
            <w:tcW w:w="6700" w:type="dxa"/>
            <w:vAlign w:val="center"/>
          </w:tcPr>
          <w:p w14:paraId="438B47DA">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不接受</w:t>
            </w:r>
          </w:p>
          <w:p w14:paraId="1481386A">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06648806">
            <w:pPr>
              <w:pStyle w:val="49"/>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2</w:t>
            </w:r>
          </w:p>
        </w:tc>
        <w:tc>
          <w:tcPr>
            <w:tcW w:w="1738" w:type="dxa"/>
            <w:shd w:val="clear" w:color="auto" w:fill="auto"/>
            <w:vAlign w:val="center"/>
          </w:tcPr>
          <w:p w14:paraId="34AA4482">
            <w:pPr>
              <w:pStyle w:val="4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支持中小企业政策</w:t>
            </w:r>
            <w:r>
              <w:rPr>
                <w:rStyle w:val="32"/>
                <w:rFonts w:hint="eastAsia" w:ascii="仿宋" w:hAnsi="仿宋" w:eastAsia="仿宋" w:cs="仿宋"/>
                <w:b w:val="0"/>
                <w:color w:val="auto"/>
                <w:sz w:val="24"/>
                <w:szCs w:val="24"/>
                <w:highlight w:val="none"/>
                <w:lang w:val="en-US" w:eastAsia="zh-CN"/>
              </w:rPr>
              <w:t>（非专门面向中小企业采购项目适用）</w:t>
            </w:r>
          </w:p>
        </w:tc>
        <w:tc>
          <w:tcPr>
            <w:tcW w:w="6700" w:type="dxa"/>
            <w:shd w:val="clear" w:color="auto" w:fill="auto"/>
            <w:vAlign w:val="center"/>
          </w:tcPr>
          <w:p w14:paraId="1A31C338">
            <w:pPr>
              <w:pStyle w:val="70"/>
              <w:widowControl w:val="0"/>
              <w:numPr>
                <w:ilvl w:val="0"/>
                <w:numId w:val="3"/>
              </w:numPr>
              <w:spacing w:before="0" w:beforeAutospacing="0" w:after="0" w:afterAutospacing="0" w:line="240" w:lineRule="auto"/>
              <w:ind w:left="120" w:firstLine="0"/>
              <w:jc w:val="both"/>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小型和微型企业价格扣除：</w:t>
            </w:r>
            <w:r>
              <w:rPr>
                <w:rFonts w:hint="eastAsia" w:ascii="仿宋" w:hAnsi="仿宋" w:eastAsia="仿宋" w:cs="仿宋"/>
                <w:b w:val="0"/>
                <w:color w:val="auto"/>
                <w:sz w:val="24"/>
                <w:szCs w:val="24"/>
                <w:highlight w:val="none"/>
                <w:u w:val="single"/>
                <w:lang w:val="en-US" w:eastAsia="zh-CN"/>
              </w:rPr>
              <w:t>10%</w:t>
            </w:r>
            <w:r>
              <w:rPr>
                <w:rFonts w:hint="eastAsia" w:ascii="仿宋" w:hAnsi="仿宋" w:eastAsia="仿宋" w:cs="仿宋"/>
                <w:b w:val="0"/>
                <w:color w:val="auto"/>
                <w:sz w:val="24"/>
                <w:szCs w:val="24"/>
                <w:highlight w:val="none"/>
              </w:rPr>
              <w:t>。</w:t>
            </w:r>
          </w:p>
          <w:p w14:paraId="027AEC63">
            <w:pPr>
              <w:pStyle w:val="70"/>
              <w:widowControl w:val="0"/>
              <w:spacing w:before="0" w:beforeAutospacing="0" w:after="0" w:afterAutospacing="0" w:line="240" w:lineRule="auto"/>
              <w:jc w:val="both"/>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val="en-US" w:eastAsia="zh-CN"/>
              </w:rPr>
              <w:t xml:space="preserve"> 2.</w:t>
            </w:r>
            <w:r>
              <w:rPr>
                <w:rFonts w:hint="eastAsia" w:ascii="仿宋" w:hAnsi="仿宋" w:eastAsia="仿宋" w:cs="仿宋"/>
                <w:b w:val="0"/>
                <w:color w:val="auto"/>
                <w:sz w:val="24"/>
                <w:szCs w:val="24"/>
                <w:highlight w:val="none"/>
              </w:rPr>
              <w:t>监狱企业价格扣除：</w:t>
            </w:r>
            <w:r>
              <w:rPr>
                <w:rFonts w:hint="eastAsia" w:ascii="仿宋" w:hAnsi="仿宋" w:eastAsia="仿宋" w:cs="仿宋"/>
                <w:b w:val="0"/>
                <w:color w:val="auto"/>
                <w:sz w:val="24"/>
                <w:szCs w:val="24"/>
                <w:highlight w:val="none"/>
                <w:u w:val="none"/>
              </w:rPr>
              <w:t>同小型和微型企业</w:t>
            </w:r>
            <w:r>
              <w:rPr>
                <w:rFonts w:hint="eastAsia" w:ascii="仿宋" w:hAnsi="仿宋" w:eastAsia="仿宋" w:cs="仿宋"/>
                <w:b w:val="0"/>
                <w:color w:val="auto"/>
                <w:sz w:val="24"/>
                <w:szCs w:val="24"/>
                <w:highlight w:val="none"/>
              </w:rPr>
              <w:t>。</w:t>
            </w:r>
          </w:p>
          <w:p w14:paraId="545555EA">
            <w:pPr>
              <w:pStyle w:val="70"/>
              <w:widowControl w:val="0"/>
              <w:spacing w:before="0" w:beforeAutospacing="0" w:after="0" w:afterAutospacing="0" w:line="240" w:lineRule="auto"/>
              <w:jc w:val="both"/>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val="en-US" w:eastAsia="zh-CN"/>
              </w:rPr>
              <w:t xml:space="preserve"> 3.</w:t>
            </w:r>
            <w:r>
              <w:rPr>
                <w:rFonts w:hint="eastAsia" w:ascii="仿宋" w:hAnsi="仿宋" w:eastAsia="仿宋" w:cs="仿宋"/>
                <w:b w:val="0"/>
                <w:color w:val="auto"/>
                <w:sz w:val="24"/>
                <w:szCs w:val="24"/>
                <w:highlight w:val="none"/>
              </w:rPr>
              <w:t>残疾人福利性单位价格扣除：</w:t>
            </w:r>
            <w:r>
              <w:rPr>
                <w:rFonts w:hint="eastAsia" w:ascii="仿宋" w:hAnsi="仿宋" w:eastAsia="仿宋" w:cs="仿宋"/>
                <w:b w:val="0"/>
                <w:color w:val="auto"/>
                <w:sz w:val="24"/>
                <w:szCs w:val="24"/>
                <w:highlight w:val="none"/>
                <w:u w:val="none"/>
              </w:rPr>
              <w:t>同小型和微型企业</w:t>
            </w:r>
            <w:r>
              <w:rPr>
                <w:rFonts w:hint="eastAsia" w:ascii="仿宋" w:hAnsi="仿宋" w:eastAsia="仿宋" w:cs="仿宋"/>
                <w:b w:val="0"/>
                <w:color w:val="auto"/>
                <w:sz w:val="24"/>
                <w:szCs w:val="24"/>
                <w:highlight w:val="none"/>
              </w:rPr>
              <w:t>。</w:t>
            </w:r>
          </w:p>
          <w:p w14:paraId="37F1050A">
            <w:pPr>
              <w:pStyle w:val="70"/>
              <w:widowControl w:val="0"/>
              <w:spacing w:before="0" w:beforeAutospacing="0" w:after="0" w:afterAutospacing="0" w:line="240" w:lineRule="auto"/>
              <w:jc w:val="both"/>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val="en-US" w:eastAsia="zh-CN"/>
              </w:rPr>
              <w:t xml:space="preserve"> 4.</w:t>
            </w:r>
            <w:r>
              <w:rPr>
                <w:rFonts w:hint="eastAsia" w:ascii="仿宋" w:hAnsi="仿宋" w:eastAsia="仿宋" w:cs="仿宋"/>
                <w:b w:val="0"/>
                <w:color w:val="auto"/>
                <w:sz w:val="24"/>
                <w:szCs w:val="24"/>
                <w:highlight w:val="none"/>
              </w:rPr>
              <w:t>符合条件的联合体价格扣除：</w:t>
            </w:r>
            <w:r>
              <w:rPr>
                <w:rFonts w:hint="eastAsia" w:ascii="仿宋" w:hAnsi="仿宋" w:eastAsia="仿宋" w:cs="仿宋"/>
                <w:b w:val="0"/>
                <w:color w:val="auto"/>
                <w:sz w:val="24"/>
                <w:szCs w:val="24"/>
                <w:highlight w:val="none"/>
                <w:u w:val="single"/>
                <w:lang w:val="en-US" w:eastAsia="zh-CN"/>
              </w:rPr>
              <w:t>/</w:t>
            </w:r>
            <w:r>
              <w:rPr>
                <w:rFonts w:hint="eastAsia" w:ascii="仿宋" w:hAnsi="仿宋" w:eastAsia="仿宋" w:cs="仿宋"/>
                <w:b w:val="0"/>
                <w:color w:val="auto"/>
                <w:sz w:val="24"/>
                <w:szCs w:val="24"/>
                <w:highlight w:val="none"/>
              </w:rPr>
              <w:t>。</w:t>
            </w:r>
          </w:p>
          <w:p w14:paraId="6B911A10">
            <w:pPr>
              <w:pStyle w:val="70"/>
              <w:widowControl w:val="0"/>
              <w:spacing w:before="0" w:beforeAutospacing="0" w:after="0" w:afterAutospacing="0" w:line="240" w:lineRule="auto"/>
              <w:jc w:val="both"/>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color w:val="auto"/>
                <w:sz w:val="24"/>
                <w:szCs w:val="24"/>
                <w:highlight w:val="none"/>
                <w:lang w:val="en-US" w:eastAsia="zh-CN"/>
              </w:rPr>
              <w:t xml:space="preserve"> 5.</w:t>
            </w:r>
            <w:r>
              <w:rPr>
                <w:rFonts w:hint="eastAsia" w:ascii="仿宋" w:hAnsi="仿宋" w:eastAsia="仿宋" w:cs="仿宋"/>
                <w:b w:val="0"/>
                <w:color w:val="auto"/>
                <w:sz w:val="24"/>
                <w:szCs w:val="24"/>
                <w:highlight w:val="none"/>
              </w:rPr>
              <w:t>符合条件的向小微企业分包的大中型企业价格扣除：</w:t>
            </w:r>
            <w:r>
              <w:rPr>
                <w:rFonts w:hint="eastAsia" w:ascii="仿宋" w:hAnsi="仿宋" w:eastAsia="仿宋" w:cs="仿宋"/>
                <w:b w:val="0"/>
                <w:color w:val="auto"/>
                <w:sz w:val="24"/>
                <w:szCs w:val="24"/>
                <w:highlight w:val="none"/>
                <w:u w:val="single"/>
                <w:lang w:val="en-US" w:eastAsia="zh-CN"/>
              </w:rPr>
              <w:t>/</w:t>
            </w:r>
            <w:r>
              <w:rPr>
                <w:rFonts w:hint="eastAsia" w:ascii="仿宋" w:hAnsi="仿宋" w:eastAsia="仿宋" w:cs="仿宋"/>
                <w:b w:val="0"/>
                <w:color w:val="auto"/>
                <w:sz w:val="24"/>
                <w:szCs w:val="24"/>
                <w:highlight w:val="none"/>
              </w:rPr>
              <w:t>。</w:t>
            </w:r>
            <w:r>
              <w:rPr>
                <w:rFonts w:hint="eastAsia" w:ascii="仿宋" w:hAnsi="仿宋" w:eastAsia="仿宋" w:cs="仿宋"/>
                <w:b w:val="0"/>
                <w:i w:val="0"/>
                <w:iCs/>
                <w:color w:val="auto"/>
                <w:sz w:val="24"/>
                <w:szCs w:val="24"/>
                <w:highlight w:val="none"/>
              </w:rPr>
              <w:t>（允许大中型企业向小微企业分包的项目适用）</w:t>
            </w:r>
          </w:p>
        </w:tc>
      </w:tr>
      <w:tr w14:paraId="465309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6969E0A5">
            <w:pPr>
              <w:pStyle w:val="49"/>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42.5</w:t>
            </w:r>
          </w:p>
        </w:tc>
        <w:tc>
          <w:tcPr>
            <w:tcW w:w="1738" w:type="dxa"/>
            <w:shd w:val="clear" w:color="auto" w:fill="auto"/>
            <w:vAlign w:val="center"/>
          </w:tcPr>
          <w:p w14:paraId="70F9924F">
            <w:pPr>
              <w:pStyle w:val="4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标的所属行业</w:t>
            </w:r>
          </w:p>
          <w:p w14:paraId="1C30414D">
            <w:pPr>
              <w:pStyle w:val="49"/>
              <w:rPr>
                <w:rFonts w:hint="eastAsia" w:ascii="仿宋" w:hAnsi="仿宋" w:eastAsia="仿宋" w:cs="仿宋"/>
                <w:color w:val="auto"/>
                <w:kern w:val="2"/>
                <w:sz w:val="24"/>
                <w:szCs w:val="24"/>
                <w:highlight w:val="none"/>
                <w:lang w:val="en-US" w:eastAsia="zh-CN" w:bidi="ar-SA"/>
              </w:rPr>
            </w:pPr>
            <w:r>
              <w:rPr>
                <w:rStyle w:val="32"/>
                <w:rFonts w:hint="eastAsia" w:ascii="仿宋" w:hAnsi="仿宋" w:eastAsia="仿宋" w:cs="仿宋"/>
                <w:b w:val="0"/>
                <w:color w:val="auto"/>
                <w:sz w:val="24"/>
                <w:szCs w:val="24"/>
                <w:highlight w:val="none"/>
                <w:lang w:val="en-US" w:eastAsia="zh-CN"/>
              </w:rPr>
              <w:t>参照后附</w:t>
            </w:r>
            <w:r>
              <w:rPr>
                <w:rStyle w:val="32"/>
                <w:rFonts w:hint="eastAsia" w:ascii="仿宋" w:hAnsi="仿宋" w:eastAsia="仿宋" w:cs="仿宋"/>
                <w:b w:val="0"/>
                <w:color w:val="auto"/>
                <w:sz w:val="24"/>
                <w:szCs w:val="24"/>
                <w:highlight w:val="none"/>
                <w:lang w:eastAsia="zh-CN"/>
              </w:rPr>
              <w:t>《</w:t>
            </w:r>
            <w:r>
              <w:rPr>
                <w:rStyle w:val="32"/>
                <w:rFonts w:hint="eastAsia" w:ascii="仿宋" w:hAnsi="仿宋" w:eastAsia="仿宋" w:cs="仿宋"/>
                <w:b w:val="0"/>
                <w:color w:val="auto"/>
                <w:sz w:val="24"/>
                <w:szCs w:val="24"/>
                <w:highlight w:val="none"/>
              </w:rPr>
              <w:t>工信部联企业〔2011〕300号</w:t>
            </w:r>
            <w:r>
              <w:rPr>
                <w:rStyle w:val="32"/>
                <w:rFonts w:hint="eastAsia" w:ascii="仿宋" w:hAnsi="仿宋" w:eastAsia="仿宋" w:cs="仿宋"/>
                <w:b w:val="0"/>
                <w:color w:val="auto"/>
                <w:sz w:val="24"/>
                <w:szCs w:val="24"/>
                <w:highlight w:val="none"/>
                <w:lang w:eastAsia="zh-CN"/>
              </w:rPr>
              <w:t>》</w:t>
            </w:r>
          </w:p>
        </w:tc>
        <w:tc>
          <w:tcPr>
            <w:tcW w:w="6700" w:type="dxa"/>
            <w:shd w:val="clear" w:color="auto" w:fill="auto"/>
            <w:vAlign w:val="center"/>
          </w:tcPr>
          <w:p w14:paraId="7DCAFC7A">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 xml:space="preserve">本项目采购标的对应的中小企业划分标准所属行业： </w:t>
            </w:r>
          </w:p>
          <w:tbl>
            <w:tblPr>
              <w:tblStyle w:val="29"/>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282"/>
              <w:gridCol w:w="2034"/>
            </w:tblGrid>
            <w:tr w14:paraId="59CF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4E37F307">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rPr>
                    <w:t>包号</w:t>
                  </w:r>
                </w:p>
              </w:tc>
              <w:tc>
                <w:tcPr>
                  <w:tcW w:w="3282" w:type="dxa"/>
                  <w:vAlign w:val="center"/>
                </w:tcPr>
                <w:p w14:paraId="3181F704">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rPr>
                    <w:t>标的名称</w:t>
                  </w:r>
                </w:p>
              </w:tc>
              <w:tc>
                <w:tcPr>
                  <w:tcW w:w="2034" w:type="dxa"/>
                  <w:vAlign w:val="center"/>
                </w:tcPr>
                <w:p w14:paraId="2E21CF7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rPr>
                    <w:t>中小企业划分标准所属行业</w:t>
                  </w:r>
                </w:p>
              </w:tc>
            </w:tr>
            <w:tr w14:paraId="580F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restart"/>
                  <w:vAlign w:val="center"/>
                </w:tcPr>
                <w:p w14:paraId="5BFD9AD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第1包</w:t>
                  </w:r>
                </w:p>
              </w:tc>
              <w:tc>
                <w:tcPr>
                  <w:tcW w:w="3282" w:type="dxa"/>
                  <w:vAlign w:val="center"/>
                </w:tcPr>
                <w:p w14:paraId="37D608D2">
                  <w:pPr>
                    <w:keepNext w:val="0"/>
                    <w:keepLines w:val="0"/>
                    <w:widowControl/>
                    <w:suppressLineNumbers w:val="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5G核心网系统（含服务器）</w:t>
                  </w:r>
                </w:p>
              </w:tc>
              <w:tc>
                <w:tcPr>
                  <w:tcW w:w="2034" w:type="dxa"/>
                  <w:vAlign w:val="center"/>
                </w:tcPr>
                <w:p w14:paraId="6BD6737B">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软件和信息技术服务业</w:t>
                  </w:r>
                </w:p>
              </w:tc>
            </w:tr>
            <w:tr w14:paraId="5639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center"/>
                </w:tcPr>
                <w:p w14:paraId="13B53E2B">
                  <w:pPr>
                    <w:rPr>
                      <w:highlight w:val="none"/>
                    </w:rPr>
                  </w:pPr>
                </w:p>
              </w:tc>
              <w:tc>
                <w:tcPr>
                  <w:tcW w:w="3282" w:type="dxa"/>
                  <w:vAlign w:val="center"/>
                </w:tcPr>
                <w:p w14:paraId="070831AC">
                  <w:pPr>
                    <w:keepNext w:val="0"/>
                    <w:keepLines w:val="0"/>
                    <w:widowControl/>
                    <w:suppressLineNumbers w:val="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5G基站基带处理单元（BBU）</w:t>
                  </w:r>
                </w:p>
              </w:tc>
              <w:tc>
                <w:tcPr>
                  <w:tcW w:w="2034" w:type="dxa"/>
                  <w:vAlign w:val="center"/>
                </w:tcPr>
                <w:p w14:paraId="029B038C">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软件和信息技术服务业</w:t>
                  </w:r>
                </w:p>
              </w:tc>
            </w:tr>
            <w:tr w14:paraId="1A04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center"/>
                </w:tcPr>
                <w:p w14:paraId="69A73ED5">
                  <w:pPr>
                    <w:rPr>
                      <w:highlight w:val="none"/>
                    </w:rPr>
                  </w:pPr>
                </w:p>
              </w:tc>
              <w:tc>
                <w:tcPr>
                  <w:tcW w:w="3282" w:type="dxa"/>
                  <w:vAlign w:val="center"/>
                </w:tcPr>
                <w:p w14:paraId="48CC395C">
                  <w:pPr>
                    <w:keepNext w:val="0"/>
                    <w:keepLines w:val="0"/>
                    <w:widowControl/>
                    <w:suppressLineNumbers w:val="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5G基站有源天线单元</w:t>
                  </w:r>
                </w:p>
              </w:tc>
              <w:tc>
                <w:tcPr>
                  <w:tcW w:w="2034" w:type="dxa"/>
                  <w:shd w:val="clear" w:color="auto" w:fill="auto"/>
                  <w:vAlign w:val="center"/>
                </w:tcPr>
                <w:p w14:paraId="3A0F1B24">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软件和信息技术服务业</w:t>
                  </w:r>
                </w:p>
              </w:tc>
            </w:tr>
            <w:tr w14:paraId="12CC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center"/>
                </w:tcPr>
                <w:p w14:paraId="038F3209">
                  <w:pPr>
                    <w:rPr>
                      <w:highlight w:val="none"/>
                    </w:rPr>
                  </w:pPr>
                </w:p>
              </w:tc>
              <w:tc>
                <w:tcPr>
                  <w:tcW w:w="3282" w:type="dxa"/>
                  <w:vAlign w:val="center"/>
                </w:tcPr>
                <w:p w14:paraId="66A28E9E">
                  <w:pPr>
                    <w:keepNext w:val="0"/>
                    <w:keepLines w:val="0"/>
                    <w:widowControl/>
                    <w:suppressLineNumbers w:val="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机柜</w:t>
                  </w:r>
                </w:p>
              </w:tc>
              <w:tc>
                <w:tcPr>
                  <w:tcW w:w="2034" w:type="dxa"/>
                  <w:vAlign w:val="center"/>
                </w:tcPr>
                <w:p w14:paraId="61AE1C32">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工业</w:t>
                  </w:r>
                </w:p>
              </w:tc>
            </w:tr>
            <w:tr w14:paraId="4035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center"/>
                </w:tcPr>
                <w:p w14:paraId="620C6B53">
                  <w:pPr>
                    <w:rPr>
                      <w:highlight w:val="none"/>
                    </w:rPr>
                  </w:pPr>
                </w:p>
              </w:tc>
              <w:tc>
                <w:tcPr>
                  <w:tcW w:w="3282" w:type="dxa"/>
                  <w:vAlign w:val="center"/>
                </w:tcPr>
                <w:p w14:paraId="1AA10168">
                  <w:pPr>
                    <w:keepNext w:val="0"/>
                    <w:keepLines w:val="0"/>
                    <w:widowControl/>
                    <w:suppressLineNumbers w:val="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5G基站本地控制软件</w:t>
                  </w:r>
                </w:p>
              </w:tc>
              <w:tc>
                <w:tcPr>
                  <w:tcW w:w="2034" w:type="dxa"/>
                  <w:shd w:val="clear" w:color="auto" w:fill="auto"/>
                  <w:vAlign w:val="center"/>
                </w:tcPr>
                <w:p w14:paraId="2DDA4680">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软件和信息技术服务业</w:t>
                  </w:r>
                </w:p>
              </w:tc>
            </w:tr>
            <w:tr w14:paraId="0CED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center"/>
                </w:tcPr>
                <w:p w14:paraId="4AB372F5">
                  <w:pPr>
                    <w:rPr>
                      <w:highlight w:val="none"/>
                    </w:rPr>
                  </w:pPr>
                </w:p>
              </w:tc>
              <w:tc>
                <w:tcPr>
                  <w:tcW w:w="3282" w:type="dxa"/>
                  <w:vAlign w:val="center"/>
                </w:tcPr>
                <w:p w14:paraId="194AC60F">
                  <w:pPr>
                    <w:keepNext w:val="0"/>
                    <w:keepLines w:val="0"/>
                    <w:widowControl/>
                    <w:suppressLineNumbers w:val="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5G核心网本地控制软件</w:t>
                  </w:r>
                </w:p>
              </w:tc>
              <w:tc>
                <w:tcPr>
                  <w:tcW w:w="2034" w:type="dxa"/>
                  <w:shd w:val="clear" w:color="auto" w:fill="auto"/>
                  <w:vAlign w:val="center"/>
                </w:tcPr>
                <w:p w14:paraId="489A6F84">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软件和信息技术服务业</w:t>
                  </w:r>
                </w:p>
              </w:tc>
            </w:tr>
            <w:tr w14:paraId="7C5C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center"/>
                </w:tcPr>
                <w:p w14:paraId="0B3C3FE0">
                  <w:pPr>
                    <w:rPr>
                      <w:highlight w:val="none"/>
                    </w:rPr>
                  </w:pPr>
                </w:p>
              </w:tc>
              <w:tc>
                <w:tcPr>
                  <w:tcW w:w="3282" w:type="dxa"/>
                  <w:vAlign w:val="center"/>
                </w:tcPr>
                <w:p w14:paraId="573B0A03">
                  <w:pPr>
                    <w:keepNext w:val="0"/>
                    <w:keepLines w:val="0"/>
                    <w:widowControl/>
                    <w:suppressLineNumbers w:val="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5G专用万兆交换机</w:t>
                  </w:r>
                </w:p>
              </w:tc>
              <w:tc>
                <w:tcPr>
                  <w:tcW w:w="2034" w:type="dxa"/>
                  <w:vAlign w:val="center"/>
                </w:tcPr>
                <w:p w14:paraId="4C72CD40">
                  <w:pPr>
                    <w:keepNext w:val="0"/>
                    <w:keepLines w:val="0"/>
                    <w:widowControl/>
                    <w:suppressLineNumbers w:val="0"/>
                    <w:jc w:val="center"/>
                    <w:rPr>
                      <w:rFonts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工业</w:t>
                  </w:r>
                </w:p>
              </w:tc>
            </w:tr>
            <w:tr w14:paraId="671A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center"/>
                </w:tcPr>
                <w:p w14:paraId="2E0E8D1C">
                  <w:pPr>
                    <w:rPr>
                      <w:highlight w:val="none"/>
                    </w:rPr>
                  </w:pPr>
                </w:p>
              </w:tc>
              <w:tc>
                <w:tcPr>
                  <w:tcW w:w="3282" w:type="dxa"/>
                  <w:vAlign w:val="center"/>
                </w:tcPr>
                <w:p w14:paraId="3A6C9A55">
                  <w:pPr>
                    <w:keepNext w:val="0"/>
                    <w:keepLines w:val="0"/>
                    <w:widowControl/>
                    <w:suppressLineNumbers w:val="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5G覆盖规划及优化仿真模块</w:t>
                  </w:r>
                </w:p>
              </w:tc>
              <w:tc>
                <w:tcPr>
                  <w:tcW w:w="2034" w:type="dxa"/>
                  <w:shd w:val="clear" w:color="auto" w:fill="auto"/>
                  <w:vAlign w:val="center"/>
                </w:tcPr>
                <w:p w14:paraId="45B143C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软件和信息技术服务业</w:t>
                  </w:r>
                </w:p>
              </w:tc>
            </w:tr>
            <w:tr w14:paraId="02EA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center"/>
                </w:tcPr>
                <w:p w14:paraId="4F24C3B1">
                  <w:pPr>
                    <w:rPr>
                      <w:highlight w:val="none"/>
                    </w:rPr>
                  </w:pPr>
                </w:p>
              </w:tc>
              <w:tc>
                <w:tcPr>
                  <w:tcW w:w="3282" w:type="dxa"/>
                  <w:vAlign w:val="center"/>
                </w:tcPr>
                <w:p w14:paraId="2A859423">
                  <w:pPr>
                    <w:keepNext w:val="0"/>
                    <w:keepLines w:val="0"/>
                    <w:widowControl/>
                    <w:suppressLineNumbers w:val="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5G全网通信工作站</w:t>
                  </w:r>
                </w:p>
              </w:tc>
              <w:tc>
                <w:tcPr>
                  <w:tcW w:w="2034" w:type="dxa"/>
                  <w:shd w:val="clear" w:color="auto" w:fill="auto"/>
                  <w:vAlign w:val="center"/>
                </w:tcPr>
                <w:p w14:paraId="2C3EED0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软件和信息技术服务业</w:t>
                  </w:r>
                </w:p>
              </w:tc>
            </w:tr>
            <w:tr w14:paraId="6C68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center"/>
                </w:tcPr>
                <w:p w14:paraId="178C1D23">
                  <w:pPr>
                    <w:rPr>
                      <w:highlight w:val="none"/>
                    </w:rPr>
                  </w:pPr>
                </w:p>
              </w:tc>
              <w:tc>
                <w:tcPr>
                  <w:tcW w:w="3282" w:type="dxa"/>
                  <w:vAlign w:val="center"/>
                </w:tcPr>
                <w:p w14:paraId="64010910">
                  <w:pPr>
                    <w:keepNext w:val="0"/>
                    <w:keepLines w:val="0"/>
                    <w:widowControl/>
                    <w:suppressLineNumbers w:val="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通信全网融合仿真实验软件</w:t>
                  </w:r>
                </w:p>
              </w:tc>
              <w:tc>
                <w:tcPr>
                  <w:tcW w:w="2034" w:type="dxa"/>
                  <w:shd w:val="clear" w:color="auto" w:fill="auto"/>
                  <w:vAlign w:val="center"/>
                </w:tcPr>
                <w:p w14:paraId="3530B594">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软件和信息技术服务业</w:t>
                  </w:r>
                </w:p>
              </w:tc>
            </w:tr>
            <w:tr w14:paraId="19DB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center"/>
                </w:tcPr>
                <w:p w14:paraId="7D4984BA">
                  <w:pPr>
                    <w:rPr>
                      <w:highlight w:val="none"/>
                    </w:rPr>
                  </w:pPr>
                </w:p>
              </w:tc>
              <w:tc>
                <w:tcPr>
                  <w:tcW w:w="3282" w:type="dxa"/>
                  <w:vAlign w:val="center"/>
                </w:tcPr>
                <w:p w14:paraId="385B218C">
                  <w:pPr>
                    <w:keepNext w:val="0"/>
                    <w:keepLines w:val="0"/>
                    <w:widowControl/>
                    <w:suppressLineNumbers w:val="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教师讲台</w:t>
                  </w:r>
                </w:p>
              </w:tc>
              <w:tc>
                <w:tcPr>
                  <w:tcW w:w="2034" w:type="dxa"/>
                  <w:vAlign w:val="center"/>
                </w:tcPr>
                <w:p w14:paraId="1258F25B">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工业</w:t>
                  </w:r>
                </w:p>
              </w:tc>
            </w:tr>
            <w:tr w14:paraId="59DE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center"/>
                </w:tcPr>
                <w:p w14:paraId="698BB6EC">
                  <w:pPr>
                    <w:rPr>
                      <w:highlight w:val="none"/>
                    </w:rPr>
                  </w:pPr>
                </w:p>
              </w:tc>
              <w:tc>
                <w:tcPr>
                  <w:tcW w:w="3282" w:type="dxa"/>
                  <w:vAlign w:val="center"/>
                </w:tcPr>
                <w:p w14:paraId="1B4EC123">
                  <w:pPr>
                    <w:keepNext w:val="0"/>
                    <w:keepLines w:val="0"/>
                    <w:widowControl/>
                    <w:suppressLineNumbers w:val="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模块化六边形学生实训桌</w:t>
                  </w:r>
                </w:p>
              </w:tc>
              <w:tc>
                <w:tcPr>
                  <w:tcW w:w="2034" w:type="dxa"/>
                  <w:vAlign w:val="center"/>
                </w:tcPr>
                <w:p w14:paraId="612918B0">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工业</w:t>
                  </w:r>
                </w:p>
              </w:tc>
            </w:tr>
            <w:tr w14:paraId="3470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center"/>
                </w:tcPr>
                <w:p w14:paraId="3E45DA67">
                  <w:pPr>
                    <w:rPr>
                      <w:highlight w:val="none"/>
                    </w:rPr>
                  </w:pPr>
                </w:p>
              </w:tc>
              <w:tc>
                <w:tcPr>
                  <w:tcW w:w="3282" w:type="dxa"/>
                  <w:vAlign w:val="center"/>
                </w:tcPr>
                <w:p w14:paraId="51A501D5">
                  <w:pPr>
                    <w:keepNext w:val="0"/>
                    <w:keepLines w:val="0"/>
                    <w:widowControl/>
                    <w:suppressLineNumbers w:val="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学生人体工学椅</w:t>
                  </w:r>
                </w:p>
              </w:tc>
              <w:tc>
                <w:tcPr>
                  <w:tcW w:w="2034" w:type="dxa"/>
                  <w:vAlign w:val="center"/>
                </w:tcPr>
                <w:p w14:paraId="6EA02193">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工业</w:t>
                  </w:r>
                </w:p>
              </w:tc>
            </w:tr>
            <w:tr w14:paraId="162E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center"/>
                </w:tcPr>
                <w:p w14:paraId="3255FCB0">
                  <w:pPr>
                    <w:rPr>
                      <w:highlight w:val="none"/>
                    </w:rPr>
                  </w:pPr>
                </w:p>
              </w:tc>
              <w:tc>
                <w:tcPr>
                  <w:tcW w:w="3282" w:type="dxa"/>
                  <w:vAlign w:val="center"/>
                </w:tcPr>
                <w:p w14:paraId="3355E564">
                  <w:pPr>
                    <w:keepNext w:val="0"/>
                    <w:keepLines w:val="0"/>
                    <w:widowControl/>
                    <w:suppressLineNumbers w:val="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触控一体机</w:t>
                  </w:r>
                </w:p>
              </w:tc>
              <w:tc>
                <w:tcPr>
                  <w:tcW w:w="2034" w:type="dxa"/>
                  <w:vAlign w:val="center"/>
                </w:tcPr>
                <w:p w14:paraId="50C54490">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工业</w:t>
                  </w:r>
                </w:p>
              </w:tc>
            </w:tr>
            <w:tr w14:paraId="2C7E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center"/>
                </w:tcPr>
                <w:p w14:paraId="4D24BA72">
                  <w:pPr>
                    <w:rPr>
                      <w:highlight w:val="none"/>
                    </w:rPr>
                  </w:pPr>
                </w:p>
              </w:tc>
              <w:tc>
                <w:tcPr>
                  <w:tcW w:w="3282" w:type="dxa"/>
                  <w:vAlign w:val="center"/>
                </w:tcPr>
                <w:p w14:paraId="3D0E9306">
                  <w:pPr>
                    <w:keepNext w:val="0"/>
                    <w:keepLines w:val="0"/>
                    <w:widowControl/>
                    <w:suppressLineNumbers w:val="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教学书写黑板</w:t>
                  </w:r>
                </w:p>
              </w:tc>
              <w:tc>
                <w:tcPr>
                  <w:tcW w:w="2034" w:type="dxa"/>
                  <w:vAlign w:val="center"/>
                </w:tcPr>
                <w:p w14:paraId="10D9D69B">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工业</w:t>
                  </w:r>
                </w:p>
              </w:tc>
            </w:tr>
            <w:tr w14:paraId="4146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center"/>
                </w:tcPr>
                <w:p w14:paraId="241579CA">
                  <w:pPr>
                    <w:rPr>
                      <w:highlight w:val="none"/>
                    </w:rPr>
                  </w:pPr>
                </w:p>
              </w:tc>
              <w:tc>
                <w:tcPr>
                  <w:tcW w:w="3282" w:type="dxa"/>
                  <w:vAlign w:val="center"/>
                </w:tcPr>
                <w:p w14:paraId="38E89AA1">
                  <w:pPr>
                    <w:keepNext w:val="0"/>
                    <w:keepLines w:val="0"/>
                    <w:widowControl/>
                    <w:suppressLineNumbers w:val="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平板显示设备</w:t>
                  </w:r>
                </w:p>
              </w:tc>
              <w:tc>
                <w:tcPr>
                  <w:tcW w:w="2034" w:type="dxa"/>
                  <w:vAlign w:val="center"/>
                </w:tcPr>
                <w:p w14:paraId="518B47C3">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工业</w:t>
                  </w:r>
                </w:p>
              </w:tc>
            </w:tr>
            <w:tr w14:paraId="6224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center"/>
                </w:tcPr>
                <w:p w14:paraId="759E58A9">
                  <w:pPr>
                    <w:rPr>
                      <w:highlight w:val="none"/>
                    </w:rPr>
                  </w:pPr>
                </w:p>
              </w:tc>
              <w:tc>
                <w:tcPr>
                  <w:tcW w:w="3282" w:type="dxa"/>
                  <w:vAlign w:val="center"/>
                </w:tcPr>
                <w:p w14:paraId="6E884777">
                  <w:pPr>
                    <w:keepNext w:val="0"/>
                    <w:keepLines w:val="0"/>
                    <w:widowControl/>
                    <w:suppressLineNumbers w:val="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教室音频扩声设备</w:t>
                  </w:r>
                </w:p>
              </w:tc>
              <w:tc>
                <w:tcPr>
                  <w:tcW w:w="2034" w:type="dxa"/>
                  <w:vAlign w:val="center"/>
                </w:tcPr>
                <w:p w14:paraId="5B041E03">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工业</w:t>
                  </w:r>
                </w:p>
              </w:tc>
            </w:tr>
            <w:tr w14:paraId="0003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center"/>
                </w:tcPr>
                <w:p w14:paraId="78C59197">
                  <w:pPr>
                    <w:rPr>
                      <w:highlight w:val="none"/>
                    </w:rPr>
                  </w:pPr>
                </w:p>
              </w:tc>
              <w:tc>
                <w:tcPr>
                  <w:tcW w:w="3282" w:type="dxa"/>
                  <w:vAlign w:val="center"/>
                </w:tcPr>
                <w:p w14:paraId="569ECC40">
                  <w:pPr>
                    <w:keepNext w:val="0"/>
                    <w:keepLines w:val="0"/>
                    <w:widowControl/>
                    <w:suppressLineNumbers w:val="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教学管理软件</w:t>
                  </w:r>
                </w:p>
              </w:tc>
              <w:tc>
                <w:tcPr>
                  <w:tcW w:w="2034" w:type="dxa"/>
                  <w:shd w:val="clear" w:color="auto" w:fill="auto"/>
                  <w:vAlign w:val="center"/>
                </w:tcPr>
                <w:p w14:paraId="0DF1CB80">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软件和信息技术服务业</w:t>
                  </w:r>
                </w:p>
              </w:tc>
            </w:tr>
          </w:tbl>
          <w:p w14:paraId="4D57B8AE">
            <w:pPr>
              <w:pStyle w:val="49"/>
              <w:rPr>
                <w:rFonts w:hint="eastAsia" w:ascii="仿宋" w:hAnsi="仿宋" w:eastAsia="仿宋" w:cs="仿宋"/>
                <w:color w:val="auto"/>
                <w:kern w:val="2"/>
                <w:sz w:val="24"/>
                <w:szCs w:val="24"/>
                <w:highlight w:val="none"/>
                <w:lang w:val="en-US" w:eastAsia="zh-CN" w:bidi="ar-SA"/>
              </w:rPr>
            </w:pP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8792692">
            <w:pPr>
              <w:pStyle w:val="49"/>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43.5</w:t>
            </w:r>
          </w:p>
        </w:tc>
        <w:tc>
          <w:tcPr>
            <w:tcW w:w="1738" w:type="dxa"/>
            <w:shd w:val="clear" w:color="auto" w:fill="auto"/>
            <w:vAlign w:val="center"/>
          </w:tcPr>
          <w:p w14:paraId="69CF29E9">
            <w:pPr>
              <w:pStyle w:val="4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优先采购创新节能环保产品</w:t>
            </w:r>
          </w:p>
        </w:tc>
        <w:tc>
          <w:tcPr>
            <w:tcW w:w="6700" w:type="dxa"/>
            <w:shd w:val="clear" w:color="auto" w:fill="auto"/>
            <w:vAlign w:val="center"/>
          </w:tcPr>
          <w:p w14:paraId="299F639F">
            <w:pPr>
              <w:pStyle w:val="49"/>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所投产品纳入创新产品应用示范推荐目录内企业、所投产品获得节能产品或环境标志产品认证证书的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给予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en-US" w:eastAsia="zh-CN"/>
              </w:rPr>
              <w:t>评审优惠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详见评审因素</w:t>
            </w:r>
            <w:r>
              <w:rPr>
                <w:rFonts w:hint="eastAsia" w:ascii="仿宋" w:hAnsi="仿宋" w:eastAsia="仿宋" w:cs="仿宋"/>
                <w:color w:val="auto"/>
                <w:sz w:val="24"/>
                <w:szCs w:val="24"/>
                <w:highlight w:val="none"/>
                <w:lang w:eastAsia="zh-CN"/>
              </w:rPr>
              <w:t>）</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08D3F63A">
            <w:pPr>
              <w:pStyle w:val="4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w:t>
            </w:r>
          </w:p>
        </w:tc>
        <w:tc>
          <w:tcPr>
            <w:tcW w:w="1738" w:type="dxa"/>
            <w:tcBorders>
              <w:left w:val="single" w:color="auto" w:sz="4" w:space="0"/>
              <w:right w:val="single" w:color="auto" w:sz="4" w:space="0"/>
            </w:tcBorders>
            <w:vAlign w:val="center"/>
          </w:tcPr>
          <w:p w14:paraId="3F9860A9">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w:t>
            </w:r>
          </w:p>
          <w:p w14:paraId="12224BF5">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合同融资政策</w:t>
            </w:r>
          </w:p>
        </w:tc>
        <w:tc>
          <w:tcPr>
            <w:tcW w:w="6700" w:type="dxa"/>
            <w:tcBorders>
              <w:left w:val="single" w:color="auto" w:sz="4" w:space="0"/>
            </w:tcBorders>
            <w:vAlign w:val="center"/>
          </w:tcPr>
          <w:p w14:paraId="6A976AF7">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1.</w:t>
            </w:r>
            <w:r>
              <w:rPr>
                <w:rFonts w:hint="eastAsia" w:ascii="仿宋" w:hAnsi="仿宋" w:eastAsia="仿宋" w:cs="仿宋"/>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1174765F">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渠道和方式：</w:t>
            </w:r>
            <w:r>
              <w:rPr>
                <w:rFonts w:hint="eastAsia" w:ascii="仿宋" w:hAnsi="仿宋" w:eastAsia="仿宋" w:cs="仿宋"/>
                <w:color w:val="auto"/>
                <w:sz w:val="24"/>
                <w:szCs w:val="24"/>
                <w:highlight w:val="none"/>
                <w:u w:val="single"/>
                <w:lang w:val="en-US" w:eastAsia="zh-CN"/>
              </w:rPr>
              <w:t>详见《关于开展政府采购合同信用融资工作的通知》（兵财库【2022】31 号）文件</w:t>
            </w:r>
            <w:r>
              <w:rPr>
                <w:rFonts w:hint="eastAsia" w:ascii="仿宋" w:hAnsi="仿宋" w:eastAsia="仿宋" w:cs="仿宋"/>
                <w:color w:val="auto"/>
                <w:sz w:val="24"/>
                <w:szCs w:val="24"/>
                <w:highlight w:val="none"/>
                <w:u w:val="single"/>
              </w:rPr>
              <w:t>。</w:t>
            </w:r>
          </w:p>
          <w:p w14:paraId="663DD5BC">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2.</w:t>
            </w:r>
            <w:r>
              <w:rPr>
                <w:rFonts w:hint="eastAsia" w:ascii="仿宋" w:hAnsi="仿宋" w:eastAsia="仿宋" w:cs="仿宋"/>
                <w:color w:val="auto"/>
                <w:sz w:val="24"/>
                <w:szCs w:val="24"/>
                <w:highlight w:val="none"/>
                <w:lang w:eastAsia="zh-CN"/>
              </w:rPr>
              <w:t>“政采贷”融资指引：在取得政府采购中标通知书后，可访问“</w:t>
            </w:r>
            <w:r>
              <w:rPr>
                <w:rFonts w:hint="eastAsia" w:ascii="仿宋" w:hAnsi="仿宋" w:eastAsia="仿宋" w:cs="仿宋"/>
                <w:color w:val="auto"/>
                <w:sz w:val="24"/>
                <w:szCs w:val="24"/>
                <w:highlight w:val="none"/>
                <w:lang w:val="en-US" w:eastAsia="zh-CN"/>
              </w:rPr>
              <w:t>兵团</w:t>
            </w:r>
            <w:r>
              <w:rPr>
                <w:rFonts w:hint="eastAsia" w:ascii="仿宋" w:hAnsi="仿宋" w:eastAsia="仿宋" w:cs="仿宋"/>
                <w:color w:val="auto"/>
                <w:sz w:val="24"/>
                <w:szCs w:val="24"/>
                <w:highlight w:val="none"/>
                <w:lang w:eastAsia="zh-CN"/>
              </w:rPr>
              <w:t>政采贷</w:t>
            </w:r>
            <w:r>
              <w:rPr>
                <w:rFonts w:hint="eastAsia" w:ascii="仿宋" w:hAnsi="仿宋" w:eastAsia="仿宋" w:cs="仿宋"/>
                <w:color w:val="auto"/>
                <w:sz w:val="24"/>
                <w:szCs w:val="24"/>
                <w:highlight w:val="none"/>
                <w:lang w:val="en-US" w:eastAsia="zh-CN"/>
              </w:rPr>
              <w:t>融资服务平台”</w:t>
            </w:r>
            <w:r>
              <w:rPr>
                <w:rFonts w:hint="eastAsia" w:ascii="仿宋" w:hAnsi="仿宋" w:eastAsia="仿宋" w:cs="仿宋"/>
                <w:color w:val="auto"/>
                <w:sz w:val="24"/>
                <w:szCs w:val="24"/>
                <w:highlight w:val="none"/>
                <w:lang w:eastAsia="zh-CN"/>
              </w:rPr>
              <w:t>，查看和联系第三方平台或者金融机构，商洽融资事项，确定融资意向。中标人签署政府采购中标合同后，登录“</w:t>
            </w:r>
            <w:r>
              <w:rPr>
                <w:rFonts w:hint="eastAsia" w:ascii="仿宋" w:hAnsi="仿宋" w:eastAsia="仿宋" w:cs="仿宋"/>
                <w:color w:val="auto"/>
                <w:sz w:val="24"/>
                <w:szCs w:val="24"/>
                <w:highlight w:val="none"/>
                <w:lang w:val="en-US" w:eastAsia="zh-CN"/>
              </w:rPr>
              <w:t>兵团</w:t>
            </w:r>
            <w:r>
              <w:rPr>
                <w:rFonts w:hint="eastAsia" w:ascii="仿宋" w:hAnsi="仿宋" w:eastAsia="仿宋" w:cs="仿宋"/>
                <w:color w:val="auto"/>
                <w:sz w:val="24"/>
                <w:szCs w:val="24"/>
                <w:highlight w:val="none"/>
                <w:lang w:eastAsia="zh-CN"/>
              </w:rPr>
              <w:t>政采贷</w:t>
            </w:r>
            <w:r>
              <w:rPr>
                <w:rFonts w:hint="eastAsia" w:ascii="仿宋" w:hAnsi="仿宋" w:eastAsia="仿宋" w:cs="仿宋"/>
                <w:color w:val="auto"/>
                <w:sz w:val="24"/>
                <w:szCs w:val="24"/>
                <w:highlight w:val="none"/>
                <w:lang w:val="en-US" w:eastAsia="zh-CN"/>
              </w:rPr>
              <w:t>融资服务平台”</w:t>
            </w:r>
            <w:r>
              <w:rPr>
                <w:rFonts w:hint="eastAsia" w:ascii="仿宋" w:hAnsi="仿宋" w:eastAsia="仿宋" w:cs="仿宋"/>
                <w:color w:val="auto"/>
                <w:sz w:val="24"/>
                <w:szCs w:val="24"/>
                <w:highlight w:val="none"/>
                <w:lang w:eastAsia="zh-CN"/>
              </w:rPr>
              <w:t>，选择意向产品进行申请，并填写相关信息，“</w:t>
            </w:r>
            <w:r>
              <w:rPr>
                <w:rFonts w:hint="eastAsia" w:ascii="仿宋" w:hAnsi="仿宋" w:eastAsia="仿宋" w:cs="仿宋"/>
                <w:color w:val="auto"/>
                <w:sz w:val="24"/>
                <w:szCs w:val="24"/>
                <w:highlight w:val="none"/>
                <w:lang w:val="en-US" w:eastAsia="zh-CN"/>
              </w:rPr>
              <w:t>兵团</w:t>
            </w:r>
            <w:r>
              <w:rPr>
                <w:rFonts w:hint="eastAsia" w:ascii="仿宋" w:hAnsi="仿宋" w:eastAsia="仿宋" w:cs="仿宋"/>
                <w:color w:val="auto"/>
                <w:sz w:val="24"/>
                <w:szCs w:val="24"/>
                <w:highlight w:val="none"/>
                <w:lang w:eastAsia="zh-CN"/>
              </w:rPr>
              <w:t>政采贷</w:t>
            </w:r>
            <w:r>
              <w:rPr>
                <w:rFonts w:hint="eastAsia" w:ascii="仿宋" w:hAnsi="仿宋" w:eastAsia="仿宋" w:cs="仿宋"/>
                <w:color w:val="auto"/>
                <w:sz w:val="24"/>
                <w:szCs w:val="24"/>
                <w:highlight w:val="none"/>
                <w:lang w:val="en-US" w:eastAsia="zh-CN"/>
              </w:rPr>
              <w:t>融资服务平台”</w:t>
            </w:r>
            <w:r>
              <w:rPr>
                <w:rFonts w:hint="eastAsia" w:ascii="仿宋" w:hAnsi="仿宋" w:eastAsia="仿宋" w:cs="仿宋"/>
                <w:color w:val="auto"/>
                <w:sz w:val="24"/>
                <w:szCs w:val="24"/>
                <w:highlight w:val="none"/>
                <w:lang w:eastAsia="zh-CN"/>
              </w:rPr>
              <w:t>将中标人融资申请信息推送第三方平台、意向金融机构。</w:t>
            </w:r>
          </w:p>
        </w:tc>
      </w:tr>
      <w:tr w14:paraId="796649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58" w:hRule="atLeast"/>
        </w:trPr>
        <w:tc>
          <w:tcPr>
            <w:tcW w:w="970" w:type="dxa"/>
            <w:tcBorders>
              <w:right w:val="single" w:color="auto" w:sz="4" w:space="0"/>
            </w:tcBorders>
            <w:vAlign w:val="center"/>
          </w:tcPr>
          <w:p w14:paraId="13653F03">
            <w:pPr>
              <w:pStyle w:val="49"/>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48.1</w:t>
            </w:r>
          </w:p>
        </w:tc>
        <w:tc>
          <w:tcPr>
            <w:tcW w:w="1738" w:type="dxa"/>
            <w:tcBorders>
              <w:right w:val="single" w:color="auto" w:sz="4" w:space="0"/>
            </w:tcBorders>
            <w:vAlign w:val="center"/>
          </w:tcPr>
          <w:p w14:paraId="38D05D3C">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需要补充的其他内容</w:t>
            </w:r>
          </w:p>
        </w:tc>
        <w:tc>
          <w:tcPr>
            <w:tcW w:w="6700" w:type="dxa"/>
            <w:tcBorders>
              <w:left w:val="single" w:color="auto" w:sz="4" w:space="0"/>
            </w:tcBorders>
            <w:vAlign w:val="center"/>
          </w:tcPr>
          <w:p w14:paraId="10E0E60B">
            <w:pPr>
              <w:pStyle w:val="49"/>
              <w:numPr>
                <w:ilvl w:val="0"/>
                <w:numId w:val="4"/>
              </w:numPr>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在评标过程直至签订合同前的任何时间，如经证实发现供应商提供虚假投标资料(包括技术支持资料)或信息骗取中标的，或者未按本采购文件要求提交履约保证金（如要求）的，将取消其成交资格，没收投标保证金，并报主管部门备案。</w:t>
            </w:r>
          </w:p>
          <w:p w14:paraId="5953EA7F">
            <w:pPr>
              <w:pStyle w:val="49"/>
              <w:numPr>
                <w:ilvl w:val="0"/>
                <w:numId w:val="4"/>
              </w:numPr>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采购方与中标供应商应于《中标通知书》发出之日起 25日内，</w:t>
            </w:r>
            <w:r>
              <w:rPr>
                <w:rFonts w:hint="eastAsia" w:ascii="仿宋_GB2312" w:hAnsi="仿宋_GB2312" w:eastAsia="仿宋_GB2312" w:cs="仿宋_GB2312"/>
                <w:kern w:val="2"/>
                <w:sz w:val="24"/>
                <w:szCs w:val="24"/>
                <w:highlight w:val="none"/>
                <w:lang w:val="en-US" w:eastAsia="zh-CN"/>
              </w:rPr>
              <w:t>按照采购文件确定的事项签订采购合同，并在合同签订之日起 2 个工作日内将合同上传至兵团政府采购网进行公示。</w:t>
            </w:r>
          </w:p>
          <w:p w14:paraId="5D065E39">
            <w:pPr>
              <w:pStyle w:val="49"/>
              <w:numPr>
                <w:ilvl w:val="0"/>
                <w:numId w:val="4"/>
              </w:num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合同签订当日，中标供应商须将本项目《政府采购合同》扫描件发送至代理机构邮箱1484134741@qq.com。</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4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p w14:paraId="1ECD6A03">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除本招标文件另有规定外，招标文件中出现的类似于“近三年”或“前三年”、“近五年”或“前五年”均指递交投标文件</w:t>
            </w:r>
            <w:r>
              <w:rPr>
                <w:rFonts w:hint="eastAsia" w:ascii="仿宋" w:hAnsi="仿宋" w:eastAsia="仿宋" w:cs="仿宋"/>
                <w:color w:val="auto"/>
                <w:sz w:val="24"/>
                <w:szCs w:val="24"/>
                <w:highlight w:val="none"/>
                <w:lang w:val="en-US" w:eastAsia="zh-CN"/>
              </w:rPr>
              <w:t>截止</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val="en-US" w:eastAsia="zh-CN"/>
              </w:rPr>
              <w:t>之</w:t>
            </w:r>
            <w:r>
              <w:rPr>
                <w:rFonts w:hint="eastAsia" w:ascii="仿宋" w:hAnsi="仿宋" w:eastAsia="仿宋" w:cs="仿宋"/>
                <w:color w:val="auto"/>
                <w:sz w:val="24"/>
                <w:szCs w:val="24"/>
                <w:highlight w:val="none"/>
              </w:rPr>
              <w:t>前三年或前五年，以此类推。如：递交投标文件时间为  年  月  日，则“近三年”是指  年  月  日至  年  月  日。</w:t>
            </w:r>
          </w:p>
          <w:p w14:paraId="6F66C892">
            <w:pPr>
              <w:pStyle w:val="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本招标文件所称的“以上”、“以下”、“内”、“以内”，包括本数；所称的“不足”，不包括本数。</w:t>
            </w:r>
          </w:p>
        </w:tc>
      </w:tr>
    </w:tbl>
    <w:p w14:paraId="452C548F">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ascii="仿宋" w:hAnsi="仿宋" w:eastAsia="仿宋" w:cs="仿宋"/>
          <w:b/>
          <w:bCs/>
          <w:color w:val="auto"/>
          <w:kern w:val="2"/>
          <w:sz w:val="28"/>
          <w:szCs w:val="28"/>
          <w:highlight w:val="none"/>
          <w:lang w:val="en-US" w:eastAsia="zh-CN" w:bidi="ar-SA"/>
        </w:rPr>
      </w:pPr>
      <w:bookmarkStart w:id="152" w:name="_Toc155185869"/>
      <w:bookmarkStart w:id="153" w:name="_Toc163492821"/>
      <w:bookmarkStart w:id="154" w:name="_Toc25167"/>
      <w:r>
        <w:rPr>
          <w:rFonts w:hint="eastAsia" w:ascii="仿宋" w:hAnsi="仿宋" w:eastAsia="仿宋" w:cs="仿宋"/>
          <w:b/>
          <w:bCs/>
          <w:color w:val="auto"/>
          <w:kern w:val="2"/>
          <w:sz w:val="28"/>
          <w:szCs w:val="28"/>
          <w:highlight w:val="none"/>
          <w:lang w:val="en-US" w:eastAsia="zh-CN" w:bidi="ar-SA"/>
        </w:rPr>
        <w:t>二、投标人须知</w:t>
      </w:r>
      <w:bookmarkEnd w:id="152"/>
      <w:bookmarkEnd w:id="153"/>
      <w:bookmarkEnd w:id="154"/>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仿宋" w:hAnsi="仿宋" w:eastAsia="仿宋" w:cs="仿宋"/>
          <w:b/>
          <w:bCs/>
          <w:color w:val="auto"/>
          <w:kern w:val="2"/>
          <w:sz w:val="24"/>
          <w:szCs w:val="32"/>
          <w:highlight w:val="none"/>
          <w:lang w:val="en-US" w:eastAsia="zh-CN" w:bidi="ar-SA"/>
        </w:rPr>
      </w:pPr>
      <w:bookmarkStart w:id="155" w:name="_Toc155185870"/>
      <w:bookmarkStart w:id="156" w:name="_Toc163492822"/>
      <w:r>
        <w:rPr>
          <w:rFonts w:hint="eastAsia" w:ascii="仿宋" w:hAnsi="仿宋" w:eastAsia="仿宋" w:cs="仿宋"/>
          <w:b/>
          <w:bCs/>
          <w:color w:val="auto"/>
          <w:kern w:val="2"/>
          <w:sz w:val="24"/>
          <w:szCs w:val="32"/>
          <w:highlight w:val="none"/>
          <w:lang w:val="en-US" w:eastAsia="zh-CN" w:bidi="ar-SA"/>
        </w:rPr>
        <w:t>（一）总则</w:t>
      </w:r>
      <w:bookmarkEnd w:id="155"/>
      <w:bookmarkEnd w:id="156"/>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157" w:name="_Toc155095689"/>
      <w:bookmarkStart w:id="158" w:name="_Toc163492823"/>
      <w:bookmarkStart w:id="159" w:name="_Toc109900469"/>
      <w:bookmarkStart w:id="160" w:name="_Toc109899631"/>
      <w:bookmarkStart w:id="161" w:name="_Toc109897532"/>
      <w:bookmarkStart w:id="162" w:name="_Toc31233"/>
      <w:bookmarkStart w:id="163" w:name="_Toc109900050"/>
      <w:r>
        <w:rPr>
          <w:rFonts w:hint="eastAsia" w:ascii="仿宋" w:hAnsi="仿宋" w:eastAsia="仿宋" w:cs="仿宋"/>
          <w:b/>
          <w:bCs/>
          <w:color w:val="auto"/>
          <w:kern w:val="2"/>
          <w:sz w:val="24"/>
          <w:szCs w:val="28"/>
          <w:highlight w:val="none"/>
          <w:lang w:val="en-US" w:eastAsia="zh-CN" w:bidi="ar-SA"/>
        </w:rPr>
        <w:t>1.适用范围</w:t>
      </w:r>
      <w:bookmarkEnd w:id="157"/>
      <w:bookmarkEnd w:id="158"/>
      <w:bookmarkEnd w:id="159"/>
      <w:bookmarkEnd w:id="160"/>
      <w:bookmarkEnd w:id="161"/>
      <w:bookmarkEnd w:id="162"/>
      <w:bookmarkEnd w:id="163"/>
    </w:p>
    <w:p w14:paraId="38963635">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164" w:name="_Toc163492824"/>
      <w:r>
        <w:rPr>
          <w:rFonts w:hint="eastAsia" w:ascii="仿宋" w:hAnsi="仿宋" w:eastAsia="仿宋" w:cs="仿宋"/>
          <w:b/>
          <w:bCs/>
          <w:color w:val="auto"/>
          <w:kern w:val="2"/>
          <w:sz w:val="24"/>
          <w:szCs w:val="28"/>
          <w:highlight w:val="none"/>
          <w:lang w:val="en-US" w:eastAsia="zh-CN" w:bidi="ar-SA"/>
        </w:rPr>
        <w:t>2.基本定义</w:t>
      </w:r>
      <w:bookmarkEnd w:id="164"/>
    </w:p>
    <w:p w14:paraId="768D70C2">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2.2采购人：</w:t>
      </w:r>
      <w:r>
        <w:rPr>
          <w:rFonts w:hint="eastAsia" w:ascii="仿宋" w:hAnsi="仿宋" w:eastAsia="仿宋" w:cs="仿宋"/>
          <w:color w:val="auto"/>
          <w:kern w:val="0"/>
          <w:sz w:val="24"/>
          <w:szCs w:val="24"/>
          <w:highlight w:val="none"/>
          <w:lang w:val="en-US" w:eastAsia="zh-CN" w:bidi="ar"/>
        </w:rPr>
        <w:t>指依法进行政府采购的国家机关、事业单位、团体组织</w:t>
      </w:r>
      <w:r>
        <w:rPr>
          <w:rFonts w:hint="eastAsia" w:ascii="仿宋" w:hAnsi="仿宋" w:eastAsia="仿宋" w:cs="仿宋"/>
          <w:color w:val="auto"/>
          <w:sz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2.3采购代理机构：</w:t>
      </w:r>
      <w:r>
        <w:rPr>
          <w:rFonts w:hint="eastAsia" w:ascii="仿宋" w:hAnsi="仿宋" w:eastAsia="仿宋" w:cs="仿宋"/>
          <w:color w:val="auto"/>
          <w:kern w:val="0"/>
          <w:sz w:val="24"/>
          <w:szCs w:val="24"/>
          <w:highlight w:val="none"/>
          <w:lang w:val="en-US" w:eastAsia="zh-CN" w:bidi="ar"/>
        </w:rPr>
        <w:t>指依法进行政府采购的国家机关、事业单位、团体组织</w:t>
      </w:r>
      <w:r>
        <w:rPr>
          <w:rFonts w:hint="eastAsia" w:ascii="仿宋" w:hAnsi="仿宋" w:eastAsia="仿宋" w:cs="仿宋"/>
          <w:color w:val="auto"/>
          <w:sz w:val="24"/>
          <w:highlight w:val="none"/>
          <w:lang w:val="en-US" w:eastAsia="zh-CN"/>
        </w:rPr>
        <w:t>委托的采购代理机构</w:t>
      </w:r>
      <w:r>
        <w:rPr>
          <w:rFonts w:hint="eastAsia" w:ascii="仿宋" w:hAnsi="仿宋" w:eastAsia="仿宋" w:cs="仿宋"/>
          <w:color w:val="auto"/>
          <w:sz w:val="24"/>
          <w:highlight w:val="none"/>
        </w:rPr>
        <w:t>。</w:t>
      </w:r>
    </w:p>
    <w:p w14:paraId="26D50742">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2.5 核心产品见</w:t>
      </w:r>
      <w:r>
        <w:rPr>
          <w:rFonts w:hint="eastAsia" w:ascii="仿宋" w:hAnsi="仿宋" w:eastAsia="仿宋" w:cs="仿宋"/>
          <w:color w:val="auto"/>
          <w:sz w:val="24"/>
          <w:highlight w:val="none"/>
        </w:rPr>
        <w:t>“投标人须知前附表”</w:t>
      </w:r>
      <w:r>
        <w:rPr>
          <w:rFonts w:hint="eastAsia" w:ascii="仿宋" w:hAnsi="仿宋" w:eastAsia="仿宋" w:cs="仿宋"/>
          <w:color w:val="auto"/>
          <w:sz w:val="24"/>
          <w:highlight w:val="none"/>
          <w:lang w:val="en-US" w:eastAsia="zh-CN"/>
        </w:rPr>
        <w:t>。</w:t>
      </w:r>
    </w:p>
    <w:p w14:paraId="6557BF30">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2.6是否属于</w:t>
      </w:r>
      <w:r>
        <w:rPr>
          <w:rFonts w:hint="eastAsia" w:ascii="仿宋" w:hAnsi="仿宋" w:eastAsia="仿宋" w:cs="仿宋"/>
          <w:color w:val="auto"/>
          <w:kern w:val="0"/>
          <w:sz w:val="24"/>
          <w:szCs w:val="24"/>
          <w:highlight w:val="none"/>
          <w:lang w:val="en-US" w:eastAsia="zh-CN" w:bidi="ar"/>
        </w:rPr>
        <w:t>科研仪器设备采购</w:t>
      </w:r>
      <w:r>
        <w:rPr>
          <w:rFonts w:hint="eastAsia" w:ascii="仿宋" w:hAnsi="仿宋" w:eastAsia="仿宋" w:cs="仿宋"/>
          <w:color w:val="auto"/>
          <w:sz w:val="24"/>
          <w:highlight w:val="none"/>
          <w:lang w:val="en-US" w:eastAsia="zh-CN"/>
        </w:rPr>
        <w:t>见</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须知前附表”</w:t>
      </w:r>
      <w:r>
        <w:rPr>
          <w:rFonts w:hint="eastAsia" w:ascii="仿宋" w:hAnsi="仿宋" w:eastAsia="仿宋" w:cs="仿宋"/>
          <w:color w:val="auto"/>
          <w:sz w:val="24"/>
          <w:highlight w:val="none"/>
          <w:lang w:val="en-US" w:eastAsia="zh-CN"/>
        </w:rPr>
        <w:t>。</w:t>
      </w:r>
    </w:p>
    <w:p w14:paraId="214DD75F">
      <w:pPr>
        <w:ind w:firstLine="480" w:firstLineChars="200"/>
        <w:jc w:val="both"/>
        <w:rPr>
          <w:rFonts w:hint="eastAsia" w:ascii="仿宋" w:hAnsi="仿宋" w:eastAsia="仿宋" w:cs="仿宋"/>
          <w:color w:val="auto"/>
          <w:sz w:val="24"/>
          <w:highlight w:val="none"/>
        </w:rPr>
      </w:pPr>
      <w:r>
        <w:rPr>
          <w:rFonts w:hint="eastAsia" w:ascii="仿宋" w:hAnsi="仿宋" w:eastAsia="仿宋" w:cs="仿宋"/>
          <w:iCs/>
          <w:color w:val="auto"/>
          <w:sz w:val="24"/>
          <w:highlight w:val="none"/>
          <w:shd w:val="clear" w:color="auto" w:fill="FFFFFF" w:themeFill="background1"/>
        </w:rPr>
        <w:t>2.</w:t>
      </w:r>
      <w:r>
        <w:rPr>
          <w:rFonts w:hint="eastAsia" w:ascii="仿宋" w:hAnsi="仿宋" w:eastAsia="仿宋" w:cs="仿宋"/>
          <w:iCs/>
          <w:color w:val="auto"/>
          <w:sz w:val="24"/>
          <w:highlight w:val="none"/>
          <w:shd w:val="clear" w:color="auto" w:fill="FFFFFF" w:themeFill="background1"/>
          <w:lang w:val="en-US" w:eastAsia="zh-CN"/>
        </w:rPr>
        <w:t>7</w:t>
      </w:r>
      <w:r>
        <w:rPr>
          <w:rFonts w:hint="eastAsia" w:ascii="仿宋" w:hAnsi="仿宋" w:eastAsia="仿宋" w:cs="仿宋"/>
          <w:iCs/>
          <w:color w:val="auto"/>
          <w:sz w:val="24"/>
          <w:highlight w:val="none"/>
          <w:shd w:val="clear" w:color="auto" w:fill="FFFFFF" w:themeFill="background1"/>
        </w:rPr>
        <w:t>投标人（也称“供应商”、“申请人”）：指向采购人提供货物、工程或者服务的法人、其他组织或者自然人。</w:t>
      </w:r>
      <w:r>
        <w:rPr>
          <w:rFonts w:hint="eastAsia" w:ascii="仿宋" w:hAnsi="仿宋" w:eastAsia="仿宋" w:cs="仿宋"/>
          <w:color w:val="auto"/>
          <w:sz w:val="24"/>
          <w:highlight w:val="none"/>
        </w:rPr>
        <w:t>分支机构不得参加政府采购活动，但银行、保险、石油石化、电力、电信等</w:t>
      </w:r>
      <w:r>
        <w:rPr>
          <w:rFonts w:hint="eastAsia" w:ascii="仿宋" w:hAnsi="仿宋" w:eastAsia="仿宋" w:cs="仿宋"/>
          <w:color w:val="auto"/>
          <w:sz w:val="24"/>
          <w:highlight w:val="none"/>
          <w:lang w:val="en-US" w:eastAsia="zh-CN"/>
        </w:rPr>
        <w:t>有</w:t>
      </w:r>
      <w:r>
        <w:rPr>
          <w:rFonts w:hint="eastAsia" w:ascii="仿宋" w:hAnsi="仿宋" w:eastAsia="仿宋" w:cs="仿宋"/>
          <w:color w:val="auto"/>
          <w:sz w:val="24"/>
          <w:highlight w:val="none"/>
        </w:rPr>
        <w:t>行业特殊</w:t>
      </w:r>
      <w:r>
        <w:rPr>
          <w:rFonts w:hint="eastAsia" w:ascii="仿宋" w:hAnsi="仿宋" w:eastAsia="仿宋" w:cs="仿宋"/>
          <w:color w:val="auto"/>
          <w:sz w:val="24"/>
          <w:highlight w:val="none"/>
          <w:lang w:val="en-US" w:eastAsia="zh-CN"/>
        </w:rPr>
        <w:t>情况的</w:t>
      </w:r>
      <w:r>
        <w:rPr>
          <w:rFonts w:hint="eastAsia" w:ascii="仿宋" w:hAnsi="仿宋" w:eastAsia="仿宋" w:cs="仿宋"/>
          <w:color w:val="auto"/>
          <w:sz w:val="24"/>
          <w:highlight w:val="none"/>
        </w:rPr>
        <w:t>除外。本项目的投标人须满足以下条件：</w:t>
      </w:r>
    </w:p>
    <w:p w14:paraId="2518C535">
      <w:pPr>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.1具备《中华人民共和国政府采购法》第二十二条规定的条件，遵守本项目采购人本级和上级财政部门政府采购的有关规定。</w:t>
      </w:r>
    </w:p>
    <w:p w14:paraId="76745163">
      <w:pPr>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.2以招标公告中发布的方式依法获得了本项目的招标文件。</w:t>
      </w:r>
    </w:p>
    <w:p w14:paraId="0DE24F0D">
      <w:pPr>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2.7.3符合本招标文件规定并参加投标的供应商。</w:t>
      </w:r>
    </w:p>
    <w:p w14:paraId="5FC27D1B">
      <w:pPr>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2.8</w:t>
      </w:r>
      <w:r>
        <w:rPr>
          <w:rFonts w:hint="eastAsia" w:ascii="仿宋" w:hAnsi="仿宋" w:eastAsia="仿宋" w:cs="仿宋"/>
          <w:iCs/>
          <w:color w:val="auto"/>
          <w:sz w:val="24"/>
          <w:highlight w:val="none"/>
          <w:shd w:val="clear" w:color="auto" w:fill="FFFFFF" w:themeFill="background1"/>
        </w:rPr>
        <w:t>潜在投标人、潜在供应商</w:t>
      </w:r>
      <w:r>
        <w:rPr>
          <w:rFonts w:hint="eastAsia" w:ascii="仿宋" w:hAnsi="仿宋" w:eastAsia="仿宋" w:cs="仿宋"/>
          <w:iCs/>
          <w:color w:val="auto"/>
          <w:sz w:val="24"/>
          <w:highlight w:val="none"/>
          <w:shd w:val="clear" w:color="auto" w:fill="FFFFFF" w:themeFill="background1"/>
          <w:lang w:eastAsia="zh-CN"/>
        </w:rPr>
        <w:t>：</w:t>
      </w:r>
      <w:r>
        <w:rPr>
          <w:rFonts w:hint="eastAsia" w:ascii="仿宋" w:hAnsi="仿宋" w:eastAsia="仿宋" w:cs="仿宋"/>
          <w:iCs/>
          <w:color w:val="auto"/>
          <w:sz w:val="24"/>
          <w:highlight w:val="none"/>
          <w:shd w:val="clear" w:color="auto" w:fill="FFFFFF" w:themeFill="background1"/>
          <w:lang w:val="en-US" w:eastAsia="zh-CN"/>
        </w:rPr>
        <w:t>指</w:t>
      </w:r>
      <w:r>
        <w:rPr>
          <w:rFonts w:hint="eastAsia" w:ascii="仿宋" w:hAnsi="仿宋" w:eastAsia="仿宋" w:cs="仿宋"/>
          <w:color w:val="auto"/>
          <w:sz w:val="24"/>
          <w:highlight w:val="none"/>
          <w:lang w:val="en-US" w:eastAsia="zh-CN"/>
        </w:rPr>
        <w:t>符合本招标文件规定的供应商。</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165" w:name="_Toc140132758"/>
      <w:bookmarkStart w:id="166" w:name="_Toc163492825"/>
      <w:r>
        <w:rPr>
          <w:rFonts w:hint="eastAsia" w:ascii="仿宋" w:hAnsi="仿宋" w:eastAsia="仿宋" w:cs="仿宋"/>
          <w:b/>
          <w:bCs/>
          <w:color w:val="auto"/>
          <w:kern w:val="2"/>
          <w:sz w:val="24"/>
          <w:szCs w:val="28"/>
          <w:highlight w:val="none"/>
          <w:lang w:val="en-US" w:eastAsia="zh-CN" w:bidi="ar-SA"/>
        </w:rPr>
        <w:t>3.资金来源</w:t>
      </w:r>
      <w:bookmarkEnd w:id="165"/>
      <w:bookmarkEnd w:id="166"/>
    </w:p>
    <w:p w14:paraId="76E8C14F">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3.1资金来源：</w:t>
      </w:r>
      <w:r>
        <w:rPr>
          <w:rFonts w:hint="eastAsia" w:ascii="仿宋" w:hAnsi="仿宋" w:eastAsia="仿宋" w:cs="仿宋"/>
          <w:color w:val="auto"/>
          <w:sz w:val="24"/>
          <w:highlight w:val="none"/>
          <w:lang w:val="en-US" w:eastAsia="zh-CN"/>
        </w:rPr>
        <w:t>为财政性资金即</w:t>
      </w:r>
      <w:r>
        <w:rPr>
          <w:rFonts w:hint="eastAsia" w:ascii="仿宋" w:hAnsi="仿宋" w:eastAsia="仿宋" w:cs="仿宋"/>
          <w:color w:val="auto"/>
          <w:sz w:val="24"/>
          <w:highlight w:val="none"/>
        </w:rPr>
        <w:t>纳入预算管理的资金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167" w:name="_Toc140132760"/>
      <w:bookmarkStart w:id="168" w:name="_Toc163492826"/>
      <w:r>
        <w:rPr>
          <w:rFonts w:hint="eastAsia" w:ascii="仿宋" w:hAnsi="仿宋" w:eastAsia="仿宋" w:cs="仿宋"/>
          <w:b/>
          <w:bCs/>
          <w:color w:val="auto"/>
          <w:kern w:val="2"/>
          <w:sz w:val="24"/>
          <w:szCs w:val="28"/>
          <w:highlight w:val="none"/>
          <w:lang w:val="en-US" w:eastAsia="zh-CN" w:bidi="ar-SA"/>
        </w:rPr>
        <w:t>4.投标人资格要求</w:t>
      </w:r>
      <w:bookmarkEnd w:id="167"/>
      <w:bookmarkEnd w:id="168"/>
    </w:p>
    <w:p w14:paraId="522AD9C1">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4.1投标人资格要求：见“</w:t>
      </w:r>
      <w:r>
        <w:rPr>
          <w:rFonts w:hint="eastAsia" w:ascii="仿宋" w:hAnsi="仿宋" w:eastAsia="仿宋" w:cs="仿宋"/>
          <w:color w:val="auto"/>
          <w:sz w:val="24"/>
          <w:highlight w:val="none"/>
          <w:lang w:val="en-US" w:eastAsia="zh-CN"/>
        </w:rPr>
        <w:t>第一章 招标公告</w:t>
      </w:r>
      <w:r>
        <w:rPr>
          <w:rFonts w:hint="eastAsia" w:ascii="仿宋" w:hAnsi="仿宋" w:eastAsia="仿宋" w:cs="仿宋"/>
          <w:color w:val="auto"/>
          <w:sz w:val="24"/>
          <w:highlight w:val="none"/>
        </w:rPr>
        <w:t>”；</w:t>
      </w:r>
    </w:p>
    <w:p w14:paraId="3B57853B">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第一章 招标公告</w:t>
      </w:r>
      <w:r>
        <w:rPr>
          <w:rFonts w:hint="eastAsia" w:ascii="仿宋" w:hAnsi="仿宋" w:eastAsia="仿宋" w:cs="仿宋"/>
          <w:color w:val="auto"/>
          <w:sz w:val="24"/>
          <w:highlight w:val="none"/>
          <w:lang w:val="zh-CN" w:eastAsia="zh-CN"/>
        </w:rPr>
        <w:t>”规定接受联合体投标的，还应遵守以下规定：</w:t>
      </w:r>
    </w:p>
    <w:p w14:paraId="512308FF">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iCs/>
          <w:color w:val="auto"/>
          <w:kern w:val="2"/>
          <w:sz w:val="24"/>
          <w:szCs w:val="22"/>
          <w:highlight w:val="none"/>
          <w:shd w:val="clear" w:color="auto" w:fill="FFFFFF" w:themeFill="background1"/>
          <w:lang w:val="zh-CN" w:eastAsia="zh-CN" w:bidi="ar-SA"/>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1两个以上的自然人、法人或者其他组织可以组成一个联合体，以一个</w:t>
      </w: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lang w:val="zh-CN" w:eastAsia="zh-CN"/>
        </w:rPr>
        <w:t>的身份共同参加政府采购。</w:t>
      </w:r>
      <w:r>
        <w:rPr>
          <w:rFonts w:hint="eastAsia" w:ascii="仿宋" w:hAnsi="仿宋" w:eastAsia="仿宋" w:cs="仿宋"/>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ascii="仿宋" w:hAnsi="仿宋" w:eastAsia="仿宋" w:cs="仿宋"/>
          <w:color w:val="auto"/>
          <w:sz w:val="24"/>
          <w:highlight w:val="none"/>
        </w:rPr>
        <w:t>中华人民共和国政府采购法</w:t>
      </w:r>
      <w:r>
        <w:rPr>
          <w:rFonts w:hint="eastAsia" w:ascii="仿宋" w:hAnsi="仿宋" w:eastAsia="仿宋" w:cs="仿宋"/>
          <w:iCs/>
          <w:color w:val="auto"/>
          <w:kern w:val="2"/>
          <w:sz w:val="24"/>
          <w:szCs w:val="22"/>
          <w:highlight w:val="none"/>
          <w:shd w:val="clear" w:color="auto" w:fill="FFFFFF" w:themeFill="background1"/>
          <w:lang w:val="zh-CN" w:eastAsia="zh-CN" w:bidi="ar-SA"/>
        </w:rPr>
        <w:t>》第二十二条规定的条件。</w:t>
      </w:r>
    </w:p>
    <w:p w14:paraId="7EFB49B3">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iCs/>
          <w:color w:val="auto"/>
          <w:kern w:val="2"/>
          <w:sz w:val="24"/>
          <w:szCs w:val="22"/>
          <w:highlight w:val="none"/>
          <w:shd w:val="clear" w:color="auto" w:fill="FFFFFF" w:themeFill="background1"/>
          <w:lang w:val="zh-CN"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4</w:t>
      </w:r>
      <w:r>
        <w:rPr>
          <w:rFonts w:hint="eastAsia" w:ascii="仿宋" w:hAnsi="仿宋" w:eastAsia="仿宋" w:cs="仿宋"/>
          <w:iCs/>
          <w:color w:val="auto"/>
          <w:kern w:val="2"/>
          <w:sz w:val="24"/>
          <w:szCs w:val="22"/>
          <w:highlight w:val="none"/>
          <w:shd w:val="clear" w:color="auto" w:fill="FFFFFF" w:themeFill="background1"/>
          <w:lang w:val="zh-CN" w:eastAsia="zh-CN" w:bidi="ar-SA"/>
        </w:rPr>
        <w:t>.</w:t>
      </w:r>
      <w:r>
        <w:rPr>
          <w:rFonts w:hint="eastAsia" w:ascii="仿宋" w:hAnsi="仿宋" w:eastAsia="仿宋" w:cs="仿宋"/>
          <w:iCs/>
          <w:color w:val="auto"/>
          <w:kern w:val="2"/>
          <w:sz w:val="24"/>
          <w:szCs w:val="22"/>
          <w:highlight w:val="none"/>
          <w:shd w:val="clear" w:color="auto" w:fill="FFFFFF" w:themeFill="background1"/>
          <w:lang w:val="en-US" w:eastAsia="zh-CN" w:bidi="ar-SA"/>
        </w:rPr>
        <w:t>2.2</w:t>
      </w:r>
      <w:r>
        <w:rPr>
          <w:rFonts w:hint="eastAsia" w:ascii="仿宋" w:hAnsi="仿宋" w:eastAsia="仿宋" w:cs="仿宋"/>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仿宋" w:hAnsi="仿宋" w:eastAsia="仿宋" w:cs="仿宋"/>
          <w:iCs/>
          <w:color w:val="auto"/>
          <w:kern w:val="2"/>
          <w:sz w:val="24"/>
          <w:szCs w:val="22"/>
          <w:highlight w:val="none"/>
          <w:shd w:val="clear" w:color="auto" w:fill="FFFFFF" w:themeFill="background1"/>
          <w:lang w:val="en-US" w:eastAsia="zh-CN" w:bidi="ar-SA"/>
        </w:rPr>
        <w:t>体</w:t>
      </w:r>
      <w:r>
        <w:rPr>
          <w:rFonts w:hint="eastAsia" w:ascii="仿宋" w:hAnsi="仿宋" w:eastAsia="仿宋" w:cs="仿宋"/>
          <w:iCs/>
          <w:color w:val="auto"/>
          <w:kern w:val="2"/>
          <w:sz w:val="24"/>
          <w:szCs w:val="22"/>
          <w:highlight w:val="none"/>
          <w:shd w:val="clear" w:color="auto" w:fill="FFFFFF" w:themeFill="background1"/>
          <w:lang w:val="zh-CN" w:eastAsia="zh-CN" w:bidi="ar-SA"/>
        </w:rPr>
        <w:t>协议</w:t>
      </w:r>
      <w:r>
        <w:rPr>
          <w:rFonts w:hint="eastAsia" w:ascii="仿宋" w:hAnsi="仿宋" w:eastAsia="仿宋" w:cs="仿宋"/>
          <w:iCs/>
          <w:color w:val="auto"/>
          <w:kern w:val="2"/>
          <w:sz w:val="24"/>
          <w:szCs w:val="22"/>
          <w:highlight w:val="none"/>
          <w:shd w:val="clear" w:color="auto" w:fill="FFFFFF" w:themeFill="background1"/>
          <w:lang w:val="en-US" w:eastAsia="zh-CN" w:bidi="ar-SA"/>
        </w:rPr>
        <w:t>书</w:t>
      </w:r>
      <w:r>
        <w:rPr>
          <w:rFonts w:hint="eastAsia" w:ascii="仿宋" w:hAnsi="仿宋" w:eastAsia="仿宋" w:cs="仿宋"/>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仿宋" w:hAnsi="仿宋" w:eastAsia="仿宋" w:cs="仿宋"/>
          <w:iCs/>
          <w:color w:val="auto"/>
          <w:kern w:val="2"/>
          <w:sz w:val="24"/>
          <w:szCs w:val="22"/>
          <w:highlight w:val="none"/>
          <w:shd w:val="clear" w:color="auto" w:fill="FFFFFF" w:themeFill="background1"/>
          <w:lang w:val="en-US" w:eastAsia="zh-CN" w:bidi="ar-SA"/>
        </w:rPr>
        <w:t>体</w:t>
      </w:r>
      <w:r>
        <w:rPr>
          <w:rFonts w:hint="eastAsia" w:ascii="仿宋" w:hAnsi="仿宋" w:eastAsia="仿宋" w:cs="仿宋"/>
          <w:iCs/>
          <w:color w:val="auto"/>
          <w:kern w:val="2"/>
          <w:sz w:val="24"/>
          <w:szCs w:val="22"/>
          <w:highlight w:val="none"/>
          <w:shd w:val="clear" w:color="auto" w:fill="FFFFFF" w:themeFill="background1"/>
          <w:lang w:val="zh-CN" w:eastAsia="zh-CN" w:bidi="ar-SA"/>
        </w:rPr>
        <w:t>协议</w:t>
      </w:r>
      <w:r>
        <w:rPr>
          <w:rFonts w:hint="eastAsia" w:ascii="仿宋" w:hAnsi="仿宋" w:eastAsia="仿宋" w:cs="仿宋"/>
          <w:iCs/>
          <w:color w:val="auto"/>
          <w:kern w:val="2"/>
          <w:sz w:val="24"/>
          <w:szCs w:val="22"/>
          <w:highlight w:val="none"/>
          <w:shd w:val="clear" w:color="auto" w:fill="FFFFFF" w:themeFill="background1"/>
          <w:lang w:val="en-US" w:eastAsia="zh-CN" w:bidi="ar-SA"/>
        </w:rPr>
        <w:t>书</w:t>
      </w:r>
      <w:r>
        <w:rPr>
          <w:rFonts w:hint="eastAsia" w:ascii="仿宋" w:hAnsi="仿宋" w:eastAsia="仿宋" w:cs="仿宋"/>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仿宋" w:hAnsi="仿宋" w:eastAsia="仿宋" w:cs="仿宋"/>
          <w:iCs/>
          <w:color w:val="auto"/>
          <w:kern w:val="2"/>
          <w:sz w:val="24"/>
          <w:szCs w:val="22"/>
          <w:highlight w:val="none"/>
          <w:shd w:val="clear" w:color="auto" w:fill="FFFFFF" w:themeFill="background1"/>
          <w:lang w:val="en-US" w:eastAsia="zh-CN" w:bidi="ar-SA"/>
        </w:rPr>
        <w:t>体所有成员</w:t>
      </w:r>
      <w:r>
        <w:rPr>
          <w:rFonts w:hint="eastAsia" w:ascii="仿宋" w:hAnsi="仿宋" w:eastAsia="仿宋" w:cs="仿宋"/>
          <w:iCs/>
          <w:color w:val="auto"/>
          <w:kern w:val="2"/>
          <w:sz w:val="24"/>
          <w:szCs w:val="22"/>
          <w:highlight w:val="none"/>
          <w:shd w:val="clear" w:color="auto" w:fill="FFFFFF" w:themeFill="background1"/>
          <w:lang w:val="zh-CN" w:eastAsia="zh-CN" w:bidi="ar-SA"/>
        </w:rPr>
        <w:t>均具有法律约束力。</w:t>
      </w:r>
    </w:p>
    <w:p w14:paraId="5343E5B5">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iCs/>
          <w:color w:val="auto"/>
          <w:kern w:val="2"/>
          <w:sz w:val="24"/>
          <w:szCs w:val="22"/>
          <w:highlight w:val="none"/>
          <w:shd w:val="clear" w:color="auto" w:fill="FFFFFF" w:themeFill="background1"/>
          <w:lang w:val="zh-CN"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4.2.3</w:t>
      </w:r>
      <w:r>
        <w:rPr>
          <w:rFonts w:hint="eastAsia" w:ascii="仿宋" w:hAnsi="仿宋" w:eastAsia="仿宋" w:cs="仿宋"/>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iCs/>
          <w:color w:val="auto"/>
          <w:kern w:val="2"/>
          <w:sz w:val="24"/>
          <w:szCs w:val="22"/>
          <w:highlight w:val="none"/>
          <w:shd w:val="clear" w:color="auto" w:fill="FFFFFF" w:themeFill="background1"/>
          <w:lang w:val="zh-CN"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4.2</w:t>
      </w:r>
      <w:r>
        <w:rPr>
          <w:rFonts w:hint="eastAsia" w:ascii="仿宋" w:hAnsi="仿宋" w:eastAsia="仿宋" w:cs="仿宋"/>
          <w:iCs/>
          <w:color w:val="auto"/>
          <w:kern w:val="2"/>
          <w:sz w:val="24"/>
          <w:szCs w:val="22"/>
          <w:highlight w:val="none"/>
          <w:shd w:val="clear" w:color="auto" w:fill="FFFFFF" w:themeFill="background1"/>
          <w:lang w:val="zh-CN" w:eastAsia="zh-CN" w:bidi="ar-SA"/>
        </w:rPr>
        <w:t>.</w:t>
      </w:r>
      <w:r>
        <w:rPr>
          <w:rFonts w:hint="eastAsia" w:ascii="仿宋" w:hAnsi="仿宋" w:eastAsia="仿宋" w:cs="仿宋"/>
          <w:iCs/>
          <w:color w:val="auto"/>
          <w:kern w:val="2"/>
          <w:sz w:val="24"/>
          <w:szCs w:val="22"/>
          <w:highlight w:val="none"/>
          <w:shd w:val="clear" w:color="auto" w:fill="FFFFFF" w:themeFill="background1"/>
          <w:lang w:val="en-US" w:eastAsia="zh-CN" w:bidi="ar-SA"/>
        </w:rPr>
        <w:t>4</w:t>
      </w:r>
      <w:r>
        <w:rPr>
          <w:rFonts w:hint="eastAsia" w:ascii="仿宋" w:hAnsi="仿宋" w:eastAsia="仿宋" w:cs="仿宋"/>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仿宋" w:hAnsi="仿宋" w:eastAsia="仿宋" w:cs="仿宋"/>
          <w:iCs/>
          <w:color w:val="auto"/>
          <w:kern w:val="2"/>
          <w:sz w:val="24"/>
          <w:szCs w:val="22"/>
          <w:highlight w:val="none"/>
          <w:shd w:val="clear" w:color="auto" w:fill="FFFFFF" w:themeFill="background1"/>
          <w:lang w:val="en-US" w:eastAsia="zh-CN" w:bidi="ar-SA"/>
        </w:rPr>
        <w:t>同一合同项下的</w:t>
      </w:r>
      <w:r>
        <w:rPr>
          <w:rFonts w:hint="eastAsia" w:ascii="仿宋" w:hAnsi="仿宋" w:eastAsia="仿宋" w:cs="仿宋"/>
          <w:iCs/>
          <w:color w:val="auto"/>
          <w:kern w:val="2"/>
          <w:sz w:val="24"/>
          <w:szCs w:val="22"/>
          <w:highlight w:val="none"/>
          <w:shd w:val="clear" w:color="auto" w:fill="FFFFFF" w:themeFill="background1"/>
          <w:lang w:val="zh-CN" w:eastAsia="zh-CN" w:bidi="ar-SA"/>
        </w:rPr>
        <w:t>投标，否则相关投标将被认定为</w:t>
      </w:r>
      <w:r>
        <w:rPr>
          <w:rFonts w:hint="eastAsia" w:ascii="仿宋" w:hAnsi="仿宋" w:eastAsia="仿宋" w:cs="仿宋"/>
          <w:b/>
          <w:bCs/>
          <w:iCs/>
          <w:color w:val="auto"/>
          <w:kern w:val="2"/>
          <w:sz w:val="24"/>
          <w:szCs w:val="22"/>
          <w:highlight w:val="none"/>
          <w:shd w:val="clear" w:color="auto" w:fill="FFFFFF" w:themeFill="background1"/>
          <w:lang w:val="zh-CN" w:eastAsia="zh-CN" w:bidi="ar-SA"/>
        </w:rPr>
        <w:t>投标无效</w:t>
      </w:r>
      <w:r>
        <w:rPr>
          <w:rFonts w:hint="eastAsia" w:ascii="仿宋" w:hAnsi="仿宋" w:eastAsia="仿宋" w:cs="仿宋"/>
          <w:iCs/>
          <w:color w:val="auto"/>
          <w:kern w:val="2"/>
          <w:sz w:val="24"/>
          <w:szCs w:val="22"/>
          <w:highlight w:val="none"/>
          <w:shd w:val="clear" w:color="auto" w:fill="FFFFFF" w:themeFill="background1"/>
          <w:lang w:val="zh-CN" w:eastAsia="zh-CN" w:bidi="ar-SA"/>
        </w:rPr>
        <w:t>。</w:t>
      </w:r>
    </w:p>
    <w:p w14:paraId="2E60D00D">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iCs/>
          <w:color w:val="auto"/>
          <w:kern w:val="2"/>
          <w:sz w:val="24"/>
          <w:szCs w:val="22"/>
          <w:highlight w:val="none"/>
          <w:shd w:val="clear" w:color="auto" w:fill="FFFFFF" w:themeFill="background1"/>
          <w:lang w:val="zh-CN"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4.2</w:t>
      </w:r>
      <w:r>
        <w:rPr>
          <w:rFonts w:hint="eastAsia" w:ascii="仿宋" w:hAnsi="仿宋" w:eastAsia="仿宋" w:cs="仿宋"/>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仿宋" w:hAnsi="仿宋" w:eastAsia="仿宋" w:cs="仿宋"/>
          <w:iCs/>
          <w:color w:val="auto"/>
          <w:kern w:val="2"/>
          <w:sz w:val="24"/>
          <w:szCs w:val="22"/>
          <w:highlight w:val="none"/>
          <w:shd w:val="clear" w:color="auto" w:fill="FFFFFF" w:themeFill="background1"/>
          <w:lang w:val="en-US" w:eastAsia="zh-CN" w:bidi="ar-SA"/>
        </w:rPr>
        <w:t>的</w:t>
      </w:r>
      <w:r>
        <w:rPr>
          <w:rFonts w:hint="eastAsia" w:ascii="仿宋" w:hAnsi="仿宋" w:eastAsia="仿宋" w:cs="仿宋"/>
          <w:iCs/>
          <w:color w:val="auto"/>
          <w:kern w:val="2"/>
          <w:sz w:val="24"/>
          <w:szCs w:val="22"/>
          <w:highlight w:val="none"/>
          <w:shd w:val="clear" w:color="auto" w:fill="FFFFFF" w:themeFill="background1"/>
          <w:lang w:val="zh-CN" w:eastAsia="zh-CN" w:bidi="ar-SA"/>
        </w:rPr>
        <w:t>，联合</w:t>
      </w:r>
      <w:r>
        <w:rPr>
          <w:rFonts w:hint="eastAsia" w:ascii="仿宋" w:hAnsi="仿宋" w:eastAsia="仿宋" w:cs="仿宋"/>
          <w:iCs/>
          <w:color w:val="auto"/>
          <w:kern w:val="2"/>
          <w:sz w:val="24"/>
          <w:szCs w:val="22"/>
          <w:highlight w:val="none"/>
          <w:shd w:val="clear" w:color="auto" w:fill="FFFFFF" w:themeFill="background1"/>
          <w:lang w:val="en-US" w:eastAsia="zh-CN" w:bidi="ar-SA"/>
        </w:rPr>
        <w:t>体</w:t>
      </w:r>
      <w:r>
        <w:rPr>
          <w:rFonts w:hint="eastAsia" w:ascii="仿宋" w:hAnsi="仿宋" w:eastAsia="仿宋" w:cs="仿宋"/>
          <w:iCs/>
          <w:color w:val="auto"/>
          <w:kern w:val="2"/>
          <w:sz w:val="24"/>
          <w:szCs w:val="22"/>
          <w:highlight w:val="none"/>
          <w:shd w:val="clear" w:color="auto" w:fill="FFFFFF" w:themeFill="background1"/>
          <w:lang w:val="zh-CN" w:eastAsia="zh-CN" w:bidi="ar-SA"/>
        </w:rPr>
        <w:t>协议</w:t>
      </w:r>
      <w:r>
        <w:rPr>
          <w:rFonts w:hint="eastAsia" w:ascii="仿宋" w:hAnsi="仿宋" w:eastAsia="仿宋" w:cs="仿宋"/>
          <w:iCs/>
          <w:color w:val="auto"/>
          <w:kern w:val="2"/>
          <w:sz w:val="24"/>
          <w:szCs w:val="22"/>
          <w:highlight w:val="none"/>
          <w:shd w:val="clear" w:color="auto" w:fill="FFFFFF" w:themeFill="background1"/>
          <w:lang w:val="en-US" w:eastAsia="zh-CN" w:bidi="ar-SA"/>
        </w:rPr>
        <w:t>书</w:t>
      </w:r>
      <w:r>
        <w:rPr>
          <w:rFonts w:hint="eastAsia" w:ascii="仿宋" w:hAnsi="仿宋" w:eastAsia="仿宋" w:cs="仿宋"/>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仿宋" w:hAnsi="仿宋" w:eastAsia="仿宋" w:cs="仿宋"/>
          <w:iCs/>
          <w:color w:val="auto"/>
          <w:kern w:val="2"/>
          <w:sz w:val="24"/>
          <w:szCs w:val="22"/>
          <w:highlight w:val="none"/>
          <w:shd w:val="clear" w:color="auto" w:fill="FFFFFF" w:themeFill="background1"/>
          <w:lang w:val="en-US" w:eastAsia="zh-CN" w:bidi="ar-SA"/>
        </w:rPr>
        <w:t>体</w:t>
      </w:r>
      <w:r>
        <w:rPr>
          <w:rFonts w:hint="eastAsia" w:ascii="仿宋" w:hAnsi="仿宋" w:eastAsia="仿宋" w:cs="仿宋"/>
          <w:iCs/>
          <w:color w:val="auto"/>
          <w:kern w:val="2"/>
          <w:sz w:val="24"/>
          <w:szCs w:val="22"/>
          <w:highlight w:val="none"/>
          <w:shd w:val="clear" w:color="auto" w:fill="FFFFFF" w:themeFill="background1"/>
          <w:lang w:val="zh-CN" w:eastAsia="zh-CN" w:bidi="ar-SA"/>
        </w:rPr>
        <w:t>投标</w:t>
      </w:r>
      <w:r>
        <w:rPr>
          <w:rFonts w:hint="eastAsia" w:ascii="仿宋" w:hAnsi="仿宋" w:eastAsia="仿宋" w:cs="仿宋"/>
          <w:iCs/>
          <w:color w:val="auto"/>
          <w:kern w:val="2"/>
          <w:sz w:val="24"/>
          <w:szCs w:val="22"/>
          <w:highlight w:val="none"/>
          <w:shd w:val="clear" w:color="auto" w:fill="FFFFFF" w:themeFill="background1"/>
          <w:lang w:val="en-US" w:eastAsia="zh-CN" w:bidi="ar-SA"/>
        </w:rPr>
        <w:t>合同</w:t>
      </w:r>
      <w:r>
        <w:rPr>
          <w:rFonts w:hint="eastAsia" w:ascii="仿宋" w:hAnsi="仿宋" w:eastAsia="仿宋" w:cs="仿宋"/>
          <w:iCs/>
          <w:color w:val="auto"/>
          <w:kern w:val="2"/>
          <w:sz w:val="24"/>
          <w:szCs w:val="22"/>
          <w:highlight w:val="none"/>
          <w:shd w:val="clear" w:color="auto" w:fill="FFFFFF" w:themeFill="background1"/>
          <w:lang w:val="zh-CN" w:eastAsia="zh-CN" w:bidi="ar-SA"/>
        </w:rPr>
        <w:t>总金额的比例。</w:t>
      </w:r>
    </w:p>
    <w:p w14:paraId="7127D169">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iCs/>
          <w:color w:val="auto"/>
          <w:kern w:val="2"/>
          <w:sz w:val="24"/>
          <w:szCs w:val="22"/>
          <w:highlight w:val="none"/>
          <w:shd w:val="clear" w:color="auto" w:fill="FFFFFF" w:themeFill="background1"/>
          <w:lang w:val="zh-CN" w:eastAsia="zh-CN" w:bidi="ar-SA"/>
        </w:rPr>
      </w:pPr>
      <w:r>
        <w:rPr>
          <w:rFonts w:hint="eastAsia" w:ascii="仿宋" w:hAnsi="仿宋" w:eastAsia="仿宋" w:cs="仿宋"/>
          <w:iCs/>
          <w:color w:val="auto"/>
          <w:kern w:val="2"/>
          <w:sz w:val="24"/>
          <w:szCs w:val="22"/>
          <w:highlight w:val="none"/>
          <w:shd w:val="clear" w:color="auto" w:fill="FFFFFF" w:themeFill="background1"/>
          <w:lang w:val="zh-CN" w:eastAsia="zh-CN" w:bidi="ar-SA"/>
        </w:rPr>
        <w:t>4.2</w:t>
      </w:r>
      <w:r>
        <w:rPr>
          <w:rFonts w:hint="eastAsia" w:ascii="仿宋" w:hAnsi="仿宋" w:eastAsia="仿宋" w:cs="仿宋"/>
          <w:iCs/>
          <w:color w:val="auto"/>
          <w:kern w:val="2"/>
          <w:sz w:val="24"/>
          <w:szCs w:val="22"/>
          <w:highlight w:val="none"/>
          <w:shd w:val="clear" w:color="auto" w:fill="FFFFFF" w:themeFill="background1"/>
          <w:lang w:val="en-US" w:eastAsia="zh-CN" w:bidi="ar-SA"/>
        </w:rPr>
        <w:t>.6</w:t>
      </w:r>
      <w:r>
        <w:rPr>
          <w:rFonts w:hint="eastAsia" w:ascii="仿宋" w:hAnsi="仿宋" w:eastAsia="仿宋" w:cs="仿宋"/>
          <w:iCs/>
          <w:color w:val="auto"/>
          <w:kern w:val="2"/>
          <w:sz w:val="24"/>
          <w:szCs w:val="22"/>
          <w:highlight w:val="none"/>
          <w:shd w:val="clear" w:color="auto" w:fill="FFFFFF" w:themeFill="background1"/>
          <w:lang w:val="zh-CN" w:eastAsia="zh-CN" w:bidi="ar-SA"/>
        </w:rPr>
        <w:t>联合体中标</w:t>
      </w:r>
      <w:r>
        <w:rPr>
          <w:rFonts w:hint="eastAsia" w:ascii="仿宋" w:hAnsi="仿宋" w:eastAsia="仿宋" w:cs="仿宋"/>
          <w:iCs/>
          <w:color w:val="auto"/>
          <w:kern w:val="2"/>
          <w:sz w:val="24"/>
          <w:szCs w:val="22"/>
          <w:highlight w:val="none"/>
          <w:shd w:val="clear" w:color="auto" w:fill="FFFFFF" w:themeFill="background1"/>
          <w:lang w:val="en-US" w:eastAsia="zh-CN" w:bidi="ar-SA"/>
        </w:rPr>
        <w:t>的</w:t>
      </w:r>
      <w:r>
        <w:rPr>
          <w:rFonts w:hint="eastAsia" w:ascii="仿宋" w:hAnsi="仿宋" w:eastAsia="仿宋" w:cs="仿宋"/>
          <w:iCs/>
          <w:color w:val="auto"/>
          <w:kern w:val="2"/>
          <w:sz w:val="24"/>
          <w:szCs w:val="22"/>
          <w:highlight w:val="none"/>
          <w:shd w:val="clear" w:color="auto" w:fill="FFFFFF" w:themeFill="background1"/>
          <w:lang w:val="zh-CN" w:eastAsia="zh-CN" w:bidi="ar-SA"/>
        </w:rPr>
        <w:t>，</w:t>
      </w:r>
      <w:r>
        <w:rPr>
          <w:rFonts w:hint="eastAsia" w:ascii="仿宋" w:hAnsi="仿宋" w:eastAsia="仿宋" w:cs="仿宋"/>
          <w:iCs/>
          <w:color w:val="auto"/>
          <w:kern w:val="2"/>
          <w:sz w:val="24"/>
          <w:szCs w:val="22"/>
          <w:highlight w:val="none"/>
          <w:shd w:val="clear" w:color="auto" w:fill="FFFFFF" w:themeFill="background1"/>
          <w:lang w:val="en-US" w:eastAsia="zh-CN" w:bidi="ar-SA"/>
        </w:rPr>
        <w:t>采购</w:t>
      </w:r>
      <w:r>
        <w:rPr>
          <w:rFonts w:hint="eastAsia" w:ascii="仿宋" w:hAnsi="仿宋" w:eastAsia="仿宋" w:cs="仿宋"/>
          <w:iCs/>
          <w:color w:val="auto"/>
          <w:kern w:val="2"/>
          <w:sz w:val="24"/>
          <w:szCs w:val="22"/>
          <w:highlight w:val="none"/>
          <w:shd w:val="clear" w:color="auto" w:fill="FFFFFF" w:themeFill="background1"/>
          <w:lang w:val="zh-CN" w:eastAsia="zh-CN" w:bidi="ar-SA"/>
        </w:rPr>
        <w:t>合同应由</w:t>
      </w:r>
      <w:r>
        <w:rPr>
          <w:rFonts w:hint="eastAsia" w:ascii="仿宋" w:hAnsi="仿宋" w:eastAsia="仿宋" w:cs="仿宋"/>
          <w:iCs/>
          <w:color w:val="auto"/>
          <w:kern w:val="2"/>
          <w:sz w:val="24"/>
          <w:szCs w:val="22"/>
          <w:highlight w:val="none"/>
          <w:shd w:val="clear" w:color="auto" w:fill="FFFFFF" w:themeFill="background1"/>
          <w:lang w:val="en-US" w:eastAsia="zh-CN" w:bidi="ar-SA"/>
        </w:rPr>
        <w:t>联合体</w:t>
      </w:r>
      <w:r>
        <w:rPr>
          <w:rFonts w:hint="eastAsia" w:ascii="仿宋" w:hAnsi="仿宋" w:eastAsia="仿宋" w:cs="仿宋"/>
          <w:iCs/>
          <w:color w:val="auto"/>
          <w:kern w:val="2"/>
          <w:sz w:val="24"/>
          <w:szCs w:val="22"/>
          <w:highlight w:val="none"/>
          <w:shd w:val="clear" w:color="auto" w:fill="FFFFFF" w:themeFill="background1"/>
          <w:lang w:val="zh-CN" w:eastAsia="zh-CN" w:bidi="ar-SA"/>
        </w:rPr>
        <w:t>各成员的合法授权代表签字</w:t>
      </w:r>
      <w:r>
        <w:rPr>
          <w:rFonts w:hint="eastAsia" w:ascii="仿宋" w:hAnsi="仿宋" w:eastAsia="仿宋" w:cs="仿宋"/>
          <w:iCs/>
          <w:color w:val="auto"/>
          <w:kern w:val="2"/>
          <w:sz w:val="24"/>
          <w:szCs w:val="22"/>
          <w:highlight w:val="none"/>
          <w:shd w:val="clear" w:color="auto" w:fill="FFFFFF" w:themeFill="background1"/>
          <w:lang w:val="en-US" w:eastAsia="zh-CN" w:bidi="ar-SA"/>
        </w:rPr>
        <w:t>及</w:t>
      </w:r>
      <w:r>
        <w:rPr>
          <w:rFonts w:hint="eastAsia" w:ascii="仿宋" w:hAnsi="仿宋" w:eastAsia="仿宋" w:cs="仿宋"/>
          <w:iCs/>
          <w:color w:val="auto"/>
          <w:kern w:val="2"/>
          <w:sz w:val="24"/>
          <w:szCs w:val="22"/>
          <w:highlight w:val="none"/>
          <w:shd w:val="clear" w:color="auto" w:fill="FFFFFF" w:themeFill="background1"/>
          <w:lang w:val="zh-CN" w:eastAsia="zh-CN" w:bidi="ar-SA"/>
        </w:rPr>
        <w:t>加盖</w:t>
      </w:r>
      <w:r>
        <w:rPr>
          <w:rFonts w:hint="eastAsia" w:ascii="仿宋" w:hAnsi="仿宋" w:eastAsia="仿宋" w:cs="仿宋"/>
          <w:iCs/>
          <w:color w:val="auto"/>
          <w:kern w:val="2"/>
          <w:sz w:val="24"/>
          <w:szCs w:val="22"/>
          <w:highlight w:val="none"/>
          <w:shd w:val="clear" w:color="auto" w:fill="FFFFFF" w:themeFill="background1"/>
          <w:lang w:val="en-US" w:eastAsia="zh-CN" w:bidi="ar-SA"/>
        </w:rPr>
        <w:t>联合体</w:t>
      </w:r>
      <w:r>
        <w:rPr>
          <w:rFonts w:hint="eastAsia" w:ascii="仿宋" w:hAnsi="仿宋" w:eastAsia="仿宋" w:cs="仿宋"/>
          <w:iCs/>
          <w:color w:val="auto"/>
          <w:kern w:val="2"/>
          <w:sz w:val="24"/>
          <w:szCs w:val="22"/>
          <w:highlight w:val="none"/>
          <w:shd w:val="clear" w:color="auto" w:fill="FFFFFF" w:themeFill="background1"/>
          <w:lang w:val="zh-CN" w:eastAsia="zh-CN" w:bidi="ar-SA"/>
        </w:rPr>
        <w:t>各成员公章，</w:t>
      </w:r>
      <w:r>
        <w:rPr>
          <w:rFonts w:hint="eastAsia" w:ascii="仿宋" w:hAnsi="仿宋" w:eastAsia="仿宋" w:cs="仿宋"/>
          <w:iCs/>
          <w:color w:val="auto"/>
          <w:kern w:val="2"/>
          <w:sz w:val="24"/>
          <w:szCs w:val="22"/>
          <w:highlight w:val="none"/>
          <w:shd w:val="clear" w:color="auto" w:fill="FFFFFF" w:themeFill="background1"/>
          <w:lang w:val="en-US" w:eastAsia="zh-CN" w:bidi="ar-SA"/>
        </w:rPr>
        <w:t>并</w:t>
      </w:r>
      <w:r>
        <w:rPr>
          <w:rFonts w:hint="eastAsia" w:ascii="仿宋" w:hAnsi="仿宋" w:eastAsia="仿宋" w:cs="仿宋"/>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iCs/>
          <w:color w:val="auto"/>
          <w:kern w:val="2"/>
          <w:sz w:val="24"/>
          <w:szCs w:val="22"/>
          <w:highlight w:val="none"/>
          <w:shd w:val="clear" w:color="auto" w:fill="FFFFFF" w:themeFill="background1"/>
          <w:lang w:val="zh-CN" w:eastAsia="zh-CN" w:bidi="ar-SA"/>
        </w:rPr>
      </w:pPr>
      <w:r>
        <w:rPr>
          <w:rFonts w:hint="eastAsia" w:ascii="仿宋" w:hAnsi="仿宋" w:eastAsia="仿宋" w:cs="仿宋"/>
          <w:iCs/>
          <w:color w:val="auto"/>
          <w:kern w:val="2"/>
          <w:sz w:val="24"/>
          <w:szCs w:val="22"/>
          <w:highlight w:val="none"/>
          <w:shd w:val="clear" w:color="auto" w:fill="FFFFFF" w:themeFill="background1"/>
          <w:lang w:val="zh-CN" w:eastAsia="zh-CN" w:bidi="ar-SA"/>
        </w:rPr>
        <w:t>4.2</w:t>
      </w:r>
      <w:r>
        <w:rPr>
          <w:rFonts w:hint="eastAsia" w:ascii="仿宋" w:hAnsi="仿宋" w:eastAsia="仿宋" w:cs="仿宋"/>
          <w:iCs/>
          <w:color w:val="auto"/>
          <w:kern w:val="2"/>
          <w:sz w:val="24"/>
          <w:szCs w:val="22"/>
          <w:highlight w:val="none"/>
          <w:shd w:val="clear" w:color="auto" w:fill="FFFFFF" w:themeFill="background1"/>
          <w:lang w:val="en-US" w:eastAsia="zh-CN" w:bidi="ar-SA"/>
        </w:rPr>
        <w:t>.7</w:t>
      </w:r>
      <w:r>
        <w:rPr>
          <w:rFonts w:hint="eastAsia" w:ascii="仿宋" w:hAnsi="仿宋" w:eastAsia="仿宋" w:cs="仿宋"/>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仿宋" w:hAnsi="仿宋" w:eastAsia="仿宋" w:cs="仿宋"/>
          <w:iCs/>
          <w:color w:val="auto"/>
          <w:kern w:val="2"/>
          <w:sz w:val="24"/>
          <w:szCs w:val="22"/>
          <w:highlight w:val="none"/>
          <w:shd w:val="clear" w:color="auto" w:fill="FFFFFF" w:themeFill="background1"/>
          <w:lang w:val="en-US" w:eastAsia="zh-CN" w:bidi="ar-SA"/>
        </w:rPr>
        <w:t>人</w:t>
      </w:r>
      <w:r>
        <w:rPr>
          <w:rFonts w:hint="eastAsia" w:ascii="仿宋" w:hAnsi="仿宋" w:eastAsia="仿宋" w:cs="仿宋"/>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iCs/>
          <w:color w:val="auto"/>
          <w:kern w:val="2"/>
          <w:sz w:val="24"/>
          <w:szCs w:val="22"/>
          <w:highlight w:val="none"/>
          <w:shd w:val="clear" w:color="auto" w:fill="FFFFFF" w:themeFill="background1"/>
          <w:lang w:val="zh-CN"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4.2</w:t>
      </w:r>
      <w:r>
        <w:rPr>
          <w:rFonts w:hint="eastAsia" w:ascii="仿宋" w:hAnsi="仿宋" w:eastAsia="仿宋" w:cs="仿宋"/>
          <w:iCs/>
          <w:color w:val="auto"/>
          <w:kern w:val="2"/>
          <w:sz w:val="24"/>
          <w:szCs w:val="22"/>
          <w:highlight w:val="none"/>
          <w:shd w:val="clear" w:color="auto" w:fill="FFFFFF" w:themeFill="background1"/>
          <w:lang w:val="zh-CN" w:eastAsia="zh-CN" w:bidi="ar-SA"/>
        </w:rPr>
        <w:t>.</w:t>
      </w:r>
      <w:r>
        <w:rPr>
          <w:rFonts w:hint="eastAsia" w:ascii="仿宋" w:hAnsi="仿宋" w:eastAsia="仿宋" w:cs="仿宋"/>
          <w:iCs/>
          <w:color w:val="auto"/>
          <w:kern w:val="2"/>
          <w:sz w:val="24"/>
          <w:szCs w:val="22"/>
          <w:highlight w:val="none"/>
          <w:shd w:val="clear" w:color="auto" w:fill="FFFFFF" w:themeFill="background1"/>
          <w:lang w:val="en-US" w:eastAsia="zh-CN" w:bidi="ar-SA"/>
        </w:rPr>
        <w:t>8</w:t>
      </w:r>
      <w:r>
        <w:rPr>
          <w:rFonts w:hint="eastAsia" w:ascii="仿宋" w:hAnsi="仿宋" w:eastAsia="仿宋" w:cs="仿宋"/>
          <w:iCs/>
          <w:color w:val="auto"/>
          <w:kern w:val="2"/>
          <w:sz w:val="24"/>
          <w:szCs w:val="22"/>
          <w:highlight w:val="none"/>
          <w:shd w:val="clear" w:color="auto" w:fill="FFFFFF" w:themeFill="background1"/>
          <w:lang w:val="zh-CN" w:eastAsia="zh-CN" w:bidi="ar-SA"/>
        </w:rPr>
        <w:t>对联合体投标的其他资格要求见</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第一章 招标公告</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中的“二、</w:t>
      </w:r>
      <w:r>
        <w:rPr>
          <w:rFonts w:hint="eastAsia" w:ascii="仿宋" w:hAnsi="仿宋" w:eastAsia="仿宋" w:cs="仿宋"/>
          <w:iCs/>
          <w:color w:val="auto"/>
          <w:kern w:val="2"/>
          <w:sz w:val="24"/>
          <w:szCs w:val="22"/>
          <w:highlight w:val="none"/>
          <w:shd w:val="clear" w:color="auto" w:fill="FFFFFF" w:themeFill="background1"/>
          <w:lang w:val="en-US" w:eastAsia="zh-CN" w:bidi="ar-SA"/>
        </w:rPr>
        <w:t>申请人的</w:t>
      </w:r>
      <w:r>
        <w:rPr>
          <w:rFonts w:hint="eastAsia" w:ascii="仿宋" w:hAnsi="仿宋" w:eastAsia="仿宋" w:cs="仿宋"/>
          <w:iCs/>
          <w:color w:val="auto"/>
          <w:kern w:val="2"/>
          <w:sz w:val="24"/>
          <w:szCs w:val="22"/>
          <w:highlight w:val="none"/>
          <w:shd w:val="clear" w:color="auto" w:fill="FFFFFF" w:themeFill="background1"/>
          <w:lang w:val="zh-CN" w:eastAsia="zh-CN" w:bidi="ar-SA"/>
        </w:rPr>
        <w:t>资格</w:t>
      </w:r>
      <w:r>
        <w:rPr>
          <w:rFonts w:hint="eastAsia" w:ascii="仿宋" w:hAnsi="仿宋" w:eastAsia="仿宋" w:cs="仿宋"/>
          <w:iCs/>
          <w:color w:val="auto"/>
          <w:kern w:val="2"/>
          <w:sz w:val="24"/>
          <w:szCs w:val="22"/>
          <w:highlight w:val="none"/>
          <w:shd w:val="clear" w:color="auto" w:fill="FFFFFF" w:themeFill="background1"/>
          <w:lang w:val="en-US" w:eastAsia="zh-CN" w:bidi="ar-SA"/>
        </w:rPr>
        <w:t>要求”</w:t>
      </w:r>
      <w:r>
        <w:rPr>
          <w:rFonts w:hint="eastAsia" w:ascii="仿宋" w:hAnsi="仿宋" w:eastAsia="仿宋" w:cs="仿宋"/>
          <w:iCs/>
          <w:color w:val="auto"/>
          <w:kern w:val="2"/>
          <w:sz w:val="24"/>
          <w:szCs w:val="22"/>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169" w:name="_Toc163492827"/>
      <w:r>
        <w:rPr>
          <w:rFonts w:hint="eastAsia" w:ascii="仿宋" w:hAnsi="仿宋" w:eastAsia="仿宋" w:cs="仿宋"/>
          <w:b/>
          <w:bCs/>
          <w:color w:val="auto"/>
          <w:kern w:val="2"/>
          <w:sz w:val="24"/>
          <w:szCs w:val="28"/>
          <w:highlight w:val="none"/>
          <w:lang w:val="en-US" w:eastAsia="zh-CN" w:bidi="ar-SA"/>
        </w:rPr>
        <w:t>5.费用承担</w:t>
      </w:r>
      <w:bookmarkEnd w:id="169"/>
    </w:p>
    <w:p w14:paraId="3C6741ED">
      <w:pPr>
        <w:pStyle w:val="37"/>
        <w:keepNext w:val="0"/>
        <w:keepLines w:val="0"/>
        <w:pageBreakBefore w:val="0"/>
        <w:widowControl w:val="0"/>
        <w:kinsoku/>
        <w:overflowPunct/>
        <w:topLinePunct w:val="0"/>
        <w:autoSpaceDE/>
        <w:autoSpaceDN/>
        <w:bidi w:val="0"/>
        <w:adjustRightInd/>
        <w:snapToGri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5.1</w:t>
      </w:r>
      <w:r>
        <w:rPr>
          <w:rFonts w:hint="eastAsia" w:ascii="仿宋" w:hAnsi="仿宋" w:eastAsia="仿宋" w:cs="仿宋"/>
          <w:color w:val="auto"/>
          <w:sz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170" w:name="_Toc163492828"/>
      <w:bookmarkStart w:id="171" w:name="_Toc140132761"/>
      <w:r>
        <w:rPr>
          <w:rFonts w:hint="eastAsia" w:ascii="仿宋" w:hAnsi="仿宋" w:eastAsia="仿宋" w:cs="仿宋"/>
          <w:b/>
          <w:bCs/>
          <w:color w:val="auto"/>
          <w:kern w:val="2"/>
          <w:sz w:val="24"/>
          <w:szCs w:val="28"/>
          <w:highlight w:val="none"/>
          <w:lang w:val="en-US" w:eastAsia="zh-CN" w:bidi="ar-SA"/>
        </w:rPr>
        <w:t>6.保密</w:t>
      </w:r>
      <w:bookmarkEnd w:id="170"/>
      <w:bookmarkEnd w:id="171"/>
    </w:p>
    <w:p w14:paraId="7CBA93F7">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参与招标投标活动的各方应对招标文件和投标文件中的商业和技术等秘密保密，否则应承担相应的法律责任。</w:t>
      </w:r>
    </w:p>
    <w:p w14:paraId="2947ABFF">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lang w:val="en-US" w:eastAsia="zh-CN"/>
        </w:rPr>
        <w:t>6</w:t>
      </w:r>
      <w:r>
        <w:rPr>
          <w:rFonts w:hint="eastAsia" w:ascii="仿宋" w:hAnsi="仿宋" w:eastAsia="仿宋" w:cs="仿宋"/>
          <w:color w:val="auto"/>
          <w:kern w:val="2"/>
          <w:sz w:val="24"/>
          <w:szCs w:val="22"/>
          <w:highlight w:val="none"/>
        </w:rPr>
        <w:t>.</w:t>
      </w:r>
      <w:r>
        <w:rPr>
          <w:rFonts w:hint="eastAsia" w:ascii="仿宋" w:hAnsi="仿宋" w:eastAsia="仿宋" w:cs="仿宋"/>
          <w:color w:val="auto"/>
          <w:kern w:val="2"/>
          <w:sz w:val="24"/>
          <w:szCs w:val="22"/>
          <w:highlight w:val="none"/>
          <w:lang w:val="en-US" w:eastAsia="zh-CN"/>
        </w:rPr>
        <w:t xml:space="preserve">2 </w:t>
      </w:r>
      <w:r>
        <w:rPr>
          <w:rFonts w:hint="eastAsia" w:ascii="仿宋" w:hAnsi="仿宋" w:eastAsia="仿宋" w:cs="仿宋"/>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lang w:val="en-US" w:eastAsia="zh-CN"/>
        </w:rPr>
        <w:t>6</w:t>
      </w:r>
      <w:r>
        <w:rPr>
          <w:rFonts w:hint="eastAsia" w:ascii="仿宋" w:hAnsi="仿宋" w:eastAsia="仿宋" w:cs="仿宋"/>
          <w:color w:val="auto"/>
          <w:kern w:val="2"/>
          <w:sz w:val="24"/>
          <w:szCs w:val="22"/>
          <w:highlight w:val="none"/>
        </w:rPr>
        <w:t>.</w:t>
      </w:r>
      <w:r>
        <w:rPr>
          <w:rFonts w:hint="eastAsia" w:ascii="仿宋" w:hAnsi="仿宋" w:eastAsia="仿宋" w:cs="仿宋"/>
          <w:color w:val="auto"/>
          <w:kern w:val="2"/>
          <w:sz w:val="24"/>
          <w:szCs w:val="22"/>
          <w:highlight w:val="none"/>
          <w:lang w:val="en-US" w:eastAsia="zh-CN"/>
        </w:rPr>
        <w:t xml:space="preserve">3 </w:t>
      </w:r>
      <w:r>
        <w:rPr>
          <w:rFonts w:hint="eastAsia" w:ascii="仿宋" w:hAnsi="仿宋" w:eastAsia="仿宋" w:cs="仿宋"/>
          <w:color w:val="auto"/>
          <w:kern w:val="2"/>
          <w:sz w:val="24"/>
          <w:szCs w:val="22"/>
          <w:highlight w:val="none"/>
        </w:rPr>
        <w:t>采购代理机构有权将投标人提供的所有资料向有关政府部门或评审</w:t>
      </w:r>
      <w:r>
        <w:rPr>
          <w:rFonts w:hint="eastAsia" w:ascii="仿宋" w:hAnsi="仿宋" w:eastAsia="仿宋" w:cs="仿宋"/>
          <w:color w:val="auto"/>
          <w:kern w:val="2"/>
          <w:sz w:val="24"/>
          <w:szCs w:val="22"/>
          <w:highlight w:val="none"/>
          <w:lang w:val="en-US" w:eastAsia="zh-CN"/>
        </w:rPr>
        <w:t>投标文件</w:t>
      </w:r>
      <w:r>
        <w:rPr>
          <w:rFonts w:hint="eastAsia" w:ascii="仿宋" w:hAnsi="仿宋" w:eastAsia="仿宋" w:cs="仿宋"/>
          <w:color w:val="auto"/>
          <w:kern w:val="2"/>
          <w:sz w:val="24"/>
          <w:szCs w:val="22"/>
          <w:highlight w:val="none"/>
        </w:rPr>
        <w:t>的有关人员披露。</w:t>
      </w:r>
    </w:p>
    <w:p w14:paraId="7D9AB2DE">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color w:val="auto"/>
          <w:kern w:val="2"/>
          <w:sz w:val="24"/>
          <w:szCs w:val="22"/>
          <w:highlight w:val="none"/>
          <w:lang w:val="en-US" w:eastAsia="zh-CN"/>
        </w:rPr>
      </w:pPr>
      <w:r>
        <w:rPr>
          <w:rFonts w:hint="eastAsia" w:ascii="仿宋" w:hAnsi="仿宋" w:eastAsia="仿宋" w:cs="仿宋"/>
          <w:color w:val="auto"/>
          <w:kern w:val="2"/>
          <w:sz w:val="24"/>
          <w:szCs w:val="22"/>
          <w:highlight w:val="none"/>
          <w:lang w:val="en-US" w:eastAsia="zh-CN"/>
        </w:rPr>
        <w:t>6</w:t>
      </w:r>
      <w:r>
        <w:rPr>
          <w:rFonts w:hint="eastAsia" w:ascii="仿宋" w:hAnsi="仿宋" w:eastAsia="仿宋" w:cs="仿宋"/>
          <w:color w:val="auto"/>
          <w:kern w:val="2"/>
          <w:sz w:val="24"/>
          <w:szCs w:val="22"/>
          <w:highlight w:val="none"/>
        </w:rPr>
        <w:t>.</w:t>
      </w:r>
      <w:r>
        <w:rPr>
          <w:rFonts w:hint="eastAsia" w:ascii="仿宋" w:hAnsi="仿宋" w:eastAsia="仿宋" w:cs="仿宋"/>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172" w:name="_Toc140132762"/>
      <w:bookmarkStart w:id="173" w:name="_Toc163492829"/>
      <w:r>
        <w:rPr>
          <w:rFonts w:hint="eastAsia" w:ascii="仿宋" w:hAnsi="仿宋" w:eastAsia="仿宋" w:cs="仿宋"/>
          <w:b/>
          <w:bCs/>
          <w:color w:val="auto"/>
          <w:kern w:val="2"/>
          <w:sz w:val="24"/>
          <w:szCs w:val="28"/>
          <w:highlight w:val="none"/>
          <w:lang w:val="en-US" w:eastAsia="zh-CN" w:bidi="ar-SA"/>
        </w:rPr>
        <w:t>7.语言文字</w:t>
      </w:r>
      <w:bookmarkEnd w:id="172"/>
      <w:bookmarkEnd w:id="173"/>
    </w:p>
    <w:p w14:paraId="25140936">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7.1招标投标</w:t>
      </w:r>
      <w:r>
        <w:rPr>
          <w:rFonts w:hint="eastAsia" w:ascii="仿宋" w:hAnsi="仿宋" w:eastAsia="仿宋" w:cs="仿宋"/>
          <w:color w:val="auto"/>
          <w:sz w:val="24"/>
          <w:highlight w:val="none"/>
          <w:lang w:val="en-US" w:eastAsia="zh-CN"/>
        </w:rPr>
        <w:t>过程</w:t>
      </w:r>
      <w:r>
        <w:rPr>
          <w:rFonts w:hint="eastAsia" w:ascii="仿宋" w:hAnsi="仿宋" w:eastAsia="仿宋" w:cs="仿宋"/>
          <w:color w:val="auto"/>
          <w:sz w:val="24"/>
          <w:highlight w:val="none"/>
        </w:rPr>
        <w:t>文件使用的语言文字为中文。专用术语使用外文的，应附有中文注释。</w:t>
      </w:r>
      <w:r>
        <w:rPr>
          <w:rFonts w:hint="eastAsia" w:ascii="仿宋" w:hAnsi="仿宋" w:eastAsia="仿宋" w:cs="仿宋"/>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174" w:name="_Toc140132763"/>
      <w:bookmarkStart w:id="175" w:name="_Toc163492830"/>
      <w:r>
        <w:rPr>
          <w:rFonts w:hint="eastAsia" w:ascii="仿宋" w:hAnsi="仿宋" w:eastAsia="仿宋" w:cs="仿宋"/>
          <w:b/>
          <w:bCs/>
          <w:color w:val="auto"/>
          <w:kern w:val="2"/>
          <w:sz w:val="24"/>
          <w:szCs w:val="28"/>
          <w:highlight w:val="none"/>
          <w:lang w:val="en-US" w:eastAsia="zh-CN" w:bidi="ar-SA"/>
        </w:rPr>
        <w:t>8.计量单位</w:t>
      </w:r>
      <w:bookmarkEnd w:id="174"/>
      <w:bookmarkEnd w:id="175"/>
    </w:p>
    <w:p w14:paraId="45A7AE57">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176" w:name="_Toc163492831"/>
      <w:bookmarkStart w:id="177" w:name="_Toc140132764"/>
      <w:r>
        <w:rPr>
          <w:rFonts w:hint="eastAsia" w:ascii="仿宋" w:hAnsi="仿宋" w:eastAsia="仿宋" w:cs="仿宋"/>
          <w:b/>
          <w:bCs/>
          <w:color w:val="auto"/>
          <w:kern w:val="2"/>
          <w:sz w:val="24"/>
          <w:szCs w:val="28"/>
          <w:highlight w:val="none"/>
          <w:lang w:val="en-US" w:eastAsia="zh-CN" w:bidi="ar-SA"/>
        </w:rPr>
        <w:t>9.现场考察和答疑会</w:t>
      </w:r>
      <w:bookmarkEnd w:id="176"/>
      <w:bookmarkEnd w:id="177"/>
    </w:p>
    <w:p w14:paraId="5A8B8C45">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bookmarkStart w:id="178" w:name="_Hlk143529198"/>
      <w:r>
        <w:rPr>
          <w:rFonts w:hint="eastAsia" w:ascii="仿宋" w:hAnsi="仿宋" w:eastAsia="仿宋" w:cs="仿宋"/>
          <w:color w:val="auto"/>
          <w:sz w:val="24"/>
          <w:highlight w:val="none"/>
        </w:rPr>
        <w:t xml:space="preserve">9.1 “投标人须知前附表”规定组织现场考察的，采购代理机构按“投标人须知前附表”规定的时间、地点组织投标人项目现场考察。 </w:t>
      </w:r>
    </w:p>
    <w:p w14:paraId="5F8A235F">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9.2 投标人现场考察发生的费用自理。</w:t>
      </w:r>
    </w:p>
    <w:p w14:paraId="199A48B2">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9.3 在现场考察中，因投标人自身原因发生的人员伤亡和财产损失，由投标人自行负责。</w:t>
      </w:r>
    </w:p>
    <w:p w14:paraId="6F1F6A2D">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9.5 “投标人须知前附表”规定召开答疑会的，采购代理机构按“投标人须知前附表”规定的时间和地点召开答疑会，澄清投标人提出的问题。</w:t>
      </w:r>
    </w:p>
    <w:p w14:paraId="00943847">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78"/>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179" w:name="_Toc155185858"/>
      <w:bookmarkStart w:id="180" w:name="_Toc163492833"/>
      <w:bookmarkStart w:id="181" w:name="_Toc155185871"/>
      <w:r>
        <w:rPr>
          <w:rFonts w:hint="eastAsia" w:ascii="仿宋" w:hAnsi="仿宋" w:eastAsia="仿宋" w:cs="仿宋"/>
          <w:b/>
          <w:bCs/>
          <w:color w:val="auto"/>
          <w:kern w:val="2"/>
          <w:sz w:val="24"/>
          <w:szCs w:val="28"/>
          <w:highlight w:val="none"/>
          <w:lang w:val="en-US" w:eastAsia="zh-CN" w:bidi="ar-SA"/>
        </w:rPr>
        <w:t>10.电子投标说明</w:t>
      </w:r>
      <w:bookmarkEnd w:id="179"/>
      <w:bookmarkEnd w:id="180"/>
      <w:r>
        <w:rPr>
          <w:rFonts w:hint="eastAsia" w:ascii="仿宋" w:hAnsi="仿宋" w:eastAsia="仿宋" w:cs="仿宋"/>
          <w:b/>
          <w:bCs/>
          <w:color w:val="auto"/>
          <w:kern w:val="2"/>
          <w:sz w:val="24"/>
          <w:szCs w:val="28"/>
          <w:highlight w:val="none"/>
          <w:lang w:val="en-US" w:eastAsia="zh-CN" w:bidi="ar-SA"/>
        </w:rPr>
        <w:t xml:space="preserve">   </w:t>
      </w:r>
    </w:p>
    <w:p w14:paraId="111A1565">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10.1 </w:t>
      </w:r>
      <w:r>
        <w:rPr>
          <w:rFonts w:hint="eastAsia" w:ascii="仿宋" w:hAnsi="仿宋" w:eastAsia="仿宋" w:cs="仿宋"/>
          <w:color w:val="auto"/>
          <w:sz w:val="24"/>
          <w:highlight w:val="none"/>
        </w:rPr>
        <w:t>本次采购采用电子交易方式，电子交易平台为</w:t>
      </w:r>
      <w:r>
        <w:rPr>
          <w:rFonts w:hint="eastAsia" w:ascii="仿宋" w:hAnsi="仿宋" w:eastAsia="仿宋" w:cs="仿宋"/>
          <w:color w:val="auto"/>
          <w:sz w:val="24"/>
          <w:highlight w:val="none"/>
          <w:lang w:val="en-US"/>
        </w:rPr>
        <w:t>兵团</w:t>
      </w:r>
      <w:r>
        <w:rPr>
          <w:rFonts w:hint="eastAsia" w:ascii="仿宋" w:hAnsi="仿宋" w:eastAsia="仿宋" w:cs="仿宋"/>
          <w:color w:val="auto"/>
          <w:sz w:val="24"/>
          <w:highlight w:val="none"/>
        </w:rPr>
        <w:t>政府采购</w:t>
      </w:r>
      <w:r>
        <w:rPr>
          <w:rFonts w:hint="eastAsia" w:ascii="仿宋" w:hAnsi="仿宋" w:eastAsia="仿宋" w:cs="仿宋"/>
          <w:color w:val="auto"/>
          <w:sz w:val="24"/>
          <w:highlight w:val="none"/>
          <w:lang w:val="en-US"/>
        </w:rPr>
        <w:t>电子交易云</w:t>
      </w:r>
      <w:r>
        <w:rPr>
          <w:rFonts w:hint="eastAsia" w:ascii="仿宋" w:hAnsi="仿宋" w:eastAsia="仿宋" w:cs="仿宋"/>
          <w:color w:val="auto"/>
          <w:sz w:val="24"/>
          <w:highlight w:val="none"/>
        </w:rPr>
        <w:t>平台</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rPr>
        <w:t>网址</w:t>
      </w:r>
      <w:r>
        <w:rPr>
          <w:rFonts w:hint="eastAsia" w:ascii="仿宋" w:hAnsi="仿宋" w:eastAsia="仿宋" w:cs="仿宋"/>
          <w:color w:val="auto"/>
          <w:sz w:val="24"/>
          <w:highlight w:val="none"/>
          <w:lang w:val="hr-HR"/>
        </w:rPr>
        <w:t>：https://www.zcygov.cn/）</w:t>
      </w:r>
      <w:r>
        <w:rPr>
          <w:rFonts w:hint="eastAsia" w:ascii="仿宋" w:hAnsi="仿宋" w:eastAsia="仿宋" w:cs="仿宋"/>
          <w:color w:val="auto"/>
          <w:sz w:val="24"/>
          <w:highlight w:val="none"/>
        </w:rPr>
        <w:t>。投标人参与本项目电子交易活动前，应</w:t>
      </w:r>
      <w:r>
        <w:rPr>
          <w:rFonts w:hint="eastAsia" w:ascii="仿宋" w:hAnsi="仿宋" w:eastAsia="仿宋" w:cs="仿宋"/>
          <w:color w:val="auto"/>
          <w:sz w:val="24"/>
          <w:highlight w:val="none"/>
          <w:lang w:val="en-US" w:eastAsia="zh-CN"/>
        </w:rPr>
        <w:t>在</w:t>
      </w:r>
      <w:r>
        <w:rPr>
          <w:rFonts w:hint="eastAsia" w:ascii="仿宋" w:hAnsi="仿宋" w:eastAsia="仿宋" w:cs="仿宋"/>
          <w:color w:val="auto"/>
          <w:sz w:val="24"/>
          <w:highlight w:val="none"/>
        </w:rPr>
        <w:t>政</w:t>
      </w:r>
      <w:r>
        <w:rPr>
          <w:rFonts w:hint="eastAsia" w:ascii="仿宋" w:hAnsi="仿宋" w:eastAsia="仿宋" w:cs="仿宋"/>
          <w:color w:val="auto"/>
          <w:sz w:val="24"/>
          <w:highlight w:val="none"/>
          <w:lang w:val="en-US" w:eastAsia="zh-CN"/>
        </w:rPr>
        <w:t>采</w:t>
      </w:r>
      <w:r>
        <w:rPr>
          <w:rFonts w:hint="eastAsia" w:ascii="仿宋" w:hAnsi="仿宋" w:eastAsia="仿宋" w:cs="仿宋"/>
          <w:color w:val="auto"/>
          <w:sz w:val="24"/>
          <w:highlight w:val="none"/>
          <w:lang w:val="en-US"/>
        </w:rPr>
        <w:t>云</w:t>
      </w:r>
      <w:r>
        <w:rPr>
          <w:rFonts w:hint="eastAsia" w:ascii="仿宋" w:hAnsi="仿宋" w:eastAsia="仿宋" w:cs="仿宋"/>
          <w:color w:val="auto"/>
          <w:sz w:val="24"/>
          <w:highlight w:val="none"/>
        </w:rPr>
        <w:t>平台</w:t>
      </w:r>
      <w:r>
        <w:rPr>
          <w:rFonts w:hint="eastAsia" w:ascii="仿宋" w:hAnsi="仿宋" w:eastAsia="仿宋" w:cs="仿宋"/>
          <w:color w:val="auto"/>
          <w:sz w:val="24"/>
          <w:highlight w:val="none"/>
          <w:lang w:val="en-US" w:eastAsia="zh-CN"/>
        </w:rPr>
        <w:t>上</w:t>
      </w:r>
      <w:r>
        <w:rPr>
          <w:rFonts w:hint="eastAsia" w:ascii="仿宋" w:hAnsi="仿宋" w:eastAsia="仿宋" w:cs="仿宋"/>
          <w:color w:val="auto"/>
          <w:sz w:val="24"/>
          <w:highlight w:val="none"/>
        </w:rPr>
        <w:t>注册</w:t>
      </w:r>
      <w:r>
        <w:rPr>
          <w:rFonts w:hint="eastAsia" w:ascii="仿宋" w:hAnsi="仿宋" w:eastAsia="仿宋" w:cs="仿宋"/>
          <w:color w:val="auto"/>
          <w:sz w:val="24"/>
          <w:highlight w:val="none"/>
          <w:lang w:val="en-US" w:eastAsia="zh-CN"/>
        </w:rPr>
        <w:t>供应商账号</w:t>
      </w:r>
      <w:r>
        <w:rPr>
          <w:rFonts w:hint="eastAsia" w:ascii="仿宋" w:hAnsi="仿宋" w:eastAsia="仿宋" w:cs="仿宋"/>
          <w:color w:val="auto"/>
          <w:sz w:val="24"/>
          <w:highlight w:val="none"/>
        </w:rPr>
        <w:t>。编制电子</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文件前还需</w:t>
      </w:r>
      <w:r>
        <w:rPr>
          <w:rFonts w:hint="eastAsia" w:ascii="仿宋" w:hAnsi="仿宋" w:eastAsia="仿宋" w:cs="仿宋"/>
          <w:color w:val="auto"/>
          <w:sz w:val="24"/>
          <w:highlight w:val="none"/>
          <w:lang w:val="en-US" w:eastAsia="zh-CN"/>
        </w:rPr>
        <w:t>申领CA证书并绑定账号。投标人应充分考虑完成平台注册、申领CA证书等所需的时间。</w:t>
      </w:r>
      <w:r>
        <w:rPr>
          <w:rFonts w:hint="eastAsia" w:ascii="仿宋" w:hAnsi="仿宋" w:eastAsia="仿宋" w:cs="仿宋"/>
          <w:color w:val="auto"/>
          <w:sz w:val="24"/>
          <w:highlight w:val="none"/>
          <w:lang w:val="zh-CN" w:eastAsia="zh-CN"/>
        </w:rPr>
        <w:t>潜在投标人领取文件须提前完成注册、CA证书和电子签章申领和绑定、下载“投标客户端”。因未办理CA数字证书、CA证书故障、操作不当等原因造成无法投标或投标失败等后果由投标人自行承担。</w:t>
      </w: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lang w:val="zh-CN" w:eastAsia="zh-CN"/>
        </w:rPr>
        <w:t>登录兵团政府采购网“供应商注册”—“新疆生产建设兵团政府采购供应商入驻登记”—“立即登记”进行自助注册绑定。</w:t>
      </w:r>
    </w:p>
    <w:p w14:paraId="18ECC266">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投标人将</w:t>
      </w:r>
      <w:r>
        <w:rPr>
          <w:rFonts w:hint="eastAsia" w:ascii="仿宋" w:hAnsi="仿宋" w:eastAsia="仿宋" w:cs="仿宋"/>
          <w:color w:val="auto"/>
          <w:sz w:val="24"/>
          <w:highlight w:val="none"/>
          <w:lang w:val="en-US"/>
        </w:rPr>
        <w:t>兵团</w:t>
      </w:r>
      <w:r>
        <w:rPr>
          <w:rFonts w:hint="eastAsia" w:ascii="仿宋" w:hAnsi="仿宋" w:eastAsia="仿宋" w:cs="仿宋"/>
          <w:color w:val="auto"/>
          <w:sz w:val="24"/>
          <w:highlight w:val="none"/>
        </w:rPr>
        <w:t>政府采购</w:t>
      </w:r>
      <w:r>
        <w:rPr>
          <w:rFonts w:hint="eastAsia" w:ascii="仿宋" w:hAnsi="仿宋" w:eastAsia="仿宋" w:cs="仿宋"/>
          <w:color w:val="auto"/>
          <w:sz w:val="24"/>
          <w:highlight w:val="none"/>
          <w:lang w:val="en-US"/>
        </w:rPr>
        <w:t>电子交易云</w:t>
      </w:r>
      <w:r>
        <w:rPr>
          <w:rFonts w:hint="eastAsia" w:ascii="仿宋" w:hAnsi="仿宋" w:eastAsia="仿宋" w:cs="仿宋"/>
          <w:color w:val="auto"/>
          <w:sz w:val="24"/>
          <w:highlight w:val="none"/>
        </w:rPr>
        <w:t>平台电子交易客户端下载、安装完成后，可通过账号密码或CA登录客户端进行</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制作。在使用政采云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投标客户端</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时，建议使用WIN7及以上操作系统。</w:t>
      </w: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登录兵团政府采购网“下载专区”—“电子招投标客户端下载”下载相关客户端，如有问题可拨打政采云客户服务热线95763进行咨询。</w:t>
      </w:r>
    </w:p>
    <w:p w14:paraId="1E16A3EF">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加密的电子</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应在</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递交截止时间前通过政采云平台上传完成。逾期上传或者未上传指定地点的</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，不予受理。</w:t>
      </w:r>
    </w:p>
    <w:p w14:paraId="53B28965">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投标人在开标前须提前配置好电脑</w:t>
      </w:r>
      <w:r>
        <w:rPr>
          <w:rFonts w:hint="eastAsia" w:ascii="仿宋" w:hAnsi="仿宋" w:eastAsia="仿宋" w:cs="仿宋"/>
          <w:color w:val="auto"/>
          <w:sz w:val="24"/>
          <w:highlight w:val="none"/>
          <w:lang w:val="en-US" w:eastAsia="zh-CN"/>
        </w:rPr>
        <w:t>及</w:t>
      </w:r>
      <w:r>
        <w:rPr>
          <w:rFonts w:hint="eastAsia" w:ascii="仿宋" w:hAnsi="仿宋" w:eastAsia="仿宋" w:cs="仿宋"/>
          <w:color w:val="auto"/>
          <w:sz w:val="24"/>
          <w:highlight w:val="none"/>
        </w:rPr>
        <w:t>浏览器，开标时请使用制作加密电子</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的CA锁进行解密及报价确认。本项目</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解密时间</w:t>
      </w:r>
      <w:r>
        <w:rPr>
          <w:rFonts w:hint="eastAsia" w:ascii="仿宋" w:hAnsi="仿宋" w:eastAsia="仿宋" w:cs="仿宋"/>
          <w:color w:val="auto"/>
          <w:sz w:val="24"/>
          <w:highlight w:val="none"/>
          <w:lang w:val="en-US" w:eastAsia="zh-CN"/>
        </w:rPr>
        <w:t>详见“投标人须知前附表”</w:t>
      </w:r>
      <w:r>
        <w:rPr>
          <w:rFonts w:hint="eastAsia" w:ascii="仿宋" w:hAnsi="仿宋" w:eastAsia="仿宋" w:cs="仿宋"/>
          <w:color w:val="auto"/>
          <w:sz w:val="24"/>
          <w:highlight w:val="none"/>
        </w:rPr>
        <w:t>，如因自身原因导致无法正常解密，后果由投标人自行承担。</w:t>
      </w:r>
    </w:p>
    <w:p w14:paraId="469768F0">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如遇“</w:t>
      </w:r>
      <w:r>
        <w:rPr>
          <w:rFonts w:hint="eastAsia" w:ascii="仿宋" w:hAnsi="仿宋" w:eastAsia="仿宋" w:cs="仿宋"/>
          <w:color w:val="auto"/>
          <w:sz w:val="24"/>
          <w:highlight w:val="none"/>
          <w:lang w:val="en-US"/>
        </w:rPr>
        <w:t>兵团</w:t>
      </w:r>
      <w:r>
        <w:rPr>
          <w:rFonts w:hint="eastAsia" w:ascii="仿宋" w:hAnsi="仿宋" w:eastAsia="仿宋" w:cs="仿宋"/>
          <w:color w:val="auto"/>
          <w:sz w:val="24"/>
          <w:highlight w:val="none"/>
        </w:rPr>
        <w:t>政府采购</w:t>
      </w:r>
      <w:r>
        <w:rPr>
          <w:rFonts w:hint="eastAsia" w:ascii="仿宋" w:hAnsi="仿宋" w:eastAsia="仿宋" w:cs="仿宋"/>
          <w:color w:val="auto"/>
          <w:sz w:val="24"/>
          <w:highlight w:val="none"/>
          <w:lang w:val="en-US"/>
        </w:rPr>
        <w:t>电子交易云</w:t>
      </w:r>
      <w:r>
        <w:rPr>
          <w:rFonts w:hint="eastAsia" w:ascii="仿宋" w:hAnsi="仿宋" w:eastAsia="仿宋" w:cs="仿宋"/>
          <w:color w:val="auto"/>
          <w:sz w:val="24"/>
          <w:highlight w:val="none"/>
        </w:rPr>
        <w:t>平台</w:t>
      </w:r>
      <w:r>
        <w:rPr>
          <w:rFonts w:hint="eastAsia" w:ascii="仿宋" w:hAnsi="仿宋" w:eastAsia="仿宋" w:cs="仿宋"/>
          <w:color w:val="auto"/>
          <w:sz w:val="24"/>
          <w:highlight w:val="none"/>
          <w:lang w:val="hr-HR"/>
        </w:rPr>
        <w:t>（</w:t>
      </w:r>
      <w:r>
        <w:rPr>
          <w:rFonts w:hint="eastAsia" w:ascii="仿宋" w:hAnsi="仿宋" w:eastAsia="仿宋" w:cs="仿宋"/>
          <w:color w:val="auto"/>
          <w:sz w:val="24"/>
          <w:highlight w:val="none"/>
        </w:rPr>
        <w:t>网址</w:t>
      </w:r>
      <w:r>
        <w:rPr>
          <w:rFonts w:hint="eastAsia" w:ascii="仿宋" w:hAnsi="仿宋" w:eastAsia="仿宋" w:cs="仿宋"/>
          <w:color w:val="auto"/>
          <w:sz w:val="24"/>
          <w:highlight w:val="none"/>
          <w:lang w:val="hr-HR"/>
        </w:rPr>
        <w:t>：https://www.zcygov.cn/）</w:t>
      </w:r>
      <w:r>
        <w:rPr>
          <w:rFonts w:hint="eastAsia" w:ascii="仿宋" w:hAnsi="仿宋" w:eastAsia="仿宋" w:cs="仿宋"/>
          <w:color w:val="auto"/>
          <w:sz w:val="24"/>
          <w:highlight w:val="none"/>
        </w:rPr>
        <w:t>”电子交易规则调整，以最新要求为准。</w:t>
      </w:r>
    </w:p>
    <w:p w14:paraId="08AA0ABB">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10.6 电子交易系统咨询：投标人应当充分考虑到电子投标可能会发生的各种问题和风险，特别是投标文件签署、提交等问题，可按照“第一章 招标公告”的联系方式咨询相关人员。</w:t>
      </w:r>
    </w:p>
    <w:p w14:paraId="39CA1037">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仿宋" w:hAnsi="仿宋" w:eastAsia="仿宋" w:cs="仿宋"/>
          <w:b/>
          <w:bCs/>
          <w:color w:val="auto"/>
          <w:kern w:val="2"/>
          <w:sz w:val="24"/>
          <w:szCs w:val="32"/>
          <w:highlight w:val="none"/>
          <w:lang w:val="en-US" w:eastAsia="zh-CN" w:bidi="ar-SA"/>
        </w:rPr>
      </w:pPr>
      <w:bookmarkStart w:id="182" w:name="_Toc163492834"/>
      <w:r>
        <w:rPr>
          <w:rFonts w:hint="eastAsia" w:ascii="仿宋" w:hAnsi="仿宋" w:eastAsia="仿宋" w:cs="仿宋"/>
          <w:b/>
          <w:bCs/>
          <w:color w:val="auto"/>
          <w:kern w:val="2"/>
          <w:sz w:val="24"/>
          <w:szCs w:val="32"/>
          <w:highlight w:val="none"/>
          <w:lang w:val="en-US" w:eastAsia="zh-CN" w:bidi="ar-SA"/>
        </w:rPr>
        <w:t>（二）招标文件</w:t>
      </w:r>
      <w:bookmarkEnd w:id="181"/>
      <w:bookmarkEnd w:id="182"/>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183" w:name="_Toc163492835"/>
      <w:bookmarkStart w:id="184" w:name="_Toc140132768"/>
      <w:r>
        <w:rPr>
          <w:rFonts w:hint="eastAsia" w:ascii="仿宋" w:hAnsi="仿宋" w:eastAsia="仿宋" w:cs="仿宋"/>
          <w:b/>
          <w:bCs/>
          <w:color w:val="auto"/>
          <w:kern w:val="2"/>
          <w:sz w:val="24"/>
          <w:szCs w:val="28"/>
          <w:highlight w:val="none"/>
          <w:lang w:val="en-US" w:eastAsia="zh-CN" w:bidi="ar-SA"/>
        </w:rPr>
        <w:t>11.招标文件的组成</w:t>
      </w:r>
      <w:bookmarkEnd w:id="183"/>
      <w:bookmarkEnd w:id="184"/>
    </w:p>
    <w:p w14:paraId="0FCCC62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.1本招标文件包括下列文件及根据本章第9款、第1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第一章 </w:t>
      </w:r>
      <w:r>
        <w:rPr>
          <w:rFonts w:hint="eastAsia" w:ascii="仿宋" w:hAnsi="仿宋" w:eastAsia="仿宋" w:cs="仿宋"/>
          <w:color w:val="auto"/>
          <w:sz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第五章 评标</w:t>
      </w:r>
      <w:r>
        <w:rPr>
          <w:rFonts w:hint="eastAsia" w:ascii="仿宋" w:hAnsi="仿宋" w:eastAsia="仿宋" w:cs="仿宋"/>
          <w:color w:val="auto"/>
          <w:sz w:val="24"/>
          <w:szCs w:val="24"/>
          <w:highlight w:val="none"/>
          <w:lang w:val="en-US" w:eastAsia="zh-CN"/>
        </w:rPr>
        <w:t>方</w:t>
      </w:r>
      <w:r>
        <w:rPr>
          <w:rFonts w:hint="eastAsia" w:ascii="仿宋" w:hAnsi="仿宋" w:eastAsia="仿宋" w:cs="仿宋"/>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185" w:name="_Toc163492836"/>
      <w:bookmarkStart w:id="186" w:name="_Toc140132769"/>
      <w:r>
        <w:rPr>
          <w:rFonts w:hint="eastAsia" w:ascii="仿宋" w:hAnsi="仿宋" w:eastAsia="仿宋" w:cs="仿宋"/>
          <w:b/>
          <w:bCs/>
          <w:color w:val="auto"/>
          <w:kern w:val="2"/>
          <w:sz w:val="24"/>
          <w:szCs w:val="28"/>
          <w:highlight w:val="none"/>
          <w:lang w:val="en-US" w:eastAsia="zh-CN" w:bidi="ar-SA"/>
        </w:rPr>
        <w:t>12.招标文件的询问、澄清或者修改</w:t>
      </w:r>
      <w:bookmarkEnd w:id="185"/>
      <w:bookmarkEnd w:id="186"/>
    </w:p>
    <w:p w14:paraId="2E6BAA4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.1投标人如对招标文件内容有疑问，须在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投标人须知前附表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规定的询问</w:t>
      </w:r>
      <w:r>
        <w:rPr>
          <w:rFonts w:hint="eastAsia" w:ascii="仿宋" w:hAnsi="仿宋" w:eastAsia="仿宋" w:cs="仿宋"/>
          <w:color w:val="auto"/>
          <w:sz w:val="24"/>
          <w:szCs w:val="24"/>
          <w:highlight w:val="none"/>
          <w:lang w:val="en-US" w:eastAsia="zh-CN"/>
        </w:rPr>
        <w:t>方式和</w:t>
      </w:r>
      <w:r>
        <w:rPr>
          <w:rFonts w:hint="eastAsia" w:ascii="仿宋" w:hAnsi="仿宋" w:eastAsia="仿宋" w:cs="仿宋"/>
          <w:color w:val="auto"/>
          <w:sz w:val="24"/>
          <w:szCs w:val="24"/>
          <w:highlight w:val="none"/>
        </w:rPr>
        <w:t>时间提交给</w:t>
      </w:r>
      <w:r>
        <w:rPr>
          <w:rFonts w:hint="eastAsia" w:ascii="仿宋" w:hAnsi="仿宋" w:eastAsia="仿宋" w:cs="仿宋"/>
          <w:color w:val="auto"/>
          <w:sz w:val="24"/>
          <w:szCs w:val="24"/>
          <w:highlight w:val="none"/>
          <w:lang w:val="en-US" w:eastAsia="zh-CN"/>
        </w:rPr>
        <w:t>采购人或</w:t>
      </w:r>
      <w:r>
        <w:rPr>
          <w:rFonts w:hint="eastAsia" w:ascii="仿宋" w:hAnsi="仿宋" w:eastAsia="仿宋" w:cs="仿宋"/>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.2采购人可主动地或在</w:t>
      </w:r>
      <w:r>
        <w:rPr>
          <w:rFonts w:hint="eastAsia" w:ascii="仿宋" w:hAnsi="仿宋" w:eastAsia="仿宋" w:cs="仿宋"/>
          <w:color w:val="auto"/>
          <w:sz w:val="24"/>
          <w:szCs w:val="24"/>
          <w:highlight w:val="none"/>
          <w:lang w:val="en-US" w:eastAsia="zh-CN"/>
        </w:rPr>
        <w:t>答复</w:t>
      </w:r>
      <w:r>
        <w:rPr>
          <w:rFonts w:hint="eastAsia" w:ascii="仿宋" w:hAnsi="仿宋" w:eastAsia="仿宋" w:cs="仿宋"/>
          <w:color w:val="auto"/>
          <w:sz w:val="24"/>
          <w:szCs w:val="24"/>
          <w:highlight w:val="none"/>
        </w:rPr>
        <w:t>投标人提出的</w:t>
      </w:r>
      <w:r>
        <w:rPr>
          <w:rFonts w:hint="eastAsia" w:ascii="仿宋" w:hAnsi="仿宋" w:eastAsia="仿宋" w:cs="仿宋"/>
          <w:color w:val="auto"/>
          <w:sz w:val="24"/>
          <w:szCs w:val="24"/>
          <w:highlight w:val="none"/>
          <w:lang w:val="en-US" w:eastAsia="zh-CN"/>
        </w:rPr>
        <w:t>询问</w:t>
      </w:r>
      <w:r>
        <w:rPr>
          <w:rFonts w:hint="eastAsia" w:ascii="仿宋" w:hAnsi="仿宋" w:eastAsia="仿宋" w:cs="仿宋"/>
          <w:color w:val="auto"/>
          <w:sz w:val="24"/>
          <w:szCs w:val="24"/>
          <w:highlight w:val="none"/>
        </w:rPr>
        <w:t>时对招标文件进行澄清与修改。采购代理机构将在</w:t>
      </w:r>
      <w:r>
        <w:rPr>
          <w:rFonts w:hint="eastAsia" w:ascii="仿宋" w:hAnsi="仿宋" w:eastAsia="仿宋" w:cs="仿宋"/>
          <w:color w:val="auto"/>
          <w:sz w:val="24"/>
          <w:szCs w:val="24"/>
          <w:highlight w:val="none"/>
          <w:lang w:val="en-US" w:eastAsia="zh-CN"/>
        </w:rPr>
        <w:t>兵团政府采购云平台</w:t>
      </w:r>
      <w:r>
        <w:rPr>
          <w:rFonts w:hint="eastAsia" w:ascii="仿宋" w:hAnsi="仿宋" w:eastAsia="仿宋" w:cs="仿宋"/>
          <w:color w:val="auto"/>
          <w:sz w:val="24"/>
          <w:szCs w:val="24"/>
          <w:highlight w:val="none"/>
        </w:rPr>
        <w:t>以发布更正公告的方式澄清或修改招标文件，更正公告的内容作为招标文件的组成部分，对投标人起约束作用。投标人应主动上网查询。采购代理机构不承担投标人未及时关注相关信息引发的相关责任。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12.5</w:t>
      </w:r>
      <w:r>
        <w:rPr>
          <w:rFonts w:hint="eastAsia" w:ascii="仿宋" w:hAnsi="仿宋" w:eastAsia="仿宋" w:cs="仿宋"/>
          <w:color w:val="auto"/>
          <w:sz w:val="24"/>
          <w:szCs w:val="24"/>
          <w:highlight w:val="none"/>
        </w:rPr>
        <w:t>对于没有提出疑问又参与了本项目投标的投标人将被视为完全认同本招标文件（含更正公告的内容）。</w:t>
      </w:r>
    </w:p>
    <w:p w14:paraId="6F274E6E">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投标人须知”所称“</w:t>
      </w:r>
      <w:r>
        <w:rPr>
          <w:rFonts w:hint="eastAsia" w:ascii="仿宋" w:hAnsi="仿宋" w:eastAsia="仿宋" w:cs="仿宋"/>
          <w:color w:val="auto"/>
          <w:sz w:val="24"/>
          <w:highlight w:val="none"/>
        </w:rPr>
        <w:t>书面形式</w:t>
      </w: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rPr>
        <w:t>包括系统消息、政府采购</w:t>
      </w:r>
      <w:r>
        <w:rPr>
          <w:rFonts w:hint="eastAsia" w:ascii="仿宋" w:hAnsi="仿宋" w:eastAsia="仿宋" w:cs="仿宋"/>
          <w:color w:val="auto"/>
          <w:sz w:val="24"/>
          <w:highlight w:val="none"/>
          <w:lang w:val="en-US" w:eastAsia="zh-CN"/>
        </w:rPr>
        <w:t>云平台</w:t>
      </w:r>
      <w:r>
        <w:rPr>
          <w:rFonts w:hint="eastAsia" w:ascii="仿宋" w:hAnsi="仿宋" w:eastAsia="仿宋" w:cs="仿宋"/>
          <w:color w:val="auto"/>
          <w:sz w:val="24"/>
          <w:highlight w:val="none"/>
        </w:rPr>
        <w:t>发布的公告。</w:t>
      </w:r>
    </w:p>
    <w:p w14:paraId="39FCE417">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lang w:val="en-US" w:eastAsia="zh-CN"/>
        </w:rPr>
        <w:t>12.7</w:t>
      </w:r>
      <w:r>
        <w:rPr>
          <w:rFonts w:hint="eastAsia" w:ascii="仿宋" w:hAnsi="仿宋" w:eastAsia="仿宋" w:cs="仿宋"/>
          <w:color w:val="auto"/>
          <w:kern w:val="2"/>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仿宋" w:hAnsi="仿宋" w:eastAsia="仿宋" w:cs="仿宋"/>
          <w:b/>
          <w:bCs/>
          <w:color w:val="auto"/>
          <w:kern w:val="2"/>
          <w:sz w:val="24"/>
          <w:szCs w:val="32"/>
          <w:highlight w:val="none"/>
          <w:lang w:val="en-US" w:eastAsia="zh-CN" w:bidi="ar-SA"/>
        </w:rPr>
      </w:pPr>
      <w:bookmarkStart w:id="187" w:name="_Toc163492837"/>
      <w:bookmarkStart w:id="188" w:name="_Toc155185872"/>
      <w:r>
        <w:rPr>
          <w:rFonts w:hint="eastAsia" w:ascii="仿宋" w:hAnsi="仿宋" w:eastAsia="仿宋" w:cs="仿宋"/>
          <w:b/>
          <w:bCs/>
          <w:color w:val="auto"/>
          <w:kern w:val="2"/>
          <w:sz w:val="24"/>
          <w:szCs w:val="32"/>
          <w:highlight w:val="none"/>
          <w:lang w:val="en-US" w:eastAsia="zh-CN" w:bidi="ar-SA"/>
        </w:rPr>
        <w:t>（三）投标文件</w:t>
      </w:r>
      <w:bookmarkEnd w:id="187"/>
      <w:bookmarkEnd w:id="188"/>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189" w:name="_Toc163492838"/>
      <w:r>
        <w:rPr>
          <w:rFonts w:hint="eastAsia" w:ascii="仿宋" w:hAnsi="仿宋" w:eastAsia="仿宋" w:cs="仿宋"/>
          <w:b/>
          <w:bCs/>
          <w:color w:val="auto"/>
          <w:kern w:val="2"/>
          <w:sz w:val="24"/>
          <w:szCs w:val="28"/>
          <w:highlight w:val="none"/>
          <w:lang w:val="en-US" w:eastAsia="zh-CN" w:bidi="ar-SA"/>
        </w:rPr>
        <w:t>13.投标文件的组成</w:t>
      </w:r>
      <w:bookmarkEnd w:id="189"/>
    </w:p>
    <w:p w14:paraId="174A0A3D">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color w:val="auto"/>
          <w:kern w:val="2"/>
          <w:sz w:val="24"/>
          <w:szCs w:val="22"/>
          <w:highlight w:val="none"/>
        </w:rPr>
      </w:pPr>
      <w:bookmarkStart w:id="190" w:name="_Toc163492839"/>
      <w:bookmarkStart w:id="191" w:name="_Toc140132772"/>
      <w:r>
        <w:rPr>
          <w:rFonts w:hint="eastAsia" w:ascii="仿宋" w:hAnsi="仿宋" w:eastAsia="仿宋" w:cs="仿宋"/>
          <w:color w:val="auto"/>
          <w:kern w:val="2"/>
          <w:sz w:val="24"/>
          <w:szCs w:val="22"/>
          <w:highlight w:val="none"/>
          <w:lang w:val="en-US" w:eastAsia="zh-CN"/>
        </w:rPr>
        <w:t>13</w:t>
      </w:r>
      <w:r>
        <w:rPr>
          <w:rFonts w:hint="eastAsia" w:ascii="仿宋" w:hAnsi="仿宋" w:eastAsia="仿宋" w:cs="仿宋"/>
          <w:color w:val="auto"/>
          <w:kern w:val="2"/>
          <w:sz w:val="24"/>
          <w:szCs w:val="22"/>
          <w:highlight w:val="none"/>
        </w:rPr>
        <w:t>.1投标人应完整地按招标文件提供的投标文件格式及要求编写投标文件，具体内容详见</w:t>
      </w:r>
      <w:r>
        <w:rPr>
          <w:rFonts w:hint="eastAsia" w:ascii="仿宋" w:hAnsi="仿宋" w:eastAsia="仿宋" w:cs="仿宋"/>
          <w:color w:val="auto"/>
          <w:kern w:val="2"/>
          <w:sz w:val="24"/>
          <w:szCs w:val="22"/>
          <w:highlight w:val="none"/>
          <w:lang w:eastAsia="zh-CN"/>
        </w:rPr>
        <w:t>“</w:t>
      </w:r>
      <w:r>
        <w:rPr>
          <w:rFonts w:hint="eastAsia" w:ascii="仿宋" w:hAnsi="仿宋" w:eastAsia="仿宋" w:cs="仿宋"/>
          <w:color w:val="auto"/>
          <w:kern w:val="2"/>
          <w:sz w:val="24"/>
          <w:szCs w:val="22"/>
          <w:highlight w:val="none"/>
          <w:lang w:val="en-US" w:eastAsia="zh-CN"/>
        </w:rPr>
        <w:t xml:space="preserve">第七章 </w:t>
      </w:r>
      <w:r>
        <w:rPr>
          <w:rFonts w:hint="eastAsia" w:ascii="仿宋" w:hAnsi="仿宋" w:eastAsia="仿宋" w:cs="仿宋"/>
          <w:color w:val="auto"/>
          <w:kern w:val="2"/>
          <w:sz w:val="24"/>
          <w:szCs w:val="22"/>
          <w:highlight w:val="none"/>
        </w:rPr>
        <w:t>投标文件格式</w:t>
      </w:r>
      <w:r>
        <w:rPr>
          <w:rFonts w:hint="eastAsia" w:ascii="仿宋" w:hAnsi="仿宋" w:eastAsia="仿宋" w:cs="仿宋"/>
          <w:color w:val="auto"/>
          <w:kern w:val="2"/>
          <w:sz w:val="24"/>
          <w:szCs w:val="22"/>
          <w:highlight w:val="none"/>
          <w:lang w:eastAsia="zh-CN"/>
        </w:rPr>
        <w:t>”</w:t>
      </w:r>
      <w:r>
        <w:rPr>
          <w:rFonts w:hint="eastAsia" w:ascii="仿宋" w:hAnsi="仿宋" w:eastAsia="仿宋" w:cs="仿宋"/>
          <w:color w:val="auto"/>
          <w:kern w:val="2"/>
          <w:sz w:val="24"/>
          <w:szCs w:val="22"/>
          <w:highlight w:val="none"/>
        </w:rPr>
        <w:t>的相关内容。</w:t>
      </w:r>
    </w:p>
    <w:p w14:paraId="3BB3A0B7">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color w:val="auto"/>
          <w:kern w:val="2"/>
          <w:sz w:val="24"/>
          <w:szCs w:val="22"/>
          <w:highlight w:val="none"/>
          <w:lang w:val="en-US" w:eastAsia="zh-CN"/>
        </w:rPr>
      </w:pPr>
      <w:r>
        <w:rPr>
          <w:rFonts w:hint="eastAsia" w:ascii="仿宋" w:hAnsi="仿宋" w:eastAsia="仿宋" w:cs="仿宋"/>
          <w:color w:val="auto"/>
          <w:kern w:val="2"/>
          <w:sz w:val="24"/>
          <w:szCs w:val="22"/>
          <w:highlight w:val="none"/>
          <w:lang w:val="en-US" w:eastAsia="zh-CN"/>
        </w:rPr>
        <w:t>13.2</w:t>
      </w:r>
      <w:r>
        <w:rPr>
          <w:rFonts w:hint="eastAsia" w:ascii="仿宋" w:hAnsi="仿宋" w:eastAsia="仿宋" w:cs="仿宋"/>
          <w:color w:val="auto"/>
          <w:kern w:val="2"/>
          <w:sz w:val="24"/>
          <w:szCs w:val="22"/>
          <w:highlight w:val="none"/>
        </w:rPr>
        <w:t>投标人应提交招标文件要求的证明文件，证明其投标内容符合招标文件规定</w:t>
      </w:r>
      <w:r>
        <w:rPr>
          <w:rFonts w:hint="eastAsia" w:ascii="仿宋" w:hAnsi="仿宋" w:eastAsia="仿宋" w:cs="仿宋"/>
          <w:color w:val="auto"/>
          <w:kern w:val="2"/>
          <w:sz w:val="24"/>
          <w:szCs w:val="22"/>
          <w:highlight w:val="none"/>
          <w:lang w:eastAsia="zh-CN"/>
        </w:rPr>
        <w:t>，</w:t>
      </w:r>
      <w:r>
        <w:rPr>
          <w:rFonts w:hint="eastAsia" w:ascii="仿宋" w:hAnsi="仿宋" w:eastAsia="仿宋" w:cs="仿宋"/>
          <w:color w:val="auto"/>
          <w:kern w:val="2"/>
          <w:sz w:val="24"/>
          <w:szCs w:val="22"/>
          <w:highlight w:val="none"/>
        </w:rPr>
        <w:t>该证明文件是投标文件的一部分</w:t>
      </w:r>
      <w:r>
        <w:rPr>
          <w:rFonts w:hint="eastAsia" w:ascii="仿宋" w:hAnsi="仿宋" w:eastAsia="仿宋" w:cs="仿宋"/>
          <w:color w:val="auto"/>
          <w:kern w:val="2"/>
          <w:sz w:val="24"/>
          <w:szCs w:val="22"/>
          <w:highlight w:val="none"/>
          <w:lang w:eastAsia="zh-CN"/>
        </w:rPr>
        <w:t>。</w:t>
      </w:r>
      <w:r>
        <w:rPr>
          <w:rFonts w:hint="eastAsia" w:ascii="仿宋" w:hAnsi="仿宋" w:eastAsia="仿宋" w:cs="仿宋"/>
          <w:color w:val="auto"/>
          <w:kern w:val="2"/>
          <w:sz w:val="24"/>
          <w:szCs w:val="22"/>
          <w:highlight w:val="none"/>
        </w:rPr>
        <w:t>证明文件</w:t>
      </w:r>
      <w:r>
        <w:rPr>
          <w:rFonts w:hint="eastAsia" w:ascii="仿宋" w:hAnsi="仿宋" w:eastAsia="仿宋" w:cs="仿宋"/>
          <w:color w:val="auto"/>
          <w:kern w:val="2"/>
          <w:sz w:val="24"/>
          <w:szCs w:val="22"/>
          <w:highlight w:val="none"/>
          <w:lang w:val="en-US" w:eastAsia="zh-CN"/>
        </w:rPr>
        <w:t>形式</w:t>
      </w:r>
      <w:r>
        <w:rPr>
          <w:rFonts w:hint="eastAsia" w:ascii="仿宋" w:hAnsi="仿宋" w:eastAsia="仿宋" w:cs="仿宋"/>
          <w:color w:val="auto"/>
          <w:kern w:val="2"/>
          <w:sz w:val="24"/>
          <w:szCs w:val="22"/>
          <w:highlight w:val="none"/>
        </w:rPr>
        <w:t>可以是文字资料、图纸和数据</w:t>
      </w:r>
      <w:bookmarkStart w:id="192" w:name="_Hlk11703583"/>
      <w:r>
        <w:rPr>
          <w:rFonts w:hint="eastAsia" w:ascii="仿宋" w:hAnsi="仿宋" w:eastAsia="仿宋" w:cs="仿宋"/>
          <w:color w:val="auto"/>
          <w:kern w:val="2"/>
          <w:sz w:val="24"/>
          <w:szCs w:val="22"/>
          <w:highlight w:val="none"/>
          <w:lang w:val="en-US" w:eastAsia="zh-CN"/>
        </w:rPr>
        <w:t>等。</w:t>
      </w:r>
    </w:p>
    <w:bookmarkEnd w:id="192"/>
    <w:p w14:paraId="781BBAEB">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color w:val="auto"/>
          <w:kern w:val="2"/>
          <w:sz w:val="24"/>
          <w:szCs w:val="22"/>
          <w:highlight w:val="none"/>
          <w:lang w:val="en-US" w:eastAsia="zh-CN"/>
        </w:rPr>
      </w:pPr>
      <w:r>
        <w:rPr>
          <w:rFonts w:hint="eastAsia" w:ascii="仿宋" w:hAnsi="仿宋" w:eastAsia="仿宋" w:cs="仿宋"/>
          <w:color w:val="auto"/>
          <w:kern w:val="2"/>
          <w:sz w:val="24"/>
          <w:szCs w:val="22"/>
          <w:highlight w:val="none"/>
          <w:lang w:val="en-US" w:eastAsia="zh-CN"/>
        </w:rPr>
        <w:t>13.3</w:t>
      </w:r>
      <w:r>
        <w:rPr>
          <w:rFonts w:hint="eastAsia" w:ascii="仿宋" w:hAnsi="仿宋" w:eastAsia="仿宋" w:cs="仿宋"/>
          <w:color w:val="auto"/>
          <w:kern w:val="2"/>
          <w:sz w:val="24"/>
          <w:szCs w:val="22"/>
          <w:highlight w:val="none"/>
        </w:rPr>
        <w:t>为保证公平公正，除非</w:t>
      </w:r>
      <w:r>
        <w:rPr>
          <w:rFonts w:hint="eastAsia" w:ascii="仿宋" w:hAnsi="仿宋" w:eastAsia="仿宋" w:cs="仿宋"/>
          <w:color w:val="auto"/>
          <w:kern w:val="2"/>
          <w:sz w:val="24"/>
          <w:szCs w:val="22"/>
          <w:highlight w:val="none"/>
          <w:lang w:val="en-US" w:eastAsia="zh-CN"/>
        </w:rPr>
        <w:t>本招标文件</w:t>
      </w:r>
      <w:r>
        <w:rPr>
          <w:rFonts w:hint="eastAsia" w:ascii="仿宋" w:hAnsi="仿宋" w:eastAsia="仿宋" w:cs="仿宋"/>
          <w:color w:val="auto"/>
          <w:kern w:val="2"/>
          <w:sz w:val="24"/>
          <w:szCs w:val="22"/>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14.投标报价</w:t>
      </w:r>
      <w:bookmarkEnd w:id="190"/>
      <w:bookmarkEnd w:id="191"/>
    </w:p>
    <w:p w14:paraId="3BD2CDC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snapToGrid w:val="0"/>
          <w:color w:val="auto"/>
          <w:sz w:val="24"/>
          <w:szCs w:val="24"/>
          <w:highlight w:val="none"/>
          <w:lang w:val="zh-CN"/>
        </w:rPr>
      </w:pPr>
      <w:r>
        <w:rPr>
          <w:rFonts w:hint="eastAsia" w:ascii="仿宋" w:hAnsi="仿宋" w:eastAsia="仿宋" w:cs="仿宋"/>
          <w:snapToGrid w:val="0"/>
          <w:color w:val="auto"/>
          <w:sz w:val="24"/>
          <w:szCs w:val="24"/>
          <w:highlight w:val="none"/>
        </w:rPr>
        <w:t>1</w:t>
      </w:r>
      <w:r>
        <w:rPr>
          <w:rFonts w:hint="eastAsia" w:ascii="仿宋" w:hAnsi="仿宋" w:eastAsia="仿宋" w:cs="仿宋"/>
          <w:snapToGrid w:val="0"/>
          <w:color w:val="auto"/>
          <w:sz w:val="24"/>
          <w:szCs w:val="24"/>
          <w:highlight w:val="none"/>
          <w:lang w:val="en-US" w:eastAsia="zh-CN"/>
        </w:rPr>
        <w:t>4</w:t>
      </w:r>
      <w:r>
        <w:rPr>
          <w:rFonts w:hint="eastAsia" w:ascii="仿宋" w:hAnsi="仿宋" w:eastAsia="仿宋" w:cs="仿宋"/>
          <w:snapToGrid w:val="0"/>
          <w:color w:val="auto"/>
          <w:sz w:val="24"/>
          <w:szCs w:val="24"/>
          <w:highlight w:val="none"/>
        </w:rPr>
        <w:t xml:space="preserve">.1 </w:t>
      </w:r>
      <w:r>
        <w:rPr>
          <w:rFonts w:hint="eastAsia" w:ascii="仿宋" w:hAnsi="仿宋" w:eastAsia="仿宋" w:cs="仿宋"/>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r>
        <w:rPr>
          <w:rFonts w:hint="eastAsia" w:ascii="仿宋" w:hAnsi="仿宋" w:eastAsia="仿宋" w:cs="仿宋"/>
          <w:snapToGrid w:val="0"/>
          <w:color w:val="auto"/>
          <w:sz w:val="24"/>
          <w:szCs w:val="24"/>
          <w:highlight w:val="none"/>
          <w:lang w:val="en-US" w:eastAsia="zh-CN"/>
        </w:rPr>
        <w:t>4</w:t>
      </w:r>
      <w:r>
        <w:rPr>
          <w:rFonts w:hint="eastAsia" w:ascii="仿宋" w:hAnsi="仿宋" w:eastAsia="仿宋" w:cs="仿宋"/>
          <w:snapToGrid w:val="0"/>
          <w:color w:val="auto"/>
          <w:sz w:val="24"/>
          <w:szCs w:val="24"/>
          <w:highlight w:val="none"/>
        </w:rPr>
        <w:t>.2 投标人应按照本招标文件规定的报价方式进行报价，投标报价中不得包含招标文件要求以外的内容，也不得</w:t>
      </w:r>
      <w:r>
        <w:rPr>
          <w:rFonts w:hint="eastAsia" w:ascii="仿宋" w:hAnsi="仿宋" w:eastAsia="仿宋" w:cs="仿宋"/>
          <w:snapToGrid w:val="0"/>
          <w:color w:val="auto"/>
          <w:sz w:val="24"/>
          <w:szCs w:val="24"/>
          <w:highlight w:val="none"/>
          <w:lang w:val="en-US" w:eastAsia="zh-CN"/>
        </w:rPr>
        <w:t>缺</w:t>
      </w:r>
      <w:r>
        <w:rPr>
          <w:rFonts w:hint="eastAsia" w:ascii="仿宋" w:hAnsi="仿宋" w:eastAsia="仿宋" w:cs="仿宋"/>
          <w:snapToGrid w:val="0"/>
          <w:color w:val="auto"/>
          <w:sz w:val="24"/>
          <w:szCs w:val="24"/>
          <w:highlight w:val="none"/>
        </w:rPr>
        <w:t>漏招标文件所要求的内容，否则其</w:t>
      </w:r>
      <w:r>
        <w:rPr>
          <w:rFonts w:hint="eastAsia" w:ascii="仿宋" w:hAnsi="仿宋" w:eastAsia="仿宋" w:cs="仿宋"/>
          <w:b/>
          <w:bCs/>
          <w:snapToGrid w:val="0"/>
          <w:color w:val="auto"/>
          <w:sz w:val="24"/>
          <w:szCs w:val="24"/>
          <w:highlight w:val="none"/>
        </w:rPr>
        <w:t>投标无效</w:t>
      </w:r>
      <w:r>
        <w:rPr>
          <w:rFonts w:hint="eastAsia" w:ascii="仿宋" w:hAnsi="仿宋" w:eastAsia="仿宋" w:cs="仿宋"/>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仿宋" w:hAnsi="仿宋" w:eastAsia="仿宋" w:cs="仿宋"/>
          <w:color w:val="auto"/>
          <w:kern w:val="2"/>
          <w:sz w:val="24"/>
          <w:szCs w:val="22"/>
          <w:highlight w:val="none"/>
        </w:rPr>
        <w:t>只要投报了一个确定数额的总价，无论分项价格是否全部填报了相应的金额或免费字样，</w:t>
      </w:r>
      <w:r>
        <w:rPr>
          <w:rFonts w:hint="eastAsia" w:ascii="仿宋" w:hAnsi="仿宋" w:eastAsia="仿宋" w:cs="仿宋"/>
          <w:color w:val="auto"/>
          <w:kern w:val="2"/>
          <w:sz w:val="24"/>
          <w:szCs w:val="22"/>
          <w:highlight w:val="none"/>
          <w:lang w:val="en-US" w:eastAsia="zh-CN"/>
        </w:rPr>
        <w:t>该报价应被视为已包含但不限</w:t>
      </w:r>
      <w:r>
        <w:rPr>
          <w:rFonts w:hint="eastAsia" w:ascii="仿宋" w:hAnsi="仿宋" w:eastAsia="仿宋" w:cs="仿宋"/>
          <w:color w:val="auto"/>
          <w:kern w:val="2"/>
          <w:sz w:val="24"/>
          <w:szCs w:val="22"/>
          <w:highlight w:val="none"/>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kern w:val="2"/>
          <w:sz w:val="24"/>
          <w:szCs w:val="22"/>
          <w:highlight w:val="none"/>
          <w:lang w:val="en-US" w:eastAsia="zh-CN"/>
        </w:rPr>
      </w:pPr>
      <w:r>
        <w:rPr>
          <w:rFonts w:hint="eastAsia" w:ascii="仿宋" w:hAnsi="仿宋" w:eastAsia="仿宋" w:cs="仿宋"/>
          <w:color w:val="auto"/>
          <w:kern w:val="2"/>
          <w:sz w:val="24"/>
          <w:szCs w:val="22"/>
          <w:highlight w:val="none"/>
          <w:lang w:val="en-US" w:eastAsia="zh-CN"/>
        </w:rPr>
        <w:t xml:space="preserve">投标人的报价应包括但不限于下列内容： </w:t>
      </w:r>
    </w:p>
    <w:p w14:paraId="4342C0DA">
      <w:pPr>
        <w:pStyle w:val="10"/>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kern w:val="2"/>
          <w:sz w:val="24"/>
          <w:szCs w:val="22"/>
          <w:highlight w:val="none"/>
          <w:lang w:val="en-US" w:eastAsia="zh-CN"/>
        </w:rPr>
      </w:pPr>
      <w:r>
        <w:rPr>
          <w:rFonts w:hint="eastAsia" w:ascii="仿宋" w:hAnsi="仿宋" w:eastAsia="仿宋" w:cs="仿宋"/>
          <w:snapToGrid w:val="0"/>
          <w:color w:val="auto"/>
          <w:kern w:val="2"/>
          <w:sz w:val="24"/>
          <w:szCs w:val="24"/>
          <w:highlight w:val="none"/>
          <w:lang w:val="en-US" w:eastAsia="zh-CN" w:bidi="ar-SA"/>
        </w:rPr>
        <w:t>14.2.1 投标货物及标准附件、备品备件、专用工具等的出厂价（包括已在中</w:t>
      </w:r>
      <w:r>
        <w:rPr>
          <w:rFonts w:hint="eastAsia" w:ascii="仿宋" w:hAnsi="仿宋" w:eastAsia="仿宋" w:cs="仿宋"/>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snapToGrid w:val="0"/>
          <w:color w:val="auto"/>
          <w:sz w:val="24"/>
          <w:szCs w:val="24"/>
          <w:highlight w:val="none"/>
          <w:lang w:val="zh-CN"/>
        </w:rPr>
      </w:pPr>
      <w:r>
        <w:rPr>
          <w:rFonts w:hint="eastAsia" w:ascii="仿宋" w:hAnsi="仿宋" w:eastAsia="仿宋" w:cs="仿宋"/>
          <w:snapToGrid w:val="0"/>
          <w:color w:val="auto"/>
          <w:sz w:val="24"/>
          <w:szCs w:val="24"/>
          <w:highlight w:val="none"/>
        </w:rPr>
        <w:t>1</w:t>
      </w:r>
      <w:r>
        <w:rPr>
          <w:rFonts w:hint="eastAsia" w:ascii="仿宋" w:hAnsi="仿宋" w:eastAsia="仿宋" w:cs="仿宋"/>
          <w:snapToGrid w:val="0"/>
          <w:color w:val="auto"/>
          <w:sz w:val="24"/>
          <w:szCs w:val="24"/>
          <w:highlight w:val="none"/>
          <w:lang w:val="en-US" w:eastAsia="zh-CN"/>
        </w:rPr>
        <w:t>4</w:t>
      </w:r>
      <w:r>
        <w:rPr>
          <w:rFonts w:hint="eastAsia" w:ascii="仿宋" w:hAnsi="仿宋" w:eastAsia="仿宋" w:cs="仿宋"/>
          <w:snapToGrid w:val="0"/>
          <w:color w:val="auto"/>
          <w:sz w:val="24"/>
          <w:szCs w:val="24"/>
          <w:highlight w:val="none"/>
        </w:rPr>
        <w:t xml:space="preserve">.3 </w:t>
      </w:r>
      <w:r>
        <w:rPr>
          <w:rFonts w:hint="eastAsia" w:ascii="仿宋" w:hAnsi="仿宋" w:eastAsia="仿宋" w:cs="仿宋"/>
          <w:color w:val="auto"/>
          <w:kern w:val="2"/>
          <w:sz w:val="24"/>
          <w:szCs w:val="22"/>
          <w:highlight w:val="none"/>
        </w:rPr>
        <w:t>投标人须严格按照</w:t>
      </w:r>
      <w:r>
        <w:rPr>
          <w:rFonts w:hint="eastAsia" w:ascii="仿宋" w:hAnsi="仿宋" w:eastAsia="仿宋" w:cs="仿宋"/>
          <w:color w:val="auto"/>
          <w:kern w:val="2"/>
          <w:sz w:val="24"/>
          <w:szCs w:val="22"/>
          <w:highlight w:val="none"/>
          <w:lang w:val="en-US" w:eastAsia="zh-CN"/>
        </w:rPr>
        <w:t>分项</w:t>
      </w:r>
      <w:r>
        <w:rPr>
          <w:rFonts w:hint="eastAsia" w:ascii="仿宋" w:hAnsi="仿宋" w:eastAsia="仿宋" w:cs="仿宋"/>
          <w:color w:val="auto"/>
          <w:kern w:val="2"/>
          <w:sz w:val="24"/>
          <w:szCs w:val="22"/>
          <w:highlight w:val="none"/>
        </w:rPr>
        <w:t>报价表规定的内容填写货物单价以及其他事项。</w:t>
      </w:r>
      <w:r>
        <w:rPr>
          <w:rFonts w:hint="eastAsia" w:ascii="仿宋" w:hAnsi="仿宋" w:eastAsia="仿宋" w:cs="仿宋"/>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ascii="仿宋" w:hAnsi="仿宋" w:eastAsia="仿宋" w:cs="仿宋"/>
          <w:snapToGrid w:val="0"/>
          <w:color w:val="auto"/>
          <w:sz w:val="24"/>
          <w:szCs w:val="24"/>
          <w:highlight w:val="none"/>
          <w:lang w:val="en-US" w:eastAsia="zh-CN"/>
        </w:rPr>
        <w:t>缴</w:t>
      </w:r>
      <w:r>
        <w:rPr>
          <w:rFonts w:hint="eastAsia" w:ascii="仿宋" w:hAnsi="仿宋" w:eastAsia="仿宋" w:cs="仿宋"/>
          <w:snapToGrid w:val="0"/>
          <w:color w:val="auto"/>
          <w:sz w:val="24"/>
          <w:szCs w:val="24"/>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r>
        <w:rPr>
          <w:rFonts w:hint="eastAsia" w:ascii="仿宋" w:hAnsi="仿宋" w:eastAsia="仿宋" w:cs="仿宋"/>
          <w:snapToGrid w:val="0"/>
          <w:color w:val="auto"/>
          <w:sz w:val="24"/>
          <w:szCs w:val="24"/>
          <w:highlight w:val="none"/>
          <w:lang w:val="en-US" w:eastAsia="zh-CN"/>
        </w:rPr>
        <w:t>4</w:t>
      </w:r>
      <w:r>
        <w:rPr>
          <w:rFonts w:hint="eastAsia" w:ascii="仿宋" w:hAnsi="仿宋" w:eastAsia="仿宋" w:cs="仿宋"/>
          <w:snapToGrid w:val="0"/>
          <w:color w:val="auto"/>
          <w:sz w:val="24"/>
          <w:szCs w:val="24"/>
          <w:highlight w:val="none"/>
        </w:rPr>
        <w:t>.4 投标人在投标文件中注明免费的项目将视为包含在投标报价中。</w:t>
      </w:r>
    </w:p>
    <w:p w14:paraId="78B9FFCD">
      <w:pPr>
        <w:pStyle w:val="10"/>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snapToGrid w:val="0"/>
          <w:color w:val="auto"/>
          <w:kern w:val="2"/>
          <w:sz w:val="24"/>
          <w:szCs w:val="24"/>
          <w:highlight w:val="none"/>
          <w:lang w:val="en-US" w:eastAsia="zh-CN" w:bidi="ar-SA"/>
        </w:rPr>
        <w:t>14.5 每一</w:t>
      </w:r>
      <w:r>
        <w:rPr>
          <w:rFonts w:hint="eastAsia" w:ascii="仿宋" w:hAnsi="仿宋" w:eastAsia="仿宋" w:cs="仿宋"/>
          <w:snapToGrid w:val="0"/>
          <w:color w:val="auto"/>
          <w:sz w:val="24"/>
          <w:szCs w:val="24"/>
          <w:highlight w:val="none"/>
        </w:rPr>
        <w:t>种采购内容只允许有一个报价，否则其</w:t>
      </w:r>
      <w:r>
        <w:rPr>
          <w:rFonts w:hint="eastAsia" w:ascii="仿宋" w:hAnsi="仿宋" w:eastAsia="仿宋" w:cs="仿宋"/>
          <w:b/>
          <w:bCs/>
          <w:snapToGrid w:val="0"/>
          <w:color w:val="auto"/>
          <w:sz w:val="24"/>
          <w:szCs w:val="24"/>
          <w:highlight w:val="none"/>
        </w:rPr>
        <w:t>投标无效</w:t>
      </w:r>
      <w:r>
        <w:rPr>
          <w:rFonts w:hint="eastAsia" w:ascii="仿宋" w:hAnsi="仿宋" w:eastAsia="仿宋" w:cs="仿宋"/>
          <w:snapToGrid w:val="0"/>
          <w:color w:val="auto"/>
          <w:sz w:val="24"/>
          <w:szCs w:val="24"/>
          <w:highlight w:val="none"/>
        </w:rPr>
        <w:t>。</w:t>
      </w:r>
      <w:r>
        <w:rPr>
          <w:rFonts w:hint="eastAsia" w:ascii="仿宋" w:hAnsi="仿宋" w:eastAsia="仿宋" w:cs="仿宋"/>
          <w:color w:val="auto"/>
          <w:kern w:val="2"/>
          <w:sz w:val="24"/>
          <w:szCs w:val="22"/>
          <w:highlight w:val="none"/>
        </w:rPr>
        <w:t>除非招标文件另有规定，不接受可选择或可调整的投标方案和报价，任何有选择的或可调整的投标方案和报价将被视为非</w:t>
      </w:r>
      <w:r>
        <w:rPr>
          <w:rFonts w:hint="eastAsia" w:ascii="仿宋" w:hAnsi="仿宋" w:eastAsia="仿宋" w:cs="仿宋"/>
          <w:color w:val="auto"/>
          <w:kern w:val="2"/>
          <w:sz w:val="24"/>
          <w:szCs w:val="22"/>
          <w:highlight w:val="none"/>
          <w:lang w:val="en-US" w:eastAsia="zh-CN"/>
        </w:rPr>
        <w:t>实质性</w:t>
      </w:r>
      <w:r>
        <w:rPr>
          <w:rFonts w:hint="eastAsia" w:ascii="仿宋" w:hAnsi="仿宋" w:eastAsia="仿宋" w:cs="仿宋"/>
          <w:color w:val="auto"/>
          <w:kern w:val="2"/>
          <w:sz w:val="24"/>
          <w:szCs w:val="22"/>
          <w:highlight w:val="none"/>
        </w:rPr>
        <w:t>响应</w:t>
      </w:r>
      <w:r>
        <w:rPr>
          <w:rFonts w:hint="eastAsia" w:ascii="仿宋" w:hAnsi="仿宋" w:eastAsia="仿宋" w:cs="仿宋"/>
          <w:color w:val="auto"/>
          <w:kern w:val="2"/>
          <w:sz w:val="24"/>
          <w:szCs w:val="22"/>
          <w:highlight w:val="none"/>
          <w:lang w:val="en-US" w:eastAsia="zh-CN"/>
        </w:rPr>
        <w:t>招标文件，其</w:t>
      </w:r>
      <w:r>
        <w:rPr>
          <w:rFonts w:hint="eastAsia" w:ascii="仿宋" w:hAnsi="仿宋" w:eastAsia="仿宋" w:cs="仿宋"/>
          <w:b/>
          <w:bCs/>
          <w:snapToGrid w:val="0"/>
          <w:color w:val="auto"/>
          <w:sz w:val="24"/>
          <w:szCs w:val="24"/>
          <w:highlight w:val="none"/>
          <w:lang w:eastAsia="zh-CN"/>
        </w:rPr>
        <w:t>投标无效</w:t>
      </w:r>
      <w:r>
        <w:rPr>
          <w:rFonts w:hint="eastAsia" w:ascii="仿宋" w:hAnsi="仿宋" w:eastAsia="仿宋" w:cs="仿宋"/>
          <w:color w:val="auto"/>
          <w:kern w:val="2"/>
          <w:sz w:val="24"/>
          <w:szCs w:val="22"/>
          <w:highlight w:val="none"/>
        </w:rPr>
        <w:t>。</w:t>
      </w:r>
    </w:p>
    <w:p w14:paraId="234C15F2">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6 </w:t>
      </w:r>
      <w:r>
        <w:rPr>
          <w:rFonts w:hint="eastAsia" w:ascii="仿宋" w:hAnsi="仿宋" w:eastAsia="仿宋" w:cs="仿宋"/>
          <w:color w:val="auto"/>
          <w:sz w:val="24"/>
          <w:szCs w:val="24"/>
          <w:highlight w:val="none"/>
        </w:rPr>
        <w:t>投标报价不得超过“</w:t>
      </w:r>
      <w:r>
        <w:rPr>
          <w:rFonts w:hint="eastAsia" w:ascii="仿宋" w:hAnsi="仿宋" w:eastAsia="仿宋" w:cs="仿宋"/>
          <w:color w:val="auto"/>
          <w:sz w:val="24"/>
          <w:highlight w:val="none"/>
          <w:lang w:val="en-US" w:eastAsia="zh-CN"/>
        </w:rPr>
        <w:t>第一章 招标公告</w:t>
      </w:r>
      <w:r>
        <w:rPr>
          <w:rFonts w:hint="eastAsia" w:ascii="仿宋" w:hAnsi="仿宋" w:eastAsia="仿宋" w:cs="仿宋"/>
          <w:color w:val="auto"/>
          <w:sz w:val="24"/>
          <w:szCs w:val="24"/>
          <w:highlight w:val="none"/>
        </w:rPr>
        <w:t>”中规定的最高投标限价</w:t>
      </w:r>
      <w:r>
        <w:rPr>
          <w:rFonts w:hint="eastAsia" w:ascii="仿宋" w:hAnsi="仿宋" w:eastAsia="仿宋" w:cs="仿宋"/>
          <w:color w:val="auto"/>
          <w:sz w:val="24"/>
          <w:highlight w:val="none"/>
          <w:lang w:val="en-US" w:eastAsia="zh-CN"/>
        </w:rPr>
        <w:t>或者预算金额</w:t>
      </w:r>
      <w:r>
        <w:rPr>
          <w:rFonts w:hint="eastAsia" w:ascii="仿宋" w:hAnsi="仿宋" w:eastAsia="仿宋" w:cs="仿宋"/>
          <w:color w:val="auto"/>
          <w:sz w:val="24"/>
          <w:szCs w:val="24"/>
          <w:highlight w:val="none"/>
        </w:rPr>
        <w:t>，否则评标委员会将</w:t>
      </w:r>
      <w:r>
        <w:rPr>
          <w:rFonts w:hint="eastAsia" w:ascii="仿宋" w:hAnsi="仿宋" w:eastAsia="仿宋" w:cs="仿宋"/>
          <w:b w:val="0"/>
          <w:bCs w:val="0"/>
          <w:color w:val="auto"/>
          <w:sz w:val="24"/>
          <w:szCs w:val="24"/>
          <w:highlight w:val="none"/>
          <w:lang w:val="en-US" w:eastAsia="zh-CN"/>
        </w:rPr>
        <w:t>对</w:t>
      </w:r>
      <w:r>
        <w:rPr>
          <w:rFonts w:hint="eastAsia" w:ascii="仿宋" w:hAnsi="仿宋" w:eastAsia="仿宋" w:cs="仿宋"/>
          <w:b w:val="0"/>
          <w:bCs w:val="0"/>
          <w:color w:val="auto"/>
          <w:sz w:val="24"/>
          <w:szCs w:val="24"/>
          <w:highlight w:val="none"/>
        </w:rPr>
        <w:t>其</w:t>
      </w:r>
      <w:r>
        <w:rPr>
          <w:rFonts w:hint="eastAsia" w:ascii="仿宋" w:hAnsi="仿宋" w:eastAsia="仿宋" w:cs="仿宋"/>
          <w:b w:val="0"/>
          <w:bCs w:val="0"/>
          <w:color w:val="auto"/>
          <w:sz w:val="24"/>
          <w:szCs w:val="24"/>
          <w:highlight w:val="none"/>
          <w:lang w:val="en-US" w:eastAsia="zh-CN"/>
        </w:rPr>
        <w:t>作</w:t>
      </w:r>
      <w:r>
        <w:rPr>
          <w:rFonts w:hint="eastAsia" w:ascii="仿宋" w:hAnsi="仿宋" w:eastAsia="仿宋" w:cs="仿宋"/>
          <w:b/>
          <w:bCs/>
          <w:color w:val="auto"/>
          <w:sz w:val="24"/>
          <w:szCs w:val="24"/>
          <w:highlight w:val="none"/>
          <w:lang w:val="en-US" w:eastAsia="zh-CN"/>
        </w:rPr>
        <w:t>无效</w:t>
      </w:r>
      <w:r>
        <w:rPr>
          <w:rFonts w:hint="eastAsia" w:ascii="仿宋" w:hAnsi="仿宋" w:eastAsia="仿宋" w:cs="仿宋"/>
          <w:b/>
          <w:bCs/>
          <w:color w:val="auto"/>
          <w:sz w:val="24"/>
          <w:szCs w:val="24"/>
          <w:highlight w:val="none"/>
        </w:rPr>
        <w:t>投标</w:t>
      </w:r>
      <w:r>
        <w:rPr>
          <w:rFonts w:hint="eastAsia" w:ascii="仿宋" w:hAnsi="仿宋" w:eastAsia="仿宋" w:cs="仿宋"/>
          <w:b/>
          <w:bCs/>
          <w:color w:val="auto"/>
          <w:sz w:val="24"/>
          <w:szCs w:val="24"/>
          <w:highlight w:val="none"/>
          <w:lang w:val="en-US" w:eastAsia="zh-CN"/>
        </w:rPr>
        <w:t>处理</w:t>
      </w:r>
      <w:r>
        <w:rPr>
          <w:rFonts w:hint="eastAsia" w:ascii="仿宋" w:hAnsi="仿宋" w:eastAsia="仿宋" w:cs="仿宋"/>
          <w:color w:val="auto"/>
          <w:sz w:val="24"/>
          <w:szCs w:val="24"/>
          <w:highlight w:val="none"/>
        </w:rPr>
        <w:t>。</w:t>
      </w:r>
    </w:p>
    <w:p w14:paraId="313FA63F">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rPr>
        <w:t>1</w:t>
      </w:r>
      <w:r>
        <w:rPr>
          <w:rFonts w:hint="eastAsia" w:ascii="仿宋" w:hAnsi="仿宋" w:eastAsia="仿宋" w:cs="仿宋"/>
          <w:color w:val="auto"/>
          <w:kern w:val="2"/>
          <w:sz w:val="24"/>
          <w:szCs w:val="22"/>
          <w:highlight w:val="none"/>
          <w:lang w:val="en-US" w:eastAsia="zh-CN"/>
        </w:rPr>
        <w:t>4</w:t>
      </w:r>
      <w:r>
        <w:rPr>
          <w:rFonts w:hint="eastAsia" w:ascii="仿宋" w:hAnsi="仿宋" w:eastAsia="仿宋" w:cs="仿宋"/>
          <w:color w:val="auto"/>
          <w:kern w:val="2"/>
          <w:sz w:val="24"/>
          <w:szCs w:val="22"/>
          <w:highlight w:val="none"/>
        </w:rPr>
        <w:t>.</w:t>
      </w:r>
      <w:r>
        <w:rPr>
          <w:rFonts w:hint="eastAsia" w:ascii="仿宋" w:hAnsi="仿宋" w:eastAsia="仿宋" w:cs="仿宋"/>
          <w:color w:val="auto"/>
          <w:kern w:val="2"/>
          <w:sz w:val="24"/>
          <w:szCs w:val="22"/>
          <w:highlight w:val="none"/>
          <w:lang w:val="en-US" w:eastAsia="zh-CN"/>
        </w:rPr>
        <w:t xml:space="preserve">7 </w:t>
      </w:r>
      <w:r>
        <w:rPr>
          <w:rFonts w:hint="eastAsia" w:ascii="仿宋" w:hAnsi="仿宋" w:eastAsia="仿宋" w:cs="仿宋"/>
          <w:color w:val="auto"/>
          <w:kern w:val="2"/>
          <w:sz w:val="24"/>
          <w:szCs w:val="22"/>
          <w:highlight w:val="none"/>
        </w:rPr>
        <w:t>投标人对投标报价若有说明应在投标文件中显著处注明。</w:t>
      </w:r>
    </w:p>
    <w:p w14:paraId="2DE4CF29">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rPr>
        <w:t>除政策性文件规定以外，投标人所报价格在合同实施期间不因市场变化因素而变动。</w:t>
      </w:r>
    </w:p>
    <w:p w14:paraId="2C302D73">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rPr>
        <w:t>1</w:t>
      </w:r>
      <w:r>
        <w:rPr>
          <w:rFonts w:hint="eastAsia" w:ascii="仿宋" w:hAnsi="仿宋" w:eastAsia="仿宋" w:cs="仿宋"/>
          <w:color w:val="auto"/>
          <w:kern w:val="2"/>
          <w:sz w:val="24"/>
          <w:szCs w:val="22"/>
          <w:highlight w:val="none"/>
          <w:lang w:val="en-US" w:eastAsia="zh-CN"/>
        </w:rPr>
        <w:t>4</w:t>
      </w:r>
      <w:r>
        <w:rPr>
          <w:rFonts w:hint="eastAsia" w:ascii="仿宋" w:hAnsi="仿宋" w:eastAsia="仿宋" w:cs="仿宋"/>
          <w:color w:val="auto"/>
          <w:kern w:val="2"/>
          <w:sz w:val="24"/>
          <w:szCs w:val="22"/>
          <w:highlight w:val="none"/>
        </w:rPr>
        <w:t>.</w:t>
      </w:r>
      <w:r>
        <w:rPr>
          <w:rFonts w:hint="eastAsia" w:ascii="仿宋" w:hAnsi="仿宋" w:eastAsia="仿宋" w:cs="仿宋"/>
          <w:color w:val="auto"/>
          <w:kern w:val="2"/>
          <w:sz w:val="24"/>
          <w:szCs w:val="22"/>
          <w:highlight w:val="none"/>
          <w:lang w:val="en-US" w:eastAsia="zh-CN"/>
        </w:rPr>
        <w:t xml:space="preserve">8 </w:t>
      </w:r>
      <w:r>
        <w:rPr>
          <w:rFonts w:hint="eastAsia" w:ascii="仿宋" w:hAnsi="仿宋" w:eastAsia="仿宋" w:cs="仿宋"/>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rPr>
        <w:t>1</w:t>
      </w:r>
      <w:r>
        <w:rPr>
          <w:rFonts w:hint="eastAsia" w:ascii="仿宋" w:hAnsi="仿宋" w:eastAsia="仿宋" w:cs="仿宋"/>
          <w:color w:val="auto"/>
          <w:kern w:val="2"/>
          <w:sz w:val="24"/>
          <w:szCs w:val="22"/>
          <w:highlight w:val="none"/>
          <w:lang w:val="en-US" w:eastAsia="zh-CN"/>
        </w:rPr>
        <w:t>4</w:t>
      </w:r>
      <w:r>
        <w:rPr>
          <w:rFonts w:hint="eastAsia" w:ascii="仿宋" w:hAnsi="仿宋" w:eastAsia="仿宋" w:cs="仿宋"/>
          <w:color w:val="auto"/>
          <w:kern w:val="2"/>
          <w:sz w:val="24"/>
          <w:szCs w:val="22"/>
          <w:highlight w:val="none"/>
        </w:rPr>
        <w:t>.</w:t>
      </w:r>
      <w:r>
        <w:rPr>
          <w:rFonts w:hint="eastAsia" w:ascii="仿宋" w:hAnsi="仿宋" w:eastAsia="仿宋" w:cs="仿宋"/>
          <w:color w:val="auto"/>
          <w:kern w:val="2"/>
          <w:sz w:val="24"/>
          <w:szCs w:val="22"/>
          <w:highlight w:val="none"/>
          <w:lang w:val="en-US" w:eastAsia="zh-CN"/>
        </w:rPr>
        <w:t xml:space="preserve">9 </w:t>
      </w:r>
      <w:r>
        <w:rPr>
          <w:rFonts w:hint="eastAsia" w:ascii="仿宋" w:hAnsi="仿宋" w:eastAsia="仿宋" w:cs="仿宋"/>
          <w:color w:val="auto"/>
          <w:kern w:val="2"/>
          <w:sz w:val="24"/>
          <w:szCs w:val="22"/>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仿宋" w:hAnsi="仿宋" w:eastAsia="仿宋" w:cs="仿宋"/>
          <w:color w:val="auto"/>
          <w:kern w:val="2"/>
          <w:sz w:val="24"/>
          <w:szCs w:val="22"/>
          <w:highlight w:val="none"/>
          <w:lang w:val="en-US" w:eastAsia="zh-CN"/>
        </w:rPr>
      </w:pPr>
      <w:r>
        <w:rPr>
          <w:rFonts w:hint="eastAsia" w:ascii="仿宋" w:hAnsi="仿宋" w:eastAsia="仿宋" w:cs="仿宋"/>
          <w:color w:val="auto"/>
          <w:kern w:val="2"/>
          <w:sz w:val="24"/>
          <w:szCs w:val="22"/>
          <w:highlight w:val="none"/>
          <w:lang w:val="en-US" w:eastAsia="zh-CN"/>
        </w:rPr>
        <w:t>14.10</w:t>
      </w:r>
      <w:r>
        <w:rPr>
          <w:rFonts w:hint="eastAsia" w:ascii="仿宋" w:hAnsi="仿宋" w:eastAsia="仿宋" w:cs="仿宋"/>
          <w:color w:val="auto"/>
          <w:kern w:val="0"/>
          <w:sz w:val="24"/>
          <w:szCs w:val="24"/>
          <w:highlight w:val="none"/>
          <w:lang w:val="en-US" w:eastAsia="zh-CN" w:bidi="ar"/>
        </w:rPr>
        <w:t>采购人不得向投标人索要或者接受其给予的赠品、回扣或者与采购无关的其他商品、服务。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193" w:name="_Toc163492840"/>
      <w:bookmarkStart w:id="194" w:name="_Toc140132773"/>
      <w:r>
        <w:rPr>
          <w:rFonts w:hint="eastAsia" w:ascii="仿宋" w:hAnsi="仿宋" w:eastAsia="仿宋" w:cs="仿宋"/>
          <w:b/>
          <w:bCs/>
          <w:color w:val="auto"/>
          <w:kern w:val="2"/>
          <w:sz w:val="24"/>
          <w:szCs w:val="28"/>
          <w:highlight w:val="none"/>
          <w:lang w:val="en-US" w:eastAsia="zh-CN" w:bidi="ar-SA"/>
        </w:rPr>
        <w:t>15.投标有效期</w:t>
      </w:r>
      <w:bookmarkEnd w:id="193"/>
      <w:bookmarkEnd w:id="194"/>
    </w:p>
    <w:p w14:paraId="13B2B16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.1 </w:t>
      </w:r>
      <w:r>
        <w:rPr>
          <w:rFonts w:hint="eastAsia" w:ascii="仿宋" w:hAnsi="仿宋" w:eastAsia="仿宋" w:cs="仿宋"/>
          <w:color w:val="auto"/>
          <w:kern w:val="0"/>
          <w:sz w:val="24"/>
          <w:szCs w:val="21"/>
          <w:highlight w:val="none"/>
          <w:lang w:val="en"/>
        </w:rPr>
        <w:t>投标有效期</w:t>
      </w: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val="en-US" w:eastAsia="zh-CN"/>
        </w:rPr>
        <w:t xml:space="preserve">第二章 </w:t>
      </w:r>
      <w:r>
        <w:rPr>
          <w:rFonts w:hint="eastAsia" w:ascii="仿宋" w:hAnsi="仿宋" w:eastAsia="仿宋" w:cs="仿宋"/>
          <w:color w:val="auto"/>
          <w:sz w:val="24"/>
          <w:szCs w:val="24"/>
          <w:highlight w:val="none"/>
        </w:rPr>
        <w:t>投标人须知前附表”，投标人承诺的投标有效期</w:t>
      </w:r>
      <w:r>
        <w:rPr>
          <w:rFonts w:hint="eastAsia" w:ascii="仿宋" w:hAnsi="仿宋" w:eastAsia="仿宋" w:cs="仿宋"/>
          <w:snapToGrid w:val="0"/>
          <w:color w:val="auto"/>
          <w:sz w:val="24"/>
          <w:highlight w:val="none"/>
          <w:lang w:val="zh-CN" w:eastAsia="zh-CN"/>
        </w:rPr>
        <w:t>少于</w:t>
      </w:r>
      <w:r>
        <w:rPr>
          <w:rFonts w:hint="eastAsia" w:ascii="仿宋" w:hAnsi="仿宋" w:eastAsia="仿宋" w:cs="仿宋"/>
          <w:snapToGrid w:val="0"/>
          <w:color w:val="auto"/>
          <w:sz w:val="24"/>
          <w:highlight w:val="none"/>
          <w:lang w:val="en-US" w:eastAsia="zh-CN"/>
        </w:rPr>
        <w:t>招标</w:t>
      </w:r>
      <w:r>
        <w:rPr>
          <w:rFonts w:hint="eastAsia" w:ascii="仿宋" w:hAnsi="仿宋" w:eastAsia="仿宋" w:cs="仿宋"/>
          <w:snapToGrid w:val="0"/>
          <w:color w:val="auto"/>
          <w:sz w:val="24"/>
          <w:highlight w:val="none"/>
          <w:lang w:val="zh-CN" w:eastAsia="zh-CN"/>
        </w:rPr>
        <w:t>文件规定期限的，其</w:t>
      </w:r>
      <w:r>
        <w:rPr>
          <w:rFonts w:hint="eastAsia" w:ascii="仿宋" w:hAnsi="仿宋" w:eastAsia="仿宋" w:cs="仿宋"/>
          <w:b/>
          <w:bCs/>
          <w:snapToGrid w:val="0"/>
          <w:color w:val="auto"/>
          <w:sz w:val="24"/>
          <w:highlight w:val="none"/>
          <w:lang w:val="en-US" w:eastAsia="zh-CN"/>
        </w:rPr>
        <w:t>投标</w:t>
      </w:r>
      <w:r>
        <w:rPr>
          <w:rFonts w:hint="eastAsia" w:ascii="仿宋" w:hAnsi="仿宋" w:eastAsia="仿宋" w:cs="仿宋"/>
          <w:b/>
          <w:bCs/>
          <w:snapToGrid w:val="0"/>
          <w:color w:val="auto"/>
          <w:sz w:val="24"/>
          <w:highlight w:val="none"/>
          <w:lang w:val="zh-CN" w:eastAsia="zh-CN"/>
        </w:rPr>
        <w:t>无效</w:t>
      </w:r>
      <w:r>
        <w:rPr>
          <w:rFonts w:hint="eastAsia" w:ascii="仿宋" w:hAnsi="仿宋" w:eastAsia="仿宋" w:cs="仿宋"/>
          <w:snapToGrid w:val="0"/>
          <w:color w:val="auto"/>
          <w:sz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2EF7720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投标人同意延长的，</w:t>
      </w:r>
      <w:r>
        <w:rPr>
          <w:rFonts w:hint="eastAsia" w:ascii="仿宋" w:hAnsi="仿宋" w:eastAsia="仿宋" w:cs="仿宋"/>
          <w:color w:val="auto"/>
          <w:kern w:val="2"/>
          <w:sz w:val="24"/>
          <w:szCs w:val="22"/>
          <w:highlight w:val="none"/>
          <w:lang w:val="en-US" w:eastAsia="zh-CN"/>
        </w:rPr>
        <w:t>其</w:t>
      </w:r>
      <w:r>
        <w:rPr>
          <w:rFonts w:hint="eastAsia" w:ascii="仿宋" w:hAnsi="仿宋" w:eastAsia="仿宋" w:cs="仿宋"/>
          <w:color w:val="auto"/>
          <w:kern w:val="2"/>
          <w:sz w:val="24"/>
          <w:szCs w:val="22"/>
          <w:highlight w:val="none"/>
        </w:rPr>
        <w:t>投标保证金的有效期也相应延长</w:t>
      </w:r>
      <w:r>
        <w:rPr>
          <w:rFonts w:hint="eastAsia" w:ascii="仿宋" w:hAnsi="仿宋" w:eastAsia="仿宋" w:cs="仿宋"/>
          <w:color w:val="auto"/>
          <w:kern w:val="2"/>
          <w:sz w:val="24"/>
          <w:szCs w:val="22"/>
          <w:highlight w:val="none"/>
          <w:lang w:eastAsia="zh-CN"/>
        </w:rPr>
        <w:t>，</w:t>
      </w:r>
      <w:r>
        <w:rPr>
          <w:rFonts w:hint="eastAsia" w:ascii="仿宋" w:hAnsi="仿宋" w:eastAsia="仿宋" w:cs="仿宋"/>
          <w:color w:val="auto"/>
          <w:kern w:val="2"/>
          <w:sz w:val="24"/>
          <w:szCs w:val="22"/>
          <w:highlight w:val="none"/>
          <w:lang w:val="en-US" w:eastAsia="zh-CN"/>
        </w:rPr>
        <w:t>但</w:t>
      </w:r>
      <w:r>
        <w:rPr>
          <w:rFonts w:hint="eastAsia" w:ascii="仿宋" w:hAnsi="仿宋" w:eastAsia="仿宋" w:cs="仿宋"/>
          <w:color w:val="auto"/>
          <w:sz w:val="24"/>
          <w:szCs w:val="24"/>
          <w:highlight w:val="none"/>
        </w:rPr>
        <w:t>不得要求或被允许修改或撤销其投标文件；</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拒绝延长的，其投标文件在原投标有效期满后将不再有效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但其提交的投标保证金可予以退还</w:t>
      </w:r>
      <w:r>
        <w:rPr>
          <w:rFonts w:hint="eastAsia" w:ascii="仿宋" w:hAnsi="仿宋" w:eastAsia="仿宋" w:cs="仿宋"/>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195" w:name="_Toc163492841"/>
      <w:bookmarkStart w:id="196" w:name="_Toc140132774"/>
      <w:r>
        <w:rPr>
          <w:rFonts w:hint="eastAsia" w:ascii="仿宋" w:hAnsi="仿宋" w:eastAsia="仿宋" w:cs="仿宋"/>
          <w:b/>
          <w:bCs/>
          <w:color w:val="auto"/>
          <w:kern w:val="2"/>
          <w:sz w:val="24"/>
          <w:szCs w:val="28"/>
          <w:highlight w:val="none"/>
          <w:lang w:val="en-US" w:eastAsia="zh-CN" w:bidi="ar-SA"/>
        </w:rPr>
        <w:t>16.投标文件的编制</w:t>
      </w:r>
      <w:bookmarkEnd w:id="195"/>
      <w:bookmarkEnd w:id="196"/>
    </w:p>
    <w:p w14:paraId="523C51E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.1投标文件应在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客户端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中进行编制，在投标文件中要求加盖印章的，除有特殊说明之外，</w:t>
      </w:r>
      <w:r>
        <w:rPr>
          <w:rFonts w:hint="eastAsia" w:ascii="仿宋" w:hAnsi="仿宋" w:eastAsia="仿宋" w:cs="仿宋"/>
          <w:color w:val="auto"/>
          <w:sz w:val="24"/>
          <w:szCs w:val="24"/>
          <w:highlight w:val="none"/>
          <w:lang w:val="en-US" w:eastAsia="zh-CN"/>
        </w:rPr>
        <w:t>可</w:t>
      </w:r>
      <w:r>
        <w:rPr>
          <w:rFonts w:hint="eastAsia" w:ascii="仿宋" w:hAnsi="仿宋" w:eastAsia="仿宋" w:cs="仿宋"/>
          <w:color w:val="auto"/>
          <w:sz w:val="24"/>
          <w:szCs w:val="24"/>
          <w:highlight w:val="none"/>
        </w:rPr>
        <w:t>使用电子签章签署。</w:t>
      </w:r>
    </w:p>
    <w:p w14:paraId="540601F4">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bookmarkStart w:id="197" w:name="_Hlk143528557"/>
      <w:r>
        <w:rPr>
          <w:rFonts w:hint="eastAsia" w:ascii="仿宋" w:hAnsi="仿宋" w:eastAsia="仿宋" w:cs="仿宋"/>
          <w:color w:val="auto"/>
          <w:sz w:val="24"/>
          <w:highlight w:val="none"/>
        </w:rPr>
        <w:t>2投标人在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客户端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highlight w:val="none"/>
        </w:rPr>
        <w:t>中按照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客户端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highlight w:val="none"/>
        </w:rPr>
        <w:t>中的格式要求填写响应内容后，生成投标文件。投标人须按照招标文件的要求使用电子签章对要求加盖印章的部分逐一进行签章。</w:t>
      </w:r>
      <w:bookmarkEnd w:id="197"/>
    </w:p>
    <w:p w14:paraId="1A7BD123">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仿宋" w:hAnsi="仿宋" w:eastAsia="仿宋" w:cs="仿宋"/>
          <w:b/>
          <w:bCs/>
          <w:color w:val="auto"/>
          <w:sz w:val="24"/>
          <w:highlight w:val="none"/>
        </w:rPr>
        <w:t>导致</w:t>
      </w:r>
      <w:r>
        <w:rPr>
          <w:rFonts w:hint="eastAsia" w:ascii="仿宋" w:hAnsi="仿宋" w:eastAsia="仿宋" w:cs="仿宋"/>
          <w:b/>
          <w:bCs/>
          <w:color w:val="auto"/>
          <w:sz w:val="24"/>
          <w:highlight w:val="none"/>
          <w:lang w:val="en-US" w:eastAsia="zh-CN"/>
        </w:rPr>
        <w:t>其</w:t>
      </w:r>
      <w:r>
        <w:rPr>
          <w:rFonts w:hint="eastAsia" w:ascii="仿宋" w:hAnsi="仿宋" w:eastAsia="仿宋" w:cs="仿宋"/>
          <w:b/>
          <w:bCs/>
          <w:color w:val="auto"/>
          <w:sz w:val="24"/>
          <w:highlight w:val="none"/>
        </w:rPr>
        <w:t>投标</w:t>
      </w:r>
      <w:r>
        <w:rPr>
          <w:rFonts w:hint="eastAsia" w:ascii="仿宋" w:hAnsi="仿宋" w:eastAsia="仿宋" w:cs="仿宋"/>
          <w:b/>
          <w:bCs/>
          <w:color w:val="auto"/>
          <w:sz w:val="24"/>
          <w:highlight w:val="none"/>
          <w:lang w:val="en-US" w:eastAsia="zh-CN"/>
        </w:rPr>
        <w:t>无效</w:t>
      </w:r>
      <w:r>
        <w:rPr>
          <w:rFonts w:hint="eastAsia" w:ascii="仿宋" w:hAnsi="仿宋" w:eastAsia="仿宋" w:cs="仿宋"/>
          <w:color w:val="auto"/>
          <w:sz w:val="24"/>
          <w:highlight w:val="none"/>
        </w:rPr>
        <w:t>。</w:t>
      </w:r>
    </w:p>
    <w:p w14:paraId="7A6BB4B7">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投标文件须严格按照</w:t>
      </w:r>
      <w:r>
        <w:rPr>
          <w:rFonts w:hint="eastAsia" w:ascii="仿宋" w:hAnsi="仿宋" w:eastAsia="仿宋" w:cs="仿宋"/>
          <w:color w:val="auto"/>
          <w:sz w:val="24"/>
          <w:highlight w:val="none"/>
          <w:lang w:val="en-US" w:eastAsia="zh-CN"/>
        </w:rPr>
        <w:t>本</w:t>
      </w:r>
      <w:r>
        <w:rPr>
          <w:rFonts w:hint="eastAsia" w:ascii="仿宋" w:hAnsi="仿宋" w:eastAsia="仿宋" w:cs="仿宋"/>
          <w:color w:val="auto"/>
          <w:sz w:val="24"/>
          <w:highlight w:val="none"/>
        </w:rPr>
        <w:t>招标文件第</w:t>
      </w:r>
      <w:r>
        <w:rPr>
          <w:rFonts w:hint="eastAsia" w:ascii="仿宋" w:hAnsi="仿宋" w:eastAsia="仿宋" w:cs="仿宋"/>
          <w:color w:val="auto"/>
          <w:sz w:val="24"/>
          <w:highlight w:val="none"/>
          <w:lang w:val="en-US" w:eastAsia="zh-CN"/>
        </w:rPr>
        <w:t>七章</w:t>
      </w:r>
      <w:r>
        <w:rPr>
          <w:rFonts w:hint="eastAsia" w:ascii="仿宋" w:hAnsi="仿宋" w:eastAsia="仿宋" w:cs="仿宋"/>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ascii="仿宋" w:hAnsi="仿宋" w:eastAsia="仿宋" w:cs="仿宋"/>
          <w:b/>
          <w:bCs/>
          <w:color w:val="auto"/>
          <w:sz w:val="24"/>
          <w:highlight w:val="none"/>
          <w:lang w:val="en-US" w:eastAsia="zh-CN"/>
        </w:rPr>
        <w:t>视为未响应</w:t>
      </w:r>
      <w:r>
        <w:rPr>
          <w:rFonts w:hint="eastAsia" w:ascii="仿宋" w:hAnsi="仿宋" w:eastAsia="仿宋" w:cs="仿宋"/>
          <w:color w:val="auto"/>
          <w:sz w:val="24"/>
          <w:highlight w:val="none"/>
          <w:lang w:val="en-US" w:eastAsia="zh-CN"/>
        </w:rPr>
        <w:t>。</w:t>
      </w:r>
    </w:p>
    <w:p w14:paraId="4B72F25A">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开标一览表为在开标</w:t>
      </w:r>
      <w:r>
        <w:rPr>
          <w:rFonts w:hint="eastAsia" w:ascii="仿宋" w:hAnsi="仿宋" w:eastAsia="仿宋" w:cs="仿宋"/>
          <w:color w:val="auto"/>
          <w:sz w:val="24"/>
          <w:highlight w:val="none"/>
          <w:lang w:val="en-US" w:eastAsia="zh-CN"/>
        </w:rPr>
        <w:t>时</w:t>
      </w:r>
      <w:r>
        <w:rPr>
          <w:rFonts w:hint="eastAsia" w:ascii="仿宋" w:hAnsi="仿宋" w:eastAsia="仿宋" w:cs="仿宋"/>
          <w:color w:val="auto"/>
          <w:sz w:val="24"/>
          <w:highlight w:val="none"/>
        </w:rPr>
        <w:t>唱标的内容，要求按格式统一填写，不得自行增减内容。</w:t>
      </w:r>
    </w:p>
    <w:p w14:paraId="499D7059">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仿宋" w:hAnsi="仿宋" w:eastAsia="仿宋" w:cs="仿宋"/>
          <w:color w:val="auto"/>
          <w:sz w:val="24"/>
          <w:highlight w:val="none"/>
          <w:lang w:val="en-US" w:eastAsia="zh-CN"/>
        </w:rPr>
        <w:t>按</w:t>
      </w:r>
      <w:r>
        <w:rPr>
          <w:rFonts w:hint="eastAsia" w:ascii="仿宋" w:hAnsi="仿宋" w:eastAsia="仿宋" w:cs="仿宋"/>
          <w:b/>
          <w:bCs/>
          <w:color w:val="auto"/>
          <w:sz w:val="24"/>
          <w:highlight w:val="none"/>
          <w:lang w:val="en-US" w:eastAsia="zh-CN"/>
        </w:rPr>
        <w:t>无效投标</w:t>
      </w:r>
      <w:r>
        <w:rPr>
          <w:rFonts w:hint="eastAsia" w:ascii="仿宋" w:hAnsi="仿宋" w:eastAsia="仿宋" w:cs="仿宋"/>
          <w:color w:val="auto"/>
          <w:sz w:val="24"/>
          <w:highlight w:val="none"/>
        </w:rPr>
        <w:t>处理。</w:t>
      </w:r>
    </w:p>
    <w:p w14:paraId="7DBECB06">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投标人必须保证投标文件所提供的全部资料真实可靠，并接受采购</w:t>
      </w:r>
      <w:r>
        <w:rPr>
          <w:rFonts w:hint="eastAsia" w:ascii="仿宋" w:hAnsi="仿宋" w:eastAsia="仿宋" w:cs="仿宋"/>
          <w:color w:val="auto"/>
          <w:sz w:val="24"/>
          <w:highlight w:val="none"/>
          <w:lang w:val="en-US" w:eastAsia="zh-CN"/>
        </w:rPr>
        <w:t>人、采购</w:t>
      </w:r>
      <w:r>
        <w:rPr>
          <w:rFonts w:hint="eastAsia" w:ascii="仿宋" w:hAnsi="仿宋" w:eastAsia="仿宋" w:cs="仿宋"/>
          <w:color w:val="auto"/>
          <w:sz w:val="24"/>
          <w:highlight w:val="none"/>
        </w:rPr>
        <w:t>代理机构或评标委员会对其中任何资料进一步审查的要求。</w:t>
      </w:r>
    </w:p>
    <w:p w14:paraId="7AE3718F">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仿宋" w:hAnsi="仿宋" w:eastAsia="仿宋" w:cs="仿宋"/>
          <w:b/>
          <w:bCs/>
          <w:color w:val="auto"/>
          <w:sz w:val="24"/>
          <w:highlight w:val="none"/>
        </w:rPr>
        <w:t>无效投标</w:t>
      </w:r>
      <w:r>
        <w:rPr>
          <w:rFonts w:hint="eastAsia" w:ascii="仿宋" w:hAnsi="仿宋" w:eastAsia="仿宋" w:cs="仿宋"/>
          <w:color w:val="auto"/>
          <w:sz w:val="24"/>
          <w:highlight w:val="none"/>
        </w:rPr>
        <w:t>处理。</w:t>
      </w:r>
    </w:p>
    <w:p w14:paraId="323B93DE">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16.10电子投标文件的编制</w:t>
      </w:r>
    </w:p>
    <w:p w14:paraId="072DFFA4">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仿宋" w:hAnsi="仿宋" w:eastAsia="仿宋" w:cs="仿宋"/>
          <w:b/>
          <w:bCs/>
          <w:iCs/>
          <w:color w:val="auto"/>
          <w:kern w:val="2"/>
          <w:sz w:val="24"/>
          <w:szCs w:val="22"/>
          <w:highlight w:val="none"/>
          <w:shd w:val="clear" w:color="auto" w:fill="FFFFFF" w:themeFill="background1"/>
          <w:lang w:val="en-US" w:eastAsia="zh-CN" w:bidi="ar-SA"/>
        </w:rPr>
        <w:t>其投标无效</w:t>
      </w: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仿宋" w:hAnsi="仿宋" w:eastAsia="仿宋" w:cs="仿宋"/>
          <w:b/>
          <w:bCs/>
          <w:color w:val="auto"/>
          <w:kern w:val="2"/>
          <w:sz w:val="24"/>
          <w:szCs w:val="32"/>
          <w:highlight w:val="none"/>
          <w:lang w:val="en-US" w:eastAsia="zh-CN" w:bidi="ar-SA"/>
        </w:rPr>
      </w:pPr>
      <w:bookmarkStart w:id="198" w:name="_Toc155185873"/>
      <w:bookmarkStart w:id="199" w:name="_Toc163492842"/>
      <w:r>
        <w:rPr>
          <w:rFonts w:hint="eastAsia" w:ascii="仿宋" w:hAnsi="仿宋" w:eastAsia="仿宋" w:cs="仿宋"/>
          <w:b/>
          <w:bCs/>
          <w:color w:val="auto"/>
          <w:kern w:val="2"/>
          <w:sz w:val="24"/>
          <w:szCs w:val="32"/>
          <w:highlight w:val="none"/>
          <w:lang w:val="en-US" w:eastAsia="zh-CN" w:bidi="ar-SA"/>
        </w:rPr>
        <w:t>（四）投标</w:t>
      </w:r>
      <w:bookmarkEnd w:id="198"/>
      <w:bookmarkEnd w:id="199"/>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00" w:name="_Toc163492843"/>
      <w:r>
        <w:rPr>
          <w:rFonts w:hint="eastAsia" w:ascii="仿宋" w:hAnsi="仿宋" w:eastAsia="仿宋" w:cs="仿宋"/>
          <w:b/>
          <w:bCs/>
          <w:color w:val="auto"/>
          <w:kern w:val="2"/>
          <w:sz w:val="24"/>
          <w:szCs w:val="28"/>
          <w:highlight w:val="none"/>
          <w:lang w:val="en-US" w:eastAsia="zh-CN" w:bidi="ar-SA"/>
        </w:rPr>
        <w:t>17.投标保证金</w:t>
      </w:r>
    </w:p>
    <w:p w14:paraId="1182B9BB">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投标人须知前附表”规定的金额及要求提交投标保证金。投标人自愿超额缴纳投标保证金的，投标文件不作无效处理。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17.2提交投标保证金可采用的形式：政府采购法律法规接受的支票、汇票、本票、网上银行支付或者金融机构、担保机构出具的保函等非现金形式。</w:t>
      </w:r>
      <w:r>
        <w:rPr>
          <w:rFonts w:hint="eastAsia" w:ascii="仿宋" w:hAnsi="仿宋" w:eastAsia="仿宋" w:cs="仿宋"/>
          <w:color w:val="auto"/>
          <w:kern w:val="2"/>
          <w:sz w:val="24"/>
          <w:szCs w:val="22"/>
          <w:highlight w:val="none"/>
          <w:lang w:val="en-US" w:eastAsia="zh-CN" w:bidi="ar-SA"/>
        </w:rPr>
        <w:t>投标人未按照招标文件要求提交投标保证金的，其</w:t>
      </w:r>
      <w:r>
        <w:rPr>
          <w:rFonts w:hint="eastAsia" w:ascii="仿宋" w:hAnsi="仿宋" w:eastAsia="仿宋" w:cs="仿宋"/>
          <w:b/>
          <w:bCs/>
          <w:color w:val="auto"/>
          <w:kern w:val="2"/>
          <w:sz w:val="24"/>
          <w:szCs w:val="22"/>
          <w:highlight w:val="none"/>
          <w:lang w:val="en-US" w:eastAsia="zh-CN" w:bidi="ar-SA"/>
        </w:rPr>
        <w:t>投标无效</w:t>
      </w:r>
      <w:r>
        <w:rPr>
          <w:rFonts w:hint="eastAsia" w:ascii="仿宋" w:hAnsi="仿宋" w:eastAsia="仿宋" w:cs="仿宋"/>
          <w:color w:val="auto"/>
          <w:kern w:val="2"/>
          <w:sz w:val="24"/>
          <w:szCs w:val="22"/>
          <w:highlight w:val="none"/>
          <w:lang w:val="en-US" w:eastAsia="zh-CN" w:bidi="ar-SA"/>
        </w:rPr>
        <w:t>。</w:t>
      </w:r>
      <w:r>
        <w:rPr>
          <w:rFonts w:hint="eastAsia" w:ascii="仿宋" w:hAnsi="仿宋" w:eastAsia="仿宋" w:cs="仿宋"/>
          <w:color w:val="auto"/>
          <w:sz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kern w:val="2"/>
          <w:sz w:val="24"/>
          <w:szCs w:val="22"/>
          <w:highlight w:val="none"/>
          <w:lang w:val="en-US" w:eastAsia="zh-CN"/>
        </w:rPr>
      </w:pPr>
      <w:r>
        <w:rPr>
          <w:rFonts w:hint="eastAsia" w:ascii="仿宋" w:hAnsi="仿宋" w:eastAsia="仿宋" w:cs="仿宋"/>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仿宋" w:hAnsi="仿宋" w:eastAsia="仿宋" w:cs="仿宋"/>
          <w:b/>
          <w:bCs/>
          <w:color w:val="auto"/>
          <w:kern w:val="2"/>
          <w:sz w:val="24"/>
          <w:szCs w:val="22"/>
          <w:highlight w:val="none"/>
          <w:lang w:val="en-US" w:eastAsia="zh-CN"/>
        </w:rPr>
        <w:t>投标无效</w:t>
      </w:r>
      <w:r>
        <w:rPr>
          <w:rFonts w:hint="eastAsia" w:ascii="仿宋" w:hAnsi="仿宋" w:eastAsia="仿宋" w:cs="仿宋"/>
          <w:color w:val="auto"/>
          <w:kern w:val="2"/>
          <w:sz w:val="24"/>
          <w:szCs w:val="22"/>
          <w:highlight w:val="none"/>
          <w:lang w:val="en-US" w:eastAsia="zh-CN"/>
        </w:rPr>
        <w:t>。</w:t>
      </w:r>
    </w:p>
    <w:p w14:paraId="3BAA958D">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17.4 投标人为联合体的，可以由联合体中的一方或者多方共同提交投标保证金，其提交的投标保证金对联合体各方均具有约束力。</w:t>
      </w:r>
    </w:p>
    <w:p w14:paraId="27BA1101">
      <w:pPr>
        <w:pStyle w:val="54"/>
        <w:keepNext w:val="0"/>
        <w:keepLines w:val="0"/>
        <w:pageBreakBefore w:val="0"/>
        <w:widowControl w:val="0"/>
        <w:shd w:val="clear" w:color="auto" w:fill="auto"/>
        <w:kinsoku/>
        <w:wordWrap/>
        <w:overflowPunct/>
        <w:topLinePunct w:val="0"/>
        <w:autoSpaceDE/>
        <w:autoSpaceDN/>
        <w:bidi w:val="0"/>
        <w:adjustRightInd/>
        <w:spacing w:line="360" w:lineRule="auto"/>
        <w:jc w:val="both"/>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6CFB121F">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17.6 投标人在投标截止时间前撤回已提交的投标文件的，自收到投标人书面撤回通知之日起 5 个工作日内，退还已收取的投标保证金，但因投标人自身原因导致无法及时退还的除外。 </w:t>
      </w:r>
    </w:p>
    <w:p w14:paraId="28156F6E">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17.7 终止招标项目已经收取投标保证金的，自终止采购活动后 5 个工作日内退还已收取的投标保证金及其在银行产生的孳息。</w:t>
      </w:r>
    </w:p>
    <w:p w14:paraId="0B6A028F">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17.8 有下列情形之一的，采购人或采购代理机构可以不予退还投标保证金，</w:t>
      </w:r>
      <w:r>
        <w:rPr>
          <w:rFonts w:hint="eastAsia" w:ascii="仿宋" w:hAnsi="仿宋" w:eastAsia="仿宋" w:cs="仿宋"/>
          <w:color w:val="auto"/>
          <w:kern w:val="2"/>
          <w:sz w:val="24"/>
          <w:szCs w:val="22"/>
          <w:highlight w:val="none"/>
        </w:rPr>
        <w:t>情节严重的将其列入不良记录名单</w:t>
      </w: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 </w:t>
      </w:r>
    </w:p>
    <w:p w14:paraId="02F7ADEB">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17.8.1 </w:t>
      </w:r>
      <w:r>
        <w:rPr>
          <w:rFonts w:hint="eastAsia" w:ascii="仿宋" w:hAnsi="仿宋" w:eastAsia="仿宋" w:cs="仿宋"/>
          <w:color w:val="auto"/>
          <w:kern w:val="2"/>
          <w:sz w:val="24"/>
          <w:szCs w:val="22"/>
          <w:highlight w:val="none"/>
        </w:rPr>
        <w:t>开标后在投标有效期内，投标人撤</w:t>
      </w:r>
      <w:r>
        <w:rPr>
          <w:rFonts w:hint="eastAsia" w:ascii="仿宋" w:hAnsi="仿宋" w:eastAsia="仿宋" w:cs="仿宋"/>
          <w:color w:val="auto"/>
          <w:kern w:val="2"/>
          <w:sz w:val="24"/>
          <w:szCs w:val="22"/>
          <w:highlight w:val="none"/>
          <w:lang w:val="en-US" w:eastAsia="zh-CN"/>
        </w:rPr>
        <w:t>销</w:t>
      </w:r>
      <w:r>
        <w:rPr>
          <w:rFonts w:hint="eastAsia" w:ascii="仿宋" w:hAnsi="仿宋" w:eastAsia="仿宋" w:cs="仿宋"/>
          <w:color w:val="auto"/>
          <w:kern w:val="2"/>
          <w:sz w:val="24"/>
          <w:szCs w:val="22"/>
          <w:highlight w:val="none"/>
        </w:rPr>
        <w:t>其投标</w:t>
      </w:r>
      <w:r>
        <w:rPr>
          <w:rFonts w:hint="eastAsia" w:ascii="仿宋" w:hAnsi="仿宋" w:eastAsia="仿宋" w:cs="仿宋"/>
          <w:color w:val="auto"/>
          <w:kern w:val="2"/>
          <w:sz w:val="24"/>
          <w:szCs w:val="22"/>
          <w:highlight w:val="none"/>
          <w:lang w:val="en-US" w:eastAsia="zh-CN"/>
        </w:rPr>
        <w:t>的</w:t>
      </w:r>
      <w:r>
        <w:rPr>
          <w:rFonts w:hint="eastAsia" w:ascii="仿宋" w:hAnsi="仿宋" w:eastAsia="仿宋" w:cs="仿宋"/>
          <w:color w:val="auto"/>
          <w:kern w:val="2"/>
          <w:sz w:val="24"/>
          <w:szCs w:val="22"/>
          <w:highlight w:val="none"/>
        </w:rPr>
        <w:t>；</w:t>
      </w: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 </w:t>
      </w:r>
    </w:p>
    <w:p w14:paraId="36FC9D74">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17.8.2 </w:t>
      </w:r>
      <w:r>
        <w:rPr>
          <w:rFonts w:hint="eastAsia" w:ascii="仿宋" w:hAnsi="仿宋" w:eastAsia="仿宋" w:cs="仿宋"/>
          <w:color w:val="auto"/>
          <w:kern w:val="2"/>
          <w:sz w:val="24"/>
          <w:szCs w:val="22"/>
          <w:highlight w:val="none"/>
        </w:rPr>
        <w:t>中标后无正当理由不与采购人签订合同的；</w:t>
      </w:r>
    </w:p>
    <w:p w14:paraId="3694295C">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color w:val="auto"/>
          <w:kern w:val="2"/>
          <w:sz w:val="24"/>
          <w:szCs w:val="22"/>
          <w:highlight w:val="none"/>
        </w:rPr>
      </w:pP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17.8.3 </w:t>
      </w:r>
      <w:r>
        <w:rPr>
          <w:rFonts w:hint="eastAsia" w:ascii="仿宋" w:hAnsi="仿宋" w:eastAsia="仿宋" w:cs="仿宋"/>
          <w:color w:val="auto"/>
          <w:kern w:val="2"/>
          <w:sz w:val="24"/>
          <w:szCs w:val="22"/>
          <w:highlight w:val="none"/>
        </w:rPr>
        <w:t>中标人与采购人订立背离合同实质性内容的其他协议；</w:t>
      </w:r>
    </w:p>
    <w:p w14:paraId="54583F23">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color w:val="auto"/>
          <w:kern w:val="2"/>
          <w:sz w:val="24"/>
          <w:szCs w:val="22"/>
          <w:highlight w:val="none"/>
        </w:rPr>
      </w:pPr>
      <w:r>
        <w:rPr>
          <w:rFonts w:hint="eastAsia" w:ascii="仿宋" w:hAnsi="仿宋" w:eastAsia="仿宋" w:cs="仿宋"/>
          <w:iCs/>
          <w:color w:val="auto"/>
          <w:kern w:val="2"/>
          <w:sz w:val="24"/>
          <w:szCs w:val="22"/>
          <w:highlight w:val="none"/>
          <w:shd w:val="clear" w:color="auto" w:fill="FFFFFF" w:themeFill="background1"/>
          <w:lang w:val="en-US" w:eastAsia="zh-CN" w:bidi="ar-SA"/>
        </w:rPr>
        <w:t>17.8.</w:t>
      </w:r>
      <w:r>
        <w:rPr>
          <w:rFonts w:hint="eastAsia" w:ascii="仿宋" w:hAnsi="仿宋" w:eastAsia="仿宋" w:cs="仿宋"/>
          <w:color w:val="auto"/>
          <w:kern w:val="2"/>
          <w:sz w:val="24"/>
          <w:szCs w:val="22"/>
          <w:highlight w:val="none"/>
        </w:rPr>
        <w:t>4</w:t>
      </w:r>
      <w:r>
        <w:rPr>
          <w:rFonts w:hint="eastAsia" w:ascii="仿宋" w:hAnsi="仿宋" w:eastAsia="仿宋" w:cs="仿宋"/>
          <w:color w:val="auto"/>
          <w:kern w:val="2"/>
          <w:sz w:val="24"/>
          <w:szCs w:val="22"/>
          <w:highlight w:val="none"/>
          <w:lang w:val="en-US" w:eastAsia="zh-CN"/>
        </w:rPr>
        <w:t xml:space="preserve"> </w:t>
      </w:r>
      <w:r>
        <w:rPr>
          <w:rFonts w:hint="eastAsia" w:ascii="仿宋" w:hAnsi="仿宋" w:eastAsia="仿宋" w:cs="仿宋"/>
          <w:color w:val="auto"/>
          <w:kern w:val="2"/>
          <w:sz w:val="24"/>
          <w:szCs w:val="22"/>
          <w:highlight w:val="none"/>
        </w:rPr>
        <w:t>将中标项目转让给他人，或者在投标文件中未说明，且未经采购</w:t>
      </w:r>
      <w:r>
        <w:rPr>
          <w:rFonts w:hint="eastAsia" w:ascii="仿宋" w:hAnsi="仿宋" w:eastAsia="仿宋" w:cs="仿宋"/>
          <w:color w:val="auto"/>
          <w:kern w:val="2"/>
          <w:sz w:val="24"/>
          <w:szCs w:val="22"/>
          <w:highlight w:val="none"/>
          <w:lang w:val="en-US" w:eastAsia="zh-CN"/>
        </w:rPr>
        <w:t>人</w:t>
      </w:r>
      <w:r>
        <w:rPr>
          <w:rFonts w:hint="eastAsia" w:ascii="仿宋" w:hAnsi="仿宋" w:eastAsia="仿宋" w:cs="仿宋"/>
          <w:color w:val="auto"/>
          <w:kern w:val="2"/>
          <w:sz w:val="24"/>
          <w:szCs w:val="22"/>
          <w:highlight w:val="none"/>
        </w:rPr>
        <w:t>同意，将中标项目分包给他人的；</w:t>
      </w:r>
    </w:p>
    <w:p w14:paraId="433DB211">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color w:val="auto"/>
          <w:kern w:val="2"/>
          <w:sz w:val="24"/>
          <w:szCs w:val="22"/>
          <w:highlight w:val="none"/>
        </w:rPr>
      </w:pPr>
      <w:r>
        <w:rPr>
          <w:rFonts w:hint="eastAsia" w:ascii="仿宋" w:hAnsi="仿宋" w:eastAsia="仿宋" w:cs="仿宋"/>
          <w:iCs/>
          <w:color w:val="auto"/>
          <w:kern w:val="2"/>
          <w:sz w:val="24"/>
          <w:szCs w:val="22"/>
          <w:highlight w:val="none"/>
          <w:shd w:val="clear" w:color="auto" w:fill="FFFFFF" w:themeFill="background1"/>
          <w:lang w:val="en-US" w:eastAsia="zh-CN" w:bidi="ar-SA"/>
        </w:rPr>
        <w:t>17.8.</w:t>
      </w:r>
      <w:r>
        <w:rPr>
          <w:rFonts w:hint="eastAsia" w:ascii="仿宋" w:hAnsi="仿宋" w:eastAsia="仿宋" w:cs="仿宋"/>
          <w:color w:val="auto"/>
          <w:kern w:val="2"/>
          <w:sz w:val="24"/>
          <w:szCs w:val="22"/>
          <w:highlight w:val="none"/>
        </w:rPr>
        <w:t>5</w:t>
      </w:r>
      <w:r>
        <w:rPr>
          <w:rFonts w:hint="eastAsia" w:ascii="仿宋" w:hAnsi="仿宋" w:eastAsia="仿宋" w:cs="仿宋"/>
          <w:color w:val="auto"/>
          <w:kern w:val="2"/>
          <w:sz w:val="24"/>
          <w:szCs w:val="22"/>
          <w:highlight w:val="none"/>
          <w:lang w:val="en-US" w:eastAsia="zh-CN"/>
        </w:rPr>
        <w:t xml:space="preserve"> </w:t>
      </w:r>
      <w:r>
        <w:rPr>
          <w:rFonts w:hint="eastAsia" w:ascii="仿宋" w:hAnsi="仿宋" w:eastAsia="仿宋" w:cs="仿宋"/>
          <w:color w:val="auto"/>
          <w:kern w:val="2"/>
          <w:sz w:val="24"/>
          <w:szCs w:val="22"/>
          <w:highlight w:val="none"/>
        </w:rPr>
        <w:t>存在串通投标行为的；</w:t>
      </w:r>
    </w:p>
    <w:p w14:paraId="0A3E2CC4">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color w:val="auto"/>
          <w:kern w:val="2"/>
          <w:sz w:val="24"/>
          <w:szCs w:val="22"/>
          <w:highlight w:val="none"/>
        </w:rPr>
      </w:pPr>
      <w:r>
        <w:rPr>
          <w:rFonts w:hint="eastAsia" w:ascii="仿宋" w:hAnsi="仿宋" w:eastAsia="仿宋" w:cs="仿宋"/>
          <w:iCs/>
          <w:color w:val="auto"/>
          <w:kern w:val="2"/>
          <w:sz w:val="24"/>
          <w:szCs w:val="22"/>
          <w:highlight w:val="none"/>
          <w:shd w:val="clear" w:color="auto" w:fill="FFFFFF" w:themeFill="background1"/>
          <w:lang w:val="en-US" w:eastAsia="zh-CN" w:bidi="ar-SA"/>
        </w:rPr>
        <w:t>17.8.</w:t>
      </w:r>
      <w:r>
        <w:rPr>
          <w:rFonts w:hint="eastAsia" w:ascii="仿宋" w:hAnsi="仿宋" w:eastAsia="仿宋" w:cs="仿宋"/>
          <w:color w:val="auto"/>
          <w:kern w:val="2"/>
          <w:sz w:val="24"/>
          <w:szCs w:val="22"/>
          <w:highlight w:val="none"/>
        </w:rPr>
        <w:t>6</w:t>
      </w:r>
      <w:r>
        <w:rPr>
          <w:rFonts w:hint="eastAsia" w:ascii="仿宋" w:hAnsi="仿宋" w:eastAsia="仿宋" w:cs="仿宋"/>
          <w:color w:val="auto"/>
          <w:kern w:val="2"/>
          <w:sz w:val="24"/>
          <w:szCs w:val="22"/>
          <w:highlight w:val="none"/>
          <w:lang w:val="en-US" w:eastAsia="zh-CN"/>
        </w:rPr>
        <w:t xml:space="preserve"> </w:t>
      </w:r>
      <w:r>
        <w:rPr>
          <w:rFonts w:hint="eastAsia" w:ascii="仿宋" w:hAnsi="仿宋" w:eastAsia="仿宋" w:cs="仿宋"/>
          <w:color w:val="auto"/>
          <w:kern w:val="2"/>
          <w:sz w:val="24"/>
          <w:szCs w:val="22"/>
          <w:highlight w:val="none"/>
        </w:rPr>
        <w:t>存在弄虚作假或提供虚假材料谋取中标的；</w:t>
      </w:r>
    </w:p>
    <w:p w14:paraId="3CBF915F">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color w:val="auto"/>
          <w:kern w:val="2"/>
          <w:sz w:val="24"/>
          <w:szCs w:val="22"/>
          <w:highlight w:val="none"/>
        </w:rPr>
      </w:pPr>
      <w:r>
        <w:rPr>
          <w:rFonts w:hint="eastAsia" w:ascii="仿宋" w:hAnsi="仿宋" w:eastAsia="仿宋" w:cs="仿宋"/>
          <w:iCs/>
          <w:color w:val="auto"/>
          <w:kern w:val="2"/>
          <w:sz w:val="24"/>
          <w:szCs w:val="22"/>
          <w:highlight w:val="none"/>
          <w:shd w:val="clear" w:color="auto" w:fill="FFFFFF" w:themeFill="background1"/>
          <w:lang w:val="en-US" w:eastAsia="zh-CN" w:bidi="ar-SA"/>
        </w:rPr>
        <w:t>17.8.</w:t>
      </w:r>
      <w:r>
        <w:rPr>
          <w:rFonts w:hint="eastAsia" w:ascii="仿宋" w:hAnsi="仿宋" w:eastAsia="仿宋" w:cs="仿宋"/>
          <w:color w:val="auto"/>
          <w:kern w:val="2"/>
          <w:sz w:val="24"/>
          <w:szCs w:val="22"/>
          <w:highlight w:val="none"/>
        </w:rPr>
        <w:t>7</w:t>
      </w:r>
      <w:r>
        <w:rPr>
          <w:rFonts w:hint="eastAsia" w:ascii="仿宋" w:hAnsi="仿宋" w:eastAsia="仿宋" w:cs="仿宋"/>
          <w:color w:val="auto"/>
          <w:kern w:val="2"/>
          <w:sz w:val="24"/>
          <w:szCs w:val="22"/>
          <w:highlight w:val="none"/>
          <w:lang w:val="en-US" w:eastAsia="zh-CN"/>
        </w:rPr>
        <w:t xml:space="preserve"> </w:t>
      </w:r>
      <w:r>
        <w:rPr>
          <w:rFonts w:hint="eastAsia" w:ascii="仿宋" w:hAnsi="仿宋" w:eastAsia="仿宋" w:cs="仿宋"/>
          <w:color w:val="auto"/>
          <w:kern w:val="2"/>
          <w:sz w:val="24"/>
          <w:szCs w:val="22"/>
          <w:highlight w:val="none"/>
        </w:rPr>
        <w:t>投标人其他未按招标文件规定和合同约定履行义务的行为。</w:t>
      </w:r>
    </w:p>
    <w:p w14:paraId="330E240F">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兵团政府采购网”—顶部通栏“信用融资”或者“兵团政府采购网”首页“政采贷｜电子保函”快捷模块查看：</w:t>
      </w:r>
    </w:p>
    <w:p w14:paraId="1F3A8C5E">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直达链接（电子保函）：</w:t>
      </w:r>
    </w:p>
    <w:p w14:paraId="15E30E92">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金融服务支撑热线：</w:t>
      </w:r>
      <w:r>
        <w:rPr>
          <w:rFonts w:hint="eastAsia" w:ascii="仿宋" w:hAnsi="仿宋" w:eastAsia="仿宋" w:cs="仿宋"/>
          <w:b/>
          <w:bCs/>
          <w:iCs/>
          <w:color w:val="auto"/>
          <w:kern w:val="2"/>
          <w:sz w:val="24"/>
          <w:szCs w:val="22"/>
          <w:highlight w:val="none"/>
          <w:shd w:val="clear" w:color="auto" w:fill="FFFFFF" w:themeFill="background1"/>
          <w:lang w:val="en-US" w:eastAsia="zh-CN" w:bidi="ar-SA"/>
        </w:rPr>
        <w:t>95763</w:t>
      </w: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18.投标文件的加密</w:t>
      </w:r>
      <w:bookmarkEnd w:id="200"/>
    </w:p>
    <w:p w14:paraId="7CFFC07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u w:val="single"/>
        </w:rPr>
      </w:pPr>
      <w:bookmarkStart w:id="201" w:name="_Hlk143531864"/>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.1投标人在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客户端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中生成投标文件并完成签章之后，使用CA证书在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客户端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.2投标人应在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客户端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递交截</w:t>
      </w:r>
      <w:r>
        <w:rPr>
          <w:rFonts w:hint="eastAsia" w:ascii="仿宋" w:hAnsi="仿宋" w:eastAsia="仿宋" w:cs="仿宋"/>
          <w:color w:val="auto"/>
          <w:sz w:val="24"/>
          <w:szCs w:val="24"/>
          <w:highlight w:val="none"/>
          <w:lang w:val="en-US" w:eastAsia="zh-CN"/>
        </w:rPr>
        <w:t>止</w:t>
      </w:r>
      <w:r>
        <w:rPr>
          <w:rFonts w:hint="eastAsia" w:ascii="仿宋" w:hAnsi="仿宋" w:eastAsia="仿宋" w:cs="仿宋"/>
          <w:color w:val="auto"/>
          <w:sz w:val="24"/>
          <w:szCs w:val="24"/>
          <w:highlight w:val="none"/>
        </w:rPr>
        <w:t>时间前通过</w:t>
      </w:r>
      <w:r>
        <w:rPr>
          <w:rFonts w:hint="eastAsia" w:ascii="仿宋" w:hAnsi="仿宋" w:eastAsia="仿宋" w:cs="仿宋"/>
          <w:color w:val="auto"/>
          <w:sz w:val="24"/>
          <w:szCs w:val="24"/>
          <w:highlight w:val="none"/>
          <w:lang w:val="en-US" w:eastAsia="zh-CN"/>
        </w:rPr>
        <w:t>兵团</w:t>
      </w:r>
      <w:r>
        <w:rPr>
          <w:rFonts w:hint="eastAsia" w:ascii="仿宋" w:hAnsi="仿宋" w:eastAsia="仿宋" w:cs="仿宋"/>
          <w:color w:val="auto"/>
          <w:sz w:val="24"/>
          <w:szCs w:val="24"/>
          <w:highlight w:val="none"/>
        </w:rPr>
        <w:t>政府采购网（http://ccgp-bingtuan.gov.cn/）的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政采云登录入口”登录后，将加密电子</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（为.jmbs后缀格式）上传到对应项目的指定位置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如果投标人未按上述要求</w:t>
      </w:r>
      <w:r>
        <w:rPr>
          <w:rFonts w:hint="eastAsia" w:ascii="仿宋" w:hAnsi="仿宋" w:eastAsia="仿宋" w:cs="仿宋"/>
          <w:color w:val="auto"/>
          <w:sz w:val="24"/>
          <w:szCs w:val="24"/>
          <w:highlight w:val="none"/>
          <w:lang w:val="en-US" w:eastAsia="zh-CN"/>
        </w:rPr>
        <w:t>加密并上传</w:t>
      </w:r>
      <w:r>
        <w:rPr>
          <w:rFonts w:hint="eastAsia" w:ascii="仿宋" w:hAnsi="仿宋" w:eastAsia="仿宋" w:cs="仿宋"/>
          <w:color w:val="auto"/>
          <w:sz w:val="24"/>
          <w:szCs w:val="24"/>
          <w:highlight w:val="none"/>
        </w:rPr>
        <w:t>，采购代理机构对投标文件的误投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无法解密、传输错误等问题</w:t>
      </w:r>
      <w:r>
        <w:rPr>
          <w:rFonts w:hint="eastAsia" w:ascii="仿宋" w:hAnsi="仿宋" w:eastAsia="仿宋" w:cs="仿宋"/>
          <w:color w:val="auto"/>
          <w:sz w:val="24"/>
          <w:szCs w:val="24"/>
          <w:highlight w:val="none"/>
        </w:rPr>
        <w:t>概不负责。对由此造成</w:t>
      </w:r>
      <w:r>
        <w:rPr>
          <w:rFonts w:hint="eastAsia" w:ascii="仿宋" w:hAnsi="仿宋" w:eastAsia="仿宋" w:cs="仿宋"/>
          <w:color w:val="auto"/>
          <w:sz w:val="24"/>
          <w:szCs w:val="24"/>
          <w:highlight w:val="none"/>
          <w:lang w:val="en-US" w:eastAsia="zh-CN"/>
        </w:rPr>
        <w:t>无法正常开启</w:t>
      </w:r>
      <w:r>
        <w:rPr>
          <w:rFonts w:hint="eastAsia" w:ascii="仿宋" w:hAnsi="仿宋" w:eastAsia="仿宋" w:cs="仿宋"/>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本项目采用不见面开标，无需提供电子投标文件U盘。</w:t>
      </w:r>
    </w:p>
    <w:bookmarkEnd w:id="201"/>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02" w:name="_Toc140132777"/>
      <w:bookmarkStart w:id="203" w:name="_Toc163492844"/>
      <w:r>
        <w:rPr>
          <w:rFonts w:hint="eastAsia" w:ascii="仿宋" w:hAnsi="仿宋" w:eastAsia="仿宋" w:cs="仿宋"/>
          <w:b/>
          <w:bCs/>
          <w:color w:val="auto"/>
          <w:kern w:val="2"/>
          <w:sz w:val="24"/>
          <w:szCs w:val="28"/>
          <w:highlight w:val="none"/>
          <w:lang w:val="en-US" w:eastAsia="zh-CN" w:bidi="ar-SA"/>
        </w:rPr>
        <w:t>19.投标文件的递交</w:t>
      </w:r>
      <w:bookmarkEnd w:id="202"/>
      <w:r>
        <w:rPr>
          <w:rFonts w:hint="eastAsia" w:ascii="仿宋" w:hAnsi="仿宋" w:eastAsia="仿宋" w:cs="仿宋"/>
          <w:b/>
          <w:bCs/>
          <w:color w:val="auto"/>
          <w:kern w:val="2"/>
          <w:sz w:val="24"/>
          <w:szCs w:val="28"/>
          <w:highlight w:val="none"/>
          <w:lang w:val="en-US" w:eastAsia="zh-CN" w:bidi="ar-SA"/>
        </w:rPr>
        <w:t>（上传）</w:t>
      </w:r>
      <w:bookmarkEnd w:id="203"/>
    </w:p>
    <w:p w14:paraId="68ADD5D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bookmarkStart w:id="204" w:name="_Hlk143531977"/>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.1 投标人应在“</w:t>
      </w:r>
      <w:r>
        <w:rPr>
          <w:rFonts w:hint="eastAsia" w:ascii="仿宋" w:hAnsi="仿宋" w:eastAsia="仿宋" w:cs="仿宋"/>
          <w:color w:val="auto"/>
          <w:sz w:val="24"/>
          <w:szCs w:val="24"/>
          <w:highlight w:val="none"/>
          <w:lang w:val="en-US" w:eastAsia="zh-CN"/>
        </w:rPr>
        <w:t xml:space="preserve">第一章 </w:t>
      </w:r>
      <w:r>
        <w:rPr>
          <w:rFonts w:hint="eastAsia" w:ascii="仿宋" w:hAnsi="仿宋" w:eastAsia="仿宋" w:cs="仿宋"/>
          <w:color w:val="auto"/>
          <w:sz w:val="24"/>
          <w:highlight w:val="none"/>
          <w:lang w:val="en-US" w:eastAsia="zh-CN"/>
        </w:rPr>
        <w:t>招标公告</w:t>
      </w:r>
      <w:r>
        <w:rPr>
          <w:rFonts w:hint="eastAsia" w:ascii="仿宋" w:hAnsi="仿宋" w:eastAsia="仿宋" w:cs="仿宋"/>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.2 投标人递交（上传）投标文件的地点见“</w:t>
      </w:r>
      <w:r>
        <w:rPr>
          <w:rFonts w:hint="eastAsia" w:ascii="仿宋" w:hAnsi="仿宋" w:eastAsia="仿宋" w:cs="仿宋"/>
          <w:color w:val="auto"/>
          <w:sz w:val="24"/>
          <w:szCs w:val="24"/>
          <w:highlight w:val="none"/>
          <w:lang w:val="en-US" w:eastAsia="zh-CN"/>
        </w:rPr>
        <w:t xml:space="preserve">第一章 </w:t>
      </w:r>
      <w:r>
        <w:rPr>
          <w:rFonts w:hint="eastAsia" w:ascii="仿宋" w:hAnsi="仿宋" w:eastAsia="仿宋" w:cs="仿宋"/>
          <w:color w:val="auto"/>
          <w:sz w:val="24"/>
          <w:highlight w:val="none"/>
          <w:lang w:val="en-US" w:eastAsia="zh-CN"/>
        </w:rPr>
        <w:t>招标公告</w:t>
      </w:r>
      <w:r>
        <w:rPr>
          <w:rFonts w:hint="eastAsia" w:ascii="仿宋" w:hAnsi="仿宋" w:eastAsia="仿宋" w:cs="仿宋"/>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.4 投标人应在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客户端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.5投标人所递交的投标文件不予退还。</w:t>
      </w:r>
    </w:p>
    <w:bookmarkEnd w:id="204"/>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05" w:name="_Toc163492845"/>
      <w:r>
        <w:rPr>
          <w:rFonts w:hint="eastAsia" w:ascii="仿宋" w:hAnsi="仿宋" w:eastAsia="仿宋" w:cs="仿宋"/>
          <w:b/>
          <w:bCs/>
          <w:color w:val="auto"/>
          <w:kern w:val="2"/>
          <w:sz w:val="24"/>
          <w:szCs w:val="28"/>
          <w:highlight w:val="none"/>
          <w:lang w:val="en-US" w:eastAsia="zh-CN" w:bidi="ar-SA"/>
        </w:rPr>
        <w:t>20.拒收</w:t>
      </w:r>
      <w:bookmarkEnd w:id="205"/>
    </w:p>
    <w:p w14:paraId="163AD542">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.1 超过投标文件提交截止时间</w:t>
      </w:r>
      <w:bookmarkStart w:id="206" w:name="_Hlk143532404"/>
      <w:r>
        <w:rPr>
          <w:rFonts w:hint="eastAsia" w:ascii="仿宋" w:hAnsi="仿宋" w:eastAsia="仿宋" w:cs="仿宋"/>
          <w:color w:val="auto"/>
          <w:sz w:val="24"/>
          <w:szCs w:val="24"/>
          <w:highlight w:val="none"/>
        </w:rPr>
        <w:t>或者不按照本章要求加密的投标文件，交易系统应当拒收</w:t>
      </w:r>
      <w:bookmarkEnd w:id="206"/>
      <w:r>
        <w:rPr>
          <w:rFonts w:hint="eastAsia" w:ascii="仿宋" w:hAnsi="仿宋" w:eastAsia="仿宋" w:cs="仿宋"/>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07" w:name="_Toc163492846"/>
      <w:bookmarkStart w:id="208" w:name="_Toc140132778"/>
      <w:r>
        <w:rPr>
          <w:rFonts w:hint="eastAsia" w:ascii="仿宋" w:hAnsi="仿宋" w:eastAsia="仿宋" w:cs="仿宋"/>
          <w:b/>
          <w:bCs/>
          <w:color w:val="auto"/>
          <w:kern w:val="2"/>
          <w:sz w:val="24"/>
          <w:szCs w:val="28"/>
          <w:highlight w:val="none"/>
          <w:lang w:val="en-US" w:eastAsia="zh-CN" w:bidi="ar-SA"/>
        </w:rPr>
        <w:t>21.投标文件的修改与撤回</w:t>
      </w:r>
      <w:bookmarkEnd w:id="207"/>
      <w:bookmarkEnd w:id="208"/>
    </w:p>
    <w:p w14:paraId="7DBF29E0">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w:t>
      </w:r>
      <w:bookmarkStart w:id="209" w:name="_Hlk143532466"/>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highlight w:val="none"/>
          <w:lang w:val="en-US" w:eastAsia="zh-CN"/>
        </w:rPr>
        <w:t>第一章 招标公告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规定的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递交截止时间之前，可在兵团政府采购电子交易云平台上随时撤回已上传的电子</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，将修改好的电子</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递交截止时间前重新上传到兵团政府采购电子交易云平台的</w:t>
      </w:r>
      <w:r>
        <w:rPr>
          <w:rFonts w:hint="eastAsia" w:ascii="仿宋" w:hAnsi="仿宋" w:eastAsia="仿宋" w:cs="仿宋"/>
          <w:color w:val="auto"/>
          <w:sz w:val="24"/>
          <w:szCs w:val="24"/>
          <w:highlight w:val="none"/>
          <w:lang w:val="en-US" w:eastAsia="zh-CN"/>
        </w:rPr>
        <w:t>指</w:t>
      </w:r>
      <w:r>
        <w:rPr>
          <w:rFonts w:hint="eastAsia" w:ascii="仿宋" w:hAnsi="仿宋" w:eastAsia="仿宋" w:cs="仿宋"/>
          <w:color w:val="auto"/>
          <w:sz w:val="24"/>
          <w:szCs w:val="24"/>
          <w:highlight w:val="none"/>
        </w:rPr>
        <w:t>定位置。</w:t>
      </w:r>
    </w:p>
    <w:bookmarkEnd w:id="209"/>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10" w:name="_Toc163492847"/>
      <w:bookmarkStart w:id="211" w:name="_Toc155185874"/>
      <w:r>
        <w:rPr>
          <w:rFonts w:hint="eastAsia" w:ascii="仿宋" w:hAnsi="仿宋" w:eastAsia="仿宋" w:cs="仿宋"/>
          <w:b/>
          <w:bCs/>
          <w:color w:val="auto"/>
          <w:kern w:val="2"/>
          <w:sz w:val="24"/>
          <w:szCs w:val="28"/>
          <w:highlight w:val="none"/>
          <w:lang w:val="en-US" w:eastAsia="zh-CN" w:bidi="ar-SA"/>
        </w:rPr>
        <w:t>22.实物样品</w:t>
      </w:r>
      <w:bookmarkEnd w:id="210"/>
      <w:bookmarkEnd w:id="211"/>
    </w:p>
    <w:p w14:paraId="52D4EAF6">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.1“投标人须知前附表”要求提供样品的，样品的具体要求及评审详见“第三章 采购需求”和“第五章 评标</w:t>
      </w:r>
      <w:r>
        <w:rPr>
          <w:rFonts w:hint="eastAsia" w:ascii="仿宋" w:hAnsi="仿宋" w:eastAsia="仿宋" w:cs="仿宋"/>
          <w:color w:val="auto"/>
          <w:sz w:val="24"/>
          <w:highlight w:val="none"/>
          <w:lang w:val="en-US" w:eastAsia="zh-CN"/>
        </w:rPr>
        <w:t>方</w:t>
      </w:r>
      <w:r>
        <w:rPr>
          <w:rFonts w:hint="eastAsia" w:ascii="仿宋" w:hAnsi="仿宋" w:eastAsia="仿宋" w:cs="仿宋"/>
          <w:color w:val="auto"/>
          <w:sz w:val="24"/>
          <w:highlight w:val="none"/>
        </w:rPr>
        <w:t>法及标准”。</w:t>
      </w:r>
    </w:p>
    <w:p w14:paraId="2D6ED3FC">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.2样品退还：未中标的投标人应</w:t>
      </w:r>
      <w:r>
        <w:rPr>
          <w:rFonts w:hint="eastAsia" w:ascii="仿宋" w:hAnsi="仿宋" w:eastAsia="仿宋" w:cs="仿宋"/>
          <w:color w:val="auto"/>
          <w:sz w:val="24"/>
          <w:highlight w:val="none"/>
          <w:lang w:val="en-US" w:eastAsia="zh-CN"/>
        </w:rPr>
        <w:t>按照</w:t>
      </w:r>
      <w:r>
        <w:rPr>
          <w:rFonts w:hint="eastAsia" w:ascii="仿宋" w:hAnsi="仿宋" w:eastAsia="仿宋" w:cs="仿宋"/>
          <w:color w:val="auto"/>
          <w:sz w:val="24"/>
          <w:highlight w:val="none"/>
        </w:rPr>
        <w:t>“投标人须知前附表”</w:t>
      </w:r>
      <w:r>
        <w:rPr>
          <w:rFonts w:hint="eastAsia" w:ascii="仿宋" w:hAnsi="仿宋" w:eastAsia="仿宋" w:cs="仿宋"/>
          <w:color w:val="auto"/>
          <w:sz w:val="24"/>
          <w:highlight w:val="none"/>
          <w:lang w:val="en-US" w:eastAsia="zh-CN"/>
        </w:rPr>
        <w:t>要求</w:t>
      </w:r>
      <w:r>
        <w:rPr>
          <w:rFonts w:hint="eastAsia" w:ascii="仿宋" w:hAnsi="仿宋" w:eastAsia="仿宋" w:cs="仿宋"/>
          <w:color w:val="auto"/>
          <w:sz w:val="24"/>
          <w:highlight w:val="none"/>
        </w:rPr>
        <w:t>自行联系采购人取回投标样品；中标人的样品由采购人进行保管、封存，并作为履约验收的参考（招标文件另有规定的从其规定）。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12" w:name="_Toc155185875"/>
      <w:bookmarkStart w:id="213" w:name="_Toc163492848"/>
      <w:r>
        <w:rPr>
          <w:rFonts w:hint="eastAsia" w:ascii="仿宋" w:hAnsi="仿宋" w:eastAsia="仿宋" w:cs="仿宋"/>
          <w:b/>
          <w:bCs/>
          <w:color w:val="auto"/>
          <w:kern w:val="2"/>
          <w:sz w:val="24"/>
          <w:szCs w:val="28"/>
          <w:highlight w:val="none"/>
          <w:lang w:val="en-US" w:eastAsia="zh-CN" w:bidi="ar-SA"/>
        </w:rPr>
        <w:t>23.演示</w:t>
      </w:r>
      <w:bookmarkEnd w:id="212"/>
      <w:bookmarkEnd w:id="213"/>
    </w:p>
    <w:p w14:paraId="1A234B38">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.1要求投标人进行演示的，演示要求详见“投标人须知前附表”。</w:t>
      </w:r>
    </w:p>
    <w:p w14:paraId="527E9036">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.2演示的评审详见“第三章 采购需求”和“第五章 评标</w:t>
      </w:r>
      <w:r>
        <w:rPr>
          <w:rFonts w:hint="eastAsia" w:ascii="仿宋" w:hAnsi="仿宋" w:eastAsia="仿宋" w:cs="仿宋"/>
          <w:color w:val="auto"/>
          <w:sz w:val="24"/>
          <w:highlight w:val="none"/>
          <w:lang w:val="en-US" w:eastAsia="zh-CN"/>
        </w:rPr>
        <w:t>方</w:t>
      </w:r>
      <w:r>
        <w:rPr>
          <w:rFonts w:hint="eastAsia" w:ascii="仿宋" w:hAnsi="仿宋" w:eastAsia="仿宋" w:cs="仿宋"/>
          <w:color w:val="auto"/>
          <w:sz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仿宋" w:hAnsi="仿宋" w:eastAsia="仿宋" w:cs="仿宋"/>
          <w:b/>
          <w:bCs/>
          <w:color w:val="auto"/>
          <w:kern w:val="2"/>
          <w:sz w:val="24"/>
          <w:szCs w:val="32"/>
          <w:highlight w:val="none"/>
          <w:lang w:val="en-US" w:eastAsia="zh-CN" w:bidi="ar-SA"/>
        </w:rPr>
      </w:pPr>
      <w:bookmarkStart w:id="214" w:name="_Toc163492849"/>
      <w:bookmarkStart w:id="215" w:name="_Toc140132779"/>
      <w:bookmarkStart w:id="216" w:name="_Toc155185876"/>
      <w:r>
        <w:rPr>
          <w:rFonts w:hint="eastAsia" w:ascii="仿宋" w:hAnsi="仿宋" w:eastAsia="仿宋" w:cs="仿宋"/>
          <w:b/>
          <w:bCs/>
          <w:color w:val="auto"/>
          <w:kern w:val="2"/>
          <w:sz w:val="24"/>
          <w:szCs w:val="32"/>
          <w:highlight w:val="none"/>
          <w:lang w:val="en-US" w:eastAsia="zh-CN" w:bidi="ar-SA"/>
        </w:rPr>
        <w:t>（五）开标</w:t>
      </w:r>
      <w:bookmarkEnd w:id="214"/>
      <w:bookmarkEnd w:id="215"/>
      <w:bookmarkEnd w:id="216"/>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17" w:name="_Toc163492850"/>
      <w:bookmarkStart w:id="218" w:name="_Toc140132780"/>
      <w:r>
        <w:rPr>
          <w:rFonts w:hint="eastAsia" w:ascii="仿宋" w:hAnsi="仿宋" w:eastAsia="仿宋" w:cs="仿宋"/>
          <w:b/>
          <w:bCs/>
          <w:color w:val="auto"/>
          <w:kern w:val="2"/>
          <w:sz w:val="24"/>
          <w:szCs w:val="28"/>
          <w:highlight w:val="none"/>
          <w:lang w:val="en-US" w:eastAsia="zh-CN" w:bidi="ar-SA"/>
        </w:rPr>
        <w:t>24.开标会议</w:t>
      </w:r>
      <w:bookmarkEnd w:id="217"/>
      <w:bookmarkEnd w:id="218"/>
    </w:p>
    <w:p w14:paraId="43376441">
      <w:pPr>
        <w:keepNext w:val="0"/>
        <w:keepLines w:val="0"/>
        <w:pageBreakBefore w:val="0"/>
        <w:widowControl w:val="0"/>
        <w:kinsoku/>
        <w:overflowPunct/>
        <w:topLinePunct w:val="0"/>
        <w:autoSpaceDE/>
        <w:autoSpaceDN/>
        <w:bidi w:val="0"/>
        <w:adjustRightInd/>
        <w:snapToGrid/>
        <w:ind w:firstLine="480" w:firstLineChars="200"/>
        <w:jc w:val="both"/>
        <w:textAlignment w:val="auto"/>
        <w:rPr>
          <w:rFonts w:hint="eastAsia" w:ascii="仿宋" w:hAnsi="仿宋" w:eastAsia="仿宋" w:cs="仿宋"/>
          <w:color w:val="auto"/>
          <w:sz w:val="24"/>
          <w:szCs w:val="24"/>
          <w:highlight w:val="none"/>
          <w:lang w:eastAsia="zh-CN"/>
        </w:rPr>
      </w:pPr>
      <w:bookmarkStart w:id="219" w:name="_Toc140132781"/>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开标会按“</w:t>
      </w:r>
      <w:r>
        <w:rPr>
          <w:rFonts w:hint="eastAsia" w:ascii="仿宋" w:hAnsi="仿宋" w:eastAsia="仿宋" w:cs="仿宋"/>
          <w:color w:val="auto"/>
          <w:sz w:val="24"/>
          <w:szCs w:val="24"/>
          <w:highlight w:val="none"/>
          <w:lang w:val="en-US" w:eastAsia="zh-CN"/>
        </w:rPr>
        <w:t xml:space="preserve">第一章 </w:t>
      </w:r>
      <w:r>
        <w:rPr>
          <w:rFonts w:hint="eastAsia" w:ascii="仿宋" w:hAnsi="仿宋" w:eastAsia="仿宋" w:cs="仿宋"/>
          <w:color w:val="auto"/>
          <w:sz w:val="24"/>
          <w:highlight w:val="none"/>
          <w:lang w:val="en-US" w:eastAsia="zh-CN"/>
        </w:rPr>
        <w:t>招标公告</w:t>
      </w:r>
      <w:r>
        <w:rPr>
          <w:rFonts w:hint="eastAsia" w:ascii="仿宋" w:hAnsi="仿宋" w:eastAsia="仿宋" w:cs="仿宋"/>
          <w:color w:val="auto"/>
          <w:sz w:val="24"/>
          <w:szCs w:val="24"/>
          <w:highlight w:val="none"/>
        </w:rPr>
        <w:t>”规定的开标时间和地点准时举行，采购人、采购代理机构邀请所有投标人准时参加开标会。</w:t>
      </w:r>
      <w:r>
        <w:rPr>
          <w:rFonts w:hint="eastAsia" w:ascii="仿宋" w:hAnsi="仿宋" w:eastAsia="仿宋" w:cs="仿宋"/>
          <w:color w:val="auto"/>
          <w:sz w:val="24"/>
          <w:highlight w:val="none"/>
        </w:rPr>
        <w:t>投标人应按照</w:t>
      </w:r>
      <w:r>
        <w:rPr>
          <w:rFonts w:hint="eastAsia" w:ascii="仿宋" w:hAnsi="仿宋" w:eastAsia="仿宋" w:cs="仿宋"/>
          <w:color w:val="auto"/>
          <w:sz w:val="24"/>
          <w:highlight w:val="none"/>
          <w:lang w:val="en-US" w:eastAsia="zh-CN"/>
        </w:rPr>
        <w:t>招标文件</w:t>
      </w:r>
      <w:r>
        <w:rPr>
          <w:rFonts w:hint="eastAsia" w:ascii="仿宋" w:hAnsi="仿宋" w:eastAsia="仿宋" w:cs="仿宋"/>
          <w:color w:val="auto"/>
          <w:sz w:val="24"/>
          <w:highlight w:val="none"/>
        </w:rPr>
        <w:t>的要求参与</w:t>
      </w:r>
      <w:r>
        <w:rPr>
          <w:rFonts w:hint="eastAsia" w:ascii="仿宋" w:hAnsi="仿宋" w:eastAsia="仿宋" w:cs="仿宋"/>
          <w:color w:val="auto"/>
          <w:sz w:val="24"/>
          <w:highlight w:val="none"/>
          <w:lang w:val="en-US" w:eastAsia="zh-CN"/>
        </w:rPr>
        <w:t>不见面开标</w:t>
      </w:r>
      <w:r>
        <w:rPr>
          <w:rFonts w:hint="eastAsia" w:ascii="仿宋" w:hAnsi="仿宋" w:eastAsia="仿宋" w:cs="仿宋"/>
          <w:color w:val="auto"/>
          <w:sz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 </w:t>
      </w:r>
      <w:bookmarkEnd w:id="219"/>
      <w:r>
        <w:rPr>
          <w:rFonts w:hint="eastAsia" w:ascii="仿宋" w:hAnsi="仿宋" w:eastAsia="仿宋" w:cs="仿宋"/>
          <w:color w:val="auto"/>
          <w:kern w:val="2"/>
          <w:sz w:val="24"/>
          <w:szCs w:val="22"/>
          <w:highlight w:val="none"/>
        </w:rPr>
        <w:t>采购代理机构按照招标文件规定的时间、地点主持开标。采购人在规定的</w:t>
      </w:r>
      <w:r>
        <w:rPr>
          <w:rFonts w:hint="eastAsia" w:ascii="仿宋" w:hAnsi="仿宋" w:eastAsia="仿宋" w:cs="仿宋"/>
          <w:color w:val="auto"/>
          <w:kern w:val="2"/>
          <w:sz w:val="24"/>
          <w:szCs w:val="22"/>
          <w:highlight w:val="none"/>
          <w:lang w:eastAsia="zh-CN"/>
        </w:rPr>
        <w:t>投标文件</w:t>
      </w:r>
      <w:r>
        <w:rPr>
          <w:rFonts w:hint="eastAsia" w:ascii="仿宋" w:hAnsi="仿宋" w:eastAsia="仿宋" w:cs="仿宋"/>
          <w:color w:val="auto"/>
          <w:kern w:val="2"/>
          <w:sz w:val="24"/>
          <w:szCs w:val="22"/>
          <w:highlight w:val="none"/>
        </w:rPr>
        <w:t>递交截止时间（开标时间）和地点进行不见面远程开标。</w:t>
      </w:r>
      <w:r>
        <w:rPr>
          <w:rFonts w:hint="eastAsia" w:ascii="仿宋" w:hAnsi="仿宋" w:eastAsia="仿宋" w:cs="仿宋"/>
          <w:color w:val="auto"/>
          <w:kern w:val="2"/>
          <w:sz w:val="24"/>
          <w:szCs w:val="22"/>
          <w:highlight w:val="none"/>
          <w:lang w:eastAsia="zh-CN"/>
        </w:rPr>
        <w:t>投标人</w:t>
      </w:r>
      <w:r>
        <w:rPr>
          <w:rFonts w:hint="eastAsia" w:ascii="仿宋" w:hAnsi="仿宋" w:eastAsia="仿宋" w:cs="仿宋"/>
          <w:color w:val="auto"/>
          <w:kern w:val="2"/>
          <w:sz w:val="24"/>
          <w:szCs w:val="22"/>
          <w:highlight w:val="none"/>
        </w:rPr>
        <w:t>的法定代表人或其委托代理人无需到达开标现场，仅需在任意地点通过</w:t>
      </w:r>
      <w:r>
        <w:rPr>
          <w:rFonts w:hint="eastAsia" w:ascii="仿宋" w:hAnsi="仿宋" w:eastAsia="仿宋" w:cs="仿宋"/>
          <w:color w:val="auto"/>
          <w:kern w:val="2"/>
          <w:sz w:val="24"/>
          <w:szCs w:val="22"/>
          <w:highlight w:val="none"/>
          <w:lang w:val="en-US" w:eastAsia="zh-CN"/>
        </w:rPr>
        <w:t>兵团政府采购电子交易云平台（网址：https://www.zcygov.cn/）</w:t>
      </w:r>
      <w:r>
        <w:rPr>
          <w:rFonts w:hint="eastAsia" w:ascii="仿宋" w:hAnsi="仿宋" w:eastAsia="仿宋" w:cs="仿宋"/>
          <w:color w:val="auto"/>
          <w:kern w:val="2"/>
          <w:sz w:val="24"/>
          <w:szCs w:val="22"/>
          <w:highlight w:val="none"/>
        </w:rPr>
        <w:t>的</w:t>
      </w:r>
      <w:r>
        <w:rPr>
          <w:rFonts w:hint="eastAsia" w:ascii="仿宋" w:hAnsi="仿宋" w:eastAsia="仿宋" w:cs="仿宋"/>
          <w:color w:val="auto"/>
          <w:kern w:val="2"/>
          <w:sz w:val="24"/>
          <w:szCs w:val="22"/>
          <w:highlight w:val="none"/>
          <w:lang w:eastAsia="zh-CN"/>
        </w:rPr>
        <w:t>“</w:t>
      </w:r>
      <w:r>
        <w:rPr>
          <w:rFonts w:hint="eastAsia" w:ascii="仿宋" w:hAnsi="仿宋" w:eastAsia="仿宋" w:cs="仿宋"/>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lang w:val="en-US" w:eastAsia="zh-CN"/>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20" w:name="_Toc140132783"/>
      <w:bookmarkStart w:id="221" w:name="_Toc163492852"/>
      <w:r>
        <w:rPr>
          <w:rFonts w:hint="eastAsia" w:ascii="仿宋" w:hAnsi="仿宋" w:eastAsia="仿宋" w:cs="仿宋"/>
          <w:b/>
          <w:bCs/>
          <w:color w:val="auto"/>
          <w:kern w:val="2"/>
          <w:sz w:val="24"/>
          <w:szCs w:val="28"/>
          <w:highlight w:val="none"/>
          <w:lang w:val="en-US" w:eastAsia="zh-CN" w:bidi="ar-SA"/>
        </w:rPr>
        <w:t>25.开标程序</w:t>
      </w:r>
      <w:bookmarkEnd w:id="220"/>
      <w:bookmarkEnd w:id="221"/>
    </w:p>
    <w:p w14:paraId="60F7948B">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（3）发起投标文件解密。投标人应在“投标人须知前附表”规定的时间内使用加密投标文件的CA证书在系统中完成投标文件的解密；</w:t>
      </w:r>
      <w:r>
        <w:rPr>
          <w:rFonts w:hint="eastAsia" w:ascii="仿宋" w:hAnsi="仿宋" w:eastAsia="仿宋" w:cs="仿宋"/>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（5）系统自动生成开标记录表，</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应在线对开标记录进行签署确认</w:t>
      </w:r>
      <w:r>
        <w:rPr>
          <w:rFonts w:hint="eastAsia" w:ascii="仿宋" w:hAnsi="仿宋" w:eastAsia="仿宋" w:cs="仿宋"/>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（6）开标会结束。</w:t>
      </w:r>
      <w:bookmarkStart w:id="222" w:name="_Toc163492853"/>
      <w:bookmarkStart w:id="223" w:name="_Toc140132784"/>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26.开标疑义及回避情形</w:t>
      </w:r>
      <w:bookmarkEnd w:id="222"/>
      <w:bookmarkEnd w:id="223"/>
    </w:p>
    <w:p w14:paraId="04573EB2">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仿宋" w:hAnsi="仿宋" w:eastAsia="仿宋" w:cs="仿宋"/>
          <w:b/>
          <w:bCs/>
          <w:color w:val="auto"/>
          <w:kern w:val="2"/>
          <w:sz w:val="24"/>
          <w:szCs w:val="32"/>
          <w:highlight w:val="none"/>
          <w:lang w:val="en-US" w:eastAsia="zh-CN" w:bidi="ar-SA"/>
        </w:rPr>
      </w:pPr>
      <w:bookmarkStart w:id="224" w:name="_Toc163492854"/>
      <w:bookmarkStart w:id="225" w:name="_Toc140132785"/>
      <w:bookmarkStart w:id="226" w:name="_Toc155185877"/>
      <w:r>
        <w:rPr>
          <w:rFonts w:hint="eastAsia" w:ascii="仿宋" w:hAnsi="仿宋" w:eastAsia="仿宋" w:cs="仿宋"/>
          <w:b/>
          <w:bCs/>
          <w:color w:val="auto"/>
          <w:kern w:val="2"/>
          <w:sz w:val="24"/>
          <w:szCs w:val="32"/>
          <w:highlight w:val="none"/>
          <w:lang w:val="en-US" w:eastAsia="zh-CN" w:bidi="ar-SA"/>
        </w:rPr>
        <w:t>（六）资格审查</w:t>
      </w:r>
      <w:bookmarkEnd w:id="224"/>
      <w:bookmarkEnd w:id="225"/>
      <w:bookmarkEnd w:id="226"/>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27" w:name="_Toc163492855"/>
      <w:r>
        <w:rPr>
          <w:rFonts w:hint="eastAsia" w:ascii="仿宋" w:hAnsi="仿宋" w:eastAsia="仿宋" w:cs="仿宋"/>
          <w:b/>
          <w:bCs/>
          <w:color w:val="auto"/>
          <w:kern w:val="2"/>
          <w:sz w:val="24"/>
          <w:szCs w:val="28"/>
          <w:highlight w:val="none"/>
          <w:lang w:val="en-US" w:eastAsia="zh-CN" w:bidi="ar-SA"/>
        </w:rPr>
        <w:t>27.资格审查及审查主体</w:t>
      </w:r>
      <w:bookmarkEnd w:id="227"/>
    </w:p>
    <w:p w14:paraId="3F6E8AD4">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bookmarkStart w:id="228" w:name="_Toc140132786"/>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.1</w:t>
      </w:r>
      <w:bookmarkEnd w:id="228"/>
      <w:r>
        <w:rPr>
          <w:rFonts w:hint="eastAsia" w:ascii="仿宋" w:hAnsi="仿宋" w:eastAsia="仿宋" w:cs="仿宋"/>
          <w:color w:val="auto"/>
          <w:sz w:val="24"/>
          <w:highlight w:val="none"/>
        </w:rPr>
        <w:t>开标结束后，采购人或者采购代理机构应当依法对投标人的资格进行审查。</w:t>
      </w:r>
    </w:p>
    <w:p w14:paraId="6F7626D3">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bookmarkStart w:id="229" w:name="_Toc140132787"/>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.2资格审查按“第四章</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资格审查”的规定进行。</w:t>
      </w:r>
      <w:bookmarkEnd w:id="229"/>
    </w:p>
    <w:p w14:paraId="44D43B82">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bookmarkStart w:id="230" w:name="_Toc140132788"/>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.3资格审查结束后，应及时对资格审查结果进行复核，对资格审查错误进行及时纠正并记录。</w:t>
      </w:r>
      <w:bookmarkEnd w:id="230"/>
    </w:p>
    <w:p w14:paraId="272F167A">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27.4</w:t>
      </w:r>
      <w:r>
        <w:rPr>
          <w:rFonts w:hint="eastAsia" w:ascii="仿宋" w:hAnsi="仿宋" w:eastAsia="仿宋" w:cs="仿宋"/>
          <w:color w:val="auto"/>
          <w:sz w:val="24"/>
          <w:highlight w:val="none"/>
        </w:rPr>
        <w:t>资格审查合格投标人不足3家的，不得评标。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仿宋" w:hAnsi="仿宋" w:eastAsia="仿宋" w:cs="仿宋"/>
          <w:b/>
          <w:bCs/>
          <w:color w:val="auto"/>
          <w:kern w:val="2"/>
          <w:sz w:val="24"/>
          <w:szCs w:val="32"/>
          <w:highlight w:val="none"/>
          <w:lang w:val="en-US" w:eastAsia="zh-CN" w:bidi="ar-SA"/>
        </w:rPr>
      </w:pPr>
      <w:bookmarkStart w:id="231" w:name="_Toc155185878"/>
      <w:bookmarkStart w:id="232" w:name="_Toc140132789"/>
      <w:bookmarkStart w:id="233" w:name="_Toc163492856"/>
      <w:r>
        <w:rPr>
          <w:rFonts w:hint="eastAsia" w:ascii="仿宋" w:hAnsi="仿宋" w:eastAsia="仿宋" w:cs="仿宋"/>
          <w:b/>
          <w:bCs/>
          <w:color w:val="auto"/>
          <w:kern w:val="2"/>
          <w:sz w:val="24"/>
          <w:szCs w:val="32"/>
          <w:highlight w:val="none"/>
          <w:lang w:val="en-US" w:eastAsia="zh-CN" w:bidi="ar-SA"/>
        </w:rPr>
        <w:t>（七）评标</w:t>
      </w:r>
      <w:bookmarkEnd w:id="231"/>
      <w:bookmarkEnd w:id="232"/>
      <w:bookmarkEnd w:id="233"/>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34" w:name="_Toc163492857"/>
      <w:bookmarkStart w:id="235" w:name="_Toc140132790"/>
      <w:r>
        <w:rPr>
          <w:rFonts w:hint="eastAsia" w:ascii="仿宋" w:hAnsi="仿宋" w:eastAsia="仿宋" w:cs="仿宋"/>
          <w:b/>
          <w:bCs/>
          <w:color w:val="auto"/>
          <w:kern w:val="2"/>
          <w:sz w:val="24"/>
          <w:szCs w:val="28"/>
          <w:highlight w:val="none"/>
          <w:lang w:val="en-US" w:eastAsia="zh-CN" w:bidi="ar-SA"/>
        </w:rPr>
        <w:t>28.评标委员会</w:t>
      </w:r>
      <w:bookmarkEnd w:id="234"/>
      <w:bookmarkEnd w:id="235"/>
    </w:p>
    <w:p w14:paraId="1EA2B13D">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.1 评标由采购人依法组建的评标委员会负责。评标委员会由采购人代表和评审专家组成</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成员人数应当为5</w:t>
      </w:r>
      <w:r>
        <w:rPr>
          <w:rFonts w:hint="eastAsia" w:ascii="仿宋" w:hAnsi="仿宋" w:eastAsia="仿宋" w:cs="仿宋"/>
          <w:color w:val="auto"/>
          <w:sz w:val="24"/>
          <w:highlight w:val="none"/>
        </w:rPr>
        <w:t>人以上单数，其中</w:t>
      </w:r>
      <w:r>
        <w:rPr>
          <w:rFonts w:hint="eastAsia" w:ascii="仿宋" w:hAnsi="仿宋" w:eastAsia="仿宋" w:cs="仿宋"/>
          <w:color w:val="auto"/>
          <w:sz w:val="24"/>
          <w:highlight w:val="none"/>
          <w:lang w:val="en-US" w:eastAsia="zh-CN"/>
        </w:rPr>
        <w:t>评审</w:t>
      </w:r>
      <w:r>
        <w:rPr>
          <w:rFonts w:hint="eastAsia" w:ascii="仿宋" w:hAnsi="仿宋" w:eastAsia="仿宋" w:cs="仿宋"/>
          <w:color w:val="auto"/>
          <w:sz w:val="24"/>
          <w:highlight w:val="none"/>
        </w:rPr>
        <w:t>专家不</w:t>
      </w:r>
      <w:r>
        <w:rPr>
          <w:rFonts w:hint="eastAsia" w:ascii="仿宋" w:hAnsi="仿宋" w:eastAsia="仿宋" w:cs="仿宋"/>
          <w:color w:val="auto"/>
          <w:sz w:val="24"/>
          <w:highlight w:val="none"/>
          <w:lang w:val="en-US" w:eastAsia="zh-CN"/>
        </w:rPr>
        <w:t>得</w:t>
      </w:r>
      <w:r>
        <w:rPr>
          <w:rFonts w:hint="eastAsia" w:ascii="仿宋" w:hAnsi="仿宋" w:eastAsia="仿宋" w:cs="仿宋"/>
          <w:color w:val="auto"/>
          <w:sz w:val="24"/>
          <w:highlight w:val="none"/>
        </w:rPr>
        <w:t>少于</w:t>
      </w:r>
      <w:r>
        <w:rPr>
          <w:rFonts w:hint="eastAsia" w:ascii="仿宋" w:hAnsi="仿宋" w:eastAsia="仿宋" w:cs="仿宋"/>
          <w:color w:val="auto"/>
          <w:sz w:val="24"/>
          <w:highlight w:val="none"/>
          <w:lang w:val="en-US" w:eastAsia="zh-CN"/>
        </w:rPr>
        <w:t>成员总数的</w:t>
      </w:r>
      <w:r>
        <w:rPr>
          <w:rFonts w:hint="eastAsia" w:ascii="仿宋" w:hAnsi="仿宋" w:eastAsia="仿宋" w:cs="仿宋"/>
          <w:color w:val="auto"/>
          <w:sz w:val="24"/>
          <w:highlight w:val="none"/>
        </w:rPr>
        <w:t>三分之二。</w:t>
      </w:r>
      <w:r>
        <w:rPr>
          <w:rFonts w:hint="eastAsia" w:ascii="仿宋" w:hAnsi="仿宋" w:eastAsia="仿宋" w:cs="仿宋"/>
          <w:color w:val="auto"/>
          <w:sz w:val="24"/>
          <w:highlight w:val="none"/>
          <w:lang w:val="en-US" w:eastAsia="zh-CN"/>
        </w:rPr>
        <w:t>采购人或者采购代理机构应当从省级以上财政部门设立的政府采购评审专家库中，通过随机方式抽取评审专家。</w:t>
      </w:r>
    </w:p>
    <w:p w14:paraId="32DE7801">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28.2 采购项目符合下列情形之一的，评标委员会成员人数应当为7人以上单数：</w:t>
      </w:r>
    </w:p>
    <w:p w14:paraId="05C639B0">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（1）采购预算金额在1000万元以上；</w:t>
      </w:r>
    </w:p>
    <w:p w14:paraId="67DFE620">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（2）技术复杂；</w:t>
      </w:r>
    </w:p>
    <w:p w14:paraId="6B9FB10B">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（3）社会影响较大。</w:t>
      </w:r>
    </w:p>
    <w:p w14:paraId="4590A674">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28.4评标委员会成员名单在评标结果公告前应当保密。</w:t>
      </w:r>
    </w:p>
    <w:p w14:paraId="2F8842E2">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28.6无法及时补足评标委员会成员的，采购人或者采购代理机构应当停止评标活动，封存所有投标文件和开标、评标资料，依法重新组建评标委员会进行评标。原评标委员会所作出的评标意见无效。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 xml:space="preserve"> 评标委员会成员有下列情形之一的，应当回避：</w:t>
      </w:r>
    </w:p>
    <w:p w14:paraId="0656ACEF">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（1）参加采购活动前3年内与投标人存在劳动关系；</w:t>
      </w:r>
    </w:p>
    <w:p w14:paraId="55B6A1BF">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（2）参加采购活动前3年内担任投标人的董事、监事；</w:t>
      </w:r>
    </w:p>
    <w:p w14:paraId="61A1D2B8">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（3）参加采购活动前3年内是投标人的控股股东或实际控制人；</w:t>
      </w:r>
    </w:p>
    <w:p w14:paraId="2961D582">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（4）与投标人的法定代表人或者负责人有夫妻、直系血亲、三代以内旁系血亲或者近姻亲关系；</w:t>
      </w:r>
    </w:p>
    <w:p w14:paraId="20FB9B78">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36" w:name="_Toc140132791"/>
      <w:bookmarkStart w:id="237" w:name="_Toc163492858"/>
      <w:r>
        <w:rPr>
          <w:rFonts w:hint="eastAsia" w:ascii="仿宋" w:hAnsi="仿宋" w:eastAsia="仿宋" w:cs="仿宋"/>
          <w:b/>
          <w:bCs/>
          <w:color w:val="auto"/>
          <w:kern w:val="2"/>
          <w:sz w:val="24"/>
          <w:szCs w:val="28"/>
          <w:highlight w:val="none"/>
          <w:lang w:val="en-US" w:eastAsia="zh-CN" w:bidi="ar-SA"/>
        </w:rPr>
        <w:t>29.评标</w:t>
      </w:r>
      <w:bookmarkEnd w:id="236"/>
      <w:bookmarkEnd w:id="237"/>
    </w:p>
    <w:p w14:paraId="6D0B095D">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评标方法分为综合评分法和</w:t>
      </w:r>
      <w:r>
        <w:rPr>
          <w:rFonts w:hint="eastAsia" w:ascii="仿宋" w:hAnsi="仿宋" w:eastAsia="仿宋" w:cs="仿宋"/>
          <w:color w:val="auto"/>
          <w:sz w:val="24"/>
          <w:highlight w:val="none"/>
        </w:rPr>
        <w:t>最低评标价法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本项目评标</w:t>
      </w:r>
      <w:r>
        <w:rPr>
          <w:rFonts w:hint="eastAsia" w:ascii="仿宋" w:hAnsi="仿宋" w:eastAsia="仿宋" w:cs="仿宋"/>
          <w:color w:val="auto"/>
          <w:sz w:val="24"/>
          <w:highlight w:val="none"/>
          <w:lang w:val="en-US" w:eastAsia="zh-CN"/>
        </w:rPr>
        <w:t>方法详见</w:t>
      </w:r>
      <w:r>
        <w:rPr>
          <w:rFonts w:hint="eastAsia" w:ascii="仿宋" w:hAnsi="仿宋" w:eastAsia="仿宋" w:cs="仿宋"/>
          <w:color w:val="auto"/>
          <w:sz w:val="24"/>
          <w:highlight w:val="none"/>
        </w:rPr>
        <w:t>“投标人须知前附表”</w:t>
      </w:r>
      <w:r>
        <w:rPr>
          <w:rFonts w:hint="eastAsia" w:ascii="仿宋" w:hAnsi="仿宋" w:eastAsia="仿宋" w:cs="仿宋"/>
          <w:color w:val="auto"/>
          <w:sz w:val="24"/>
          <w:highlight w:val="none"/>
          <w:lang w:eastAsia="zh-CN"/>
        </w:rPr>
        <w:t>。</w:t>
      </w:r>
    </w:p>
    <w:p w14:paraId="2BC22B3E">
      <w:pPr>
        <w:pStyle w:val="37"/>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9.1.1</w:t>
      </w:r>
      <w:r>
        <w:rPr>
          <w:rFonts w:hint="eastAsia" w:ascii="仿宋" w:hAnsi="仿宋" w:eastAsia="仿宋" w:cs="仿宋"/>
          <w:color w:val="auto"/>
          <w:sz w:val="24"/>
          <w:highlight w:val="none"/>
        </w:rPr>
        <w:t>综合评分法，是指投标文件满足招标文件全部实质性要求</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且按照评审因素的量化指标评审得分最高的投标人为中标候选人的评标方法。</w:t>
      </w:r>
    </w:p>
    <w:p w14:paraId="0E3867EE">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29.1.2.</w:t>
      </w:r>
      <w:r>
        <w:rPr>
          <w:rFonts w:hint="eastAsia" w:ascii="仿宋" w:hAnsi="仿宋" w:eastAsia="仿宋" w:cs="仿宋"/>
          <w:color w:val="auto"/>
          <w:sz w:val="24"/>
          <w:highlight w:val="none"/>
        </w:rPr>
        <w:t>最低评标价法，是指投标文件满足招标文件全部实质性要求</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且投标报价最低的投标人为中标候选人的评标方法。</w:t>
      </w:r>
    </w:p>
    <w:p w14:paraId="418DE4CD">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 xml:space="preserve">2 </w:t>
      </w:r>
      <w:r>
        <w:rPr>
          <w:rFonts w:hint="eastAsia" w:ascii="仿宋" w:hAnsi="仿宋" w:eastAsia="仿宋" w:cs="仿宋"/>
          <w:color w:val="auto"/>
          <w:sz w:val="24"/>
          <w:highlight w:val="none"/>
        </w:rPr>
        <w:t>评标委员会按照“第五章</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评标</w:t>
      </w:r>
      <w:r>
        <w:rPr>
          <w:rFonts w:hint="eastAsia" w:ascii="仿宋" w:hAnsi="仿宋" w:eastAsia="仿宋" w:cs="仿宋"/>
          <w:color w:val="auto"/>
          <w:sz w:val="24"/>
          <w:highlight w:val="none"/>
          <w:lang w:val="en-US" w:eastAsia="zh-CN"/>
        </w:rPr>
        <w:t>方</w:t>
      </w:r>
      <w:r>
        <w:rPr>
          <w:rFonts w:hint="eastAsia" w:ascii="仿宋" w:hAnsi="仿宋" w:eastAsia="仿宋" w:cs="仿宋"/>
          <w:color w:val="auto"/>
          <w:sz w:val="24"/>
          <w:highlight w:val="none"/>
        </w:rPr>
        <w:t>法及标准”</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规定对投标文件进行评审。“第五章</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评标</w:t>
      </w:r>
      <w:r>
        <w:rPr>
          <w:rFonts w:hint="eastAsia" w:ascii="仿宋" w:hAnsi="仿宋" w:eastAsia="仿宋" w:cs="仿宋"/>
          <w:color w:val="auto"/>
          <w:sz w:val="24"/>
          <w:highlight w:val="none"/>
          <w:lang w:val="en-US" w:eastAsia="zh-CN"/>
        </w:rPr>
        <w:t>方</w:t>
      </w:r>
      <w:r>
        <w:rPr>
          <w:rFonts w:hint="eastAsia" w:ascii="仿宋" w:hAnsi="仿宋" w:eastAsia="仿宋" w:cs="仿宋"/>
          <w:color w:val="auto"/>
          <w:sz w:val="24"/>
          <w:highlight w:val="none"/>
        </w:rPr>
        <w:t>法及标准”没有规定的方法、评审因素和标准，不作为评标依据。</w:t>
      </w:r>
    </w:p>
    <w:p w14:paraId="1A9007D8">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 xml:space="preserve">3 </w:t>
      </w:r>
      <w:r>
        <w:rPr>
          <w:rFonts w:hint="eastAsia" w:ascii="仿宋" w:hAnsi="仿宋" w:eastAsia="仿宋" w:cs="仿宋"/>
          <w:color w:val="auto"/>
          <w:sz w:val="24"/>
          <w:highlight w:val="none"/>
        </w:rPr>
        <w:t>评标委员会按“投标人须知前附表”规定的中标候选人数量在评标报告中向采购人推荐中标候选人。</w:t>
      </w:r>
    </w:p>
    <w:p w14:paraId="1E63454C">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ascii="仿宋" w:hAnsi="仿宋" w:eastAsia="仿宋" w:cs="仿宋"/>
          <w:b/>
          <w:bCs/>
          <w:color w:val="auto"/>
          <w:sz w:val="24"/>
          <w:highlight w:val="none"/>
          <w:lang w:val="en-US" w:eastAsia="zh-CN"/>
        </w:rPr>
        <w:t>投标无效</w:t>
      </w:r>
      <w:r>
        <w:rPr>
          <w:rFonts w:hint="eastAsia" w:ascii="仿宋" w:hAnsi="仿宋" w:eastAsia="仿宋" w:cs="仿宋"/>
          <w:color w:val="auto"/>
          <w:sz w:val="24"/>
          <w:highlight w:val="none"/>
          <w:lang w:val="en-US" w:eastAsia="zh-CN"/>
        </w:rPr>
        <w:t>。</w:t>
      </w:r>
    </w:p>
    <w:p w14:paraId="32A32003">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29.6 电子招投标的应急措施</w:t>
      </w:r>
    </w:p>
    <w:p w14:paraId="52525CD6">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29.6.1电子开标、评标如出现下列原因，导致系统无法正常运行或无法正常评标时，应采取应急措施。</w:t>
      </w:r>
    </w:p>
    <w:p w14:paraId="3D99F562">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（1）系统服务器发生故障，无法访问或无法使用系统；</w:t>
      </w:r>
    </w:p>
    <w:p w14:paraId="518B308A">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（2）系统的软件或数据库出现错误，不能进行正常操作；</w:t>
      </w:r>
    </w:p>
    <w:p w14:paraId="657BA7B3">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（3）系统发现有安全漏洞，有潜在的泄密危险；</w:t>
      </w:r>
    </w:p>
    <w:p w14:paraId="26B15397">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（4）病毒发作或受到外来病毒的攻击；</w:t>
      </w:r>
    </w:p>
    <w:p w14:paraId="6BCA43D9">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（5）出现其他不可抗拒的客观原因造成开评标系统无法正常使用。</w:t>
      </w:r>
    </w:p>
    <w:p w14:paraId="2BA3CE00">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29.7 投标人瑕疵滞后发现的处理规则</w:t>
      </w:r>
    </w:p>
    <w:p w14:paraId="11E85EAD">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29.7.1无论基于何种原因，各项本应作</w:t>
      </w:r>
      <w:r>
        <w:rPr>
          <w:rFonts w:hint="eastAsia" w:ascii="仿宋" w:hAnsi="仿宋" w:eastAsia="仿宋" w:cs="仿宋"/>
          <w:b/>
          <w:bCs/>
          <w:color w:val="auto"/>
          <w:sz w:val="24"/>
          <w:highlight w:val="none"/>
          <w:lang w:val="en-US" w:eastAsia="zh-CN"/>
        </w:rPr>
        <w:t>无效投标</w:t>
      </w:r>
      <w:r>
        <w:rPr>
          <w:rFonts w:hint="eastAsia" w:ascii="仿宋" w:hAnsi="仿宋" w:eastAsia="仿宋" w:cs="仿宋"/>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仿宋" w:hAnsi="仿宋" w:eastAsia="仿宋" w:cs="仿宋"/>
          <w:b/>
          <w:bCs/>
          <w:color w:val="auto"/>
          <w:kern w:val="2"/>
          <w:sz w:val="24"/>
          <w:szCs w:val="32"/>
          <w:highlight w:val="none"/>
          <w:lang w:val="en-US" w:eastAsia="zh-CN" w:bidi="ar-SA"/>
        </w:rPr>
      </w:pPr>
      <w:bookmarkStart w:id="238" w:name="_Toc140132792"/>
      <w:bookmarkStart w:id="239" w:name="_Toc163492859"/>
      <w:bookmarkStart w:id="240" w:name="_Toc155185879"/>
      <w:r>
        <w:rPr>
          <w:rFonts w:hint="eastAsia" w:ascii="仿宋" w:hAnsi="仿宋" w:eastAsia="仿宋" w:cs="仿宋"/>
          <w:b/>
          <w:bCs/>
          <w:color w:val="auto"/>
          <w:kern w:val="2"/>
          <w:sz w:val="24"/>
          <w:szCs w:val="32"/>
          <w:highlight w:val="none"/>
          <w:lang w:val="en-US" w:eastAsia="zh-CN" w:bidi="ar-SA"/>
        </w:rPr>
        <w:t>（八）中标</w:t>
      </w:r>
      <w:bookmarkEnd w:id="238"/>
      <w:bookmarkEnd w:id="239"/>
      <w:bookmarkEnd w:id="240"/>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41" w:name="_Toc163492860"/>
      <w:bookmarkStart w:id="242" w:name="_Toc140132793"/>
      <w:r>
        <w:rPr>
          <w:rFonts w:hint="eastAsia" w:ascii="仿宋" w:hAnsi="仿宋" w:eastAsia="仿宋" w:cs="仿宋"/>
          <w:b/>
          <w:bCs/>
          <w:color w:val="auto"/>
          <w:kern w:val="2"/>
          <w:sz w:val="24"/>
          <w:szCs w:val="28"/>
          <w:highlight w:val="none"/>
          <w:lang w:val="en-US" w:eastAsia="zh-CN" w:bidi="ar-SA"/>
        </w:rPr>
        <w:t>30.确定中标人</w:t>
      </w:r>
      <w:bookmarkEnd w:id="241"/>
      <w:bookmarkEnd w:id="242"/>
    </w:p>
    <w:p w14:paraId="23CC2B81">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highlight w:val="none"/>
          <w:lang w:val="en-US" w:eastAsia="zh-CN"/>
        </w:rPr>
        <w:t>30.1</w:t>
      </w:r>
      <w:r>
        <w:rPr>
          <w:rFonts w:hint="eastAsia" w:ascii="仿宋" w:hAnsi="仿宋" w:eastAsia="仿宋" w:cs="仿宋"/>
          <w:color w:val="auto"/>
          <w:kern w:val="0"/>
          <w:sz w:val="24"/>
          <w:szCs w:val="24"/>
          <w:highlight w:val="none"/>
          <w:lang w:val="en-US" w:eastAsia="zh-CN" w:bidi="ar"/>
        </w:rPr>
        <w:t>采购人将在评标报告确定的中标候选人名单中按顺序确定中标人，中标候选人并列的，按照</w:t>
      </w:r>
      <w:r>
        <w:rPr>
          <w:rFonts w:hint="eastAsia" w:ascii="仿宋" w:hAnsi="仿宋" w:eastAsia="仿宋" w:cs="仿宋"/>
          <w:color w:val="auto"/>
          <w:sz w:val="24"/>
          <w:highlight w:val="none"/>
        </w:rPr>
        <w:t>“投标人须知前附表”</w:t>
      </w:r>
      <w:r>
        <w:rPr>
          <w:rFonts w:hint="eastAsia" w:ascii="仿宋" w:hAnsi="仿宋" w:eastAsia="仿宋" w:cs="仿宋"/>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ascii="仿宋" w:hAnsi="仿宋" w:eastAsia="仿宋" w:cs="仿宋"/>
          <w:color w:val="auto"/>
          <w:sz w:val="24"/>
          <w:highlight w:val="none"/>
        </w:rPr>
        <w:t>“投标人须知前附表”</w:t>
      </w:r>
      <w:r>
        <w:rPr>
          <w:rFonts w:hint="eastAsia" w:ascii="仿宋" w:hAnsi="仿宋" w:eastAsia="仿宋" w:cs="仿宋"/>
          <w:color w:val="auto"/>
          <w:kern w:val="0"/>
          <w:sz w:val="24"/>
          <w:szCs w:val="24"/>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30.2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仿宋" w:hAnsi="仿宋" w:eastAsia="仿宋" w:cs="仿宋"/>
          <w:color w:val="auto"/>
          <w:sz w:val="24"/>
          <w:highlight w:val="none"/>
        </w:rPr>
        <w:t>“投标人须知前附表”</w:t>
      </w:r>
      <w:r>
        <w:rPr>
          <w:rFonts w:hint="eastAsia" w:ascii="仿宋" w:hAnsi="仿宋" w:eastAsia="仿宋" w:cs="仿宋"/>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仿宋" w:hAnsi="仿宋" w:eastAsia="仿宋" w:cs="仿宋"/>
          <w:color w:val="auto"/>
          <w:sz w:val="24"/>
          <w:highlight w:val="none"/>
        </w:rPr>
        <w:t>“投标人须知前附表”</w:t>
      </w:r>
      <w:r>
        <w:rPr>
          <w:rFonts w:hint="eastAsia" w:ascii="仿宋" w:hAnsi="仿宋" w:eastAsia="仿宋" w:cs="仿宋"/>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ascii="仿宋" w:hAnsi="仿宋" w:eastAsia="仿宋" w:cs="仿宋"/>
          <w:color w:val="auto"/>
          <w:sz w:val="24"/>
          <w:highlight w:val="none"/>
        </w:rPr>
        <w:t>“投标人须知前附表”</w:t>
      </w:r>
      <w:r>
        <w:rPr>
          <w:rFonts w:hint="eastAsia" w:ascii="仿宋" w:hAnsi="仿宋" w:eastAsia="仿宋" w:cs="仿宋"/>
          <w:color w:val="auto"/>
          <w:kern w:val="0"/>
          <w:sz w:val="24"/>
          <w:szCs w:val="24"/>
          <w:highlight w:val="none"/>
          <w:lang w:val="en-US" w:eastAsia="zh-CN" w:bidi="ar"/>
        </w:rPr>
        <w:t xml:space="preserve">中载明。多家投标人提供的核心产品品牌相同的，按前两款规定处理。 </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43" w:name="_Toc163492861"/>
      <w:bookmarkStart w:id="244" w:name="_Toc140132794"/>
      <w:r>
        <w:rPr>
          <w:rFonts w:hint="eastAsia" w:ascii="仿宋" w:hAnsi="仿宋" w:eastAsia="仿宋" w:cs="仿宋"/>
          <w:b/>
          <w:bCs/>
          <w:color w:val="auto"/>
          <w:kern w:val="2"/>
          <w:sz w:val="24"/>
          <w:szCs w:val="28"/>
          <w:highlight w:val="none"/>
          <w:lang w:val="en-US" w:eastAsia="zh-CN" w:bidi="ar-SA"/>
        </w:rPr>
        <w:t>31.中标结果公告</w:t>
      </w:r>
      <w:bookmarkEnd w:id="243"/>
      <w:bookmarkEnd w:id="244"/>
    </w:p>
    <w:p w14:paraId="712AF3E4">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1</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采购人或</w:t>
      </w:r>
      <w:r>
        <w:rPr>
          <w:rFonts w:hint="eastAsia" w:ascii="仿宋" w:hAnsi="仿宋" w:eastAsia="仿宋" w:cs="仿宋"/>
          <w:color w:val="auto"/>
          <w:sz w:val="24"/>
          <w:highlight w:val="none"/>
        </w:rPr>
        <w:t>采购代理机构应当自中标人确定之日起2个工作日内，在</w:t>
      </w:r>
      <w:r>
        <w:rPr>
          <w:rFonts w:hint="eastAsia" w:ascii="仿宋" w:hAnsi="仿宋" w:eastAsia="仿宋" w:cs="仿宋"/>
          <w:color w:val="auto"/>
          <w:sz w:val="24"/>
          <w:highlight w:val="none"/>
          <w:lang w:val="en-US" w:eastAsia="zh-CN"/>
        </w:rPr>
        <w:t>发布招标公告的同一</w:t>
      </w:r>
      <w:r>
        <w:rPr>
          <w:rFonts w:hint="eastAsia" w:ascii="仿宋" w:hAnsi="仿宋" w:eastAsia="仿宋" w:cs="仿宋"/>
          <w:color w:val="auto"/>
          <w:sz w:val="24"/>
          <w:highlight w:val="none"/>
        </w:rPr>
        <w:t>媒体上发布中标结果公告，</w:t>
      </w:r>
      <w:r>
        <w:rPr>
          <w:rFonts w:hint="eastAsia" w:ascii="仿宋" w:hAnsi="仿宋" w:eastAsia="仿宋" w:cs="仿宋"/>
          <w:color w:val="auto"/>
          <w:sz w:val="24"/>
          <w:highlight w:val="none"/>
          <w:lang w:val="en-US" w:eastAsia="zh-CN"/>
        </w:rPr>
        <w:t>同时向中标人</w:t>
      </w:r>
      <w:r>
        <w:rPr>
          <w:rFonts w:hint="eastAsia" w:ascii="仿宋" w:hAnsi="仿宋" w:eastAsia="仿宋" w:cs="仿宋"/>
          <w:color w:val="auto"/>
          <w:sz w:val="24"/>
          <w:highlight w:val="none"/>
        </w:rPr>
        <w:t>发出中标通知书</w:t>
      </w:r>
      <w:r>
        <w:rPr>
          <w:rFonts w:hint="eastAsia" w:ascii="仿宋" w:hAnsi="仿宋" w:eastAsia="仿宋" w:cs="仿宋"/>
          <w:color w:val="auto"/>
          <w:sz w:val="24"/>
          <w:highlight w:val="none"/>
          <w:lang w:eastAsia="zh-CN"/>
        </w:rPr>
        <w:t>。招标文件随中标结果同时公告，</w:t>
      </w:r>
      <w:r>
        <w:rPr>
          <w:rFonts w:hint="eastAsia" w:ascii="仿宋" w:hAnsi="仿宋" w:eastAsia="仿宋" w:cs="仿宋"/>
          <w:color w:val="auto"/>
          <w:sz w:val="24"/>
          <w:highlight w:val="none"/>
        </w:rPr>
        <w:t>中标结果公告期限为1个工作日。</w:t>
      </w:r>
    </w:p>
    <w:p w14:paraId="5352A1FC">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rPr>
        <w:t>.2</w:t>
      </w:r>
      <w:r>
        <w:rPr>
          <w:rFonts w:hint="eastAsia" w:ascii="仿宋" w:hAnsi="仿宋" w:eastAsia="仿宋" w:cs="仿宋"/>
          <w:bCs/>
          <w:color w:val="auto"/>
          <w:sz w:val="24"/>
          <w:highlight w:val="none"/>
          <w:lang w:eastAsia="zh-CN"/>
        </w:rPr>
        <w:t>中标</w:t>
      </w:r>
      <w:r>
        <w:rPr>
          <w:rFonts w:hint="eastAsia" w:ascii="仿宋" w:hAnsi="仿宋" w:eastAsia="仿宋" w:cs="仿宋"/>
          <w:bCs/>
          <w:color w:val="auto"/>
          <w:sz w:val="24"/>
          <w:highlight w:val="none"/>
          <w:lang w:val="en-US" w:eastAsia="zh-CN"/>
        </w:rPr>
        <w:t>人</w:t>
      </w:r>
      <w:r>
        <w:rPr>
          <w:rFonts w:hint="eastAsia" w:ascii="仿宋" w:hAnsi="仿宋" w:eastAsia="仿宋" w:cs="仿宋"/>
          <w:bCs/>
          <w:color w:val="auto"/>
          <w:sz w:val="24"/>
          <w:highlight w:val="none"/>
          <w:lang w:eastAsia="zh-CN"/>
        </w:rPr>
        <w:t>为中小企业</w:t>
      </w:r>
      <w:r>
        <w:rPr>
          <w:rFonts w:hint="eastAsia" w:ascii="仿宋" w:hAnsi="仿宋" w:eastAsia="仿宋" w:cs="仿宋"/>
          <w:bCs/>
          <w:color w:val="auto"/>
          <w:sz w:val="24"/>
          <w:highlight w:val="none"/>
          <w:lang w:val="en-US" w:eastAsia="zh-CN"/>
        </w:rPr>
        <w:t>享受中小企业扶持政策的</w:t>
      </w:r>
      <w:r>
        <w:rPr>
          <w:rFonts w:hint="eastAsia" w:ascii="仿宋" w:hAnsi="仿宋" w:eastAsia="仿宋" w:cs="仿宋"/>
          <w:bCs/>
          <w:color w:val="auto"/>
          <w:sz w:val="24"/>
          <w:highlight w:val="none"/>
          <w:lang w:eastAsia="zh-CN"/>
        </w:rPr>
        <w:t>，其“中小企业声明函”随中标结果同时公告。中标</w:t>
      </w:r>
      <w:r>
        <w:rPr>
          <w:rFonts w:hint="eastAsia" w:ascii="仿宋" w:hAnsi="仿宋" w:eastAsia="仿宋" w:cs="仿宋"/>
          <w:bCs/>
          <w:color w:val="auto"/>
          <w:sz w:val="24"/>
          <w:highlight w:val="none"/>
          <w:lang w:val="en-US" w:eastAsia="zh-CN"/>
        </w:rPr>
        <w:t>人</w:t>
      </w:r>
      <w:r>
        <w:rPr>
          <w:rFonts w:hint="eastAsia" w:ascii="仿宋" w:hAnsi="仿宋" w:eastAsia="仿宋" w:cs="仿宋"/>
          <w:bCs/>
          <w:color w:val="auto"/>
          <w:sz w:val="24"/>
          <w:highlight w:val="none"/>
          <w:lang w:eastAsia="zh-CN"/>
        </w:rPr>
        <w:t>为残疾人福利性单位的，其“残疾人福利性单位声明函”随中标结果同时公告。</w:t>
      </w:r>
    </w:p>
    <w:p w14:paraId="284DD9EA">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31.3</w:t>
      </w:r>
      <w:r>
        <w:rPr>
          <w:rFonts w:hint="eastAsia" w:ascii="仿宋" w:hAnsi="仿宋" w:eastAsia="仿宋" w:cs="仿宋"/>
          <w:bCs/>
          <w:color w:val="auto"/>
          <w:sz w:val="24"/>
          <w:highlight w:val="none"/>
        </w:rPr>
        <w:t>项目采购采用最低评标价法的，公告中标结果时同时公告因落实政府采购政策等原因进行价格扣除后中标</w:t>
      </w:r>
      <w:r>
        <w:rPr>
          <w:rFonts w:hint="eastAsia" w:ascii="仿宋" w:hAnsi="仿宋" w:eastAsia="仿宋" w:cs="仿宋"/>
          <w:bCs/>
          <w:color w:val="auto"/>
          <w:sz w:val="24"/>
          <w:highlight w:val="none"/>
          <w:lang w:val="en-US" w:eastAsia="zh-CN"/>
        </w:rPr>
        <w:t>人</w:t>
      </w:r>
      <w:r>
        <w:rPr>
          <w:rFonts w:hint="eastAsia" w:ascii="仿宋" w:hAnsi="仿宋" w:eastAsia="仿宋" w:cs="仿宋"/>
          <w:bCs/>
          <w:color w:val="auto"/>
          <w:sz w:val="24"/>
          <w:highlight w:val="none"/>
        </w:rPr>
        <w:t>的评审报价；项目采购采用综合评分法的，公告中标结果时同时公告中标</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45" w:name="_Toc140132795"/>
      <w:bookmarkStart w:id="246" w:name="_Toc163492862"/>
      <w:r>
        <w:rPr>
          <w:rFonts w:hint="eastAsia" w:ascii="仿宋" w:hAnsi="仿宋" w:eastAsia="仿宋" w:cs="仿宋"/>
          <w:b/>
          <w:bCs/>
          <w:color w:val="auto"/>
          <w:kern w:val="2"/>
          <w:sz w:val="24"/>
          <w:szCs w:val="28"/>
          <w:highlight w:val="none"/>
          <w:lang w:val="en-US" w:eastAsia="zh-CN" w:bidi="ar-SA"/>
        </w:rPr>
        <w:t>32.中标通知</w:t>
      </w:r>
      <w:bookmarkEnd w:id="245"/>
      <w:bookmarkEnd w:id="246"/>
    </w:p>
    <w:p w14:paraId="41D33E18">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2</w:t>
      </w:r>
      <w:r>
        <w:rPr>
          <w:rFonts w:hint="eastAsia" w:ascii="仿宋" w:hAnsi="仿宋" w:eastAsia="仿宋" w:cs="仿宋"/>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仿宋" w:hAnsi="仿宋" w:eastAsia="仿宋" w:cs="仿宋"/>
          <w:b/>
          <w:bCs/>
          <w:color w:val="auto"/>
          <w:kern w:val="2"/>
          <w:sz w:val="24"/>
          <w:szCs w:val="32"/>
          <w:highlight w:val="none"/>
          <w:lang w:val="en-US" w:eastAsia="zh-CN" w:bidi="ar-SA"/>
        </w:rPr>
      </w:pPr>
      <w:bookmarkStart w:id="247" w:name="_Toc163492863"/>
      <w:r>
        <w:rPr>
          <w:rFonts w:hint="eastAsia" w:ascii="仿宋" w:hAnsi="仿宋" w:eastAsia="仿宋" w:cs="仿宋"/>
          <w:b/>
          <w:bCs/>
          <w:color w:val="auto"/>
          <w:kern w:val="2"/>
          <w:sz w:val="24"/>
          <w:szCs w:val="32"/>
          <w:highlight w:val="none"/>
          <w:lang w:val="en-US" w:eastAsia="zh-CN" w:bidi="ar-SA"/>
        </w:rPr>
        <w:t>（九）签订</w:t>
      </w:r>
      <w:bookmarkStart w:id="248" w:name="_Toc155185880"/>
      <w:bookmarkStart w:id="249" w:name="_Toc140132796"/>
      <w:r>
        <w:rPr>
          <w:rFonts w:hint="eastAsia" w:ascii="仿宋" w:hAnsi="仿宋" w:eastAsia="仿宋" w:cs="仿宋"/>
          <w:b/>
          <w:bCs/>
          <w:color w:val="auto"/>
          <w:kern w:val="2"/>
          <w:sz w:val="24"/>
          <w:szCs w:val="32"/>
          <w:highlight w:val="none"/>
          <w:lang w:val="en-US" w:eastAsia="zh-CN" w:bidi="ar-SA"/>
        </w:rPr>
        <w:t>合同</w:t>
      </w:r>
      <w:bookmarkEnd w:id="247"/>
      <w:bookmarkEnd w:id="248"/>
      <w:bookmarkEnd w:id="249"/>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50" w:name="_Toc163492864"/>
      <w:bookmarkStart w:id="251" w:name="_Toc140132797"/>
      <w:r>
        <w:rPr>
          <w:rFonts w:hint="eastAsia" w:ascii="仿宋" w:hAnsi="仿宋" w:eastAsia="仿宋" w:cs="仿宋"/>
          <w:b/>
          <w:bCs/>
          <w:color w:val="auto"/>
          <w:kern w:val="2"/>
          <w:sz w:val="24"/>
          <w:szCs w:val="28"/>
          <w:highlight w:val="none"/>
          <w:lang w:val="en-US" w:eastAsia="zh-CN" w:bidi="ar-SA"/>
        </w:rPr>
        <w:t>33.履约保证金</w:t>
      </w:r>
      <w:bookmarkEnd w:id="250"/>
      <w:bookmarkEnd w:id="251"/>
    </w:p>
    <w:p w14:paraId="77717F01">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3</w:t>
      </w:r>
      <w:r>
        <w:rPr>
          <w:rFonts w:hint="eastAsia" w:ascii="仿宋" w:hAnsi="仿宋" w:eastAsia="仿宋" w:cs="仿宋"/>
          <w:color w:val="auto"/>
          <w:sz w:val="24"/>
          <w:highlight w:val="none"/>
        </w:rPr>
        <w:t>.1在签订合同前，中标人应按“投标人须知前附表”规定的金额、担保形式和采购人认可的履约担保格式向采购人提交履约保证金。</w:t>
      </w:r>
    </w:p>
    <w:p w14:paraId="73BC7DAF">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3</w:t>
      </w:r>
      <w:r>
        <w:rPr>
          <w:rFonts w:hint="eastAsia" w:ascii="仿宋" w:hAnsi="仿宋" w:eastAsia="仿宋" w:cs="仿宋"/>
          <w:color w:val="auto"/>
          <w:sz w:val="24"/>
          <w:highlight w:val="none"/>
        </w:rPr>
        <w:t>.2中标人不能按本章第3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52" w:name="_Toc163492865"/>
      <w:bookmarkStart w:id="253" w:name="_Toc140132798"/>
      <w:r>
        <w:rPr>
          <w:rFonts w:hint="eastAsia" w:ascii="仿宋" w:hAnsi="仿宋" w:eastAsia="仿宋" w:cs="仿宋"/>
          <w:b/>
          <w:bCs/>
          <w:color w:val="auto"/>
          <w:kern w:val="2"/>
          <w:sz w:val="24"/>
          <w:szCs w:val="28"/>
          <w:highlight w:val="none"/>
          <w:lang w:val="en-US" w:eastAsia="zh-CN" w:bidi="ar-SA"/>
        </w:rPr>
        <w:t>34.签订合同</w:t>
      </w:r>
      <w:bookmarkEnd w:id="252"/>
      <w:bookmarkEnd w:id="253"/>
    </w:p>
    <w:p w14:paraId="77507EBB">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4</w:t>
      </w:r>
      <w:r>
        <w:rPr>
          <w:rFonts w:hint="eastAsia" w:ascii="仿宋" w:hAnsi="仿宋" w:eastAsia="仿宋" w:cs="仿宋"/>
          <w:color w:val="auto"/>
          <w:sz w:val="24"/>
          <w:highlight w:val="none"/>
        </w:rPr>
        <w:t>.1 采购人和中标人应当自中标通知书发出之日起</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72CF4FDD">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采购人和中标人不得向对方提出任何不合理的要求，作为签订合同的条件，双方不得私下订立背离合同实质性内容的协议。</w:t>
      </w:r>
    </w:p>
    <w:p w14:paraId="5551DDAE">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34.4 联合体中标的，联合体各方应当共同与采购人签订合同，就采购合同约定的事项向采购人承担连带责任。</w:t>
      </w:r>
    </w:p>
    <w:p w14:paraId="2BA187E8">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highlight w:val="none"/>
          <w:lang w:val="en-US" w:eastAsia="zh-CN"/>
        </w:rPr>
        <w:t>投标无效</w:t>
      </w:r>
      <w:r>
        <w:rPr>
          <w:rFonts w:hint="eastAsia" w:ascii="仿宋" w:hAnsi="仿宋" w:eastAsia="仿宋" w:cs="仿宋"/>
          <w:color w:val="auto"/>
          <w:sz w:val="24"/>
          <w:highlight w:val="none"/>
          <w:lang w:val="en-US" w:eastAsia="zh-CN"/>
        </w:rPr>
        <w:t>。中标人就采购项目和分包项目向采购人负责，分包供应商就分包项目承担责任。</w:t>
      </w:r>
      <w:r>
        <w:rPr>
          <w:rFonts w:hint="eastAsia" w:ascii="仿宋" w:hAnsi="仿宋" w:eastAsia="仿宋" w:cs="仿宋"/>
          <w:b/>
          <w:bCs/>
          <w:color w:val="auto"/>
          <w:sz w:val="24"/>
          <w:highlight w:val="none"/>
          <w:lang w:val="en-US" w:eastAsia="zh-CN"/>
        </w:rPr>
        <w:t>政府采购合同不能转包。</w:t>
      </w:r>
    </w:p>
    <w:p w14:paraId="13D12B87">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采购合同履行中，采购人需追加与合同标的相同的</w:t>
      </w:r>
      <w:r>
        <w:rPr>
          <w:rFonts w:hint="eastAsia" w:ascii="仿宋" w:hAnsi="仿宋" w:eastAsia="仿宋" w:cs="仿宋"/>
          <w:color w:val="auto"/>
          <w:sz w:val="24"/>
          <w:highlight w:val="none"/>
          <w:lang w:val="en-US" w:eastAsia="zh-CN"/>
        </w:rPr>
        <w:t>货物、工程或者服务</w:t>
      </w:r>
      <w:r>
        <w:rPr>
          <w:rFonts w:hint="eastAsia" w:ascii="仿宋" w:hAnsi="仿宋" w:eastAsia="仿宋" w:cs="仿宋"/>
          <w:color w:val="auto"/>
          <w:sz w:val="24"/>
          <w:highlight w:val="none"/>
        </w:rPr>
        <w:t>的，在不改变合同其他条款的前提下，可以与中标人协商签订补充合同，但所有补充合同的采购金额不得超过原合同采购金额的百分之十。</w:t>
      </w:r>
    </w:p>
    <w:p w14:paraId="259D0E8B">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仿宋" w:hAnsi="仿宋" w:eastAsia="仿宋" w:cs="仿宋"/>
          <w:b/>
          <w:bCs/>
          <w:color w:val="auto"/>
          <w:kern w:val="2"/>
          <w:sz w:val="24"/>
          <w:szCs w:val="32"/>
          <w:highlight w:val="none"/>
          <w:lang w:val="en-US" w:eastAsia="zh-CN" w:bidi="ar-SA"/>
        </w:rPr>
      </w:pPr>
      <w:bookmarkStart w:id="254" w:name="_Toc140132799"/>
      <w:bookmarkStart w:id="255" w:name="_Toc155185881"/>
      <w:bookmarkStart w:id="256" w:name="_Toc163492866"/>
      <w:r>
        <w:rPr>
          <w:rFonts w:hint="eastAsia" w:ascii="仿宋" w:hAnsi="仿宋" w:eastAsia="仿宋" w:cs="仿宋"/>
          <w:b/>
          <w:bCs/>
          <w:color w:val="auto"/>
          <w:kern w:val="2"/>
          <w:sz w:val="24"/>
          <w:szCs w:val="32"/>
          <w:highlight w:val="none"/>
          <w:lang w:val="en-US" w:eastAsia="zh-CN" w:bidi="ar-SA"/>
        </w:rPr>
        <w:t>（十）质疑和投诉</w:t>
      </w:r>
      <w:bookmarkEnd w:id="254"/>
      <w:bookmarkEnd w:id="255"/>
      <w:bookmarkEnd w:id="256"/>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57" w:name="_Toc140132800"/>
      <w:bookmarkStart w:id="258" w:name="_Toc163492867"/>
      <w:r>
        <w:rPr>
          <w:rFonts w:hint="eastAsia" w:ascii="仿宋" w:hAnsi="仿宋" w:eastAsia="仿宋" w:cs="仿宋"/>
          <w:b/>
          <w:bCs/>
          <w:color w:val="auto"/>
          <w:kern w:val="2"/>
          <w:sz w:val="24"/>
          <w:szCs w:val="28"/>
          <w:highlight w:val="none"/>
          <w:lang w:val="en-US" w:eastAsia="zh-CN" w:bidi="ar-SA"/>
        </w:rPr>
        <w:t>35.质疑</w:t>
      </w:r>
      <w:bookmarkEnd w:id="257"/>
      <w:bookmarkEnd w:id="258"/>
    </w:p>
    <w:p w14:paraId="097AA162">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详见“投标人须知前附表”</w:t>
      </w:r>
      <w:r>
        <w:rPr>
          <w:rFonts w:hint="eastAsia" w:ascii="仿宋" w:hAnsi="仿宋" w:eastAsia="仿宋" w:cs="仿宋"/>
          <w:color w:val="auto"/>
          <w:sz w:val="24"/>
          <w:highlight w:val="none"/>
        </w:rPr>
        <w:t>。供应商在法定质疑期内一次性提出针对同一采购程序环节的质疑。</w:t>
      </w:r>
    </w:p>
    <w:p w14:paraId="35972B93">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.2提出质疑的供应商（以下简称质疑供应商）应当是参与所质疑项目采购活动的供应商。</w:t>
      </w:r>
    </w:p>
    <w:p w14:paraId="6503DC74">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35.3</w:t>
      </w:r>
      <w:r>
        <w:rPr>
          <w:rFonts w:hint="eastAsia" w:ascii="仿宋" w:hAnsi="仿宋" w:eastAsia="仿宋" w:cs="仿宋"/>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35.4</w:t>
      </w:r>
      <w:r>
        <w:rPr>
          <w:rFonts w:hint="eastAsia" w:ascii="仿宋" w:hAnsi="仿宋" w:eastAsia="仿宋" w:cs="仿宋"/>
          <w:color w:val="auto"/>
          <w:sz w:val="24"/>
          <w:highlight w:val="none"/>
        </w:rPr>
        <w:t>供应商提出质疑应当提交质疑函和必要的证明材料。质疑函应当包括下列内容：</w:t>
      </w:r>
    </w:p>
    <w:p w14:paraId="57C1F480">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）供应商的姓名或者名称、地址、邮编、联系人及联系电话；</w:t>
      </w:r>
    </w:p>
    <w:p w14:paraId="2B1F4E61">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lang w:val="en-US" w:eastAsia="zh-CN"/>
        </w:rPr>
        <w:t>/包号</w:t>
      </w:r>
      <w:r>
        <w:rPr>
          <w:rFonts w:hint="eastAsia" w:ascii="仿宋" w:hAnsi="仿宋" w:eastAsia="仿宋" w:cs="仿宋"/>
          <w:color w:val="auto"/>
          <w:sz w:val="24"/>
          <w:highlight w:val="none"/>
        </w:rPr>
        <w:t>；</w:t>
      </w:r>
    </w:p>
    <w:p w14:paraId="1AA8BB74">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）具体、明确的质疑事项和与质疑事项相关的请求；</w:t>
      </w:r>
    </w:p>
    <w:p w14:paraId="6456E8B1">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）事实依据；</w:t>
      </w:r>
    </w:p>
    <w:p w14:paraId="4D032ABB">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）必要的法律依据；</w:t>
      </w:r>
    </w:p>
    <w:p w14:paraId="2E14DE4D">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）提出质疑的日期。</w:t>
      </w:r>
    </w:p>
    <w:p w14:paraId="553B627B">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供应商为自然人的，应当由本人签字；供应商为法人或者其他组织的，应当由法定代表人、主要负责人，或者其授权代表签字或者盖章，并加盖公章。</w:t>
      </w:r>
    </w:p>
    <w:p w14:paraId="5F1352A8">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.5质疑函不符合上述要求的，采购人或代理机构应书面告知具体事项，质疑人应当按要求进行修改或补充，并在质疑有效期限内提交。</w:t>
      </w:r>
    </w:p>
    <w:p w14:paraId="4A4B9243">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3</w:t>
      </w:r>
      <w:r>
        <w:rPr>
          <w:rFonts w:hint="eastAsia" w:ascii="仿宋" w:hAnsi="仿宋" w:eastAsia="仿宋" w:cs="仿宋"/>
          <w:snapToGrid w:val="0"/>
          <w:color w:val="auto"/>
          <w:sz w:val="24"/>
          <w:highlight w:val="none"/>
          <w:lang w:val="en-US" w:eastAsia="zh-CN"/>
        </w:rPr>
        <w:t>5</w:t>
      </w:r>
      <w:r>
        <w:rPr>
          <w:rFonts w:hint="eastAsia" w:ascii="仿宋" w:hAnsi="仿宋" w:eastAsia="仿宋" w:cs="仿宋"/>
          <w:snapToGrid w:val="0"/>
          <w:color w:val="auto"/>
          <w:sz w:val="24"/>
          <w:highlight w:val="none"/>
        </w:rPr>
        <w:t>.</w:t>
      </w:r>
      <w:r>
        <w:rPr>
          <w:rFonts w:hint="eastAsia" w:ascii="仿宋" w:hAnsi="仿宋" w:eastAsia="仿宋" w:cs="仿宋"/>
          <w:snapToGrid w:val="0"/>
          <w:color w:val="auto"/>
          <w:sz w:val="24"/>
          <w:highlight w:val="none"/>
          <w:lang w:val="en-US" w:eastAsia="zh-CN"/>
        </w:rPr>
        <w:t>6</w:t>
      </w:r>
      <w:r>
        <w:rPr>
          <w:rFonts w:hint="eastAsia" w:ascii="仿宋" w:hAnsi="仿宋" w:eastAsia="仿宋" w:cs="仿宋"/>
          <w:snapToGrid w:val="0"/>
          <w:color w:val="auto"/>
          <w:sz w:val="24"/>
          <w:highlight w:val="none"/>
        </w:rPr>
        <w:t>投标人进行虚假和恶意</w:t>
      </w:r>
      <w:r>
        <w:rPr>
          <w:rFonts w:hint="eastAsia" w:ascii="仿宋" w:hAnsi="仿宋" w:eastAsia="仿宋" w:cs="仿宋"/>
          <w:snapToGrid w:val="0"/>
          <w:color w:val="auto"/>
          <w:sz w:val="24"/>
          <w:highlight w:val="none"/>
          <w:lang w:val="en-US" w:eastAsia="zh-CN"/>
        </w:rPr>
        <w:t>质疑投诉</w:t>
      </w:r>
      <w:r>
        <w:rPr>
          <w:rFonts w:hint="eastAsia" w:ascii="仿宋" w:hAnsi="仿宋" w:eastAsia="仿宋" w:cs="仿宋"/>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35.7</w:t>
      </w:r>
      <w:r>
        <w:rPr>
          <w:rFonts w:hint="eastAsia" w:ascii="仿宋" w:hAnsi="仿宋" w:eastAsia="仿宋" w:cs="仿宋"/>
          <w:color w:val="auto"/>
          <w:sz w:val="24"/>
          <w:highlight w:val="none"/>
        </w:rPr>
        <w:t>质疑函</w:t>
      </w:r>
      <w:r>
        <w:rPr>
          <w:rFonts w:hint="eastAsia" w:ascii="仿宋" w:hAnsi="仿宋" w:eastAsia="仿宋" w:cs="仿宋"/>
          <w:color w:val="auto"/>
          <w:sz w:val="24"/>
          <w:highlight w:val="none"/>
          <w:lang w:val="en-US" w:eastAsia="zh-CN"/>
        </w:rPr>
        <w:t>应当使用中文，并采用财政部门制定的范本。</w:t>
      </w:r>
    </w:p>
    <w:p w14:paraId="57BB856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59" w:name="_Toc163492868"/>
      <w:bookmarkStart w:id="260" w:name="_Toc140132801"/>
      <w:r>
        <w:rPr>
          <w:rFonts w:hint="eastAsia" w:ascii="仿宋" w:hAnsi="仿宋" w:eastAsia="仿宋" w:cs="仿宋"/>
          <w:b/>
          <w:bCs/>
          <w:color w:val="auto"/>
          <w:kern w:val="2"/>
          <w:sz w:val="24"/>
          <w:szCs w:val="28"/>
          <w:highlight w:val="none"/>
          <w:lang w:val="en-US" w:eastAsia="zh-CN" w:bidi="ar-SA"/>
        </w:rPr>
        <w:t>36.质疑答复</w:t>
      </w:r>
      <w:bookmarkEnd w:id="259"/>
      <w:bookmarkEnd w:id="260"/>
    </w:p>
    <w:p w14:paraId="43D7F91D">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36.2供应商对评审过程、中标结果提出质疑的，采购人、采购代理机构可以组织原评标委员会协助答复质疑。</w:t>
      </w:r>
    </w:p>
    <w:p w14:paraId="14E02AAA">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zh-CN" w:eastAsia="zh-CN"/>
        </w:rPr>
      </w:pPr>
      <w:bookmarkStart w:id="261" w:name="_Toc140132802"/>
      <w:bookmarkStart w:id="262" w:name="_Toc163492869"/>
      <w:r>
        <w:rPr>
          <w:rFonts w:hint="eastAsia" w:ascii="仿宋" w:hAnsi="仿宋" w:eastAsia="仿宋" w:cs="仿宋"/>
          <w:color w:val="auto"/>
          <w:sz w:val="24"/>
          <w:highlight w:val="none"/>
          <w:lang w:val="zh-CN" w:eastAsia="zh-CN"/>
        </w:rPr>
        <w:t>质疑答复应当包括下列内容：</w:t>
      </w:r>
    </w:p>
    <w:p w14:paraId="457CAA68">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）质疑供应商的姓名或者名称；</w:t>
      </w:r>
    </w:p>
    <w:p w14:paraId="462FCFC0">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）收到质疑函的日期、质疑项目名称及</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lang w:val="zh-CN" w:eastAsia="zh-CN"/>
        </w:rPr>
        <w:t>编号/包号；</w:t>
      </w:r>
    </w:p>
    <w:p w14:paraId="18D72157">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）质疑事项、质疑答复的具体内容、事实依据和法律依据；</w:t>
      </w:r>
    </w:p>
    <w:p w14:paraId="416368F5">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val="zh-CN" w:eastAsia="zh-CN"/>
        </w:rPr>
        <w:t>）告知质疑供应商依法投诉的权利；</w:t>
      </w:r>
    </w:p>
    <w:p w14:paraId="36EE7969">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val="zh-CN" w:eastAsia="zh-CN"/>
        </w:rPr>
        <w:t>）质疑答复人名称；</w:t>
      </w:r>
    </w:p>
    <w:p w14:paraId="7E632C0C">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val="zh-CN" w:eastAsia="zh-CN"/>
        </w:rPr>
        <w:t>）答复质疑的日期。</w:t>
      </w:r>
    </w:p>
    <w:p w14:paraId="56A5E1E9">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质疑答复的内容不得涉及商业秘密。</w:t>
      </w:r>
    </w:p>
    <w:p w14:paraId="6D6B40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37.投诉</w:t>
      </w:r>
      <w:bookmarkEnd w:id="261"/>
      <w:bookmarkEnd w:id="262"/>
    </w:p>
    <w:p w14:paraId="5BD0CD3B">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37.1</w:t>
      </w:r>
      <w:r>
        <w:rPr>
          <w:rFonts w:hint="eastAsia" w:ascii="仿宋" w:hAnsi="仿宋" w:eastAsia="仿宋" w:cs="仿宋"/>
          <w:color w:val="auto"/>
          <w:sz w:val="24"/>
          <w:highlight w:val="none"/>
        </w:rPr>
        <w:t>质疑供应商对采购人、采购代理机构的答复不满意，或者采购人、采购代理机构未在规定时间内作出答复的，可以在答复期满后15个工作日内向</w:t>
      </w:r>
      <w:r>
        <w:rPr>
          <w:rFonts w:hint="eastAsia" w:ascii="仿宋" w:hAnsi="仿宋" w:eastAsia="仿宋" w:cs="仿宋"/>
          <w:color w:val="auto"/>
          <w:sz w:val="24"/>
          <w:highlight w:val="none"/>
          <w:lang w:val="en-US" w:eastAsia="zh-CN"/>
        </w:rPr>
        <w:t>同级政府采购监督管理部门</w:t>
      </w:r>
      <w:r>
        <w:rPr>
          <w:rFonts w:hint="eastAsia" w:ascii="仿宋" w:hAnsi="仿宋" w:eastAsia="仿宋" w:cs="仿宋"/>
          <w:color w:val="auto"/>
          <w:sz w:val="24"/>
          <w:highlight w:val="none"/>
        </w:rPr>
        <w:t>提起投诉。</w:t>
      </w:r>
    </w:p>
    <w:p w14:paraId="348027D2">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37.2</w:t>
      </w:r>
      <w:r>
        <w:rPr>
          <w:rFonts w:hint="eastAsia" w:ascii="仿宋" w:hAnsi="仿宋" w:eastAsia="仿宋" w:cs="仿宋"/>
          <w:color w:val="auto"/>
          <w:sz w:val="24"/>
          <w:highlight w:val="none"/>
        </w:rPr>
        <w:t>投诉人投诉时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应当提交投诉书和必要的证明材料，并按照被投诉采购人、采购代理机构（以下简称被投诉人）和与投诉事项有关的供应商数量提供投诉书的副本。投诉书应当包括下列内容：</w:t>
      </w:r>
    </w:p>
    <w:p w14:paraId="057A5A91">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）投诉人和被投诉人的姓名或者名称、通讯地址、邮编、联系人及联系电话；</w:t>
      </w:r>
    </w:p>
    <w:p w14:paraId="4B753851">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）质疑和质疑答复情况说明及相关证明材料；</w:t>
      </w:r>
    </w:p>
    <w:p w14:paraId="086B0607">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）具体、明确的投诉事项和与投诉事项相关的投诉请求；</w:t>
      </w:r>
    </w:p>
    <w:p w14:paraId="78BC80FD">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）事实依据；</w:t>
      </w:r>
    </w:p>
    <w:p w14:paraId="2AD666C0">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）法律依据；</w:t>
      </w:r>
    </w:p>
    <w:p w14:paraId="28B1919B">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）提起投诉的日期。</w:t>
      </w:r>
    </w:p>
    <w:p w14:paraId="29B1C185">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投诉人为自然人的，应当由本人签字；投诉人为法人或者其他组织的，应当由法定代表人、主要负责人，或者其授权代表签字或者盖章，并加盖公章。</w:t>
      </w:r>
    </w:p>
    <w:p w14:paraId="2A3BCE0B">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37.3</w:t>
      </w: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质疑、</w:t>
      </w:r>
      <w:r>
        <w:rPr>
          <w:rFonts w:hint="eastAsia" w:ascii="仿宋" w:hAnsi="仿宋" w:eastAsia="仿宋" w:cs="仿宋"/>
          <w:color w:val="auto"/>
          <w:sz w:val="24"/>
          <w:highlight w:val="none"/>
        </w:rPr>
        <w:t>投诉</w:t>
      </w:r>
      <w:r>
        <w:rPr>
          <w:rFonts w:hint="eastAsia" w:ascii="仿宋" w:hAnsi="仿宋" w:eastAsia="仿宋" w:cs="仿宋"/>
          <w:color w:val="auto"/>
          <w:sz w:val="24"/>
          <w:highlight w:val="none"/>
          <w:lang w:val="en-US" w:eastAsia="zh-CN"/>
        </w:rPr>
        <w:t>应当有明确的请求和必要的证明材料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供应商投诉的事项不得超出</w:t>
      </w:r>
      <w:r>
        <w:rPr>
          <w:rFonts w:hint="eastAsia" w:ascii="仿宋" w:hAnsi="仿宋" w:eastAsia="仿宋" w:cs="仿宋"/>
          <w:color w:val="auto"/>
          <w:sz w:val="24"/>
          <w:highlight w:val="none"/>
          <w:lang w:val="en-US" w:eastAsia="zh-CN"/>
        </w:rPr>
        <w:t>已</w:t>
      </w:r>
      <w:r>
        <w:rPr>
          <w:rFonts w:hint="eastAsia" w:ascii="仿宋" w:hAnsi="仿宋" w:eastAsia="仿宋" w:cs="仿宋"/>
          <w:color w:val="auto"/>
          <w:sz w:val="24"/>
          <w:highlight w:val="none"/>
        </w:rPr>
        <w:t>质疑事项的范围，但基于质疑答复内容提出的投诉事项除外。</w:t>
      </w:r>
    </w:p>
    <w:p w14:paraId="4A2CC2E9">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snapToGrid w:val="0"/>
          <w:color w:val="auto"/>
          <w:sz w:val="24"/>
          <w:highlight w:val="none"/>
          <w:lang w:val="en-US" w:eastAsia="zh-CN"/>
        </w:rPr>
        <w:t>37.4</w:t>
      </w:r>
      <w:r>
        <w:rPr>
          <w:rFonts w:hint="eastAsia" w:ascii="仿宋" w:hAnsi="仿宋" w:eastAsia="仿宋" w:cs="仿宋"/>
          <w:color w:val="auto"/>
          <w:sz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仿宋" w:hAnsi="仿宋" w:eastAsia="仿宋" w:cs="仿宋"/>
          <w:b/>
          <w:bCs/>
          <w:color w:val="auto"/>
          <w:kern w:val="2"/>
          <w:sz w:val="24"/>
          <w:szCs w:val="32"/>
          <w:highlight w:val="none"/>
          <w:lang w:val="en-US" w:eastAsia="zh-CN" w:bidi="ar-SA"/>
        </w:rPr>
      </w:pPr>
      <w:bookmarkStart w:id="263" w:name="_Toc140132803"/>
      <w:bookmarkStart w:id="264" w:name="_Toc163492870"/>
      <w:bookmarkStart w:id="265" w:name="_Toc155185882"/>
      <w:r>
        <w:rPr>
          <w:rFonts w:hint="eastAsia" w:ascii="仿宋" w:hAnsi="仿宋" w:eastAsia="仿宋" w:cs="仿宋"/>
          <w:b/>
          <w:bCs/>
          <w:color w:val="auto"/>
          <w:kern w:val="2"/>
          <w:sz w:val="24"/>
          <w:szCs w:val="32"/>
          <w:highlight w:val="none"/>
          <w:lang w:val="en-US" w:eastAsia="zh-CN" w:bidi="ar-SA"/>
        </w:rPr>
        <w:t>（十一）采购代理服务费</w:t>
      </w:r>
      <w:bookmarkEnd w:id="263"/>
      <w:bookmarkEnd w:id="264"/>
      <w:bookmarkEnd w:id="265"/>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66" w:name="_Toc140132804"/>
      <w:bookmarkStart w:id="267" w:name="_Toc163492871"/>
      <w:r>
        <w:rPr>
          <w:rFonts w:hint="eastAsia" w:ascii="仿宋" w:hAnsi="仿宋" w:eastAsia="仿宋" w:cs="仿宋"/>
          <w:b/>
          <w:bCs/>
          <w:color w:val="auto"/>
          <w:kern w:val="2"/>
          <w:sz w:val="24"/>
          <w:szCs w:val="28"/>
          <w:highlight w:val="none"/>
          <w:lang w:val="en-US" w:eastAsia="zh-CN" w:bidi="ar-SA"/>
        </w:rPr>
        <w:t>38.收取方式和标准</w:t>
      </w:r>
      <w:bookmarkEnd w:id="266"/>
      <w:bookmarkEnd w:id="267"/>
    </w:p>
    <w:p w14:paraId="0FDD9E25">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8</w:t>
      </w:r>
      <w:r>
        <w:rPr>
          <w:rFonts w:hint="eastAsia" w:ascii="仿宋" w:hAnsi="仿宋" w:eastAsia="仿宋" w:cs="仿宋"/>
          <w:color w:val="auto"/>
          <w:sz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仿宋" w:hAnsi="仿宋" w:eastAsia="仿宋" w:cs="仿宋"/>
          <w:b/>
          <w:bCs/>
          <w:color w:val="auto"/>
          <w:kern w:val="2"/>
          <w:sz w:val="24"/>
          <w:szCs w:val="32"/>
          <w:highlight w:val="none"/>
          <w:lang w:val="en-US" w:eastAsia="zh-CN" w:bidi="ar-SA"/>
        </w:rPr>
      </w:pPr>
      <w:bookmarkStart w:id="268" w:name="_Toc140132805"/>
      <w:bookmarkStart w:id="269" w:name="_Toc163492872"/>
      <w:bookmarkStart w:id="270" w:name="_Toc155185883"/>
      <w:r>
        <w:rPr>
          <w:rFonts w:hint="eastAsia" w:ascii="仿宋" w:hAnsi="仿宋" w:eastAsia="仿宋" w:cs="仿宋"/>
          <w:b/>
          <w:bCs/>
          <w:color w:val="auto"/>
          <w:kern w:val="2"/>
          <w:sz w:val="24"/>
          <w:szCs w:val="32"/>
          <w:highlight w:val="none"/>
          <w:lang w:val="en-US" w:eastAsia="zh-CN" w:bidi="ar-SA"/>
        </w:rPr>
        <w:t>（十二）无效投标和废标</w:t>
      </w:r>
      <w:bookmarkEnd w:id="268"/>
      <w:bookmarkEnd w:id="269"/>
      <w:bookmarkEnd w:id="270"/>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71" w:name="_Toc163492873"/>
      <w:bookmarkStart w:id="272" w:name="_Toc140132806"/>
      <w:r>
        <w:rPr>
          <w:rFonts w:hint="eastAsia" w:ascii="仿宋" w:hAnsi="仿宋" w:eastAsia="仿宋" w:cs="仿宋"/>
          <w:b/>
          <w:bCs/>
          <w:color w:val="auto"/>
          <w:kern w:val="2"/>
          <w:sz w:val="24"/>
          <w:szCs w:val="28"/>
          <w:highlight w:val="none"/>
          <w:lang w:val="en-US" w:eastAsia="zh-CN" w:bidi="ar-SA"/>
        </w:rPr>
        <w:t>39.无效投标</w:t>
      </w:r>
      <w:bookmarkEnd w:id="271"/>
      <w:bookmarkEnd w:id="272"/>
    </w:p>
    <w:p w14:paraId="0EBD1306">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39</w:t>
      </w:r>
      <w:r>
        <w:rPr>
          <w:rFonts w:hint="eastAsia" w:ascii="仿宋" w:hAnsi="仿宋" w:eastAsia="仿宋" w:cs="仿宋"/>
          <w:color w:val="auto"/>
          <w:sz w:val="24"/>
          <w:highlight w:val="none"/>
        </w:rPr>
        <w:t>.1投标文件存在“第四章</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资格审查”、“第五章</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评标</w:t>
      </w:r>
      <w:r>
        <w:rPr>
          <w:rFonts w:hint="eastAsia" w:ascii="仿宋" w:hAnsi="仿宋" w:eastAsia="仿宋" w:cs="仿宋"/>
          <w:color w:val="auto"/>
          <w:sz w:val="24"/>
          <w:highlight w:val="none"/>
          <w:lang w:val="en-US" w:eastAsia="zh-CN"/>
        </w:rPr>
        <w:t>方</w:t>
      </w:r>
      <w:r>
        <w:rPr>
          <w:rFonts w:hint="eastAsia" w:ascii="仿宋" w:hAnsi="仿宋" w:eastAsia="仿宋" w:cs="仿宋"/>
          <w:color w:val="auto"/>
          <w:sz w:val="24"/>
          <w:highlight w:val="none"/>
        </w:rPr>
        <w:t>法及标准”</w:t>
      </w:r>
      <w:r>
        <w:rPr>
          <w:rFonts w:hint="eastAsia" w:ascii="仿宋" w:hAnsi="仿宋" w:eastAsia="仿宋" w:cs="仿宋"/>
          <w:color w:val="auto"/>
          <w:sz w:val="24"/>
          <w:highlight w:val="none"/>
          <w:lang w:val="en-US" w:eastAsia="zh-CN"/>
        </w:rPr>
        <w:t>及本招标文件</w:t>
      </w:r>
      <w:r>
        <w:rPr>
          <w:rFonts w:hint="eastAsia" w:ascii="仿宋" w:hAnsi="仿宋" w:eastAsia="仿宋" w:cs="仿宋"/>
          <w:color w:val="auto"/>
          <w:sz w:val="24"/>
          <w:highlight w:val="none"/>
        </w:rPr>
        <w:t>规定的投标无效情形的，其</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73" w:name="_Toc140132807"/>
      <w:bookmarkStart w:id="274" w:name="_Toc163492874"/>
      <w:r>
        <w:rPr>
          <w:rFonts w:hint="eastAsia" w:ascii="仿宋" w:hAnsi="仿宋" w:eastAsia="仿宋" w:cs="仿宋"/>
          <w:b/>
          <w:bCs/>
          <w:color w:val="auto"/>
          <w:kern w:val="2"/>
          <w:sz w:val="24"/>
          <w:szCs w:val="28"/>
          <w:highlight w:val="none"/>
          <w:lang w:val="en-US" w:eastAsia="zh-CN" w:bidi="ar-SA"/>
        </w:rPr>
        <w:t>40.废标</w:t>
      </w:r>
      <w:bookmarkEnd w:id="273"/>
      <w:bookmarkEnd w:id="274"/>
    </w:p>
    <w:p w14:paraId="5BFCDD79">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.1在招标采购中出现有“第五章</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评标</w:t>
      </w:r>
      <w:r>
        <w:rPr>
          <w:rFonts w:hint="eastAsia" w:ascii="仿宋" w:hAnsi="仿宋" w:eastAsia="仿宋" w:cs="仿宋"/>
          <w:color w:val="auto"/>
          <w:sz w:val="24"/>
          <w:highlight w:val="none"/>
          <w:lang w:val="en-US" w:eastAsia="zh-CN"/>
        </w:rPr>
        <w:t>方</w:t>
      </w:r>
      <w:r>
        <w:rPr>
          <w:rFonts w:hint="eastAsia" w:ascii="仿宋" w:hAnsi="仿宋" w:eastAsia="仿宋" w:cs="仿宋"/>
          <w:color w:val="auto"/>
          <w:sz w:val="24"/>
          <w:highlight w:val="none"/>
        </w:rPr>
        <w:t>法及标准”</w:t>
      </w:r>
      <w:r>
        <w:rPr>
          <w:rFonts w:hint="eastAsia" w:ascii="仿宋" w:hAnsi="仿宋" w:eastAsia="仿宋" w:cs="仿宋"/>
          <w:color w:val="auto"/>
          <w:sz w:val="24"/>
          <w:highlight w:val="none"/>
          <w:lang w:val="en-US" w:eastAsia="zh-CN"/>
        </w:rPr>
        <w:t>及本招标文件</w:t>
      </w:r>
      <w:r>
        <w:rPr>
          <w:rFonts w:hint="eastAsia" w:ascii="仿宋" w:hAnsi="仿宋" w:eastAsia="仿宋" w:cs="仿宋"/>
          <w:color w:val="auto"/>
          <w:sz w:val="24"/>
          <w:highlight w:val="none"/>
        </w:rPr>
        <w:t>规定的废标情形的，应予以</w:t>
      </w:r>
      <w:r>
        <w:rPr>
          <w:rFonts w:hint="eastAsia" w:ascii="仿宋" w:hAnsi="仿宋" w:eastAsia="仿宋" w:cs="仿宋"/>
          <w:b/>
          <w:bCs/>
          <w:color w:val="auto"/>
          <w:sz w:val="24"/>
          <w:highlight w:val="none"/>
        </w:rPr>
        <w:t>废标</w:t>
      </w:r>
      <w:r>
        <w:rPr>
          <w:rFonts w:hint="eastAsia" w:ascii="仿宋" w:hAnsi="仿宋" w:eastAsia="仿宋" w:cs="仿宋"/>
          <w:color w:val="auto"/>
          <w:sz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仿宋" w:hAnsi="仿宋" w:eastAsia="仿宋" w:cs="仿宋"/>
          <w:b/>
          <w:bCs/>
          <w:color w:val="auto"/>
          <w:kern w:val="2"/>
          <w:sz w:val="24"/>
          <w:szCs w:val="32"/>
          <w:highlight w:val="none"/>
          <w:lang w:val="en-US" w:eastAsia="zh-CN" w:bidi="ar-SA"/>
        </w:rPr>
      </w:pPr>
      <w:bookmarkStart w:id="275" w:name="_Toc163492875"/>
      <w:bookmarkStart w:id="276" w:name="_Toc140132766"/>
      <w:bookmarkStart w:id="277" w:name="_Toc140132808"/>
      <w:bookmarkStart w:id="278" w:name="_Toc155185884"/>
      <w:r>
        <w:rPr>
          <w:rFonts w:hint="eastAsia" w:ascii="仿宋" w:hAnsi="仿宋" w:eastAsia="仿宋" w:cs="仿宋"/>
          <w:b/>
          <w:bCs/>
          <w:color w:val="auto"/>
          <w:kern w:val="2"/>
          <w:sz w:val="24"/>
          <w:szCs w:val="32"/>
          <w:highlight w:val="none"/>
          <w:lang w:val="en-US" w:eastAsia="zh-CN" w:bidi="ar-SA"/>
        </w:rPr>
        <w:t>（十三）落实政府采购政策</w:t>
      </w:r>
      <w:bookmarkEnd w:id="275"/>
      <w:bookmarkEnd w:id="276"/>
      <w:r>
        <w:rPr>
          <w:rFonts w:hint="eastAsia" w:ascii="仿宋" w:hAnsi="仿宋" w:eastAsia="仿宋" w:cs="仿宋"/>
          <w:b/>
          <w:bCs/>
          <w:color w:val="auto"/>
          <w:kern w:val="2"/>
          <w:sz w:val="24"/>
          <w:szCs w:val="32"/>
          <w:highlight w:val="none"/>
          <w:lang w:val="en-US" w:eastAsia="zh-CN" w:bidi="ar-SA"/>
        </w:rPr>
        <w:t>（包括但不限于下列具体政策要求）</w:t>
      </w:r>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79" w:name="_Toc163492876"/>
      <w:r>
        <w:rPr>
          <w:rFonts w:hint="eastAsia" w:ascii="仿宋" w:hAnsi="仿宋" w:eastAsia="仿宋" w:cs="仿宋"/>
          <w:b/>
          <w:bCs/>
          <w:color w:val="auto"/>
          <w:kern w:val="2"/>
          <w:sz w:val="24"/>
          <w:szCs w:val="28"/>
          <w:highlight w:val="none"/>
          <w:lang w:val="en-US" w:eastAsia="zh-CN" w:bidi="ar-SA"/>
        </w:rPr>
        <w:t>41.本国产品和进口产品</w:t>
      </w:r>
      <w:bookmarkEnd w:id="279"/>
    </w:p>
    <w:p w14:paraId="59F3A450">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41.1本国产品标准及支持政策</w:t>
      </w:r>
    </w:p>
    <w:p w14:paraId="441816D7">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医疗器械产品，取得药品监督管理部门授予的准字号医疗器械注册证的，视为符合本国产品标准。</w:t>
      </w:r>
    </w:p>
    <w:p w14:paraId="5448085F">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17228ADB">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5E26556">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41.1.8对于仅有本国产品参与竞争的政府采购项目，本国产品不享受价格扣除评审优惠。</w:t>
      </w:r>
    </w:p>
    <w:p w14:paraId="2B40C7E8">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41.2进口产品</w:t>
      </w:r>
    </w:p>
    <w:p w14:paraId="169666B9">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201F13F9">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rPr>
        <w:t>4</w:t>
      </w:r>
      <w:r>
        <w:rPr>
          <w:rFonts w:hint="eastAsia" w:ascii="仿宋" w:hAnsi="仿宋" w:eastAsia="仿宋" w:cs="仿宋"/>
          <w:snapToGrid w:val="0"/>
          <w:color w:val="auto"/>
          <w:sz w:val="24"/>
          <w:highlight w:val="none"/>
          <w:lang w:val="en-US" w:eastAsia="zh-CN"/>
        </w:rPr>
        <w:t>1</w:t>
      </w:r>
      <w:r>
        <w:rPr>
          <w:rFonts w:hint="eastAsia" w:ascii="仿宋" w:hAnsi="仿宋" w:eastAsia="仿宋" w:cs="仿宋"/>
          <w:snapToGrid w:val="0"/>
          <w:color w:val="auto"/>
          <w:sz w:val="24"/>
          <w:highlight w:val="none"/>
        </w:rPr>
        <w:t>.</w:t>
      </w:r>
      <w:r>
        <w:rPr>
          <w:rFonts w:hint="eastAsia" w:ascii="仿宋" w:hAnsi="仿宋" w:eastAsia="仿宋" w:cs="仿宋"/>
          <w:snapToGrid w:val="0"/>
          <w:color w:val="auto"/>
          <w:sz w:val="24"/>
          <w:highlight w:val="none"/>
          <w:lang w:val="en-US" w:eastAsia="zh-CN"/>
        </w:rPr>
        <w:t xml:space="preserve">2.2进口产品指通过中国海关报关验放进入中国境内且产自关境外的产品，包括已经进入中国境内的进口产品。 </w:t>
      </w:r>
    </w:p>
    <w:p w14:paraId="0C404CE2">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rPr>
        <w:t>4</w:t>
      </w:r>
      <w:r>
        <w:rPr>
          <w:rFonts w:hint="eastAsia" w:ascii="仿宋" w:hAnsi="仿宋" w:eastAsia="仿宋" w:cs="仿宋"/>
          <w:snapToGrid w:val="0"/>
          <w:color w:val="auto"/>
          <w:sz w:val="24"/>
          <w:highlight w:val="none"/>
          <w:lang w:val="en-US" w:eastAsia="zh-CN"/>
        </w:rPr>
        <w:t>1</w:t>
      </w:r>
      <w:r>
        <w:rPr>
          <w:rFonts w:hint="eastAsia" w:ascii="仿宋" w:hAnsi="仿宋" w:eastAsia="仿宋" w:cs="仿宋"/>
          <w:snapToGrid w:val="0"/>
          <w:color w:val="auto"/>
          <w:sz w:val="24"/>
          <w:highlight w:val="none"/>
        </w:rPr>
        <w:t>.</w:t>
      </w:r>
      <w:r>
        <w:rPr>
          <w:rFonts w:hint="eastAsia" w:ascii="仿宋" w:hAnsi="仿宋" w:eastAsia="仿宋" w:cs="仿宋"/>
          <w:snapToGrid w:val="0"/>
          <w:color w:val="auto"/>
          <w:sz w:val="24"/>
          <w:highlight w:val="none"/>
          <w:lang w:val="en-US" w:eastAsia="zh-CN"/>
        </w:rPr>
        <w:t>2.3若采购需求中写明允许采购进口产品，投标人应保证所投产品可履行合法报通关手续进入中国关境内。</w:t>
      </w:r>
    </w:p>
    <w:p w14:paraId="50A8DE9A">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rPr>
        <w:t>4</w:t>
      </w:r>
      <w:r>
        <w:rPr>
          <w:rFonts w:hint="eastAsia" w:ascii="仿宋" w:hAnsi="仿宋" w:eastAsia="仿宋" w:cs="仿宋"/>
          <w:snapToGrid w:val="0"/>
          <w:color w:val="auto"/>
          <w:sz w:val="24"/>
          <w:highlight w:val="none"/>
          <w:lang w:val="en-US" w:eastAsia="zh-CN"/>
        </w:rPr>
        <w:t>1</w:t>
      </w:r>
      <w:r>
        <w:rPr>
          <w:rFonts w:hint="eastAsia" w:ascii="仿宋" w:hAnsi="仿宋" w:eastAsia="仿宋" w:cs="仿宋"/>
          <w:snapToGrid w:val="0"/>
          <w:color w:val="auto"/>
          <w:sz w:val="24"/>
          <w:highlight w:val="none"/>
        </w:rPr>
        <w:t>.</w:t>
      </w:r>
      <w:r>
        <w:rPr>
          <w:rFonts w:hint="eastAsia" w:ascii="仿宋" w:hAnsi="仿宋" w:eastAsia="仿宋" w:cs="仿宋"/>
          <w:snapToGrid w:val="0"/>
          <w:color w:val="auto"/>
          <w:sz w:val="24"/>
          <w:highlight w:val="none"/>
          <w:lang w:val="en-US" w:eastAsia="zh-CN"/>
        </w:rPr>
        <w:t>2.4若采购需求中未写明允许采购进口产品，如投标人所投产品为进口产品，其投标将被认定为</w:t>
      </w:r>
      <w:r>
        <w:rPr>
          <w:rFonts w:hint="eastAsia" w:ascii="仿宋" w:hAnsi="仿宋" w:eastAsia="仿宋" w:cs="仿宋"/>
          <w:b/>
          <w:bCs/>
          <w:snapToGrid w:val="0"/>
          <w:color w:val="auto"/>
          <w:sz w:val="24"/>
          <w:highlight w:val="none"/>
          <w:lang w:val="en-US" w:eastAsia="zh-CN"/>
        </w:rPr>
        <w:t>投标无效</w:t>
      </w:r>
      <w:r>
        <w:rPr>
          <w:rFonts w:hint="eastAsia" w:ascii="仿宋" w:hAnsi="仿宋" w:eastAsia="仿宋" w:cs="仿宋"/>
          <w:snapToGrid w:val="0"/>
          <w:color w:val="auto"/>
          <w:sz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80" w:name="_Toc163492877"/>
      <w:r>
        <w:rPr>
          <w:rFonts w:hint="eastAsia" w:ascii="仿宋" w:hAnsi="仿宋" w:eastAsia="仿宋" w:cs="仿宋"/>
          <w:b/>
          <w:bCs/>
          <w:color w:val="auto"/>
          <w:kern w:val="2"/>
          <w:sz w:val="24"/>
          <w:szCs w:val="28"/>
          <w:highlight w:val="none"/>
          <w:lang w:val="en-US" w:eastAsia="zh-CN" w:bidi="ar-SA"/>
        </w:rPr>
        <w:t>42.中小企业、监狱企业及残疾人福利性单位</w:t>
      </w:r>
      <w:bookmarkEnd w:id="280"/>
    </w:p>
    <w:p w14:paraId="6CF3C244">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42</w:t>
      </w:r>
      <w:r>
        <w:rPr>
          <w:rFonts w:hint="eastAsia" w:ascii="仿宋" w:hAnsi="仿宋" w:eastAsia="仿宋" w:cs="仿宋"/>
          <w:snapToGrid w:val="0"/>
          <w:color w:val="auto"/>
          <w:sz w:val="24"/>
          <w:highlight w:val="none"/>
        </w:rPr>
        <w:t>.</w:t>
      </w:r>
      <w:r>
        <w:rPr>
          <w:rFonts w:hint="eastAsia" w:ascii="仿宋" w:hAnsi="仿宋" w:eastAsia="仿宋" w:cs="仿宋"/>
          <w:snapToGrid w:val="0"/>
          <w:color w:val="auto"/>
          <w:sz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775C3158">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42</w:t>
      </w:r>
      <w:r>
        <w:rPr>
          <w:rFonts w:hint="eastAsia" w:ascii="仿宋" w:hAnsi="仿宋" w:eastAsia="仿宋" w:cs="仿宋"/>
          <w:snapToGrid w:val="0"/>
          <w:color w:val="auto"/>
          <w:sz w:val="24"/>
          <w:highlight w:val="none"/>
        </w:rPr>
        <w:t>.</w:t>
      </w:r>
      <w:r>
        <w:rPr>
          <w:rFonts w:hint="eastAsia" w:ascii="仿宋" w:hAnsi="仿宋" w:eastAsia="仿宋" w:cs="仿宋"/>
          <w:snapToGrid w:val="0"/>
          <w:color w:val="auto"/>
          <w:sz w:val="24"/>
          <w:highlight w:val="none"/>
          <w:lang w:val="en-US" w:eastAsia="zh-CN"/>
        </w:rPr>
        <w:t>2</w:t>
      </w:r>
      <w:r>
        <w:rPr>
          <w:rFonts w:hint="eastAsia" w:ascii="仿宋" w:hAnsi="仿宋" w:eastAsia="仿宋" w:cs="仿宋"/>
          <w:snapToGrid w:val="0"/>
          <w:color w:val="auto"/>
          <w:sz w:val="24"/>
          <w:highlight w:val="none"/>
        </w:rPr>
        <w:t>为促进中小企业发展，依据《关于印发</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rPr>
        <w: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仿宋" w:hAnsi="仿宋" w:eastAsia="仿宋" w:cs="仿宋"/>
          <w:snapToGrid w:val="0"/>
          <w:color w:val="auto"/>
          <w:sz w:val="24"/>
          <w:highlight w:val="none"/>
          <w:lang w:eastAsia="zh-CN"/>
        </w:rPr>
        <w:t>需享受中小企业相关政策的，且</w:t>
      </w:r>
      <w:r>
        <w:rPr>
          <w:rFonts w:hint="eastAsia" w:ascii="仿宋" w:hAnsi="仿宋" w:eastAsia="仿宋" w:cs="仿宋"/>
          <w:snapToGrid w:val="0"/>
          <w:color w:val="auto"/>
          <w:sz w:val="24"/>
          <w:highlight w:val="none"/>
        </w:rPr>
        <w:t>符合上述文件规定的，</w:t>
      </w:r>
      <w:r>
        <w:rPr>
          <w:rFonts w:hint="eastAsia" w:ascii="仿宋" w:hAnsi="仿宋" w:eastAsia="仿宋" w:cs="仿宋"/>
          <w:snapToGrid w:val="0"/>
          <w:color w:val="auto"/>
          <w:sz w:val="24"/>
          <w:highlight w:val="none"/>
          <w:lang w:eastAsia="zh-CN"/>
        </w:rPr>
        <w:t>应按本</w:t>
      </w:r>
      <w:r>
        <w:rPr>
          <w:rFonts w:hint="eastAsia" w:ascii="仿宋" w:hAnsi="仿宋" w:eastAsia="仿宋" w:cs="仿宋"/>
          <w:snapToGrid w:val="0"/>
          <w:color w:val="auto"/>
          <w:sz w:val="24"/>
          <w:highlight w:val="none"/>
          <w:lang w:val="en-US" w:eastAsia="zh-CN"/>
        </w:rPr>
        <w:t>招标</w:t>
      </w:r>
      <w:r>
        <w:rPr>
          <w:rFonts w:hint="eastAsia" w:ascii="仿宋" w:hAnsi="仿宋" w:eastAsia="仿宋" w:cs="仿宋"/>
          <w:snapToGrid w:val="0"/>
          <w:color w:val="auto"/>
          <w:sz w:val="24"/>
          <w:highlight w:val="none"/>
          <w:lang w:eastAsia="zh-CN"/>
        </w:rPr>
        <w:t>文件规定格式</w:t>
      </w:r>
      <w:r>
        <w:rPr>
          <w:rFonts w:hint="eastAsia" w:ascii="仿宋" w:hAnsi="仿宋" w:eastAsia="仿宋" w:cs="仿宋"/>
          <w:snapToGrid w:val="0"/>
          <w:color w:val="auto"/>
          <w:sz w:val="24"/>
          <w:highlight w:val="none"/>
        </w:rPr>
        <w:t>提供</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rPr>
        <w:t>中小企业声明函</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lang w:val="en-US" w:eastAsia="zh-CN"/>
        </w:rPr>
        <w:t>或“</w:t>
      </w:r>
      <w:r>
        <w:rPr>
          <w:rFonts w:hint="eastAsia" w:ascii="仿宋" w:hAnsi="仿宋" w:eastAsia="仿宋" w:cs="仿宋"/>
          <w:snapToGrid w:val="0"/>
          <w:color w:val="auto"/>
          <w:sz w:val="24"/>
          <w:highlight w:val="none"/>
        </w:rPr>
        <w:t>监狱企业证明文件</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lang w:val="en-US" w:eastAsia="zh-CN"/>
        </w:rPr>
        <w:t>或</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rPr>
        <w:t>残疾人福利性单位声明函</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rPr>
        <w:t>，评审时，</w:t>
      </w:r>
      <w:r>
        <w:rPr>
          <w:rFonts w:hint="eastAsia" w:ascii="仿宋" w:hAnsi="仿宋" w:eastAsia="仿宋" w:cs="仿宋"/>
          <w:snapToGrid w:val="0"/>
          <w:color w:val="auto"/>
          <w:sz w:val="24"/>
          <w:highlight w:val="none"/>
          <w:lang w:val="en-US" w:eastAsia="zh-CN"/>
        </w:rPr>
        <w:t>评标委员会</w:t>
      </w:r>
      <w:r>
        <w:rPr>
          <w:rFonts w:hint="eastAsia" w:ascii="仿宋" w:hAnsi="仿宋" w:eastAsia="仿宋" w:cs="仿宋"/>
          <w:snapToGrid w:val="0"/>
          <w:color w:val="auto"/>
          <w:sz w:val="24"/>
          <w:highlight w:val="none"/>
        </w:rPr>
        <w:t>将依据</w:t>
      </w:r>
      <w:r>
        <w:rPr>
          <w:rFonts w:hint="eastAsia" w:ascii="仿宋" w:hAnsi="仿宋" w:eastAsia="仿宋" w:cs="仿宋"/>
          <w:snapToGrid w:val="0"/>
          <w:color w:val="auto"/>
          <w:sz w:val="24"/>
          <w:highlight w:val="none"/>
          <w:lang w:eastAsia="zh-CN"/>
        </w:rPr>
        <w:t>本</w:t>
      </w:r>
      <w:r>
        <w:rPr>
          <w:rFonts w:hint="eastAsia" w:ascii="仿宋" w:hAnsi="仿宋" w:eastAsia="仿宋" w:cs="仿宋"/>
          <w:snapToGrid w:val="0"/>
          <w:color w:val="auto"/>
          <w:sz w:val="24"/>
          <w:highlight w:val="none"/>
          <w:lang w:val="en-US" w:eastAsia="zh-CN"/>
        </w:rPr>
        <w:t>招标</w:t>
      </w:r>
      <w:r>
        <w:rPr>
          <w:rFonts w:hint="eastAsia" w:ascii="仿宋" w:hAnsi="仿宋" w:eastAsia="仿宋" w:cs="仿宋"/>
          <w:snapToGrid w:val="0"/>
          <w:color w:val="auto"/>
          <w:sz w:val="24"/>
          <w:highlight w:val="none"/>
          <w:lang w:eastAsia="zh-CN"/>
        </w:rPr>
        <w:t>文件</w:t>
      </w:r>
      <w:r>
        <w:rPr>
          <w:rFonts w:hint="eastAsia" w:ascii="仿宋" w:hAnsi="仿宋" w:eastAsia="仿宋" w:cs="仿宋"/>
          <w:snapToGrid w:val="0"/>
          <w:color w:val="auto"/>
          <w:sz w:val="24"/>
          <w:highlight w:val="none"/>
        </w:rPr>
        <w:t>“</w:t>
      </w:r>
      <w:r>
        <w:rPr>
          <w:rFonts w:hint="eastAsia" w:ascii="仿宋" w:hAnsi="仿宋" w:eastAsia="仿宋" w:cs="仿宋"/>
          <w:snapToGrid w:val="0"/>
          <w:color w:val="auto"/>
          <w:sz w:val="24"/>
          <w:highlight w:val="none"/>
          <w:lang w:val="en-US" w:eastAsia="zh-CN"/>
        </w:rPr>
        <w:t>投标人</w:t>
      </w:r>
      <w:r>
        <w:rPr>
          <w:rFonts w:hint="eastAsia" w:ascii="仿宋" w:hAnsi="仿宋" w:eastAsia="仿宋" w:cs="仿宋"/>
          <w:snapToGrid w:val="0"/>
          <w:color w:val="auto"/>
          <w:sz w:val="24"/>
          <w:highlight w:val="none"/>
        </w:rPr>
        <w:t>须知前附表”规定的报价扣除比例，对供应商报价进行价格扣除，用扣除后的价格参与评审</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lang w:val="en-US" w:eastAsia="zh-CN"/>
        </w:rPr>
        <w:t>招标</w:t>
      </w:r>
      <w:r>
        <w:rPr>
          <w:rFonts w:hint="eastAsia" w:ascii="仿宋" w:hAnsi="仿宋" w:eastAsia="仿宋" w:cs="仿宋"/>
          <w:snapToGrid w:val="0"/>
          <w:color w:val="auto"/>
          <w:sz w:val="24"/>
          <w:highlight w:val="none"/>
          <w:lang w:eastAsia="zh-CN"/>
        </w:rPr>
        <w:t>公告中明确项目专门面向中小企业采购的，“</w:t>
      </w:r>
      <w:r>
        <w:rPr>
          <w:rFonts w:hint="eastAsia" w:ascii="仿宋" w:hAnsi="仿宋" w:eastAsia="仿宋" w:cs="仿宋"/>
          <w:snapToGrid w:val="0"/>
          <w:color w:val="auto"/>
          <w:sz w:val="24"/>
          <w:highlight w:val="none"/>
        </w:rPr>
        <w:t>中小企业声明函</w:t>
      </w:r>
      <w:r>
        <w:rPr>
          <w:rFonts w:hint="eastAsia" w:ascii="仿宋" w:hAnsi="仿宋" w:eastAsia="仿宋" w:cs="仿宋"/>
          <w:snapToGrid w:val="0"/>
          <w:color w:val="auto"/>
          <w:sz w:val="24"/>
          <w:highlight w:val="none"/>
          <w:lang w:eastAsia="zh-CN"/>
        </w:rPr>
        <w:t>”为资格要求文件，</w:t>
      </w:r>
      <w:r>
        <w:rPr>
          <w:rFonts w:hint="eastAsia" w:ascii="仿宋" w:hAnsi="仿宋" w:eastAsia="仿宋" w:cs="仿宋"/>
          <w:snapToGrid w:val="0"/>
          <w:color w:val="auto"/>
          <w:sz w:val="24"/>
          <w:highlight w:val="none"/>
        </w:rPr>
        <w:t>供应商</w:t>
      </w:r>
      <w:r>
        <w:rPr>
          <w:rFonts w:hint="eastAsia" w:ascii="仿宋" w:hAnsi="仿宋" w:eastAsia="仿宋" w:cs="仿宋"/>
          <w:snapToGrid w:val="0"/>
          <w:color w:val="auto"/>
          <w:sz w:val="24"/>
          <w:highlight w:val="none"/>
          <w:lang w:eastAsia="zh-CN"/>
        </w:rPr>
        <w:t>参与</w:t>
      </w:r>
      <w:r>
        <w:rPr>
          <w:rFonts w:hint="eastAsia" w:ascii="仿宋" w:hAnsi="仿宋" w:eastAsia="仿宋" w:cs="仿宋"/>
          <w:snapToGrid w:val="0"/>
          <w:color w:val="auto"/>
          <w:sz w:val="24"/>
          <w:highlight w:val="none"/>
          <w:lang w:val="en-US" w:eastAsia="zh-CN"/>
        </w:rPr>
        <w:t>投标</w:t>
      </w:r>
      <w:r>
        <w:rPr>
          <w:rFonts w:hint="eastAsia" w:ascii="仿宋" w:hAnsi="仿宋" w:eastAsia="仿宋" w:cs="仿宋"/>
          <w:snapToGrid w:val="0"/>
          <w:color w:val="auto"/>
          <w:sz w:val="24"/>
          <w:highlight w:val="none"/>
          <w:lang w:eastAsia="zh-CN"/>
        </w:rPr>
        <w:t>须按本</w:t>
      </w:r>
      <w:r>
        <w:rPr>
          <w:rFonts w:hint="eastAsia" w:ascii="仿宋" w:hAnsi="仿宋" w:eastAsia="仿宋" w:cs="仿宋"/>
          <w:snapToGrid w:val="0"/>
          <w:color w:val="auto"/>
          <w:sz w:val="24"/>
          <w:highlight w:val="none"/>
          <w:lang w:val="en-US" w:eastAsia="zh-CN"/>
        </w:rPr>
        <w:t>招标</w:t>
      </w:r>
      <w:r>
        <w:rPr>
          <w:rFonts w:hint="eastAsia" w:ascii="仿宋" w:hAnsi="仿宋" w:eastAsia="仿宋" w:cs="仿宋"/>
          <w:snapToGrid w:val="0"/>
          <w:color w:val="auto"/>
          <w:sz w:val="24"/>
          <w:highlight w:val="none"/>
          <w:lang w:eastAsia="zh-CN"/>
        </w:rPr>
        <w:t>文件规定格式</w:t>
      </w:r>
      <w:r>
        <w:rPr>
          <w:rFonts w:hint="eastAsia" w:ascii="仿宋" w:hAnsi="仿宋" w:eastAsia="仿宋" w:cs="仿宋"/>
          <w:snapToGrid w:val="0"/>
          <w:color w:val="auto"/>
          <w:sz w:val="24"/>
          <w:highlight w:val="none"/>
        </w:rPr>
        <w:t>提供</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rPr>
        <w:t>中小企业声明函</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lang w:val="en-US" w:eastAsia="zh-CN"/>
        </w:rPr>
        <w:t>或“</w:t>
      </w:r>
      <w:r>
        <w:rPr>
          <w:rFonts w:hint="eastAsia" w:ascii="仿宋" w:hAnsi="仿宋" w:eastAsia="仿宋" w:cs="仿宋"/>
          <w:snapToGrid w:val="0"/>
          <w:color w:val="auto"/>
          <w:sz w:val="24"/>
          <w:highlight w:val="none"/>
        </w:rPr>
        <w:t>监狱企业证明文件</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lang w:val="en-US" w:eastAsia="zh-CN"/>
        </w:rPr>
        <w:t>或</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rPr>
        <w:t>残疾人福利性单位声明函</w:t>
      </w:r>
      <w:r>
        <w:rPr>
          <w:rFonts w:hint="eastAsia" w:ascii="仿宋" w:hAnsi="仿宋" w:eastAsia="仿宋" w:cs="仿宋"/>
          <w:snapToGrid w:val="0"/>
          <w:color w:val="auto"/>
          <w:sz w:val="24"/>
          <w:highlight w:val="none"/>
          <w:lang w:eastAsia="zh-CN"/>
        </w:rPr>
        <w:t>”等作为资格证明文件。</w:t>
      </w:r>
      <w:r>
        <w:rPr>
          <w:rFonts w:hint="eastAsia" w:ascii="仿宋" w:hAnsi="仿宋" w:eastAsia="仿宋" w:cs="仿宋"/>
          <w:snapToGrid w:val="0"/>
          <w:color w:val="auto"/>
          <w:sz w:val="24"/>
          <w:highlight w:val="none"/>
          <w:lang w:val="en-US" w:eastAsia="zh-CN"/>
        </w:rPr>
        <w:t xml:space="preserve"> </w:t>
      </w:r>
    </w:p>
    <w:p w14:paraId="743E5E0E">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42.3 投标人提供的货物、工程或者服务符合下列情形的，享受中小企业扶持政策： </w:t>
      </w:r>
    </w:p>
    <w:p w14:paraId="07E7A00A">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（1）在货物采购项目中，货物由中小企业制造，即货物由中小企业生产且使用该中小企业商号或者注册商标； </w:t>
      </w:r>
    </w:p>
    <w:p w14:paraId="128FB5A1">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（2）在工程采购项目中，工程由中小企业承建，即工程施工单位为中小企业； </w:t>
      </w:r>
    </w:p>
    <w:p w14:paraId="4557B965">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（3）在服务采购项目中，服务由中小企业承接，即提供服务的人员为中小企业依照《中华人民共和国劳动合同法》订立劳动合同的从业人员。</w:t>
      </w:r>
    </w:p>
    <w:p w14:paraId="5C38B69F">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42.4 在货物采购项目中，投标人提供的货物既有中小企业制造货物，也有大型企业制造货物的，不享受中小企业扶持政策。 </w:t>
      </w:r>
    </w:p>
    <w:p w14:paraId="41A6D6DF">
      <w:pPr>
        <w:pStyle w:val="37"/>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42.5 以联合体形式参加政府采购活动，联合体各方均为中小企业的，联合体视同中小企业。其中，联合体各方均为小微企业的，联合体视同小微企业。</w:t>
      </w:r>
    </w:p>
    <w:p w14:paraId="589A89E3">
      <w:pPr>
        <w:pStyle w:val="37"/>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42.7.1 安置的残疾人占本单位在职职工人数的比例不低于 25% （含 25%），并且安置的残疾人人数不少于 10 人（含 10人）； </w:t>
      </w:r>
    </w:p>
    <w:p w14:paraId="5B128E6C">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42.7.2 依法与安置的每位残疾人签订了1年以上（含1年）的劳动合同或服务协议； </w:t>
      </w:r>
    </w:p>
    <w:p w14:paraId="750299D4">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42.7.3 为安置的每位残疾人按月足额缴纳了基本养老保险、基本医疗保险、失业保险、工伤保险和生育保险等社会保险费； </w:t>
      </w:r>
    </w:p>
    <w:p w14:paraId="5494926D">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42.7.4 通过银行等金融机构向安置的每位残疾人，按月支付了不低于单位所在区县适用的经省级人民政府批准的月最低工资标准的工资； </w:t>
      </w:r>
    </w:p>
    <w:p w14:paraId="6AD696D2">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6F6930A8">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50A69BFA">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42.8 本项目是否专门面向中小企业预留采购份额见“第一章 招标公告”。    42.9 采购标的对应的中小企业划分标准所属行业见“投标人须知前附表”。    42.10 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81" w:name="_Toc163492878"/>
      <w:r>
        <w:rPr>
          <w:rFonts w:hint="eastAsia" w:ascii="仿宋" w:hAnsi="仿宋" w:eastAsia="仿宋" w:cs="仿宋"/>
          <w:b/>
          <w:bCs/>
          <w:color w:val="auto"/>
          <w:kern w:val="2"/>
          <w:sz w:val="24"/>
          <w:szCs w:val="28"/>
          <w:highlight w:val="none"/>
          <w:lang w:val="en-US" w:eastAsia="zh-CN" w:bidi="ar-SA"/>
        </w:rPr>
        <w:t>43.政府采购节能产品、环境标志产品</w:t>
      </w:r>
      <w:bookmarkEnd w:id="281"/>
    </w:p>
    <w:p w14:paraId="741E7E7A">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2EC4C51A">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43.3 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snapToGrid w:val="0"/>
          <w:color w:val="auto"/>
          <w:sz w:val="24"/>
          <w:highlight w:val="none"/>
          <w:lang w:val="en-US" w:eastAsia="zh-CN"/>
        </w:rPr>
        <w:t>投标无效</w:t>
      </w:r>
      <w:r>
        <w:rPr>
          <w:rFonts w:hint="eastAsia" w:ascii="仿宋" w:hAnsi="仿宋" w:eastAsia="仿宋" w:cs="仿宋"/>
          <w:snapToGrid w:val="0"/>
          <w:color w:val="auto"/>
          <w:sz w:val="24"/>
          <w:highlight w:val="none"/>
          <w:lang w:val="en-US" w:eastAsia="zh-CN"/>
        </w:rPr>
        <w:t xml:space="preserve">。 </w:t>
      </w:r>
    </w:p>
    <w:p w14:paraId="04E599F1">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43.4 非政府强制采购的节能产品或环境标志产品，依据品目清单和认证证书实施政府优先采购。优先采购的具体规定见“第五章 评标方法及标准”（如涉及）。</w:t>
      </w:r>
    </w:p>
    <w:p w14:paraId="51B3D928">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snapToGrid w:val="0"/>
          <w:color w:val="auto"/>
          <w:sz w:val="24"/>
          <w:highlight w:val="none"/>
          <w:lang w:val="en-US" w:eastAsia="zh-CN"/>
        </w:rPr>
        <w:t xml:space="preserve">43.5 </w:t>
      </w:r>
      <w:r>
        <w:rPr>
          <w:rFonts w:hint="eastAsia" w:ascii="仿宋" w:hAnsi="仿宋" w:eastAsia="仿宋" w:cs="仿宋"/>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仿宋" w:hAnsi="仿宋" w:eastAsia="仿宋" w:cs="仿宋"/>
          <w:snapToGrid w:val="0"/>
          <w:color w:val="auto"/>
          <w:sz w:val="24"/>
          <w:highlight w:val="none"/>
          <w:lang w:val="en-US" w:eastAsia="zh-CN"/>
        </w:rPr>
        <w:t>评审优惠</w:t>
      </w:r>
      <w:r>
        <w:rPr>
          <w:rFonts w:hint="eastAsia" w:ascii="仿宋" w:hAnsi="仿宋" w:eastAsia="仿宋" w:cs="仿宋"/>
          <w:snapToGrid w:val="0"/>
          <w:color w:val="auto"/>
          <w:sz w:val="24"/>
          <w:highlight w:val="none"/>
        </w:rPr>
        <w:t>，未提供认证证书的视为</w:t>
      </w:r>
      <w:r>
        <w:rPr>
          <w:rFonts w:hint="eastAsia" w:ascii="仿宋" w:hAnsi="仿宋" w:eastAsia="仿宋" w:cs="仿宋"/>
          <w:b/>
          <w:bCs/>
          <w:snapToGrid w:val="0"/>
          <w:color w:val="auto"/>
          <w:sz w:val="24"/>
          <w:highlight w:val="none"/>
          <w:lang w:val="en-US" w:eastAsia="zh-CN"/>
        </w:rPr>
        <w:t>投标</w:t>
      </w:r>
      <w:r>
        <w:rPr>
          <w:rFonts w:hint="eastAsia" w:ascii="仿宋" w:hAnsi="仿宋" w:eastAsia="仿宋" w:cs="仿宋"/>
          <w:b/>
          <w:bCs/>
          <w:snapToGrid w:val="0"/>
          <w:color w:val="auto"/>
          <w:sz w:val="24"/>
          <w:highlight w:val="none"/>
        </w:rPr>
        <w:t>无效</w:t>
      </w:r>
      <w:r>
        <w:rPr>
          <w:rFonts w:hint="eastAsia" w:ascii="仿宋" w:hAnsi="仿宋" w:eastAsia="仿宋" w:cs="仿宋"/>
          <w:snapToGrid w:val="0"/>
          <w:color w:val="auto"/>
          <w:sz w:val="24"/>
          <w:highlight w:val="none"/>
        </w:rPr>
        <w:t>。属于</w:t>
      </w:r>
      <w:r>
        <w:rPr>
          <w:rFonts w:hint="eastAsia" w:ascii="仿宋" w:hAnsi="仿宋" w:eastAsia="仿宋" w:cs="仿宋"/>
          <w:snapToGrid w:val="0"/>
          <w:color w:val="auto"/>
          <w:sz w:val="24"/>
          <w:highlight w:val="none"/>
          <w:lang w:val="en-US" w:eastAsia="zh-CN"/>
        </w:rPr>
        <w:t>优先采购</w:t>
      </w:r>
      <w:r>
        <w:rPr>
          <w:rFonts w:hint="eastAsia" w:ascii="仿宋" w:hAnsi="仿宋" w:eastAsia="仿宋" w:cs="仿宋"/>
          <w:snapToGrid w:val="0"/>
          <w:color w:val="auto"/>
          <w:sz w:val="24"/>
          <w:highlight w:val="none"/>
        </w:rPr>
        <w:t>节能产品政府采购品目清单、环境标志产品政府采购品目清单</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lang w:val="en-US" w:eastAsia="zh-CN"/>
        </w:rPr>
        <w:t>创新产品</w:t>
      </w:r>
      <w:r>
        <w:rPr>
          <w:rFonts w:hint="eastAsia" w:ascii="仿宋" w:hAnsi="仿宋" w:eastAsia="仿宋" w:cs="仿宋"/>
          <w:snapToGrid w:val="0"/>
          <w:color w:val="auto"/>
          <w:sz w:val="24"/>
          <w:highlight w:val="none"/>
        </w:rPr>
        <w:t>范围的，按照“</w:t>
      </w:r>
      <w:r>
        <w:rPr>
          <w:rFonts w:hint="eastAsia" w:ascii="仿宋" w:hAnsi="仿宋" w:eastAsia="仿宋" w:cs="仿宋"/>
          <w:color w:val="auto"/>
          <w:sz w:val="24"/>
          <w:highlight w:val="none"/>
          <w:lang w:val="en-US" w:eastAsia="zh-CN"/>
        </w:rPr>
        <w:t>第五章 评标方法及标准</w:t>
      </w:r>
      <w:r>
        <w:rPr>
          <w:rFonts w:hint="eastAsia" w:ascii="仿宋" w:hAnsi="仿宋" w:eastAsia="仿宋" w:cs="仿宋"/>
          <w:snapToGrid w:val="0"/>
          <w:color w:val="auto"/>
          <w:sz w:val="24"/>
          <w:highlight w:val="none"/>
        </w:rPr>
        <w:t>”中相关规定</w:t>
      </w:r>
      <w:r>
        <w:rPr>
          <w:rFonts w:hint="eastAsia" w:ascii="仿宋" w:hAnsi="仿宋" w:eastAsia="仿宋" w:cs="仿宋"/>
          <w:color w:val="auto"/>
          <w:sz w:val="24"/>
          <w:highlight w:val="none"/>
          <w:lang w:val="en-US" w:eastAsia="zh-CN"/>
        </w:rPr>
        <w:t>在评审时给予优惠，具体详见</w:t>
      </w:r>
      <w:r>
        <w:rPr>
          <w:rFonts w:hint="eastAsia" w:ascii="仿宋" w:hAnsi="仿宋" w:eastAsia="仿宋" w:cs="仿宋"/>
          <w:snapToGrid w:val="0"/>
          <w:color w:val="auto"/>
          <w:sz w:val="24"/>
          <w:highlight w:val="none"/>
          <w:lang w:val="en-US" w:eastAsia="zh-CN"/>
        </w:rPr>
        <w:t>“投标人须知前附表”及</w:t>
      </w:r>
      <w:r>
        <w:rPr>
          <w:rFonts w:hint="eastAsia" w:ascii="仿宋" w:hAnsi="仿宋" w:eastAsia="仿宋" w:cs="仿宋"/>
          <w:color w:val="auto"/>
          <w:sz w:val="24"/>
          <w:highlight w:val="none"/>
          <w:lang w:val="en-US" w:eastAsia="zh-CN"/>
        </w:rPr>
        <w:t>“第五章 评标方法及标准”</w:t>
      </w:r>
      <w:r>
        <w:rPr>
          <w:rFonts w:hint="eastAsia" w:ascii="仿宋" w:hAnsi="仿宋" w:eastAsia="仿宋" w:cs="仿宋"/>
          <w:color w:val="auto"/>
          <w:sz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82" w:name="_Toc163492879"/>
      <w:r>
        <w:rPr>
          <w:rFonts w:hint="eastAsia" w:ascii="仿宋" w:hAnsi="仿宋" w:eastAsia="仿宋" w:cs="仿宋"/>
          <w:b/>
          <w:bCs/>
          <w:color w:val="auto"/>
          <w:kern w:val="2"/>
          <w:sz w:val="24"/>
          <w:szCs w:val="28"/>
          <w:highlight w:val="none"/>
          <w:lang w:val="en-US" w:eastAsia="zh-CN" w:bidi="ar-SA"/>
        </w:rPr>
        <w:t xml:space="preserve">44.正版软件  </w:t>
      </w:r>
    </w:p>
    <w:p w14:paraId="375B485A">
      <w:pPr>
        <w:pStyle w:val="37"/>
        <w:keepNext w:val="0"/>
        <w:keepLines w:val="0"/>
        <w:pageBreakBefore w:val="0"/>
        <w:widowControl w:val="0"/>
        <w:kinsoku/>
        <w:wordWrap w:val="0"/>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 xml:space="preserve">44.1 依据《财政部 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3DE2CEB3">
      <w:pPr>
        <w:pStyle w:val="37"/>
        <w:keepNext w:val="0"/>
        <w:keepLines w:val="0"/>
        <w:pageBreakBefore w:val="0"/>
        <w:widowControl w:val="0"/>
        <w:kinsoku/>
        <w:wordWrap w:val="0"/>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 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 xml:space="preserve">45.网络安全专用产品   </w:t>
      </w:r>
    </w:p>
    <w:p w14:paraId="13C08773">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 xml:space="preserve">46.采购需求标准   </w:t>
      </w:r>
    </w:p>
    <w:p w14:paraId="77C63652">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 xml:space="preserve">46.1 商品包装、快递包装政府采购需求标准（试行） </w:t>
      </w:r>
    </w:p>
    <w:p w14:paraId="3DA94789">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 xml:space="preserve">46.2 绿色数据中心政府采购需求标准（试行） </w:t>
      </w:r>
    </w:p>
    <w:p w14:paraId="16173830">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46.3台式计算机政府采购需求标准</w:t>
      </w:r>
    </w:p>
    <w:p w14:paraId="3830872B">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46.4便携式计算机政府采购需求标准</w:t>
      </w:r>
    </w:p>
    <w:p w14:paraId="2DDABA79">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46.5一体式计算机政府采购需求标准</w:t>
      </w:r>
    </w:p>
    <w:p w14:paraId="30E81396">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46.6工作站政府采购需求标准</w:t>
      </w:r>
    </w:p>
    <w:p w14:paraId="23F8A15A">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46.7通用服务器政府采购需求标准</w:t>
      </w:r>
    </w:p>
    <w:p w14:paraId="2DC5EFFC">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46.8操作系统政府采购需求标准</w:t>
      </w:r>
    </w:p>
    <w:p w14:paraId="0C0F87EE">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46.9数据库政府采购需求标准</w:t>
      </w:r>
    </w:p>
    <w:p w14:paraId="45BE4E61">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46.10物业管理服务政府采购需求标准（办公场所类）（试行）</w:t>
      </w:r>
    </w:p>
    <w:p w14:paraId="0169F247">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仿宋" w:hAnsi="仿宋" w:eastAsia="仿宋" w:cs="仿宋"/>
          <w:b/>
          <w:bCs/>
          <w:color w:val="auto"/>
          <w:kern w:val="2"/>
          <w:sz w:val="24"/>
          <w:szCs w:val="32"/>
          <w:highlight w:val="none"/>
          <w:lang w:val="en-US" w:eastAsia="zh-CN" w:bidi="ar-SA"/>
        </w:rPr>
      </w:pPr>
      <w:r>
        <w:rPr>
          <w:rFonts w:hint="eastAsia" w:ascii="仿宋" w:hAnsi="仿宋" w:eastAsia="仿宋" w:cs="仿宋"/>
          <w:b/>
          <w:bCs/>
          <w:color w:val="auto"/>
          <w:kern w:val="2"/>
          <w:sz w:val="24"/>
          <w:szCs w:val="32"/>
          <w:highlight w:val="none"/>
          <w:lang w:val="en-US" w:eastAsia="zh-CN" w:bidi="ar-SA"/>
        </w:rPr>
        <w:t>（十四）政府采购合同融资政策</w:t>
      </w:r>
      <w:bookmarkEnd w:id="277"/>
      <w:bookmarkEnd w:id="278"/>
      <w:bookmarkEnd w:id="282"/>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83" w:name="_Toc163492880"/>
      <w:r>
        <w:rPr>
          <w:rFonts w:hint="eastAsia" w:ascii="仿宋" w:hAnsi="仿宋" w:eastAsia="仿宋" w:cs="仿宋"/>
          <w:b/>
          <w:bCs/>
          <w:color w:val="auto"/>
          <w:kern w:val="2"/>
          <w:sz w:val="24"/>
          <w:szCs w:val="28"/>
          <w:highlight w:val="none"/>
          <w:lang w:val="en-US" w:eastAsia="zh-CN" w:bidi="ar-SA"/>
        </w:rPr>
        <w:t>47.政府采购合同融资政策</w:t>
      </w:r>
      <w:bookmarkEnd w:id="283"/>
    </w:p>
    <w:p w14:paraId="2F908697">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仿宋" w:hAnsi="仿宋" w:eastAsia="仿宋" w:cs="仿宋"/>
          <w:b/>
          <w:bCs/>
          <w:color w:val="auto"/>
          <w:kern w:val="2"/>
          <w:sz w:val="24"/>
          <w:szCs w:val="32"/>
          <w:highlight w:val="none"/>
          <w:lang w:val="en-US" w:eastAsia="zh-CN" w:bidi="ar-SA"/>
        </w:rPr>
      </w:pPr>
      <w:bookmarkStart w:id="284" w:name="_Toc163492881"/>
      <w:r>
        <w:rPr>
          <w:rFonts w:hint="eastAsia" w:ascii="仿宋" w:hAnsi="仿宋" w:eastAsia="仿宋" w:cs="仿宋"/>
          <w:b/>
          <w:bCs/>
          <w:color w:val="auto"/>
          <w:kern w:val="2"/>
          <w:sz w:val="24"/>
          <w:szCs w:val="32"/>
          <w:highlight w:val="none"/>
          <w:lang w:val="en-US" w:eastAsia="zh-CN" w:bidi="ar-SA"/>
        </w:rPr>
        <w:t>（十五）其他</w:t>
      </w:r>
      <w:bookmarkEnd w:id="284"/>
    </w:p>
    <w:p w14:paraId="4B7B1A8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85" w:name="_Toc163492882"/>
      <w:r>
        <w:rPr>
          <w:rFonts w:hint="eastAsia" w:ascii="仿宋" w:hAnsi="仿宋" w:eastAsia="仿宋" w:cs="仿宋"/>
          <w:b/>
          <w:bCs/>
          <w:color w:val="auto"/>
          <w:kern w:val="2"/>
          <w:sz w:val="24"/>
          <w:szCs w:val="28"/>
          <w:highlight w:val="none"/>
          <w:lang w:val="en-US" w:eastAsia="zh-CN" w:bidi="ar-SA"/>
        </w:rPr>
        <w:t>48.需要补充的其他内容</w:t>
      </w:r>
      <w:bookmarkEnd w:id="285"/>
    </w:p>
    <w:p w14:paraId="32516407">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86" w:name="_Toc155185886"/>
      <w:bookmarkStart w:id="287" w:name="_Toc140132810"/>
      <w:bookmarkStart w:id="288" w:name="_Toc163492883"/>
      <w:r>
        <w:rPr>
          <w:rFonts w:hint="eastAsia" w:ascii="仿宋" w:hAnsi="仿宋" w:eastAsia="仿宋" w:cs="仿宋"/>
          <w:b/>
          <w:bCs/>
          <w:color w:val="auto"/>
          <w:kern w:val="2"/>
          <w:sz w:val="24"/>
          <w:szCs w:val="28"/>
          <w:highlight w:val="none"/>
          <w:lang w:val="en-US" w:eastAsia="zh-CN" w:bidi="ar-SA"/>
        </w:rPr>
        <w:t>49.适用法律</w:t>
      </w:r>
      <w:bookmarkEnd w:id="286"/>
      <w:bookmarkEnd w:id="287"/>
      <w:bookmarkEnd w:id="288"/>
    </w:p>
    <w:p w14:paraId="0953B8AD">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49</w:t>
      </w:r>
      <w:r>
        <w:rPr>
          <w:rFonts w:hint="eastAsia" w:ascii="仿宋" w:hAnsi="仿宋" w:eastAsia="仿宋" w:cs="仿宋"/>
          <w:snapToGrid w:val="0"/>
          <w:color w:val="auto"/>
          <w:sz w:val="24"/>
          <w:highlight w:val="none"/>
        </w:rPr>
        <w:t>.1采购人、采购代理机构及投标人的一切采购活动均适用《中华人民共和国政府采购法</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rPr>
        <w:t>中华人民共和国政府采购法实施条例</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rPr>
        <w:t>政府采购货物和服务招标投标管理办法》（财政部令第87号）及相关法律法规。</w:t>
      </w:r>
    </w:p>
    <w:p w14:paraId="6AD32247">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color w:val="auto"/>
          <w:sz w:val="24"/>
          <w:highlight w:val="none"/>
        </w:rPr>
      </w:pPr>
      <w:r>
        <w:rPr>
          <w:rFonts w:hint="eastAsia" w:ascii="仿宋" w:hAnsi="仿宋" w:eastAsia="仿宋" w:cs="仿宋"/>
          <w:snapToGrid w:val="0"/>
          <w:color w:val="auto"/>
          <w:sz w:val="24"/>
          <w:highlight w:val="none"/>
          <w:lang w:val="en-US" w:eastAsia="zh-CN"/>
        </w:rPr>
        <w:t>49</w:t>
      </w:r>
      <w:r>
        <w:rPr>
          <w:rFonts w:hint="eastAsia" w:ascii="仿宋" w:hAnsi="仿宋" w:eastAsia="仿宋" w:cs="仿宋"/>
          <w:snapToGrid w:val="0"/>
          <w:color w:val="auto"/>
          <w:sz w:val="24"/>
          <w:highlight w:val="none"/>
        </w:rPr>
        <w:t>.2政府采购合同的履行、违约责任和解决争议的方法等适用《中华人民共和国民法典》。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289" w:name="_Toc163492884"/>
      <w:bookmarkStart w:id="290" w:name="_Toc155185887"/>
      <w:r>
        <w:rPr>
          <w:rFonts w:hint="eastAsia" w:ascii="仿宋" w:hAnsi="仿宋" w:eastAsia="仿宋" w:cs="仿宋"/>
          <w:b/>
          <w:bCs/>
          <w:color w:val="auto"/>
          <w:kern w:val="2"/>
          <w:sz w:val="24"/>
          <w:szCs w:val="28"/>
          <w:highlight w:val="none"/>
          <w:lang w:val="en-US" w:eastAsia="zh-CN" w:bidi="ar-SA"/>
        </w:rPr>
        <w:t>50.解释权</w:t>
      </w:r>
      <w:bookmarkEnd w:id="289"/>
      <w:bookmarkEnd w:id="290"/>
    </w:p>
    <w:p w14:paraId="5C6D27F8">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50</w:t>
      </w:r>
      <w:r>
        <w:rPr>
          <w:rFonts w:hint="eastAsia" w:ascii="仿宋" w:hAnsi="仿宋" w:eastAsia="仿宋" w:cs="仿宋"/>
          <w:snapToGrid w:val="0"/>
          <w:color w:val="auto"/>
          <w:sz w:val="24"/>
          <w:highlight w:val="none"/>
        </w:rPr>
        <w:t>.1本招标文件最终解释权归采购人或采购代理机构所有。</w:t>
      </w:r>
    </w:p>
    <w:p w14:paraId="6CB9A96D">
      <w:pPr>
        <w:rPr>
          <w:rFonts w:hint="eastAsia" w:ascii="仿宋" w:hAnsi="仿宋" w:eastAsia="仿宋" w:cs="仿宋"/>
          <w:b/>
          <w:bCs/>
          <w:color w:val="auto"/>
          <w:kern w:val="44"/>
          <w:sz w:val="36"/>
          <w:szCs w:val="36"/>
          <w:highlight w:val="none"/>
          <w:lang w:val="en-US" w:eastAsia="zh-CN" w:bidi="ar-SA"/>
        </w:rPr>
      </w:pPr>
      <w:bookmarkStart w:id="291" w:name="_Toc163492885"/>
      <w:bookmarkStart w:id="292" w:name="_Toc155185888"/>
      <w:r>
        <w:rPr>
          <w:rFonts w:hint="eastAsia" w:ascii="仿宋" w:hAnsi="仿宋" w:eastAsia="仿宋" w:cs="仿宋"/>
          <w:b/>
          <w:bCs/>
          <w:color w:val="auto"/>
          <w:kern w:val="44"/>
          <w:sz w:val="36"/>
          <w:szCs w:val="36"/>
          <w:highlight w:val="none"/>
          <w:lang w:val="en-US" w:eastAsia="zh-CN" w:bidi="ar-SA"/>
        </w:rPr>
        <w:br w:type="page"/>
      </w: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color w:val="auto"/>
          <w:kern w:val="44"/>
          <w:sz w:val="36"/>
          <w:szCs w:val="36"/>
          <w:highlight w:val="none"/>
          <w:lang w:val="en-US" w:eastAsia="zh-CN" w:bidi="ar-SA"/>
        </w:rPr>
      </w:pPr>
      <w:bookmarkStart w:id="293" w:name="_Toc13003"/>
      <w:r>
        <w:rPr>
          <w:rFonts w:hint="eastAsia" w:ascii="仿宋" w:hAnsi="仿宋" w:eastAsia="仿宋" w:cs="仿宋"/>
          <w:b/>
          <w:bCs/>
          <w:color w:val="auto"/>
          <w:kern w:val="44"/>
          <w:sz w:val="36"/>
          <w:szCs w:val="36"/>
          <w:highlight w:val="none"/>
          <w:lang w:val="en-US" w:eastAsia="zh-CN" w:bidi="ar-SA"/>
        </w:rPr>
        <w:t>第三章 采购需求</w:t>
      </w:r>
      <w:bookmarkEnd w:id="291"/>
      <w:bookmarkEnd w:id="292"/>
      <w:bookmarkEnd w:id="293"/>
    </w:p>
    <w:p w14:paraId="6C64F013">
      <w:pPr>
        <w:pStyle w:val="37"/>
        <w:keepNext w:val="0"/>
        <w:keepLines w:val="0"/>
        <w:pageBreakBefore w:val="0"/>
        <w:widowControl w:val="0"/>
        <w:kinsoku/>
        <w:wordWrap w:val="0"/>
        <w:overflowPunct/>
        <w:topLinePunct w:val="0"/>
        <w:autoSpaceDE/>
        <w:autoSpaceDN/>
        <w:bidi w:val="0"/>
        <w:adjustRightInd/>
        <w:snapToGrid/>
        <w:spacing w:before="156" w:beforeLines="50" w:after="156" w:afterLines="50"/>
        <w:ind w:left="0" w:firstLine="0"/>
        <w:textAlignment w:val="auto"/>
        <w:rPr>
          <w:rFonts w:hint="eastAsia" w:ascii="仿宋" w:hAnsi="仿宋" w:eastAsia="仿宋" w:cs="仿宋"/>
          <w:b/>
          <w:bCs/>
          <w:snapToGrid w:val="0"/>
          <w:color w:val="auto"/>
          <w:sz w:val="24"/>
          <w:szCs w:val="24"/>
          <w:highlight w:val="none"/>
          <w:lang w:val="en-US" w:eastAsia="zh-CN"/>
        </w:rPr>
      </w:pPr>
      <w:bookmarkStart w:id="294" w:name="_Toc140132812"/>
      <w:bookmarkStart w:id="295" w:name="_Toc155185889"/>
      <w:bookmarkStart w:id="296" w:name="_Toc163492886"/>
      <w:r>
        <w:rPr>
          <w:rFonts w:hint="eastAsia" w:ascii="仿宋" w:hAnsi="仿宋" w:eastAsia="仿宋" w:cs="仿宋"/>
          <w:b/>
          <w:bCs/>
          <w:snapToGrid w:val="0"/>
          <w:color w:val="auto"/>
          <w:sz w:val="24"/>
          <w:szCs w:val="24"/>
          <w:highlight w:val="none"/>
          <w:lang w:val="en-US" w:eastAsia="zh-CN"/>
        </w:rPr>
        <w:t xml:space="preserve">一、采购标的 </w:t>
      </w:r>
    </w:p>
    <w:p w14:paraId="1D1849C0">
      <w:pPr>
        <w:pStyle w:val="37"/>
        <w:keepNext w:val="0"/>
        <w:keepLines w:val="0"/>
        <w:pageBreakBefore w:val="0"/>
        <w:widowControl w:val="0"/>
        <w:kinsoku/>
        <w:wordWrap w:val="0"/>
        <w:overflowPunct/>
        <w:topLinePunct w:val="0"/>
        <w:autoSpaceDE/>
        <w:autoSpaceDN/>
        <w:bidi w:val="0"/>
        <w:adjustRightInd/>
        <w:ind w:left="0" w:firstLine="480" w:firstLineChars="200"/>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 xml:space="preserve">1.采购标的 </w:t>
      </w:r>
    </w:p>
    <w:tbl>
      <w:tblPr>
        <w:tblStyle w:val="29"/>
        <w:tblpPr w:leftFromText="180" w:rightFromText="180" w:vertAnchor="text" w:horzAnchor="page" w:tblpX="1566" w:tblpY="344"/>
        <w:tblOverlap w:val="never"/>
        <w:tblW w:w="50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4339"/>
        <w:gridCol w:w="1191"/>
        <w:gridCol w:w="951"/>
        <w:gridCol w:w="1338"/>
      </w:tblGrid>
      <w:tr w14:paraId="2D64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3622BD07">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序号</w:t>
            </w:r>
          </w:p>
        </w:tc>
        <w:tc>
          <w:tcPr>
            <w:tcW w:w="2496" w:type="pct"/>
            <w:vAlign w:val="center"/>
          </w:tcPr>
          <w:p w14:paraId="3F89E090">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设备名称</w:t>
            </w:r>
          </w:p>
        </w:tc>
        <w:tc>
          <w:tcPr>
            <w:tcW w:w="685" w:type="pct"/>
            <w:vAlign w:val="center"/>
          </w:tcPr>
          <w:p w14:paraId="74C294A7">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单位</w:t>
            </w:r>
          </w:p>
        </w:tc>
        <w:tc>
          <w:tcPr>
            <w:tcW w:w="547" w:type="pct"/>
            <w:vAlign w:val="center"/>
          </w:tcPr>
          <w:p w14:paraId="529CF76C">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数量</w:t>
            </w:r>
          </w:p>
        </w:tc>
        <w:tc>
          <w:tcPr>
            <w:tcW w:w="770" w:type="pct"/>
            <w:vAlign w:val="center"/>
          </w:tcPr>
          <w:p w14:paraId="2C9BC3AF">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是否进口</w:t>
            </w:r>
          </w:p>
        </w:tc>
      </w:tr>
      <w:tr w14:paraId="5C43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6ED00138">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w:t>
            </w:r>
          </w:p>
        </w:tc>
        <w:tc>
          <w:tcPr>
            <w:tcW w:w="2496" w:type="pct"/>
            <w:vAlign w:val="center"/>
          </w:tcPr>
          <w:p w14:paraId="79E3ECB4">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5G核心网系统（含服务器）</w:t>
            </w:r>
          </w:p>
        </w:tc>
        <w:tc>
          <w:tcPr>
            <w:tcW w:w="685" w:type="pct"/>
            <w:vAlign w:val="center"/>
          </w:tcPr>
          <w:p w14:paraId="2FB28E88">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套</w:t>
            </w:r>
          </w:p>
        </w:tc>
        <w:tc>
          <w:tcPr>
            <w:tcW w:w="547" w:type="pct"/>
            <w:vAlign w:val="center"/>
          </w:tcPr>
          <w:p w14:paraId="6A7E8E1F">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w:t>
            </w:r>
          </w:p>
        </w:tc>
        <w:tc>
          <w:tcPr>
            <w:tcW w:w="770" w:type="pct"/>
            <w:vAlign w:val="center"/>
          </w:tcPr>
          <w:p w14:paraId="506653EB">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否</w:t>
            </w:r>
          </w:p>
        </w:tc>
      </w:tr>
      <w:tr w14:paraId="7CB1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3024BAE2">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2</w:t>
            </w:r>
          </w:p>
        </w:tc>
        <w:tc>
          <w:tcPr>
            <w:tcW w:w="2496" w:type="pct"/>
            <w:vAlign w:val="center"/>
          </w:tcPr>
          <w:p w14:paraId="7D9E08E4">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5G基站基带处理单元（BBU）</w:t>
            </w:r>
          </w:p>
        </w:tc>
        <w:tc>
          <w:tcPr>
            <w:tcW w:w="685" w:type="pct"/>
            <w:vAlign w:val="center"/>
          </w:tcPr>
          <w:p w14:paraId="54939032">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台</w:t>
            </w:r>
          </w:p>
        </w:tc>
        <w:tc>
          <w:tcPr>
            <w:tcW w:w="547" w:type="pct"/>
            <w:vAlign w:val="center"/>
          </w:tcPr>
          <w:p w14:paraId="49BE8A2F">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w:t>
            </w:r>
          </w:p>
        </w:tc>
        <w:tc>
          <w:tcPr>
            <w:tcW w:w="770" w:type="pct"/>
            <w:vAlign w:val="center"/>
          </w:tcPr>
          <w:p w14:paraId="06BFC53E">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否</w:t>
            </w:r>
          </w:p>
        </w:tc>
      </w:tr>
      <w:tr w14:paraId="4486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37FBEE17">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3</w:t>
            </w:r>
          </w:p>
        </w:tc>
        <w:tc>
          <w:tcPr>
            <w:tcW w:w="2496" w:type="pct"/>
            <w:vAlign w:val="center"/>
          </w:tcPr>
          <w:p w14:paraId="2EABDC98">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5G基站有源天线单元</w:t>
            </w:r>
          </w:p>
        </w:tc>
        <w:tc>
          <w:tcPr>
            <w:tcW w:w="685" w:type="pct"/>
            <w:vAlign w:val="center"/>
          </w:tcPr>
          <w:p w14:paraId="534799E2">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台</w:t>
            </w:r>
          </w:p>
        </w:tc>
        <w:tc>
          <w:tcPr>
            <w:tcW w:w="547" w:type="pct"/>
            <w:vAlign w:val="center"/>
          </w:tcPr>
          <w:p w14:paraId="429CA0BE">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w:t>
            </w:r>
          </w:p>
        </w:tc>
        <w:tc>
          <w:tcPr>
            <w:tcW w:w="770" w:type="pct"/>
            <w:vAlign w:val="center"/>
          </w:tcPr>
          <w:p w14:paraId="4B728191">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否</w:t>
            </w:r>
          </w:p>
        </w:tc>
      </w:tr>
      <w:tr w14:paraId="709F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7F154811">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4</w:t>
            </w:r>
          </w:p>
        </w:tc>
        <w:tc>
          <w:tcPr>
            <w:tcW w:w="2496" w:type="pct"/>
            <w:vAlign w:val="center"/>
          </w:tcPr>
          <w:p w14:paraId="65128A96">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机柜</w:t>
            </w:r>
          </w:p>
        </w:tc>
        <w:tc>
          <w:tcPr>
            <w:tcW w:w="685" w:type="pct"/>
            <w:vAlign w:val="center"/>
          </w:tcPr>
          <w:p w14:paraId="3F2BC7D9">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台</w:t>
            </w:r>
          </w:p>
        </w:tc>
        <w:tc>
          <w:tcPr>
            <w:tcW w:w="547" w:type="pct"/>
            <w:vAlign w:val="center"/>
          </w:tcPr>
          <w:p w14:paraId="6B2DF391">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2</w:t>
            </w:r>
          </w:p>
        </w:tc>
        <w:tc>
          <w:tcPr>
            <w:tcW w:w="770" w:type="pct"/>
            <w:vAlign w:val="center"/>
          </w:tcPr>
          <w:p w14:paraId="3D3EC524">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否</w:t>
            </w:r>
          </w:p>
        </w:tc>
      </w:tr>
      <w:tr w14:paraId="3710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7D79D3A1">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5</w:t>
            </w:r>
          </w:p>
        </w:tc>
        <w:tc>
          <w:tcPr>
            <w:tcW w:w="2496" w:type="pct"/>
            <w:vAlign w:val="center"/>
          </w:tcPr>
          <w:p w14:paraId="657EC538">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5G基站本地控制软件</w:t>
            </w:r>
          </w:p>
        </w:tc>
        <w:tc>
          <w:tcPr>
            <w:tcW w:w="685" w:type="pct"/>
            <w:vAlign w:val="center"/>
          </w:tcPr>
          <w:p w14:paraId="52C918F5">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套</w:t>
            </w:r>
          </w:p>
        </w:tc>
        <w:tc>
          <w:tcPr>
            <w:tcW w:w="547" w:type="pct"/>
            <w:vAlign w:val="center"/>
          </w:tcPr>
          <w:p w14:paraId="16768D17">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w:t>
            </w:r>
          </w:p>
        </w:tc>
        <w:tc>
          <w:tcPr>
            <w:tcW w:w="770" w:type="pct"/>
            <w:vAlign w:val="center"/>
          </w:tcPr>
          <w:p w14:paraId="179CBF5A">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否</w:t>
            </w:r>
          </w:p>
        </w:tc>
      </w:tr>
      <w:tr w14:paraId="63F4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18B76705">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6</w:t>
            </w:r>
          </w:p>
        </w:tc>
        <w:tc>
          <w:tcPr>
            <w:tcW w:w="2496" w:type="pct"/>
            <w:vAlign w:val="center"/>
          </w:tcPr>
          <w:p w14:paraId="751DE45E">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5G核心网本地控制软件</w:t>
            </w:r>
          </w:p>
        </w:tc>
        <w:tc>
          <w:tcPr>
            <w:tcW w:w="685" w:type="pct"/>
            <w:vAlign w:val="center"/>
          </w:tcPr>
          <w:p w14:paraId="5FAB6A5D">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套</w:t>
            </w:r>
          </w:p>
        </w:tc>
        <w:tc>
          <w:tcPr>
            <w:tcW w:w="547" w:type="pct"/>
            <w:vAlign w:val="center"/>
          </w:tcPr>
          <w:p w14:paraId="7524CB63">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w:t>
            </w:r>
          </w:p>
        </w:tc>
        <w:tc>
          <w:tcPr>
            <w:tcW w:w="770" w:type="pct"/>
            <w:vAlign w:val="center"/>
          </w:tcPr>
          <w:p w14:paraId="46836D34">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否</w:t>
            </w:r>
          </w:p>
        </w:tc>
      </w:tr>
      <w:tr w14:paraId="73FC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7D14713D">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7</w:t>
            </w:r>
          </w:p>
        </w:tc>
        <w:tc>
          <w:tcPr>
            <w:tcW w:w="2496" w:type="pct"/>
            <w:vAlign w:val="center"/>
          </w:tcPr>
          <w:p w14:paraId="0A09CFC4">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5G专用万兆交换机</w:t>
            </w:r>
          </w:p>
        </w:tc>
        <w:tc>
          <w:tcPr>
            <w:tcW w:w="685" w:type="pct"/>
            <w:vAlign w:val="center"/>
          </w:tcPr>
          <w:p w14:paraId="53B3C99F">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台</w:t>
            </w:r>
          </w:p>
        </w:tc>
        <w:tc>
          <w:tcPr>
            <w:tcW w:w="547" w:type="pct"/>
            <w:vAlign w:val="center"/>
          </w:tcPr>
          <w:p w14:paraId="1505DAB3">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w:t>
            </w:r>
          </w:p>
        </w:tc>
        <w:tc>
          <w:tcPr>
            <w:tcW w:w="770" w:type="pct"/>
            <w:vAlign w:val="center"/>
          </w:tcPr>
          <w:p w14:paraId="71F2B716">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否</w:t>
            </w:r>
          </w:p>
        </w:tc>
      </w:tr>
      <w:tr w14:paraId="24D7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3CBD992D">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8</w:t>
            </w:r>
          </w:p>
        </w:tc>
        <w:tc>
          <w:tcPr>
            <w:tcW w:w="2496" w:type="pct"/>
            <w:vAlign w:val="center"/>
          </w:tcPr>
          <w:p w14:paraId="3E0724F2">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5G覆盖规划及优化仿真模块</w:t>
            </w:r>
          </w:p>
        </w:tc>
        <w:tc>
          <w:tcPr>
            <w:tcW w:w="685" w:type="pct"/>
            <w:vAlign w:val="center"/>
          </w:tcPr>
          <w:p w14:paraId="5A4A8E24">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套</w:t>
            </w:r>
          </w:p>
        </w:tc>
        <w:tc>
          <w:tcPr>
            <w:tcW w:w="547" w:type="pct"/>
            <w:vAlign w:val="center"/>
          </w:tcPr>
          <w:p w14:paraId="1B4F3423">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w:t>
            </w:r>
          </w:p>
        </w:tc>
        <w:tc>
          <w:tcPr>
            <w:tcW w:w="770" w:type="pct"/>
            <w:vAlign w:val="center"/>
          </w:tcPr>
          <w:p w14:paraId="353B7EF1">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否</w:t>
            </w:r>
          </w:p>
        </w:tc>
      </w:tr>
      <w:tr w14:paraId="0028B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7ED41F7E">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9</w:t>
            </w:r>
          </w:p>
        </w:tc>
        <w:tc>
          <w:tcPr>
            <w:tcW w:w="2496" w:type="pct"/>
            <w:vAlign w:val="center"/>
          </w:tcPr>
          <w:p w14:paraId="1A9B4A99">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5G全网通信工作站</w:t>
            </w:r>
          </w:p>
        </w:tc>
        <w:tc>
          <w:tcPr>
            <w:tcW w:w="685" w:type="pct"/>
            <w:vAlign w:val="center"/>
          </w:tcPr>
          <w:p w14:paraId="13F8B098">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台</w:t>
            </w:r>
          </w:p>
        </w:tc>
        <w:tc>
          <w:tcPr>
            <w:tcW w:w="547" w:type="pct"/>
            <w:vAlign w:val="center"/>
          </w:tcPr>
          <w:p w14:paraId="76486C26">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45</w:t>
            </w:r>
          </w:p>
        </w:tc>
        <w:tc>
          <w:tcPr>
            <w:tcW w:w="770" w:type="pct"/>
            <w:vAlign w:val="center"/>
          </w:tcPr>
          <w:p w14:paraId="66436C09">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否</w:t>
            </w:r>
          </w:p>
        </w:tc>
      </w:tr>
      <w:tr w14:paraId="2642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6C345815">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10</w:t>
            </w:r>
          </w:p>
        </w:tc>
        <w:tc>
          <w:tcPr>
            <w:tcW w:w="2496" w:type="pct"/>
            <w:vAlign w:val="center"/>
          </w:tcPr>
          <w:p w14:paraId="58FD4907">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通信全网融合仿真实验软件</w:t>
            </w:r>
          </w:p>
        </w:tc>
        <w:tc>
          <w:tcPr>
            <w:tcW w:w="685" w:type="pct"/>
            <w:vAlign w:val="center"/>
          </w:tcPr>
          <w:p w14:paraId="591C2F6C">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套</w:t>
            </w:r>
          </w:p>
        </w:tc>
        <w:tc>
          <w:tcPr>
            <w:tcW w:w="547" w:type="pct"/>
            <w:vAlign w:val="center"/>
          </w:tcPr>
          <w:p w14:paraId="7E6DAE23">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22</w:t>
            </w:r>
          </w:p>
        </w:tc>
        <w:tc>
          <w:tcPr>
            <w:tcW w:w="770" w:type="pct"/>
            <w:vAlign w:val="center"/>
          </w:tcPr>
          <w:p w14:paraId="75EABE22">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否</w:t>
            </w:r>
          </w:p>
        </w:tc>
      </w:tr>
      <w:tr w14:paraId="0BF8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00" w:type="pct"/>
            <w:vAlign w:val="center"/>
          </w:tcPr>
          <w:p w14:paraId="18C839E3">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11</w:t>
            </w:r>
          </w:p>
        </w:tc>
        <w:tc>
          <w:tcPr>
            <w:tcW w:w="2496" w:type="pct"/>
            <w:vAlign w:val="center"/>
          </w:tcPr>
          <w:p w14:paraId="432D0064">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教师讲台</w:t>
            </w:r>
          </w:p>
        </w:tc>
        <w:tc>
          <w:tcPr>
            <w:tcW w:w="685" w:type="pct"/>
            <w:vAlign w:val="center"/>
          </w:tcPr>
          <w:p w14:paraId="39080CE1">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台</w:t>
            </w:r>
          </w:p>
        </w:tc>
        <w:tc>
          <w:tcPr>
            <w:tcW w:w="547" w:type="pct"/>
            <w:vAlign w:val="center"/>
          </w:tcPr>
          <w:p w14:paraId="050B4018">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w:t>
            </w:r>
          </w:p>
        </w:tc>
        <w:tc>
          <w:tcPr>
            <w:tcW w:w="770" w:type="pct"/>
            <w:vAlign w:val="center"/>
          </w:tcPr>
          <w:p w14:paraId="08087620">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否</w:t>
            </w:r>
          </w:p>
        </w:tc>
      </w:tr>
      <w:tr w14:paraId="2AD0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4C70C49A">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12</w:t>
            </w:r>
          </w:p>
        </w:tc>
        <w:tc>
          <w:tcPr>
            <w:tcW w:w="2496" w:type="pct"/>
            <w:vAlign w:val="center"/>
          </w:tcPr>
          <w:p w14:paraId="39724A05">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模块化六边形学生实训桌</w:t>
            </w:r>
          </w:p>
        </w:tc>
        <w:tc>
          <w:tcPr>
            <w:tcW w:w="685" w:type="pct"/>
            <w:vAlign w:val="center"/>
          </w:tcPr>
          <w:p w14:paraId="402DB568">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套</w:t>
            </w:r>
          </w:p>
        </w:tc>
        <w:tc>
          <w:tcPr>
            <w:tcW w:w="547" w:type="pct"/>
            <w:vAlign w:val="center"/>
          </w:tcPr>
          <w:p w14:paraId="0BE3E0DB">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8</w:t>
            </w:r>
          </w:p>
        </w:tc>
        <w:tc>
          <w:tcPr>
            <w:tcW w:w="770" w:type="pct"/>
            <w:vAlign w:val="center"/>
          </w:tcPr>
          <w:p w14:paraId="7DECF95A">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否</w:t>
            </w:r>
          </w:p>
        </w:tc>
      </w:tr>
      <w:tr w14:paraId="1860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7C9B20EF">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13</w:t>
            </w:r>
          </w:p>
        </w:tc>
        <w:tc>
          <w:tcPr>
            <w:tcW w:w="2496" w:type="pct"/>
            <w:vAlign w:val="center"/>
          </w:tcPr>
          <w:p w14:paraId="6C0291FB">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学生人体工学椅</w:t>
            </w:r>
          </w:p>
        </w:tc>
        <w:tc>
          <w:tcPr>
            <w:tcW w:w="685" w:type="pct"/>
            <w:vAlign w:val="center"/>
          </w:tcPr>
          <w:p w14:paraId="309A2F59">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台</w:t>
            </w:r>
          </w:p>
        </w:tc>
        <w:tc>
          <w:tcPr>
            <w:tcW w:w="547" w:type="pct"/>
            <w:vAlign w:val="center"/>
          </w:tcPr>
          <w:p w14:paraId="7402D808">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48</w:t>
            </w:r>
          </w:p>
        </w:tc>
        <w:tc>
          <w:tcPr>
            <w:tcW w:w="770" w:type="pct"/>
            <w:vAlign w:val="center"/>
          </w:tcPr>
          <w:p w14:paraId="50CE15D7">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否</w:t>
            </w:r>
          </w:p>
        </w:tc>
      </w:tr>
      <w:tr w14:paraId="0F43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5F1CE76F">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14</w:t>
            </w:r>
          </w:p>
        </w:tc>
        <w:tc>
          <w:tcPr>
            <w:tcW w:w="2496" w:type="pct"/>
            <w:vAlign w:val="center"/>
          </w:tcPr>
          <w:p w14:paraId="6FC65CEF">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触控一体机</w:t>
            </w:r>
          </w:p>
        </w:tc>
        <w:tc>
          <w:tcPr>
            <w:tcW w:w="685" w:type="pct"/>
            <w:vAlign w:val="center"/>
          </w:tcPr>
          <w:p w14:paraId="1E27383C">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台</w:t>
            </w:r>
          </w:p>
        </w:tc>
        <w:tc>
          <w:tcPr>
            <w:tcW w:w="547" w:type="pct"/>
            <w:vAlign w:val="center"/>
          </w:tcPr>
          <w:p w14:paraId="1C04BB23">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w:t>
            </w:r>
          </w:p>
        </w:tc>
        <w:tc>
          <w:tcPr>
            <w:tcW w:w="770" w:type="pct"/>
            <w:vAlign w:val="center"/>
          </w:tcPr>
          <w:p w14:paraId="473DBD71">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否</w:t>
            </w:r>
          </w:p>
        </w:tc>
      </w:tr>
      <w:tr w14:paraId="65E6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00" w:type="pct"/>
            <w:vAlign w:val="center"/>
          </w:tcPr>
          <w:p w14:paraId="6A507267">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15</w:t>
            </w:r>
          </w:p>
        </w:tc>
        <w:tc>
          <w:tcPr>
            <w:tcW w:w="2496" w:type="pct"/>
            <w:vAlign w:val="center"/>
          </w:tcPr>
          <w:p w14:paraId="1C365771">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教学书写黑板</w:t>
            </w:r>
          </w:p>
        </w:tc>
        <w:tc>
          <w:tcPr>
            <w:tcW w:w="685" w:type="pct"/>
            <w:vAlign w:val="center"/>
          </w:tcPr>
          <w:p w14:paraId="3911779D">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台</w:t>
            </w:r>
          </w:p>
        </w:tc>
        <w:tc>
          <w:tcPr>
            <w:tcW w:w="547" w:type="pct"/>
            <w:vAlign w:val="center"/>
          </w:tcPr>
          <w:p w14:paraId="02C1BA66">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2</w:t>
            </w:r>
          </w:p>
        </w:tc>
        <w:tc>
          <w:tcPr>
            <w:tcW w:w="770" w:type="pct"/>
            <w:vAlign w:val="center"/>
          </w:tcPr>
          <w:p w14:paraId="261C8FDB">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否</w:t>
            </w:r>
          </w:p>
        </w:tc>
      </w:tr>
      <w:tr w14:paraId="1979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65CF5787">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16</w:t>
            </w:r>
          </w:p>
        </w:tc>
        <w:tc>
          <w:tcPr>
            <w:tcW w:w="2496" w:type="pct"/>
            <w:vAlign w:val="center"/>
          </w:tcPr>
          <w:p w14:paraId="65D308C6">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平板显示设备</w:t>
            </w:r>
          </w:p>
        </w:tc>
        <w:tc>
          <w:tcPr>
            <w:tcW w:w="685" w:type="pct"/>
            <w:vAlign w:val="center"/>
          </w:tcPr>
          <w:p w14:paraId="722B1DD8">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台</w:t>
            </w:r>
          </w:p>
        </w:tc>
        <w:tc>
          <w:tcPr>
            <w:tcW w:w="547" w:type="pct"/>
            <w:vAlign w:val="center"/>
          </w:tcPr>
          <w:p w14:paraId="2AAE8C07">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2</w:t>
            </w:r>
          </w:p>
        </w:tc>
        <w:tc>
          <w:tcPr>
            <w:tcW w:w="770" w:type="pct"/>
            <w:vAlign w:val="center"/>
          </w:tcPr>
          <w:p w14:paraId="2E584C8C">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否</w:t>
            </w:r>
          </w:p>
        </w:tc>
      </w:tr>
      <w:tr w14:paraId="51BE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204DC7FE">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17</w:t>
            </w:r>
          </w:p>
        </w:tc>
        <w:tc>
          <w:tcPr>
            <w:tcW w:w="2496" w:type="pct"/>
            <w:vAlign w:val="center"/>
          </w:tcPr>
          <w:p w14:paraId="2F747481">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教室音频扩声设备</w:t>
            </w:r>
          </w:p>
        </w:tc>
        <w:tc>
          <w:tcPr>
            <w:tcW w:w="685" w:type="pct"/>
            <w:vAlign w:val="center"/>
          </w:tcPr>
          <w:p w14:paraId="5F09A0BA">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套</w:t>
            </w:r>
          </w:p>
        </w:tc>
        <w:tc>
          <w:tcPr>
            <w:tcW w:w="547" w:type="pct"/>
            <w:vAlign w:val="center"/>
          </w:tcPr>
          <w:p w14:paraId="407BADDC">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w:t>
            </w:r>
          </w:p>
        </w:tc>
        <w:tc>
          <w:tcPr>
            <w:tcW w:w="770" w:type="pct"/>
            <w:vAlign w:val="center"/>
          </w:tcPr>
          <w:p w14:paraId="43398A72">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否</w:t>
            </w:r>
          </w:p>
        </w:tc>
      </w:tr>
      <w:tr w14:paraId="24BA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vAlign w:val="center"/>
          </w:tcPr>
          <w:p w14:paraId="00C7498C">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18</w:t>
            </w:r>
          </w:p>
        </w:tc>
        <w:tc>
          <w:tcPr>
            <w:tcW w:w="2496" w:type="pct"/>
            <w:vAlign w:val="center"/>
          </w:tcPr>
          <w:p w14:paraId="584B9AF3">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教学管理软件</w:t>
            </w:r>
          </w:p>
        </w:tc>
        <w:tc>
          <w:tcPr>
            <w:tcW w:w="685" w:type="pct"/>
            <w:vAlign w:val="center"/>
          </w:tcPr>
          <w:p w14:paraId="7E36CCD5">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套</w:t>
            </w:r>
          </w:p>
        </w:tc>
        <w:tc>
          <w:tcPr>
            <w:tcW w:w="547" w:type="pct"/>
            <w:vAlign w:val="center"/>
          </w:tcPr>
          <w:p w14:paraId="6F0895DE">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w:t>
            </w:r>
          </w:p>
        </w:tc>
        <w:tc>
          <w:tcPr>
            <w:tcW w:w="770" w:type="pct"/>
            <w:vAlign w:val="center"/>
          </w:tcPr>
          <w:p w14:paraId="38408ADB">
            <w:pPr>
              <w:pStyle w:val="37"/>
              <w:keepNext w:val="0"/>
              <w:keepLines w:val="0"/>
              <w:pageBreakBefore w:val="0"/>
              <w:widowControl w:val="0"/>
              <w:kinsoku/>
              <w:wordWrap w:val="0"/>
              <w:overflowPunct/>
              <w:topLinePunct w:val="0"/>
              <w:autoSpaceDE/>
              <w:autoSpaceDN/>
              <w:bidi w:val="0"/>
              <w:adjustRightInd/>
              <w:ind w:left="0" w:firstLine="0"/>
              <w:jc w:val="center"/>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否</w:t>
            </w:r>
          </w:p>
        </w:tc>
      </w:tr>
    </w:tbl>
    <w:p w14:paraId="52AE9DC5">
      <w:pPr>
        <w:pStyle w:val="37"/>
        <w:keepNext w:val="0"/>
        <w:keepLines w:val="0"/>
        <w:pageBreakBefore w:val="0"/>
        <w:widowControl w:val="0"/>
        <w:kinsoku/>
        <w:wordWrap w:val="0"/>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 xml:space="preserve">2.项目概述：本项目拟在约135平方米空间内建设集5G组网架构、通信协议解析、网络规划优化及业务应用验证于一体的理实一体化实训环境。采购内容涵盖5G核心网系统、5G基站系统（BBU/AAU）、5G覆盖规划与优化仿真平台、全网全业务融合仿真软件、高性能通信工作站及智慧多媒体教学系统。该实训室为现代通信工程、人工智能及物联网专业提供全场景教学与实训支持，使学生掌握从5G终端接入、基站级联开通、核心网数据配置到全网信令流程解析的全流程技术，构建高度还原现网实际工作场景、具备真实5G业务模拟能力的综合性产教融合实训基地。 </w:t>
      </w:r>
    </w:p>
    <w:p w14:paraId="4FFD2D66">
      <w:pPr>
        <w:pStyle w:val="37"/>
        <w:keepNext w:val="0"/>
        <w:keepLines w:val="0"/>
        <w:pageBreakBefore w:val="0"/>
        <w:widowControl w:val="0"/>
        <w:kinsoku/>
        <w:wordWrap w:val="0"/>
        <w:overflowPunct/>
        <w:topLinePunct w:val="0"/>
        <w:autoSpaceDE/>
        <w:autoSpaceDN/>
        <w:bidi w:val="0"/>
        <w:adjustRightInd/>
        <w:snapToGrid/>
        <w:spacing w:before="156" w:beforeLines="50" w:after="156" w:afterLines="50"/>
        <w:ind w:left="0" w:firstLine="0"/>
        <w:textAlignment w:val="auto"/>
        <w:rPr>
          <w:rFonts w:hint="eastAsia" w:ascii="仿宋" w:hAnsi="仿宋" w:eastAsia="仿宋" w:cs="仿宋"/>
          <w:b/>
          <w:bCs/>
          <w:snapToGrid w:val="0"/>
          <w:color w:val="auto"/>
          <w:sz w:val="24"/>
          <w:szCs w:val="24"/>
          <w:highlight w:val="none"/>
          <w:lang w:val="en-US" w:eastAsia="zh-CN"/>
        </w:rPr>
      </w:pPr>
      <w:r>
        <w:rPr>
          <w:rFonts w:hint="eastAsia" w:ascii="仿宋" w:hAnsi="仿宋" w:eastAsia="仿宋" w:cs="仿宋"/>
          <w:b/>
          <w:bCs/>
          <w:snapToGrid w:val="0"/>
          <w:color w:val="auto"/>
          <w:sz w:val="24"/>
          <w:szCs w:val="24"/>
          <w:highlight w:val="none"/>
          <w:lang w:val="en-US" w:eastAsia="zh-CN"/>
        </w:rPr>
        <w:t>二、商务要求</w:t>
      </w:r>
      <w:r>
        <w:rPr>
          <w:rFonts w:hint="eastAsia" w:ascii="仿宋" w:hAnsi="仿宋" w:eastAsia="仿宋" w:cs="仿宋"/>
          <w:b/>
          <w:bCs/>
          <w:i/>
          <w:iCs/>
          <w:snapToGrid w:val="0"/>
          <w:color w:val="auto"/>
          <w:sz w:val="24"/>
          <w:szCs w:val="24"/>
          <w:highlight w:val="none"/>
          <w:lang w:val="en-US" w:eastAsia="zh-CN"/>
        </w:rPr>
        <w:t xml:space="preserve"> </w:t>
      </w:r>
    </w:p>
    <w:p w14:paraId="79298A04">
      <w:pPr>
        <w:pStyle w:val="37"/>
        <w:keepNext w:val="0"/>
        <w:keepLines w:val="0"/>
        <w:pageBreakBefore w:val="0"/>
        <w:widowControl w:val="0"/>
        <w:kinsoku/>
        <w:wordWrap w:val="0"/>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★1.交货期：合同签订生效后45日历日内完成所有供货并安装调试完毕，并试运行达到正常运行。</w:t>
      </w:r>
    </w:p>
    <w:p w14:paraId="0D837E7F">
      <w:pPr>
        <w:pStyle w:val="37"/>
        <w:keepNext w:val="0"/>
        <w:keepLines w:val="0"/>
        <w:pageBreakBefore w:val="0"/>
        <w:widowControl w:val="0"/>
        <w:kinsoku/>
        <w:wordWrap w:val="0"/>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★2.交货地点：新疆理工职业大学内采购人指定地点。</w:t>
      </w:r>
    </w:p>
    <w:p w14:paraId="50FD844E">
      <w:pPr>
        <w:pStyle w:val="37"/>
        <w:keepNext w:val="0"/>
        <w:keepLines w:val="0"/>
        <w:pageBreakBefore w:val="0"/>
        <w:widowControl w:val="0"/>
        <w:kinsoku/>
        <w:wordWrap w:val="0"/>
        <w:overflowPunct/>
        <w:topLinePunct w:val="0"/>
        <w:autoSpaceDE/>
        <w:autoSpaceDN/>
        <w:bidi w:val="0"/>
        <w:adjustRightInd/>
        <w:textAlignment w:val="auto"/>
        <w:rPr>
          <w:rFonts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3.付款方式：合同签订后支付合同总价的30%预付款，供应商需提供金融机构出具的等额预付款保函，财务见保函后10个工作日内予以支付；货物全部到校开箱验收后，支付合同总价的50%进度款，经验收合格后，由乙方向甲方提供合同总金额全额的增值税专用发票，甲方见票10个工作日内支付20%尾款至合同约定账户。</w:t>
      </w:r>
    </w:p>
    <w:p w14:paraId="4E0DFB34">
      <w:pPr>
        <w:pStyle w:val="37"/>
        <w:keepNext w:val="0"/>
        <w:keepLines w:val="0"/>
        <w:pageBreakBefore w:val="0"/>
        <w:widowControl w:val="0"/>
        <w:kinsoku/>
        <w:wordWrap w:val="0"/>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4.质保期：</w:t>
      </w:r>
    </w:p>
    <w:p w14:paraId="31CA68B8">
      <w:pPr>
        <w:pStyle w:val="37"/>
        <w:keepNext w:val="0"/>
        <w:keepLines w:val="0"/>
        <w:pageBreakBefore w:val="0"/>
        <w:widowControl w:val="0"/>
        <w:kinsoku/>
        <w:wordWrap w:val="0"/>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质保期：5年。保修期内，任何由制造商选材和制造不当引起的质量问题，厂家负责维修。保修期自验收签字之日起计算。保修期满前1个月内供应商应负责一次全面检查，并写出正式报告，如发现潜在问题，应负责排除。</w:t>
      </w:r>
    </w:p>
    <w:p w14:paraId="590A2F95">
      <w:pPr>
        <w:pStyle w:val="37"/>
        <w:keepNext w:val="0"/>
        <w:keepLines w:val="0"/>
        <w:pageBreakBefore w:val="0"/>
        <w:widowControl w:val="0"/>
        <w:kinsoku/>
        <w:wordWrap w:val="0"/>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2）安装及培训：供应商需对用户的场地及人员等进行规划提出可行性方案。验收完成后在安装调试时要进行操作培训。由专业工程师现场提供系统地使用培训服务，直至采购人相关人员熟练掌握为止，所有培训费由中标人承担。</w:t>
      </w:r>
    </w:p>
    <w:p w14:paraId="70628996">
      <w:pPr>
        <w:pStyle w:val="37"/>
        <w:keepNext w:val="0"/>
        <w:keepLines w:val="0"/>
        <w:pageBreakBefore w:val="0"/>
        <w:widowControl w:val="0"/>
        <w:kinsoku/>
        <w:wordWrap w:val="0"/>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 xml:space="preserve">★3）中标人必须提供具有合法销售途径及完善售后服务的原装正品、全新、符合有关质量标准的产品。设备到货安装前，采购人依据招标文件要求及投标文件承诺对产品逐条进行核验，验收不合格的，采购人有权终止合同并全部退货，同时报相关监督管理部门处理，由此造成采购人经济损失的由中标供应商负责承担全部赔偿责任。 </w:t>
      </w:r>
    </w:p>
    <w:p w14:paraId="601453BF">
      <w:pPr>
        <w:pStyle w:val="37"/>
        <w:keepNext w:val="0"/>
        <w:keepLines w:val="0"/>
        <w:pageBreakBefore w:val="0"/>
        <w:widowControl w:val="0"/>
        <w:kinsoku/>
        <w:wordWrap w:val="0"/>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 xml:space="preserve">5.售后服务：质保期内中标公司负责维护，提供5年质保及售后服务，售后服务从货物终验通过之日起计算。卖方应在24小时内对用户的服务要求做出响应，一般问题在48小时内解决，重大问题或其他无法立刻解决的问题应在一周内解决或提出明确的解决方案，否则卖方应赔偿相应的损失。 </w:t>
      </w:r>
    </w:p>
    <w:p w14:paraId="7435D047">
      <w:pPr>
        <w:pStyle w:val="37"/>
        <w:keepNext w:val="0"/>
        <w:keepLines w:val="0"/>
        <w:pageBreakBefore w:val="0"/>
        <w:widowControl w:val="0"/>
        <w:kinsoku/>
        <w:wordWrap w:val="0"/>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★6.验收标准：</w:t>
      </w:r>
    </w:p>
    <w:p w14:paraId="069F4196">
      <w:pPr>
        <w:pStyle w:val="37"/>
        <w:keepNext w:val="0"/>
        <w:keepLines w:val="0"/>
        <w:pageBreakBefore w:val="0"/>
        <w:widowControl w:val="0"/>
        <w:kinsoku/>
        <w:wordWrap w:val="0"/>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1）设备安装、调试完成后，由采购人组织验收，验收合格后，采购人及中标人双方共同签署验收文件。</w:t>
      </w:r>
    </w:p>
    <w:p w14:paraId="720AAD31">
      <w:pPr>
        <w:pStyle w:val="37"/>
        <w:keepNext w:val="0"/>
        <w:keepLines w:val="0"/>
        <w:pageBreakBefore w:val="0"/>
        <w:widowControl w:val="0"/>
        <w:kinsoku/>
        <w:wordWrap w:val="0"/>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2）设备到货：设备到货前应将设备安装环境要求书面通知用户，并与用户协商足够准备时间。到货时需按用户要求将设备在双方商定的时间运到指定的安装位置，并由设备安装工程师当场进行开箱检查。</w:t>
      </w:r>
    </w:p>
    <w:p w14:paraId="3904BC8A">
      <w:pPr>
        <w:pStyle w:val="37"/>
        <w:keepNext w:val="0"/>
        <w:keepLines w:val="0"/>
        <w:pageBreakBefore w:val="0"/>
        <w:widowControl w:val="0"/>
        <w:kinsoku/>
        <w:wordWrap w:val="0"/>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3）设备安装调试：设备经开箱检查确认一切正常后，由设备安装工程师执行安装调试直至达到验收指标（以技术规格要求指标为验收指标）。由用户单位进行使用性能方面的验收。设备的性能应符合投标人应答文件中承诺的技术指标，所有指标验收必须由用户确认。</w:t>
      </w:r>
    </w:p>
    <w:p w14:paraId="525663E0">
      <w:pPr>
        <w:pStyle w:val="37"/>
        <w:keepNext w:val="0"/>
        <w:keepLines w:val="0"/>
        <w:pageBreakBefore w:val="0"/>
        <w:widowControl w:val="0"/>
        <w:kinsoku/>
        <w:wordWrap w:val="0"/>
        <w:overflowPunct/>
        <w:topLinePunct w:val="0"/>
        <w:autoSpaceDE/>
        <w:autoSpaceDN/>
        <w:bidi w:val="0"/>
        <w:adjustRightInd/>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★7.履约保证金缴纳方式：中标供应商须在签订合同15日内按合同总金额8%向采购人缴纳履约保证金；保函有效期不得低于履约时间，履约完成后自动失效。</w:t>
      </w:r>
    </w:p>
    <w:p w14:paraId="2847B2DC">
      <w:pPr>
        <w:numPr>
          <w:ilvl w:val="0"/>
          <w:numId w:val="5"/>
        </w:numPr>
        <w:rPr>
          <w:rFonts w:hint="eastAsia" w:ascii="仿宋" w:hAnsi="仿宋" w:eastAsia="仿宋" w:cs="仿宋"/>
          <w:b/>
          <w:bCs/>
          <w:snapToGrid w:val="0"/>
          <w:color w:val="auto"/>
          <w:sz w:val="24"/>
          <w:szCs w:val="24"/>
          <w:highlight w:val="none"/>
          <w:lang w:val="en-US" w:eastAsia="zh-CN"/>
        </w:rPr>
      </w:pPr>
      <w:r>
        <w:rPr>
          <w:rFonts w:hint="eastAsia" w:ascii="仿宋" w:hAnsi="仿宋" w:eastAsia="仿宋" w:cs="仿宋"/>
          <w:b/>
          <w:bCs/>
          <w:snapToGrid w:val="0"/>
          <w:color w:val="auto"/>
          <w:sz w:val="24"/>
          <w:szCs w:val="24"/>
          <w:highlight w:val="none"/>
          <w:lang w:val="en-US" w:eastAsia="zh-CN"/>
        </w:rPr>
        <w:t>技术要求</w:t>
      </w:r>
    </w:p>
    <w:p w14:paraId="428EFBD3">
      <w:pPr>
        <w:rPr>
          <w:rFonts w:hint="eastAsia" w:ascii="仿宋" w:hAnsi="仿宋" w:eastAsia="仿宋" w:cs="仿宋"/>
          <w:b/>
          <w:bCs/>
          <w:snapToGrid w:val="0"/>
          <w:color w:val="auto"/>
          <w:sz w:val="24"/>
          <w:szCs w:val="24"/>
          <w:highlight w:val="none"/>
          <w:lang w:val="en-US" w:eastAsia="zh-CN"/>
        </w:rPr>
      </w:pPr>
      <w:r>
        <w:rPr>
          <w:rFonts w:hint="eastAsia" w:ascii="仿宋" w:hAnsi="仿宋" w:eastAsia="仿宋" w:cs="仿宋"/>
          <w:b/>
          <w:bCs/>
          <w:snapToGrid w:val="0"/>
          <w:color w:val="auto"/>
          <w:sz w:val="24"/>
          <w:szCs w:val="24"/>
          <w:highlight w:val="none"/>
          <w:lang w:val="en-US" w:eastAsia="zh-CN"/>
        </w:rPr>
        <w:t>1.拟购仪器设备类明细表</w:t>
      </w:r>
    </w:p>
    <w:tbl>
      <w:tblPr>
        <w:tblStyle w:val="29"/>
        <w:tblpPr w:leftFromText="180" w:rightFromText="180" w:vertAnchor="text" w:horzAnchor="page" w:tblpXSpec="center" w:tblpY="346"/>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024"/>
        <w:gridCol w:w="4906"/>
        <w:gridCol w:w="685"/>
        <w:gridCol w:w="685"/>
        <w:gridCol w:w="600"/>
      </w:tblGrid>
      <w:tr w14:paraId="4A35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059F3CB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序号</w:t>
            </w:r>
          </w:p>
        </w:tc>
        <w:tc>
          <w:tcPr>
            <w:tcW w:w="601" w:type="pct"/>
            <w:vAlign w:val="center"/>
          </w:tcPr>
          <w:p w14:paraId="727C4AC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设备名称</w:t>
            </w:r>
          </w:p>
        </w:tc>
        <w:tc>
          <w:tcPr>
            <w:tcW w:w="2878" w:type="pct"/>
            <w:vAlign w:val="center"/>
          </w:tcPr>
          <w:p w14:paraId="7AE3086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型号规格</w:t>
            </w:r>
          </w:p>
        </w:tc>
        <w:tc>
          <w:tcPr>
            <w:tcW w:w="685" w:type="dxa"/>
            <w:vAlign w:val="center"/>
          </w:tcPr>
          <w:p w14:paraId="668B3800">
            <w:pPr>
              <w:pStyle w:val="37"/>
              <w:keepNext w:val="0"/>
              <w:keepLines w:val="0"/>
              <w:pageBreakBefore w:val="0"/>
              <w:widowControl w:val="0"/>
              <w:kinsoku/>
              <w:wordWrap w:val="0"/>
              <w:overflowPunct/>
              <w:topLinePunct w:val="0"/>
              <w:autoSpaceDE/>
              <w:autoSpaceDN/>
              <w:bidi w:val="0"/>
              <w:adjustRightInd/>
              <w:ind w:left="0" w:leftChars="0"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napToGrid w:val="0"/>
                <w:color w:val="auto"/>
                <w:sz w:val="24"/>
                <w:szCs w:val="24"/>
                <w:highlight w:val="none"/>
                <w:lang w:val="en-US" w:eastAsia="zh-CN"/>
              </w:rPr>
              <w:t>数量</w:t>
            </w:r>
          </w:p>
        </w:tc>
        <w:tc>
          <w:tcPr>
            <w:tcW w:w="402" w:type="pct"/>
            <w:vAlign w:val="center"/>
          </w:tcPr>
          <w:p w14:paraId="3AD1E02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单位</w:t>
            </w:r>
          </w:p>
        </w:tc>
        <w:tc>
          <w:tcPr>
            <w:tcW w:w="352" w:type="pct"/>
            <w:vAlign w:val="center"/>
          </w:tcPr>
          <w:p w14:paraId="795E8CB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备注</w:t>
            </w:r>
          </w:p>
        </w:tc>
      </w:tr>
      <w:tr w14:paraId="7FD7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1DAA082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rPr>
              <w:t>1</w:t>
            </w:r>
          </w:p>
        </w:tc>
        <w:tc>
          <w:tcPr>
            <w:tcW w:w="601" w:type="pct"/>
            <w:vAlign w:val="center"/>
          </w:tcPr>
          <w:p w14:paraId="1F7A2B4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rPr>
              <w:t>5G核心网系统（含服务器）</w:t>
            </w:r>
            <w:r>
              <w:rPr>
                <w:rFonts w:hint="eastAsia" w:ascii="仿宋" w:hAnsi="仿宋" w:eastAsia="仿宋" w:cs="仿宋"/>
                <w:b/>
                <w:bCs/>
                <w:kern w:val="0"/>
                <w:sz w:val="21"/>
                <w:szCs w:val="21"/>
                <w:highlight w:val="none"/>
                <w:lang w:eastAsia="zh-CN"/>
              </w:rPr>
              <w:t>（</w:t>
            </w:r>
            <w:r>
              <w:rPr>
                <w:rFonts w:hint="eastAsia" w:ascii="仿宋" w:hAnsi="仿宋" w:eastAsia="仿宋" w:cs="仿宋"/>
                <w:b/>
                <w:bCs/>
                <w:kern w:val="0"/>
                <w:sz w:val="21"/>
                <w:szCs w:val="21"/>
                <w:highlight w:val="none"/>
                <w:lang w:val="en-US" w:eastAsia="zh-CN"/>
              </w:rPr>
              <w:t>核心产品</w:t>
            </w:r>
            <w:r>
              <w:rPr>
                <w:rFonts w:hint="eastAsia" w:ascii="仿宋" w:hAnsi="仿宋" w:eastAsia="仿宋" w:cs="仿宋"/>
                <w:b/>
                <w:bCs/>
                <w:kern w:val="0"/>
                <w:sz w:val="21"/>
                <w:szCs w:val="21"/>
                <w:highlight w:val="none"/>
                <w:lang w:eastAsia="zh-CN"/>
              </w:rPr>
              <w:t>）</w:t>
            </w:r>
          </w:p>
        </w:tc>
        <w:tc>
          <w:tcPr>
            <w:tcW w:w="2878" w:type="pct"/>
            <w:vAlign w:val="center"/>
          </w:tcPr>
          <w:p w14:paraId="03CD8FE3">
            <w:pPr>
              <w:keepNext w:val="0"/>
              <w:keepLines w:val="0"/>
              <w:pageBreakBefore w:val="0"/>
              <w:widowControl w:val="0"/>
              <w:numPr>
                <w:ilvl w:val="0"/>
                <w:numId w:val="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lang w:val="en-US" w:eastAsia="zh-CN"/>
              </w:rPr>
            </w:pPr>
            <w:r>
              <w:rPr>
                <w:rFonts w:hint="eastAsia" w:ascii="仿宋" w:hAnsi="仿宋" w:eastAsia="仿宋" w:cs="仿宋"/>
                <w:b/>
                <w:bCs/>
                <w:kern w:val="0"/>
                <w:sz w:val="21"/>
                <w:szCs w:val="21"/>
                <w:highlight w:val="none"/>
              </w:rPr>
              <w:t>硬件架构要求</w:t>
            </w:r>
          </w:p>
          <w:p w14:paraId="6D2C67DA">
            <w:pPr>
              <w:keepNext w:val="0"/>
              <w:keepLines w:val="0"/>
              <w:pageBreakBefore w:val="0"/>
              <w:widowControl w:val="0"/>
              <w:numPr>
                <w:ilvl w:val="0"/>
                <w:numId w:val="7"/>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物理规格：</w:t>
            </w:r>
            <w:r>
              <w:rPr>
                <w:rFonts w:hint="eastAsia" w:ascii="仿宋" w:hAnsi="仿宋" w:eastAsia="仿宋" w:cs="仿宋"/>
                <w:color w:val="auto"/>
                <w:kern w:val="0"/>
                <w:sz w:val="21"/>
                <w:szCs w:val="21"/>
                <w:highlight w:val="none"/>
              </w:rPr>
              <w:t>采用高度不大于2U的标准架构设计，支持适配19英寸及以上标准的机柜</w:t>
            </w:r>
            <w:r>
              <w:rPr>
                <w:rFonts w:hint="eastAsia" w:ascii="仿宋" w:hAnsi="仿宋" w:eastAsia="仿宋" w:cs="仿宋"/>
                <w:color w:val="auto"/>
                <w:kern w:val="0"/>
                <w:sz w:val="21"/>
                <w:szCs w:val="21"/>
                <w:highlight w:val="none"/>
                <w:lang w:val="en-US" w:eastAsia="zh-CN"/>
              </w:rPr>
              <w:t>安装</w:t>
            </w:r>
            <w:r>
              <w:rPr>
                <w:rFonts w:hint="eastAsia" w:ascii="仿宋" w:hAnsi="仿宋" w:eastAsia="仿宋" w:cs="仿宋"/>
                <w:color w:val="auto"/>
                <w:kern w:val="0"/>
                <w:sz w:val="21"/>
                <w:szCs w:val="21"/>
                <w:highlight w:val="none"/>
              </w:rPr>
              <w:t>，配</w:t>
            </w:r>
            <w:r>
              <w:rPr>
                <w:rFonts w:hint="eastAsia" w:ascii="仿宋" w:hAnsi="仿宋" w:eastAsia="仿宋" w:cs="仿宋"/>
                <w:kern w:val="0"/>
                <w:sz w:val="21"/>
                <w:szCs w:val="21"/>
                <w:highlight w:val="none"/>
              </w:rPr>
              <w:t>备专用适配安装导轨，CPU≥10核20线程，总内存≥64G，硬盘SSD≥960G，配置不少于1块外接双口万兆光口网卡，采用工业级主流原厂芯片，支持PCIe 3.0及以上总线协议，兼容DPDK加速框架，配套对应万兆光模块</w:t>
            </w:r>
          </w:p>
          <w:p w14:paraId="56CD191A">
            <w:pPr>
              <w:keepNext w:val="0"/>
              <w:keepLines w:val="0"/>
              <w:pageBreakBefore w:val="0"/>
              <w:widowControl w:val="0"/>
              <w:numPr>
                <w:ilvl w:val="0"/>
                <w:numId w:val="7"/>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网络接口：集成万兆高性能光口，硬件支持Passthrough（直通）技术及DPDK（数据平面开发套件）加速，满足高速数据转发需求。</w:t>
            </w:r>
          </w:p>
          <w:p w14:paraId="4F5751E2">
            <w:pPr>
              <w:keepNext w:val="0"/>
              <w:keepLines w:val="0"/>
              <w:pageBreakBefore w:val="0"/>
              <w:widowControl w:val="0"/>
              <w:numPr>
                <w:ilvl w:val="0"/>
                <w:numId w:val="7"/>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供电系统：配置1+1热插拔冗余电源模块，提供不少于2根标准电源线，支持设备不间断运行。</w:t>
            </w:r>
          </w:p>
          <w:p w14:paraId="4E99960E">
            <w:pPr>
              <w:keepNext w:val="0"/>
              <w:keepLines w:val="0"/>
              <w:pageBreakBefore w:val="0"/>
              <w:widowControl w:val="0"/>
              <w:numPr>
                <w:ilvl w:val="0"/>
                <w:numId w:val="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功能要求（基于3GPP标准）</w:t>
            </w:r>
          </w:p>
          <w:p w14:paraId="7204B056">
            <w:pPr>
              <w:keepNext w:val="0"/>
              <w:keepLines w:val="0"/>
              <w:pageBreakBefore w:val="0"/>
              <w:widowControl w:val="0"/>
              <w:numPr>
                <w:ilvl w:val="0"/>
                <w:numId w:val="8"/>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移动性管理（AMF）：支持完整的注册管理；支持5GAKA鉴权安全管理；支持Xn切换、N2切换等移动性场景及业务请求连接管理。</w:t>
            </w:r>
          </w:p>
          <w:p w14:paraId="7CD4EAEE">
            <w:pPr>
              <w:keepNext w:val="0"/>
              <w:keepLines w:val="0"/>
              <w:pageBreakBefore w:val="0"/>
              <w:widowControl w:val="0"/>
              <w:numPr>
                <w:ilvl w:val="0"/>
                <w:numId w:val="8"/>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会话管理（SMF）：支持会话生命周期管理；具备UE</w:t>
            </w:r>
            <w:r>
              <w:rPr>
                <w:rFonts w:hint="eastAsia" w:ascii="仿宋" w:hAnsi="仿宋" w:eastAsia="仿宋" w:cs="仿宋"/>
                <w:kern w:val="0"/>
                <w:sz w:val="21"/>
                <w:szCs w:val="21"/>
                <w:highlight w:val="none"/>
                <w:lang w:eastAsia="zh-CN"/>
              </w:rPr>
              <w:t>、</w:t>
            </w:r>
            <w:r>
              <w:rPr>
                <w:rFonts w:hint="eastAsia" w:ascii="仿宋" w:hAnsi="仿宋" w:eastAsia="仿宋" w:cs="仿宋"/>
                <w:kern w:val="0"/>
                <w:sz w:val="21"/>
                <w:szCs w:val="21"/>
                <w:highlight w:val="none"/>
              </w:rPr>
              <w:t>IP地址动态分配与管理功能；支持对UPF功能实体的灵活选择与控制。</w:t>
            </w:r>
          </w:p>
          <w:p w14:paraId="129383C2">
            <w:pPr>
              <w:keepNext w:val="0"/>
              <w:keepLines w:val="0"/>
              <w:pageBreakBefore w:val="0"/>
              <w:widowControl w:val="0"/>
              <w:numPr>
                <w:ilvl w:val="0"/>
                <w:numId w:val="8"/>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用户面功能（UPF）：支持高性能分组路由与转发；具备上行链路分类器功能，支持业务流精确路由至特定数据网络；支持IPv4/IPv6双栈协议及QoS规则处理。</w:t>
            </w:r>
          </w:p>
          <w:p w14:paraId="0761E3B1">
            <w:pPr>
              <w:keepNext w:val="0"/>
              <w:keepLines w:val="0"/>
              <w:pageBreakBefore w:val="0"/>
              <w:widowControl w:val="0"/>
              <w:numPr>
                <w:ilvl w:val="0"/>
                <w:numId w:val="8"/>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数据与策略管理（UDM/PCF）：支持用户签约数据管理及订阅通知；支持移动性与会话级策略控制，具备区域限制策略功能；支持QoS Flow级、业务流级及PDU会话级多维度的QoS控制。</w:t>
            </w:r>
          </w:p>
          <w:p w14:paraId="0B4F2CF9">
            <w:pPr>
              <w:keepNext w:val="0"/>
              <w:keepLines w:val="0"/>
              <w:pageBreakBefore w:val="0"/>
              <w:widowControl w:val="0"/>
              <w:numPr>
                <w:ilvl w:val="0"/>
                <w:numId w:val="8"/>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存储与鉴权服务（NRF/AUSF）：支持服务化管理功能；具备5GAKA标准鉴权能力。</w:t>
            </w:r>
          </w:p>
          <w:p w14:paraId="41D929BF">
            <w:pPr>
              <w:keepNext w:val="0"/>
              <w:keepLines w:val="0"/>
              <w:pageBreakBefore w:val="0"/>
              <w:widowControl w:val="0"/>
              <w:numPr>
                <w:ilvl w:val="0"/>
                <w:numId w:val="8"/>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kern w:val="0"/>
                <w:sz w:val="21"/>
                <w:szCs w:val="21"/>
                <w:highlight w:val="none"/>
              </w:rPr>
              <w:t>实训支撑能力：通过核心网系统搭建，需支撑移动通信基站开通、调测、故障处理、网络优化、业务验证等多类实训任务。</w:t>
            </w:r>
          </w:p>
          <w:p w14:paraId="7C865509">
            <w:pPr>
              <w:keepNext w:val="0"/>
              <w:keepLines w:val="0"/>
              <w:pageBreakBefore w:val="0"/>
              <w:widowControl w:val="0"/>
              <w:numPr>
                <w:ilvl w:val="0"/>
                <w:numId w:val="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技术资料及配套</w:t>
            </w:r>
          </w:p>
          <w:p w14:paraId="34227C0E">
            <w:pPr>
              <w:keepNext w:val="0"/>
              <w:keepLines w:val="0"/>
              <w:pageBreakBefore w:val="0"/>
              <w:widowControl w:val="0"/>
              <w:numPr>
                <w:ilvl w:val="0"/>
                <w:numId w:val="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提供完整的核心网系统操作手册、数据配置实训项目指导书。</w:t>
            </w:r>
          </w:p>
          <w:p w14:paraId="09626076">
            <w:pPr>
              <w:keepNext w:val="0"/>
              <w:keepLines w:val="0"/>
              <w:pageBreakBefore w:val="0"/>
              <w:widowControl w:val="0"/>
              <w:numPr>
                <w:ilvl w:val="0"/>
                <w:numId w:val="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提供设备进网许可证或相关技术试用批文证明文件。</w:t>
            </w:r>
          </w:p>
          <w:p w14:paraId="29826334">
            <w:pPr>
              <w:keepNext w:val="0"/>
              <w:keepLines w:val="0"/>
              <w:pageBreakBefore w:val="0"/>
              <w:widowControl w:val="0"/>
              <w:numPr>
                <w:ilvl w:val="0"/>
                <w:numId w:val="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rPr>
              <w:t>配套提供核心网网管控制软件，支持实时状态监控。</w:t>
            </w:r>
          </w:p>
        </w:tc>
        <w:tc>
          <w:tcPr>
            <w:tcW w:w="685" w:type="dxa"/>
            <w:vAlign w:val="center"/>
          </w:tcPr>
          <w:p w14:paraId="280DDE38">
            <w:pPr>
              <w:pStyle w:val="37"/>
              <w:keepNext w:val="0"/>
              <w:keepLines w:val="0"/>
              <w:pageBreakBefore w:val="0"/>
              <w:widowControl w:val="0"/>
              <w:kinsoku/>
              <w:wordWrap w:val="0"/>
              <w:overflowPunct/>
              <w:topLinePunct w:val="0"/>
              <w:autoSpaceDE/>
              <w:autoSpaceDN/>
              <w:bidi w:val="0"/>
              <w:adjustRightInd/>
              <w:ind w:left="0" w:leftChars="0" w:firstLine="0" w:firstLineChars="0"/>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snapToGrid w:val="0"/>
                <w:color w:val="auto"/>
                <w:sz w:val="24"/>
                <w:szCs w:val="24"/>
                <w:highlight w:val="none"/>
                <w:lang w:val="en-US" w:eastAsia="zh-CN"/>
              </w:rPr>
              <w:t>1</w:t>
            </w:r>
          </w:p>
        </w:tc>
        <w:tc>
          <w:tcPr>
            <w:tcW w:w="402" w:type="pct"/>
            <w:vAlign w:val="center"/>
          </w:tcPr>
          <w:p w14:paraId="3933860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lang w:val="en-US" w:eastAsia="zh-CN"/>
              </w:rPr>
              <w:t>套</w:t>
            </w:r>
          </w:p>
        </w:tc>
        <w:tc>
          <w:tcPr>
            <w:tcW w:w="352" w:type="pct"/>
            <w:vAlign w:val="center"/>
          </w:tcPr>
          <w:p w14:paraId="1E8DF7F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21"/>
                <w:szCs w:val="21"/>
                <w:highlight w:val="none"/>
              </w:rPr>
            </w:pPr>
          </w:p>
        </w:tc>
      </w:tr>
      <w:tr w14:paraId="08C1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4609CC2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rPr>
              <w:t>2</w:t>
            </w:r>
          </w:p>
        </w:tc>
        <w:tc>
          <w:tcPr>
            <w:tcW w:w="601" w:type="pct"/>
            <w:vAlign w:val="center"/>
          </w:tcPr>
          <w:p w14:paraId="1F22586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rPr>
              <w:t>5G基站基带处理单元（BBU）</w:t>
            </w:r>
          </w:p>
        </w:tc>
        <w:tc>
          <w:tcPr>
            <w:tcW w:w="2878" w:type="pct"/>
          </w:tcPr>
          <w:p w14:paraId="0C3D496C">
            <w:pPr>
              <w:keepNext w:val="0"/>
              <w:keepLines w:val="0"/>
              <w:pageBreakBefore w:val="0"/>
              <w:widowControl w:val="0"/>
              <w:numPr>
                <w:ilvl w:val="0"/>
                <w:numId w:val="1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硬件架构要求</w:t>
            </w:r>
          </w:p>
          <w:p w14:paraId="33D789FF">
            <w:pPr>
              <w:keepNext w:val="0"/>
              <w:keepLines w:val="0"/>
              <w:pageBreakBefore w:val="0"/>
              <w:widowControl w:val="0"/>
              <w:numPr>
                <w:ilvl w:val="0"/>
                <w:numId w:val="1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采用高度不大于2U的标准架构设计，支持适配19英寸及以上标准的机柜、机架以及挂墙机框等多种安装方式，具备良好的环境适应性。</w:t>
            </w:r>
          </w:p>
          <w:p w14:paraId="74C7D562">
            <w:pPr>
              <w:keepNext w:val="0"/>
              <w:keepLines w:val="0"/>
              <w:pageBreakBefore w:val="0"/>
              <w:widowControl w:val="0"/>
              <w:numPr>
                <w:ilvl w:val="0"/>
                <w:numId w:val="1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接口能力：NG/Xn接口支持不低于25Gbps的光接口速率，物理层配置不少于2个25G SFP接口，满足核心网交互及大带宽业务需求。</w:t>
            </w:r>
          </w:p>
          <w:p w14:paraId="4D462EF7">
            <w:pPr>
              <w:keepNext w:val="0"/>
              <w:keepLines w:val="0"/>
              <w:pageBreakBefore w:val="0"/>
              <w:widowControl w:val="0"/>
              <w:numPr>
                <w:ilvl w:val="0"/>
                <w:numId w:val="1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单元构成：整机包含主控单元、基带单元、电源控制单元及散热单元板卡各1块；支持主控单元等板卡单独软启动功能。</w:t>
            </w:r>
          </w:p>
          <w:p w14:paraId="795DC909">
            <w:pPr>
              <w:keepNext w:val="0"/>
              <w:keepLines w:val="0"/>
              <w:pageBreakBefore w:val="0"/>
              <w:widowControl w:val="0"/>
              <w:numPr>
                <w:ilvl w:val="0"/>
                <w:numId w:val="1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电源转换：内置电源控制模块，支持48V标准直流输入，转换为12V稳定直流输出，电压波动偏差≤±2%，为整机平台所有板卡及器件供电，并配备直观的电源指示灯。</w:t>
            </w:r>
          </w:p>
          <w:p w14:paraId="10EE85E8">
            <w:pPr>
              <w:keepNext w:val="0"/>
              <w:keepLines w:val="0"/>
              <w:pageBreakBefore w:val="0"/>
              <w:widowControl w:val="0"/>
              <w:numPr>
                <w:ilvl w:val="0"/>
                <w:numId w:val="1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散热系统：配置智能散热风扇模块，支持温度实时测量（温度传感）与转速监测；具备风扇转速自动控制功能，可根据设备负荷实现功耗与噪音的闭环优化。</w:t>
            </w:r>
          </w:p>
          <w:p w14:paraId="50068D80">
            <w:pPr>
              <w:keepNext w:val="0"/>
              <w:keepLines w:val="0"/>
              <w:pageBreakBefore w:val="0"/>
              <w:widowControl w:val="0"/>
              <w:numPr>
                <w:ilvl w:val="0"/>
                <w:numId w:val="1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状态监测：面板集成完备的告警灯、运行灯及IR接口指示灯，方便现场快速排查设备状态及故障。</w:t>
            </w:r>
          </w:p>
          <w:p w14:paraId="15752546">
            <w:pPr>
              <w:keepNext w:val="0"/>
              <w:keepLines w:val="0"/>
              <w:pageBreakBefore w:val="0"/>
              <w:widowControl w:val="0"/>
              <w:numPr>
                <w:ilvl w:val="0"/>
                <w:numId w:val="1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功能要求</w:t>
            </w:r>
          </w:p>
          <w:p w14:paraId="2A99DCEB">
            <w:pPr>
              <w:keepNext w:val="0"/>
              <w:keepLines w:val="0"/>
              <w:pageBreakBefore w:val="0"/>
              <w:widowControl w:val="0"/>
              <w:numPr>
                <w:ilvl w:val="0"/>
                <w:numId w:val="1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▲处理能力：单机框最大载波处理能力不低于18×100MHz（64TR），单个基带板处理能力不低于3×100MHz，支持4G/5G共框部署。</w:t>
            </w:r>
          </w:p>
          <w:p w14:paraId="73052B83">
            <w:pPr>
              <w:keepNext w:val="0"/>
              <w:keepLines w:val="0"/>
              <w:pageBreakBefore w:val="0"/>
              <w:widowControl w:val="0"/>
              <w:numPr>
                <w:ilvl w:val="0"/>
                <w:numId w:val="1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协议与业务：支持物理层、链路层处理及系统同步功能；UU口支持系统信息广播、下行PDSCH及上行PUSCH的自适应调制与编码（MCS）；支持gNB内的同频切换及基于Xn接口的gNB间同频切换。</w:t>
            </w:r>
          </w:p>
          <w:p w14:paraId="36386514">
            <w:pPr>
              <w:keepNext w:val="0"/>
              <w:keepLines w:val="0"/>
              <w:pageBreakBefore w:val="0"/>
              <w:widowControl w:val="0"/>
              <w:numPr>
                <w:ilvl w:val="0"/>
                <w:numId w:val="1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时钟与同步：支持GPS、北斗及1588v2等多种同步方式；具备BBU内部板卡时钟分发功能，支持基站无时钟源启动独立运行。</w:t>
            </w:r>
          </w:p>
          <w:p w14:paraId="1A3C47EA">
            <w:pPr>
              <w:keepNext w:val="0"/>
              <w:keepLines w:val="0"/>
              <w:pageBreakBefore w:val="0"/>
              <w:widowControl w:val="0"/>
              <w:numPr>
                <w:ilvl w:val="0"/>
                <w:numId w:val="1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高可靠性：主控单元支持主备冗余备份功能；支持RRC连接建立与释放管理；支持在无MME接入环境下启动，满足特定测试或实训需求。</w:t>
            </w:r>
          </w:p>
          <w:p w14:paraId="41FB745D">
            <w:pPr>
              <w:keepNext w:val="0"/>
              <w:keepLines w:val="0"/>
              <w:pageBreakBefore w:val="0"/>
              <w:widowControl w:val="0"/>
              <w:numPr>
                <w:ilvl w:val="0"/>
                <w:numId w:val="1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转发与控制：支持业务面数据的线速汇聚与转发，以及控制面信令流程的高效处理。</w:t>
            </w:r>
          </w:p>
          <w:p w14:paraId="0C37FCC6">
            <w:pPr>
              <w:keepNext w:val="0"/>
              <w:keepLines w:val="0"/>
              <w:pageBreakBefore w:val="0"/>
              <w:widowControl w:val="0"/>
              <w:numPr>
                <w:ilvl w:val="0"/>
                <w:numId w:val="1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配套教学软件包含5G硬件测试软件，实现无线通信收发信号分析，帮助学生掌握无线设备的测试方法论与能力；</w:t>
            </w:r>
          </w:p>
          <w:p w14:paraId="36C814CE">
            <w:pPr>
              <w:keepNext w:val="0"/>
              <w:keepLines w:val="0"/>
              <w:pageBreakBefore w:val="0"/>
              <w:widowControl w:val="0"/>
              <w:numPr>
                <w:ilvl w:val="0"/>
                <w:numId w:val="1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技术配套材料</w:t>
            </w:r>
          </w:p>
          <w:p w14:paraId="31CFD66D">
            <w:pPr>
              <w:keepNext w:val="0"/>
              <w:keepLines w:val="0"/>
              <w:pageBreakBefore w:val="0"/>
              <w:widowControl w:val="0"/>
              <w:numPr>
                <w:ilvl w:val="0"/>
                <w:numId w:val="1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产品须具备工信部颁发的电信设备进网许可证或试用批文，投标时需提供对应的证明文件扫描件。</w:t>
            </w:r>
          </w:p>
          <w:p w14:paraId="5F34B26F">
            <w:pPr>
              <w:keepNext w:val="0"/>
              <w:keepLines w:val="0"/>
              <w:pageBreakBefore w:val="0"/>
              <w:widowControl w:val="0"/>
              <w:numPr>
                <w:ilvl w:val="0"/>
                <w:numId w:val="1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教学支撑：设备须具备专用的本地调试接口，支持设备开通调试、运维管理及工程实践等教学场景需求，配套提供相关的教学指导手册及支撑工具。</w:t>
            </w:r>
          </w:p>
          <w:p w14:paraId="7FEE5D2D">
            <w:pPr>
              <w:keepNext w:val="0"/>
              <w:keepLines w:val="0"/>
              <w:pageBreakBefore w:val="0"/>
              <w:widowControl w:val="0"/>
              <w:numPr>
                <w:ilvl w:val="0"/>
                <w:numId w:val="1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随机文档：提供完整的产品说明及实训项目指导书。</w:t>
            </w:r>
          </w:p>
          <w:p w14:paraId="53C10940">
            <w:pPr>
              <w:keepNext w:val="0"/>
              <w:keepLines w:val="0"/>
              <w:pageBreakBefore w:val="0"/>
              <w:widowControl w:val="0"/>
              <w:numPr>
                <w:ilvl w:val="0"/>
                <w:numId w:val="1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基站自身单独</w:t>
            </w:r>
            <w:r>
              <w:rPr>
                <w:rFonts w:hint="eastAsia" w:ascii="仿宋" w:hAnsi="仿宋" w:eastAsia="仿宋" w:cs="仿宋"/>
                <w:kern w:val="0"/>
                <w:sz w:val="21"/>
                <w:szCs w:val="21"/>
                <w:highlight w:val="none"/>
                <w:lang w:eastAsia="zh-CN"/>
              </w:rPr>
              <w:t>须具备</w:t>
            </w:r>
            <w:r>
              <w:rPr>
                <w:rFonts w:hint="eastAsia" w:ascii="仿宋" w:hAnsi="仿宋" w:eastAsia="仿宋" w:cs="仿宋"/>
                <w:kern w:val="0"/>
                <w:sz w:val="21"/>
                <w:szCs w:val="21"/>
                <w:highlight w:val="none"/>
              </w:rPr>
              <w:t>完成模拟不同业务类型的功能，能够验证不同业务模型下的射频输出特性，结果符合工信部电信设备进网要求，投标书中需提供相应测试机制方案。</w:t>
            </w:r>
          </w:p>
          <w:p w14:paraId="3728B8F7">
            <w:pPr>
              <w:keepNext w:val="0"/>
              <w:keepLines w:val="0"/>
              <w:pageBreakBefore w:val="0"/>
              <w:widowControl w:val="0"/>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eastAsia="zh-CN"/>
              </w:rPr>
              <w:t>（</w:t>
            </w:r>
            <w:r>
              <w:rPr>
                <w:rFonts w:hint="eastAsia" w:ascii="仿宋" w:hAnsi="仿宋" w:eastAsia="仿宋" w:cs="仿宋"/>
                <w:kern w:val="0"/>
                <w:sz w:val="21"/>
                <w:szCs w:val="21"/>
                <w:highlight w:val="none"/>
              </w:rPr>
              <w:t>1）提供5个以上发射指标测试用例（包含测试仪表截图）；</w:t>
            </w:r>
          </w:p>
          <w:p w14:paraId="7CFB0F44">
            <w:pPr>
              <w:keepNext w:val="0"/>
              <w:keepLines w:val="0"/>
              <w:pageBreakBefore w:val="0"/>
              <w:widowControl w:val="0"/>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lang w:eastAsia="zh-CN"/>
              </w:rPr>
              <w:t>（</w:t>
            </w:r>
            <w:r>
              <w:rPr>
                <w:rFonts w:hint="eastAsia" w:ascii="仿宋" w:hAnsi="仿宋" w:eastAsia="仿宋" w:cs="仿宋"/>
                <w:kern w:val="0"/>
                <w:sz w:val="21"/>
                <w:szCs w:val="21"/>
                <w:highlight w:val="none"/>
              </w:rPr>
              <w:t>2）提供2个及以上接收指标测试用例（包含测试仪表截图）；</w:t>
            </w:r>
          </w:p>
        </w:tc>
        <w:tc>
          <w:tcPr>
            <w:tcW w:w="685" w:type="dxa"/>
            <w:vAlign w:val="center"/>
          </w:tcPr>
          <w:p w14:paraId="71489CBE">
            <w:pPr>
              <w:pStyle w:val="37"/>
              <w:keepNext w:val="0"/>
              <w:keepLines w:val="0"/>
              <w:pageBreakBefore w:val="0"/>
              <w:widowControl w:val="0"/>
              <w:kinsoku/>
              <w:wordWrap w:val="0"/>
              <w:overflowPunct/>
              <w:topLinePunct w:val="0"/>
              <w:autoSpaceDE/>
              <w:autoSpaceDN/>
              <w:bidi w:val="0"/>
              <w:adjustRightInd/>
              <w:ind w:left="0" w:leftChars="0" w:firstLine="0" w:firstLineChars="0"/>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snapToGrid w:val="0"/>
                <w:color w:val="auto"/>
                <w:sz w:val="24"/>
                <w:szCs w:val="24"/>
                <w:highlight w:val="none"/>
                <w:lang w:val="en-US" w:eastAsia="zh-CN"/>
              </w:rPr>
              <w:t>1</w:t>
            </w:r>
          </w:p>
        </w:tc>
        <w:tc>
          <w:tcPr>
            <w:tcW w:w="402" w:type="pct"/>
            <w:vAlign w:val="center"/>
          </w:tcPr>
          <w:p w14:paraId="73327F3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lang w:val="en-US" w:eastAsia="zh-CN"/>
              </w:rPr>
              <w:t>台</w:t>
            </w:r>
          </w:p>
        </w:tc>
        <w:tc>
          <w:tcPr>
            <w:tcW w:w="352" w:type="pct"/>
            <w:vAlign w:val="center"/>
          </w:tcPr>
          <w:p w14:paraId="351A97D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21"/>
                <w:szCs w:val="21"/>
                <w:highlight w:val="none"/>
              </w:rPr>
            </w:pPr>
          </w:p>
        </w:tc>
      </w:tr>
      <w:tr w14:paraId="405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2F02FF8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rPr>
              <w:t>3</w:t>
            </w:r>
          </w:p>
        </w:tc>
        <w:tc>
          <w:tcPr>
            <w:tcW w:w="601" w:type="pct"/>
            <w:vAlign w:val="center"/>
          </w:tcPr>
          <w:p w14:paraId="437E834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rPr>
              <w:t>5G基站有源天线单元</w:t>
            </w:r>
          </w:p>
        </w:tc>
        <w:tc>
          <w:tcPr>
            <w:tcW w:w="2878" w:type="pct"/>
          </w:tcPr>
          <w:p w14:paraId="67793091">
            <w:pPr>
              <w:keepNext w:val="0"/>
              <w:keepLines w:val="0"/>
              <w:pageBreakBefore w:val="0"/>
              <w:widowControl w:val="0"/>
              <w:numPr>
                <w:ilvl w:val="0"/>
                <w:numId w:val="14"/>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硬件架构要求</w:t>
            </w:r>
          </w:p>
          <w:p w14:paraId="1294EB3C">
            <w:pPr>
              <w:keepNext w:val="0"/>
              <w:keepLines w:val="0"/>
              <w:pageBreakBefore w:val="0"/>
              <w:widowControl w:val="0"/>
              <w:numPr>
                <w:ilvl w:val="0"/>
                <w:numId w:val="1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物理规模：采用高集成度有源天线架构，收发通道数≥32TR；内置天线阵子数≥192个，以保障大规模MIMO下波束赋形的覆盖范围与增益需求。</w:t>
            </w:r>
          </w:p>
          <w:p w14:paraId="5C86FE6A">
            <w:pPr>
              <w:keepNext w:val="0"/>
              <w:keepLines w:val="0"/>
              <w:pageBreakBefore w:val="0"/>
              <w:widowControl w:val="0"/>
              <w:numPr>
                <w:ilvl w:val="0"/>
                <w:numId w:val="1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接口能力：配置高性能光接口，速率不低于2×25Gbps。</w:t>
            </w:r>
          </w:p>
          <w:p w14:paraId="59F8F284">
            <w:pPr>
              <w:keepNext w:val="0"/>
              <w:keepLines w:val="0"/>
              <w:pageBreakBefore w:val="0"/>
              <w:widowControl w:val="0"/>
              <w:numPr>
                <w:ilvl w:val="0"/>
                <w:numId w:val="1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电气与环境指标：采用直流48V输入电源，整机最大功耗≤980W；具备严苛的环境适应性，防护等级达到IP65，支持在40℃至+55℃温度及</w:t>
            </w:r>
            <w:r>
              <w:rPr>
                <w:rFonts w:hint="eastAsia" w:ascii="仿宋" w:hAnsi="仿宋" w:eastAsia="仿宋" w:cs="仿宋"/>
                <w:kern w:val="0"/>
                <w:sz w:val="21"/>
                <w:szCs w:val="21"/>
                <w:highlight w:val="none"/>
                <w:lang w:eastAsia="zh-CN"/>
              </w:rPr>
              <w:t>5%～95%</w:t>
            </w:r>
            <w:r>
              <w:rPr>
                <w:rFonts w:hint="eastAsia" w:ascii="仿宋" w:hAnsi="仿宋" w:eastAsia="仿宋" w:cs="仿宋"/>
                <w:kern w:val="0"/>
                <w:sz w:val="21"/>
                <w:szCs w:val="21"/>
                <w:highlight w:val="none"/>
              </w:rPr>
              <w:t>湿度环境下稳定运行。</w:t>
            </w:r>
          </w:p>
          <w:p w14:paraId="30D46727">
            <w:pPr>
              <w:keepNext w:val="0"/>
              <w:keepLines w:val="0"/>
              <w:pageBreakBefore w:val="0"/>
              <w:widowControl w:val="0"/>
              <w:numPr>
                <w:ilvl w:val="0"/>
                <w:numId w:val="1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结构设计：支持抱杆、挂墙、上塔等多种工程安装方式，适应不同实训场地的部署需求。</w:t>
            </w:r>
          </w:p>
          <w:p w14:paraId="2666598E">
            <w:pPr>
              <w:keepNext w:val="0"/>
              <w:keepLines w:val="0"/>
              <w:pageBreakBefore w:val="0"/>
              <w:widowControl w:val="0"/>
              <w:numPr>
                <w:ilvl w:val="0"/>
                <w:numId w:val="14"/>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功能要求</w:t>
            </w:r>
          </w:p>
          <w:p w14:paraId="172D03EB">
            <w:pPr>
              <w:keepNext w:val="0"/>
              <w:keepLines w:val="0"/>
              <w:pageBreakBefore w:val="0"/>
              <w:widowControl w:val="0"/>
              <w:numPr>
                <w:ilvl w:val="0"/>
                <w:numId w:val="1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频段支持：支持标准5G N78实训频段（3400MHz～3600MHz</w:t>
            </w:r>
            <w:r>
              <w:rPr>
                <w:rFonts w:hint="eastAsia" w:ascii="仿宋" w:hAnsi="仿宋" w:eastAsia="仿宋" w:cs="仿宋"/>
                <w:kern w:val="0"/>
                <w:sz w:val="21"/>
                <w:szCs w:val="21"/>
                <w:highlight w:val="none"/>
                <w:lang w:eastAsia="zh-CN"/>
              </w:rPr>
              <w:t>）</w:t>
            </w:r>
            <w:r>
              <w:rPr>
                <w:rFonts w:hint="eastAsia" w:ascii="仿宋" w:hAnsi="仿宋" w:eastAsia="仿宋" w:cs="仿宋"/>
                <w:kern w:val="0"/>
                <w:sz w:val="21"/>
                <w:szCs w:val="21"/>
                <w:highlight w:val="none"/>
              </w:rPr>
              <w:t>主频3.5GHz。</w:t>
            </w:r>
          </w:p>
          <w:p w14:paraId="1EBA81EE">
            <w:pPr>
              <w:keepNext w:val="0"/>
              <w:keepLines w:val="0"/>
              <w:pageBreakBefore w:val="0"/>
              <w:widowControl w:val="0"/>
              <w:numPr>
                <w:ilvl w:val="0"/>
                <w:numId w:val="1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▲射频性能：支持不少于32通道的数字预失真（DPD）处理；射频性能指标需满足邻道功率比（ACPR）不高于45dBc，256QAM调制下的误差矢量幅度（EVM）不高于3.5%。</w:t>
            </w:r>
          </w:p>
          <w:p w14:paraId="6E4A63B9">
            <w:pPr>
              <w:keepNext w:val="0"/>
              <w:keepLines w:val="0"/>
              <w:pageBreakBefore w:val="0"/>
              <w:widowControl w:val="0"/>
              <w:numPr>
                <w:ilvl w:val="0"/>
                <w:numId w:val="1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波束赋形能力：支持三维高增益波束赋形技术，可完成水平面±60°、垂直面±13°范围内任意方位的动态覆盖。</w:t>
            </w:r>
          </w:p>
          <w:p w14:paraId="1A843F85">
            <w:pPr>
              <w:keepNext w:val="0"/>
              <w:keepLines w:val="0"/>
              <w:pageBreakBefore w:val="0"/>
              <w:widowControl w:val="0"/>
              <w:numPr>
                <w:ilvl w:val="0"/>
                <w:numId w:val="1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传输流数：支持多流发送模式，兼容2/4/8/16流等多种MIMO传输配置。</w:t>
            </w:r>
          </w:p>
          <w:p w14:paraId="64CB501D">
            <w:pPr>
              <w:keepNext w:val="0"/>
              <w:keepLines w:val="0"/>
              <w:pageBreakBefore w:val="0"/>
              <w:widowControl w:val="0"/>
              <w:numPr>
                <w:ilvl w:val="0"/>
                <w:numId w:val="1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功率输出：设备额定辐射功率不低于320W。</w:t>
            </w:r>
          </w:p>
          <w:p w14:paraId="36610888">
            <w:pPr>
              <w:keepNext w:val="0"/>
              <w:keepLines w:val="0"/>
              <w:pageBreakBefore w:val="0"/>
              <w:widowControl w:val="0"/>
              <w:numPr>
                <w:ilvl w:val="0"/>
                <w:numId w:val="14"/>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技术配套材料</w:t>
            </w:r>
          </w:p>
          <w:p w14:paraId="66739EEF">
            <w:pPr>
              <w:keepNext w:val="0"/>
              <w:keepLines w:val="0"/>
              <w:pageBreakBefore w:val="0"/>
              <w:widowControl w:val="0"/>
              <w:numPr>
                <w:ilvl w:val="0"/>
                <w:numId w:val="17"/>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教学观测特性：设备需采用模块化设计理念，支持学生对核心功能模块的物理观测与学习（如通过预留观测窗口或可拆卸式防护结构实现）。</w:t>
            </w:r>
          </w:p>
          <w:p w14:paraId="51A9688E">
            <w:pPr>
              <w:keepNext w:val="0"/>
              <w:keepLines w:val="0"/>
              <w:pageBreakBefore w:val="0"/>
              <w:widowControl w:val="0"/>
              <w:numPr>
                <w:ilvl w:val="0"/>
                <w:numId w:val="17"/>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产品须具备工信部颁发的电信设备进网试用批文或型号核准证书，投标时需提供对应的证明文件扫描件。</w:t>
            </w:r>
          </w:p>
          <w:p w14:paraId="202E9614">
            <w:pPr>
              <w:keepNext w:val="0"/>
              <w:keepLines w:val="0"/>
              <w:pageBreakBefore w:val="0"/>
              <w:widowControl w:val="0"/>
              <w:numPr>
                <w:ilvl w:val="0"/>
                <w:numId w:val="17"/>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rPr>
              <w:t>论证支撑文档：投标时需提供设备产品说明并配套提供满足ACPR/EVM指标要求的射频性能测试截图证明。</w:t>
            </w:r>
          </w:p>
        </w:tc>
        <w:tc>
          <w:tcPr>
            <w:tcW w:w="685" w:type="dxa"/>
            <w:vAlign w:val="center"/>
          </w:tcPr>
          <w:p w14:paraId="468490EE">
            <w:pPr>
              <w:pStyle w:val="37"/>
              <w:keepNext w:val="0"/>
              <w:keepLines w:val="0"/>
              <w:pageBreakBefore w:val="0"/>
              <w:widowControl w:val="0"/>
              <w:kinsoku/>
              <w:wordWrap w:val="0"/>
              <w:overflowPunct/>
              <w:topLinePunct w:val="0"/>
              <w:autoSpaceDE/>
              <w:autoSpaceDN/>
              <w:bidi w:val="0"/>
              <w:adjustRightInd/>
              <w:ind w:left="0" w:leftChars="0" w:firstLine="0" w:firstLineChars="0"/>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snapToGrid w:val="0"/>
                <w:color w:val="auto"/>
                <w:sz w:val="24"/>
                <w:szCs w:val="24"/>
                <w:highlight w:val="none"/>
                <w:lang w:val="en-US" w:eastAsia="zh-CN"/>
              </w:rPr>
              <w:t>1</w:t>
            </w:r>
          </w:p>
        </w:tc>
        <w:tc>
          <w:tcPr>
            <w:tcW w:w="402" w:type="pct"/>
            <w:vAlign w:val="center"/>
          </w:tcPr>
          <w:p w14:paraId="4B2A5F4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lang w:val="en-US" w:eastAsia="zh-CN"/>
              </w:rPr>
              <w:t>台</w:t>
            </w:r>
          </w:p>
        </w:tc>
        <w:tc>
          <w:tcPr>
            <w:tcW w:w="352" w:type="pct"/>
            <w:vAlign w:val="center"/>
          </w:tcPr>
          <w:p w14:paraId="046E45C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21"/>
                <w:szCs w:val="21"/>
                <w:highlight w:val="none"/>
              </w:rPr>
            </w:pPr>
          </w:p>
        </w:tc>
      </w:tr>
      <w:tr w14:paraId="6E06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5CE1995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rPr>
              <w:t>4</w:t>
            </w:r>
          </w:p>
        </w:tc>
        <w:tc>
          <w:tcPr>
            <w:tcW w:w="601" w:type="pct"/>
            <w:vAlign w:val="center"/>
          </w:tcPr>
          <w:p w14:paraId="4257B4C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sz w:val="21"/>
                <w:szCs w:val="21"/>
                <w:highlight w:val="none"/>
              </w:rPr>
            </w:pPr>
            <w:r>
              <w:rPr>
                <w:rFonts w:hint="eastAsia" w:ascii="仿宋" w:hAnsi="仿宋" w:eastAsia="仿宋" w:cs="仿宋"/>
                <w:kern w:val="0"/>
                <w:sz w:val="21"/>
                <w:szCs w:val="21"/>
                <w:highlight w:val="none"/>
              </w:rPr>
              <w:t>机柜</w:t>
            </w:r>
          </w:p>
        </w:tc>
        <w:tc>
          <w:tcPr>
            <w:tcW w:w="2878" w:type="pct"/>
          </w:tcPr>
          <w:p w14:paraId="5505B8D0">
            <w:pPr>
              <w:keepNext w:val="0"/>
              <w:keepLines w:val="0"/>
              <w:pageBreakBefore w:val="0"/>
              <w:widowControl w:val="0"/>
              <w:numPr>
                <w:ilvl w:val="0"/>
                <w:numId w:val="18"/>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硬件架构要求</w:t>
            </w:r>
          </w:p>
          <w:p w14:paraId="1D7C4867">
            <w:pPr>
              <w:keepNext w:val="0"/>
              <w:keepLines w:val="0"/>
              <w:pageBreakBefore w:val="0"/>
              <w:widowControl w:val="0"/>
              <w:numPr>
                <w:ilvl w:val="0"/>
                <w:numId w:val="1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规格尺寸：</w:t>
            </w:r>
            <w:r>
              <w:rPr>
                <w:rFonts w:hint="eastAsia" w:ascii="仿宋" w:hAnsi="仿宋" w:eastAsia="仿宋" w:cs="仿宋"/>
                <w:color w:val="auto"/>
                <w:kern w:val="0"/>
                <w:sz w:val="21"/>
                <w:szCs w:val="21"/>
                <w:highlight w:val="none"/>
                <w:lang w:eastAsia="zh-CN"/>
              </w:rPr>
              <w:t>外形尺寸</w:t>
            </w:r>
            <w:r>
              <w:rPr>
                <w:rFonts w:hint="eastAsia" w:ascii="仿宋" w:hAnsi="仿宋" w:eastAsia="仿宋" w:cs="仿宋"/>
                <w:color w:val="auto"/>
                <w:kern w:val="0"/>
                <w:sz w:val="21"/>
                <w:szCs w:val="21"/>
                <w:highlight w:val="none"/>
              </w:rPr>
              <w:t>≥600mm（宽）×1000mm（深）×2000mm（高），或提供同等有效容积的定制化机柜。</w:t>
            </w:r>
          </w:p>
          <w:p w14:paraId="7DC2139F">
            <w:pPr>
              <w:keepNext w:val="0"/>
              <w:keepLines w:val="0"/>
              <w:pageBreakBefore w:val="0"/>
              <w:widowControl w:val="0"/>
              <w:numPr>
                <w:ilvl w:val="0"/>
                <w:numId w:val="1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承载能力：机柜内部可用容积不低于42U，能够兼容≥19英寸标准服务器、核心网及基站设备的稳固安装。</w:t>
            </w:r>
          </w:p>
          <w:p w14:paraId="0EDBCF1E">
            <w:pPr>
              <w:keepNext w:val="0"/>
              <w:keepLines w:val="0"/>
              <w:pageBreakBefore w:val="0"/>
              <w:widowControl w:val="0"/>
              <w:numPr>
                <w:ilvl w:val="0"/>
                <w:numId w:val="1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结构强度：机柜整体框架</w:t>
            </w:r>
            <w:r>
              <w:rPr>
                <w:rFonts w:hint="eastAsia" w:ascii="仿宋" w:hAnsi="仿宋" w:eastAsia="仿宋" w:cs="仿宋"/>
                <w:kern w:val="0"/>
                <w:sz w:val="21"/>
                <w:szCs w:val="21"/>
                <w:highlight w:val="none"/>
                <w:lang w:eastAsia="zh-CN"/>
              </w:rPr>
              <w:t>须具备</w:t>
            </w:r>
            <w:r>
              <w:rPr>
                <w:rFonts w:hint="eastAsia" w:ascii="仿宋" w:hAnsi="仿宋" w:eastAsia="仿宋" w:cs="仿宋"/>
                <w:kern w:val="0"/>
                <w:sz w:val="21"/>
                <w:szCs w:val="21"/>
                <w:highlight w:val="none"/>
              </w:rPr>
              <w:t>高强度承重设计，静载承重能力≥1000KG。</w:t>
            </w:r>
          </w:p>
          <w:p w14:paraId="6BCAF66B">
            <w:pPr>
              <w:keepNext w:val="0"/>
              <w:keepLines w:val="0"/>
              <w:pageBreakBefore w:val="0"/>
              <w:widowControl w:val="0"/>
              <w:numPr>
                <w:ilvl w:val="0"/>
                <w:numId w:val="1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配电系统：内置高性能交流电源分配单元（PDU），总输入电流不低于32A。</w:t>
            </w:r>
          </w:p>
          <w:p w14:paraId="3B1BCA4D">
            <w:pPr>
              <w:keepNext w:val="0"/>
              <w:keepLines w:val="0"/>
              <w:pageBreakBefore w:val="0"/>
              <w:widowControl w:val="0"/>
              <w:numPr>
                <w:ilvl w:val="0"/>
                <w:numId w:val="1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接口配置：PDU提供不少于12位10A输入接口，并额外配置不少于2路符合新</w:t>
            </w:r>
            <w:r>
              <w:rPr>
                <w:rFonts w:hint="eastAsia" w:ascii="仿宋" w:hAnsi="仿宋" w:eastAsia="仿宋" w:cs="仿宋"/>
                <w:kern w:val="0"/>
                <w:sz w:val="21"/>
                <w:szCs w:val="21"/>
                <w:highlight w:val="none"/>
                <w:lang w:eastAsia="zh-CN"/>
              </w:rPr>
              <w:t>国家标准</w:t>
            </w:r>
            <w:r>
              <w:rPr>
                <w:rFonts w:hint="eastAsia" w:ascii="仿宋" w:hAnsi="仿宋" w:eastAsia="仿宋" w:cs="仿宋"/>
                <w:kern w:val="0"/>
                <w:sz w:val="21"/>
                <w:szCs w:val="21"/>
                <w:highlight w:val="none"/>
              </w:rPr>
              <w:t>的10A五孔输出插座，以满足多场景设备供电需求。</w:t>
            </w:r>
          </w:p>
          <w:p w14:paraId="446ED628">
            <w:pPr>
              <w:keepNext w:val="0"/>
              <w:keepLines w:val="0"/>
              <w:pageBreakBefore w:val="0"/>
              <w:widowControl w:val="0"/>
              <w:numPr>
                <w:ilvl w:val="0"/>
                <w:numId w:val="1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供电兼容性：支持标准交流220V供电方式。</w:t>
            </w:r>
          </w:p>
          <w:p w14:paraId="1798822B">
            <w:pPr>
              <w:keepNext w:val="0"/>
              <w:keepLines w:val="0"/>
              <w:pageBreakBefore w:val="0"/>
              <w:widowControl w:val="0"/>
              <w:numPr>
                <w:ilvl w:val="0"/>
                <w:numId w:val="18"/>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功能要求</w:t>
            </w:r>
          </w:p>
          <w:p w14:paraId="69142B5B">
            <w:pPr>
              <w:keepNext w:val="0"/>
              <w:keepLines w:val="0"/>
              <w:pageBreakBefore w:val="0"/>
              <w:widowControl w:val="0"/>
              <w:numPr>
                <w:ilvl w:val="0"/>
                <w:numId w:val="2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环境适应性：设备需支持在5℃至+50℃温度环境下正常工作，工作湿度范围≤90%（在20℃±2℃基准下测定）。</w:t>
            </w:r>
          </w:p>
          <w:p w14:paraId="7FF34791">
            <w:pPr>
              <w:keepNext w:val="0"/>
              <w:keepLines w:val="0"/>
              <w:pageBreakBefore w:val="0"/>
              <w:widowControl w:val="0"/>
              <w:numPr>
                <w:ilvl w:val="0"/>
                <w:numId w:val="2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接地安全：机柜整体接地性能良好，接地电阻需满足小于1Ω的安全技术要求，确保实训过程中的设备及人员安全。</w:t>
            </w:r>
          </w:p>
          <w:p w14:paraId="32E55FB7">
            <w:pPr>
              <w:keepNext w:val="0"/>
              <w:keepLines w:val="0"/>
              <w:pageBreakBefore w:val="0"/>
              <w:widowControl w:val="0"/>
              <w:numPr>
                <w:ilvl w:val="0"/>
                <w:numId w:val="2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kern w:val="0"/>
                <w:sz w:val="21"/>
                <w:szCs w:val="21"/>
                <w:highlight w:val="none"/>
              </w:rPr>
              <w:t>防护设计：机柜前后门应具备良好的通风散热率，并支持万向轮与固定支撑脚的同步配置。</w:t>
            </w:r>
          </w:p>
        </w:tc>
        <w:tc>
          <w:tcPr>
            <w:tcW w:w="685" w:type="dxa"/>
            <w:vAlign w:val="center"/>
          </w:tcPr>
          <w:p w14:paraId="6C3CB954">
            <w:pPr>
              <w:pStyle w:val="37"/>
              <w:keepNext w:val="0"/>
              <w:keepLines w:val="0"/>
              <w:pageBreakBefore w:val="0"/>
              <w:widowControl w:val="0"/>
              <w:kinsoku/>
              <w:wordWrap w:val="0"/>
              <w:overflowPunct/>
              <w:topLinePunct w:val="0"/>
              <w:autoSpaceDE/>
              <w:autoSpaceDN/>
              <w:bidi w:val="0"/>
              <w:adjustRightInd/>
              <w:ind w:left="0" w:leftChars="0" w:firstLine="0" w:firstLineChars="0"/>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snapToGrid w:val="0"/>
                <w:color w:val="auto"/>
                <w:sz w:val="24"/>
                <w:szCs w:val="24"/>
                <w:highlight w:val="none"/>
                <w:lang w:val="en-US" w:eastAsia="zh-CN"/>
              </w:rPr>
              <w:t>2</w:t>
            </w:r>
          </w:p>
        </w:tc>
        <w:tc>
          <w:tcPr>
            <w:tcW w:w="402" w:type="pct"/>
            <w:vAlign w:val="center"/>
          </w:tcPr>
          <w:p w14:paraId="1FED96F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rPr>
              <w:t>台</w:t>
            </w:r>
          </w:p>
        </w:tc>
        <w:tc>
          <w:tcPr>
            <w:tcW w:w="352" w:type="pct"/>
            <w:vAlign w:val="center"/>
          </w:tcPr>
          <w:p w14:paraId="3122F0B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21"/>
                <w:szCs w:val="21"/>
                <w:highlight w:val="none"/>
              </w:rPr>
            </w:pPr>
          </w:p>
        </w:tc>
      </w:tr>
      <w:tr w14:paraId="35F5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3FB2429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kern w:val="0"/>
                <w:sz w:val="21"/>
                <w:szCs w:val="21"/>
                <w:highlight w:val="none"/>
              </w:rPr>
              <w:t>5</w:t>
            </w:r>
          </w:p>
        </w:tc>
        <w:tc>
          <w:tcPr>
            <w:tcW w:w="601" w:type="pct"/>
            <w:vAlign w:val="center"/>
          </w:tcPr>
          <w:p w14:paraId="15B5F83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sz w:val="21"/>
                <w:szCs w:val="21"/>
                <w:highlight w:val="none"/>
              </w:rPr>
            </w:pPr>
            <w:r>
              <w:rPr>
                <w:rFonts w:hint="eastAsia" w:ascii="仿宋" w:hAnsi="仿宋" w:eastAsia="仿宋" w:cs="仿宋"/>
                <w:kern w:val="0"/>
                <w:sz w:val="21"/>
                <w:szCs w:val="21"/>
                <w:highlight w:val="none"/>
              </w:rPr>
              <w:t>5G基站本地控制软件</w:t>
            </w:r>
          </w:p>
        </w:tc>
        <w:tc>
          <w:tcPr>
            <w:tcW w:w="2878" w:type="pct"/>
          </w:tcPr>
          <w:p w14:paraId="3B4A7208">
            <w:pPr>
              <w:keepNext w:val="0"/>
              <w:keepLines w:val="0"/>
              <w:pageBreakBefore w:val="0"/>
              <w:widowControl w:val="0"/>
              <w:numPr>
                <w:ilvl w:val="0"/>
                <w:numId w:val="2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系统架构与管理要求</w:t>
            </w:r>
          </w:p>
          <w:p w14:paraId="0219299D">
            <w:pPr>
              <w:keepNext w:val="0"/>
              <w:keepLines w:val="0"/>
              <w:pageBreakBefore w:val="0"/>
              <w:widowControl w:val="0"/>
              <w:numPr>
                <w:ilvl w:val="0"/>
                <w:numId w:val="2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系统管理功能：支持多用户并发登录；提供设备维护管理功能，支持对全网网元设备硬件信息的集中维护与状态查看。</w:t>
            </w:r>
          </w:p>
          <w:p w14:paraId="08933EF2">
            <w:pPr>
              <w:keepNext w:val="0"/>
              <w:keepLines w:val="0"/>
              <w:pageBreakBefore w:val="0"/>
              <w:widowControl w:val="0"/>
              <w:numPr>
                <w:ilvl w:val="0"/>
                <w:numId w:val="2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图形化拓扑展示：支持以可视化图形展示基站各硬件单元（BBU、RRU等）及其物理与逻辑连接关系，支持进行设备状态及参数查询操作。</w:t>
            </w:r>
          </w:p>
          <w:p w14:paraId="3EEC6BE6">
            <w:pPr>
              <w:keepNext w:val="0"/>
              <w:keepLines w:val="0"/>
              <w:pageBreakBefore w:val="0"/>
              <w:widowControl w:val="0"/>
              <w:numPr>
                <w:ilvl w:val="0"/>
                <w:numId w:val="2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文件管理系统：内置安全文件传输协议，支持对网元节点配置文件、日志文件、运行脚本的在线上传、下载。</w:t>
            </w:r>
          </w:p>
          <w:p w14:paraId="13EBF80C">
            <w:pPr>
              <w:keepNext w:val="0"/>
              <w:keepLines w:val="0"/>
              <w:pageBreakBefore w:val="0"/>
              <w:widowControl w:val="0"/>
              <w:numPr>
                <w:ilvl w:val="0"/>
                <w:numId w:val="2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配置与维护功能要求</w:t>
            </w:r>
          </w:p>
          <w:p w14:paraId="111C9023">
            <w:pPr>
              <w:keepNext w:val="0"/>
              <w:keepLines w:val="0"/>
              <w:pageBreakBefore w:val="0"/>
              <w:widowControl w:val="0"/>
              <w:numPr>
                <w:ilvl w:val="0"/>
                <w:numId w:val="2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参数配置管理：支持设备启动过程的全流程控制及初始化参数查看。</w:t>
            </w:r>
          </w:p>
          <w:p w14:paraId="64860A79">
            <w:pPr>
              <w:keepNext w:val="0"/>
              <w:keepLines w:val="0"/>
              <w:pageBreakBefore w:val="0"/>
              <w:widowControl w:val="0"/>
              <w:numPr>
                <w:ilvl w:val="0"/>
                <w:numId w:val="2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小区参数配置：支持对本地小区（Local Cell）关键参数、邻区关系（Neighbor Cell）以及物理小区ID（PCI）等无线资源的增加、删除与动态修改。</w:t>
            </w:r>
          </w:p>
          <w:p w14:paraId="1DAA6EE2">
            <w:pPr>
              <w:keepNext w:val="0"/>
              <w:keepLines w:val="0"/>
              <w:pageBreakBefore w:val="0"/>
              <w:widowControl w:val="0"/>
              <w:numPr>
                <w:ilvl w:val="0"/>
                <w:numId w:val="2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故障管理功能：具备实时告警监控及历史告警检索能力，支持告警级别的自定义及告警过滤策略设置；支持告警解析日志导出，提供声音及颜色辅助告警提示。</w:t>
            </w:r>
          </w:p>
          <w:p w14:paraId="03583C92">
            <w:pPr>
              <w:keepNext w:val="0"/>
              <w:keepLines w:val="0"/>
              <w:pageBreakBefore w:val="0"/>
              <w:widowControl w:val="0"/>
              <w:numPr>
                <w:ilvl w:val="0"/>
                <w:numId w:val="2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日志与审计管理：系统需记录详细的操作日志及安全审计日志；支持基站侧公共文件、板卡日志、RRU日志及小区运行日志的批量一键上传至本地。</w:t>
            </w:r>
          </w:p>
          <w:p w14:paraId="5C1A2F22">
            <w:pPr>
              <w:keepNext w:val="0"/>
              <w:keepLines w:val="0"/>
              <w:pageBreakBefore w:val="0"/>
              <w:widowControl w:val="0"/>
              <w:numPr>
                <w:ilvl w:val="0"/>
                <w:numId w:val="2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辅助诊断与实训工具要求</w:t>
            </w:r>
          </w:p>
          <w:p w14:paraId="6C89AAF3">
            <w:pPr>
              <w:keepNext w:val="0"/>
              <w:keepLines w:val="0"/>
              <w:pageBreakBefore w:val="0"/>
              <w:widowControl w:val="0"/>
              <w:numPr>
                <w:ilvl w:val="0"/>
                <w:numId w:val="24"/>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▲图形化启动流程监控：支持以图像化流程图形式实时显示设备启动状态，清晰展示传输资源、基带资源、时钟资源、射频资源及本地小区的可用性变化过程（需提供功能截图证明）。</w:t>
            </w:r>
          </w:p>
          <w:p w14:paraId="1A8B59D8">
            <w:pPr>
              <w:keepNext w:val="0"/>
              <w:keepLines w:val="0"/>
              <w:pageBreakBefore w:val="0"/>
              <w:widowControl w:val="0"/>
              <w:numPr>
                <w:ilvl w:val="0"/>
                <w:numId w:val="24"/>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传输与链路状态查询：具备对物理端口状态、操作链路状态、S1/X2信令链路状态及业务承载链路状态的实时查询与解析显示功能（需提供功能截图证明）。</w:t>
            </w:r>
          </w:p>
          <w:p w14:paraId="00F4D0ED">
            <w:pPr>
              <w:keepNext w:val="0"/>
              <w:keepLines w:val="0"/>
              <w:pageBreakBefore w:val="0"/>
              <w:widowControl w:val="0"/>
              <w:numPr>
                <w:ilvl w:val="0"/>
                <w:numId w:val="24"/>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信令跟踪与诊断：支持终端接入过程的全流程信令跟踪功能（含RRC、NAS、NGAP等协议层），支持对信息浏览日志进行深度解析（需提供终端接入信令跟踪及日志解析截图证明）。</w:t>
            </w:r>
          </w:p>
          <w:p w14:paraId="5177A5B6">
            <w:pPr>
              <w:keepNext w:val="0"/>
              <w:keepLines w:val="0"/>
              <w:pageBreakBefore w:val="0"/>
              <w:widowControl w:val="0"/>
              <w:numPr>
                <w:ilvl w:val="0"/>
                <w:numId w:val="24"/>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UE状态显示：支持在线用户终端（UE）的实时信息浏览。</w:t>
            </w:r>
          </w:p>
          <w:p w14:paraId="58E1AB9B">
            <w:pPr>
              <w:keepNext w:val="0"/>
              <w:keepLines w:val="0"/>
              <w:pageBreakBefore w:val="0"/>
              <w:widowControl w:val="0"/>
              <w:numPr>
                <w:ilvl w:val="0"/>
                <w:numId w:val="2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技术配套材料</w:t>
            </w:r>
          </w:p>
          <w:p w14:paraId="21874B01">
            <w:pPr>
              <w:keepNext w:val="0"/>
              <w:keepLines w:val="0"/>
              <w:pageBreakBefore w:val="0"/>
              <w:widowControl w:val="0"/>
              <w:numPr>
                <w:ilvl w:val="0"/>
                <w:numId w:val="2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证明材料：投标时需按要求提供前述关于“启动流程图</w:t>
            </w:r>
            <w:r>
              <w:rPr>
                <w:rFonts w:hint="eastAsia" w:ascii="仿宋" w:hAnsi="仿宋" w:eastAsia="仿宋" w:cs="仿宋"/>
                <w:kern w:val="0"/>
                <w:sz w:val="21"/>
                <w:szCs w:val="21"/>
                <w:highlight w:val="none"/>
                <w:lang w:eastAsia="zh-CN"/>
              </w:rPr>
              <w:t>”“</w:t>
            </w:r>
            <w:r>
              <w:rPr>
                <w:rFonts w:hint="eastAsia" w:ascii="仿宋" w:hAnsi="仿宋" w:eastAsia="仿宋" w:cs="仿宋"/>
                <w:kern w:val="0"/>
                <w:sz w:val="21"/>
                <w:szCs w:val="21"/>
                <w:highlight w:val="none"/>
              </w:rPr>
              <w:t>日志查看</w:t>
            </w:r>
            <w:r>
              <w:rPr>
                <w:rFonts w:hint="eastAsia" w:ascii="仿宋" w:hAnsi="仿宋" w:eastAsia="仿宋" w:cs="仿宋"/>
                <w:kern w:val="0"/>
                <w:sz w:val="21"/>
                <w:szCs w:val="21"/>
                <w:highlight w:val="none"/>
                <w:lang w:eastAsia="zh-CN"/>
              </w:rPr>
              <w:t>”“</w:t>
            </w:r>
            <w:r>
              <w:rPr>
                <w:rFonts w:hint="eastAsia" w:ascii="仿宋" w:hAnsi="仿宋" w:eastAsia="仿宋" w:cs="仿宋"/>
                <w:kern w:val="0"/>
                <w:sz w:val="21"/>
                <w:szCs w:val="21"/>
                <w:highlight w:val="none"/>
              </w:rPr>
              <w:t>传输状态查询”以及“信令解析”等关键功能模块的真实软件操作截图。</w:t>
            </w:r>
          </w:p>
          <w:p w14:paraId="78456882">
            <w:pPr>
              <w:keepNext w:val="0"/>
              <w:keepLines w:val="0"/>
              <w:pageBreakBefore w:val="0"/>
              <w:widowControl w:val="0"/>
              <w:numPr>
                <w:ilvl w:val="0"/>
                <w:numId w:val="2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kern w:val="0"/>
                <w:sz w:val="21"/>
                <w:szCs w:val="21"/>
                <w:highlight w:val="none"/>
              </w:rPr>
              <w:t>教学资源：配套提供基于该软件的5G基站开通、故障排查、信令解析等典型实训项目的实验操作指导书（含标准信令流程对照图）。</w:t>
            </w:r>
          </w:p>
        </w:tc>
        <w:tc>
          <w:tcPr>
            <w:tcW w:w="685" w:type="dxa"/>
            <w:vAlign w:val="center"/>
          </w:tcPr>
          <w:p w14:paraId="0A3B526B">
            <w:pPr>
              <w:pStyle w:val="37"/>
              <w:keepNext w:val="0"/>
              <w:keepLines w:val="0"/>
              <w:pageBreakBefore w:val="0"/>
              <w:widowControl w:val="0"/>
              <w:kinsoku/>
              <w:wordWrap w:val="0"/>
              <w:overflowPunct/>
              <w:topLinePunct w:val="0"/>
              <w:autoSpaceDE/>
              <w:autoSpaceDN/>
              <w:bidi w:val="0"/>
              <w:adjustRightInd/>
              <w:ind w:left="0" w:leftChars="0" w:firstLine="0" w:firstLineChars="0"/>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snapToGrid w:val="0"/>
                <w:color w:val="auto"/>
                <w:sz w:val="24"/>
                <w:szCs w:val="24"/>
                <w:highlight w:val="none"/>
                <w:lang w:val="en-US" w:eastAsia="zh-CN"/>
              </w:rPr>
              <w:t>1</w:t>
            </w:r>
          </w:p>
        </w:tc>
        <w:tc>
          <w:tcPr>
            <w:tcW w:w="402" w:type="pct"/>
            <w:vAlign w:val="center"/>
          </w:tcPr>
          <w:p w14:paraId="3C01DAC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rPr>
              <w:t>套</w:t>
            </w:r>
          </w:p>
        </w:tc>
        <w:tc>
          <w:tcPr>
            <w:tcW w:w="352" w:type="pct"/>
            <w:vAlign w:val="center"/>
          </w:tcPr>
          <w:p w14:paraId="3C2B26C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21"/>
                <w:szCs w:val="21"/>
                <w:highlight w:val="none"/>
              </w:rPr>
            </w:pPr>
          </w:p>
        </w:tc>
      </w:tr>
      <w:tr w14:paraId="664D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28FF405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kern w:val="0"/>
                <w:sz w:val="21"/>
                <w:szCs w:val="21"/>
                <w:highlight w:val="none"/>
              </w:rPr>
              <w:t>6</w:t>
            </w:r>
          </w:p>
        </w:tc>
        <w:tc>
          <w:tcPr>
            <w:tcW w:w="601" w:type="pct"/>
            <w:vAlign w:val="center"/>
          </w:tcPr>
          <w:p w14:paraId="524F3A6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sz w:val="21"/>
                <w:szCs w:val="21"/>
                <w:highlight w:val="none"/>
              </w:rPr>
            </w:pPr>
            <w:r>
              <w:rPr>
                <w:rFonts w:hint="eastAsia" w:ascii="仿宋" w:hAnsi="仿宋" w:eastAsia="仿宋" w:cs="仿宋"/>
                <w:kern w:val="0"/>
                <w:sz w:val="21"/>
                <w:szCs w:val="21"/>
                <w:highlight w:val="none"/>
              </w:rPr>
              <w:t>5G核心网本地控制软件</w:t>
            </w:r>
          </w:p>
        </w:tc>
        <w:tc>
          <w:tcPr>
            <w:tcW w:w="2878" w:type="pct"/>
          </w:tcPr>
          <w:p w14:paraId="19E6C19B">
            <w:pPr>
              <w:keepNext w:val="0"/>
              <w:keepLines w:val="0"/>
              <w:pageBreakBefore w:val="0"/>
              <w:widowControl w:val="0"/>
              <w:numPr>
                <w:ilvl w:val="0"/>
                <w:numId w:val="2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架构要求</w:t>
            </w:r>
          </w:p>
          <w:p w14:paraId="6421D35F">
            <w:pPr>
              <w:keepNext w:val="0"/>
              <w:keepLines w:val="0"/>
              <w:pageBreakBefore w:val="0"/>
              <w:widowControl w:val="0"/>
              <w:numPr>
                <w:ilvl w:val="0"/>
                <w:numId w:val="27"/>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▲开发架构：采用B/S（Browser/Server）架构平台开发，支持通过主流通用浏览器进行远程登录与业务管理，无需安装特定客户端。</w:t>
            </w:r>
          </w:p>
          <w:p w14:paraId="28AA7764">
            <w:pPr>
              <w:keepNext w:val="0"/>
              <w:keepLines w:val="0"/>
              <w:pageBreakBefore w:val="0"/>
              <w:widowControl w:val="0"/>
              <w:numPr>
                <w:ilvl w:val="0"/>
                <w:numId w:val="27"/>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多模兼容性：软件</w:t>
            </w:r>
            <w:r>
              <w:rPr>
                <w:rFonts w:hint="eastAsia" w:ascii="仿宋" w:hAnsi="仿宋" w:eastAsia="仿宋" w:cs="仿宋"/>
                <w:kern w:val="0"/>
                <w:sz w:val="21"/>
                <w:szCs w:val="21"/>
                <w:highlight w:val="none"/>
                <w:lang w:eastAsia="zh-CN"/>
              </w:rPr>
              <w:t>须具备</w:t>
            </w:r>
            <w:r>
              <w:rPr>
                <w:rFonts w:hint="eastAsia" w:ascii="仿宋" w:hAnsi="仿宋" w:eastAsia="仿宋" w:cs="仿宋"/>
                <w:kern w:val="0"/>
                <w:sz w:val="21"/>
                <w:szCs w:val="21"/>
                <w:highlight w:val="none"/>
              </w:rPr>
              <w:t>4G/5G双模基站协同管理能力，支持SCTP（流控制传输协议）传输链路的建立与状态监控。</w:t>
            </w:r>
          </w:p>
          <w:p w14:paraId="0A08F252">
            <w:pPr>
              <w:keepNext w:val="0"/>
              <w:keepLines w:val="0"/>
              <w:pageBreakBefore w:val="0"/>
              <w:widowControl w:val="0"/>
              <w:numPr>
                <w:ilvl w:val="0"/>
                <w:numId w:val="27"/>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协议支持：支持IPv4与IPv6双栈协议栈，具备对网元用户地址池的深度管理能力。</w:t>
            </w:r>
          </w:p>
          <w:p w14:paraId="048E40C1">
            <w:pPr>
              <w:keepNext w:val="0"/>
              <w:keepLines w:val="0"/>
              <w:pageBreakBefore w:val="0"/>
              <w:widowControl w:val="0"/>
              <w:numPr>
                <w:ilvl w:val="0"/>
                <w:numId w:val="2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功能要求</w:t>
            </w:r>
          </w:p>
          <w:p w14:paraId="20BBEFB6">
            <w:pPr>
              <w:keepNext w:val="0"/>
              <w:keepLines w:val="0"/>
              <w:pageBreakBefore w:val="0"/>
              <w:widowControl w:val="0"/>
              <w:numPr>
                <w:ilvl w:val="0"/>
                <w:numId w:val="28"/>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配置管理功能：支持对系统全局数据、接口地址及业务参数的增加、修改、查询与删除。支持5G核心网接口IP地址的配置；支持网元运行参数、会话QoS策略、计费触发参数的精细化调整。</w:t>
            </w:r>
          </w:p>
          <w:p w14:paraId="2F03AAB1">
            <w:pPr>
              <w:keepNext w:val="0"/>
              <w:keepLines w:val="0"/>
              <w:pageBreakBefore w:val="0"/>
              <w:widowControl w:val="0"/>
              <w:numPr>
                <w:ilvl w:val="0"/>
                <w:numId w:val="28"/>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故障管理功能：具备各功能网元的实时告警监控能力，支持告警信息的分类查询、手动/自动确认、故障清除及历史告警统计分析。</w:t>
            </w:r>
          </w:p>
          <w:p w14:paraId="4CF6C451">
            <w:pPr>
              <w:keepNext w:val="0"/>
              <w:keepLines w:val="0"/>
              <w:pageBreakBefore w:val="0"/>
              <w:widowControl w:val="0"/>
              <w:numPr>
                <w:ilvl w:val="0"/>
                <w:numId w:val="28"/>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性能管理功能：支持性能观测任务的创建与调度，具备性能计数器管理功能；支持性能数据的定时上报、实时查询及图表化展示。</w:t>
            </w:r>
          </w:p>
          <w:p w14:paraId="7EEFEAF7">
            <w:pPr>
              <w:keepNext w:val="0"/>
              <w:keepLines w:val="0"/>
              <w:pageBreakBefore w:val="0"/>
              <w:widowControl w:val="0"/>
              <w:numPr>
                <w:ilvl w:val="0"/>
                <w:numId w:val="28"/>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安全管理功能：支持多级用户账号管理，具备完善的权限分级体系，可针对不同职能的操作员进行功能模块的权限授权与操作审计。</w:t>
            </w:r>
          </w:p>
          <w:p w14:paraId="74F63411">
            <w:pPr>
              <w:keepNext w:val="0"/>
              <w:keepLines w:val="0"/>
              <w:pageBreakBefore w:val="0"/>
              <w:widowControl w:val="0"/>
              <w:numPr>
                <w:ilvl w:val="0"/>
                <w:numId w:val="28"/>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日志管理功能：具备完备的审计日志记录，按内容分类存储为用户操作日志、系统运行日志、安全审计日志及设备告警日志，支持日志导出与追溯。</w:t>
            </w:r>
          </w:p>
          <w:p w14:paraId="75B99983">
            <w:pPr>
              <w:keepNext w:val="0"/>
              <w:keepLines w:val="0"/>
              <w:pageBreakBefore w:val="0"/>
              <w:widowControl w:val="0"/>
              <w:numPr>
                <w:ilvl w:val="0"/>
                <w:numId w:val="28"/>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▲网络地址管理：支持SMF网元用户地址池配置，支持IP地址的动态DHCP分配或静态手工配置；针对静态IP用户，需支持下挂地址段分配功能，确保从核心网侧到终端用户下挂地址的直接网络互通（Ping通）。</w:t>
            </w:r>
          </w:p>
          <w:p w14:paraId="09AB85E8">
            <w:pPr>
              <w:keepNext w:val="0"/>
              <w:keepLines w:val="0"/>
              <w:pageBreakBefore w:val="0"/>
              <w:widowControl w:val="0"/>
              <w:numPr>
                <w:ilvl w:val="0"/>
                <w:numId w:val="2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技术配套材料</w:t>
            </w:r>
          </w:p>
          <w:p w14:paraId="4E1601C2">
            <w:pPr>
              <w:keepNext w:val="0"/>
              <w:keepLines w:val="0"/>
              <w:pageBreakBefore w:val="0"/>
              <w:widowControl w:val="0"/>
              <w:numPr>
                <w:ilvl w:val="0"/>
                <w:numId w:val="2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界面证明：投标时需提供基于B/S架构的软件主界面、配置管理界面</w:t>
            </w:r>
            <w:r>
              <w:rPr>
                <w:rFonts w:hint="eastAsia" w:ascii="仿宋" w:hAnsi="仿宋" w:eastAsia="仿宋" w:cs="仿宋"/>
                <w:kern w:val="0"/>
                <w:sz w:val="21"/>
                <w:szCs w:val="21"/>
                <w:highlight w:val="none"/>
                <w:lang w:eastAsia="zh-CN"/>
              </w:rPr>
              <w:t>，以及</w:t>
            </w:r>
            <w:r>
              <w:rPr>
                <w:rFonts w:hint="eastAsia" w:ascii="仿宋" w:hAnsi="仿宋" w:eastAsia="仿宋" w:cs="仿宋"/>
                <w:kern w:val="0"/>
                <w:sz w:val="21"/>
                <w:szCs w:val="21"/>
                <w:highlight w:val="none"/>
              </w:rPr>
              <w:t>终端用户下挂地址互通测试成功的截图证明文件。</w:t>
            </w:r>
          </w:p>
          <w:p w14:paraId="0DFC1445">
            <w:pPr>
              <w:keepNext w:val="0"/>
              <w:keepLines w:val="0"/>
              <w:pageBreakBefore w:val="0"/>
              <w:widowControl w:val="0"/>
              <w:numPr>
                <w:ilvl w:val="0"/>
                <w:numId w:val="2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kern w:val="0"/>
                <w:sz w:val="21"/>
                <w:szCs w:val="21"/>
                <w:highlight w:val="none"/>
              </w:rPr>
              <w:t>操作资料：配套提供软件操作说明手册</w:t>
            </w:r>
            <w:r>
              <w:rPr>
                <w:rFonts w:hint="eastAsia" w:ascii="仿宋" w:hAnsi="仿宋" w:eastAsia="仿宋" w:cs="仿宋"/>
                <w:kern w:val="0"/>
                <w:sz w:val="21"/>
                <w:szCs w:val="21"/>
                <w:highlight w:val="none"/>
                <w:lang w:eastAsia="zh-CN"/>
              </w:rPr>
              <w:t>，以及</w:t>
            </w:r>
            <w:r>
              <w:rPr>
                <w:rFonts w:hint="eastAsia" w:ascii="仿宋" w:hAnsi="仿宋" w:eastAsia="仿宋" w:cs="仿宋"/>
                <w:kern w:val="0"/>
                <w:sz w:val="21"/>
                <w:szCs w:val="21"/>
                <w:highlight w:val="none"/>
              </w:rPr>
              <w:t>针对核心网与基站协同配置的实训教学手册。</w:t>
            </w:r>
          </w:p>
        </w:tc>
        <w:tc>
          <w:tcPr>
            <w:tcW w:w="685" w:type="dxa"/>
            <w:vAlign w:val="center"/>
          </w:tcPr>
          <w:p w14:paraId="44DCCB6D">
            <w:pPr>
              <w:pStyle w:val="37"/>
              <w:keepNext w:val="0"/>
              <w:keepLines w:val="0"/>
              <w:pageBreakBefore w:val="0"/>
              <w:widowControl w:val="0"/>
              <w:kinsoku/>
              <w:wordWrap w:val="0"/>
              <w:overflowPunct/>
              <w:topLinePunct w:val="0"/>
              <w:autoSpaceDE/>
              <w:autoSpaceDN/>
              <w:bidi w:val="0"/>
              <w:adjustRightInd/>
              <w:ind w:left="0" w:leftChars="0" w:firstLine="0" w:firstLineChars="0"/>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snapToGrid w:val="0"/>
                <w:color w:val="auto"/>
                <w:sz w:val="24"/>
                <w:szCs w:val="24"/>
                <w:highlight w:val="none"/>
                <w:lang w:val="en-US" w:eastAsia="zh-CN"/>
              </w:rPr>
              <w:t>1</w:t>
            </w:r>
          </w:p>
        </w:tc>
        <w:tc>
          <w:tcPr>
            <w:tcW w:w="402" w:type="pct"/>
            <w:vAlign w:val="center"/>
          </w:tcPr>
          <w:p w14:paraId="4E88E52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rPr>
              <w:t>套</w:t>
            </w:r>
          </w:p>
        </w:tc>
        <w:tc>
          <w:tcPr>
            <w:tcW w:w="352" w:type="pct"/>
            <w:vAlign w:val="center"/>
          </w:tcPr>
          <w:p w14:paraId="4ED7DC4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21"/>
                <w:szCs w:val="21"/>
                <w:highlight w:val="none"/>
              </w:rPr>
            </w:pPr>
          </w:p>
        </w:tc>
      </w:tr>
      <w:tr w14:paraId="0554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7E629C7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kern w:val="0"/>
                <w:sz w:val="21"/>
                <w:szCs w:val="21"/>
                <w:highlight w:val="none"/>
              </w:rPr>
              <w:t>7</w:t>
            </w:r>
          </w:p>
        </w:tc>
        <w:tc>
          <w:tcPr>
            <w:tcW w:w="601" w:type="pct"/>
            <w:vAlign w:val="center"/>
          </w:tcPr>
          <w:p w14:paraId="6CFD9440">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sz w:val="21"/>
                <w:szCs w:val="21"/>
                <w:highlight w:val="none"/>
              </w:rPr>
            </w:pPr>
            <w:r>
              <w:rPr>
                <w:rFonts w:hint="eastAsia" w:ascii="仿宋" w:hAnsi="仿宋" w:eastAsia="仿宋" w:cs="仿宋"/>
                <w:kern w:val="0"/>
                <w:sz w:val="21"/>
                <w:szCs w:val="21"/>
                <w:highlight w:val="none"/>
              </w:rPr>
              <w:t>5G专用万兆交换机</w:t>
            </w:r>
          </w:p>
        </w:tc>
        <w:tc>
          <w:tcPr>
            <w:tcW w:w="2878" w:type="pct"/>
          </w:tcPr>
          <w:p w14:paraId="19628266">
            <w:pPr>
              <w:keepNext w:val="0"/>
              <w:keepLines w:val="0"/>
              <w:pageBreakBefore w:val="0"/>
              <w:widowControl w:val="0"/>
              <w:numPr>
                <w:ilvl w:val="0"/>
                <w:numId w:val="3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硬件架构要求</w:t>
            </w:r>
          </w:p>
          <w:p w14:paraId="7F37F188">
            <w:pPr>
              <w:keepNext w:val="0"/>
              <w:keepLines w:val="0"/>
              <w:pageBreakBefore w:val="0"/>
              <w:widowControl w:val="0"/>
              <w:numPr>
                <w:ilvl w:val="0"/>
                <w:numId w:val="3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接口配置：具备高性能万兆光口（SFP+）数量≥4个。</w:t>
            </w:r>
          </w:p>
          <w:p w14:paraId="5F2EDCE2">
            <w:pPr>
              <w:keepNext w:val="0"/>
              <w:keepLines w:val="0"/>
              <w:pageBreakBefore w:val="0"/>
              <w:widowControl w:val="0"/>
              <w:numPr>
                <w:ilvl w:val="0"/>
                <w:numId w:val="3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供电可靠性：支持电源1+1冗余备份配置，电源模块支持热插拔功能，确保在单个电源故障时系统不间断运行。</w:t>
            </w:r>
          </w:p>
          <w:p w14:paraId="5D9DCE94">
            <w:pPr>
              <w:keepNext w:val="0"/>
              <w:keepLines w:val="0"/>
              <w:pageBreakBefore w:val="0"/>
              <w:widowControl w:val="0"/>
              <w:numPr>
                <w:ilvl w:val="0"/>
                <w:numId w:val="3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环境适应性：工作温度满足0℃～45℃，存储温度满足40℃～70℃；工作湿度满足10%～90%（无凝露），具备工业级散热设计。</w:t>
            </w:r>
          </w:p>
          <w:p w14:paraId="4F1E642D">
            <w:pPr>
              <w:keepNext w:val="0"/>
              <w:keepLines w:val="0"/>
              <w:pageBreakBefore w:val="0"/>
              <w:widowControl w:val="0"/>
              <w:numPr>
                <w:ilvl w:val="0"/>
                <w:numId w:val="3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kern w:val="0"/>
                <w:sz w:val="21"/>
                <w:szCs w:val="21"/>
                <w:highlight w:val="none"/>
              </w:rPr>
            </w:pPr>
            <w:r>
              <w:rPr>
                <w:rFonts w:hint="eastAsia" w:ascii="仿宋" w:hAnsi="仿宋" w:eastAsia="仿宋" w:cs="仿宋"/>
                <w:kern w:val="0"/>
                <w:sz w:val="21"/>
                <w:szCs w:val="21"/>
                <w:highlight w:val="none"/>
              </w:rPr>
              <w:t>物理结构：标准机架式设备，</w:t>
            </w:r>
            <w:r>
              <w:rPr>
                <w:rFonts w:hint="eastAsia" w:ascii="仿宋" w:hAnsi="仿宋" w:eastAsia="仿宋" w:cs="仿宋"/>
                <w:color w:val="auto"/>
                <w:kern w:val="0"/>
                <w:sz w:val="21"/>
                <w:szCs w:val="21"/>
                <w:highlight w:val="none"/>
              </w:rPr>
              <w:t>适配</w:t>
            </w:r>
            <w:r>
              <w:rPr>
                <w:rFonts w:hint="eastAsia" w:ascii="仿宋" w:hAnsi="仿宋" w:eastAsia="仿宋" w:cs="仿宋"/>
                <w:color w:val="auto"/>
                <w:kern w:val="0"/>
                <w:sz w:val="21"/>
                <w:szCs w:val="21"/>
                <w:highlight w:val="none"/>
                <w:lang w:val="en-US" w:eastAsia="zh-CN"/>
              </w:rPr>
              <w:t>不小于</w:t>
            </w:r>
            <w:r>
              <w:rPr>
                <w:rFonts w:hint="eastAsia" w:ascii="仿宋" w:hAnsi="仿宋" w:eastAsia="仿宋" w:cs="仿宋"/>
                <w:color w:val="auto"/>
                <w:kern w:val="0"/>
                <w:sz w:val="21"/>
                <w:szCs w:val="21"/>
                <w:highlight w:val="none"/>
              </w:rPr>
              <w:t>19英寸标准机柜安装。</w:t>
            </w:r>
          </w:p>
          <w:p w14:paraId="61600582">
            <w:pPr>
              <w:keepNext w:val="0"/>
              <w:keepLines w:val="0"/>
              <w:pageBreakBefore w:val="0"/>
              <w:widowControl w:val="0"/>
              <w:numPr>
                <w:ilvl w:val="0"/>
                <w:numId w:val="3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功能要求</w:t>
            </w:r>
          </w:p>
          <w:p w14:paraId="1491259B">
            <w:pPr>
              <w:keepNext w:val="0"/>
              <w:keepLines w:val="0"/>
              <w:pageBreakBefore w:val="0"/>
              <w:widowControl w:val="0"/>
              <w:numPr>
                <w:ilvl w:val="0"/>
                <w:numId w:val="3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交换性能：设备交换容量不低于880Gbps/7.92Tbps，满足5G核心网与基站之间的高带宽数据交互需求。</w:t>
            </w:r>
          </w:p>
          <w:p w14:paraId="3715BDCA">
            <w:pPr>
              <w:keepNext w:val="0"/>
              <w:keepLines w:val="0"/>
              <w:pageBreakBefore w:val="0"/>
              <w:widowControl w:val="0"/>
              <w:numPr>
                <w:ilvl w:val="0"/>
                <w:numId w:val="3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DHCP功能：全面支持IPv4/IPv6双栈DHCP特性，包括DHCP</w:t>
            </w:r>
            <w:r>
              <w:rPr>
                <w:rFonts w:hint="eastAsia" w:ascii="仿宋" w:hAnsi="仿宋" w:eastAsia="仿宋" w:cs="仿宋"/>
                <w:kern w:val="0"/>
                <w:sz w:val="21"/>
                <w:szCs w:val="21"/>
                <w:highlight w:val="none"/>
                <w:lang w:eastAsia="zh-CN"/>
              </w:rPr>
              <w:t>、</w:t>
            </w:r>
            <w:r>
              <w:rPr>
                <w:rFonts w:hint="eastAsia" w:ascii="仿宋" w:hAnsi="仿宋" w:eastAsia="仿宋" w:cs="仿宋"/>
                <w:kern w:val="0"/>
                <w:sz w:val="21"/>
                <w:szCs w:val="21"/>
                <w:highlight w:val="none"/>
              </w:rPr>
              <w:t>Server、Client、Snooping、Relay等功能，支持对终端地址的灵活分配与安全绑定。</w:t>
            </w:r>
          </w:p>
          <w:p w14:paraId="0AA10762">
            <w:pPr>
              <w:keepNext w:val="0"/>
              <w:keepLines w:val="0"/>
              <w:pageBreakBefore w:val="0"/>
              <w:widowControl w:val="0"/>
              <w:numPr>
                <w:ilvl w:val="0"/>
                <w:numId w:val="3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三层路由协议：支持静态路由，支持RIP/RIPng、OSPFv2/v3、ISISv4/v6、BGP4/BGP4+等全套单播路由协议；支持等价路由（ECMP），支持基于包和基于流的负载均衡；支持MCE（多实例自适应接入）技术，实现不同实训业务的逻辑隔离。</w:t>
            </w:r>
          </w:p>
          <w:p w14:paraId="3BB2B91E">
            <w:pPr>
              <w:keepNext w:val="0"/>
              <w:keepLines w:val="0"/>
              <w:pageBreakBefore w:val="0"/>
              <w:widowControl w:val="0"/>
              <w:numPr>
                <w:ilvl w:val="0"/>
                <w:numId w:val="3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高可靠性技术：</w:t>
            </w:r>
          </w:p>
          <w:p w14:paraId="015C25E3">
            <w:pPr>
              <w:keepNext w:val="0"/>
              <w:keepLines w:val="0"/>
              <w:pageBreakBefore w:val="0"/>
              <w:widowControl w:val="0"/>
              <w:numPr>
                <w:ilvl w:val="0"/>
                <w:numId w:val="3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虚拟化技术：支持交换机通用虚拟化堆叠技术，单堆叠组可容纳不少于4台物理设备，虚拟为1台逻辑设备实现统一管理，堆叠互联带宽不低于100Gbps，支持跨设备链路聚合、故障快速切换，提升链路利用率及冗余能力</w:t>
            </w:r>
            <w:r>
              <w:rPr>
                <w:rFonts w:hint="eastAsia" w:ascii="仿宋" w:hAnsi="仿宋" w:eastAsia="仿宋" w:cs="仿宋"/>
                <w:kern w:val="0"/>
                <w:sz w:val="21"/>
                <w:szCs w:val="21"/>
                <w:highlight w:val="none"/>
                <w:lang w:eastAsia="zh-CN"/>
              </w:rPr>
              <w:t>。</w:t>
            </w:r>
          </w:p>
          <w:p w14:paraId="5EBFA210">
            <w:pPr>
              <w:keepNext w:val="0"/>
              <w:keepLines w:val="0"/>
              <w:pageBreakBefore w:val="0"/>
              <w:widowControl w:val="0"/>
              <w:numPr>
                <w:ilvl w:val="0"/>
                <w:numId w:val="3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协议保护：支持RIP/OSPF/BGP等协议的平滑重启（GR）技术。</w:t>
            </w:r>
          </w:p>
          <w:p w14:paraId="329C8E2B">
            <w:pPr>
              <w:keepNext w:val="0"/>
              <w:keepLines w:val="0"/>
              <w:pageBreakBefore w:val="0"/>
              <w:widowControl w:val="0"/>
              <w:numPr>
                <w:ilvl w:val="0"/>
                <w:numId w:val="3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快速检测与环网保护：支持BFD快速链路检测机制；支持ERPS（G.8032）公有标准环网协议，具备REUP、RLDP等快速链路检测与保护切换功能。</w:t>
            </w:r>
          </w:p>
          <w:p w14:paraId="6E558E49">
            <w:pPr>
              <w:keepNext w:val="0"/>
              <w:keepLines w:val="0"/>
              <w:pageBreakBefore w:val="0"/>
              <w:widowControl w:val="0"/>
              <w:numPr>
                <w:ilvl w:val="0"/>
                <w:numId w:val="3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技术配套材料</w:t>
            </w:r>
          </w:p>
          <w:p w14:paraId="14B8BFE5">
            <w:pPr>
              <w:keepNext w:val="0"/>
              <w:keepLines w:val="0"/>
              <w:pageBreakBefore w:val="0"/>
              <w:widowControl w:val="0"/>
              <w:numPr>
                <w:ilvl w:val="0"/>
                <w:numId w:val="34"/>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文档资料：提供完整的交换机产品说明以及针对5G实训网络划分的典型案例配置手册电子版。</w:t>
            </w:r>
          </w:p>
          <w:p w14:paraId="5E03CBFB">
            <w:pPr>
              <w:keepNext w:val="0"/>
              <w:keepLines w:val="0"/>
              <w:pageBreakBefore w:val="0"/>
              <w:widowControl w:val="0"/>
              <w:numPr>
                <w:ilvl w:val="0"/>
                <w:numId w:val="34"/>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kern w:val="0"/>
                <w:sz w:val="21"/>
                <w:szCs w:val="21"/>
                <w:highlight w:val="none"/>
              </w:rPr>
              <w:t>连接附件：配套提供万兆SFP+光模块（不少于4只）及对应的高品质多模/单模跳线。</w:t>
            </w:r>
          </w:p>
        </w:tc>
        <w:tc>
          <w:tcPr>
            <w:tcW w:w="685" w:type="dxa"/>
            <w:vAlign w:val="center"/>
          </w:tcPr>
          <w:p w14:paraId="7822B0B2">
            <w:pPr>
              <w:pStyle w:val="37"/>
              <w:keepNext w:val="0"/>
              <w:keepLines w:val="0"/>
              <w:pageBreakBefore w:val="0"/>
              <w:widowControl w:val="0"/>
              <w:kinsoku/>
              <w:wordWrap w:val="0"/>
              <w:overflowPunct/>
              <w:topLinePunct w:val="0"/>
              <w:autoSpaceDE/>
              <w:autoSpaceDN/>
              <w:bidi w:val="0"/>
              <w:adjustRightInd/>
              <w:ind w:left="0" w:leftChars="0" w:firstLine="0" w:firstLineChars="0"/>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snapToGrid w:val="0"/>
                <w:color w:val="auto"/>
                <w:sz w:val="24"/>
                <w:szCs w:val="24"/>
                <w:highlight w:val="none"/>
                <w:lang w:val="en-US" w:eastAsia="zh-CN"/>
              </w:rPr>
              <w:t>1</w:t>
            </w:r>
          </w:p>
        </w:tc>
        <w:tc>
          <w:tcPr>
            <w:tcW w:w="402" w:type="pct"/>
            <w:vAlign w:val="center"/>
          </w:tcPr>
          <w:p w14:paraId="3B87FA4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rPr>
              <w:t>台</w:t>
            </w:r>
          </w:p>
        </w:tc>
        <w:tc>
          <w:tcPr>
            <w:tcW w:w="352" w:type="pct"/>
            <w:vAlign w:val="center"/>
          </w:tcPr>
          <w:p w14:paraId="7AE30B2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21"/>
                <w:szCs w:val="21"/>
                <w:highlight w:val="none"/>
              </w:rPr>
            </w:pPr>
          </w:p>
        </w:tc>
      </w:tr>
      <w:tr w14:paraId="6F86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78AF490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kern w:val="0"/>
                <w:sz w:val="21"/>
                <w:szCs w:val="21"/>
                <w:highlight w:val="none"/>
              </w:rPr>
              <w:t>8</w:t>
            </w:r>
          </w:p>
        </w:tc>
        <w:tc>
          <w:tcPr>
            <w:tcW w:w="601" w:type="pct"/>
            <w:vAlign w:val="center"/>
          </w:tcPr>
          <w:p w14:paraId="086833B0">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sz w:val="21"/>
                <w:szCs w:val="21"/>
                <w:highlight w:val="none"/>
              </w:rPr>
            </w:pPr>
            <w:r>
              <w:rPr>
                <w:rFonts w:hint="eastAsia" w:ascii="仿宋" w:hAnsi="仿宋" w:eastAsia="仿宋" w:cs="仿宋"/>
                <w:kern w:val="0"/>
                <w:sz w:val="21"/>
                <w:szCs w:val="21"/>
                <w:highlight w:val="none"/>
              </w:rPr>
              <w:t>5G覆盖规划及优化仿真模块</w:t>
            </w:r>
          </w:p>
        </w:tc>
        <w:tc>
          <w:tcPr>
            <w:tcW w:w="2878" w:type="pct"/>
          </w:tcPr>
          <w:p w14:paraId="28B7905B">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架构要求</w:t>
            </w:r>
          </w:p>
          <w:p w14:paraId="0DE395C5">
            <w:pPr>
              <w:keepNext w:val="0"/>
              <w:keepLines w:val="0"/>
              <w:pageBreakBefore w:val="0"/>
              <w:widowControl w:val="0"/>
              <w:numPr>
                <w:ilvl w:val="0"/>
                <w:numId w:val="3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开发架构：平台采用B/S（Browser/Server）架构开发，支持通过通用浏览器（如Google Chrome、Microsoft Edge、Firefox等）进行跨平台访问，无需安装客户端插件。</w:t>
            </w:r>
          </w:p>
          <w:p w14:paraId="4E2A1367">
            <w:pPr>
              <w:keepNext w:val="0"/>
              <w:keepLines w:val="0"/>
              <w:pageBreakBefore w:val="0"/>
              <w:widowControl w:val="0"/>
              <w:numPr>
                <w:ilvl w:val="0"/>
                <w:numId w:val="3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处理性能：后端采用分布式架构设计，支持内容分发网络（CDN）服务，实现实训资源的分布式分发与高效访问，提升大并发下的响应速度。</w:t>
            </w:r>
          </w:p>
          <w:p w14:paraId="1C5A614B">
            <w:pPr>
              <w:keepNext w:val="0"/>
              <w:keepLines w:val="0"/>
              <w:pageBreakBefore w:val="0"/>
              <w:widowControl w:val="0"/>
              <w:numPr>
                <w:ilvl w:val="0"/>
                <w:numId w:val="3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并发承载能力：平台具备支撑≥100名用户同时访问服务器单服务端口进行实验的能力；单套实训系统许可用户授权数量≥300个，支持并发在线实训用户数≥100个。</w:t>
            </w:r>
          </w:p>
          <w:p w14:paraId="1991E3EB">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功能要求</w:t>
            </w:r>
          </w:p>
          <w:p w14:paraId="63BAD505">
            <w:pPr>
              <w:keepNext w:val="0"/>
              <w:keepLines w:val="0"/>
              <w:pageBreakBefore w:val="0"/>
              <w:widowControl w:val="0"/>
              <w:numPr>
                <w:ilvl w:val="0"/>
                <w:numId w:val="37"/>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Massive MIMO仿真：支持5G Massive MIMO波束赋形技术的深度仿真，能够真实模拟现网5G基站的信号传播与覆盖特性。</w:t>
            </w:r>
          </w:p>
          <w:p w14:paraId="784E1C26">
            <w:pPr>
              <w:keepNext w:val="0"/>
              <w:keepLines w:val="0"/>
              <w:pageBreakBefore w:val="0"/>
              <w:widowControl w:val="0"/>
              <w:numPr>
                <w:ilvl w:val="0"/>
                <w:numId w:val="37"/>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典型场景建模：内置不少于3种典型的5G覆盖场景，包括但不限于：开阔广场场景、低层密集建筑场景、中高层楼宇垂直覆盖场景。</w:t>
            </w:r>
          </w:p>
          <w:p w14:paraId="42EC2007">
            <w:pPr>
              <w:keepNext w:val="0"/>
              <w:keepLines w:val="0"/>
              <w:pageBreakBefore w:val="0"/>
              <w:widowControl w:val="0"/>
              <w:numPr>
                <w:ilvl w:val="0"/>
                <w:numId w:val="37"/>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权值验证与优化：支持无线网络基站侧多种波束权值（Weight）组合的仿真验证；学生可在线模拟不同权值组合在上述场景下的覆盖效果（如RSRP信号强度、SINR干扰水平），系统最终需给出指定场景下的波束权值配置建议。</w:t>
            </w:r>
          </w:p>
          <w:p w14:paraId="4AE27C66">
            <w:pPr>
              <w:keepNext w:val="0"/>
              <w:keepLines w:val="0"/>
              <w:pageBreakBefore w:val="0"/>
              <w:widowControl w:val="0"/>
              <w:numPr>
                <w:ilvl w:val="0"/>
                <w:numId w:val="37"/>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场景化教学模式：采用交互式场景化仿真模式，学生可通天线下倾角、方位角、发射功率等仿真参数的配置，进行覆盖规划、参数校验及网络优化实践。</w:t>
            </w:r>
          </w:p>
          <w:p w14:paraId="6AD4B701">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技术配套材料</w:t>
            </w:r>
          </w:p>
          <w:p w14:paraId="3DF49E6F">
            <w:pPr>
              <w:keepNext w:val="0"/>
              <w:keepLines w:val="0"/>
              <w:pageBreakBefore w:val="0"/>
              <w:widowControl w:val="0"/>
              <w:numPr>
                <w:ilvl w:val="0"/>
                <w:numId w:val="38"/>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实训资源：配套提供基于上述典型场景的实训项目指导书，涵盖5G覆盖规划原理、仿真操作步骤及权值优化案例分析。</w:t>
            </w:r>
          </w:p>
          <w:p w14:paraId="1B2215EE">
            <w:pPr>
              <w:keepNext w:val="0"/>
              <w:keepLines w:val="0"/>
              <w:pageBreakBefore w:val="0"/>
              <w:widowControl w:val="0"/>
              <w:numPr>
                <w:ilvl w:val="0"/>
                <w:numId w:val="38"/>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kern w:val="0"/>
                <w:sz w:val="21"/>
                <w:szCs w:val="21"/>
                <w:highlight w:val="none"/>
              </w:rPr>
              <w:t>操作截图：投标时需提供软件支持浏览器访问、分布式资源管理界面以及Massive MIMO波束赋形仿真界面的功能截图。</w:t>
            </w:r>
          </w:p>
        </w:tc>
        <w:tc>
          <w:tcPr>
            <w:tcW w:w="685" w:type="dxa"/>
            <w:vAlign w:val="center"/>
          </w:tcPr>
          <w:p w14:paraId="470D10DC">
            <w:pPr>
              <w:pStyle w:val="37"/>
              <w:keepNext w:val="0"/>
              <w:keepLines w:val="0"/>
              <w:pageBreakBefore w:val="0"/>
              <w:widowControl w:val="0"/>
              <w:kinsoku/>
              <w:wordWrap w:val="0"/>
              <w:overflowPunct/>
              <w:topLinePunct w:val="0"/>
              <w:autoSpaceDE/>
              <w:autoSpaceDN/>
              <w:bidi w:val="0"/>
              <w:adjustRightInd/>
              <w:ind w:left="0" w:leftChars="0" w:firstLine="0" w:firstLineChars="0"/>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snapToGrid w:val="0"/>
                <w:color w:val="auto"/>
                <w:sz w:val="24"/>
                <w:szCs w:val="24"/>
                <w:highlight w:val="none"/>
                <w:lang w:val="en-US" w:eastAsia="zh-CN"/>
              </w:rPr>
              <w:t>1</w:t>
            </w:r>
          </w:p>
        </w:tc>
        <w:tc>
          <w:tcPr>
            <w:tcW w:w="402" w:type="pct"/>
            <w:vAlign w:val="center"/>
          </w:tcPr>
          <w:p w14:paraId="227EB5E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rPr>
              <w:t>套</w:t>
            </w:r>
          </w:p>
        </w:tc>
        <w:tc>
          <w:tcPr>
            <w:tcW w:w="352" w:type="pct"/>
            <w:vAlign w:val="center"/>
          </w:tcPr>
          <w:p w14:paraId="0A28B7E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21"/>
                <w:szCs w:val="21"/>
                <w:highlight w:val="none"/>
              </w:rPr>
            </w:pPr>
          </w:p>
        </w:tc>
      </w:tr>
      <w:tr w14:paraId="2F45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5CB90B8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kern w:val="0"/>
                <w:sz w:val="21"/>
                <w:szCs w:val="21"/>
                <w:highlight w:val="none"/>
              </w:rPr>
              <w:t>9</w:t>
            </w:r>
          </w:p>
        </w:tc>
        <w:tc>
          <w:tcPr>
            <w:tcW w:w="601" w:type="pct"/>
            <w:vAlign w:val="center"/>
          </w:tcPr>
          <w:p w14:paraId="5E51A453">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sz w:val="21"/>
                <w:szCs w:val="21"/>
                <w:highlight w:val="none"/>
              </w:rPr>
            </w:pPr>
            <w:r>
              <w:rPr>
                <w:rFonts w:hint="eastAsia" w:ascii="仿宋" w:hAnsi="仿宋" w:eastAsia="仿宋" w:cs="仿宋"/>
                <w:kern w:val="0"/>
                <w:sz w:val="21"/>
                <w:szCs w:val="21"/>
                <w:highlight w:val="none"/>
              </w:rPr>
              <w:t>5G全网通信工作站</w:t>
            </w:r>
          </w:p>
        </w:tc>
        <w:tc>
          <w:tcPr>
            <w:tcW w:w="2878" w:type="pct"/>
          </w:tcPr>
          <w:p w14:paraId="52D15831">
            <w:pPr>
              <w:keepNext w:val="0"/>
              <w:keepLines w:val="0"/>
              <w:pageBreakBefore w:val="0"/>
              <w:widowControl w:val="0"/>
              <w:numPr>
                <w:ilvl w:val="0"/>
                <w:numId w:val="3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硬件规格要求</w:t>
            </w:r>
          </w:p>
          <w:p w14:paraId="25CB5263">
            <w:pPr>
              <w:keepNext w:val="0"/>
              <w:keepLines w:val="0"/>
              <w:pageBreakBefore w:val="0"/>
              <w:widowControl w:val="0"/>
              <w:numPr>
                <w:ilvl w:val="0"/>
                <w:numId w:val="4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处理系统：配置高性能多核处理器，核心数≥20核，线程数≥28线程</w:t>
            </w:r>
            <w:r>
              <w:rPr>
                <w:rFonts w:hint="eastAsia" w:ascii="仿宋" w:hAnsi="仿宋" w:eastAsia="仿宋" w:cs="仿宋"/>
                <w:kern w:val="0"/>
                <w:sz w:val="21"/>
                <w:szCs w:val="21"/>
                <w:highlight w:val="none"/>
                <w:lang w:eastAsia="zh-CN"/>
              </w:rPr>
              <w:t>、</w:t>
            </w:r>
          </w:p>
          <w:p w14:paraId="74258DDF">
            <w:pPr>
              <w:keepNext w:val="0"/>
              <w:keepLines w:val="0"/>
              <w:pageBreakBefore w:val="0"/>
              <w:widowControl w:val="0"/>
              <w:numPr>
                <w:ilvl w:val="0"/>
                <w:numId w:val="4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内存系统：总容量≥32GB。</w:t>
            </w:r>
          </w:p>
          <w:p w14:paraId="78BF5DDF">
            <w:pPr>
              <w:keepNext w:val="0"/>
              <w:keepLines w:val="0"/>
              <w:pageBreakBefore w:val="0"/>
              <w:widowControl w:val="0"/>
              <w:numPr>
                <w:ilvl w:val="0"/>
                <w:numId w:val="4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存储系统：配置高速固态硬盘（SSD），容量≥1TB，支持PCIe 4.0×4协议，数据连续读取/写入速度分别不低于5000MB/s和4000MB/s。</w:t>
            </w:r>
          </w:p>
          <w:p w14:paraId="4C7CD6F8">
            <w:pPr>
              <w:keepNext w:val="0"/>
              <w:keepLines w:val="0"/>
              <w:pageBreakBefore w:val="0"/>
              <w:widowControl w:val="0"/>
              <w:numPr>
                <w:ilvl w:val="0"/>
                <w:numId w:val="4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显示系统：配置≥23.8英寸专业显示器，分辨率≥2560×1440（2K）；采用IPS面板，色域覆盖≥99%sRGB，色准平均值ΔE&lt;2，具备低蓝光护眼认证。</w:t>
            </w:r>
          </w:p>
          <w:p w14:paraId="24CE8008">
            <w:pPr>
              <w:keepNext w:val="0"/>
              <w:keepLines w:val="0"/>
              <w:pageBreakBefore w:val="0"/>
              <w:widowControl w:val="0"/>
              <w:numPr>
                <w:ilvl w:val="0"/>
                <w:numId w:val="4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网络通信：集成千兆自适应以太网口，支持</w:t>
            </w:r>
            <w:r>
              <w:rPr>
                <w:rFonts w:hint="eastAsia" w:ascii="仿宋" w:hAnsi="仿宋" w:eastAsia="仿宋" w:cs="仿宋"/>
                <w:kern w:val="0"/>
                <w:sz w:val="21"/>
                <w:szCs w:val="21"/>
                <w:highlight w:val="none"/>
                <w:lang w:eastAsia="zh-CN"/>
              </w:rPr>
              <w:t>Wi-Fi</w:t>
            </w:r>
            <w:r>
              <w:rPr>
                <w:rFonts w:hint="eastAsia" w:ascii="仿宋" w:hAnsi="仿宋" w:eastAsia="仿宋" w:cs="仿宋"/>
                <w:kern w:val="0"/>
                <w:sz w:val="21"/>
                <w:szCs w:val="21"/>
                <w:highlight w:val="none"/>
                <w:lang w:val="en-US" w:eastAsia="zh-CN"/>
              </w:rPr>
              <w:t xml:space="preserve"> </w:t>
            </w:r>
            <w:r>
              <w:rPr>
                <w:rFonts w:hint="eastAsia" w:ascii="仿宋" w:hAnsi="仿宋" w:eastAsia="仿宋" w:cs="仿宋"/>
                <w:kern w:val="0"/>
                <w:sz w:val="21"/>
                <w:szCs w:val="21"/>
                <w:highlight w:val="none"/>
              </w:rPr>
              <w:t>6无线网络协议及蓝牙5.2以上标准。</w:t>
            </w:r>
          </w:p>
          <w:p w14:paraId="412840FF">
            <w:pPr>
              <w:keepNext w:val="0"/>
              <w:keepLines w:val="0"/>
              <w:pageBreakBefore w:val="0"/>
              <w:widowControl w:val="0"/>
              <w:numPr>
                <w:ilvl w:val="0"/>
                <w:numId w:val="4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接口配置：具备丰富的音视频及数据接口，包括但不限于HDMI、DP、VGA等视频输出接口，支持多显示器连接；配备多个USB高速接口（含TypeC接口）及音频输入输出接口。</w:t>
            </w:r>
          </w:p>
          <w:p w14:paraId="3F91948A">
            <w:pPr>
              <w:keepNext w:val="0"/>
              <w:keepLines w:val="0"/>
              <w:pageBreakBefore w:val="0"/>
              <w:widowControl w:val="0"/>
              <w:numPr>
                <w:ilvl w:val="0"/>
                <w:numId w:val="4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供电系统：配置高效率节能电源，</w:t>
            </w:r>
            <w:r>
              <w:rPr>
                <w:rFonts w:hint="eastAsia" w:ascii="仿宋" w:hAnsi="仿宋" w:eastAsia="仿宋" w:cs="仿宋"/>
                <w:color w:val="auto"/>
                <w:kern w:val="0"/>
                <w:sz w:val="21"/>
                <w:szCs w:val="21"/>
                <w:highlight w:val="none"/>
              </w:rPr>
              <w:t>支持</w:t>
            </w:r>
            <w:r>
              <w:rPr>
                <w:rFonts w:hint="eastAsia" w:ascii="仿宋" w:hAnsi="仿宋" w:eastAsia="仿宋" w:cs="仿宋"/>
                <w:color w:val="auto"/>
                <w:kern w:val="0"/>
                <w:sz w:val="21"/>
                <w:szCs w:val="21"/>
                <w:highlight w:val="none"/>
                <w:lang w:val="en-US" w:eastAsia="zh-CN"/>
              </w:rPr>
              <w:t>不低于</w:t>
            </w:r>
            <w:r>
              <w:rPr>
                <w:rFonts w:hint="eastAsia" w:ascii="仿宋" w:hAnsi="仿宋" w:eastAsia="仿宋" w:cs="仿宋"/>
                <w:color w:val="auto"/>
                <w:kern w:val="0"/>
                <w:sz w:val="21"/>
                <w:szCs w:val="21"/>
                <w:highlight w:val="none"/>
              </w:rPr>
              <w:t>80Plus认证，整</w:t>
            </w:r>
            <w:r>
              <w:rPr>
                <w:rFonts w:hint="eastAsia" w:ascii="仿宋" w:hAnsi="仿宋" w:eastAsia="仿宋" w:cs="仿宋"/>
                <w:kern w:val="0"/>
                <w:sz w:val="21"/>
                <w:szCs w:val="21"/>
                <w:highlight w:val="none"/>
              </w:rPr>
              <w:t>机典型功耗控制在合理范围内（≤180W）。</w:t>
            </w:r>
          </w:p>
          <w:p w14:paraId="06B3A1D0">
            <w:pPr>
              <w:keepNext w:val="0"/>
              <w:keepLines w:val="0"/>
              <w:pageBreakBefore w:val="0"/>
              <w:widowControl w:val="0"/>
              <w:numPr>
                <w:ilvl w:val="0"/>
                <w:numId w:val="4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扩展性：主机内部具备良好的扩展空间，支持内存条及硬盘的二次扩容升级。</w:t>
            </w:r>
          </w:p>
          <w:p w14:paraId="613A9E65">
            <w:pPr>
              <w:keepNext w:val="0"/>
              <w:keepLines w:val="0"/>
              <w:pageBreakBefore w:val="0"/>
              <w:widowControl w:val="0"/>
              <w:numPr>
                <w:ilvl w:val="0"/>
                <w:numId w:val="3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系统及安全要求</w:t>
            </w:r>
          </w:p>
          <w:p w14:paraId="77DD93B4">
            <w:pPr>
              <w:keepNext w:val="0"/>
              <w:keepLines w:val="0"/>
              <w:pageBreakBefore w:val="0"/>
              <w:widowControl w:val="0"/>
              <w:numPr>
                <w:ilvl w:val="0"/>
                <w:numId w:val="4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操作系统：原生支持并预装主流64位操作系统。</w:t>
            </w:r>
          </w:p>
          <w:p w14:paraId="512AC282">
            <w:pPr>
              <w:keepNext w:val="0"/>
              <w:keepLines w:val="0"/>
              <w:pageBreakBefore w:val="0"/>
              <w:widowControl w:val="0"/>
              <w:numPr>
                <w:ilvl w:val="0"/>
                <w:numId w:val="4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安全防护：具备底层安全防护机制，支持BIOS密码及硬盘加密保护功能；支持系统用户权限的分级管理，确保实训环境的安全性。</w:t>
            </w:r>
          </w:p>
          <w:p w14:paraId="539A76BF">
            <w:pPr>
              <w:keepNext w:val="0"/>
              <w:keepLines w:val="0"/>
              <w:pageBreakBefore w:val="0"/>
              <w:widowControl w:val="0"/>
              <w:numPr>
                <w:ilvl w:val="0"/>
                <w:numId w:val="4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工作环境：设计考究，能够在工作温度0℃～40℃、环境湿度10%～90%（非冷凝）的高强度教学环境下稳定运行。</w:t>
            </w:r>
          </w:p>
          <w:p w14:paraId="7FA2BC6C">
            <w:pPr>
              <w:keepNext w:val="0"/>
              <w:keepLines w:val="0"/>
              <w:pageBreakBefore w:val="0"/>
              <w:widowControl w:val="0"/>
              <w:numPr>
                <w:ilvl w:val="0"/>
                <w:numId w:val="3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资质与配套材料</w:t>
            </w:r>
          </w:p>
          <w:p w14:paraId="3CF0B7A5">
            <w:pPr>
              <w:keepNext w:val="0"/>
              <w:keepLines w:val="0"/>
              <w:pageBreakBefore w:val="0"/>
              <w:widowControl w:val="0"/>
              <w:numPr>
                <w:ilvl w:val="0"/>
                <w:numId w:val="4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color w:val="auto"/>
                <w:kern w:val="0"/>
                <w:sz w:val="21"/>
                <w:szCs w:val="21"/>
                <w:highlight w:val="none"/>
              </w:rPr>
              <w:t>质量认证：产品必须具备中国强制性产品认证（3C认证）及中国节能产品认证。</w:t>
            </w:r>
          </w:p>
        </w:tc>
        <w:tc>
          <w:tcPr>
            <w:tcW w:w="685" w:type="dxa"/>
            <w:vAlign w:val="center"/>
          </w:tcPr>
          <w:p w14:paraId="25152373">
            <w:pPr>
              <w:pStyle w:val="37"/>
              <w:keepNext w:val="0"/>
              <w:keepLines w:val="0"/>
              <w:pageBreakBefore w:val="0"/>
              <w:widowControl w:val="0"/>
              <w:kinsoku/>
              <w:wordWrap w:val="0"/>
              <w:overflowPunct/>
              <w:topLinePunct w:val="0"/>
              <w:autoSpaceDE/>
              <w:autoSpaceDN/>
              <w:bidi w:val="0"/>
              <w:adjustRightInd/>
              <w:ind w:left="0" w:leftChars="0" w:firstLine="0" w:firstLineChars="0"/>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snapToGrid w:val="0"/>
                <w:color w:val="auto"/>
                <w:sz w:val="24"/>
                <w:szCs w:val="24"/>
                <w:highlight w:val="none"/>
                <w:lang w:val="en-US" w:eastAsia="zh-CN"/>
              </w:rPr>
              <w:t>45</w:t>
            </w:r>
          </w:p>
        </w:tc>
        <w:tc>
          <w:tcPr>
            <w:tcW w:w="402" w:type="pct"/>
            <w:vAlign w:val="center"/>
          </w:tcPr>
          <w:p w14:paraId="7BEFDDF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rPr>
              <w:t>台</w:t>
            </w:r>
          </w:p>
        </w:tc>
        <w:tc>
          <w:tcPr>
            <w:tcW w:w="352" w:type="pct"/>
            <w:vAlign w:val="center"/>
          </w:tcPr>
          <w:p w14:paraId="402ABB2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21"/>
                <w:szCs w:val="21"/>
                <w:highlight w:val="none"/>
              </w:rPr>
            </w:pPr>
          </w:p>
        </w:tc>
      </w:tr>
      <w:tr w14:paraId="55AF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1DD42D6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kern w:val="0"/>
                <w:sz w:val="21"/>
                <w:szCs w:val="21"/>
                <w:highlight w:val="none"/>
              </w:rPr>
              <w:t>10</w:t>
            </w:r>
          </w:p>
        </w:tc>
        <w:tc>
          <w:tcPr>
            <w:tcW w:w="601" w:type="pct"/>
            <w:vAlign w:val="center"/>
          </w:tcPr>
          <w:p w14:paraId="0FE517E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sz w:val="21"/>
                <w:szCs w:val="21"/>
                <w:highlight w:val="none"/>
              </w:rPr>
            </w:pPr>
            <w:r>
              <w:rPr>
                <w:rFonts w:hint="eastAsia" w:ascii="仿宋" w:hAnsi="仿宋" w:eastAsia="仿宋" w:cs="仿宋"/>
                <w:kern w:val="0"/>
                <w:sz w:val="21"/>
                <w:szCs w:val="21"/>
                <w:highlight w:val="none"/>
              </w:rPr>
              <w:t>通信全网融合仿真实验软件</w:t>
            </w:r>
          </w:p>
        </w:tc>
        <w:tc>
          <w:tcPr>
            <w:tcW w:w="2878" w:type="pct"/>
          </w:tcPr>
          <w:p w14:paraId="2B51D907">
            <w:pPr>
              <w:keepNext w:val="0"/>
              <w:keepLines w:val="0"/>
              <w:pageBreakBefore w:val="0"/>
              <w:widowControl w:val="0"/>
              <w:numPr>
                <w:ilvl w:val="0"/>
                <w:numId w:val="4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核心</w:t>
            </w:r>
            <w:r>
              <w:rPr>
                <w:rFonts w:hint="eastAsia" w:ascii="仿宋" w:hAnsi="仿宋" w:eastAsia="仿宋" w:cs="仿宋"/>
                <w:b/>
                <w:bCs/>
                <w:color w:val="auto"/>
                <w:kern w:val="0"/>
                <w:sz w:val="21"/>
                <w:szCs w:val="21"/>
                <w:highlight w:val="none"/>
                <w:lang w:val="en-US" w:eastAsia="zh-CN"/>
              </w:rPr>
              <w:t>功能</w:t>
            </w:r>
          </w:p>
          <w:p w14:paraId="49BFDDA8">
            <w:pPr>
              <w:keepNext w:val="0"/>
              <w:keepLines w:val="0"/>
              <w:pageBreakBefore w:val="0"/>
              <w:widowControl w:val="0"/>
              <w:numPr>
                <w:ilvl w:val="0"/>
                <w:numId w:val="44"/>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w:t>
            </w:r>
            <w:r>
              <w:rPr>
                <w:rFonts w:hint="eastAsia" w:ascii="仿宋" w:hAnsi="仿宋" w:eastAsia="仿宋" w:cs="仿宋"/>
                <w:color w:val="auto"/>
                <w:kern w:val="0"/>
                <w:sz w:val="21"/>
                <w:szCs w:val="21"/>
                <w:highlight w:val="none"/>
              </w:rPr>
              <w:t>全程全网融合实训：集成5G、</w:t>
            </w:r>
            <w:r>
              <w:rPr>
                <w:rFonts w:hint="eastAsia" w:ascii="仿宋" w:hAnsi="仿宋" w:eastAsia="仿宋" w:cs="仿宋"/>
                <w:color w:val="auto"/>
                <w:kern w:val="0"/>
                <w:sz w:val="21"/>
                <w:szCs w:val="21"/>
                <w:highlight w:val="none"/>
                <w:lang w:val="en-US" w:eastAsia="zh-CN"/>
              </w:rPr>
              <w:t>传输、数据网络、PON</w:t>
            </w:r>
            <w:r>
              <w:rPr>
                <w:rFonts w:hint="eastAsia" w:ascii="仿宋" w:hAnsi="仿宋" w:eastAsia="仿宋" w:cs="仿宋"/>
                <w:color w:val="auto"/>
                <w:kern w:val="0"/>
                <w:sz w:val="21"/>
                <w:szCs w:val="21"/>
                <w:highlight w:val="none"/>
              </w:rPr>
              <w:t>、交换、接入</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电源、程控、IMS、NGN、仪器仪表</w:t>
            </w:r>
            <w:r>
              <w:rPr>
                <w:rFonts w:hint="eastAsia" w:ascii="仿宋" w:hAnsi="仿宋" w:eastAsia="仿宋" w:cs="仿宋"/>
                <w:color w:val="auto"/>
                <w:kern w:val="0"/>
                <w:sz w:val="21"/>
                <w:szCs w:val="21"/>
                <w:highlight w:val="none"/>
              </w:rPr>
              <w:t>等十一大通信模块，支持模块间任意组网与业务贯通，真实再现现网复杂架构</w:t>
            </w:r>
            <w:r>
              <w:rPr>
                <w:rFonts w:hint="eastAsia" w:ascii="仿宋" w:hAnsi="仿宋" w:eastAsia="仿宋" w:cs="仿宋"/>
                <w:color w:val="auto"/>
                <w:kern w:val="0"/>
                <w:sz w:val="21"/>
                <w:szCs w:val="21"/>
                <w:highlight w:val="none"/>
                <w:lang w:eastAsia="zh-CN"/>
              </w:rPr>
              <w:t>。</w:t>
            </w:r>
          </w:p>
          <w:p w14:paraId="76C866AB">
            <w:pPr>
              <w:keepNext w:val="0"/>
              <w:keepLines w:val="0"/>
              <w:pageBreakBefore w:val="0"/>
              <w:widowControl w:val="0"/>
              <w:numPr>
                <w:ilvl w:val="0"/>
                <w:numId w:val="44"/>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三维沉浸式实训环境：</w:t>
            </w:r>
            <w:r>
              <w:rPr>
                <w:rFonts w:hint="eastAsia" w:ascii="仿宋" w:hAnsi="仿宋" w:eastAsia="仿宋" w:cs="仿宋"/>
                <w:color w:val="auto"/>
                <w:kern w:val="0"/>
                <w:sz w:val="21"/>
                <w:szCs w:val="21"/>
                <w:highlight w:val="none"/>
                <w:lang w:val="en-US" w:eastAsia="zh-CN"/>
              </w:rPr>
              <w:t>C/S架构方式，</w:t>
            </w:r>
            <w:r>
              <w:rPr>
                <w:rFonts w:hint="eastAsia" w:ascii="仿宋" w:hAnsi="仿宋" w:eastAsia="仿宋" w:cs="仿宋"/>
                <w:color w:val="auto"/>
                <w:kern w:val="0"/>
                <w:sz w:val="21"/>
                <w:szCs w:val="21"/>
                <w:highlight w:val="none"/>
              </w:rPr>
              <w:t>提供多类三维场景（如城市、机房、野外），可自由拖拽设备、选择线缆进行安装连接，实现“所见即所得”的工程实践。</w:t>
            </w:r>
          </w:p>
          <w:p w14:paraId="6536A36F">
            <w:pPr>
              <w:keepNext w:val="0"/>
              <w:keepLines w:val="0"/>
              <w:pageBreakBefore w:val="0"/>
              <w:widowControl w:val="0"/>
              <w:numPr>
                <w:ilvl w:val="0"/>
                <w:numId w:val="44"/>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理实一体闭环设计：涵盖“认知学习（设备/原理）→工程安装（三维）→数据配置（GUI网管）→业务验证→故障排查→报告生成”完整闭环。</w:t>
            </w:r>
          </w:p>
          <w:p w14:paraId="1EA8592C">
            <w:pPr>
              <w:keepNext w:val="0"/>
              <w:keepLines w:val="0"/>
              <w:pageBreakBefore w:val="0"/>
              <w:widowControl w:val="0"/>
              <w:numPr>
                <w:ilvl w:val="0"/>
                <w:numId w:val="44"/>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开箱即用的成熟产品：提供国家版权局软件著作权证书，为成熟标准化软件，非定制开发，保障稳定交付与持续服务。</w:t>
            </w:r>
          </w:p>
          <w:p w14:paraId="56B2954B">
            <w:pPr>
              <w:keepNext w:val="0"/>
              <w:keepLines w:val="0"/>
              <w:pageBreakBefore w:val="0"/>
              <w:widowControl w:val="0"/>
              <w:numPr>
                <w:ilvl w:val="0"/>
                <w:numId w:val="4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主要实验与业务功能</w:t>
            </w:r>
          </w:p>
          <w:p w14:paraId="0AAFE040">
            <w:pPr>
              <w:keepNext w:val="0"/>
              <w:keepLines w:val="0"/>
              <w:pageBreakBefore w:val="0"/>
              <w:widowControl w:val="0"/>
              <w:numPr>
                <w:ilvl w:val="0"/>
                <w:numId w:val="4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核心组网实验：OTN承载三网融合、5G与IMS对接、跨设备互联互通。</w:t>
            </w:r>
          </w:p>
          <w:p w14:paraId="73811816">
            <w:pPr>
              <w:keepNext w:val="0"/>
              <w:keepLines w:val="0"/>
              <w:pageBreakBefore w:val="0"/>
              <w:widowControl w:val="0"/>
              <w:numPr>
                <w:ilvl w:val="0"/>
                <w:numId w:val="4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5G融合应用：支持无人机/车通信、智慧交通监管、无人驾驶、路测网优等业务仿真与验证。</w:t>
            </w:r>
          </w:p>
          <w:p w14:paraId="08C6D78B">
            <w:pPr>
              <w:keepNext w:val="0"/>
              <w:keepLines w:val="0"/>
              <w:pageBreakBefore w:val="0"/>
              <w:widowControl w:val="0"/>
              <w:numPr>
                <w:ilvl w:val="0"/>
                <w:numId w:val="4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仪器仪表实操：内置万用表、光功率计等仪器三维仿真，可完成电压、光功率、接地电阻等关键指标测试。</w:t>
            </w:r>
          </w:p>
          <w:p w14:paraId="60989F89">
            <w:pPr>
              <w:keepNext w:val="0"/>
              <w:keepLines w:val="0"/>
              <w:pageBreakBefore w:val="0"/>
              <w:widowControl w:val="0"/>
              <w:numPr>
                <w:ilvl w:val="0"/>
                <w:numId w:val="4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安全与</w:t>
            </w:r>
            <w:r>
              <w:rPr>
                <w:rFonts w:hint="eastAsia" w:ascii="仿宋" w:hAnsi="仿宋" w:eastAsia="仿宋" w:cs="仿宋"/>
                <w:color w:val="auto"/>
                <w:kern w:val="0"/>
                <w:sz w:val="21"/>
                <w:szCs w:val="21"/>
                <w:highlight w:val="none"/>
                <w:lang w:eastAsia="zh-CN"/>
              </w:rPr>
              <w:t>危险</w:t>
            </w:r>
            <w:r>
              <w:rPr>
                <w:rFonts w:hint="eastAsia" w:ascii="仿宋" w:hAnsi="仿宋" w:eastAsia="仿宋" w:cs="仿宋"/>
                <w:color w:val="auto"/>
                <w:kern w:val="0"/>
                <w:sz w:val="21"/>
                <w:szCs w:val="21"/>
                <w:highlight w:val="none"/>
              </w:rPr>
              <w:t>模拟：支持通信电源短路、带电操作、设备冒烟等危险场景仿真，提升安全规范意识。</w:t>
            </w:r>
          </w:p>
          <w:p w14:paraId="1F4C9181">
            <w:pPr>
              <w:keepNext w:val="0"/>
              <w:keepLines w:val="0"/>
              <w:pageBreakBefore w:val="0"/>
              <w:widowControl w:val="0"/>
              <w:numPr>
                <w:ilvl w:val="0"/>
                <w:numId w:val="4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关键模块技术能力</w:t>
            </w:r>
          </w:p>
          <w:p w14:paraId="3E104AFE">
            <w:pPr>
              <w:keepNext w:val="0"/>
              <w:keepLines w:val="0"/>
              <w:pageBreakBefore w:val="0"/>
              <w:widowControl w:val="0"/>
              <w:numPr>
                <w:ilvl w:val="0"/>
                <w:numId w:val="4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5G移动通信：完整仿真5G基站（AAU/RRU/BBU）与核心网，参数规划、</w:t>
            </w:r>
            <w:r>
              <w:rPr>
                <w:rFonts w:hint="eastAsia" w:ascii="仿宋" w:hAnsi="仿宋" w:eastAsia="仿宋" w:cs="仿宋"/>
                <w:color w:val="auto"/>
                <w:kern w:val="0"/>
                <w:sz w:val="21"/>
                <w:szCs w:val="21"/>
                <w:highlight w:val="none"/>
                <w:lang w:val="en-US" w:eastAsia="zh-CN"/>
              </w:rPr>
              <w:t>多基站部署、无线参数设置、</w:t>
            </w:r>
            <w:r>
              <w:rPr>
                <w:rFonts w:hint="eastAsia" w:ascii="仿宋" w:hAnsi="仿宋" w:eastAsia="仿宋" w:cs="仿宋"/>
                <w:color w:val="auto"/>
                <w:kern w:val="0"/>
                <w:sz w:val="21"/>
                <w:szCs w:val="21"/>
                <w:highlight w:val="none"/>
              </w:rPr>
              <w:t>天馈调整及多基站组网。</w:t>
            </w:r>
          </w:p>
          <w:p w14:paraId="555FDA18">
            <w:pPr>
              <w:keepNext w:val="0"/>
              <w:keepLines w:val="0"/>
              <w:pageBreakBefore w:val="0"/>
              <w:widowControl w:val="0"/>
              <w:numPr>
                <w:ilvl w:val="0"/>
                <w:numId w:val="4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光传输与接入（OTN/SDH/EPON）：全三维设备与单板，</w:t>
            </w:r>
            <w:r>
              <w:rPr>
                <w:rFonts w:hint="eastAsia" w:ascii="仿宋" w:hAnsi="仿宋" w:eastAsia="仿宋" w:cs="仿宋"/>
                <w:color w:val="auto"/>
                <w:kern w:val="0"/>
                <w:sz w:val="21"/>
                <w:szCs w:val="21"/>
                <w:highlight w:val="none"/>
                <w:lang w:val="en-US" w:eastAsia="zh-CN"/>
              </w:rPr>
              <w:t>全光网络融合承载业务，</w:t>
            </w:r>
            <w:r>
              <w:rPr>
                <w:rFonts w:hint="eastAsia" w:ascii="仿宋" w:hAnsi="仿宋" w:eastAsia="仿宋" w:cs="仿宋"/>
                <w:color w:val="auto"/>
                <w:kern w:val="0"/>
                <w:sz w:val="21"/>
                <w:szCs w:val="21"/>
                <w:highlight w:val="none"/>
              </w:rPr>
              <w:t>支持从低阶到高阶的多速率业务配置与保护。</w:t>
            </w:r>
          </w:p>
          <w:p w14:paraId="0D308CED">
            <w:pPr>
              <w:keepNext w:val="0"/>
              <w:keepLines w:val="0"/>
              <w:pageBreakBefore w:val="0"/>
              <w:widowControl w:val="0"/>
              <w:numPr>
                <w:ilvl w:val="0"/>
                <w:numId w:val="4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交换与数据（NGN/IMS/程控/数据网）：支持多局向、多协议（SIP/H323）业务开局，实现VLAN、路由等数据网配置。</w:t>
            </w:r>
          </w:p>
          <w:p w14:paraId="1FD5AF86">
            <w:pPr>
              <w:keepNext w:val="0"/>
              <w:keepLines w:val="0"/>
              <w:pageBreakBefore w:val="0"/>
              <w:widowControl w:val="0"/>
              <w:numPr>
                <w:ilvl w:val="0"/>
                <w:numId w:val="4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通信电源与动力环境：三维仿真配电、UPS、蓄电池，可进行充放电、线缆连接及故障模拟。</w:t>
            </w:r>
          </w:p>
          <w:p w14:paraId="591A0F33">
            <w:pPr>
              <w:keepNext w:val="0"/>
              <w:keepLines w:val="0"/>
              <w:pageBreakBefore w:val="0"/>
              <w:widowControl w:val="0"/>
              <w:numPr>
                <w:ilvl w:val="0"/>
                <w:numId w:val="4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w:t>
            </w:r>
            <w:r>
              <w:rPr>
                <w:rFonts w:hint="eastAsia" w:ascii="仿宋" w:hAnsi="仿宋" w:eastAsia="仿宋" w:cs="仿宋"/>
                <w:color w:val="auto"/>
                <w:kern w:val="0"/>
                <w:sz w:val="21"/>
                <w:szCs w:val="21"/>
                <w:highlight w:val="none"/>
              </w:rPr>
              <w:t>无人机智能覆盖：可动态部署无人机基站，实时仿真覆盖优化，并输出覆盖率分析报告。</w:t>
            </w:r>
          </w:p>
          <w:p w14:paraId="02EA66B7">
            <w:pPr>
              <w:keepNext w:val="0"/>
              <w:keepLines w:val="0"/>
              <w:pageBreakBefore w:val="0"/>
              <w:widowControl w:val="0"/>
              <w:numPr>
                <w:ilvl w:val="0"/>
                <w:numId w:val="4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系统管理特色功能</w:t>
            </w:r>
          </w:p>
          <w:p w14:paraId="7539588D">
            <w:pPr>
              <w:keepNext w:val="0"/>
              <w:keepLines w:val="0"/>
              <w:pageBreakBefore w:val="0"/>
              <w:widowControl w:val="0"/>
              <w:numPr>
                <w:ilvl w:val="0"/>
                <w:numId w:val="47"/>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智能网管与诊断：集中网管自动识别拓扑，业务配置错误实时告警并提示原因，支持端到端业务验证与信令跟踪。</w:t>
            </w:r>
          </w:p>
          <w:p w14:paraId="3FDFF986">
            <w:pPr>
              <w:keepNext w:val="0"/>
              <w:keepLines w:val="0"/>
              <w:pageBreakBefore w:val="0"/>
              <w:widowControl w:val="0"/>
              <w:numPr>
                <w:ilvl w:val="0"/>
                <w:numId w:val="47"/>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教学管理工具：支持实验过程存档/恢复、工程镜像一键下发、实验报告自动生成与智能评分。</w:t>
            </w:r>
          </w:p>
          <w:p w14:paraId="686BA85A">
            <w:pPr>
              <w:keepNext w:val="0"/>
              <w:keepLines w:val="0"/>
              <w:pageBreakBefore w:val="0"/>
              <w:widowControl w:val="0"/>
              <w:numPr>
                <w:ilvl w:val="0"/>
                <w:numId w:val="47"/>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动态可视化：业务链路动态闪烁、信号覆盖</w:t>
            </w:r>
            <w:r>
              <w:rPr>
                <w:rFonts w:hint="eastAsia" w:ascii="仿宋" w:hAnsi="仿宋" w:eastAsia="仿宋" w:cs="仿宋"/>
                <w:color w:val="auto"/>
                <w:kern w:val="0"/>
                <w:sz w:val="21"/>
                <w:szCs w:val="21"/>
                <w:highlight w:val="none"/>
                <w:lang w:val="en-US" w:eastAsia="zh-CN"/>
              </w:rPr>
              <w:t>图</w:t>
            </w:r>
            <w:r>
              <w:rPr>
                <w:rFonts w:hint="eastAsia" w:ascii="仿宋" w:hAnsi="仿宋" w:eastAsia="仿宋" w:cs="仿宋"/>
                <w:color w:val="auto"/>
                <w:kern w:val="0"/>
                <w:sz w:val="21"/>
                <w:szCs w:val="21"/>
                <w:highlight w:val="none"/>
              </w:rPr>
              <w:t>、通信车移动路测数据实时显示。</w:t>
            </w:r>
          </w:p>
        </w:tc>
        <w:tc>
          <w:tcPr>
            <w:tcW w:w="685" w:type="dxa"/>
            <w:vAlign w:val="center"/>
          </w:tcPr>
          <w:p w14:paraId="6D804231">
            <w:pPr>
              <w:pStyle w:val="37"/>
              <w:keepNext w:val="0"/>
              <w:keepLines w:val="0"/>
              <w:pageBreakBefore w:val="0"/>
              <w:widowControl w:val="0"/>
              <w:kinsoku/>
              <w:wordWrap w:val="0"/>
              <w:overflowPunct/>
              <w:topLinePunct w:val="0"/>
              <w:autoSpaceDE/>
              <w:autoSpaceDN/>
              <w:bidi w:val="0"/>
              <w:adjustRightInd/>
              <w:ind w:left="0" w:leftChars="0" w:firstLine="0" w:firstLineChars="0"/>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snapToGrid w:val="0"/>
                <w:color w:val="auto"/>
                <w:sz w:val="24"/>
                <w:szCs w:val="24"/>
                <w:highlight w:val="none"/>
                <w:lang w:val="en-US" w:eastAsia="zh-CN"/>
              </w:rPr>
              <w:t>22</w:t>
            </w:r>
          </w:p>
        </w:tc>
        <w:tc>
          <w:tcPr>
            <w:tcW w:w="402" w:type="pct"/>
            <w:vAlign w:val="center"/>
          </w:tcPr>
          <w:p w14:paraId="47E85A5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rPr>
              <w:t>套</w:t>
            </w:r>
          </w:p>
        </w:tc>
        <w:tc>
          <w:tcPr>
            <w:tcW w:w="352" w:type="pct"/>
            <w:vAlign w:val="center"/>
          </w:tcPr>
          <w:p w14:paraId="773F601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21"/>
                <w:szCs w:val="21"/>
                <w:highlight w:val="none"/>
              </w:rPr>
            </w:pPr>
          </w:p>
        </w:tc>
      </w:tr>
      <w:tr w14:paraId="0D5E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749F49A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11</w:t>
            </w:r>
          </w:p>
        </w:tc>
        <w:tc>
          <w:tcPr>
            <w:tcW w:w="601" w:type="pct"/>
            <w:vAlign w:val="center"/>
          </w:tcPr>
          <w:p w14:paraId="37EECF7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教师讲台</w:t>
            </w:r>
          </w:p>
          <w:p w14:paraId="6FB566A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sz w:val="21"/>
                <w:szCs w:val="21"/>
                <w:highlight w:val="none"/>
              </w:rPr>
            </w:pPr>
          </w:p>
        </w:tc>
        <w:tc>
          <w:tcPr>
            <w:tcW w:w="2878" w:type="pct"/>
          </w:tcPr>
          <w:p w14:paraId="7A0F8F68">
            <w:pPr>
              <w:keepNext w:val="0"/>
              <w:keepLines w:val="0"/>
              <w:pageBreakBefore w:val="0"/>
              <w:widowControl w:val="0"/>
              <w:numPr>
                <w:ilvl w:val="0"/>
                <w:numId w:val="48"/>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台面要求</w:t>
            </w:r>
          </w:p>
          <w:p w14:paraId="7C197A59">
            <w:pPr>
              <w:keepNext w:val="0"/>
              <w:keepLines w:val="0"/>
              <w:pageBreakBefore w:val="0"/>
              <w:widowControl w:val="0"/>
              <w:numPr>
                <w:ilvl w:val="0"/>
                <w:numId w:val="4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kern w:val="0"/>
                <w:sz w:val="21"/>
                <w:szCs w:val="21"/>
                <w:highlight w:val="none"/>
              </w:rPr>
            </w:pPr>
            <w:r>
              <w:rPr>
                <w:rFonts w:hint="eastAsia" w:ascii="仿宋" w:hAnsi="仿宋" w:eastAsia="仿宋" w:cs="仿宋"/>
                <w:color w:val="auto"/>
                <w:kern w:val="0"/>
                <w:sz w:val="21"/>
                <w:szCs w:val="21"/>
                <w:highlight w:val="none"/>
              </w:rPr>
              <w:t>尺寸规格</w:t>
            </w:r>
            <w:r>
              <w:rPr>
                <w:rFonts w:hint="eastAsia" w:ascii="仿宋" w:hAnsi="仿宋" w:eastAsia="仿宋" w:cs="仿宋"/>
                <w:color w:val="auto"/>
                <w:kern w:val="0"/>
                <w:sz w:val="21"/>
                <w:szCs w:val="21"/>
                <w:highlight w:val="none"/>
                <w:lang w:val="en-US" w:eastAsia="zh-CN"/>
              </w:rPr>
              <w:t>不小于</w:t>
            </w:r>
            <w:r>
              <w:rPr>
                <w:rFonts w:hint="eastAsia" w:ascii="仿宋" w:hAnsi="仿宋" w:eastAsia="仿宋" w:cs="仿宋"/>
                <w:color w:val="auto"/>
                <w:kern w:val="0"/>
                <w:sz w:val="21"/>
                <w:szCs w:val="21"/>
                <w:highlight w:val="none"/>
              </w:rPr>
              <w:t>1400×700×25mm</w:t>
            </w:r>
            <w:r>
              <w:rPr>
                <w:rFonts w:hint="eastAsia" w:ascii="仿宋" w:hAnsi="仿宋" w:eastAsia="仿宋" w:cs="仿宋"/>
                <w:kern w:val="0"/>
                <w:sz w:val="21"/>
                <w:szCs w:val="21"/>
                <w:highlight w:val="none"/>
              </w:rPr>
              <w:t>，采用≥25mm厚优抗板，满足以下核心性能：①关键物理性能（弯曲强度、耐磨、耐光色牢度等）优良；②甲醛释放量符合GB/T 39600</w:t>
            </w:r>
            <w:r>
              <w:rPr>
                <w:rFonts w:hint="eastAsia" w:ascii="仿宋" w:hAnsi="仿宋" w:eastAsia="仿宋" w:cs="仿宋"/>
                <w:kern w:val="0"/>
                <w:sz w:val="21"/>
                <w:szCs w:val="21"/>
                <w:highlight w:val="none"/>
                <w:lang w:val="en-US" w:eastAsia="zh-CN"/>
              </w:rPr>
              <w:t>-</w:t>
            </w:r>
            <w:r>
              <w:rPr>
                <w:rFonts w:hint="eastAsia" w:ascii="仿宋" w:hAnsi="仿宋" w:eastAsia="仿宋" w:cs="仿宋"/>
                <w:kern w:val="0"/>
                <w:sz w:val="21"/>
                <w:szCs w:val="21"/>
                <w:highlight w:val="none"/>
              </w:rPr>
              <w:t>2021（≤0.007mg/m³）及GB 18584标准。桌面支持倾斜内嵌放置教师电脑，内嵌角度适配操作习惯，保证放置稳固且便于使用。</w:t>
            </w:r>
          </w:p>
          <w:p w14:paraId="668689CA">
            <w:pPr>
              <w:keepNext w:val="0"/>
              <w:keepLines w:val="0"/>
              <w:pageBreakBefore w:val="0"/>
              <w:widowControl w:val="0"/>
              <w:numPr>
                <w:ilvl w:val="0"/>
                <w:numId w:val="48"/>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结构与升降</w:t>
            </w:r>
          </w:p>
          <w:p w14:paraId="1339EE40">
            <w:pPr>
              <w:keepNext w:val="0"/>
              <w:keepLines w:val="0"/>
              <w:pageBreakBefore w:val="0"/>
              <w:widowControl w:val="0"/>
              <w:numPr>
                <w:ilvl w:val="0"/>
                <w:numId w:val="5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3节升降设计，升降范围640</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1290mm，最大负载</w:t>
            </w:r>
            <w:r>
              <w:rPr>
                <w:rFonts w:hint="eastAsia" w:ascii="仿宋" w:hAnsi="仿宋" w:eastAsia="仿宋" w:cs="仿宋"/>
                <w:kern w:val="0"/>
                <w:sz w:val="21"/>
                <w:szCs w:val="21"/>
                <w:highlight w:val="none"/>
              </w:rPr>
              <w:t>≥</w:t>
            </w:r>
            <w:r>
              <w:rPr>
                <w:rFonts w:hint="eastAsia" w:ascii="仿宋" w:hAnsi="仿宋" w:eastAsia="仿宋" w:cs="仿宋"/>
                <w:sz w:val="21"/>
                <w:szCs w:val="21"/>
                <w:highlight w:val="none"/>
              </w:rPr>
              <w:t>120Kg，双电机驱动，噪音≤50dB；支持中控面板调节高度及记忆4个常用高度。</w:t>
            </w:r>
          </w:p>
          <w:p w14:paraId="7CD58F20">
            <w:pPr>
              <w:keepNext w:val="0"/>
              <w:keepLines w:val="0"/>
              <w:pageBreakBefore w:val="0"/>
              <w:widowControl w:val="0"/>
              <w:numPr>
                <w:ilvl w:val="0"/>
                <w:numId w:val="5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主桌面需通过垂直静载荷、水平静载荷及垂直冲击试验，试验后无部件损坏、松动或功能异常；整体稳定性达标，无倾翻风险。</w:t>
            </w:r>
          </w:p>
          <w:p w14:paraId="1160B2E2">
            <w:pPr>
              <w:keepNext w:val="0"/>
              <w:keepLines w:val="0"/>
              <w:pageBreakBefore w:val="0"/>
              <w:widowControl w:val="0"/>
              <w:numPr>
                <w:ilvl w:val="0"/>
                <w:numId w:val="48"/>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配套模块与接口</w:t>
            </w:r>
          </w:p>
          <w:p w14:paraId="744F7B74">
            <w:pPr>
              <w:keepNext w:val="0"/>
              <w:keepLines w:val="0"/>
              <w:pageBreakBefore w:val="0"/>
              <w:widowControl w:val="0"/>
              <w:numPr>
                <w:ilvl w:val="0"/>
                <w:numId w:val="5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台面可嵌入式安装中控面板、对讲模块等设备；配备多功能穿线槽，含HDMI、千兆网口、USB3.0及电源接口</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能在桌面直接连接教师机</w:t>
            </w:r>
            <w:r>
              <w:rPr>
                <w:rFonts w:hint="eastAsia" w:ascii="仿宋" w:hAnsi="仿宋" w:eastAsia="仿宋" w:cs="仿宋"/>
                <w:color w:val="auto"/>
                <w:sz w:val="21"/>
                <w:szCs w:val="21"/>
                <w:highlight w:val="none"/>
                <w:lang w:eastAsia="zh-CN"/>
              </w:rPr>
              <w:t>）</w:t>
            </w:r>
          </w:p>
          <w:p w14:paraId="5FEBFBD3">
            <w:pPr>
              <w:keepNext w:val="0"/>
              <w:keepLines w:val="0"/>
              <w:pageBreakBefore w:val="0"/>
              <w:widowControl w:val="0"/>
              <w:numPr>
                <w:ilvl w:val="0"/>
                <w:numId w:val="48"/>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金属部件</w:t>
            </w:r>
          </w:p>
          <w:p w14:paraId="7D84446A">
            <w:pPr>
              <w:keepNext w:val="0"/>
              <w:keepLines w:val="0"/>
              <w:pageBreakBefore w:val="0"/>
              <w:widowControl w:val="0"/>
              <w:numPr>
                <w:ilvl w:val="0"/>
                <w:numId w:val="5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桌面底部配金属设备储备盒</w:t>
            </w:r>
            <w:r>
              <w:rPr>
                <w:rFonts w:hint="eastAsia" w:ascii="仿宋" w:hAnsi="仿宋" w:eastAsia="仿宋" w:cs="仿宋"/>
                <w:sz w:val="21"/>
                <w:szCs w:val="21"/>
                <w:highlight w:val="none"/>
                <w:lang w:eastAsia="zh-CN"/>
              </w:rPr>
              <w:t>，</w:t>
            </w:r>
            <w:r>
              <w:rPr>
                <w:rFonts w:hint="eastAsia" w:ascii="仿宋" w:hAnsi="仿宋" w:eastAsia="仿宋" w:cs="仿宋"/>
                <w:color w:val="auto"/>
                <w:sz w:val="21"/>
                <w:szCs w:val="21"/>
                <w:highlight w:val="none"/>
                <w:lang w:val="en-US" w:eastAsia="zh-CN"/>
              </w:rPr>
              <w:t>尺寸规格不小于宽480mm×深345mm×高135mm，内部有效使用空间≥0.018m³，</w:t>
            </w:r>
            <w:r>
              <w:rPr>
                <w:rFonts w:hint="eastAsia" w:ascii="仿宋" w:hAnsi="仿宋" w:eastAsia="仿宋" w:cs="仿宋"/>
                <w:sz w:val="21"/>
                <w:szCs w:val="21"/>
                <w:highlight w:val="none"/>
                <w:lang w:val="en-US" w:eastAsia="zh-CN"/>
              </w:rPr>
              <w:t>满足设备存放需求。</w:t>
            </w:r>
            <w:r>
              <w:rPr>
                <w:rFonts w:hint="eastAsia" w:ascii="仿宋" w:hAnsi="仿宋" w:eastAsia="仿宋" w:cs="仿宋"/>
                <w:sz w:val="21"/>
                <w:szCs w:val="21"/>
                <w:highlight w:val="none"/>
              </w:rPr>
              <w:t>冷轧钢板，经防锈喷粉处理，带门及钥匙、散热孔。</w:t>
            </w:r>
          </w:p>
          <w:p w14:paraId="6EED2236">
            <w:pPr>
              <w:keepNext w:val="0"/>
              <w:keepLines w:val="0"/>
              <w:pageBreakBefore w:val="0"/>
              <w:widowControl w:val="0"/>
              <w:numPr>
                <w:ilvl w:val="0"/>
                <w:numId w:val="5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后挡板（宽1155</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1165mm×深100</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110mm×高395</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405mm）、挡线槽（宽85</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95mm×深85</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95mm×高475</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485mm）</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均采用优质冷轧钢板，经防锈喷粉处理；后挡板设线缆槽，丝印大学LOGO；挡线槽预留穿线孔。</w:t>
            </w:r>
          </w:p>
        </w:tc>
        <w:tc>
          <w:tcPr>
            <w:tcW w:w="685" w:type="dxa"/>
            <w:vAlign w:val="center"/>
          </w:tcPr>
          <w:p w14:paraId="5ED99120">
            <w:pPr>
              <w:pStyle w:val="37"/>
              <w:keepNext w:val="0"/>
              <w:keepLines w:val="0"/>
              <w:pageBreakBefore w:val="0"/>
              <w:widowControl w:val="0"/>
              <w:kinsoku/>
              <w:wordWrap w:val="0"/>
              <w:overflowPunct/>
              <w:topLinePunct w:val="0"/>
              <w:autoSpaceDE/>
              <w:autoSpaceDN/>
              <w:bidi w:val="0"/>
              <w:adjustRightInd/>
              <w:ind w:left="0" w:leftChars="0"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napToGrid w:val="0"/>
                <w:color w:val="auto"/>
                <w:sz w:val="24"/>
                <w:szCs w:val="24"/>
                <w:highlight w:val="none"/>
                <w:lang w:val="en-US" w:eastAsia="zh-CN"/>
              </w:rPr>
              <w:t>1</w:t>
            </w:r>
          </w:p>
        </w:tc>
        <w:tc>
          <w:tcPr>
            <w:tcW w:w="402" w:type="pct"/>
            <w:vAlign w:val="center"/>
          </w:tcPr>
          <w:p w14:paraId="4917414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台</w:t>
            </w:r>
          </w:p>
        </w:tc>
        <w:tc>
          <w:tcPr>
            <w:tcW w:w="352" w:type="pct"/>
            <w:vAlign w:val="center"/>
          </w:tcPr>
          <w:p w14:paraId="470D184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14:paraId="5308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0125BA3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12</w:t>
            </w:r>
          </w:p>
        </w:tc>
        <w:tc>
          <w:tcPr>
            <w:tcW w:w="601" w:type="pct"/>
            <w:vAlign w:val="center"/>
          </w:tcPr>
          <w:p w14:paraId="1DFB44B3">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模块化六边形学生实训桌</w:t>
            </w:r>
          </w:p>
        </w:tc>
        <w:tc>
          <w:tcPr>
            <w:tcW w:w="2878" w:type="pct"/>
          </w:tcPr>
          <w:p w14:paraId="763D665F">
            <w:pPr>
              <w:keepNext w:val="0"/>
              <w:keepLines w:val="0"/>
              <w:pageBreakBefore w:val="0"/>
              <w:widowControl w:val="0"/>
              <w:numPr>
                <w:ilvl w:val="0"/>
                <w:numId w:val="5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规格与材质</w:t>
            </w:r>
          </w:p>
          <w:p w14:paraId="13930F3E">
            <w:pPr>
              <w:keepNext w:val="0"/>
              <w:keepLines w:val="0"/>
              <w:pageBreakBefore w:val="0"/>
              <w:widowControl w:val="0"/>
              <w:numPr>
                <w:ilvl w:val="0"/>
                <w:numId w:val="54"/>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学生实训桌采用正六边形模块化结构设计，桌面对边距（内切圆直径）为1756mm，桌高（成品落地高度，含调节脚）为760mm，两者均允许±5mm公差；</w:t>
            </w:r>
          </w:p>
          <w:p w14:paraId="2992DE26">
            <w:pPr>
              <w:keepNext w:val="0"/>
              <w:keepLines w:val="0"/>
              <w:pageBreakBefore w:val="0"/>
              <w:widowControl w:val="0"/>
              <w:numPr>
                <w:ilvl w:val="0"/>
                <w:numId w:val="54"/>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正六边形单边实际可用操作净宽（扣除模块化拼接缝、设备固定区后）不小于870mm。</w:t>
            </w:r>
          </w:p>
          <w:p w14:paraId="1AD1CB98">
            <w:pPr>
              <w:keepNext w:val="0"/>
              <w:keepLines w:val="0"/>
              <w:pageBreakBefore w:val="0"/>
              <w:widowControl w:val="0"/>
              <w:numPr>
                <w:ilvl w:val="0"/>
                <w:numId w:val="54"/>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桌面面板厚度不小于25mm，基材采用E1级及以上环保板材，表面采用耐磨三聚氰胺免漆饰面，具备耐磨、防潮、耐刮伤性能。</w:t>
            </w:r>
          </w:p>
          <w:p w14:paraId="33A0FC64">
            <w:pPr>
              <w:keepNext w:val="0"/>
              <w:keepLines w:val="0"/>
              <w:pageBreakBefore w:val="0"/>
              <w:widowControl w:val="0"/>
              <w:numPr>
                <w:ilvl w:val="0"/>
                <w:numId w:val="5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结构与安全</w:t>
            </w:r>
          </w:p>
          <w:p w14:paraId="3E89450F">
            <w:pPr>
              <w:keepNext w:val="0"/>
              <w:keepLines w:val="0"/>
              <w:pageBreakBefore w:val="0"/>
              <w:widowControl w:val="0"/>
              <w:numPr>
                <w:ilvl w:val="0"/>
                <w:numId w:val="5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桌架采用厚度不小于1.2mm的冷轧钢管或等效高强度金属支架，表面进行防锈处理并喷涂环保粉末涂层。</w:t>
            </w:r>
          </w:p>
          <w:p w14:paraId="562DD5C0">
            <w:pPr>
              <w:keepNext w:val="0"/>
              <w:keepLines w:val="0"/>
              <w:pageBreakBefore w:val="0"/>
              <w:widowControl w:val="0"/>
              <w:numPr>
                <w:ilvl w:val="0"/>
                <w:numId w:val="5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桌面及支架所有转角应进行圆弧倒角处理，倒角半径不小于5mm。</w:t>
            </w:r>
          </w:p>
          <w:p w14:paraId="3DF532D7">
            <w:pPr>
              <w:keepNext w:val="0"/>
              <w:keepLines w:val="0"/>
              <w:pageBreakBefore w:val="0"/>
              <w:widowControl w:val="0"/>
              <w:numPr>
                <w:ilvl w:val="0"/>
                <w:numId w:val="5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理线与承载</w:t>
            </w:r>
          </w:p>
          <w:p w14:paraId="213BBF6C">
            <w:pPr>
              <w:keepNext w:val="0"/>
              <w:keepLines w:val="0"/>
              <w:pageBreakBefore w:val="0"/>
              <w:widowControl w:val="0"/>
              <w:numPr>
                <w:ilvl w:val="0"/>
                <w:numId w:val="5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每套实训桌桌面应配置不少于8个带阻燃盖板的理线孔。</w:t>
            </w:r>
          </w:p>
          <w:p w14:paraId="20C10BCE">
            <w:pPr>
              <w:keepNext w:val="0"/>
              <w:keepLines w:val="0"/>
              <w:pageBreakBefore w:val="0"/>
              <w:widowControl w:val="0"/>
              <w:numPr>
                <w:ilvl w:val="0"/>
                <w:numId w:val="5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桌体下方应集成隐藏式理线槽或金属线箱，实现强弱电分离布线。</w:t>
            </w:r>
          </w:p>
          <w:p w14:paraId="085BB8BF">
            <w:pPr>
              <w:keepNext w:val="0"/>
              <w:keepLines w:val="0"/>
              <w:pageBreakBefore w:val="0"/>
              <w:widowControl w:val="0"/>
              <w:numPr>
                <w:ilvl w:val="0"/>
                <w:numId w:val="5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下柜侧柜</w:t>
            </w:r>
          </w:p>
          <w:p w14:paraId="30203B23">
            <w:pPr>
              <w:keepNext w:val="0"/>
              <w:keepLines w:val="0"/>
              <w:pageBreakBefore w:val="0"/>
              <w:widowControl w:val="0"/>
              <w:numPr>
                <w:ilvl w:val="0"/>
                <w:numId w:val="57"/>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材质采用优质冷轧钢板，经剪板、冲压、折弯、焊接成型；表面经除油、除锈、磷化防锈处理，静电喷粉高温固化</w:t>
            </w:r>
            <w:r>
              <w:rPr>
                <w:rFonts w:hint="eastAsia" w:ascii="仿宋" w:hAnsi="仿宋" w:eastAsia="仿宋" w:cs="仿宋"/>
                <w:color w:val="auto"/>
                <w:sz w:val="21"/>
                <w:szCs w:val="21"/>
                <w:highlight w:val="none"/>
                <w:lang w:eastAsia="zh-CN"/>
              </w:rPr>
              <w:t>。</w:t>
            </w:r>
          </w:p>
          <w:p w14:paraId="58D37E5F">
            <w:pPr>
              <w:keepNext w:val="0"/>
              <w:keepLines w:val="0"/>
              <w:pageBreakBefore w:val="0"/>
              <w:widowControl w:val="0"/>
              <w:numPr>
                <w:ilvl w:val="0"/>
                <w:numId w:val="57"/>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执行标准符合GB/T 3325-2024，外观无毛刺、划痕、裂痕，焊接处无虚焊、焊渣；耐腐蚀，表面无脱落、起泡等问题。</w:t>
            </w:r>
          </w:p>
        </w:tc>
        <w:tc>
          <w:tcPr>
            <w:tcW w:w="685" w:type="dxa"/>
            <w:vAlign w:val="center"/>
          </w:tcPr>
          <w:p w14:paraId="4D438AE9">
            <w:pPr>
              <w:pStyle w:val="37"/>
              <w:keepNext w:val="0"/>
              <w:keepLines w:val="0"/>
              <w:pageBreakBefore w:val="0"/>
              <w:widowControl w:val="0"/>
              <w:kinsoku/>
              <w:wordWrap w:val="0"/>
              <w:overflowPunct/>
              <w:topLinePunct w:val="0"/>
              <w:autoSpaceDE/>
              <w:autoSpaceDN/>
              <w:bidi w:val="0"/>
              <w:adjustRightInd/>
              <w:ind w:left="0" w:leftChars="0"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napToGrid w:val="0"/>
                <w:color w:val="auto"/>
                <w:sz w:val="24"/>
                <w:szCs w:val="24"/>
                <w:highlight w:val="none"/>
                <w:lang w:val="en-US" w:eastAsia="zh-CN"/>
              </w:rPr>
              <w:t>8</w:t>
            </w:r>
          </w:p>
        </w:tc>
        <w:tc>
          <w:tcPr>
            <w:tcW w:w="402" w:type="pct"/>
            <w:vAlign w:val="center"/>
          </w:tcPr>
          <w:p w14:paraId="37F6B75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套</w:t>
            </w:r>
          </w:p>
        </w:tc>
        <w:tc>
          <w:tcPr>
            <w:tcW w:w="352" w:type="pct"/>
            <w:vAlign w:val="center"/>
          </w:tcPr>
          <w:p w14:paraId="3C70639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14:paraId="6A35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289A496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13</w:t>
            </w:r>
          </w:p>
        </w:tc>
        <w:tc>
          <w:tcPr>
            <w:tcW w:w="601" w:type="pct"/>
            <w:vAlign w:val="center"/>
          </w:tcPr>
          <w:p w14:paraId="481F9858">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学生人体工学椅</w:t>
            </w:r>
          </w:p>
        </w:tc>
        <w:tc>
          <w:tcPr>
            <w:tcW w:w="2878" w:type="pct"/>
          </w:tcPr>
          <w:p w14:paraId="12F83802">
            <w:pPr>
              <w:keepNext w:val="0"/>
              <w:keepLines w:val="0"/>
              <w:pageBreakBefore w:val="0"/>
              <w:widowControl w:val="0"/>
              <w:numPr>
                <w:ilvl w:val="0"/>
                <w:numId w:val="58"/>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结构与尺寸</w:t>
            </w:r>
          </w:p>
          <w:p w14:paraId="77E5D8A4">
            <w:pPr>
              <w:keepNext w:val="0"/>
              <w:keepLines w:val="0"/>
              <w:pageBreakBefore w:val="0"/>
              <w:widowControl w:val="0"/>
              <w:numPr>
                <w:ilvl w:val="0"/>
                <w:numId w:val="5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学生椅座面尺寸不小于420mm×400mm，座高为450mm±5mm。</w:t>
            </w:r>
          </w:p>
          <w:p w14:paraId="73E73324">
            <w:pPr>
              <w:keepNext w:val="0"/>
              <w:keepLines w:val="0"/>
              <w:pageBreakBefore w:val="0"/>
              <w:widowControl w:val="0"/>
              <w:numPr>
                <w:ilvl w:val="0"/>
                <w:numId w:val="5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靠背采用符合人体工学的加固曲线设计，适合长时间实训使用。</w:t>
            </w:r>
          </w:p>
          <w:p w14:paraId="35570F2B">
            <w:pPr>
              <w:keepNext w:val="0"/>
              <w:keepLines w:val="0"/>
              <w:pageBreakBefore w:val="0"/>
              <w:widowControl w:val="0"/>
              <w:numPr>
                <w:ilvl w:val="0"/>
                <w:numId w:val="5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椅架采用壁厚不小于1.2mm的冷轧钢管或高强度工程塑料结构。</w:t>
            </w:r>
          </w:p>
          <w:p w14:paraId="2B5A0938">
            <w:pPr>
              <w:keepNext w:val="0"/>
              <w:keepLines w:val="0"/>
              <w:pageBreakBefore w:val="0"/>
              <w:widowControl w:val="0"/>
              <w:numPr>
                <w:ilvl w:val="0"/>
                <w:numId w:val="58"/>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承重与稳定性</w:t>
            </w:r>
          </w:p>
          <w:p w14:paraId="5BC818C8">
            <w:pPr>
              <w:keepNext w:val="0"/>
              <w:keepLines w:val="0"/>
              <w:pageBreakBefore w:val="0"/>
              <w:widowControl w:val="0"/>
              <w:numPr>
                <w:ilvl w:val="0"/>
                <w:numId w:val="6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单椅静载承重能力不低于120kg，长期使用不应出现变形或结构松动。</w:t>
            </w:r>
          </w:p>
          <w:p w14:paraId="2F22CA20">
            <w:pPr>
              <w:keepNext w:val="0"/>
              <w:keepLines w:val="0"/>
              <w:pageBreakBefore w:val="0"/>
              <w:widowControl w:val="0"/>
              <w:numPr>
                <w:ilvl w:val="0"/>
                <w:numId w:val="6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椅脚应配置加厚耐磨防滑脚垫，减少移动噪音并保护实验室地面。</w:t>
            </w:r>
          </w:p>
        </w:tc>
        <w:tc>
          <w:tcPr>
            <w:tcW w:w="685" w:type="dxa"/>
            <w:vAlign w:val="center"/>
          </w:tcPr>
          <w:p w14:paraId="1EE51DD2">
            <w:pPr>
              <w:pStyle w:val="37"/>
              <w:keepNext w:val="0"/>
              <w:keepLines w:val="0"/>
              <w:pageBreakBefore w:val="0"/>
              <w:widowControl w:val="0"/>
              <w:kinsoku/>
              <w:wordWrap w:val="0"/>
              <w:overflowPunct/>
              <w:topLinePunct w:val="0"/>
              <w:autoSpaceDE/>
              <w:autoSpaceDN/>
              <w:bidi w:val="0"/>
              <w:adjustRightInd/>
              <w:ind w:left="0" w:leftChars="0"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napToGrid w:val="0"/>
                <w:color w:val="auto"/>
                <w:sz w:val="24"/>
                <w:szCs w:val="24"/>
                <w:highlight w:val="none"/>
                <w:lang w:val="en-US" w:eastAsia="zh-CN"/>
              </w:rPr>
              <w:t>48</w:t>
            </w:r>
          </w:p>
        </w:tc>
        <w:tc>
          <w:tcPr>
            <w:tcW w:w="402" w:type="pct"/>
            <w:vAlign w:val="center"/>
          </w:tcPr>
          <w:p w14:paraId="4A2A7C8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台</w:t>
            </w:r>
          </w:p>
        </w:tc>
        <w:tc>
          <w:tcPr>
            <w:tcW w:w="352" w:type="pct"/>
            <w:vAlign w:val="center"/>
          </w:tcPr>
          <w:p w14:paraId="2170DD7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14:paraId="0ABA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00F2503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14</w:t>
            </w:r>
          </w:p>
        </w:tc>
        <w:tc>
          <w:tcPr>
            <w:tcW w:w="601" w:type="pct"/>
            <w:vAlign w:val="center"/>
          </w:tcPr>
          <w:p w14:paraId="6F303C3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触控一体机</w:t>
            </w:r>
          </w:p>
        </w:tc>
        <w:tc>
          <w:tcPr>
            <w:tcW w:w="2878" w:type="pct"/>
          </w:tcPr>
          <w:p w14:paraId="6E98F775">
            <w:pPr>
              <w:keepNext w:val="0"/>
              <w:keepLines w:val="0"/>
              <w:pageBreakBefore w:val="0"/>
              <w:widowControl w:val="0"/>
              <w:numPr>
                <w:ilvl w:val="0"/>
                <w:numId w:val="6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整机产品设计要求</w:t>
            </w:r>
          </w:p>
          <w:p w14:paraId="143DD045">
            <w:pPr>
              <w:keepNext w:val="0"/>
              <w:keepLines w:val="0"/>
              <w:pageBreakBefore w:val="0"/>
              <w:widowControl w:val="0"/>
              <w:numPr>
                <w:ilvl w:val="0"/>
                <w:numId w:val="6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整机采用一体设计，外部无可见内部功能模块连接线；边角为弧形设计，表面无尖锐边缘或凸起；采用全金属外壳，边框为金属一体成型；整机采用一体设计，外部无可见内部功能模块连接线；边角为弧形设计，表面无尖锐边缘或凸起；采用全金属外壳，边框为金属一体成型；配备≥86英寸液晶显示器，物理分辨率≥3840×2160（4K超高清），安装方式为壁挂式/移动式（</w:t>
            </w:r>
            <w:r>
              <w:rPr>
                <w:rFonts w:hint="eastAsia" w:ascii="仿宋" w:hAnsi="仿宋" w:eastAsia="仿宋" w:cs="仿宋"/>
                <w:sz w:val="21"/>
                <w:szCs w:val="21"/>
                <w:highlight w:val="none"/>
                <w:lang w:val="en-US" w:eastAsia="zh-CN"/>
              </w:rPr>
              <w:t>具体根据施工条件及情况选择</w:t>
            </w:r>
            <w:r>
              <w:rPr>
                <w:rFonts w:hint="eastAsia" w:ascii="仿宋" w:hAnsi="仿宋" w:eastAsia="仿宋" w:cs="仿宋"/>
                <w:sz w:val="21"/>
                <w:szCs w:val="21"/>
                <w:highlight w:val="none"/>
              </w:rPr>
              <w:t>）</w:t>
            </w:r>
          </w:p>
          <w:p w14:paraId="7F5F8A10">
            <w:pPr>
              <w:keepNext w:val="0"/>
              <w:keepLines w:val="0"/>
              <w:pageBreakBefore w:val="0"/>
              <w:widowControl w:val="0"/>
              <w:numPr>
                <w:ilvl w:val="0"/>
                <w:numId w:val="6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嵌入式系统内存≥2GB，存储空间≥8GB。</w:t>
            </w:r>
          </w:p>
          <w:p w14:paraId="58FD2A06">
            <w:pPr>
              <w:keepNext w:val="0"/>
              <w:keepLines w:val="0"/>
              <w:pageBreakBefore w:val="0"/>
              <w:widowControl w:val="0"/>
              <w:numPr>
                <w:ilvl w:val="0"/>
                <w:numId w:val="6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支持双系统多点触控。</w:t>
            </w:r>
          </w:p>
          <w:p w14:paraId="1494B402">
            <w:pPr>
              <w:keepNext w:val="0"/>
              <w:keepLines w:val="0"/>
              <w:pageBreakBefore w:val="0"/>
              <w:widowControl w:val="0"/>
              <w:numPr>
                <w:ilvl w:val="0"/>
                <w:numId w:val="6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整机支持DC调光，提升显示对比度。</w:t>
            </w:r>
          </w:p>
          <w:p w14:paraId="5E09D816">
            <w:pPr>
              <w:keepNext w:val="0"/>
              <w:keepLines w:val="0"/>
              <w:pageBreakBefore w:val="0"/>
              <w:widowControl w:val="0"/>
              <w:numPr>
                <w:ilvl w:val="0"/>
                <w:numId w:val="6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整机系统支持手势调出人工智能画质调节模式，通道下可自动适配不同屏幕内容调节画质。</w:t>
            </w:r>
          </w:p>
          <w:p w14:paraId="7DB96EA6">
            <w:pPr>
              <w:keepNext w:val="0"/>
              <w:keepLines w:val="0"/>
              <w:pageBreakBefore w:val="0"/>
              <w:widowControl w:val="0"/>
              <w:numPr>
                <w:ilvl w:val="0"/>
                <w:numId w:val="6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整机具备至少6个前置按键，可实现开关机、调出中控菜单、音量±等核心操作。</w:t>
            </w:r>
          </w:p>
          <w:p w14:paraId="7B191773">
            <w:pPr>
              <w:keepNext w:val="0"/>
              <w:keepLines w:val="0"/>
              <w:pageBreakBefore w:val="0"/>
              <w:widowControl w:val="0"/>
              <w:numPr>
                <w:ilvl w:val="0"/>
                <w:numId w:val="6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整机关机状态下，长按电源键进入设置界面，可一键恢复至出厂状态，无需额外工具。</w:t>
            </w:r>
          </w:p>
          <w:p w14:paraId="669CBCA5">
            <w:pPr>
              <w:keepNext w:val="0"/>
              <w:keepLines w:val="0"/>
              <w:pageBreakBefore w:val="0"/>
              <w:widowControl w:val="0"/>
              <w:numPr>
                <w:ilvl w:val="0"/>
                <w:numId w:val="6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支持云端在线系统固件升级。</w:t>
            </w:r>
          </w:p>
          <w:p w14:paraId="405BF8BF">
            <w:pPr>
              <w:keepNext w:val="0"/>
              <w:keepLines w:val="0"/>
              <w:pageBreakBefore w:val="0"/>
              <w:widowControl w:val="0"/>
              <w:numPr>
                <w:ilvl w:val="0"/>
                <w:numId w:val="6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整机HDMI外接通道支持班级互动功能，可实现扫码进班、答题统计、随机抽选、班级管理及学生报告导出；全通道支持自定义按键调出该功能。</w:t>
            </w:r>
          </w:p>
          <w:p w14:paraId="3BDC4122">
            <w:pPr>
              <w:keepNext w:val="0"/>
              <w:keepLines w:val="0"/>
              <w:pageBreakBefore w:val="0"/>
              <w:widowControl w:val="0"/>
              <w:numPr>
                <w:ilvl w:val="0"/>
                <w:numId w:val="6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整机通道支持多人手机文件传输，账号一致时接收无需二次确认，账号不一致时需按规则二次确认。</w:t>
            </w:r>
          </w:p>
          <w:p w14:paraId="0CCD7412">
            <w:pPr>
              <w:keepNext w:val="0"/>
              <w:keepLines w:val="0"/>
              <w:pageBreakBefore w:val="0"/>
              <w:widowControl w:val="0"/>
              <w:numPr>
                <w:ilvl w:val="0"/>
                <w:numId w:val="6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扬声器与摄像头</w:t>
            </w:r>
          </w:p>
          <w:p w14:paraId="785179B2">
            <w:pPr>
              <w:keepNext w:val="0"/>
              <w:keepLines w:val="0"/>
              <w:pageBreakBefore w:val="0"/>
              <w:widowControl w:val="0"/>
              <w:numPr>
                <w:ilvl w:val="0"/>
                <w:numId w:val="6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整机内置扬声器，额定总功率≥60W。</w:t>
            </w:r>
          </w:p>
          <w:p w14:paraId="0FE77C0C">
            <w:pPr>
              <w:keepNext w:val="0"/>
              <w:keepLines w:val="0"/>
              <w:pageBreakBefore w:val="0"/>
              <w:widowControl w:val="0"/>
              <w:numPr>
                <w:ilvl w:val="0"/>
                <w:numId w:val="6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支持标准、听力、观影等常用音效模式。</w:t>
            </w:r>
          </w:p>
          <w:p w14:paraId="33DF4A84">
            <w:pPr>
              <w:keepNext w:val="0"/>
              <w:keepLines w:val="0"/>
              <w:pageBreakBefore w:val="0"/>
              <w:widowControl w:val="0"/>
              <w:numPr>
                <w:ilvl w:val="0"/>
                <w:numId w:val="6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整机内置麦克风，拾音距离≥12米。</w:t>
            </w:r>
          </w:p>
          <w:p w14:paraId="12B45F27">
            <w:pPr>
              <w:keepNext w:val="0"/>
              <w:keepLines w:val="0"/>
              <w:pageBreakBefore w:val="0"/>
              <w:widowControl w:val="0"/>
              <w:numPr>
                <w:ilvl w:val="0"/>
                <w:numId w:val="6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整机上边框内置一体化集成摄像头，像素≥1300万。</w:t>
            </w:r>
          </w:p>
          <w:p w14:paraId="413F6747">
            <w:pPr>
              <w:keepNext w:val="0"/>
              <w:keepLines w:val="0"/>
              <w:pageBreakBefore w:val="0"/>
              <w:widowControl w:val="0"/>
              <w:numPr>
                <w:ilvl w:val="0"/>
                <w:numId w:val="6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摄像头支持远程巡课、人脸识别、清点人数及随机抽人功能。</w:t>
            </w:r>
          </w:p>
          <w:p w14:paraId="19752CF2">
            <w:pPr>
              <w:keepNext w:val="0"/>
              <w:keepLines w:val="0"/>
              <w:pageBreakBefore w:val="0"/>
              <w:widowControl w:val="0"/>
              <w:numPr>
                <w:ilvl w:val="0"/>
                <w:numId w:val="6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配备摄像头工作指示灯，运行时同步提示。</w:t>
            </w:r>
          </w:p>
          <w:p w14:paraId="5EE173C4">
            <w:pPr>
              <w:keepNext w:val="0"/>
              <w:keepLines w:val="0"/>
              <w:pageBreakBefore w:val="0"/>
              <w:widowControl w:val="0"/>
              <w:numPr>
                <w:ilvl w:val="0"/>
                <w:numId w:val="6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物联功能</w:t>
            </w:r>
          </w:p>
          <w:p w14:paraId="123449EC">
            <w:pPr>
              <w:keepNext w:val="0"/>
              <w:keepLines w:val="0"/>
              <w:pageBreakBefore w:val="0"/>
              <w:widowControl w:val="0"/>
              <w:numPr>
                <w:ilvl w:val="0"/>
                <w:numId w:val="64"/>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整机支持蓝牙及WiFi无线连接。</w:t>
            </w:r>
          </w:p>
          <w:p w14:paraId="0BD9AA17">
            <w:pPr>
              <w:keepNext w:val="0"/>
              <w:keepLines w:val="0"/>
              <w:pageBreakBefore w:val="0"/>
              <w:widowControl w:val="0"/>
              <w:numPr>
                <w:ilvl w:val="0"/>
                <w:numId w:val="64"/>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内置双无线网卡（非外接），系统下均支持无线上网及AP热点发射。</w:t>
            </w:r>
          </w:p>
        </w:tc>
        <w:tc>
          <w:tcPr>
            <w:tcW w:w="685" w:type="dxa"/>
            <w:vAlign w:val="center"/>
          </w:tcPr>
          <w:p w14:paraId="2D6B3977">
            <w:pPr>
              <w:pStyle w:val="37"/>
              <w:keepNext w:val="0"/>
              <w:keepLines w:val="0"/>
              <w:pageBreakBefore w:val="0"/>
              <w:widowControl w:val="0"/>
              <w:kinsoku/>
              <w:wordWrap w:val="0"/>
              <w:overflowPunct/>
              <w:topLinePunct w:val="0"/>
              <w:autoSpaceDE/>
              <w:autoSpaceDN/>
              <w:bidi w:val="0"/>
              <w:adjustRightInd/>
              <w:ind w:left="0" w:leftChars="0"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napToGrid w:val="0"/>
                <w:color w:val="auto"/>
                <w:sz w:val="24"/>
                <w:szCs w:val="24"/>
                <w:highlight w:val="none"/>
                <w:lang w:val="en-US" w:eastAsia="zh-CN"/>
              </w:rPr>
              <w:t>1</w:t>
            </w:r>
          </w:p>
        </w:tc>
        <w:tc>
          <w:tcPr>
            <w:tcW w:w="402" w:type="pct"/>
            <w:vAlign w:val="center"/>
          </w:tcPr>
          <w:p w14:paraId="69D9E6C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台</w:t>
            </w:r>
          </w:p>
        </w:tc>
        <w:tc>
          <w:tcPr>
            <w:tcW w:w="352" w:type="pct"/>
            <w:vAlign w:val="center"/>
          </w:tcPr>
          <w:p w14:paraId="77A72E5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b/>
                <w:bCs/>
                <w:iCs/>
                <w:snapToGrid w:val="0"/>
                <w:color w:val="auto"/>
                <w:kern w:val="2"/>
                <w:sz w:val="21"/>
                <w:szCs w:val="21"/>
                <w:highlight w:val="none"/>
                <w:shd w:val="clear" w:color="auto" w:fill="FFFFFF"/>
                <w:lang w:val="en-US" w:eastAsia="zh-CN" w:bidi="ar-SA"/>
              </w:rPr>
              <w:t>政府强制采购节能产品</w:t>
            </w:r>
          </w:p>
        </w:tc>
      </w:tr>
      <w:tr w14:paraId="5BAD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3F9C681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15</w:t>
            </w:r>
          </w:p>
        </w:tc>
        <w:tc>
          <w:tcPr>
            <w:tcW w:w="601" w:type="pct"/>
            <w:vAlign w:val="center"/>
          </w:tcPr>
          <w:p w14:paraId="10D8DB0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p w14:paraId="43F7C7E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p w14:paraId="79356C0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教学书写黑板</w:t>
            </w:r>
          </w:p>
        </w:tc>
        <w:tc>
          <w:tcPr>
            <w:tcW w:w="2878" w:type="pct"/>
          </w:tcPr>
          <w:p w14:paraId="4D1876B4">
            <w:pPr>
              <w:keepNext w:val="0"/>
              <w:keepLines w:val="0"/>
              <w:pageBreakBefore w:val="0"/>
              <w:widowControl w:val="0"/>
              <w:numPr>
                <w:ilvl w:val="0"/>
                <w:numId w:val="6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lang w:val="en-US" w:eastAsia="zh-CN"/>
              </w:rPr>
            </w:pPr>
            <w:r>
              <w:rPr>
                <w:rFonts w:hint="eastAsia" w:ascii="仿宋" w:hAnsi="仿宋" w:eastAsia="仿宋" w:cs="仿宋"/>
                <w:b/>
                <w:bCs/>
                <w:kern w:val="0"/>
                <w:sz w:val="21"/>
                <w:szCs w:val="21"/>
                <w:highlight w:val="none"/>
                <w:lang w:val="en-US" w:eastAsia="zh-CN"/>
              </w:rPr>
              <w:t>结构与尺寸</w:t>
            </w:r>
          </w:p>
          <w:p w14:paraId="7682633F">
            <w:pPr>
              <w:keepNext w:val="0"/>
              <w:keepLines w:val="0"/>
              <w:pageBreakBefore w:val="0"/>
              <w:widowControl w:val="0"/>
              <w:numPr>
                <w:ilvl w:val="0"/>
                <w:numId w:val="6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单块黑板有效书写尺寸不小于4000mm×1200mm。黑板与交互式触控教学显示终端应整体协调，具体尺寸可根据现场实际情况定制。</w:t>
            </w:r>
          </w:p>
          <w:p w14:paraId="458B4874">
            <w:pPr>
              <w:keepNext w:val="0"/>
              <w:keepLines w:val="0"/>
              <w:pageBreakBefore w:val="0"/>
              <w:widowControl w:val="0"/>
              <w:numPr>
                <w:ilvl w:val="0"/>
                <w:numId w:val="6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黑板应采用固定式安装结构，与墙体或龙骨连接牢固、稳定可靠。</w:t>
            </w:r>
          </w:p>
          <w:p w14:paraId="3CE39512">
            <w:pPr>
              <w:keepNext w:val="0"/>
              <w:keepLines w:val="0"/>
              <w:pageBreakBefore w:val="0"/>
              <w:widowControl w:val="0"/>
              <w:numPr>
                <w:ilvl w:val="0"/>
                <w:numId w:val="6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lang w:val="en-US" w:eastAsia="zh-CN"/>
              </w:rPr>
            </w:pPr>
            <w:r>
              <w:rPr>
                <w:rFonts w:hint="eastAsia" w:ascii="仿宋" w:hAnsi="仿宋" w:eastAsia="仿宋" w:cs="仿宋"/>
                <w:b/>
                <w:bCs/>
                <w:kern w:val="0"/>
                <w:sz w:val="21"/>
                <w:szCs w:val="21"/>
                <w:highlight w:val="none"/>
                <w:lang w:val="en-US" w:eastAsia="zh-CN"/>
              </w:rPr>
              <w:t>材料与性能</w:t>
            </w:r>
          </w:p>
          <w:p w14:paraId="4A7A0641">
            <w:pPr>
              <w:keepNext w:val="0"/>
              <w:keepLines w:val="0"/>
              <w:pageBreakBefore w:val="0"/>
              <w:widowControl w:val="0"/>
              <w:numPr>
                <w:ilvl w:val="0"/>
                <w:numId w:val="67"/>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黑板表面采用防眩光钢化玻璃或同等性能的高耐磨书写面材，支持普通粉笔书写。</w:t>
            </w:r>
          </w:p>
          <w:p w14:paraId="6B21DB6A">
            <w:pPr>
              <w:keepNext w:val="0"/>
              <w:keepLines w:val="0"/>
              <w:pageBreakBefore w:val="0"/>
              <w:widowControl w:val="0"/>
              <w:numPr>
                <w:ilvl w:val="0"/>
                <w:numId w:val="67"/>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板面应具备良好的耐磨性和抗反光性能，书写流畅、易擦拭、无明显残留，满足长期教学使用需求。</w:t>
            </w:r>
          </w:p>
          <w:p w14:paraId="45B52AA8">
            <w:pPr>
              <w:keepNext w:val="0"/>
              <w:keepLines w:val="0"/>
              <w:pageBreakBefore w:val="0"/>
              <w:widowControl w:val="0"/>
              <w:numPr>
                <w:ilvl w:val="0"/>
                <w:numId w:val="6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lang w:val="en-US" w:eastAsia="zh-CN"/>
              </w:rPr>
            </w:pPr>
            <w:r>
              <w:rPr>
                <w:rFonts w:hint="eastAsia" w:ascii="仿宋" w:hAnsi="仿宋" w:eastAsia="仿宋" w:cs="仿宋"/>
                <w:b/>
                <w:bCs/>
                <w:kern w:val="0"/>
                <w:sz w:val="21"/>
                <w:szCs w:val="21"/>
                <w:highlight w:val="none"/>
                <w:lang w:val="en-US" w:eastAsia="zh-CN"/>
              </w:rPr>
              <w:t>安全与环保</w:t>
            </w:r>
          </w:p>
          <w:p w14:paraId="7870FB88">
            <w:pPr>
              <w:keepNext w:val="0"/>
              <w:keepLines w:val="0"/>
              <w:pageBreakBefore w:val="0"/>
              <w:widowControl w:val="0"/>
              <w:numPr>
                <w:ilvl w:val="0"/>
                <w:numId w:val="68"/>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黑板边角应进行倒角或包边处理，避免锐角造成安全隐患，确保使用安全。</w:t>
            </w:r>
          </w:p>
          <w:p w14:paraId="41E14678">
            <w:pPr>
              <w:keepNext w:val="0"/>
              <w:keepLines w:val="0"/>
              <w:pageBreakBefore w:val="0"/>
              <w:widowControl w:val="0"/>
              <w:numPr>
                <w:ilvl w:val="0"/>
                <w:numId w:val="68"/>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材料应符合国家相关环保标准，无有害挥发物，确保教学环境安全环保。</w:t>
            </w:r>
          </w:p>
        </w:tc>
        <w:tc>
          <w:tcPr>
            <w:tcW w:w="685" w:type="dxa"/>
            <w:vAlign w:val="center"/>
          </w:tcPr>
          <w:p w14:paraId="3B562F57">
            <w:pPr>
              <w:pStyle w:val="37"/>
              <w:keepNext w:val="0"/>
              <w:keepLines w:val="0"/>
              <w:pageBreakBefore w:val="0"/>
              <w:widowControl w:val="0"/>
              <w:kinsoku/>
              <w:wordWrap w:val="0"/>
              <w:overflowPunct/>
              <w:topLinePunct w:val="0"/>
              <w:autoSpaceDE/>
              <w:autoSpaceDN/>
              <w:bidi w:val="0"/>
              <w:adjustRightInd/>
              <w:ind w:left="0" w:leftChars="0"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napToGrid w:val="0"/>
                <w:color w:val="auto"/>
                <w:sz w:val="24"/>
                <w:szCs w:val="24"/>
                <w:highlight w:val="none"/>
                <w:lang w:val="en-US" w:eastAsia="zh-CN"/>
              </w:rPr>
              <w:t>2</w:t>
            </w:r>
          </w:p>
        </w:tc>
        <w:tc>
          <w:tcPr>
            <w:tcW w:w="402" w:type="pct"/>
            <w:vAlign w:val="center"/>
          </w:tcPr>
          <w:p w14:paraId="389B786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台</w:t>
            </w:r>
          </w:p>
        </w:tc>
        <w:tc>
          <w:tcPr>
            <w:tcW w:w="352" w:type="pct"/>
            <w:vAlign w:val="center"/>
          </w:tcPr>
          <w:p w14:paraId="78134E1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14:paraId="77D0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60779C8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16</w:t>
            </w:r>
          </w:p>
        </w:tc>
        <w:tc>
          <w:tcPr>
            <w:tcW w:w="601" w:type="pct"/>
            <w:vAlign w:val="center"/>
          </w:tcPr>
          <w:p w14:paraId="739D608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平板显示设备</w:t>
            </w:r>
          </w:p>
        </w:tc>
        <w:tc>
          <w:tcPr>
            <w:tcW w:w="2878" w:type="pct"/>
          </w:tcPr>
          <w:p w14:paraId="418F22C6">
            <w:pPr>
              <w:keepNext w:val="0"/>
              <w:keepLines w:val="0"/>
              <w:pageBreakBefore w:val="0"/>
              <w:widowControl w:val="0"/>
              <w:numPr>
                <w:ilvl w:val="0"/>
                <w:numId w:val="6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lang w:val="en-US" w:eastAsia="zh-CN"/>
              </w:rPr>
            </w:pPr>
            <w:r>
              <w:rPr>
                <w:rFonts w:hint="eastAsia" w:ascii="仿宋" w:hAnsi="仿宋" w:eastAsia="仿宋" w:cs="仿宋"/>
                <w:b/>
                <w:bCs/>
                <w:kern w:val="0"/>
                <w:sz w:val="21"/>
                <w:szCs w:val="21"/>
                <w:highlight w:val="none"/>
                <w:lang w:val="en-US" w:eastAsia="zh-CN"/>
              </w:rPr>
              <w:t>显示规格</w:t>
            </w:r>
          </w:p>
          <w:p w14:paraId="06D04660">
            <w:pPr>
              <w:keepNext w:val="0"/>
              <w:keepLines w:val="0"/>
              <w:pageBreakBefore w:val="0"/>
              <w:widowControl w:val="0"/>
              <w:numPr>
                <w:ilvl w:val="0"/>
                <w:numId w:val="7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屏幕尺寸不小于</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5英寸，物理分辨率≥3840×2160（4K）</w:t>
            </w:r>
            <w:r>
              <w:rPr>
                <w:rFonts w:hint="eastAsia" w:ascii="仿宋" w:hAnsi="仿宋" w:eastAsia="仿宋" w:cs="仿宋"/>
                <w:sz w:val="21"/>
                <w:szCs w:val="21"/>
                <w:highlight w:val="none"/>
                <w:lang w:eastAsia="zh-CN"/>
              </w:rPr>
              <w:t>，广色域≥90%DCI-P3</w:t>
            </w:r>
          </w:p>
          <w:p w14:paraId="590A6425">
            <w:pPr>
              <w:keepNext w:val="0"/>
              <w:keepLines w:val="0"/>
              <w:pageBreakBefore w:val="0"/>
              <w:widowControl w:val="0"/>
              <w:numPr>
                <w:ilvl w:val="0"/>
                <w:numId w:val="7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LED背光升级为直下式分区背光，亮度≥500cd/m²，静态对比度≥5000:1，加硬屏防眩光涂层。</w:t>
            </w:r>
          </w:p>
          <w:p w14:paraId="18B62ECC">
            <w:pPr>
              <w:keepNext w:val="0"/>
              <w:keepLines w:val="0"/>
              <w:pageBreakBefore w:val="0"/>
              <w:widowControl w:val="0"/>
              <w:numPr>
                <w:ilvl w:val="0"/>
                <w:numId w:val="7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刷新率不低于</w:t>
            </w:r>
            <w:r>
              <w:rPr>
                <w:rFonts w:hint="eastAsia" w:ascii="仿宋" w:hAnsi="仿宋" w:eastAsia="仿宋" w:cs="仿宋"/>
                <w:sz w:val="21"/>
                <w:szCs w:val="21"/>
                <w:highlight w:val="none"/>
                <w:lang w:val="en-US" w:eastAsia="zh-CN"/>
              </w:rPr>
              <w:t>12</w:t>
            </w:r>
            <w:r>
              <w:rPr>
                <w:rFonts w:hint="eastAsia" w:ascii="仿宋" w:hAnsi="仿宋" w:eastAsia="仿宋" w:cs="仿宋"/>
                <w:sz w:val="21"/>
                <w:szCs w:val="21"/>
                <w:highlight w:val="none"/>
              </w:rPr>
              <w:t>0Hz，响应时间不大于</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ms，确保动态画面无拖影。</w:t>
            </w:r>
          </w:p>
          <w:p w14:paraId="17F5B6AA">
            <w:pPr>
              <w:keepNext w:val="0"/>
              <w:keepLines w:val="0"/>
              <w:pageBreakBefore w:val="0"/>
              <w:widowControl w:val="0"/>
              <w:numPr>
                <w:ilvl w:val="0"/>
                <w:numId w:val="6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lang w:val="en-US" w:eastAsia="zh-CN"/>
              </w:rPr>
            </w:pPr>
            <w:r>
              <w:rPr>
                <w:rFonts w:hint="eastAsia" w:ascii="仿宋" w:hAnsi="仿宋" w:eastAsia="仿宋" w:cs="仿宋"/>
                <w:b/>
                <w:bCs/>
                <w:kern w:val="0"/>
                <w:sz w:val="21"/>
                <w:szCs w:val="21"/>
                <w:highlight w:val="none"/>
                <w:lang w:val="en-US" w:eastAsia="zh-CN"/>
              </w:rPr>
              <w:t>安装方式</w:t>
            </w:r>
          </w:p>
          <w:p w14:paraId="4AB7E2CD">
            <w:pPr>
              <w:keepNext w:val="0"/>
              <w:keepLines w:val="0"/>
              <w:pageBreakBefore w:val="0"/>
              <w:widowControl w:val="0"/>
              <w:numPr>
                <w:ilvl w:val="0"/>
                <w:numId w:val="7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支持壁挂及倒挂安装，标配通用VESA壁挂接口（如400x400mm）。</w:t>
            </w:r>
          </w:p>
          <w:p w14:paraId="17BB15E3">
            <w:pPr>
              <w:keepNext w:val="0"/>
              <w:keepLines w:val="0"/>
              <w:pageBreakBefore w:val="0"/>
              <w:widowControl w:val="0"/>
              <w:numPr>
                <w:ilvl w:val="0"/>
                <w:numId w:val="7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安装结构坚固可靠，满足教室长期稳定使用要求。</w:t>
            </w:r>
          </w:p>
          <w:p w14:paraId="688982B8">
            <w:pPr>
              <w:keepNext w:val="0"/>
              <w:keepLines w:val="0"/>
              <w:pageBreakBefore w:val="0"/>
              <w:widowControl w:val="0"/>
              <w:numPr>
                <w:ilvl w:val="0"/>
                <w:numId w:val="6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lang w:val="en-US" w:eastAsia="zh-CN"/>
              </w:rPr>
            </w:pPr>
            <w:r>
              <w:rPr>
                <w:rFonts w:hint="eastAsia" w:ascii="仿宋" w:hAnsi="仿宋" w:eastAsia="仿宋" w:cs="仿宋"/>
                <w:b/>
                <w:bCs/>
                <w:kern w:val="0"/>
                <w:sz w:val="21"/>
                <w:szCs w:val="21"/>
                <w:highlight w:val="none"/>
                <w:lang w:val="en-US" w:eastAsia="zh-CN"/>
              </w:rPr>
              <w:t>信号与联动</w:t>
            </w:r>
          </w:p>
          <w:p w14:paraId="38A5C073">
            <w:pPr>
              <w:keepNext w:val="0"/>
              <w:keepLines w:val="0"/>
              <w:pageBreakBefore w:val="0"/>
              <w:widowControl w:val="0"/>
              <w:numPr>
                <w:ilvl w:val="0"/>
                <w:numId w:val="7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视频输入接口须至少包括2个HDMI及1个VGA接口。</w:t>
            </w:r>
          </w:p>
          <w:p w14:paraId="452DA1E8">
            <w:pPr>
              <w:keepNext w:val="0"/>
              <w:keepLines w:val="0"/>
              <w:pageBreakBefore w:val="0"/>
              <w:widowControl w:val="0"/>
              <w:numPr>
                <w:ilvl w:val="0"/>
                <w:numId w:val="7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支持与主显示设备进行画面同步（镜像）或扩展显示。</w:t>
            </w:r>
          </w:p>
          <w:p w14:paraId="3249180E">
            <w:pPr>
              <w:keepNext w:val="0"/>
              <w:keepLines w:val="0"/>
              <w:pageBreakBefore w:val="0"/>
              <w:widowControl w:val="0"/>
              <w:numPr>
                <w:ilvl w:val="0"/>
                <w:numId w:val="7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支持通过HDMI</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CEC或RS232协议接入中控系统，实现远程管控。</w:t>
            </w:r>
          </w:p>
          <w:p w14:paraId="008CBCD8">
            <w:pPr>
              <w:keepNext w:val="0"/>
              <w:keepLines w:val="0"/>
              <w:pageBreakBefore w:val="0"/>
              <w:widowControl w:val="0"/>
              <w:numPr>
                <w:ilvl w:val="0"/>
                <w:numId w:val="6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lang w:val="en-US" w:eastAsia="zh-CN"/>
              </w:rPr>
            </w:pPr>
            <w:r>
              <w:rPr>
                <w:rFonts w:hint="eastAsia" w:ascii="仿宋" w:hAnsi="仿宋" w:eastAsia="仿宋" w:cs="仿宋"/>
                <w:b/>
                <w:bCs/>
                <w:kern w:val="0"/>
                <w:sz w:val="21"/>
                <w:szCs w:val="21"/>
                <w:highlight w:val="none"/>
                <w:lang w:val="en-US" w:eastAsia="zh-CN"/>
              </w:rPr>
              <w:t>可靠性与环保</w:t>
            </w:r>
          </w:p>
          <w:p w14:paraId="19882AE1">
            <w:pPr>
              <w:keepNext w:val="0"/>
              <w:keepLines w:val="0"/>
              <w:pageBreakBefore w:val="0"/>
              <w:widowControl w:val="0"/>
              <w:numPr>
                <w:ilvl w:val="0"/>
                <w:numId w:val="7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显示屏使用寿命不低于50,000小时。</w:t>
            </w:r>
          </w:p>
          <w:p w14:paraId="4EE894B9">
            <w:pPr>
              <w:keepNext w:val="0"/>
              <w:keepLines w:val="0"/>
              <w:pageBreakBefore w:val="0"/>
              <w:widowControl w:val="0"/>
              <w:numPr>
                <w:ilvl w:val="0"/>
                <w:numId w:val="7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待机功耗≤0.5W，工作噪音≤30dB。</w:t>
            </w:r>
          </w:p>
          <w:p w14:paraId="316F3BF7">
            <w:pPr>
              <w:keepNext w:val="0"/>
              <w:keepLines w:val="0"/>
              <w:pageBreakBefore w:val="0"/>
              <w:widowControl w:val="0"/>
              <w:numPr>
                <w:ilvl w:val="0"/>
                <w:numId w:val="7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工作温度-10℃~50℃，符合国家一级节能标准，加低蓝光护眼模式。</w:t>
            </w:r>
          </w:p>
        </w:tc>
        <w:tc>
          <w:tcPr>
            <w:tcW w:w="685" w:type="dxa"/>
            <w:vAlign w:val="center"/>
          </w:tcPr>
          <w:p w14:paraId="1BD761F7">
            <w:pPr>
              <w:pStyle w:val="37"/>
              <w:keepNext w:val="0"/>
              <w:keepLines w:val="0"/>
              <w:pageBreakBefore w:val="0"/>
              <w:widowControl w:val="0"/>
              <w:kinsoku/>
              <w:wordWrap w:val="0"/>
              <w:overflowPunct/>
              <w:topLinePunct w:val="0"/>
              <w:autoSpaceDE/>
              <w:autoSpaceDN/>
              <w:bidi w:val="0"/>
              <w:adjustRightInd/>
              <w:ind w:left="0" w:leftChars="0"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napToGrid w:val="0"/>
                <w:color w:val="auto"/>
                <w:sz w:val="24"/>
                <w:szCs w:val="24"/>
                <w:highlight w:val="none"/>
                <w:lang w:val="en-US" w:eastAsia="zh-CN"/>
              </w:rPr>
              <w:t>2</w:t>
            </w:r>
          </w:p>
        </w:tc>
        <w:tc>
          <w:tcPr>
            <w:tcW w:w="402" w:type="pct"/>
            <w:vAlign w:val="center"/>
          </w:tcPr>
          <w:p w14:paraId="5A94BFF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台</w:t>
            </w:r>
          </w:p>
        </w:tc>
        <w:tc>
          <w:tcPr>
            <w:tcW w:w="352" w:type="pct"/>
            <w:vAlign w:val="center"/>
          </w:tcPr>
          <w:p w14:paraId="1742F0C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b/>
                <w:bCs/>
                <w:iCs/>
                <w:snapToGrid w:val="0"/>
                <w:color w:val="auto"/>
                <w:kern w:val="2"/>
                <w:sz w:val="21"/>
                <w:szCs w:val="21"/>
                <w:highlight w:val="none"/>
                <w:shd w:val="clear" w:color="auto" w:fill="FFFFFF"/>
                <w:lang w:val="en-US" w:eastAsia="zh-CN" w:bidi="ar-SA"/>
              </w:rPr>
              <w:t>政府强制采购节能产品</w:t>
            </w:r>
          </w:p>
        </w:tc>
      </w:tr>
      <w:tr w14:paraId="6F76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37656D7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17</w:t>
            </w:r>
          </w:p>
        </w:tc>
        <w:tc>
          <w:tcPr>
            <w:tcW w:w="601" w:type="pct"/>
            <w:vAlign w:val="center"/>
          </w:tcPr>
          <w:p w14:paraId="6A4302D8">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教室音频扩声设备</w:t>
            </w:r>
          </w:p>
        </w:tc>
        <w:tc>
          <w:tcPr>
            <w:tcW w:w="2878" w:type="pct"/>
          </w:tcPr>
          <w:p w14:paraId="2FF74028">
            <w:pPr>
              <w:keepNext w:val="0"/>
              <w:keepLines w:val="0"/>
              <w:pageBreakBefore w:val="0"/>
              <w:widowControl w:val="0"/>
              <w:numPr>
                <w:ilvl w:val="0"/>
                <w:numId w:val="74"/>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lang w:val="en-US" w:eastAsia="zh-CN"/>
              </w:rPr>
            </w:pPr>
            <w:r>
              <w:rPr>
                <w:rFonts w:hint="eastAsia" w:ascii="仿宋" w:hAnsi="仿宋" w:eastAsia="仿宋" w:cs="仿宋"/>
                <w:b/>
                <w:bCs/>
                <w:kern w:val="0"/>
                <w:sz w:val="21"/>
                <w:szCs w:val="21"/>
                <w:highlight w:val="none"/>
                <w:lang w:val="en-US" w:eastAsia="zh-CN"/>
              </w:rPr>
              <w:t>无线麦克风系统（2套）</w:t>
            </w:r>
          </w:p>
          <w:p w14:paraId="371BE10F">
            <w:pPr>
              <w:keepNext w:val="0"/>
              <w:keepLines w:val="0"/>
              <w:pageBreakBefore w:val="0"/>
              <w:widowControl w:val="0"/>
              <w:numPr>
                <w:ilvl w:val="0"/>
                <w:numId w:val="7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每套含接收主机、发射单元、配套充电装置；接收机与充电底座一体化设计。</w:t>
            </w:r>
          </w:p>
          <w:p w14:paraId="2B6912D1">
            <w:pPr>
              <w:keepNext w:val="0"/>
              <w:keepLines w:val="0"/>
              <w:pageBreakBefore w:val="0"/>
              <w:widowControl w:val="0"/>
              <w:numPr>
                <w:ilvl w:val="0"/>
                <w:numId w:val="7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采用UHF数字调制与无线抗干扰编码技术。</w:t>
            </w:r>
          </w:p>
          <w:p w14:paraId="3333935C">
            <w:pPr>
              <w:keepNext w:val="0"/>
              <w:keepLines w:val="0"/>
              <w:pageBreakBefore w:val="0"/>
              <w:widowControl w:val="0"/>
              <w:numPr>
                <w:ilvl w:val="0"/>
                <w:numId w:val="7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收发频率范围：470MHz</w:t>
            </w:r>
            <w:r>
              <w:rPr>
                <w:rFonts w:hint="eastAsia" w:ascii="仿宋" w:hAnsi="仿宋" w:eastAsia="仿宋" w:cs="仿宋"/>
                <w:kern w:val="0"/>
                <w:sz w:val="21"/>
                <w:szCs w:val="21"/>
                <w:highlight w:val="none"/>
              </w:rPr>
              <w:t>～</w:t>
            </w:r>
            <w:r>
              <w:rPr>
                <w:rFonts w:hint="eastAsia" w:ascii="仿宋" w:hAnsi="仿宋" w:eastAsia="仿宋" w:cs="仿宋"/>
                <w:sz w:val="21"/>
                <w:szCs w:val="21"/>
                <w:highlight w:val="none"/>
              </w:rPr>
              <w:t>510MHz。</w:t>
            </w:r>
          </w:p>
          <w:p w14:paraId="534BC64D">
            <w:pPr>
              <w:keepNext w:val="0"/>
              <w:keepLines w:val="0"/>
              <w:pageBreakBefore w:val="0"/>
              <w:widowControl w:val="0"/>
              <w:numPr>
                <w:ilvl w:val="0"/>
                <w:numId w:val="7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频率响应范围：20Hz</w:t>
            </w:r>
            <w:r>
              <w:rPr>
                <w:rFonts w:hint="eastAsia" w:ascii="仿宋" w:hAnsi="仿宋" w:eastAsia="仿宋" w:cs="仿宋"/>
                <w:kern w:val="0"/>
                <w:sz w:val="21"/>
                <w:szCs w:val="21"/>
                <w:highlight w:val="none"/>
              </w:rPr>
              <w:t>～</w:t>
            </w:r>
            <w:r>
              <w:rPr>
                <w:rFonts w:hint="eastAsia" w:ascii="仿宋" w:hAnsi="仿宋" w:eastAsia="仿宋" w:cs="仿宋"/>
                <w:sz w:val="21"/>
                <w:szCs w:val="21"/>
                <w:highlight w:val="none"/>
              </w:rPr>
              <w:t>20kHz（±3dB）。</w:t>
            </w:r>
          </w:p>
          <w:p w14:paraId="025F8DAE">
            <w:pPr>
              <w:keepNext w:val="0"/>
              <w:keepLines w:val="0"/>
              <w:pageBreakBefore w:val="0"/>
              <w:widowControl w:val="0"/>
              <w:numPr>
                <w:ilvl w:val="0"/>
                <w:numId w:val="7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综合信噪比：≥85dB。</w:t>
            </w:r>
          </w:p>
          <w:p w14:paraId="52D940DA">
            <w:pPr>
              <w:keepNext w:val="0"/>
              <w:keepLines w:val="0"/>
              <w:pageBreakBefore w:val="0"/>
              <w:widowControl w:val="0"/>
              <w:numPr>
                <w:ilvl w:val="0"/>
                <w:numId w:val="7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话筒插入充电底座自动配对，开机即用。</w:t>
            </w:r>
          </w:p>
          <w:p w14:paraId="4899DEE3">
            <w:pPr>
              <w:keepNext w:val="0"/>
              <w:keepLines w:val="0"/>
              <w:pageBreakBefore w:val="0"/>
              <w:widowControl w:val="0"/>
              <w:numPr>
                <w:ilvl w:val="0"/>
                <w:numId w:val="7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支持直插式桌面充电，具备充电提醒及过充保护功能。</w:t>
            </w:r>
          </w:p>
          <w:p w14:paraId="38A0B97E">
            <w:pPr>
              <w:keepNext w:val="0"/>
              <w:keepLines w:val="0"/>
              <w:pageBreakBefore w:val="0"/>
              <w:widowControl w:val="0"/>
              <w:numPr>
                <w:ilvl w:val="0"/>
                <w:numId w:val="7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发射单元集成翻页笔、激光笔功能，适配教学场景。</w:t>
            </w:r>
          </w:p>
          <w:p w14:paraId="6FEE6E35">
            <w:pPr>
              <w:keepNext w:val="0"/>
              <w:keepLines w:val="0"/>
              <w:pageBreakBefore w:val="0"/>
              <w:widowControl w:val="0"/>
              <w:numPr>
                <w:ilvl w:val="0"/>
                <w:numId w:val="7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充电底座带物理解锁按键。</w:t>
            </w:r>
          </w:p>
          <w:p w14:paraId="610759C0">
            <w:pPr>
              <w:keepNext w:val="0"/>
              <w:keepLines w:val="0"/>
              <w:pageBreakBefore w:val="0"/>
              <w:widowControl w:val="0"/>
              <w:numPr>
                <w:ilvl w:val="0"/>
                <w:numId w:val="74"/>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lang w:val="en-US" w:eastAsia="zh-CN"/>
              </w:rPr>
            </w:pPr>
            <w:r>
              <w:rPr>
                <w:rFonts w:hint="eastAsia" w:ascii="仿宋" w:hAnsi="仿宋" w:eastAsia="仿宋" w:cs="仿宋"/>
                <w:b/>
                <w:bCs/>
                <w:kern w:val="0"/>
                <w:sz w:val="21"/>
                <w:szCs w:val="21"/>
                <w:highlight w:val="none"/>
                <w:lang w:val="en-US" w:eastAsia="zh-CN"/>
              </w:rPr>
              <w:t>扩声音箱（不少于6只）</w:t>
            </w:r>
          </w:p>
          <w:p w14:paraId="1E3DD16A">
            <w:pPr>
              <w:keepNext w:val="0"/>
              <w:keepLines w:val="0"/>
              <w:pageBreakBefore w:val="0"/>
              <w:widowControl w:val="0"/>
              <w:numPr>
                <w:ilvl w:val="0"/>
                <w:numId w:val="7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支持壁挂式或吸顶式安装，满足≥130㎡教学空间均匀扩声覆盖。</w:t>
            </w:r>
          </w:p>
          <w:p w14:paraId="2F2F558A">
            <w:pPr>
              <w:keepNext w:val="0"/>
              <w:keepLines w:val="0"/>
              <w:pageBreakBefore w:val="0"/>
              <w:widowControl w:val="0"/>
              <w:numPr>
                <w:ilvl w:val="0"/>
                <w:numId w:val="7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4472C4" w:themeColor="accent1"/>
                <w:sz w:val="21"/>
                <w:szCs w:val="21"/>
                <w:highlight w:val="none"/>
                <w14:textFill>
                  <w14:solidFill>
                    <w14:schemeClr w14:val="accent1"/>
                  </w14:solidFill>
                </w14:textFill>
              </w:rPr>
            </w:pPr>
            <w:r>
              <w:rPr>
                <w:rFonts w:hint="eastAsia" w:ascii="仿宋" w:hAnsi="仿宋" w:eastAsia="仿宋" w:cs="仿宋"/>
                <w:color w:val="auto"/>
                <w:sz w:val="21"/>
                <w:szCs w:val="21"/>
                <w:highlight w:val="none"/>
              </w:rPr>
              <w:t>采用</w:t>
            </w:r>
            <w:r>
              <w:rPr>
                <w:rFonts w:hint="eastAsia" w:ascii="仿宋" w:hAnsi="仿宋" w:eastAsia="仿宋" w:cs="仿宋"/>
                <w:color w:val="auto"/>
                <w:sz w:val="21"/>
                <w:szCs w:val="21"/>
                <w:highlight w:val="none"/>
                <w:lang w:val="en-US" w:eastAsia="zh-CN"/>
              </w:rPr>
              <w:t>不小于</w:t>
            </w:r>
            <w:r>
              <w:rPr>
                <w:rFonts w:hint="eastAsia" w:ascii="仿宋" w:hAnsi="仿宋" w:eastAsia="仿宋" w:cs="仿宋"/>
                <w:color w:val="auto"/>
                <w:sz w:val="21"/>
                <w:szCs w:val="21"/>
                <w:highlight w:val="none"/>
              </w:rPr>
              <w:t>6.5英寸</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HIFI级别高保真全频喇叭单元。</w:t>
            </w:r>
          </w:p>
          <w:p w14:paraId="2476F35C">
            <w:pPr>
              <w:keepNext w:val="0"/>
              <w:keepLines w:val="0"/>
              <w:pageBreakBefore w:val="0"/>
              <w:widowControl w:val="0"/>
              <w:numPr>
                <w:ilvl w:val="0"/>
                <w:numId w:val="7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单箱匹配功率：80W</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120W。</w:t>
            </w:r>
          </w:p>
          <w:p w14:paraId="00A57817">
            <w:pPr>
              <w:keepNext w:val="0"/>
              <w:keepLines w:val="0"/>
              <w:pageBreakBefore w:val="0"/>
              <w:widowControl w:val="0"/>
              <w:numPr>
                <w:ilvl w:val="0"/>
                <w:numId w:val="7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频率响应：20Hz</w:t>
            </w:r>
            <w:r>
              <w:rPr>
                <w:rFonts w:hint="eastAsia" w:ascii="仿宋" w:hAnsi="仿宋" w:eastAsia="仿宋" w:cs="仿宋"/>
                <w:kern w:val="0"/>
                <w:sz w:val="21"/>
                <w:szCs w:val="21"/>
                <w:highlight w:val="none"/>
              </w:rPr>
              <w:t>～</w:t>
            </w:r>
            <w:r>
              <w:rPr>
                <w:rFonts w:hint="eastAsia" w:ascii="仿宋" w:hAnsi="仿宋" w:eastAsia="仿宋" w:cs="仿宋"/>
                <w:sz w:val="21"/>
                <w:szCs w:val="21"/>
                <w:highlight w:val="none"/>
              </w:rPr>
              <w:t>20kHz。</w:t>
            </w:r>
          </w:p>
          <w:p w14:paraId="73672765">
            <w:pPr>
              <w:keepNext w:val="0"/>
              <w:keepLines w:val="0"/>
              <w:pageBreakBefore w:val="0"/>
              <w:widowControl w:val="0"/>
              <w:numPr>
                <w:ilvl w:val="0"/>
                <w:numId w:val="7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输入灵敏度：≥550mV。</w:t>
            </w:r>
          </w:p>
          <w:p w14:paraId="5802A678">
            <w:pPr>
              <w:keepNext w:val="0"/>
              <w:keepLines w:val="0"/>
              <w:pageBreakBefore w:val="0"/>
              <w:widowControl w:val="0"/>
              <w:numPr>
                <w:ilvl w:val="0"/>
                <w:numId w:val="7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信噪比：≥85dB。</w:t>
            </w:r>
          </w:p>
          <w:p w14:paraId="7314F773">
            <w:pPr>
              <w:keepNext w:val="0"/>
              <w:keepLines w:val="0"/>
              <w:pageBreakBefore w:val="0"/>
              <w:widowControl w:val="0"/>
              <w:numPr>
                <w:ilvl w:val="0"/>
                <w:numId w:val="7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阻抗：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Ω。</w:t>
            </w:r>
          </w:p>
          <w:p w14:paraId="3E38B87A">
            <w:pPr>
              <w:keepNext w:val="0"/>
              <w:keepLines w:val="0"/>
              <w:pageBreakBefore w:val="0"/>
              <w:widowControl w:val="0"/>
              <w:numPr>
                <w:ilvl w:val="0"/>
                <w:numId w:val="7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失真度：&lt;0.5%。</w:t>
            </w:r>
          </w:p>
          <w:p w14:paraId="19AFE566">
            <w:pPr>
              <w:keepNext w:val="0"/>
              <w:keepLines w:val="0"/>
              <w:pageBreakBefore w:val="0"/>
              <w:widowControl w:val="0"/>
              <w:numPr>
                <w:ilvl w:val="0"/>
                <w:numId w:val="76"/>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系统总谐波失真（THD）≤1%，语音清晰度满足教学使用要求。</w:t>
            </w:r>
          </w:p>
          <w:p w14:paraId="4C5CE64B">
            <w:pPr>
              <w:keepNext w:val="0"/>
              <w:keepLines w:val="0"/>
              <w:pageBreakBefore w:val="0"/>
              <w:widowControl w:val="0"/>
              <w:numPr>
                <w:ilvl w:val="0"/>
                <w:numId w:val="74"/>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lang w:val="en-US" w:eastAsia="zh-CN"/>
              </w:rPr>
            </w:pPr>
            <w:r>
              <w:rPr>
                <w:rFonts w:hint="eastAsia" w:ascii="仿宋" w:hAnsi="仿宋" w:eastAsia="仿宋" w:cs="仿宋"/>
                <w:b/>
                <w:bCs/>
                <w:kern w:val="0"/>
                <w:sz w:val="21"/>
                <w:szCs w:val="21"/>
                <w:highlight w:val="none"/>
                <w:lang w:val="en-US" w:eastAsia="zh-CN"/>
              </w:rPr>
              <w:t>吊装式拾音麦克风（1个）</w:t>
            </w:r>
          </w:p>
          <w:p w14:paraId="789BF026">
            <w:pPr>
              <w:keepNext w:val="0"/>
              <w:keepLines w:val="0"/>
              <w:pageBreakBefore w:val="0"/>
              <w:widowControl w:val="0"/>
              <w:numPr>
                <w:ilvl w:val="0"/>
                <w:numId w:val="77"/>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采用不锈钢圆柱形设计，内置单一指向性咪头。</w:t>
            </w:r>
          </w:p>
          <w:p w14:paraId="02A57424">
            <w:pPr>
              <w:keepNext w:val="0"/>
              <w:keepLines w:val="0"/>
              <w:pageBreakBefore w:val="0"/>
              <w:widowControl w:val="0"/>
              <w:numPr>
                <w:ilvl w:val="0"/>
                <w:numId w:val="77"/>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有效拾音半径：≥3m。</w:t>
            </w:r>
          </w:p>
          <w:p w14:paraId="3466D206">
            <w:pPr>
              <w:keepNext w:val="0"/>
              <w:keepLines w:val="0"/>
              <w:pageBreakBefore w:val="0"/>
              <w:widowControl w:val="0"/>
              <w:numPr>
                <w:ilvl w:val="0"/>
                <w:numId w:val="77"/>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灵敏度：≥38dB，支持超远距离拾音。</w:t>
            </w:r>
          </w:p>
          <w:p w14:paraId="2C151741">
            <w:pPr>
              <w:keepNext w:val="0"/>
              <w:keepLines w:val="0"/>
              <w:pageBreakBefore w:val="0"/>
              <w:widowControl w:val="0"/>
              <w:numPr>
                <w:ilvl w:val="0"/>
                <w:numId w:val="77"/>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支持环境噪声抑制或动态降噪处理，具备超宽频响范围，可高度还原人声。</w:t>
            </w:r>
          </w:p>
          <w:p w14:paraId="3415D5C9">
            <w:pPr>
              <w:keepNext w:val="0"/>
              <w:keepLines w:val="0"/>
              <w:pageBreakBefore w:val="0"/>
              <w:widowControl w:val="0"/>
              <w:numPr>
                <w:ilvl w:val="0"/>
                <w:numId w:val="77"/>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内置48V幻象电源放大处理电路，支持高质量音频长距离传输。</w:t>
            </w:r>
          </w:p>
          <w:p w14:paraId="31E08A05">
            <w:pPr>
              <w:keepNext w:val="0"/>
              <w:keepLines w:val="0"/>
              <w:pageBreakBefore w:val="0"/>
              <w:widowControl w:val="0"/>
              <w:numPr>
                <w:ilvl w:val="0"/>
                <w:numId w:val="74"/>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lang w:val="en-US" w:eastAsia="zh-CN"/>
              </w:rPr>
            </w:pPr>
            <w:r>
              <w:rPr>
                <w:rFonts w:hint="eastAsia" w:ascii="仿宋" w:hAnsi="仿宋" w:eastAsia="仿宋" w:cs="仿宋"/>
                <w:b/>
                <w:bCs/>
                <w:kern w:val="0"/>
                <w:sz w:val="21"/>
                <w:szCs w:val="21"/>
                <w:highlight w:val="none"/>
                <w:lang w:val="en-US" w:eastAsia="zh-CN"/>
              </w:rPr>
              <w:t>系统整体要求</w:t>
            </w:r>
          </w:p>
          <w:p w14:paraId="6C78974A">
            <w:pPr>
              <w:keepNext w:val="0"/>
              <w:keepLines w:val="0"/>
              <w:pageBreakBefore w:val="0"/>
              <w:widowControl w:val="0"/>
              <w:numPr>
                <w:ilvl w:val="0"/>
                <w:numId w:val="78"/>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系统需支持语音自动增益控制（AGC），避免近讲失真及远讲音量不足。</w:t>
            </w:r>
          </w:p>
          <w:p w14:paraId="3E342113">
            <w:pPr>
              <w:keepNext w:val="0"/>
              <w:keepLines w:val="0"/>
              <w:pageBreakBefore w:val="0"/>
              <w:widowControl w:val="0"/>
              <w:numPr>
                <w:ilvl w:val="0"/>
                <w:numId w:val="78"/>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支持与教师讲台中控、教学电脑进行有线或无线连接，实现统一音量控制与联动。</w:t>
            </w:r>
          </w:p>
          <w:p w14:paraId="466C6BF8">
            <w:pPr>
              <w:keepNext w:val="0"/>
              <w:keepLines w:val="0"/>
              <w:pageBreakBefore w:val="0"/>
              <w:widowControl w:val="0"/>
              <w:numPr>
                <w:ilvl w:val="0"/>
                <w:numId w:val="78"/>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系统支持连续≥8小时稳定工作，满足全天教学需求。</w:t>
            </w:r>
          </w:p>
        </w:tc>
        <w:tc>
          <w:tcPr>
            <w:tcW w:w="685" w:type="dxa"/>
            <w:vAlign w:val="center"/>
          </w:tcPr>
          <w:p w14:paraId="53DCD76E">
            <w:pPr>
              <w:pStyle w:val="37"/>
              <w:keepNext w:val="0"/>
              <w:keepLines w:val="0"/>
              <w:pageBreakBefore w:val="0"/>
              <w:widowControl w:val="0"/>
              <w:kinsoku/>
              <w:wordWrap w:val="0"/>
              <w:overflowPunct/>
              <w:topLinePunct w:val="0"/>
              <w:autoSpaceDE/>
              <w:autoSpaceDN/>
              <w:bidi w:val="0"/>
              <w:adjustRightInd/>
              <w:ind w:left="0" w:leftChars="0"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napToGrid w:val="0"/>
                <w:color w:val="auto"/>
                <w:sz w:val="24"/>
                <w:szCs w:val="24"/>
                <w:highlight w:val="none"/>
                <w:lang w:val="en-US" w:eastAsia="zh-CN"/>
              </w:rPr>
              <w:t>1</w:t>
            </w:r>
          </w:p>
        </w:tc>
        <w:tc>
          <w:tcPr>
            <w:tcW w:w="402" w:type="pct"/>
            <w:vAlign w:val="center"/>
          </w:tcPr>
          <w:p w14:paraId="78D4758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套</w:t>
            </w:r>
          </w:p>
        </w:tc>
        <w:tc>
          <w:tcPr>
            <w:tcW w:w="352" w:type="pct"/>
            <w:vAlign w:val="center"/>
          </w:tcPr>
          <w:p w14:paraId="3D49E7F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14:paraId="7487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1C716B0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18</w:t>
            </w:r>
          </w:p>
        </w:tc>
        <w:tc>
          <w:tcPr>
            <w:tcW w:w="601" w:type="pct"/>
            <w:vAlign w:val="center"/>
          </w:tcPr>
          <w:p w14:paraId="6024A6E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教学管理软件</w:t>
            </w:r>
          </w:p>
        </w:tc>
        <w:tc>
          <w:tcPr>
            <w:tcW w:w="2878" w:type="pct"/>
          </w:tcPr>
          <w:p w14:paraId="182B8548">
            <w:pPr>
              <w:keepNext w:val="0"/>
              <w:keepLines w:val="0"/>
              <w:pageBreakBefore w:val="0"/>
              <w:widowControl w:val="0"/>
              <w:numPr>
                <w:ilvl w:val="0"/>
                <w:numId w:val="7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lang w:val="en-US" w:eastAsia="zh-CN"/>
              </w:rPr>
            </w:pPr>
            <w:r>
              <w:rPr>
                <w:rFonts w:hint="eastAsia" w:ascii="仿宋" w:hAnsi="仿宋" w:eastAsia="仿宋" w:cs="仿宋"/>
                <w:b/>
                <w:bCs/>
                <w:kern w:val="0"/>
                <w:sz w:val="21"/>
                <w:szCs w:val="21"/>
                <w:highlight w:val="none"/>
                <w:lang w:val="en-US" w:eastAsia="zh-CN"/>
              </w:rPr>
              <w:t>核心教学功能</w:t>
            </w:r>
          </w:p>
          <w:p w14:paraId="51BECED3">
            <w:pPr>
              <w:keepNext w:val="0"/>
              <w:keepLines w:val="0"/>
              <w:pageBreakBefore w:val="0"/>
              <w:widowControl w:val="0"/>
              <w:numPr>
                <w:ilvl w:val="0"/>
                <w:numId w:val="8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屏幕广播：教师可将本机桌面实时广播给学生，支持全屏、窗口、区域等多种模式。可广播Office文档、专业设计软件及音视频内容，并同步语音讲解，学生端支持断网续接。</w:t>
            </w:r>
          </w:p>
          <w:p w14:paraId="0CA49C1B">
            <w:pPr>
              <w:keepNext w:val="0"/>
              <w:keepLines w:val="0"/>
              <w:pageBreakBefore w:val="0"/>
              <w:widowControl w:val="0"/>
              <w:numPr>
                <w:ilvl w:val="0"/>
                <w:numId w:val="8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学生演示：教师可指定任一学生机屏幕向全班演示，演示过程可被监控与接管，并可同步转播演示者的语音。</w:t>
            </w:r>
          </w:p>
          <w:p w14:paraId="78D6A88E">
            <w:pPr>
              <w:keepNext w:val="0"/>
              <w:keepLines w:val="0"/>
              <w:pageBreakBefore w:val="0"/>
              <w:widowControl w:val="0"/>
              <w:numPr>
                <w:ilvl w:val="0"/>
                <w:numId w:val="8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视频直播：教师可将外接摄像头、展台等设备的音视频信号直播给全体学生。</w:t>
            </w:r>
          </w:p>
          <w:p w14:paraId="2F73BDAE">
            <w:pPr>
              <w:keepNext w:val="0"/>
              <w:keepLines w:val="0"/>
              <w:pageBreakBefore w:val="0"/>
              <w:widowControl w:val="0"/>
              <w:numPr>
                <w:ilvl w:val="0"/>
                <w:numId w:val="8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网络影院：教师可统一向学生机播放本地音视频文件，支持常见格式，并控制全体播放进度。</w:t>
            </w:r>
          </w:p>
          <w:p w14:paraId="20C0F89C">
            <w:pPr>
              <w:keepNext w:val="0"/>
              <w:keepLines w:val="0"/>
              <w:pageBreakBefore w:val="0"/>
              <w:widowControl w:val="0"/>
              <w:numPr>
                <w:ilvl w:val="0"/>
                <w:numId w:val="8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电子白板：提供线上协作白板，支持多种绘图工具，可以文档或软件界面为底图进行板书。</w:t>
            </w:r>
          </w:p>
          <w:p w14:paraId="7B3B55BD">
            <w:pPr>
              <w:keepNext w:val="0"/>
              <w:keepLines w:val="0"/>
              <w:pageBreakBefore w:val="0"/>
              <w:widowControl w:val="0"/>
              <w:numPr>
                <w:ilvl w:val="0"/>
                <w:numId w:val="80"/>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分组教学：支持对学生进行分组教学与讨论，可指定组长并授权，支持文字及语音讨论模式。</w:t>
            </w:r>
          </w:p>
          <w:p w14:paraId="69B8EB9D">
            <w:pPr>
              <w:keepNext w:val="0"/>
              <w:keepLines w:val="0"/>
              <w:pageBreakBefore w:val="0"/>
              <w:widowControl w:val="0"/>
              <w:numPr>
                <w:ilvl w:val="0"/>
                <w:numId w:val="7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lang w:val="en-US" w:eastAsia="zh-CN"/>
              </w:rPr>
            </w:pPr>
            <w:r>
              <w:rPr>
                <w:rFonts w:hint="eastAsia" w:ascii="仿宋" w:hAnsi="仿宋" w:eastAsia="仿宋" w:cs="仿宋"/>
                <w:b/>
                <w:bCs/>
                <w:kern w:val="0"/>
                <w:sz w:val="21"/>
                <w:szCs w:val="21"/>
                <w:highlight w:val="none"/>
                <w:lang w:val="en-US" w:eastAsia="zh-CN"/>
              </w:rPr>
              <w:t>课堂管理与控制</w:t>
            </w:r>
          </w:p>
          <w:p w14:paraId="34A341C9">
            <w:pPr>
              <w:keepNext w:val="0"/>
              <w:keepLines w:val="0"/>
              <w:pageBreakBefore w:val="0"/>
              <w:widowControl w:val="0"/>
              <w:numPr>
                <w:ilvl w:val="0"/>
                <w:numId w:val="8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远程监看：教师可实时监看学生机屏幕，支持轮流浏览、多画面同屏等多种模式。</w:t>
            </w:r>
          </w:p>
          <w:p w14:paraId="7C01D438">
            <w:pPr>
              <w:keepNext w:val="0"/>
              <w:keepLines w:val="0"/>
              <w:pageBreakBefore w:val="0"/>
              <w:widowControl w:val="0"/>
              <w:numPr>
                <w:ilvl w:val="0"/>
                <w:numId w:val="8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远程管理：支持远程操控学生机桌面、统一开关机、批量修改设置（如音量、分辨率）。</w:t>
            </w:r>
          </w:p>
          <w:p w14:paraId="7C283702">
            <w:pPr>
              <w:keepNext w:val="0"/>
              <w:keepLines w:val="0"/>
              <w:pageBreakBefore w:val="0"/>
              <w:widowControl w:val="0"/>
              <w:numPr>
                <w:ilvl w:val="0"/>
                <w:numId w:val="8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学生限制：可统一限制学生机程序、上网行为、USB及光驱使用，提供灵活的网址过滤策略。</w:t>
            </w:r>
          </w:p>
          <w:p w14:paraId="6F6E7982">
            <w:pPr>
              <w:keepNext w:val="0"/>
              <w:keepLines w:val="0"/>
              <w:pageBreakBefore w:val="0"/>
              <w:widowControl w:val="0"/>
              <w:numPr>
                <w:ilvl w:val="0"/>
                <w:numId w:val="8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黑屏肃静：可一键锁定学生机屏幕、键盘和鼠标，锁定画面支持自定义。</w:t>
            </w:r>
          </w:p>
          <w:p w14:paraId="71C2EC67">
            <w:pPr>
              <w:keepNext w:val="0"/>
              <w:keepLines w:val="0"/>
              <w:pageBreakBefore w:val="0"/>
              <w:widowControl w:val="0"/>
              <w:numPr>
                <w:ilvl w:val="0"/>
                <w:numId w:val="8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电子签到：支持课堂在线点名签到，可生成考勤报表。</w:t>
            </w:r>
          </w:p>
          <w:p w14:paraId="6C968EAF">
            <w:pPr>
              <w:keepNext w:val="0"/>
              <w:keepLines w:val="0"/>
              <w:pageBreakBefore w:val="0"/>
              <w:widowControl w:val="0"/>
              <w:numPr>
                <w:ilvl w:val="0"/>
                <w:numId w:val="81"/>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统一控制：管理员可对所有学生机进行统一操控与软件部署。</w:t>
            </w:r>
          </w:p>
          <w:p w14:paraId="08303C6C">
            <w:pPr>
              <w:keepNext w:val="0"/>
              <w:keepLines w:val="0"/>
              <w:pageBreakBefore w:val="0"/>
              <w:widowControl w:val="0"/>
              <w:numPr>
                <w:ilvl w:val="0"/>
                <w:numId w:val="7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lang w:val="en-US" w:eastAsia="zh-CN"/>
              </w:rPr>
            </w:pPr>
            <w:r>
              <w:rPr>
                <w:rFonts w:hint="eastAsia" w:ascii="仿宋" w:hAnsi="仿宋" w:eastAsia="仿宋" w:cs="仿宋"/>
                <w:b/>
                <w:bCs/>
                <w:kern w:val="0"/>
                <w:sz w:val="21"/>
                <w:szCs w:val="21"/>
                <w:highlight w:val="none"/>
                <w:lang w:val="en-US" w:eastAsia="zh-CN"/>
              </w:rPr>
              <w:t>作业与文件管理</w:t>
            </w:r>
          </w:p>
          <w:p w14:paraId="5F48755C">
            <w:pPr>
              <w:keepNext w:val="0"/>
              <w:keepLines w:val="0"/>
              <w:pageBreakBefore w:val="0"/>
              <w:widowControl w:val="0"/>
              <w:numPr>
                <w:ilvl w:val="0"/>
                <w:numId w:val="8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文件分发：教师可将文件或文件夹批量发送至所有学生机。</w:t>
            </w:r>
          </w:p>
          <w:p w14:paraId="6169DB51">
            <w:pPr>
              <w:keepNext w:val="0"/>
              <w:keepLines w:val="0"/>
              <w:pageBreakBefore w:val="0"/>
              <w:widowControl w:val="0"/>
              <w:numPr>
                <w:ilvl w:val="0"/>
                <w:numId w:val="82"/>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作业提交与回收：学生可提交作业至教师机，教师可设置审批规则。教师可一键回收作业文件。</w:t>
            </w:r>
          </w:p>
          <w:p w14:paraId="079AD2D2">
            <w:pPr>
              <w:keepNext w:val="0"/>
              <w:keepLines w:val="0"/>
              <w:pageBreakBefore w:val="0"/>
              <w:widowControl w:val="0"/>
              <w:numPr>
                <w:ilvl w:val="0"/>
                <w:numId w:val="7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lang w:val="en-US" w:eastAsia="zh-CN"/>
              </w:rPr>
            </w:pPr>
            <w:r>
              <w:rPr>
                <w:rFonts w:hint="eastAsia" w:ascii="仿宋" w:hAnsi="仿宋" w:eastAsia="仿宋" w:cs="仿宋"/>
                <w:b/>
                <w:bCs/>
                <w:kern w:val="0"/>
                <w:sz w:val="21"/>
                <w:szCs w:val="21"/>
                <w:highlight w:val="none"/>
                <w:lang w:val="en-US" w:eastAsia="zh-CN"/>
              </w:rPr>
              <w:t>测评与考试系统</w:t>
            </w:r>
          </w:p>
          <w:p w14:paraId="2832580F">
            <w:pPr>
              <w:keepNext w:val="0"/>
              <w:keepLines w:val="0"/>
              <w:pageBreakBefore w:val="0"/>
              <w:widowControl w:val="0"/>
              <w:numPr>
                <w:ilvl w:val="0"/>
                <w:numId w:val="8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随堂测试：支持随堂发布多种题型测试，即时反馈结果。</w:t>
            </w:r>
          </w:p>
          <w:p w14:paraId="39959E6A">
            <w:pPr>
              <w:keepNext w:val="0"/>
              <w:keepLines w:val="0"/>
              <w:pageBreakBefore w:val="0"/>
              <w:widowControl w:val="0"/>
              <w:numPr>
                <w:ilvl w:val="0"/>
                <w:numId w:val="8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考试系统：支持完整的在线考试流程，包括组卷、考试、自动评分与数据分析。</w:t>
            </w:r>
          </w:p>
          <w:p w14:paraId="29C5AEEA">
            <w:pPr>
              <w:keepNext w:val="0"/>
              <w:keepLines w:val="0"/>
              <w:pageBreakBefore w:val="0"/>
              <w:widowControl w:val="0"/>
              <w:numPr>
                <w:ilvl w:val="0"/>
                <w:numId w:val="83"/>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在线平台：需提供具备学习、模拟考试、错题本功能的独立在线学习考试平台。</w:t>
            </w:r>
          </w:p>
          <w:p w14:paraId="61700E56">
            <w:pPr>
              <w:keepNext w:val="0"/>
              <w:keepLines w:val="0"/>
              <w:pageBreakBefore w:val="0"/>
              <w:widowControl w:val="0"/>
              <w:numPr>
                <w:ilvl w:val="0"/>
                <w:numId w:val="7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lang w:val="en-US" w:eastAsia="zh-CN"/>
              </w:rPr>
            </w:pPr>
            <w:r>
              <w:rPr>
                <w:rFonts w:hint="eastAsia" w:ascii="仿宋" w:hAnsi="仿宋" w:eastAsia="仿宋" w:cs="仿宋"/>
                <w:b/>
                <w:bCs/>
                <w:kern w:val="0"/>
                <w:sz w:val="21"/>
                <w:szCs w:val="21"/>
                <w:highlight w:val="none"/>
                <w:lang w:val="en-US" w:eastAsia="zh-CN"/>
              </w:rPr>
              <w:t>辅助与运维功能</w:t>
            </w:r>
          </w:p>
          <w:p w14:paraId="3EC883B3">
            <w:pPr>
              <w:keepNext w:val="0"/>
              <w:keepLines w:val="0"/>
              <w:pageBreakBefore w:val="0"/>
              <w:widowControl w:val="0"/>
              <w:numPr>
                <w:ilvl w:val="0"/>
                <w:numId w:val="84"/>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屏</w:t>
            </w:r>
            <w:r>
              <w:rPr>
                <w:rFonts w:hint="eastAsia" w:ascii="仿宋" w:hAnsi="仿宋" w:eastAsia="仿宋" w:cs="仿宋"/>
                <w:sz w:val="21"/>
                <w:szCs w:val="21"/>
                <w:highlight w:val="none"/>
              </w:rPr>
              <w:t>幕录制：教师可将本机的操作与讲解过程录制成视频课件。</w:t>
            </w:r>
          </w:p>
          <w:p w14:paraId="66BBA7C0">
            <w:pPr>
              <w:keepNext w:val="0"/>
              <w:keepLines w:val="0"/>
              <w:pageBreakBefore w:val="0"/>
              <w:widowControl w:val="0"/>
              <w:numPr>
                <w:ilvl w:val="0"/>
                <w:numId w:val="84"/>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资产管理：可自动盘点并统计学生端软硬件资产信息，对异动进行告警。</w:t>
            </w:r>
          </w:p>
          <w:p w14:paraId="00C92C0E">
            <w:pPr>
              <w:keepNext w:val="0"/>
              <w:keepLines w:val="0"/>
              <w:pageBreakBefore w:val="0"/>
              <w:widowControl w:val="0"/>
              <w:numPr>
                <w:ilvl w:val="0"/>
                <w:numId w:val="84"/>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断线锁屏：学生机在非法断开网络后将自动锁屏。</w:t>
            </w:r>
          </w:p>
          <w:p w14:paraId="54BB8252">
            <w:pPr>
              <w:keepNext w:val="0"/>
              <w:keepLines w:val="0"/>
              <w:pageBreakBefore w:val="0"/>
              <w:widowControl w:val="0"/>
              <w:numPr>
                <w:ilvl w:val="0"/>
                <w:numId w:val="79"/>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b/>
                <w:bCs/>
                <w:kern w:val="0"/>
                <w:sz w:val="21"/>
                <w:szCs w:val="21"/>
                <w:highlight w:val="none"/>
                <w:lang w:val="en-US" w:eastAsia="zh-CN"/>
              </w:rPr>
            </w:pPr>
            <w:r>
              <w:rPr>
                <w:rFonts w:hint="eastAsia" w:ascii="仿宋" w:hAnsi="仿宋" w:eastAsia="仿宋" w:cs="仿宋"/>
                <w:b/>
                <w:bCs/>
                <w:kern w:val="0"/>
                <w:sz w:val="21"/>
                <w:szCs w:val="21"/>
                <w:highlight w:val="none"/>
                <w:lang w:val="en-US" w:eastAsia="zh-CN"/>
              </w:rPr>
              <w:t>移动端与安全</w:t>
            </w:r>
          </w:p>
          <w:p w14:paraId="7ACF9D64">
            <w:pPr>
              <w:keepNext w:val="0"/>
              <w:keepLines w:val="0"/>
              <w:pageBreakBefore w:val="0"/>
              <w:widowControl w:val="0"/>
              <w:numPr>
                <w:ilvl w:val="0"/>
                <w:numId w:val="8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移动授课：需提供教师端移动APP，支持通过平板或手机进行授课。</w:t>
            </w:r>
          </w:p>
          <w:p w14:paraId="6D55CA3A">
            <w:pPr>
              <w:keepNext w:val="0"/>
              <w:keepLines w:val="0"/>
              <w:pageBreakBefore w:val="0"/>
              <w:widowControl w:val="0"/>
              <w:numPr>
                <w:ilvl w:val="0"/>
                <w:numId w:val="85"/>
              </w:numPr>
              <w:kinsoku/>
              <w:wordWrap/>
              <w:overflowPunct/>
              <w:topLinePunct w:val="0"/>
              <w:autoSpaceDE/>
              <w:autoSpaceDN/>
              <w:bidi w:val="0"/>
              <w:adjustRightInd/>
              <w:snapToGrid/>
              <w:spacing w:line="340" w:lineRule="exact"/>
              <w:ind w:left="0" w:firstLine="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安全验证：系统必须具备断线锁屏等安全功能。</w:t>
            </w:r>
          </w:p>
        </w:tc>
        <w:tc>
          <w:tcPr>
            <w:tcW w:w="685" w:type="dxa"/>
            <w:vAlign w:val="center"/>
          </w:tcPr>
          <w:p w14:paraId="5D6FE32C">
            <w:pPr>
              <w:pStyle w:val="37"/>
              <w:keepNext w:val="0"/>
              <w:keepLines w:val="0"/>
              <w:pageBreakBefore w:val="0"/>
              <w:widowControl w:val="0"/>
              <w:kinsoku/>
              <w:wordWrap w:val="0"/>
              <w:overflowPunct/>
              <w:topLinePunct w:val="0"/>
              <w:autoSpaceDE/>
              <w:autoSpaceDN/>
              <w:bidi w:val="0"/>
              <w:adjustRightInd/>
              <w:ind w:left="0" w:leftChars="0"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napToGrid w:val="0"/>
                <w:color w:val="auto"/>
                <w:sz w:val="24"/>
                <w:szCs w:val="24"/>
                <w:highlight w:val="none"/>
                <w:lang w:val="en-US" w:eastAsia="zh-CN"/>
              </w:rPr>
              <w:t>1</w:t>
            </w:r>
          </w:p>
        </w:tc>
        <w:tc>
          <w:tcPr>
            <w:tcW w:w="402" w:type="pct"/>
            <w:vAlign w:val="center"/>
          </w:tcPr>
          <w:p w14:paraId="39595DB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套</w:t>
            </w:r>
          </w:p>
        </w:tc>
        <w:tc>
          <w:tcPr>
            <w:tcW w:w="352" w:type="pct"/>
            <w:vAlign w:val="center"/>
          </w:tcPr>
          <w:p w14:paraId="44FDD73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14:paraId="3DB1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3" w:type="pct"/>
            <w:gridSpan w:val="3"/>
            <w:vAlign w:val="center"/>
          </w:tcPr>
          <w:p w14:paraId="75F5060E">
            <w:pPr>
              <w:keepNext w:val="0"/>
              <w:keepLines w:val="0"/>
              <w:pageBreakBefore w:val="0"/>
              <w:widowControl w:val="0"/>
              <w:kinsoku/>
              <w:wordWrap/>
              <w:overflowPunct/>
              <w:topLinePunct w:val="0"/>
              <w:autoSpaceDE/>
              <w:autoSpaceDN/>
              <w:bidi w:val="0"/>
              <w:adjustRightInd/>
              <w:snapToGrid/>
              <w:spacing w:line="340" w:lineRule="exact"/>
              <w:ind w:left="0" w:firstLine="0"/>
              <w:jc w:val="center"/>
              <w:textAlignment w:val="auto"/>
              <w:rPr>
                <w:rFonts w:hint="eastAsia" w:ascii="仿宋" w:hAnsi="仿宋" w:eastAsia="仿宋" w:cs="仿宋"/>
                <w:sz w:val="21"/>
                <w:szCs w:val="21"/>
                <w:highlight w:val="none"/>
              </w:rPr>
            </w:pPr>
            <w:r>
              <w:rPr>
                <w:rFonts w:hint="eastAsia" w:ascii="仿宋" w:hAnsi="仿宋" w:eastAsia="仿宋" w:cs="仿宋"/>
                <w:b/>
                <w:bCs/>
                <w:sz w:val="21"/>
                <w:szCs w:val="21"/>
                <w:highlight w:val="none"/>
                <w:lang w:val="en-US" w:eastAsia="zh-CN"/>
              </w:rPr>
              <w:t>合计</w:t>
            </w:r>
          </w:p>
        </w:tc>
        <w:tc>
          <w:tcPr>
            <w:tcW w:w="402" w:type="pct"/>
            <w:vAlign w:val="center"/>
          </w:tcPr>
          <w:p w14:paraId="309A2BC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lang w:val="en-US" w:eastAsia="zh-CN"/>
              </w:rPr>
            </w:pPr>
          </w:p>
        </w:tc>
        <w:tc>
          <w:tcPr>
            <w:tcW w:w="402" w:type="pct"/>
            <w:vAlign w:val="center"/>
          </w:tcPr>
          <w:p w14:paraId="09E6D13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w:t>
            </w:r>
          </w:p>
        </w:tc>
        <w:tc>
          <w:tcPr>
            <w:tcW w:w="352" w:type="pct"/>
            <w:vAlign w:val="center"/>
          </w:tcPr>
          <w:p w14:paraId="0D11801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lang w:val="en-US" w:eastAsia="zh-CN"/>
              </w:rPr>
            </w:pPr>
          </w:p>
        </w:tc>
      </w:tr>
    </w:tbl>
    <w:p w14:paraId="3DE4CECF">
      <w:pPr>
        <w:pStyle w:val="37"/>
        <w:keepNext w:val="0"/>
        <w:keepLines w:val="0"/>
        <w:pageBreakBefore w:val="0"/>
        <w:widowControl w:val="0"/>
        <w:kinsoku/>
        <w:wordWrap w:val="0"/>
        <w:overflowPunct/>
        <w:topLinePunct w:val="0"/>
        <w:autoSpaceDE/>
        <w:autoSpaceDN/>
        <w:bidi w:val="0"/>
        <w:adjustRightInd/>
        <w:ind w:left="0" w:firstLine="0"/>
        <w:textAlignment w:val="auto"/>
        <w:rPr>
          <w:rFonts w:hint="eastAsia" w:ascii="仿宋" w:hAnsi="仿宋" w:eastAsia="仿宋" w:cs="仿宋"/>
          <w:snapToGrid w:val="0"/>
          <w:color w:val="auto"/>
          <w:sz w:val="24"/>
          <w:szCs w:val="24"/>
          <w:highlight w:val="none"/>
          <w:lang w:val="en-US" w:eastAsia="zh-CN"/>
        </w:rPr>
      </w:pPr>
    </w:p>
    <w:p w14:paraId="13167C39">
      <w:pPr>
        <w:pStyle w:val="55"/>
        <w:pageBreakBefore w:val="0"/>
        <w:widowControl w:val="0"/>
        <w:shd w:val="clear" w:color="auto" w:fill="auto"/>
        <w:kinsoku/>
        <w:wordWrap/>
        <w:overflowPunct/>
        <w:topLinePunct w:val="0"/>
        <w:bidi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注： </w:t>
      </w:r>
    </w:p>
    <w:p w14:paraId="34080E8E">
      <w:pPr>
        <w:ind w:firstLine="480" w:firstLineChars="200"/>
        <w:rPr>
          <w:rFonts w:hint="eastAsia" w:ascii="仿宋" w:hAnsi="仿宋" w:eastAsia="仿宋" w:cs="仿宋"/>
          <w:b w:val="0"/>
          <w:bCs w:val="0"/>
          <w:snapToGrid w:val="0"/>
          <w:color w:val="auto"/>
          <w:sz w:val="24"/>
          <w:szCs w:val="24"/>
          <w:highlight w:val="none"/>
          <w:lang w:val="en-US" w:eastAsia="zh-CN"/>
        </w:rPr>
      </w:pPr>
      <w:r>
        <w:rPr>
          <w:rFonts w:hint="eastAsia" w:ascii="仿宋" w:hAnsi="仿宋" w:eastAsia="仿宋" w:cs="仿宋"/>
          <w:b w:val="0"/>
          <w:bCs w:val="0"/>
          <w:snapToGrid w:val="0"/>
          <w:color w:val="auto"/>
          <w:sz w:val="24"/>
          <w:szCs w:val="24"/>
          <w:highlight w:val="none"/>
          <w:lang w:val="en-US" w:eastAsia="zh-CN"/>
        </w:rPr>
        <w:t xml:space="preserve">（1）投标时，以上技术参数描述中要求提供具体证明材料的，应按具体要求提供应提供的证明材料，未提供或提供内容不符合要求的，视为未响应技术参数。 </w:t>
      </w:r>
    </w:p>
    <w:p w14:paraId="45CC8E79">
      <w:pPr>
        <w:ind w:firstLine="480" w:firstLineChars="200"/>
        <w:rPr>
          <w:rFonts w:hint="eastAsia" w:ascii="仿宋" w:hAnsi="仿宋" w:eastAsia="仿宋" w:cs="仿宋"/>
          <w:b w:val="0"/>
          <w:bCs w:val="0"/>
          <w:snapToGrid w:val="0"/>
          <w:color w:val="auto"/>
          <w:sz w:val="24"/>
          <w:szCs w:val="24"/>
          <w:highlight w:val="none"/>
          <w:lang w:val="en-US" w:eastAsia="zh-CN"/>
        </w:rPr>
      </w:pPr>
      <w:r>
        <w:rPr>
          <w:rFonts w:hint="eastAsia" w:ascii="仿宋" w:hAnsi="仿宋" w:eastAsia="仿宋" w:cs="仿宋"/>
          <w:b w:val="0"/>
          <w:bCs w:val="0"/>
          <w:snapToGrid w:val="0"/>
          <w:color w:val="auto"/>
          <w:sz w:val="24"/>
          <w:szCs w:val="24"/>
          <w:highlight w:val="none"/>
          <w:lang w:val="en-US" w:eastAsia="zh-CN"/>
        </w:rPr>
        <w:t>（2）以上技术参数描述中未要求提供证明材料的，应自行据实提供相关证明材料 (同投标货物一致的产品手册、说明书、证书、使用功能截图、网络査询截图、检测报告等，以上其中一种均可)。</w:t>
      </w:r>
    </w:p>
    <w:p w14:paraId="29E8C6B6">
      <w:pPr>
        <w:ind w:firstLine="480" w:firstLineChars="200"/>
        <w:rPr>
          <w:rFonts w:hint="eastAsia" w:ascii="仿宋" w:hAnsi="仿宋" w:eastAsia="仿宋" w:cs="仿宋"/>
          <w:b w:val="0"/>
          <w:bCs w:val="0"/>
          <w:snapToGrid w:val="0"/>
          <w:color w:val="auto"/>
          <w:sz w:val="24"/>
          <w:szCs w:val="24"/>
          <w:highlight w:val="none"/>
          <w:lang w:val="en-US" w:eastAsia="zh-CN"/>
        </w:rPr>
      </w:pPr>
      <w:r>
        <w:rPr>
          <w:rFonts w:hint="eastAsia" w:ascii="仿宋" w:hAnsi="仿宋" w:eastAsia="仿宋" w:cs="仿宋"/>
          <w:b w:val="0"/>
          <w:bCs w:val="0"/>
          <w:snapToGrid w:val="0"/>
          <w:color w:val="auto"/>
          <w:sz w:val="24"/>
          <w:szCs w:val="24"/>
          <w:highlight w:val="none"/>
          <w:lang w:val="en-US" w:eastAsia="zh-CN"/>
        </w:rPr>
        <w:t>（3）以上有加“▲”的条款内容为本项目的重点技术或服务要求，投标人若有带“▲”的条款未响应或不满足，将按评分标准的规定进行扣分。</w:t>
      </w:r>
    </w:p>
    <w:p w14:paraId="7B6CF5F5">
      <w:pPr>
        <w:pStyle w:val="13"/>
        <w:ind w:firstLine="480" w:firstLineChars="200"/>
        <w:rPr>
          <w:rFonts w:hint="eastAsia" w:ascii="仿宋" w:hAnsi="仿宋" w:eastAsia="仿宋" w:cs="仿宋"/>
          <w:b w:val="0"/>
          <w:bCs w:val="0"/>
          <w:snapToGrid w:val="0"/>
          <w:color w:val="auto"/>
          <w:sz w:val="24"/>
          <w:szCs w:val="24"/>
          <w:highlight w:val="none"/>
          <w:lang w:val="en-US" w:eastAsia="zh-CN"/>
        </w:rPr>
      </w:pPr>
      <w:r>
        <w:rPr>
          <w:rFonts w:hint="eastAsia" w:ascii="仿宋" w:hAnsi="仿宋" w:eastAsia="仿宋" w:cs="仿宋"/>
          <w:b w:val="0"/>
          <w:bCs w:val="0"/>
          <w:snapToGrid w:val="0"/>
          <w:color w:val="auto"/>
          <w:sz w:val="24"/>
          <w:szCs w:val="24"/>
          <w:highlight w:val="none"/>
          <w:lang w:val="en-US" w:eastAsia="zh-CN"/>
        </w:rPr>
        <w:t>（4）投标文件未响应采购需求中分项数量的，视为无效投标。</w:t>
      </w:r>
    </w:p>
    <w:p w14:paraId="59825845">
      <w:pPr>
        <w:keepNext w:val="0"/>
        <w:keepLines w:val="0"/>
        <w:widowControl/>
        <w:suppressLineNumbers w:val="0"/>
        <w:ind w:firstLine="480" w:firstLineChars="200"/>
        <w:jc w:val="left"/>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（5）根据《关于调整优化节能产品、环境标志产品政府采购执行机制的通知》（财库〔2019〕9 号文）的规定，采购需求中属于节能产品政府采购品目清单中政府强制采购产品的，相关认证不参与加分。投标人所投产品必须符合节能产品要求，且需提供证明材料（提供国家确认的认证机构出具的、处于有效期之内的节能产品认证证书），不符合节能产品要求或未提供节能产品认证证书的作无效标处理。</w:t>
      </w:r>
    </w:p>
    <w:p w14:paraId="1513B9FC">
      <w:pPr>
        <w:ind w:firstLine="480" w:firstLineChars="200"/>
        <w:rPr>
          <w:rFonts w:hint="eastAsia" w:ascii="仿宋" w:hAnsi="仿宋" w:eastAsia="仿宋" w:cs="仿宋"/>
          <w:b w:val="0"/>
          <w:bCs w:val="0"/>
          <w:snapToGrid w:val="0"/>
          <w:color w:val="auto"/>
          <w:sz w:val="24"/>
          <w:szCs w:val="24"/>
          <w:highlight w:val="none"/>
          <w:lang w:val="en-US" w:eastAsia="zh-CN"/>
        </w:rPr>
      </w:pPr>
      <w:r>
        <w:rPr>
          <w:rFonts w:hint="eastAsia" w:ascii="仿宋" w:hAnsi="仿宋" w:eastAsia="仿宋" w:cs="仿宋"/>
          <w:b w:val="0"/>
          <w:bCs w:val="0"/>
          <w:snapToGrid w:val="0"/>
          <w:color w:val="auto"/>
          <w:sz w:val="24"/>
          <w:szCs w:val="24"/>
          <w:highlight w:val="none"/>
          <w:lang w:val="en-US" w:eastAsia="zh-CN"/>
        </w:rPr>
        <w:t>（6）本项目为“交钥匙项目”各项购买货物及其运送、安装、调试、保险和相关服务等的费用及所需缴纳的所有价格、税、费等均应包含在单台设备的报价中不得单列。</w:t>
      </w:r>
    </w:p>
    <w:p w14:paraId="3E59BEC2">
      <w:pPr>
        <w:ind w:firstLine="480" w:firstLineChars="200"/>
        <w:rPr>
          <w:rFonts w:hint="eastAsia" w:ascii="仿宋" w:hAnsi="仿宋" w:eastAsia="仿宋" w:cs="仿宋"/>
          <w:b w:val="0"/>
          <w:bCs w:val="0"/>
          <w:snapToGrid w:val="0"/>
          <w:color w:val="auto"/>
          <w:sz w:val="24"/>
          <w:szCs w:val="24"/>
          <w:highlight w:val="none"/>
          <w:lang w:val="en-US" w:eastAsia="zh-CN"/>
        </w:rPr>
      </w:pPr>
      <w:r>
        <w:rPr>
          <w:rFonts w:hint="eastAsia" w:ascii="仿宋" w:hAnsi="仿宋" w:eastAsia="仿宋" w:cs="仿宋"/>
          <w:b w:val="0"/>
          <w:bCs w:val="0"/>
          <w:snapToGrid w:val="0"/>
          <w:color w:val="auto"/>
          <w:sz w:val="24"/>
          <w:szCs w:val="24"/>
          <w:highlight w:val="none"/>
          <w:lang w:val="en-US" w:eastAsia="zh-CN"/>
        </w:rPr>
        <w:t>（7）如对本招标文件有任何疑问或要求澄清，请按本招标文件的规定提出，否则视同理解和接受。</w:t>
      </w:r>
    </w:p>
    <w:p w14:paraId="3A6F5D03">
      <w:pPr>
        <w:ind w:firstLine="480" w:firstLineChars="200"/>
        <w:rPr>
          <w:rFonts w:hint="eastAsia" w:ascii="仿宋" w:hAnsi="仿宋" w:eastAsia="仿宋" w:cs="仿宋"/>
          <w:b w:val="0"/>
          <w:bCs w:val="0"/>
          <w:snapToGrid w:val="0"/>
          <w:color w:val="auto"/>
          <w:sz w:val="24"/>
          <w:szCs w:val="24"/>
          <w:highlight w:val="none"/>
          <w:lang w:val="en-US" w:eastAsia="zh-CN"/>
        </w:rPr>
      </w:pPr>
      <w:r>
        <w:rPr>
          <w:rFonts w:hint="eastAsia" w:ascii="仿宋" w:hAnsi="仿宋" w:eastAsia="仿宋" w:cs="仿宋"/>
          <w:b w:val="0"/>
          <w:bCs w:val="0"/>
          <w:snapToGrid w:val="0"/>
          <w:color w:val="auto"/>
          <w:sz w:val="24"/>
          <w:szCs w:val="24"/>
          <w:highlight w:val="none"/>
          <w:lang w:val="en-US" w:eastAsia="zh-CN"/>
        </w:rPr>
        <w:t>（8）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01B5DB8E">
      <w:pPr>
        <w:rPr>
          <w:rFonts w:hint="eastAsia" w:ascii="仿宋" w:hAnsi="仿宋" w:eastAsia="仿宋" w:cs="仿宋"/>
          <w:b w:val="0"/>
          <w:bCs w:val="0"/>
          <w:snapToGrid w:val="0"/>
          <w:color w:val="auto"/>
          <w:sz w:val="24"/>
          <w:szCs w:val="24"/>
          <w:highlight w:val="none"/>
          <w:lang w:val="en-US" w:eastAsia="zh-CN"/>
        </w:rPr>
      </w:pPr>
      <w:r>
        <w:rPr>
          <w:rFonts w:hint="eastAsia" w:ascii="仿宋" w:hAnsi="仿宋" w:eastAsia="仿宋" w:cs="仿宋"/>
          <w:b w:val="0"/>
          <w:bCs w:val="0"/>
          <w:snapToGrid w:val="0"/>
          <w:color w:val="auto"/>
          <w:sz w:val="24"/>
          <w:szCs w:val="24"/>
          <w:highlight w:val="none"/>
          <w:lang w:val="en-US" w:eastAsia="zh-CN"/>
        </w:rPr>
        <w:t>（9）投标人如欲在项目实施过程中采用自有知识成果，须在投标文件中声明，并提供相关知识产权证明文件。使用该知识成果后，投标人须提供开发接口和开发手册等技术文档。</w:t>
      </w:r>
    </w:p>
    <w:p w14:paraId="68D2660E">
      <w:pPr>
        <w:rPr>
          <w:rFonts w:ascii="仿宋" w:hAnsi="仿宋" w:eastAsia="仿宋" w:cs="仿宋"/>
          <w:b/>
          <w:bCs/>
          <w:snapToGrid w:val="0"/>
          <w:color w:val="auto"/>
          <w:sz w:val="24"/>
          <w:szCs w:val="24"/>
          <w:highlight w:val="none"/>
          <w:lang w:val="en-US" w:eastAsia="zh-CN"/>
        </w:rPr>
      </w:pPr>
      <w:r>
        <w:rPr>
          <w:rFonts w:ascii="仿宋" w:hAnsi="仿宋" w:eastAsia="仿宋" w:cs="仿宋"/>
          <w:b/>
          <w:bCs/>
          <w:snapToGrid w:val="0"/>
          <w:color w:val="auto"/>
          <w:sz w:val="24"/>
          <w:szCs w:val="24"/>
          <w:highlight w:val="none"/>
          <w:lang w:val="en-US" w:eastAsia="zh-CN"/>
        </w:rPr>
        <w:t xml:space="preserve">附表：参与实施政府采购节能产品和政府采购环境标志产品认证机构名录 </w:t>
      </w:r>
    </w:p>
    <w:p w14:paraId="28E8FD4E">
      <w:pPr>
        <w:rPr>
          <w:rFonts w:ascii="仿宋" w:hAnsi="仿宋" w:eastAsia="仿宋" w:cs="仿宋"/>
          <w:b/>
          <w:bCs/>
          <w:snapToGrid w:val="0"/>
          <w:color w:val="auto"/>
          <w:sz w:val="24"/>
          <w:szCs w:val="24"/>
          <w:highlight w:val="none"/>
          <w:lang w:val="en-US" w:eastAsia="zh-CN"/>
        </w:rPr>
      </w:pPr>
      <w:r>
        <w:rPr>
          <w:rFonts w:ascii="仿宋" w:hAnsi="仿宋" w:eastAsia="仿宋" w:cs="仿宋"/>
          <w:b/>
          <w:bCs/>
          <w:snapToGrid w:val="0"/>
          <w:color w:val="auto"/>
          <w:sz w:val="24"/>
          <w:szCs w:val="24"/>
          <w:highlight w:val="none"/>
          <w:lang w:val="en-US" w:eastAsia="zh-CN"/>
        </w:rPr>
        <w:t>参与实施政府采购节能产品认证机构名录</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11"/>
        <w:gridCol w:w="1167"/>
        <w:gridCol w:w="1029"/>
        <w:gridCol w:w="1531"/>
        <w:gridCol w:w="1350"/>
        <w:gridCol w:w="2833"/>
      </w:tblGrid>
      <w:tr w14:paraId="0E304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7" w:hRule="atLeast"/>
        </w:trPr>
        <w:tc>
          <w:tcPr>
            <w:tcW w:w="866" w:type="dxa"/>
            <w:vMerge w:val="restar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85D0C46">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序号</w:t>
            </w:r>
          </w:p>
        </w:tc>
        <w:tc>
          <w:tcPr>
            <w:tcW w:w="3326"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23D4BB98">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一级目录</w:t>
            </w:r>
          </w:p>
        </w:tc>
        <w:tc>
          <w:tcPr>
            <w:tcW w:w="4045"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39614D6E">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二级目录</w:t>
            </w:r>
          </w:p>
        </w:tc>
        <w:tc>
          <w:tcPr>
            <w:tcW w:w="5844"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340CAA85">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认证机构名录</w:t>
            </w:r>
          </w:p>
        </w:tc>
      </w:tr>
      <w:tr w14:paraId="7EA88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4" w:hRule="atLeast"/>
        </w:trPr>
        <w:tc>
          <w:tcPr>
            <w:tcW w:w="866"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A32BE9A">
            <w:pPr>
              <w:rPr>
                <w:highlight w:val="none"/>
              </w:rPr>
            </w:pPr>
          </w:p>
        </w:tc>
        <w:tc>
          <w:tcPr>
            <w:tcW w:w="1432" w:type="dxa"/>
            <w:tcBorders>
              <w:top w:val="nil"/>
              <w:left w:val="nil"/>
              <w:bottom w:val="single" w:color="auto" w:sz="8" w:space="0"/>
              <w:right w:val="single" w:color="auto" w:sz="8" w:space="0"/>
            </w:tcBorders>
            <w:shd w:val="clear" w:color="auto" w:fill="FFFFFF"/>
            <w:tcMar>
              <w:left w:w="108" w:type="dxa"/>
              <w:right w:w="108" w:type="dxa"/>
            </w:tcMar>
            <w:vAlign w:val="center"/>
          </w:tcPr>
          <w:p w14:paraId="16B3DD3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产品代码</w:t>
            </w:r>
          </w:p>
        </w:tc>
        <w:tc>
          <w:tcPr>
            <w:tcW w:w="1894" w:type="dxa"/>
            <w:tcBorders>
              <w:top w:val="nil"/>
              <w:left w:val="nil"/>
              <w:bottom w:val="single" w:color="auto" w:sz="8" w:space="0"/>
              <w:right w:val="single" w:color="auto" w:sz="8" w:space="0"/>
            </w:tcBorders>
            <w:shd w:val="clear" w:color="auto" w:fill="FFFFFF"/>
            <w:tcMar>
              <w:left w:w="108" w:type="dxa"/>
              <w:right w:w="108" w:type="dxa"/>
            </w:tcMar>
            <w:vAlign w:val="center"/>
          </w:tcPr>
          <w:p w14:paraId="186F613D">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产品名称</w:t>
            </w: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7516BF6F">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产品代码</w:t>
            </w: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15254774">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产品名称</w:t>
            </w:r>
          </w:p>
        </w:tc>
        <w:tc>
          <w:tcPr>
            <w:tcW w:w="5844"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tcPr>
          <w:p w14:paraId="32EDBC95">
            <w:pPr>
              <w:rPr>
                <w:highlight w:val="none"/>
              </w:rPr>
            </w:pPr>
          </w:p>
        </w:tc>
      </w:tr>
      <w:tr w14:paraId="624D7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trPr>
        <w:tc>
          <w:tcPr>
            <w:tcW w:w="866"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179978C">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1</w:t>
            </w:r>
          </w:p>
        </w:tc>
        <w:tc>
          <w:tcPr>
            <w:tcW w:w="1432"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3C3D3266">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A020101</w:t>
            </w:r>
          </w:p>
        </w:tc>
        <w:tc>
          <w:tcPr>
            <w:tcW w:w="1894"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3C442798">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计算机设备</w:t>
            </w: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4AAFB056">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A02010104</w:t>
            </w: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2A8D937C">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台式计算机</w:t>
            </w:r>
          </w:p>
        </w:tc>
        <w:tc>
          <w:tcPr>
            <w:tcW w:w="5844"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5D020C5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中国质量认证中心</w:t>
            </w:r>
          </w:p>
          <w:p w14:paraId="39AEF4C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北京赛西认证有限责任公司</w:t>
            </w:r>
          </w:p>
          <w:p w14:paraId="709AF00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中国网络安全审查技术与认证中心</w:t>
            </w:r>
          </w:p>
          <w:p w14:paraId="7DF30BF6">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广州赛宝认证中心服务有限公司</w:t>
            </w:r>
          </w:p>
        </w:tc>
      </w:tr>
      <w:tr w14:paraId="13C57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atLeast"/>
        </w:trPr>
        <w:tc>
          <w:tcPr>
            <w:tcW w:w="86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A9EA5D5">
            <w:pPr>
              <w:rPr>
                <w:highlight w:val="none"/>
              </w:rPr>
            </w:pPr>
          </w:p>
        </w:tc>
        <w:tc>
          <w:tcPr>
            <w:tcW w:w="143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7E69385A">
            <w:pPr>
              <w:rPr>
                <w:highlight w:val="none"/>
              </w:rPr>
            </w:pPr>
          </w:p>
        </w:tc>
        <w:tc>
          <w:tcPr>
            <w:tcW w:w="189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52907A82">
            <w:pPr>
              <w:rPr>
                <w:highlight w:val="none"/>
              </w:rPr>
            </w:pP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530D7BC0">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A02010105</w:t>
            </w: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08DEB6E6">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便携式计算机</w:t>
            </w:r>
          </w:p>
        </w:tc>
        <w:tc>
          <w:tcPr>
            <w:tcW w:w="584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782857B6">
            <w:pPr>
              <w:rPr>
                <w:highlight w:val="none"/>
              </w:rPr>
            </w:pPr>
          </w:p>
        </w:tc>
      </w:tr>
      <w:tr w14:paraId="0C4F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6" w:hRule="atLeast"/>
        </w:trPr>
        <w:tc>
          <w:tcPr>
            <w:tcW w:w="86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03B1577">
            <w:pPr>
              <w:rPr>
                <w:highlight w:val="none"/>
              </w:rPr>
            </w:pPr>
          </w:p>
        </w:tc>
        <w:tc>
          <w:tcPr>
            <w:tcW w:w="143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302202B5">
            <w:pPr>
              <w:rPr>
                <w:highlight w:val="none"/>
              </w:rPr>
            </w:pPr>
          </w:p>
        </w:tc>
        <w:tc>
          <w:tcPr>
            <w:tcW w:w="189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045D5B3B">
            <w:pPr>
              <w:rPr>
                <w:highlight w:val="none"/>
              </w:rPr>
            </w:pP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4D3E74F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A02010107</w:t>
            </w: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4516FA5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平板式微型计算机</w:t>
            </w:r>
          </w:p>
        </w:tc>
        <w:tc>
          <w:tcPr>
            <w:tcW w:w="584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2E8E2134">
            <w:pPr>
              <w:rPr>
                <w:highlight w:val="none"/>
              </w:rPr>
            </w:pPr>
          </w:p>
        </w:tc>
      </w:tr>
      <w:tr w14:paraId="76098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atLeast"/>
        </w:trPr>
        <w:tc>
          <w:tcPr>
            <w:tcW w:w="866"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2BE7BB2">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2</w:t>
            </w:r>
          </w:p>
        </w:tc>
        <w:tc>
          <w:tcPr>
            <w:tcW w:w="1432"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2F616232">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A020106</w:t>
            </w:r>
          </w:p>
        </w:tc>
        <w:tc>
          <w:tcPr>
            <w:tcW w:w="1894"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0CD79C10">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输入输出设备</w:t>
            </w: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6B1B88E2">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A02010601</w:t>
            </w: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79E7638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打印设备</w:t>
            </w:r>
          </w:p>
        </w:tc>
        <w:tc>
          <w:tcPr>
            <w:tcW w:w="584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50842265">
            <w:pPr>
              <w:rPr>
                <w:highlight w:val="none"/>
              </w:rPr>
            </w:pPr>
          </w:p>
        </w:tc>
      </w:tr>
      <w:tr w14:paraId="1E8C8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atLeast"/>
        </w:trPr>
        <w:tc>
          <w:tcPr>
            <w:tcW w:w="86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A837A14">
            <w:pPr>
              <w:rPr>
                <w:highlight w:val="none"/>
              </w:rPr>
            </w:pPr>
          </w:p>
        </w:tc>
        <w:tc>
          <w:tcPr>
            <w:tcW w:w="143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10CB7F89">
            <w:pPr>
              <w:rPr>
                <w:highlight w:val="none"/>
              </w:rPr>
            </w:pPr>
          </w:p>
        </w:tc>
        <w:tc>
          <w:tcPr>
            <w:tcW w:w="189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235F5A46">
            <w:pPr>
              <w:rPr>
                <w:highlight w:val="none"/>
              </w:rPr>
            </w:pP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659F488D">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A02010604</w:t>
            </w: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1B28CD8F">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显示设备</w:t>
            </w:r>
          </w:p>
        </w:tc>
        <w:tc>
          <w:tcPr>
            <w:tcW w:w="584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7D0ABC70">
            <w:pPr>
              <w:rPr>
                <w:highlight w:val="none"/>
              </w:rPr>
            </w:pPr>
          </w:p>
        </w:tc>
      </w:tr>
      <w:tr w14:paraId="62CE6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trPr>
        <w:tc>
          <w:tcPr>
            <w:tcW w:w="86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7B13487">
            <w:pPr>
              <w:rPr>
                <w:highlight w:val="none"/>
              </w:rPr>
            </w:pPr>
          </w:p>
        </w:tc>
        <w:tc>
          <w:tcPr>
            <w:tcW w:w="143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785ED396">
            <w:pPr>
              <w:rPr>
                <w:highlight w:val="none"/>
              </w:rPr>
            </w:pPr>
          </w:p>
        </w:tc>
        <w:tc>
          <w:tcPr>
            <w:tcW w:w="189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462224CB">
            <w:pPr>
              <w:rPr>
                <w:highlight w:val="none"/>
              </w:rPr>
            </w:pP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2D54FDF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A02010609</w:t>
            </w: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227AA620">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图形图像输入设备</w:t>
            </w:r>
          </w:p>
        </w:tc>
        <w:tc>
          <w:tcPr>
            <w:tcW w:w="584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051C715D">
            <w:pPr>
              <w:rPr>
                <w:highlight w:val="none"/>
              </w:rPr>
            </w:pPr>
          </w:p>
        </w:tc>
      </w:tr>
      <w:tr w14:paraId="79DF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atLeast"/>
        </w:trPr>
        <w:tc>
          <w:tcPr>
            <w:tcW w:w="8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9CFAED8">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3</w:t>
            </w:r>
          </w:p>
        </w:tc>
        <w:tc>
          <w:tcPr>
            <w:tcW w:w="1432" w:type="dxa"/>
            <w:tcBorders>
              <w:top w:val="nil"/>
              <w:left w:val="nil"/>
              <w:bottom w:val="single" w:color="auto" w:sz="8" w:space="0"/>
              <w:right w:val="single" w:color="auto" w:sz="8" w:space="0"/>
            </w:tcBorders>
            <w:shd w:val="clear" w:color="auto" w:fill="FFFFFF"/>
            <w:tcMar>
              <w:left w:w="108" w:type="dxa"/>
              <w:right w:w="108" w:type="dxa"/>
            </w:tcMar>
            <w:vAlign w:val="center"/>
          </w:tcPr>
          <w:p w14:paraId="350A02A3">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A020202</w:t>
            </w:r>
          </w:p>
        </w:tc>
        <w:tc>
          <w:tcPr>
            <w:tcW w:w="1894" w:type="dxa"/>
            <w:tcBorders>
              <w:top w:val="nil"/>
              <w:left w:val="nil"/>
              <w:bottom w:val="single" w:color="auto" w:sz="8" w:space="0"/>
              <w:right w:val="single" w:color="auto" w:sz="8" w:space="0"/>
            </w:tcBorders>
            <w:shd w:val="clear" w:color="auto" w:fill="FFFFFF"/>
            <w:tcMar>
              <w:left w:w="108" w:type="dxa"/>
              <w:right w:w="108" w:type="dxa"/>
            </w:tcMar>
            <w:vAlign w:val="center"/>
          </w:tcPr>
          <w:p w14:paraId="0690F3C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投影仪</w:t>
            </w: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3BE17AA3">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4CD79D27">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p>
        </w:tc>
        <w:tc>
          <w:tcPr>
            <w:tcW w:w="584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4F3583C6">
            <w:pPr>
              <w:rPr>
                <w:highlight w:val="none"/>
              </w:rPr>
            </w:pPr>
          </w:p>
        </w:tc>
      </w:tr>
      <w:tr w14:paraId="1D3B3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atLeast"/>
        </w:trPr>
        <w:tc>
          <w:tcPr>
            <w:tcW w:w="8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05067C8">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4</w:t>
            </w:r>
          </w:p>
        </w:tc>
        <w:tc>
          <w:tcPr>
            <w:tcW w:w="1432" w:type="dxa"/>
            <w:tcBorders>
              <w:top w:val="nil"/>
              <w:left w:val="nil"/>
              <w:bottom w:val="single" w:color="auto" w:sz="8" w:space="0"/>
              <w:right w:val="single" w:color="auto" w:sz="8" w:space="0"/>
            </w:tcBorders>
            <w:shd w:val="clear" w:color="auto" w:fill="FFFFFF"/>
            <w:tcMar>
              <w:left w:w="108" w:type="dxa"/>
              <w:right w:w="108" w:type="dxa"/>
            </w:tcMar>
            <w:vAlign w:val="center"/>
          </w:tcPr>
          <w:p w14:paraId="3DEE0696">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A020204</w:t>
            </w:r>
          </w:p>
        </w:tc>
        <w:tc>
          <w:tcPr>
            <w:tcW w:w="1894" w:type="dxa"/>
            <w:tcBorders>
              <w:top w:val="nil"/>
              <w:left w:val="nil"/>
              <w:bottom w:val="single" w:color="auto" w:sz="8" w:space="0"/>
              <w:right w:val="single" w:color="auto" w:sz="8" w:space="0"/>
            </w:tcBorders>
            <w:shd w:val="clear" w:color="auto" w:fill="FFFFFF"/>
            <w:tcMar>
              <w:left w:w="108" w:type="dxa"/>
              <w:right w:w="108" w:type="dxa"/>
            </w:tcMar>
            <w:vAlign w:val="center"/>
          </w:tcPr>
          <w:p w14:paraId="5035B5D3">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多功能一体机</w:t>
            </w: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2338CC2F">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2A63C964">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p>
        </w:tc>
        <w:tc>
          <w:tcPr>
            <w:tcW w:w="584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70F7A49B">
            <w:pPr>
              <w:rPr>
                <w:highlight w:val="none"/>
              </w:rPr>
            </w:pPr>
          </w:p>
        </w:tc>
      </w:tr>
      <w:tr w14:paraId="694D9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8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122DE4">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5</w:t>
            </w:r>
          </w:p>
        </w:tc>
        <w:tc>
          <w:tcPr>
            <w:tcW w:w="1432" w:type="dxa"/>
            <w:tcBorders>
              <w:top w:val="nil"/>
              <w:left w:val="nil"/>
              <w:bottom w:val="single" w:color="auto" w:sz="8" w:space="0"/>
              <w:right w:val="single" w:color="auto" w:sz="8" w:space="0"/>
            </w:tcBorders>
            <w:shd w:val="clear" w:color="auto" w:fill="FFFFFF"/>
            <w:tcMar>
              <w:left w:w="108" w:type="dxa"/>
              <w:right w:w="108" w:type="dxa"/>
            </w:tcMar>
            <w:vAlign w:val="center"/>
          </w:tcPr>
          <w:p w14:paraId="2E0F86E0">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A020519</w:t>
            </w:r>
          </w:p>
        </w:tc>
        <w:tc>
          <w:tcPr>
            <w:tcW w:w="1894" w:type="dxa"/>
            <w:tcBorders>
              <w:top w:val="nil"/>
              <w:left w:val="nil"/>
              <w:bottom w:val="single" w:color="auto" w:sz="8" w:space="0"/>
              <w:right w:val="single" w:color="auto" w:sz="8" w:space="0"/>
            </w:tcBorders>
            <w:shd w:val="clear" w:color="auto" w:fill="FFFFFF"/>
            <w:tcMar>
              <w:left w:w="108" w:type="dxa"/>
              <w:right w:w="108" w:type="dxa"/>
            </w:tcMar>
            <w:vAlign w:val="center"/>
          </w:tcPr>
          <w:p w14:paraId="6A1B13EF">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泵</w:t>
            </w: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630096F8">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A02051901</w:t>
            </w: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6C79556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离心泵</w:t>
            </w:r>
          </w:p>
        </w:tc>
        <w:tc>
          <w:tcPr>
            <w:tcW w:w="5844" w:type="dxa"/>
            <w:tcBorders>
              <w:top w:val="nil"/>
              <w:left w:val="nil"/>
              <w:bottom w:val="single" w:color="auto" w:sz="8" w:space="0"/>
              <w:right w:val="single" w:color="auto" w:sz="8" w:space="0"/>
            </w:tcBorders>
            <w:shd w:val="clear" w:color="auto" w:fill="FFFFFF"/>
            <w:tcMar>
              <w:left w:w="108" w:type="dxa"/>
              <w:right w:w="108" w:type="dxa"/>
            </w:tcMar>
            <w:vAlign w:val="center"/>
          </w:tcPr>
          <w:p w14:paraId="5A3E1408">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中国质量认证中心</w:t>
            </w:r>
          </w:p>
          <w:p w14:paraId="346768E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电能（北京）认证中心有限公司</w:t>
            </w:r>
          </w:p>
          <w:p w14:paraId="547BB7CE">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方圆标志认证集团有限公司</w:t>
            </w:r>
          </w:p>
        </w:tc>
      </w:tr>
      <w:tr w14:paraId="4D50D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atLeast"/>
        </w:trPr>
        <w:tc>
          <w:tcPr>
            <w:tcW w:w="866"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2FE053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6</w:t>
            </w:r>
          </w:p>
        </w:tc>
        <w:tc>
          <w:tcPr>
            <w:tcW w:w="1432"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35A869BC">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A020523</w:t>
            </w:r>
          </w:p>
        </w:tc>
        <w:tc>
          <w:tcPr>
            <w:tcW w:w="1894"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63CA9447">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制冷空调设备</w:t>
            </w: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3022301E">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A02052301</w:t>
            </w: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621A825D">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制冷压缩机</w:t>
            </w:r>
          </w:p>
        </w:tc>
        <w:tc>
          <w:tcPr>
            <w:tcW w:w="5844"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22C2176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中国质量认证中心</w:t>
            </w:r>
          </w:p>
          <w:p w14:paraId="251B175B">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威凯认证检测有限公司</w:t>
            </w:r>
          </w:p>
          <w:p w14:paraId="18E9B830">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合肥通用机械产品认证有限公司</w:t>
            </w:r>
          </w:p>
          <w:p w14:paraId="088FCBEF">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北京中冷通质量认证中心有限公司</w:t>
            </w:r>
          </w:p>
        </w:tc>
      </w:tr>
      <w:tr w14:paraId="27308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atLeast"/>
        </w:trPr>
        <w:tc>
          <w:tcPr>
            <w:tcW w:w="86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F2469AE">
            <w:pPr>
              <w:rPr>
                <w:highlight w:val="none"/>
              </w:rPr>
            </w:pPr>
          </w:p>
        </w:tc>
        <w:tc>
          <w:tcPr>
            <w:tcW w:w="143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38F63EF4">
            <w:pPr>
              <w:rPr>
                <w:highlight w:val="none"/>
              </w:rPr>
            </w:pPr>
          </w:p>
        </w:tc>
        <w:tc>
          <w:tcPr>
            <w:tcW w:w="189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3752E891">
            <w:pPr>
              <w:rPr>
                <w:highlight w:val="none"/>
              </w:rPr>
            </w:pP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72D529C6">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A02052305</w:t>
            </w: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4155BB2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空调机组</w:t>
            </w:r>
          </w:p>
        </w:tc>
        <w:tc>
          <w:tcPr>
            <w:tcW w:w="584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63F02B24">
            <w:pPr>
              <w:rPr>
                <w:highlight w:val="none"/>
              </w:rPr>
            </w:pPr>
          </w:p>
        </w:tc>
      </w:tr>
      <w:tr w14:paraId="63A8B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trPr>
        <w:tc>
          <w:tcPr>
            <w:tcW w:w="86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A9B53B5">
            <w:pPr>
              <w:rPr>
                <w:highlight w:val="none"/>
              </w:rPr>
            </w:pPr>
          </w:p>
        </w:tc>
        <w:tc>
          <w:tcPr>
            <w:tcW w:w="143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649FE8E3">
            <w:pPr>
              <w:rPr>
                <w:highlight w:val="none"/>
              </w:rPr>
            </w:pPr>
          </w:p>
        </w:tc>
        <w:tc>
          <w:tcPr>
            <w:tcW w:w="189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0566FE7D">
            <w:pPr>
              <w:rPr>
                <w:highlight w:val="none"/>
              </w:rPr>
            </w:pP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568A58FF">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A02052309</w:t>
            </w: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04A908D4">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专用制冷、空调设备</w:t>
            </w:r>
          </w:p>
        </w:tc>
        <w:tc>
          <w:tcPr>
            <w:tcW w:w="584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68E6CE62">
            <w:pPr>
              <w:rPr>
                <w:highlight w:val="none"/>
              </w:rPr>
            </w:pPr>
          </w:p>
        </w:tc>
      </w:tr>
      <w:tr w14:paraId="1928C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9" w:hRule="atLeast"/>
        </w:trPr>
        <w:tc>
          <w:tcPr>
            <w:tcW w:w="86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420003D">
            <w:pPr>
              <w:rPr>
                <w:highlight w:val="none"/>
              </w:rPr>
            </w:pPr>
          </w:p>
        </w:tc>
        <w:tc>
          <w:tcPr>
            <w:tcW w:w="143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6532C60E">
            <w:pPr>
              <w:rPr>
                <w:highlight w:val="none"/>
              </w:rPr>
            </w:pPr>
          </w:p>
        </w:tc>
        <w:tc>
          <w:tcPr>
            <w:tcW w:w="189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135E2F55">
            <w:pPr>
              <w:rPr>
                <w:highlight w:val="none"/>
              </w:rPr>
            </w:pP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3E673BBB">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A02052399</w:t>
            </w: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6531B68E">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其他制冷空调设备</w:t>
            </w:r>
          </w:p>
        </w:tc>
        <w:tc>
          <w:tcPr>
            <w:tcW w:w="584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61967515">
            <w:pPr>
              <w:rPr>
                <w:highlight w:val="none"/>
              </w:rPr>
            </w:pPr>
          </w:p>
        </w:tc>
      </w:tr>
      <w:tr w14:paraId="5565D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3" w:hRule="atLeast"/>
        </w:trPr>
        <w:tc>
          <w:tcPr>
            <w:tcW w:w="8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896FBFE">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7</w:t>
            </w:r>
          </w:p>
        </w:tc>
        <w:tc>
          <w:tcPr>
            <w:tcW w:w="1432" w:type="dxa"/>
            <w:tcBorders>
              <w:top w:val="nil"/>
              <w:left w:val="nil"/>
              <w:bottom w:val="single" w:color="auto" w:sz="8" w:space="0"/>
              <w:right w:val="single" w:color="auto" w:sz="8" w:space="0"/>
            </w:tcBorders>
            <w:shd w:val="clear" w:color="auto" w:fill="FFFFFF"/>
            <w:tcMar>
              <w:left w:w="108" w:type="dxa"/>
              <w:right w:w="108" w:type="dxa"/>
            </w:tcMar>
            <w:vAlign w:val="center"/>
          </w:tcPr>
          <w:p w14:paraId="18E43735">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A020601</w:t>
            </w:r>
          </w:p>
        </w:tc>
        <w:tc>
          <w:tcPr>
            <w:tcW w:w="1894" w:type="dxa"/>
            <w:tcBorders>
              <w:top w:val="nil"/>
              <w:left w:val="nil"/>
              <w:bottom w:val="single" w:color="auto" w:sz="8" w:space="0"/>
              <w:right w:val="single" w:color="auto" w:sz="8" w:space="0"/>
            </w:tcBorders>
            <w:shd w:val="clear" w:color="auto" w:fill="FFFFFF"/>
            <w:tcMar>
              <w:left w:w="108" w:type="dxa"/>
              <w:right w:w="108" w:type="dxa"/>
            </w:tcMar>
            <w:vAlign w:val="center"/>
          </w:tcPr>
          <w:p w14:paraId="28F67E9B">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电机</w:t>
            </w: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34C5DEDE">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66A211F7">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p>
        </w:tc>
        <w:tc>
          <w:tcPr>
            <w:tcW w:w="5844" w:type="dxa"/>
            <w:tcBorders>
              <w:top w:val="nil"/>
              <w:left w:val="nil"/>
              <w:bottom w:val="single" w:color="auto" w:sz="8" w:space="0"/>
              <w:right w:val="single" w:color="auto" w:sz="8" w:space="0"/>
            </w:tcBorders>
            <w:shd w:val="clear" w:color="auto" w:fill="FFFFFF"/>
            <w:tcMar>
              <w:left w:w="108" w:type="dxa"/>
              <w:right w:w="108" w:type="dxa"/>
            </w:tcMar>
            <w:vAlign w:val="center"/>
          </w:tcPr>
          <w:p w14:paraId="442405B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中国质量认证中心</w:t>
            </w:r>
          </w:p>
          <w:p w14:paraId="500D9376">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威凯认证检测有限公司</w:t>
            </w:r>
          </w:p>
          <w:p w14:paraId="407E98FB">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电能（北京）认证中心有限公司</w:t>
            </w:r>
          </w:p>
          <w:p w14:paraId="73E3F743">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中国船级社质量认证公司</w:t>
            </w:r>
          </w:p>
        </w:tc>
      </w:tr>
      <w:tr w14:paraId="45B57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1" w:hRule="atLeast"/>
        </w:trPr>
        <w:tc>
          <w:tcPr>
            <w:tcW w:w="8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7BDDD1B">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8</w:t>
            </w:r>
          </w:p>
        </w:tc>
        <w:tc>
          <w:tcPr>
            <w:tcW w:w="1432" w:type="dxa"/>
            <w:tcBorders>
              <w:top w:val="nil"/>
              <w:left w:val="nil"/>
              <w:bottom w:val="single" w:color="auto" w:sz="8" w:space="0"/>
              <w:right w:val="single" w:color="auto" w:sz="8" w:space="0"/>
            </w:tcBorders>
            <w:shd w:val="clear" w:color="auto" w:fill="FFFFFF"/>
            <w:tcMar>
              <w:left w:w="108" w:type="dxa"/>
              <w:right w:w="108" w:type="dxa"/>
            </w:tcMar>
            <w:vAlign w:val="center"/>
          </w:tcPr>
          <w:p w14:paraId="594DC04E">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A020602</w:t>
            </w:r>
          </w:p>
        </w:tc>
        <w:tc>
          <w:tcPr>
            <w:tcW w:w="1894" w:type="dxa"/>
            <w:tcBorders>
              <w:top w:val="nil"/>
              <w:left w:val="nil"/>
              <w:bottom w:val="single" w:color="auto" w:sz="8" w:space="0"/>
              <w:right w:val="single" w:color="auto" w:sz="8" w:space="0"/>
            </w:tcBorders>
            <w:shd w:val="clear" w:color="auto" w:fill="FFFFFF"/>
            <w:tcMar>
              <w:left w:w="108" w:type="dxa"/>
              <w:right w:w="108" w:type="dxa"/>
            </w:tcMar>
            <w:vAlign w:val="center"/>
          </w:tcPr>
          <w:p w14:paraId="3CC1C68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变压器</w:t>
            </w: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111CFC9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21C9FC3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p>
        </w:tc>
        <w:tc>
          <w:tcPr>
            <w:tcW w:w="5844" w:type="dxa"/>
            <w:tcBorders>
              <w:top w:val="nil"/>
              <w:left w:val="nil"/>
              <w:bottom w:val="single" w:color="auto" w:sz="8" w:space="0"/>
              <w:right w:val="single" w:color="auto" w:sz="8" w:space="0"/>
            </w:tcBorders>
            <w:shd w:val="clear" w:color="auto" w:fill="FFFFFF"/>
            <w:tcMar>
              <w:left w:w="108" w:type="dxa"/>
              <w:right w:w="108" w:type="dxa"/>
            </w:tcMar>
            <w:vAlign w:val="center"/>
          </w:tcPr>
          <w:p w14:paraId="77FC451C">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中国质量认证中心</w:t>
            </w:r>
          </w:p>
          <w:p w14:paraId="4356197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电能（北京）认证中心有限公司</w:t>
            </w:r>
          </w:p>
          <w:p w14:paraId="1D03265B">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方圆标志认证集团有限公司</w:t>
            </w:r>
          </w:p>
        </w:tc>
      </w:tr>
      <w:tr w14:paraId="1A7AF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44" w:hRule="atLeast"/>
        </w:trPr>
        <w:tc>
          <w:tcPr>
            <w:tcW w:w="8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E0A68E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9</w:t>
            </w:r>
          </w:p>
        </w:tc>
        <w:tc>
          <w:tcPr>
            <w:tcW w:w="1432" w:type="dxa"/>
            <w:tcBorders>
              <w:top w:val="nil"/>
              <w:left w:val="nil"/>
              <w:bottom w:val="single" w:color="auto" w:sz="8" w:space="0"/>
              <w:right w:val="single" w:color="auto" w:sz="8" w:space="0"/>
            </w:tcBorders>
            <w:shd w:val="clear" w:color="auto" w:fill="FFFFFF"/>
            <w:tcMar>
              <w:left w:w="108" w:type="dxa"/>
              <w:right w:w="108" w:type="dxa"/>
            </w:tcMar>
            <w:vAlign w:val="center"/>
          </w:tcPr>
          <w:p w14:paraId="5ADC2962">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A020609</w:t>
            </w:r>
          </w:p>
        </w:tc>
        <w:tc>
          <w:tcPr>
            <w:tcW w:w="1894" w:type="dxa"/>
            <w:tcBorders>
              <w:top w:val="nil"/>
              <w:left w:val="nil"/>
              <w:bottom w:val="single" w:color="auto" w:sz="8" w:space="0"/>
              <w:right w:val="single" w:color="auto" w:sz="8" w:space="0"/>
            </w:tcBorders>
            <w:shd w:val="clear" w:color="auto" w:fill="FFFFFF"/>
            <w:tcMar>
              <w:left w:w="108" w:type="dxa"/>
              <w:right w:w="108" w:type="dxa"/>
            </w:tcMar>
            <w:vAlign w:val="center"/>
          </w:tcPr>
          <w:p w14:paraId="701FE11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镇流器</w:t>
            </w: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2EBF0C5C">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49795C4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p>
        </w:tc>
        <w:tc>
          <w:tcPr>
            <w:tcW w:w="5844" w:type="dxa"/>
            <w:tcBorders>
              <w:top w:val="nil"/>
              <w:left w:val="nil"/>
              <w:bottom w:val="single" w:color="auto" w:sz="8" w:space="0"/>
              <w:right w:val="single" w:color="auto" w:sz="8" w:space="0"/>
            </w:tcBorders>
            <w:shd w:val="clear" w:color="auto" w:fill="FFFFFF"/>
            <w:tcMar>
              <w:left w:w="108" w:type="dxa"/>
              <w:right w:w="108" w:type="dxa"/>
            </w:tcMar>
            <w:vAlign w:val="center"/>
          </w:tcPr>
          <w:p w14:paraId="20A452EC">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中国质量认证中心</w:t>
            </w:r>
          </w:p>
          <w:p w14:paraId="1BBB3D54">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深圳市计量质量检测研究院</w:t>
            </w:r>
          </w:p>
          <w:p w14:paraId="69C2B06C">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中标合信（北京）认证有限公司</w:t>
            </w:r>
          </w:p>
        </w:tc>
      </w:tr>
      <w:tr w14:paraId="56D3B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866"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DE212A0">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10</w:t>
            </w:r>
          </w:p>
        </w:tc>
        <w:tc>
          <w:tcPr>
            <w:tcW w:w="1432"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2C30A67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A020618</w:t>
            </w:r>
          </w:p>
        </w:tc>
        <w:tc>
          <w:tcPr>
            <w:tcW w:w="1894"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01DAD752">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生活用电器</w:t>
            </w: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3A983D0E">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A0206180101</w:t>
            </w: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52D74B3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电冰箱</w:t>
            </w:r>
          </w:p>
        </w:tc>
        <w:tc>
          <w:tcPr>
            <w:tcW w:w="5844" w:type="dxa"/>
            <w:tcBorders>
              <w:top w:val="nil"/>
              <w:left w:val="nil"/>
              <w:bottom w:val="single" w:color="auto" w:sz="8" w:space="0"/>
              <w:right w:val="single" w:color="auto" w:sz="8" w:space="0"/>
            </w:tcBorders>
            <w:shd w:val="clear" w:color="auto" w:fill="FFFFFF"/>
            <w:tcMar>
              <w:left w:w="108" w:type="dxa"/>
              <w:right w:w="108" w:type="dxa"/>
            </w:tcMar>
            <w:vAlign w:val="center"/>
          </w:tcPr>
          <w:p w14:paraId="10E0CBD2">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中国质量认证中心</w:t>
            </w:r>
          </w:p>
          <w:p w14:paraId="32E69EF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威凯认证检测有限公司</w:t>
            </w:r>
          </w:p>
          <w:p w14:paraId="52F0101D">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中家院（北京）检测认证有限公司</w:t>
            </w:r>
          </w:p>
        </w:tc>
      </w:tr>
      <w:tr w14:paraId="57F1E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trPr>
        <w:tc>
          <w:tcPr>
            <w:tcW w:w="86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87A66C">
            <w:pPr>
              <w:rPr>
                <w:highlight w:val="none"/>
              </w:rPr>
            </w:pPr>
          </w:p>
        </w:tc>
        <w:tc>
          <w:tcPr>
            <w:tcW w:w="143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775D4BE2">
            <w:pPr>
              <w:rPr>
                <w:highlight w:val="none"/>
              </w:rPr>
            </w:pPr>
          </w:p>
        </w:tc>
        <w:tc>
          <w:tcPr>
            <w:tcW w:w="189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2D6C687C">
            <w:pPr>
              <w:rPr>
                <w:highlight w:val="none"/>
              </w:rPr>
            </w:pP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52CAA476">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A0206180203</w:t>
            </w: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364089BE">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空调机</w:t>
            </w:r>
          </w:p>
        </w:tc>
        <w:tc>
          <w:tcPr>
            <w:tcW w:w="5844" w:type="dxa"/>
            <w:tcBorders>
              <w:top w:val="nil"/>
              <w:left w:val="nil"/>
              <w:bottom w:val="single" w:color="auto" w:sz="8" w:space="0"/>
              <w:right w:val="single" w:color="auto" w:sz="8" w:space="0"/>
            </w:tcBorders>
            <w:shd w:val="clear" w:color="auto" w:fill="FFFFFF"/>
            <w:tcMar>
              <w:left w:w="108" w:type="dxa"/>
              <w:right w:w="108" w:type="dxa"/>
            </w:tcMar>
            <w:vAlign w:val="center"/>
          </w:tcPr>
          <w:p w14:paraId="0815D3E6">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中国质量认证中心</w:t>
            </w:r>
          </w:p>
          <w:p w14:paraId="6EFF3283">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威凯认证检测有限公司</w:t>
            </w:r>
          </w:p>
          <w:p w14:paraId="3776A54F">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中家院（北京）检测认证有限公司</w:t>
            </w:r>
          </w:p>
          <w:p w14:paraId="066BA994">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合肥通用机械产品认证有限公司</w:t>
            </w:r>
          </w:p>
        </w:tc>
      </w:tr>
      <w:tr w14:paraId="25F48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atLeast"/>
        </w:trPr>
        <w:tc>
          <w:tcPr>
            <w:tcW w:w="86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1B74A6E">
            <w:pPr>
              <w:rPr>
                <w:highlight w:val="none"/>
              </w:rPr>
            </w:pPr>
          </w:p>
        </w:tc>
        <w:tc>
          <w:tcPr>
            <w:tcW w:w="143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5DB6D855">
            <w:pPr>
              <w:rPr>
                <w:highlight w:val="none"/>
              </w:rPr>
            </w:pPr>
          </w:p>
        </w:tc>
        <w:tc>
          <w:tcPr>
            <w:tcW w:w="189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4D397C1E">
            <w:pPr>
              <w:rPr>
                <w:highlight w:val="none"/>
              </w:rPr>
            </w:pP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03E7C9A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A0206180301</w:t>
            </w: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08B55753">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洗衣机</w:t>
            </w:r>
          </w:p>
        </w:tc>
        <w:tc>
          <w:tcPr>
            <w:tcW w:w="5844" w:type="dxa"/>
            <w:tcBorders>
              <w:top w:val="nil"/>
              <w:left w:val="nil"/>
              <w:bottom w:val="single" w:color="auto" w:sz="8" w:space="0"/>
              <w:right w:val="single" w:color="auto" w:sz="8" w:space="0"/>
            </w:tcBorders>
            <w:shd w:val="clear" w:color="auto" w:fill="FFFFFF"/>
            <w:tcMar>
              <w:left w:w="108" w:type="dxa"/>
              <w:right w:w="108" w:type="dxa"/>
            </w:tcMar>
            <w:vAlign w:val="center"/>
          </w:tcPr>
          <w:p w14:paraId="173049B0">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中国质量认证中心</w:t>
            </w:r>
          </w:p>
          <w:p w14:paraId="02A23C24">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威凯认证检测有限公司</w:t>
            </w:r>
          </w:p>
          <w:p w14:paraId="515FAC08">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中家院（北京）检测认证有限公司</w:t>
            </w:r>
          </w:p>
        </w:tc>
      </w:tr>
      <w:tr w14:paraId="3B541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atLeast"/>
        </w:trPr>
        <w:tc>
          <w:tcPr>
            <w:tcW w:w="86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9DA9E11">
            <w:pPr>
              <w:rPr>
                <w:highlight w:val="none"/>
              </w:rPr>
            </w:pPr>
          </w:p>
        </w:tc>
        <w:tc>
          <w:tcPr>
            <w:tcW w:w="143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111F3A9E">
            <w:pPr>
              <w:rPr>
                <w:highlight w:val="none"/>
              </w:rPr>
            </w:pPr>
          </w:p>
        </w:tc>
        <w:tc>
          <w:tcPr>
            <w:tcW w:w="189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54CADF74">
            <w:pPr>
              <w:rPr>
                <w:highlight w:val="none"/>
              </w:rPr>
            </w:pP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40CCBE9D">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A02061808</w:t>
            </w: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230E01B0">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热水器</w:t>
            </w:r>
          </w:p>
        </w:tc>
        <w:tc>
          <w:tcPr>
            <w:tcW w:w="5844" w:type="dxa"/>
            <w:tcBorders>
              <w:top w:val="nil"/>
              <w:left w:val="nil"/>
              <w:bottom w:val="single" w:color="auto" w:sz="8" w:space="0"/>
              <w:right w:val="single" w:color="auto" w:sz="8" w:space="0"/>
            </w:tcBorders>
            <w:shd w:val="clear" w:color="auto" w:fill="FFFFFF"/>
            <w:tcMar>
              <w:left w:w="108" w:type="dxa"/>
              <w:right w:w="108" w:type="dxa"/>
            </w:tcMar>
            <w:vAlign w:val="center"/>
          </w:tcPr>
          <w:p w14:paraId="6AC261B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中国质量认证中心</w:t>
            </w:r>
          </w:p>
          <w:p w14:paraId="6B74137B">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威凯认证检测有限公司</w:t>
            </w:r>
          </w:p>
          <w:p w14:paraId="35B02943">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中家院（北京）检测认证有限公司</w:t>
            </w:r>
          </w:p>
          <w:p w14:paraId="46A62AB6">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合肥通用机械产品认证有限公司(范围仅限于“热泵热水器”)</w:t>
            </w:r>
          </w:p>
        </w:tc>
      </w:tr>
      <w:tr w14:paraId="77581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8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17C94E8">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11</w:t>
            </w:r>
          </w:p>
        </w:tc>
        <w:tc>
          <w:tcPr>
            <w:tcW w:w="1432" w:type="dxa"/>
            <w:tcBorders>
              <w:top w:val="nil"/>
              <w:left w:val="nil"/>
              <w:bottom w:val="single" w:color="auto" w:sz="8" w:space="0"/>
              <w:right w:val="single" w:color="auto" w:sz="8" w:space="0"/>
            </w:tcBorders>
            <w:shd w:val="clear" w:color="auto" w:fill="FFFFFF"/>
            <w:tcMar>
              <w:left w:w="108" w:type="dxa"/>
              <w:right w:w="108" w:type="dxa"/>
            </w:tcMar>
            <w:vAlign w:val="center"/>
          </w:tcPr>
          <w:p w14:paraId="3F84F09E">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A020619</w:t>
            </w:r>
          </w:p>
        </w:tc>
        <w:tc>
          <w:tcPr>
            <w:tcW w:w="1894" w:type="dxa"/>
            <w:tcBorders>
              <w:top w:val="nil"/>
              <w:left w:val="nil"/>
              <w:bottom w:val="single" w:color="auto" w:sz="8" w:space="0"/>
              <w:right w:val="single" w:color="auto" w:sz="8" w:space="0"/>
            </w:tcBorders>
            <w:shd w:val="clear" w:color="auto" w:fill="FFFFFF"/>
            <w:tcMar>
              <w:left w:w="108" w:type="dxa"/>
              <w:right w:w="108" w:type="dxa"/>
            </w:tcMar>
            <w:vAlign w:val="center"/>
          </w:tcPr>
          <w:p w14:paraId="00728C4E">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照明设备</w:t>
            </w: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2A058E17">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064639D8">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p>
        </w:tc>
        <w:tc>
          <w:tcPr>
            <w:tcW w:w="5844" w:type="dxa"/>
            <w:tcBorders>
              <w:top w:val="nil"/>
              <w:left w:val="nil"/>
              <w:bottom w:val="single" w:color="auto" w:sz="8" w:space="0"/>
              <w:right w:val="single" w:color="auto" w:sz="8" w:space="0"/>
            </w:tcBorders>
            <w:shd w:val="clear" w:color="auto" w:fill="FFFFFF"/>
            <w:tcMar>
              <w:left w:w="108" w:type="dxa"/>
              <w:right w:w="108" w:type="dxa"/>
            </w:tcMar>
            <w:vAlign w:val="center"/>
          </w:tcPr>
          <w:p w14:paraId="194E6FCC">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中国质量认证中心</w:t>
            </w:r>
          </w:p>
          <w:p w14:paraId="7E62F98B">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深圳市计量质量检测研究院</w:t>
            </w:r>
          </w:p>
          <w:p w14:paraId="2ACE9D73">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中标合信（北京）认证有限公司</w:t>
            </w:r>
          </w:p>
        </w:tc>
      </w:tr>
      <w:tr w14:paraId="0453E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8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D2BED2">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12</w:t>
            </w:r>
          </w:p>
        </w:tc>
        <w:tc>
          <w:tcPr>
            <w:tcW w:w="1432" w:type="dxa"/>
            <w:tcBorders>
              <w:top w:val="nil"/>
              <w:left w:val="nil"/>
              <w:bottom w:val="single" w:color="auto" w:sz="8" w:space="0"/>
              <w:right w:val="single" w:color="auto" w:sz="8" w:space="0"/>
            </w:tcBorders>
            <w:shd w:val="clear" w:color="auto" w:fill="FFFFFF"/>
            <w:tcMar>
              <w:left w:w="108" w:type="dxa"/>
              <w:right w:w="108" w:type="dxa"/>
            </w:tcMar>
            <w:vAlign w:val="center"/>
          </w:tcPr>
          <w:p w14:paraId="4B732C9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A020910</w:t>
            </w:r>
          </w:p>
        </w:tc>
        <w:tc>
          <w:tcPr>
            <w:tcW w:w="1894" w:type="dxa"/>
            <w:tcBorders>
              <w:top w:val="nil"/>
              <w:left w:val="nil"/>
              <w:bottom w:val="single" w:color="auto" w:sz="8" w:space="0"/>
              <w:right w:val="single" w:color="auto" w:sz="8" w:space="0"/>
            </w:tcBorders>
            <w:shd w:val="clear" w:color="auto" w:fill="FFFFFF"/>
            <w:tcMar>
              <w:left w:w="108" w:type="dxa"/>
              <w:right w:w="108" w:type="dxa"/>
            </w:tcMar>
            <w:vAlign w:val="center"/>
          </w:tcPr>
          <w:p w14:paraId="6EAD07F5">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电视设备</w:t>
            </w: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4A756765">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A02091001</w:t>
            </w: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2328C9D2">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普通电视设备（电视机）</w:t>
            </w:r>
          </w:p>
        </w:tc>
        <w:tc>
          <w:tcPr>
            <w:tcW w:w="5844"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60999FAD">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中国质量认证中心</w:t>
            </w:r>
          </w:p>
          <w:p w14:paraId="579E1B8D">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北京泰瑞特认证有限责任公司</w:t>
            </w:r>
          </w:p>
          <w:p w14:paraId="7FFD3A78">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广州赛宝认证中心服务有限公司</w:t>
            </w:r>
          </w:p>
        </w:tc>
      </w:tr>
      <w:tr w14:paraId="33CED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8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443DF07">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13</w:t>
            </w:r>
          </w:p>
        </w:tc>
        <w:tc>
          <w:tcPr>
            <w:tcW w:w="1432" w:type="dxa"/>
            <w:tcBorders>
              <w:top w:val="nil"/>
              <w:left w:val="nil"/>
              <w:bottom w:val="single" w:color="auto" w:sz="8" w:space="0"/>
              <w:right w:val="single" w:color="auto" w:sz="8" w:space="0"/>
            </w:tcBorders>
            <w:shd w:val="clear" w:color="auto" w:fill="FFFFFF"/>
            <w:tcMar>
              <w:left w:w="108" w:type="dxa"/>
              <w:right w:w="108" w:type="dxa"/>
            </w:tcMar>
            <w:vAlign w:val="center"/>
          </w:tcPr>
          <w:p w14:paraId="04CDDCFC">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A020911</w:t>
            </w:r>
          </w:p>
        </w:tc>
        <w:tc>
          <w:tcPr>
            <w:tcW w:w="1894" w:type="dxa"/>
            <w:tcBorders>
              <w:top w:val="nil"/>
              <w:left w:val="nil"/>
              <w:bottom w:val="single" w:color="auto" w:sz="8" w:space="0"/>
              <w:right w:val="single" w:color="auto" w:sz="8" w:space="0"/>
            </w:tcBorders>
            <w:shd w:val="clear" w:color="auto" w:fill="FFFFFF"/>
            <w:tcMar>
              <w:left w:w="108" w:type="dxa"/>
              <w:right w:w="108" w:type="dxa"/>
            </w:tcMar>
            <w:vAlign w:val="center"/>
          </w:tcPr>
          <w:p w14:paraId="2E44BC30">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视频设备</w:t>
            </w: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41985466">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A02091107</w:t>
            </w: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7A9317EF">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视频监控设备</w:t>
            </w:r>
          </w:p>
        </w:tc>
        <w:tc>
          <w:tcPr>
            <w:tcW w:w="584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2D7537BC">
            <w:pPr>
              <w:rPr>
                <w:highlight w:val="none"/>
              </w:rPr>
            </w:pPr>
          </w:p>
        </w:tc>
      </w:tr>
      <w:tr w14:paraId="059E2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5" w:hRule="atLeast"/>
        </w:trPr>
        <w:tc>
          <w:tcPr>
            <w:tcW w:w="8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2BE4FBD">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14</w:t>
            </w:r>
          </w:p>
        </w:tc>
        <w:tc>
          <w:tcPr>
            <w:tcW w:w="1432" w:type="dxa"/>
            <w:tcBorders>
              <w:top w:val="nil"/>
              <w:left w:val="nil"/>
              <w:bottom w:val="single" w:color="auto" w:sz="8" w:space="0"/>
              <w:right w:val="single" w:color="auto" w:sz="8" w:space="0"/>
            </w:tcBorders>
            <w:shd w:val="clear" w:color="auto" w:fill="FFFFFF"/>
            <w:tcMar>
              <w:left w:w="108" w:type="dxa"/>
              <w:right w:w="108" w:type="dxa"/>
            </w:tcMar>
            <w:vAlign w:val="center"/>
          </w:tcPr>
          <w:p w14:paraId="459FCAD5">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A031210</w:t>
            </w:r>
          </w:p>
        </w:tc>
        <w:tc>
          <w:tcPr>
            <w:tcW w:w="1894" w:type="dxa"/>
            <w:tcBorders>
              <w:top w:val="nil"/>
              <w:left w:val="nil"/>
              <w:bottom w:val="single" w:color="auto" w:sz="8" w:space="0"/>
              <w:right w:val="single" w:color="auto" w:sz="8" w:space="0"/>
            </w:tcBorders>
            <w:shd w:val="clear" w:color="auto" w:fill="FFFFFF"/>
            <w:tcMar>
              <w:left w:w="108" w:type="dxa"/>
              <w:right w:w="108" w:type="dxa"/>
            </w:tcMar>
            <w:vAlign w:val="center"/>
          </w:tcPr>
          <w:p w14:paraId="15375292">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饮食炊事机械</w:t>
            </w: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3CF579D3">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31714B1E">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p>
        </w:tc>
        <w:tc>
          <w:tcPr>
            <w:tcW w:w="5844" w:type="dxa"/>
            <w:tcBorders>
              <w:top w:val="nil"/>
              <w:left w:val="nil"/>
              <w:bottom w:val="single" w:color="auto" w:sz="8" w:space="0"/>
              <w:right w:val="single" w:color="auto" w:sz="8" w:space="0"/>
            </w:tcBorders>
            <w:shd w:val="clear" w:color="auto" w:fill="FFFFFF"/>
            <w:tcMar>
              <w:left w:w="108" w:type="dxa"/>
              <w:right w:w="108" w:type="dxa"/>
            </w:tcMar>
            <w:vAlign w:val="center"/>
          </w:tcPr>
          <w:p w14:paraId="6B7071C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中国质量认证中心</w:t>
            </w:r>
          </w:p>
          <w:p w14:paraId="58DF8D80">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北京鉴衡认证中心</w:t>
            </w:r>
          </w:p>
          <w:p w14:paraId="5B2DF36D">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中国市政工程华北设计研究总院有限公司</w:t>
            </w:r>
          </w:p>
        </w:tc>
      </w:tr>
      <w:tr w14:paraId="05896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4" w:hRule="atLeast"/>
        </w:trPr>
        <w:tc>
          <w:tcPr>
            <w:tcW w:w="8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75AA123">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15</w:t>
            </w:r>
          </w:p>
        </w:tc>
        <w:tc>
          <w:tcPr>
            <w:tcW w:w="1432" w:type="dxa"/>
            <w:tcBorders>
              <w:top w:val="nil"/>
              <w:left w:val="nil"/>
              <w:bottom w:val="single" w:color="auto" w:sz="8" w:space="0"/>
              <w:right w:val="single" w:color="auto" w:sz="8" w:space="0"/>
            </w:tcBorders>
            <w:shd w:val="clear" w:color="auto" w:fill="FFFFFF"/>
            <w:tcMar>
              <w:left w:w="108" w:type="dxa"/>
              <w:right w:w="108" w:type="dxa"/>
            </w:tcMar>
            <w:vAlign w:val="center"/>
          </w:tcPr>
          <w:p w14:paraId="02028082">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A060805</w:t>
            </w:r>
          </w:p>
        </w:tc>
        <w:tc>
          <w:tcPr>
            <w:tcW w:w="1894" w:type="dxa"/>
            <w:tcBorders>
              <w:top w:val="nil"/>
              <w:left w:val="nil"/>
              <w:bottom w:val="single" w:color="auto" w:sz="8" w:space="0"/>
              <w:right w:val="single" w:color="auto" w:sz="8" w:space="0"/>
            </w:tcBorders>
            <w:shd w:val="clear" w:color="auto" w:fill="FFFFFF"/>
            <w:tcMar>
              <w:left w:w="108" w:type="dxa"/>
              <w:right w:w="108" w:type="dxa"/>
            </w:tcMar>
            <w:vAlign w:val="center"/>
          </w:tcPr>
          <w:p w14:paraId="2859B078">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便器</w:t>
            </w: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3DA6274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2BB395AF">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p>
        </w:tc>
        <w:tc>
          <w:tcPr>
            <w:tcW w:w="5844"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38F1D068">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中国质量认证中心</w:t>
            </w:r>
          </w:p>
          <w:p w14:paraId="3A51B9B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北京新华节水产品认证有限公司</w:t>
            </w:r>
          </w:p>
          <w:p w14:paraId="51C82F5E">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方圆标志认证集团有限公司</w:t>
            </w:r>
          </w:p>
        </w:tc>
      </w:tr>
      <w:tr w14:paraId="51757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atLeast"/>
        </w:trPr>
        <w:tc>
          <w:tcPr>
            <w:tcW w:w="8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D587375">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16</w:t>
            </w:r>
          </w:p>
        </w:tc>
        <w:tc>
          <w:tcPr>
            <w:tcW w:w="1432" w:type="dxa"/>
            <w:tcBorders>
              <w:top w:val="nil"/>
              <w:left w:val="nil"/>
              <w:bottom w:val="single" w:color="auto" w:sz="8" w:space="0"/>
              <w:right w:val="single" w:color="auto" w:sz="8" w:space="0"/>
            </w:tcBorders>
            <w:shd w:val="clear" w:color="auto" w:fill="FFFFFF"/>
            <w:tcMar>
              <w:left w:w="108" w:type="dxa"/>
              <w:right w:w="108" w:type="dxa"/>
            </w:tcMar>
            <w:vAlign w:val="center"/>
          </w:tcPr>
          <w:p w14:paraId="500DC02D">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A060806</w:t>
            </w:r>
          </w:p>
        </w:tc>
        <w:tc>
          <w:tcPr>
            <w:tcW w:w="1894" w:type="dxa"/>
            <w:tcBorders>
              <w:top w:val="nil"/>
              <w:left w:val="nil"/>
              <w:bottom w:val="single" w:color="auto" w:sz="8" w:space="0"/>
              <w:right w:val="single" w:color="auto" w:sz="8" w:space="0"/>
            </w:tcBorders>
            <w:shd w:val="clear" w:color="auto" w:fill="FFFFFF"/>
            <w:tcMar>
              <w:left w:w="108" w:type="dxa"/>
              <w:right w:w="108" w:type="dxa"/>
            </w:tcMar>
            <w:vAlign w:val="center"/>
          </w:tcPr>
          <w:p w14:paraId="3060EC55">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水嘴</w:t>
            </w: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7C2CAFB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3963064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p>
        </w:tc>
        <w:tc>
          <w:tcPr>
            <w:tcW w:w="5844" w:type="dxa"/>
            <w:vMerge w:val="continue"/>
            <w:tcBorders>
              <w:top w:val="nil"/>
              <w:left w:val="nil"/>
              <w:bottom w:val="single" w:color="auto" w:sz="8" w:space="0"/>
              <w:right w:val="single" w:color="auto" w:sz="8" w:space="0"/>
            </w:tcBorders>
            <w:shd w:val="clear" w:color="auto" w:fill="FFFFFF"/>
            <w:tcMar>
              <w:left w:w="108" w:type="dxa"/>
              <w:right w:w="108" w:type="dxa"/>
            </w:tcMar>
          </w:tcPr>
          <w:p w14:paraId="63C11042">
            <w:pPr>
              <w:rPr>
                <w:highlight w:val="none"/>
              </w:rPr>
            </w:pPr>
          </w:p>
        </w:tc>
      </w:tr>
      <w:tr w14:paraId="11454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trPr>
        <w:tc>
          <w:tcPr>
            <w:tcW w:w="8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3E0F00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17</w:t>
            </w:r>
          </w:p>
        </w:tc>
        <w:tc>
          <w:tcPr>
            <w:tcW w:w="1432" w:type="dxa"/>
            <w:tcBorders>
              <w:top w:val="nil"/>
              <w:left w:val="nil"/>
              <w:bottom w:val="single" w:color="auto" w:sz="8" w:space="0"/>
              <w:right w:val="single" w:color="auto" w:sz="8" w:space="0"/>
            </w:tcBorders>
            <w:shd w:val="clear" w:color="auto" w:fill="FFFFFF"/>
            <w:tcMar>
              <w:left w:w="108" w:type="dxa"/>
              <w:right w:w="108" w:type="dxa"/>
            </w:tcMar>
            <w:vAlign w:val="center"/>
          </w:tcPr>
          <w:p w14:paraId="3F904415">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A060807</w:t>
            </w:r>
          </w:p>
        </w:tc>
        <w:tc>
          <w:tcPr>
            <w:tcW w:w="1894" w:type="dxa"/>
            <w:tcBorders>
              <w:top w:val="nil"/>
              <w:left w:val="nil"/>
              <w:bottom w:val="single" w:color="auto" w:sz="8" w:space="0"/>
              <w:right w:val="single" w:color="auto" w:sz="8" w:space="0"/>
            </w:tcBorders>
            <w:shd w:val="clear" w:color="auto" w:fill="FFFFFF"/>
            <w:tcMar>
              <w:left w:w="108" w:type="dxa"/>
              <w:right w:w="108" w:type="dxa"/>
            </w:tcMar>
            <w:vAlign w:val="center"/>
          </w:tcPr>
          <w:p w14:paraId="53EAF83C">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便器冲洗阀</w:t>
            </w: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640621A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499FB35D">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p>
        </w:tc>
        <w:tc>
          <w:tcPr>
            <w:tcW w:w="5844" w:type="dxa"/>
            <w:vMerge w:val="continue"/>
            <w:tcBorders>
              <w:top w:val="nil"/>
              <w:left w:val="nil"/>
              <w:bottom w:val="single" w:color="auto" w:sz="8" w:space="0"/>
              <w:right w:val="single" w:color="auto" w:sz="8" w:space="0"/>
            </w:tcBorders>
            <w:shd w:val="clear" w:color="auto" w:fill="FFFFFF"/>
            <w:tcMar>
              <w:left w:w="108" w:type="dxa"/>
              <w:right w:w="108" w:type="dxa"/>
            </w:tcMar>
          </w:tcPr>
          <w:p w14:paraId="58EFAB35">
            <w:pPr>
              <w:rPr>
                <w:highlight w:val="none"/>
              </w:rPr>
            </w:pPr>
          </w:p>
        </w:tc>
      </w:tr>
      <w:tr w14:paraId="1554D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atLeast"/>
        </w:trPr>
        <w:tc>
          <w:tcPr>
            <w:tcW w:w="8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2ECFDEF">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18</w:t>
            </w:r>
          </w:p>
        </w:tc>
        <w:tc>
          <w:tcPr>
            <w:tcW w:w="1432" w:type="dxa"/>
            <w:tcBorders>
              <w:top w:val="nil"/>
              <w:left w:val="nil"/>
              <w:bottom w:val="single" w:color="auto" w:sz="8" w:space="0"/>
              <w:right w:val="single" w:color="auto" w:sz="8" w:space="0"/>
            </w:tcBorders>
            <w:shd w:val="clear" w:color="auto" w:fill="FFFFFF"/>
            <w:tcMar>
              <w:left w:w="108" w:type="dxa"/>
              <w:right w:w="108" w:type="dxa"/>
            </w:tcMar>
            <w:vAlign w:val="center"/>
          </w:tcPr>
          <w:p w14:paraId="3E82DEF3">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A060810</w:t>
            </w:r>
          </w:p>
        </w:tc>
        <w:tc>
          <w:tcPr>
            <w:tcW w:w="1894" w:type="dxa"/>
            <w:tcBorders>
              <w:top w:val="nil"/>
              <w:left w:val="nil"/>
              <w:bottom w:val="single" w:color="auto" w:sz="8" w:space="0"/>
              <w:right w:val="single" w:color="auto" w:sz="8" w:space="0"/>
            </w:tcBorders>
            <w:shd w:val="clear" w:color="auto" w:fill="FFFFFF"/>
            <w:tcMar>
              <w:left w:w="108" w:type="dxa"/>
              <w:right w:w="108" w:type="dxa"/>
            </w:tcMar>
            <w:vAlign w:val="center"/>
          </w:tcPr>
          <w:p w14:paraId="6B35A90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淋浴器</w:t>
            </w:r>
          </w:p>
        </w:tc>
        <w:tc>
          <w:tcPr>
            <w:tcW w:w="1685" w:type="dxa"/>
            <w:tcBorders>
              <w:top w:val="nil"/>
              <w:left w:val="nil"/>
              <w:bottom w:val="single" w:color="auto" w:sz="8" w:space="0"/>
              <w:right w:val="single" w:color="auto" w:sz="8" w:space="0"/>
            </w:tcBorders>
            <w:shd w:val="clear" w:color="auto" w:fill="FFFFFF"/>
            <w:tcMar>
              <w:left w:w="108" w:type="dxa"/>
              <w:right w:w="108" w:type="dxa"/>
            </w:tcMar>
            <w:vAlign w:val="center"/>
          </w:tcPr>
          <w:p w14:paraId="713C538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p>
        </w:tc>
        <w:tc>
          <w:tcPr>
            <w:tcW w:w="2360" w:type="dxa"/>
            <w:tcBorders>
              <w:top w:val="nil"/>
              <w:left w:val="nil"/>
              <w:bottom w:val="single" w:color="auto" w:sz="8" w:space="0"/>
              <w:right w:val="single" w:color="auto" w:sz="8" w:space="0"/>
            </w:tcBorders>
            <w:shd w:val="clear" w:color="auto" w:fill="FFFFFF"/>
            <w:tcMar>
              <w:left w:w="108" w:type="dxa"/>
              <w:right w:w="108" w:type="dxa"/>
            </w:tcMar>
            <w:vAlign w:val="center"/>
          </w:tcPr>
          <w:p w14:paraId="6A47DD03">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sz w:val="22"/>
                <w:szCs w:val="21"/>
                <w:highlight w:val="none"/>
              </w:rPr>
            </w:pPr>
          </w:p>
        </w:tc>
        <w:tc>
          <w:tcPr>
            <w:tcW w:w="5844" w:type="dxa"/>
            <w:vMerge w:val="continue"/>
            <w:tcBorders>
              <w:top w:val="nil"/>
              <w:left w:val="nil"/>
              <w:bottom w:val="single" w:color="auto" w:sz="8" w:space="0"/>
              <w:right w:val="single" w:color="auto" w:sz="8" w:space="0"/>
            </w:tcBorders>
            <w:shd w:val="clear" w:color="auto" w:fill="FFFFFF"/>
            <w:tcMar>
              <w:left w:w="108" w:type="dxa"/>
              <w:right w:w="108" w:type="dxa"/>
            </w:tcMar>
          </w:tcPr>
          <w:p w14:paraId="55E3B2BA">
            <w:pPr>
              <w:rPr>
                <w:highlight w:val="none"/>
              </w:rPr>
            </w:pPr>
          </w:p>
        </w:tc>
      </w:tr>
    </w:tbl>
    <w:p w14:paraId="22BE85BF">
      <w:pPr>
        <w:rPr>
          <w:rFonts w:ascii="仿宋" w:hAnsi="仿宋" w:eastAsia="仿宋" w:cs="仿宋"/>
          <w:b w:val="0"/>
          <w:bCs w:val="0"/>
          <w:snapToGrid w:val="0"/>
          <w:color w:val="auto"/>
          <w:sz w:val="24"/>
          <w:szCs w:val="24"/>
          <w:highlight w:val="none"/>
          <w:lang w:val="en-US" w:eastAsia="zh-CN"/>
        </w:rPr>
      </w:pPr>
      <w:bookmarkStart w:id="297" w:name="_Toc10445"/>
      <w:bookmarkStart w:id="298" w:name="_Toc27581"/>
    </w:p>
    <w:p w14:paraId="51CF9FEF">
      <w:pPr>
        <w:rPr>
          <w:rFonts w:ascii="仿宋" w:hAnsi="仿宋" w:eastAsia="仿宋" w:cs="仿宋"/>
          <w:b w:val="0"/>
          <w:bCs w:val="0"/>
          <w:snapToGrid w:val="0"/>
          <w:color w:val="auto"/>
          <w:sz w:val="24"/>
          <w:szCs w:val="24"/>
          <w:highlight w:val="none"/>
          <w:lang w:val="en-US" w:eastAsia="zh-CN"/>
        </w:rPr>
      </w:pPr>
      <w:r>
        <w:rPr>
          <w:rFonts w:ascii="仿宋" w:hAnsi="仿宋" w:eastAsia="仿宋" w:cs="仿宋"/>
          <w:b w:val="0"/>
          <w:bCs w:val="0"/>
          <w:snapToGrid w:val="0"/>
          <w:color w:val="auto"/>
          <w:sz w:val="24"/>
          <w:szCs w:val="24"/>
          <w:highlight w:val="none"/>
          <w:lang w:val="en-US" w:eastAsia="zh-CN"/>
        </w:rPr>
        <w:t>参与实施政府采购环境标志产品认证机构名录</w:t>
      </w:r>
      <w:bookmarkEnd w:id="297"/>
      <w:bookmarkEnd w:id="298"/>
    </w:p>
    <w:tbl>
      <w:tblPr>
        <w:tblStyle w:val="2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51"/>
        <w:gridCol w:w="2040"/>
        <w:gridCol w:w="5828"/>
      </w:tblGrid>
      <w:tr w14:paraId="6272D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4" w:hRule="atLeast"/>
        </w:trPr>
        <w:tc>
          <w:tcPr>
            <w:tcW w:w="382"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A710657">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highlight w:val="none"/>
              </w:rPr>
            </w:pPr>
            <w:r>
              <w:rPr>
                <w:rFonts w:hint="eastAsia" w:ascii="仿宋" w:hAnsi="仿宋" w:eastAsia="仿宋" w:cs="仿宋"/>
                <w:color w:val="000000"/>
                <w:highlight w:val="none"/>
              </w:rPr>
              <w:t>序号</w:t>
            </w:r>
          </w:p>
        </w:tc>
        <w:tc>
          <w:tcPr>
            <w:tcW w:w="1197" w:type="pc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0AEF18C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highlight w:val="none"/>
              </w:rPr>
            </w:pPr>
            <w:r>
              <w:rPr>
                <w:rFonts w:hint="eastAsia" w:ascii="仿宋" w:hAnsi="仿宋" w:eastAsia="仿宋" w:cs="仿宋"/>
                <w:color w:val="000000"/>
                <w:highlight w:val="none"/>
              </w:rPr>
              <w:t>目录</w:t>
            </w:r>
          </w:p>
        </w:tc>
        <w:tc>
          <w:tcPr>
            <w:tcW w:w="3420" w:type="pc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5496B972">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highlight w:val="none"/>
              </w:rPr>
            </w:pPr>
            <w:r>
              <w:rPr>
                <w:rFonts w:hint="eastAsia" w:ascii="仿宋" w:hAnsi="仿宋" w:eastAsia="仿宋" w:cs="仿宋"/>
                <w:color w:val="000000"/>
                <w:highlight w:val="none"/>
              </w:rPr>
              <w:t>认证机构名录</w:t>
            </w:r>
          </w:p>
        </w:tc>
      </w:tr>
      <w:tr w14:paraId="64B70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61" w:hRule="atLeast"/>
        </w:trPr>
        <w:tc>
          <w:tcPr>
            <w:tcW w:w="382"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040CF4">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highlight w:val="none"/>
              </w:rPr>
            </w:pPr>
            <w:r>
              <w:rPr>
                <w:rFonts w:hint="eastAsia" w:ascii="仿宋" w:hAnsi="仿宋" w:eastAsia="仿宋" w:cs="仿宋"/>
                <w:color w:val="000000"/>
                <w:highlight w:val="none"/>
              </w:rPr>
              <w:t>1</w:t>
            </w:r>
          </w:p>
        </w:tc>
        <w:tc>
          <w:tcPr>
            <w:tcW w:w="1197" w:type="pct"/>
            <w:tcBorders>
              <w:top w:val="nil"/>
              <w:left w:val="nil"/>
              <w:bottom w:val="single" w:color="auto" w:sz="8" w:space="0"/>
              <w:right w:val="single" w:color="auto" w:sz="8" w:space="0"/>
            </w:tcBorders>
            <w:shd w:val="clear" w:color="auto" w:fill="FFFFFF"/>
            <w:tcMar>
              <w:left w:w="108" w:type="dxa"/>
              <w:right w:w="108" w:type="dxa"/>
            </w:tcMar>
            <w:vAlign w:val="center"/>
          </w:tcPr>
          <w:p w14:paraId="511CA282">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highlight w:val="none"/>
              </w:rPr>
            </w:pPr>
            <w:r>
              <w:rPr>
                <w:rFonts w:hint="eastAsia" w:ascii="仿宋" w:hAnsi="仿宋" w:eastAsia="仿宋" w:cs="仿宋"/>
                <w:color w:val="000000"/>
                <w:highlight w:val="none"/>
              </w:rPr>
              <w:t>环境标志产品</w:t>
            </w:r>
          </w:p>
        </w:tc>
        <w:tc>
          <w:tcPr>
            <w:tcW w:w="3420" w:type="pct"/>
            <w:tcBorders>
              <w:top w:val="nil"/>
              <w:left w:val="nil"/>
              <w:bottom w:val="single" w:color="auto" w:sz="8" w:space="0"/>
              <w:right w:val="single" w:color="auto" w:sz="8" w:space="0"/>
            </w:tcBorders>
            <w:shd w:val="clear" w:color="auto" w:fill="FFFFFF"/>
            <w:tcMar>
              <w:left w:w="108" w:type="dxa"/>
              <w:right w:w="108" w:type="dxa"/>
            </w:tcMar>
            <w:vAlign w:val="center"/>
          </w:tcPr>
          <w:p w14:paraId="1A736ECF">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highlight w:val="none"/>
              </w:rPr>
            </w:pPr>
            <w:r>
              <w:rPr>
                <w:rFonts w:hint="eastAsia" w:ascii="仿宋" w:hAnsi="仿宋" w:eastAsia="仿宋" w:cs="仿宋"/>
                <w:color w:val="000000"/>
                <w:highlight w:val="none"/>
              </w:rPr>
              <w:t>中环联合（北京）认证中心有限公司</w:t>
            </w:r>
          </w:p>
          <w:p w14:paraId="62DD954B">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highlight w:val="none"/>
              </w:rPr>
            </w:pPr>
            <w:r>
              <w:rPr>
                <w:rFonts w:hint="eastAsia" w:ascii="仿宋" w:hAnsi="仿宋" w:eastAsia="仿宋" w:cs="仿宋"/>
                <w:color w:val="000000"/>
                <w:highlight w:val="none"/>
              </w:rPr>
              <w:t>中标合信（北京）认证有限公司</w:t>
            </w:r>
          </w:p>
          <w:p w14:paraId="5A7AAC10">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highlight w:val="none"/>
              </w:rPr>
            </w:pPr>
            <w:r>
              <w:rPr>
                <w:rFonts w:hint="eastAsia" w:ascii="仿宋" w:hAnsi="仿宋" w:eastAsia="仿宋" w:cs="仿宋"/>
                <w:color w:val="000000"/>
                <w:highlight w:val="none"/>
              </w:rPr>
              <w:t>中环协（北京）认证中心</w:t>
            </w:r>
          </w:p>
          <w:p w14:paraId="242C30ED">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color w:val="000000"/>
                <w:highlight w:val="none"/>
              </w:rPr>
            </w:pPr>
            <w:r>
              <w:rPr>
                <w:rFonts w:hint="eastAsia" w:ascii="仿宋" w:hAnsi="仿宋" w:eastAsia="仿宋" w:cs="仿宋"/>
                <w:color w:val="000000"/>
                <w:highlight w:val="none"/>
              </w:rPr>
              <w:t>天津华诚认证有限公司</w:t>
            </w:r>
          </w:p>
        </w:tc>
      </w:tr>
    </w:tbl>
    <w:p w14:paraId="4AB0C977">
      <w:pPr>
        <w:rPr>
          <w:rFonts w:hint="eastAsia" w:ascii="仿宋" w:hAnsi="仿宋" w:eastAsia="仿宋" w:cs="仿宋"/>
          <w:b/>
          <w:bCs/>
          <w:snapToGrid w:val="0"/>
          <w:color w:val="auto"/>
          <w:sz w:val="24"/>
          <w:szCs w:val="24"/>
          <w:highlight w:val="none"/>
          <w:lang w:val="en-US" w:eastAsia="zh-CN"/>
        </w:rPr>
      </w:pPr>
      <w:r>
        <w:rPr>
          <w:rFonts w:hint="eastAsia" w:ascii="仿宋" w:hAnsi="仿宋" w:eastAsia="仿宋" w:cs="仿宋"/>
          <w:b/>
          <w:bCs/>
          <w:snapToGrid w:val="0"/>
          <w:color w:val="auto"/>
          <w:sz w:val="24"/>
          <w:szCs w:val="24"/>
          <w:highlight w:val="none"/>
          <w:lang w:val="en-US" w:eastAsia="zh-CN"/>
        </w:rPr>
        <w:br w:type="page"/>
      </w:r>
    </w:p>
    <w:bookmarkEnd w:id="294"/>
    <w:bookmarkEnd w:id="295"/>
    <w:bookmarkEnd w:id="296"/>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仿宋" w:hAnsi="仿宋" w:eastAsia="仿宋" w:cs="仿宋"/>
          <w:b/>
          <w:bCs/>
          <w:color w:val="auto"/>
          <w:kern w:val="44"/>
          <w:sz w:val="36"/>
          <w:szCs w:val="36"/>
          <w:highlight w:val="none"/>
          <w:lang w:val="en-US" w:eastAsia="zh-CN" w:bidi="ar-SA"/>
        </w:rPr>
      </w:pPr>
      <w:bookmarkStart w:id="299" w:name="_Toc16812"/>
      <w:bookmarkStart w:id="300" w:name="_Toc155185895"/>
      <w:bookmarkStart w:id="301" w:name="_Toc163492892"/>
      <w:r>
        <w:rPr>
          <w:rFonts w:hint="eastAsia" w:ascii="仿宋" w:hAnsi="仿宋" w:eastAsia="仿宋" w:cs="仿宋"/>
          <w:b/>
          <w:bCs/>
          <w:color w:val="auto"/>
          <w:kern w:val="44"/>
          <w:sz w:val="36"/>
          <w:szCs w:val="36"/>
          <w:highlight w:val="none"/>
          <w:lang w:val="en-US" w:eastAsia="zh-CN" w:bidi="ar-SA"/>
        </w:rPr>
        <w:t>第四章 资格审查</w:t>
      </w:r>
      <w:bookmarkEnd w:id="299"/>
      <w:bookmarkEnd w:id="300"/>
      <w:bookmarkEnd w:id="301"/>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仿宋" w:hAnsi="仿宋" w:eastAsia="仿宋" w:cs="仿宋"/>
          <w:color w:val="auto"/>
          <w:sz w:val="28"/>
          <w:szCs w:val="28"/>
          <w:highlight w:val="none"/>
          <w:lang w:val="zh-CN" w:eastAsia="zh-CN"/>
        </w:rPr>
      </w:pPr>
      <w:bookmarkStart w:id="302" w:name="_Toc4412"/>
      <w:bookmarkStart w:id="303" w:name="_Toc7549"/>
      <w:r>
        <w:rPr>
          <w:rFonts w:hint="eastAsia" w:ascii="仿宋" w:hAnsi="仿宋" w:eastAsia="仿宋" w:cs="仿宋"/>
          <w:color w:val="auto"/>
          <w:sz w:val="28"/>
          <w:szCs w:val="28"/>
          <w:highlight w:val="none"/>
          <w:lang w:val="en-US" w:eastAsia="zh-CN"/>
        </w:rPr>
        <w:t>一、资格审查程序</w:t>
      </w:r>
      <w:bookmarkEnd w:id="302"/>
      <w:bookmarkEnd w:id="303"/>
      <w:r>
        <w:rPr>
          <w:rFonts w:hint="eastAsia" w:ascii="仿宋" w:hAnsi="仿宋" w:eastAsia="仿宋" w:cs="仿宋"/>
          <w:color w:val="auto"/>
          <w:sz w:val="28"/>
          <w:szCs w:val="28"/>
          <w:highlight w:val="none"/>
          <w:lang w:val="en-US" w:eastAsia="zh-CN"/>
        </w:rPr>
        <w:t xml:space="preserve"> </w:t>
      </w:r>
    </w:p>
    <w:p w14:paraId="4E4090D3">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 开标结束后，采购人或采购代理机构将根据《资格审查要求》中的规定，对投标人进行资格审查，并形成资格审查结果。 </w:t>
      </w:r>
    </w:p>
    <w:p w14:paraId="62799CDE">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 投标人《资格证明文件》有任何一项不符合《资格审查要求》的，资格审查不合格，其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 xml:space="preserve">。 </w:t>
      </w:r>
    </w:p>
    <w:p w14:paraId="37E914D8">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 资格审查合格的投标人不足 3 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仿宋" w:hAnsi="仿宋" w:eastAsia="仿宋" w:cs="仿宋"/>
          <w:color w:val="auto"/>
          <w:sz w:val="28"/>
          <w:szCs w:val="28"/>
          <w:highlight w:val="none"/>
          <w:lang w:val="en-US" w:eastAsia="zh-CN"/>
        </w:rPr>
      </w:pPr>
      <w:bookmarkStart w:id="304" w:name="_Toc5211"/>
      <w:bookmarkStart w:id="305" w:name="_Toc32303"/>
      <w:r>
        <w:rPr>
          <w:rFonts w:hint="eastAsia" w:ascii="仿宋" w:hAnsi="仿宋" w:eastAsia="仿宋" w:cs="仿宋"/>
          <w:color w:val="auto"/>
          <w:sz w:val="28"/>
          <w:szCs w:val="28"/>
          <w:highlight w:val="none"/>
          <w:lang w:val="en-US" w:eastAsia="zh-CN"/>
        </w:rPr>
        <w:t>二、资格审查要求</w:t>
      </w:r>
      <w:bookmarkEnd w:id="304"/>
      <w:bookmarkEnd w:id="305"/>
      <w:r>
        <w:rPr>
          <w:rFonts w:hint="eastAsia" w:ascii="仿宋" w:hAnsi="仿宋" w:eastAsia="仿宋" w:cs="仿宋"/>
          <w:color w:val="auto"/>
          <w:sz w:val="28"/>
          <w:szCs w:val="28"/>
          <w:highlight w:val="none"/>
          <w:lang w:val="en-US" w:eastAsia="zh-CN"/>
        </w:rPr>
        <w:t xml:space="preserve"> </w:t>
      </w:r>
    </w:p>
    <w:tbl>
      <w:tblPr>
        <w:tblStyle w:val="29"/>
        <w:tblW w:w="54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21"/>
        <w:gridCol w:w="1872"/>
        <w:gridCol w:w="5167"/>
        <w:gridCol w:w="1498"/>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39" w:type="pct"/>
            <w:shd w:val="clear" w:color="auto" w:fill="D8D8D8" w:themeFill="background1" w:themeFillShade="D9"/>
            <w:vAlign w:val="center"/>
          </w:tcPr>
          <w:p w14:paraId="31F150F3">
            <w:pPr>
              <w:pStyle w:val="49"/>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000" w:type="pct"/>
            <w:shd w:val="clear" w:color="auto" w:fill="D8D8D8" w:themeFill="background1" w:themeFillShade="D9"/>
            <w:vAlign w:val="center"/>
          </w:tcPr>
          <w:p w14:paraId="29694278">
            <w:pPr>
              <w:pStyle w:val="49"/>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审查因素</w:t>
            </w:r>
          </w:p>
        </w:tc>
        <w:tc>
          <w:tcPr>
            <w:tcW w:w="2760" w:type="pct"/>
            <w:shd w:val="clear" w:color="auto" w:fill="D8D8D8" w:themeFill="background1" w:themeFillShade="D9"/>
            <w:vAlign w:val="center"/>
          </w:tcPr>
          <w:p w14:paraId="635BC09B">
            <w:pPr>
              <w:pStyle w:val="49"/>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审查内容</w:t>
            </w:r>
          </w:p>
        </w:tc>
        <w:tc>
          <w:tcPr>
            <w:tcW w:w="800" w:type="pct"/>
            <w:shd w:val="clear" w:color="auto" w:fill="D8D8D8" w:themeFill="background1" w:themeFillShade="D9"/>
            <w:vAlign w:val="center"/>
          </w:tcPr>
          <w:p w14:paraId="6075A15A">
            <w:pPr>
              <w:pStyle w:val="49"/>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格式要求</w:t>
            </w:r>
          </w:p>
        </w:tc>
      </w:tr>
      <w:tr w14:paraId="0AAE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jc w:val="center"/>
        </w:trPr>
        <w:tc>
          <w:tcPr>
            <w:tcW w:w="439" w:type="pct"/>
            <w:shd w:val="clear" w:color="auto" w:fill="FFFFFF"/>
            <w:vAlign w:val="center"/>
          </w:tcPr>
          <w:p w14:paraId="349B655D">
            <w:pPr>
              <w:pStyle w:val="49"/>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p>
        </w:tc>
        <w:tc>
          <w:tcPr>
            <w:tcW w:w="1000" w:type="pct"/>
            <w:shd w:val="clear" w:color="auto" w:fill="FFFFFF"/>
            <w:vAlign w:val="center"/>
          </w:tcPr>
          <w:p w14:paraId="22B36356">
            <w:pPr>
              <w:pStyle w:val="49"/>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满足《政府采购法》第二十二条规定</w:t>
            </w:r>
          </w:p>
        </w:tc>
        <w:tc>
          <w:tcPr>
            <w:tcW w:w="2760" w:type="pct"/>
            <w:shd w:val="clear" w:color="auto" w:fill="FFFFFF"/>
            <w:vAlign w:val="center"/>
          </w:tcPr>
          <w:p w14:paraId="1FD98140">
            <w:pPr>
              <w:pStyle w:val="49"/>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具体规定见“第一章 招标公告”</w:t>
            </w:r>
          </w:p>
        </w:tc>
        <w:tc>
          <w:tcPr>
            <w:tcW w:w="800" w:type="pct"/>
            <w:shd w:val="clear" w:color="auto" w:fill="FFFFFF"/>
            <w:vAlign w:val="center"/>
          </w:tcPr>
          <w:p w14:paraId="315ECC86">
            <w:pPr>
              <w:pStyle w:val="4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4"/>
                <w:szCs w:val="24"/>
                <w:highlight w:val="none"/>
              </w:rPr>
            </w:pPr>
          </w:p>
        </w:tc>
      </w:tr>
      <w:tr w14:paraId="7AF7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39" w:type="pct"/>
            <w:shd w:val="clear" w:color="auto" w:fill="FFFFFF"/>
            <w:vAlign w:val="center"/>
          </w:tcPr>
          <w:p w14:paraId="4AFD3297">
            <w:pPr>
              <w:pStyle w:val="49"/>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1-1</w:t>
            </w:r>
          </w:p>
        </w:tc>
        <w:tc>
          <w:tcPr>
            <w:tcW w:w="1000" w:type="pct"/>
            <w:shd w:val="clear" w:color="auto" w:fill="FFFFFF"/>
            <w:vAlign w:val="center"/>
          </w:tcPr>
          <w:p w14:paraId="15B86428">
            <w:pPr>
              <w:pStyle w:val="49"/>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营业执照等证明文件</w:t>
            </w:r>
          </w:p>
        </w:tc>
        <w:tc>
          <w:tcPr>
            <w:tcW w:w="2760" w:type="pct"/>
            <w:shd w:val="clear" w:color="auto" w:fill="FFFFFF"/>
            <w:vAlign w:val="center"/>
          </w:tcPr>
          <w:p w14:paraId="17DC38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kern w:val="0"/>
                <w:sz w:val="24"/>
                <w:szCs w:val="24"/>
                <w:highlight w:val="none"/>
                <w:lang w:val="en-US" w:eastAsia="zh-CN"/>
              </w:rPr>
              <w:t xml:space="preserve">投标人为企业（包括合伙企业）的，应提供有效的“营业执照”； </w:t>
            </w:r>
          </w:p>
          <w:p w14:paraId="13EE5E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kern w:val="0"/>
                <w:sz w:val="24"/>
                <w:szCs w:val="24"/>
                <w:highlight w:val="none"/>
                <w:lang w:val="en-US" w:eastAsia="zh-CN"/>
              </w:rPr>
              <w:t xml:space="preserve">投标人为事业单位的，应提供有效的“事业单位法人证书” ； </w:t>
            </w:r>
          </w:p>
          <w:p w14:paraId="6DDEBB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kern w:val="0"/>
                <w:sz w:val="24"/>
                <w:szCs w:val="24"/>
                <w:highlight w:val="none"/>
                <w:lang w:val="en-US" w:eastAsia="zh-CN"/>
              </w:rPr>
              <w:t xml:space="preserve">投标人是非企业机构的，应提供有效的“执业许可证”、“登记证书”等证明文件； </w:t>
            </w:r>
          </w:p>
          <w:p w14:paraId="0B1766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kern w:val="0"/>
                <w:sz w:val="24"/>
                <w:szCs w:val="24"/>
                <w:highlight w:val="none"/>
                <w:lang w:val="en-US" w:eastAsia="zh-CN"/>
              </w:rPr>
              <w:t xml:space="preserve">投标人是个体工商户的，应提供有效的“个体工商户营业执照”； </w:t>
            </w:r>
          </w:p>
          <w:p w14:paraId="1855E0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11"/>
                <w:kern w:val="0"/>
                <w:sz w:val="24"/>
                <w:szCs w:val="24"/>
                <w:highlight w:val="none"/>
                <w:lang w:val="en-US" w:eastAsia="zh-CN"/>
              </w:rPr>
              <w:t>投标人是自然人的，应提供有效的自然人身份证明。</w:t>
            </w:r>
          </w:p>
        </w:tc>
        <w:tc>
          <w:tcPr>
            <w:tcW w:w="800" w:type="pct"/>
            <w:shd w:val="clear" w:color="auto" w:fill="FFFFFF"/>
            <w:vAlign w:val="center"/>
          </w:tcPr>
          <w:p w14:paraId="6BCFCD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提供证明文件的电子件或电子证照</w:t>
            </w:r>
          </w:p>
        </w:tc>
      </w:tr>
      <w:tr w14:paraId="5440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6" w:hRule="atLeast"/>
          <w:jc w:val="center"/>
        </w:trPr>
        <w:tc>
          <w:tcPr>
            <w:tcW w:w="439" w:type="pct"/>
            <w:shd w:val="clear" w:color="auto" w:fill="FFFFFF"/>
            <w:vAlign w:val="center"/>
          </w:tcPr>
          <w:p w14:paraId="7D1DCAB0">
            <w:pPr>
              <w:pStyle w:val="49"/>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1-2</w:t>
            </w:r>
          </w:p>
        </w:tc>
        <w:tc>
          <w:tcPr>
            <w:tcW w:w="1000" w:type="pct"/>
            <w:shd w:val="clear" w:color="auto" w:fill="FFFFFF"/>
            <w:vAlign w:val="center"/>
          </w:tcPr>
          <w:p w14:paraId="4418C5AD">
            <w:pPr>
              <w:pStyle w:val="49"/>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投标人信用承诺</w:t>
            </w:r>
          </w:p>
        </w:tc>
        <w:tc>
          <w:tcPr>
            <w:tcW w:w="2760" w:type="pct"/>
            <w:shd w:val="clear" w:color="auto" w:fill="FFFFFF"/>
            <w:vAlign w:val="center"/>
          </w:tcPr>
          <w:p w14:paraId="343E7944">
            <w:pPr>
              <w:pStyle w:val="49"/>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提供了符合招标文件要求的《兵团政府采购供应商信用承诺函》。</w:t>
            </w:r>
          </w:p>
        </w:tc>
        <w:tc>
          <w:tcPr>
            <w:tcW w:w="800" w:type="pct"/>
            <w:shd w:val="clear" w:color="auto" w:fill="FFFFFF"/>
            <w:vAlign w:val="center"/>
          </w:tcPr>
          <w:p w14:paraId="4CAFEE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4"/>
                <w:szCs w:val="24"/>
                <w:highlight w:val="none"/>
                <w:lang w:val="en-US" w:eastAsia="zh-CN"/>
              </w:rPr>
            </w:pPr>
          </w:p>
        </w:tc>
      </w:tr>
      <w:tr w14:paraId="0618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05" w:hRule="atLeast"/>
          <w:jc w:val="center"/>
        </w:trPr>
        <w:tc>
          <w:tcPr>
            <w:tcW w:w="439" w:type="pct"/>
            <w:shd w:val="clear" w:color="auto" w:fill="FFFFFF"/>
            <w:vAlign w:val="center"/>
          </w:tcPr>
          <w:p w14:paraId="394EDA20">
            <w:pPr>
              <w:pStyle w:val="49"/>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1-3</w:t>
            </w:r>
          </w:p>
        </w:tc>
        <w:tc>
          <w:tcPr>
            <w:tcW w:w="1000" w:type="pct"/>
            <w:shd w:val="clear" w:color="auto" w:fill="FFFFFF"/>
            <w:vAlign w:val="center"/>
          </w:tcPr>
          <w:p w14:paraId="0CA31443">
            <w:pPr>
              <w:pStyle w:val="49"/>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投标人信用记录</w:t>
            </w:r>
          </w:p>
        </w:tc>
        <w:tc>
          <w:tcPr>
            <w:tcW w:w="2760" w:type="pct"/>
            <w:shd w:val="clear" w:color="auto" w:fill="FFFFFF"/>
            <w:vAlign w:val="center"/>
          </w:tcPr>
          <w:p w14:paraId="12B2C3F8">
            <w:pPr>
              <w:pStyle w:val="49"/>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 xml:space="preserve">查询渠道：信用中国网站和中国政府采购网（ </w:t>
            </w:r>
          </w:p>
          <w:p w14:paraId="0BC7CD76">
            <w:pPr>
              <w:pStyle w:val="49"/>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6"/>
                <w:sz w:val="24"/>
                <w:szCs w:val="24"/>
                <w:highlight w:val="none"/>
                <w:lang w:val="en-US" w:eastAsia="zh-CN"/>
              </w:rPr>
              <w:t>www.creditchina.gov.cn、www.ccgp.gov.cn）；</w:t>
            </w:r>
            <w:r>
              <w:rPr>
                <w:rFonts w:hint="eastAsia" w:ascii="仿宋" w:hAnsi="仿宋" w:eastAsia="仿宋" w:cs="仿宋"/>
                <w:color w:val="auto"/>
                <w:sz w:val="24"/>
                <w:szCs w:val="24"/>
                <w:highlight w:val="none"/>
                <w:lang w:val="en-US" w:eastAsia="zh-CN"/>
              </w:rPr>
              <w:t xml:space="preserve"> </w:t>
            </w:r>
          </w:p>
          <w:p w14:paraId="10BC0EAA">
            <w:pPr>
              <w:pStyle w:val="49"/>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截止时点：投标截止时间以后、资格审查阶段采购人或采购代理机构的实际查询时间； </w:t>
            </w:r>
          </w:p>
          <w:p w14:paraId="27D39055">
            <w:pPr>
              <w:pStyle w:val="49"/>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信用信息查询记录和证据留存具体方式：查询结果网页打印页作为查询记录和证据，与其他采购文件一并保存； </w:t>
            </w:r>
          </w:p>
          <w:p w14:paraId="06C9D8B4">
            <w:pPr>
              <w:pStyle w:val="49"/>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6"/>
                <w:sz w:val="24"/>
                <w:szCs w:val="24"/>
                <w:highlight w:val="none"/>
                <w:lang w:val="en-US" w:eastAsia="zh-CN"/>
              </w:rPr>
              <w:t>信用信息的使用原则：经认定的被列入失信被执行人、重大税收违法失信主体、政府采购严重违法失信行为记录名单的投标人，其</w:t>
            </w:r>
            <w:r>
              <w:rPr>
                <w:rFonts w:hint="eastAsia" w:ascii="仿宋" w:hAnsi="仿宋" w:eastAsia="仿宋" w:cs="仿宋"/>
                <w:b/>
                <w:bCs/>
                <w:color w:val="auto"/>
                <w:spacing w:val="-6"/>
                <w:sz w:val="24"/>
                <w:szCs w:val="24"/>
                <w:highlight w:val="none"/>
                <w:lang w:val="en-US" w:eastAsia="zh-CN"/>
              </w:rPr>
              <w:t>投标无效</w:t>
            </w:r>
            <w:r>
              <w:rPr>
                <w:rFonts w:hint="eastAsia" w:ascii="仿宋" w:hAnsi="仿宋" w:eastAsia="仿宋" w:cs="仿宋"/>
                <w:color w:val="auto"/>
                <w:spacing w:val="-6"/>
                <w:sz w:val="24"/>
                <w:szCs w:val="24"/>
                <w:highlight w:val="none"/>
                <w:lang w:val="en-US" w:eastAsia="zh-CN"/>
              </w:rPr>
              <w:t>。联合体形式投标的，联合体成员存在不良信用记录，视同联合体存在不良信用记录。</w:t>
            </w:r>
          </w:p>
        </w:tc>
        <w:tc>
          <w:tcPr>
            <w:tcW w:w="800" w:type="pct"/>
            <w:shd w:val="clear" w:color="auto" w:fill="FFFFFF"/>
            <w:vAlign w:val="center"/>
          </w:tcPr>
          <w:p w14:paraId="108AD3A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无须投标人提供，由采购人或采购代理机构查询。</w:t>
            </w:r>
          </w:p>
          <w:p w14:paraId="64D312F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4"/>
                <w:szCs w:val="24"/>
                <w:highlight w:val="none"/>
                <w:lang w:val="en-US" w:eastAsia="zh-CN"/>
              </w:rPr>
            </w:pPr>
          </w:p>
        </w:tc>
      </w:tr>
      <w:tr w14:paraId="2BAB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44" w:hRule="atLeast"/>
          <w:jc w:val="center"/>
        </w:trPr>
        <w:tc>
          <w:tcPr>
            <w:tcW w:w="439" w:type="pct"/>
            <w:shd w:val="clear" w:color="auto" w:fill="FFFFFF"/>
            <w:vAlign w:val="center"/>
          </w:tcPr>
          <w:p w14:paraId="187664B0">
            <w:pPr>
              <w:pStyle w:val="49"/>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1-4</w:t>
            </w:r>
          </w:p>
        </w:tc>
        <w:tc>
          <w:tcPr>
            <w:tcW w:w="1000" w:type="pct"/>
            <w:shd w:val="clear" w:color="auto" w:fill="FFFFFF"/>
            <w:vAlign w:val="center"/>
          </w:tcPr>
          <w:p w14:paraId="00088D05">
            <w:pPr>
              <w:pStyle w:val="49"/>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法律、行政法规规定的其他条件</w:t>
            </w:r>
          </w:p>
        </w:tc>
        <w:tc>
          <w:tcPr>
            <w:tcW w:w="2760" w:type="pct"/>
            <w:shd w:val="clear" w:color="auto" w:fill="FFFFFF"/>
            <w:vAlign w:val="center"/>
          </w:tcPr>
          <w:p w14:paraId="4FF42DA3">
            <w:pPr>
              <w:pStyle w:val="49"/>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法律、行政法规规定的其他条件：提供《不参与围标串标承诺书》。</w:t>
            </w:r>
          </w:p>
        </w:tc>
        <w:tc>
          <w:tcPr>
            <w:tcW w:w="800" w:type="pct"/>
            <w:shd w:val="clear" w:color="auto" w:fill="FFFFFF"/>
            <w:vAlign w:val="center"/>
          </w:tcPr>
          <w:p w14:paraId="3805DA5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格式见《第七章 投标文件格式》</w:t>
            </w:r>
          </w:p>
        </w:tc>
      </w:tr>
      <w:tr w14:paraId="52AD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44" w:hRule="atLeast"/>
          <w:jc w:val="center"/>
        </w:trPr>
        <w:tc>
          <w:tcPr>
            <w:tcW w:w="439" w:type="pct"/>
            <w:shd w:val="clear" w:color="auto" w:fill="FFFFFF"/>
            <w:vAlign w:val="center"/>
          </w:tcPr>
          <w:p w14:paraId="0B94FE7B">
            <w:pPr>
              <w:pStyle w:val="49"/>
              <w:keepNext w:val="0"/>
              <w:keepLines w:val="0"/>
              <w:pageBreakBefore w:val="0"/>
              <w:kinsoku/>
              <w:wordWrap/>
              <w:overflowPunct/>
              <w:topLinePunct w:val="0"/>
              <w:autoSpaceDE/>
              <w:autoSpaceDN/>
              <w:bidi w:val="0"/>
              <w:adjustRightInd/>
              <w:snapToGrid/>
              <w:jc w:val="center"/>
              <w:textAlignment w:val="auto"/>
              <w:rPr>
                <w:rFonts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w:t>
            </w:r>
          </w:p>
        </w:tc>
        <w:tc>
          <w:tcPr>
            <w:tcW w:w="1000" w:type="pct"/>
            <w:shd w:val="clear" w:color="auto" w:fill="FFFFFF"/>
            <w:vAlign w:val="center"/>
          </w:tcPr>
          <w:p w14:paraId="5943EAD4">
            <w:pPr>
              <w:pStyle w:val="49"/>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其他资格要求</w:t>
            </w:r>
          </w:p>
        </w:tc>
        <w:tc>
          <w:tcPr>
            <w:tcW w:w="2760" w:type="pct"/>
            <w:shd w:val="clear" w:color="auto" w:fill="FFFFFF"/>
            <w:vAlign w:val="center"/>
          </w:tcPr>
          <w:p w14:paraId="15A213AD">
            <w:pPr>
              <w:pStyle w:val="49"/>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（1）法定代表人或单位负责人为同一人或者存在直接控股、管理关系的不同供应商，不得参加同一合同项下的政府采购活动。 </w:t>
            </w:r>
          </w:p>
          <w:p w14:paraId="1D524A44">
            <w:pPr>
              <w:pStyle w:val="49"/>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（2）除单一来源采购项目外，为采购项目提供整体设 计、规范编制或者项目管理、监理、检测等服务的供应商，不得再参加该采购项目的其他采购活动。 </w:t>
            </w:r>
          </w:p>
          <w:p w14:paraId="4DB992B0">
            <w:pPr>
              <w:pStyle w:val="49"/>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（3）供应商的信用行为：在资格审查阶段经查询，未被列入“失信被执行人”、“重大税收违法失信主体”、“政府采购严重违法失信行为记录名单”其中之一。如有以上不良信用记录之一的，其投标无效。</w:t>
            </w:r>
          </w:p>
        </w:tc>
        <w:tc>
          <w:tcPr>
            <w:tcW w:w="800" w:type="pct"/>
            <w:shd w:val="clear" w:color="auto" w:fill="FFFFFF"/>
            <w:vAlign w:val="center"/>
          </w:tcPr>
          <w:p w14:paraId="3651F716">
            <w:pPr>
              <w:pStyle w:val="49"/>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提供声明 </w:t>
            </w:r>
          </w:p>
          <w:p w14:paraId="156F82F5">
            <w:pPr>
              <w:pStyle w:val="49"/>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函，格式 </w:t>
            </w:r>
          </w:p>
          <w:p w14:paraId="4DABA93A">
            <w:pPr>
              <w:pStyle w:val="49"/>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自拟。</w:t>
            </w:r>
          </w:p>
        </w:tc>
      </w:tr>
    </w:tbl>
    <w:p w14:paraId="75823E1B">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 </w:t>
      </w:r>
    </w:p>
    <w:p w14:paraId="3CB9CD2F">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 </w:t>
      </w:r>
    </w:p>
    <w:p w14:paraId="3B7BB78F">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 </w:t>
      </w:r>
    </w:p>
    <w:p w14:paraId="03B38563">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7FBDA93">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2A1E418">
      <w:pPr>
        <w:rPr>
          <w:rFonts w:hint="eastAsia" w:ascii="仿宋" w:hAnsi="仿宋" w:eastAsia="仿宋" w:cs="仿宋"/>
          <w:b/>
          <w:bCs/>
          <w:color w:val="auto"/>
          <w:kern w:val="44"/>
          <w:sz w:val="36"/>
          <w:szCs w:val="36"/>
          <w:highlight w:val="none"/>
          <w:lang w:val="en-US" w:eastAsia="zh-CN" w:bidi="ar-SA"/>
        </w:rPr>
      </w:pPr>
      <w:bookmarkStart w:id="306" w:name="_Toc155185903"/>
      <w:bookmarkStart w:id="307" w:name="_Toc163492899"/>
      <w:r>
        <w:rPr>
          <w:rFonts w:hint="eastAsia" w:ascii="仿宋" w:hAnsi="仿宋" w:eastAsia="仿宋" w:cs="仿宋"/>
          <w:b/>
          <w:bCs/>
          <w:color w:val="auto"/>
          <w:kern w:val="44"/>
          <w:sz w:val="36"/>
          <w:szCs w:val="36"/>
          <w:highlight w:val="none"/>
          <w:lang w:val="en-US" w:eastAsia="zh-CN" w:bidi="ar-SA"/>
        </w:rPr>
        <w:br w:type="page"/>
      </w:r>
    </w:p>
    <w:p w14:paraId="21B53EA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color w:val="auto"/>
          <w:kern w:val="44"/>
          <w:sz w:val="36"/>
          <w:szCs w:val="36"/>
          <w:highlight w:val="none"/>
          <w:lang w:val="en-US" w:eastAsia="zh-CN" w:bidi="ar-SA"/>
        </w:rPr>
      </w:pPr>
      <w:bookmarkStart w:id="308" w:name="_Toc26049"/>
      <w:r>
        <w:rPr>
          <w:rFonts w:hint="eastAsia" w:ascii="仿宋" w:hAnsi="仿宋" w:eastAsia="仿宋" w:cs="仿宋"/>
          <w:b/>
          <w:bCs/>
          <w:color w:val="auto"/>
          <w:kern w:val="44"/>
          <w:sz w:val="36"/>
          <w:szCs w:val="36"/>
          <w:highlight w:val="none"/>
          <w:lang w:val="en-US" w:eastAsia="zh-CN" w:bidi="ar-SA"/>
        </w:rPr>
        <w:t>第五章 评标方法</w:t>
      </w:r>
      <w:bookmarkEnd w:id="306"/>
      <w:r>
        <w:rPr>
          <w:rFonts w:hint="eastAsia" w:ascii="仿宋" w:hAnsi="仿宋" w:eastAsia="仿宋" w:cs="仿宋"/>
          <w:b/>
          <w:bCs/>
          <w:color w:val="auto"/>
          <w:kern w:val="44"/>
          <w:sz w:val="36"/>
          <w:szCs w:val="36"/>
          <w:highlight w:val="none"/>
          <w:lang w:val="en-US" w:eastAsia="zh-CN" w:bidi="ar-SA"/>
        </w:rPr>
        <w:t>及标准</w:t>
      </w:r>
      <w:bookmarkEnd w:id="307"/>
      <w:r>
        <w:rPr>
          <w:rFonts w:hint="eastAsia" w:ascii="仿宋" w:hAnsi="仿宋" w:eastAsia="仿宋" w:cs="仿宋"/>
          <w:b/>
          <w:bCs/>
          <w:color w:val="auto"/>
          <w:kern w:val="44"/>
          <w:sz w:val="36"/>
          <w:szCs w:val="36"/>
          <w:highlight w:val="none"/>
          <w:lang w:val="en-US" w:eastAsia="zh-CN" w:bidi="ar-SA"/>
        </w:rPr>
        <w:t>(综合评分法)</w:t>
      </w:r>
      <w:bookmarkEnd w:id="308"/>
    </w:p>
    <w:p w14:paraId="2BB6F8A4">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根据《中华人民共和国政府采购法》及其实施条例、《政府采购货物和服务招标投标管理办法》</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相关法律法规确定以下评标</w:t>
      </w:r>
      <w:r>
        <w:rPr>
          <w:rFonts w:hint="eastAsia" w:ascii="仿宋" w:hAnsi="仿宋" w:eastAsia="仿宋" w:cs="仿宋"/>
          <w:color w:val="auto"/>
          <w:sz w:val="24"/>
          <w:szCs w:val="24"/>
          <w:highlight w:val="none"/>
          <w:lang w:val="en-US" w:eastAsia="zh-CN"/>
        </w:rPr>
        <w:t>方</w:t>
      </w:r>
      <w:r>
        <w:rPr>
          <w:rFonts w:hint="eastAsia" w:ascii="仿宋" w:hAnsi="仿宋" w:eastAsia="仿宋" w:cs="仿宋"/>
          <w:color w:val="auto"/>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color w:val="auto"/>
          <w:sz w:val="28"/>
          <w:szCs w:val="28"/>
          <w:highlight w:val="none"/>
          <w:lang w:val="zh-CN" w:eastAsia="zh-CN"/>
        </w:rPr>
      </w:pPr>
      <w:bookmarkStart w:id="309" w:name="_Toc163492900"/>
      <w:bookmarkStart w:id="310" w:name="_Toc4291"/>
      <w:bookmarkStart w:id="311" w:name="_Toc494561962"/>
      <w:bookmarkStart w:id="312" w:name="_Toc278891606"/>
      <w:bookmarkStart w:id="313" w:name="_Toc109899484"/>
      <w:bookmarkStart w:id="314" w:name="_Toc272247709"/>
      <w:bookmarkStart w:id="315" w:name="_Toc155185905"/>
      <w:bookmarkStart w:id="316" w:name="_Toc109899903"/>
      <w:bookmarkStart w:id="317" w:name="_Toc140132826"/>
      <w:bookmarkStart w:id="318" w:name="_Toc511894518"/>
      <w:bookmarkStart w:id="319" w:name="_Toc61280402"/>
      <w:bookmarkStart w:id="320" w:name="_Toc109900322"/>
      <w:r>
        <w:rPr>
          <w:rFonts w:hint="eastAsia" w:ascii="仿宋" w:hAnsi="仿宋" w:eastAsia="仿宋" w:cs="仿宋"/>
          <w:color w:val="auto"/>
          <w:sz w:val="28"/>
          <w:szCs w:val="28"/>
          <w:highlight w:val="none"/>
          <w:lang w:val="zh-CN" w:eastAsia="zh-CN"/>
        </w:rPr>
        <w:t>一、评标</w:t>
      </w:r>
      <w:r>
        <w:rPr>
          <w:rFonts w:hint="eastAsia" w:ascii="仿宋" w:hAnsi="仿宋" w:eastAsia="仿宋" w:cs="仿宋"/>
          <w:color w:val="auto"/>
          <w:sz w:val="28"/>
          <w:szCs w:val="28"/>
          <w:highlight w:val="none"/>
          <w:lang w:val="en-US" w:eastAsia="zh-CN"/>
        </w:rPr>
        <w:t>方</w:t>
      </w:r>
      <w:r>
        <w:rPr>
          <w:rFonts w:hint="eastAsia" w:ascii="仿宋" w:hAnsi="仿宋" w:eastAsia="仿宋" w:cs="仿宋"/>
          <w:color w:val="auto"/>
          <w:sz w:val="28"/>
          <w:szCs w:val="28"/>
          <w:highlight w:val="none"/>
          <w:lang w:val="zh-CN" w:eastAsia="zh-CN"/>
        </w:rPr>
        <w:t>法</w:t>
      </w:r>
      <w:bookmarkEnd w:id="309"/>
      <w:bookmarkEnd w:id="310"/>
    </w:p>
    <w:p w14:paraId="40F9AE81">
      <w:pPr>
        <w:pStyle w:val="37"/>
        <w:jc w:val="both"/>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b/>
          <w:bCs/>
          <w:color w:val="auto"/>
          <w:highlight w:val="none"/>
        </w:rPr>
        <w:t>本项目采用综合评分法</w:t>
      </w:r>
      <w:r>
        <w:rPr>
          <w:rFonts w:hint="eastAsia" w:ascii="仿宋" w:hAnsi="仿宋" w:eastAsia="仿宋" w:cs="仿宋"/>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color w:val="auto"/>
          <w:sz w:val="28"/>
          <w:szCs w:val="28"/>
          <w:highlight w:val="none"/>
          <w:lang w:val="zh-CN" w:eastAsia="zh-CN"/>
        </w:rPr>
      </w:pPr>
      <w:bookmarkStart w:id="321" w:name="_Toc11920"/>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val="zh-CN" w:eastAsia="zh-CN"/>
        </w:rPr>
        <w:t>、评标程序</w:t>
      </w:r>
      <w:bookmarkEnd w:id="321"/>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zh-CN" w:eastAsia="zh-CN" w:bidi="ar-SA"/>
        </w:rPr>
        <w:t>（一）符合性审查</w:t>
      </w:r>
    </w:p>
    <w:p w14:paraId="0D55CFD2">
      <w:pPr>
        <w:pStyle w:val="37"/>
        <w:jc w:val="both"/>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评标委员会应当对</w:t>
      </w:r>
      <w:r>
        <w:rPr>
          <w:rFonts w:hint="eastAsia" w:ascii="仿宋" w:hAnsi="仿宋" w:eastAsia="仿宋" w:cs="仿宋"/>
          <w:color w:val="auto"/>
          <w:sz w:val="24"/>
          <w:szCs w:val="24"/>
          <w:highlight w:val="none"/>
          <w:lang w:val="en-US" w:eastAsia="zh-CN"/>
        </w:rPr>
        <w:t>通过</w:t>
      </w:r>
      <w:r>
        <w:rPr>
          <w:rFonts w:hint="eastAsia" w:ascii="仿宋" w:hAnsi="仿宋" w:eastAsia="仿宋" w:cs="仿宋"/>
          <w:color w:val="auto"/>
          <w:sz w:val="24"/>
          <w:szCs w:val="24"/>
          <w:highlight w:val="none"/>
        </w:rPr>
        <w:t>资格</w:t>
      </w:r>
      <w:r>
        <w:rPr>
          <w:rFonts w:hint="eastAsia" w:ascii="仿宋" w:hAnsi="仿宋" w:eastAsia="仿宋" w:cs="仿宋"/>
          <w:color w:val="auto"/>
          <w:sz w:val="24"/>
          <w:szCs w:val="24"/>
          <w:highlight w:val="none"/>
          <w:lang w:val="en-US" w:eastAsia="zh-CN"/>
        </w:rPr>
        <w:t>审查</w:t>
      </w:r>
      <w:r>
        <w:rPr>
          <w:rFonts w:hint="eastAsia" w:ascii="仿宋" w:hAnsi="仿宋" w:eastAsia="仿宋" w:cs="仿宋"/>
          <w:color w:val="auto"/>
          <w:sz w:val="24"/>
          <w:szCs w:val="24"/>
          <w:highlight w:val="none"/>
        </w:rPr>
        <w:t>的投标人的投标文件进行符合性审查，以确定其是否满足招标文件的实质性要求。投标人必须通过符合性审查的全部评审指标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不满足招标文件的实质性要求的，</w:t>
      </w:r>
      <w:r>
        <w:rPr>
          <w:rFonts w:hint="eastAsia" w:ascii="仿宋" w:hAnsi="仿宋" w:eastAsia="仿宋" w:cs="仿宋"/>
          <w:color w:val="auto"/>
          <w:sz w:val="24"/>
          <w:szCs w:val="24"/>
          <w:highlight w:val="none"/>
          <w:lang w:val="en-US" w:eastAsia="zh-CN"/>
        </w:rPr>
        <w:t>其</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具体内容详见</w:t>
      </w:r>
      <w:r>
        <w:rPr>
          <w:rFonts w:hint="eastAsia" w:ascii="仿宋" w:hAnsi="仿宋" w:eastAsia="仿宋" w:cs="仿宋"/>
          <w:color w:val="auto"/>
          <w:sz w:val="24"/>
          <w:szCs w:val="24"/>
          <w:highlight w:val="none"/>
          <w:lang w:val="zh-CN"/>
        </w:rPr>
        <w:t>本章“</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lang w:val="zh-CN"/>
        </w:rPr>
        <w:t>、评标标准”中</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lang w:val="zh-CN"/>
        </w:rPr>
        <w:t>“（一）符合性审查”。</w:t>
      </w:r>
    </w:p>
    <w:p w14:paraId="4E726315">
      <w:pPr>
        <w:pStyle w:val="37"/>
        <w:jc w:val="both"/>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通过</w:t>
      </w:r>
      <w:r>
        <w:rPr>
          <w:rFonts w:hint="eastAsia" w:ascii="仿宋" w:hAnsi="仿宋" w:eastAsia="仿宋" w:cs="仿宋"/>
          <w:color w:val="auto"/>
          <w:sz w:val="24"/>
          <w:szCs w:val="24"/>
          <w:highlight w:val="none"/>
        </w:rPr>
        <w:t>符合性审查</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有效</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zh-CN" w:eastAsia="zh-CN" w:bidi="ar-SA"/>
        </w:rPr>
      </w:pPr>
      <w:bookmarkStart w:id="322" w:name="_Toc102116178"/>
      <w:bookmarkStart w:id="323" w:name="_Toc155185907"/>
      <w:bookmarkStart w:id="324" w:name="_Toc102119879"/>
      <w:bookmarkStart w:id="325" w:name="_Toc102057744"/>
      <w:bookmarkStart w:id="326" w:name="_Toc102114946"/>
      <w:bookmarkStart w:id="327" w:name="_Toc102056244"/>
      <w:bookmarkStart w:id="328" w:name="_Toc102116048"/>
      <w:bookmarkStart w:id="329" w:name="_Toc163492903"/>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二</w:t>
      </w:r>
      <w:r>
        <w:rPr>
          <w:rFonts w:hint="eastAsia" w:ascii="仿宋" w:hAnsi="仿宋" w:eastAsia="仿宋" w:cs="仿宋"/>
          <w:b/>
          <w:bCs/>
          <w:color w:val="auto"/>
          <w:kern w:val="2"/>
          <w:sz w:val="24"/>
          <w:szCs w:val="24"/>
          <w:highlight w:val="none"/>
          <w:lang w:val="zh-CN" w:eastAsia="zh-CN" w:bidi="ar-SA"/>
        </w:rPr>
        <w:t>）投标文件澄清</w:t>
      </w:r>
      <w:bookmarkEnd w:id="322"/>
      <w:bookmarkEnd w:id="323"/>
      <w:bookmarkEnd w:id="324"/>
      <w:bookmarkEnd w:id="325"/>
      <w:bookmarkEnd w:id="326"/>
      <w:bookmarkEnd w:id="327"/>
      <w:bookmarkEnd w:id="328"/>
      <w:r>
        <w:rPr>
          <w:rFonts w:hint="eastAsia" w:ascii="仿宋" w:hAnsi="仿宋" w:eastAsia="仿宋" w:cs="仿宋"/>
          <w:b/>
          <w:bCs/>
          <w:color w:val="auto"/>
          <w:kern w:val="2"/>
          <w:sz w:val="24"/>
          <w:szCs w:val="24"/>
          <w:highlight w:val="none"/>
          <w:lang w:val="zh-CN" w:eastAsia="zh-CN" w:bidi="ar-SA"/>
        </w:rPr>
        <w:t>及修正</w:t>
      </w:r>
      <w:bookmarkEnd w:id="329"/>
    </w:p>
    <w:p w14:paraId="0EC9197C">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仿宋" w:hAnsi="仿宋" w:eastAsia="仿宋" w:cs="仿宋"/>
          <w:color w:val="auto"/>
          <w:sz w:val="24"/>
          <w:szCs w:val="24"/>
          <w:highlight w:val="none"/>
          <w:lang w:val="en-US" w:eastAsia="zh-CN"/>
        </w:rPr>
        <w:t>政采云平台评标</w:t>
      </w:r>
      <w:r>
        <w:rPr>
          <w:rFonts w:hint="eastAsia" w:ascii="仿宋" w:hAnsi="仿宋" w:eastAsia="仿宋" w:cs="仿宋"/>
          <w:color w:val="auto"/>
          <w:sz w:val="24"/>
          <w:szCs w:val="24"/>
          <w:highlight w:val="none"/>
        </w:rPr>
        <w:t>系统中以书面形式要求投标人作出必要的澄清、说明或者补正。</w:t>
      </w:r>
    </w:p>
    <w:p w14:paraId="079329DA">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.投标人应按照评标委员会要求在规定时间内作出澄清、说明或者补正，澄清、说明或者补正不得超出投标文件的范围或者改变投标文件的实质性内容。</w:t>
      </w:r>
    </w:p>
    <w:p w14:paraId="591A6455">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.投标人的澄清、说明或者补正是其投标文件的有效组成部分，澄清、说明或者补正应当在</w:t>
      </w:r>
      <w:r>
        <w:rPr>
          <w:rFonts w:hint="eastAsia" w:ascii="仿宋" w:hAnsi="仿宋" w:eastAsia="仿宋" w:cs="仿宋"/>
          <w:color w:val="auto"/>
          <w:sz w:val="24"/>
          <w:szCs w:val="24"/>
          <w:highlight w:val="none"/>
          <w:lang w:val="en-US" w:eastAsia="zh-CN"/>
        </w:rPr>
        <w:t>政采云平台评标</w:t>
      </w:r>
      <w:r>
        <w:rPr>
          <w:rFonts w:hint="eastAsia" w:ascii="仿宋" w:hAnsi="仿宋" w:eastAsia="仿宋" w:cs="仿宋"/>
          <w:color w:val="auto"/>
          <w:sz w:val="24"/>
          <w:szCs w:val="24"/>
          <w:highlight w:val="none"/>
        </w:rPr>
        <w:t>系统中加盖电子印章后提交。</w:t>
      </w:r>
    </w:p>
    <w:p w14:paraId="3B466024">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.报价合理性说明：评标委员会认为投标人的报价明显低于其他通过符合性审查投标人的报价，有可能影响</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质量或者不能诚信履约的，</w:t>
      </w:r>
      <w:r>
        <w:rPr>
          <w:rFonts w:hint="eastAsia" w:ascii="仿宋" w:hAnsi="仿宋" w:eastAsia="仿宋" w:cs="仿宋"/>
          <w:color w:val="auto"/>
          <w:sz w:val="24"/>
          <w:szCs w:val="24"/>
          <w:highlight w:val="none"/>
          <w:lang w:val="en-US" w:eastAsia="zh-CN"/>
        </w:rPr>
        <w:t>应当</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val="en-US" w:eastAsia="zh-CN"/>
        </w:rPr>
        <w:t>该投标人</w:t>
      </w:r>
      <w:r>
        <w:rPr>
          <w:rFonts w:hint="eastAsia" w:ascii="仿宋" w:hAnsi="仿宋" w:eastAsia="仿宋" w:cs="仿宋"/>
          <w:color w:val="auto"/>
          <w:sz w:val="24"/>
          <w:szCs w:val="24"/>
          <w:highlight w:val="none"/>
        </w:rPr>
        <w:t>在合理的时间内提供说明，必要时提交相关证明材料；</w:t>
      </w:r>
      <w:r>
        <w:rPr>
          <w:rFonts w:hint="eastAsia" w:ascii="仿宋" w:hAnsi="仿宋" w:eastAsia="仿宋" w:cs="仿宋"/>
          <w:color w:val="auto"/>
          <w:sz w:val="24"/>
          <w:szCs w:val="24"/>
          <w:highlight w:val="none"/>
          <w:lang w:val="en-US" w:eastAsia="zh-CN"/>
        </w:rPr>
        <w:t>若</w:t>
      </w:r>
      <w:r>
        <w:rPr>
          <w:rFonts w:hint="eastAsia" w:ascii="仿宋" w:hAnsi="仿宋" w:eastAsia="仿宋" w:cs="仿宋"/>
          <w:color w:val="auto"/>
          <w:sz w:val="24"/>
          <w:szCs w:val="24"/>
          <w:highlight w:val="none"/>
        </w:rPr>
        <w:t>投标人不能证明其报价合理性的，评标委员</w:t>
      </w:r>
      <w:r>
        <w:rPr>
          <w:rFonts w:hint="eastAsia" w:ascii="仿宋" w:hAnsi="仿宋" w:eastAsia="仿宋" w:cs="仿宋"/>
          <w:color w:val="auto"/>
          <w:sz w:val="24"/>
          <w:szCs w:val="24"/>
          <w:highlight w:val="none"/>
          <w:lang w:val="en-US" w:eastAsia="zh-CN"/>
        </w:rPr>
        <w:t>会应当</w:t>
      </w:r>
      <w:r>
        <w:rPr>
          <w:rFonts w:hint="eastAsia" w:ascii="仿宋" w:hAnsi="仿宋" w:eastAsia="仿宋" w:cs="仿宋"/>
          <w:color w:val="auto"/>
          <w:sz w:val="24"/>
          <w:szCs w:val="24"/>
          <w:highlight w:val="none"/>
        </w:rPr>
        <w:t>将其作</w:t>
      </w:r>
      <w:r>
        <w:rPr>
          <w:rFonts w:hint="eastAsia" w:ascii="仿宋" w:hAnsi="仿宋" w:eastAsia="仿宋" w:cs="仿宋"/>
          <w:b/>
          <w:bCs/>
          <w:color w:val="auto"/>
          <w:sz w:val="24"/>
          <w:szCs w:val="24"/>
          <w:highlight w:val="none"/>
        </w:rPr>
        <w:t>无效投标</w:t>
      </w:r>
      <w:r>
        <w:rPr>
          <w:rFonts w:hint="eastAsia" w:ascii="仿宋" w:hAnsi="仿宋" w:eastAsia="仿宋" w:cs="仿宋"/>
          <w:color w:val="auto"/>
          <w:sz w:val="24"/>
          <w:szCs w:val="24"/>
          <w:highlight w:val="none"/>
        </w:rPr>
        <w:t>处理。</w:t>
      </w:r>
    </w:p>
    <w:p w14:paraId="4FD6345C">
      <w:pPr>
        <w:pStyle w:val="37"/>
        <w:ind w:left="0" w:leftChars="0"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w:t>
      </w:r>
    </w:p>
    <w:p w14:paraId="015D7E7F">
      <w:pPr>
        <w:pStyle w:val="37"/>
        <w:ind w:left="0" w:leftChars="0"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8.投标文件报价出现前后不一致的，除招标文件另有规定外，按照下列规定修正：</w:t>
      </w:r>
    </w:p>
    <w:p w14:paraId="4D967018">
      <w:pPr>
        <w:pStyle w:val="37"/>
        <w:ind w:left="0" w:leftChars="0"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8.1投标文件中开标一览表（报价表）内容与投标文件中相应内容不一致的，以开标一览表（报价表）为准；</w:t>
      </w:r>
    </w:p>
    <w:p w14:paraId="657B9F51">
      <w:pPr>
        <w:pStyle w:val="37"/>
        <w:ind w:left="0" w:leftChars="0"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8.2大写金额和小写金额不一致的，以大写金额为准；</w:t>
      </w:r>
    </w:p>
    <w:p w14:paraId="628E9D79">
      <w:pPr>
        <w:pStyle w:val="37"/>
        <w:ind w:left="0" w:leftChars="0"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8.3单价金额小数点或者百分比有明显错位的，以开标一览表的总价为准，并修改单价；</w:t>
      </w:r>
    </w:p>
    <w:p w14:paraId="3D45997F">
      <w:pPr>
        <w:pStyle w:val="37"/>
        <w:ind w:left="0" w:leftChars="0"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8.4总价金额与按单价汇总金额不一致的，以单价金额计算结果为准。</w:t>
      </w:r>
    </w:p>
    <w:p w14:paraId="4E5FFFFF">
      <w:pPr>
        <w:pStyle w:val="37"/>
        <w:ind w:left="0" w:leftChars="0"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三</w:t>
      </w:r>
      <w:r>
        <w:rPr>
          <w:rFonts w:hint="eastAsia" w:ascii="仿宋" w:hAnsi="仿宋" w:eastAsia="仿宋" w:cs="仿宋"/>
          <w:b/>
          <w:bCs/>
          <w:color w:val="auto"/>
          <w:kern w:val="2"/>
          <w:sz w:val="24"/>
          <w:szCs w:val="24"/>
          <w:highlight w:val="none"/>
          <w:lang w:val="zh-CN" w:eastAsia="zh-CN" w:bidi="ar-SA"/>
        </w:rPr>
        <w:t>）比较与评价</w:t>
      </w:r>
    </w:p>
    <w:p w14:paraId="2BE6ECB2">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评标委员会应当按照招标文件中规定的评标方法和标准，对符合性审查合格的投标文件进行商务和技术评</w:t>
      </w:r>
      <w:r>
        <w:rPr>
          <w:rFonts w:hint="eastAsia" w:ascii="仿宋" w:hAnsi="仿宋" w:eastAsia="仿宋" w:cs="仿宋"/>
          <w:color w:val="auto"/>
          <w:sz w:val="24"/>
          <w:szCs w:val="24"/>
          <w:highlight w:val="none"/>
          <w:lang w:val="en-US" w:eastAsia="zh-CN"/>
        </w:rPr>
        <w:t>估</w:t>
      </w:r>
      <w:r>
        <w:rPr>
          <w:rFonts w:hint="eastAsia" w:ascii="仿宋" w:hAnsi="仿宋" w:eastAsia="仿宋" w:cs="仿宋"/>
          <w:color w:val="auto"/>
          <w:sz w:val="24"/>
          <w:szCs w:val="24"/>
          <w:highlight w:val="none"/>
        </w:rPr>
        <w:t>，综合比较与评价</w:t>
      </w:r>
      <w:r>
        <w:rPr>
          <w:rFonts w:hint="eastAsia" w:ascii="仿宋" w:hAnsi="仿宋" w:eastAsia="仿宋" w:cs="仿宋"/>
          <w:color w:val="auto"/>
          <w:sz w:val="24"/>
          <w:szCs w:val="24"/>
          <w:highlight w:val="none"/>
          <w:lang w:val="en-US" w:eastAsia="zh-CN"/>
        </w:rPr>
        <w:t>；未通过符合性审查的投标文件不得进入比较与评价</w:t>
      </w:r>
      <w:r>
        <w:rPr>
          <w:rFonts w:hint="eastAsia" w:ascii="仿宋" w:hAnsi="仿宋" w:eastAsia="仿宋" w:cs="仿宋"/>
          <w:color w:val="auto"/>
          <w:sz w:val="24"/>
          <w:szCs w:val="24"/>
          <w:highlight w:val="none"/>
        </w:rPr>
        <w:t>。评审因素包括投标报价、商务技术以及落实政府采购政策。评审因素及标准见本章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评</w:t>
      </w:r>
      <w:r>
        <w:rPr>
          <w:rFonts w:hint="eastAsia" w:ascii="仿宋" w:hAnsi="仿宋" w:eastAsia="仿宋" w:cs="仿宋"/>
          <w:color w:val="auto"/>
          <w:sz w:val="24"/>
          <w:szCs w:val="24"/>
          <w:highlight w:val="none"/>
          <w:lang w:val="en-US" w:eastAsia="zh-CN"/>
        </w:rPr>
        <w:t>标</w:t>
      </w:r>
      <w:r>
        <w:rPr>
          <w:rFonts w:hint="eastAsia" w:ascii="仿宋" w:hAnsi="仿宋" w:eastAsia="仿宋" w:cs="仿宋"/>
          <w:color w:val="auto"/>
          <w:sz w:val="24"/>
          <w:szCs w:val="24"/>
          <w:highlight w:val="none"/>
        </w:rPr>
        <w:t>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635A5086">
      <w:pPr>
        <w:pStyle w:val="37"/>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10.相同品牌处理原则</w:t>
      </w:r>
    </w:p>
    <w:p w14:paraId="7EDACD8A">
      <w:pPr>
        <w:pStyle w:val="37"/>
        <w:keepNext w:val="0"/>
        <w:keepLines w:val="0"/>
        <w:pageBreakBefore w:val="0"/>
        <w:widowControl w:val="0"/>
        <w:kinsoku/>
        <w:overflowPunct/>
        <w:topLinePunct w:val="0"/>
        <w:autoSpaceDE/>
        <w:autoSpaceDN/>
        <w:bidi w:val="0"/>
        <w:adjustRightInd/>
        <w:snapToGrid/>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B4B1667">
      <w:pPr>
        <w:pStyle w:val="37"/>
        <w:keepNext w:val="0"/>
        <w:keepLines w:val="0"/>
        <w:pageBreakBefore w:val="0"/>
        <w:widowControl w:val="0"/>
        <w:kinsoku/>
        <w:overflowPunct/>
        <w:topLinePunct w:val="0"/>
        <w:autoSpaceDE/>
        <w:autoSpaceDN/>
        <w:bidi w:val="0"/>
        <w:adjustRightInd/>
        <w:snapToGrid/>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.2非单一产品采购项目，采购人应当根据采购项目技术构成、产品价格比重等合理确定</w:t>
      </w:r>
      <w:r>
        <w:rPr>
          <w:rFonts w:hint="eastAsia" w:ascii="仿宋" w:hAnsi="仿宋" w:eastAsia="仿宋" w:cs="仿宋"/>
          <w:color w:val="auto"/>
          <w:sz w:val="24"/>
          <w:szCs w:val="24"/>
          <w:highlight w:val="none"/>
          <w:lang w:eastAsia="zh-CN"/>
        </w:rPr>
        <w:t>核心产品</w:t>
      </w:r>
      <w:r>
        <w:rPr>
          <w:rFonts w:hint="eastAsia" w:ascii="仿宋" w:hAnsi="仿宋" w:eastAsia="仿宋" w:cs="仿宋"/>
          <w:color w:val="auto"/>
          <w:sz w:val="24"/>
          <w:szCs w:val="24"/>
          <w:highlight w:val="none"/>
        </w:rPr>
        <w:t>（采购清单中作“与核心产品相同〈或同一〉品牌”实质性要求的产品，视为</w:t>
      </w:r>
      <w:r>
        <w:rPr>
          <w:rFonts w:hint="eastAsia" w:ascii="仿宋" w:hAnsi="仿宋" w:eastAsia="仿宋" w:cs="仿宋"/>
          <w:color w:val="auto"/>
          <w:sz w:val="24"/>
          <w:szCs w:val="24"/>
          <w:highlight w:val="none"/>
          <w:lang w:eastAsia="zh-CN"/>
        </w:rPr>
        <w:t>核心产品</w:t>
      </w:r>
      <w:r>
        <w:rPr>
          <w:rFonts w:hint="eastAsia" w:ascii="仿宋" w:hAnsi="仿宋" w:eastAsia="仿宋" w:cs="仿宋"/>
          <w:color w:val="auto"/>
          <w:sz w:val="24"/>
          <w:szCs w:val="24"/>
          <w:highlight w:val="none"/>
        </w:rPr>
        <w:t>），并以“核心产品”在“投标人须知前附表”中载明，评审时按前款规定处理。</w:t>
      </w:r>
    </w:p>
    <w:p w14:paraId="384D833B">
      <w:pPr>
        <w:pStyle w:val="37"/>
        <w:keepNext w:val="0"/>
        <w:keepLines w:val="0"/>
        <w:pageBreakBefore w:val="0"/>
        <w:widowControl w:val="0"/>
        <w:kinsoku/>
        <w:overflowPunct/>
        <w:topLinePunct w:val="0"/>
        <w:autoSpaceDE/>
        <w:autoSpaceDN/>
        <w:bidi w:val="0"/>
        <w:adjustRightInd/>
        <w:snapToGrid/>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.3有效投标品牌不足3家的应按</w:t>
      </w:r>
      <w:r>
        <w:rPr>
          <w:rFonts w:hint="eastAsia" w:ascii="仿宋" w:hAnsi="仿宋" w:eastAsia="仿宋" w:cs="仿宋"/>
          <w:b/>
          <w:bCs/>
          <w:color w:val="auto"/>
          <w:sz w:val="24"/>
          <w:szCs w:val="24"/>
          <w:highlight w:val="none"/>
        </w:rPr>
        <w:t>废标</w:t>
      </w:r>
      <w:r>
        <w:rPr>
          <w:rFonts w:hint="eastAsia" w:ascii="仿宋" w:hAnsi="仿宋" w:eastAsia="仿宋" w:cs="仿宋"/>
          <w:color w:val="auto"/>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四</w:t>
      </w:r>
      <w:r>
        <w:rPr>
          <w:rFonts w:hint="eastAsia" w:ascii="仿宋" w:hAnsi="仿宋" w:eastAsia="仿宋" w:cs="仿宋"/>
          <w:b/>
          <w:bCs/>
          <w:color w:val="auto"/>
          <w:kern w:val="2"/>
          <w:sz w:val="24"/>
          <w:szCs w:val="24"/>
          <w:highlight w:val="none"/>
          <w:lang w:val="zh-CN" w:eastAsia="zh-CN" w:bidi="ar-SA"/>
        </w:rPr>
        <w:t>）报价评审</w:t>
      </w:r>
    </w:p>
    <w:p w14:paraId="21874171">
      <w:pPr>
        <w:pStyle w:val="37"/>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11.</w:t>
      </w:r>
      <w:r>
        <w:rPr>
          <w:rFonts w:hint="eastAsia" w:ascii="仿宋" w:hAnsi="仿宋" w:eastAsia="仿宋" w:cs="仿宋"/>
          <w:b/>
          <w:bCs/>
          <w:color w:val="auto"/>
          <w:sz w:val="24"/>
          <w:szCs w:val="24"/>
          <w:highlight w:val="none"/>
        </w:rPr>
        <w:t>投标报价评审</w:t>
      </w:r>
    </w:p>
    <w:p w14:paraId="266BD854">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仿宋" w:hAnsi="仿宋" w:eastAsia="仿宋" w:cs="仿宋"/>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D86B7AD">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投标报价得分=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评标基准价／投标报价)×价格分值</w:t>
      </w:r>
    </w:p>
    <w:p w14:paraId="0CCB2E48">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评标过程中，不得去掉报价中的最高报价和最低报价。</w:t>
      </w:r>
    </w:p>
    <w:p w14:paraId="14E623B0">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2</w:t>
      </w:r>
      <w:r>
        <w:rPr>
          <w:rFonts w:hint="eastAsia" w:ascii="仿宋" w:hAnsi="仿宋" w:eastAsia="仿宋" w:cs="仿宋"/>
          <w:iCs/>
          <w:color w:val="auto"/>
          <w:spacing w:val="-6"/>
          <w:sz w:val="24"/>
          <w:szCs w:val="24"/>
          <w:highlight w:val="none"/>
        </w:rPr>
        <w:t>除算术修正和落实政府采购政策的价格扣除外，不对投标报价进行调整；</w:t>
      </w:r>
    </w:p>
    <w:p w14:paraId="6DDDADCE">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3价格</w:t>
      </w:r>
      <w:r>
        <w:rPr>
          <w:rFonts w:hint="eastAsia" w:ascii="仿宋" w:hAnsi="仿宋" w:eastAsia="仿宋" w:cs="仿宋"/>
          <w:color w:val="auto"/>
          <w:sz w:val="24"/>
          <w:szCs w:val="24"/>
          <w:highlight w:val="none"/>
          <w:lang w:eastAsia="zh-CN"/>
        </w:rPr>
        <w:t>分值</w:t>
      </w:r>
      <w:r>
        <w:rPr>
          <w:rFonts w:hint="eastAsia" w:ascii="仿宋" w:hAnsi="仿宋" w:eastAsia="仿宋" w:cs="仿宋"/>
          <w:color w:val="auto"/>
          <w:sz w:val="24"/>
          <w:szCs w:val="24"/>
          <w:highlight w:val="none"/>
        </w:rPr>
        <w:t>见本章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评</w:t>
      </w:r>
      <w:r>
        <w:rPr>
          <w:rFonts w:hint="eastAsia" w:ascii="仿宋" w:hAnsi="仿宋" w:eastAsia="仿宋" w:cs="仿宋"/>
          <w:color w:val="auto"/>
          <w:sz w:val="24"/>
          <w:szCs w:val="24"/>
          <w:highlight w:val="none"/>
          <w:lang w:val="en-US" w:eastAsia="zh-CN"/>
        </w:rPr>
        <w:t>标</w:t>
      </w:r>
      <w:r>
        <w:rPr>
          <w:rFonts w:hint="eastAsia" w:ascii="仿宋" w:hAnsi="仿宋" w:eastAsia="仿宋" w:cs="仿宋"/>
          <w:color w:val="auto"/>
          <w:sz w:val="24"/>
          <w:szCs w:val="24"/>
          <w:highlight w:val="none"/>
        </w:rPr>
        <w:t>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776AF508">
      <w:pPr>
        <w:pStyle w:val="37"/>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rPr>
        <w:t>政府采购异常低价审查</w:t>
      </w:r>
    </w:p>
    <w:p w14:paraId="2D307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12.1</w:t>
      </w:r>
      <w:r>
        <w:rPr>
          <w:rFonts w:hint="eastAsia" w:ascii="仿宋" w:hAnsi="仿宋" w:eastAsia="仿宋" w:cs="仿宋"/>
          <w:color w:val="auto"/>
          <w:sz w:val="24"/>
          <w:szCs w:val="24"/>
          <w:highlight w:val="none"/>
        </w:rPr>
        <w:t>政府采购评审中出现下列情形之一的，评审委员会应当启动异常低价投标（响应）审查程序：</w:t>
      </w:r>
    </w:p>
    <w:p w14:paraId="724298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投标（响应）报价低于全部通过符合性审查供应商投标（响应）报价平均值50%的，即投标（响应）报价&lt;全部通过符合性审查供应商投标（响应）报价平均值×50%；</w:t>
      </w:r>
    </w:p>
    <w:p w14:paraId="2333ED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投标（响应）报价低于通过符合性审查的次低报价供应商投标（响应）报价50%的，即投标（响应）报价&lt;通过符合性审查的次低报价供应商投标（响应）报价×50%；</w:t>
      </w:r>
    </w:p>
    <w:p w14:paraId="773EAD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投标（响应）报价低于采购项目最高限价45%的，即投标（响应）报价&lt;采购项目最高限价×45%；</w:t>
      </w:r>
    </w:p>
    <w:p w14:paraId="2A69B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评审委员会基于专业判断，认为供应商报价过低，有可能影响产品质量或者不能诚信履约的其他情形。</w:t>
      </w:r>
    </w:p>
    <w:p w14:paraId="504757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12.2</w:t>
      </w:r>
      <w:r>
        <w:rPr>
          <w:rFonts w:hint="eastAsia" w:ascii="仿宋" w:hAnsi="仿宋" w:eastAsia="仿宋" w:cs="仿宋"/>
          <w:color w:val="auto"/>
          <w:sz w:val="24"/>
          <w:szCs w:val="24"/>
          <w:highlight w:val="none"/>
        </w:rPr>
        <w:t>评审委员会启动异常低价投标（响应）审查后，属于前述第</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项至第</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9FD6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866637">
      <w:pPr>
        <w:pStyle w:val="37"/>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.政府采购政策评审</w:t>
      </w:r>
    </w:p>
    <w:p w14:paraId="7D57744F">
      <w:pPr>
        <w:pStyle w:val="37"/>
        <w:numPr>
          <w:ilvl w:val="0"/>
          <w:numId w:val="0"/>
        </w:numPr>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.1非专门面向中小企业的采购项目或采购包，对符合规定的小微企业（</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投标人须知前附表”中的规定扣除，对小微企业中的监狱企业、残疾人福利性单位的报价按照本</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须知前附表”中的规定扣除，用扣除后的价格</w:t>
      </w:r>
      <w:r>
        <w:rPr>
          <w:rFonts w:hint="eastAsia" w:ascii="仿宋" w:hAnsi="仿宋" w:eastAsia="仿宋" w:cs="仿宋"/>
          <w:color w:val="auto"/>
          <w:sz w:val="24"/>
          <w:szCs w:val="24"/>
          <w:highlight w:val="none"/>
          <w:lang w:val="en-US" w:eastAsia="zh-CN"/>
        </w:rPr>
        <w:t>参与</w:t>
      </w:r>
      <w:r>
        <w:rPr>
          <w:rFonts w:hint="eastAsia" w:ascii="仿宋" w:hAnsi="仿宋" w:eastAsia="仿宋" w:cs="仿宋"/>
          <w:color w:val="auto"/>
          <w:sz w:val="24"/>
          <w:szCs w:val="24"/>
          <w:highlight w:val="none"/>
        </w:rPr>
        <w:t>评审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采购产品纳入创新产品应用示范推荐目录内企业、采购产品获得节能产品或环境标志产品认证证书</w:t>
      </w:r>
      <w:r>
        <w:rPr>
          <w:rFonts w:hint="eastAsia" w:ascii="仿宋" w:hAnsi="仿宋" w:eastAsia="仿宋" w:cs="仿宋"/>
          <w:color w:val="auto"/>
          <w:sz w:val="24"/>
          <w:szCs w:val="24"/>
          <w:highlight w:val="none"/>
          <w:lang w:val="en-US" w:eastAsia="zh-CN"/>
        </w:rPr>
        <w:t>的投标人</w:t>
      </w:r>
      <w:r>
        <w:rPr>
          <w:rFonts w:hint="eastAsia" w:ascii="仿宋" w:hAnsi="仿宋" w:eastAsia="仿宋" w:cs="仿宋"/>
          <w:color w:val="auto"/>
          <w:sz w:val="24"/>
          <w:szCs w:val="24"/>
          <w:highlight w:val="none"/>
        </w:rPr>
        <w:t>按照本</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须知前附表”中的规定</w:t>
      </w:r>
      <w:r>
        <w:rPr>
          <w:rFonts w:hint="eastAsia" w:ascii="仿宋" w:hAnsi="仿宋" w:eastAsia="仿宋" w:cs="仿宋"/>
          <w:color w:val="auto"/>
          <w:sz w:val="24"/>
          <w:szCs w:val="24"/>
          <w:highlight w:val="none"/>
          <w:lang w:val="en-US" w:eastAsia="zh-CN"/>
        </w:rPr>
        <w:t>给予评审优惠</w:t>
      </w:r>
      <w:r>
        <w:rPr>
          <w:rFonts w:hint="eastAsia" w:ascii="仿宋" w:hAnsi="仿宋" w:eastAsia="仿宋" w:cs="仿宋"/>
          <w:color w:val="auto"/>
          <w:sz w:val="24"/>
          <w:szCs w:val="24"/>
          <w:highlight w:val="none"/>
          <w:lang w:eastAsia="zh-CN"/>
        </w:rPr>
        <w:t>。</w:t>
      </w:r>
    </w:p>
    <w:p w14:paraId="1E5F4E03">
      <w:pPr>
        <w:pStyle w:val="37"/>
        <w:numPr>
          <w:ilvl w:val="0"/>
          <w:numId w:val="0"/>
        </w:numPr>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lang w:val="zh-CN" w:eastAsia="zh-CN"/>
        </w:rPr>
        <w:t>2</w:t>
      </w:r>
      <w:r>
        <w:rPr>
          <w:rFonts w:hint="eastAsia" w:ascii="仿宋" w:hAnsi="仿宋" w:eastAsia="仿宋" w:cs="仿宋"/>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仿宋" w:hAnsi="仿宋" w:eastAsia="仿宋" w:cs="仿宋"/>
          <w:color w:val="auto"/>
          <w:sz w:val="24"/>
          <w:szCs w:val="24"/>
          <w:highlight w:val="none"/>
          <w:lang w:val="en-US" w:eastAsia="zh-CN"/>
        </w:rPr>
        <w:t>若供应商同时属于小型或微型企业、监狱企业、残疾人福利性单位 中的两种及以上，将不重复享受小微企业价格扣减的优惠政策。</w:t>
      </w:r>
    </w:p>
    <w:p w14:paraId="1A495953">
      <w:pPr>
        <w:pStyle w:val="37"/>
        <w:numPr>
          <w:ilvl w:val="0"/>
          <w:numId w:val="0"/>
        </w:numPr>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组成联合体或者接受分包的小微企业与联合体内其他企业、分包企业之间存在直接控股、管理关系的，不享受价格扣除优惠政策。</w:t>
      </w:r>
    </w:p>
    <w:p w14:paraId="74F2F1A2">
      <w:pPr>
        <w:pStyle w:val="37"/>
        <w:numPr>
          <w:ilvl w:val="0"/>
          <w:numId w:val="0"/>
        </w:numPr>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价格扣除比例对小型企业和微型企业同等对待，不作区分。</w:t>
      </w:r>
    </w:p>
    <w:p w14:paraId="71DD10A8">
      <w:pPr>
        <w:pStyle w:val="37"/>
        <w:jc w:val="both"/>
        <w:rPr>
          <w:rFonts w:hint="eastAsia" w:ascii="仿宋" w:hAnsi="仿宋" w:eastAsia="仿宋" w:cs="仿宋"/>
          <w:color w:val="auto"/>
          <w:sz w:val="24"/>
          <w:szCs w:val="24"/>
          <w:highlight w:val="none"/>
        </w:rPr>
      </w:pPr>
      <w:r>
        <w:rPr>
          <w:rFonts w:hint="eastAsia" w:ascii="仿宋" w:hAnsi="仿宋" w:eastAsia="仿宋" w:cs="仿宋"/>
          <w:iCs/>
          <w:color w:val="auto"/>
          <w:kern w:val="2"/>
          <w:sz w:val="24"/>
          <w:szCs w:val="24"/>
          <w:highlight w:val="none"/>
          <w:shd w:val="clear" w:fill="FFFFFF" w:themeFill="background1"/>
          <w:lang w:val="en-US" w:eastAsia="zh-CN" w:bidi="ar-SA"/>
        </w:rPr>
        <w:t>13.</w:t>
      </w:r>
      <w:r>
        <w:rPr>
          <w:rFonts w:hint="eastAsia" w:ascii="仿宋" w:hAnsi="仿宋" w:eastAsia="仿宋" w:cs="仿宋"/>
          <w:iCs/>
          <w:color w:val="auto"/>
          <w:kern w:val="2"/>
          <w:sz w:val="24"/>
          <w:szCs w:val="24"/>
          <w:highlight w:val="none"/>
          <w:shd w:val="clear" w:fill="FFFFFF" w:themeFill="background1"/>
          <w:lang w:val="zh-CN" w:eastAsia="zh-CN" w:bidi="ar-SA"/>
        </w:rPr>
        <w:t>3</w:t>
      </w:r>
      <w:r>
        <w:rPr>
          <w:rFonts w:hint="eastAsia" w:ascii="仿宋" w:hAnsi="仿宋" w:eastAsia="仿宋" w:cs="仿宋"/>
          <w:color w:val="auto"/>
          <w:sz w:val="24"/>
          <w:szCs w:val="24"/>
          <w:highlight w:val="none"/>
        </w:rPr>
        <w:t>专门面向中小企业、预留部分采购份额面向中小企业采购的项目或采购包，评审时不再进行价格扣除。</w:t>
      </w:r>
    </w:p>
    <w:p w14:paraId="3874ED83">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13.4</w:t>
      </w:r>
      <w:r>
        <w:rPr>
          <w:rFonts w:hint="eastAsia" w:ascii="仿宋" w:hAnsi="仿宋" w:eastAsia="仿宋" w:cs="仿宋"/>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仿宋" w:hAnsi="仿宋" w:eastAsia="仿宋" w:cs="仿宋"/>
          <w:color w:val="auto"/>
          <w:sz w:val="24"/>
          <w:szCs w:val="24"/>
          <w:highlight w:val="none"/>
          <w:lang w:val="en-US" w:eastAsia="zh-CN"/>
        </w:rPr>
        <w:t>体</w:t>
      </w:r>
      <w:r>
        <w:rPr>
          <w:rFonts w:hint="eastAsia" w:ascii="仿宋" w:hAnsi="仿宋" w:eastAsia="仿宋" w:cs="仿宋"/>
          <w:color w:val="auto"/>
          <w:sz w:val="24"/>
          <w:szCs w:val="24"/>
          <w:highlight w:val="none"/>
        </w:rPr>
        <w:t>协议</w:t>
      </w:r>
      <w:r>
        <w:rPr>
          <w:rFonts w:hint="eastAsia" w:ascii="仿宋" w:hAnsi="仿宋" w:eastAsia="仿宋" w:cs="仿宋"/>
          <w:color w:val="auto"/>
          <w:sz w:val="24"/>
          <w:szCs w:val="24"/>
          <w:highlight w:val="none"/>
          <w:lang w:val="en-US" w:eastAsia="zh-CN"/>
        </w:rPr>
        <w:t>书</w:t>
      </w:r>
      <w:r>
        <w:rPr>
          <w:rFonts w:hint="eastAsia" w:ascii="仿宋" w:hAnsi="仿宋" w:eastAsia="仿宋" w:cs="仿宋"/>
          <w:color w:val="auto"/>
          <w:sz w:val="24"/>
          <w:szCs w:val="24"/>
          <w:highlight w:val="none"/>
        </w:rPr>
        <w:t>或者分包意向协议</w:t>
      </w:r>
      <w:r>
        <w:rPr>
          <w:rFonts w:hint="eastAsia" w:ascii="仿宋" w:hAnsi="仿宋" w:eastAsia="仿宋" w:cs="仿宋"/>
          <w:color w:val="auto"/>
          <w:sz w:val="24"/>
          <w:szCs w:val="24"/>
          <w:highlight w:val="none"/>
          <w:lang w:val="en-US" w:eastAsia="zh-CN"/>
        </w:rPr>
        <w:t>书</w:t>
      </w:r>
      <w:r>
        <w:rPr>
          <w:rFonts w:hint="eastAsia" w:ascii="仿宋" w:hAnsi="仿宋" w:eastAsia="仿宋" w:cs="仿宋"/>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410560A">
      <w:pPr>
        <w:pStyle w:val="3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4C5DBADD">
      <w:pPr>
        <w:pStyle w:val="3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CBA7AF">
      <w:pPr>
        <w:pStyle w:val="37"/>
        <w:jc w:val="both"/>
        <w:rPr>
          <w:rFonts w:hint="eastAsia" w:ascii="仿宋" w:hAnsi="仿宋" w:eastAsia="仿宋" w:cs="仿宋"/>
          <w:color w:val="auto"/>
          <w:sz w:val="24"/>
          <w:szCs w:val="24"/>
          <w:highlight w:val="none"/>
          <w:lang w:val="en-US" w:eastAsia="zh-CN"/>
        </w:rPr>
      </w:pPr>
      <w:r>
        <w:rPr>
          <w:rFonts w:hint="eastAsia" w:ascii="仿宋" w:hAnsi="仿宋" w:eastAsia="仿宋" w:cs="仿宋"/>
          <w:snapToGrid w:val="0"/>
          <w:color w:val="auto"/>
          <w:sz w:val="24"/>
          <w:highlight w:val="none"/>
          <w:lang w:val="en-US" w:eastAsia="zh-CN"/>
        </w:rPr>
        <w:t>13.6采购标的仅包含单一产品时，</w:t>
      </w:r>
      <w:r>
        <w:rPr>
          <w:rFonts w:hint="eastAsia" w:ascii="仿宋" w:hAnsi="仿宋" w:eastAsia="仿宋" w:cs="仿宋"/>
          <w:color w:val="auto"/>
          <w:sz w:val="24"/>
          <w:szCs w:val="24"/>
          <w:highlight w:val="none"/>
          <w:lang w:val="en-US" w:eastAsia="zh-CN"/>
        </w:rPr>
        <w:t>政府采购活动中既有本国产品又有非本国产品参与竞争的，</w:t>
      </w:r>
      <w:r>
        <w:rPr>
          <w:rFonts w:hint="eastAsia" w:ascii="仿宋" w:hAnsi="仿宋" w:eastAsia="仿宋" w:cs="仿宋"/>
          <w:snapToGrid w:val="0"/>
          <w:color w:val="auto"/>
          <w:sz w:val="24"/>
          <w:highlight w:val="none"/>
          <w:lang w:val="en-US" w:eastAsia="zh-CN"/>
        </w:rPr>
        <w:t>供应商对其提供的产品出具《关于符合本国产品标准的声明函》，</w:t>
      </w:r>
      <w:r>
        <w:rPr>
          <w:rFonts w:hint="eastAsia" w:ascii="仿宋" w:hAnsi="仿宋" w:eastAsia="仿宋" w:cs="仿宋"/>
          <w:color w:val="auto"/>
          <w:sz w:val="24"/>
          <w:szCs w:val="24"/>
          <w:highlight w:val="none"/>
          <w:lang w:val="en-US" w:eastAsia="zh-CN"/>
        </w:rPr>
        <w:t>依法对本国产品给予价格评审优惠，对本国产品的报价给予20%的价格扣除，用扣除后的价格参与评审。</w:t>
      </w:r>
    </w:p>
    <w:p w14:paraId="65C3AFB4">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5C0D9AD7">
      <w:pPr>
        <w:pStyle w:val="37"/>
        <w:jc w:val="both"/>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13.8对于仅有本国产品参与竞争的政府采购项目，本国产品不享受价格扣除评审优惠。</w:t>
      </w:r>
    </w:p>
    <w:p w14:paraId="564B303F">
      <w:pPr>
        <w:pStyle w:val="37"/>
        <w:jc w:val="both"/>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pStyle w:val="37"/>
        <w:jc w:val="both"/>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对医疗器械产品，提供取得药品监督管理部门授予的准字号医疗器械注册证的，视为符合本国产品标准，无须填写《声明函》，</w:t>
      </w:r>
      <w:r>
        <w:rPr>
          <w:rFonts w:hint="eastAsia" w:ascii="仿宋" w:hAnsi="仿宋" w:eastAsia="仿宋" w:cs="仿宋"/>
          <w:color w:val="auto"/>
          <w:sz w:val="24"/>
          <w:szCs w:val="24"/>
          <w:highlight w:val="none"/>
          <w:lang w:val="en-US" w:eastAsia="zh-CN"/>
        </w:rPr>
        <w:t>报价给予20%的价格扣除，用扣除后的价格参与评审。</w:t>
      </w:r>
    </w:p>
    <w:p w14:paraId="7D6F62DE">
      <w:pPr>
        <w:pStyle w:val="37"/>
        <w:jc w:val="both"/>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五</w:t>
      </w:r>
      <w:r>
        <w:rPr>
          <w:rFonts w:hint="eastAsia" w:ascii="仿宋" w:hAnsi="仿宋" w:eastAsia="仿宋" w:cs="仿宋"/>
          <w:b/>
          <w:bCs/>
          <w:color w:val="auto"/>
          <w:kern w:val="2"/>
          <w:sz w:val="24"/>
          <w:szCs w:val="24"/>
          <w:highlight w:val="none"/>
          <w:lang w:val="zh-CN" w:eastAsia="zh-CN" w:bidi="ar-SA"/>
        </w:rPr>
        <w:t>）评标得分及复核</w:t>
      </w:r>
    </w:p>
    <w:p w14:paraId="073A56A5">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评标过程中，各项分值一般精确到小数点后两位，评标得分应为商务评分、技术评分、报价评分之和。评标委员会各成员应汇总每个投标人的得分。</w:t>
      </w:r>
    </w:p>
    <w:p w14:paraId="0BE80DC7">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14.1</w:t>
      </w:r>
      <w:r>
        <w:rPr>
          <w:rFonts w:hint="eastAsia" w:ascii="仿宋" w:hAnsi="仿宋" w:eastAsia="仿宋" w:cs="仿宋"/>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427128F3">
      <w:pPr>
        <w:pStyle w:val="37"/>
        <w:numPr>
          <w:ilvl w:val="0"/>
          <w:numId w:val="0"/>
        </w:numPr>
        <w:ind w:left="900" w:leftChars="0" w:hanging="420" w:firstLineChars="0"/>
        <w:jc w:val="both"/>
        <w:rPr>
          <w:rFonts w:hint="eastAsia" w:ascii="仿宋" w:hAnsi="仿宋" w:eastAsia="仿宋" w:cs="仿宋"/>
          <w:color w:val="auto"/>
          <w:sz w:val="24"/>
          <w:szCs w:val="24"/>
          <w:highlight w:val="none"/>
        </w:rPr>
      </w:pPr>
      <w:r>
        <w:rPr>
          <w:rFonts w:hint="eastAsia" w:ascii="仿宋" w:hAnsi="仿宋" w:eastAsia="仿宋" w:cs="仿宋"/>
          <w:iCs/>
          <w:color w:val="auto"/>
          <w:kern w:val="2"/>
          <w:sz w:val="24"/>
          <w:szCs w:val="24"/>
          <w:highlight w:val="none"/>
          <w:shd w:val="clear" w:fill="FFFFFF" w:themeFill="background1"/>
          <w:lang w:val="en-US" w:eastAsia="zh-CN" w:bidi="ar-SA"/>
        </w:rPr>
        <w:t>（1）</w:t>
      </w:r>
      <w:r>
        <w:rPr>
          <w:rFonts w:hint="eastAsia" w:ascii="仿宋" w:hAnsi="仿宋" w:eastAsia="仿宋" w:cs="仿宋"/>
          <w:color w:val="auto"/>
          <w:sz w:val="24"/>
          <w:szCs w:val="24"/>
          <w:highlight w:val="none"/>
        </w:rPr>
        <w:t>分值汇总计算错误的；</w:t>
      </w:r>
    </w:p>
    <w:p w14:paraId="4404F7B4">
      <w:pPr>
        <w:pStyle w:val="37"/>
        <w:numPr>
          <w:ilvl w:val="0"/>
          <w:numId w:val="0"/>
        </w:numPr>
        <w:ind w:left="900" w:leftChars="0" w:hanging="420" w:firstLineChars="0"/>
        <w:jc w:val="both"/>
        <w:rPr>
          <w:rFonts w:hint="eastAsia" w:ascii="仿宋" w:hAnsi="仿宋" w:eastAsia="仿宋" w:cs="仿宋"/>
          <w:color w:val="auto"/>
          <w:sz w:val="24"/>
          <w:szCs w:val="24"/>
          <w:highlight w:val="none"/>
        </w:rPr>
      </w:pPr>
      <w:r>
        <w:rPr>
          <w:rFonts w:hint="eastAsia" w:ascii="仿宋" w:hAnsi="仿宋" w:eastAsia="仿宋" w:cs="仿宋"/>
          <w:iCs/>
          <w:color w:val="auto"/>
          <w:kern w:val="2"/>
          <w:sz w:val="24"/>
          <w:szCs w:val="24"/>
          <w:highlight w:val="none"/>
          <w:shd w:val="clear" w:fill="FFFFFF" w:themeFill="background1"/>
          <w:lang w:val="en-US" w:eastAsia="zh-CN" w:bidi="ar-SA"/>
        </w:rPr>
        <w:t>（2）</w:t>
      </w:r>
      <w:r>
        <w:rPr>
          <w:rFonts w:hint="eastAsia" w:ascii="仿宋" w:hAnsi="仿宋" w:eastAsia="仿宋" w:cs="仿宋"/>
          <w:color w:val="auto"/>
          <w:sz w:val="24"/>
          <w:szCs w:val="24"/>
          <w:highlight w:val="none"/>
        </w:rPr>
        <w:t>分项评分超出评分标准范围的；</w:t>
      </w:r>
    </w:p>
    <w:p w14:paraId="18150CA8">
      <w:pPr>
        <w:pStyle w:val="37"/>
        <w:numPr>
          <w:ilvl w:val="0"/>
          <w:numId w:val="0"/>
        </w:numPr>
        <w:ind w:left="900" w:leftChars="0" w:hanging="420" w:firstLineChars="0"/>
        <w:jc w:val="both"/>
        <w:rPr>
          <w:rFonts w:hint="eastAsia" w:ascii="仿宋" w:hAnsi="仿宋" w:eastAsia="仿宋" w:cs="仿宋"/>
          <w:color w:val="auto"/>
          <w:sz w:val="24"/>
          <w:szCs w:val="24"/>
          <w:highlight w:val="none"/>
        </w:rPr>
      </w:pPr>
      <w:r>
        <w:rPr>
          <w:rFonts w:hint="eastAsia" w:ascii="仿宋" w:hAnsi="仿宋" w:eastAsia="仿宋" w:cs="仿宋"/>
          <w:iCs/>
          <w:color w:val="auto"/>
          <w:kern w:val="2"/>
          <w:sz w:val="24"/>
          <w:szCs w:val="24"/>
          <w:highlight w:val="none"/>
          <w:shd w:val="clear" w:fill="FFFFFF" w:themeFill="background1"/>
          <w:lang w:val="en-US" w:eastAsia="zh-CN" w:bidi="ar-SA"/>
        </w:rPr>
        <w:t>（3）</w:t>
      </w:r>
      <w:r>
        <w:rPr>
          <w:rFonts w:hint="eastAsia" w:ascii="仿宋" w:hAnsi="仿宋" w:eastAsia="仿宋" w:cs="仿宋"/>
          <w:color w:val="auto"/>
          <w:sz w:val="24"/>
          <w:szCs w:val="24"/>
          <w:highlight w:val="none"/>
        </w:rPr>
        <w:t>评标委员会成员对客观评审因素评分不一致的；</w:t>
      </w:r>
    </w:p>
    <w:p w14:paraId="6BFAB3DA">
      <w:pPr>
        <w:pStyle w:val="37"/>
        <w:numPr>
          <w:ilvl w:val="0"/>
          <w:numId w:val="0"/>
        </w:numPr>
        <w:ind w:left="900" w:leftChars="0" w:hanging="420" w:firstLineChars="0"/>
        <w:jc w:val="both"/>
        <w:rPr>
          <w:rFonts w:hint="eastAsia" w:ascii="仿宋" w:hAnsi="仿宋" w:eastAsia="仿宋" w:cs="仿宋"/>
          <w:color w:val="auto"/>
          <w:sz w:val="24"/>
          <w:szCs w:val="24"/>
          <w:highlight w:val="none"/>
        </w:rPr>
      </w:pPr>
      <w:r>
        <w:rPr>
          <w:rFonts w:hint="eastAsia" w:ascii="仿宋" w:hAnsi="仿宋" w:eastAsia="仿宋" w:cs="仿宋"/>
          <w:iCs/>
          <w:color w:val="auto"/>
          <w:kern w:val="2"/>
          <w:sz w:val="24"/>
          <w:szCs w:val="24"/>
          <w:highlight w:val="none"/>
          <w:shd w:val="clear" w:fill="FFFFFF" w:themeFill="background1"/>
          <w:lang w:val="en-US" w:eastAsia="zh-CN" w:bidi="ar-SA"/>
        </w:rPr>
        <w:t>（4）</w:t>
      </w:r>
      <w:r>
        <w:rPr>
          <w:rFonts w:hint="eastAsia" w:ascii="仿宋" w:hAnsi="仿宋" w:eastAsia="仿宋" w:cs="仿宋"/>
          <w:color w:val="auto"/>
          <w:sz w:val="24"/>
          <w:szCs w:val="24"/>
          <w:highlight w:val="none"/>
        </w:rPr>
        <w:t>经评标委员会认定评分畸高、畸低的。</w:t>
      </w:r>
    </w:p>
    <w:p w14:paraId="0FD26D1C">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各投标人的最终得分为评标委员会所有成员对各投标人评标得分汇总后的算术平均值。</w:t>
      </w:r>
    </w:p>
    <w:p w14:paraId="1FD846A7">
      <w:pPr>
        <w:pStyle w:val="3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3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六</w:t>
      </w:r>
      <w:r>
        <w:rPr>
          <w:rFonts w:hint="eastAsia" w:ascii="仿宋" w:hAnsi="仿宋" w:eastAsia="仿宋" w:cs="仿宋"/>
          <w:b/>
          <w:bCs/>
          <w:color w:val="auto"/>
          <w:kern w:val="2"/>
          <w:sz w:val="24"/>
          <w:szCs w:val="24"/>
          <w:highlight w:val="none"/>
          <w:lang w:val="zh-CN" w:eastAsia="zh-CN" w:bidi="ar-SA"/>
        </w:rPr>
        <w:t>）排序与推荐</w:t>
      </w:r>
    </w:p>
    <w:p w14:paraId="514ADBD8">
      <w:pPr>
        <w:pStyle w:val="37"/>
        <w:keepNext w:val="0"/>
        <w:keepLines w:val="0"/>
        <w:pageBreakBefore w:val="0"/>
        <w:widowControl w:val="0"/>
        <w:kinsoku/>
        <w:overflowPunct/>
        <w:topLinePunct w:val="0"/>
        <w:autoSpaceDE/>
        <w:autoSpaceDN/>
        <w:bidi w:val="0"/>
        <w:adjustRightInd/>
        <w:snapToGrid/>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37"/>
        <w:keepNext w:val="0"/>
        <w:keepLines w:val="0"/>
        <w:pageBreakBefore w:val="0"/>
        <w:widowControl w:val="0"/>
        <w:kinsoku/>
        <w:overflowPunct/>
        <w:topLinePunct w:val="0"/>
        <w:autoSpaceDE/>
        <w:autoSpaceDN/>
        <w:bidi w:val="0"/>
        <w:adjustRightInd/>
        <w:snapToGrid/>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3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18.中标候选人推荐家数详见“投标人须知前附表”。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七</w:t>
      </w:r>
      <w:r>
        <w:rPr>
          <w:rFonts w:hint="eastAsia" w:ascii="仿宋" w:hAnsi="仿宋" w:eastAsia="仿宋" w:cs="仿宋"/>
          <w:b/>
          <w:bCs/>
          <w:color w:val="auto"/>
          <w:kern w:val="2"/>
          <w:sz w:val="24"/>
          <w:szCs w:val="24"/>
          <w:highlight w:val="none"/>
          <w:lang w:val="zh-CN" w:eastAsia="zh-CN" w:bidi="ar-SA"/>
        </w:rPr>
        <w:t>）编写评标报告</w:t>
      </w:r>
    </w:p>
    <w:p w14:paraId="726C1AF4">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30" w:name="_Toc163492906"/>
      <w:bookmarkStart w:id="331" w:name="_Toc155185913"/>
      <w:bookmarkStart w:id="332" w:name="_Toc102116151"/>
      <w:bookmarkStart w:id="333" w:name="_Toc102114919"/>
      <w:bookmarkStart w:id="334" w:name="_Toc102056217"/>
      <w:bookmarkStart w:id="335" w:name="_Toc102057717"/>
      <w:bookmarkStart w:id="336" w:name="_Toc102119852"/>
      <w:bookmarkStart w:id="337" w:name="_Toc102116021"/>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八</w:t>
      </w:r>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投标无效及</w:t>
      </w:r>
      <w:r>
        <w:rPr>
          <w:rFonts w:hint="eastAsia" w:ascii="仿宋" w:hAnsi="仿宋" w:eastAsia="仿宋" w:cs="仿宋"/>
          <w:b/>
          <w:bCs/>
          <w:color w:val="auto"/>
          <w:kern w:val="2"/>
          <w:sz w:val="24"/>
          <w:szCs w:val="24"/>
          <w:highlight w:val="none"/>
          <w:lang w:val="zh-CN" w:eastAsia="zh-CN" w:bidi="ar-SA"/>
        </w:rPr>
        <w:t>应予废标的情形</w:t>
      </w:r>
      <w:bookmarkEnd w:id="330"/>
      <w:bookmarkEnd w:id="331"/>
      <w:bookmarkEnd w:id="332"/>
      <w:bookmarkEnd w:id="333"/>
      <w:bookmarkEnd w:id="334"/>
      <w:bookmarkEnd w:id="335"/>
      <w:bookmarkEnd w:id="336"/>
      <w:bookmarkEnd w:id="337"/>
    </w:p>
    <w:p w14:paraId="38B935D1">
      <w:pPr>
        <w:pStyle w:val="3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20.投标人存在下列情形之一的，</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w:t>
      </w:r>
    </w:p>
    <w:p w14:paraId="5C1B2C98">
      <w:pPr>
        <w:pStyle w:val="37"/>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1</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zh-CN" w:eastAsia="zh-CN"/>
        </w:rPr>
        <w:t>不具备《中华人民共和国政府采购法》第二十二条规定条件</w:t>
      </w:r>
      <w:r>
        <w:rPr>
          <w:rFonts w:hint="eastAsia" w:ascii="仿宋" w:hAnsi="仿宋" w:eastAsia="仿宋" w:cs="仿宋"/>
          <w:color w:val="auto"/>
          <w:sz w:val="24"/>
          <w:szCs w:val="24"/>
          <w:highlight w:val="none"/>
          <w:lang w:val="en-US" w:eastAsia="zh-CN"/>
        </w:rPr>
        <w:t>；</w:t>
      </w:r>
    </w:p>
    <w:p w14:paraId="15C939E8">
      <w:pPr>
        <w:pStyle w:val="3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2</w:t>
      </w:r>
      <w:r>
        <w:rPr>
          <w:rFonts w:hint="eastAsia" w:ascii="仿宋" w:hAnsi="仿宋" w:eastAsia="仿宋" w:cs="仿宋"/>
          <w:color w:val="auto"/>
          <w:sz w:val="24"/>
          <w:szCs w:val="24"/>
          <w:highlight w:val="none"/>
        </w:rPr>
        <w:t>投标文件未按招标文件要求签署、盖章的</w:t>
      </w:r>
      <w:r>
        <w:rPr>
          <w:rFonts w:hint="eastAsia" w:ascii="仿宋" w:hAnsi="仿宋" w:eastAsia="仿宋" w:cs="仿宋"/>
          <w:color w:val="auto"/>
          <w:sz w:val="24"/>
          <w:szCs w:val="24"/>
          <w:highlight w:val="none"/>
          <w:lang w:val="en-US" w:eastAsia="zh-CN"/>
        </w:rPr>
        <w:t>；</w:t>
      </w:r>
    </w:p>
    <w:p w14:paraId="0A936FC6">
      <w:pPr>
        <w:pStyle w:val="3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3</w:t>
      </w:r>
      <w:r>
        <w:rPr>
          <w:rFonts w:hint="eastAsia" w:ascii="仿宋" w:hAnsi="仿宋" w:eastAsia="仿宋" w:cs="仿宋"/>
          <w:color w:val="auto"/>
          <w:sz w:val="24"/>
          <w:szCs w:val="24"/>
          <w:highlight w:val="none"/>
          <w:lang w:val="en-US" w:eastAsia="zh-CN"/>
        </w:rPr>
        <w:t>不具备招标文件中规定的资格要求的（投标人未提供有效资格文件的，视为投标人不具备招标文件中规定的资格要求）；</w:t>
      </w:r>
    </w:p>
    <w:p w14:paraId="0C68E355">
      <w:pPr>
        <w:pStyle w:val="37"/>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4</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eastAsia="zh-CN"/>
        </w:rPr>
        <w:t>文件提供虚假材料的</w:t>
      </w:r>
      <w:r>
        <w:rPr>
          <w:rFonts w:hint="eastAsia" w:ascii="仿宋" w:hAnsi="仿宋" w:eastAsia="仿宋" w:cs="仿宋"/>
          <w:color w:val="auto"/>
          <w:sz w:val="24"/>
          <w:szCs w:val="24"/>
          <w:highlight w:val="none"/>
          <w:lang w:val="en-US" w:eastAsia="zh-CN"/>
        </w:rPr>
        <w:t>；</w:t>
      </w:r>
    </w:p>
    <w:p w14:paraId="3FDAE166">
      <w:pPr>
        <w:pStyle w:val="37"/>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5</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eastAsia="zh-CN"/>
        </w:rPr>
        <w:t>文件不满足</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val="zh-CN" w:eastAsia="zh-CN"/>
        </w:rPr>
        <w:t>文件中标注“★”号的实质性条款（或指标）要求的</w:t>
      </w:r>
      <w:r>
        <w:rPr>
          <w:rFonts w:hint="eastAsia" w:ascii="仿宋" w:hAnsi="仿宋" w:eastAsia="仿宋" w:cs="仿宋"/>
          <w:color w:val="auto"/>
          <w:sz w:val="24"/>
          <w:szCs w:val="24"/>
          <w:highlight w:val="none"/>
          <w:lang w:val="en-US" w:eastAsia="zh-CN"/>
        </w:rPr>
        <w:t>；</w:t>
      </w:r>
    </w:p>
    <w:p w14:paraId="2C5FC304">
      <w:pPr>
        <w:pStyle w:val="3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6</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zh-CN" w:eastAsia="zh-CN"/>
        </w:rPr>
        <w:t>报价超过招标文件中规定的最高限价或者预算金额的</w:t>
      </w:r>
      <w:r>
        <w:rPr>
          <w:rFonts w:hint="eastAsia" w:ascii="仿宋" w:hAnsi="仿宋" w:eastAsia="仿宋" w:cs="仿宋"/>
          <w:color w:val="auto"/>
          <w:sz w:val="24"/>
          <w:szCs w:val="24"/>
          <w:highlight w:val="none"/>
          <w:lang w:val="en-US" w:eastAsia="zh-CN"/>
        </w:rPr>
        <w:t>；</w:t>
      </w:r>
    </w:p>
    <w:p w14:paraId="6FC2A54F">
      <w:pPr>
        <w:pStyle w:val="37"/>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7联合体的供应商未提交各方共同签署的</w:t>
      </w:r>
      <w:r>
        <w:rPr>
          <w:rFonts w:hint="eastAsia" w:ascii="仿宋" w:hAnsi="仿宋" w:eastAsia="仿宋" w:cs="仿宋"/>
          <w:color w:val="auto"/>
          <w:sz w:val="24"/>
          <w:szCs w:val="24"/>
          <w:highlight w:val="none"/>
          <w:lang w:val="en-US" w:eastAsia="zh-CN"/>
        </w:rPr>
        <w:t>联合体</w:t>
      </w:r>
      <w:r>
        <w:rPr>
          <w:rFonts w:hint="eastAsia" w:ascii="仿宋" w:hAnsi="仿宋" w:eastAsia="仿宋" w:cs="仿宋"/>
          <w:color w:val="auto"/>
          <w:sz w:val="24"/>
          <w:szCs w:val="24"/>
          <w:highlight w:val="none"/>
          <w:lang w:val="zh-CN" w:eastAsia="zh-CN"/>
        </w:rPr>
        <w:t>协议</w:t>
      </w:r>
      <w:r>
        <w:rPr>
          <w:rFonts w:hint="eastAsia" w:ascii="仿宋" w:hAnsi="仿宋" w:eastAsia="仿宋" w:cs="仿宋"/>
          <w:color w:val="auto"/>
          <w:sz w:val="24"/>
          <w:szCs w:val="24"/>
          <w:highlight w:val="none"/>
          <w:lang w:val="en-US" w:eastAsia="zh-CN"/>
        </w:rPr>
        <w:t>的；</w:t>
      </w:r>
    </w:p>
    <w:p w14:paraId="4D1E7850">
      <w:pPr>
        <w:pStyle w:val="37"/>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8</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zh-CN" w:eastAsia="zh-CN"/>
        </w:rPr>
        <w:t>未按</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val="zh-CN" w:eastAsia="zh-CN"/>
        </w:rPr>
        <w:t>文件</w:t>
      </w:r>
      <w:r>
        <w:rPr>
          <w:rFonts w:hint="eastAsia" w:ascii="仿宋" w:hAnsi="仿宋" w:eastAsia="仿宋" w:cs="仿宋"/>
          <w:color w:val="auto"/>
          <w:sz w:val="24"/>
          <w:szCs w:val="24"/>
          <w:highlight w:val="none"/>
          <w:lang w:val="en-US" w:eastAsia="zh-CN"/>
        </w:rPr>
        <w:t>的规定</w:t>
      </w:r>
      <w:r>
        <w:rPr>
          <w:rFonts w:hint="eastAsia" w:ascii="仿宋" w:hAnsi="仿宋" w:eastAsia="仿宋" w:cs="仿宋"/>
          <w:color w:val="auto"/>
          <w:sz w:val="24"/>
          <w:szCs w:val="24"/>
          <w:highlight w:val="none"/>
          <w:lang w:val="zh-CN" w:eastAsia="zh-CN"/>
        </w:rPr>
        <w:t>交纳投标保证金</w:t>
      </w:r>
      <w:r>
        <w:rPr>
          <w:rFonts w:hint="eastAsia" w:ascii="仿宋" w:hAnsi="仿宋" w:eastAsia="仿宋" w:cs="仿宋"/>
          <w:color w:val="auto"/>
          <w:sz w:val="24"/>
          <w:szCs w:val="24"/>
          <w:highlight w:val="none"/>
          <w:lang w:val="en-US" w:eastAsia="zh-CN"/>
        </w:rPr>
        <w:t>的；</w:t>
      </w:r>
    </w:p>
    <w:p w14:paraId="149A35CB">
      <w:pPr>
        <w:pStyle w:val="37"/>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9评审期间，</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zh-CN" w:eastAsia="zh-CN"/>
        </w:rPr>
        <w:t>没有按评标委员会的要求提交经授权代表签字的澄清、说明、补正或改变了</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eastAsia="zh-CN"/>
        </w:rPr>
        <w:t>文件的实质性内容</w:t>
      </w:r>
      <w:r>
        <w:rPr>
          <w:rFonts w:hint="eastAsia" w:ascii="仿宋" w:hAnsi="仿宋" w:eastAsia="仿宋" w:cs="仿宋"/>
          <w:color w:val="auto"/>
          <w:sz w:val="24"/>
          <w:szCs w:val="24"/>
          <w:highlight w:val="none"/>
          <w:lang w:val="en-US" w:eastAsia="zh-CN"/>
        </w:rPr>
        <w:t>的；</w:t>
      </w:r>
    </w:p>
    <w:p w14:paraId="19EFB935">
      <w:pPr>
        <w:pStyle w:val="3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10</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zh-CN" w:eastAsia="zh-CN"/>
        </w:rPr>
        <w:t>对采购人、采购代理机构、评标委员会及其工作人员施加影响，有碍公平、公正</w:t>
      </w:r>
      <w:r>
        <w:rPr>
          <w:rFonts w:hint="eastAsia" w:ascii="仿宋" w:hAnsi="仿宋" w:eastAsia="仿宋" w:cs="仿宋"/>
          <w:color w:val="auto"/>
          <w:sz w:val="24"/>
          <w:szCs w:val="24"/>
          <w:highlight w:val="none"/>
          <w:lang w:val="en-US" w:eastAsia="zh-CN"/>
        </w:rPr>
        <w:t>的；</w:t>
      </w:r>
    </w:p>
    <w:p w14:paraId="3A6B2386">
      <w:pPr>
        <w:pStyle w:val="3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20.11投标文件含有采购人不能接受的附加条件的；</w:t>
      </w:r>
    </w:p>
    <w:p w14:paraId="3764E979">
      <w:pPr>
        <w:pStyle w:val="3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eastAsia="zh-CN"/>
        </w:rPr>
        <w:t>法律、法规、规章规定属于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eastAsia="zh-CN"/>
        </w:rPr>
        <w:t>无效的其他情形。</w:t>
      </w:r>
    </w:p>
    <w:p w14:paraId="601D7976">
      <w:pPr>
        <w:pStyle w:val="3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21.有下列情形之一的，视为投标人串通投标，其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w:t>
      </w:r>
    </w:p>
    <w:p w14:paraId="0BD50610">
      <w:pPr>
        <w:pStyle w:val="3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21.1不同投标人的投标文件由同一单位或者个人编制；</w:t>
      </w:r>
    </w:p>
    <w:p w14:paraId="31815558">
      <w:pPr>
        <w:pStyle w:val="3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21.2不同投标人委托同一单位或者个人办理投标事宜；</w:t>
      </w:r>
    </w:p>
    <w:p w14:paraId="3AD20378">
      <w:pPr>
        <w:pStyle w:val="3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21.3不同投标人的投标文件载明的项目管理成员或者联系人员为同一人；</w:t>
      </w:r>
    </w:p>
    <w:p w14:paraId="3F168EA2">
      <w:pPr>
        <w:pStyle w:val="3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21.4不同投标人的投标文件异常一致或者投标报价呈规律性差异；</w:t>
      </w:r>
    </w:p>
    <w:p w14:paraId="634E7939">
      <w:pPr>
        <w:pStyle w:val="3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21.5不同投标人的投标文件相互混装；</w:t>
      </w:r>
    </w:p>
    <w:p w14:paraId="3B078CE3">
      <w:pPr>
        <w:pStyle w:val="3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21.6不同投标人的投标保证金从同一单位或者个人的账户转出；</w:t>
      </w:r>
    </w:p>
    <w:p w14:paraId="749F838F">
      <w:pPr>
        <w:pStyle w:val="3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21.7</w:t>
      </w:r>
      <w:r>
        <w:rPr>
          <w:rFonts w:hint="eastAsia" w:ascii="仿宋" w:hAnsi="仿宋" w:eastAsia="仿宋" w:cs="仿宋"/>
          <w:color w:val="auto"/>
          <w:sz w:val="24"/>
          <w:szCs w:val="24"/>
          <w:highlight w:val="none"/>
          <w:lang w:val="zh-CN" w:eastAsia="zh-CN"/>
        </w:rPr>
        <w:t>不同投标人使用同一电脑（机器特征值一致：如MAC地址等）或使用同一电子密钥，编制或上传电子投标文件</w:t>
      </w:r>
      <w:r>
        <w:rPr>
          <w:rFonts w:hint="eastAsia" w:ascii="仿宋" w:hAnsi="仿宋" w:eastAsia="仿宋" w:cs="仿宋"/>
          <w:color w:val="auto"/>
          <w:sz w:val="24"/>
          <w:szCs w:val="24"/>
          <w:highlight w:val="none"/>
          <w:lang w:val="en-US" w:eastAsia="zh-CN"/>
        </w:rPr>
        <w:t>；</w:t>
      </w:r>
    </w:p>
    <w:p w14:paraId="2A1BC50E">
      <w:pPr>
        <w:pStyle w:val="3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21.8法律、法规、规章规定属于投标人串通投标的其他情形</w:t>
      </w:r>
      <w:r>
        <w:rPr>
          <w:rFonts w:hint="eastAsia" w:ascii="仿宋" w:hAnsi="仿宋" w:eastAsia="仿宋" w:cs="仿宋"/>
          <w:color w:val="auto"/>
          <w:sz w:val="24"/>
          <w:szCs w:val="24"/>
          <w:highlight w:val="none"/>
          <w:lang w:val="zh-CN" w:eastAsia="zh-CN"/>
        </w:rPr>
        <w:t>。</w:t>
      </w:r>
    </w:p>
    <w:p w14:paraId="737FAF06">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.根据《中华人民共和国政府采购法》第三十六条之规定，在招标采购过程中，出现下列情形之一的，应予</w:t>
      </w:r>
      <w:r>
        <w:rPr>
          <w:rFonts w:hint="eastAsia" w:ascii="仿宋" w:hAnsi="仿宋" w:eastAsia="仿宋" w:cs="仿宋"/>
          <w:b/>
          <w:bCs/>
          <w:color w:val="auto"/>
          <w:sz w:val="24"/>
          <w:szCs w:val="24"/>
          <w:highlight w:val="none"/>
        </w:rPr>
        <w:t>废标</w:t>
      </w:r>
      <w:r>
        <w:rPr>
          <w:rFonts w:hint="eastAsia" w:ascii="仿宋" w:hAnsi="仿宋" w:eastAsia="仿宋" w:cs="仿宋"/>
          <w:color w:val="auto"/>
          <w:sz w:val="24"/>
          <w:szCs w:val="24"/>
          <w:highlight w:val="none"/>
        </w:rPr>
        <w:t>：</w:t>
      </w:r>
    </w:p>
    <w:p w14:paraId="2C92042A">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.1符合专业条件的供应商或者对招标文件作实质响应的供应商不足3家的；</w:t>
      </w:r>
    </w:p>
    <w:p w14:paraId="34ECD7A2">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.2出现影响采购公正的违法、违规行为的；</w:t>
      </w:r>
    </w:p>
    <w:p w14:paraId="55223AA1">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.3投标人的报价均超过了采购预算，采购人不能支付的；</w:t>
      </w:r>
    </w:p>
    <w:p w14:paraId="7E486B60">
      <w:pPr>
        <w:pStyle w:val="3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.4因重大变故，采购任务取消的</w:t>
      </w:r>
      <w:r>
        <w:rPr>
          <w:rFonts w:hint="eastAsia" w:ascii="仿宋" w:hAnsi="仿宋" w:eastAsia="仿宋" w:cs="仿宋"/>
          <w:color w:val="auto"/>
          <w:sz w:val="24"/>
          <w:szCs w:val="24"/>
          <w:highlight w:val="none"/>
          <w:lang w:val="en-US" w:eastAsia="zh-CN"/>
        </w:rPr>
        <w:t>；</w:t>
      </w:r>
    </w:p>
    <w:p w14:paraId="42948BC7">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22.5 </w:t>
      </w:r>
      <w:r>
        <w:rPr>
          <w:rFonts w:hint="eastAsia" w:ascii="仿宋" w:hAnsi="仿宋" w:eastAsia="仿宋" w:cs="仿宋"/>
          <w:color w:val="auto"/>
          <w:sz w:val="24"/>
          <w:szCs w:val="24"/>
          <w:highlight w:val="none"/>
        </w:rPr>
        <w:t>法律、法规、规章规定属于</w:t>
      </w:r>
      <w:r>
        <w:rPr>
          <w:rFonts w:hint="eastAsia" w:ascii="仿宋" w:hAnsi="仿宋" w:eastAsia="仿宋" w:cs="仿宋"/>
          <w:color w:val="auto"/>
          <w:sz w:val="24"/>
          <w:szCs w:val="24"/>
          <w:highlight w:val="none"/>
          <w:lang w:val="en-US" w:eastAsia="zh-CN"/>
        </w:rPr>
        <w:t>废标</w:t>
      </w:r>
      <w:r>
        <w:rPr>
          <w:rFonts w:hint="eastAsia" w:ascii="仿宋" w:hAnsi="仿宋" w:eastAsia="仿宋" w:cs="仿宋"/>
          <w:color w:val="auto"/>
          <w:sz w:val="24"/>
          <w:szCs w:val="24"/>
          <w:highlight w:val="none"/>
        </w:rPr>
        <w:t>的其他情形。</w:t>
      </w:r>
    </w:p>
    <w:p w14:paraId="3EE39131">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zh-CN" w:eastAsia="zh-CN" w:bidi="ar-SA"/>
        </w:rPr>
      </w:pPr>
      <w:bookmarkStart w:id="338" w:name="_Toc102119853"/>
      <w:bookmarkStart w:id="339" w:name="_Toc102116022"/>
      <w:bookmarkStart w:id="340" w:name="_Toc102057718"/>
      <w:bookmarkStart w:id="341" w:name="_Toc155185914"/>
      <w:bookmarkStart w:id="342" w:name="_Toc102056218"/>
      <w:bookmarkStart w:id="343" w:name="_Toc102116152"/>
      <w:bookmarkStart w:id="344" w:name="_Toc163492907"/>
      <w:bookmarkStart w:id="345" w:name="_Toc102114920"/>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九</w:t>
      </w:r>
      <w:r>
        <w:rPr>
          <w:rFonts w:hint="eastAsia" w:ascii="仿宋" w:hAnsi="仿宋" w:eastAsia="仿宋" w:cs="仿宋"/>
          <w:b/>
          <w:bCs/>
          <w:color w:val="auto"/>
          <w:kern w:val="2"/>
          <w:sz w:val="24"/>
          <w:szCs w:val="24"/>
          <w:highlight w:val="none"/>
          <w:lang w:val="zh-CN" w:eastAsia="zh-CN" w:bidi="ar-SA"/>
        </w:rPr>
        <w:t>）停止评标的情形</w:t>
      </w:r>
      <w:bookmarkEnd w:id="338"/>
      <w:bookmarkEnd w:id="339"/>
      <w:bookmarkEnd w:id="340"/>
      <w:bookmarkEnd w:id="341"/>
      <w:bookmarkEnd w:id="342"/>
      <w:bookmarkEnd w:id="343"/>
      <w:bookmarkEnd w:id="344"/>
      <w:bookmarkEnd w:id="345"/>
    </w:p>
    <w:p w14:paraId="190044DE">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十</w:t>
      </w:r>
      <w:r>
        <w:rPr>
          <w:rFonts w:hint="eastAsia" w:ascii="仿宋" w:hAnsi="仿宋" w:eastAsia="仿宋" w:cs="仿宋"/>
          <w:b/>
          <w:bCs/>
          <w:color w:val="auto"/>
          <w:kern w:val="2"/>
          <w:sz w:val="24"/>
          <w:szCs w:val="24"/>
          <w:highlight w:val="none"/>
          <w:lang w:val="zh-CN" w:eastAsia="zh-CN" w:bidi="ar-SA"/>
        </w:rPr>
        <w:t>）重新开展采购</w:t>
      </w:r>
    </w:p>
    <w:p w14:paraId="461B653A">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第七十一条、第七十二条规定的违法行为之一，影响或者可能影响中标结果的，依照下列规定处理：</w:t>
      </w:r>
    </w:p>
    <w:p w14:paraId="7AA5C7C3">
      <w:pPr>
        <w:pStyle w:val="37"/>
        <w:jc w:val="both"/>
        <w:rPr>
          <w:rFonts w:hint="eastAsia" w:ascii="仿宋" w:hAnsi="仿宋" w:eastAsia="仿宋" w:cs="仿宋"/>
          <w:iCs/>
          <w:color w:val="auto"/>
          <w:spacing w:val="-6"/>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.1</w:t>
      </w:r>
      <w:r>
        <w:rPr>
          <w:rFonts w:hint="eastAsia" w:ascii="仿宋" w:hAnsi="仿宋" w:eastAsia="仿宋" w:cs="仿宋"/>
          <w:iCs/>
          <w:color w:val="auto"/>
          <w:spacing w:val="-6"/>
          <w:sz w:val="24"/>
          <w:szCs w:val="24"/>
          <w:highlight w:val="none"/>
        </w:rPr>
        <w:t>未确定中标供应商的，终止本次政府采购活动，重新开展政府采购活动。</w:t>
      </w:r>
    </w:p>
    <w:p w14:paraId="3A794890">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95100CC">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.3政府采购合同已签订但尚未履行的，撤销合同，从合格的中标候选人中另行确定中标供应商；没有合格的中标候选人的，重新开展政府采购活动。</w:t>
      </w:r>
    </w:p>
    <w:p w14:paraId="45E078B1">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.4政府采购合同已经履行，给采购人、供应商造成损失的，由责任人承担赔偿责任。</w:t>
      </w:r>
    </w:p>
    <w:p w14:paraId="43A428E9">
      <w:pPr>
        <w:pStyle w:val="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.5政府采购当事人有其他违反</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中华人民共和国政府采购法实施条例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等法律法规规定的行为，经改正后仍然影响或者可能影响中标结果或者依法被认定为中标无效的，依照</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.4规定处理。</w:t>
      </w:r>
    </w:p>
    <w:bookmarkEnd w:id="311"/>
    <w:bookmarkEnd w:id="312"/>
    <w:bookmarkEnd w:id="313"/>
    <w:bookmarkEnd w:id="314"/>
    <w:bookmarkEnd w:id="315"/>
    <w:bookmarkEnd w:id="316"/>
    <w:bookmarkEnd w:id="317"/>
    <w:bookmarkEnd w:id="318"/>
    <w:bookmarkEnd w:id="319"/>
    <w:bookmarkEnd w:id="320"/>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color w:val="auto"/>
          <w:sz w:val="28"/>
          <w:szCs w:val="28"/>
          <w:highlight w:val="none"/>
          <w:lang w:val="en-US" w:eastAsia="zh-CN"/>
        </w:rPr>
      </w:pPr>
      <w:bookmarkStart w:id="346" w:name="_Toc17247"/>
      <w:r>
        <w:rPr>
          <w:rFonts w:hint="eastAsia" w:ascii="仿宋" w:hAnsi="仿宋" w:eastAsia="仿宋" w:cs="仿宋"/>
          <w:color w:val="auto"/>
          <w:sz w:val="28"/>
          <w:szCs w:val="28"/>
          <w:highlight w:val="none"/>
          <w:lang w:val="zh-CN" w:eastAsia="zh-CN"/>
        </w:rPr>
        <w:t>三、评标</w:t>
      </w:r>
      <w:r>
        <w:rPr>
          <w:rFonts w:hint="eastAsia" w:ascii="仿宋" w:hAnsi="仿宋" w:eastAsia="仿宋" w:cs="仿宋"/>
          <w:color w:val="auto"/>
          <w:sz w:val="28"/>
          <w:szCs w:val="28"/>
          <w:highlight w:val="none"/>
          <w:lang w:val="en-US" w:eastAsia="zh-CN"/>
        </w:rPr>
        <w:t>其他要求</w:t>
      </w:r>
      <w:bookmarkEnd w:id="346"/>
    </w:p>
    <w:p w14:paraId="607C7DA1">
      <w:pPr>
        <w:pStyle w:val="37"/>
        <w:pageBreakBefore w:val="0"/>
        <w:widowControl w:val="0"/>
        <w:kinsoku/>
        <w:wordWrap w:val="0"/>
        <w:overflowPunct/>
        <w:topLinePunct w:val="0"/>
        <w:autoSpaceDE/>
        <w:autoSpaceDN/>
        <w:bidi w:val="0"/>
        <w:adjustRightInd/>
        <w:snapToGrid/>
        <w:textAlignment w:val="auto"/>
        <w:rPr>
          <w:rFonts w:hint="eastAsia" w:ascii="仿宋" w:hAnsi="仿宋" w:eastAsia="仿宋" w:cs="仿宋"/>
          <w:color w:val="auto"/>
          <w:highlight w:val="none"/>
          <w:lang w:val="en-US" w:eastAsia="zh-CN"/>
        </w:rPr>
      </w:pPr>
      <w:bookmarkStart w:id="347" w:name="_Toc155185915"/>
      <w:bookmarkStart w:id="348" w:name="_Toc6716"/>
      <w:bookmarkStart w:id="349" w:name="_Toc163492908"/>
      <w:r>
        <w:rPr>
          <w:rFonts w:hint="eastAsia" w:ascii="仿宋" w:hAnsi="仿宋" w:eastAsia="仿宋" w:cs="仿宋"/>
          <w:color w:val="auto"/>
          <w:highlight w:val="none"/>
          <w:lang w:val="en-US" w:eastAsia="zh-CN"/>
        </w:rPr>
        <w:t>无</w:t>
      </w:r>
    </w:p>
    <w:p w14:paraId="69C1EB70">
      <w:pPr>
        <w:pStyle w:val="37"/>
        <w:pageBreakBefore w:val="0"/>
        <w:widowControl w:val="0"/>
        <w:kinsoku/>
        <w:wordWrap w:val="0"/>
        <w:overflowPunct/>
        <w:topLinePunct w:val="0"/>
        <w:autoSpaceDE/>
        <w:autoSpaceDN/>
        <w:bidi w:val="0"/>
        <w:adjustRightInd/>
        <w:snapToGrid/>
        <w:textAlignment w:val="auto"/>
        <w:rPr>
          <w:rFonts w:hint="eastAsia" w:ascii="仿宋" w:hAnsi="仿宋" w:eastAsia="仿宋" w:cs="仿宋"/>
          <w:color w:val="auto"/>
          <w:highlight w:val="none"/>
          <w:lang w:val="en-US" w:eastAsia="zh-CN"/>
        </w:rPr>
      </w:pPr>
    </w:p>
    <w:p w14:paraId="63B6A3E5">
      <w:pPr>
        <w:pStyle w:val="37"/>
        <w:pageBreakBefore w:val="0"/>
        <w:widowControl w:val="0"/>
        <w:kinsoku/>
        <w:wordWrap w:val="0"/>
        <w:overflowPunct/>
        <w:topLinePunct w:val="0"/>
        <w:autoSpaceDE/>
        <w:autoSpaceDN/>
        <w:bidi w:val="0"/>
        <w:adjustRightInd/>
        <w:snapToGrid/>
        <w:textAlignment w:val="auto"/>
        <w:rPr>
          <w:rFonts w:hint="eastAsia" w:ascii="仿宋" w:hAnsi="仿宋" w:eastAsia="仿宋" w:cs="仿宋"/>
          <w:color w:val="auto"/>
          <w:highlight w:val="none"/>
          <w:lang w:val="en-US" w:eastAsia="zh-CN"/>
        </w:rPr>
      </w:pPr>
    </w:p>
    <w:p w14:paraId="73409715">
      <w:pPr>
        <w:pStyle w:val="37"/>
        <w:pageBreakBefore w:val="0"/>
        <w:widowControl w:val="0"/>
        <w:kinsoku/>
        <w:wordWrap w:val="0"/>
        <w:overflowPunct/>
        <w:topLinePunct w:val="0"/>
        <w:autoSpaceDE/>
        <w:autoSpaceDN/>
        <w:bidi w:val="0"/>
        <w:adjustRightInd/>
        <w:snapToGrid/>
        <w:textAlignment w:val="auto"/>
        <w:rPr>
          <w:rFonts w:hint="eastAsia" w:ascii="仿宋" w:hAnsi="仿宋" w:eastAsia="仿宋" w:cs="仿宋"/>
          <w:color w:val="auto"/>
          <w:highlight w:val="none"/>
          <w:lang w:val="en-US" w:eastAsia="zh-CN"/>
        </w:rPr>
      </w:pPr>
    </w:p>
    <w:p w14:paraId="43FF933A">
      <w:pPr>
        <w:pStyle w:val="37"/>
        <w:pageBreakBefore w:val="0"/>
        <w:widowControl w:val="0"/>
        <w:kinsoku/>
        <w:wordWrap w:val="0"/>
        <w:overflowPunct/>
        <w:topLinePunct w:val="0"/>
        <w:autoSpaceDE/>
        <w:autoSpaceDN/>
        <w:bidi w:val="0"/>
        <w:adjustRightInd/>
        <w:snapToGrid/>
        <w:textAlignment w:val="auto"/>
        <w:rPr>
          <w:rFonts w:hint="eastAsia" w:ascii="仿宋" w:hAnsi="仿宋" w:eastAsia="仿宋" w:cs="仿宋"/>
          <w:color w:val="auto"/>
          <w:highlight w:val="none"/>
          <w:lang w:val="en-US" w:eastAsia="zh-CN"/>
        </w:rPr>
      </w:pPr>
    </w:p>
    <w:p w14:paraId="2B8EB026">
      <w:pPr>
        <w:pStyle w:val="37"/>
        <w:pageBreakBefore w:val="0"/>
        <w:widowControl w:val="0"/>
        <w:kinsoku/>
        <w:wordWrap w:val="0"/>
        <w:overflowPunct/>
        <w:topLinePunct w:val="0"/>
        <w:autoSpaceDE/>
        <w:autoSpaceDN/>
        <w:bidi w:val="0"/>
        <w:adjustRightInd/>
        <w:snapToGrid/>
        <w:textAlignment w:val="auto"/>
        <w:rPr>
          <w:rFonts w:hint="eastAsia" w:ascii="仿宋" w:hAnsi="仿宋" w:eastAsia="仿宋" w:cs="仿宋"/>
          <w:color w:val="auto"/>
          <w:highlight w:val="none"/>
          <w:lang w:val="en-US" w:eastAsia="zh-CN"/>
        </w:rPr>
      </w:pPr>
    </w:p>
    <w:p w14:paraId="4D3415E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val="zh-CN" w:eastAsia="zh-CN"/>
        </w:rPr>
        <w:t>、评标标准</w:t>
      </w:r>
      <w:bookmarkEnd w:id="347"/>
      <w:bookmarkEnd w:id="348"/>
      <w:bookmarkEnd w:id="349"/>
    </w:p>
    <w:p w14:paraId="6FC1DEB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b/>
          <w:bCs/>
          <w:color w:val="auto"/>
          <w:kern w:val="2"/>
          <w:sz w:val="24"/>
          <w:szCs w:val="24"/>
          <w:highlight w:val="none"/>
          <w:lang w:val="zh-CN" w:eastAsia="zh-CN" w:bidi="ar-SA"/>
        </w:rPr>
      </w:pPr>
      <w:bookmarkStart w:id="350" w:name="_Toc163492909"/>
      <w:r>
        <w:rPr>
          <w:rFonts w:hint="eastAsia" w:ascii="仿宋" w:hAnsi="仿宋" w:eastAsia="仿宋" w:cs="仿宋"/>
          <w:b/>
          <w:bCs/>
          <w:color w:val="auto"/>
          <w:kern w:val="2"/>
          <w:sz w:val="24"/>
          <w:szCs w:val="24"/>
          <w:highlight w:val="none"/>
          <w:lang w:val="zh-CN" w:eastAsia="zh-CN" w:bidi="ar-SA"/>
        </w:rPr>
        <w:t>（一）符合性审查表</w:t>
      </w:r>
      <w:bookmarkEnd w:id="350"/>
    </w:p>
    <w:tbl>
      <w:tblPr>
        <w:tblStyle w:val="29"/>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1579"/>
        <w:gridCol w:w="5737"/>
        <w:gridCol w:w="677"/>
        <w:gridCol w:w="915"/>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9" w:type="pct"/>
            <w:vMerge w:val="restart"/>
            <w:shd w:val="clear" w:color="auto" w:fill="D8D8D8" w:themeFill="background1" w:themeFillShade="D9"/>
            <w:vAlign w:val="center"/>
          </w:tcPr>
          <w:p w14:paraId="3B188FC3">
            <w:pPr>
              <w:pStyle w:val="49"/>
              <w:jc w:val="center"/>
              <w:rPr>
                <w:rFonts w:hint="eastAsia" w:ascii="仿宋" w:hAnsi="仿宋" w:eastAsia="仿宋" w:cs="仿宋"/>
                <w:b/>
                <w:bCs/>
                <w:color w:val="auto"/>
                <w:sz w:val="21"/>
                <w:szCs w:val="21"/>
                <w:highlight w:val="none"/>
                <w:lang w:val="zh-CN"/>
              </w:rPr>
            </w:pPr>
            <w:r>
              <w:rPr>
                <w:rFonts w:hint="eastAsia" w:ascii="仿宋" w:hAnsi="仿宋" w:eastAsia="仿宋" w:cs="仿宋"/>
                <w:b/>
                <w:bCs/>
                <w:color w:val="auto"/>
                <w:sz w:val="21"/>
                <w:szCs w:val="21"/>
                <w:highlight w:val="none"/>
                <w:lang w:val="zh-CN"/>
              </w:rPr>
              <w:t>序号</w:t>
            </w:r>
          </w:p>
        </w:tc>
        <w:tc>
          <w:tcPr>
            <w:tcW w:w="840" w:type="pct"/>
            <w:vMerge w:val="restart"/>
            <w:shd w:val="clear" w:color="auto" w:fill="D8D8D8" w:themeFill="background1" w:themeFillShade="D9"/>
            <w:vAlign w:val="center"/>
          </w:tcPr>
          <w:p w14:paraId="316B5F87">
            <w:pPr>
              <w:pStyle w:val="49"/>
              <w:jc w:val="center"/>
              <w:rPr>
                <w:rFonts w:hint="eastAsia" w:ascii="仿宋" w:hAnsi="仿宋" w:eastAsia="仿宋" w:cs="仿宋"/>
                <w:b/>
                <w:bCs/>
                <w:color w:val="auto"/>
                <w:sz w:val="21"/>
                <w:szCs w:val="21"/>
                <w:highlight w:val="none"/>
                <w:lang w:val="zh-CN"/>
              </w:rPr>
            </w:pPr>
            <w:r>
              <w:rPr>
                <w:rFonts w:hint="eastAsia" w:ascii="仿宋" w:hAnsi="仿宋" w:eastAsia="仿宋" w:cs="仿宋"/>
                <w:b/>
                <w:bCs/>
                <w:color w:val="auto"/>
                <w:sz w:val="21"/>
                <w:szCs w:val="21"/>
                <w:highlight w:val="none"/>
                <w:lang w:val="zh-CN"/>
              </w:rPr>
              <w:t>审查项名称</w:t>
            </w:r>
          </w:p>
        </w:tc>
        <w:tc>
          <w:tcPr>
            <w:tcW w:w="3053" w:type="pct"/>
            <w:vMerge w:val="restart"/>
            <w:shd w:val="clear" w:color="auto" w:fill="D8D8D8" w:themeFill="background1" w:themeFillShade="D9"/>
            <w:vAlign w:val="center"/>
          </w:tcPr>
          <w:p w14:paraId="44B32FDC">
            <w:pPr>
              <w:pStyle w:val="49"/>
              <w:jc w:val="center"/>
              <w:rPr>
                <w:rFonts w:hint="eastAsia" w:ascii="仿宋" w:hAnsi="仿宋" w:eastAsia="仿宋" w:cs="仿宋"/>
                <w:b/>
                <w:bCs/>
                <w:color w:val="auto"/>
                <w:sz w:val="21"/>
                <w:szCs w:val="21"/>
                <w:highlight w:val="none"/>
                <w:lang w:val="zh-CN"/>
              </w:rPr>
            </w:pPr>
            <w:r>
              <w:rPr>
                <w:rFonts w:hint="eastAsia" w:ascii="仿宋" w:hAnsi="仿宋" w:eastAsia="仿宋" w:cs="仿宋"/>
                <w:b/>
                <w:bCs/>
                <w:color w:val="auto"/>
                <w:sz w:val="21"/>
                <w:szCs w:val="21"/>
                <w:highlight w:val="none"/>
                <w:lang w:val="zh-CN"/>
              </w:rPr>
              <w:t>审查内容</w:t>
            </w:r>
          </w:p>
        </w:tc>
        <w:tc>
          <w:tcPr>
            <w:tcW w:w="847" w:type="pct"/>
            <w:gridSpan w:val="2"/>
            <w:shd w:val="clear" w:color="auto" w:fill="D8D8D8" w:themeFill="background1" w:themeFillShade="D9"/>
            <w:vAlign w:val="center"/>
          </w:tcPr>
          <w:p w14:paraId="2724C461">
            <w:pPr>
              <w:pStyle w:val="49"/>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9" w:type="pct"/>
            <w:vMerge w:val="continue"/>
            <w:shd w:val="clear" w:color="auto" w:fill="D8D8D8" w:themeFill="background1" w:themeFillShade="D9"/>
            <w:vAlign w:val="center"/>
          </w:tcPr>
          <w:p w14:paraId="1859AA86">
            <w:pPr>
              <w:pStyle w:val="49"/>
              <w:jc w:val="center"/>
              <w:rPr>
                <w:rFonts w:hint="eastAsia" w:ascii="仿宋" w:hAnsi="仿宋" w:eastAsia="仿宋" w:cs="仿宋"/>
                <w:b/>
                <w:bCs/>
                <w:color w:val="auto"/>
                <w:sz w:val="21"/>
                <w:szCs w:val="21"/>
                <w:highlight w:val="none"/>
                <w:lang w:val="zh-CN"/>
              </w:rPr>
            </w:pPr>
          </w:p>
        </w:tc>
        <w:tc>
          <w:tcPr>
            <w:tcW w:w="840" w:type="pct"/>
            <w:vMerge w:val="continue"/>
            <w:shd w:val="clear" w:color="auto" w:fill="D8D8D8" w:themeFill="background1" w:themeFillShade="D9"/>
            <w:vAlign w:val="center"/>
          </w:tcPr>
          <w:p w14:paraId="51EF0565">
            <w:pPr>
              <w:pStyle w:val="49"/>
              <w:jc w:val="center"/>
              <w:rPr>
                <w:rFonts w:hint="eastAsia" w:ascii="仿宋" w:hAnsi="仿宋" w:eastAsia="仿宋" w:cs="仿宋"/>
                <w:b/>
                <w:bCs/>
                <w:color w:val="auto"/>
                <w:sz w:val="21"/>
                <w:szCs w:val="21"/>
                <w:highlight w:val="none"/>
                <w:lang w:val="zh-CN"/>
              </w:rPr>
            </w:pPr>
          </w:p>
        </w:tc>
        <w:tc>
          <w:tcPr>
            <w:tcW w:w="3053" w:type="pct"/>
            <w:vMerge w:val="continue"/>
            <w:shd w:val="clear" w:color="auto" w:fill="D8D8D8" w:themeFill="background1" w:themeFillShade="D9"/>
            <w:vAlign w:val="center"/>
          </w:tcPr>
          <w:p w14:paraId="2128C077">
            <w:pPr>
              <w:pStyle w:val="49"/>
              <w:jc w:val="center"/>
              <w:rPr>
                <w:rFonts w:hint="eastAsia" w:ascii="仿宋" w:hAnsi="仿宋" w:eastAsia="仿宋" w:cs="仿宋"/>
                <w:b/>
                <w:bCs/>
                <w:color w:val="auto"/>
                <w:sz w:val="21"/>
                <w:szCs w:val="21"/>
                <w:highlight w:val="none"/>
                <w:lang w:val="zh-CN"/>
              </w:rPr>
            </w:pPr>
          </w:p>
        </w:tc>
        <w:tc>
          <w:tcPr>
            <w:tcW w:w="360" w:type="pct"/>
            <w:shd w:val="clear" w:color="auto" w:fill="D8D8D8" w:themeFill="background1" w:themeFillShade="D9"/>
            <w:vAlign w:val="center"/>
          </w:tcPr>
          <w:p w14:paraId="0CAA21D7">
            <w:pPr>
              <w:pStyle w:val="49"/>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符合</w:t>
            </w:r>
          </w:p>
        </w:tc>
        <w:tc>
          <w:tcPr>
            <w:tcW w:w="486" w:type="pct"/>
            <w:shd w:val="clear" w:color="auto" w:fill="D8D8D8" w:themeFill="background1" w:themeFillShade="D9"/>
            <w:vAlign w:val="center"/>
          </w:tcPr>
          <w:p w14:paraId="15D1F439">
            <w:pPr>
              <w:pStyle w:val="49"/>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9" w:type="pct"/>
            <w:shd w:val="clear" w:color="auto" w:fill="auto"/>
            <w:vAlign w:val="center"/>
          </w:tcPr>
          <w:p w14:paraId="4A515C07">
            <w:pPr>
              <w:pStyle w:val="49"/>
              <w:numPr>
                <w:ilvl w:val="0"/>
                <w:numId w:val="0"/>
              </w:numPr>
              <w:ind w:left="420" w:leftChars="0" w:hanging="420" w:firstLineChars="0"/>
              <w:jc w:val="center"/>
              <w:rPr>
                <w:rFonts w:hint="eastAsia" w:ascii="仿宋" w:hAnsi="仿宋" w:eastAsia="仿宋" w:cs="仿宋"/>
                <w:color w:val="auto"/>
                <w:sz w:val="21"/>
                <w:szCs w:val="21"/>
                <w:highlight w:val="none"/>
                <w:lang w:val="zh-CN"/>
              </w:rPr>
            </w:pPr>
            <w:r>
              <w:rPr>
                <w:rFonts w:hint="eastAsia" w:ascii="仿宋" w:hAnsi="仿宋" w:eastAsia="仿宋" w:cs="仿宋"/>
                <w:color w:val="auto"/>
                <w:kern w:val="2"/>
                <w:sz w:val="21"/>
                <w:szCs w:val="21"/>
                <w:highlight w:val="none"/>
                <w:lang w:val="zh-CN" w:eastAsia="zh-CN" w:bidi="ar-SA"/>
              </w:rPr>
              <w:t>1</w:t>
            </w:r>
          </w:p>
        </w:tc>
        <w:tc>
          <w:tcPr>
            <w:tcW w:w="840" w:type="pct"/>
            <w:vAlign w:val="center"/>
          </w:tcPr>
          <w:p w14:paraId="5E0E3062">
            <w:pPr>
              <w:pStyle w:val="49"/>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投标文件</w:t>
            </w:r>
            <w:r>
              <w:rPr>
                <w:rFonts w:hint="eastAsia" w:ascii="仿宋" w:hAnsi="仿宋" w:eastAsia="仿宋" w:cs="仿宋"/>
                <w:color w:val="auto"/>
                <w:sz w:val="21"/>
                <w:szCs w:val="21"/>
                <w:highlight w:val="none"/>
              </w:rPr>
              <w:t>签署</w:t>
            </w:r>
          </w:p>
        </w:tc>
        <w:tc>
          <w:tcPr>
            <w:tcW w:w="3053" w:type="pct"/>
            <w:shd w:val="clear" w:color="auto" w:fill="auto"/>
            <w:vAlign w:val="center"/>
          </w:tcPr>
          <w:p w14:paraId="0FA4ED80">
            <w:pPr>
              <w:pStyle w:val="49"/>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en-US" w:eastAsia="zh-CN"/>
              </w:rPr>
              <w:t>投标文件按招标文件要求签署、盖章的</w:t>
            </w:r>
          </w:p>
        </w:tc>
        <w:tc>
          <w:tcPr>
            <w:tcW w:w="360" w:type="pct"/>
            <w:shd w:val="clear" w:color="auto" w:fill="auto"/>
            <w:vAlign w:val="center"/>
          </w:tcPr>
          <w:p w14:paraId="1E1F1EB1">
            <w:pPr>
              <w:pStyle w:val="49"/>
              <w:rPr>
                <w:rFonts w:hint="eastAsia" w:ascii="仿宋" w:hAnsi="仿宋" w:eastAsia="仿宋" w:cs="仿宋"/>
                <w:color w:val="auto"/>
                <w:sz w:val="21"/>
                <w:szCs w:val="21"/>
                <w:highlight w:val="none"/>
                <w:lang w:val="zh-CN"/>
              </w:rPr>
            </w:pPr>
          </w:p>
        </w:tc>
        <w:tc>
          <w:tcPr>
            <w:tcW w:w="486" w:type="pct"/>
            <w:shd w:val="clear" w:color="auto" w:fill="auto"/>
            <w:vAlign w:val="center"/>
          </w:tcPr>
          <w:p w14:paraId="35325BAA">
            <w:pPr>
              <w:pStyle w:val="49"/>
              <w:rPr>
                <w:rFonts w:hint="eastAsia" w:ascii="仿宋" w:hAnsi="仿宋" w:eastAsia="仿宋" w:cs="仿宋"/>
                <w:color w:val="auto"/>
                <w:sz w:val="21"/>
                <w:szCs w:val="21"/>
                <w:highlight w:val="none"/>
                <w:lang w:val="zh-CN"/>
              </w:rPr>
            </w:pPr>
          </w:p>
        </w:tc>
      </w:tr>
      <w:tr w14:paraId="3F170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9" w:type="pct"/>
            <w:shd w:val="clear" w:color="auto" w:fill="auto"/>
            <w:vAlign w:val="center"/>
          </w:tcPr>
          <w:p w14:paraId="5B53A43D">
            <w:pPr>
              <w:pStyle w:val="49"/>
              <w:numPr>
                <w:ilvl w:val="0"/>
                <w:numId w:val="0"/>
              </w:numPr>
              <w:ind w:left="420" w:leftChars="0" w:hanging="420" w:firstLineChars="0"/>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zh-CN" w:eastAsia="zh-CN" w:bidi="ar-SA"/>
              </w:rPr>
              <w:t>2</w:t>
            </w:r>
          </w:p>
        </w:tc>
        <w:tc>
          <w:tcPr>
            <w:tcW w:w="840" w:type="pct"/>
            <w:shd w:val="clear" w:color="auto" w:fill="auto"/>
            <w:vAlign w:val="center"/>
          </w:tcPr>
          <w:p w14:paraId="54DD2E09">
            <w:pPr>
              <w:pStyle w:val="49"/>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 w:val="21"/>
                <w:szCs w:val="21"/>
                <w:highlight w:val="none"/>
                <w:lang w:val="zh-CN"/>
              </w:rPr>
              <w:t>实质性要求</w:t>
            </w:r>
          </w:p>
        </w:tc>
        <w:tc>
          <w:tcPr>
            <w:tcW w:w="3053" w:type="pct"/>
            <w:shd w:val="clear" w:color="auto" w:fill="auto"/>
            <w:vAlign w:val="center"/>
          </w:tcPr>
          <w:p w14:paraId="3A663F07">
            <w:pPr>
              <w:pStyle w:val="49"/>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 w:val="21"/>
                <w:szCs w:val="21"/>
                <w:highlight w:val="none"/>
                <w:lang w:val="en-US" w:eastAsia="zh-CN"/>
              </w:rPr>
              <w:t>投标</w:t>
            </w:r>
            <w:r>
              <w:rPr>
                <w:rFonts w:hint="eastAsia" w:ascii="仿宋" w:hAnsi="仿宋" w:eastAsia="仿宋" w:cs="仿宋"/>
                <w:color w:val="auto"/>
                <w:sz w:val="21"/>
                <w:szCs w:val="21"/>
                <w:highlight w:val="none"/>
                <w:lang w:val="zh-CN" w:eastAsia="zh-CN"/>
              </w:rPr>
              <w:t>文件满足</w:t>
            </w:r>
            <w:r>
              <w:rPr>
                <w:rFonts w:hint="eastAsia" w:ascii="仿宋" w:hAnsi="仿宋" w:eastAsia="仿宋" w:cs="仿宋"/>
                <w:color w:val="auto"/>
                <w:sz w:val="21"/>
                <w:szCs w:val="21"/>
                <w:highlight w:val="none"/>
                <w:lang w:val="en-US" w:eastAsia="zh-CN"/>
              </w:rPr>
              <w:t>招标</w:t>
            </w:r>
            <w:r>
              <w:rPr>
                <w:rFonts w:hint="eastAsia" w:ascii="仿宋" w:hAnsi="仿宋" w:eastAsia="仿宋" w:cs="仿宋"/>
                <w:color w:val="auto"/>
                <w:sz w:val="21"/>
                <w:szCs w:val="21"/>
                <w:highlight w:val="none"/>
                <w:lang w:val="zh-CN" w:eastAsia="zh-CN"/>
              </w:rPr>
              <w:t>文件中标注“★”号的实质性条款（或指标）要求的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具体详见</w:t>
            </w:r>
            <w:r>
              <w:rPr>
                <w:rFonts w:hint="eastAsia" w:ascii="仿宋" w:hAnsi="仿宋" w:eastAsia="仿宋" w:cs="仿宋"/>
                <w:color w:val="auto"/>
                <w:sz w:val="21"/>
                <w:szCs w:val="21"/>
                <w:highlight w:val="none"/>
                <w:lang w:val="zh-CN"/>
              </w:rPr>
              <w:t>“实质性响应一览表”</w:t>
            </w:r>
          </w:p>
        </w:tc>
        <w:tc>
          <w:tcPr>
            <w:tcW w:w="360" w:type="pct"/>
            <w:shd w:val="clear" w:color="auto" w:fill="auto"/>
            <w:vAlign w:val="center"/>
          </w:tcPr>
          <w:p w14:paraId="3F83CD9C">
            <w:pPr>
              <w:pStyle w:val="49"/>
              <w:rPr>
                <w:rFonts w:hint="eastAsia" w:ascii="仿宋" w:hAnsi="仿宋" w:eastAsia="仿宋" w:cs="仿宋"/>
                <w:color w:val="auto"/>
                <w:sz w:val="21"/>
                <w:szCs w:val="21"/>
                <w:highlight w:val="none"/>
                <w:lang w:val="zh-CN"/>
              </w:rPr>
            </w:pPr>
          </w:p>
        </w:tc>
        <w:tc>
          <w:tcPr>
            <w:tcW w:w="486" w:type="pct"/>
            <w:shd w:val="clear" w:color="auto" w:fill="auto"/>
            <w:vAlign w:val="center"/>
          </w:tcPr>
          <w:p w14:paraId="53C654A1">
            <w:pPr>
              <w:pStyle w:val="49"/>
              <w:rPr>
                <w:rFonts w:hint="eastAsia" w:ascii="仿宋" w:hAnsi="仿宋" w:eastAsia="仿宋" w:cs="仿宋"/>
                <w:color w:val="auto"/>
                <w:sz w:val="21"/>
                <w:szCs w:val="21"/>
                <w:highlight w:val="none"/>
                <w:lang w:val="zh-CN"/>
              </w:rPr>
            </w:pPr>
          </w:p>
        </w:tc>
      </w:tr>
      <w:tr w14:paraId="49890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9" w:type="pct"/>
            <w:shd w:val="clear" w:color="auto" w:fill="auto"/>
            <w:vAlign w:val="center"/>
          </w:tcPr>
          <w:p w14:paraId="122BA4D1">
            <w:pPr>
              <w:pStyle w:val="49"/>
              <w:numPr>
                <w:ilvl w:val="0"/>
                <w:numId w:val="0"/>
              </w:numPr>
              <w:ind w:left="420" w:leftChars="0" w:hanging="420" w:firstLineChars="0"/>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zh-CN" w:eastAsia="zh-CN" w:bidi="ar-SA"/>
              </w:rPr>
              <w:t>3</w:t>
            </w:r>
          </w:p>
        </w:tc>
        <w:tc>
          <w:tcPr>
            <w:tcW w:w="840" w:type="pct"/>
            <w:vAlign w:val="center"/>
          </w:tcPr>
          <w:p w14:paraId="0ABAB0FD">
            <w:pPr>
              <w:pStyle w:val="49"/>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投标报价</w:t>
            </w:r>
          </w:p>
        </w:tc>
        <w:tc>
          <w:tcPr>
            <w:tcW w:w="3053" w:type="pct"/>
            <w:shd w:val="clear" w:color="auto" w:fill="auto"/>
            <w:vAlign w:val="center"/>
          </w:tcPr>
          <w:p w14:paraId="3039222D">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投标人报价未超过招标文件中规定的最高限价或者预算金额的。</w:t>
            </w:r>
          </w:p>
        </w:tc>
        <w:tc>
          <w:tcPr>
            <w:tcW w:w="360" w:type="pct"/>
            <w:shd w:val="clear" w:color="auto" w:fill="auto"/>
            <w:vAlign w:val="center"/>
          </w:tcPr>
          <w:p w14:paraId="45596CE1">
            <w:pPr>
              <w:pStyle w:val="49"/>
              <w:rPr>
                <w:rFonts w:hint="eastAsia" w:ascii="仿宋" w:hAnsi="仿宋" w:eastAsia="仿宋" w:cs="仿宋"/>
                <w:color w:val="auto"/>
                <w:sz w:val="21"/>
                <w:szCs w:val="21"/>
                <w:highlight w:val="none"/>
                <w:lang w:val="zh-CN"/>
              </w:rPr>
            </w:pPr>
          </w:p>
        </w:tc>
        <w:tc>
          <w:tcPr>
            <w:tcW w:w="486" w:type="pct"/>
            <w:shd w:val="clear" w:color="auto" w:fill="auto"/>
            <w:vAlign w:val="center"/>
          </w:tcPr>
          <w:p w14:paraId="11E76B6F">
            <w:pPr>
              <w:pStyle w:val="49"/>
              <w:rPr>
                <w:rFonts w:hint="eastAsia" w:ascii="仿宋" w:hAnsi="仿宋" w:eastAsia="仿宋" w:cs="仿宋"/>
                <w:color w:val="auto"/>
                <w:sz w:val="21"/>
                <w:szCs w:val="21"/>
                <w:highlight w:val="none"/>
                <w:lang w:val="zh-CN"/>
              </w:rPr>
            </w:pPr>
          </w:p>
        </w:tc>
      </w:tr>
      <w:tr w14:paraId="41300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9" w:type="pct"/>
            <w:shd w:val="clear" w:color="auto" w:fill="auto"/>
            <w:vAlign w:val="center"/>
          </w:tcPr>
          <w:p w14:paraId="525DFD8C">
            <w:pPr>
              <w:pStyle w:val="49"/>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en-US" w:eastAsia="zh-CN" w:bidi="ar-SA"/>
              </w:rPr>
              <w:t>4</w:t>
            </w:r>
          </w:p>
        </w:tc>
        <w:tc>
          <w:tcPr>
            <w:tcW w:w="840" w:type="pct"/>
            <w:shd w:val="clear" w:color="auto" w:fill="auto"/>
            <w:vAlign w:val="center"/>
          </w:tcPr>
          <w:p w14:paraId="0354478B">
            <w:pPr>
              <w:pStyle w:val="49"/>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 w:val="21"/>
                <w:szCs w:val="21"/>
                <w:highlight w:val="none"/>
                <w:lang w:val="en-US" w:eastAsia="zh-CN"/>
              </w:rPr>
              <w:t>虚假材料</w:t>
            </w:r>
          </w:p>
        </w:tc>
        <w:tc>
          <w:tcPr>
            <w:tcW w:w="3053" w:type="pct"/>
            <w:shd w:val="clear" w:color="auto" w:fill="auto"/>
            <w:vAlign w:val="center"/>
          </w:tcPr>
          <w:p w14:paraId="175000EA">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投标</w:t>
            </w:r>
            <w:r>
              <w:rPr>
                <w:rFonts w:hint="eastAsia" w:ascii="仿宋" w:hAnsi="仿宋" w:eastAsia="仿宋" w:cs="仿宋"/>
                <w:color w:val="auto"/>
                <w:sz w:val="21"/>
                <w:szCs w:val="21"/>
                <w:highlight w:val="none"/>
                <w:lang w:val="zh-CN" w:eastAsia="zh-CN"/>
              </w:rPr>
              <w:t>文件</w:t>
            </w:r>
            <w:r>
              <w:rPr>
                <w:rFonts w:hint="eastAsia" w:ascii="仿宋" w:hAnsi="仿宋" w:eastAsia="仿宋" w:cs="仿宋"/>
                <w:color w:val="auto"/>
                <w:sz w:val="21"/>
                <w:szCs w:val="21"/>
                <w:highlight w:val="none"/>
                <w:lang w:val="en-US" w:eastAsia="zh-CN"/>
              </w:rPr>
              <w:t>未</w:t>
            </w:r>
            <w:r>
              <w:rPr>
                <w:rFonts w:hint="eastAsia" w:ascii="仿宋" w:hAnsi="仿宋" w:eastAsia="仿宋" w:cs="仿宋"/>
                <w:color w:val="auto"/>
                <w:sz w:val="21"/>
                <w:szCs w:val="21"/>
                <w:highlight w:val="none"/>
                <w:lang w:val="zh-CN" w:eastAsia="zh-CN"/>
              </w:rPr>
              <w:t>提供虚假材料的</w:t>
            </w:r>
          </w:p>
        </w:tc>
        <w:tc>
          <w:tcPr>
            <w:tcW w:w="360" w:type="pct"/>
            <w:shd w:val="clear" w:color="auto" w:fill="auto"/>
            <w:vAlign w:val="center"/>
          </w:tcPr>
          <w:p w14:paraId="353D021E">
            <w:pPr>
              <w:pStyle w:val="49"/>
              <w:rPr>
                <w:rFonts w:hint="eastAsia" w:ascii="仿宋" w:hAnsi="仿宋" w:eastAsia="仿宋" w:cs="仿宋"/>
                <w:color w:val="auto"/>
                <w:kern w:val="2"/>
                <w:sz w:val="21"/>
                <w:szCs w:val="21"/>
                <w:highlight w:val="none"/>
                <w:lang w:val="zh-CN" w:eastAsia="zh-CN" w:bidi="ar-SA"/>
              </w:rPr>
            </w:pPr>
          </w:p>
        </w:tc>
        <w:tc>
          <w:tcPr>
            <w:tcW w:w="486" w:type="pct"/>
            <w:shd w:val="clear" w:color="auto" w:fill="auto"/>
            <w:vAlign w:val="center"/>
          </w:tcPr>
          <w:p w14:paraId="298CFC31">
            <w:pPr>
              <w:pStyle w:val="49"/>
              <w:rPr>
                <w:rFonts w:hint="eastAsia" w:ascii="仿宋" w:hAnsi="仿宋" w:eastAsia="仿宋" w:cs="仿宋"/>
                <w:color w:val="auto"/>
                <w:kern w:val="2"/>
                <w:sz w:val="21"/>
                <w:szCs w:val="21"/>
                <w:highlight w:val="none"/>
                <w:lang w:val="zh-CN" w:eastAsia="zh-CN" w:bidi="ar-SA"/>
              </w:rPr>
            </w:pPr>
          </w:p>
        </w:tc>
      </w:tr>
      <w:tr w14:paraId="63842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9" w:type="pct"/>
            <w:shd w:val="clear" w:color="auto" w:fill="auto"/>
            <w:vAlign w:val="center"/>
          </w:tcPr>
          <w:p w14:paraId="1C0BF26C">
            <w:pPr>
              <w:pStyle w:val="49"/>
              <w:numPr>
                <w:ilvl w:val="0"/>
                <w:numId w:val="0"/>
              </w:numPr>
              <w:ind w:left="420" w:leftChars="0" w:hanging="420" w:firstLineChars="0"/>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zh-CN" w:eastAsia="zh-CN" w:bidi="ar-SA"/>
              </w:rPr>
              <w:t>5</w:t>
            </w:r>
          </w:p>
        </w:tc>
        <w:tc>
          <w:tcPr>
            <w:tcW w:w="840" w:type="pct"/>
            <w:vAlign w:val="center"/>
          </w:tcPr>
          <w:p w14:paraId="49C30112">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投标保证金</w:t>
            </w:r>
          </w:p>
        </w:tc>
        <w:tc>
          <w:tcPr>
            <w:tcW w:w="3053" w:type="pct"/>
            <w:shd w:val="clear" w:color="auto" w:fill="auto"/>
            <w:vAlign w:val="center"/>
          </w:tcPr>
          <w:p w14:paraId="150A9DA0">
            <w:pPr>
              <w:pStyle w:val="49"/>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 w:val="21"/>
                <w:szCs w:val="21"/>
                <w:highlight w:val="none"/>
                <w:lang w:val="en-US" w:eastAsia="zh-CN"/>
              </w:rPr>
              <w:t>投标人按招标文件的规定交纳投标保证金的</w:t>
            </w:r>
          </w:p>
        </w:tc>
        <w:tc>
          <w:tcPr>
            <w:tcW w:w="360" w:type="pct"/>
            <w:shd w:val="clear" w:color="auto" w:fill="auto"/>
            <w:vAlign w:val="center"/>
          </w:tcPr>
          <w:p w14:paraId="36B10A12">
            <w:pPr>
              <w:pStyle w:val="49"/>
              <w:rPr>
                <w:rFonts w:hint="eastAsia" w:ascii="仿宋" w:hAnsi="仿宋" w:eastAsia="仿宋" w:cs="仿宋"/>
                <w:color w:val="auto"/>
                <w:sz w:val="21"/>
                <w:szCs w:val="21"/>
                <w:highlight w:val="none"/>
                <w:lang w:val="zh-CN"/>
              </w:rPr>
            </w:pPr>
          </w:p>
        </w:tc>
        <w:tc>
          <w:tcPr>
            <w:tcW w:w="486" w:type="pct"/>
            <w:shd w:val="clear" w:color="auto" w:fill="auto"/>
            <w:vAlign w:val="center"/>
          </w:tcPr>
          <w:p w14:paraId="5008BBC1">
            <w:pPr>
              <w:pStyle w:val="49"/>
              <w:rPr>
                <w:rFonts w:hint="eastAsia" w:ascii="仿宋" w:hAnsi="仿宋" w:eastAsia="仿宋" w:cs="仿宋"/>
                <w:color w:val="auto"/>
                <w:sz w:val="21"/>
                <w:szCs w:val="21"/>
                <w:highlight w:val="none"/>
                <w:lang w:val="zh-CN"/>
              </w:rPr>
            </w:pPr>
          </w:p>
        </w:tc>
      </w:tr>
      <w:tr w14:paraId="1BD3D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9" w:type="pct"/>
            <w:shd w:val="clear" w:color="auto" w:fill="auto"/>
            <w:vAlign w:val="center"/>
          </w:tcPr>
          <w:p w14:paraId="14B70D86">
            <w:pPr>
              <w:pStyle w:val="49"/>
              <w:numPr>
                <w:ilvl w:val="0"/>
                <w:numId w:val="0"/>
              </w:numPr>
              <w:ind w:left="420" w:leftChars="0" w:hanging="420" w:firstLineChars="0"/>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zh-CN" w:eastAsia="zh-CN" w:bidi="ar-SA"/>
              </w:rPr>
              <w:t>6</w:t>
            </w:r>
          </w:p>
        </w:tc>
        <w:tc>
          <w:tcPr>
            <w:tcW w:w="840" w:type="pct"/>
            <w:vAlign w:val="center"/>
          </w:tcPr>
          <w:p w14:paraId="225F10E6">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投标文件的澄清、说明、补正</w:t>
            </w:r>
          </w:p>
        </w:tc>
        <w:tc>
          <w:tcPr>
            <w:tcW w:w="3053" w:type="pct"/>
            <w:shd w:val="clear" w:color="auto" w:fill="auto"/>
            <w:vAlign w:val="center"/>
          </w:tcPr>
          <w:p w14:paraId="05C0F1EF">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zh-CN" w:eastAsia="zh-CN"/>
              </w:rPr>
              <w:t>评审期间,</w:t>
            </w: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lang w:val="zh-CN" w:eastAsia="zh-CN"/>
              </w:rPr>
              <w:t>按评标委员会的要求提交经授权代表签字的澄清、说明、补正或</w:t>
            </w:r>
            <w:r>
              <w:rPr>
                <w:rFonts w:hint="eastAsia" w:ascii="仿宋" w:hAnsi="仿宋" w:eastAsia="仿宋" w:cs="仿宋"/>
                <w:color w:val="auto"/>
                <w:sz w:val="21"/>
                <w:szCs w:val="21"/>
                <w:highlight w:val="none"/>
                <w:lang w:val="en-US" w:eastAsia="zh-CN"/>
              </w:rPr>
              <w:t>未</w:t>
            </w:r>
            <w:r>
              <w:rPr>
                <w:rFonts w:hint="eastAsia" w:ascii="仿宋" w:hAnsi="仿宋" w:eastAsia="仿宋" w:cs="仿宋"/>
                <w:color w:val="auto"/>
                <w:sz w:val="21"/>
                <w:szCs w:val="21"/>
                <w:highlight w:val="none"/>
                <w:lang w:val="zh-CN" w:eastAsia="zh-CN"/>
              </w:rPr>
              <w:t>改变</w:t>
            </w:r>
            <w:r>
              <w:rPr>
                <w:rFonts w:hint="eastAsia" w:ascii="仿宋" w:hAnsi="仿宋" w:eastAsia="仿宋" w:cs="仿宋"/>
                <w:color w:val="auto"/>
                <w:sz w:val="21"/>
                <w:szCs w:val="21"/>
                <w:highlight w:val="none"/>
                <w:lang w:val="en-US" w:eastAsia="zh-CN"/>
              </w:rPr>
              <w:t>投标</w:t>
            </w:r>
            <w:r>
              <w:rPr>
                <w:rFonts w:hint="eastAsia" w:ascii="仿宋" w:hAnsi="仿宋" w:eastAsia="仿宋" w:cs="仿宋"/>
                <w:color w:val="auto"/>
                <w:sz w:val="21"/>
                <w:szCs w:val="21"/>
                <w:highlight w:val="none"/>
                <w:lang w:val="zh-CN" w:eastAsia="zh-CN"/>
              </w:rPr>
              <w:t>文件的实质性内容</w:t>
            </w:r>
          </w:p>
        </w:tc>
        <w:tc>
          <w:tcPr>
            <w:tcW w:w="360" w:type="pct"/>
            <w:shd w:val="clear" w:color="auto" w:fill="auto"/>
            <w:vAlign w:val="center"/>
          </w:tcPr>
          <w:p w14:paraId="38FADABF">
            <w:pPr>
              <w:pStyle w:val="49"/>
              <w:rPr>
                <w:rFonts w:hint="eastAsia" w:ascii="仿宋" w:hAnsi="仿宋" w:eastAsia="仿宋" w:cs="仿宋"/>
                <w:color w:val="auto"/>
                <w:sz w:val="21"/>
                <w:szCs w:val="21"/>
                <w:highlight w:val="none"/>
                <w:lang w:val="zh-CN"/>
              </w:rPr>
            </w:pPr>
          </w:p>
        </w:tc>
        <w:tc>
          <w:tcPr>
            <w:tcW w:w="486" w:type="pct"/>
            <w:shd w:val="clear" w:color="auto" w:fill="auto"/>
            <w:vAlign w:val="center"/>
          </w:tcPr>
          <w:p w14:paraId="5A6008DC">
            <w:pPr>
              <w:pStyle w:val="49"/>
              <w:rPr>
                <w:rFonts w:hint="eastAsia" w:ascii="仿宋" w:hAnsi="仿宋" w:eastAsia="仿宋" w:cs="仿宋"/>
                <w:color w:val="auto"/>
                <w:sz w:val="21"/>
                <w:szCs w:val="21"/>
                <w:highlight w:val="none"/>
                <w:lang w:val="zh-CN"/>
              </w:rPr>
            </w:pPr>
          </w:p>
        </w:tc>
      </w:tr>
      <w:tr w14:paraId="7A54D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9" w:type="pct"/>
            <w:shd w:val="clear" w:color="auto" w:fill="auto"/>
            <w:vAlign w:val="center"/>
          </w:tcPr>
          <w:p w14:paraId="5DF7405B">
            <w:pPr>
              <w:pStyle w:val="49"/>
              <w:numPr>
                <w:ilvl w:val="0"/>
                <w:numId w:val="0"/>
              </w:numPr>
              <w:ind w:left="0" w:leftChars="0" w:firstLine="0" w:firstLineChars="0"/>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 w:val="21"/>
                <w:szCs w:val="21"/>
                <w:highlight w:val="none"/>
                <w:lang w:val="en-US" w:eastAsia="zh-CN"/>
              </w:rPr>
              <w:t>7</w:t>
            </w:r>
          </w:p>
        </w:tc>
        <w:tc>
          <w:tcPr>
            <w:tcW w:w="840" w:type="pct"/>
            <w:vAlign w:val="center"/>
          </w:tcPr>
          <w:p w14:paraId="3CB15A1D">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投标人影响评标</w:t>
            </w:r>
          </w:p>
        </w:tc>
        <w:tc>
          <w:tcPr>
            <w:tcW w:w="3053" w:type="pct"/>
            <w:shd w:val="clear" w:color="auto" w:fill="auto"/>
            <w:vAlign w:val="center"/>
          </w:tcPr>
          <w:p w14:paraId="0EF49674">
            <w:pPr>
              <w:pStyle w:val="49"/>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lang w:val="zh-CN" w:eastAsia="zh-CN"/>
              </w:rPr>
              <w:t>对采购人、采购代理机构、评标委员会及其工作人员</w:t>
            </w:r>
            <w:r>
              <w:rPr>
                <w:rFonts w:hint="eastAsia" w:ascii="仿宋" w:hAnsi="仿宋" w:eastAsia="仿宋" w:cs="仿宋"/>
                <w:color w:val="auto"/>
                <w:sz w:val="21"/>
                <w:szCs w:val="21"/>
                <w:highlight w:val="none"/>
                <w:lang w:val="en-US" w:eastAsia="zh-CN"/>
              </w:rPr>
              <w:t>未</w:t>
            </w:r>
            <w:r>
              <w:rPr>
                <w:rFonts w:hint="eastAsia" w:ascii="仿宋" w:hAnsi="仿宋" w:eastAsia="仿宋" w:cs="仿宋"/>
                <w:color w:val="auto"/>
                <w:sz w:val="21"/>
                <w:szCs w:val="21"/>
                <w:highlight w:val="none"/>
                <w:lang w:val="zh-CN" w:eastAsia="zh-CN"/>
              </w:rPr>
              <w:t>施加影响,</w:t>
            </w:r>
            <w:r>
              <w:rPr>
                <w:rFonts w:hint="eastAsia" w:ascii="仿宋" w:hAnsi="仿宋" w:eastAsia="仿宋" w:cs="仿宋"/>
                <w:color w:val="auto"/>
                <w:sz w:val="21"/>
                <w:szCs w:val="21"/>
                <w:highlight w:val="none"/>
                <w:lang w:val="en-US" w:eastAsia="zh-CN"/>
              </w:rPr>
              <w:t>无</w:t>
            </w:r>
            <w:r>
              <w:rPr>
                <w:rFonts w:hint="eastAsia" w:ascii="仿宋" w:hAnsi="仿宋" w:eastAsia="仿宋" w:cs="仿宋"/>
                <w:color w:val="auto"/>
                <w:sz w:val="21"/>
                <w:szCs w:val="21"/>
                <w:highlight w:val="none"/>
                <w:lang w:val="zh-CN" w:eastAsia="zh-CN"/>
              </w:rPr>
              <w:t>有碍公平、公正</w:t>
            </w:r>
            <w:r>
              <w:rPr>
                <w:rFonts w:hint="eastAsia" w:ascii="仿宋" w:hAnsi="仿宋" w:eastAsia="仿宋" w:cs="仿宋"/>
                <w:color w:val="auto"/>
                <w:sz w:val="21"/>
                <w:szCs w:val="21"/>
                <w:highlight w:val="none"/>
                <w:lang w:val="en-US" w:eastAsia="zh-CN"/>
              </w:rPr>
              <w:t>的</w:t>
            </w:r>
          </w:p>
        </w:tc>
        <w:tc>
          <w:tcPr>
            <w:tcW w:w="360" w:type="pct"/>
            <w:shd w:val="clear" w:color="auto" w:fill="auto"/>
            <w:vAlign w:val="center"/>
          </w:tcPr>
          <w:p w14:paraId="37F2653A">
            <w:pPr>
              <w:pStyle w:val="49"/>
              <w:rPr>
                <w:rFonts w:hint="eastAsia" w:ascii="仿宋" w:hAnsi="仿宋" w:eastAsia="仿宋" w:cs="仿宋"/>
                <w:color w:val="auto"/>
                <w:sz w:val="21"/>
                <w:szCs w:val="21"/>
                <w:highlight w:val="none"/>
                <w:lang w:val="zh-CN"/>
              </w:rPr>
            </w:pPr>
          </w:p>
        </w:tc>
        <w:tc>
          <w:tcPr>
            <w:tcW w:w="486" w:type="pct"/>
            <w:shd w:val="clear" w:color="auto" w:fill="auto"/>
            <w:vAlign w:val="center"/>
          </w:tcPr>
          <w:p w14:paraId="1E4AED58">
            <w:pPr>
              <w:pStyle w:val="49"/>
              <w:rPr>
                <w:rFonts w:hint="eastAsia" w:ascii="仿宋" w:hAnsi="仿宋" w:eastAsia="仿宋" w:cs="仿宋"/>
                <w:color w:val="auto"/>
                <w:sz w:val="21"/>
                <w:szCs w:val="21"/>
                <w:highlight w:val="none"/>
                <w:lang w:val="zh-CN"/>
              </w:rPr>
            </w:pPr>
          </w:p>
        </w:tc>
      </w:tr>
      <w:tr w14:paraId="7044E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259" w:type="pct"/>
            <w:shd w:val="clear" w:color="auto" w:fill="auto"/>
            <w:vAlign w:val="center"/>
          </w:tcPr>
          <w:p w14:paraId="115CB80E">
            <w:pPr>
              <w:pStyle w:val="49"/>
              <w:numPr>
                <w:ilvl w:val="0"/>
                <w:numId w:val="0"/>
              </w:numPr>
              <w:ind w:left="420" w:leftChars="0" w:hanging="420" w:firstLineChars="0"/>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en-US" w:eastAsia="zh-CN" w:bidi="ar-SA"/>
              </w:rPr>
              <w:t>8</w:t>
            </w:r>
          </w:p>
        </w:tc>
        <w:tc>
          <w:tcPr>
            <w:tcW w:w="840" w:type="pct"/>
            <w:vAlign w:val="center"/>
          </w:tcPr>
          <w:p w14:paraId="5E0526C0">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围标串标情形</w:t>
            </w:r>
          </w:p>
        </w:tc>
        <w:tc>
          <w:tcPr>
            <w:tcW w:w="3053" w:type="pct"/>
            <w:shd w:val="clear" w:color="auto" w:fill="auto"/>
            <w:vAlign w:val="center"/>
          </w:tcPr>
          <w:p w14:paraId="69951688">
            <w:pPr>
              <w:pStyle w:val="49"/>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 w:val="21"/>
                <w:szCs w:val="21"/>
                <w:highlight w:val="none"/>
                <w:lang w:val="en-US" w:eastAsia="zh-CN"/>
              </w:rPr>
              <w:t>没有</w:t>
            </w:r>
            <w:r>
              <w:rPr>
                <w:rFonts w:hint="eastAsia" w:ascii="仿宋" w:hAnsi="仿宋" w:eastAsia="仿宋" w:cs="仿宋"/>
                <w:color w:val="auto"/>
                <w:sz w:val="21"/>
                <w:szCs w:val="21"/>
                <w:highlight w:val="none"/>
                <w:lang w:val="zh-CN" w:eastAsia="zh-CN"/>
              </w:rPr>
              <w:t>“第五章 评标方法及标准”</w:t>
            </w:r>
            <w:r>
              <w:rPr>
                <w:rFonts w:hint="eastAsia" w:ascii="仿宋" w:hAnsi="仿宋" w:eastAsia="仿宋" w:cs="仿宋"/>
                <w:color w:val="auto"/>
                <w:sz w:val="21"/>
                <w:szCs w:val="21"/>
                <w:highlight w:val="none"/>
                <w:lang w:val="en-US" w:eastAsia="zh-CN"/>
              </w:rPr>
              <w:t>第21条情形之一的</w:t>
            </w:r>
          </w:p>
        </w:tc>
        <w:tc>
          <w:tcPr>
            <w:tcW w:w="360" w:type="pct"/>
            <w:shd w:val="clear" w:color="auto" w:fill="auto"/>
            <w:vAlign w:val="center"/>
          </w:tcPr>
          <w:p w14:paraId="17DF499B">
            <w:pPr>
              <w:pStyle w:val="49"/>
              <w:rPr>
                <w:rFonts w:hint="eastAsia" w:ascii="仿宋" w:hAnsi="仿宋" w:eastAsia="仿宋" w:cs="仿宋"/>
                <w:color w:val="auto"/>
                <w:sz w:val="21"/>
                <w:szCs w:val="21"/>
                <w:highlight w:val="none"/>
                <w:lang w:val="zh-CN"/>
              </w:rPr>
            </w:pPr>
          </w:p>
        </w:tc>
        <w:tc>
          <w:tcPr>
            <w:tcW w:w="486" w:type="pct"/>
            <w:shd w:val="clear" w:color="auto" w:fill="auto"/>
            <w:vAlign w:val="center"/>
          </w:tcPr>
          <w:p w14:paraId="7B15EF49">
            <w:pPr>
              <w:pStyle w:val="49"/>
              <w:rPr>
                <w:rFonts w:hint="eastAsia" w:ascii="仿宋" w:hAnsi="仿宋" w:eastAsia="仿宋" w:cs="仿宋"/>
                <w:color w:val="auto"/>
                <w:sz w:val="21"/>
                <w:szCs w:val="21"/>
                <w:highlight w:val="none"/>
                <w:lang w:val="zh-CN"/>
              </w:rPr>
            </w:pPr>
          </w:p>
        </w:tc>
      </w:tr>
      <w:tr w14:paraId="316BF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259" w:type="pct"/>
            <w:shd w:val="clear" w:color="auto" w:fill="auto"/>
            <w:vAlign w:val="center"/>
          </w:tcPr>
          <w:p w14:paraId="36B73159">
            <w:pPr>
              <w:pStyle w:val="49"/>
              <w:numPr>
                <w:ilvl w:val="0"/>
                <w:numId w:val="0"/>
              </w:numPr>
              <w:ind w:left="420" w:leftChars="0" w:hanging="420" w:firstLineChars="0"/>
              <w:jc w:val="center"/>
              <w:rPr>
                <w:rFonts w:hint="default" w:ascii="仿宋" w:hAnsi="仿宋" w:eastAsia="仿宋" w:cs="仿宋"/>
                <w:color w:val="auto"/>
                <w:kern w:val="2"/>
                <w:sz w:val="21"/>
                <w:szCs w:val="21"/>
                <w:highlight w:val="none"/>
                <w:lang w:val="en-US" w:eastAsia="zh-CN" w:bidi="ar-SA"/>
              </w:rPr>
            </w:pPr>
            <w:bookmarkStart w:id="475" w:name="_GoBack" w:colFirst="0" w:colLast="3"/>
            <w:r>
              <w:rPr>
                <w:rFonts w:hint="eastAsia" w:ascii="仿宋" w:hAnsi="仿宋" w:eastAsia="仿宋" w:cs="仿宋"/>
                <w:color w:val="auto"/>
                <w:kern w:val="2"/>
                <w:sz w:val="21"/>
                <w:szCs w:val="21"/>
                <w:highlight w:val="none"/>
                <w:lang w:val="en-US" w:eastAsia="zh-CN" w:bidi="ar-SA"/>
              </w:rPr>
              <w:t>9</w:t>
            </w:r>
          </w:p>
        </w:tc>
        <w:tc>
          <w:tcPr>
            <w:tcW w:w="840" w:type="pct"/>
            <w:vAlign w:val="center"/>
          </w:tcPr>
          <w:p w14:paraId="53D5888F">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报价合理性</w:t>
            </w:r>
          </w:p>
        </w:tc>
        <w:tc>
          <w:tcPr>
            <w:tcW w:w="3053" w:type="pct"/>
            <w:shd w:val="clear" w:color="auto" w:fill="auto"/>
            <w:vAlign w:val="center"/>
          </w:tcPr>
          <w:p w14:paraId="5AF10B6C">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报价合理，或报价通过评标委员会异常低价投标（响应）审查。</w:t>
            </w:r>
          </w:p>
        </w:tc>
        <w:tc>
          <w:tcPr>
            <w:tcW w:w="360" w:type="pct"/>
            <w:shd w:val="clear" w:color="auto" w:fill="auto"/>
            <w:vAlign w:val="center"/>
          </w:tcPr>
          <w:p w14:paraId="17B4E9D4">
            <w:pPr>
              <w:pStyle w:val="49"/>
              <w:rPr>
                <w:rFonts w:hint="eastAsia" w:ascii="仿宋" w:hAnsi="仿宋" w:eastAsia="仿宋" w:cs="仿宋"/>
                <w:color w:val="auto"/>
                <w:sz w:val="21"/>
                <w:szCs w:val="21"/>
                <w:highlight w:val="none"/>
                <w:lang w:val="zh-CN"/>
              </w:rPr>
            </w:pPr>
          </w:p>
        </w:tc>
        <w:tc>
          <w:tcPr>
            <w:tcW w:w="486" w:type="pct"/>
            <w:shd w:val="clear" w:color="auto" w:fill="auto"/>
            <w:vAlign w:val="center"/>
          </w:tcPr>
          <w:p w14:paraId="60598721">
            <w:pPr>
              <w:pStyle w:val="49"/>
              <w:rPr>
                <w:rFonts w:hint="eastAsia" w:ascii="仿宋" w:hAnsi="仿宋" w:eastAsia="仿宋" w:cs="仿宋"/>
                <w:color w:val="auto"/>
                <w:sz w:val="21"/>
                <w:szCs w:val="21"/>
                <w:highlight w:val="none"/>
                <w:lang w:val="zh-CN"/>
              </w:rPr>
            </w:pPr>
          </w:p>
        </w:tc>
      </w:tr>
      <w:tr w14:paraId="5AEED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259" w:type="pct"/>
            <w:shd w:val="clear" w:color="auto" w:fill="auto"/>
            <w:vAlign w:val="center"/>
          </w:tcPr>
          <w:p w14:paraId="54575570">
            <w:pPr>
              <w:pStyle w:val="49"/>
              <w:numPr>
                <w:ilvl w:val="0"/>
                <w:numId w:val="0"/>
              </w:numPr>
              <w:ind w:left="420" w:leftChars="0" w:hanging="420" w:firstLineChars="0"/>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10</w:t>
            </w:r>
          </w:p>
        </w:tc>
        <w:tc>
          <w:tcPr>
            <w:tcW w:w="840" w:type="pct"/>
            <w:vAlign w:val="center"/>
          </w:tcPr>
          <w:p w14:paraId="7CFE2454">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附加条件</w:t>
            </w:r>
          </w:p>
        </w:tc>
        <w:tc>
          <w:tcPr>
            <w:tcW w:w="3053" w:type="pct"/>
            <w:shd w:val="clear" w:color="auto" w:fill="auto"/>
            <w:vAlign w:val="center"/>
          </w:tcPr>
          <w:p w14:paraId="1AFF6E69">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投标文件没有采购人不能接受的附加条件的</w:t>
            </w:r>
          </w:p>
        </w:tc>
        <w:tc>
          <w:tcPr>
            <w:tcW w:w="360" w:type="pct"/>
            <w:shd w:val="clear" w:color="auto" w:fill="auto"/>
            <w:vAlign w:val="center"/>
          </w:tcPr>
          <w:p w14:paraId="6E7B9E6F">
            <w:pPr>
              <w:pStyle w:val="49"/>
              <w:rPr>
                <w:rFonts w:hint="eastAsia" w:ascii="仿宋" w:hAnsi="仿宋" w:eastAsia="仿宋" w:cs="仿宋"/>
                <w:color w:val="auto"/>
                <w:sz w:val="21"/>
                <w:szCs w:val="21"/>
                <w:highlight w:val="none"/>
                <w:lang w:val="zh-CN"/>
              </w:rPr>
            </w:pPr>
          </w:p>
        </w:tc>
        <w:tc>
          <w:tcPr>
            <w:tcW w:w="486" w:type="pct"/>
            <w:shd w:val="clear" w:color="auto" w:fill="auto"/>
            <w:vAlign w:val="center"/>
          </w:tcPr>
          <w:p w14:paraId="5E9FCB3A">
            <w:pPr>
              <w:pStyle w:val="49"/>
              <w:rPr>
                <w:rFonts w:hint="eastAsia" w:ascii="仿宋" w:hAnsi="仿宋" w:eastAsia="仿宋" w:cs="仿宋"/>
                <w:color w:val="auto"/>
                <w:sz w:val="21"/>
                <w:szCs w:val="21"/>
                <w:highlight w:val="none"/>
                <w:lang w:val="zh-CN"/>
              </w:rPr>
            </w:pPr>
          </w:p>
        </w:tc>
      </w:tr>
      <w:tr w14:paraId="0F96D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9" w:type="pct"/>
            <w:shd w:val="clear" w:color="auto" w:fill="auto"/>
            <w:vAlign w:val="center"/>
          </w:tcPr>
          <w:p w14:paraId="6F2212DB">
            <w:pPr>
              <w:pStyle w:val="49"/>
              <w:numPr>
                <w:ilvl w:val="0"/>
                <w:numId w:val="0"/>
              </w:numPr>
              <w:ind w:left="420" w:leftChars="0" w:hanging="420" w:firstLineChars="0"/>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11</w:t>
            </w:r>
          </w:p>
        </w:tc>
        <w:tc>
          <w:tcPr>
            <w:tcW w:w="840" w:type="pct"/>
            <w:vAlign w:val="center"/>
          </w:tcPr>
          <w:p w14:paraId="5065E06D">
            <w:pPr>
              <w:pStyle w:val="49"/>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其他无效情形</w:t>
            </w:r>
          </w:p>
        </w:tc>
        <w:tc>
          <w:tcPr>
            <w:tcW w:w="3053" w:type="pct"/>
            <w:shd w:val="clear" w:color="auto" w:fill="auto"/>
            <w:vAlign w:val="center"/>
          </w:tcPr>
          <w:p w14:paraId="77FBE461">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没有</w:t>
            </w:r>
            <w:r>
              <w:rPr>
                <w:rFonts w:hint="eastAsia" w:ascii="仿宋" w:hAnsi="仿宋" w:eastAsia="仿宋" w:cs="仿宋"/>
                <w:color w:val="auto"/>
                <w:sz w:val="21"/>
                <w:szCs w:val="21"/>
                <w:highlight w:val="none"/>
                <w:lang w:val="zh-CN" w:eastAsia="zh-CN"/>
              </w:rPr>
              <w:t>法律、法规、规章规定属于</w:t>
            </w:r>
            <w:r>
              <w:rPr>
                <w:rFonts w:hint="eastAsia" w:ascii="仿宋" w:hAnsi="仿宋" w:eastAsia="仿宋" w:cs="仿宋"/>
                <w:color w:val="auto"/>
                <w:sz w:val="21"/>
                <w:szCs w:val="21"/>
                <w:highlight w:val="none"/>
                <w:lang w:val="en-US" w:eastAsia="zh-CN"/>
              </w:rPr>
              <w:t>投标</w:t>
            </w:r>
            <w:r>
              <w:rPr>
                <w:rFonts w:hint="eastAsia" w:ascii="仿宋" w:hAnsi="仿宋" w:eastAsia="仿宋" w:cs="仿宋"/>
                <w:color w:val="auto"/>
                <w:sz w:val="21"/>
                <w:szCs w:val="21"/>
                <w:highlight w:val="none"/>
                <w:lang w:val="zh-CN" w:eastAsia="zh-CN"/>
              </w:rPr>
              <w:t>无效的其他情形。</w:t>
            </w:r>
          </w:p>
        </w:tc>
        <w:tc>
          <w:tcPr>
            <w:tcW w:w="360" w:type="pct"/>
            <w:shd w:val="clear" w:color="auto" w:fill="auto"/>
            <w:vAlign w:val="center"/>
          </w:tcPr>
          <w:p w14:paraId="79393C8F">
            <w:pPr>
              <w:pStyle w:val="49"/>
              <w:rPr>
                <w:rFonts w:hint="eastAsia" w:ascii="仿宋" w:hAnsi="仿宋" w:eastAsia="仿宋" w:cs="仿宋"/>
                <w:color w:val="auto"/>
                <w:sz w:val="21"/>
                <w:szCs w:val="21"/>
                <w:highlight w:val="none"/>
                <w:lang w:val="zh-CN"/>
              </w:rPr>
            </w:pPr>
          </w:p>
        </w:tc>
        <w:tc>
          <w:tcPr>
            <w:tcW w:w="486" w:type="pct"/>
            <w:shd w:val="clear" w:color="auto" w:fill="auto"/>
            <w:vAlign w:val="center"/>
          </w:tcPr>
          <w:p w14:paraId="77FEE600">
            <w:pPr>
              <w:pStyle w:val="49"/>
              <w:rPr>
                <w:rFonts w:hint="eastAsia" w:ascii="仿宋" w:hAnsi="仿宋" w:eastAsia="仿宋" w:cs="仿宋"/>
                <w:color w:val="auto"/>
                <w:sz w:val="21"/>
                <w:szCs w:val="21"/>
                <w:highlight w:val="none"/>
                <w:lang w:val="zh-CN"/>
              </w:rPr>
            </w:pPr>
          </w:p>
        </w:tc>
      </w:tr>
      <w:bookmarkEnd w:id="475"/>
    </w:tbl>
    <w:p w14:paraId="4607A59B">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41FE1CD8">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734BADBB">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676A329D">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2EDDC313">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35D3DEBE">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36E80820">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39A2EC62">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22DBC450">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23A1FBBB">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43E358B1">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5D6E1DFE">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6C3F8400">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5397C2BF">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037077D7">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符合</w:t>
      </w:r>
      <w:r>
        <w:rPr>
          <w:rFonts w:hint="eastAsia" w:ascii="仿宋" w:hAnsi="仿宋" w:eastAsia="仿宋" w:cs="仿宋"/>
          <w:b/>
          <w:color w:val="auto"/>
          <w:sz w:val="24"/>
          <w:szCs w:val="24"/>
          <w:highlight w:val="none"/>
          <w:lang w:eastAsia="zh-CN"/>
        </w:rPr>
        <w:t>性</w:t>
      </w:r>
      <w:r>
        <w:rPr>
          <w:rFonts w:hint="eastAsia" w:ascii="仿宋" w:hAnsi="仿宋" w:eastAsia="仿宋" w:cs="仿宋"/>
          <w:b/>
          <w:color w:val="auto"/>
          <w:sz w:val="24"/>
          <w:szCs w:val="24"/>
          <w:highlight w:val="none"/>
          <w:lang w:val="en-US" w:eastAsia="zh-CN"/>
        </w:rPr>
        <w:t>审查表－</w:t>
      </w:r>
      <w:r>
        <w:rPr>
          <w:rFonts w:hint="eastAsia" w:ascii="仿宋" w:hAnsi="仿宋" w:eastAsia="仿宋" w:cs="仿宋"/>
          <w:b/>
          <w:color w:val="auto"/>
          <w:sz w:val="24"/>
          <w:szCs w:val="24"/>
          <w:highlight w:val="none"/>
        </w:rPr>
        <w:t>附表</w:t>
      </w:r>
    </w:p>
    <w:p w14:paraId="70584E3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仿宋" w:hAnsi="仿宋" w:eastAsia="仿宋" w:cs="仿宋"/>
          <w:b/>
          <w:bCs/>
          <w:color w:val="auto"/>
          <w:kern w:val="2"/>
          <w:sz w:val="28"/>
          <w:szCs w:val="28"/>
          <w:highlight w:val="none"/>
          <w:lang w:val="zh-CN" w:eastAsia="zh-CN" w:bidi="ar-SA"/>
        </w:rPr>
      </w:pPr>
      <w:r>
        <w:rPr>
          <w:rFonts w:hint="eastAsia" w:ascii="仿宋" w:hAnsi="仿宋" w:eastAsia="仿宋" w:cs="仿宋"/>
          <w:b/>
          <w:bCs/>
          <w:color w:val="auto"/>
          <w:kern w:val="2"/>
          <w:sz w:val="28"/>
          <w:szCs w:val="28"/>
          <w:highlight w:val="none"/>
          <w:lang w:val="zh-CN" w:eastAsia="zh-CN" w:bidi="ar-SA"/>
        </w:rPr>
        <w:t>实质性响应一览表</w:t>
      </w:r>
    </w:p>
    <w:p w14:paraId="7DFD9111">
      <w:pPr>
        <w:shd w:val="clear" w:color="auto" w:fill="FFFFFF"/>
        <w:tabs>
          <w:tab w:val="left" w:pos="3045"/>
        </w:tabs>
        <w:autoSpaceDE w:val="0"/>
        <w:autoSpaceDN w:val="0"/>
        <w:adjustRightInd w:val="0"/>
        <w:snapToGrid w:val="0"/>
        <w:spacing w:line="36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投标人</w:t>
      </w:r>
      <w:r>
        <w:rPr>
          <w:rFonts w:hint="eastAsia" w:ascii="仿宋" w:hAnsi="仿宋" w:eastAsia="仿宋" w:cs="仿宋"/>
          <w:b w:val="0"/>
          <w:bCs/>
          <w:color w:val="auto"/>
          <w:sz w:val="24"/>
          <w:szCs w:val="24"/>
          <w:highlight w:val="none"/>
        </w:rPr>
        <w:t>须对本附表所有内容逐条响应且无负偏离，否则</w:t>
      </w:r>
      <w:r>
        <w:rPr>
          <w:rFonts w:hint="eastAsia" w:ascii="仿宋" w:hAnsi="仿宋" w:eastAsia="仿宋" w:cs="仿宋"/>
          <w:b w:val="0"/>
          <w:bCs/>
          <w:color w:val="auto"/>
          <w:sz w:val="24"/>
          <w:szCs w:val="24"/>
          <w:highlight w:val="none"/>
          <w:lang w:val="en-US" w:eastAsia="zh-CN"/>
        </w:rPr>
        <w:t>其</w:t>
      </w:r>
      <w:r>
        <w:rPr>
          <w:rFonts w:hint="eastAsia" w:ascii="仿宋" w:hAnsi="仿宋" w:eastAsia="仿宋" w:cs="仿宋"/>
          <w:b/>
          <w:bCs w:val="0"/>
          <w:color w:val="auto"/>
          <w:sz w:val="24"/>
          <w:szCs w:val="24"/>
          <w:highlight w:val="none"/>
        </w:rPr>
        <w:t>投标无效</w:t>
      </w:r>
      <w:r>
        <w:rPr>
          <w:rFonts w:hint="eastAsia" w:ascii="仿宋" w:hAnsi="仿宋" w:eastAsia="仿宋" w:cs="仿宋"/>
          <w:b w:val="0"/>
          <w:bCs/>
          <w:color w:val="auto"/>
          <w:sz w:val="24"/>
          <w:szCs w:val="24"/>
          <w:highlight w:val="none"/>
        </w:rPr>
        <w:t>）</w:t>
      </w:r>
    </w:p>
    <w:p w14:paraId="212CF784">
      <w:pPr>
        <w:pStyle w:val="23"/>
        <w:rPr>
          <w:rFonts w:hint="eastAsia" w:ascii="仿宋" w:hAnsi="仿宋" w:eastAsia="仿宋" w:cs="仿宋"/>
          <w:color w:val="auto"/>
          <w:sz w:val="24"/>
          <w:szCs w:val="24"/>
          <w:highlight w:val="none"/>
        </w:rPr>
      </w:pP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699"/>
        <w:gridCol w:w="4022"/>
        <w:gridCol w:w="1433"/>
        <w:gridCol w:w="427"/>
      </w:tblGrid>
      <w:tr w14:paraId="6953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0" w:type="pct"/>
            <w:vMerge w:val="restart"/>
            <w:vAlign w:val="center"/>
          </w:tcPr>
          <w:p w14:paraId="67FA7BD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3357" w:type="pct"/>
            <w:gridSpan w:val="2"/>
            <w:vAlign w:val="center"/>
          </w:tcPr>
          <w:p w14:paraId="4E74DEF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招标文件要求的实质性响应内容</w:t>
            </w:r>
          </w:p>
        </w:tc>
        <w:tc>
          <w:tcPr>
            <w:tcW w:w="841" w:type="pct"/>
            <w:vMerge w:val="restart"/>
            <w:vAlign w:val="center"/>
          </w:tcPr>
          <w:p w14:paraId="3789874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投标文件响应</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具体内容</w:t>
            </w:r>
          </w:p>
        </w:tc>
        <w:tc>
          <w:tcPr>
            <w:tcW w:w="250" w:type="pct"/>
            <w:vMerge w:val="restart"/>
            <w:vAlign w:val="center"/>
          </w:tcPr>
          <w:p w14:paraId="67FA391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r>
      <w:tr w14:paraId="2974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50" w:type="pct"/>
            <w:vMerge w:val="continue"/>
            <w:vAlign w:val="center"/>
          </w:tcPr>
          <w:p w14:paraId="544DE6F8">
            <w:pPr>
              <w:rPr>
                <w:highlight w:val="none"/>
              </w:rPr>
            </w:pPr>
          </w:p>
        </w:tc>
        <w:tc>
          <w:tcPr>
            <w:tcW w:w="997" w:type="pct"/>
            <w:shd w:val="clear" w:color="auto" w:fill="auto"/>
            <w:vAlign w:val="center"/>
          </w:tcPr>
          <w:p w14:paraId="55EE27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实质性要求</w:t>
            </w:r>
          </w:p>
        </w:tc>
        <w:tc>
          <w:tcPr>
            <w:tcW w:w="2359" w:type="pct"/>
            <w:shd w:val="clear" w:color="auto" w:fill="auto"/>
            <w:vAlign w:val="center"/>
          </w:tcPr>
          <w:p w14:paraId="4F176E0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招标文件中的规定</w:t>
            </w:r>
          </w:p>
        </w:tc>
        <w:tc>
          <w:tcPr>
            <w:tcW w:w="841" w:type="pct"/>
            <w:vMerge w:val="continue"/>
            <w:vAlign w:val="center"/>
          </w:tcPr>
          <w:p w14:paraId="74959DE0">
            <w:pPr>
              <w:rPr>
                <w:highlight w:val="none"/>
              </w:rPr>
            </w:pPr>
          </w:p>
        </w:tc>
        <w:tc>
          <w:tcPr>
            <w:tcW w:w="250" w:type="pct"/>
            <w:vMerge w:val="continue"/>
            <w:vAlign w:val="center"/>
          </w:tcPr>
          <w:p w14:paraId="21E01C1B">
            <w:pPr>
              <w:rPr>
                <w:highlight w:val="none"/>
              </w:rPr>
            </w:pPr>
          </w:p>
        </w:tc>
      </w:tr>
      <w:tr w14:paraId="0F66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550" w:type="pct"/>
            <w:vAlign w:val="center"/>
          </w:tcPr>
          <w:p w14:paraId="164DD5C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997" w:type="pct"/>
            <w:shd w:val="clear" w:color="auto" w:fill="auto"/>
            <w:vAlign w:val="center"/>
          </w:tcPr>
          <w:p w14:paraId="3E6E46D0">
            <w:pPr>
              <w:keepNext w:val="0"/>
              <w:keepLines w:val="0"/>
              <w:pageBreakBefore w:val="0"/>
              <w:widowControl w:val="0"/>
              <w:kinsoku/>
              <w:wordWrap/>
              <w:overflowPunct/>
              <w:topLinePunct w:val="0"/>
              <w:bidi w:val="0"/>
              <w:adjustRightInd/>
              <w:snapToGrid/>
              <w:spacing w:line="36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投标报价</w:t>
            </w:r>
          </w:p>
        </w:tc>
        <w:tc>
          <w:tcPr>
            <w:tcW w:w="2359" w:type="pct"/>
            <w:shd w:val="clear" w:color="auto" w:fill="auto"/>
            <w:vAlign w:val="center"/>
          </w:tcPr>
          <w:p w14:paraId="4A9E043F">
            <w:pPr>
              <w:keepNext w:val="0"/>
              <w:keepLines w:val="0"/>
              <w:pageBreakBefore w:val="0"/>
              <w:widowControl w:val="0"/>
              <w:kinsoku/>
              <w:wordWrap/>
              <w:overflowPunct/>
              <w:topLinePunct w:val="0"/>
              <w:bidi w:val="0"/>
              <w:adjustRightInd/>
              <w:snapToGrid/>
              <w:spacing w:line="36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本项目预算及最高限价204万元，投标人的投标报价不得超过最高限价，否则，其投标无效。投标人投标总报价应包括全部设备的供应、运输、安装调试、保险、培训、维护与技术支持、备品备件、税金等所有费用。</w:t>
            </w:r>
          </w:p>
        </w:tc>
        <w:tc>
          <w:tcPr>
            <w:tcW w:w="841" w:type="pct"/>
            <w:vAlign w:val="center"/>
          </w:tcPr>
          <w:p w14:paraId="26735504">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投标人在</w:t>
            </w:r>
            <w:r>
              <w:rPr>
                <w:rFonts w:hint="eastAsia" w:ascii="仿宋" w:hAnsi="仿宋" w:eastAsia="仿宋" w:cs="仿宋"/>
                <w:color w:val="auto"/>
                <w:sz w:val="21"/>
                <w:szCs w:val="21"/>
                <w:highlight w:val="none"/>
              </w:rPr>
              <w:t>此处填写</w:t>
            </w: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lang w:val="en-US" w:eastAsia="zh-CN"/>
              </w:rPr>
              <w:t>文件的相关内容</w:t>
            </w:r>
            <w:r>
              <w:rPr>
                <w:rFonts w:hint="eastAsia" w:ascii="仿宋" w:hAnsi="仿宋" w:eastAsia="仿宋" w:cs="仿宋"/>
                <w:color w:val="auto"/>
                <w:sz w:val="21"/>
                <w:szCs w:val="21"/>
                <w:highlight w:val="none"/>
                <w:lang w:eastAsia="zh-CN"/>
              </w:rPr>
              <w:t>】</w:t>
            </w:r>
          </w:p>
        </w:tc>
        <w:tc>
          <w:tcPr>
            <w:tcW w:w="250" w:type="pct"/>
            <w:vAlign w:val="center"/>
          </w:tcPr>
          <w:p w14:paraId="57FC105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p>
        </w:tc>
      </w:tr>
      <w:tr w14:paraId="0F5B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50" w:type="pct"/>
            <w:vAlign w:val="center"/>
          </w:tcPr>
          <w:p w14:paraId="1D7E1BC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997" w:type="pct"/>
            <w:shd w:val="clear" w:color="auto" w:fill="auto"/>
            <w:vAlign w:val="center"/>
          </w:tcPr>
          <w:p w14:paraId="681D0458">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color w:val="auto"/>
                <w:sz w:val="21"/>
                <w:szCs w:val="21"/>
                <w:highlight w:val="none"/>
              </w:rPr>
              <w:t>投标有效期</w:t>
            </w:r>
            <w:r>
              <w:rPr>
                <w:rFonts w:hint="eastAsia" w:ascii="仿宋" w:hAnsi="仿宋" w:eastAsia="仿宋" w:cs="仿宋"/>
                <w:color w:val="auto"/>
                <w:sz w:val="21"/>
                <w:szCs w:val="21"/>
                <w:highlight w:val="none"/>
                <w:lang w:val="en-US" w:eastAsia="zh-CN"/>
              </w:rPr>
              <w:t>满足招标文件前附表要求</w:t>
            </w:r>
          </w:p>
        </w:tc>
        <w:tc>
          <w:tcPr>
            <w:tcW w:w="2359" w:type="pct"/>
            <w:shd w:val="clear" w:color="auto" w:fill="auto"/>
            <w:vAlign w:val="center"/>
          </w:tcPr>
          <w:p w14:paraId="31124AF2">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投标截止时间后 90 日历日。(投标有效期短于该期限的投标无效)。</w:t>
            </w:r>
          </w:p>
        </w:tc>
        <w:tc>
          <w:tcPr>
            <w:tcW w:w="841" w:type="pct"/>
            <w:vAlign w:val="center"/>
          </w:tcPr>
          <w:p w14:paraId="5AF8D3FF">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投标人在</w:t>
            </w:r>
            <w:r>
              <w:rPr>
                <w:rFonts w:hint="eastAsia" w:ascii="仿宋" w:hAnsi="仿宋" w:eastAsia="仿宋" w:cs="仿宋"/>
                <w:color w:val="auto"/>
                <w:sz w:val="21"/>
                <w:szCs w:val="21"/>
                <w:highlight w:val="none"/>
              </w:rPr>
              <w:t>此处填写</w:t>
            </w: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lang w:val="en-US" w:eastAsia="zh-CN"/>
              </w:rPr>
              <w:t>文件的相关内容</w:t>
            </w:r>
            <w:r>
              <w:rPr>
                <w:rFonts w:hint="eastAsia" w:ascii="仿宋" w:hAnsi="仿宋" w:eastAsia="仿宋" w:cs="仿宋"/>
                <w:color w:val="auto"/>
                <w:sz w:val="21"/>
                <w:szCs w:val="21"/>
                <w:highlight w:val="none"/>
                <w:lang w:eastAsia="zh-CN"/>
              </w:rPr>
              <w:t>】</w:t>
            </w:r>
          </w:p>
        </w:tc>
        <w:tc>
          <w:tcPr>
            <w:tcW w:w="250" w:type="pct"/>
            <w:vAlign w:val="center"/>
          </w:tcPr>
          <w:p w14:paraId="64D1712C">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r>
      <w:tr w14:paraId="142A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50" w:type="pct"/>
            <w:vAlign w:val="center"/>
          </w:tcPr>
          <w:p w14:paraId="06BDBFE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997" w:type="pct"/>
            <w:shd w:val="clear" w:color="auto" w:fill="auto"/>
            <w:vAlign w:val="center"/>
          </w:tcPr>
          <w:p w14:paraId="72007706">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履约保证金的缴纳满足招标文件前附表要求</w:t>
            </w:r>
          </w:p>
          <w:p w14:paraId="1E4BB258">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c>
          <w:tcPr>
            <w:tcW w:w="2359" w:type="pct"/>
            <w:shd w:val="clear" w:color="auto" w:fill="auto"/>
            <w:vAlign w:val="center"/>
          </w:tcPr>
          <w:p w14:paraId="606A55AC">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1.金额：</w:t>
            </w:r>
          </w:p>
          <w:p w14:paraId="2F09E830">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□免收</w:t>
            </w:r>
          </w:p>
          <w:p w14:paraId="2C07805D">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☑合同价的8%</w:t>
            </w:r>
          </w:p>
          <w:p w14:paraId="1AEC67BA">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□定额收取：人民币  元</w:t>
            </w:r>
          </w:p>
          <w:p w14:paraId="2236D3A2">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 2.支付方式：</w:t>
            </w:r>
          </w:p>
          <w:p w14:paraId="38978976">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中标供应商须在签订合同15日内按合同总金额8%向采购人缴纳履约保证金；保函有效期不得低于履约时间，履约完成后自动失效。</w:t>
            </w:r>
          </w:p>
          <w:p w14:paraId="7AD2F58B">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 3.收取单位：新疆理工职业大学                            </w:t>
            </w:r>
          </w:p>
          <w:p w14:paraId="0768E402">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 4.收取账号：/              </w:t>
            </w:r>
          </w:p>
          <w:p w14:paraId="793740FD">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 5.退还时间：履约完成后自动失效。              </w:t>
            </w:r>
          </w:p>
          <w:p w14:paraId="7F81A307">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注意事项：</w:t>
            </w:r>
          </w:p>
          <w:p w14:paraId="0DC5EA73">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  1.以上各类机构出具的以担保函、保证保险承担责任的方式均须满足无条件见索即付条件。</w:t>
            </w:r>
          </w:p>
          <w:p w14:paraId="55C3E0FF">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  2.以担保函、保证保险形式缴纳履约保证金的，受益人和收取单位须为采购人。</w:t>
            </w:r>
          </w:p>
        </w:tc>
        <w:tc>
          <w:tcPr>
            <w:tcW w:w="841" w:type="pct"/>
            <w:shd w:val="clear" w:color="auto" w:fill="auto"/>
            <w:vAlign w:val="center"/>
          </w:tcPr>
          <w:p w14:paraId="50F168E4">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投标人在</w:t>
            </w:r>
            <w:r>
              <w:rPr>
                <w:rFonts w:hint="eastAsia" w:ascii="仿宋" w:hAnsi="仿宋" w:eastAsia="仿宋" w:cs="仿宋"/>
                <w:color w:val="auto"/>
                <w:sz w:val="21"/>
                <w:szCs w:val="21"/>
                <w:highlight w:val="none"/>
              </w:rPr>
              <w:t>此处填写</w:t>
            </w: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lang w:val="en-US" w:eastAsia="zh-CN"/>
              </w:rPr>
              <w:t>文件的相关内容</w:t>
            </w:r>
            <w:r>
              <w:rPr>
                <w:rFonts w:hint="eastAsia" w:ascii="仿宋" w:hAnsi="仿宋" w:eastAsia="仿宋" w:cs="仿宋"/>
                <w:color w:val="auto"/>
                <w:sz w:val="21"/>
                <w:szCs w:val="21"/>
                <w:highlight w:val="none"/>
                <w:lang w:eastAsia="zh-CN"/>
              </w:rPr>
              <w:t>】</w:t>
            </w:r>
          </w:p>
        </w:tc>
        <w:tc>
          <w:tcPr>
            <w:tcW w:w="250" w:type="pct"/>
            <w:vAlign w:val="center"/>
          </w:tcPr>
          <w:p w14:paraId="0FB98165">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r>
      <w:tr w14:paraId="4237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50" w:type="pct"/>
            <w:vAlign w:val="center"/>
          </w:tcPr>
          <w:p w14:paraId="77A1B34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997" w:type="pct"/>
            <w:shd w:val="clear" w:color="auto" w:fill="auto"/>
            <w:vAlign w:val="center"/>
          </w:tcPr>
          <w:p w14:paraId="58F77117">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投标文件组成必备项是否提供完整</w:t>
            </w:r>
          </w:p>
        </w:tc>
        <w:tc>
          <w:tcPr>
            <w:tcW w:w="2359" w:type="pct"/>
            <w:shd w:val="clear" w:color="auto" w:fill="auto"/>
            <w:vAlign w:val="center"/>
          </w:tcPr>
          <w:p w14:paraId="40343146">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1.投标文件组成必备项 </w:t>
            </w:r>
          </w:p>
          <w:p w14:paraId="0F51873C">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1.1 资格响应文件 </w:t>
            </w:r>
          </w:p>
          <w:p w14:paraId="60C50887">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①法人、其他组织或者自然人的证明文件 </w:t>
            </w:r>
          </w:p>
          <w:p w14:paraId="520641CB">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②兵团政府采购供应商信用承诺函 </w:t>
            </w:r>
          </w:p>
          <w:p w14:paraId="7FC3337B">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③不参与围标串标承诺书 </w:t>
            </w:r>
          </w:p>
          <w:p w14:paraId="31F567E3">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1.2 商务技术文件 </w:t>
            </w:r>
          </w:p>
          <w:p w14:paraId="616843CE">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①投标函</w:t>
            </w:r>
          </w:p>
          <w:p w14:paraId="3A8DA2A6">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②法定代表人（单位负责人）身份证明 </w:t>
            </w:r>
          </w:p>
          <w:p w14:paraId="2EEA0E0D">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③授权委托书（如法人授权代理人投标须提供） </w:t>
            </w:r>
          </w:p>
          <w:p w14:paraId="4D21179E">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④政府采购投标人廉洁自律承诺书 </w:t>
            </w:r>
          </w:p>
          <w:p w14:paraId="055C2810">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⑤投标保证金缴纳凭证 </w:t>
            </w:r>
          </w:p>
          <w:p w14:paraId="7AFA11C5">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⑥实质性响应一览表 </w:t>
            </w:r>
          </w:p>
          <w:p w14:paraId="100ADCAF">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⑦商务响应偏离表</w:t>
            </w:r>
          </w:p>
          <w:p w14:paraId="1B4F80B1">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⑧技术响应偏离表 </w:t>
            </w:r>
          </w:p>
          <w:p w14:paraId="25238AC6">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1.3 报价响应文件 </w:t>
            </w:r>
          </w:p>
          <w:p w14:paraId="434431D7">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①开标一览表 </w:t>
            </w:r>
          </w:p>
          <w:p w14:paraId="3EDDC45B">
            <w:pPr>
              <w:pStyle w:val="4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②分项报价表</w:t>
            </w:r>
          </w:p>
        </w:tc>
        <w:tc>
          <w:tcPr>
            <w:tcW w:w="841" w:type="pct"/>
            <w:shd w:val="clear" w:color="auto" w:fill="auto"/>
            <w:vAlign w:val="center"/>
          </w:tcPr>
          <w:p w14:paraId="7B63256F">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投标人在</w:t>
            </w:r>
            <w:r>
              <w:rPr>
                <w:rFonts w:hint="eastAsia" w:ascii="仿宋" w:hAnsi="仿宋" w:eastAsia="仿宋" w:cs="仿宋"/>
                <w:color w:val="auto"/>
                <w:sz w:val="21"/>
                <w:szCs w:val="21"/>
                <w:highlight w:val="none"/>
              </w:rPr>
              <w:t>此处填写</w:t>
            </w: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lang w:val="en-US" w:eastAsia="zh-CN"/>
              </w:rPr>
              <w:t>文件的相关内容</w:t>
            </w:r>
            <w:r>
              <w:rPr>
                <w:rFonts w:hint="eastAsia" w:ascii="仿宋" w:hAnsi="仿宋" w:eastAsia="仿宋" w:cs="仿宋"/>
                <w:color w:val="auto"/>
                <w:sz w:val="21"/>
                <w:szCs w:val="21"/>
                <w:highlight w:val="none"/>
                <w:lang w:eastAsia="zh-CN"/>
              </w:rPr>
              <w:t>】</w:t>
            </w:r>
          </w:p>
        </w:tc>
        <w:tc>
          <w:tcPr>
            <w:tcW w:w="250" w:type="pct"/>
            <w:vAlign w:val="center"/>
          </w:tcPr>
          <w:p w14:paraId="16B20482">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r>
      <w:tr w14:paraId="3C83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50" w:type="pct"/>
            <w:vAlign w:val="center"/>
          </w:tcPr>
          <w:p w14:paraId="51F7028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997" w:type="pct"/>
            <w:shd w:val="clear" w:color="auto" w:fill="auto"/>
            <w:vAlign w:val="center"/>
          </w:tcPr>
          <w:p w14:paraId="1E3508E1">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项目采购需求中标注★ 的条款</w:t>
            </w:r>
          </w:p>
        </w:tc>
        <w:tc>
          <w:tcPr>
            <w:tcW w:w="2359" w:type="pct"/>
            <w:shd w:val="clear" w:color="auto" w:fill="auto"/>
            <w:vAlign w:val="center"/>
          </w:tcPr>
          <w:p w14:paraId="2611C2AA">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★1.交货期：合同签订生效后45日历日内完成所有供货并安装调试完毕，并试运行达到正常运行。</w:t>
            </w:r>
          </w:p>
          <w:p w14:paraId="74EB01B8">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★2.交货地点：新疆理工职业大学内采购人指定地点。</w:t>
            </w:r>
          </w:p>
          <w:p w14:paraId="49FFEBC9">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付款方式：合同签订后支付合同总价的30%预付款，供应商需提供金融机构出具的等额预付款保函，财务见保函后10个工作日内予以支付；货物全部到校开箱验收后，支付合同总价的50%进度款，经验收合格后，由乙方向甲方提供合同总金额全额的增值税专用发票，甲方见票10个工作日内支付20%尾款至合同约定账户。 </w:t>
            </w:r>
          </w:p>
          <w:p w14:paraId="35FB478D">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4.质保期：</w:t>
            </w:r>
          </w:p>
          <w:p w14:paraId="04B3AD9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安装及培训：供应商需对用户的场地及人员等进行规划提出可行性方案。验收完成后在安装调试时要进行操作培训。由专业工程师现场提供系统地使用培训服务，直至采购人相关人员熟练掌握为止，所有培训费由中标人承担。</w:t>
            </w:r>
          </w:p>
          <w:p w14:paraId="47DB49DF">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中标人必须提供具有合法销售途径及完善售后服务的原装正品、全新、符合有关质量标准的产品。设备到货安装前，采购人依据招标文件要求及投标文件承诺对产品逐条进行核验，验收不合格的，采购人有权终止合同并全部退货，同时报相关监督管理部门处理，由此造成采购人经济损失的由中标供应商负责承担全部赔偿责任。</w:t>
            </w:r>
          </w:p>
          <w:p w14:paraId="1195E189">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★4.验收标准：</w:t>
            </w:r>
          </w:p>
          <w:p w14:paraId="4892B19A">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1）设备安装、调试完成后，由采购人组织验收，验收合格后，采购人及中标人双方共同签署验收文件。</w:t>
            </w:r>
          </w:p>
          <w:p w14:paraId="57F1AFDD">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2）设备到货：设备到货前应将设备安装环境要求书面通知用户，并与用户协商足够准备时间。到货时需按用户要求将设备在双方商定的时间运到指定的安装位置，并由设备安装工程师当场进行开箱检查。</w:t>
            </w:r>
          </w:p>
          <w:p w14:paraId="6F6BDCE5">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设备安装调试：设备经开箱检查确认一切正常后，由设备安装工程师执行安装调试直至达到验收指标（以技术规格要求指标为验收指标）。由用户单位进行使用性能方面的验收。设备的性能应符合投标人应答文件中承诺的技术指标，所有指标验收必须由用户确认。</w:t>
            </w:r>
          </w:p>
        </w:tc>
        <w:tc>
          <w:tcPr>
            <w:tcW w:w="841" w:type="pct"/>
            <w:shd w:val="clear" w:color="auto" w:fill="auto"/>
            <w:vAlign w:val="center"/>
          </w:tcPr>
          <w:p w14:paraId="465D02D9">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投标人在</w:t>
            </w:r>
            <w:r>
              <w:rPr>
                <w:rFonts w:hint="eastAsia" w:ascii="仿宋" w:hAnsi="仿宋" w:eastAsia="仿宋" w:cs="仿宋"/>
                <w:color w:val="auto"/>
                <w:sz w:val="21"/>
                <w:szCs w:val="21"/>
                <w:highlight w:val="none"/>
              </w:rPr>
              <w:t>此处填写</w:t>
            </w: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lang w:val="en-US" w:eastAsia="zh-CN"/>
              </w:rPr>
              <w:t>文件的相关内容</w:t>
            </w:r>
            <w:r>
              <w:rPr>
                <w:rFonts w:hint="eastAsia" w:ascii="仿宋" w:hAnsi="仿宋" w:eastAsia="仿宋" w:cs="仿宋"/>
                <w:color w:val="auto"/>
                <w:sz w:val="21"/>
                <w:szCs w:val="21"/>
                <w:highlight w:val="none"/>
                <w:lang w:eastAsia="zh-CN"/>
              </w:rPr>
              <w:t>】</w:t>
            </w:r>
          </w:p>
        </w:tc>
        <w:tc>
          <w:tcPr>
            <w:tcW w:w="250" w:type="pct"/>
            <w:vAlign w:val="center"/>
          </w:tcPr>
          <w:p w14:paraId="4C35BD16">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r>
    </w:tbl>
    <w:p w14:paraId="2B37D526">
      <w:pPr>
        <w:rPr>
          <w:rFonts w:hint="eastAsia" w:ascii="仿宋" w:hAnsi="仿宋" w:eastAsia="仿宋" w:cs="仿宋"/>
          <w:b/>
          <w:bCs/>
          <w:color w:val="auto"/>
          <w:highlight w:val="none"/>
          <w:lang w:val="en-US" w:eastAsia="zh-CN"/>
        </w:rPr>
      </w:pPr>
    </w:p>
    <w:p w14:paraId="184A5302">
      <w:pPr>
        <w:rPr>
          <w:rFonts w:hint="eastAsia" w:ascii="仿宋" w:hAnsi="仿宋" w:eastAsia="仿宋" w:cs="仿宋"/>
          <w:b/>
          <w:bCs/>
          <w:color w:val="auto"/>
          <w:kern w:val="2"/>
          <w:sz w:val="24"/>
          <w:szCs w:val="24"/>
          <w:highlight w:val="none"/>
          <w:lang w:val="zh-CN" w:eastAsia="zh-CN" w:bidi="ar-SA"/>
        </w:rPr>
      </w:pPr>
      <w:bookmarkStart w:id="351" w:name="_Toc155185917"/>
      <w:bookmarkStart w:id="352" w:name="_Toc163492910"/>
      <w:r>
        <w:rPr>
          <w:rFonts w:hint="eastAsia" w:ascii="仿宋" w:hAnsi="仿宋" w:eastAsia="仿宋" w:cs="仿宋"/>
          <w:b/>
          <w:bCs/>
          <w:color w:val="auto"/>
          <w:kern w:val="2"/>
          <w:sz w:val="24"/>
          <w:szCs w:val="24"/>
          <w:highlight w:val="none"/>
          <w:lang w:val="zh-CN" w:eastAsia="zh-CN" w:bidi="ar-SA"/>
        </w:rPr>
        <w:br w:type="page"/>
      </w:r>
    </w:p>
    <w:p w14:paraId="3FE0903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zh-CN" w:eastAsia="zh-CN" w:bidi="ar-SA"/>
        </w:rPr>
        <w:t>（二）评分标准</w:t>
      </w:r>
      <w:bookmarkEnd w:id="351"/>
      <w:bookmarkEnd w:id="352"/>
    </w:p>
    <w:tbl>
      <w:tblPr>
        <w:tblStyle w:val="29"/>
        <w:tblW w:w="50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051"/>
        <w:gridCol w:w="616"/>
        <w:gridCol w:w="6208"/>
      </w:tblGrid>
      <w:tr w14:paraId="4EBB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12" w:type="pct"/>
            <w:shd w:val="clear" w:color="auto" w:fill="D8D8D8"/>
            <w:vAlign w:val="center"/>
          </w:tcPr>
          <w:p w14:paraId="1CD7CEE8">
            <w:pPr>
              <w:pStyle w:val="49"/>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评标项目</w:t>
            </w:r>
          </w:p>
        </w:tc>
        <w:tc>
          <w:tcPr>
            <w:tcW w:w="612" w:type="pct"/>
            <w:shd w:val="clear" w:color="auto" w:fill="D8D8D8"/>
            <w:vAlign w:val="center"/>
          </w:tcPr>
          <w:p w14:paraId="648EEBDF">
            <w:pPr>
              <w:pStyle w:val="49"/>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评标分项</w:t>
            </w:r>
          </w:p>
        </w:tc>
        <w:tc>
          <w:tcPr>
            <w:tcW w:w="359" w:type="pct"/>
            <w:shd w:val="clear" w:color="auto" w:fill="D8D8D8"/>
            <w:vAlign w:val="center"/>
          </w:tcPr>
          <w:p w14:paraId="344245D5">
            <w:pPr>
              <w:pStyle w:val="49"/>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分值</w:t>
            </w:r>
          </w:p>
        </w:tc>
        <w:tc>
          <w:tcPr>
            <w:tcW w:w="3615" w:type="pct"/>
            <w:shd w:val="clear" w:color="auto" w:fill="D8D8D8"/>
            <w:vAlign w:val="center"/>
          </w:tcPr>
          <w:p w14:paraId="2C734ACE">
            <w:pPr>
              <w:pStyle w:val="49"/>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子项目及分值</w:t>
            </w:r>
          </w:p>
        </w:tc>
      </w:tr>
      <w:tr w14:paraId="4D26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412" w:type="pct"/>
            <w:vAlign w:val="center"/>
          </w:tcPr>
          <w:p w14:paraId="74908DA5">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价格 </w:t>
            </w:r>
          </w:p>
          <w:p w14:paraId="54A2537E">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部分 </w:t>
            </w:r>
          </w:p>
          <w:p w14:paraId="6EFF690E">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（35 </w:t>
            </w:r>
          </w:p>
          <w:p w14:paraId="1E244C1D">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分）</w:t>
            </w:r>
          </w:p>
        </w:tc>
        <w:tc>
          <w:tcPr>
            <w:tcW w:w="612" w:type="pct"/>
            <w:tcBorders>
              <w:bottom w:val="single" w:color="auto" w:sz="4" w:space="0"/>
            </w:tcBorders>
            <w:vAlign w:val="center"/>
          </w:tcPr>
          <w:p w14:paraId="7DD337B6">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w:t>
            </w:r>
          </w:p>
        </w:tc>
        <w:tc>
          <w:tcPr>
            <w:tcW w:w="359" w:type="pct"/>
            <w:vAlign w:val="center"/>
          </w:tcPr>
          <w:p w14:paraId="599A5BCF">
            <w:pPr>
              <w:pStyle w:val="49"/>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35分</w:t>
            </w:r>
          </w:p>
        </w:tc>
        <w:tc>
          <w:tcPr>
            <w:tcW w:w="3615" w:type="pct"/>
            <w:vAlign w:val="center"/>
          </w:tcPr>
          <w:p w14:paraId="161F43BB">
            <w:pPr>
              <w:pStyle w:val="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1. 基础评分规则：满足招标文件要求且投标价格最低的投标报价为评标基准价，其价格分为满分。其他投标人得分 =（评标基准价／投标报价）×35 分； </w:t>
            </w:r>
          </w:p>
          <w:p w14:paraId="3B44F7AE">
            <w:pPr>
              <w:pStyle w:val="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备注 1：符合“投标人须知前附表”价格扣除规定的，扣除后价格参与评审； </w:t>
            </w:r>
          </w:p>
          <w:p w14:paraId="1CC081DB">
            <w:pPr>
              <w:pStyle w:val="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备注 2：“恶意低价中标”指报价明显低于成本，且无法通过审查证明合理性的情形，一经认定，取消投标资格。 </w:t>
            </w:r>
          </w:p>
          <w:p w14:paraId="713B9879">
            <w:pPr>
              <w:pStyle w:val="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2. 异常低价审查规则（依据《关于推动解决政府采购异常低价问题的通知》财库〔2026〕2 号）： </w:t>
            </w:r>
          </w:p>
          <w:p w14:paraId="1197B454">
            <w:pPr>
              <w:pStyle w:val="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①启动审查情形（满足任一即启动）： </w:t>
            </w:r>
          </w:p>
          <w:p w14:paraId="150B88DA">
            <w:pPr>
              <w:pStyle w:val="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报价＜全部通过符合性审查供应商报价平均值×50%； </w:t>
            </w:r>
          </w:p>
          <w:p w14:paraId="79CFEA4D">
            <w:pPr>
              <w:pStyle w:val="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报价＜通过符合性审查的次低报价 ×50%； </w:t>
            </w:r>
          </w:p>
          <w:p w14:paraId="457E31F7">
            <w:pPr>
              <w:pStyle w:val="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报价＜本项目最高限价×45%； </w:t>
            </w:r>
          </w:p>
          <w:p w14:paraId="4BDD9595">
            <w:pPr>
              <w:pStyle w:val="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评审委员会基于专业判断，认为报价过低可能影响产品质量或诚信履约的； </w:t>
            </w:r>
          </w:p>
          <w:p w14:paraId="16B6623F">
            <w:pPr>
              <w:pStyle w:val="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②审查流程：评审委员会启动审查后，通知相关供应商在30分钟内提交“成本测算说明（含原材料、人工、制造/运输费用等）+ 证明材料（如同类产品市场报价、成本清单等）”；专家参考“同类项目中标价、主要电商平台价格、行业平均成本”判断报价合理性； </w:t>
            </w:r>
          </w:p>
          <w:p w14:paraId="36441352">
            <w:pPr>
              <w:pStyle w:val="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③结果处理：供应商未提供说明/材料，或材料无法证明报价合理性的，按“无效投标”处理；审查过程（启动原因、专家意见、供应商材料）需随评审报告归档，互联网查询记录需留存</w:t>
            </w:r>
            <w:r>
              <w:rPr>
                <w:rFonts w:hint="eastAsia" w:ascii="仿宋" w:hAnsi="仿宋" w:eastAsia="仿宋" w:cs="仿宋"/>
                <w:color w:val="auto"/>
                <w:sz w:val="21"/>
                <w:szCs w:val="21"/>
                <w:highlight w:val="none"/>
              </w:rPr>
              <w:t>。</w:t>
            </w:r>
          </w:p>
        </w:tc>
      </w:tr>
      <w:tr w14:paraId="7B42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2" w:type="pct"/>
            <w:vMerge w:val="restart"/>
            <w:vAlign w:val="center"/>
          </w:tcPr>
          <w:p w14:paraId="240471A3">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商务部分</w:t>
            </w:r>
          </w:p>
          <w:p w14:paraId="10E17AF5">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分）</w:t>
            </w:r>
          </w:p>
        </w:tc>
        <w:tc>
          <w:tcPr>
            <w:tcW w:w="612" w:type="pct"/>
            <w:tcBorders>
              <w:top w:val="single" w:color="auto" w:sz="4" w:space="0"/>
            </w:tcBorders>
            <w:vAlign w:val="center"/>
          </w:tcPr>
          <w:p w14:paraId="1BFC2016">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项目经验</w:t>
            </w:r>
          </w:p>
        </w:tc>
        <w:tc>
          <w:tcPr>
            <w:tcW w:w="359" w:type="pct"/>
            <w:vAlign w:val="center"/>
          </w:tcPr>
          <w:p w14:paraId="43B4943F">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1.5分</w:t>
            </w:r>
          </w:p>
        </w:tc>
        <w:tc>
          <w:tcPr>
            <w:tcW w:w="3615" w:type="pct"/>
            <w:vAlign w:val="center"/>
          </w:tcPr>
          <w:p w14:paraId="79B96722">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本项评审要求提供供应商近三年（自2023年1月1日至今）类似项目业绩。每提供一项有效业绩得0.25分，最高得1.5分。 </w:t>
            </w:r>
          </w:p>
          <w:p w14:paraId="034F6CBA">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类似项目指“职业院校或高校、科研院所等机构实验、实训等设备”，有效业绩须提供业绩证明资料（合同清晰扫描件），证明资料应能清晰地反映货物标的名称、型号、金额、日期、签字盖章等信息。证明材料不完整或不符合要求或未提供的，不计分。</w:t>
            </w:r>
          </w:p>
        </w:tc>
      </w:tr>
      <w:tr w14:paraId="1656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412" w:type="pct"/>
            <w:vMerge w:val="continue"/>
            <w:vAlign w:val="center"/>
          </w:tcPr>
          <w:p w14:paraId="30B74A9D">
            <w:pPr>
              <w:rPr>
                <w:highlight w:val="none"/>
              </w:rPr>
            </w:pPr>
          </w:p>
        </w:tc>
        <w:tc>
          <w:tcPr>
            <w:tcW w:w="612" w:type="pct"/>
            <w:tcBorders>
              <w:top w:val="single" w:color="auto" w:sz="4" w:space="0"/>
            </w:tcBorders>
            <w:vAlign w:val="center"/>
          </w:tcPr>
          <w:p w14:paraId="4DEADDF5">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非强制节能、环境标志产品政策功能评分</w:t>
            </w:r>
          </w:p>
        </w:tc>
        <w:tc>
          <w:tcPr>
            <w:tcW w:w="359" w:type="pct"/>
            <w:vAlign w:val="center"/>
          </w:tcPr>
          <w:p w14:paraId="6AB106DC">
            <w:pPr>
              <w:pStyle w:val="49"/>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1分</w:t>
            </w:r>
          </w:p>
        </w:tc>
        <w:tc>
          <w:tcPr>
            <w:tcW w:w="3615" w:type="pct"/>
            <w:vAlign w:val="center"/>
          </w:tcPr>
          <w:p w14:paraId="2B49FFCC">
            <w:pPr>
              <w:pStyle w:val="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供应商所投开标一览表所列货物如属于政府优先采购产品类别，提供《市场监管总局关于发布参与实施政府采购环境标志产品认证机构名录的公告》（2019年第16号）中认证机构出具的、处于有效期之内的认证证书复印件并加盖公章，每项加0.5分，最高得1分。如果投标产品既属于政府优先采购节能产品，又属于环境标志产品，同时获得两个认证证书的，可累计加分。</w:t>
            </w:r>
          </w:p>
          <w:p w14:paraId="29071DBC">
            <w:pPr>
              <w:pStyle w:val="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注：供应商须按照招标文件格式要求在《环境标志产品明细清单》 </w:t>
            </w:r>
          </w:p>
          <w:p w14:paraId="25D3DA50">
            <w:pPr>
              <w:pStyle w:val="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《节能产品明细清单》中列明并附证书，否则，不予加分。 </w:t>
            </w:r>
          </w:p>
          <w:p w14:paraId="361B8FB0">
            <w:pPr>
              <w:pStyle w:val="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注：若环境标志清单内的产品仅是构成投标产品的部件、组件或零件的，则该投标产品不予加分。</w:t>
            </w:r>
          </w:p>
        </w:tc>
      </w:tr>
      <w:tr w14:paraId="43F0B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412" w:type="pct"/>
            <w:vMerge w:val="continue"/>
            <w:vAlign w:val="center"/>
          </w:tcPr>
          <w:p w14:paraId="2233BBC3">
            <w:pPr>
              <w:rPr>
                <w:highlight w:val="none"/>
              </w:rPr>
            </w:pPr>
          </w:p>
        </w:tc>
        <w:tc>
          <w:tcPr>
            <w:tcW w:w="612" w:type="pct"/>
            <w:tcBorders>
              <w:top w:val="single" w:color="auto" w:sz="4" w:space="0"/>
            </w:tcBorders>
            <w:vAlign w:val="center"/>
          </w:tcPr>
          <w:p w14:paraId="5C3CDB22">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质保期及维护年限</w:t>
            </w:r>
          </w:p>
        </w:tc>
        <w:tc>
          <w:tcPr>
            <w:tcW w:w="359" w:type="pct"/>
            <w:vAlign w:val="center"/>
          </w:tcPr>
          <w:p w14:paraId="610813F6">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1分</w:t>
            </w:r>
          </w:p>
        </w:tc>
        <w:tc>
          <w:tcPr>
            <w:tcW w:w="3615" w:type="pct"/>
            <w:vAlign w:val="center"/>
          </w:tcPr>
          <w:p w14:paraId="7AA538B2">
            <w:pPr>
              <w:pStyle w:val="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根据投标文件提供的质保期年限进行评审。 </w:t>
            </w:r>
          </w:p>
          <w:p w14:paraId="08D2CD1B">
            <w:pPr>
              <w:pStyle w:val="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在满足招标文件规定的质保期年限基础上每延长1年得0.5 分，满分1分。</w:t>
            </w:r>
          </w:p>
        </w:tc>
      </w:tr>
      <w:tr w14:paraId="6D66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12" w:type="pct"/>
            <w:vMerge w:val="continue"/>
            <w:vAlign w:val="center"/>
          </w:tcPr>
          <w:p w14:paraId="424B09B6">
            <w:pPr>
              <w:rPr>
                <w:highlight w:val="none"/>
              </w:rPr>
            </w:pPr>
          </w:p>
        </w:tc>
        <w:tc>
          <w:tcPr>
            <w:tcW w:w="612" w:type="pct"/>
            <w:tcBorders>
              <w:top w:val="single" w:color="auto" w:sz="4" w:space="0"/>
            </w:tcBorders>
            <w:vAlign w:val="center"/>
          </w:tcPr>
          <w:p w14:paraId="647DE4CA">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售后服务与技术支持</w:t>
            </w:r>
          </w:p>
        </w:tc>
        <w:tc>
          <w:tcPr>
            <w:tcW w:w="359" w:type="pct"/>
            <w:vAlign w:val="center"/>
          </w:tcPr>
          <w:p w14:paraId="3F94470B">
            <w:pPr>
              <w:pStyle w:val="49"/>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2.5分</w:t>
            </w:r>
          </w:p>
        </w:tc>
        <w:tc>
          <w:tcPr>
            <w:tcW w:w="3615" w:type="pct"/>
            <w:vAlign w:val="center"/>
          </w:tcPr>
          <w:p w14:paraId="7DD01B24">
            <w:pPr>
              <w:pStyle w:val="4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1.故障响应（0.5分）：</w:t>
            </w:r>
            <w:r>
              <w:rPr>
                <w:rFonts w:hint="eastAsia" w:ascii="仿宋" w:hAnsi="仿宋" w:eastAsia="仿宋" w:cs="仿宋"/>
                <w:snapToGrid w:val="0"/>
                <w:color w:val="auto"/>
                <w:sz w:val="24"/>
                <w:szCs w:val="24"/>
                <w:highlight w:val="none"/>
                <w:lang w:val="en-US" w:eastAsia="zh-CN"/>
              </w:rPr>
              <w:t>应在24小时内对用户的服务要求做出响应，一般问题在48小时内解决，重大问题或其他无法立刻解决的问题应在一周内解决或提出明确的解决方案，否则卖方应赔偿相应的损失</w:t>
            </w:r>
            <w:r>
              <w:rPr>
                <w:rFonts w:hint="eastAsia" w:ascii="仿宋" w:hAnsi="仿宋" w:eastAsia="仿宋" w:cs="仿宋"/>
                <w:color w:val="auto"/>
                <w:sz w:val="21"/>
                <w:szCs w:val="21"/>
                <w:highlight w:val="none"/>
                <w:lang w:val="en-US" w:eastAsia="zh-CN"/>
              </w:rPr>
              <w:t xml:space="preserve">； </w:t>
            </w:r>
          </w:p>
          <w:p w14:paraId="1E577C90">
            <w:pPr>
              <w:pStyle w:val="4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 xml:space="preserve">2.全员培训（1分）：培训所有使用教师并出具合格证书，提供培训计划、证书样本（以上所产生的费用包含在此次报价中）； </w:t>
            </w:r>
          </w:p>
          <w:p w14:paraId="0F505FD8">
            <w:pPr>
              <w:pStyle w:val="4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 xml:space="preserve">3.质保期外维保方案（1分）：为本项目提供详细的质保期外维保方案（包含但不限于维保服务具体内容、维保服务人员信息及服务电话、服务响应时间和故障处理措施、备品备件保证） </w:t>
            </w:r>
          </w:p>
          <w:p w14:paraId="3964293D">
            <w:pPr>
              <w:pStyle w:val="4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 xml:space="preserve">注： </w:t>
            </w:r>
          </w:p>
          <w:p w14:paraId="7BC02218">
            <w:pPr>
              <w:pStyle w:val="4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 xml:space="preserve">①方案包含上述四项内容，且内容阐述完整详实，符合项目实际，条理逻辑清晰，可操作性强，得1分。 </w:t>
            </w:r>
          </w:p>
          <w:p w14:paraId="664F5A5B">
            <w:pPr>
              <w:pStyle w:val="4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 xml:space="preserve">②方案中每缺少上述一项内容扣0.25分，最多扣1分； </w:t>
            </w:r>
          </w:p>
          <w:p w14:paraId="61B84CF8">
            <w:pPr>
              <w:pStyle w:val="4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③未提供方案或方案明显与本项目不符的，得0分。</w:t>
            </w:r>
          </w:p>
        </w:tc>
      </w:tr>
      <w:tr w14:paraId="67BF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412" w:type="pct"/>
            <w:vMerge w:val="restart"/>
            <w:vAlign w:val="center"/>
          </w:tcPr>
          <w:p w14:paraId="4FD6FBD8">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技术部分</w:t>
            </w:r>
          </w:p>
          <w:p w14:paraId="737959E8">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59</w:t>
            </w:r>
            <w:r>
              <w:rPr>
                <w:rFonts w:hint="eastAsia" w:ascii="仿宋" w:hAnsi="仿宋" w:eastAsia="仿宋" w:cs="仿宋"/>
                <w:color w:val="auto"/>
                <w:sz w:val="21"/>
                <w:szCs w:val="21"/>
                <w:highlight w:val="none"/>
              </w:rPr>
              <w:t>分）</w:t>
            </w:r>
          </w:p>
        </w:tc>
        <w:tc>
          <w:tcPr>
            <w:tcW w:w="612" w:type="pct"/>
            <w:tcBorders>
              <w:top w:val="single" w:color="auto" w:sz="4" w:space="0"/>
            </w:tcBorders>
            <w:vAlign w:val="center"/>
          </w:tcPr>
          <w:p w14:paraId="21350C9D">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技术指标响应</w:t>
            </w:r>
          </w:p>
        </w:tc>
        <w:tc>
          <w:tcPr>
            <w:tcW w:w="359" w:type="pct"/>
            <w:vAlign w:val="center"/>
          </w:tcPr>
          <w:p w14:paraId="690025CF">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52分</w:t>
            </w:r>
          </w:p>
        </w:tc>
        <w:tc>
          <w:tcPr>
            <w:tcW w:w="3615" w:type="pct"/>
            <w:vAlign w:val="center"/>
          </w:tcPr>
          <w:p w14:paraId="30B8F543">
            <w:pPr>
              <w:pStyle w:val="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供应商须在《技术响应偏离表》中对第三章《采购需求》中的“三、技术要求”载明的所有条款逐条说明响应内容及是否存在偏离等情况： </w:t>
            </w:r>
          </w:p>
          <w:p w14:paraId="3D4D9C1C">
            <w:pPr>
              <w:pStyle w:val="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1.对采购需求“技术要求”所有条款（含标注▲号/未标注条款） </w:t>
            </w:r>
          </w:p>
          <w:p w14:paraId="3DC7D580">
            <w:pPr>
              <w:pStyle w:val="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逐条响应，无任何负偏离，全部满足上述条款的，得52分； </w:t>
            </w:r>
          </w:p>
          <w:p w14:paraId="4444B048">
            <w:pPr>
              <w:pStyle w:val="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2.有核心参数（含▲号条款）情形： </w:t>
            </w:r>
          </w:p>
          <w:p w14:paraId="472A46AE">
            <w:pPr>
              <w:pStyle w:val="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①标注▲号的重要技术条款：每出现1条负偏离，扣0.46分，累计扣分不超过52分（扣完本项为止）； </w:t>
            </w:r>
          </w:p>
          <w:p w14:paraId="289DC128">
            <w:pPr>
              <w:pStyle w:val="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②未标注▲号的普通技术条款：每出现1条负偏离，扣0.23分，累计扣分不超过52分（扣完本项为止）。 </w:t>
            </w:r>
          </w:p>
          <w:p w14:paraId="7DB52857">
            <w:pPr>
              <w:pStyle w:val="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注： </w:t>
            </w:r>
          </w:p>
          <w:p w14:paraId="00FCD47F">
            <w:pPr>
              <w:pStyle w:val="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①供应商针对各项技术参数应在《技术响应偏离表》中如实填写响应内容，标注投标产品实际参数数值，照搬照抄采购文件参数、不注明实际数值者视为未响应。 </w:t>
            </w:r>
          </w:p>
          <w:p w14:paraId="461EA0B2">
            <w:pPr>
              <w:pStyle w:val="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②对采购需求“技术要求”中所列条款，供应商须提供证明材料 </w:t>
            </w:r>
          </w:p>
          <w:p w14:paraId="79A824AF">
            <w:pPr>
              <w:pStyle w:val="4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证明材料应提供产品检测报告或产品彩页或产品功能截图或网页截图），并在技术响应偏离表中备注此项证明资料在《投标文件》的页码索引，同时在技术支持资料中做出明确标识。未按招标文件要求提供相关证明资料的或所提供证明资料与其响应内容不符的或未按要求注明具体页码及条目号的，均视为负偏离。</w:t>
            </w:r>
          </w:p>
        </w:tc>
      </w:tr>
      <w:tr w14:paraId="0D58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412" w:type="pct"/>
            <w:vMerge w:val="continue"/>
            <w:vAlign w:val="center"/>
          </w:tcPr>
          <w:p w14:paraId="5C025807">
            <w:pPr>
              <w:pStyle w:val="49"/>
              <w:jc w:val="center"/>
              <w:rPr>
                <w:rFonts w:hint="eastAsia" w:ascii="仿宋" w:hAnsi="仿宋" w:eastAsia="仿宋" w:cs="仿宋"/>
                <w:color w:val="auto"/>
                <w:sz w:val="21"/>
                <w:szCs w:val="21"/>
                <w:highlight w:val="none"/>
              </w:rPr>
            </w:pPr>
          </w:p>
        </w:tc>
        <w:tc>
          <w:tcPr>
            <w:tcW w:w="612" w:type="pct"/>
            <w:tcBorders>
              <w:top w:val="single" w:color="auto" w:sz="4" w:space="0"/>
            </w:tcBorders>
            <w:vAlign w:val="center"/>
          </w:tcPr>
          <w:p w14:paraId="0422157B">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实训教学兼容性</w:t>
            </w:r>
          </w:p>
        </w:tc>
        <w:tc>
          <w:tcPr>
            <w:tcW w:w="359" w:type="pct"/>
            <w:vAlign w:val="center"/>
          </w:tcPr>
          <w:p w14:paraId="0E5DDE5B">
            <w:pPr>
              <w:pStyle w:val="49"/>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3615" w:type="pct"/>
            <w:vAlign w:val="center"/>
          </w:tcPr>
          <w:p w14:paraId="386F5462">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1.核心课程适配覆盖度（1分）： </w:t>
            </w:r>
          </w:p>
          <w:p w14:paraId="6F712CFD">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需同时满足以下要求： </w:t>
            </w:r>
          </w:p>
          <w:p w14:paraId="322F86DB">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①投标设备适配院校至少2门核心专业课程，每门课程需对应设备3个及以上专属实训模块（需列明模块名称）； </w:t>
            </w:r>
          </w:p>
          <w:p w14:paraId="20203964">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②提供《设备－课程－实训模块对应表》，清晰标注三者关联关系。全部满足得1分；缺1项（如核心课程不足2门、实训模块每门不足3个）则不得分。 </w:t>
            </w:r>
          </w:p>
          <w:p w14:paraId="33097974">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2.教学资源配套完整性（1分）： </w:t>
            </w:r>
          </w:p>
          <w:p w14:paraId="5F6EB0C3">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提供与设备实训模块配套的可直接用于教学的资源样本，满足以下任意3项及以上： </w:t>
            </w:r>
          </w:p>
          <w:p w14:paraId="0A55F9EC">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①实训指导手册（含实训目的、步骤、考核标准）； </w:t>
            </w:r>
          </w:p>
          <w:p w14:paraId="5EC5E2E6">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②教学课件（PPT格式，体现设备操作与知识点结合）； </w:t>
            </w:r>
          </w:p>
          <w:p w14:paraId="6D96016A">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③虚拟仿真配套资源（如有，需提供操作截图）； </w:t>
            </w:r>
          </w:p>
          <w:p w14:paraId="557A41F5">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④实训考核题库（含客观题、操作题，不少于20道）； </w:t>
            </w:r>
          </w:p>
          <w:p w14:paraId="1757089D">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⑤教师用教学参考书（标注设备与课程教学的衔接要点）。 </w:t>
            </w:r>
          </w:p>
          <w:p w14:paraId="0F87F876">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满足3项及以上得1分；不足3项不得分。 </w:t>
            </w:r>
          </w:p>
          <w:p w14:paraId="656810D1">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3.教学实践佐证有效性（1分）： </w:t>
            </w:r>
          </w:p>
          <w:p w14:paraId="4C7C265F">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提供以下任意1项有效佐证材料，即可得分： </w:t>
            </w:r>
          </w:p>
          <w:p w14:paraId="4E36E9C1">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①同类职业高校使用该设备开展对应课程实训的证明（需含院校名称、课程名称、实训时长、联系人及电话）； </w:t>
            </w:r>
          </w:p>
          <w:p w14:paraId="7A978EDD">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②与教材出版社签订的“实训设备－教材配套合作协议”； </w:t>
            </w:r>
          </w:p>
          <w:p w14:paraId="0F8DA757">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③供应商出具的针对该专业课程的实训教学适配方案。 </w:t>
            </w:r>
          </w:p>
          <w:p w14:paraId="135B7165">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提供有效材料得1分；材料无效（如无公章、信息模糊）或未提供不得分。</w:t>
            </w:r>
          </w:p>
        </w:tc>
      </w:tr>
      <w:tr w14:paraId="06FD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12" w:type="pct"/>
            <w:vMerge w:val="continue"/>
            <w:vAlign w:val="center"/>
          </w:tcPr>
          <w:p w14:paraId="68495600">
            <w:pPr>
              <w:rPr>
                <w:highlight w:val="none"/>
              </w:rPr>
            </w:pPr>
          </w:p>
        </w:tc>
        <w:tc>
          <w:tcPr>
            <w:tcW w:w="612" w:type="pct"/>
            <w:vAlign w:val="center"/>
          </w:tcPr>
          <w:p w14:paraId="2383A33D">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资产管理</w:t>
            </w:r>
          </w:p>
        </w:tc>
        <w:tc>
          <w:tcPr>
            <w:tcW w:w="359" w:type="pct"/>
            <w:vAlign w:val="center"/>
          </w:tcPr>
          <w:p w14:paraId="2F3736B1">
            <w:pPr>
              <w:pStyle w:val="49"/>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2分 </w:t>
            </w:r>
          </w:p>
        </w:tc>
        <w:tc>
          <w:tcPr>
            <w:tcW w:w="3615" w:type="pct"/>
            <w:vAlign w:val="center"/>
          </w:tcPr>
          <w:p w14:paraId="1BF1D32A">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1.资产建档服务（1分）： </w:t>
            </w:r>
          </w:p>
          <w:p w14:paraId="023DA533">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①材料齐全（0.4 分）：提供《资产管理服务方案》《工作流程图》，缺1类扣0.2分； </w:t>
            </w:r>
          </w:p>
          <w:p w14:paraId="3794814F">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②覆盖+时效（0.6 分）：明确覆盖全部投标产品，附标准台账模板（含核心字段），且承诺安装调试后7个工作日内完成录入交付，缺1项扣0.3分。 </w:t>
            </w:r>
          </w:p>
          <w:p w14:paraId="4689D36A">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2.备品备件服务（1分）： </w:t>
            </w:r>
          </w:p>
          <w:p w14:paraId="0361401E">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①清单完整（0.5分）：列明核心部件/易损件及名称、型号、单价、质保，要素缺失≥2 项不得分； </w:t>
            </w:r>
          </w:p>
          <w:p w14:paraId="4EB6454D">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②时效达标（0.5分）：常规备件7个工作日内到货、应急备件48小时内到货，1项不满足扣0.5分。</w:t>
            </w:r>
          </w:p>
        </w:tc>
      </w:tr>
      <w:tr w14:paraId="1448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12" w:type="pct"/>
            <w:vMerge w:val="continue"/>
            <w:vAlign w:val="center"/>
          </w:tcPr>
          <w:p w14:paraId="7177913C">
            <w:pPr>
              <w:rPr>
                <w:highlight w:val="none"/>
              </w:rPr>
            </w:pPr>
          </w:p>
        </w:tc>
        <w:tc>
          <w:tcPr>
            <w:tcW w:w="612" w:type="pct"/>
            <w:vAlign w:val="center"/>
          </w:tcPr>
          <w:p w14:paraId="0166D621">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项目实施方案</w:t>
            </w:r>
          </w:p>
        </w:tc>
        <w:tc>
          <w:tcPr>
            <w:tcW w:w="359" w:type="pct"/>
            <w:vAlign w:val="center"/>
          </w:tcPr>
          <w:p w14:paraId="4315CAE6">
            <w:pPr>
              <w:pStyle w:val="49"/>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2分</w:t>
            </w:r>
          </w:p>
        </w:tc>
        <w:tc>
          <w:tcPr>
            <w:tcW w:w="3615" w:type="pct"/>
            <w:vAlign w:val="center"/>
          </w:tcPr>
          <w:p w14:paraId="7257086C">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供应商须针对本项目提供详细的实施方案，其内容应包括： </w:t>
            </w:r>
          </w:p>
          <w:p w14:paraId="31DC533B">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1.整体实施方案（0.5分）： </w:t>
            </w:r>
          </w:p>
          <w:p w14:paraId="25119E22">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①全流程时间轴明确（0.25分）：标注供货/安装/验收等关键节点及时限，缺失不得分； </w:t>
            </w:r>
          </w:p>
          <w:p w14:paraId="47DE3C2A">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②承诺有效（0.25分）：含质量/工期违约处理承诺，无承诺不得分。 </w:t>
            </w:r>
          </w:p>
          <w:p w14:paraId="279A3707">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2.供货安装调试方案（0.5分）： </w:t>
            </w:r>
          </w:p>
          <w:p w14:paraId="7B916EBA">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①供货明确（0.25分）：定供货周期+到货验收流程，无周期不得分； </w:t>
            </w:r>
          </w:p>
          <w:p w14:paraId="122843A9">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②安装调试规范（0.25分）：含流程+检测标准，无标准不得分。 </w:t>
            </w:r>
          </w:p>
          <w:p w14:paraId="08CF368E">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3.质量保证措施和保证交货期措施（0.5分）： </w:t>
            </w:r>
          </w:p>
          <w:p w14:paraId="459E15F3">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①质检有流程（0.25分）：明确产品质检/第三方检测安排，无流程不得分； </w:t>
            </w:r>
          </w:p>
          <w:p w14:paraId="7C84D14D">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②应急有措施（0.25分）：覆盖2类以上风险应对不足不得分。 </w:t>
            </w:r>
          </w:p>
          <w:p w14:paraId="0A097527">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4.项目进度计划及项目沟通管理（0.5分）： </w:t>
            </w:r>
          </w:p>
          <w:p w14:paraId="100E108D">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①沟通有效率（0.25分）：定对接人+ 2小时内响应，信息不全不得分； </w:t>
            </w:r>
          </w:p>
          <w:p w14:paraId="1E8D3369">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②文档全归档（0.25分）：列明竣工图/验收报告等交付清单，未列明不得分。 </w:t>
            </w:r>
          </w:p>
          <w:p w14:paraId="019CA626">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注： </w:t>
            </w:r>
          </w:p>
          <w:p w14:paraId="0E0D18DB">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①方案完整包含上述四大项内容，得2分。 </w:t>
            </w:r>
          </w:p>
          <w:p w14:paraId="3B78619E">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②方案中每缺失上述任一大项内容的，每项扣0.5分；缺失大项所属任一分项内容的，每项扣0.25分，此项扣分累计最高不超过2分。 </w:t>
            </w:r>
          </w:p>
          <w:p w14:paraId="1F4020C9">
            <w:pPr>
              <w:pStyle w:val="4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③未提供方案的，得0分。</w:t>
            </w:r>
          </w:p>
        </w:tc>
      </w:tr>
      <w:tr w14:paraId="07F8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024" w:type="pct"/>
            <w:gridSpan w:val="2"/>
            <w:vAlign w:val="center"/>
          </w:tcPr>
          <w:p w14:paraId="49AF1D7A">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w:t>
            </w:r>
          </w:p>
        </w:tc>
        <w:tc>
          <w:tcPr>
            <w:tcW w:w="359" w:type="pct"/>
            <w:tcBorders>
              <w:bottom w:val="single" w:color="auto" w:sz="4" w:space="0"/>
            </w:tcBorders>
            <w:vAlign w:val="center"/>
          </w:tcPr>
          <w:p w14:paraId="613854D3">
            <w:pPr>
              <w:pStyle w:val="49"/>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=SUM(ABOVE)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100</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lang w:val="en-US" w:eastAsia="zh-CN"/>
              </w:rPr>
              <w:t>分</w:t>
            </w:r>
          </w:p>
        </w:tc>
        <w:tc>
          <w:tcPr>
            <w:tcW w:w="3615" w:type="pct"/>
            <w:tcBorders>
              <w:bottom w:val="single" w:color="auto" w:sz="4" w:space="0"/>
            </w:tcBorders>
            <w:vAlign w:val="center"/>
          </w:tcPr>
          <w:p w14:paraId="540A1BB3">
            <w:pPr>
              <w:pStyle w:val="49"/>
              <w:rPr>
                <w:rFonts w:hint="eastAsia" w:ascii="仿宋" w:hAnsi="仿宋" w:eastAsia="仿宋" w:cs="仿宋"/>
                <w:color w:val="auto"/>
                <w:sz w:val="21"/>
                <w:szCs w:val="21"/>
                <w:highlight w:val="none"/>
              </w:rPr>
            </w:pPr>
          </w:p>
        </w:tc>
      </w:tr>
    </w:tbl>
    <w:p w14:paraId="5BFA834C">
      <w:pPr>
        <w:pStyle w:val="37"/>
        <w:rPr>
          <w:rFonts w:hint="eastAsia" w:ascii="仿宋" w:hAnsi="仿宋" w:eastAsia="仿宋" w:cs="仿宋"/>
          <w:color w:val="auto"/>
          <w:highlight w:val="none"/>
        </w:rPr>
      </w:pPr>
    </w:p>
    <w:p w14:paraId="73138901">
      <w:pPr>
        <w:pStyle w:val="37"/>
        <w:rPr>
          <w:rFonts w:hint="eastAsia" w:ascii="仿宋" w:hAnsi="仿宋" w:eastAsia="仿宋" w:cs="仿宋"/>
          <w:color w:val="auto"/>
          <w:highlight w:val="none"/>
        </w:rPr>
      </w:pPr>
    </w:p>
    <w:p w14:paraId="34A577D4">
      <w:pPr>
        <w:pStyle w:val="37"/>
        <w:rPr>
          <w:rFonts w:hint="eastAsia" w:ascii="仿宋" w:hAnsi="仿宋" w:eastAsia="仿宋" w:cs="仿宋"/>
          <w:color w:val="auto"/>
          <w:highlight w:val="none"/>
        </w:rPr>
      </w:pPr>
    </w:p>
    <w:p w14:paraId="2F05EEA2">
      <w:pPr>
        <w:pStyle w:val="37"/>
        <w:rPr>
          <w:rFonts w:hint="eastAsia" w:ascii="仿宋" w:hAnsi="仿宋" w:eastAsia="仿宋" w:cs="仿宋"/>
          <w:color w:val="auto"/>
          <w:highlight w:val="none"/>
        </w:rPr>
      </w:pPr>
    </w:p>
    <w:p w14:paraId="2AB147BA">
      <w:pPr>
        <w:pStyle w:val="37"/>
        <w:rPr>
          <w:rFonts w:hint="eastAsia" w:ascii="仿宋" w:hAnsi="仿宋" w:eastAsia="仿宋" w:cs="仿宋"/>
          <w:color w:val="auto"/>
          <w:highlight w:val="none"/>
        </w:rPr>
      </w:pPr>
    </w:p>
    <w:p w14:paraId="49B6E021">
      <w:pPr>
        <w:pStyle w:val="37"/>
        <w:rPr>
          <w:rFonts w:hint="eastAsia" w:ascii="仿宋" w:hAnsi="仿宋" w:eastAsia="仿宋" w:cs="仿宋"/>
          <w:color w:val="auto"/>
          <w:highlight w:val="none"/>
        </w:rPr>
      </w:pPr>
    </w:p>
    <w:p w14:paraId="5F15C539">
      <w:pPr>
        <w:pStyle w:val="37"/>
        <w:rPr>
          <w:rFonts w:hint="eastAsia" w:ascii="仿宋" w:hAnsi="仿宋" w:eastAsia="仿宋" w:cs="仿宋"/>
          <w:color w:val="auto"/>
          <w:highlight w:val="none"/>
        </w:rPr>
      </w:pPr>
    </w:p>
    <w:p w14:paraId="75DF92B7">
      <w:pPr>
        <w:pStyle w:val="37"/>
        <w:rPr>
          <w:rFonts w:hint="eastAsia" w:ascii="仿宋" w:hAnsi="仿宋" w:eastAsia="仿宋" w:cs="仿宋"/>
          <w:color w:val="auto"/>
          <w:highlight w:val="none"/>
        </w:rPr>
      </w:pPr>
    </w:p>
    <w:p w14:paraId="507F4338">
      <w:pPr>
        <w:pStyle w:val="37"/>
        <w:rPr>
          <w:rFonts w:hint="eastAsia" w:ascii="仿宋" w:hAnsi="仿宋" w:eastAsia="仿宋" w:cs="仿宋"/>
          <w:color w:val="auto"/>
          <w:highlight w:val="none"/>
        </w:rPr>
      </w:pPr>
    </w:p>
    <w:p w14:paraId="6A5AB58B">
      <w:pPr>
        <w:pStyle w:val="37"/>
        <w:rPr>
          <w:rFonts w:hint="eastAsia" w:ascii="仿宋" w:hAnsi="仿宋" w:eastAsia="仿宋" w:cs="仿宋"/>
          <w:color w:val="auto"/>
          <w:highlight w:val="none"/>
        </w:rPr>
      </w:pPr>
    </w:p>
    <w:p w14:paraId="1EDF1B34">
      <w:pPr>
        <w:pStyle w:val="37"/>
        <w:rPr>
          <w:rFonts w:hint="eastAsia" w:ascii="仿宋" w:hAnsi="仿宋" w:eastAsia="仿宋" w:cs="仿宋"/>
          <w:color w:val="auto"/>
          <w:highlight w:val="none"/>
        </w:rPr>
      </w:pPr>
    </w:p>
    <w:p w14:paraId="16DA5D45">
      <w:pPr>
        <w:pStyle w:val="37"/>
        <w:rPr>
          <w:rFonts w:hint="eastAsia" w:ascii="仿宋" w:hAnsi="仿宋" w:eastAsia="仿宋" w:cs="仿宋"/>
          <w:color w:val="auto"/>
          <w:highlight w:val="none"/>
        </w:rPr>
      </w:pPr>
    </w:p>
    <w:p w14:paraId="65E2DE57">
      <w:pPr>
        <w:pStyle w:val="37"/>
        <w:rPr>
          <w:rFonts w:hint="eastAsia" w:ascii="仿宋" w:hAnsi="仿宋" w:eastAsia="仿宋" w:cs="仿宋"/>
          <w:color w:val="auto"/>
          <w:highlight w:val="none"/>
        </w:rPr>
      </w:pPr>
    </w:p>
    <w:p w14:paraId="425CC565">
      <w:pPr>
        <w:pStyle w:val="37"/>
        <w:rPr>
          <w:rFonts w:hint="eastAsia" w:ascii="仿宋" w:hAnsi="仿宋" w:eastAsia="仿宋" w:cs="仿宋"/>
          <w:color w:val="auto"/>
          <w:highlight w:val="none"/>
        </w:rPr>
      </w:pPr>
    </w:p>
    <w:p w14:paraId="385C3E54">
      <w:pPr>
        <w:pStyle w:val="37"/>
        <w:rPr>
          <w:rFonts w:hint="eastAsia" w:ascii="仿宋" w:hAnsi="仿宋" w:eastAsia="仿宋" w:cs="仿宋"/>
          <w:color w:val="auto"/>
          <w:highlight w:val="none"/>
        </w:rPr>
      </w:pPr>
    </w:p>
    <w:p w14:paraId="3F00E0F5">
      <w:pPr>
        <w:pStyle w:val="37"/>
        <w:rPr>
          <w:rFonts w:hint="eastAsia" w:ascii="仿宋" w:hAnsi="仿宋" w:eastAsia="仿宋" w:cs="仿宋"/>
          <w:color w:val="auto"/>
          <w:highlight w:val="none"/>
        </w:rPr>
      </w:pPr>
    </w:p>
    <w:p w14:paraId="45AB52AB">
      <w:pPr>
        <w:pStyle w:val="37"/>
        <w:rPr>
          <w:rFonts w:hint="eastAsia" w:ascii="仿宋" w:hAnsi="仿宋" w:eastAsia="仿宋" w:cs="仿宋"/>
          <w:color w:val="auto"/>
          <w:highlight w:val="none"/>
        </w:rPr>
      </w:pPr>
    </w:p>
    <w:p w14:paraId="54C8715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color w:val="auto"/>
          <w:kern w:val="44"/>
          <w:sz w:val="36"/>
          <w:szCs w:val="36"/>
          <w:highlight w:val="none"/>
          <w:lang w:val="zh-CN" w:eastAsia="zh-CN" w:bidi="ar-SA"/>
        </w:rPr>
      </w:pPr>
      <w:bookmarkStart w:id="353" w:name="_Toc155185918"/>
      <w:bookmarkStart w:id="354" w:name="_Toc163492912"/>
      <w:bookmarkStart w:id="355" w:name="_Toc1473"/>
      <w:r>
        <w:rPr>
          <w:rFonts w:hint="eastAsia" w:ascii="仿宋" w:hAnsi="仿宋" w:eastAsia="仿宋" w:cs="仿宋"/>
          <w:b/>
          <w:bCs/>
          <w:color w:val="auto"/>
          <w:kern w:val="44"/>
          <w:sz w:val="36"/>
          <w:szCs w:val="36"/>
          <w:highlight w:val="none"/>
          <w:lang w:val="zh-CN" w:eastAsia="zh-CN" w:bidi="ar-SA"/>
        </w:rPr>
        <w:t>第六章 合同</w:t>
      </w:r>
      <w:bookmarkEnd w:id="353"/>
      <w:r>
        <w:rPr>
          <w:rFonts w:hint="eastAsia" w:ascii="仿宋" w:hAnsi="仿宋" w:eastAsia="仿宋" w:cs="仿宋"/>
          <w:b/>
          <w:bCs/>
          <w:color w:val="auto"/>
          <w:kern w:val="44"/>
          <w:sz w:val="36"/>
          <w:szCs w:val="36"/>
          <w:highlight w:val="none"/>
          <w:lang w:val="zh-CN" w:eastAsia="zh-CN" w:bidi="ar-SA"/>
        </w:rPr>
        <w:t>草案</w:t>
      </w:r>
      <w:bookmarkEnd w:id="354"/>
      <w:bookmarkEnd w:id="355"/>
    </w:p>
    <w:p w14:paraId="290EAE22">
      <w:pPr>
        <w:rPr>
          <w:rFonts w:hint="eastAsia" w:ascii="仿宋" w:hAnsi="仿宋" w:eastAsia="仿宋" w:cs="仿宋"/>
          <w:color w:val="auto"/>
          <w:highlight w:val="none"/>
          <w:lang w:val="zh-CN"/>
        </w:rPr>
      </w:pPr>
    </w:p>
    <w:p w14:paraId="0F73DEB3">
      <w:pPr>
        <w:wordWrap w:val="0"/>
        <w:jc w:val="center"/>
        <w:rPr>
          <w:rFonts w:hint="eastAsia" w:ascii="仿宋" w:hAnsi="仿宋" w:eastAsia="仿宋" w:cs="仿宋"/>
          <w:bCs/>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此合同书仅作为签订正式合同时的参考，正式合同书应包括本参考格式的内容</w:t>
      </w:r>
      <w:r>
        <w:rPr>
          <w:rFonts w:hint="eastAsia" w:ascii="仿宋" w:hAnsi="仿宋" w:eastAsia="仿宋" w:cs="仿宋"/>
          <w:color w:val="auto"/>
          <w:sz w:val="24"/>
          <w:szCs w:val="24"/>
          <w:highlight w:val="none"/>
          <w:lang w:eastAsia="zh-CN"/>
        </w:rPr>
        <w:t>】</w:t>
      </w:r>
    </w:p>
    <w:p w14:paraId="51E629DD">
      <w:pPr>
        <w:wordWrap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zh-CN"/>
        </w:rPr>
        <w:t>合同编号：</w:t>
      </w:r>
      <w:r>
        <w:rPr>
          <w:rFonts w:hint="eastAsia" w:ascii="仿宋" w:hAnsi="仿宋" w:eastAsia="仿宋" w:cs="仿宋"/>
          <w:bCs/>
          <w:color w:val="auto"/>
          <w:sz w:val="24"/>
          <w:szCs w:val="24"/>
          <w:highlight w:val="none"/>
          <w:u w:val="single"/>
        </w:rPr>
        <w:t xml:space="preserve">              </w:t>
      </w:r>
    </w:p>
    <w:p w14:paraId="453FD5DE">
      <w:pPr>
        <w:pStyle w:val="13"/>
        <w:spacing w:after="0"/>
        <w:jc w:val="center"/>
        <w:rPr>
          <w:rFonts w:hint="eastAsia" w:ascii="仿宋" w:hAnsi="仿宋" w:eastAsia="仿宋" w:cs="仿宋"/>
          <w:b/>
          <w:bCs/>
          <w:color w:val="auto"/>
          <w:spacing w:val="-20"/>
          <w:kern w:val="44"/>
          <w:sz w:val="48"/>
          <w:szCs w:val="48"/>
          <w:highlight w:val="none"/>
        </w:rPr>
      </w:pPr>
      <w:bookmarkStart w:id="356" w:name="_Toc3995"/>
    </w:p>
    <w:bookmarkEnd w:id="356"/>
    <w:p w14:paraId="7E1460D4">
      <w:pPr>
        <w:jc w:val="center"/>
        <w:rPr>
          <w:rFonts w:hint="eastAsia" w:ascii="仿宋" w:hAnsi="仿宋" w:eastAsia="仿宋" w:cs="仿宋"/>
          <w:b/>
          <w:color w:val="000000"/>
          <w:sz w:val="52"/>
          <w:szCs w:val="52"/>
          <w:highlight w:val="none"/>
          <w:lang w:eastAsia="zh-CN"/>
        </w:rPr>
      </w:pPr>
      <w:r>
        <w:rPr>
          <w:rFonts w:hint="eastAsia" w:ascii="仿宋" w:hAnsi="仿宋" w:eastAsia="仿宋" w:cs="仿宋"/>
          <w:b/>
          <w:color w:val="000000"/>
          <w:sz w:val="52"/>
          <w:szCs w:val="52"/>
          <w:highlight w:val="none"/>
        </w:rPr>
        <w:t>政府采购合同</w:t>
      </w:r>
      <w:r>
        <w:rPr>
          <w:rFonts w:hint="eastAsia" w:ascii="仿宋" w:hAnsi="仿宋" w:eastAsia="仿宋" w:cs="仿宋"/>
          <w:b/>
          <w:color w:val="000000"/>
          <w:sz w:val="52"/>
          <w:szCs w:val="52"/>
          <w:highlight w:val="none"/>
          <w:lang w:eastAsia="zh-CN"/>
        </w:rPr>
        <w:t>（</w:t>
      </w:r>
      <w:r>
        <w:rPr>
          <w:rFonts w:hint="eastAsia" w:ascii="仿宋" w:hAnsi="仿宋" w:eastAsia="仿宋" w:cs="仿宋"/>
          <w:b/>
          <w:color w:val="000000"/>
          <w:sz w:val="52"/>
          <w:szCs w:val="52"/>
          <w:highlight w:val="none"/>
          <w:lang w:val="en-US" w:eastAsia="zh-CN"/>
        </w:rPr>
        <w:t>2026版</w:t>
      </w:r>
      <w:r>
        <w:rPr>
          <w:rFonts w:hint="eastAsia" w:ascii="仿宋" w:hAnsi="仿宋" w:eastAsia="仿宋" w:cs="仿宋"/>
          <w:b/>
          <w:color w:val="000000"/>
          <w:sz w:val="52"/>
          <w:szCs w:val="52"/>
          <w:highlight w:val="none"/>
          <w:lang w:eastAsia="zh-CN"/>
        </w:rPr>
        <w:t>）</w:t>
      </w:r>
    </w:p>
    <w:p w14:paraId="66A2218C">
      <w:pPr>
        <w:jc w:val="center"/>
        <w:rPr>
          <w:rFonts w:hint="eastAsia" w:ascii="仿宋" w:hAnsi="仿宋" w:eastAsia="仿宋" w:cs="仿宋"/>
          <w:b/>
          <w:color w:val="000000"/>
          <w:sz w:val="52"/>
          <w:szCs w:val="52"/>
          <w:highlight w:val="none"/>
        </w:rPr>
      </w:pPr>
    </w:p>
    <w:p w14:paraId="3C5DA423">
      <w:pPr>
        <w:jc w:val="center"/>
        <w:rPr>
          <w:rFonts w:hint="eastAsia" w:ascii="仿宋" w:hAnsi="仿宋" w:eastAsia="仿宋" w:cs="仿宋"/>
          <w:b/>
          <w:color w:val="000000"/>
          <w:sz w:val="52"/>
          <w:szCs w:val="52"/>
          <w:highlight w:val="none"/>
        </w:rPr>
      </w:pPr>
    </w:p>
    <w:p w14:paraId="39688DF2">
      <w:pPr>
        <w:ind w:left="2100" w:firstLine="420"/>
        <w:rPr>
          <w:rFonts w:hint="eastAsia" w:ascii="仿宋" w:hAnsi="仿宋" w:eastAsia="仿宋" w:cs="仿宋"/>
          <w:sz w:val="32"/>
          <w:szCs w:val="32"/>
          <w:highlight w:val="none"/>
        </w:rPr>
      </w:pPr>
    </w:p>
    <w:p w14:paraId="25A45728">
      <w:pPr>
        <w:ind w:left="2100" w:firstLine="42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项目名称</w:t>
      </w:r>
      <w:r>
        <w:rPr>
          <w:rFonts w:hint="eastAsia" w:ascii="仿宋" w:hAnsi="仿宋" w:eastAsia="仿宋" w:cs="仿宋"/>
          <w:sz w:val="32"/>
          <w:szCs w:val="32"/>
          <w:highlight w:val="none"/>
          <w:lang w:val="en-US" w:eastAsia="zh-CN"/>
        </w:rPr>
        <w:t xml:space="preserve">:                        </w:t>
      </w:r>
    </w:p>
    <w:p w14:paraId="76451F25">
      <w:pPr>
        <w:ind w:left="2100"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项目编号: </w:t>
      </w:r>
      <w:r>
        <w:rPr>
          <w:rFonts w:hint="eastAsia" w:ascii="仿宋" w:hAnsi="仿宋" w:eastAsia="仿宋" w:cs="仿宋"/>
          <w:sz w:val="32"/>
          <w:szCs w:val="32"/>
          <w:highlight w:val="none"/>
          <w:lang w:val="en-US" w:eastAsia="zh-CN"/>
        </w:rPr>
        <w:t xml:space="preserve">                       </w:t>
      </w:r>
    </w:p>
    <w:p w14:paraId="59B727BB">
      <w:pPr>
        <w:ind w:left="2100" w:firstLine="42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合同编号:</w:t>
      </w:r>
      <w:r>
        <w:rPr>
          <w:rFonts w:hint="eastAsia" w:ascii="仿宋" w:hAnsi="仿宋" w:eastAsia="仿宋" w:cs="仿宋"/>
          <w:sz w:val="32"/>
          <w:szCs w:val="32"/>
          <w:highlight w:val="none"/>
          <w:lang w:val="en-US" w:eastAsia="zh-CN"/>
        </w:rPr>
        <w:t xml:space="preserve">                        </w:t>
      </w:r>
    </w:p>
    <w:p w14:paraId="433A7741">
      <w:pPr>
        <w:spacing w:before="312" w:beforeLines="100"/>
        <w:jc w:val="center"/>
        <w:rPr>
          <w:rFonts w:hint="eastAsia" w:ascii="仿宋" w:hAnsi="仿宋" w:eastAsia="仿宋" w:cs="仿宋"/>
          <w:b/>
          <w:color w:val="000000"/>
          <w:sz w:val="32"/>
          <w:szCs w:val="32"/>
          <w:highlight w:val="none"/>
          <w:u w:val="single"/>
        </w:rPr>
      </w:pPr>
    </w:p>
    <w:p w14:paraId="708A148C">
      <w:pPr>
        <w:spacing w:before="312" w:beforeLines="100"/>
        <w:jc w:val="center"/>
        <w:rPr>
          <w:rFonts w:hint="eastAsia" w:ascii="仿宋" w:hAnsi="仿宋" w:eastAsia="仿宋" w:cs="仿宋"/>
          <w:b/>
          <w:color w:val="000000"/>
          <w:sz w:val="32"/>
          <w:szCs w:val="32"/>
          <w:highlight w:val="none"/>
          <w:u w:val="single"/>
        </w:rPr>
      </w:pPr>
    </w:p>
    <w:p w14:paraId="1B9559D1">
      <w:pPr>
        <w:spacing w:before="312" w:beforeLines="100"/>
        <w:jc w:val="center"/>
        <w:rPr>
          <w:rFonts w:hint="eastAsia" w:ascii="仿宋" w:hAnsi="仿宋" w:eastAsia="仿宋" w:cs="仿宋"/>
          <w:b/>
          <w:color w:val="000000"/>
          <w:sz w:val="32"/>
          <w:szCs w:val="32"/>
          <w:highlight w:val="none"/>
          <w:u w:val="single"/>
        </w:rPr>
      </w:pPr>
    </w:p>
    <w:p w14:paraId="085E1FF7">
      <w:pPr>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甲方:</w:t>
      </w:r>
      <w:r>
        <w:rPr>
          <w:rFonts w:hint="eastAsia" w:ascii="仿宋" w:hAnsi="仿宋" w:eastAsia="仿宋" w:cs="仿宋"/>
          <w:b/>
          <w:color w:val="000000"/>
          <w:sz w:val="32"/>
          <w:szCs w:val="32"/>
          <w:highlight w:val="none"/>
          <w:lang w:val="en-US" w:eastAsia="zh-CN"/>
        </w:rPr>
        <w:t xml:space="preserve">  新疆理工职业</w:t>
      </w:r>
      <w:r>
        <w:rPr>
          <w:rFonts w:hint="eastAsia" w:ascii="仿宋" w:hAnsi="仿宋" w:eastAsia="仿宋" w:cs="仿宋"/>
          <w:b/>
          <w:color w:val="000000"/>
          <w:sz w:val="32"/>
          <w:szCs w:val="32"/>
          <w:highlight w:val="none"/>
        </w:rPr>
        <w:t xml:space="preserve">大学 </w:t>
      </w:r>
    </w:p>
    <w:p w14:paraId="1E6075E8">
      <w:pPr>
        <w:spacing w:before="312" w:beforeLines="100"/>
        <w:rPr>
          <w:rFonts w:hint="eastAsia" w:ascii="仿宋" w:hAnsi="仿宋" w:eastAsia="仿宋" w:cs="仿宋"/>
          <w:b/>
          <w:bCs/>
          <w:sz w:val="32"/>
          <w:szCs w:val="32"/>
          <w:highlight w:val="none"/>
          <w:lang w:val="en-US" w:eastAsia="zh-CN"/>
        </w:rPr>
      </w:pPr>
      <w:r>
        <w:rPr>
          <w:rFonts w:hint="eastAsia" w:ascii="仿宋" w:hAnsi="仿宋" w:eastAsia="仿宋" w:cs="仿宋"/>
          <w:b/>
          <w:color w:val="000000"/>
          <w:sz w:val="32"/>
          <w:szCs w:val="32"/>
          <w:highlight w:val="none"/>
        </w:rPr>
        <w:t xml:space="preserve">乙方: </w:t>
      </w:r>
      <w:r>
        <w:rPr>
          <w:rFonts w:hint="eastAsia" w:ascii="仿宋" w:hAnsi="仿宋" w:eastAsia="仿宋" w:cs="仿宋"/>
          <w:b/>
          <w:sz w:val="28"/>
          <w:szCs w:val="28"/>
          <w:highlight w:val="none"/>
        </w:rPr>
        <w:t xml:space="preserve"> </w:t>
      </w:r>
      <w:r>
        <w:rPr>
          <w:rFonts w:hint="eastAsia" w:ascii="仿宋" w:hAnsi="仿宋" w:eastAsia="仿宋" w:cs="仿宋"/>
          <w:b/>
          <w:sz w:val="28"/>
          <w:szCs w:val="28"/>
          <w:highlight w:val="none"/>
          <w:lang w:val="en-US" w:eastAsia="zh-CN"/>
        </w:rPr>
        <w:t xml:space="preserve">                    </w:t>
      </w:r>
    </w:p>
    <w:p w14:paraId="5653EEF4">
      <w:pPr>
        <w:rPr>
          <w:rFonts w:hint="eastAsia" w:ascii="仿宋" w:hAnsi="仿宋" w:eastAsia="仿宋" w:cs="仿宋"/>
          <w:b/>
          <w:bCs/>
          <w:sz w:val="32"/>
          <w:szCs w:val="32"/>
          <w:highlight w:val="none"/>
          <w:lang w:val="en-US" w:eastAsia="zh-CN"/>
        </w:rPr>
      </w:pPr>
    </w:p>
    <w:p w14:paraId="74C8BA2B">
      <w:p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br w:type="page"/>
      </w:r>
    </w:p>
    <w:p w14:paraId="3C42DFEE">
      <w:p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新疆理工职业大学合同填写说明：</w:t>
      </w:r>
    </w:p>
    <w:p w14:paraId="71ADB5E0">
      <w:p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本合同为限制性编辑的制式合同模板，未经合同签订双方同意不得对限制编辑内容进行修改。</w:t>
      </w:r>
    </w:p>
    <w:p w14:paraId="04E0564E">
      <w:pPr>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bidi="ar-SA"/>
        </w:rPr>
        <w:t>1.</w:t>
      </w:r>
      <w:r>
        <w:rPr>
          <w:rFonts w:hint="eastAsia" w:ascii="仿宋" w:hAnsi="仿宋" w:eastAsia="仿宋" w:cs="仿宋"/>
          <w:b/>
          <w:bCs/>
          <w:sz w:val="28"/>
          <w:szCs w:val="28"/>
          <w:highlight w:val="none"/>
          <w:lang w:val="en-US" w:eastAsia="zh-CN"/>
        </w:rPr>
        <w:t>合同打印纸张不低于75g、A3双面打印、骑马装订。</w:t>
      </w:r>
    </w:p>
    <w:p w14:paraId="18C6D89B">
      <w:pPr>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2.合同签订需要双方法人或委托授权人代表签字盖章，公章（合同专用章）加盖骑缝章。</w:t>
      </w:r>
    </w:p>
    <w:p w14:paraId="35BB909E">
      <w:pPr>
        <w:jc w:val="center"/>
        <w:rPr>
          <w:rFonts w:hint="eastAsia" w:ascii="仿宋" w:hAnsi="仿宋" w:eastAsia="仿宋" w:cs="仿宋"/>
          <w:b/>
          <w:bCs/>
          <w:sz w:val="32"/>
          <w:szCs w:val="32"/>
          <w:highlight w:val="none"/>
          <w:lang w:val="en-US" w:eastAsia="zh-CN"/>
        </w:rPr>
      </w:pPr>
    </w:p>
    <w:p w14:paraId="76AF2DD6">
      <w:pPr>
        <w:jc w:val="center"/>
        <w:rPr>
          <w:rFonts w:hint="eastAsia" w:ascii="仿宋" w:hAnsi="仿宋" w:eastAsia="仿宋" w:cs="仿宋"/>
          <w:b/>
          <w:bCs/>
          <w:sz w:val="32"/>
          <w:szCs w:val="32"/>
          <w:highlight w:val="none"/>
          <w:lang w:val="en-US" w:eastAsia="zh-CN"/>
        </w:rPr>
      </w:pPr>
    </w:p>
    <w:p w14:paraId="7AC81353">
      <w:pPr>
        <w:jc w:val="center"/>
        <w:rPr>
          <w:rFonts w:hint="eastAsia" w:ascii="仿宋" w:hAnsi="仿宋" w:eastAsia="仿宋" w:cs="仿宋"/>
          <w:b/>
          <w:bCs/>
          <w:sz w:val="32"/>
          <w:szCs w:val="32"/>
          <w:highlight w:val="none"/>
          <w:lang w:val="en-US" w:eastAsia="zh-CN"/>
        </w:rPr>
      </w:pPr>
    </w:p>
    <w:p w14:paraId="50517F09">
      <w:pPr>
        <w:jc w:val="center"/>
        <w:rPr>
          <w:rFonts w:hint="eastAsia" w:ascii="仿宋" w:hAnsi="仿宋" w:eastAsia="仿宋" w:cs="仿宋"/>
          <w:b/>
          <w:bCs/>
          <w:sz w:val="32"/>
          <w:szCs w:val="32"/>
          <w:highlight w:val="none"/>
          <w:lang w:val="en-US" w:eastAsia="zh-CN"/>
        </w:rPr>
      </w:pPr>
    </w:p>
    <w:p w14:paraId="34AD4D36">
      <w:pPr>
        <w:jc w:val="center"/>
        <w:rPr>
          <w:rFonts w:hint="eastAsia" w:ascii="仿宋" w:hAnsi="仿宋" w:eastAsia="仿宋" w:cs="仿宋"/>
          <w:b/>
          <w:bCs/>
          <w:sz w:val="32"/>
          <w:szCs w:val="32"/>
          <w:highlight w:val="none"/>
          <w:lang w:val="en-US" w:eastAsia="zh-CN"/>
        </w:rPr>
      </w:pPr>
    </w:p>
    <w:p w14:paraId="37808A78">
      <w:pPr>
        <w:jc w:val="center"/>
        <w:rPr>
          <w:rFonts w:hint="eastAsia" w:ascii="仿宋" w:hAnsi="仿宋" w:eastAsia="仿宋" w:cs="仿宋"/>
          <w:b/>
          <w:bCs/>
          <w:sz w:val="32"/>
          <w:szCs w:val="32"/>
          <w:highlight w:val="none"/>
          <w:lang w:val="en-US" w:eastAsia="zh-CN"/>
        </w:rPr>
      </w:pPr>
    </w:p>
    <w:p w14:paraId="0137D7F2">
      <w:pPr>
        <w:jc w:val="center"/>
        <w:rPr>
          <w:rFonts w:hint="eastAsia" w:ascii="仿宋" w:hAnsi="仿宋" w:eastAsia="仿宋" w:cs="仿宋"/>
          <w:b/>
          <w:bCs/>
          <w:sz w:val="32"/>
          <w:szCs w:val="32"/>
          <w:highlight w:val="none"/>
          <w:lang w:val="en-US" w:eastAsia="zh-CN"/>
        </w:rPr>
      </w:pPr>
    </w:p>
    <w:p w14:paraId="14CDBCBD">
      <w:pPr>
        <w:jc w:val="center"/>
        <w:rPr>
          <w:rFonts w:hint="eastAsia" w:ascii="仿宋" w:hAnsi="仿宋" w:eastAsia="仿宋" w:cs="仿宋"/>
          <w:b/>
          <w:bCs/>
          <w:sz w:val="32"/>
          <w:szCs w:val="32"/>
          <w:highlight w:val="none"/>
          <w:lang w:val="en-US" w:eastAsia="zh-CN"/>
        </w:rPr>
      </w:pPr>
    </w:p>
    <w:p w14:paraId="20D3E0E2">
      <w:pPr>
        <w:jc w:val="center"/>
        <w:rPr>
          <w:rFonts w:hint="eastAsia" w:ascii="仿宋" w:hAnsi="仿宋" w:eastAsia="仿宋" w:cs="仿宋"/>
          <w:b/>
          <w:bCs/>
          <w:sz w:val="32"/>
          <w:szCs w:val="32"/>
          <w:highlight w:val="none"/>
          <w:lang w:val="en-US" w:eastAsia="zh-CN"/>
        </w:rPr>
      </w:pPr>
    </w:p>
    <w:p w14:paraId="58B84555">
      <w:pPr>
        <w:jc w:val="center"/>
        <w:rPr>
          <w:rFonts w:hint="eastAsia" w:ascii="仿宋" w:hAnsi="仿宋" w:eastAsia="仿宋" w:cs="仿宋"/>
          <w:b/>
          <w:bCs/>
          <w:sz w:val="32"/>
          <w:szCs w:val="32"/>
          <w:highlight w:val="none"/>
          <w:lang w:val="en-US" w:eastAsia="zh-CN"/>
        </w:rPr>
      </w:pPr>
    </w:p>
    <w:p w14:paraId="761A99F4">
      <w:pPr>
        <w:jc w:val="center"/>
        <w:rPr>
          <w:rFonts w:hint="eastAsia" w:ascii="仿宋" w:hAnsi="仿宋" w:eastAsia="仿宋" w:cs="仿宋"/>
          <w:b/>
          <w:bCs/>
          <w:sz w:val="32"/>
          <w:szCs w:val="32"/>
          <w:highlight w:val="none"/>
          <w:lang w:val="en-US" w:eastAsia="zh-CN"/>
        </w:rPr>
      </w:pPr>
    </w:p>
    <w:p w14:paraId="2DF7113A">
      <w:pPr>
        <w:jc w:val="center"/>
        <w:rPr>
          <w:rFonts w:hint="eastAsia" w:ascii="仿宋" w:hAnsi="仿宋" w:eastAsia="仿宋" w:cs="仿宋"/>
          <w:b/>
          <w:bCs/>
          <w:sz w:val="32"/>
          <w:szCs w:val="32"/>
          <w:highlight w:val="none"/>
          <w:lang w:val="en-US" w:eastAsia="zh-CN"/>
        </w:rPr>
      </w:pPr>
    </w:p>
    <w:p w14:paraId="45FED10A">
      <w:pPr>
        <w:jc w:val="center"/>
        <w:rPr>
          <w:rFonts w:hint="eastAsia" w:ascii="仿宋" w:hAnsi="仿宋" w:eastAsia="仿宋" w:cs="仿宋"/>
          <w:b/>
          <w:bCs/>
          <w:sz w:val="32"/>
          <w:szCs w:val="32"/>
          <w:highlight w:val="none"/>
          <w:lang w:val="en-US" w:eastAsia="zh-CN"/>
        </w:rPr>
      </w:pPr>
    </w:p>
    <w:p w14:paraId="74F2E51E">
      <w:pPr>
        <w:pStyle w:val="13"/>
        <w:rPr>
          <w:rFonts w:hint="eastAsia" w:ascii="仿宋" w:hAnsi="仿宋" w:eastAsia="仿宋" w:cs="仿宋"/>
          <w:b/>
          <w:bCs/>
          <w:sz w:val="32"/>
          <w:szCs w:val="32"/>
          <w:highlight w:val="none"/>
          <w:lang w:val="en-US" w:eastAsia="zh-CN"/>
        </w:rPr>
      </w:pPr>
    </w:p>
    <w:p w14:paraId="601801A4">
      <w:pPr>
        <w:jc w:val="center"/>
        <w:rPr>
          <w:rFonts w:hint="eastAsia" w:ascii="仿宋" w:hAnsi="仿宋" w:eastAsia="仿宋" w:cs="仿宋"/>
          <w:b/>
          <w:bCs/>
          <w:sz w:val="32"/>
          <w:szCs w:val="32"/>
          <w:highlight w:val="none"/>
          <w:lang w:val="en-US" w:eastAsia="zh-CN"/>
        </w:rPr>
      </w:pPr>
    </w:p>
    <w:p w14:paraId="54A103FE">
      <w:pPr>
        <w:jc w:val="center"/>
        <w:rPr>
          <w:rFonts w:hint="eastAsia" w:ascii="仿宋" w:hAnsi="仿宋" w:eastAsia="仿宋" w:cs="仿宋"/>
          <w:b/>
          <w:color w:val="000000"/>
          <w:sz w:val="52"/>
          <w:szCs w:val="52"/>
          <w:highlight w:val="none"/>
        </w:rPr>
        <w:sectPr>
          <w:footerReference r:id="rId7" w:type="first"/>
          <w:pgSz w:w="11905" w:h="16840" w:orient="landscape"/>
          <w:pgMar w:top="1440" w:right="1800" w:bottom="1440" w:left="1800" w:header="851" w:footer="794" w:gutter="0"/>
          <w:pgNumType w:fmt="numberInDash" w:start="5"/>
          <w:cols w:space="0" w:num="1"/>
          <w:titlePg/>
          <w:docGrid w:type="lines" w:linePitch="312" w:charSpace="0"/>
        </w:sectPr>
      </w:pPr>
    </w:p>
    <w:p w14:paraId="055D3CBB">
      <w:pPr>
        <w:jc w:val="center"/>
        <w:rPr>
          <w:rFonts w:hint="eastAsia" w:ascii="仿宋" w:hAnsi="仿宋" w:eastAsia="仿宋" w:cs="仿宋"/>
          <w:b/>
          <w:color w:val="000000"/>
          <w:sz w:val="52"/>
          <w:szCs w:val="52"/>
          <w:highlight w:val="none"/>
        </w:rPr>
      </w:pPr>
      <w:r>
        <w:rPr>
          <w:rFonts w:hint="eastAsia" w:ascii="仿宋" w:hAnsi="仿宋" w:eastAsia="仿宋" w:cs="仿宋"/>
          <w:b/>
          <w:color w:val="000000"/>
          <w:sz w:val="52"/>
          <w:szCs w:val="52"/>
          <w:highlight w:val="none"/>
        </w:rPr>
        <w:t>政府采购合同</w:t>
      </w:r>
    </w:p>
    <w:p w14:paraId="6F6689F2">
      <w:pPr>
        <w:ind w:left="120" w:leftChars="50" w:firstLine="3694" w:firstLineChars="1150"/>
        <w:rPr>
          <w:rFonts w:hint="eastAsia" w:ascii="仿宋" w:hAnsi="仿宋" w:eastAsia="仿宋" w:cs="仿宋"/>
          <w:b/>
          <w:color w:val="000000"/>
          <w:sz w:val="32"/>
          <w:szCs w:val="32"/>
          <w:highlight w:val="none"/>
          <w:u w:val="single"/>
        </w:rPr>
      </w:pPr>
    </w:p>
    <w:p w14:paraId="15E0D153">
      <w:pPr>
        <w:spacing w:line="360" w:lineRule="auto"/>
        <w:ind w:left="120" w:leftChars="50" w:firstLine="4900" w:firstLineChars="175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合同编号：</w:t>
      </w:r>
      <w:r>
        <w:rPr>
          <w:rFonts w:hint="eastAsia" w:ascii="仿宋" w:hAnsi="仿宋" w:eastAsia="仿宋" w:cs="仿宋"/>
          <w:sz w:val="28"/>
          <w:szCs w:val="28"/>
          <w:highlight w:val="none"/>
          <w:lang w:val="en-US" w:eastAsia="zh-CN"/>
        </w:rPr>
        <w:t xml:space="preserve">                  </w:t>
      </w:r>
    </w:p>
    <w:p w14:paraId="1CF3D61A">
      <w:pPr>
        <w:spacing w:line="360" w:lineRule="auto"/>
        <w:ind w:firstLine="5040" w:firstLineChars="1800"/>
        <w:rPr>
          <w:rFonts w:hint="eastAsia" w:ascii="仿宋" w:hAnsi="仿宋" w:eastAsia="仿宋" w:cs="仿宋"/>
          <w:b/>
          <w:bCs/>
          <w:sz w:val="28"/>
          <w:szCs w:val="28"/>
          <w:highlight w:val="none"/>
          <w:lang w:val="en-US" w:eastAsia="zh-CN"/>
        </w:rPr>
      </w:pP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val="en-US" w:eastAsia="zh-CN"/>
        </w:rPr>
        <w:t xml:space="preserve">                  </w:t>
      </w:r>
    </w:p>
    <w:p w14:paraId="2073D2A4">
      <w:pPr>
        <w:spacing w:line="360" w:lineRule="auto"/>
        <w:ind w:firstLine="3935" w:firstLineChars="1400"/>
        <w:rPr>
          <w:rFonts w:hint="eastAsia" w:ascii="仿宋" w:hAnsi="仿宋" w:eastAsia="仿宋" w:cs="仿宋"/>
          <w:b/>
          <w:bCs/>
          <w:sz w:val="28"/>
          <w:szCs w:val="28"/>
          <w:highlight w:val="none"/>
        </w:rPr>
      </w:pPr>
    </w:p>
    <w:p w14:paraId="5D4FCE30">
      <w:pPr>
        <w:pStyle w:val="74"/>
        <w:spacing w:line="360" w:lineRule="auto"/>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采购人（全称）：</w:t>
      </w:r>
      <w:r>
        <w:rPr>
          <w:rFonts w:hint="eastAsia" w:ascii="仿宋" w:hAnsi="仿宋" w:eastAsia="仿宋" w:cs="仿宋"/>
          <w:b/>
          <w:kern w:val="0"/>
          <w:sz w:val="28"/>
          <w:szCs w:val="28"/>
          <w:highlight w:val="none"/>
          <w:lang w:val="en-US" w:eastAsia="zh-CN"/>
        </w:rPr>
        <w:t>新疆理工职业</w:t>
      </w:r>
      <w:r>
        <w:rPr>
          <w:rFonts w:hint="eastAsia" w:ascii="仿宋" w:hAnsi="仿宋" w:eastAsia="仿宋" w:cs="仿宋"/>
          <w:b/>
          <w:kern w:val="0"/>
          <w:sz w:val="28"/>
          <w:szCs w:val="28"/>
          <w:highlight w:val="none"/>
        </w:rPr>
        <w:t>大学（甲方）</w:t>
      </w:r>
    </w:p>
    <w:p w14:paraId="117A5A86">
      <w:pPr>
        <w:pStyle w:val="74"/>
        <w:spacing w:line="360" w:lineRule="auto"/>
        <w:jc w:val="left"/>
        <w:rPr>
          <w:rFonts w:hint="eastAsia" w:ascii="仿宋" w:hAnsi="仿宋" w:eastAsia="仿宋" w:cs="仿宋"/>
          <w:b/>
          <w:sz w:val="28"/>
          <w:szCs w:val="28"/>
          <w:highlight w:val="none"/>
        </w:rPr>
      </w:pPr>
    </w:p>
    <w:p w14:paraId="782C6265">
      <w:pPr>
        <w:widowControl/>
        <w:snapToGrid w:val="0"/>
        <w:spacing w:line="360" w:lineRule="auto"/>
        <w:jc w:val="left"/>
        <w:rPr>
          <w:rFonts w:hint="eastAsia" w:ascii="仿宋" w:hAnsi="仿宋" w:eastAsia="仿宋" w:cs="仿宋"/>
          <w:color w:val="000000"/>
          <w:sz w:val="28"/>
          <w:szCs w:val="28"/>
          <w:highlight w:val="none"/>
          <w:lang w:eastAsia="zh-CN"/>
        </w:rPr>
      </w:pPr>
      <w:r>
        <w:rPr>
          <w:rFonts w:hint="eastAsia" w:ascii="仿宋" w:hAnsi="仿宋" w:eastAsia="仿宋" w:cs="仿宋"/>
          <w:b/>
          <w:sz w:val="28"/>
          <w:szCs w:val="28"/>
          <w:highlight w:val="none"/>
        </w:rPr>
        <w:t>投标人（全称）：</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（乙方）</w:t>
      </w:r>
    </w:p>
    <w:p w14:paraId="77C810D4">
      <w:pPr>
        <w:spacing w:line="360" w:lineRule="auto"/>
        <w:ind w:firstLine="562" w:firstLineChars="200"/>
        <w:rPr>
          <w:rFonts w:hint="eastAsia" w:ascii="仿宋" w:hAnsi="仿宋" w:eastAsia="仿宋" w:cs="仿宋"/>
          <w:color w:val="000000"/>
          <w:sz w:val="28"/>
          <w:szCs w:val="28"/>
          <w:highlight w:val="none"/>
        </w:rPr>
      </w:pPr>
      <w:r>
        <w:rPr>
          <w:rFonts w:hint="eastAsia" w:ascii="仿宋" w:hAnsi="仿宋" w:eastAsia="仿宋" w:cs="仿宋"/>
          <w:b/>
          <w:color w:val="auto"/>
          <w:sz w:val="28"/>
          <w:szCs w:val="28"/>
          <w:highlight w:val="none"/>
          <w:u w:val="single"/>
          <w:lang w:val="en-US" w:eastAsia="zh-CN"/>
        </w:rPr>
        <w:t>新疆理工职业</w:t>
      </w:r>
      <w:r>
        <w:rPr>
          <w:rFonts w:hint="eastAsia" w:ascii="仿宋" w:hAnsi="仿宋" w:eastAsia="仿宋" w:cs="仿宋"/>
          <w:b/>
          <w:color w:val="auto"/>
          <w:sz w:val="28"/>
          <w:szCs w:val="28"/>
          <w:highlight w:val="none"/>
          <w:u w:val="single"/>
        </w:rPr>
        <w:t>大学</w:t>
      </w:r>
      <w:r>
        <w:rPr>
          <w:rFonts w:hint="eastAsia" w:ascii="仿宋" w:hAnsi="仿宋" w:eastAsia="仿宋" w:cs="仿宋"/>
          <w:color w:val="auto"/>
          <w:sz w:val="28"/>
          <w:szCs w:val="28"/>
          <w:highlight w:val="none"/>
        </w:rPr>
        <w:t>（甲方）所需</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(项目名称)经</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招标代理机构名称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以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（项目编号）招标文件在国内以招标方式进行采购。经评标委员会确定</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（乙方）为中标人。</w:t>
      </w:r>
    </w:p>
    <w:p w14:paraId="58C742B9">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甲、乙双方根据《中华人民共和国政府采购法》、《中华人民共和国</w:t>
      </w:r>
      <w:r>
        <w:rPr>
          <w:rFonts w:hint="eastAsia" w:ascii="仿宋" w:hAnsi="仿宋" w:eastAsia="仿宋" w:cs="仿宋"/>
          <w:sz w:val="28"/>
          <w:szCs w:val="28"/>
          <w:highlight w:val="none"/>
          <w:lang w:val="en-US" w:eastAsia="zh-CN"/>
        </w:rPr>
        <w:t>民法典</w:t>
      </w:r>
      <w:r>
        <w:rPr>
          <w:rFonts w:hint="eastAsia" w:ascii="仿宋" w:hAnsi="仿宋" w:eastAsia="仿宋" w:cs="仿宋"/>
          <w:sz w:val="28"/>
          <w:szCs w:val="28"/>
          <w:highlight w:val="none"/>
        </w:rPr>
        <w:t>》等相关法律以及本项目招标文件的规定，经平等协商达成合同如下：</w:t>
      </w:r>
    </w:p>
    <w:p w14:paraId="0ACC0E04">
      <w:pPr>
        <w:widowControl/>
        <w:snapToGrid w:val="0"/>
        <w:spacing w:line="360" w:lineRule="auto"/>
        <w:ind w:firstLine="562" w:firstLineChars="20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一、合同文件</w:t>
      </w:r>
    </w:p>
    <w:p w14:paraId="6A49528A">
      <w:pPr>
        <w:widowControl/>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本合同所附下列文件是构成本合同不可分割的部分：</w:t>
      </w:r>
    </w:p>
    <w:p w14:paraId="2DEB0E22">
      <w:pPr>
        <w:widowControl/>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（一）本项目招标文件</w:t>
      </w:r>
    </w:p>
    <w:p w14:paraId="16F90DE2">
      <w:pPr>
        <w:widowControl/>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（二）中标人投标文件</w:t>
      </w:r>
    </w:p>
    <w:p w14:paraId="556177FC">
      <w:pPr>
        <w:widowControl/>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（三）合同通用条款</w:t>
      </w:r>
    </w:p>
    <w:p w14:paraId="0E362E8C">
      <w:pPr>
        <w:widowControl/>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（四）中标人在评标过程中做出的有关澄清、说明或者补正文件</w:t>
      </w:r>
    </w:p>
    <w:p w14:paraId="773643A8">
      <w:pPr>
        <w:widowControl/>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（五）中标通知书</w:t>
      </w:r>
    </w:p>
    <w:p w14:paraId="0273CFB1">
      <w:pPr>
        <w:widowControl/>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（六）本合同附件</w:t>
      </w:r>
    </w:p>
    <w:p w14:paraId="2F33C142">
      <w:pPr>
        <w:widowControl/>
        <w:snapToGrid w:val="0"/>
        <w:spacing w:line="360" w:lineRule="auto"/>
        <w:ind w:firstLine="562" w:firstLineChars="20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二、合同的范围和条件</w:t>
      </w:r>
    </w:p>
    <w:p w14:paraId="102BDEF1">
      <w:pPr>
        <w:widowControl/>
        <w:snapToGrid w:val="0"/>
        <w:spacing w:line="360" w:lineRule="auto"/>
        <w:ind w:firstLine="560" w:firstLineChars="200"/>
        <w:jc w:val="left"/>
        <w:rPr>
          <w:rFonts w:hint="eastAsia" w:ascii="仿宋" w:hAnsi="仿宋" w:eastAsia="仿宋" w:cs="仿宋"/>
          <w:b/>
          <w:sz w:val="28"/>
          <w:szCs w:val="28"/>
          <w:highlight w:val="none"/>
        </w:rPr>
      </w:pPr>
      <w:r>
        <w:rPr>
          <w:rFonts w:hint="eastAsia" w:ascii="仿宋" w:hAnsi="仿宋" w:eastAsia="仿宋" w:cs="仿宋"/>
          <w:sz w:val="28"/>
          <w:szCs w:val="28"/>
          <w:highlight w:val="none"/>
        </w:rPr>
        <w:t>本合同的范围和条件应与上述合同文件的规定相一致。</w:t>
      </w:r>
    </w:p>
    <w:p w14:paraId="38FB767C">
      <w:pPr>
        <w:widowControl/>
        <w:snapToGrid w:val="0"/>
        <w:spacing w:line="360" w:lineRule="auto"/>
        <w:ind w:firstLine="562" w:firstLineChars="20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三</w:t>
      </w:r>
      <w:r>
        <w:rPr>
          <w:rFonts w:hint="eastAsia" w:ascii="仿宋" w:hAnsi="仿宋" w:eastAsia="仿宋" w:cs="仿宋"/>
          <w:b/>
          <w:sz w:val="28"/>
          <w:szCs w:val="28"/>
          <w:highlight w:val="none"/>
        </w:rPr>
        <w:t>、合同金额</w:t>
      </w:r>
    </w:p>
    <w:p w14:paraId="0796AF4D">
      <w:pPr>
        <w:widowControl/>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合同金额为人民币：</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元，大写：</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（分项价格详见合同货物清单）。</w:t>
      </w:r>
    </w:p>
    <w:p w14:paraId="27802E7C">
      <w:pPr>
        <w:widowControl/>
        <w:snapToGrid w:val="0"/>
        <w:spacing w:line="360" w:lineRule="auto"/>
        <w:ind w:firstLine="562" w:firstLineChars="200"/>
        <w:jc w:val="left"/>
        <w:rPr>
          <w:rFonts w:hint="eastAsia" w:ascii="仿宋" w:hAnsi="仿宋" w:eastAsia="仿宋" w:cs="仿宋"/>
          <w:sz w:val="28"/>
          <w:szCs w:val="28"/>
          <w:highlight w:val="none"/>
        </w:rPr>
      </w:pPr>
      <w:r>
        <w:rPr>
          <w:rFonts w:hint="eastAsia" w:ascii="仿宋" w:hAnsi="仿宋" w:eastAsia="仿宋" w:cs="仿宋"/>
          <w:b/>
          <w:sz w:val="28"/>
          <w:szCs w:val="28"/>
          <w:highlight w:val="none"/>
          <w:lang w:val="en-US" w:eastAsia="zh-CN"/>
        </w:rPr>
        <w:t>四</w:t>
      </w:r>
      <w:r>
        <w:rPr>
          <w:rFonts w:hint="eastAsia" w:ascii="仿宋" w:hAnsi="仿宋" w:eastAsia="仿宋" w:cs="仿宋"/>
          <w:b/>
          <w:sz w:val="28"/>
          <w:szCs w:val="28"/>
          <w:highlight w:val="none"/>
        </w:rPr>
        <w:t>、付款途径：财政性资金</w:t>
      </w:r>
    </w:p>
    <w:p w14:paraId="1574045F">
      <w:pPr>
        <w:widowControl/>
        <w:snapToGrid w:val="0"/>
        <w:spacing w:line="360" w:lineRule="auto"/>
        <w:ind w:left="120" w:leftChars="5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甲方应按合同约定的付款期限，财</w:t>
      </w:r>
      <w:r>
        <w:rPr>
          <w:rFonts w:hint="eastAsia" w:ascii="仿宋" w:hAnsi="仿宋" w:eastAsia="仿宋" w:cs="仿宋"/>
          <w:sz w:val="28"/>
          <w:szCs w:val="28"/>
          <w:highlight w:val="none"/>
          <w:lang w:val="en-US" w:eastAsia="zh-CN"/>
        </w:rPr>
        <w:t>务</w:t>
      </w:r>
      <w:r>
        <w:rPr>
          <w:rFonts w:hint="eastAsia" w:ascii="仿宋" w:hAnsi="仿宋" w:eastAsia="仿宋" w:cs="仿宋"/>
          <w:sz w:val="28"/>
          <w:szCs w:val="28"/>
          <w:highlight w:val="none"/>
        </w:rPr>
        <w:t>部门对支付申请审核无误后，将货款直接支付至乙方账户。</w:t>
      </w:r>
    </w:p>
    <w:p w14:paraId="0892FF89">
      <w:pPr>
        <w:widowControl/>
        <w:snapToGrid w:val="0"/>
        <w:spacing w:line="360" w:lineRule="auto"/>
        <w:ind w:firstLine="562" w:firstLineChars="20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五</w:t>
      </w:r>
      <w:r>
        <w:rPr>
          <w:rFonts w:hint="eastAsia" w:ascii="仿宋" w:hAnsi="仿宋" w:eastAsia="仿宋" w:cs="仿宋"/>
          <w:b/>
          <w:sz w:val="28"/>
          <w:szCs w:val="28"/>
          <w:highlight w:val="none"/>
        </w:rPr>
        <w:t>、付款方式</w:t>
      </w:r>
    </w:p>
    <w:p w14:paraId="5F16D5FB">
      <w:pPr>
        <w:widowControl/>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付款</w:t>
      </w:r>
      <w:r>
        <w:rPr>
          <w:rFonts w:hint="eastAsia" w:ascii="仿宋" w:hAnsi="仿宋" w:eastAsia="仿宋" w:cs="仿宋"/>
          <w:sz w:val="28"/>
          <w:szCs w:val="28"/>
          <w:highlight w:val="none"/>
          <w:lang w:val="en-US" w:eastAsia="zh-CN"/>
        </w:rPr>
        <w:t>方式</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lang w:val="en-US" w:eastAsia="zh-CN"/>
        </w:rPr>
        <w:t>合同签订后支付合同总价的30%预付款，供应商需提供金融机构出具的等额预付款保函，财务见保函后10个工作日内予以支付；货物全部到校开箱验收后，支付合同总价的50%进度款，经验收合格后，由乙方向甲方提供合同总金额全额的增值税专用发票，甲方见票10个工作日内支付20%尾款至合同约定账户。</w:t>
      </w:r>
    </w:p>
    <w:p w14:paraId="7B366339">
      <w:pPr>
        <w:widowControl/>
        <w:snapToGrid w:val="0"/>
        <w:spacing w:line="360" w:lineRule="auto"/>
        <w:ind w:left="278" w:leftChars="116"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2.履约保证金缴纳方式：</w:t>
      </w:r>
      <w:r>
        <w:rPr>
          <w:rFonts w:hint="eastAsia" w:ascii="仿宋" w:hAnsi="仿宋" w:eastAsia="仿宋" w:cs="仿宋"/>
          <w:sz w:val="28"/>
          <w:szCs w:val="28"/>
          <w:highlight w:val="none"/>
        </w:rPr>
        <w:t>乙方须在签订合同</w:t>
      </w:r>
      <w:r>
        <w:rPr>
          <w:rFonts w:hint="eastAsia" w:ascii="仿宋" w:hAnsi="仿宋" w:eastAsia="仿宋" w:cs="仿宋"/>
          <w:sz w:val="28"/>
          <w:szCs w:val="28"/>
          <w:highlight w:val="none"/>
          <w:lang w:val="en-US" w:eastAsia="zh-CN"/>
        </w:rPr>
        <w:t>15日内</w:t>
      </w:r>
      <w:r>
        <w:rPr>
          <w:rFonts w:hint="eastAsia" w:ascii="仿宋" w:hAnsi="仿宋" w:eastAsia="仿宋" w:cs="仿宋"/>
          <w:sz w:val="28"/>
          <w:szCs w:val="28"/>
          <w:highlight w:val="none"/>
        </w:rPr>
        <w:t>按合同总金额</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向甲方缴纳履约</w:t>
      </w:r>
      <w:r>
        <w:rPr>
          <w:rFonts w:hint="eastAsia" w:ascii="仿宋" w:hAnsi="仿宋" w:eastAsia="仿宋" w:cs="仿宋"/>
          <w:sz w:val="28"/>
          <w:szCs w:val="28"/>
          <w:highlight w:val="none"/>
          <w:lang w:val="en-US" w:eastAsia="zh-CN"/>
        </w:rPr>
        <w:t>保证金（政采云电子保函），保函有效期不得低于履约时间，履约完成后保函自动失效。</w:t>
      </w:r>
    </w:p>
    <w:p w14:paraId="6ABE8E01">
      <w:pPr>
        <w:widowControl/>
        <w:snapToGrid w:val="0"/>
        <w:spacing w:line="360" w:lineRule="auto"/>
        <w:ind w:left="278" w:leftChars="116"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3.本合同约定价款为含税价，乙方应在甲方付款前提供符合甲方财务做账需求的等额发票（或增值税发票），否则甲方有权拒付款项且不承担违约责任，乙方不得因此延迟或拒绝履行义务。</w:t>
      </w:r>
    </w:p>
    <w:p w14:paraId="1D64CF01">
      <w:pPr>
        <w:widowControl/>
        <w:snapToGrid w:val="0"/>
        <w:spacing w:line="360" w:lineRule="auto"/>
        <w:ind w:firstLine="562" w:firstLineChars="20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六</w:t>
      </w:r>
      <w:r>
        <w:rPr>
          <w:rFonts w:hint="eastAsia" w:ascii="仿宋" w:hAnsi="仿宋" w:eastAsia="仿宋" w:cs="仿宋"/>
          <w:b/>
          <w:sz w:val="28"/>
          <w:szCs w:val="28"/>
          <w:highlight w:val="none"/>
        </w:rPr>
        <w:t>、交付日期、地点</w:t>
      </w:r>
    </w:p>
    <w:p w14:paraId="0BB26F38">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1．交付日期：合同签订生效后</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内完成所有供货并安装调试完毕，并试运行达到正常运行。</w:t>
      </w:r>
    </w:p>
    <w:p w14:paraId="79FE7023">
      <w:pPr>
        <w:tabs>
          <w:tab w:val="left" w:pos="955"/>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2．交付地点：</w:t>
      </w:r>
      <w:r>
        <w:rPr>
          <w:rFonts w:hint="eastAsia" w:ascii="仿宋" w:hAnsi="仿宋" w:eastAsia="仿宋" w:cs="仿宋"/>
          <w:sz w:val="28"/>
          <w:szCs w:val="28"/>
          <w:highlight w:val="none"/>
          <w:lang w:eastAsia="zh-CN"/>
        </w:rPr>
        <w:t>新疆理工职业大学</w:t>
      </w:r>
      <w:r>
        <w:rPr>
          <w:rFonts w:hint="eastAsia" w:ascii="仿宋" w:hAnsi="仿宋" w:eastAsia="仿宋" w:cs="仿宋"/>
          <w:sz w:val="28"/>
          <w:szCs w:val="28"/>
          <w:highlight w:val="none"/>
        </w:rPr>
        <w:t xml:space="preserve">  </w:t>
      </w:r>
    </w:p>
    <w:p w14:paraId="54C12E51">
      <w:pPr>
        <w:widowControl/>
        <w:snapToGrid w:val="0"/>
        <w:spacing w:line="360" w:lineRule="auto"/>
        <w:ind w:firstLine="562" w:firstLineChars="20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七</w:t>
      </w:r>
      <w:r>
        <w:rPr>
          <w:rFonts w:hint="eastAsia" w:ascii="仿宋" w:hAnsi="仿宋" w:eastAsia="仿宋" w:cs="仿宋"/>
          <w:b/>
          <w:sz w:val="28"/>
          <w:szCs w:val="28"/>
          <w:highlight w:val="none"/>
        </w:rPr>
        <w:t>、质量保证及售后服务</w:t>
      </w:r>
    </w:p>
    <w:p w14:paraId="1426CA9A">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1.                 </w:t>
      </w:r>
      <w:r>
        <w:rPr>
          <w:rFonts w:hint="eastAsia" w:ascii="仿宋" w:hAnsi="仿宋" w:eastAsia="仿宋" w:cs="仿宋"/>
          <w:sz w:val="28"/>
          <w:szCs w:val="28"/>
          <w:highlight w:val="none"/>
        </w:rPr>
        <w:t>。</w:t>
      </w:r>
    </w:p>
    <w:p w14:paraId="4C4C9DD5">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                。</w:t>
      </w:r>
    </w:p>
    <w:p w14:paraId="5997AAA2">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．其</w:t>
      </w:r>
      <w:r>
        <w:rPr>
          <w:rFonts w:hint="eastAsia" w:ascii="仿宋" w:hAnsi="仿宋" w:eastAsia="仿宋" w:cs="仿宋"/>
          <w:sz w:val="28"/>
          <w:szCs w:val="28"/>
          <w:highlight w:val="none"/>
          <w:lang w:val="en-US" w:eastAsia="zh-CN"/>
        </w:rPr>
        <w:t>他</w:t>
      </w:r>
      <w:r>
        <w:rPr>
          <w:rFonts w:hint="eastAsia" w:ascii="仿宋" w:hAnsi="仿宋" w:eastAsia="仿宋" w:cs="仿宋"/>
          <w:sz w:val="28"/>
          <w:szCs w:val="28"/>
          <w:highlight w:val="none"/>
        </w:rPr>
        <w:t>服务条款见</w:t>
      </w:r>
      <w:r>
        <w:rPr>
          <w:rFonts w:hint="eastAsia" w:ascii="仿宋" w:hAnsi="仿宋" w:eastAsia="仿宋" w:cs="仿宋"/>
          <w:sz w:val="28"/>
          <w:szCs w:val="28"/>
          <w:highlight w:val="none"/>
          <w:lang w:val="en-US" w:eastAsia="zh-CN"/>
        </w:rPr>
        <w:t>乙方</w:t>
      </w:r>
      <w:r>
        <w:rPr>
          <w:rFonts w:hint="eastAsia" w:ascii="仿宋" w:hAnsi="仿宋" w:eastAsia="仿宋" w:cs="仿宋"/>
          <w:sz w:val="28"/>
          <w:szCs w:val="28"/>
          <w:highlight w:val="none"/>
        </w:rPr>
        <w:t>投标文件</w:t>
      </w:r>
      <w:r>
        <w:rPr>
          <w:rFonts w:hint="eastAsia" w:ascii="仿宋" w:hAnsi="仿宋" w:eastAsia="仿宋" w:cs="仿宋"/>
          <w:sz w:val="28"/>
          <w:szCs w:val="28"/>
          <w:highlight w:val="none"/>
          <w:lang w:eastAsia="zh-CN"/>
        </w:rPr>
        <w:t>。</w:t>
      </w:r>
    </w:p>
    <w:p w14:paraId="56C44B98">
      <w:pPr>
        <w:widowControl/>
        <w:snapToGrid w:val="0"/>
        <w:spacing w:line="360" w:lineRule="auto"/>
        <w:ind w:firstLine="562" w:firstLineChars="200"/>
        <w:jc w:val="left"/>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八、违约责任</w:t>
      </w:r>
    </w:p>
    <w:p w14:paraId="653F11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val="en-US" w:eastAsia="zh-CN"/>
        </w:rPr>
        <w:t>1.</w:t>
      </w:r>
      <w:r>
        <w:rPr>
          <w:rFonts w:hint="eastAsia" w:ascii="仿宋" w:hAnsi="仿宋" w:eastAsia="仿宋" w:cs="仿宋"/>
          <w:kern w:val="0"/>
          <w:sz w:val="28"/>
          <w:szCs w:val="28"/>
          <w:highlight w:val="none"/>
        </w:rPr>
        <w:t>甲方为解决因履行本合同项下各条款产生的纠纷（乙方原因）而支出的各项费用包括但不限于诉讼费用、财产保全费用、申请执行费用、律师代理费用、交通食宿费用、公告费用、评估费用、拍卖费用等全部由乙方承担，乙方对此没有异议（具体违约责任事项详见合同通用条款</w:t>
      </w:r>
      <w:r>
        <w:rPr>
          <w:rFonts w:hint="eastAsia" w:ascii="仿宋" w:hAnsi="仿宋" w:eastAsia="仿宋" w:cs="仿宋"/>
          <w:kern w:val="0"/>
          <w:sz w:val="28"/>
          <w:szCs w:val="28"/>
          <w:highlight w:val="none"/>
          <w:lang w:eastAsia="zh-CN"/>
        </w:rPr>
        <w:t>）。</w:t>
      </w:r>
    </w:p>
    <w:p w14:paraId="5318A035">
      <w:pPr>
        <w:pStyle w:val="1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2.若乙方交付的货物质量不符合约定，或未按约定日期交付货物、完成服务，每逾期一日，应向甲方支付合同总金额千分之零点三（0.3%）的违约金。逾期超过30日的，甲方有权单方解除合同，乙方应支付合同总金额20%的违约金，并赔偿因此给甲方造成的一切损失。</w:t>
      </w:r>
    </w:p>
    <w:p w14:paraId="5C8DFEA0">
      <w:pPr>
        <w:pStyle w:val="1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3.因乙方原因（包括但不限于产品质量、知识产权瑕疵等）导致甲方与任何第三方产生纠纷或遭受损失的，乙方应承担全部赔偿责任，包括但不限于甲方为解决纠纷而支出的诉讼费、仲裁费、律师费、鉴定费、保全费等全部合理费用。</w:t>
      </w:r>
    </w:p>
    <w:p w14:paraId="5084E2D5">
      <w:pPr>
        <w:pStyle w:val="1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4.若甲方逾期支付合同款项，每逾期一日，应向乙方支付逾期支付金额万分之零点五（0.5%）的违约金，违约金最多不超过合同总价的5%。</w:t>
      </w:r>
    </w:p>
    <w:p w14:paraId="123F9D1B">
      <w:pPr>
        <w:pStyle w:val="1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5.乙方应严格按甲方规定的产品规格、型号名称、数量和质量提供相应的产品及服务。乙方提供的产品或服务不符合合同约定的，甲方有权选择要求乙方重新供货或单方解除合同。甲方选择要求重新供货的，乙方逾期送达的，按照本条上一款承担违约责任。甲方选择单方解除合同的，乙方除退还货款外还应当另行承担合同总额20%的违约金。合同生效后，乙方中途废止合同（不可抗力原因除外），应按给甲方造成的损失向甲方支付赔偿金，并向甲方支付合同总金额20%的违约金。乙方违约的，甲方有权将相应违约金从应给乙方支付的货款中直接予以扣除。</w:t>
      </w:r>
    </w:p>
    <w:p w14:paraId="2D4178AB">
      <w:pPr>
        <w:pStyle w:val="1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6.本合同其他条款及通用条款中对违约责任另有约定的，从其约定。如存在约定不一致的情形，应以对甲方更为有利的约定为准。</w:t>
      </w:r>
    </w:p>
    <w:p w14:paraId="4C7D215D">
      <w:pPr>
        <w:spacing w:line="360" w:lineRule="auto"/>
        <w:ind w:firstLine="562" w:firstLineChars="200"/>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九</w:t>
      </w:r>
      <w:r>
        <w:rPr>
          <w:rFonts w:hint="eastAsia" w:ascii="仿宋" w:hAnsi="仿宋" w:eastAsia="仿宋" w:cs="仿宋"/>
          <w:b/>
          <w:sz w:val="28"/>
          <w:szCs w:val="28"/>
          <w:highlight w:val="none"/>
        </w:rPr>
        <w:t>、</w:t>
      </w:r>
      <w:r>
        <w:rPr>
          <w:rFonts w:hint="eastAsia" w:ascii="仿宋" w:hAnsi="仿宋" w:eastAsia="仿宋" w:cs="仿宋"/>
          <w:b/>
          <w:sz w:val="28"/>
          <w:szCs w:val="28"/>
          <w:highlight w:val="none"/>
          <w:lang w:val="en-US" w:eastAsia="zh-CN"/>
        </w:rPr>
        <w:t>争议解决条款</w:t>
      </w:r>
    </w:p>
    <w:p w14:paraId="466C233A">
      <w:pPr>
        <w:widowControl/>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因本合同以及与本合同有关事项发生争议的，当事人应当友好协商解决。当事人不愿和解、调解或者和解、调解不成的，双方可以向甲方所在地法院提出诉讼。并由违约方承担合同相对方所支出的诉讼费用、财产保全费用、申请执行费用、律师代理费用、交通食宿费用、公告费用、评估费用、拍卖费用等（包括但不限于以上费用）。</w:t>
      </w:r>
    </w:p>
    <w:p w14:paraId="68CC2A53">
      <w:pPr>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、合同生效</w:t>
      </w:r>
    </w:p>
    <w:p w14:paraId="0C948318">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本合同经甲乙双方签字盖章，乙方提交履约保证金</w:t>
      </w:r>
      <w:r>
        <w:rPr>
          <w:rFonts w:hint="eastAsia" w:ascii="仿宋" w:hAnsi="仿宋" w:eastAsia="仿宋" w:cs="仿宋"/>
          <w:sz w:val="28"/>
          <w:szCs w:val="28"/>
          <w:highlight w:val="none"/>
          <w:lang w:val="en-US" w:eastAsia="zh-CN"/>
        </w:rPr>
        <w:t>(电子保函)</w:t>
      </w:r>
      <w:r>
        <w:rPr>
          <w:rFonts w:hint="eastAsia" w:ascii="仿宋" w:hAnsi="仿宋" w:eastAsia="仿宋" w:cs="仿宋"/>
          <w:sz w:val="28"/>
          <w:szCs w:val="28"/>
          <w:highlight w:val="none"/>
        </w:rPr>
        <w:t>后生效。</w:t>
      </w:r>
    </w:p>
    <w:p w14:paraId="34E62915">
      <w:pPr>
        <w:widowControl/>
        <w:snapToGrid w:val="0"/>
        <w:spacing w:line="360" w:lineRule="auto"/>
        <w:ind w:left="0" w:firstLine="562" w:firstLineChars="20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十一、</w:t>
      </w:r>
      <w:r>
        <w:rPr>
          <w:rFonts w:hint="eastAsia" w:ascii="仿宋" w:hAnsi="仿宋" w:eastAsia="仿宋" w:cs="仿宋"/>
          <w:b/>
          <w:sz w:val="28"/>
          <w:szCs w:val="28"/>
          <w:highlight w:val="none"/>
        </w:rPr>
        <w:t>合同保存</w:t>
      </w:r>
    </w:p>
    <w:p w14:paraId="274C4210">
      <w:pPr>
        <w:pStyle w:val="13"/>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本合同一式</w:t>
      </w: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份，甲方五份，乙方</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份，采购代理一份。</w:t>
      </w:r>
    </w:p>
    <w:tbl>
      <w:tblPr>
        <w:tblStyle w:val="2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4"/>
        <w:gridCol w:w="2161"/>
        <w:gridCol w:w="1651"/>
        <w:gridCol w:w="3116"/>
      </w:tblGrid>
      <w:tr w14:paraId="4B2CB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1632" w:type="dxa"/>
            <w:vAlign w:val="center"/>
          </w:tcPr>
          <w:p w14:paraId="047F2455">
            <w:pPr>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甲方：（盖章）</w:t>
            </w:r>
          </w:p>
        </w:tc>
        <w:tc>
          <w:tcPr>
            <w:tcW w:w="2181" w:type="dxa"/>
            <w:vAlign w:val="center"/>
          </w:tcPr>
          <w:p w14:paraId="766E5086">
            <w:pPr>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新疆理工职业大学</w:t>
            </w:r>
          </w:p>
        </w:tc>
        <w:tc>
          <w:tcPr>
            <w:tcW w:w="1680" w:type="dxa"/>
            <w:vAlign w:val="center"/>
          </w:tcPr>
          <w:p w14:paraId="570BC497">
            <w:pPr>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乙方（盖章）：</w:t>
            </w:r>
          </w:p>
        </w:tc>
        <w:tc>
          <w:tcPr>
            <w:tcW w:w="3226" w:type="dxa"/>
            <w:vAlign w:val="center"/>
          </w:tcPr>
          <w:p w14:paraId="5FCA16AB">
            <w:pPr>
              <w:jc w:val="both"/>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 xml:space="preserve">          </w:t>
            </w:r>
          </w:p>
        </w:tc>
      </w:tr>
      <w:tr w14:paraId="677C6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632" w:type="dxa"/>
            <w:vAlign w:val="center"/>
          </w:tcPr>
          <w:p w14:paraId="6556E0D9">
            <w:pPr>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法定代表人：</w:t>
            </w:r>
          </w:p>
        </w:tc>
        <w:tc>
          <w:tcPr>
            <w:tcW w:w="2181" w:type="dxa"/>
            <w:vAlign w:val="center"/>
          </w:tcPr>
          <w:p w14:paraId="7D60CE38">
            <w:pPr>
              <w:jc w:val="both"/>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 xml:space="preserve">          </w:t>
            </w:r>
          </w:p>
        </w:tc>
        <w:tc>
          <w:tcPr>
            <w:tcW w:w="1680" w:type="dxa"/>
            <w:vAlign w:val="center"/>
          </w:tcPr>
          <w:p w14:paraId="2174286C">
            <w:pPr>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法定代表人：</w:t>
            </w:r>
          </w:p>
        </w:tc>
        <w:tc>
          <w:tcPr>
            <w:tcW w:w="3226" w:type="dxa"/>
            <w:vAlign w:val="center"/>
          </w:tcPr>
          <w:p w14:paraId="3A43E8DB">
            <w:pPr>
              <w:jc w:val="both"/>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 xml:space="preserve">          </w:t>
            </w:r>
          </w:p>
        </w:tc>
      </w:tr>
      <w:tr w14:paraId="429A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632" w:type="dxa"/>
            <w:vAlign w:val="center"/>
          </w:tcPr>
          <w:p w14:paraId="49CFE710">
            <w:pPr>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委托代理人：</w:t>
            </w:r>
          </w:p>
        </w:tc>
        <w:tc>
          <w:tcPr>
            <w:tcW w:w="2181" w:type="dxa"/>
            <w:vAlign w:val="center"/>
          </w:tcPr>
          <w:p w14:paraId="13797630">
            <w:pPr>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 xml:space="preserve">          </w:t>
            </w:r>
          </w:p>
        </w:tc>
        <w:tc>
          <w:tcPr>
            <w:tcW w:w="1680" w:type="dxa"/>
            <w:vAlign w:val="center"/>
          </w:tcPr>
          <w:p w14:paraId="46B7097B">
            <w:pPr>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委托代理人：</w:t>
            </w:r>
          </w:p>
        </w:tc>
        <w:tc>
          <w:tcPr>
            <w:tcW w:w="3226" w:type="dxa"/>
            <w:vAlign w:val="center"/>
          </w:tcPr>
          <w:p w14:paraId="138F1C41">
            <w:pPr>
              <w:jc w:val="both"/>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 xml:space="preserve">          </w:t>
            </w:r>
          </w:p>
        </w:tc>
      </w:tr>
      <w:tr w14:paraId="4E33A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632" w:type="dxa"/>
            <w:vAlign w:val="center"/>
          </w:tcPr>
          <w:p w14:paraId="7E21A93C">
            <w:pPr>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电    话：</w:t>
            </w:r>
          </w:p>
        </w:tc>
        <w:tc>
          <w:tcPr>
            <w:tcW w:w="2181" w:type="dxa"/>
            <w:vAlign w:val="center"/>
          </w:tcPr>
          <w:p w14:paraId="17A0BBA9">
            <w:pPr>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0997-6392329</w:t>
            </w:r>
          </w:p>
        </w:tc>
        <w:tc>
          <w:tcPr>
            <w:tcW w:w="1680" w:type="dxa"/>
            <w:vAlign w:val="center"/>
          </w:tcPr>
          <w:p w14:paraId="1C2849F1">
            <w:pPr>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电    话：</w:t>
            </w:r>
          </w:p>
        </w:tc>
        <w:tc>
          <w:tcPr>
            <w:tcW w:w="3226" w:type="dxa"/>
            <w:vAlign w:val="center"/>
          </w:tcPr>
          <w:p w14:paraId="146561C7">
            <w:pPr>
              <w:jc w:val="both"/>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 xml:space="preserve">          </w:t>
            </w:r>
          </w:p>
        </w:tc>
      </w:tr>
      <w:tr w14:paraId="1A03D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632" w:type="dxa"/>
            <w:vMerge w:val="restart"/>
            <w:vAlign w:val="center"/>
          </w:tcPr>
          <w:p w14:paraId="3FFB7F53">
            <w:pPr>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单位地址：</w:t>
            </w:r>
          </w:p>
        </w:tc>
        <w:tc>
          <w:tcPr>
            <w:tcW w:w="2181" w:type="dxa"/>
            <w:vMerge w:val="restart"/>
            <w:vAlign w:val="center"/>
          </w:tcPr>
          <w:p w14:paraId="34F04C03">
            <w:pPr>
              <w:jc w:val="both"/>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新疆喀什地区疏勒县草湖镇纬二路1号</w:t>
            </w:r>
          </w:p>
        </w:tc>
        <w:tc>
          <w:tcPr>
            <w:tcW w:w="1680" w:type="dxa"/>
            <w:vAlign w:val="center"/>
          </w:tcPr>
          <w:p w14:paraId="304355E7">
            <w:pPr>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bidi="ar-SA"/>
              </w:rPr>
              <w:t>开户银行：</w:t>
            </w:r>
          </w:p>
        </w:tc>
        <w:tc>
          <w:tcPr>
            <w:tcW w:w="3226" w:type="dxa"/>
            <w:vAlign w:val="center"/>
          </w:tcPr>
          <w:p w14:paraId="6EF7296E">
            <w:pPr>
              <w:jc w:val="both"/>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 xml:space="preserve">          </w:t>
            </w:r>
          </w:p>
        </w:tc>
      </w:tr>
      <w:tr w14:paraId="62ADC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632" w:type="dxa"/>
            <w:vMerge w:val="continue"/>
            <w:vAlign w:val="center"/>
          </w:tcPr>
          <w:p w14:paraId="0ABBEA63">
            <w:pPr>
              <w:rPr>
                <w:highlight w:val="none"/>
              </w:rPr>
            </w:pPr>
          </w:p>
        </w:tc>
        <w:tc>
          <w:tcPr>
            <w:tcW w:w="2181" w:type="dxa"/>
            <w:vMerge w:val="continue"/>
            <w:vAlign w:val="center"/>
          </w:tcPr>
          <w:p w14:paraId="3B91B310">
            <w:pPr>
              <w:rPr>
                <w:highlight w:val="none"/>
              </w:rPr>
            </w:pPr>
          </w:p>
        </w:tc>
        <w:tc>
          <w:tcPr>
            <w:tcW w:w="1680" w:type="dxa"/>
            <w:vAlign w:val="center"/>
          </w:tcPr>
          <w:p w14:paraId="723B61D8">
            <w:pPr>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bidi="ar-SA"/>
              </w:rPr>
              <w:t>账    号：</w:t>
            </w:r>
          </w:p>
        </w:tc>
        <w:tc>
          <w:tcPr>
            <w:tcW w:w="3226" w:type="dxa"/>
            <w:vAlign w:val="center"/>
          </w:tcPr>
          <w:p w14:paraId="3E9A1684">
            <w:pPr>
              <w:jc w:val="both"/>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 xml:space="preserve">          </w:t>
            </w:r>
          </w:p>
        </w:tc>
      </w:tr>
      <w:tr w14:paraId="582A0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632" w:type="dxa"/>
            <w:vMerge w:val="continue"/>
            <w:vAlign w:val="center"/>
          </w:tcPr>
          <w:p w14:paraId="4CCCF96C">
            <w:pPr>
              <w:rPr>
                <w:highlight w:val="none"/>
              </w:rPr>
            </w:pPr>
          </w:p>
        </w:tc>
        <w:tc>
          <w:tcPr>
            <w:tcW w:w="2181" w:type="dxa"/>
            <w:vMerge w:val="continue"/>
            <w:vAlign w:val="center"/>
          </w:tcPr>
          <w:p w14:paraId="277838DE">
            <w:pPr>
              <w:rPr>
                <w:highlight w:val="none"/>
              </w:rPr>
            </w:pPr>
          </w:p>
        </w:tc>
        <w:tc>
          <w:tcPr>
            <w:tcW w:w="1680" w:type="dxa"/>
            <w:vAlign w:val="center"/>
          </w:tcPr>
          <w:p w14:paraId="2FDD8583">
            <w:pPr>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单位地址：</w:t>
            </w:r>
          </w:p>
        </w:tc>
        <w:tc>
          <w:tcPr>
            <w:tcW w:w="3226" w:type="dxa"/>
            <w:vAlign w:val="center"/>
          </w:tcPr>
          <w:p w14:paraId="2A8E3BA9">
            <w:pPr>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 xml:space="preserve">              </w:t>
            </w:r>
          </w:p>
        </w:tc>
      </w:tr>
      <w:tr w14:paraId="6D0A7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632" w:type="dxa"/>
            <w:vAlign w:val="center"/>
          </w:tcPr>
          <w:p w14:paraId="289D9A92">
            <w:pPr>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签订日期：</w:t>
            </w:r>
          </w:p>
        </w:tc>
        <w:tc>
          <w:tcPr>
            <w:tcW w:w="2181" w:type="dxa"/>
            <w:vAlign w:val="center"/>
          </w:tcPr>
          <w:p w14:paraId="22A10AB5">
            <w:pPr>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 xml:space="preserve">    年  月   日</w:t>
            </w:r>
          </w:p>
        </w:tc>
        <w:tc>
          <w:tcPr>
            <w:tcW w:w="1680" w:type="dxa"/>
            <w:vAlign w:val="center"/>
          </w:tcPr>
          <w:p w14:paraId="0030F3B2">
            <w:pPr>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签订日期：</w:t>
            </w:r>
          </w:p>
        </w:tc>
        <w:tc>
          <w:tcPr>
            <w:tcW w:w="3226" w:type="dxa"/>
            <w:vAlign w:val="center"/>
          </w:tcPr>
          <w:p w14:paraId="5C8A0B56">
            <w:pPr>
              <w:jc w:val="both"/>
              <w:rPr>
                <w:rFonts w:hint="eastAsia" w:ascii="仿宋" w:hAnsi="仿宋" w:eastAsia="仿宋" w:cs="仿宋"/>
                <w:b/>
                <w:bCs/>
                <w:sz w:val="24"/>
                <w:szCs w:val="24"/>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 xml:space="preserve">     年   月   日</w:t>
            </w:r>
          </w:p>
        </w:tc>
      </w:tr>
    </w:tbl>
    <w:p w14:paraId="5DD55C7F">
      <w:pPr>
        <w:rPr>
          <w:rFonts w:hint="eastAsia" w:ascii="仿宋" w:hAnsi="仿宋" w:eastAsia="仿宋" w:cs="仿宋"/>
          <w:highlight w:val="none"/>
          <w:lang w:val="en-US" w:eastAsia="zh-CN"/>
        </w:rPr>
      </w:pPr>
      <w:r>
        <w:rPr>
          <w:rFonts w:hint="eastAsia" w:ascii="仿宋" w:hAnsi="仿宋" w:eastAsia="仿宋" w:cs="仿宋"/>
          <w:b/>
          <w:color w:val="000000"/>
          <w:sz w:val="28"/>
          <w:szCs w:val="28"/>
          <w:highlight w:val="none"/>
        </w:rPr>
        <w:br w:type="page"/>
      </w:r>
    </w:p>
    <w:p w14:paraId="467D87A8">
      <w:pPr>
        <w:jc w:val="center"/>
        <w:rPr>
          <w:rFonts w:hint="eastAsia" w:ascii="仿宋" w:hAnsi="仿宋" w:eastAsia="仿宋" w:cs="仿宋"/>
          <w:b/>
          <w:color w:val="000000"/>
          <w:sz w:val="28"/>
          <w:szCs w:val="28"/>
          <w:highlight w:val="none"/>
        </w:rPr>
      </w:pPr>
      <w:bookmarkStart w:id="357" w:name="_Toc155185919"/>
      <w:bookmarkStart w:id="358" w:name="_Toc163492913"/>
      <w:r>
        <w:rPr>
          <w:rFonts w:hint="eastAsia" w:ascii="仿宋" w:hAnsi="仿宋" w:eastAsia="仿宋" w:cs="仿宋"/>
          <w:b/>
          <w:color w:val="000000"/>
          <w:sz w:val="28"/>
          <w:szCs w:val="28"/>
          <w:highlight w:val="none"/>
        </w:rPr>
        <w:t>合同通</w:t>
      </w:r>
      <w:r>
        <w:rPr>
          <w:rFonts w:hint="eastAsia" w:ascii="仿宋" w:hAnsi="仿宋" w:eastAsia="仿宋" w:cs="仿宋"/>
          <w:b/>
          <w:color w:val="000000"/>
          <w:sz w:val="28"/>
          <w:szCs w:val="28"/>
          <w:highlight w:val="none"/>
          <w:lang w:val="en-US" w:eastAsia="zh-CN"/>
        </w:rPr>
        <w:t>用</w:t>
      </w:r>
      <w:r>
        <w:rPr>
          <w:rFonts w:hint="eastAsia" w:ascii="仿宋" w:hAnsi="仿宋" w:eastAsia="仿宋" w:cs="仿宋"/>
          <w:b/>
          <w:color w:val="000000"/>
          <w:sz w:val="28"/>
          <w:szCs w:val="28"/>
          <w:highlight w:val="none"/>
        </w:rPr>
        <w:t>条款</w:t>
      </w:r>
    </w:p>
    <w:p w14:paraId="2B44E7A9">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甲方在本项目中所需货物和服务在国内进行</w:t>
      </w:r>
      <w:r>
        <w:rPr>
          <w:rFonts w:hint="eastAsia" w:ascii="仿宋" w:hAnsi="仿宋" w:eastAsia="仿宋" w:cs="仿宋"/>
          <w:b/>
          <w:bCs/>
          <w:color w:val="000000"/>
          <w:sz w:val="24"/>
          <w:szCs w:val="24"/>
          <w:highlight w:val="none"/>
          <w:lang w:val="en-US" w:eastAsia="zh-CN"/>
        </w:rPr>
        <w:t xml:space="preserve">          </w:t>
      </w:r>
      <w:r>
        <w:rPr>
          <w:rFonts w:hint="eastAsia" w:ascii="仿宋" w:hAnsi="仿宋" w:eastAsia="仿宋" w:cs="仿宋"/>
          <w:color w:val="000000"/>
          <w:sz w:val="24"/>
          <w:szCs w:val="24"/>
          <w:highlight w:val="none"/>
        </w:rPr>
        <w:t>，经评标委员会评定，确定乙方为中标人。甲乙双方根据《中华人民共和国政府采购法》、《中华人民共和国</w:t>
      </w:r>
      <w:r>
        <w:rPr>
          <w:rFonts w:hint="eastAsia" w:ascii="仿宋" w:hAnsi="仿宋" w:eastAsia="仿宋" w:cs="仿宋"/>
          <w:color w:val="000000"/>
          <w:sz w:val="24"/>
          <w:szCs w:val="24"/>
          <w:highlight w:val="none"/>
          <w:lang w:val="en-US" w:eastAsia="zh-CN"/>
        </w:rPr>
        <w:t>民法典</w:t>
      </w:r>
      <w:r>
        <w:rPr>
          <w:rFonts w:hint="eastAsia" w:ascii="仿宋" w:hAnsi="仿宋" w:eastAsia="仿宋" w:cs="仿宋"/>
          <w:color w:val="000000"/>
          <w:sz w:val="24"/>
          <w:szCs w:val="24"/>
          <w:highlight w:val="none"/>
        </w:rPr>
        <w:t xml:space="preserve">》等相关法律法规以及本项目招标文件的规定，经平等协商达成合同如下： </w:t>
      </w:r>
      <w:bookmarkStart w:id="359" w:name="_Toc86202594"/>
      <w:bookmarkStart w:id="360" w:name="_Toc175644041"/>
    </w:p>
    <w:p w14:paraId="5A82BCE1">
      <w:pPr>
        <w:spacing w:line="360" w:lineRule="auto"/>
        <w:ind w:firstLine="482" w:firstLineChars="200"/>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一、定义</w:t>
      </w:r>
      <w:bookmarkEnd w:id="359"/>
      <w:bookmarkEnd w:id="360"/>
    </w:p>
    <w:p w14:paraId="74EA3EB3">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除非另有特别解释或说明，在本合同及与本合同相关的，双方另行签署的其他文件（包括但不限于本合同的附件）中，下述词语均依如下定义进行解释：</w:t>
      </w:r>
    </w:p>
    <w:p w14:paraId="6FC53C7F">
      <w:pPr>
        <w:tabs>
          <w:tab w:val="left" w:pos="360"/>
          <w:tab w:val="left" w:pos="2011"/>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1、“合同”指甲乙双方签署的，与本项目相关的协议、附件、附录和其他一切文件，还包括招标文件、投标文件中的相关内容及其有效补充文件。</w:t>
      </w:r>
    </w:p>
    <w:p w14:paraId="25E97E7F">
      <w:pPr>
        <w:tabs>
          <w:tab w:val="left" w:pos="360"/>
          <w:tab w:val="left" w:pos="2011"/>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2、“附件”是指与本合同的订立、履行有关的，经甲乙双方认可的，对本合同约定的内容进行细化、补充、修改、变更的文件、图纸、音像制品等资料。</w:t>
      </w:r>
    </w:p>
    <w:p w14:paraId="236C51AB">
      <w:pPr>
        <w:tabs>
          <w:tab w:val="left" w:pos="360"/>
          <w:tab w:val="left" w:pos="2011"/>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3、“货物”指合同货物清单（附件1）（同投标文件中货物明细表，下同）中所规定的硬件、软件、安装材料、备件及专用器具、文件资料等内容。</w:t>
      </w:r>
    </w:p>
    <w:p w14:paraId="405B0876">
      <w:pPr>
        <w:tabs>
          <w:tab w:val="left" w:pos="360"/>
          <w:tab w:val="left" w:pos="2011"/>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14:paraId="54BFBDB3">
      <w:pPr>
        <w:tabs>
          <w:tab w:val="left" w:pos="360"/>
          <w:tab w:val="left" w:pos="2011"/>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5、“检验”指按照本合同约定的标准对合同货物进行的检测与查验。</w:t>
      </w:r>
    </w:p>
    <w:p w14:paraId="0AD74BE3">
      <w:pPr>
        <w:tabs>
          <w:tab w:val="left" w:pos="360"/>
          <w:tab w:val="left" w:pos="2011"/>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6、“项目验收单”指甲、乙双方验收完成后由合同双方签署的最终验收确认书。</w:t>
      </w:r>
    </w:p>
    <w:p w14:paraId="21A8F50C">
      <w:pPr>
        <w:tabs>
          <w:tab w:val="left" w:pos="360"/>
          <w:tab w:val="left" w:pos="2011"/>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7、“技术资料”指安装、调试、使用、维修合同货物所应具备的产品使用说明书或使用指南、操作手册、维修指南、服务手册、电路图、产品演示等文件。</w:t>
      </w:r>
    </w:p>
    <w:p w14:paraId="3758AFFF">
      <w:pPr>
        <w:tabs>
          <w:tab w:val="left" w:pos="36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8、“保修期”指自验收单签署之日起，乙方免费对所卖给甲方货物更换整件或零部件，维修、保养及技术支持、产品升级并以自担费用方式保证项目正常运行的时期。</w:t>
      </w:r>
    </w:p>
    <w:p w14:paraId="17C0356F">
      <w:pPr>
        <w:tabs>
          <w:tab w:val="left" w:pos="360"/>
          <w:tab w:val="left" w:pos="2011"/>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9、“第三人”是指本合同双方以外的任何中国境内、外的自然人、法人或其他经济组织。</w:t>
      </w:r>
    </w:p>
    <w:p w14:paraId="5B478E5A">
      <w:pPr>
        <w:tabs>
          <w:tab w:val="left" w:pos="480"/>
          <w:tab w:val="left" w:pos="2011"/>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10、“法律、法规”是指由中国有关部门制定的法律、行政法规、地方性法规、规章及其他规范性文件以及经全国人民代表大会常务委员会批准的中国缔结、参加的国际条（公）约的有关规定。</w:t>
      </w:r>
    </w:p>
    <w:p w14:paraId="2561CB49">
      <w:pPr>
        <w:tabs>
          <w:tab w:val="left" w:pos="480"/>
          <w:tab w:val="left" w:pos="2011"/>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11、“招标文件”指采购代理机构发布的本项目招标文件。</w:t>
      </w:r>
    </w:p>
    <w:p w14:paraId="3E86E4F1">
      <w:pPr>
        <w:tabs>
          <w:tab w:val="left" w:pos="480"/>
          <w:tab w:val="left" w:pos="2011"/>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12、“投标文件”指乙方按照本项目招标文件的要求编制和投递，并最终经采购代理机构接收的投标文件。</w:t>
      </w:r>
    </w:p>
    <w:p w14:paraId="5E92A895">
      <w:pPr>
        <w:spacing w:line="360" w:lineRule="auto"/>
        <w:ind w:firstLine="501" w:firstLineChars="208"/>
        <w:rPr>
          <w:rFonts w:hint="eastAsia" w:ascii="仿宋" w:hAnsi="仿宋" w:eastAsia="仿宋" w:cs="仿宋"/>
          <w:b/>
          <w:bCs/>
          <w:color w:val="000000"/>
          <w:sz w:val="24"/>
          <w:szCs w:val="24"/>
          <w:highlight w:val="none"/>
        </w:rPr>
      </w:pPr>
      <w:bookmarkStart w:id="361" w:name="_Toc175644043"/>
      <w:bookmarkStart w:id="362" w:name="_Toc86202595"/>
      <w:r>
        <w:rPr>
          <w:rFonts w:hint="eastAsia" w:ascii="仿宋" w:hAnsi="仿宋" w:eastAsia="仿宋" w:cs="仿宋"/>
          <w:b/>
          <w:bCs/>
          <w:color w:val="000000"/>
          <w:sz w:val="24"/>
          <w:szCs w:val="24"/>
          <w:highlight w:val="none"/>
        </w:rPr>
        <w:t>二、货物、数量及规格</w:t>
      </w:r>
    </w:p>
    <w:p w14:paraId="620C0542">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本合同所提供的货物、数量及规格详见合同货物清单。</w:t>
      </w:r>
    </w:p>
    <w:p w14:paraId="67FEF49F">
      <w:pPr>
        <w:tabs>
          <w:tab w:val="left" w:pos="480"/>
          <w:tab w:val="left" w:pos="1413"/>
        </w:tabs>
        <w:spacing w:line="360" w:lineRule="auto"/>
        <w:ind w:firstLine="482" w:firstLineChars="200"/>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三、合同价格</w:t>
      </w:r>
      <w:bookmarkEnd w:id="361"/>
      <w:bookmarkEnd w:id="362"/>
    </w:p>
    <w:p w14:paraId="786CEBB4">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1、合同金额详见合同格式。</w:t>
      </w:r>
    </w:p>
    <w:p w14:paraId="64D170C6">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14:paraId="3445D8CE">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3、合同货物详细目录及销售价格详见合同格式附件1合同货物清单（同投标文件中报价明细表）。</w:t>
      </w:r>
      <w:bookmarkStart w:id="363" w:name="_Toc86202596"/>
      <w:bookmarkStart w:id="364" w:name="_Toc175644044"/>
    </w:p>
    <w:p w14:paraId="7C875B21">
      <w:pPr>
        <w:tabs>
          <w:tab w:val="left" w:pos="480"/>
          <w:tab w:val="left" w:pos="1413"/>
        </w:tabs>
        <w:spacing w:line="360" w:lineRule="auto"/>
        <w:ind w:firstLine="482" w:firstLineChars="200"/>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四、</w:t>
      </w:r>
      <w:bookmarkEnd w:id="363"/>
      <w:bookmarkEnd w:id="364"/>
      <w:r>
        <w:rPr>
          <w:rFonts w:hint="eastAsia" w:ascii="仿宋" w:hAnsi="仿宋" w:eastAsia="仿宋" w:cs="仿宋"/>
          <w:b/>
          <w:color w:val="000000"/>
          <w:sz w:val="24"/>
          <w:szCs w:val="24"/>
          <w:highlight w:val="none"/>
        </w:rPr>
        <w:t>付款</w:t>
      </w:r>
    </w:p>
    <w:p w14:paraId="7BE47429">
      <w:pPr>
        <w:tabs>
          <w:tab w:val="left" w:pos="360"/>
          <w:tab w:val="left" w:pos="480"/>
          <w:tab w:val="left" w:pos="84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1、双方因本合同发生的一切费用均以人民币结算及支付。</w:t>
      </w:r>
    </w:p>
    <w:p w14:paraId="51B3F63B">
      <w:pPr>
        <w:tabs>
          <w:tab w:val="left" w:pos="360"/>
          <w:tab w:val="left" w:pos="480"/>
          <w:tab w:val="left" w:pos="84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2、双方的帐户名称、开户银行及帐号以本合同提供的为准。</w:t>
      </w:r>
    </w:p>
    <w:p w14:paraId="460CBC6C">
      <w:pPr>
        <w:tabs>
          <w:tab w:val="left" w:pos="360"/>
          <w:tab w:val="left" w:pos="480"/>
          <w:tab w:val="left" w:pos="84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3、付款途径：按照招标文件</w:t>
      </w:r>
      <w:r>
        <w:rPr>
          <w:rFonts w:hint="eastAsia" w:ascii="仿宋" w:hAnsi="仿宋" w:eastAsia="仿宋" w:cs="仿宋"/>
          <w:bCs/>
          <w:color w:val="000000"/>
          <w:sz w:val="24"/>
          <w:szCs w:val="24"/>
          <w:highlight w:val="none"/>
        </w:rPr>
        <w:t>“供应商须知前附表”</w:t>
      </w:r>
      <w:r>
        <w:rPr>
          <w:rFonts w:hint="eastAsia" w:ascii="仿宋" w:hAnsi="仿宋" w:eastAsia="仿宋" w:cs="仿宋"/>
          <w:bCs/>
          <w:color w:val="000000"/>
          <w:sz w:val="24"/>
          <w:szCs w:val="24"/>
          <w:highlight w:val="none"/>
          <w:lang w:val="en-US" w:eastAsia="zh-CN"/>
        </w:rPr>
        <w:t>中</w:t>
      </w:r>
      <w:r>
        <w:rPr>
          <w:rFonts w:hint="eastAsia" w:ascii="仿宋" w:hAnsi="仿宋" w:eastAsia="仿宋" w:cs="仿宋"/>
          <w:bCs/>
          <w:color w:val="000000"/>
          <w:sz w:val="24"/>
          <w:szCs w:val="24"/>
          <w:highlight w:val="none"/>
        </w:rPr>
        <w:t>的规定。</w:t>
      </w:r>
    </w:p>
    <w:p w14:paraId="26BB0B95">
      <w:pPr>
        <w:pStyle w:val="13"/>
        <w:spacing w:after="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4、付款方式：按照招标文件</w:t>
      </w:r>
      <w:r>
        <w:rPr>
          <w:rFonts w:hint="eastAsia" w:ascii="仿宋" w:hAnsi="仿宋" w:eastAsia="仿宋" w:cs="仿宋"/>
          <w:bCs/>
          <w:color w:val="000000"/>
          <w:sz w:val="24"/>
          <w:szCs w:val="24"/>
          <w:highlight w:val="none"/>
        </w:rPr>
        <w:t>“供应商须知前附表”</w:t>
      </w:r>
      <w:r>
        <w:rPr>
          <w:rFonts w:hint="eastAsia" w:ascii="仿宋" w:hAnsi="仿宋" w:eastAsia="仿宋" w:cs="仿宋"/>
          <w:bCs/>
          <w:color w:val="000000"/>
          <w:sz w:val="24"/>
          <w:szCs w:val="24"/>
          <w:highlight w:val="none"/>
          <w:lang w:val="en-US" w:eastAsia="zh-CN"/>
        </w:rPr>
        <w:t>中</w:t>
      </w:r>
      <w:r>
        <w:rPr>
          <w:rFonts w:hint="eastAsia" w:ascii="仿宋" w:hAnsi="仿宋" w:eastAsia="仿宋" w:cs="仿宋"/>
          <w:bCs/>
          <w:color w:val="000000"/>
          <w:sz w:val="24"/>
          <w:szCs w:val="24"/>
          <w:highlight w:val="none"/>
        </w:rPr>
        <w:t>的规定。</w:t>
      </w:r>
    </w:p>
    <w:p w14:paraId="43696694">
      <w:pPr>
        <w:tabs>
          <w:tab w:val="left" w:pos="360"/>
          <w:tab w:val="left" w:pos="480"/>
          <w:tab w:val="left" w:pos="840"/>
          <w:tab w:val="left" w:pos="1413"/>
        </w:tabs>
        <w:spacing w:line="360" w:lineRule="auto"/>
        <w:ind w:firstLine="480" w:firstLineChars="200"/>
        <w:rPr>
          <w:rFonts w:hint="eastAsia" w:ascii="仿宋" w:hAnsi="仿宋" w:eastAsia="仿宋" w:cs="仿宋"/>
          <w:color w:val="000000"/>
          <w:sz w:val="24"/>
          <w:szCs w:val="24"/>
          <w:highlight w:val="none"/>
        </w:rPr>
      </w:pPr>
      <w:bookmarkStart w:id="365" w:name="_Toc86202597"/>
      <w:r>
        <w:rPr>
          <w:rFonts w:hint="eastAsia" w:ascii="仿宋" w:hAnsi="仿宋" w:eastAsia="仿宋" w:cs="仿宋"/>
          <w:color w:val="000000"/>
          <w:sz w:val="24"/>
          <w:szCs w:val="24"/>
          <w:highlight w:val="none"/>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14:paraId="692885F2">
      <w:pPr>
        <w:tabs>
          <w:tab w:val="left" w:pos="360"/>
          <w:tab w:val="left" w:pos="480"/>
          <w:tab w:val="left" w:pos="84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6、甲方直接与乙方付款结算，采购代理机构不对其付款承担连带责任或任何其它责任，在任何情形下乙方亦只能直接向甲方追索而不应当向采购代理机构追索。</w:t>
      </w:r>
    </w:p>
    <w:p w14:paraId="06EB20B1">
      <w:pPr>
        <w:tabs>
          <w:tab w:val="left" w:pos="480"/>
          <w:tab w:val="left" w:pos="1413"/>
        </w:tabs>
        <w:spacing w:line="360" w:lineRule="auto"/>
        <w:ind w:firstLine="482" w:firstLineChars="200"/>
        <w:rPr>
          <w:rFonts w:hint="eastAsia" w:ascii="仿宋" w:hAnsi="仿宋" w:eastAsia="仿宋" w:cs="仿宋"/>
          <w:b/>
          <w:color w:val="000000"/>
          <w:sz w:val="24"/>
          <w:szCs w:val="24"/>
          <w:highlight w:val="none"/>
        </w:rPr>
      </w:pPr>
      <w:bookmarkStart w:id="366" w:name="_Toc175644045"/>
      <w:r>
        <w:rPr>
          <w:rFonts w:hint="eastAsia" w:ascii="仿宋" w:hAnsi="仿宋" w:eastAsia="仿宋" w:cs="仿宋"/>
          <w:b/>
          <w:color w:val="000000"/>
          <w:sz w:val="24"/>
          <w:szCs w:val="24"/>
          <w:highlight w:val="none"/>
        </w:rPr>
        <w:t>五、</w:t>
      </w:r>
      <w:bookmarkEnd w:id="365"/>
      <w:bookmarkEnd w:id="366"/>
      <w:r>
        <w:rPr>
          <w:rFonts w:hint="eastAsia" w:ascii="仿宋" w:hAnsi="仿宋" w:eastAsia="仿宋" w:cs="仿宋"/>
          <w:b/>
          <w:color w:val="000000"/>
          <w:sz w:val="24"/>
          <w:szCs w:val="24"/>
          <w:highlight w:val="none"/>
        </w:rPr>
        <w:t>交付</w:t>
      </w:r>
    </w:p>
    <w:p w14:paraId="5A954E33">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1、乙方负责办理运输和保险，将货物运抵交货地点。有关运输、保险和装卸等一切相关的费用由乙方承担。</w:t>
      </w:r>
    </w:p>
    <w:p w14:paraId="2F8E0990">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2、货物应运至甲方指定地点，并卸至甲方指定位置，开箱清点及初步检验时双方应派人员参加。</w:t>
      </w:r>
    </w:p>
    <w:p w14:paraId="1E0A8AAA">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3、所有货物运抵现场并且安装完毕经检验合格交付甲方，该日期为交付日期。双方签署交付收货单后为交付完毕。交付完毕货物所有权发生转移，此前货物毁坏的风险由乙方承担。</w:t>
      </w:r>
    </w:p>
    <w:p w14:paraId="62F1D535">
      <w:pPr>
        <w:tabs>
          <w:tab w:val="left" w:pos="360"/>
          <w:tab w:val="left" w:pos="480"/>
          <w:tab w:val="left" w:pos="1413"/>
        </w:tabs>
        <w:spacing w:line="360" w:lineRule="auto"/>
        <w:ind w:firstLine="480" w:firstLineChars="200"/>
        <w:rPr>
          <w:rFonts w:hint="eastAsia" w:ascii="仿宋" w:hAnsi="仿宋" w:eastAsia="仿宋" w:cs="仿宋"/>
          <w:bCs/>
          <w:color w:val="000000"/>
          <w:sz w:val="24"/>
          <w:szCs w:val="24"/>
          <w:highlight w:val="none"/>
        </w:rPr>
      </w:pPr>
      <w:r>
        <w:rPr>
          <w:rFonts w:hint="eastAsia" w:ascii="仿宋" w:hAnsi="仿宋" w:eastAsia="仿宋" w:cs="仿宋"/>
          <w:color w:val="000000"/>
          <w:sz w:val="24"/>
          <w:szCs w:val="24"/>
          <w:highlight w:val="none"/>
        </w:rPr>
        <w:t>4、交付日期：按照招标文件</w:t>
      </w:r>
      <w:r>
        <w:rPr>
          <w:rFonts w:hint="eastAsia" w:ascii="仿宋" w:hAnsi="仿宋" w:eastAsia="仿宋" w:cs="仿宋"/>
          <w:bCs/>
          <w:color w:val="000000"/>
          <w:sz w:val="24"/>
          <w:szCs w:val="24"/>
          <w:highlight w:val="none"/>
        </w:rPr>
        <w:t>“供应商须知前附表”</w:t>
      </w:r>
      <w:r>
        <w:rPr>
          <w:rFonts w:hint="eastAsia" w:ascii="仿宋" w:hAnsi="仿宋" w:eastAsia="仿宋" w:cs="仿宋"/>
          <w:bCs/>
          <w:color w:val="000000"/>
          <w:sz w:val="24"/>
          <w:szCs w:val="24"/>
          <w:highlight w:val="none"/>
          <w:lang w:val="en-US" w:eastAsia="zh-CN"/>
        </w:rPr>
        <w:t>中</w:t>
      </w:r>
      <w:r>
        <w:rPr>
          <w:rFonts w:hint="eastAsia" w:ascii="仿宋" w:hAnsi="仿宋" w:eastAsia="仿宋" w:cs="仿宋"/>
          <w:bCs/>
          <w:color w:val="000000"/>
          <w:sz w:val="24"/>
          <w:szCs w:val="24"/>
          <w:highlight w:val="none"/>
        </w:rPr>
        <w:t>的规定。</w:t>
      </w:r>
    </w:p>
    <w:p w14:paraId="018B4173">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5、交付地点</w:t>
      </w:r>
      <w:bookmarkStart w:id="367" w:name="_Toc175644046"/>
      <w:bookmarkStart w:id="368" w:name="_Toc86202598"/>
      <w:r>
        <w:rPr>
          <w:rFonts w:hint="eastAsia" w:ascii="仿宋" w:hAnsi="仿宋" w:eastAsia="仿宋" w:cs="仿宋"/>
          <w:color w:val="000000"/>
          <w:sz w:val="24"/>
          <w:szCs w:val="24"/>
          <w:highlight w:val="none"/>
        </w:rPr>
        <w:t>：按照招标文件</w:t>
      </w:r>
      <w:r>
        <w:rPr>
          <w:rFonts w:hint="eastAsia" w:ascii="仿宋" w:hAnsi="仿宋" w:eastAsia="仿宋" w:cs="仿宋"/>
          <w:bCs/>
          <w:color w:val="000000"/>
          <w:sz w:val="24"/>
          <w:szCs w:val="24"/>
          <w:highlight w:val="none"/>
        </w:rPr>
        <w:t>“供应商须知前附表”</w:t>
      </w:r>
      <w:r>
        <w:rPr>
          <w:rFonts w:hint="eastAsia" w:ascii="仿宋" w:hAnsi="仿宋" w:eastAsia="仿宋" w:cs="仿宋"/>
          <w:bCs/>
          <w:color w:val="000000"/>
          <w:sz w:val="24"/>
          <w:szCs w:val="24"/>
          <w:highlight w:val="none"/>
          <w:lang w:val="en-US" w:eastAsia="zh-CN"/>
        </w:rPr>
        <w:t>中</w:t>
      </w:r>
      <w:r>
        <w:rPr>
          <w:rFonts w:hint="eastAsia" w:ascii="仿宋" w:hAnsi="仿宋" w:eastAsia="仿宋" w:cs="仿宋"/>
          <w:bCs/>
          <w:color w:val="000000"/>
          <w:sz w:val="24"/>
          <w:szCs w:val="24"/>
          <w:highlight w:val="none"/>
        </w:rPr>
        <w:t>的规定。</w:t>
      </w:r>
    </w:p>
    <w:p w14:paraId="42B6141D">
      <w:pPr>
        <w:tabs>
          <w:tab w:val="left" w:pos="360"/>
          <w:tab w:val="left" w:pos="480"/>
          <w:tab w:val="left" w:pos="1413"/>
        </w:tabs>
        <w:spacing w:line="360" w:lineRule="auto"/>
        <w:ind w:firstLine="482" w:firstLineChars="200"/>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六、包装和标记</w:t>
      </w:r>
      <w:bookmarkEnd w:id="367"/>
      <w:bookmarkEnd w:id="368"/>
    </w:p>
    <w:p w14:paraId="278DA02E">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1、乙方交付的所有合同货物应具有适于运输的坚固包装，并且乙方应根据合同货物的不同特性和要求采取防潮、防雨、防锈、防震、防腐等保护措施，以确保合同货物安全无损地送达交货地点。</w:t>
      </w:r>
    </w:p>
    <w:p w14:paraId="08061A67">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2、凡由于乙方对合同货物包装不善、标记不明、防护措施不当或在合同货物装箱前保管不良，致使合同货物遭到损坏或丢失，乙方应负责免费修理或更换，并承担由此给甲方造成的一切损失。</w:t>
      </w:r>
      <w:bookmarkStart w:id="369" w:name="_Toc86202599"/>
      <w:bookmarkStart w:id="370" w:name="_Toc175644047"/>
    </w:p>
    <w:p w14:paraId="6ED3E787">
      <w:pPr>
        <w:tabs>
          <w:tab w:val="left" w:pos="360"/>
          <w:tab w:val="left" w:pos="480"/>
          <w:tab w:val="left" w:pos="1413"/>
        </w:tabs>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七、质量标准和检验</w:t>
      </w:r>
      <w:bookmarkEnd w:id="369"/>
      <w:r>
        <w:rPr>
          <w:rFonts w:hint="eastAsia" w:ascii="仿宋" w:hAnsi="仿宋" w:eastAsia="仿宋" w:cs="仿宋"/>
          <w:b/>
          <w:sz w:val="24"/>
          <w:szCs w:val="24"/>
          <w:highlight w:val="none"/>
        </w:rPr>
        <w:t>方式</w:t>
      </w:r>
      <w:bookmarkEnd w:id="370"/>
    </w:p>
    <w:p w14:paraId="45DD1886">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1、乙方应保证提供给甲方的合同货物是货物生产厂商原造的，全新、未使用过的，是用一流的工艺和优质材料制造而成的，并完全符合本项目招标文件</w:t>
      </w:r>
      <w:r>
        <w:rPr>
          <w:rFonts w:hint="eastAsia" w:ascii="仿宋" w:hAnsi="仿宋" w:eastAsia="仿宋" w:cs="仿宋"/>
          <w:color w:val="000000"/>
          <w:sz w:val="24"/>
          <w:szCs w:val="24"/>
          <w:highlight w:val="none"/>
        </w:rPr>
        <w:t>规定的质量、性能和规格的要求。</w:t>
      </w:r>
    </w:p>
    <w:p w14:paraId="219172C9">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乙方提供给甲方的合同货物应通过货物制造厂商的出厂检验，并提供质量合格证书。乙方承诺提供给甲方的合同货物的技术规范应与本项目招标文件中《采购需求》部分中的规定及投标文件中《技术规范偏离表》(如果被采购人接受) 相一致，同时，乙方提供的货物质量应符合中华人民共和国相关标准及相应的技术规范、本次采购相关文件中的全部相关要求及相关标准及相应的技术规范中之较高者。</w:t>
      </w:r>
    </w:p>
    <w:p w14:paraId="33A62795">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14:paraId="033F2B16">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4、乙方应保证所提供的货物经正确安装、合理操作和维护保养在其使用寿命期内具有令甲方满意的性能，并对由于合同货物的设计、工艺或材料的缺陷而发生的任何故障负责。</w:t>
      </w:r>
    </w:p>
    <w:p w14:paraId="765B6A82">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采购项目验收单》，以此作为乙方履约进度的依据。</w:t>
      </w:r>
    </w:p>
    <w:p w14:paraId="57214177">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6、甲方对合同货物的数量、规格和质量的检验，应依据本项目招标文件中的有关规定进行。</w:t>
      </w:r>
    </w:p>
    <w:p w14:paraId="189EDC8A">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7、若检验时发现货物数量不足、规格与合同要求不符或开箱时虽然货物外包装完好无损，但箱内货物短缺或损伤，双方应签署书面形式证明，乙方应根据该证明及时补足或更换。</w:t>
      </w:r>
    </w:p>
    <w:p w14:paraId="3DDE111B">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14:paraId="093B4040">
      <w:pPr>
        <w:tabs>
          <w:tab w:val="left" w:pos="360"/>
          <w:tab w:val="left" w:pos="480"/>
          <w:tab w:val="left" w:pos="1413"/>
        </w:tabs>
        <w:spacing w:line="360" w:lineRule="auto"/>
        <w:ind w:firstLine="482" w:firstLineChars="200"/>
        <w:rPr>
          <w:rFonts w:hint="eastAsia" w:ascii="仿宋" w:hAnsi="仿宋" w:eastAsia="仿宋" w:cs="仿宋"/>
          <w:b/>
          <w:color w:val="000000"/>
          <w:sz w:val="24"/>
          <w:szCs w:val="24"/>
          <w:highlight w:val="none"/>
        </w:rPr>
      </w:pPr>
      <w:bookmarkStart w:id="371" w:name="_Toc175644048"/>
      <w:bookmarkStart w:id="372" w:name="_Toc86202601"/>
      <w:r>
        <w:rPr>
          <w:rFonts w:hint="eastAsia" w:ascii="仿宋" w:hAnsi="仿宋" w:eastAsia="仿宋" w:cs="仿宋"/>
          <w:b/>
          <w:color w:val="000000"/>
          <w:sz w:val="24"/>
          <w:szCs w:val="24"/>
          <w:highlight w:val="none"/>
        </w:rPr>
        <w:t>八、技术服务和保修责任</w:t>
      </w:r>
      <w:bookmarkEnd w:id="371"/>
      <w:bookmarkEnd w:id="372"/>
    </w:p>
    <w:p w14:paraId="664940F1">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1、乙方对合同货物、服务的保修期按照招标文件</w:t>
      </w:r>
      <w:r>
        <w:rPr>
          <w:rFonts w:hint="eastAsia" w:ascii="仿宋" w:hAnsi="仿宋" w:eastAsia="仿宋" w:cs="仿宋"/>
          <w:bCs/>
          <w:color w:val="000000"/>
          <w:sz w:val="24"/>
          <w:szCs w:val="24"/>
          <w:highlight w:val="none"/>
        </w:rPr>
        <w:t>“供应商须知前附表”</w:t>
      </w:r>
      <w:r>
        <w:rPr>
          <w:rFonts w:hint="eastAsia" w:ascii="仿宋" w:hAnsi="仿宋" w:eastAsia="仿宋" w:cs="仿宋"/>
          <w:bCs/>
          <w:color w:val="000000"/>
          <w:sz w:val="24"/>
          <w:szCs w:val="24"/>
          <w:highlight w:val="none"/>
          <w:lang w:val="en-US" w:eastAsia="zh-CN"/>
        </w:rPr>
        <w:t>中</w:t>
      </w:r>
      <w:r>
        <w:rPr>
          <w:rFonts w:hint="eastAsia" w:ascii="仿宋" w:hAnsi="仿宋" w:eastAsia="仿宋" w:cs="仿宋"/>
          <w:bCs/>
          <w:color w:val="000000"/>
          <w:sz w:val="24"/>
          <w:szCs w:val="24"/>
          <w:highlight w:val="none"/>
        </w:rPr>
        <w:t>的规定</w:t>
      </w:r>
      <w:r>
        <w:rPr>
          <w:rFonts w:hint="eastAsia" w:ascii="仿宋" w:hAnsi="仿宋" w:eastAsia="仿宋" w:cs="仿宋"/>
          <w:color w:val="000000"/>
          <w:sz w:val="24"/>
          <w:szCs w:val="24"/>
          <w:highlight w:val="none"/>
        </w:rPr>
        <w:t>。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14:paraId="1813C487">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14:paraId="6245D08D">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14:paraId="0299F296">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4、在免费保修期内，如果由于乙方更换、修理和续补货物或更换服务，而造成本合同不得不停止运行，保修期应依照停止运行的实际时间加以延长，如因此给甲方造成损失，乙方应负责赔偿。</w:t>
      </w:r>
    </w:p>
    <w:p w14:paraId="6AA14ACE">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14:paraId="0E27C639">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14:paraId="614381E2">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7、若由于甲方提出增加并不涉及安全性的新功能而引起的软件升级，相关成本费由甲方承担，乙方不得赚取利润或拒绝、拖延。</w:t>
      </w:r>
    </w:p>
    <w:p w14:paraId="2D2371E3">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8、若由于乙方增加并不涉及安全性的新功能引起软件升级，而且甲方愿意增加该新功能时，由双方协商解决。</w:t>
      </w:r>
    </w:p>
    <w:p w14:paraId="69457752">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14:paraId="74B87EF4">
      <w:pPr>
        <w:tabs>
          <w:tab w:val="left" w:pos="360"/>
          <w:tab w:val="left" w:pos="480"/>
          <w:tab w:val="left" w:pos="1413"/>
        </w:tabs>
        <w:spacing w:line="360" w:lineRule="auto"/>
        <w:ind w:firstLine="482" w:firstLineChars="200"/>
        <w:rPr>
          <w:rFonts w:hint="eastAsia" w:ascii="仿宋" w:hAnsi="仿宋" w:eastAsia="仿宋" w:cs="仿宋"/>
          <w:b/>
          <w:color w:val="000000"/>
          <w:sz w:val="24"/>
          <w:szCs w:val="24"/>
          <w:highlight w:val="none"/>
        </w:rPr>
      </w:pPr>
      <w:bookmarkStart w:id="373" w:name="_Toc175644049"/>
      <w:bookmarkStart w:id="374" w:name="_Toc86202602"/>
      <w:r>
        <w:rPr>
          <w:rFonts w:hint="eastAsia" w:ascii="仿宋" w:hAnsi="仿宋" w:eastAsia="仿宋" w:cs="仿宋"/>
          <w:b/>
          <w:color w:val="000000"/>
          <w:sz w:val="24"/>
          <w:szCs w:val="24"/>
          <w:highlight w:val="none"/>
        </w:rPr>
        <w:t>九、违约责任</w:t>
      </w:r>
      <w:bookmarkEnd w:id="373"/>
      <w:bookmarkEnd w:id="374"/>
    </w:p>
    <w:p w14:paraId="2D2306FC">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1、对本合同的任何违反均构成违约。</w:t>
      </w:r>
    </w:p>
    <w:p w14:paraId="77281D85">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14:paraId="760D483E">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1）在甲方同意延长的期限内交付全部货物、提供服务并承担由此给甲方造成的直接损失及甲方因此产生的对第三方的责任。</w:t>
      </w:r>
    </w:p>
    <w:p w14:paraId="5D1AB3CF">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14:paraId="554A38FD">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3）根据货物、服务低劣程度、损坏程度以及使甲方所遭受的损失及甲方因此产生的对第三方的责任，经双方商定降低货物、服务的价格或赔偿甲方所遭受的损失及甲方因此产生的对第三方的责任。</w:t>
      </w:r>
    </w:p>
    <w:p w14:paraId="50F4893B">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4）按合同规定的同种货币将甲方所退货物已支付的货款全部退还给甲方，并承担由此发生的直接损失和相关费用及甲方因此产生的对第三方的责任。</w:t>
      </w:r>
    </w:p>
    <w:p w14:paraId="2F30D7E3">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5）甲方有权部分或全部解除合同并要求乙方赔偿由此造成的损失及甲方因此产生的对第三方的责任。此时甲方可采取必要的补救措施，相关费用由乙方承担。</w:t>
      </w:r>
    </w:p>
    <w:p w14:paraId="5EF5E45F">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6）此外，上述情形下甲方为采取必要的补救措施或因防止损失扩大而支出的合理费用应由乙方承担。</w:t>
      </w:r>
    </w:p>
    <w:p w14:paraId="5E5AE142">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14:paraId="0D0B1FB3">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除有另行约定外，乙方如延期交付，每延迟1日，按应交付货物总额0.3‰支付违约金。若乙方逾期交付时间超过30日的，视为乙方根本违约，甲方有权单方解除合同，不再向乙方支付任何费用，同时乙方交付的履约保证金将全部扣除作为违约赔偿。</w:t>
      </w:r>
    </w:p>
    <w:p w14:paraId="6841ED21">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若乙方未按照本合同约定向甲方驻派工程师的，视为乙方违约，乙方应按照驻派工程的时间每缺席一日向甲方支付违约金合同总额0.3‰，若因乙方工程师不到位导致设备未及时得到维修的，一切损失由乙方负责，同时甲方有权聘请第三方进行维修，因此而产生的费用由乙方承担。</w:t>
      </w:r>
    </w:p>
    <w:p w14:paraId="0B5138D2">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bookmarkStart w:id="375" w:name="_Toc86202603"/>
      <w:r>
        <w:rPr>
          <w:rFonts w:hint="eastAsia" w:ascii="仿宋" w:hAnsi="仿宋" w:eastAsia="仿宋" w:cs="仿宋"/>
          <w:color w:val="000000"/>
          <w:sz w:val="24"/>
          <w:szCs w:val="24"/>
          <w:highlight w:val="none"/>
        </w:rPr>
        <w:t>5、</w:t>
      </w:r>
      <w:r>
        <w:rPr>
          <w:rFonts w:hint="eastAsia" w:ascii="仿宋" w:hAnsi="仿宋" w:eastAsia="仿宋" w:cs="仿宋"/>
          <w:sz w:val="24"/>
          <w:szCs w:val="24"/>
          <w:highlight w:val="none"/>
        </w:rPr>
        <w:t>当违约行为给对方造成损失时，若违约金不足以弥补全部损失，违约方还应当赔偿对方因此所受全部损失。当构成根本违约时，守约方可以单方面决定解除或终止合同履行，违约方同时还应当承担违约或赔偿责任。</w:t>
      </w:r>
    </w:p>
    <w:p w14:paraId="5AB4BF61">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7、以上各项交付的违约金并不影响违约方履行合同的各项义务。</w:t>
      </w:r>
    </w:p>
    <w:p w14:paraId="1BF627B4">
      <w:pPr>
        <w:tabs>
          <w:tab w:val="left" w:pos="360"/>
          <w:tab w:val="left" w:pos="480"/>
          <w:tab w:val="left" w:pos="1413"/>
        </w:tabs>
        <w:spacing w:line="360" w:lineRule="auto"/>
        <w:ind w:firstLine="482" w:firstLineChars="200"/>
        <w:rPr>
          <w:rFonts w:hint="eastAsia" w:ascii="仿宋" w:hAnsi="仿宋" w:eastAsia="仿宋" w:cs="仿宋"/>
          <w:b/>
          <w:color w:val="000000"/>
          <w:sz w:val="24"/>
          <w:szCs w:val="24"/>
          <w:highlight w:val="none"/>
        </w:rPr>
      </w:pPr>
      <w:bookmarkStart w:id="376" w:name="_Toc175644050"/>
      <w:r>
        <w:rPr>
          <w:rFonts w:hint="eastAsia" w:ascii="仿宋" w:hAnsi="仿宋" w:eastAsia="仿宋" w:cs="仿宋"/>
          <w:b/>
          <w:color w:val="000000"/>
          <w:sz w:val="24"/>
          <w:szCs w:val="24"/>
          <w:highlight w:val="none"/>
        </w:rPr>
        <w:t>十、不可抗力</w:t>
      </w:r>
      <w:bookmarkEnd w:id="375"/>
      <w:bookmarkEnd w:id="376"/>
    </w:p>
    <w:p w14:paraId="6EA1060E">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1、不可抗力指下列事件：战争、动乱、瘟疫、严重火灾、洪水、地震、风暴或其他自然灾害，以及本合同各方不可预见、不可防止并不能避免或克服的一切其他因素及事件。</w:t>
      </w:r>
    </w:p>
    <w:p w14:paraId="67692055">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14:paraId="289E8BC5">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65C9A0F6">
      <w:pPr>
        <w:tabs>
          <w:tab w:val="left" w:pos="360"/>
          <w:tab w:val="left" w:pos="480"/>
          <w:tab w:val="left" w:pos="1413"/>
          <w:tab w:val="left" w:pos="1531"/>
          <w:tab w:val="left" w:pos="1951"/>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4、合同各方应根据不可抗力对本合同履行的影响程度，协商确定是否终止本合同，或是继续履行本合同。</w:t>
      </w:r>
      <w:bookmarkStart w:id="377" w:name="_Toc175644051"/>
      <w:bookmarkStart w:id="378" w:name="_Toc86202604"/>
    </w:p>
    <w:p w14:paraId="59B23A72">
      <w:pPr>
        <w:tabs>
          <w:tab w:val="left" w:pos="360"/>
          <w:tab w:val="left" w:pos="480"/>
          <w:tab w:val="left" w:pos="1413"/>
        </w:tabs>
        <w:spacing w:line="360" w:lineRule="auto"/>
        <w:ind w:firstLine="482" w:firstLineChars="200"/>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十一、联系方式</w:t>
      </w:r>
      <w:bookmarkEnd w:id="377"/>
      <w:bookmarkEnd w:id="378"/>
    </w:p>
    <w:p w14:paraId="4B4AF2FA">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14:paraId="1F9549F2">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14:paraId="2E3A62C4">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3、上述发出通知、回复的费用由发出一方承担。</w:t>
      </w:r>
    </w:p>
    <w:p w14:paraId="3D5DCCF1">
      <w:pPr>
        <w:tabs>
          <w:tab w:val="left" w:pos="360"/>
          <w:tab w:val="left" w:pos="480"/>
          <w:tab w:val="left" w:pos="1413"/>
        </w:tabs>
        <w:spacing w:line="360" w:lineRule="auto"/>
        <w:ind w:firstLine="482" w:firstLineChars="200"/>
        <w:rPr>
          <w:rFonts w:hint="eastAsia" w:ascii="仿宋" w:hAnsi="仿宋" w:eastAsia="仿宋" w:cs="仿宋"/>
          <w:b/>
          <w:color w:val="000000"/>
          <w:sz w:val="24"/>
          <w:szCs w:val="24"/>
          <w:highlight w:val="none"/>
        </w:rPr>
      </w:pPr>
      <w:bookmarkStart w:id="379" w:name="_Toc175644052"/>
      <w:bookmarkStart w:id="380" w:name="_Toc86202605"/>
      <w:r>
        <w:rPr>
          <w:rFonts w:hint="eastAsia" w:ascii="仿宋" w:hAnsi="仿宋" w:eastAsia="仿宋" w:cs="仿宋"/>
          <w:b/>
          <w:color w:val="000000"/>
          <w:sz w:val="24"/>
          <w:szCs w:val="24"/>
          <w:highlight w:val="none"/>
        </w:rPr>
        <w:t>十二、保密条款</w:t>
      </w:r>
      <w:bookmarkEnd w:id="379"/>
      <w:bookmarkEnd w:id="380"/>
    </w:p>
    <w:p w14:paraId="76791D22">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1、任何一方对其获知的本合同及附件中其他各方的商业秘密和国家秘密负有保密义务。</w:t>
      </w:r>
    </w:p>
    <w:p w14:paraId="5C3C58BE">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bookmarkStart w:id="381" w:name="_Toc86202606"/>
      <w:r>
        <w:rPr>
          <w:rFonts w:hint="eastAsia" w:ascii="仿宋" w:hAnsi="仿宋" w:eastAsia="仿宋" w:cs="仿宋"/>
          <w:color w:val="000000"/>
          <w:sz w:val="24"/>
          <w:szCs w:val="24"/>
          <w:highlight w:val="none"/>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14:paraId="3C580161">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14:paraId="0B96431E">
      <w:pPr>
        <w:tabs>
          <w:tab w:val="left" w:pos="360"/>
          <w:tab w:val="left" w:pos="480"/>
          <w:tab w:val="left" w:pos="1413"/>
        </w:tabs>
        <w:spacing w:line="360" w:lineRule="auto"/>
        <w:ind w:firstLine="482" w:firstLineChars="200"/>
        <w:rPr>
          <w:rFonts w:hint="eastAsia" w:ascii="仿宋" w:hAnsi="仿宋" w:eastAsia="仿宋" w:cs="仿宋"/>
          <w:b/>
          <w:color w:val="000000"/>
          <w:sz w:val="24"/>
          <w:szCs w:val="24"/>
          <w:highlight w:val="none"/>
        </w:rPr>
      </w:pPr>
      <w:bookmarkStart w:id="382" w:name="_Toc175644053"/>
      <w:r>
        <w:rPr>
          <w:rFonts w:hint="eastAsia" w:ascii="仿宋" w:hAnsi="仿宋" w:eastAsia="仿宋" w:cs="仿宋"/>
          <w:b/>
          <w:color w:val="000000"/>
          <w:sz w:val="24"/>
          <w:szCs w:val="24"/>
          <w:highlight w:val="none"/>
        </w:rPr>
        <w:t>十三、合同的解释</w:t>
      </w:r>
      <w:bookmarkEnd w:id="381"/>
      <w:bookmarkEnd w:id="382"/>
    </w:p>
    <w:p w14:paraId="12C7DBD2">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1、任何一方对本合同及其附件的解释均应遵循诚实信用原则,依照本合同签订时有效的中国法律、法规以及通常的理解进行。</w:t>
      </w:r>
    </w:p>
    <w:p w14:paraId="5CCF3C9A">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2、本合同标题仅供查阅方便，并非对本合同的诠释或解释；本合同中以日表述的时间期限均指自然日。</w:t>
      </w:r>
    </w:p>
    <w:p w14:paraId="433068F7">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3、对本合同的任何解释均应以书面做出。</w:t>
      </w:r>
    </w:p>
    <w:p w14:paraId="0E07FE02">
      <w:pPr>
        <w:tabs>
          <w:tab w:val="left" w:pos="360"/>
          <w:tab w:val="left" w:pos="480"/>
          <w:tab w:val="left" w:pos="1413"/>
        </w:tabs>
        <w:spacing w:line="360" w:lineRule="auto"/>
        <w:ind w:firstLine="482" w:firstLineChars="200"/>
        <w:rPr>
          <w:rFonts w:hint="eastAsia" w:ascii="仿宋" w:hAnsi="仿宋" w:eastAsia="仿宋" w:cs="仿宋"/>
          <w:b/>
          <w:color w:val="000000"/>
          <w:sz w:val="24"/>
          <w:szCs w:val="24"/>
          <w:highlight w:val="none"/>
        </w:rPr>
      </w:pPr>
      <w:bookmarkStart w:id="383" w:name="_Toc175644054"/>
      <w:bookmarkStart w:id="384" w:name="_Toc86202607"/>
      <w:r>
        <w:rPr>
          <w:rFonts w:hint="eastAsia" w:ascii="仿宋" w:hAnsi="仿宋" w:eastAsia="仿宋" w:cs="仿宋"/>
          <w:b/>
          <w:color w:val="000000"/>
          <w:sz w:val="24"/>
          <w:szCs w:val="24"/>
          <w:highlight w:val="none"/>
        </w:rPr>
        <w:t>十四、合同的终止</w:t>
      </w:r>
      <w:bookmarkEnd w:id="383"/>
      <w:bookmarkEnd w:id="384"/>
    </w:p>
    <w:p w14:paraId="56CE9981">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1、本合同因下列原因而终止：</w:t>
      </w:r>
    </w:p>
    <w:p w14:paraId="50EB9F08">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1）本合同正常履行完毕；</w:t>
      </w:r>
    </w:p>
    <w:p w14:paraId="2FA9D23C">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2）合同双方协议终止本合同的履行；</w:t>
      </w:r>
    </w:p>
    <w:p w14:paraId="74F40743">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3）不可抗力事件导致本合同无法履行或履行不必要；</w:t>
      </w:r>
    </w:p>
    <w:p w14:paraId="0E1546C3">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4）任何一方行使解除权，解除本合同。</w:t>
      </w:r>
    </w:p>
    <w:p w14:paraId="4B7B77FC">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2、对本合同终止有过错的一方应赔偿另一方因合同终止而受到的损失。对合同终止双方均无过错的，则各自承担所受到的损失。</w:t>
      </w:r>
    </w:p>
    <w:p w14:paraId="03C763A0">
      <w:pPr>
        <w:tabs>
          <w:tab w:val="left" w:pos="360"/>
          <w:tab w:val="left" w:pos="480"/>
          <w:tab w:val="left" w:pos="1413"/>
        </w:tabs>
        <w:spacing w:line="360" w:lineRule="auto"/>
        <w:ind w:firstLine="482" w:firstLineChars="200"/>
        <w:rPr>
          <w:rFonts w:hint="eastAsia" w:ascii="仿宋" w:hAnsi="仿宋" w:eastAsia="仿宋" w:cs="仿宋"/>
          <w:b/>
          <w:color w:val="000000"/>
          <w:sz w:val="24"/>
          <w:szCs w:val="24"/>
          <w:highlight w:val="none"/>
        </w:rPr>
      </w:pPr>
      <w:bookmarkStart w:id="385" w:name="_Toc175644055"/>
      <w:bookmarkStart w:id="386" w:name="_Toc86202608"/>
      <w:r>
        <w:rPr>
          <w:rFonts w:hint="eastAsia" w:ascii="仿宋" w:hAnsi="仿宋" w:eastAsia="仿宋" w:cs="仿宋"/>
          <w:b/>
          <w:color w:val="000000"/>
          <w:sz w:val="24"/>
          <w:szCs w:val="24"/>
          <w:highlight w:val="none"/>
        </w:rPr>
        <w:t>十五、法律适用</w:t>
      </w:r>
      <w:bookmarkEnd w:id="385"/>
    </w:p>
    <w:p w14:paraId="39002D6E">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1、本合同及附件的订立、效力、解释、履行、争议的解决等适用本合同签订时有效的中华人民共和国法律、法规的有关规定。</w:t>
      </w:r>
    </w:p>
    <w:p w14:paraId="18962247">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14:paraId="62716460">
      <w:pPr>
        <w:tabs>
          <w:tab w:val="left" w:pos="360"/>
          <w:tab w:val="left" w:pos="480"/>
          <w:tab w:val="left" w:pos="1413"/>
        </w:tabs>
        <w:spacing w:line="360" w:lineRule="auto"/>
        <w:ind w:firstLine="482" w:firstLineChars="200"/>
        <w:rPr>
          <w:rFonts w:hint="eastAsia" w:ascii="仿宋" w:hAnsi="仿宋" w:eastAsia="仿宋" w:cs="仿宋"/>
          <w:b/>
          <w:color w:val="000000"/>
          <w:sz w:val="24"/>
          <w:szCs w:val="24"/>
          <w:highlight w:val="none"/>
        </w:rPr>
      </w:pPr>
      <w:bookmarkStart w:id="387" w:name="_Toc175644056"/>
      <w:r>
        <w:rPr>
          <w:rFonts w:hint="eastAsia" w:ascii="仿宋" w:hAnsi="仿宋" w:eastAsia="仿宋" w:cs="仿宋"/>
          <w:b/>
          <w:color w:val="000000"/>
          <w:sz w:val="24"/>
          <w:szCs w:val="24"/>
          <w:highlight w:val="none"/>
        </w:rPr>
        <w:t>十六、权利的保留</w:t>
      </w:r>
      <w:bookmarkEnd w:id="386"/>
      <w:bookmarkEnd w:id="387"/>
    </w:p>
    <w:p w14:paraId="78608675">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7F10D97D">
      <w:pPr>
        <w:tabs>
          <w:tab w:val="left" w:pos="360"/>
          <w:tab w:val="left" w:pos="480"/>
          <w:tab w:val="left" w:pos="1413"/>
        </w:tabs>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5A2B1D47">
      <w:pPr>
        <w:tabs>
          <w:tab w:val="left" w:pos="360"/>
          <w:tab w:val="left" w:pos="480"/>
          <w:tab w:val="left" w:pos="1413"/>
        </w:tabs>
        <w:spacing w:line="360" w:lineRule="auto"/>
        <w:ind w:firstLine="482" w:firstLineChars="200"/>
        <w:rPr>
          <w:rFonts w:hint="eastAsia" w:ascii="仿宋" w:hAnsi="仿宋" w:eastAsia="仿宋" w:cs="仿宋"/>
          <w:b/>
          <w:sz w:val="24"/>
          <w:szCs w:val="24"/>
          <w:highlight w:val="none"/>
        </w:rPr>
      </w:pPr>
      <w:bookmarkStart w:id="388" w:name="_Toc175644057"/>
      <w:bookmarkStart w:id="389" w:name="_Toc86202609"/>
      <w:r>
        <w:rPr>
          <w:rFonts w:hint="eastAsia" w:ascii="仿宋" w:hAnsi="仿宋" w:eastAsia="仿宋" w:cs="仿宋"/>
          <w:b/>
          <w:sz w:val="24"/>
          <w:szCs w:val="24"/>
          <w:highlight w:val="none"/>
        </w:rPr>
        <w:t>十七、争议的解决</w:t>
      </w:r>
      <w:bookmarkEnd w:id="388"/>
      <w:bookmarkEnd w:id="389"/>
    </w:p>
    <w:p w14:paraId="3FFD8C89">
      <w:pPr>
        <w:tabs>
          <w:tab w:val="left" w:pos="360"/>
          <w:tab w:val="left" w:pos="480"/>
          <w:tab w:val="left" w:pos="1413"/>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1、合同双方应通过友好协商解决因解释﹑执行本合同所发生的和本合同有关的一切争议。如果经协商不能达成协议，可以采用以下方式解决（按照招标文件</w:t>
      </w:r>
      <w:r>
        <w:rPr>
          <w:rFonts w:hint="eastAsia" w:ascii="仿宋" w:hAnsi="仿宋" w:eastAsia="仿宋" w:cs="仿宋"/>
          <w:bCs/>
          <w:sz w:val="24"/>
          <w:szCs w:val="24"/>
          <w:highlight w:val="none"/>
        </w:rPr>
        <w:t>“供应商须知前附表”</w:t>
      </w:r>
      <w:r>
        <w:rPr>
          <w:rFonts w:hint="eastAsia" w:ascii="仿宋" w:hAnsi="仿宋" w:eastAsia="仿宋" w:cs="仿宋"/>
          <w:bCs/>
          <w:sz w:val="24"/>
          <w:szCs w:val="24"/>
          <w:highlight w:val="none"/>
          <w:lang w:val="en-US" w:eastAsia="zh-CN"/>
        </w:rPr>
        <w:t>中</w:t>
      </w:r>
      <w:r>
        <w:rPr>
          <w:rFonts w:hint="eastAsia" w:ascii="仿宋" w:hAnsi="仿宋" w:eastAsia="仿宋" w:cs="仿宋"/>
          <w:bCs/>
          <w:sz w:val="24"/>
          <w:szCs w:val="24"/>
          <w:highlight w:val="none"/>
        </w:rPr>
        <w:t>的规定</w:t>
      </w:r>
      <w:r>
        <w:rPr>
          <w:rFonts w:hint="eastAsia" w:ascii="仿宋" w:hAnsi="仿宋" w:eastAsia="仿宋" w:cs="仿宋"/>
          <w:sz w:val="24"/>
          <w:szCs w:val="24"/>
          <w:highlight w:val="none"/>
        </w:rPr>
        <w:t>）：向甲方所在地人民法院起诉。</w:t>
      </w:r>
    </w:p>
    <w:p w14:paraId="5B574A11">
      <w:pPr>
        <w:tabs>
          <w:tab w:val="left" w:pos="360"/>
          <w:tab w:val="left" w:pos="480"/>
          <w:tab w:val="left" w:pos="1413"/>
        </w:tabs>
        <w:spacing w:line="360" w:lineRule="auto"/>
        <w:ind w:firstLine="480" w:firstLineChars="200"/>
        <w:rPr>
          <w:rFonts w:hint="eastAsia" w:ascii="仿宋" w:hAnsi="仿宋" w:eastAsia="仿宋" w:cs="仿宋"/>
          <w:color w:val="FF0000"/>
          <w:sz w:val="24"/>
          <w:szCs w:val="24"/>
          <w:highlight w:val="none"/>
        </w:rPr>
      </w:pPr>
      <w:r>
        <w:rPr>
          <w:rFonts w:hint="eastAsia" w:ascii="仿宋" w:hAnsi="仿宋" w:eastAsia="仿宋" w:cs="仿宋"/>
          <w:sz w:val="24"/>
          <w:szCs w:val="24"/>
          <w:highlight w:val="none"/>
        </w:rPr>
        <w:t>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14:paraId="2DD2FAF7">
      <w:pPr>
        <w:tabs>
          <w:tab w:val="left" w:pos="360"/>
          <w:tab w:val="left" w:pos="480"/>
          <w:tab w:val="left" w:pos="1413"/>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3、在争议解决期间，除了诉讼或仲裁进行过程中正在解决的那部分问题外，合同其余部分应继续履行。</w:t>
      </w:r>
    </w:p>
    <w:p w14:paraId="5E3EC5FF">
      <w:pPr>
        <w:tabs>
          <w:tab w:val="left" w:pos="360"/>
          <w:tab w:val="left" w:pos="480"/>
          <w:tab w:val="left" w:pos="1413"/>
        </w:tabs>
        <w:spacing w:line="360" w:lineRule="auto"/>
        <w:ind w:firstLine="482" w:firstLineChars="200"/>
        <w:rPr>
          <w:rFonts w:hint="eastAsia" w:ascii="仿宋" w:hAnsi="仿宋" w:eastAsia="仿宋" w:cs="仿宋"/>
          <w:b/>
          <w:sz w:val="24"/>
          <w:szCs w:val="24"/>
          <w:highlight w:val="none"/>
        </w:rPr>
      </w:pPr>
      <w:bookmarkStart w:id="390" w:name="_Toc175644059"/>
      <w:bookmarkStart w:id="391" w:name="_Toc86202611"/>
      <w:r>
        <w:rPr>
          <w:rFonts w:hint="eastAsia" w:ascii="仿宋" w:hAnsi="仿宋" w:eastAsia="仿宋" w:cs="仿宋"/>
          <w:b/>
          <w:sz w:val="24"/>
          <w:szCs w:val="24"/>
          <w:highlight w:val="none"/>
        </w:rPr>
        <w:t>十八、合同的生效</w:t>
      </w:r>
      <w:bookmarkEnd w:id="390"/>
      <w:bookmarkEnd w:id="391"/>
    </w:p>
    <w:p w14:paraId="1C8A95FB">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本合同经甲乙双方法定代表人或授权代理人签字</w:t>
      </w:r>
      <w:r>
        <w:rPr>
          <w:rFonts w:hint="eastAsia" w:ascii="仿宋" w:hAnsi="仿宋" w:eastAsia="仿宋" w:cs="仿宋"/>
          <w:sz w:val="24"/>
          <w:szCs w:val="24"/>
          <w:highlight w:val="none"/>
          <w:lang w:val="en-US" w:eastAsia="zh-CN"/>
        </w:rPr>
        <w:t>并</w:t>
      </w:r>
      <w:r>
        <w:rPr>
          <w:rFonts w:hint="eastAsia" w:ascii="仿宋" w:hAnsi="仿宋" w:eastAsia="仿宋" w:cs="仿宋"/>
          <w:sz w:val="24"/>
          <w:szCs w:val="24"/>
          <w:highlight w:val="none"/>
        </w:rPr>
        <w:t>盖单位公章，乙方按时、足额提交履约保证金后生效。</w:t>
      </w:r>
    </w:p>
    <w:p w14:paraId="171074A4">
      <w:pPr>
        <w:tabs>
          <w:tab w:val="left" w:pos="360"/>
          <w:tab w:val="left" w:pos="480"/>
          <w:tab w:val="left" w:pos="1413"/>
        </w:tabs>
        <w:spacing w:line="360" w:lineRule="auto"/>
        <w:ind w:firstLine="482" w:firstLineChars="200"/>
        <w:rPr>
          <w:rFonts w:hint="eastAsia" w:ascii="仿宋" w:hAnsi="仿宋" w:eastAsia="仿宋" w:cs="仿宋"/>
          <w:b/>
          <w:sz w:val="24"/>
          <w:szCs w:val="24"/>
          <w:highlight w:val="none"/>
        </w:rPr>
      </w:pPr>
      <w:bookmarkStart w:id="392" w:name="_Toc86202612"/>
      <w:bookmarkStart w:id="393" w:name="_Toc175644060"/>
      <w:r>
        <w:rPr>
          <w:rFonts w:hint="eastAsia" w:ascii="仿宋" w:hAnsi="仿宋" w:eastAsia="仿宋" w:cs="仿宋"/>
          <w:b/>
          <w:sz w:val="24"/>
          <w:szCs w:val="24"/>
          <w:highlight w:val="none"/>
        </w:rPr>
        <w:t>十九、其他约定事项</w:t>
      </w:r>
      <w:bookmarkEnd w:id="392"/>
      <w:bookmarkEnd w:id="393"/>
    </w:p>
    <w:p w14:paraId="1EB2628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1、本合同中的附件均为本合同不可分割的部分，与本合同具有相同的法律效力。</w:t>
      </w:r>
    </w:p>
    <w:p w14:paraId="2DCDA43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2、不得将合同转让给第三人，有关分包事项或服务委托等须事先取得甲方和采购代理机构书面同意并且须遵守相关法律、法规；有关联合投标须在本次招标允许的情况下并须符合本次招标的全部规定。</w:t>
      </w:r>
    </w:p>
    <w:p w14:paraId="1CD0A5DA">
      <w:pPr>
        <w:tabs>
          <w:tab w:val="left" w:pos="360"/>
          <w:tab w:val="left" w:pos="480"/>
          <w:tab w:val="left" w:pos="1413"/>
        </w:tabs>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3、本合同一式</w:t>
      </w: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rPr>
        <w:t>份，甲方五份，乙方</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份，招标代理机构一份，具有同等法律效力。</w:t>
      </w:r>
    </w:p>
    <w:p w14:paraId="362B42CE">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7CD480E2">
      <w:pPr>
        <w:rPr>
          <w:rFonts w:hint="eastAsia" w:ascii="仿宋" w:hAnsi="仿宋" w:eastAsia="仿宋" w:cs="仿宋"/>
          <w:sz w:val="24"/>
          <w:szCs w:val="24"/>
          <w:highlight w:val="none"/>
          <w:lang w:val="en-US" w:eastAsia="zh-CN"/>
        </w:rPr>
      </w:pPr>
      <w:r>
        <w:rPr>
          <w:rFonts w:hint="eastAsia" w:ascii="仿宋" w:hAnsi="仿宋" w:eastAsia="仿宋" w:cs="仿宋"/>
          <w:b/>
          <w:sz w:val="24"/>
          <w:szCs w:val="24"/>
          <w:highlight w:val="none"/>
          <w:lang w:val="en-US" w:eastAsia="zh-CN"/>
        </w:rPr>
        <w:t>说明：附件一、二内容均为原投标文件加盖电子签章资料</w:t>
      </w:r>
    </w:p>
    <w:p w14:paraId="32DDB7AB">
      <w:pPr>
        <w:rPr>
          <w:rFonts w:hint="eastAsia" w:ascii="仿宋" w:hAnsi="仿宋" w:eastAsia="仿宋" w:cs="仿宋"/>
          <w:b/>
          <w:bCs/>
          <w:sz w:val="24"/>
          <w:szCs w:val="24"/>
          <w:highlight w:val="none"/>
          <w:lang w:val="en-US" w:eastAsia="zh-CN"/>
        </w:rPr>
      </w:pPr>
      <w:r>
        <w:rPr>
          <w:rFonts w:hint="eastAsia" w:ascii="仿宋" w:hAnsi="仿宋" w:eastAsia="仿宋" w:cs="仿宋"/>
          <w:b/>
          <w:sz w:val="24"/>
          <w:szCs w:val="24"/>
          <w:highlight w:val="none"/>
        </w:rPr>
        <w:t>附件</w:t>
      </w:r>
      <w:r>
        <w:rPr>
          <w:rFonts w:hint="eastAsia" w:ascii="仿宋" w:hAnsi="仿宋" w:eastAsia="仿宋" w:cs="仿宋"/>
          <w:b/>
          <w:bCs/>
          <w:sz w:val="24"/>
          <w:szCs w:val="24"/>
          <w:highlight w:val="none"/>
          <w:lang w:val="en-US" w:eastAsia="zh-CN"/>
        </w:rPr>
        <w:t>一</w:t>
      </w:r>
      <w:r>
        <w:rPr>
          <w:rFonts w:hint="eastAsia" w:ascii="仿宋" w:hAnsi="仿宋" w:eastAsia="仿宋" w:cs="仿宋"/>
          <w:b/>
          <w:sz w:val="24"/>
          <w:szCs w:val="24"/>
          <w:highlight w:val="none"/>
        </w:rPr>
        <w:t>：</w:t>
      </w:r>
      <w:r>
        <w:rPr>
          <w:rFonts w:hint="eastAsia" w:ascii="仿宋" w:hAnsi="仿宋" w:eastAsia="仿宋" w:cs="仿宋"/>
          <w:b/>
          <w:bCs/>
          <w:sz w:val="24"/>
          <w:szCs w:val="24"/>
          <w:highlight w:val="none"/>
          <w:lang w:val="en-US" w:eastAsia="zh-CN"/>
        </w:rPr>
        <w:t>1.1报价要求响应文件（含开标一览表、投标报价明细表）</w:t>
      </w:r>
    </w:p>
    <w:p w14:paraId="7A8CFACF">
      <w:pPr>
        <w:rPr>
          <w:rFonts w:hint="eastAsia" w:ascii="仿宋" w:hAnsi="仿宋" w:eastAsia="仿宋" w:cs="仿宋"/>
          <w:b/>
          <w:bCs/>
          <w:sz w:val="24"/>
          <w:szCs w:val="24"/>
          <w:highlight w:val="none"/>
        </w:rPr>
      </w:pPr>
    </w:p>
    <w:p w14:paraId="3A884FFB">
      <w:pPr>
        <w:rPr>
          <w:rFonts w:hint="eastAsia" w:ascii="仿宋" w:hAnsi="仿宋" w:eastAsia="仿宋" w:cs="仿宋"/>
          <w:b/>
          <w:bCs/>
          <w:sz w:val="24"/>
          <w:szCs w:val="24"/>
          <w:highlight w:val="none"/>
          <w:lang w:val="en-US" w:eastAsia="zh-CN"/>
        </w:rPr>
      </w:pPr>
    </w:p>
    <w:p w14:paraId="612AF0FD">
      <w:pPr>
        <w:bidi w:val="0"/>
        <w:rPr>
          <w:rFonts w:hint="eastAsia" w:ascii="仿宋" w:hAnsi="仿宋" w:eastAsia="仿宋" w:cs="仿宋"/>
          <w:sz w:val="24"/>
          <w:szCs w:val="24"/>
          <w:highlight w:val="none"/>
          <w:lang w:val="en-US" w:eastAsia="zh-CN" w:bidi="ar-SA"/>
        </w:rPr>
      </w:pPr>
    </w:p>
    <w:p w14:paraId="544DD116">
      <w:pPr>
        <w:bidi w:val="0"/>
        <w:rPr>
          <w:rFonts w:hint="eastAsia" w:ascii="仿宋" w:hAnsi="仿宋" w:eastAsia="仿宋" w:cs="仿宋"/>
          <w:sz w:val="24"/>
          <w:szCs w:val="24"/>
          <w:highlight w:val="none"/>
          <w:lang w:val="en-US" w:eastAsia="zh-CN"/>
        </w:rPr>
      </w:pPr>
    </w:p>
    <w:p w14:paraId="673D6CF8">
      <w:pPr>
        <w:bidi w:val="0"/>
        <w:rPr>
          <w:rFonts w:hint="eastAsia" w:ascii="仿宋" w:hAnsi="仿宋" w:eastAsia="仿宋" w:cs="仿宋"/>
          <w:sz w:val="24"/>
          <w:szCs w:val="24"/>
          <w:highlight w:val="none"/>
          <w:lang w:val="en-US" w:eastAsia="zh-CN"/>
        </w:rPr>
      </w:pPr>
    </w:p>
    <w:p w14:paraId="547EA07B">
      <w:pPr>
        <w:bidi w:val="0"/>
        <w:rPr>
          <w:rFonts w:hint="eastAsia" w:ascii="仿宋" w:hAnsi="仿宋" w:eastAsia="仿宋" w:cs="仿宋"/>
          <w:sz w:val="24"/>
          <w:szCs w:val="24"/>
          <w:highlight w:val="none"/>
          <w:lang w:val="en-US" w:eastAsia="zh-CN"/>
        </w:rPr>
      </w:pPr>
    </w:p>
    <w:p w14:paraId="671CC2B2">
      <w:pPr>
        <w:bidi w:val="0"/>
        <w:rPr>
          <w:rFonts w:hint="eastAsia" w:ascii="仿宋" w:hAnsi="仿宋" w:eastAsia="仿宋" w:cs="仿宋"/>
          <w:sz w:val="24"/>
          <w:szCs w:val="24"/>
          <w:highlight w:val="none"/>
          <w:lang w:val="en-US" w:eastAsia="zh-CN"/>
        </w:rPr>
      </w:pPr>
    </w:p>
    <w:p w14:paraId="263860AC">
      <w:pPr>
        <w:bidi w:val="0"/>
        <w:rPr>
          <w:rFonts w:hint="eastAsia" w:ascii="仿宋" w:hAnsi="仿宋" w:eastAsia="仿宋" w:cs="仿宋"/>
          <w:sz w:val="24"/>
          <w:szCs w:val="24"/>
          <w:highlight w:val="none"/>
          <w:lang w:val="en-US" w:eastAsia="zh-CN"/>
        </w:rPr>
      </w:pPr>
    </w:p>
    <w:p w14:paraId="657D1ED4">
      <w:pPr>
        <w:bidi w:val="0"/>
        <w:rPr>
          <w:rFonts w:hint="eastAsia" w:ascii="仿宋" w:hAnsi="仿宋" w:eastAsia="仿宋" w:cs="仿宋"/>
          <w:sz w:val="24"/>
          <w:szCs w:val="24"/>
          <w:highlight w:val="none"/>
          <w:lang w:val="en-US" w:eastAsia="zh-CN"/>
        </w:rPr>
      </w:pPr>
    </w:p>
    <w:p w14:paraId="51A9DB1B">
      <w:pPr>
        <w:bidi w:val="0"/>
        <w:rPr>
          <w:rFonts w:hint="eastAsia" w:ascii="仿宋" w:hAnsi="仿宋" w:eastAsia="仿宋" w:cs="仿宋"/>
          <w:sz w:val="24"/>
          <w:szCs w:val="24"/>
          <w:highlight w:val="none"/>
          <w:lang w:val="en-US" w:eastAsia="zh-CN"/>
        </w:rPr>
      </w:pPr>
    </w:p>
    <w:p w14:paraId="2AB6970A">
      <w:pPr>
        <w:bidi w:val="0"/>
        <w:rPr>
          <w:rFonts w:hint="eastAsia" w:ascii="仿宋" w:hAnsi="仿宋" w:eastAsia="仿宋" w:cs="仿宋"/>
          <w:sz w:val="24"/>
          <w:szCs w:val="24"/>
          <w:highlight w:val="none"/>
          <w:lang w:val="en-US" w:eastAsia="zh-CN"/>
        </w:rPr>
      </w:pPr>
    </w:p>
    <w:p w14:paraId="498C011E">
      <w:pPr>
        <w:bidi w:val="0"/>
        <w:rPr>
          <w:rFonts w:hint="eastAsia" w:ascii="仿宋" w:hAnsi="仿宋" w:eastAsia="仿宋" w:cs="仿宋"/>
          <w:sz w:val="24"/>
          <w:szCs w:val="24"/>
          <w:highlight w:val="none"/>
          <w:lang w:val="en-US" w:eastAsia="zh-CN"/>
        </w:rPr>
      </w:pPr>
    </w:p>
    <w:p w14:paraId="150FD46B">
      <w:pPr>
        <w:bidi w:val="0"/>
        <w:rPr>
          <w:rFonts w:hint="eastAsia" w:ascii="仿宋" w:hAnsi="仿宋" w:eastAsia="仿宋" w:cs="仿宋"/>
          <w:sz w:val="24"/>
          <w:szCs w:val="24"/>
          <w:highlight w:val="none"/>
          <w:lang w:val="en-US" w:eastAsia="zh-CN"/>
        </w:rPr>
      </w:pPr>
    </w:p>
    <w:p w14:paraId="6DB2BAE2">
      <w:pPr>
        <w:bidi w:val="0"/>
        <w:rPr>
          <w:rFonts w:hint="eastAsia" w:ascii="仿宋" w:hAnsi="仿宋" w:eastAsia="仿宋" w:cs="仿宋"/>
          <w:sz w:val="24"/>
          <w:szCs w:val="24"/>
          <w:highlight w:val="none"/>
          <w:lang w:val="en-US" w:eastAsia="zh-CN"/>
        </w:rPr>
      </w:pPr>
    </w:p>
    <w:p w14:paraId="31D10662">
      <w:pPr>
        <w:bidi w:val="0"/>
        <w:rPr>
          <w:rFonts w:hint="eastAsia" w:ascii="仿宋" w:hAnsi="仿宋" w:eastAsia="仿宋" w:cs="仿宋"/>
          <w:sz w:val="24"/>
          <w:szCs w:val="24"/>
          <w:highlight w:val="none"/>
          <w:lang w:val="en-US" w:eastAsia="zh-CN"/>
        </w:rPr>
      </w:pPr>
    </w:p>
    <w:p w14:paraId="521D740D">
      <w:pPr>
        <w:bidi w:val="0"/>
        <w:rPr>
          <w:rFonts w:hint="eastAsia" w:ascii="仿宋" w:hAnsi="仿宋" w:eastAsia="仿宋" w:cs="仿宋"/>
          <w:sz w:val="24"/>
          <w:szCs w:val="24"/>
          <w:highlight w:val="none"/>
          <w:lang w:val="en-US" w:eastAsia="zh-CN"/>
        </w:rPr>
      </w:pPr>
    </w:p>
    <w:p w14:paraId="598F5835">
      <w:pPr>
        <w:bidi w:val="0"/>
        <w:rPr>
          <w:rFonts w:hint="eastAsia" w:ascii="仿宋" w:hAnsi="仿宋" w:eastAsia="仿宋" w:cs="仿宋"/>
          <w:sz w:val="24"/>
          <w:szCs w:val="24"/>
          <w:highlight w:val="none"/>
          <w:lang w:val="en-US" w:eastAsia="zh-CN"/>
        </w:rPr>
      </w:pPr>
    </w:p>
    <w:p w14:paraId="43A538DE">
      <w:pPr>
        <w:bidi w:val="0"/>
        <w:rPr>
          <w:rFonts w:hint="eastAsia" w:ascii="仿宋" w:hAnsi="仿宋" w:eastAsia="仿宋" w:cs="仿宋"/>
          <w:sz w:val="24"/>
          <w:szCs w:val="24"/>
          <w:highlight w:val="none"/>
          <w:lang w:val="en-US" w:eastAsia="zh-CN"/>
        </w:rPr>
      </w:pPr>
    </w:p>
    <w:p w14:paraId="4D716907">
      <w:pPr>
        <w:bidi w:val="0"/>
        <w:rPr>
          <w:rFonts w:hint="eastAsia" w:ascii="仿宋" w:hAnsi="仿宋" w:eastAsia="仿宋" w:cs="仿宋"/>
          <w:sz w:val="24"/>
          <w:szCs w:val="24"/>
          <w:highlight w:val="none"/>
          <w:lang w:val="en-US" w:eastAsia="zh-CN"/>
        </w:rPr>
      </w:pPr>
    </w:p>
    <w:p w14:paraId="48C05135">
      <w:pPr>
        <w:bidi w:val="0"/>
        <w:rPr>
          <w:rFonts w:hint="eastAsia" w:ascii="仿宋" w:hAnsi="仿宋" w:eastAsia="仿宋" w:cs="仿宋"/>
          <w:sz w:val="24"/>
          <w:szCs w:val="24"/>
          <w:highlight w:val="none"/>
          <w:lang w:val="en-US" w:eastAsia="zh-CN"/>
        </w:rPr>
      </w:pPr>
    </w:p>
    <w:p w14:paraId="73CDE953">
      <w:pPr>
        <w:bidi w:val="0"/>
        <w:rPr>
          <w:rFonts w:hint="eastAsia" w:ascii="仿宋" w:hAnsi="仿宋" w:eastAsia="仿宋" w:cs="仿宋"/>
          <w:sz w:val="24"/>
          <w:szCs w:val="24"/>
          <w:highlight w:val="none"/>
          <w:lang w:val="en-US" w:eastAsia="zh-CN"/>
        </w:rPr>
      </w:pPr>
    </w:p>
    <w:p w14:paraId="1A3883A0">
      <w:pPr>
        <w:bidi w:val="0"/>
        <w:rPr>
          <w:rFonts w:hint="eastAsia" w:ascii="仿宋" w:hAnsi="仿宋" w:eastAsia="仿宋" w:cs="仿宋"/>
          <w:sz w:val="24"/>
          <w:szCs w:val="24"/>
          <w:highlight w:val="none"/>
          <w:lang w:val="en-US" w:eastAsia="zh-CN"/>
        </w:rPr>
      </w:pPr>
    </w:p>
    <w:p w14:paraId="5F072955">
      <w:pPr>
        <w:bidi w:val="0"/>
        <w:rPr>
          <w:rFonts w:hint="eastAsia" w:ascii="仿宋" w:hAnsi="仿宋" w:eastAsia="仿宋" w:cs="仿宋"/>
          <w:sz w:val="24"/>
          <w:szCs w:val="24"/>
          <w:highlight w:val="none"/>
          <w:lang w:val="en-US" w:eastAsia="zh-CN"/>
        </w:rPr>
      </w:pPr>
    </w:p>
    <w:p w14:paraId="18BCF85E">
      <w:pPr>
        <w:bidi w:val="0"/>
        <w:rPr>
          <w:rFonts w:hint="eastAsia" w:ascii="仿宋" w:hAnsi="仿宋" w:eastAsia="仿宋" w:cs="仿宋"/>
          <w:sz w:val="24"/>
          <w:szCs w:val="24"/>
          <w:highlight w:val="none"/>
          <w:lang w:val="en-US" w:eastAsia="zh-CN"/>
        </w:rPr>
      </w:pPr>
    </w:p>
    <w:p w14:paraId="4FD81F91">
      <w:pPr>
        <w:bidi w:val="0"/>
        <w:rPr>
          <w:rFonts w:hint="eastAsia" w:ascii="仿宋" w:hAnsi="仿宋" w:eastAsia="仿宋" w:cs="仿宋"/>
          <w:sz w:val="24"/>
          <w:szCs w:val="24"/>
          <w:highlight w:val="none"/>
          <w:lang w:val="en-US" w:eastAsia="zh-CN"/>
        </w:rPr>
      </w:pPr>
    </w:p>
    <w:p w14:paraId="6F8A4869">
      <w:pPr>
        <w:bidi w:val="0"/>
        <w:rPr>
          <w:rFonts w:hint="eastAsia" w:ascii="仿宋" w:hAnsi="仿宋" w:eastAsia="仿宋" w:cs="仿宋"/>
          <w:sz w:val="24"/>
          <w:szCs w:val="24"/>
          <w:highlight w:val="none"/>
          <w:lang w:val="en-US" w:eastAsia="zh-CN"/>
        </w:rPr>
      </w:pPr>
    </w:p>
    <w:p w14:paraId="36A2A35E">
      <w:pPr>
        <w:bidi w:val="0"/>
        <w:rPr>
          <w:rFonts w:hint="eastAsia" w:ascii="仿宋" w:hAnsi="仿宋" w:eastAsia="仿宋" w:cs="仿宋"/>
          <w:sz w:val="24"/>
          <w:szCs w:val="24"/>
          <w:highlight w:val="none"/>
          <w:lang w:val="en-US" w:eastAsia="zh-CN"/>
        </w:rPr>
      </w:pPr>
    </w:p>
    <w:p w14:paraId="74EFB84D">
      <w:pPr>
        <w:rPr>
          <w:rFonts w:hint="eastAsia" w:ascii="仿宋" w:hAnsi="仿宋" w:eastAsia="仿宋" w:cs="仿宋"/>
          <w:b/>
          <w:bCs/>
          <w:sz w:val="24"/>
          <w:szCs w:val="24"/>
          <w:highlight w:val="none"/>
          <w:lang w:val="en-US" w:eastAsia="zh-CN"/>
        </w:rPr>
      </w:pPr>
      <w:r>
        <w:rPr>
          <w:rFonts w:hint="eastAsia" w:ascii="仿宋" w:hAnsi="仿宋" w:eastAsia="仿宋" w:cs="仿宋"/>
          <w:b/>
          <w:sz w:val="24"/>
          <w:szCs w:val="24"/>
          <w:highlight w:val="none"/>
          <w:lang w:val="en-US" w:eastAsia="zh-CN"/>
        </w:rPr>
        <w:t>附件一</w:t>
      </w:r>
      <w:r>
        <w:rPr>
          <w:rFonts w:hint="eastAsia" w:ascii="仿宋" w:hAnsi="仿宋" w:eastAsia="仿宋" w:cs="仿宋"/>
          <w:b/>
          <w:bCs/>
          <w:sz w:val="24"/>
          <w:szCs w:val="24"/>
          <w:highlight w:val="none"/>
          <w:lang w:val="en-US" w:eastAsia="zh-CN"/>
        </w:rPr>
        <w:t>（1.2竞争性</w:t>
      </w:r>
      <w:r>
        <w:rPr>
          <w:rFonts w:hint="eastAsia" w:ascii="仿宋" w:hAnsi="仿宋" w:eastAsia="仿宋" w:cs="仿宋"/>
          <w:b/>
          <w:bCs/>
          <w:sz w:val="24"/>
          <w:szCs w:val="24"/>
          <w:highlight w:val="none"/>
          <w:lang w:val="en-US" w:eastAsia="zh-CN"/>
        </w:rPr>
        <w:sym w:font="Wingdings" w:char="00A8"/>
      </w:r>
      <w:r>
        <w:rPr>
          <w:rFonts w:hint="eastAsia" w:ascii="仿宋" w:hAnsi="仿宋" w:eastAsia="仿宋" w:cs="仿宋"/>
          <w:b/>
          <w:bCs/>
          <w:sz w:val="24"/>
          <w:szCs w:val="24"/>
          <w:highlight w:val="none"/>
          <w:lang w:val="en-US" w:eastAsia="zh-CN"/>
        </w:rPr>
        <w:t>磋商/</w:t>
      </w:r>
      <w:r>
        <w:rPr>
          <w:rFonts w:hint="eastAsia" w:ascii="仿宋" w:hAnsi="仿宋" w:eastAsia="仿宋" w:cs="仿宋"/>
          <w:b/>
          <w:bCs/>
          <w:sz w:val="24"/>
          <w:szCs w:val="24"/>
          <w:highlight w:val="none"/>
          <w:lang w:val="en-US" w:eastAsia="zh-CN"/>
        </w:rPr>
        <w:sym w:font="Wingdings" w:char="00A8"/>
      </w:r>
      <w:r>
        <w:rPr>
          <w:rFonts w:hint="eastAsia" w:ascii="仿宋" w:hAnsi="仿宋" w:eastAsia="仿宋" w:cs="仿宋"/>
          <w:b/>
          <w:bCs/>
          <w:sz w:val="24"/>
          <w:szCs w:val="24"/>
          <w:highlight w:val="none"/>
          <w:lang w:val="en-US" w:eastAsia="zh-CN"/>
        </w:rPr>
        <w:t>谈判，二轮报价确认表）</w:t>
      </w:r>
    </w:p>
    <w:p w14:paraId="1F558F6C">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1E70E243">
      <w:pP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t>附件</w:t>
      </w:r>
      <w:r>
        <w:rPr>
          <w:rFonts w:hint="eastAsia" w:ascii="仿宋" w:hAnsi="仿宋" w:eastAsia="仿宋" w:cs="仿宋"/>
          <w:b/>
          <w:bCs/>
          <w:sz w:val="24"/>
          <w:szCs w:val="24"/>
          <w:highlight w:val="none"/>
          <w:lang w:val="en-US" w:eastAsia="zh-CN"/>
        </w:rPr>
        <w:t>二</w:t>
      </w:r>
      <w:r>
        <w:rPr>
          <w:rFonts w:hint="eastAsia" w:ascii="仿宋" w:hAnsi="仿宋" w:eastAsia="仿宋" w:cs="仿宋"/>
          <w:b/>
          <w:sz w:val="24"/>
          <w:szCs w:val="24"/>
          <w:highlight w:val="none"/>
        </w:rPr>
        <w:t>：</w:t>
      </w:r>
      <w:r>
        <w:rPr>
          <w:rFonts w:hint="eastAsia" w:ascii="仿宋" w:hAnsi="仿宋" w:eastAsia="仿宋" w:cs="仿宋"/>
          <w:b/>
          <w:sz w:val="24"/>
          <w:szCs w:val="24"/>
          <w:highlight w:val="none"/>
          <w:lang w:val="en-US" w:eastAsia="zh-CN"/>
        </w:rPr>
        <w:t>技术参数偏离表</w:t>
      </w:r>
    </w:p>
    <w:p w14:paraId="7A16EBFE">
      <w:pPr>
        <w:pStyle w:val="13"/>
        <w:rPr>
          <w:rFonts w:hint="eastAsia" w:eastAsia="等线"/>
          <w:b/>
          <w:sz w:val="36"/>
          <w:szCs w:val="36"/>
          <w:highlight w:val="none"/>
          <w:lang w:val="en-US" w:eastAsia="zh-CN"/>
        </w:rPr>
      </w:pPr>
    </w:p>
    <w:p w14:paraId="0C655225">
      <w:pPr>
        <w:rPr>
          <w:rFonts w:hint="eastAsia" w:eastAsia="等线"/>
          <w:b/>
          <w:sz w:val="36"/>
          <w:szCs w:val="36"/>
          <w:highlight w:val="none"/>
          <w:lang w:val="en-US" w:eastAsia="zh-CN"/>
        </w:rPr>
      </w:pPr>
    </w:p>
    <w:p w14:paraId="2AB579AC">
      <w:pPr>
        <w:pStyle w:val="13"/>
        <w:rPr>
          <w:rFonts w:hint="eastAsia" w:eastAsia="等线"/>
          <w:b/>
          <w:sz w:val="36"/>
          <w:szCs w:val="36"/>
          <w:highlight w:val="none"/>
          <w:lang w:val="en-US" w:eastAsia="zh-CN"/>
        </w:rPr>
      </w:pPr>
    </w:p>
    <w:p w14:paraId="79B03DE9">
      <w:pPr>
        <w:rPr>
          <w:rFonts w:hint="eastAsia" w:eastAsia="等线"/>
          <w:b/>
          <w:sz w:val="36"/>
          <w:szCs w:val="36"/>
          <w:highlight w:val="none"/>
          <w:lang w:val="en-US" w:eastAsia="zh-CN"/>
        </w:rPr>
      </w:pPr>
    </w:p>
    <w:p w14:paraId="5B420867">
      <w:pPr>
        <w:pStyle w:val="13"/>
        <w:rPr>
          <w:rFonts w:hint="eastAsia" w:eastAsia="等线"/>
          <w:b/>
          <w:sz w:val="36"/>
          <w:szCs w:val="36"/>
          <w:highlight w:val="none"/>
          <w:lang w:val="en-US" w:eastAsia="zh-CN"/>
        </w:rPr>
      </w:pPr>
    </w:p>
    <w:p w14:paraId="74A2A7B3">
      <w:pPr>
        <w:rPr>
          <w:rFonts w:hint="eastAsia" w:eastAsia="等线"/>
          <w:b/>
          <w:sz w:val="36"/>
          <w:szCs w:val="36"/>
          <w:highlight w:val="none"/>
          <w:lang w:val="en-US" w:eastAsia="zh-CN"/>
        </w:rPr>
      </w:pPr>
    </w:p>
    <w:p w14:paraId="4148337A">
      <w:pPr>
        <w:pStyle w:val="13"/>
        <w:rPr>
          <w:rFonts w:hint="eastAsia" w:eastAsia="等线"/>
          <w:b/>
          <w:sz w:val="36"/>
          <w:szCs w:val="36"/>
          <w:highlight w:val="none"/>
          <w:lang w:val="en-US" w:eastAsia="zh-CN"/>
        </w:rPr>
      </w:pPr>
    </w:p>
    <w:p w14:paraId="23813748">
      <w:pPr>
        <w:rPr>
          <w:rFonts w:hint="eastAsia" w:eastAsia="等线"/>
          <w:b/>
          <w:sz w:val="36"/>
          <w:szCs w:val="36"/>
          <w:highlight w:val="none"/>
          <w:lang w:val="en-US" w:eastAsia="zh-CN"/>
        </w:rPr>
      </w:pPr>
    </w:p>
    <w:p w14:paraId="64A94D95">
      <w:pPr>
        <w:pStyle w:val="13"/>
        <w:rPr>
          <w:rFonts w:hint="eastAsia" w:eastAsia="等线"/>
          <w:b/>
          <w:sz w:val="36"/>
          <w:szCs w:val="36"/>
          <w:highlight w:val="none"/>
          <w:lang w:val="en-US" w:eastAsia="zh-CN"/>
        </w:rPr>
      </w:pPr>
    </w:p>
    <w:p w14:paraId="69EA3C26">
      <w:pPr>
        <w:rPr>
          <w:rFonts w:hint="eastAsia" w:eastAsia="等线"/>
          <w:b/>
          <w:sz w:val="36"/>
          <w:szCs w:val="36"/>
          <w:highlight w:val="none"/>
          <w:lang w:val="en-US" w:eastAsia="zh-CN"/>
        </w:rPr>
      </w:pPr>
    </w:p>
    <w:p w14:paraId="00948882">
      <w:pPr>
        <w:pStyle w:val="13"/>
        <w:rPr>
          <w:rFonts w:hint="eastAsia" w:eastAsia="等线"/>
          <w:b/>
          <w:sz w:val="36"/>
          <w:szCs w:val="36"/>
          <w:highlight w:val="none"/>
          <w:lang w:val="en-US" w:eastAsia="zh-CN"/>
        </w:rPr>
      </w:pPr>
    </w:p>
    <w:p w14:paraId="62F4D6C6">
      <w:pPr>
        <w:pStyle w:val="2"/>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rFonts w:hint="eastAsia" w:ascii="仿宋" w:hAnsi="仿宋" w:eastAsia="仿宋" w:cs="仿宋"/>
          <w:b/>
          <w:bCs/>
          <w:color w:val="auto"/>
          <w:kern w:val="44"/>
          <w:sz w:val="44"/>
          <w:szCs w:val="44"/>
          <w:highlight w:val="none"/>
          <w:lang w:val="en-US" w:eastAsia="zh-CN" w:bidi="ar-SA"/>
        </w:rPr>
      </w:pPr>
    </w:p>
    <w:p w14:paraId="04F023E5">
      <w:pPr>
        <w:rPr>
          <w:rFonts w:hint="eastAsia" w:ascii="仿宋" w:hAnsi="仿宋" w:eastAsia="仿宋" w:cs="仿宋"/>
          <w:b/>
          <w:bCs/>
          <w:color w:val="auto"/>
          <w:kern w:val="44"/>
          <w:sz w:val="44"/>
          <w:szCs w:val="44"/>
          <w:highlight w:val="none"/>
          <w:lang w:val="en-US" w:eastAsia="zh-CN" w:bidi="ar-SA"/>
        </w:rPr>
      </w:pPr>
    </w:p>
    <w:p w14:paraId="1AC8015B">
      <w:pPr>
        <w:rPr>
          <w:rFonts w:hint="eastAsia" w:ascii="仿宋" w:hAnsi="仿宋" w:eastAsia="仿宋" w:cs="仿宋"/>
          <w:b/>
          <w:bCs/>
          <w:color w:val="auto"/>
          <w:kern w:val="44"/>
          <w:sz w:val="44"/>
          <w:szCs w:val="44"/>
          <w:highlight w:val="none"/>
          <w:lang w:val="en-US" w:eastAsia="zh-CN" w:bidi="ar-SA"/>
        </w:rPr>
      </w:pPr>
    </w:p>
    <w:p w14:paraId="00ECBDE1">
      <w:pPr>
        <w:rPr>
          <w:rFonts w:hint="eastAsia" w:ascii="仿宋" w:hAnsi="仿宋" w:eastAsia="仿宋" w:cs="仿宋"/>
          <w:b/>
          <w:bCs/>
          <w:color w:val="auto"/>
          <w:kern w:val="44"/>
          <w:sz w:val="44"/>
          <w:szCs w:val="44"/>
          <w:highlight w:val="none"/>
          <w:lang w:val="en-US" w:eastAsia="zh-CN" w:bidi="ar-SA"/>
        </w:rPr>
      </w:pPr>
    </w:p>
    <w:p w14:paraId="2CFAE09F">
      <w:pPr>
        <w:rPr>
          <w:rFonts w:hint="eastAsia" w:ascii="仿宋" w:hAnsi="仿宋" w:eastAsia="仿宋" w:cs="仿宋"/>
          <w:b/>
          <w:bCs/>
          <w:color w:val="auto"/>
          <w:kern w:val="44"/>
          <w:sz w:val="44"/>
          <w:szCs w:val="44"/>
          <w:highlight w:val="none"/>
          <w:lang w:val="en-US" w:eastAsia="zh-CN" w:bidi="ar-SA"/>
        </w:rPr>
      </w:pPr>
    </w:p>
    <w:p w14:paraId="4E9DB94B">
      <w:pPr>
        <w:rPr>
          <w:rFonts w:hint="eastAsia" w:ascii="仿宋" w:hAnsi="仿宋" w:eastAsia="仿宋" w:cs="仿宋"/>
          <w:b/>
          <w:bCs/>
          <w:color w:val="auto"/>
          <w:kern w:val="44"/>
          <w:sz w:val="44"/>
          <w:szCs w:val="44"/>
          <w:highlight w:val="none"/>
          <w:lang w:val="en-US" w:eastAsia="zh-CN" w:bidi="ar-SA"/>
        </w:rPr>
      </w:pPr>
    </w:p>
    <w:p w14:paraId="5F4DD7EC">
      <w:pPr>
        <w:rPr>
          <w:rFonts w:hint="eastAsia" w:ascii="仿宋" w:hAnsi="仿宋" w:eastAsia="仿宋" w:cs="仿宋"/>
          <w:b/>
          <w:bCs/>
          <w:color w:val="auto"/>
          <w:kern w:val="44"/>
          <w:sz w:val="44"/>
          <w:szCs w:val="44"/>
          <w:highlight w:val="none"/>
          <w:lang w:val="en-US" w:eastAsia="zh-CN" w:bidi="ar-SA"/>
        </w:rPr>
      </w:pP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color w:val="auto"/>
          <w:kern w:val="44"/>
          <w:sz w:val="36"/>
          <w:szCs w:val="36"/>
          <w:highlight w:val="none"/>
          <w:lang w:val="en-US" w:eastAsia="zh-CN" w:bidi="ar-SA"/>
        </w:rPr>
      </w:pPr>
      <w:bookmarkStart w:id="394" w:name="_Toc30695"/>
      <w:r>
        <w:rPr>
          <w:rFonts w:hint="eastAsia" w:ascii="仿宋" w:hAnsi="仿宋" w:eastAsia="仿宋" w:cs="仿宋"/>
          <w:b/>
          <w:bCs/>
          <w:color w:val="auto"/>
          <w:kern w:val="44"/>
          <w:sz w:val="36"/>
          <w:szCs w:val="36"/>
          <w:highlight w:val="none"/>
          <w:lang w:val="en-US" w:eastAsia="zh-CN" w:bidi="ar-SA"/>
        </w:rPr>
        <w:t>第七章 投标文件格式</w:t>
      </w:r>
      <w:bookmarkEnd w:id="357"/>
      <w:bookmarkEnd w:id="358"/>
      <w:bookmarkEnd w:id="394"/>
    </w:p>
    <w:p w14:paraId="20B1063D">
      <w:pPr>
        <w:ind w:left="240" w:leftChars="100" w:firstLine="480" w:firstLineChars="200"/>
        <w:rPr>
          <w:rFonts w:hint="eastAsia" w:ascii="仿宋" w:hAnsi="仿宋" w:eastAsia="仿宋" w:cs="仿宋"/>
          <w:color w:val="auto"/>
          <w:szCs w:val="24"/>
          <w:highlight w:val="none"/>
        </w:rPr>
      </w:pPr>
    </w:p>
    <w:p w14:paraId="29D44C55">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244DD0F1">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09EDECB5">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75F9B001">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12E1D158">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4E6822E5">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62CA045B">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3893E9FD">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495452EF">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0AA66CC1">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369FA17D">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572E3CAE">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5565C3EB">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07DA079A">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6E15166A">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63A9983C">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748F8DEC">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6F52A8AF">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42FC05CF">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761F2B5A">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599474F0">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5390F1A2">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4A93A46C">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3C290983">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155D68F1">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1025489F">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308F138C">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2CDCE37B">
      <w:pPr>
        <w:ind w:firstLine="480" w:firstLineChars="200"/>
        <w:rPr>
          <w:rFonts w:hint="eastAsia" w:ascii="仿宋" w:hAnsi="仿宋" w:eastAsia="仿宋" w:cs="仿宋"/>
          <w:color w:val="auto"/>
          <w:szCs w:val="24"/>
          <w:highlight w:val="none"/>
          <w:lang w:val="zh-CN"/>
        </w:rPr>
      </w:pPr>
      <w:bookmarkStart w:id="395" w:name="_Toc163492937"/>
    </w:p>
    <w:p w14:paraId="2D9E98AD">
      <w:pPr>
        <w:ind w:firstLine="480" w:firstLineChars="200"/>
        <w:rPr>
          <w:rFonts w:hint="eastAsia" w:ascii="仿宋" w:hAnsi="仿宋" w:eastAsia="仿宋" w:cs="仿宋"/>
          <w:color w:val="auto"/>
          <w:szCs w:val="24"/>
          <w:highlight w:val="none"/>
          <w:lang w:val="zh-CN"/>
        </w:rPr>
      </w:pPr>
    </w:p>
    <w:p w14:paraId="3D40132F">
      <w:pPr>
        <w:ind w:firstLine="480" w:firstLineChars="200"/>
        <w:rPr>
          <w:rFonts w:hint="eastAsia" w:ascii="仿宋" w:hAnsi="仿宋" w:eastAsia="仿宋" w:cs="仿宋"/>
          <w:color w:val="auto"/>
          <w:szCs w:val="24"/>
          <w:highlight w:val="none"/>
          <w:lang w:val="zh-CN"/>
        </w:rPr>
      </w:pPr>
    </w:p>
    <w:p w14:paraId="6DC90E3C">
      <w:pPr>
        <w:ind w:firstLine="480" w:firstLineChars="200"/>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封面：</w:t>
      </w:r>
    </w:p>
    <w:p w14:paraId="202803F7">
      <w:pPr>
        <w:autoSpaceDE w:val="0"/>
        <w:autoSpaceDN w:val="0"/>
        <w:adjustRightInd w:val="0"/>
        <w:rPr>
          <w:rFonts w:hint="eastAsia" w:ascii="仿宋" w:hAnsi="仿宋" w:eastAsia="仿宋" w:cs="仿宋"/>
          <w:color w:val="auto"/>
          <w:sz w:val="21"/>
          <w:szCs w:val="24"/>
          <w:highlight w:val="none"/>
        </w:rPr>
      </w:pPr>
    </w:p>
    <w:p w14:paraId="73B11C8A">
      <w:pPr>
        <w:autoSpaceDE w:val="0"/>
        <w:autoSpaceDN w:val="0"/>
        <w:adjustRightInd w:val="0"/>
        <w:rPr>
          <w:rFonts w:hint="eastAsia" w:ascii="仿宋" w:hAnsi="仿宋" w:eastAsia="仿宋" w:cs="仿宋"/>
          <w:color w:val="auto"/>
          <w:sz w:val="21"/>
          <w:szCs w:val="24"/>
          <w:highlight w:val="none"/>
        </w:rPr>
      </w:pPr>
    </w:p>
    <w:p w14:paraId="36DF3F4E">
      <w:pPr>
        <w:autoSpaceDE w:val="0"/>
        <w:autoSpaceDN w:val="0"/>
        <w:adjustRightInd w:val="0"/>
        <w:jc w:val="center"/>
        <w:rPr>
          <w:rFonts w:hint="eastAsia" w:ascii="仿宋" w:hAnsi="仿宋" w:eastAsia="仿宋" w:cs="仿宋"/>
          <w:color w:val="auto"/>
          <w:sz w:val="21"/>
          <w:szCs w:val="24"/>
          <w:highlight w:val="none"/>
        </w:rPr>
      </w:pPr>
    </w:p>
    <w:p w14:paraId="336E03FA">
      <w:pPr>
        <w:pStyle w:val="2"/>
        <w:bidi w:val="0"/>
        <w:rPr>
          <w:rFonts w:hint="eastAsia" w:ascii="仿宋" w:hAnsi="仿宋" w:eastAsia="仿宋" w:cs="仿宋"/>
          <w:color w:val="auto"/>
          <w:sz w:val="56"/>
          <w:szCs w:val="56"/>
          <w:highlight w:val="none"/>
        </w:rPr>
      </w:pPr>
      <w:bookmarkStart w:id="396" w:name="_Toc17871"/>
      <w:r>
        <w:rPr>
          <w:rFonts w:hint="eastAsia" w:ascii="仿宋" w:hAnsi="仿宋" w:eastAsia="仿宋" w:cs="仿宋"/>
          <w:color w:val="auto"/>
          <w:sz w:val="56"/>
          <w:szCs w:val="56"/>
          <w:highlight w:val="none"/>
        </w:rPr>
        <w:t>投 标 文 件</w:t>
      </w:r>
      <w:bookmarkEnd w:id="396"/>
    </w:p>
    <w:p w14:paraId="0D217A8D">
      <w:pPr>
        <w:pStyle w:val="2"/>
        <w:bidi w:val="0"/>
        <w:rPr>
          <w:rFonts w:hint="eastAsia" w:ascii="仿宋" w:hAnsi="仿宋" w:eastAsia="仿宋" w:cs="仿宋"/>
          <w:color w:val="auto"/>
          <w:sz w:val="56"/>
          <w:szCs w:val="56"/>
          <w:highlight w:val="none"/>
        </w:rPr>
      </w:pPr>
      <w:bookmarkStart w:id="397" w:name="_Toc10318"/>
      <w:r>
        <w:rPr>
          <w:rFonts w:hint="eastAsia" w:ascii="仿宋" w:hAnsi="仿宋" w:eastAsia="仿宋" w:cs="仿宋"/>
          <w:color w:val="auto"/>
          <w:sz w:val="56"/>
          <w:szCs w:val="56"/>
          <w:highlight w:val="none"/>
        </w:rPr>
        <w:t>资格证明文件</w:t>
      </w:r>
      <w:bookmarkEnd w:id="397"/>
    </w:p>
    <w:p w14:paraId="3713B9EF">
      <w:pPr>
        <w:autoSpaceDE w:val="0"/>
        <w:autoSpaceDN w:val="0"/>
        <w:adjustRightInd w:val="0"/>
        <w:rPr>
          <w:rFonts w:hint="eastAsia" w:ascii="仿宋" w:hAnsi="仿宋" w:eastAsia="仿宋" w:cs="仿宋"/>
          <w:b/>
          <w:bCs/>
          <w:color w:val="auto"/>
          <w:sz w:val="22"/>
          <w:highlight w:val="none"/>
        </w:rPr>
      </w:pPr>
    </w:p>
    <w:p w14:paraId="4C95B1E8">
      <w:pPr>
        <w:autoSpaceDE w:val="0"/>
        <w:autoSpaceDN w:val="0"/>
        <w:adjustRightInd w:val="0"/>
        <w:rPr>
          <w:rFonts w:hint="eastAsia" w:ascii="仿宋" w:hAnsi="仿宋" w:eastAsia="仿宋" w:cs="仿宋"/>
          <w:color w:val="auto"/>
          <w:sz w:val="21"/>
          <w:szCs w:val="21"/>
          <w:highlight w:val="none"/>
        </w:rPr>
      </w:pPr>
    </w:p>
    <w:p w14:paraId="4A15B7B6">
      <w:pPr>
        <w:pStyle w:val="3"/>
        <w:rPr>
          <w:rFonts w:hint="eastAsia" w:ascii="仿宋" w:hAnsi="仿宋" w:eastAsia="仿宋" w:cs="仿宋"/>
          <w:color w:val="auto"/>
          <w:highlight w:val="none"/>
        </w:rPr>
      </w:pPr>
    </w:p>
    <w:p w14:paraId="6D2F1984">
      <w:pPr>
        <w:autoSpaceDE w:val="0"/>
        <w:autoSpaceDN w:val="0"/>
        <w:adjustRightInd w:val="0"/>
        <w:rPr>
          <w:rFonts w:hint="eastAsia" w:ascii="仿宋" w:hAnsi="仿宋" w:eastAsia="仿宋" w:cs="仿宋"/>
          <w:color w:val="auto"/>
          <w:sz w:val="21"/>
          <w:szCs w:val="21"/>
          <w:highlight w:val="none"/>
        </w:rPr>
      </w:pPr>
    </w:p>
    <w:p w14:paraId="13936900">
      <w:pPr>
        <w:autoSpaceDE w:val="0"/>
        <w:autoSpaceDN w:val="0"/>
        <w:adjustRightInd w:val="0"/>
        <w:rPr>
          <w:rFonts w:hint="eastAsia" w:ascii="仿宋" w:hAnsi="仿宋" w:eastAsia="仿宋" w:cs="仿宋"/>
          <w:color w:val="auto"/>
          <w:sz w:val="21"/>
          <w:szCs w:val="21"/>
          <w:highlight w:val="none"/>
        </w:rPr>
      </w:pPr>
    </w:p>
    <w:p w14:paraId="7F8AB2C1">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24FB0392">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6B06112D">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投</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标</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人：</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4720DE04">
      <w:pPr>
        <w:ind w:left="840" w:firstLine="420"/>
        <w:rPr>
          <w:rFonts w:hint="eastAsia" w:ascii="仿宋" w:hAnsi="仿宋" w:eastAsia="仿宋" w:cs="仿宋"/>
          <w:b/>
          <w:bCs/>
          <w:color w:val="auto"/>
          <w:sz w:val="28"/>
          <w:szCs w:val="28"/>
          <w:highlight w:val="none"/>
        </w:rPr>
      </w:pPr>
    </w:p>
    <w:p w14:paraId="5D0DC607">
      <w:pPr>
        <w:ind w:left="840" w:firstLine="420"/>
        <w:rPr>
          <w:rFonts w:hint="eastAsia" w:ascii="仿宋" w:hAnsi="仿宋" w:eastAsia="仿宋" w:cs="仿宋"/>
          <w:b/>
          <w:bCs/>
          <w:color w:val="auto"/>
          <w:sz w:val="28"/>
          <w:szCs w:val="28"/>
          <w:highlight w:val="none"/>
        </w:rPr>
      </w:pPr>
    </w:p>
    <w:p w14:paraId="306FCCBF">
      <w:pPr>
        <w:ind w:left="840" w:firstLine="420"/>
        <w:rPr>
          <w:rFonts w:hint="eastAsia" w:ascii="仿宋" w:hAnsi="仿宋" w:eastAsia="仿宋" w:cs="仿宋"/>
          <w:b/>
          <w:bCs/>
          <w:color w:val="auto"/>
          <w:sz w:val="28"/>
          <w:szCs w:val="28"/>
          <w:highlight w:val="none"/>
        </w:rPr>
      </w:pPr>
    </w:p>
    <w:p w14:paraId="22CE1A9B">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6447D651">
      <w:pP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br w:type="page"/>
      </w:r>
    </w:p>
    <w:p w14:paraId="1EF9C446">
      <w:pPr>
        <w:pStyle w:val="3"/>
        <w:keepNext/>
        <w:keepLines/>
        <w:pageBreakBefore w:val="0"/>
        <w:widowControl w:val="0"/>
        <w:kinsoku/>
        <w:wordWrap/>
        <w:overflowPunct/>
        <w:topLinePunct w:val="0"/>
        <w:autoSpaceDE/>
        <w:autoSpaceDN/>
        <w:bidi w:val="0"/>
        <w:adjustRightInd/>
        <w:snapToGrid/>
        <w:spacing w:before="100" w:after="100" w:line="360" w:lineRule="auto"/>
        <w:ind w:left="420" w:hanging="420"/>
        <w:textAlignment w:val="auto"/>
        <w:rPr>
          <w:rFonts w:hint="eastAsia" w:ascii="仿宋" w:hAnsi="仿宋" w:eastAsia="仿宋" w:cs="仿宋"/>
          <w:b/>
          <w:bCs/>
          <w:color w:val="auto"/>
          <w:kern w:val="2"/>
          <w:sz w:val="28"/>
          <w:szCs w:val="28"/>
          <w:highlight w:val="none"/>
          <w:lang w:val="en-US" w:eastAsia="zh-CN" w:bidi="ar-SA"/>
        </w:rPr>
      </w:pPr>
      <w:bookmarkStart w:id="398" w:name="_Toc25898"/>
      <w:bookmarkStart w:id="399" w:name="_Toc155185927"/>
      <w:bookmarkStart w:id="400" w:name="_Toc163492921"/>
      <w:bookmarkStart w:id="401" w:name="_Toc155185928"/>
      <w:bookmarkStart w:id="402" w:name="_Toc163492922"/>
      <w:r>
        <w:rPr>
          <w:rFonts w:hint="eastAsia" w:ascii="仿宋" w:hAnsi="仿宋" w:eastAsia="仿宋" w:cs="仿宋"/>
          <w:b/>
          <w:bCs/>
          <w:color w:val="auto"/>
          <w:kern w:val="2"/>
          <w:sz w:val="28"/>
          <w:szCs w:val="28"/>
          <w:highlight w:val="none"/>
          <w:lang w:val="en-US" w:eastAsia="zh-CN" w:bidi="ar-SA"/>
        </w:rPr>
        <w:t>一、满足《中华人民共和国政府采购法》第二十二条规定</w:t>
      </w:r>
      <w:bookmarkEnd w:id="398"/>
    </w:p>
    <w:bookmarkEnd w:id="399"/>
    <w:bookmarkEnd w:id="400"/>
    <w:p w14:paraId="61960CA7">
      <w:pPr>
        <w:pStyle w:val="4"/>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★（一）法人、其他组织或者自然人的证明文件</w:t>
      </w:r>
    </w:p>
    <w:p w14:paraId="6E9D2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1.投标人为企业（包括合伙企业）的，应提供有效的“营业执照”；</w:t>
      </w:r>
    </w:p>
    <w:p w14:paraId="420A9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2.投标人为事业单位的，应提供有效的“事业单位法人证书”；</w:t>
      </w:r>
    </w:p>
    <w:p w14:paraId="30B26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3.投标人为非企业机构的，应提供有效的“执业许可证”、“登记证书”等证明文件；</w:t>
      </w:r>
    </w:p>
    <w:p w14:paraId="4FDE6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4.投标人是个体工商户的，应提供有效的“个体工商户营业执照”；</w:t>
      </w:r>
    </w:p>
    <w:p w14:paraId="1DE16B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5.投标人是自然人的，应提供有效的自然人身份证明。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p>
    <w:p w14:paraId="128F3677">
      <w:pP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br w:type="page"/>
      </w:r>
    </w:p>
    <w:bookmarkEnd w:id="401"/>
    <w:bookmarkEnd w:id="402"/>
    <w:p w14:paraId="69A95AD2">
      <w:pPr>
        <w:pStyle w:val="4"/>
        <w:bidi w:val="0"/>
        <w:rPr>
          <w:rFonts w:hint="eastAsia" w:ascii="仿宋" w:hAnsi="仿宋" w:eastAsia="仿宋" w:cs="仿宋"/>
          <w:color w:val="auto"/>
          <w:highlight w:val="none"/>
          <w:lang w:val="en-US" w:eastAsia="zh-CN"/>
        </w:rPr>
      </w:pPr>
      <w:bookmarkStart w:id="403" w:name="_Toc16010"/>
      <w:r>
        <w:rPr>
          <w:rFonts w:hint="eastAsia" w:ascii="仿宋" w:hAnsi="仿宋" w:eastAsia="仿宋" w:cs="仿宋"/>
          <w:color w:val="auto"/>
          <w:highlight w:val="none"/>
          <w:lang w:val="en-US" w:eastAsia="zh-CN"/>
        </w:rPr>
        <w:t>★（二）兵团政府采购供应商信用承诺函</w:t>
      </w:r>
      <w:bookmarkEnd w:id="403"/>
    </w:p>
    <w:p w14:paraId="149786FB">
      <w:pPr>
        <w:spacing w:line="56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单位名称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自然人姓名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p>
    <w:p w14:paraId="48FFA3C0">
      <w:pPr>
        <w:spacing w:line="5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统一社会信用代码</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身份证号码</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p>
    <w:p w14:paraId="7DA4A26F">
      <w:pPr>
        <w:spacing w:line="5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负责人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p>
    <w:p w14:paraId="2565F5FE">
      <w:pPr>
        <w:spacing w:line="560" w:lineRule="exact"/>
        <w:ind w:firstLine="480" w:firstLineChars="200"/>
        <w:rPr>
          <w:rFonts w:hint="eastAsia" w:ascii="仿宋" w:hAnsi="仿宋" w:eastAsia="仿宋" w:cs="仿宋"/>
          <w:color w:val="auto"/>
          <w:kern w:val="0"/>
          <w:sz w:val="24"/>
          <w:szCs w:val="24"/>
          <w:highlight w:val="none"/>
        </w:rPr>
      </w:pPr>
    </w:p>
    <w:p w14:paraId="39CDD6B5">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15BD2674">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一、我单位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符合《中华人民共和国政府采购法》第二十二条规定：</w:t>
      </w:r>
    </w:p>
    <w:p w14:paraId="3218A359">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一</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具有独立承担民事责任的能力</w:t>
      </w:r>
      <w:r>
        <w:rPr>
          <w:rFonts w:hint="eastAsia" w:ascii="仿宋" w:hAnsi="仿宋" w:eastAsia="仿宋" w:cs="仿宋"/>
          <w:color w:val="auto"/>
          <w:kern w:val="0"/>
          <w:sz w:val="24"/>
          <w:szCs w:val="24"/>
          <w:highlight w:val="none"/>
          <w:lang w:eastAsia="zh-CN"/>
        </w:rPr>
        <w:t>；</w:t>
      </w:r>
    </w:p>
    <w:p w14:paraId="036C60EA">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（二）</w:t>
      </w:r>
      <w:r>
        <w:rPr>
          <w:rFonts w:hint="eastAsia" w:ascii="仿宋" w:hAnsi="仿宋" w:eastAsia="仿宋" w:cs="仿宋"/>
          <w:color w:val="auto"/>
          <w:kern w:val="0"/>
          <w:sz w:val="24"/>
          <w:szCs w:val="24"/>
          <w:highlight w:val="none"/>
        </w:rPr>
        <w:t>具有良好的商业信誉和健全的财务会计制度</w:t>
      </w:r>
      <w:r>
        <w:rPr>
          <w:rFonts w:hint="eastAsia" w:ascii="仿宋" w:hAnsi="仿宋" w:eastAsia="仿宋" w:cs="仿宋"/>
          <w:color w:val="auto"/>
          <w:kern w:val="0"/>
          <w:sz w:val="24"/>
          <w:szCs w:val="24"/>
          <w:highlight w:val="none"/>
          <w:lang w:eastAsia="zh-CN"/>
        </w:rPr>
        <w:t>；</w:t>
      </w:r>
    </w:p>
    <w:p w14:paraId="32BE9145">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（三）</w:t>
      </w:r>
      <w:r>
        <w:rPr>
          <w:rFonts w:hint="eastAsia" w:ascii="仿宋" w:hAnsi="仿宋" w:eastAsia="仿宋" w:cs="仿宋"/>
          <w:color w:val="auto"/>
          <w:kern w:val="0"/>
          <w:sz w:val="24"/>
          <w:szCs w:val="24"/>
          <w:highlight w:val="none"/>
        </w:rPr>
        <w:t>具有履行合同所必需的设备和专业技术能力</w:t>
      </w:r>
      <w:r>
        <w:rPr>
          <w:rFonts w:hint="eastAsia" w:ascii="仿宋" w:hAnsi="仿宋" w:eastAsia="仿宋" w:cs="仿宋"/>
          <w:color w:val="auto"/>
          <w:kern w:val="0"/>
          <w:sz w:val="24"/>
          <w:szCs w:val="24"/>
          <w:highlight w:val="none"/>
          <w:lang w:eastAsia="zh-CN"/>
        </w:rPr>
        <w:t>；</w:t>
      </w:r>
    </w:p>
    <w:p w14:paraId="5C988BD2">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（四）</w:t>
      </w:r>
      <w:r>
        <w:rPr>
          <w:rFonts w:hint="eastAsia" w:ascii="仿宋" w:hAnsi="仿宋" w:eastAsia="仿宋" w:cs="仿宋"/>
          <w:color w:val="auto"/>
          <w:kern w:val="0"/>
          <w:sz w:val="24"/>
          <w:szCs w:val="24"/>
          <w:highlight w:val="none"/>
        </w:rPr>
        <w:t>有依法缴纳税收和社会保障资金的良好记录</w:t>
      </w:r>
      <w:r>
        <w:rPr>
          <w:rFonts w:hint="eastAsia" w:ascii="仿宋" w:hAnsi="仿宋" w:eastAsia="仿宋" w:cs="仿宋"/>
          <w:color w:val="auto"/>
          <w:kern w:val="0"/>
          <w:sz w:val="24"/>
          <w:szCs w:val="24"/>
          <w:highlight w:val="none"/>
          <w:lang w:eastAsia="zh-CN"/>
        </w:rPr>
        <w:t>；</w:t>
      </w:r>
    </w:p>
    <w:p w14:paraId="64311F89">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（五）</w:t>
      </w:r>
      <w:r>
        <w:rPr>
          <w:rFonts w:hint="eastAsia" w:ascii="仿宋" w:hAnsi="仿宋" w:eastAsia="仿宋" w:cs="仿宋"/>
          <w:color w:val="auto"/>
          <w:kern w:val="0"/>
          <w:sz w:val="24"/>
          <w:szCs w:val="24"/>
          <w:highlight w:val="none"/>
        </w:rPr>
        <w:t>参加政府采购活动前三年内，在经营活动中没有重大违法记录</w:t>
      </w:r>
      <w:r>
        <w:rPr>
          <w:rFonts w:hint="eastAsia" w:ascii="仿宋" w:hAnsi="仿宋" w:eastAsia="仿宋" w:cs="仿宋"/>
          <w:color w:val="auto"/>
          <w:kern w:val="0"/>
          <w:sz w:val="24"/>
          <w:szCs w:val="24"/>
          <w:highlight w:val="none"/>
          <w:lang w:eastAsia="zh-CN"/>
        </w:rPr>
        <w:t>；</w:t>
      </w:r>
    </w:p>
    <w:p w14:paraId="09591AFC">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（六）</w:t>
      </w:r>
      <w:r>
        <w:rPr>
          <w:rFonts w:hint="eastAsia" w:ascii="仿宋" w:hAnsi="仿宋" w:eastAsia="仿宋" w:cs="仿宋"/>
          <w:color w:val="auto"/>
          <w:kern w:val="0"/>
          <w:sz w:val="24"/>
          <w:szCs w:val="24"/>
          <w:highlight w:val="none"/>
        </w:rPr>
        <w:t>符合法律、行政法规规定的其他条件。</w:t>
      </w:r>
    </w:p>
    <w:p w14:paraId="1BA808C2">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二、我单位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未被列入严重违法失信名单、失信被执行人</w:t>
      </w:r>
      <w:r>
        <w:rPr>
          <w:rFonts w:hint="eastAsia" w:ascii="仿宋" w:hAnsi="仿宋" w:eastAsia="仿宋" w:cs="仿宋"/>
          <w:color w:val="auto"/>
          <w:kern w:val="0"/>
          <w:sz w:val="24"/>
          <w:szCs w:val="24"/>
          <w:highlight w:val="none"/>
          <w:lang w:eastAsia="zh-CN"/>
        </w:rPr>
        <w:t>名单</w:t>
      </w:r>
      <w:r>
        <w:rPr>
          <w:rFonts w:hint="eastAsia" w:ascii="仿宋" w:hAnsi="仿宋" w:eastAsia="仿宋" w:cs="仿宋"/>
          <w:color w:val="auto"/>
          <w:kern w:val="0"/>
          <w:sz w:val="24"/>
          <w:szCs w:val="24"/>
          <w:highlight w:val="none"/>
        </w:rPr>
        <w:t>、重大税收违法失信主体、政府采购严重违法失信行为记录名</w:t>
      </w:r>
      <w:r>
        <w:rPr>
          <w:rFonts w:hint="eastAsia" w:ascii="仿宋" w:hAnsi="仿宋" w:eastAsia="仿宋" w:cs="仿宋"/>
          <w:color w:val="auto"/>
          <w:kern w:val="0"/>
          <w:sz w:val="24"/>
          <w:szCs w:val="24"/>
          <w:highlight w:val="none"/>
          <w:lang w:eastAsia="zh-CN"/>
        </w:rPr>
        <w:t>单</w:t>
      </w:r>
      <w:r>
        <w:rPr>
          <w:rFonts w:hint="eastAsia" w:ascii="仿宋" w:hAnsi="仿宋" w:eastAsia="仿宋" w:cs="仿宋"/>
          <w:color w:val="auto"/>
          <w:kern w:val="0"/>
          <w:sz w:val="24"/>
          <w:szCs w:val="24"/>
          <w:highlight w:val="none"/>
        </w:rPr>
        <w:t>。</w:t>
      </w:r>
    </w:p>
    <w:p w14:paraId="70127B20">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三、如果本公司（本人）有幸中标（成交），在合同签订之前，采购单位有权要求本公司（本人）提供资格证明材料原件进行核验。</w:t>
      </w:r>
    </w:p>
    <w:p w14:paraId="32445A77">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四、我单位</w:t>
      </w:r>
      <w:r>
        <w:rPr>
          <w:rFonts w:hint="eastAsia" w:ascii="仿宋" w:hAnsi="仿宋" w:eastAsia="仿宋" w:cs="仿宋"/>
          <w:color w:val="auto"/>
          <w:kern w:val="0"/>
          <w:sz w:val="24"/>
          <w:szCs w:val="24"/>
          <w:highlight w:val="none"/>
          <w:lang w:eastAsia="zh-CN"/>
        </w:rPr>
        <w:t>（本人）</w:t>
      </w:r>
      <w:r>
        <w:rPr>
          <w:rFonts w:hint="eastAsia" w:ascii="仿宋" w:hAnsi="仿宋" w:eastAsia="仿宋" w:cs="仿宋"/>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ascii="仿宋" w:hAnsi="仿宋" w:eastAsia="仿宋" w:cs="仿宋"/>
          <w:color w:val="auto"/>
          <w:highlight w:val="none"/>
        </w:rPr>
        <w:t>中华人民共和国政府采购法</w:t>
      </w:r>
      <w:r>
        <w:rPr>
          <w:rFonts w:hint="eastAsia" w:ascii="仿宋" w:hAnsi="仿宋" w:eastAsia="仿宋" w:cs="仿宋"/>
          <w:color w:val="auto"/>
          <w:kern w:val="0"/>
          <w:sz w:val="24"/>
          <w:szCs w:val="24"/>
          <w:highlight w:val="none"/>
        </w:rPr>
        <w:t>》第七十</w:t>
      </w:r>
      <w:r>
        <w:rPr>
          <w:rFonts w:hint="eastAsia" w:ascii="仿宋" w:hAnsi="仿宋" w:eastAsia="仿宋" w:cs="仿宋"/>
          <w:color w:val="auto"/>
          <w:kern w:val="0"/>
          <w:sz w:val="24"/>
          <w:szCs w:val="24"/>
          <w:highlight w:val="none"/>
          <w:lang w:eastAsia="zh-CN"/>
        </w:rPr>
        <w:t>七条</w:t>
      </w:r>
      <w:r>
        <w:rPr>
          <w:rFonts w:hint="eastAsia" w:ascii="仿宋" w:hAnsi="仿宋" w:eastAsia="仿宋" w:cs="仿宋"/>
          <w:color w:val="auto"/>
          <w:kern w:val="0"/>
          <w:sz w:val="24"/>
          <w:szCs w:val="24"/>
          <w:highlight w:val="none"/>
        </w:rPr>
        <w:t>、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57CE52DB">
      <w:pPr>
        <w:spacing w:line="560" w:lineRule="exact"/>
        <w:rPr>
          <w:rFonts w:hint="eastAsia" w:ascii="仿宋" w:hAnsi="仿宋" w:eastAsia="仿宋" w:cs="仿宋"/>
          <w:color w:val="auto"/>
          <w:kern w:val="0"/>
          <w:sz w:val="24"/>
          <w:szCs w:val="24"/>
          <w:highlight w:val="none"/>
        </w:rPr>
      </w:pPr>
    </w:p>
    <w:p w14:paraId="5883D10C">
      <w:pPr>
        <w:spacing w:line="560" w:lineRule="exact"/>
        <w:rPr>
          <w:rFonts w:hint="eastAsia" w:ascii="仿宋" w:hAnsi="仿宋" w:eastAsia="仿宋" w:cs="仿宋"/>
          <w:color w:val="auto"/>
          <w:kern w:val="0"/>
          <w:sz w:val="24"/>
          <w:szCs w:val="24"/>
          <w:highlight w:val="none"/>
        </w:rPr>
      </w:pPr>
    </w:p>
    <w:p w14:paraId="02066849">
      <w:pPr>
        <w:spacing w:line="5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供应商名称</w:t>
      </w:r>
      <w:r>
        <w:rPr>
          <w:rFonts w:hint="eastAsia" w:ascii="仿宋" w:hAnsi="仿宋" w:eastAsia="仿宋" w:cs="仿宋"/>
          <w:color w:val="auto"/>
          <w:kern w:val="0"/>
          <w:sz w:val="24"/>
          <w:szCs w:val="24"/>
          <w:highlight w:val="none"/>
          <w:lang w:eastAsia="zh-CN"/>
        </w:rPr>
        <w:t>（公章）</w:t>
      </w:r>
      <w:r>
        <w:rPr>
          <w:rFonts w:hint="eastAsia" w:ascii="仿宋" w:hAnsi="仿宋" w:eastAsia="仿宋" w:cs="仿宋"/>
          <w:color w:val="auto"/>
          <w:kern w:val="0"/>
          <w:sz w:val="24"/>
          <w:szCs w:val="24"/>
          <w:highlight w:val="none"/>
        </w:rPr>
        <w:t>：</w:t>
      </w:r>
    </w:p>
    <w:p w14:paraId="3FCFFDCC">
      <w:pPr>
        <w:spacing w:line="5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负责人</w:t>
      </w:r>
      <w:r>
        <w:rPr>
          <w:rFonts w:hint="eastAsia" w:ascii="仿宋" w:hAnsi="仿宋" w:eastAsia="仿宋" w:cs="仿宋"/>
          <w:color w:val="auto"/>
          <w:kern w:val="0"/>
          <w:sz w:val="24"/>
          <w:szCs w:val="24"/>
          <w:highlight w:val="none"/>
          <w:lang w:val="en-US" w:eastAsia="zh-CN"/>
        </w:rPr>
        <w:t>或</w:t>
      </w: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或授权代表</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签字或</w:t>
      </w:r>
      <w:r>
        <w:rPr>
          <w:rFonts w:hint="eastAsia" w:ascii="仿宋" w:hAnsi="仿宋" w:eastAsia="仿宋" w:cs="仿宋"/>
          <w:color w:val="auto"/>
          <w:kern w:val="0"/>
          <w:sz w:val="24"/>
          <w:szCs w:val="24"/>
          <w:highlight w:val="none"/>
          <w:lang w:eastAsia="zh-CN"/>
        </w:rPr>
        <w:t>盖章）</w:t>
      </w:r>
      <w:r>
        <w:rPr>
          <w:rFonts w:hint="eastAsia" w:ascii="仿宋" w:hAnsi="仿宋" w:eastAsia="仿宋" w:cs="仿宋"/>
          <w:color w:val="auto"/>
          <w:kern w:val="0"/>
          <w:sz w:val="24"/>
          <w:szCs w:val="24"/>
          <w:highlight w:val="none"/>
        </w:rPr>
        <w:t>：</w:t>
      </w:r>
    </w:p>
    <w:p w14:paraId="510A1256">
      <w:pPr>
        <w:spacing w:line="5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1F4E790D">
      <w:pPr>
        <w:widowControl/>
        <w:spacing w:line="560" w:lineRule="exact"/>
        <w:ind w:firstLine="630"/>
        <w:jc w:val="left"/>
        <w:rPr>
          <w:rFonts w:hint="eastAsia" w:ascii="仿宋" w:hAnsi="仿宋" w:eastAsia="仿宋" w:cs="仿宋"/>
          <w:color w:val="auto"/>
          <w:kern w:val="0"/>
          <w:sz w:val="24"/>
          <w:szCs w:val="24"/>
          <w:highlight w:val="none"/>
        </w:rPr>
      </w:pPr>
    </w:p>
    <w:p w14:paraId="282D3BE6">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p w14:paraId="674386CF">
      <w:pPr>
        <w:pStyle w:val="3"/>
        <w:bidi w:val="0"/>
        <w:rPr>
          <w:rFonts w:hint="eastAsia" w:ascii="仿宋" w:hAnsi="仿宋" w:eastAsia="仿宋" w:cs="仿宋"/>
          <w:color w:val="auto"/>
          <w:sz w:val="28"/>
          <w:szCs w:val="28"/>
          <w:highlight w:val="none"/>
          <w:lang w:val="en-US" w:eastAsia="zh-CN"/>
        </w:rPr>
      </w:pPr>
      <w:bookmarkStart w:id="404" w:name="_Toc155185932"/>
      <w:bookmarkStart w:id="405" w:name="_Toc163492926"/>
      <w:bookmarkStart w:id="406" w:name="_Toc3723"/>
      <w:r>
        <w:rPr>
          <w:rFonts w:hint="eastAsia" w:ascii="仿宋" w:hAnsi="仿宋" w:eastAsia="仿宋" w:cs="仿宋"/>
          <w:color w:val="auto"/>
          <w:sz w:val="28"/>
          <w:szCs w:val="28"/>
          <w:highlight w:val="none"/>
          <w:lang w:val="en-US" w:eastAsia="zh-CN"/>
        </w:rPr>
        <w:t>二、</w:t>
      </w:r>
      <w:bookmarkEnd w:id="404"/>
      <w:bookmarkEnd w:id="405"/>
      <w:r>
        <w:rPr>
          <w:rFonts w:hint="eastAsia" w:ascii="仿宋" w:hAnsi="仿宋" w:eastAsia="仿宋" w:cs="仿宋"/>
          <w:color w:val="auto"/>
          <w:sz w:val="28"/>
          <w:szCs w:val="28"/>
          <w:highlight w:val="none"/>
          <w:lang w:val="en-US" w:eastAsia="zh-CN"/>
        </w:rPr>
        <w:t>落实政府采购政策相关证明文件</w:t>
      </w:r>
      <w:bookmarkEnd w:id="395"/>
      <w:bookmarkEnd w:id="406"/>
    </w:p>
    <w:p w14:paraId="41716825">
      <w:pPr>
        <w:pStyle w:val="4"/>
        <w:bidi w:val="0"/>
        <w:rPr>
          <w:rFonts w:hint="eastAsia" w:ascii="仿宋" w:hAnsi="仿宋" w:eastAsia="仿宋" w:cs="仿宋"/>
          <w:color w:val="auto"/>
          <w:sz w:val="24"/>
          <w:szCs w:val="24"/>
          <w:highlight w:val="none"/>
          <w:lang w:val="en-US" w:eastAsia="zh-CN"/>
        </w:rPr>
      </w:pPr>
      <w:bookmarkStart w:id="407" w:name="_Toc163492938"/>
      <w:r>
        <w:rPr>
          <w:rFonts w:hint="eastAsia" w:ascii="仿宋" w:hAnsi="仿宋" w:eastAsia="仿宋" w:cs="仿宋"/>
          <w:color w:val="auto"/>
          <w:sz w:val="24"/>
          <w:szCs w:val="24"/>
          <w:highlight w:val="none"/>
          <w:lang w:val="en-US" w:eastAsia="zh-CN"/>
        </w:rPr>
        <w:t>（一）节能环保产品清单及证明材料【如适用】</w:t>
      </w:r>
      <w:bookmarkEnd w:id="407"/>
    </w:p>
    <w:p w14:paraId="641C9B9A">
      <w:pPr>
        <w:spacing w:line="30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/包号</w:t>
      </w:r>
      <w:r>
        <w:rPr>
          <w:rFonts w:hint="eastAsia" w:ascii="仿宋" w:hAnsi="仿宋" w:eastAsia="仿宋" w:cs="仿宋"/>
          <w:color w:val="auto"/>
          <w:sz w:val="24"/>
          <w:szCs w:val="24"/>
          <w:highlight w:val="none"/>
        </w:rPr>
        <w:t>：</w:t>
      </w:r>
    </w:p>
    <w:p w14:paraId="47803A74">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节能产品</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91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72F949B">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0FC7763">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633BCC6">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7E976350">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17DFEC52">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3A14857">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D34C27C">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13DCA98A">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7B58FD30">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2B8D01D4">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4FBA906">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属强制采购或优先采购</w:t>
            </w:r>
          </w:p>
        </w:tc>
      </w:tr>
      <w:tr w14:paraId="0B7A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062F6E4">
            <w:pPr>
              <w:pStyle w:val="49"/>
              <w:numPr>
                <w:ilvl w:val="0"/>
                <w:numId w:val="86"/>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0150CC3">
            <w:pPr>
              <w:pStyle w:val="4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3B14BA8">
            <w:pPr>
              <w:pStyle w:val="4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08F47C0">
            <w:pPr>
              <w:pStyle w:val="4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4405E13">
            <w:pPr>
              <w:pStyle w:val="4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3F13E44">
            <w:pPr>
              <w:pStyle w:val="4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8B5DB96">
            <w:pPr>
              <w:pStyle w:val="4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B625590">
            <w:pPr>
              <w:pStyle w:val="4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E92B067">
            <w:pPr>
              <w:pStyle w:val="49"/>
              <w:jc w:val="center"/>
              <w:rPr>
                <w:rFonts w:hint="eastAsia" w:ascii="仿宋" w:hAnsi="仿宋" w:eastAsia="仿宋" w:cs="仿宋"/>
                <w:color w:val="auto"/>
                <w:sz w:val="21"/>
                <w:szCs w:val="21"/>
                <w:highlight w:val="none"/>
              </w:rPr>
            </w:pPr>
          </w:p>
        </w:tc>
      </w:tr>
      <w:tr w14:paraId="0E72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3194D91">
            <w:pPr>
              <w:pStyle w:val="49"/>
              <w:numPr>
                <w:ilvl w:val="0"/>
                <w:numId w:val="86"/>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9339E9C">
            <w:pPr>
              <w:pStyle w:val="4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6588A5D6">
            <w:pPr>
              <w:pStyle w:val="4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487ED51">
            <w:pPr>
              <w:pStyle w:val="4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BED723B">
            <w:pPr>
              <w:pStyle w:val="4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9FD1D1D">
            <w:pPr>
              <w:pStyle w:val="4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7077735">
            <w:pPr>
              <w:pStyle w:val="4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509E830">
            <w:pPr>
              <w:pStyle w:val="4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3F870C5">
            <w:pPr>
              <w:pStyle w:val="49"/>
              <w:jc w:val="center"/>
              <w:rPr>
                <w:rFonts w:hint="eastAsia" w:ascii="仿宋" w:hAnsi="仿宋" w:eastAsia="仿宋" w:cs="仿宋"/>
                <w:color w:val="auto"/>
                <w:sz w:val="21"/>
                <w:szCs w:val="21"/>
                <w:highlight w:val="none"/>
              </w:rPr>
            </w:pPr>
          </w:p>
        </w:tc>
      </w:tr>
      <w:tr w14:paraId="34C0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D699565">
            <w:pPr>
              <w:pStyle w:val="49"/>
              <w:numPr>
                <w:ilvl w:val="0"/>
                <w:numId w:val="86"/>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597DB33">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05F43678">
            <w:pPr>
              <w:pStyle w:val="4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6995ABF">
            <w:pPr>
              <w:pStyle w:val="4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FADCDC4">
            <w:pPr>
              <w:pStyle w:val="4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76DB47F">
            <w:pPr>
              <w:pStyle w:val="4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1B52845">
            <w:pPr>
              <w:pStyle w:val="4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5544B80">
            <w:pPr>
              <w:pStyle w:val="4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1E6D10A">
            <w:pPr>
              <w:pStyle w:val="49"/>
              <w:jc w:val="center"/>
              <w:rPr>
                <w:rFonts w:hint="eastAsia" w:ascii="仿宋" w:hAnsi="仿宋" w:eastAsia="仿宋" w:cs="仿宋"/>
                <w:color w:val="auto"/>
                <w:sz w:val="21"/>
                <w:szCs w:val="21"/>
                <w:highlight w:val="none"/>
              </w:rPr>
            </w:pPr>
          </w:p>
        </w:tc>
      </w:tr>
    </w:tbl>
    <w:p w14:paraId="69FC8255">
      <w:pPr>
        <w:spacing w:line="300" w:lineRule="auto"/>
        <w:rPr>
          <w:rFonts w:hint="eastAsia" w:ascii="仿宋" w:hAnsi="仿宋" w:eastAsia="仿宋" w:cs="仿宋"/>
          <w:color w:val="auto"/>
          <w:szCs w:val="21"/>
          <w:highlight w:val="none"/>
        </w:rPr>
      </w:pPr>
    </w:p>
    <w:p w14:paraId="690A0756">
      <w:pPr>
        <w:spacing w:line="30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rPr>
        <w:t>环保产品</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A8D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7E4A95E">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AA91FB1">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7EAA52F">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w:t>
            </w:r>
          </w:p>
          <w:p w14:paraId="5B3863C9">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D914167">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7525B5A">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14090041">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2B9678EA">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6E63CBD3">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26EF66A1">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1881B9EC">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（万元）</w:t>
            </w:r>
          </w:p>
        </w:tc>
      </w:tr>
      <w:tr w14:paraId="5F47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36FE7">
            <w:pPr>
              <w:pStyle w:val="49"/>
              <w:numPr>
                <w:ilvl w:val="0"/>
                <w:numId w:val="87"/>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A20E62A">
            <w:pPr>
              <w:pStyle w:val="4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2CDEC64">
            <w:pPr>
              <w:pStyle w:val="4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38AE6B2">
            <w:pPr>
              <w:pStyle w:val="4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C76BF9">
            <w:pPr>
              <w:pStyle w:val="4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B09EBD6">
            <w:pPr>
              <w:pStyle w:val="4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251BCE0">
            <w:pPr>
              <w:pStyle w:val="4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5694893">
            <w:pPr>
              <w:pStyle w:val="49"/>
              <w:jc w:val="center"/>
              <w:rPr>
                <w:rFonts w:hint="eastAsia" w:ascii="仿宋" w:hAnsi="仿宋" w:eastAsia="仿宋" w:cs="仿宋"/>
                <w:color w:val="auto"/>
                <w:sz w:val="21"/>
                <w:szCs w:val="21"/>
                <w:highlight w:val="none"/>
              </w:rPr>
            </w:pPr>
          </w:p>
        </w:tc>
      </w:tr>
      <w:tr w14:paraId="6A99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8EBBE11">
            <w:pPr>
              <w:pStyle w:val="49"/>
              <w:numPr>
                <w:ilvl w:val="0"/>
                <w:numId w:val="87"/>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771DE4">
            <w:pPr>
              <w:pStyle w:val="4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F663DA6">
            <w:pPr>
              <w:pStyle w:val="4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FCE4627">
            <w:pPr>
              <w:pStyle w:val="4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E80F2A5">
            <w:pPr>
              <w:pStyle w:val="4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493FC86">
            <w:pPr>
              <w:pStyle w:val="4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C2160F0">
            <w:pPr>
              <w:pStyle w:val="4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238DDC0">
            <w:pPr>
              <w:pStyle w:val="49"/>
              <w:jc w:val="center"/>
              <w:rPr>
                <w:rFonts w:hint="eastAsia" w:ascii="仿宋" w:hAnsi="仿宋" w:eastAsia="仿宋" w:cs="仿宋"/>
                <w:color w:val="auto"/>
                <w:sz w:val="21"/>
                <w:szCs w:val="21"/>
                <w:highlight w:val="none"/>
              </w:rPr>
            </w:pPr>
          </w:p>
        </w:tc>
      </w:tr>
      <w:tr w14:paraId="24B6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C90CD05">
            <w:pPr>
              <w:pStyle w:val="49"/>
              <w:numPr>
                <w:ilvl w:val="0"/>
                <w:numId w:val="87"/>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28A1074">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47CBFD42">
            <w:pPr>
              <w:pStyle w:val="4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2A3673E">
            <w:pPr>
              <w:pStyle w:val="4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3112494">
            <w:pPr>
              <w:pStyle w:val="4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FF974A1">
            <w:pPr>
              <w:pStyle w:val="4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7425C45">
            <w:pPr>
              <w:pStyle w:val="4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1F5DC44">
            <w:pPr>
              <w:pStyle w:val="49"/>
              <w:jc w:val="center"/>
              <w:rPr>
                <w:rFonts w:hint="eastAsia" w:ascii="仿宋" w:hAnsi="仿宋" w:eastAsia="仿宋" w:cs="仿宋"/>
                <w:color w:val="auto"/>
                <w:sz w:val="21"/>
                <w:szCs w:val="21"/>
                <w:highlight w:val="none"/>
              </w:rPr>
            </w:pPr>
          </w:p>
        </w:tc>
      </w:tr>
    </w:tbl>
    <w:p w14:paraId="7D386FE8">
      <w:pPr>
        <w:spacing w:line="300" w:lineRule="auto"/>
        <w:rPr>
          <w:rFonts w:hint="eastAsia" w:ascii="仿宋" w:hAnsi="仿宋" w:eastAsia="仿宋" w:cs="仿宋"/>
          <w:color w:val="auto"/>
          <w:szCs w:val="21"/>
          <w:highlight w:val="none"/>
        </w:rPr>
      </w:pPr>
    </w:p>
    <w:p w14:paraId="606E5A08">
      <w:pP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特别说明：投标人应将所投产品中节能、环保产品分别列入上表中，并按本招标文件</w:t>
      </w:r>
      <w:r>
        <w:rPr>
          <w:rFonts w:hint="eastAsia" w:ascii="仿宋" w:hAnsi="仿宋" w:eastAsia="仿宋" w:cs="仿宋"/>
          <w:b/>
          <w:color w:val="auto"/>
          <w:sz w:val="21"/>
          <w:szCs w:val="21"/>
          <w:highlight w:val="none"/>
          <w:lang w:val="en-US" w:eastAsia="zh-CN"/>
        </w:rPr>
        <w:t>“</w:t>
      </w:r>
      <w:r>
        <w:rPr>
          <w:rFonts w:hint="eastAsia" w:ascii="仿宋" w:hAnsi="仿宋" w:eastAsia="仿宋" w:cs="仿宋"/>
          <w:b/>
          <w:color w:val="auto"/>
          <w:sz w:val="21"/>
          <w:szCs w:val="21"/>
          <w:highlight w:val="none"/>
        </w:rPr>
        <w:t>第二章</w:t>
      </w:r>
      <w:r>
        <w:rPr>
          <w:rFonts w:hint="eastAsia" w:ascii="仿宋" w:hAnsi="仿宋" w:eastAsia="仿宋" w:cs="仿宋"/>
          <w:b/>
          <w:color w:val="auto"/>
          <w:sz w:val="21"/>
          <w:szCs w:val="21"/>
          <w:highlight w:val="none"/>
          <w:lang w:val="en-US" w:eastAsia="zh-CN"/>
        </w:rPr>
        <w:t>投标人须知”</w:t>
      </w:r>
      <w:r>
        <w:rPr>
          <w:rFonts w:hint="eastAsia" w:ascii="仿宋" w:hAnsi="仿宋" w:eastAsia="仿宋" w:cs="仿宋"/>
          <w:b/>
          <w:color w:val="auto"/>
          <w:sz w:val="21"/>
          <w:szCs w:val="21"/>
          <w:highlight w:val="none"/>
        </w:rPr>
        <w:t>提供相关证明材料，未填写本表或未提供有效认证证书的不给予</w:t>
      </w:r>
      <w:r>
        <w:rPr>
          <w:rFonts w:hint="eastAsia" w:ascii="仿宋" w:hAnsi="仿宋" w:eastAsia="仿宋" w:cs="仿宋"/>
          <w:b/>
          <w:color w:val="auto"/>
          <w:sz w:val="21"/>
          <w:szCs w:val="21"/>
          <w:highlight w:val="none"/>
          <w:lang w:val="en-US" w:eastAsia="zh-CN"/>
        </w:rPr>
        <w:t>评审优惠</w:t>
      </w:r>
      <w:r>
        <w:rPr>
          <w:rFonts w:hint="eastAsia" w:ascii="仿宋" w:hAnsi="仿宋" w:eastAsia="仿宋" w:cs="仿宋"/>
          <w:b/>
          <w:color w:val="auto"/>
          <w:sz w:val="21"/>
          <w:szCs w:val="21"/>
          <w:highlight w:val="none"/>
        </w:rPr>
        <w:t>。</w:t>
      </w:r>
    </w:p>
    <w:p w14:paraId="675C9164">
      <w:pPr>
        <w:spacing w:line="300" w:lineRule="auto"/>
        <w:rPr>
          <w:rFonts w:hint="eastAsia" w:ascii="仿宋" w:hAnsi="仿宋" w:eastAsia="仿宋" w:cs="仿宋"/>
          <w:color w:val="auto"/>
          <w:szCs w:val="21"/>
          <w:highlight w:val="none"/>
        </w:rPr>
      </w:pPr>
    </w:p>
    <w:p w14:paraId="402F965E">
      <w:pPr>
        <w:spacing w:line="30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zCs w:val="21"/>
          <w:highlight w:val="none"/>
        </w:rPr>
        <w:t>：</w:t>
      </w:r>
    </w:p>
    <w:p w14:paraId="3068A70D">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14:paraId="70617D68">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p w14:paraId="054638DF">
      <w:pPr>
        <w:jc w:val="left"/>
        <w:rPr>
          <w:rFonts w:ascii="仿宋" w:hAnsi="仿宋" w:eastAsia="仿宋" w:cs="仿宋"/>
          <w:b/>
          <w:bCs/>
          <w:color w:val="auto"/>
          <w:kern w:val="2"/>
          <w:sz w:val="24"/>
          <w:szCs w:val="24"/>
          <w:highlight w:val="none"/>
          <w:lang w:val="en-US" w:eastAsia="zh-CN" w:bidi="ar-SA"/>
        </w:rPr>
      </w:pPr>
      <w:bookmarkStart w:id="408" w:name="_Toc163492939"/>
      <w:r>
        <w:rPr>
          <w:rFonts w:hint="eastAsia" w:ascii="仿宋" w:hAnsi="仿宋" w:eastAsia="仿宋" w:cs="仿宋"/>
          <w:b w:val="0"/>
          <w:bCs w:val="0"/>
          <w:color w:val="auto"/>
          <w:kern w:val="2"/>
          <w:sz w:val="24"/>
          <w:szCs w:val="24"/>
          <w:highlight w:val="none"/>
          <w:lang w:val="en-US" w:eastAsia="zh-CN" w:bidi="ar-SA"/>
        </w:rPr>
        <w:t>附件1</w:t>
      </w:r>
      <w:r>
        <w:rPr>
          <w:rFonts w:ascii="仿宋" w:hAnsi="仿宋" w:eastAsia="仿宋" w:cs="仿宋"/>
          <w:b/>
          <w:bCs/>
          <w:color w:val="auto"/>
          <w:kern w:val="2"/>
          <w:sz w:val="24"/>
          <w:szCs w:val="24"/>
          <w:highlight w:val="none"/>
          <w:lang w:val="en-US" w:eastAsia="zh-CN" w:bidi="ar-SA"/>
        </w:rPr>
        <w:t>节能产品政府采购品目清单</w:t>
      </w:r>
    </w:p>
    <w:tbl>
      <w:tblPr>
        <w:tblStyle w:val="29"/>
        <w:tblpPr w:leftFromText="180" w:rightFromText="180" w:vertAnchor="text" w:horzAnchor="page" w:tblpX="1902" w:tblpY="4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161"/>
        <w:gridCol w:w="1581"/>
        <w:gridCol w:w="1581"/>
        <w:gridCol w:w="3329"/>
      </w:tblGrid>
      <w:tr w14:paraId="1CEE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4" w:type="dxa"/>
            <w:vAlign w:val="center"/>
          </w:tcPr>
          <w:p w14:paraId="03C374D1">
            <w:pPr>
              <w:spacing w:line="240" w:lineRule="auto"/>
              <w:jc w:val="center"/>
              <w:rPr>
                <w:rFonts w:ascii="仿宋" w:hAnsi="仿宋" w:eastAsia="仿宋" w:cs="仿宋"/>
                <w:b w:val="0"/>
                <w:bCs w:val="0"/>
                <w:i w:val="0"/>
                <w:iCs w:val="0"/>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lang w:val="en-US" w:eastAsia="zh-CN" w:bidi="ar-SA"/>
              </w:rPr>
              <w:t>品目序号</w:t>
            </w:r>
          </w:p>
        </w:tc>
        <w:tc>
          <w:tcPr>
            <w:tcW w:w="4323" w:type="dxa"/>
            <w:gridSpan w:val="3"/>
            <w:vAlign w:val="center"/>
          </w:tcPr>
          <w:p w14:paraId="3142AFA5">
            <w:pPr>
              <w:spacing w:line="240" w:lineRule="auto"/>
              <w:jc w:val="center"/>
              <w:rPr>
                <w:rFonts w:ascii="仿宋" w:hAnsi="仿宋" w:eastAsia="仿宋" w:cs="仿宋"/>
                <w:b w:val="0"/>
                <w:bCs w:val="0"/>
                <w:i w:val="0"/>
                <w:iCs w:val="0"/>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lang w:val="en-US" w:eastAsia="zh-CN" w:bidi="ar-SA"/>
              </w:rPr>
              <w:t>名称</w:t>
            </w:r>
          </w:p>
        </w:tc>
        <w:tc>
          <w:tcPr>
            <w:tcW w:w="3329" w:type="dxa"/>
            <w:vAlign w:val="center"/>
          </w:tcPr>
          <w:p w14:paraId="625CC5AD">
            <w:pPr>
              <w:spacing w:line="240" w:lineRule="auto"/>
              <w:jc w:val="center"/>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依据的标准</w:t>
            </w:r>
          </w:p>
        </w:tc>
      </w:tr>
      <w:tr w14:paraId="00DD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restart"/>
            <w:vAlign w:val="center"/>
          </w:tcPr>
          <w:p w14:paraId="174FCACC">
            <w:pPr>
              <w:spacing w:line="240" w:lineRule="auto"/>
              <w:jc w:val="center"/>
              <w:rPr>
                <w:rFonts w:ascii="仿宋" w:hAnsi="仿宋" w:eastAsia="仿宋" w:cs="仿宋"/>
                <w:b w:val="0"/>
                <w:bCs w:val="0"/>
                <w:i w:val="0"/>
                <w:iCs w:val="0"/>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lang w:val="en-US" w:eastAsia="zh-CN" w:bidi="ar-SA"/>
              </w:rPr>
              <w:t>1</w:t>
            </w:r>
          </w:p>
        </w:tc>
        <w:tc>
          <w:tcPr>
            <w:tcW w:w="1161" w:type="dxa"/>
            <w:vMerge w:val="restart"/>
            <w:vAlign w:val="center"/>
          </w:tcPr>
          <w:p w14:paraId="2284CC36">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A020101 计算机设备</w:t>
            </w:r>
          </w:p>
        </w:tc>
        <w:tc>
          <w:tcPr>
            <w:tcW w:w="1581" w:type="dxa"/>
            <w:vAlign w:val="center"/>
          </w:tcPr>
          <w:p w14:paraId="0E4FBCC7">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★A02010104 台式计算机</w:t>
            </w:r>
          </w:p>
        </w:tc>
        <w:tc>
          <w:tcPr>
            <w:tcW w:w="1581" w:type="dxa"/>
            <w:vAlign w:val="center"/>
          </w:tcPr>
          <w:p w14:paraId="62CA7394">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3329" w:type="dxa"/>
            <w:vAlign w:val="center"/>
          </w:tcPr>
          <w:p w14:paraId="28E9C61B">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《微型计算机能效限定值及能效等级》 （GB28380）</w:t>
            </w:r>
          </w:p>
        </w:tc>
      </w:tr>
      <w:tr w14:paraId="7010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5F7615A6">
            <w:pPr>
              <w:rPr>
                <w:highlight w:val="none"/>
              </w:rPr>
            </w:pPr>
          </w:p>
        </w:tc>
        <w:tc>
          <w:tcPr>
            <w:tcW w:w="1161" w:type="dxa"/>
            <w:vMerge w:val="continue"/>
            <w:vAlign w:val="center"/>
          </w:tcPr>
          <w:p w14:paraId="276248FA">
            <w:pPr>
              <w:rPr>
                <w:highlight w:val="none"/>
              </w:rPr>
            </w:pPr>
          </w:p>
        </w:tc>
        <w:tc>
          <w:tcPr>
            <w:tcW w:w="1581" w:type="dxa"/>
            <w:vAlign w:val="center"/>
          </w:tcPr>
          <w:p w14:paraId="39AAA414">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★A02010105 便携式计算机</w:t>
            </w:r>
          </w:p>
        </w:tc>
        <w:tc>
          <w:tcPr>
            <w:tcW w:w="1581" w:type="dxa"/>
            <w:vAlign w:val="center"/>
          </w:tcPr>
          <w:p w14:paraId="64441F39">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3329" w:type="dxa"/>
            <w:vAlign w:val="center"/>
          </w:tcPr>
          <w:p w14:paraId="4E046437">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《微型计算机能效限定值及能效等级》 （GB28380）</w:t>
            </w:r>
          </w:p>
        </w:tc>
      </w:tr>
      <w:tr w14:paraId="7F79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4E5580CD">
            <w:pPr>
              <w:rPr>
                <w:highlight w:val="none"/>
              </w:rPr>
            </w:pPr>
          </w:p>
        </w:tc>
        <w:tc>
          <w:tcPr>
            <w:tcW w:w="1161" w:type="dxa"/>
            <w:vMerge w:val="continue"/>
            <w:vAlign w:val="center"/>
          </w:tcPr>
          <w:p w14:paraId="755F5084">
            <w:pPr>
              <w:rPr>
                <w:highlight w:val="none"/>
              </w:rPr>
            </w:pPr>
          </w:p>
        </w:tc>
        <w:tc>
          <w:tcPr>
            <w:tcW w:w="1581" w:type="dxa"/>
            <w:vAlign w:val="center"/>
          </w:tcPr>
          <w:p w14:paraId="3B17F828">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★A02010107 平板式微型计算机</w:t>
            </w:r>
          </w:p>
        </w:tc>
        <w:tc>
          <w:tcPr>
            <w:tcW w:w="1581" w:type="dxa"/>
            <w:vAlign w:val="center"/>
          </w:tcPr>
          <w:p w14:paraId="2C62F353">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3329" w:type="dxa"/>
            <w:vAlign w:val="center"/>
          </w:tcPr>
          <w:p w14:paraId="05825568">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《微型计算机能效限定值及能效等级》 （GB28380）</w:t>
            </w:r>
          </w:p>
        </w:tc>
      </w:tr>
      <w:tr w14:paraId="1ED0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restart"/>
            <w:vAlign w:val="center"/>
          </w:tcPr>
          <w:p w14:paraId="3927D6D1">
            <w:pPr>
              <w:spacing w:line="240" w:lineRule="auto"/>
              <w:jc w:val="center"/>
              <w:rPr>
                <w:rFonts w:ascii="仿宋" w:hAnsi="仿宋" w:eastAsia="仿宋" w:cs="仿宋"/>
                <w:b w:val="0"/>
                <w:bCs w:val="0"/>
                <w:i w:val="0"/>
                <w:iCs w:val="0"/>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lang w:val="en-US" w:eastAsia="zh-CN" w:bidi="ar-SA"/>
              </w:rPr>
              <w:t>2</w:t>
            </w:r>
          </w:p>
        </w:tc>
        <w:tc>
          <w:tcPr>
            <w:tcW w:w="1161" w:type="dxa"/>
            <w:vMerge w:val="restart"/>
            <w:vAlign w:val="center"/>
          </w:tcPr>
          <w:p w14:paraId="71E3AB9E">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A020106 输入输出设备</w:t>
            </w:r>
          </w:p>
        </w:tc>
        <w:tc>
          <w:tcPr>
            <w:tcW w:w="1581" w:type="dxa"/>
            <w:vMerge w:val="restart"/>
            <w:vAlign w:val="center"/>
          </w:tcPr>
          <w:p w14:paraId="47EC78A7">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A02010601 打印设备</w:t>
            </w:r>
          </w:p>
        </w:tc>
        <w:tc>
          <w:tcPr>
            <w:tcW w:w="1581" w:type="dxa"/>
            <w:vAlign w:val="center"/>
          </w:tcPr>
          <w:p w14:paraId="45361FF2">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A0201060101 喷墨打印机</w:t>
            </w:r>
          </w:p>
        </w:tc>
        <w:tc>
          <w:tcPr>
            <w:tcW w:w="3329" w:type="dxa"/>
            <w:vAlign w:val="center"/>
          </w:tcPr>
          <w:p w14:paraId="004E5EF9">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《复印机、打印机和传真机能效限定值及能效等级》（GB21521）</w:t>
            </w:r>
          </w:p>
        </w:tc>
      </w:tr>
      <w:tr w14:paraId="28C0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24F1DC35">
            <w:pPr>
              <w:rPr>
                <w:highlight w:val="none"/>
              </w:rPr>
            </w:pPr>
          </w:p>
        </w:tc>
        <w:tc>
          <w:tcPr>
            <w:tcW w:w="1161" w:type="dxa"/>
            <w:vMerge w:val="continue"/>
            <w:vAlign w:val="center"/>
          </w:tcPr>
          <w:p w14:paraId="1709FA67">
            <w:pPr>
              <w:rPr>
                <w:highlight w:val="none"/>
              </w:rPr>
            </w:pPr>
          </w:p>
        </w:tc>
        <w:tc>
          <w:tcPr>
            <w:tcW w:w="1581" w:type="dxa"/>
            <w:vMerge w:val="continue"/>
            <w:vAlign w:val="center"/>
          </w:tcPr>
          <w:p w14:paraId="0C691F52">
            <w:pPr>
              <w:rPr>
                <w:highlight w:val="none"/>
              </w:rPr>
            </w:pPr>
          </w:p>
        </w:tc>
        <w:tc>
          <w:tcPr>
            <w:tcW w:w="1581" w:type="dxa"/>
            <w:vAlign w:val="center"/>
          </w:tcPr>
          <w:p w14:paraId="1C1F954C">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★A0201060102 激光打印机</w:t>
            </w:r>
          </w:p>
        </w:tc>
        <w:tc>
          <w:tcPr>
            <w:tcW w:w="3329" w:type="dxa"/>
            <w:shd w:val="clear" w:color="auto" w:fill="auto"/>
            <w:vAlign w:val="center"/>
          </w:tcPr>
          <w:p w14:paraId="4C6180B8">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《复印机、打印机和传真机能效限定值及能效等级》（GB21521）</w:t>
            </w:r>
          </w:p>
        </w:tc>
      </w:tr>
      <w:tr w14:paraId="5052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2898204B">
            <w:pPr>
              <w:rPr>
                <w:highlight w:val="none"/>
              </w:rPr>
            </w:pPr>
          </w:p>
        </w:tc>
        <w:tc>
          <w:tcPr>
            <w:tcW w:w="1161" w:type="dxa"/>
            <w:vMerge w:val="continue"/>
            <w:vAlign w:val="center"/>
          </w:tcPr>
          <w:p w14:paraId="009EC00F">
            <w:pPr>
              <w:rPr>
                <w:highlight w:val="none"/>
              </w:rPr>
            </w:pPr>
          </w:p>
        </w:tc>
        <w:tc>
          <w:tcPr>
            <w:tcW w:w="1581" w:type="dxa"/>
            <w:vMerge w:val="continue"/>
            <w:vAlign w:val="center"/>
          </w:tcPr>
          <w:p w14:paraId="2E36B730">
            <w:pPr>
              <w:rPr>
                <w:highlight w:val="none"/>
              </w:rPr>
            </w:pPr>
          </w:p>
        </w:tc>
        <w:tc>
          <w:tcPr>
            <w:tcW w:w="1581" w:type="dxa"/>
            <w:vAlign w:val="center"/>
          </w:tcPr>
          <w:p w14:paraId="7F619875">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★A0201060104 针式打印机</w:t>
            </w:r>
          </w:p>
        </w:tc>
        <w:tc>
          <w:tcPr>
            <w:tcW w:w="3329" w:type="dxa"/>
            <w:shd w:val="clear" w:color="auto" w:fill="auto"/>
            <w:vAlign w:val="center"/>
          </w:tcPr>
          <w:p w14:paraId="0AC0E15A">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《复印机、打印机和传真机能效限定值及能效等级》（GB21521）</w:t>
            </w:r>
          </w:p>
        </w:tc>
      </w:tr>
      <w:tr w14:paraId="6594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04D78BB1">
            <w:pPr>
              <w:rPr>
                <w:highlight w:val="none"/>
              </w:rPr>
            </w:pPr>
          </w:p>
        </w:tc>
        <w:tc>
          <w:tcPr>
            <w:tcW w:w="1161" w:type="dxa"/>
            <w:vMerge w:val="continue"/>
            <w:vAlign w:val="center"/>
          </w:tcPr>
          <w:p w14:paraId="16036510">
            <w:pPr>
              <w:rPr>
                <w:highlight w:val="none"/>
              </w:rPr>
            </w:pPr>
          </w:p>
        </w:tc>
        <w:tc>
          <w:tcPr>
            <w:tcW w:w="1581" w:type="dxa"/>
            <w:vAlign w:val="center"/>
          </w:tcPr>
          <w:p w14:paraId="44FD1A19">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A02010604 显示设备</w:t>
            </w:r>
          </w:p>
        </w:tc>
        <w:tc>
          <w:tcPr>
            <w:tcW w:w="1581" w:type="dxa"/>
            <w:vAlign w:val="center"/>
          </w:tcPr>
          <w:p w14:paraId="570760A9">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★A0201060401 液晶显示器</w:t>
            </w:r>
          </w:p>
        </w:tc>
        <w:tc>
          <w:tcPr>
            <w:tcW w:w="3329" w:type="dxa"/>
            <w:vAlign w:val="center"/>
          </w:tcPr>
          <w:p w14:paraId="18273507">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《计算机显示器能效限定值及能效等级》（GB21520）</w:t>
            </w:r>
          </w:p>
        </w:tc>
      </w:tr>
      <w:tr w14:paraId="5E53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4C5BE9D1">
            <w:pPr>
              <w:rPr>
                <w:highlight w:val="none"/>
              </w:rPr>
            </w:pPr>
          </w:p>
        </w:tc>
        <w:tc>
          <w:tcPr>
            <w:tcW w:w="1161" w:type="dxa"/>
            <w:vMerge w:val="continue"/>
            <w:vAlign w:val="center"/>
          </w:tcPr>
          <w:p w14:paraId="7F737190">
            <w:pPr>
              <w:rPr>
                <w:highlight w:val="none"/>
              </w:rPr>
            </w:pPr>
          </w:p>
        </w:tc>
        <w:tc>
          <w:tcPr>
            <w:tcW w:w="1581" w:type="dxa"/>
            <w:vAlign w:val="center"/>
          </w:tcPr>
          <w:p w14:paraId="0CDFD9B6">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A02010609 图形图像输入设备</w:t>
            </w:r>
          </w:p>
        </w:tc>
        <w:tc>
          <w:tcPr>
            <w:tcW w:w="1581" w:type="dxa"/>
            <w:vAlign w:val="center"/>
          </w:tcPr>
          <w:p w14:paraId="5F245DB9">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A0201060901 扫描仪</w:t>
            </w:r>
          </w:p>
        </w:tc>
        <w:tc>
          <w:tcPr>
            <w:tcW w:w="3329" w:type="dxa"/>
            <w:vAlign w:val="center"/>
          </w:tcPr>
          <w:p w14:paraId="73221F1C">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参照《复印机、打印机和传真机能效限定值及能效等级》（GB21521）中打印速度为 15 页/分的针式打印机相关要求</w:t>
            </w:r>
          </w:p>
        </w:tc>
      </w:tr>
      <w:tr w14:paraId="7033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1E644AD9">
            <w:pPr>
              <w:spacing w:line="240" w:lineRule="auto"/>
              <w:jc w:val="center"/>
              <w:rPr>
                <w:rFonts w:ascii="仿宋" w:hAnsi="仿宋" w:eastAsia="仿宋" w:cs="仿宋"/>
                <w:b w:val="0"/>
                <w:bCs w:val="0"/>
                <w:i w:val="0"/>
                <w:iCs w:val="0"/>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lang w:val="en-US" w:eastAsia="zh-CN" w:bidi="ar-SA"/>
              </w:rPr>
              <w:t>3</w:t>
            </w:r>
          </w:p>
        </w:tc>
        <w:tc>
          <w:tcPr>
            <w:tcW w:w="1161" w:type="dxa"/>
            <w:vAlign w:val="center"/>
          </w:tcPr>
          <w:p w14:paraId="1C81E8BC">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A020202 投影仪</w:t>
            </w:r>
          </w:p>
        </w:tc>
        <w:tc>
          <w:tcPr>
            <w:tcW w:w="1581" w:type="dxa"/>
            <w:vAlign w:val="center"/>
          </w:tcPr>
          <w:p w14:paraId="1F455185">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1581" w:type="dxa"/>
            <w:vAlign w:val="center"/>
          </w:tcPr>
          <w:p w14:paraId="5AD5F8B8">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3329" w:type="dxa"/>
            <w:vAlign w:val="center"/>
          </w:tcPr>
          <w:p w14:paraId="3BE2E2F8">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 xml:space="preserve">《投影机能效限定值及能效等级》 </w:t>
            </w:r>
          </w:p>
          <w:p w14:paraId="564789F5">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（GB32028）</w:t>
            </w:r>
          </w:p>
        </w:tc>
      </w:tr>
      <w:tr w14:paraId="2B51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655C38BA">
            <w:pPr>
              <w:spacing w:line="240" w:lineRule="auto"/>
              <w:jc w:val="center"/>
              <w:rPr>
                <w:rFonts w:ascii="仿宋" w:hAnsi="仿宋" w:eastAsia="仿宋" w:cs="仿宋"/>
                <w:b w:val="0"/>
                <w:bCs w:val="0"/>
                <w:i w:val="0"/>
                <w:iCs w:val="0"/>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lang w:val="en-US" w:eastAsia="zh-CN" w:bidi="ar-SA"/>
              </w:rPr>
              <w:t>4</w:t>
            </w:r>
          </w:p>
        </w:tc>
        <w:tc>
          <w:tcPr>
            <w:tcW w:w="1161" w:type="dxa"/>
            <w:vAlign w:val="center"/>
          </w:tcPr>
          <w:p w14:paraId="5C137724">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A020204 多功能一体机</w:t>
            </w:r>
          </w:p>
        </w:tc>
        <w:tc>
          <w:tcPr>
            <w:tcW w:w="1581" w:type="dxa"/>
            <w:vAlign w:val="center"/>
          </w:tcPr>
          <w:p w14:paraId="278561AE">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1581" w:type="dxa"/>
            <w:vAlign w:val="center"/>
          </w:tcPr>
          <w:p w14:paraId="33A7CEB5">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3329" w:type="dxa"/>
            <w:shd w:val="clear" w:color="auto" w:fill="auto"/>
            <w:vAlign w:val="center"/>
          </w:tcPr>
          <w:p w14:paraId="43691FE2">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《复印机、打印机和传真机能效限定值及能效等级》（GB21521）</w:t>
            </w:r>
          </w:p>
        </w:tc>
      </w:tr>
      <w:tr w14:paraId="6275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44804195">
            <w:pPr>
              <w:spacing w:line="240" w:lineRule="auto"/>
              <w:jc w:val="center"/>
              <w:rPr>
                <w:rFonts w:ascii="仿宋" w:hAnsi="仿宋" w:eastAsia="仿宋" w:cs="仿宋"/>
                <w:b w:val="0"/>
                <w:bCs w:val="0"/>
                <w:i w:val="0"/>
                <w:iCs w:val="0"/>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lang w:val="en-US" w:eastAsia="zh-CN" w:bidi="ar-SA"/>
              </w:rPr>
              <w:t>5</w:t>
            </w:r>
          </w:p>
        </w:tc>
        <w:tc>
          <w:tcPr>
            <w:tcW w:w="1161" w:type="dxa"/>
            <w:vAlign w:val="center"/>
          </w:tcPr>
          <w:p w14:paraId="4C222D79">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A020519 泵</w:t>
            </w:r>
          </w:p>
        </w:tc>
        <w:tc>
          <w:tcPr>
            <w:tcW w:w="1581" w:type="dxa"/>
            <w:vAlign w:val="center"/>
          </w:tcPr>
          <w:p w14:paraId="7F21245A">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A02051901 离心泵</w:t>
            </w:r>
          </w:p>
        </w:tc>
        <w:tc>
          <w:tcPr>
            <w:tcW w:w="1581" w:type="dxa"/>
            <w:vAlign w:val="center"/>
          </w:tcPr>
          <w:p w14:paraId="4907ADBC">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3329" w:type="dxa"/>
            <w:vAlign w:val="center"/>
          </w:tcPr>
          <w:p w14:paraId="7C3C4B92">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《清水离心泵能效限定值及节能评价值》（GB19762）</w:t>
            </w:r>
          </w:p>
        </w:tc>
      </w:tr>
      <w:tr w14:paraId="4CF5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restart"/>
            <w:vAlign w:val="center"/>
          </w:tcPr>
          <w:p w14:paraId="7B94FDDF">
            <w:pPr>
              <w:spacing w:line="240" w:lineRule="auto"/>
              <w:jc w:val="center"/>
              <w:rPr>
                <w:rFonts w:ascii="仿宋" w:hAnsi="仿宋" w:eastAsia="仿宋" w:cs="仿宋"/>
                <w:b w:val="0"/>
                <w:bCs w:val="0"/>
                <w:i w:val="0"/>
                <w:iCs w:val="0"/>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lang w:val="en-US" w:eastAsia="zh-CN" w:bidi="ar-SA"/>
              </w:rPr>
              <w:t>6</w:t>
            </w:r>
          </w:p>
        </w:tc>
        <w:tc>
          <w:tcPr>
            <w:tcW w:w="1161" w:type="dxa"/>
            <w:vMerge w:val="restart"/>
            <w:vAlign w:val="center"/>
          </w:tcPr>
          <w:p w14:paraId="7CA2697F">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A020523 制冷空调设备</w:t>
            </w:r>
          </w:p>
        </w:tc>
        <w:tc>
          <w:tcPr>
            <w:tcW w:w="1581" w:type="dxa"/>
            <w:vMerge w:val="restart"/>
            <w:vAlign w:val="center"/>
          </w:tcPr>
          <w:p w14:paraId="0E0ECA02">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★A02052301 制冷压缩机</w:t>
            </w:r>
          </w:p>
        </w:tc>
        <w:tc>
          <w:tcPr>
            <w:tcW w:w="1581" w:type="dxa"/>
            <w:vAlign w:val="center"/>
          </w:tcPr>
          <w:p w14:paraId="12F67BBD">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冷水机组</w:t>
            </w:r>
          </w:p>
        </w:tc>
        <w:tc>
          <w:tcPr>
            <w:tcW w:w="3329" w:type="dxa"/>
            <w:vAlign w:val="center"/>
          </w:tcPr>
          <w:p w14:paraId="335581AF">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《冷水机组能效限定值及能效等级》（GB19577），《低环境温度空气源热泵（冷水）机组能效限定值及能效等级》（GB37480）</w:t>
            </w:r>
          </w:p>
        </w:tc>
      </w:tr>
      <w:tr w14:paraId="2B6F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679AEF2D">
            <w:pPr>
              <w:rPr>
                <w:highlight w:val="none"/>
              </w:rPr>
            </w:pPr>
          </w:p>
        </w:tc>
        <w:tc>
          <w:tcPr>
            <w:tcW w:w="1161" w:type="dxa"/>
            <w:vMerge w:val="continue"/>
            <w:vAlign w:val="center"/>
          </w:tcPr>
          <w:p w14:paraId="488AF905">
            <w:pPr>
              <w:rPr>
                <w:highlight w:val="none"/>
              </w:rPr>
            </w:pPr>
          </w:p>
        </w:tc>
        <w:tc>
          <w:tcPr>
            <w:tcW w:w="1581" w:type="dxa"/>
            <w:vMerge w:val="continue"/>
            <w:vAlign w:val="center"/>
          </w:tcPr>
          <w:p w14:paraId="64F9F374">
            <w:pPr>
              <w:rPr>
                <w:highlight w:val="none"/>
              </w:rPr>
            </w:pPr>
          </w:p>
        </w:tc>
        <w:tc>
          <w:tcPr>
            <w:tcW w:w="1581" w:type="dxa"/>
            <w:vAlign w:val="center"/>
          </w:tcPr>
          <w:p w14:paraId="1B2051C8">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水源热泵机组</w:t>
            </w:r>
          </w:p>
        </w:tc>
        <w:tc>
          <w:tcPr>
            <w:tcW w:w="3329" w:type="dxa"/>
            <w:vAlign w:val="center"/>
          </w:tcPr>
          <w:p w14:paraId="68E656E8">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《水（地）源热泵机组能效限定值及能效等级》（GB30721）</w:t>
            </w:r>
          </w:p>
        </w:tc>
      </w:tr>
      <w:tr w14:paraId="452A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33672A38">
            <w:pPr>
              <w:rPr>
                <w:highlight w:val="none"/>
              </w:rPr>
            </w:pPr>
          </w:p>
        </w:tc>
        <w:tc>
          <w:tcPr>
            <w:tcW w:w="1161" w:type="dxa"/>
            <w:vMerge w:val="continue"/>
            <w:vAlign w:val="center"/>
          </w:tcPr>
          <w:p w14:paraId="7D49228B">
            <w:pPr>
              <w:rPr>
                <w:highlight w:val="none"/>
              </w:rPr>
            </w:pPr>
          </w:p>
        </w:tc>
        <w:tc>
          <w:tcPr>
            <w:tcW w:w="1581" w:type="dxa"/>
            <w:vMerge w:val="restart"/>
            <w:vAlign w:val="center"/>
          </w:tcPr>
          <w:p w14:paraId="7F7C2831">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★A02052305 空调机组</w:t>
            </w:r>
          </w:p>
        </w:tc>
        <w:tc>
          <w:tcPr>
            <w:tcW w:w="1581" w:type="dxa"/>
            <w:vAlign w:val="center"/>
          </w:tcPr>
          <w:p w14:paraId="667F7E2B">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溴化锂吸收式冷水机组</w:t>
            </w:r>
          </w:p>
        </w:tc>
        <w:tc>
          <w:tcPr>
            <w:tcW w:w="3329" w:type="dxa"/>
            <w:vAlign w:val="center"/>
          </w:tcPr>
          <w:p w14:paraId="222380CA">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《溴化锂吸收式冷水机组能效限定值及能效等级》（GB 29540）</w:t>
            </w:r>
          </w:p>
        </w:tc>
      </w:tr>
      <w:tr w14:paraId="39C9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6531EC34">
            <w:pPr>
              <w:rPr>
                <w:highlight w:val="none"/>
              </w:rPr>
            </w:pPr>
          </w:p>
        </w:tc>
        <w:tc>
          <w:tcPr>
            <w:tcW w:w="1161" w:type="dxa"/>
            <w:vMerge w:val="continue"/>
            <w:vAlign w:val="center"/>
          </w:tcPr>
          <w:p w14:paraId="2DB54CB5">
            <w:pPr>
              <w:rPr>
                <w:highlight w:val="none"/>
              </w:rPr>
            </w:pPr>
          </w:p>
        </w:tc>
        <w:tc>
          <w:tcPr>
            <w:tcW w:w="1581" w:type="dxa"/>
            <w:vMerge w:val="continue"/>
            <w:vAlign w:val="center"/>
          </w:tcPr>
          <w:p w14:paraId="3CFFCDE3">
            <w:pPr>
              <w:rPr>
                <w:highlight w:val="none"/>
              </w:rPr>
            </w:pPr>
          </w:p>
        </w:tc>
        <w:tc>
          <w:tcPr>
            <w:tcW w:w="1581" w:type="dxa"/>
            <w:vAlign w:val="center"/>
          </w:tcPr>
          <w:p w14:paraId="1DAB09AA">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多联式空调（热泵）机 组 (制 冷量&gt;14000W)</w:t>
            </w:r>
          </w:p>
        </w:tc>
        <w:tc>
          <w:tcPr>
            <w:tcW w:w="3329" w:type="dxa"/>
            <w:vAlign w:val="center"/>
          </w:tcPr>
          <w:p w14:paraId="4C2A6E8F">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《多联式空调（热泵）机组能效限定值及能源效率等级》（GB 21454）</w:t>
            </w:r>
          </w:p>
        </w:tc>
      </w:tr>
      <w:tr w14:paraId="5E8B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5BF8BE97">
            <w:pPr>
              <w:rPr>
                <w:highlight w:val="none"/>
              </w:rPr>
            </w:pPr>
          </w:p>
        </w:tc>
        <w:tc>
          <w:tcPr>
            <w:tcW w:w="1161" w:type="dxa"/>
            <w:vMerge w:val="continue"/>
            <w:vAlign w:val="center"/>
          </w:tcPr>
          <w:p w14:paraId="2DCFB6D9">
            <w:pPr>
              <w:rPr>
                <w:highlight w:val="none"/>
              </w:rPr>
            </w:pPr>
          </w:p>
        </w:tc>
        <w:tc>
          <w:tcPr>
            <w:tcW w:w="1581" w:type="dxa"/>
            <w:vMerge w:val="continue"/>
            <w:vAlign w:val="center"/>
          </w:tcPr>
          <w:p w14:paraId="7C8401EC">
            <w:pPr>
              <w:rPr>
                <w:highlight w:val="none"/>
              </w:rPr>
            </w:pPr>
          </w:p>
        </w:tc>
        <w:tc>
          <w:tcPr>
            <w:tcW w:w="1581" w:type="dxa"/>
            <w:vAlign w:val="center"/>
          </w:tcPr>
          <w:p w14:paraId="30D202E2">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单 元 式 空 气 调 节 机(制冷量&gt;14000W)</w:t>
            </w:r>
          </w:p>
        </w:tc>
        <w:tc>
          <w:tcPr>
            <w:tcW w:w="3329" w:type="dxa"/>
            <w:vAlign w:val="center"/>
          </w:tcPr>
          <w:p w14:paraId="2BA36F6E">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《单元式空气调节机能效限定值及能效等级》（GB 19576）《风管送风式空调机组能效限定值及能效等级》（GB 37479）</w:t>
            </w:r>
          </w:p>
        </w:tc>
      </w:tr>
      <w:tr w14:paraId="0740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44" w:type="dxa"/>
            <w:vMerge w:val="continue"/>
            <w:vAlign w:val="center"/>
          </w:tcPr>
          <w:p w14:paraId="5CF882FD">
            <w:pPr>
              <w:rPr>
                <w:highlight w:val="none"/>
              </w:rPr>
            </w:pPr>
          </w:p>
        </w:tc>
        <w:tc>
          <w:tcPr>
            <w:tcW w:w="1161" w:type="dxa"/>
            <w:vMerge w:val="continue"/>
            <w:vAlign w:val="center"/>
          </w:tcPr>
          <w:p w14:paraId="3B05FEB2">
            <w:pPr>
              <w:rPr>
                <w:highlight w:val="none"/>
              </w:rPr>
            </w:pPr>
          </w:p>
        </w:tc>
        <w:tc>
          <w:tcPr>
            <w:tcW w:w="1581" w:type="dxa"/>
            <w:vAlign w:val="center"/>
          </w:tcPr>
          <w:p w14:paraId="1C5EB886">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★A02052309 专用制冷、空调设备</w:t>
            </w:r>
          </w:p>
        </w:tc>
        <w:tc>
          <w:tcPr>
            <w:tcW w:w="1581" w:type="dxa"/>
            <w:vAlign w:val="center"/>
          </w:tcPr>
          <w:p w14:paraId="4C9BEA44">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机房空调</w:t>
            </w:r>
          </w:p>
        </w:tc>
        <w:tc>
          <w:tcPr>
            <w:tcW w:w="3329" w:type="dxa"/>
            <w:vAlign w:val="center"/>
          </w:tcPr>
          <w:p w14:paraId="70C1E498">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《单元式空气调节机能效限定值及能效等级》（GB 19576）</w:t>
            </w:r>
          </w:p>
        </w:tc>
      </w:tr>
      <w:tr w14:paraId="6530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6CC9F1F4">
            <w:pPr>
              <w:rPr>
                <w:highlight w:val="none"/>
              </w:rPr>
            </w:pPr>
          </w:p>
        </w:tc>
        <w:tc>
          <w:tcPr>
            <w:tcW w:w="1161" w:type="dxa"/>
            <w:vMerge w:val="continue"/>
            <w:vAlign w:val="center"/>
          </w:tcPr>
          <w:p w14:paraId="4516E495">
            <w:pPr>
              <w:rPr>
                <w:highlight w:val="none"/>
              </w:rPr>
            </w:pPr>
          </w:p>
        </w:tc>
        <w:tc>
          <w:tcPr>
            <w:tcW w:w="1581" w:type="dxa"/>
            <w:vAlign w:val="center"/>
          </w:tcPr>
          <w:p w14:paraId="4D33ACC8">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A02052399 其他制冷空调设备</w:t>
            </w:r>
          </w:p>
        </w:tc>
        <w:tc>
          <w:tcPr>
            <w:tcW w:w="1581" w:type="dxa"/>
            <w:vAlign w:val="center"/>
          </w:tcPr>
          <w:p w14:paraId="34D0CF7F">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冷却塔</w:t>
            </w:r>
          </w:p>
        </w:tc>
        <w:tc>
          <w:tcPr>
            <w:tcW w:w="3329" w:type="dxa"/>
            <w:vAlign w:val="center"/>
          </w:tcPr>
          <w:p w14:paraId="4AF11EA6">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《机械通风冷却塔 第 1 部分：中小型开式冷却塔》（GB /T 7190.1）；《机械通风冷却塔 第 2 部分：大型开式冷却塔》（GB /T 7190.2）</w:t>
            </w:r>
          </w:p>
        </w:tc>
      </w:tr>
      <w:tr w14:paraId="51DF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6533022F">
            <w:pPr>
              <w:spacing w:line="240" w:lineRule="auto"/>
              <w:jc w:val="center"/>
              <w:rPr>
                <w:rFonts w:ascii="仿宋" w:hAnsi="仿宋" w:eastAsia="仿宋" w:cs="仿宋"/>
                <w:b w:val="0"/>
                <w:bCs w:val="0"/>
                <w:i w:val="0"/>
                <w:iCs w:val="0"/>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lang w:val="en-US" w:eastAsia="zh-CN" w:bidi="ar-SA"/>
              </w:rPr>
              <w:t>7</w:t>
            </w:r>
          </w:p>
        </w:tc>
        <w:tc>
          <w:tcPr>
            <w:tcW w:w="1161" w:type="dxa"/>
            <w:vAlign w:val="center"/>
          </w:tcPr>
          <w:p w14:paraId="5C2F6FF4">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A020601 电机</w:t>
            </w:r>
          </w:p>
        </w:tc>
        <w:tc>
          <w:tcPr>
            <w:tcW w:w="1581" w:type="dxa"/>
            <w:vAlign w:val="center"/>
          </w:tcPr>
          <w:p w14:paraId="2A6C8973">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1581" w:type="dxa"/>
            <w:vAlign w:val="center"/>
          </w:tcPr>
          <w:p w14:paraId="4F679FB6">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3329" w:type="dxa"/>
            <w:vAlign w:val="center"/>
          </w:tcPr>
          <w:p w14:paraId="2EBC6535">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《中小型三相异步电动机能效限定值及能效等级》（GB 18613）</w:t>
            </w:r>
          </w:p>
        </w:tc>
      </w:tr>
      <w:tr w14:paraId="0A41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75316381">
            <w:pPr>
              <w:spacing w:line="240" w:lineRule="auto"/>
              <w:jc w:val="center"/>
              <w:rPr>
                <w:rFonts w:ascii="仿宋" w:hAnsi="仿宋" w:eastAsia="仿宋" w:cs="仿宋"/>
                <w:b w:val="0"/>
                <w:bCs w:val="0"/>
                <w:i w:val="0"/>
                <w:iCs w:val="0"/>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lang w:val="en-US" w:eastAsia="zh-CN" w:bidi="ar-SA"/>
              </w:rPr>
              <w:t>8</w:t>
            </w:r>
          </w:p>
        </w:tc>
        <w:tc>
          <w:tcPr>
            <w:tcW w:w="1161" w:type="dxa"/>
            <w:vAlign w:val="center"/>
          </w:tcPr>
          <w:p w14:paraId="245B2ED0">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A020602 变压器</w:t>
            </w:r>
          </w:p>
        </w:tc>
        <w:tc>
          <w:tcPr>
            <w:tcW w:w="1581" w:type="dxa"/>
            <w:vAlign w:val="center"/>
          </w:tcPr>
          <w:p w14:paraId="3957B0A7">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配电变压器</w:t>
            </w:r>
          </w:p>
        </w:tc>
        <w:tc>
          <w:tcPr>
            <w:tcW w:w="1581" w:type="dxa"/>
            <w:vAlign w:val="center"/>
          </w:tcPr>
          <w:p w14:paraId="26995FFC">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3329" w:type="dxa"/>
            <w:vAlign w:val="center"/>
          </w:tcPr>
          <w:p w14:paraId="6E8B80C5">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《三相配电变压器能效限定值及能效等级》（GB 20052）</w:t>
            </w:r>
          </w:p>
        </w:tc>
      </w:tr>
      <w:tr w14:paraId="4AD4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01429233">
            <w:pPr>
              <w:spacing w:line="240" w:lineRule="auto"/>
              <w:jc w:val="center"/>
              <w:rPr>
                <w:rFonts w:ascii="仿宋" w:hAnsi="仿宋" w:eastAsia="仿宋" w:cs="仿宋"/>
                <w:b w:val="0"/>
                <w:bCs w:val="0"/>
                <w:i w:val="0"/>
                <w:iCs w:val="0"/>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lang w:val="en-US" w:eastAsia="zh-CN" w:bidi="ar-SA"/>
              </w:rPr>
              <w:t>9</w:t>
            </w:r>
          </w:p>
        </w:tc>
        <w:tc>
          <w:tcPr>
            <w:tcW w:w="1161" w:type="dxa"/>
            <w:vAlign w:val="center"/>
          </w:tcPr>
          <w:p w14:paraId="18A2B399">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★A020609 镇流器</w:t>
            </w:r>
          </w:p>
        </w:tc>
        <w:tc>
          <w:tcPr>
            <w:tcW w:w="1581" w:type="dxa"/>
            <w:vAlign w:val="center"/>
          </w:tcPr>
          <w:p w14:paraId="15F6EDAC">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管型荧光灯镇流器</w:t>
            </w:r>
          </w:p>
        </w:tc>
        <w:tc>
          <w:tcPr>
            <w:tcW w:w="1581" w:type="dxa"/>
            <w:vAlign w:val="center"/>
          </w:tcPr>
          <w:p w14:paraId="106D1D2F">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3329" w:type="dxa"/>
            <w:vAlign w:val="center"/>
          </w:tcPr>
          <w:p w14:paraId="05121735">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《管形荧光灯镇流器能效限定值及能效等级》（GB 17896）</w:t>
            </w:r>
          </w:p>
        </w:tc>
      </w:tr>
      <w:tr w14:paraId="7FDB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restart"/>
            <w:vAlign w:val="center"/>
          </w:tcPr>
          <w:p w14:paraId="5C565AFA">
            <w:pPr>
              <w:spacing w:line="240" w:lineRule="auto"/>
              <w:jc w:val="center"/>
              <w:rPr>
                <w:rFonts w:ascii="仿宋" w:hAnsi="仿宋" w:eastAsia="仿宋" w:cs="仿宋"/>
                <w:b w:val="0"/>
                <w:bCs w:val="0"/>
                <w:i w:val="0"/>
                <w:iCs w:val="0"/>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lang w:val="en-US" w:eastAsia="zh-CN" w:bidi="ar-SA"/>
              </w:rPr>
              <w:t>10</w:t>
            </w:r>
          </w:p>
        </w:tc>
        <w:tc>
          <w:tcPr>
            <w:tcW w:w="1161" w:type="dxa"/>
            <w:vMerge w:val="restart"/>
            <w:vAlign w:val="center"/>
          </w:tcPr>
          <w:p w14:paraId="52D33CC3">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A020618 生活用电器</w:t>
            </w:r>
          </w:p>
        </w:tc>
        <w:tc>
          <w:tcPr>
            <w:tcW w:w="1581" w:type="dxa"/>
            <w:vAlign w:val="center"/>
          </w:tcPr>
          <w:p w14:paraId="7286183F">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A0206180101 电冰箱</w:t>
            </w:r>
          </w:p>
        </w:tc>
        <w:tc>
          <w:tcPr>
            <w:tcW w:w="1581" w:type="dxa"/>
            <w:vAlign w:val="center"/>
          </w:tcPr>
          <w:p w14:paraId="6BAB46C6">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3329" w:type="dxa"/>
            <w:vAlign w:val="center"/>
          </w:tcPr>
          <w:p w14:paraId="1EACACF7">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《家用电冰箱耗电量限定值及能效等级》（GB 12021.2）</w:t>
            </w:r>
          </w:p>
        </w:tc>
      </w:tr>
      <w:tr w14:paraId="4737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31608F8C">
            <w:pPr>
              <w:rPr>
                <w:highlight w:val="none"/>
              </w:rPr>
            </w:pPr>
          </w:p>
        </w:tc>
        <w:tc>
          <w:tcPr>
            <w:tcW w:w="1161" w:type="dxa"/>
            <w:vMerge w:val="continue"/>
            <w:vAlign w:val="center"/>
          </w:tcPr>
          <w:p w14:paraId="233EB898">
            <w:pPr>
              <w:rPr>
                <w:highlight w:val="none"/>
              </w:rPr>
            </w:pPr>
          </w:p>
        </w:tc>
        <w:tc>
          <w:tcPr>
            <w:tcW w:w="1581" w:type="dxa"/>
            <w:vMerge w:val="restart"/>
            <w:vAlign w:val="center"/>
          </w:tcPr>
          <w:p w14:paraId="591D9A4E">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★A0206180203 空调机</w:t>
            </w:r>
          </w:p>
        </w:tc>
        <w:tc>
          <w:tcPr>
            <w:tcW w:w="1581" w:type="dxa"/>
            <w:vAlign w:val="center"/>
          </w:tcPr>
          <w:p w14:paraId="58919B42">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房间空气调节器</w:t>
            </w:r>
          </w:p>
        </w:tc>
        <w:tc>
          <w:tcPr>
            <w:tcW w:w="3329" w:type="dxa"/>
            <w:vAlign w:val="center"/>
          </w:tcPr>
          <w:p w14:paraId="5EDFC055">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《转速可控型房间空气调节器能效 限 定 值 及 能 效 等 级 》 （ GB21455-2013），待 2019 年修订发布后，按《房间空气调节器能效限定值及能效等级》（GB21455-2019）实施。</w:t>
            </w:r>
          </w:p>
        </w:tc>
      </w:tr>
      <w:tr w14:paraId="6840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10CBB072">
            <w:pPr>
              <w:rPr>
                <w:highlight w:val="none"/>
              </w:rPr>
            </w:pPr>
          </w:p>
        </w:tc>
        <w:tc>
          <w:tcPr>
            <w:tcW w:w="1161" w:type="dxa"/>
            <w:vMerge w:val="continue"/>
            <w:vAlign w:val="center"/>
          </w:tcPr>
          <w:p w14:paraId="1F34C39B">
            <w:pPr>
              <w:rPr>
                <w:highlight w:val="none"/>
              </w:rPr>
            </w:pPr>
          </w:p>
        </w:tc>
        <w:tc>
          <w:tcPr>
            <w:tcW w:w="1581" w:type="dxa"/>
            <w:vMerge w:val="continue"/>
            <w:vAlign w:val="center"/>
          </w:tcPr>
          <w:p w14:paraId="4F0611FA">
            <w:pPr>
              <w:rPr>
                <w:highlight w:val="none"/>
              </w:rPr>
            </w:pPr>
          </w:p>
        </w:tc>
        <w:tc>
          <w:tcPr>
            <w:tcW w:w="1581" w:type="dxa"/>
            <w:vAlign w:val="center"/>
          </w:tcPr>
          <w:p w14:paraId="6E9BB704">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多联式空调（热泵）机 组 （ 制 冷 量 ≤14000W）</w:t>
            </w:r>
          </w:p>
        </w:tc>
        <w:tc>
          <w:tcPr>
            <w:tcW w:w="3329" w:type="dxa"/>
            <w:vAlign w:val="center"/>
          </w:tcPr>
          <w:p w14:paraId="22155C3B">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《多联式空调（热泵）机组能效限定值及能源效率等级》（GB 21454）</w:t>
            </w:r>
          </w:p>
        </w:tc>
      </w:tr>
      <w:tr w14:paraId="174C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67B95B7D">
            <w:pPr>
              <w:rPr>
                <w:highlight w:val="none"/>
              </w:rPr>
            </w:pPr>
          </w:p>
        </w:tc>
        <w:tc>
          <w:tcPr>
            <w:tcW w:w="1161" w:type="dxa"/>
            <w:vMerge w:val="continue"/>
            <w:vAlign w:val="center"/>
          </w:tcPr>
          <w:p w14:paraId="6FB27BC8">
            <w:pPr>
              <w:rPr>
                <w:highlight w:val="none"/>
              </w:rPr>
            </w:pPr>
          </w:p>
        </w:tc>
        <w:tc>
          <w:tcPr>
            <w:tcW w:w="1581" w:type="dxa"/>
            <w:vMerge w:val="continue"/>
            <w:vAlign w:val="center"/>
          </w:tcPr>
          <w:p w14:paraId="19F52763">
            <w:pPr>
              <w:rPr>
                <w:highlight w:val="none"/>
              </w:rPr>
            </w:pPr>
          </w:p>
        </w:tc>
        <w:tc>
          <w:tcPr>
            <w:tcW w:w="1581" w:type="dxa"/>
            <w:vAlign w:val="center"/>
          </w:tcPr>
          <w:p w14:paraId="460B7C48">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单 元 式 空 气 调 节 机(制冷量≤14000W)</w:t>
            </w:r>
          </w:p>
        </w:tc>
        <w:tc>
          <w:tcPr>
            <w:tcW w:w="3329" w:type="dxa"/>
            <w:vAlign w:val="center"/>
          </w:tcPr>
          <w:p w14:paraId="26DB8DB1">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《单元式空气调节机能效限定值及能源效率等级》（GB 19576）《风管送风式空调机组能效限定值及能效等级》（GB 37479）</w:t>
            </w:r>
          </w:p>
        </w:tc>
      </w:tr>
      <w:tr w14:paraId="1BF2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430E818F">
            <w:pPr>
              <w:rPr>
                <w:highlight w:val="none"/>
              </w:rPr>
            </w:pPr>
          </w:p>
        </w:tc>
        <w:tc>
          <w:tcPr>
            <w:tcW w:w="1161" w:type="dxa"/>
            <w:vMerge w:val="continue"/>
            <w:vAlign w:val="center"/>
          </w:tcPr>
          <w:p w14:paraId="71E5F481">
            <w:pPr>
              <w:rPr>
                <w:highlight w:val="none"/>
              </w:rPr>
            </w:pPr>
          </w:p>
        </w:tc>
        <w:tc>
          <w:tcPr>
            <w:tcW w:w="1581" w:type="dxa"/>
            <w:vAlign w:val="center"/>
          </w:tcPr>
          <w:p w14:paraId="48BC0430">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A0206180301 洗衣机</w:t>
            </w:r>
          </w:p>
        </w:tc>
        <w:tc>
          <w:tcPr>
            <w:tcW w:w="1581" w:type="dxa"/>
            <w:vAlign w:val="center"/>
          </w:tcPr>
          <w:p w14:paraId="5BD4E8D1">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3329" w:type="dxa"/>
            <w:vAlign w:val="center"/>
          </w:tcPr>
          <w:p w14:paraId="00DFEB53">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《电动洗衣机能效水效限定值及等级》（GB 12021.4）</w:t>
            </w:r>
          </w:p>
        </w:tc>
      </w:tr>
      <w:tr w14:paraId="4466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4245AF06">
            <w:pPr>
              <w:rPr>
                <w:highlight w:val="none"/>
              </w:rPr>
            </w:pPr>
          </w:p>
        </w:tc>
        <w:tc>
          <w:tcPr>
            <w:tcW w:w="1161" w:type="dxa"/>
            <w:vMerge w:val="continue"/>
            <w:vAlign w:val="center"/>
          </w:tcPr>
          <w:p w14:paraId="4FDCFCED">
            <w:pPr>
              <w:rPr>
                <w:highlight w:val="none"/>
              </w:rPr>
            </w:pPr>
          </w:p>
        </w:tc>
        <w:tc>
          <w:tcPr>
            <w:tcW w:w="1581" w:type="dxa"/>
            <w:vMerge w:val="restart"/>
            <w:vAlign w:val="center"/>
          </w:tcPr>
          <w:p w14:paraId="7685956E">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A02061808 热水器</w:t>
            </w:r>
          </w:p>
        </w:tc>
        <w:tc>
          <w:tcPr>
            <w:tcW w:w="1581" w:type="dxa"/>
            <w:vAlign w:val="center"/>
          </w:tcPr>
          <w:p w14:paraId="7BD75F28">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★电热水器</w:t>
            </w:r>
          </w:p>
        </w:tc>
        <w:tc>
          <w:tcPr>
            <w:tcW w:w="3329" w:type="dxa"/>
            <w:vAlign w:val="center"/>
          </w:tcPr>
          <w:p w14:paraId="0EBDD4DA">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《储水式电热水器能效限定值及能效等级》（GB 21519）</w:t>
            </w:r>
          </w:p>
        </w:tc>
      </w:tr>
      <w:tr w14:paraId="62B4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6A088879">
            <w:pPr>
              <w:rPr>
                <w:highlight w:val="none"/>
              </w:rPr>
            </w:pPr>
          </w:p>
        </w:tc>
        <w:tc>
          <w:tcPr>
            <w:tcW w:w="1161" w:type="dxa"/>
            <w:vMerge w:val="continue"/>
            <w:vAlign w:val="center"/>
          </w:tcPr>
          <w:p w14:paraId="0D1A825F">
            <w:pPr>
              <w:rPr>
                <w:highlight w:val="none"/>
              </w:rPr>
            </w:pPr>
          </w:p>
        </w:tc>
        <w:tc>
          <w:tcPr>
            <w:tcW w:w="1581" w:type="dxa"/>
            <w:vMerge w:val="continue"/>
            <w:vAlign w:val="center"/>
          </w:tcPr>
          <w:p w14:paraId="7D3FADC0">
            <w:pPr>
              <w:rPr>
                <w:highlight w:val="none"/>
              </w:rPr>
            </w:pPr>
          </w:p>
        </w:tc>
        <w:tc>
          <w:tcPr>
            <w:tcW w:w="1581" w:type="dxa"/>
            <w:vAlign w:val="center"/>
          </w:tcPr>
          <w:p w14:paraId="28280C86">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燃气热水器</w:t>
            </w:r>
          </w:p>
        </w:tc>
        <w:tc>
          <w:tcPr>
            <w:tcW w:w="3329" w:type="dxa"/>
            <w:vAlign w:val="center"/>
          </w:tcPr>
          <w:p w14:paraId="149A9284">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《家用燃气快速热水器和燃气采暖热水炉能效限定值及能效等级》（GB 20665）</w:t>
            </w:r>
          </w:p>
        </w:tc>
      </w:tr>
      <w:tr w14:paraId="5883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6897F828">
            <w:pPr>
              <w:rPr>
                <w:highlight w:val="none"/>
              </w:rPr>
            </w:pPr>
          </w:p>
        </w:tc>
        <w:tc>
          <w:tcPr>
            <w:tcW w:w="1161" w:type="dxa"/>
            <w:vMerge w:val="continue"/>
            <w:vAlign w:val="center"/>
          </w:tcPr>
          <w:p w14:paraId="51EF7744">
            <w:pPr>
              <w:rPr>
                <w:highlight w:val="none"/>
              </w:rPr>
            </w:pPr>
          </w:p>
        </w:tc>
        <w:tc>
          <w:tcPr>
            <w:tcW w:w="1581" w:type="dxa"/>
            <w:vMerge w:val="continue"/>
            <w:vAlign w:val="center"/>
          </w:tcPr>
          <w:p w14:paraId="2AA5AFF4">
            <w:pPr>
              <w:rPr>
                <w:highlight w:val="none"/>
              </w:rPr>
            </w:pPr>
          </w:p>
        </w:tc>
        <w:tc>
          <w:tcPr>
            <w:tcW w:w="1581" w:type="dxa"/>
            <w:vAlign w:val="center"/>
          </w:tcPr>
          <w:p w14:paraId="3B187AA6">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热泵热水器</w:t>
            </w:r>
          </w:p>
        </w:tc>
        <w:tc>
          <w:tcPr>
            <w:tcW w:w="3329" w:type="dxa"/>
            <w:vAlign w:val="center"/>
          </w:tcPr>
          <w:p w14:paraId="6FF93B47">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《热泵热水机（器）能效限定值及能效等级》（GB 29541）</w:t>
            </w:r>
          </w:p>
        </w:tc>
      </w:tr>
      <w:tr w14:paraId="5922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186A5F0F">
            <w:pPr>
              <w:rPr>
                <w:highlight w:val="none"/>
              </w:rPr>
            </w:pPr>
          </w:p>
        </w:tc>
        <w:tc>
          <w:tcPr>
            <w:tcW w:w="1161" w:type="dxa"/>
            <w:vMerge w:val="continue"/>
            <w:vAlign w:val="center"/>
          </w:tcPr>
          <w:p w14:paraId="401709B4">
            <w:pPr>
              <w:rPr>
                <w:highlight w:val="none"/>
              </w:rPr>
            </w:pPr>
          </w:p>
        </w:tc>
        <w:tc>
          <w:tcPr>
            <w:tcW w:w="1581" w:type="dxa"/>
            <w:vMerge w:val="continue"/>
            <w:vAlign w:val="center"/>
          </w:tcPr>
          <w:p w14:paraId="63940ED1">
            <w:pPr>
              <w:rPr>
                <w:highlight w:val="none"/>
              </w:rPr>
            </w:pPr>
          </w:p>
        </w:tc>
        <w:tc>
          <w:tcPr>
            <w:tcW w:w="1581" w:type="dxa"/>
            <w:vAlign w:val="center"/>
          </w:tcPr>
          <w:p w14:paraId="7B6E58F7">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太阳能热水系统</w:t>
            </w:r>
          </w:p>
        </w:tc>
        <w:tc>
          <w:tcPr>
            <w:tcW w:w="3329" w:type="dxa"/>
            <w:vAlign w:val="center"/>
          </w:tcPr>
          <w:p w14:paraId="30EF6256">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《家用太阳能热水系统能效限定值及能效等级》（GB 26969）</w:t>
            </w:r>
          </w:p>
        </w:tc>
      </w:tr>
      <w:tr w14:paraId="784D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restart"/>
            <w:vAlign w:val="center"/>
          </w:tcPr>
          <w:p w14:paraId="4AD60931">
            <w:pPr>
              <w:spacing w:line="240" w:lineRule="auto"/>
              <w:jc w:val="center"/>
              <w:rPr>
                <w:rFonts w:ascii="仿宋" w:hAnsi="仿宋" w:eastAsia="仿宋" w:cs="仿宋"/>
                <w:b w:val="0"/>
                <w:bCs w:val="0"/>
                <w:i w:val="0"/>
                <w:iCs w:val="0"/>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lang w:val="en-US" w:eastAsia="zh-CN" w:bidi="ar-SA"/>
              </w:rPr>
              <w:t>11</w:t>
            </w:r>
          </w:p>
        </w:tc>
        <w:tc>
          <w:tcPr>
            <w:tcW w:w="1161" w:type="dxa"/>
            <w:vMerge w:val="restart"/>
            <w:vAlign w:val="center"/>
          </w:tcPr>
          <w:p w14:paraId="0BDA57EA">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A020619 照明设备</w:t>
            </w:r>
          </w:p>
        </w:tc>
        <w:tc>
          <w:tcPr>
            <w:tcW w:w="1581" w:type="dxa"/>
            <w:vAlign w:val="center"/>
          </w:tcPr>
          <w:p w14:paraId="76DC4C8B">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★普通照明用双端荧光灯</w:t>
            </w:r>
          </w:p>
        </w:tc>
        <w:tc>
          <w:tcPr>
            <w:tcW w:w="1581" w:type="dxa"/>
            <w:vAlign w:val="center"/>
          </w:tcPr>
          <w:p w14:paraId="47B4F51F">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3329" w:type="dxa"/>
            <w:vAlign w:val="center"/>
          </w:tcPr>
          <w:p w14:paraId="1A5C36EB">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《普通照明用双端荧光灯能效限定值及能效等级》（GB 19043）</w:t>
            </w:r>
          </w:p>
        </w:tc>
      </w:tr>
      <w:tr w14:paraId="7453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104FBA35">
            <w:pPr>
              <w:rPr>
                <w:highlight w:val="none"/>
              </w:rPr>
            </w:pPr>
          </w:p>
        </w:tc>
        <w:tc>
          <w:tcPr>
            <w:tcW w:w="1161" w:type="dxa"/>
            <w:vMerge w:val="continue"/>
            <w:vAlign w:val="center"/>
          </w:tcPr>
          <w:p w14:paraId="2FA48F30">
            <w:pPr>
              <w:rPr>
                <w:highlight w:val="none"/>
              </w:rPr>
            </w:pPr>
          </w:p>
        </w:tc>
        <w:tc>
          <w:tcPr>
            <w:tcW w:w="1581" w:type="dxa"/>
            <w:vAlign w:val="center"/>
          </w:tcPr>
          <w:p w14:paraId="41C31E87">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LED 道路/隧道照明产品</w:t>
            </w:r>
          </w:p>
        </w:tc>
        <w:tc>
          <w:tcPr>
            <w:tcW w:w="1581" w:type="dxa"/>
            <w:vAlign w:val="center"/>
          </w:tcPr>
          <w:p w14:paraId="653EB98B">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3329" w:type="dxa"/>
            <w:vAlign w:val="center"/>
          </w:tcPr>
          <w:p w14:paraId="6AA9307A">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《道路和隧道照明用 LED 灯具能效限定值及能效等级》（GB 37478）</w:t>
            </w:r>
          </w:p>
        </w:tc>
      </w:tr>
      <w:tr w14:paraId="3D99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403482E8">
            <w:pPr>
              <w:rPr>
                <w:highlight w:val="none"/>
              </w:rPr>
            </w:pPr>
          </w:p>
        </w:tc>
        <w:tc>
          <w:tcPr>
            <w:tcW w:w="1161" w:type="dxa"/>
            <w:vMerge w:val="continue"/>
            <w:vAlign w:val="center"/>
          </w:tcPr>
          <w:p w14:paraId="21FAD08B">
            <w:pPr>
              <w:rPr>
                <w:highlight w:val="none"/>
              </w:rPr>
            </w:pPr>
          </w:p>
        </w:tc>
        <w:tc>
          <w:tcPr>
            <w:tcW w:w="1581" w:type="dxa"/>
            <w:vAlign w:val="center"/>
          </w:tcPr>
          <w:p w14:paraId="722147A0">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LED 筒灯</w:t>
            </w:r>
          </w:p>
        </w:tc>
        <w:tc>
          <w:tcPr>
            <w:tcW w:w="1581" w:type="dxa"/>
            <w:vAlign w:val="center"/>
          </w:tcPr>
          <w:p w14:paraId="2F59B70C">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3329" w:type="dxa"/>
            <w:vAlign w:val="center"/>
          </w:tcPr>
          <w:p w14:paraId="07CD4507">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《室内照明用 LED 产品能效限定值及能效等级》（GB 30255）</w:t>
            </w:r>
          </w:p>
        </w:tc>
      </w:tr>
      <w:tr w14:paraId="4D4F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1172F510">
            <w:pPr>
              <w:rPr>
                <w:highlight w:val="none"/>
              </w:rPr>
            </w:pPr>
          </w:p>
        </w:tc>
        <w:tc>
          <w:tcPr>
            <w:tcW w:w="1161" w:type="dxa"/>
            <w:vMerge w:val="continue"/>
            <w:vAlign w:val="center"/>
          </w:tcPr>
          <w:p w14:paraId="25098A11">
            <w:pPr>
              <w:rPr>
                <w:highlight w:val="none"/>
              </w:rPr>
            </w:pPr>
          </w:p>
        </w:tc>
        <w:tc>
          <w:tcPr>
            <w:tcW w:w="1581" w:type="dxa"/>
            <w:vAlign w:val="center"/>
          </w:tcPr>
          <w:p w14:paraId="4F1FC26E">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普通照明用非定向自镇流 LED 灯</w:t>
            </w:r>
          </w:p>
        </w:tc>
        <w:tc>
          <w:tcPr>
            <w:tcW w:w="1581" w:type="dxa"/>
            <w:vAlign w:val="center"/>
          </w:tcPr>
          <w:p w14:paraId="0FDA445B">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3329" w:type="dxa"/>
            <w:vAlign w:val="center"/>
          </w:tcPr>
          <w:p w14:paraId="6057021C">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《室内照明用 LED 产品能效限定值及能效等级》（GB 30255）</w:t>
            </w:r>
          </w:p>
        </w:tc>
      </w:tr>
      <w:tr w14:paraId="4A27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7A605FDC">
            <w:pPr>
              <w:spacing w:line="240" w:lineRule="auto"/>
              <w:jc w:val="center"/>
              <w:rPr>
                <w:rFonts w:ascii="仿宋" w:hAnsi="仿宋" w:eastAsia="仿宋" w:cs="仿宋"/>
                <w:b w:val="0"/>
                <w:bCs w:val="0"/>
                <w:i w:val="0"/>
                <w:iCs w:val="0"/>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lang w:val="en-US" w:eastAsia="zh-CN" w:bidi="ar-SA"/>
              </w:rPr>
              <w:t>12</w:t>
            </w:r>
          </w:p>
        </w:tc>
        <w:tc>
          <w:tcPr>
            <w:tcW w:w="1161" w:type="dxa"/>
            <w:vAlign w:val="center"/>
          </w:tcPr>
          <w:p w14:paraId="7FC59FA7">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★A020910 电视设备</w:t>
            </w:r>
          </w:p>
        </w:tc>
        <w:tc>
          <w:tcPr>
            <w:tcW w:w="1581" w:type="dxa"/>
            <w:vAlign w:val="center"/>
          </w:tcPr>
          <w:p w14:paraId="11713D4A">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A02091001 普通电视设备（电视机）</w:t>
            </w:r>
          </w:p>
        </w:tc>
        <w:tc>
          <w:tcPr>
            <w:tcW w:w="1581" w:type="dxa"/>
            <w:vAlign w:val="center"/>
          </w:tcPr>
          <w:p w14:paraId="34852DBE">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3329" w:type="dxa"/>
            <w:vAlign w:val="center"/>
          </w:tcPr>
          <w:p w14:paraId="2B0261F1">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《平板电视能效限定值及能效等级》（GB 24850）</w:t>
            </w:r>
          </w:p>
        </w:tc>
      </w:tr>
      <w:tr w14:paraId="45C0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32912FAA">
            <w:pPr>
              <w:spacing w:line="240" w:lineRule="auto"/>
              <w:jc w:val="center"/>
              <w:rPr>
                <w:rFonts w:ascii="仿宋" w:hAnsi="仿宋" w:eastAsia="仿宋" w:cs="仿宋"/>
                <w:b w:val="0"/>
                <w:bCs w:val="0"/>
                <w:i w:val="0"/>
                <w:iCs w:val="0"/>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lang w:val="en-US" w:eastAsia="zh-CN" w:bidi="ar-SA"/>
              </w:rPr>
              <w:t>13</w:t>
            </w:r>
          </w:p>
        </w:tc>
        <w:tc>
          <w:tcPr>
            <w:tcW w:w="1161" w:type="dxa"/>
            <w:vAlign w:val="center"/>
          </w:tcPr>
          <w:p w14:paraId="533CE8F0">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★A020911 视频设备</w:t>
            </w:r>
          </w:p>
        </w:tc>
        <w:tc>
          <w:tcPr>
            <w:tcW w:w="1581" w:type="dxa"/>
            <w:vAlign w:val="center"/>
          </w:tcPr>
          <w:p w14:paraId="7986D014">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A02091107 视频监控设备</w:t>
            </w:r>
          </w:p>
        </w:tc>
        <w:tc>
          <w:tcPr>
            <w:tcW w:w="1581" w:type="dxa"/>
            <w:vAlign w:val="center"/>
          </w:tcPr>
          <w:p w14:paraId="371029DA">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监视器</w:t>
            </w:r>
          </w:p>
        </w:tc>
        <w:tc>
          <w:tcPr>
            <w:tcW w:w="3329" w:type="dxa"/>
            <w:vAlign w:val="center"/>
          </w:tcPr>
          <w:p w14:paraId="34633791">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以射频信号为主要信号输入的监视器应符合《平板电视能效限定值及能效等级》（GB 24850），以数字信号为主要信号输入的监视器应符合《计算机显示器能效限定值及能效等级》（GB 21520）</w:t>
            </w:r>
          </w:p>
        </w:tc>
      </w:tr>
      <w:tr w14:paraId="0FDF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52868C7B">
            <w:pPr>
              <w:spacing w:line="240" w:lineRule="auto"/>
              <w:jc w:val="center"/>
              <w:rPr>
                <w:rFonts w:ascii="仿宋" w:hAnsi="仿宋" w:eastAsia="仿宋" w:cs="仿宋"/>
                <w:b w:val="0"/>
                <w:bCs w:val="0"/>
                <w:i w:val="0"/>
                <w:iCs w:val="0"/>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lang w:val="en-US" w:eastAsia="zh-CN" w:bidi="ar-SA"/>
              </w:rPr>
              <w:t>14</w:t>
            </w:r>
          </w:p>
        </w:tc>
        <w:tc>
          <w:tcPr>
            <w:tcW w:w="1161" w:type="dxa"/>
            <w:vAlign w:val="center"/>
          </w:tcPr>
          <w:p w14:paraId="1DB6FB89">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A031210 饮食炊事机械</w:t>
            </w:r>
          </w:p>
        </w:tc>
        <w:tc>
          <w:tcPr>
            <w:tcW w:w="1581" w:type="dxa"/>
            <w:vAlign w:val="center"/>
          </w:tcPr>
          <w:p w14:paraId="2054C4C9">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商用燃气灶具</w:t>
            </w:r>
          </w:p>
        </w:tc>
        <w:tc>
          <w:tcPr>
            <w:tcW w:w="1581" w:type="dxa"/>
            <w:vAlign w:val="center"/>
          </w:tcPr>
          <w:p w14:paraId="412A50A5">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3329" w:type="dxa"/>
            <w:vAlign w:val="center"/>
          </w:tcPr>
          <w:p w14:paraId="42AF84CC">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《商用燃气灶具能效限定值及能效等级》（GB 30531）</w:t>
            </w:r>
          </w:p>
        </w:tc>
      </w:tr>
      <w:tr w14:paraId="078D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restart"/>
            <w:vAlign w:val="center"/>
          </w:tcPr>
          <w:p w14:paraId="49FBFF7C">
            <w:pPr>
              <w:spacing w:line="240" w:lineRule="auto"/>
              <w:jc w:val="center"/>
              <w:rPr>
                <w:rFonts w:ascii="仿宋" w:hAnsi="仿宋" w:eastAsia="仿宋" w:cs="仿宋"/>
                <w:b w:val="0"/>
                <w:bCs w:val="0"/>
                <w:i w:val="0"/>
                <w:iCs w:val="0"/>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lang w:val="en-US" w:eastAsia="zh-CN" w:bidi="ar-SA"/>
              </w:rPr>
              <w:t>15</w:t>
            </w:r>
          </w:p>
        </w:tc>
        <w:tc>
          <w:tcPr>
            <w:tcW w:w="1161" w:type="dxa"/>
            <w:vMerge w:val="restart"/>
            <w:vAlign w:val="center"/>
          </w:tcPr>
          <w:p w14:paraId="2383F84A">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★A060805 便器</w:t>
            </w:r>
          </w:p>
        </w:tc>
        <w:tc>
          <w:tcPr>
            <w:tcW w:w="1581" w:type="dxa"/>
            <w:vAlign w:val="center"/>
          </w:tcPr>
          <w:p w14:paraId="5E816F87">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坐便器</w:t>
            </w:r>
          </w:p>
        </w:tc>
        <w:tc>
          <w:tcPr>
            <w:tcW w:w="1581" w:type="dxa"/>
            <w:vAlign w:val="center"/>
          </w:tcPr>
          <w:p w14:paraId="03902707">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3329" w:type="dxa"/>
            <w:vAlign w:val="center"/>
          </w:tcPr>
          <w:p w14:paraId="62FE1F5A">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《坐便器水效限定值及水效等级》（GB 25502）</w:t>
            </w:r>
          </w:p>
        </w:tc>
      </w:tr>
      <w:tr w14:paraId="6F14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620445E0">
            <w:pPr>
              <w:rPr>
                <w:highlight w:val="none"/>
              </w:rPr>
            </w:pPr>
          </w:p>
        </w:tc>
        <w:tc>
          <w:tcPr>
            <w:tcW w:w="1161" w:type="dxa"/>
            <w:vMerge w:val="continue"/>
            <w:vAlign w:val="center"/>
          </w:tcPr>
          <w:p w14:paraId="2E8F8B4A">
            <w:pPr>
              <w:rPr>
                <w:highlight w:val="none"/>
              </w:rPr>
            </w:pPr>
          </w:p>
        </w:tc>
        <w:tc>
          <w:tcPr>
            <w:tcW w:w="1581" w:type="dxa"/>
            <w:vAlign w:val="center"/>
          </w:tcPr>
          <w:p w14:paraId="57B617F9">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蹲便器</w:t>
            </w:r>
          </w:p>
        </w:tc>
        <w:tc>
          <w:tcPr>
            <w:tcW w:w="1581" w:type="dxa"/>
            <w:vAlign w:val="center"/>
          </w:tcPr>
          <w:p w14:paraId="71A0B84D">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3329" w:type="dxa"/>
            <w:vAlign w:val="center"/>
          </w:tcPr>
          <w:p w14:paraId="4BE5D88E">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《蹲便器用水效率限定值及用水效率等级》（GB 30717）</w:t>
            </w:r>
          </w:p>
        </w:tc>
      </w:tr>
      <w:tr w14:paraId="0103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41348BDC">
            <w:pPr>
              <w:rPr>
                <w:highlight w:val="none"/>
              </w:rPr>
            </w:pPr>
          </w:p>
        </w:tc>
        <w:tc>
          <w:tcPr>
            <w:tcW w:w="1161" w:type="dxa"/>
            <w:vMerge w:val="continue"/>
            <w:vAlign w:val="center"/>
          </w:tcPr>
          <w:p w14:paraId="010A4321">
            <w:pPr>
              <w:rPr>
                <w:highlight w:val="none"/>
              </w:rPr>
            </w:pPr>
          </w:p>
        </w:tc>
        <w:tc>
          <w:tcPr>
            <w:tcW w:w="1581" w:type="dxa"/>
            <w:vAlign w:val="center"/>
          </w:tcPr>
          <w:p w14:paraId="46B855CF">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小便器</w:t>
            </w:r>
          </w:p>
        </w:tc>
        <w:tc>
          <w:tcPr>
            <w:tcW w:w="1581" w:type="dxa"/>
            <w:vAlign w:val="center"/>
          </w:tcPr>
          <w:p w14:paraId="014C5DA4">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3329" w:type="dxa"/>
            <w:vAlign w:val="center"/>
          </w:tcPr>
          <w:p w14:paraId="61C5F1F1">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《小便器用水效率限定值及用水效率等级》（GB 28377）</w:t>
            </w:r>
          </w:p>
        </w:tc>
      </w:tr>
      <w:tr w14:paraId="2157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697552E7">
            <w:pPr>
              <w:spacing w:line="240" w:lineRule="auto"/>
              <w:jc w:val="center"/>
              <w:rPr>
                <w:rFonts w:ascii="仿宋" w:hAnsi="仿宋" w:eastAsia="仿宋" w:cs="仿宋"/>
                <w:b w:val="0"/>
                <w:bCs w:val="0"/>
                <w:i w:val="0"/>
                <w:iCs w:val="0"/>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lang w:val="en-US" w:eastAsia="zh-CN" w:bidi="ar-SA"/>
              </w:rPr>
              <w:t>16</w:t>
            </w:r>
          </w:p>
        </w:tc>
        <w:tc>
          <w:tcPr>
            <w:tcW w:w="1161" w:type="dxa"/>
            <w:vAlign w:val="center"/>
          </w:tcPr>
          <w:p w14:paraId="3430F8A0">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★A060806 水嘴</w:t>
            </w:r>
          </w:p>
        </w:tc>
        <w:tc>
          <w:tcPr>
            <w:tcW w:w="1581" w:type="dxa"/>
            <w:vAlign w:val="center"/>
          </w:tcPr>
          <w:p w14:paraId="7E904699">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1581" w:type="dxa"/>
            <w:vAlign w:val="center"/>
          </w:tcPr>
          <w:p w14:paraId="1805ACD2">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3329" w:type="dxa"/>
            <w:vAlign w:val="center"/>
          </w:tcPr>
          <w:p w14:paraId="32DD7A83">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《水嘴用水效率限定值及用水效率等级》（GB 25501）</w:t>
            </w:r>
          </w:p>
        </w:tc>
      </w:tr>
      <w:tr w14:paraId="6EA5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249AE521">
            <w:pPr>
              <w:spacing w:line="240" w:lineRule="auto"/>
              <w:jc w:val="center"/>
              <w:rPr>
                <w:rFonts w:ascii="仿宋" w:hAnsi="仿宋" w:eastAsia="仿宋" w:cs="仿宋"/>
                <w:b w:val="0"/>
                <w:bCs w:val="0"/>
                <w:i w:val="0"/>
                <w:iCs w:val="0"/>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lang w:val="en-US" w:eastAsia="zh-CN" w:bidi="ar-SA"/>
              </w:rPr>
              <w:t>17</w:t>
            </w:r>
          </w:p>
        </w:tc>
        <w:tc>
          <w:tcPr>
            <w:tcW w:w="1161" w:type="dxa"/>
            <w:vAlign w:val="center"/>
          </w:tcPr>
          <w:p w14:paraId="0380423F">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A060807 便器冲洗阀</w:t>
            </w:r>
          </w:p>
        </w:tc>
        <w:tc>
          <w:tcPr>
            <w:tcW w:w="1581" w:type="dxa"/>
            <w:vAlign w:val="center"/>
          </w:tcPr>
          <w:p w14:paraId="2395650F">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1581" w:type="dxa"/>
            <w:vAlign w:val="center"/>
          </w:tcPr>
          <w:p w14:paraId="04415CBE">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3329" w:type="dxa"/>
            <w:vAlign w:val="center"/>
          </w:tcPr>
          <w:p w14:paraId="1A02A894">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《便器冲洗阀用水效率限定值及用水效率等级》（GB 28379）</w:t>
            </w:r>
          </w:p>
        </w:tc>
      </w:tr>
      <w:tr w14:paraId="390B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2F193B70">
            <w:pPr>
              <w:spacing w:line="240" w:lineRule="auto"/>
              <w:jc w:val="center"/>
              <w:rPr>
                <w:rFonts w:ascii="仿宋" w:hAnsi="仿宋" w:eastAsia="仿宋" w:cs="仿宋"/>
                <w:b w:val="0"/>
                <w:bCs w:val="0"/>
                <w:i w:val="0"/>
                <w:iCs w:val="0"/>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lang w:val="en-US" w:eastAsia="zh-CN" w:bidi="ar-SA"/>
              </w:rPr>
              <w:t>18</w:t>
            </w:r>
          </w:p>
        </w:tc>
        <w:tc>
          <w:tcPr>
            <w:tcW w:w="1161" w:type="dxa"/>
            <w:vAlign w:val="center"/>
          </w:tcPr>
          <w:p w14:paraId="5FCA25D7">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A060810 淋浴器</w:t>
            </w:r>
          </w:p>
        </w:tc>
        <w:tc>
          <w:tcPr>
            <w:tcW w:w="1581" w:type="dxa"/>
            <w:vAlign w:val="center"/>
          </w:tcPr>
          <w:p w14:paraId="070E453F">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1581" w:type="dxa"/>
            <w:vAlign w:val="center"/>
          </w:tcPr>
          <w:p w14:paraId="74B39C1A">
            <w:pPr>
              <w:spacing w:line="240" w:lineRule="auto"/>
              <w:rPr>
                <w:rFonts w:ascii="仿宋" w:hAnsi="仿宋" w:eastAsia="仿宋" w:cs="仿宋"/>
                <w:b w:val="0"/>
                <w:bCs w:val="0"/>
                <w:i w:val="0"/>
                <w:iCs w:val="0"/>
                <w:color w:val="auto"/>
                <w:kern w:val="2"/>
                <w:sz w:val="21"/>
                <w:szCs w:val="21"/>
                <w:highlight w:val="none"/>
                <w:lang w:val="en-US" w:eastAsia="zh-CN" w:bidi="ar-SA"/>
              </w:rPr>
            </w:pPr>
          </w:p>
        </w:tc>
        <w:tc>
          <w:tcPr>
            <w:tcW w:w="3329" w:type="dxa"/>
            <w:vAlign w:val="center"/>
          </w:tcPr>
          <w:p w14:paraId="3ED77D34">
            <w:pPr>
              <w:spacing w:line="240" w:lineRule="auto"/>
              <w:rPr>
                <w:rFonts w:ascii="仿宋" w:hAnsi="仿宋" w:eastAsia="仿宋" w:cs="仿宋"/>
                <w:b w:val="0"/>
                <w:bCs w:val="0"/>
                <w:i w:val="0"/>
                <w:iCs w:val="0"/>
                <w:color w:val="auto"/>
                <w:kern w:val="2"/>
                <w:sz w:val="21"/>
                <w:szCs w:val="21"/>
                <w:highlight w:val="none"/>
                <w:lang w:val="en-US" w:eastAsia="zh-CN" w:bidi="ar-SA"/>
              </w:rPr>
            </w:pPr>
            <w:r>
              <w:rPr>
                <w:rFonts w:ascii="仿宋" w:hAnsi="仿宋" w:eastAsia="仿宋" w:cs="仿宋"/>
                <w:b w:val="0"/>
                <w:bCs w:val="0"/>
                <w:i w:val="0"/>
                <w:iCs w:val="0"/>
                <w:color w:val="auto"/>
                <w:kern w:val="2"/>
                <w:sz w:val="21"/>
                <w:szCs w:val="21"/>
                <w:highlight w:val="none"/>
                <w:lang w:val="en-US" w:eastAsia="zh-CN" w:bidi="ar-SA"/>
              </w:rPr>
              <w:t>《淋浴器用水效率限定值及用水效率等级》（GB 28378）</w:t>
            </w:r>
          </w:p>
        </w:tc>
      </w:tr>
    </w:tbl>
    <w:p w14:paraId="4A49BC00">
      <w:pPr>
        <w:rPr>
          <w:rFonts w:ascii="仿宋" w:hAnsi="仿宋" w:eastAsia="仿宋" w:cs="仿宋"/>
          <w:b w:val="0"/>
          <w:bCs w:val="0"/>
          <w:i w:val="0"/>
          <w:iCs w:val="0"/>
          <w:color w:val="auto"/>
          <w:kern w:val="2"/>
          <w:sz w:val="24"/>
          <w:szCs w:val="24"/>
          <w:highlight w:val="none"/>
          <w:lang w:val="en-US" w:eastAsia="zh-CN" w:bidi="ar-SA"/>
        </w:rPr>
      </w:pPr>
      <w:r>
        <w:rPr>
          <w:rFonts w:ascii="仿宋" w:hAnsi="仿宋" w:eastAsia="仿宋" w:cs="仿宋"/>
          <w:b w:val="0"/>
          <w:bCs w:val="0"/>
          <w:i w:val="0"/>
          <w:iCs w:val="0"/>
          <w:color w:val="auto"/>
          <w:kern w:val="2"/>
          <w:sz w:val="24"/>
          <w:szCs w:val="24"/>
          <w:highlight w:val="none"/>
          <w:lang w:val="en-US" w:eastAsia="zh-CN" w:bidi="ar-SA"/>
        </w:rPr>
        <w:t>注：1.节能产品认证应依据相关国家标准的最新版本，依据国家标准中二级能效（水效）指标。 2.上述产品中认证标准发生变更的，依据原认证标准获得的、仍在有效期内的认证证书可使用至 2019 年 6 月 1 日。 3.以“★”标注的为政府强制采购产品。</w:t>
      </w:r>
    </w:p>
    <w:p w14:paraId="7138CB3E">
      <w:pP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br w:type="page"/>
      </w:r>
    </w:p>
    <w:p w14:paraId="7E8C8C55">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附件2</w:t>
      </w:r>
    </w:p>
    <w:p w14:paraId="2D4C10F5">
      <w:pPr>
        <w:pStyle w:val="4"/>
        <w:keepNext/>
        <w:keepLines/>
        <w:pageBreakBefore w:val="0"/>
        <w:widowControl w:val="0"/>
        <w:kinsoku/>
        <w:wordWrap/>
        <w:overflowPunct/>
        <w:topLinePunct w:val="0"/>
        <w:autoSpaceDE/>
        <w:autoSpaceDN/>
        <w:bidi w:val="0"/>
        <w:adjustRightInd/>
        <w:snapToGrid/>
        <w:spacing w:before="0" w:after="0" w:line="360" w:lineRule="auto"/>
        <w:ind w:left="0" w:firstLine="1687" w:firstLineChars="6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环境标志产品政府采购品目清单</w:t>
      </w:r>
    </w:p>
    <w:tbl>
      <w:tblPr>
        <w:tblStyle w:val="29"/>
        <w:tblW w:w="501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30"/>
        <w:gridCol w:w="1022"/>
        <w:gridCol w:w="2114"/>
        <w:gridCol w:w="1789"/>
        <w:gridCol w:w="7"/>
        <w:gridCol w:w="2871"/>
      </w:tblGrid>
      <w:tr w14:paraId="75137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318" w:type="pct"/>
          </w:tcPr>
          <w:p w14:paraId="6671ED15">
            <w:pPr>
              <w:pStyle w:val="75"/>
              <w:keepNext w:val="0"/>
              <w:keepLines w:val="0"/>
              <w:pageBreakBefore w:val="0"/>
              <w:widowControl w:val="0"/>
              <w:kinsoku/>
              <w:wordWrap/>
              <w:overflowPunct/>
              <w:topLinePunct w:val="0"/>
              <w:autoSpaceDE/>
              <w:autoSpaceDN/>
              <w:bidi w:val="0"/>
              <w:adjustRightInd/>
              <w:snapToGrid/>
              <w:spacing w:line="340" w:lineRule="exact"/>
              <w:ind w:left="124"/>
              <w:textAlignment w:val="auto"/>
              <w:rPr>
                <w:rFonts w:hint="eastAsia" w:ascii="仿宋" w:hAnsi="仿宋" w:eastAsia="仿宋" w:cs="仿宋"/>
                <w:sz w:val="21"/>
                <w:szCs w:val="21"/>
                <w:highlight w:val="none"/>
              </w:rPr>
            </w:pPr>
            <w:r>
              <w:rPr>
                <w:rFonts w:hint="eastAsia" w:ascii="仿宋" w:hAnsi="仿宋" w:eastAsia="仿宋" w:cs="仿宋"/>
                <w:b/>
                <w:bCs/>
                <w:spacing w:val="-13"/>
                <w:sz w:val="21"/>
                <w:szCs w:val="21"/>
                <w:highlight w:val="none"/>
              </w:rPr>
              <w:t>品目</w:t>
            </w:r>
          </w:p>
          <w:p w14:paraId="2C8BC04E">
            <w:pPr>
              <w:pStyle w:val="75"/>
              <w:keepNext w:val="0"/>
              <w:keepLines w:val="0"/>
              <w:pageBreakBefore w:val="0"/>
              <w:widowControl w:val="0"/>
              <w:kinsoku/>
              <w:wordWrap/>
              <w:overflowPunct/>
              <w:topLinePunct w:val="0"/>
              <w:autoSpaceDE/>
              <w:autoSpaceDN/>
              <w:bidi w:val="0"/>
              <w:adjustRightInd/>
              <w:snapToGrid/>
              <w:spacing w:line="340" w:lineRule="exact"/>
              <w:ind w:left="109"/>
              <w:textAlignment w:val="auto"/>
              <w:rPr>
                <w:rFonts w:hint="eastAsia" w:ascii="仿宋" w:hAnsi="仿宋" w:eastAsia="仿宋" w:cs="仿宋"/>
                <w:sz w:val="21"/>
                <w:szCs w:val="21"/>
                <w:highlight w:val="none"/>
              </w:rPr>
            </w:pPr>
            <w:r>
              <w:rPr>
                <w:rFonts w:hint="eastAsia" w:ascii="仿宋" w:hAnsi="仿宋" w:eastAsia="仿宋" w:cs="仿宋"/>
                <w:b/>
                <w:bCs/>
                <w:spacing w:val="-5"/>
                <w:sz w:val="21"/>
                <w:szCs w:val="21"/>
                <w:highlight w:val="none"/>
              </w:rPr>
              <w:t>序号</w:t>
            </w:r>
          </w:p>
        </w:tc>
        <w:tc>
          <w:tcPr>
            <w:tcW w:w="2958" w:type="pct"/>
            <w:gridSpan w:val="4"/>
          </w:tcPr>
          <w:p w14:paraId="40D9F3F0">
            <w:pPr>
              <w:pStyle w:val="75"/>
              <w:keepNext w:val="0"/>
              <w:keepLines w:val="0"/>
              <w:pageBreakBefore w:val="0"/>
              <w:widowControl w:val="0"/>
              <w:kinsoku/>
              <w:wordWrap/>
              <w:overflowPunct/>
              <w:topLinePunct w:val="0"/>
              <w:autoSpaceDE/>
              <w:autoSpaceDN/>
              <w:bidi w:val="0"/>
              <w:adjustRightInd/>
              <w:snapToGrid/>
              <w:spacing w:line="340" w:lineRule="exact"/>
              <w:ind w:left="2523"/>
              <w:textAlignment w:val="auto"/>
              <w:rPr>
                <w:rFonts w:hint="eastAsia" w:ascii="仿宋" w:hAnsi="仿宋" w:eastAsia="仿宋" w:cs="仿宋"/>
                <w:sz w:val="21"/>
                <w:szCs w:val="21"/>
                <w:highlight w:val="none"/>
              </w:rPr>
            </w:pPr>
            <w:r>
              <w:rPr>
                <w:rFonts w:hint="eastAsia" w:ascii="仿宋" w:hAnsi="仿宋" w:eastAsia="仿宋" w:cs="仿宋"/>
                <w:b/>
                <w:bCs/>
                <w:spacing w:val="-7"/>
                <w:sz w:val="21"/>
                <w:szCs w:val="21"/>
                <w:highlight w:val="none"/>
              </w:rPr>
              <w:t>名称</w:t>
            </w:r>
          </w:p>
        </w:tc>
        <w:tc>
          <w:tcPr>
            <w:tcW w:w="1722" w:type="pct"/>
          </w:tcPr>
          <w:p w14:paraId="7F5D607A">
            <w:pPr>
              <w:pStyle w:val="75"/>
              <w:keepNext w:val="0"/>
              <w:keepLines w:val="0"/>
              <w:pageBreakBefore w:val="0"/>
              <w:widowControl w:val="0"/>
              <w:kinsoku/>
              <w:wordWrap/>
              <w:overflowPunct/>
              <w:topLinePunct w:val="0"/>
              <w:autoSpaceDE/>
              <w:autoSpaceDN/>
              <w:bidi w:val="0"/>
              <w:adjustRightInd/>
              <w:snapToGrid/>
              <w:spacing w:line="340" w:lineRule="exact"/>
              <w:ind w:left="1126"/>
              <w:textAlignment w:val="auto"/>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依据的标准</w:t>
            </w:r>
          </w:p>
        </w:tc>
      </w:tr>
      <w:tr w14:paraId="17432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18" w:type="pct"/>
            <w:vMerge w:val="restart"/>
            <w:tcBorders>
              <w:bottom w:val="nil"/>
            </w:tcBorders>
          </w:tcPr>
          <w:p w14:paraId="21D6820D">
            <w:pPr>
              <w:pStyle w:val="75"/>
              <w:keepNext w:val="0"/>
              <w:keepLines w:val="0"/>
              <w:pageBreakBefore w:val="0"/>
              <w:widowControl w:val="0"/>
              <w:kinsoku/>
              <w:wordWrap/>
              <w:overflowPunct/>
              <w:topLinePunct w:val="0"/>
              <w:autoSpaceDE/>
              <w:autoSpaceDN/>
              <w:bidi w:val="0"/>
              <w:adjustRightInd/>
              <w:snapToGrid/>
              <w:spacing w:line="340" w:lineRule="exact"/>
              <w:ind w:left="123"/>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613" w:type="pct"/>
            <w:vMerge w:val="restart"/>
            <w:tcBorders>
              <w:bottom w:val="nil"/>
            </w:tcBorders>
          </w:tcPr>
          <w:p w14:paraId="0BC0D93D">
            <w:pPr>
              <w:pStyle w:val="75"/>
              <w:keepNext w:val="0"/>
              <w:keepLines w:val="0"/>
              <w:pageBreakBefore w:val="0"/>
              <w:widowControl w:val="0"/>
              <w:kinsoku/>
              <w:wordWrap/>
              <w:overflowPunct/>
              <w:topLinePunct w:val="0"/>
              <w:autoSpaceDE/>
              <w:autoSpaceDN/>
              <w:bidi w:val="0"/>
              <w:adjustRightInd/>
              <w:snapToGrid/>
              <w:spacing w:line="340" w:lineRule="exact"/>
              <w:ind w:left="107" w:right="158" w:hanging="7"/>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A020101</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计算机设备</w:t>
            </w:r>
          </w:p>
        </w:tc>
        <w:tc>
          <w:tcPr>
            <w:tcW w:w="1268" w:type="pct"/>
          </w:tcPr>
          <w:p w14:paraId="5E0118F6">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A02010103</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服务器</w:t>
            </w:r>
          </w:p>
        </w:tc>
        <w:tc>
          <w:tcPr>
            <w:tcW w:w="1076" w:type="pct"/>
            <w:gridSpan w:val="2"/>
          </w:tcPr>
          <w:p w14:paraId="58A5D21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2" w:type="pct"/>
          </w:tcPr>
          <w:p w14:paraId="3B7E8041">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HJ2507</w:t>
            </w:r>
            <w:r>
              <w:rPr>
                <w:rFonts w:hint="eastAsia" w:ascii="仿宋" w:hAnsi="仿宋" w:eastAsia="仿宋" w:cs="仿宋"/>
                <w:spacing w:val="-23"/>
                <w:sz w:val="21"/>
                <w:szCs w:val="21"/>
                <w:highlight w:val="none"/>
              </w:rPr>
              <w:t xml:space="preserve"> </w:t>
            </w:r>
            <w:r>
              <w:rPr>
                <w:rFonts w:hint="eastAsia" w:ascii="仿宋" w:hAnsi="仿宋" w:eastAsia="仿宋" w:cs="仿宋"/>
                <w:spacing w:val="-2"/>
                <w:sz w:val="21"/>
                <w:szCs w:val="21"/>
                <w:highlight w:val="none"/>
              </w:rPr>
              <w:t>网络服务器</w:t>
            </w:r>
          </w:p>
        </w:tc>
      </w:tr>
      <w:tr w14:paraId="70E52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18" w:type="pct"/>
            <w:vMerge w:val="continue"/>
            <w:tcBorders>
              <w:top w:val="nil"/>
              <w:bottom w:val="nil"/>
            </w:tcBorders>
          </w:tcPr>
          <w:p w14:paraId="0C49D1CD">
            <w:pPr>
              <w:rPr>
                <w:highlight w:val="none"/>
              </w:rPr>
            </w:pPr>
          </w:p>
        </w:tc>
        <w:tc>
          <w:tcPr>
            <w:tcW w:w="613" w:type="pct"/>
            <w:vMerge w:val="continue"/>
            <w:tcBorders>
              <w:top w:val="nil"/>
              <w:bottom w:val="nil"/>
            </w:tcBorders>
          </w:tcPr>
          <w:p w14:paraId="4B3B3049">
            <w:pPr>
              <w:rPr>
                <w:highlight w:val="none"/>
              </w:rPr>
            </w:pPr>
          </w:p>
        </w:tc>
        <w:tc>
          <w:tcPr>
            <w:tcW w:w="1268" w:type="pct"/>
          </w:tcPr>
          <w:p w14:paraId="200992C6">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A02010104</w:t>
            </w:r>
            <w:r>
              <w:rPr>
                <w:rFonts w:hint="eastAsia" w:ascii="仿宋" w:hAnsi="仿宋" w:eastAsia="仿宋" w:cs="仿宋"/>
                <w:spacing w:val="-16"/>
                <w:sz w:val="21"/>
                <w:szCs w:val="21"/>
                <w:highlight w:val="none"/>
              </w:rPr>
              <w:t xml:space="preserve"> </w:t>
            </w:r>
            <w:r>
              <w:rPr>
                <w:rFonts w:hint="eastAsia" w:ascii="仿宋" w:hAnsi="仿宋" w:eastAsia="仿宋" w:cs="仿宋"/>
                <w:spacing w:val="-2"/>
                <w:sz w:val="21"/>
                <w:szCs w:val="21"/>
                <w:highlight w:val="none"/>
              </w:rPr>
              <w:t>台式计算机</w:t>
            </w:r>
          </w:p>
        </w:tc>
        <w:tc>
          <w:tcPr>
            <w:tcW w:w="1076" w:type="pct"/>
            <w:gridSpan w:val="2"/>
          </w:tcPr>
          <w:p w14:paraId="478CBCA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2" w:type="pct"/>
          </w:tcPr>
          <w:p w14:paraId="56CA264F">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HJ2536</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微型计算机、显示器</w:t>
            </w:r>
          </w:p>
        </w:tc>
      </w:tr>
      <w:tr w14:paraId="58EB4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18" w:type="pct"/>
            <w:vMerge w:val="continue"/>
            <w:tcBorders>
              <w:top w:val="nil"/>
              <w:bottom w:val="nil"/>
            </w:tcBorders>
          </w:tcPr>
          <w:p w14:paraId="7C69781A">
            <w:pPr>
              <w:rPr>
                <w:highlight w:val="none"/>
              </w:rPr>
            </w:pPr>
          </w:p>
        </w:tc>
        <w:tc>
          <w:tcPr>
            <w:tcW w:w="613" w:type="pct"/>
            <w:vMerge w:val="continue"/>
            <w:tcBorders>
              <w:top w:val="nil"/>
              <w:bottom w:val="nil"/>
            </w:tcBorders>
          </w:tcPr>
          <w:p w14:paraId="335F2412">
            <w:pPr>
              <w:rPr>
                <w:highlight w:val="none"/>
              </w:rPr>
            </w:pPr>
          </w:p>
        </w:tc>
        <w:tc>
          <w:tcPr>
            <w:tcW w:w="1268" w:type="pct"/>
          </w:tcPr>
          <w:p w14:paraId="63561DBC">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A02010105</w:t>
            </w:r>
            <w:r>
              <w:rPr>
                <w:rFonts w:hint="eastAsia" w:ascii="仿宋" w:hAnsi="仿宋" w:eastAsia="仿宋" w:cs="仿宋"/>
                <w:spacing w:val="-32"/>
                <w:sz w:val="21"/>
                <w:szCs w:val="21"/>
                <w:highlight w:val="none"/>
              </w:rPr>
              <w:t xml:space="preserve"> </w:t>
            </w:r>
            <w:r>
              <w:rPr>
                <w:rFonts w:hint="eastAsia" w:ascii="仿宋" w:hAnsi="仿宋" w:eastAsia="仿宋" w:cs="仿宋"/>
                <w:spacing w:val="-1"/>
                <w:sz w:val="21"/>
                <w:szCs w:val="21"/>
                <w:highlight w:val="none"/>
              </w:rPr>
              <w:t>便携式计算机</w:t>
            </w:r>
          </w:p>
        </w:tc>
        <w:tc>
          <w:tcPr>
            <w:tcW w:w="1076" w:type="pct"/>
            <w:gridSpan w:val="2"/>
          </w:tcPr>
          <w:p w14:paraId="4EC1003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2" w:type="pct"/>
          </w:tcPr>
          <w:p w14:paraId="61C8BB57">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HJ2536</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微型计算机、显示器</w:t>
            </w:r>
          </w:p>
        </w:tc>
      </w:tr>
      <w:tr w14:paraId="76A82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18" w:type="pct"/>
            <w:vMerge w:val="continue"/>
            <w:tcBorders>
              <w:top w:val="nil"/>
              <w:bottom w:val="nil"/>
            </w:tcBorders>
          </w:tcPr>
          <w:p w14:paraId="3BA85739">
            <w:pPr>
              <w:rPr>
                <w:highlight w:val="none"/>
              </w:rPr>
            </w:pPr>
          </w:p>
        </w:tc>
        <w:tc>
          <w:tcPr>
            <w:tcW w:w="613" w:type="pct"/>
            <w:vMerge w:val="continue"/>
            <w:tcBorders>
              <w:top w:val="nil"/>
              <w:bottom w:val="nil"/>
            </w:tcBorders>
          </w:tcPr>
          <w:p w14:paraId="72C15784">
            <w:pPr>
              <w:rPr>
                <w:highlight w:val="none"/>
              </w:rPr>
            </w:pPr>
          </w:p>
        </w:tc>
        <w:tc>
          <w:tcPr>
            <w:tcW w:w="1268" w:type="pct"/>
          </w:tcPr>
          <w:p w14:paraId="32D3A0C8">
            <w:pPr>
              <w:pStyle w:val="75"/>
              <w:keepNext w:val="0"/>
              <w:keepLines w:val="0"/>
              <w:pageBreakBefore w:val="0"/>
              <w:widowControl w:val="0"/>
              <w:kinsoku/>
              <w:wordWrap/>
              <w:overflowPunct/>
              <w:topLinePunct w:val="0"/>
              <w:autoSpaceDE/>
              <w:autoSpaceDN/>
              <w:bidi w:val="0"/>
              <w:adjustRightInd/>
              <w:snapToGrid/>
              <w:spacing w:line="340" w:lineRule="exact"/>
              <w:ind w:left="108" w:right="272" w:hanging="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A02010107</w:t>
            </w:r>
            <w:r>
              <w:rPr>
                <w:rFonts w:hint="eastAsia" w:ascii="仿宋" w:hAnsi="仿宋" w:eastAsia="仿宋" w:cs="仿宋"/>
                <w:spacing w:val="-33"/>
                <w:sz w:val="21"/>
                <w:szCs w:val="21"/>
                <w:highlight w:val="none"/>
              </w:rPr>
              <w:t xml:space="preserve"> </w:t>
            </w:r>
            <w:r>
              <w:rPr>
                <w:rFonts w:hint="eastAsia" w:ascii="仿宋" w:hAnsi="仿宋" w:eastAsia="仿宋" w:cs="仿宋"/>
                <w:spacing w:val="-1"/>
                <w:sz w:val="21"/>
                <w:szCs w:val="21"/>
                <w:highlight w:val="none"/>
              </w:rPr>
              <w:t>平板式微型计</w:t>
            </w:r>
            <w:r>
              <w:rPr>
                <w:rFonts w:hint="eastAsia" w:ascii="仿宋" w:hAnsi="仿宋" w:eastAsia="仿宋" w:cs="仿宋"/>
                <w:spacing w:val="-3"/>
                <w:sz w:val="21"/>
                <w:szCs w:val="21"/>
                <w:highlight w:val="none"/>
              </w:rPr>
              <w:t>算机</w:t>
            </w:r>
          </w:p>
        </w:tc>
        <w:tc>
          <w:tcPr>
            <w:tcW w:w="1076" w:type="pct"/>
            <w:gridSpan w:val="2"/>
          </w:tcPr>
          <w:p w14:paraId="12D1223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2" w:type="pct"/>
          </w:tcPr>
          <w:p w14:paraId="2E86FF35">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HJ2536</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微型计算机、显示器</w:t>
            </w:r>
          </w:p>
        </w:tc>
      </w:tr>
      <w:tr w14:paraId="41938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18" w:type="pct"/>
            <w:vMerge w:val="continue"/>
            <w:tcBorders>
              <w:top w:val="nil"/>
              <w:bottom w:val="nil"/>
            </w:tcBorders>
          </w:tcPr>
          <w:p w14:paraId="458D6F4E">
            <w:pPr>
              <w:rPr>
                <w:highlight w:val="none"/>
              </w:rPr>
            </w:pPr>
          </w:p>
        </w:tc>
        <w:tc>
          <w:tcPr>
            <w:tcW w:w="613" w:type="pct"/>
            <w:vMerge w:val="continue"/>
            <w:tcBorders>
              <w:top w:val="nil"/>
              <w:bottom w:val="nil"/>
            </w:tcBorders>
          </w:tcPr>
          <w:p w14:paraId="12C6E4D8">
            <w:pPr>
              <w:rPr>
                <w:highlight w:val="none"/>
              </w:rPr>
            </w:pPr>
          </w:p>
        </w:tc>
        <w:tc>
          <w:tcPr>
            <w:tcW w:w="1268" w:type="pct"/>
          </w:tcPr>
          <w:p w14:paraId="424EC77E">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A02010108</w:t>
            </w:r>
            <w:r>
              <w:rPr>
                <w:rFonts w:hint="eastAsia" w:ascii="仿宋" w:hAnsi="仿宋" w:eastAsia="仿宋" w:cs="仿宋"/>
                <w:spacing w:val="-16"/>
                <w:sz w:val="21"/>
                <w:szCs w:val="21"/>
                <w:highlight w:val="none"/>
              </w:rPr>
              <w:t xml:space="preserve"> </w:t>
            </w:r>
            <w:r>
              <w:rPr>
                <w:rFonts w:hint="eastAsia" w:ascii="仿宋" w:hAnsi="仿宋" w:eastAsia="仿宋" w:cs="仿宋"/>
                <w:spacing w:val="-2"/>
                <w:sz w:val="21"/>
                <w:szCs w:val="21"/>
                <w:highlight w:val="none"/>
              </w:rPr>
              <w:t>网络计算机</w:t>
            </w:r>
          </w:p>
        </w:tc>
        <w:tc>
          <w:tcPr>
            <w:tcW w:w="1076" w:type="pct"/>
            <w:gridSpan w:val="2"/>
          </w:tcPr>
          <w:p w14:paraId="0E502D3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2" w:type="pct"/>
          </w:tcPr>
          <w:p w14:paraId="2288240B">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HJ2536</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微型计算机、显示器</w:t>
            </w:r>
          </w:p>
        </w:tc>
      </w:tr>
      <w:tr w14:paraId="1BA95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18" w:type="pct"/>
            <w:vMerge w:val="continue"/>
            <w:tcBorders>
              <w:top w:val="nil"/>
              <w:bottom w:val="nil"/>
            </w:tcBorders>
          </w:tcPr>
          <w:p w14:paraId="637FF427">
            <w:pPr>
              <w:rPr>
                <w:highlight w:val="none"/>
              </w:rPr>
            </w:pPr>
          </w:p>
        </w:tc>
        <w:tc>
          <w:tcPr>
            <w:tcW w:w="613" w:type="pct"/>
            <w:vMerge w:val="continue"/>
            <w:tcBorders>
              <w:top w:val="nil"/>
              <w:bottom w:val="nil"/>
            </w:tcBorders>
          </w:tcPr>
          <w:p w14:paraId="15E3EF99">
            <w:pPr>
              <w:rPr>
                <w:highlight w:val="none"/>
              </w:rPr>
            </w:pPr>
          </w:p>
        </w:tc>
        <w:tc>
          <w:tcPr>
            <w:tcW w:w="1268" w:type="pct"/>
          </w:tcPr>
          <w:p w14:paraId="0D1A5C2C">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A02010109</w:t>
            </w:r>
            <w:r>
              <w:rPr>
                <w:rFonts w:hint="eastAsia" w:ascii="仿宋" w:hAnsi="仿宋" w:eastAsia="仿宋" w:cs="仿宋"/>
                <w:spacing w:val="-32"/>
                <w:sz w:val="21"/>
                <w:szCs w:val="21"/>
                <w:highlight w:val="none"/>
              </w:rPr>
              <w:t xml:space="preserve"> </w:t>
            </w:r>
            <w:r>
              <w:rPr>
                <w:rFonts w:hint="eastAsia" w:ascii="仿宋" w:hAnsi="仿宋" w:eastAsia="仿宋" w:cs="仿宋"/>
                <w:spacing w:val="-1"/>
                <w:sz w:val="21"/>
                <w:szCs w:val="21"/>
                <w:highlight w:val="none"/>
              </w:rPr>
              <w:t>计算机工作站</w:t>
            </w:r>
          </w:p>
        </w:tc>
        <w:tc>
          <w:tcPr>
            <w:tcW w:w="1076" w:type="pct"/>
            <w:gridSpan w:val="2"/>
          </w:tcPr>
          <w:p w14:paraId="47404BB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2" w:type="pct"/>
          </w:tcPr>
          <w:p w14:paraId="22D412C6">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HJ2536</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微型计算机、显示器</w:t>
            </w:r>
          </w:p>
        </w:tc>
      </w:tr>
      <w:tr w14:paraId="20230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18" w:type="pct"/>
            <w:vMerge w:val="continue"/>
            <w:tcBorders>
              <w:top w:val="nil"/>
            </w:tcBorders>
          </w:tcPr>
          <w:p w14:paraId="479BDF8C">
            <w:pPr>
              <w:rPr>
                <w:highlight w:val="none"/>
              </w:rPr>
            </w:pPr>
          </w:p>
        </w:tc>
        <w:tc>
          <w:tcPr>
            <w:tcW w:w="613" w:type="pct"/>
            <w:vMerge w:val="continue"/>
            <w:tcBorders>
              <w:top w:val="nil"/>
            </w:tcBorders>
          </w:tcPr>
          <w:p w14:paraId="611367D1">
            <w:pPr>
              <w:rPr>
                <w:highlight w:val="none"/>
              </w:rPr>
            </w:pPr>
          </w:p>
        </w:tc>
        <w:tc>
          <w:tcPr>
            <w:tcW w:w="1268" w:type="pct"/>
          </w:tcPr>
          <w:p w14:paraId="41D022EF">
            <w:pPr>
              <w:pStyle w:val="75"/>
              <w:keepNext w:val="0"/>
              <w:keepLines w:val="0"/>
              <w:pageBreakBefore w:val="0"/>
              <w:widowControl w:val="0"/>
              <w:kinsoku/>
              <w:wordWrap/>
              <w:overflowPunct/>
              <w:topLinePunct w:val="0"/>
              <w:autoSpaceDE/>
              <w:autoSpaceDN/>
              <w:bidi w:val="0"/>
              <w:adjustRightInd/>
              <w:snapToGrid/>
              <w:spacing w:line="340" w:lineRule="exact"/>
              <w:ind w:left="108" w:right="272" w:hanging="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A02010199</w:t>
            </w:r>
            <w:r>
              <w:rPr>
                <w:rFonts w:hint="eastAsia" w:ascii="仿宋" w:hAnsi="仿宋" w:eastAsia="仿宋" w:cs="仿宋"/>
                <w:spacing w:val="-33"/>
                <w:sz w:val="21"/>
                <w:szCs w:val="21"/>
                <w:highlight w:val="none"/>
              </w:rPr>
              <w:t xml:space="preserve"> </w:t>
            </w:r>
            <w:r>
              <w:rPr>
                <w:rFonts w:hint="eastAsia" w:ascii="仿宋" w:hAnsi="仿宋" w:eastAsia="仿宋" w:cs="仿宋"/>
                <w:spacing w:val="-1"/>
                <w:sz w:val="21"/>
                <w:szCs w:val="21"/>
                <w:highlight w:val="none"/>
              </w:rPr>
              <w:t>其他计算机设</w:t>
            </w:r>
            <w:r>
              <w:rPr>
                <w:rFonts w:hint="eastAsia" w:ascii="仿宋" w:hAnsi="仿宋" w:eastAsia="仿宋" w:cs="仿宋"/>
                <w:sz w:val="21"/>
                <w:szCs w:val="21"/>
                <w:highlight w:val="none"/>
              </w:rPr>
              <w:t>备</w:t>
            </w:r>
          </w:p>
        </w:tc>
        <w:tc>
          <w:tcPr>
            <w:tcW w:w="1076" w:type="pct"/>
            <w:gridSpan w:val="2"/>
          </w:tcPr>
          <w:p w14:paraId="60E1FFA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2" w:type="pct"/>
          </w:tcPr>
          <w:p w14:paraId="644591ED">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HJ2536</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微型计算机、显示器</w:t>
            </w:r>
          </w:p>
        </w:tc>
      </w:tr>
      <w:tr w14:paraId="69D68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18" w:type="pct"/>
            <w:vMerge w:val="restart"/>
            <w:tcBorders>
              <w:bottom w:val="nil"/>
            </w:tcBorders>
          </w:tcPr>
          <w:p w14:paraId="28BE7AFA">
            <w:pPr>
              <w:pStyle w:val="75"/>
              <w:keepNext w:val="0"/>
              <w:keepLines w:val="0"/>
              <w:pageBreakBefore w:val="0"/>
              <w:widowControl w:val="0"/>
              <w:kinsoku/>
              <w:wordWrap/>
              <w:overflowPunct/>
              <w:topLinePunct w:val="0"/>
              <w:autoSpaceDE/>
              <w:autoSpaceDN/>
              <w:bidi w:val="0"/>
              <w:adjustRightInd/>
              <w:snapToGrid/>
              <w:spacing w:line="340" w:lineRule="exact"/>
              <w:ind w:left="112"/>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613" w:type="pct"/>
            <w:vMerge w:val="restart"/>
            <w:tcBorders>
              <w:bottom w:val="nil"/>
            </w:tcBorders>
          </w:tcPr>
          <w:p w14:paraId="6DA03A9A">
            <w:pPr>
              <w:pStyle w:val="75"/>
              <w:keepNext w:val="0"/>
              <w:keepLines w:val="0"/>
              <w:pageBreakBefore w:val="0"/>
              <w:widowControl w:val="0"/>
              <w:kinsoku/>
              <w:wordWrap/>
              <w:overflowPunct/>
              <w:topLinePunct w:val="0"/>
              <w:autoSpaceDE/>
              <w:autoSpaceDN/>
              <w:bidi w:val="0"/>
              <w:adjustRightInd/>
              <w:snapToGrid/>
              <w:spacing w:line="340" w:lineRule="exact"/>
              <w:ind w:left="104" w:right="113" w:hanging="4"/>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A020106</w:t>
            </w:r>
            <w:r>
              <w:rPr>
                <w:rFonts w:hint="eastAsia" w:ascii="仿宋" w:hAnsi="仿宋" w:eastAsia="仿宋" w:cs="仿宋"/>
                <w:spacing w:val="-39"/>
                <w:sz w:val="21"/>
                <w:szCs w:val="21"/>
                <w:highlight w:val="none"/>
              </w:rPr>
              <w:t xml:space="preserve"> </w:t>
            </w:r>
            <w:r>
              <w:rPr>
                <w:rFonts w:hint="eastAsia" w:ascii="仿宋" w:hAnsi="仿宋" w:eastAsia="仿宋" w:cs="仿宋"/>
                <w:spacing w:val="-1"/>
                <w:sz w:val="21"/>
                <w:szCs w:val="21"/>
                <w:highlight w:val="none"/>
              </w:rPr>
              <w:t>输</w:t>
            </w:r>
            <w:r>
              <w:rPr>
                <w:rFonts w:hint="eastAsia" w:ascii="仿宋" w:hAnsi="仿宋" w:eastAsia="仿宋" w:cs="仿宋"/>
                <w:spacing w:val="-2"/>
                <w:sz w:val="21"/>
                <w:szCs w:val="21"/>
                <w:highlight w:val="none"/>
              </w:rPr>
              <w:t>入输出设备</w:t>
            </w:r>
          </w:p>
        </w:tc>
        <w:tc>
          <w:tcPr>
            <w:tcW w:w="1268" w:type="pct"/>
            <w:vMerge w:val="restart"/>
            <w:tcBorders>
              <w:bottom w:val="nil"/>
            </w:tcBorders>
          </w:tcPr>
          <w:p w14:paraId="5C8977D1">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A02010601</w:t>
            </w:r>
            <w:r>
              <w:rPr>
                <w:rFonts w:hint="eastAsia" w:ascii="仿宋" w:hAnsi="仿宋" w:eastAsia="仿宋" w:cs="仿宋"/>
                <w:spacing w:val="-32"/>
                <w:sz w:val="21"/>
                <w:szCs w:val="21"/>
                <w:highlight w:val="none"/>
              </w:rPr>
              <w:t xml:space="preserve"> </w:t>
            </w:r>
            <w:r>
              <w:rPr>
                <w:rFonts w:hint="eastAsia" w:ascii="仿宋" w:hAnsi="仿宋" w:eastAsia="仿宋" w:cs="仿宋"/>
                <w:spacing w:val="-1"/>
                <w:sz w:val="21"/>
                <w:szCs w:val="21"/>
                <w:highlight w:val="none"/>
              </w:rPr>
              <w:t>打印设备</w:t>
            </w:r>
          </w:p>
        </w:tc>
        <w:tc>
          <w:tcPr>
            <w:tcW w:w="1076" w:type="pct"/>
            <w:gridSpan w:val="2"/>
          </w:tcPr>
          <w:p w14:paraId="4D48E6D3">
            <w:pPr>
              <w:pStyle w:val="75"/>
              <w:keepNext w:val="0"/>
              <w:keepLines w:val="0"/>
              <w:pageBreakBefore w:val="0"/>
              <w:widowControl w:val="0"/>
              <w:kinsoku/>
              <w:wordWrap/>
              <w:overflowPunct/>
              <w:topLinePunct w:val="0"/>
              <w:autoSpaceDE/>
              <w:autoSpaceDN/>
              <w:bidi w:val="0"/>
              <w:adjustRightInd/>
              <w:snapToGrid/>
              <w:spacing w:line="340" w:lineRule="exact"/>
              <w:ind w:left="123" w:right="272" w:hanging="19"/>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A0201060101</w:t>
            </w:r>
            <w:r>
              <w:rPr>
                <w:rFonts w:hint="eastAsia" w:ascii="仿宋" w:hAnsi="仿宋" w:eastAsia="仿宋" w:cs="仿宋"/>
                <w:spacing w:val="-20"/>
                <w:sz w:val="21"/>
                <w:szCs w:val="21"/>
                <w:highlight w:val="none"/>
              </w:rPr>
              <w:t xml:space="preserve"> </w:t>
            </w:r>
            <w:r>
              <w:rPr>
                <w:rFonts w:hint="eastAsia" w:ascii="仿宋" w:hAnsi="仿宋" w:eastAsia="仿宋" w:cs="仿宋"/>
                <w:spacing w:val="-2"/>
                <w:sz w:val="21"/>
                <w:szCs w:val="21"/>
                <w:highlight w:val="none"/>
              </w:rPr>
              <w:t>喷墨打</w:t>
            </w:r>
            <w:r>
              <w:rPr>
                <w:rFonts w:hint="eastAsia" w:ascii="仿宋" w:hAnsi="仿宋" w:eastAsia="仿宋" w:cs="仿宋"/>
                <w:spacing w:val="-6"/>
                <w:sz w:val="21"/>
                <w:szCs w:val="21"/>
                <w:highlight w:val="none"/>
              </w:rPr>
              <w:t>印机</w:t>
            </w:r>
          </w:p>
        </w:tc>
        <w:tc>
          <w:tcPr>
            <w:tcW w:w="1722" w:type="pct"/>
          </w:tcPr>
          <w:p w14:paraId="2A6143C2">
            <w:pPr>
              <w:pStyle w:val="75"/>
              <w:keepNext w:val="0"/>
              <w:keepLines w:val="0"/>
              <w:pageBreakBefore w:val="0"/>
              <w:widowControl w:val="0"/>
              <w:kinsoku/>
              <w:wordWrap/>
              <w:overflowPunct/>
              <w:topLinePunct w:val="0"/>
              <w:autoSpaceDE/>
              <w:autoSpaceDN/>
              <w:bidi w:val="0"/>
              <w:adjustRightInd/>
              <w:snapToGrid/>
              <w:spacing w:line="340" w:lineRule="exact"/>
              <w:ind w:left="110" w:right="107" w:hanging="3"/>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HJ2512</w:t>
            </w:r>
            <w:r>
              <w:rPr>
                <w:rFonts w:hint="eastAsia" w:ascii="仿宋" w:hAnsi="仿宋" w:eastAsia="仿宋" w:cs="仿宋"/>
                <w:spacing w:val="-30"/>
                <w:sz w:val="21"/>
                <w:szCs w:val="21"/>
                <w:highlight w:val="none"/>
              </w:rPr>
              <w:t xml:space="preserve"> </w:t>
            </w:r>
            <w:r>
              <w:rPr>
                <w:rFonts w:hint="eastAsia" w:ascii="仿宋" w:hAnsi="仿宋" w:eastAsia="仿宋" w:cs="仿宋"/>
                <w:spacing w:val="-1"/>
                <w:sz w:val="21"/>
                <w:szCs w:val="21"/>
                <w:highlight w:val="none"/>
              </w:rPr>
              <w:t>打印机、传真机及多功能一体</w:t>
            </w:r>
            <w:r>
              <w:rPr>
                <w:rFonts w:hint="eastAsia" w:ascii="仿宋" w:hAnsi="仿宋" w:eastAsia="仿宋" w:cs="仿宋"/>
                <w:sz w:val="21"/>
                <w:szCs w:val="21"/>
                <w:highlight w:val="none"/>
              </w:rPr>
              <w:t>机</w:t>
            </w:r>
          </w:p>
        </w:tc>
      </w:tr>
      <w:tr w14:paraId="71BC7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18" w:type="pct"/>
            <w:vMerge w:val="continue"/>
            <w:tcBorders>
              <w:top w:val="nil"/>
              <w:bottom w:val="nil"/>
            </w:tcBorders>
          </w:tcPr>
          <w:p w14:paraId="019C174C">
            <w:pPr>
              <w:rPr>
                <w:highlight w:val="none"/>
              </w:rPr>
            </w:pPr>
          </w:p>
        </w:tc>
        <w:tc>
          <w:tcPr>
            <w:tcW w:w="613" w:type="pct"/>
            <w:vMerge w:val="continue"/>
            <w:tcBorders>
              <w:top w:val="nil"/>
              <w:bottom w:val="nil"/>
            </w:tcBorders>
          </w:tcPr>
          <w:p w14:paraId="210FA51F">
            <w:pPr>
              <w:rPr>
                <w:highlight w:val="none"/>
              </w:rPr>
            </w:pPr>
          </w:p>
        </w:tc>
        <w:tc>
          <w:tcPr>
            <w:tcW w:w="1268" w:type="pct"/>
            <w:vMerge w:val="continue"/>
            <w:tcBorders>
              <w:top w:val="nil"/>
              <w:bottom w:val="nil"/>
            </w:tcBorders>
          </w:tcPr>
          <w:p w14:paraId="32485763">
            <w:pPr>
              <w:rPr>
                <w:highlight w:val="none"/>
              </w:rPr>
            </w:pPr>
          </w:p>
        </w:tc>
        <w:tc>
          <w:tcPr>
            <w:tcW w:w="1076" w:type="pct"/>
            <w:gridSpan w:val="2"/>
          </w:tcPr>
          <w:p w14:paraId="750F976E">
            <w:pPr>
              <w:pStyle w:val="75"/>
              <w:keepNext w:val="0"/>
              <w:keepLines w:val="0"/>
              <w:pageBreakBefore w:val="0"/>
              <w:widowControl w:val="0"/>
              <w:kinsoku/>
              <w:wordWrap/>
              <w:overflowPunct/>
              <w:topLinePunct w:val="0"/>
              <w:autoSpaceDE/>
              <w:autoSpaceDN/>
              <w:bidi w:val="0"/>
              <w:adjustRightInd/>
              <w:snapToGrid/>
              <w:spacing w:line="340" w:lineRule="exact"/>
              <w:ind w:left="123" w:right="272" w:hanging="19"/>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A0201060102</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激光打</w:t>
            </w:r>
            <w:r>
              <w:rPr>
                <w:rFonts w:hint="eastAsia" w:ascii="仿宋" w:hAnsi="仿宋" w:eastAsia="仿宋" w:cs="仿宋"/>
                <w:spacing w:val="-6"/>
                <w:sz w:val="21"/>
                <w:szCs w:val="21"/>
                <w:highlight w:val="none"/>
              </w:rPr>
              <w:t>印机</w:t>
            </w:r>
          </w:p>
        </w:tc>
        <w:tc>
          <w:tcPr>
            <w:tcW w:w="1722" w:type="pct"/>
          </w:tcPr>
          <w:p w14:paraId="11D40E71">
            <w:pPr>
              <w:pStyle w:val="75"/>
              <w:keepNext w:val="0"/>
              <w:keepLines w:val="0"/>
              <w:pageBreakBefore w:val="0"/>
              <w:widowControl w:val="0"/>
              <w:kinsoku/>
              <w:wordWrap/>
              <w:overflowPunct/>
              <w:topLinePunct w:val="0"/>
              <w:autoSpaceDE/>
              <w:autoSpaceDN/>
              <w:bidi w:val="0"/>
              <w:adjustRightInd/>
              <w:snapToGrid/>
              <w:spacing w:line="340" w:lineRule="exact"/>
              <w:ind w:left="110" w:right="107" w:hanging="3"/>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HJ2512</w:t>
            </w:r>
            <w:r>
              <w:rPr>
                <w:rFonts w:hint="eastAsia" w:ascii="仿宋" w:hAnsi="仿宋" w:eastAsia="仿宋" w:cs="仿宋"/>
                <w:spacing w:val="-30"/>
                <w:sz w:val="21"/>
                <w:szCs w:val="21"/>
                <w:highlight w:val="none"/>
              </w:rPr>
              <w:t xml:space="preserve"> </w:t>
            </w:r>
            <w:r>
              <w:rPr>
                <w:rFonts w:hint="eastAsia" w:ascii="仿宋" w:hAnsi="仿宋" w:eastAsia="仿宋" w:cs="仿宋"/>
                <w:spacing w:val="-1"/>
                <w:sz w:val="21"/>
                <w:szCs w:val="21"/>
                <w:highlight w:val="none"/>
              </w:rPr>
              <w:t>打印机、传真机及多功能一体</w:t>
            </w:r>
            <w:r>
              <w:rPr>
                <w:rFonts w:hint="eastAsia" w:ascii="仿宋" w:hAnsi="仿宋" w:eastAsia="仿宋" w:cs="仿宋"/>
                <w:sz w:val="21"/>
                <w:szCs w:val="21"/>
                <w:highlight w:val="none"/>
              </w:rPr>
              <w:t>机</w:t>
            </w:r>
          </w:p>
        </w:tc>
      </w:tr>
      <w:tr w14:paraId="488C7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18" w:type="pct"/>
            <w:vMerge w:val="continue"/>
            <w:tcBorders>
              <w:top w:val="nil"/>
              <w:bottom w:val="nil"/>
            </w:tcBorders>
          </w:tcPr>
          <w:p w14:paraId="426494B8">
            <w:pPr>
              <w:rPr>
                <w:highlight w:val="none"/>
              </w:rPr>
            </w:pPr>
          </w:p>
        </w:tc>
        <w:tc>
          <w:tcPr>
            <w:tcW w:w="613" w:type="pct"/>
            <w:vMerge w:val="continue"/>
            <w:tcBorders>
              <w:top w:val="nil"/>
              <w:bottom w:val="nil"/>
            </w:tcBorders>
          </w:tcPr>
          <w:p w14:paraId="27C53BC8">
            <w:pPr>
              <w:rPr>
                <w:highlight w:val="none"/>
              </w:rPr>
            </w:pPr>
          </w:p>
        </w:tc>
        <w:tc>
          <w:tcPr>
            <w:tcW w:w="1268" w:type="pct"/>
            <w:vMerge w:val="continue"/>
            <w:tcBorders>
              <w:top w:val="nil"/>
              <w:bottom w:val="nil"/>
            </w:tcBorders>
          </w:tcPr>
          <w:p w14:paraId="62B97FEB">
            <w:pPr>
              <w:rPr>
                <w:highlight w:val="none"/>
              </w:rPr>
            </w:pPr>
          </w:p>
        </w:tc>
        <w:tc>
          <w:tcPr>
            <w:tcW w:w="1076" w:type="pct"/>
            <w:gridSpan w:val="2"/>
          </w:tcPr>
          <w:p w14:paraId="6784F0C9">
            <w:pPr>
              <w:pStyle w:val="75"/>
              <w:keepNext w:val="0"/>
              <w:keepLines w:val="0"/>
              <w:pageBreakBefore w:val="0"/>
              <w:widowControl w:val="0"/>
              <w:kinsoku/>
              <w:wordWrap/>
              <w:overflowPunct/>
              <w:topLinePunct w:val="0"/>
              <w:autoSpaceDE/>
              <w:autoSpaceDN/>
              <w:bidi w:val="0"/>
              <w:adjustRightInd/>
              <w:snapToGrid/>
              <w:spacing w:line="340" w:lineRule="exact"/>
              <w:ind w:left="123" w:right="272" w:hanging="19"/>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A0201060103</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热式打</w:t>
            </w:r>
            <w:r>
              <w:rPr>
                <w:rFonts w:hint="eastAsia" w:ascii="仿宋" w:hAnsi="仿宋" w:eastAsia="仿宋" w:cs="仿宋"/>
                <w:spacing w:val="-6"/>
                <w:sz w:val="21"/>
                <w:szCs w:val="21"/>
                <w:highlight w:val="none"/>
              </w:rPr>
              <w:t>印机</w:t>
            </w:r>
          </w:p>
        </w:tc>
        <w:tc>
          <w:tcPr>
            <w:tcW w:w="1722" w:type="pct"/>
          </w:tcPr>
          <w:p w14:paraId="1E912C5C">
            <w:pPr>
              <w:pStyle w:val="75"/>
              <w:keepNext w:val="0"/>
              <w:keepLines w:val="0"/>
              <w:pageBreakBefore w:val="0"/>
              <w:widowControl w:val="0"/>
              <w:kinsoku/>
              <w:wordWrap/>
              <w:overflowPunct/>
              <w:topLinePunct w:val="0"/>
              <w:autoSpaceDE/>
              <w:autoSpaceDN/>
              <w:bidi w:val="0"/>
              <w:adjustRightInd/>
              <w:snapToGrid/>
              <w:spacing w:line="340" w:lineRule="exact"/>
              <w:ind w:left="110" w:right="107" w:hanging="3"/>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HJ2512</w:t>
            </w:r>
            <w:r>
              <w:rPr>
                <w:rFonts w:hint="eastAsia" w:ascii="仿宋" w:hAnsi="仿宋" w:eastAsia="仿宋" w:cs="仿宋"/>
                <w:spacing w:val="-30"/>
                <w:sz w:val="21"/>
                <w:szCs w:val="21"/>
                <w:highlight w:val="none"/>
              </w:rPr>
              <w:t xml:space="preserve"> </w:t>
            </w:r>
            <w:r>
              <w:rPr>
                <w:rFonts w:hint="eastAsia" w:ascii="仿宋" w:hAnsi="仿宋" w:eastAsia="仿宋" w:cs="仿宋"/>
                <w:spacing w:val="-1"/>
                <w:sz w:val="21"/>
                <w:szCs w:val="21"/>
                <w:highlight w:val="none"/>
              </w:rPr>
              <w:t>打印机、传真机及多功能一体</w:t>
            </w:r>
            <w:r>
              <w:rPr>
                <w:rFonts w:hint="eastAsia" w:ascii="仿宋" w:hAnsi="仿宋" w:eastAsia="仿宋" w:cs="仿宋"/>
                <w:sz w:val="21"/>
                <w:szCs w:val="21"/>
                <w:highlight w:val="none"/>
              </w:rPr>
              <w:t>机</w:t>
            </w:r>
          </w:p>
        </w:tc>
      </w:tr>
      <w:tr w14:paraId="63E7F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18" w:type="pct"/>
            <w:vMerge w:val="continue"/>
            <w:tcBorders>
              <w:top w:val="nil"/>
              <w:bottom w:val="nil"/>
            </w:tcBorders>
          </w:tcPr>
          <w:p w14:paraId="4BEA5233">
            <w:pPr>
              <w:rPr>
                <w:highlight w:val="none"/>
              </w:rPr>
            </w:pPr>
          </w:p>
        </w:tc>
        <w:tc>
          <w:tcPr>
            <w:tcW w:w="613" w:type="pct"/>
            <w:vMerge w:val="continue"/>
            <w:tcBorders>
              <w:top w:val="nil"/>
              <w:bottom w:val="nil"/>
            </w:tcBorders>
          </w:tcPr>
          <w:p w14:paraId="2E477166">
            <w:pPr>
              <w:rPr>
                <w:highlight w:val="none"/>
              </w:rPr>
            </w:pPr>
          </w:p>
        </w:tc>
        <w:tc>
          <w:tcPr>
            <w:tcW w:w="1268" w:type="pct"/>
            <w:vMerge w:val="continue"/>
            <w:tcBorders>
              <w:top w:val="nil"/>
            </w:tcBorders>
          </w:tcPr>
          <w:p w14:paraId="640BFC87">
            <w:pPr>
              <w:rPr>
                <w:highlight w:val="none"/>
              </w:rPr>
            </w:pPr>
          </w:p>
        </w:tc>
        <w:tc>
          <w:tcPr>
            <w:tcW w:w="1076" w:type="pct"/>
            <w:gridSpan w:val="2"/>
          </w:tcPr>
          <w:p w14:paraId="2F4CC1D8">
            <w:pPr>
              <w:pStyle w:val="75"/>
              <w:keepNext w:val="0"/>
              <w:keepLines w:val="0"/>
              <w:pageBreakBefore w:val="0"/>
              <w:widowControl w:val="0"/>
              <w:kinsoku/>
              <w:wordWrap/>
              <w:overflowPunct/>
              <w:topLinePunct w:val="0"/>
              <w:autoSpaceDE/>
              <w:autoSpaceDN/>
              <w:bidi w:val="0"/>
              <w:adjustRightInd/>
              <w:snapToGrid/>
              <w:spacing w:line="340" w:lineRule="exact"/>
              <w:ind w:left="123" w:right="272" w:hanging="19"/>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A0201060104</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针式打</w:t>
            </w:r>
            <w:r>
              <w:rPr>
                <w:rFonts w:hint="eastAsia" w:ascii="仿宋" w:hAnsi="仿宋" w:eastAsia="仿宋" w:cs="仿宋"/>
                <w:spacing w:val="-6"/>
                <w:sz w:val="21"/>
                <w:szCs w:val="21"/>
                <w:highlight w:val="none"/>
              </w:rPr>
              <w:t>印机</w:t>
            </w:r>
          </w:p>
        </w:tc>
        <w:tc>
          <w:tcPr>
            <w:tcW w:w="1722" w:type="pct"/>
          </w:tcPr>
          <w:p w14:paraId="6DA2DF10">
            <w:pPr>
              <w:pStyle w:val="75"/>
              <w:keepNext w:val="0"/>
              <w:keepLines w:val="0"/>
              <w:pageBreakBefore w:val="0"/>
              <w:widowControl w:val="0"/>
              <w:kinsoku/>
              <w:wordWrap/>
              <w:overflowPunct/>
              <w:topLinePunct w:val="0"/>
              <w:autoSpaceDE/>
              <w:autoSpaceDN/>
              <w:bidi w:val="0"/>
              <w:adjustRightInd/>
              <w:snapToGrid/>
              <w:spacing w:line="340" w:lineRule="exact"/>
              <w:ind w:left="110" w:right="107" w:hanging="3"/>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HJ2512</w:t>
            </w:r>
            <w:r>
              <w:rPr>
                <w:rFonts w:hint="eastAsia" w:ascii="仿宋" w:hAnsi="仿宋" w:eastAsia="仿宋" w:cs="仿宋"/>
                <w:spacing w:val="-30"/>
                <w:sz w:val="21"/>
                <w:szCs w:val="21"/>
                <w:highlight w:val="none"/>
              </w:rPr>
              <w:t xml:space="preserve"> </w:t>
            </w:r>
            <w:r>
              <w:rPr>
                <w:rFonts w:hint="eastAsia" w:ascii="仿宋" w:hAnsi="仿宋" w:eastAsia="仿宋" w:cs="仿宋"/>
                <w:spacing w:val="-1"/>
                <w:sz w:val="21"/>
                <w:szCs w:val="21"/>
                <w:highlight w:val="none"/>
              </w:rPr>
              <w:t>打印机、传真机及多功能一体</w:t>
            </w:r>
            <w:r>
              <w:rPr>
                <w:rFonts w:hint="eastAsia" w:ascii="仿宋" w:hAnsi="仿宋" w:eastAsia="仿宋" w:cs="仿宋"/>
                <w:sz w:val="21"/>
                <w:szCs w:val="21"/>
                <w:highlight w:val="none"/>
              </w:rPr>
              <w:t>机</w:t>
            </w:r>
          </w:p>
        </w:tc>
      </w:tr>
      <w:tr w14:paraId="1ED30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18" w:type="pct"/>
            <w:vMerge w:val="continue"/>
            <w:tcBorders>
              <w:top w:val="nil"/>
              <w:bottom w:val="nil"/>
            </w:tcBorders>
          </w:tcPr>
          <w:p w14:paraId="3FD27C01">
            <w:pPr>
              <w:rPr>
                <w:highlight w:val="none"/>
              </w:rPr>
            </w:pPr>
          </w:p>
        </w:tc>
        <w:tc>
          <w:tcPr>
            <w:tcW w:w="613" w:type="pct"/>
            <w:vMerge w:val="continue"/>
            <w:tcBorders>
              <w:top w:val="nil"/>
              <w:bottom w:val="nil"/>
            </w:tcBorders>
          </w:tcPr>
          <w:p w14:paraId="7362CC57">
            <w:pPr>
              <w:rPr>
                <w:highlight w:val="none"/>
              </w:rPr>
            </w:pPr>
          </w:p>
        </w:tc>
        <w:tc>
          <w:tcPr>
            <w:tcW w:w="1268" w:type="pct"/>
            <w:vMerge w:val="restart"/>
            <w:tcBorders>
              <w:bottom w:val="nil"/>
            </w:tcBorders>
          </w:tcPr>
          <w:p w14:paraId="287126C3">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A02010604</w:t>
            </w:r>
            <w:r>
              <w:rPr>
                <w:rFonts w:hint="eastAsia" w:ascii="仿宋" w:hAnsi="仿宋" w:eastAsia="仿宋" w:cs="仿宋"/>
                <w:spacing w:val="-32"/>
                <w:sz w:val="21"/>
                <w:szCs w:val="21"/>
                <w:highlight w:val="none"/>
              </w:rPr>
              <w:t xml:space="preserve"> </w:t>
            </w:r>
            <w:r>
              <w:rPr>
                <w:rFonts w:hint="eastAsia" w:ascii="仿宋" w:hAnsi="仿宋" w:eastAsia="仿宋" w:cs="仿宋"/>
                <w:spacing w:val="-1"/>
                <w:sz w:val="21"/>
                <w:szCs w:val="21"/>
                <w:highlight w:val="none"/>
              </w:rPr>
              <w:t>显示设备</w:t>
            </w:r>
          </w:p>
        </w:tc>
        <w:tc>
          <w:tcPr>
            <w:tcW w:w="1076" w:type="pct"/>
            <w:gridSpan w:val="2"/>
          </w:tcPr>
          <w:p w14:paraId="0808911B">
            <w:pPr>
              <w:pStyle w:val="75"/>
              <w:keepNext w:val="0"/>
              <w:keepLines w:val="0"/>
              <w:pageBreakBefore w:val="0"/>
              <w:widowControl w:val="0"/>
              <w:kinsoku/>
              <w:wordWrap/>
              <w:overflowPunct/>
              <w:topLinePunct w:val="0"/>
              <w:autoSpaceDE/>
              <w:autoSpaceDN/>
              <w:bidi w:val="0"/>
              <w:adjustRightInd/>
              <w:snapToGrid/>
              <w:spacing w:line="340" w:lineRule="exact"/>
              <w:ind w:left="110" w:right="272" w:hanging="6"/>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A0201060401</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液晶显</w:t>
            </w:r>
            <w:r>
              <w:rPr>
                <w:rFonts w:hint="eastAsia" w:ascii="仿宋" w:hAnsi="仿宋" w:eastAsia="仿宋" w:cs="仿宋"/>
                <w:spacing w:val="-2"/>
                <w:sz w:val="21"/>
                <w:szCs w:val="21"/>
                <w:highlight w:val="none"/>
              </w:rPr>
              <w:t>示器</w:t>
            </w:r>
          </w:p>
        </w:tc>
        <w:tc>
          <w:tcPr>
            <w:tcW w:w="1722" w:type="pct"/>
          </w:tcPr>
          <w:p w14:paraId="78FB1EE7">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HJ2536</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微型计算机、显示器</w:t>
            </w:r>
          </w:p>
        </w:tc>
      </w:tr>
      <w:tr w14:paraId="6103B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18" w:type="pct"/>
            <w:vMerge w:val="continue"/>
            <w:tcBorders>
              <w:top w:val="nil"/>
              <w:bottom w:val="nil"/>
            </w:tcBorders>
          </w:tcPr>
          <w:p w14:paraId="20A1CEE6">
            <w:pPr>
              <w:rPr>
                <w:highlight w:val="none"/>
              </w:rPr>
            </w:pPr>
          </w:p>
        </w:tc>
        <w:tc>
          <w:tcPr>
            <w:tcW w:w="613" w:type="pct"/>
            <w:vMerge w:val="continue"/>
            <w:tcBorders>
              <w:top w:val="nil"/>
              <w:bottom w:val="nil"/>
            </w:tcBorders>
          </w:tcPr>
          <w:p w14:paraId="76A4DAD4">
            <w:pPr>
              <w:rPr>
                <w:highlight w:val="none"/>
              </w:rPr>
            </w:pPr>
          </w:p>
        </w:tc>
        <w:tc>
          <w:tcPr>
            <w:tcW w:w="1268" w:type="pct"/>
            <w:vMerge w:val="continue"/>
            <w:tcBorders>
              <w:top w:val="nil"/>
            </w:tcBorders>
          </w:tcPr>
          <w:p w14:paraId="2C11A84E">
            <w:pPr>
              <w:rPr>
                <w:highlight w:val="none"/>
              </w:rPr>
            </w:pPr>
          </w:p>
        </w:tc>
        <w:tc>
          <w:tcPr>
            <w:tcW w:w="1076" w:type="pct"/>
            <w:gridSpan w:val="2"/>
          </w:tcPr>
          <w:p w14:paraId="7FF1FA41">
            <w:pPr>
              <w:pStyle w:val="75"/>
              <w:keepNext w:val="0"/>
              <w:keepLines w:val="0"/>
              <w:pageBreakBefore w:val="0"/>
              <w:widowControl w:val="0"/>
              <w:kinsoku/>
              <w:wordWrap/>
              <w:overflowPunct/>
              <w:topLinePunct w:val="0"/>
              <w:autoSpaceDE/>
              <w:autoSpaceDN/>
              <w:bidi w:val="0"/>
              <w:adjustRightInd/>
              <w:snapToGrid/>
              <w:spacing w:line="340" w:lineRule="exact"/>
              <w:ind w:left="110" w:right="272" w:hanging="6"/>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A0201060499</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其他显</w:t>
            </w:r>
            <w:r>
              <w:rPr>
                <w:rFonts w:hint="eastAsia" w:ascii="仿宋" w:hAnsi="仿宋" w:eastAsia="仿宋" w:cs="仿宋"/>
                <w:spacing w:val="-2"/>
                <w:sz w:val="21"/>
                <w:szCs w:val="21"/>
                <w:highlight w:val="none"/>
              </w:rPr>
              <w:t>示器</w:t>
            </w:r>
          </w:p>
        </w:tc>
        <w:tc>
          <w:tcPr>
            <w:tcW w:w="1722" w:type="pct"/>
          </w:tcPr>
          <w:p w14:paraId="37E86F85">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HJ2536</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微型计算机、显示器</w:t>
            </w:r>
          </w:p>
        </w:tc>
      </w:tr>
      <w:tr w14:paraId="4A87F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18" w:type="pct"/>
            <w:vMerge w:val="continue"/>
            <w:tcBorders>
              <w:top w:val="nil"/>
            </w:tcBorders>
          </w:tcPr>
          <w:p w14:paraId="37A99D2C">
            <w:pPr>
              <w:rPr>
                <w:highlight w:val="none"/>
              </w:rPr>
            </w:pPr>
          </w:p>
        </w:tc>
        <w:tc>
          <w:tcPr>
            <w:tcW w:w="613" w:type="pct"/>
            <w:vMerge w:val="continue"/>
            <w:tcBorders>
              <w:top w:val="nil"/>
            </w:tcBorders>
          </w:tcPr>
          <w:p w14:paraId="41E45B90">
            <w:pPr>
              <w:rPr>
                <w:highlight w:val="none"/>
              </w:rPr>
            </w:pPr>
          </w:p>
        </w:tc>
        <w:tc>
          <w:tcPr>
            <w:tcW w:w="1268" w:type="pct"/>
          </w:tcPr>
          <w:p w14:paraId="6407514D">
            <w:pPr>
              <w:pStyle w:val="75"/>
              <w:keepNext w:val="0"/>
              <w:keepLines w:val="0"/>
              <w:pageBreakBefore w:val="0"/>
              <w:widowControl w:val="0"/>
              <w:kinsoku/>
              <w:wordWrap/>
              <w:overflowPunct/>
              <w:topLinePunct w:val="0"/>
              <w:autoSpaceDE/>
              <w:autoSpaceDN/>
              <w:bidi w:val="0"/>
              <w:adjustRightInd/>
              <w:snapToGrid/>
              <w:spacing w:line="340" w:lineRule="exact"/>
              <w:ind w:left="108" w:right="272" w:hanging="8"/>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A02010609</w:t>
            </w:r>
            <w:r>
              <w:rPr>
                <w:rFonts w:hint="eastAsia" w:ascii="仿宋" w:hAnsi="仿宋" w:eastAsia="仿宋" w:cs="仿宋"/>
                <w:spacing w:val="-18"/>
                <w:sz w:val="21"/>
                <w:szCs w:val="21"/>
                <w:highlight w:val="none"/>
              </w:rPr>
              <w:t xml:space="preserve"> </w:t>
            </w:r>
            <w:r>
              <w:rPr>
                <w:rFonts w:hint="eastAsia" w:ascii="仿宋" w:hAnsi="仿宋" w:eastAsia="仿宋" w:cs="仿宋"/>
                <w:spacing w:val="-2"/>
                <w:sz w:val="21"/>
                <w:szCs w:val="21"/>
                <w:highlight w:val="none"/>
              </w:rPr>
              <w:t>图形图像输入</w:t>
            </w:r>
            <w:r>
              <w:rPr>
                <w:rFonts w:hint="eastAsia" w:ascii="仿宋" w:hAnsi="仿宋" w:eastAsia="仿宋" w:cs="仿宋"/>
                <w:spacing w:val="-3"/>
                <w:sz w:val="21"/>
                <w:szCs w:val="21"/>
                <w:highlight w:val="none"/>
              </w:rPr>
              <w:t>设备</w:t>
            </w:r>
          </w:p>
        </w:tc>
        <w:tc>
          <w:tcPr>
            <w:tcW w:w="1076" w:type="pct"/>
            <w:gridSpan w:val="2"/>
          </w:tcPr>
          <w:p w14:paraId="449768F6">
            <w:pPr>
              <w:pStyle w:val="75"/>
              <w:keepNext w:val="0"/>
              <w:keepLines w:val="0"/>
              <w:pageBreakBefore w:val="0"/>
              <w:widowControl w:val="0"/>
              <w:kinsoku/>
              <w:wordWrap/>
              <w:overflowPunct/>
              <w:topLinePunct w:val="0"/>
              <w:autoSpaceDE/>
              <w:autoSpaceDN/>
              <w:bidi w:val="0"/>
              <w:adjustRightInd/>
              <w:snapToGrid/>
              <w:spacing w:line="340" w:lineRule="exact"/>
              <w:ind w:left="104"/>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A0201060901</w:t>
            </w:r>
            <w:r>
              <w:rPr>
                <w:rFonts w:hint="eastAsia" w:ascii="仿宋" w:hAnsi="仿宋" w:eastAsia="仿宋" w:cs="仿宋"/>
                <w:spacing w:val="-31"/>
                <w:sz w:val="21"/>
                <w:szCs w:val="21"/>
                <w:highlight w:val="none"/>
              </w:rPr>
              <w:t xml:space="preserve"> </w:t>
            </w:r>
            <w:r>
              <w:rPr>
                <w:rFonts w:hint="eastAsia" w:ascii="仿宋" w:hAnsi="仿宋" w:eastAsia="仿宋" w:cs="仿宋"/>
                <w:spacing w:val="-1"/>
                <w:sz w:val="21"/>
                <w:szCs w:val="21"/>
                <w:highlight w:val="none"/>
              </w:rPr>
              <w:t>扫描仪</w:t>
            </w:r>
          </w:p>
        </w:tc>
        <w:tc>
          <w:tcPr>
            <w:tcW w:w="1722" w:type="pct"/>
          </w:tcPr>
          <w:p w14:paraId="7581FFE0">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HJ2517</w:t>
            </w:r>
            <w:r>
              <w:rPr>
                <w:rFonts w:hint="eastAsia" w:ascii="仿宋" w:hAnsi="仿宋" w:eastAsia="仿宋" w:cs="仿宋"/>
                <w:spacing w:val="-28"/>
                <w:sz w:val="21"/>
                <w:szCs w:val="21"/>
                <w:highlight w:val="none"/>
              </w:rPr>
              <w:t xml:space="preserve"> </w:t>
            </w:r>
            <w:r>
              <w:rPr>
                <w:rFonts w:hint="eastAsia" w:ascii="仿宋" w:hAnsi="仿宋" w:eastAsia="仿宋" w:cs="仿宋"/>
                <w:spacing w:val="-2"/>
                <w:sz w:val="21"/>
                <w:szCs w:val="21"/>
                <w:highlight w:val="none"/>
              </w:rPr>
              <w:t>扫描仪</w:t>
            </w:r>
          </w:p>
        </w:tc>
      </w:tr>
      <w:tr w14:paraId="21084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18" w:type="pct"/>
          </w:tcPr>
          <w:p w14:paraId="5965F679">
            <w:pPr>
              <w:pStyle w:val="75"/>
              <w:keepNext w:val="0"/>
              <w:keepLines w:val="0"/>
              <w:pageBreakBefore w:val="0"/>
              <w:widowControl w:val="0"/>
              <w:kinsoku/>
              <w:wordWrap/>
              <w:overflowPunct/>
              <w:topLinePunct w:val="0"/>
              <w:autoSpaceDE/>
              <w:autoSpaceDN/>
              <w:bidi w:val="0"/>
              <w:adjustRightInd/>
              <w:snapToGrid/>
              <w:spacing w:line="340" w:lineRule="exact"/>
              <w:ind w:left="113"/>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613" w:type="pct"/>
          </w:tcPr>
          <w:p w14:paraId="667A2873">
            <w:pPr>
              <w:pStyle w:val="75"/>
              <w:keepNext w:val="0"/>
              <w:keepLines w:val="0"/>
              <w:pageBreakBefore w:val="0"/>
              <w:widowControl w:val="0"/>
              <w:kinsoku/>
              <w:wordWrap/>
              <w:overflowPunct/>
              <w:topLinePunct w:val="0"/>
              <w:autoSpaceDE/>
              <w:autoSpaceDN/>
              <w:bidi w:val="0"/>
              <w:adjustRightInd/>
              <w:snapToGrid/>
              <w:spacing w:line="340" w:lineRule="exact"/>
              <w:ind w:left="105" w:right="158" w:hanging="5"/>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A020202</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投影仪</w:t>
            </w:r>
          </w:p>
        </w:tc>
        <w:tc>
          <w:tcPr>
            <w:tcW w:w="1268" w:type="pct"/>
          </w:tcPr>
          <w:p w14:paraId="2DF8F24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76" w:type="pct"/>
            <w:gridSpan w:val="2"/>
          </w:tcPr>
          <w:p w14:paraId="72264C4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2" w:type="pct"/>
          </w:tcPr>
          <w:p w14:paraId="076DAD94">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HJ2516</w:t>
            </w:r>
            <w:r>
              <w:rPr>
                <w:rFonts w:hint="eastAsia" w:ascii="仿宋" w:hAnsi="仿宋" w:eastAsia="仿宋" w:cs="仿宋"/>
                <w:spacing w:val="-28"/>
                <w:sz w:val="21"/>
                <w:szCs w:val="21"/>
                <w:highlight w:val="none"/>
              </w:rPr>
              <w:t xml:space="preserve"> </w:t>
            </w:r>
            <w:r>
              <w:rPr>
                <w:rFonts w:hint="eastAsia" w:ascii="仿宋" w:hAnsi="仿宋" w:eastAsia="仿宋" w:cs="仿宋"/>
                <w:spacing w:val="-2"/>
                <w:sz w:val="21"/>
                <w:szCs w:val="21"/>
                <w:highlight w:val="none"/>
              </w:rPr>
              <w:t>投影仪</w:t>
            </w:r>
          </w:p>
        </w:tc>
      </w:tr>
      <w:tr w14:paraId="1517A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18" w:type="pct"/>
          </w:tcPr>
          <w:p w14:paraId="6A51A7D4">
            <w:pPr>
              <w:pStyle w:val="75"/>
              <w:keepNext w:val="0"/>
              <w:keepLines w:val="0"/>
              <w:pageBreakBefore w:val="0"/>
              <w:widowControl w:val="0"/>
              <w:kinsoku/>
              <w:wordWrap/>
              <w:overflowPunct/>
              <w:topLinePunct w:val="0"/>
              <w:autoSpaceDE/>
              <w:autoSpaceDN/>
              <w:bidi w:val="0"/>
              <w:adjustRightInd/>
              <w:snapToGrid/>
              <w:spacing w:line="340" w:lineRule="exact"/>
              <w:ind w:left="109"/>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613" w:type="pct"/>
          </w:tcPr>
          <w:p w14:paraId="5B28E54C">
            <w:pPr>
              <w:pStyle w:val="75"/>
              <w:keepNext w:val="0"/>
              <w:keepLines w:val="0"/>
              <w:pageBreakBefore w:val="0"/>
              <w:widowControl w:val="0"/>
              <w:kinsoku/>
              <w:wordWrap/>
              <w:overflowPunct/>
              <w:topLinePunct w:val="0"/>
              <w:autoSpaceDE/>
              <w:autoSpaceDN/>
              <w:bidi w:val="0"/>
              <w:adjustRightInd/>
              <w:snapToGrid/>
              <w:spacing w:line="340" w:lineRule="exact"/>
              <w:ind w:left="119" w:right="158" w:hanging="19"/>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A020201</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复</w:t>
            </w:r>
            <w:r>
              <w:rPr>
                <w:rFonts w:hint="eastAsia" w:ascii="仿宋" w:hAnsi="仿宋" w:eastAsia="仿宋" w:cs="仿宋"/>
                <w:spacing w:val="-6"/>
                <w:sz w:val="21"/>
                <w:szCs w:val="21"/>
                <w:highlight w:val="none"/>
              </w:rPr>
              <w:t>印机</w:t>
            </w:r>
          </w:p>
        </w:tc>
        <w:tc>
          <w:tcPr>
            <w:tcW w:w="1268" w:type="pct"/>
          </w:tcPr>
          <w:p w14:paraId="478A46F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76" w:type="pct"/>
            <w:gridSpan w:val="2"/>
          </w:tcPr>
          <w:p w14:paraId="42CD223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2" w:type="pct"/>
          </w:tcPr>
          <w:p w14:paraId="7F8F303A">
            <w:pPr>
              <w:pStyle w:val="75"/>
              <w:keepNext w:val="0"/>
              <w:keepLines w:val="0"/>
              <w:pageBreakBefore w:val="0"/>
              <w:widowControl w:val="0"/>
              <w:kinsoku/>
              <w:wordWrap/>
              <w:overflowPunct/>
              <w:topLinePunct w:val="0"/>
              <w:autoSpaceDE/>
              <w:autoSpaceDN/>
              <w:bidi w:val="0"/>
              <w:adjustRightInd/>
              <w:snapToGrid/>
              <w:spacing w:line="340" w:lineRule="exact"/>
              <w:ind w:left="113" w:right="197" w:hanging="6"/>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HJ424</w:t>
            </w:r>
            <w:r>
              <w:rPr>
                <w:rFonts w:hint="eastAsia" w:ascii="仿宋" w:hAnsi="仿宋" w:eastAsia="仿宋" w:cs="仿宋"/>
                <w:spacing w:val="-31"/>
                <w:sz w:val="21"/>
                <w:szCs w:val="21"/>
                <w:highlight w:val="none"/>
              </w:rPr>
              <w:t xml:space="preserve"> </w:t>
            </w:r>
            <w:r>
              <w:rPr>
                <w:rFonts w:hint="eastAsia" w:ascii="仿宋" w:hAnsi="仿宋" w:eastAsia="仿宋" w:cs="仿宋"/>
                <w:spacing w:val="-1"/>
                <w:sz w:val="21"/>
                <w:szCs w:val="21"/>
                <w:highlight w:val="none"/>
              </w:rPr>
              <w:t>数字式复印（包括多功能）设</w:t>
            </w:r>
            <w:r>
              <w:rPr>
                <w:rFonts w:hint="eastAsia" w:ascii="仿宋" w:hAnsi="仿宋" w:eastAsia="仿宋" w:cs="仿宋"/>
                <w:sz w:val="21"/>
                <w:szCs w:val="21"/>
                <w:highlight w:val="none"/>
              </w:rPr>
              <w:t>备</w:t>
            </w:r>
          </w:p>
        </w:tc>
      </w:tr>
      <w:tr w14:paraId="59888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318" w:type="pct"/>
          </w:tcPr>
          <w:p w14:paraId="341FC86A">
            <w:pPr>
              <w:pStyle w:val="75"/>
              <w:keepNext w:val="0"/>
              <w:keepLines w:val="0"/>
              <w:pageBreakBefore w:val="0"/>
              <w:widowControl w:val="0"/>
              <w:kinsoku/>
              <w:wordWrap/>
              <w:overflowPunct/>
              <w:topLinePunct w:val="0"/>
              <w:autoSpaceDE/>
              <w:autoSpaceDN/>
              <w:bidi w:val="0"/>
              <w:adjustRightInd/>
              <w:snapToGrid/>
              <w:spacing w:line="340" w:lineRule="exact"/>
              <w:ind w:left="113"/>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613" w:type="pct"/>
          </w:tcPr>
          <w:p w14:paraId="6B4F9560">
            <w:pPr>
              <w:pStyle w:val="75"/>
              <w:keepNext w:val="0"/>
              <w:keepLines w:val="0"/>
              <w:pageBreakBefore w:val="0"/>
              <w:widowControl w:val="0"/>
              <w:kinsoku/>
              <w:wordWrap/>
              <w:overflowPunct/>
              <w:topLinePunct w:val="0"/>
              <w:autoSpaceDE/>
              <w:autoSpaceDN/>
              <w:bidi w:val="0"/>
              <w:adjustRightInd/>
              <w:snapToGrid/>
              <w:spacing w:line="340" w:lineRule="exact"/>
              <w:ind w:left="108" w:right="113" w:hanging="8"/>
              <w:textAlignment w:val="auto"/>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A020204</w:t>
            </w:r>
            <w:r>
              <w:rPr>
                <w:rFonts w:hint="eastAsia" w:ascii="仿宋" w:hAnsi="仿宋" w:eastAsia="仿宋" w:cs="仿宋"/>
                <w:spacing w:val="-24"/>
                <w:sz w:val="21"/>
                <w:szCs w:val="21"/>
                <w:highlight w:val="none"/>
              </w:rPr>
              <w:t xml:space="preserve"> </w:t>
            </w:r>
            <w:r>
              <w:rPr>
                <w:rFonts w:hint="eastAsia" w:ascii="仿宋" w:hAnsi="仿宋" w:eastAsia="仿宋" w:cs="仿宋"/>
                <w:spacing w:val="-3"/>
                <w:sz w:val="21"/>
                <w:szCs w:val="21"/>
                <w:highlight w:val="none"/>
              </w:rPr>
              <w:t>多</w:t>
            </w:r>
            <w:r>
              <w:rPr>
                <w:rFonts w:hint="eastAsia" w:ascii="仿宋" w:hAnsi="仿宋" w:eastAsia="仿宋" w:cs="仿宋"/>
                <w:spacing w:val="-2"/>
                <w:sz w:val="21"/>
                <w:szCs w:val="21"/>
                <w:highlight w:val="none"/>
              </w:rPr>
              <w:t>功能一体机</w:t>
            </w:r>
          </w:p>
        </w:tc>
        <w:tc>
          <w:tcPr>
            <w:tcW w:w="1268" w:type="pct"/>
          </w:tcPr>
          <w:p w14:paraId="5C50436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76" w:type="pct"/>
            <w:gridSpan w:val="2"/>
          </w:tcPr>
          <w:p w14:paraId="740626F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2" w:type="pct"/>
          </w:tcPr>
          <w:p w14:paraId="25BE511A">
            <w:pPr>
              <w:pStyle w:val="75"/>
              <w:keepNext w:val="0"/>
              <w:keepLines w:val="0"/>
              <w:pageBreakBefore w:val="0"/>
              <w:widowControl w:val="0"/>
              <w:kinsoku/>
              <w:wordWrap/>
              <w:overflowPunct/>
              <w:topLinePunct w:val="0"/>
              <w:autoSpaceDE/>
              <w:autoSpaceDN/>
              <w:bidi w:val="0"/>
              <w:adjustRightInd/>
              <w:snapToGrid/>
              <w:spacing w:line="340" w:lineRule="exact"/>
              <w:ind w:left="113" w:right="197" w:hanging="6"/>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HJ424</w:t>
            </w:r>
            <w:r>
              <w:rPr>
                <w:rFonts w:hint="eastAsia" w:ascii="仿宋" w:hAnsi="仿宋" w:eastAsia="仿宋" w:cs="仿宋"/>
                <w:spacing w:val="-31"/>
                <w:sz w:val="21"/>
                <w:szCs w:val="21"/>
                <w:highlight w:val="none"/>
              </w:rPr>
              <w:t xml:space="preserve"> </w:t>
            </w:r>
            <w:r>
              <w:rPr>
                <w:rFonts w:hint="eastAsia" w:ascii="仿宋" w:hAnsi="仿宋" w:eastAsia="仿宋" w:cs="仿宋"/>
                <w:spacing w:val="-1"/>
                <w:sz w:val="21"/>
                <w:szCs w:val="21"/>
                <w:highlight w:val="none"/>
              </w:rPr>
              <w:t>数字式复印（包括多功能）设</w:t>
            </w:r>
            <w:r>
              <w:rPr>
                <w:rFonts w:hint="eastAsia" w:ascii="仿宋" w:hAnsi="仿宋" w:eastAsia="仿宋" w:cs="仿宋"/>
                <w:sz w:val="21"/>
                <w:szCs w:val="21"/>
                <w:highlight w:val="none"/>
              </w:rPr>
              <w:t>备</w:t>
            </w:r>
          </w:p>
        </w:tc>
      </w:tr>
      <w:tr w14:paraId="60BD8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318" w:type="pct"/>
          </w:tcPr>
          <w:p w14:paraId="533A88ED">
            <w:pPr>
              <w:pStyle w:val="75"/>
              <w:keepNext w:val="0"/>
              <w:keepLines w:val="0"/>
              <w:pageBreakBefore w:val="0"/>
              <w:widowControl w:val="0"/>
              <w:kinsoku/>
              <w:wordWrap/>
              <w:overflowPunct/>
              <w:topLinePunct w:val="0"/>
              <w:autoSpaceDE/>
              <w:autoSpaceDN/>
              <w:bidi w:val="0"/>
              <w:adjustRightInd/>
              <w:snapToGrid/>
              <w:spacing w:line="340" w:lineRule="exact"/>
              <w:ind w:left="111"/>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613" w:type="pct"/>
          </w:tcPr>
          <w:p w14:paraId="7C5E4AD0">
            <w:pPr>
              <w:pStyle w:val="75"/>
              <w:keepNext w:val="0"/>
              <w:keepLines w:val="0"/>
              <w:pageBreakBefore w:val="0"/>
              <w:widowControl w:val="0"/>
              <w:kinsoku/>
              <w:wordWrap/>
              <w:overflowPunct/>
              <w:topLinePunct w:val="0"/>
              <w:autoSpaceDE/>
              <w:autoSpaceDN/>
              <w:bidi w:val="0"/>
              <w:adjustRightInd/>
              <w:snapToGrid/>
              <w:spacing w:line="340" w:lineRule="exact"/>
              <w:ind w:left="119" w:right="158" w:hanging="19"/>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A020210</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文</w:t>
            </w:r>
            <w:r>
              <w:rPr>
                <w:rFonts w:hint="eastAsia" w:ascii="仿宋" w:hAnsi="仿宋" w:eastAsia="仿宋" w:cs="仿宋"/>
                <w:spacing w:val="-5"/>
                <w:sz w:val="21"/>
                <w:szCs w:val="21"/>
                <w:highlight w:val="none"/>
              </w:rPr>
              <w:t>印设备</w:t>
            </w:r>
          </w:p>
        </w:tc>
        <w:tc>
          <w:tcPr>
            <w:tcW w:w="1268" w:type="pct"/>
          </w:tcPr>
          <w:p w14:paraId="70B79B07">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A02021001</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速印机</w:t>
            </w:r>
          </w:p>
        </w:tc>
        <w:tc>
          <w:tcPr>
            <w:tcW w:w="1076" w:type="pct"/>
            <w:gridSpan w:val="2"/>
          </w:tcPr>
          <w:p w14:paraId="59E36AE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2" w:type="pct"/>
          </w:tcPr>
          <w:p w14:paraId="1DDBCDC4">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HJ472</w:t>
            </w:r>
            <w:r>
              <w:rPr>
                <w:rFonts w:hint="eastAsia" w:ascii="仿宋" w:hAnsi="仿宋" w:eastAsia="仿宋" w:cs="仿宋"/>
                <w:spacing w:val="-35"/>
                <w:sz w:val="21"/>
                <w:szCs w:val="21"/>
                <w:highlight w:val="none"/>
              </w:rPr>
              <w:t xml:space="preserve"> </w:t>
            </w:r>
            <w:r>
              <w:rPr>
                <w:rFonts w:hint="eastAsia" w:ascii="仿宋" w:hAnsi="仿宋" w:eastAsia="仿宋" w:cs="仿宋"/>
                <w:spacing w:val="-1"/>
                <w:sz w:val="21"/>
                <w:szCs w:val="21"/>
                <w:highlight w:val="none"/>
              </w:rPr>
              <w:t>数字式一体化速印机</w:t>
            </w:r>
          </w:p>
        </w:tc>
      </w:tr>
      <w:tr w14:paraId="58071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318" w:type="pct"/>
          </w:tcPr>
          <w:p w14:paraId="1689B53A">
            <w:pPr>
              <w:pStyle w:val="75"/>
              <w:keepNext w:val="0"/>
              <w:keepLines w:val="0"/>
              <w:pageBreakBefore w:val="0"/>
              <w:widowControl w:val="0"/>
              <w:kinsoku/>
              <w:wordWrap/>
              <w:overflowPunct/>
              <w:topLinePunct w:val="0"/>
              <w:autoSpaceDE/>
              <w:autoSpaceDN/>
              <w:bidi w:val="0"/>
              <w:adjustRightInd/>
              <w:snapToGrid/>
              <w:spacing w:line="340" w:lineRule="exact"/>
              <w:ind w:left="114"/>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7</w:t>
            </w:r>
          </w:p>
        </w:tc>
        <w:tc>
          <w:tcPr>
            <w:tcW w:w="613" w:type="pct"/>
          </w:tcPr>
          <w:p w14:paraId="7400A501">
            <w:pPr>
              <w:pStyle w:val="75"/>
              <w:keepNext w:val="0"/>
              <w:keepLines w:val="0"/>
              <w:pageBreakBefore w:val="0"/>
              <w:widowControl w:val="0"/>
              <w:kinsoku/>
              <w:wordWrap/>
              <w:overflowPunct/>
              <w:topLinePunct w:val="0"/>
              <w:autoSpaceDE/>
              <w:autoSpaceDN/>
              <w:bidi w:val="0"/>
              <w:adjustRightInd/>
              <w:snapToGrid/>
              <w:spacing w:line="340" w:lineRule="exact"/>
              <w:ind w:left="109" w:right="113" w:hanging="9"/>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A020301</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载</w:t>
            </w:r>
            <w:r>
              <w:rPr>
                <w:rFonts w:hint="eastAsia" w:ascii="仿宋" w:hAnsi="仿宋" w:eastAsia="仿宋" w:cs="仿宋"/>
                <w:spacing w:val="-3"/>
                <w:sz w:val="21"/>
                <w:szCs w:val="21"/>
                <w:highlight w:val="none"/>
              </w:rPr>
              <w:t>货汽车（含</w:t>
            </w:r>
          </w:p>
          <w:p w14:paraId="11AEECCA">
            <w:pPr>
              <w:pStyle w:val="75"/>
              <w:keepNext w:val="0"/>
              <w:keepLines w:val="0"/>
              <w:pageBreakBefore w:val="0"/>
              <w:widowControl w:val="0"/>
              <w:kinsoku/>
              <w:wordWrap/>
              <w:overflowPunct/>
              <w:topLinePunct w:val="0"/>
              <w:autoSpaceDE/>
              <w:autoSpaceDN/>
              <w:bidi w:val="0"/>
              <w:adjustRightInd/>
              <w:snapToGrid/>
              <w:spacing w:line="340" w:lineRule="exact"/>
              <w:ind w:left="135"/>
              <w:textAlignment w:val="auto"/>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自卸汽车）</w:t>
            </w:r>
          </w:p>
        </w:tc>
        <w:tc>
          <w:tcPr>
            <w:tcW w:w="1268" w:type="pct"/>
          </w:tcPr>
          <w:p w14:paraId="7238375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76" w:type="pct"/>
            <w:gridSpan w:val="2"/>
          </w:tcPr>
          <w:p w14:paraId="05FC511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2" w:type="pct"/>
          </w:tcPr>
          <w:p w14:paraId="509C7206">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HJ2532</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轻型汽车</w:t>
            </w:r>
          </w:p>
        </w:tc>
      </w:tr>
      <w:tr w14:paraId="3FF43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318" w:type="pct"/>
            <w:vMerge w:val="restart"/>
          </w:tcPr>
          <w:p w14:paraId="65F030DB">
            <w:pPr>
              <w:pStyle w:val="75"/>
              <w:keepNext w:val="0"/>
              <w:keepLines w:val="0"/>
              <w:pageBreakBefore w:val="0"/>
              <w:widowControl w:val="0"/>
              <w:kinsoku/>
              <w:wordWrap/>
              <w:overflowPunct/>
              <w:topLinePunct w:val="0"/>
              <w:autoSpaceDE/>
              <w:autoSpaceDN/>
              <w:bidi w:val="0"/>
              <w:adjustRightInd/>
              <w:snapToGrid/>
              <w:spacing w:line="340" w:lineRule="exact"/>
              <w:ind w:left="11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8</w:t>
            </w:r>
          </w:p>
        </w:tc>
        <w:tc>
          <w:tcPr>
            <w:tcW w:w="613" w:type="pct"/>
          </w:tcPr>
          <w:p w14:paraId="704AF605">
            <w:pPr>
              <w:pStyle w:val="75"/>
              <w:keepNext w:val="0"/>
              <w:keepLines w:val="0"/>
              <w:pageBreakBefore w:val="0"/>
              <w:widowControl w:val="0"/>
              <w:kinsoku/>
              <w:wordWrap/>
              <w:overflowPunct/>
              <w:topLinePunct w:val="0"/>
              <w:autoSpaceDE/>
              <w:autoSpaceDN/>
              <w:bidi w:val="0"/>
              <w:adjustRightInd/>
              <w:snapToGrid/>
              <w:spacing w:line="340" w:lineRule="exact"/>
              <w:ind w:left="100"/>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A020305</w:t>
            </w:r>
            <w:r>
              <w:rPr>
                <w:rFonts w:hint="eastAsia" w:ascii="仿宋" w:hAnsi="仿宋" w:eastAsia="仿宋" w:cs="仿宋"/>
                <w:spacing w:val="-33"/>
                <w:sz w:val="21"/>
                <w:szCs w:val="21"/>
                <w:highlight w:val="none"/>
              </w:rPr>
              <w:t xml:space="preserve"> </w:t>
            </w:r>
            <w:r>
              <w:rPr>
                <w:rFonts w:hint="eastAsia" w:ascii="仿宋" w:hAnsi="仿宋" w:eastAsia="仿宋" w:cs="仿宋"/>
                <w:spacing w:val="-1"/>
                <w:sz w:val="21"/>
                <w:szCs w:val="21"/>
                <w:highlight w:val="none"/>
              </w:rPr>
              <w:t>乘</w:t>
            </w:r>
          </w:p>
        </w:tc>
        <w:tc>
          <w:tcPr>
            <w:tcW w:w="1268" w:type="pct"/>
          </w:tcPr>
          <w:p w14:paraId="7D1E3F27">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A02030501</w:t>
            </w:r>
            <w:r>
              <w:rPr>
                <w:rFonts w:hint="eastAsia" w:ascii="仿宋" w:hAnsi="仿宋" w:eastAsia="仿宋" w:cs="仿宋"/>
                <w:spacing w:val="-33"/>
                <w:sz w:val="21"/>
                <w:szCs w:val="21"/>
                <w:highlight w:val="none"/>
              </w:rPr>
              <w:t xml:space="preserve"> </w:t>
            </w:r>
            <w:r>
              <w:rPr>
                <w:rFonts w:hint="eastAsia" w:ascii="仿宋" w:hAnsi="仿宋" w:eastAsia="仿宋" w:cs="仿宋"/>
                <w:spacing w:val="-1"/>
                <w:sz w:val="21"/>
                <w:szCs w:val="21"/>
                <w:highlight w:val="none"/>
              </w:rPr>
              <w:t>轿车</w:t>
            </w:r>
          </w:p>
        </w:tc>
        <w:tc>
          <w:tcPr>
            <w:tcW w:w="1076" w:type="pct"/>
            <w:gridSpan w:val="2"/>
          </w:tcPr>
          <w:p w14:paraId="371E265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2" w:type="pct"/>
          </w:tcPr>
          <w:p w14:paraId="0054A0D7">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HJ2532</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轻型汽车</w:t>
            </w:r>
          </w:p>
        </w:tc>
      </w:tr>
      <w:tr w14:paraId="3BD58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318" w:type="pct"/>
            <w:vMerge w:val="continue"/>
          </w:tcPr>
          <w:p w14:paraId="088722CD">
            <w:pPr>
              <w:rPr>
                <w:highlight w:val="none"/>
              </w:rPr>
            </w:pPr>
          </w:p>
        </w:tc>
        <w:tc>
          <w:tcPr>
            <w:tcW w:w="613" w:type="pct"/>
          </w:tcPr>
          <w:p w14:paraId="65190BD1">
            <w:pPr>
              <w:pStyle w:val="75"/>
              <w:keepNext w:val="0"/>
              <w:keepLines w:val="0"/>
              <w:pageBreakBefore w:val="0"/>
              <w:widowControl w:val="0"/>
              <w:kinsoku/>
              <w:wordWrap/>
              <w:overflowPunct/>
              <w:topLinePunct w:val="0"/>
              <w:autoSpaceDE/>
              <w:autoSpaceDN/>
              <w:bidi w:val="0"/>
              <w:adjustRightInd/>
              <w:snapToGrid/>
              <w:spacing w:line="340" w:lineRule="exact"/>
              <w:ind w:left="107" w:right="293"/>
              <w:textAlignment w:val="auto"/>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用车（轿</w:t>
            </w:r>
            <w:r>
              <w:rPr>
                <w:rFonts w:hint="eastAsia" w:ascii="仿宋" w:hAnsi="仿宋" w:eastAsia="仿宋" w:cs="仿宋"/>
                <w:spacing w:val="-6"/>
                <w:sz w:val="21"/>
                <w:szCs w:val="21"/>
                <w:highlight w:val="none"/>
              </w:rPr>
              <w:t>车）</w:t>
            </w:r>
          </w:p>
        </w:tc>
        <w:tc>
          <w:tcPr>
            <w:tcW w:w="1268" w:type="pct"/>
          </w:tcPr>
          <w:p w14:paraId="2E5C02BE">
            <w:pPr>
              <w:pStyle w:val="75"/>
              <w:keepNext w:val="0"/>
              <w:keepLines w:val="0"/>
              <w:pageBreakBefore w:val="0"/>
              <w:widowControl w:val="0"/>
              <w:kinsoku/>
              <w:wordWrap/>
              <w:overflowPunct/>
              <w:topLinePunct w:val="0"/>
              <w:autoSpaceDE/>
              <w:autoSpaceDN/>
              <w:bidi w:val="0"/>
              <w:adjustRightInd/>
              <w:snapToGrid/>
              <w:spacing w:line="340" w:lineRule="exact"/>
              <w:ind w:left="111" w:right="452" w:hanging="10"/>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A02030599</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其他乘用车</w:t>
            </w:r>
            <w:r>
              <w:rPr>
                <w:rFonts w:hint="eastAsia" w:ascii="仿宋" w:hAnsi="仿宋" w:eastAsia="仿宋" w:cs="仿宋"/>
                <w:spacing w:val="-5"/>
                <w:sz w:val="21"/>
                <w:szCs w:val="21"/>
                <w:highlight w:val="none"/>
              </w:rPr>
              <w:t>（轿车）</w:t>
            </w:r>
          </w:p>
        </w:tc>
        <w:tc>
          <w:tcPr>
            <w:tcW w:w="1073" w:type="pct"/>
          </w:tcPr>
          <w:p w14:paraId="23E0A56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1B9FC340">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HJ2532</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轻型汽车</w:t>
            </w:r>
          </w:p>
        </w:tc>
      </w:tr>
      <w:tr w14:paraId="633B7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18" w:type="pct"/>
          </w:tcPr>
          <w:p w14:paraId="504E1E10">
            <w:pPr>
              <w:pStyle w:val="75"/>
              <w:keepNext w:val="0"/>
              <w:keepLines w:val="0"/>
              <w:pageBreakBefore w:val="0"/>
              <w:widowControl w:val="0"/>
              <w:kinsoku/>
              <w:wordWrap/>
              <w:overflowPunct/>
              <w:topLinePunct w:val="0"/>
              <w:autoSpaceDE/>
              <w:autoSpaceDN/>
              <w:bidi w:val="0"/>
              <w:adjustRightInd/>
              <w:snapToGrid/>
              <w:spacing w:line="340" w:lineRule="exact"/>
              <w:ind w:left="11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9</w:t>
            </w:r>
          </w:p>
        </w:tc>
        <w:tc>
          <w:tcPr>
            <w:tcW w:w="613" w:type="pct"/>
          </w:tcPr>
          <w:p w14:paraId="3659DB15">
            <w:pPr>
              <w:pStyle w:val="75"/>
              <w:keepNext w:val="0"/>
              <w:keepLines w:val="0"/>
              <w:pageBreakBefore w:val="0"/>
              <w:widowControl w:val="0"/>
              <w:kinsoku/>
              <w:wordWrap/>
              <w:overflowPunct/>
              <w:topLinePunct w:val="0"/>
              <w:autoSpaceDE/>
              <w:autoSpaceDN/>
              <w:bidi w:val="0"/>
              <w:adjustRightInd/>
              <w:snapToGrid/>
              <w:spacing w:line="340" w:lineRule="exact"/>
              <w:ind w:left="107" w:right="158" w:hanging="7"/>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A020306</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客</w:t>
            </w:r>
            <w:r>
              <w:rPr>
                <w:rFonts w:hint="eastAsia" w:ascii="仿宋" w:hAnsi="仿宋" w:eastAsia="仿宋" w:cs="仿宋"/>
                <w:sz w:val="21"/>
                <w:szCs w:val="21"/>
                <w:highlight w:val="none"/>
              </w:rPr>
              <w:t>车</w:t>
            </w:r>
          </w:p>
        </w:tc>
        <w:tc>
          <w:tcPr>
            <w:tcW w:w="1268" w:type="pct"/>
          </w:tcPr>
          <w:p w14:paraId="0C0F16ED">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A02030601</w:t>
            </w:r>
            <w:r>
              <w:rPr>
                <w:rFonts w:hint="eastAsia" w:ascii="仿宋" w:hAnsi="仿宋" w:eastAsia="仿宋" w:cs="仿宋"/>
                <w:spacing w:val="-32"/>
                <w:sz w:val="21"/>
                <w:szCs w:val="21"/>
                <w:highlight w:val="none"/>
              </w:rPr>
              <w:t xml:space="preserve"> </w:t>
            </w:r>
            <w:r>
              <w:rPr>
                <w:rFonts w:hint="eastAsia" w:ascii="仿宋" w:hAnsi="仿宋" w:eastAsia="仿宋" w:cs="仿宋"/>
                <w:spacing w:val="-1"/>
                <w:sz w:val="21"/>
                <w:szCs w:val="21"/>
                <w:highlight w:val="none"/>
              </w:rPr>
              <w:t>小型客车</w:t>
            </w:r>
          </w:p>
        </w:tc>
        <w:tc>
          <w:tcPr>
            <w:tcW w:w="1073" w:type="pct"/>
          </w:tcPr>
          <w:p w14:paraId="10C0CBB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7D30D49D">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HJ2532</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轻型汽车</w:t>
            </w:r>
          </w:p>
        </w:tc>
      </w:tr>
      <w:tr w14:paraId="73FA7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318" w:type="pct"/>
          </w:tcPr>
          <w:p w14:paraId="2188EBC0">
            <w:pPr>
              <w:pStyle w:val="75"/>
              <w:keepNext w:val="0"/>
              <w:keepLines w:val="0"/>
              <w:pageBreakBefore w:val="0"/>
              <w:widowControl w:val="0"/>
              <w:kinsoku/>
              <w:wordWrap/>
              <w:overflowPunct/>
              <w:topLinePunct w:val="0"/>
              <w:autoSpaceDE/>
              <w:autoSpaceDN/>
              <w:bidi w:val="0"/>
              <w:adjustRightInd/>
              <w:snapToGrid/>
              <w:spacing w:line="340" w:lineRule="exact"/>
              <w:ind w:left="123"/>
              <w:textAlignment w:val="auto"/>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10</w:t>
            </w:r>
          </w:p>
        </w:tc>
        <w:tc>
          <w:tcPr>
            <w:tcW w:w="613" w:type="pct"/>
          </w:tcPr>
          <w:p w14:paraId="3221BDF2">
            <w:pPr>
              <w:pStyle w:val="75"/>
              <w:keepNext w:val="0"/>
              <w:keepLines w:val="0"/>
              <w:pageBreakBefore w:val="0"/>
              <w:widowControl w:val="0"/>
              <w:kinsoku/>
              <w:wordWrap/>
              <w:overflowPunct/>
              <w:topLinePunct w:val="0"/>
              <w:autoSpaceDE/>
              <w:autoSpaceDN/>
              <w:bidi w:val="0"/>
              <w:adjustRightInd/>
              <w:snapToGrid/>
              <w:spacing w:line="340" w:lineRule="exact"/>
              <w:ind w:left="107" w:right="158" w:hanging="7"/>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A020307</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专用车辆</w:t>
            </w:r>
          </w:p>
        </w:tc>
        <w:tc>
          <w:tcPr>
            <w:tcW w:w="1268" w:type="pct"/>
          </w:tcPr>
          <w:p w14:paraId="0C4A2877">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A02030799</w:t>
            </w:r>
            <w:r>
              <w:rPr>
                <w:rFonts w:hint="eastAsia" w:ascii="仿宋" w:hAnsi="仿宋" w:eastAsia="仿宋" w:cs="仿宋"/>
                <w:spacing w:val="-32"/>
                <w:sz w:val="21"/>
                <w:szCs w:val="21"/>
                <w:highlight w:val="none"/>
              </w:rPr>
              <w:t xml:space="preserve"> </w:t>
            </w:r>
            <w:r>
              <w:rPr>
                <w:rFonts w:hint="eastAsia" w:ascii="仿宋" w:hAnsi="仿宋" w:eastAsia="仿宋" w:cs="仿宋"/>
                <w:spacing w:val="-1"/>
                <w:sz w:val="21"/>
                <w:szCs w:val="21"/>
                <w:highlight w:val="none"/>
              </w:rPr>
              <w:t>其他专用汽车</w:t>
            </w:r>
          </w:p>
        </w:tc>
        <w:tc>
          <w:tcPr>
            <w:tcW w:w="1073" w:type="pct"/>
          </w:tcPr>
          <w:p w14:paraId="288DCF9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46240A5F">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HJ2532</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轻型汽车</w:t>
            </w:r>
          </w:p>
        </w:tc>
      </w:tr>
      <w:tr w14:paraId="774B9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318" w:type="pct"/>
            <w:vMerge w:val="restart"/>
            <w:tcBorders>
              <w:bottom w:val="nil"/>
            </w:tcBorders>
          </w:tcPr>
          <w:p w14:paraId="1C3BDD69">
            <w:pPr>
              <w:pStyle w:val="75"/>
              <w:keepNext w:val="0"/>
              <w:keepLines w:val="0"/>
              <w:pageBreakBefore w:val="0"/>
              <w:widowControl w:val="0"/>
              <w:kinsoku/>
              <w:wordWrap/>
              <w:overflowPunct/>
              <w:topLinePunct w:val="0"/>
              <w:autoSpaceDE/>
              <w:autoSpaceDN/>
              <w:bidi w:val="0"/>
              <w:adjustRightInd/>
              <w:snapToGrid/>
              <w:spacing w:line="340" w:lineRule="exact"/>
              <w:ind w:left="123"/>
              <w:textAlignment w:val="auto"/>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11</w:t>
            </w:r>
          </w:p>
        </w:tc>
        <w:tc>
          <w:tcPr>
            <w:tcW w:w="613" w:type="pct"/>
            <w:vMerge w:val="restart"/>
            <w:tcBorders>
              <w:bottom w:val="nil"/>
            </w:tcBorders>
          </w:tcPr>
          <w:p w14:paraId="7A86395F">
            <w:pPr>
              <w:pStyle w:val="75"/>
              <w:keepNext w:val="0"/>
              <w:keepLines w:val="0"/>
              <w:pageBreakBefore w:val="0"/>
              <w:widowControl w:val="0"/>
              <w:kinsoku/>
              <w:wordWrap/>
              <w:overflowPunct/>
              <w:topLinePunct w:val="0"/>
              <w:autoSpaceDE/>
              <w:autoSpaceDN/>
              <w:bidi w:val="0"/>
              <w:adjustRightInd/>
              <w:snapToGrid/>
              <w:spacing w:line="340" w:lineRule="exact"/>
              <w:ind w:left="107" w:right="113" w:hanging="7"/>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A020523</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制冷空调设备</w:t>
            </w:r>
          </w:p>
        </w:tc>
        <w:tc>
          <w:tcPr>
            <w:tcW w:w="1268" w:type="pct"/>
          </w:tcPr>
          <w:p w14:paraId="3820A8C2">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A02052301</w:t>
            </w:r>
            <w:r>
              <w:rPr>
                <w:rFonts w:hint="eastAsia" w:ascii="仿宋" w:hAnsi="仿宋" w:eastAsia="仿宋" w:cs="仿宋"/>
                <w:spacing w:val="-32"/>
                <w:sz w:val="21"/>
                <w:szCs w:val="21"/>
                <w:highlight w:val="none"/>
              </w:rPr>
              <w:t xml:space="preserve"> </w:t>
            </w:r>
            <w:r>
              <w:rPr>
                <w:rFonts w:hint="eastAsia" w:ascii="仿宋" w:hAnsi="仿宋" w:eastAsia="仿宋" w:cs="仿宋"/>
                <w:spacing w:val="-1"/>
                <w:sz w:val="21"/>
                <w:szCs w:val="21"/>
                <w:highlight w:val="none"/>
              </w:rPr>
              <w:t>制冷压缩机</w:t>
            </w:r>
          </w:p>
        </w:tc>
        <w:tc>
          <w:tcPr>
            <w:tcW w:w="1073" w:type="pct"/>
          </w:tcPr>
          <w:p w14:paraId="63AC1AF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3DC573A4">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HJ2531</w:t>
            </w:r>
            <w:r>
              <w:rPr>
                <w:rFonts w:hint="eastAsia" w:ascii="仿宋" w:hAnsi="仿宋" w:eastAsia="仿宋" w:cs="仿宋"/>
                <w:spacing w:val="-35"/>
                <w:sz w:val="21"/>
                <w:szCs w:val="21"/>
                <w:highlight w:val="none"/>
              </w:rPr>
              <w:t xml:space="preserve"> </w:t>
            </w:r>
            <w:r>
              <w:rPr>
                <w:rFonts w:hint="eastAsia" w:ascii="仿宋" w:hAnsi="仿宋" w:eastAsia="仿宋" w:cs="仿宋"/>
                <w:spacing w:val="-1"/>
                <w:sz w:val="21"/>
                <w:szCs w:val="21"/>
                <w:highlight w:val="none"/>
              </w:rPr>
              <w:t>工商用制冷设备</w:t>
            </w:r>
          </w:p>
        </w:tc>
      </w:tr>
      <w:tr w14:paraId="072DC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318" w:type="pct"/>
            <w:vMerge w:val="continue"/>
            <w:tcBorders>
              <w:top w:val="nil"/>
              <w:bottom w:val="nil"/>
            </w:tcBorders>
          </w:tcPr>
          <w:p w14:paraId="38451615">
            <w:pPr>
              <w:rPr>
                <w:highlight w:val="none"/>
              </w:rPr>
            </w:pPr>
          </w:p>
        </w:tc>
        <w:tc>
          <w:tcPr>
            <w:tcW w:w="613" w:type="pct"/>
            <w:vMerge w:val="continue"/>
            <w:tcBorders>
              <w:top w:val="nil"/>
              <w:bottom w:val="nil"/>
            </w:tcBorders>
          </w:tcPr>
          <w:p w14:paraId="4757FA3C">
            <w:pPr>
              <w:rPr>
                <w:highlight w:val="none"/>
              </w:rPr>
            </w:pPr>
          </w:p>
        </w:tc>
        <w:tc>
          <w:tcPr>
            <w:tcW w:w="1268" w:type="pct"/>
          </w:tcPr>
          <w:p w14:paraId="000E0F57">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A02052305</w:t>
            </w:r>
            <w:r>
              <w:rPr>
                <w:rFonts w:hint="eastAsia" w:ascii="仿宋" w:hAnsi="仿宋" w:eastAsia="仿宋" w:cs="仿宋"/>
                <w:spacing w:val="-32"/>
                <w:sz w:val="21"/>
                <w:szCs w:val="21"/>
                <w:highlight w:val="none"/>
              </w:rPr>
              <w:t xml:space="preserve"> </w:t>
            </w:r>
            <w:r>
              <w:rPr>
                <w:rFonts w:hint="eastAsia" w:ascii="仿宋" w:hAnsi="仿宋" w:eastAsia="仿宋" w:cs="仿宋"/>
                <w:spacing w:val="-1"/>
                <w:sz w:val="21"/>
                <w:szCs w:val="21"/>
                <w:highlight w:val="none"/>
              </w:rPr>
              <w:t>空调机组</w:t>
            </w:r>
          </w:p>
        </w:tc>
        <w:tc>
          <w:tcPr>
            <w:tcW w:w="1073" w:type="pct"/>
          </w:tcPr>
          <w:p w14:paraId="22317DD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28CDC4F3">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HJ2531</w:t>
            </w:r>
            <w:r>
              <w:rPr>
                <w:rFonts w:hint="eastAsia" w:ascii="仿宋" w:hAnsi="仿宋" w:eastAsia="仿宋" w:cs="仿宋"/>
                <w:spacing w:val="-35"/>
                <w:sz w:val="21"/>
                <w:szCs w:val="21"/>
                <w:highlight w:val="none"/>
              </w:rPr>
              <w:t xml:space="preserve"> </w:t>
            </w:r>
            <w:r>
              <w:rPr>
                <w:rFonts w:hint="eastAsia" w:ascii="仿宋" w:hAnsi="仿宋" w:eastAsia="仿宋" w:cs="仿宋"/>
                <w:spacing w:val="-1"/>
                <w:sz w:val="21"/>
                <w:szCs w:val="21"/>
                <w:highlight w:val="none"/>
              </w:rPr>
              <w:t>工商用制冷设备</w:t>
            </w:r>
          </w:p>
        </w:tc>
      </w:tr>
      <w:tr w14:paraId="4DEB1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18" w:type="pct"/>
            <w:vMerge w:val="continue"/>
            <w:tcBorders>
              <w:top w:val="nil"/>
            </w:tcBorders>
          </w:tcPr>
          <w:p w14:paraId="6F33A67F">
            <w:pPr>
              <w:rPr>
                <w:highlight w:val="none"/>
              </w:rPr>
            </w:pPr>
          </w:p>
        </w:tc>
        <w:tc>
          <w:tcPr>
            <w:tcW w:w="613" w:type="pct"/>
            <w:vMerge w:val="continue"/>
            <w:tcBorders>
              <w:top w:val="nil"/>
            </w:tcBorders>
          </w:tcPr>
          <w:p w14:paraId="7BCA038C">
            <w:pPr>
              <w:rPr>
                <w:highlight w:val="none"/>
              </w:rPr>
            </w:pPr>
          </w:p>
        </w:tc>
        <w:tc>
          <w:tcPr>
            <w:tcW w:w="1268" w:type="pct"/>
          </w:tcPr>
          <w:p w14:paraId="6AD288F6">
            <w:pPr>
              <w:pStyle w:val="75"/>
              <w:keepNext w:val="0"/>
              <w:keepLines w:val="0"/>
              <w:pageBreakBefore w:val="0"/>
              <w:widowControl w:val="0"/>
              <w:kinsoku/>
              <w:wordWrap/>
              <w:overflowPunct/>
              <w:topLinePunct w:val="0"/>
              <w:autoSpaceDE/>
              <w:autoSpaceDN/>
              <w:bidi w:val="0"/>
              <w:adjustRightInd/>
              <w:snapToGrid/>
              <w:spacing w:line="340" w:lineRule="exact"/>
              <w:ind w:left="108" w:right="272" w:hanging="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A02052309</w:t>
            </w:r>
            <w:r>
              <w:rPr>
                <w:rFonts w:hint="eastAsia" w:ascii="仿宋" w:hAnsi="仿宋" w:eastAsia="仿宋" w:cs="仿宋"/>
                <w:spacing w:val="-33"/>
                <w:sz w:val="21"/>
                <w:szCs w:val="21"/>
                <w:highlight w:val="none"/>
              </w:rPr>
              <w:t xml:space="preserve"> </w:t>
            </w:r>
            <w:r>
              <w:rPr>
                <w:rFonts w:hint="eastAsia" w:ascii="仿宋" w:hAnsi="仿宋" w:eastAsia="仿宋" w:cs="仿宋"/>
                <w:spacing w:val="-1"/>
                <w:sz w:val="21"/>
                <w:szCs w:val="21"/>
                <w:highlight w:val="none"/>
              </w:rPr>
              <w:t>专用制冷、空</w:t>
            </w:r>
            <w:r>
              <w:rPr>
                <w:rFonts w:hint="eastAsia" w:ascii="仿宋" w:hAnsi="仿宋" w:eastAsia="仿宋" w:cs="仿宋"/>
                <w:spacing w:val="-2"/>
                <w:sz w:val="21"/>
                <w:szCs w:val="21"/>
                <w:highlight w:val="none"/>
              </w:rPr>
              <w:t>调设备</w:t>
            </w:r>
          </w:p>
        </w:tc>
        <w:tc>
          <w:tcPr>
            <w:tcW w:w="1073" w:type="pct"/>
          </w:tcPr>
          <w:p w14:paraId="5D477B7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49CF227A">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HJ2531</w:t>
            </w:r>
            <w:r>
              <w:rPr>
                <w:rFonts w:hint="eastAsia" w:ascii="仿宋" w:hAnsi="仿宋" w:eastAsia="仿宋" w:cs="仿宋"/>
                <w:spacing w:val="-35"/>
                <w:sz w:val="21"/>
                <w:szCs w:val="21"/>
                <w:highlight w:val="none"/>
              </w:rPr>
              <w:t xml:space="preserve"> </w:t>
            </w:r>
            <w:r>
              <w:rPr>
                <w:rFonts w:hint="eastAsia" w:ascii="仿宋" w:hAnsi="仿宋" w:eastAsia="仿宋" w:cs="仿宋"/>
                <w:spacing w:val="-1"/>
                <w:sz w:val="21"/>
                <w:szCs w:val="21"/>
                <w:highlight w:val="none"/>
              </w:rPr>
              <w:t>工商用制冷设备</w:t>
            </w:r>
          </w:p>
        </w:tc>
      </w:tr>
      <w:tr w14:paraId="268E1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18" w:type="pct"/>
            <w:vMerge w:val="restart"/>
            <w:tcBorders>
              <w:bottom w:val="nil"/>
            </w:tcBorders>
          </w:tcPr>
          <w:p w14:paraId="53B6AC65">
            <w:pPr>
              <w:pStyle w:val="75"/>
              <w:keepNext w:val="0"/>
              <w:keepLines w:val="0"/>
              <w:pageBreakBefore w:val="0"/>
              <w:widowControl w:val="0"/>
              <w:kinsoku/>
              <w:wordWrap/>
              <w:overflowPunct/>
              <w:topLinePunct w:val="0"/>
              <w:autoSpaceDE/>
              <w:autoSpaceDN/>
              <w:bidi w:val="0"/>
              <w:adjustRightInd/>
              <w:snapToGrid/>
              <w:spacing w:line="340" w:lineRule="exact"/>
              <w:ind w:left="123"/>
              <w:textAlignment w:val="auto"/>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12</w:t>
            </w:r>
          </w:p>
        </w:tc>
        <w:tc>
          <w:tcPr>
            <w:tcW w:w="613" w:type="pct"/>
            <w:vMerge w:val="restart"/>
            <w:tcBorders>
              <w:bottom w:val="nil"/>
            </w:tcBorders>
          </w:tcPr>
          <w:p w14:paraId="44F1CE13">
            <w:pPr>
              <w:pStyle w:val="75"/>
              <w:keepNext w:val="0"/>
              <w:keepLines w:val="0"/>
              <w:pageBreakBefore w:val="0"/>
              <w:widowControl w:val="0"/>
              <w:kinsoku/>
              <w:wordWrap/>
              <w:overflowPunct/>
              <w:topLinePunct w:val="0"/>
              <w:autoSpaceDE/>
              <w:autoSpaceDN/>
              <w:bidi w:val="0"/>
              <w:adjustRightInd/>
              <w:snapToGrid/>
              <w:spacing w:line="340" w:lineRule="exact"/>
              <w:ind w:left="108" w:right="158" w:hanging="8"/>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A020618</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生活用电器</w:t>
            </w:r>
          </w:p>
        </w:tc>
        <w:tc>
          <w:tcPr>
            <w:tcW w:w="1268" w:type="pct"/>
          </w:tcPr>
          <w:p w14:paraId="211D41A9">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A02061802</w:t>
            </w:r>
            <w:r>
              <w:rPr>
                <w:rFonts w:hint="eastAsia" w:ascii="仿宋" w:hAnsi="仿宋" w:eastAsia="仿宋" w:cs="仿宋"/>
                <w:spacing w:val="-31"/>
                <w:sz w:val="21"/>
                <w:szCs w:val="21"/>
                <w:highlight w:val="none"/>
              </w:rPr>
              <w:t xml:space="preserve"> </w:t>
            </w:r>
            <w:r>
              <w:rPr>
                <w:rFonts w:hint="eastAsia" w:ascii="仿宋" w:hAnsi="仿宋" w:eastAsia="仿宋" w:cs="仿宋"/>
                <w:spacing w:val="-1"/>
                <w:sz w:val="21"/>
                <w:szCs w:val="21"/>
                <w:highlight w:val="none"/>
              </w:rPr>
              <w:t>空气调节电器</w:t>
            </w:r>
          </w:p>
        </w:tc>
        <w:tc>
          <w:tcPr>
            <w:tcW w:w="1073" w:type="pct"/>
          </w:tcPr>
          <w:p w14:paraId="69A76F9D">
            <w:pPr>
              <w:pStyle w:val="75"/>
              <w:keepNext w:val="0"/>
              <w:keepLines w:val="0"/>
              <w:pageBreakBefore w:val="0"/>
              <w:widowControl w:val="0"/>
              <w:kinsoku/>
              <w:wordWrap/>
              <w:overflowPunct/>
              <w:topLinePunct w:val="0"/>
              <w:autoSpaceDE/>
              <w:autoSpaceDN/>
              <w:bidi w:val="0"/>
              <w:adjustRightInd/>
              <w:snapToGrid/>
              <w:spacing w:line="340" w:lineRule="exact"/>
              <w:ind w:left="104"/>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A0206180203</w:t>
            </w:r>
            <w:r>
              <w:rPr>
                <w:rFonts w:hint="eastAsia" w:ascii="仿宋" w:hAnsi="仿宋" w:eastAsia="仿宋" w:cs="仿宋"/>
                <w:spacing w:val="-30"/>
                <w:sz w:val="21"/>
                <w:szCs w:val="21"/>
                <w:highlight w:val="none"/>
              </w:rPr>
              <w:t xml:space="preserve"> </w:t>
            </w:r>
            <w:r>
              <w:rPr>
                <w:rFonts w:hint="eastAsia" w:ascii="仿宋" w:hAnsi="仿宋" w:eastAsia="仿宋" w:cs="仿宋"/>
                <w:spacing w:val="-1"/>
                <w:sz w:val="21"/>
                <w:szCs w:val="21"/>
                <w:highlight w:val="none"/>
              </w:rPr>
              <w:t>空调机</w:t>
            </w:r>
          </w:p>
        </w:tc>
        <w:tc>
          <w:tcPr>
            <w:tcW w:w="1725" w:type="pct"/>
            <w:gridSpan w:val="2"/>
          </w:tcPr>
          <w:p w14:paraId="0B1D11C4">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HJ2535</w:t>
            </w:r>
            <w:r>
              <w:rPr>
                <w:rFonts w:hint="eastAsia" w:ascii="仿宋" w:hAnsi="仿宋" w:eastAsia="仿宋" w:cs="仿宋"/>
                <w:spacing w:val="-35"/>
                <w:sz w:val="21"/>
                <w:szCs w:val="21"/>
                <w:highlight w:val="none"/>
              </w:rPr>
              <w:t xml:space="preserve"> </w:t>
            </w:r>
            <w:r>
              <w:rPr>
                <w:rFonts w:hint="eastAsia" w:ascii="仿宋" w:hAnsi="仿宋" w:eastAsia="仿宋" w:cs="仿宋"/>
                <w:spacing w:val="-1"/>
                <w:sz w:val="21"/>
                <w:szCs w:val="21"/>
                <w:highlight w:val="none"/>
              </w:rPr>
              <w:t>房间空气调节器</w:t>
            </w:r>
          </w:p>
        </w:tc>
      </w:tr>
      <w:tr w14:paraId="0504A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318" w:type="pct"/>
            <w:vMerge w:val="continue"/>
            <w:tcBorders>
              <w:top w:val="nil"/>
            </w:tcBorders>
          </w:tcPr>
          <w:p w14:paraId="7D78713C">
            <w:pPr>
              <w:rPr>
                <w:highlight w:val="none"/>
              </w:rPr>
            </w:pPr>
          </w:p>
        </w:tc>
        <w:tc>
          <w:tcPr>
            <w:tcW w:w="613" w:type="pct"/>
            <w:vMerge w:val="continue"/>
            <w:tcBorders>
              <w:top w:val="nil"/>
            </w:tcBorders>
          </w:tcPr>
          <w:p w14:paraId="4008E9F1">
            <w:pPr>
              <w:rPr>
                <w:highlight w:val="none"/>
              </w:rPr>
            </w:pPr>
          </w:p>
        </w:tc>
        <w:tc>
          <w:tcPr>
            <w:tcW w:w="1268" w:type="pct"/>
          </w:tcPr>
          <w:p w14:paraId="7C6E09C0">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A02061808</w:t>
            </w:r>
            <w:r>
              <w:rPr>
                <w:rFonts w:hint="eastAsia" w:ascii="仿宋" w:hAnsi="仿宋" w:eastAsia="仿宋" w:cs="仿宋"/>
                <w:spacing w:val="-32"/>
                <w:sz w:val="21"/>
                <w:szCs w:val="21"/>
                <w:highlight w:val="none"/>
              </w:rPr>
              <w:t xml:space="preserve"> </w:t>
            </w:r>
            <w:r>
              <w:rPr>
                <w:rFonts w:hint="eastAsia" w:ascii="仿宋" w:hAnsi="仿宋" w:eastAsia="仿宋" w:cs="仿宋"/>
                <w:spacing w:val="-1"/>
                <w:sz w:val="21"/>
                <w:szCs w:val="21"/>
                <w:highlight w:val="none"/>
              </w:rPr>
              <w:t>热水器</w:t>
            </w:r>
          </w:p>
        </w:tc>
        <w:tc>
          <w:tcPr>
            <w:tcW w:w="1073" w:type="pct"/>
          </w:tcPr>
          <w:p w14:paraId="189A8D8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05AFDFB9">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HJ/T362</w:t>
            </w:r>
            <w:r>
              <w:rPr>
                <w:rFonts w:hint="eastAsia" w:ascii="仿宋" w:hAnsi="仿宋" w:eastAsia="仿宋" w:cs="仿宋"/>
                <w:spacing w:val="-35"/>
                <w:sz w:val="21"/>
                <w:szCs w:val="21"/>
                <w:highlight w:val="none"/>
              </w:rPr>
              <w:t xml:space="preserve"> </w:t>
            </w:r>
            <w:r>
              <w:rPr>
                <w:rFonts w:hint="eastAsia" w:ascii="仿宋" w:hAnsi="仿宋" w:eastAsia="仿宋" w:cs="仿宋"/>
                <w:spacing w:val="-1"/>
                <w:sz w:val="21"/>
                <w:szCs w:val="21"/>
                <w:highlight w:val="none"/>
              </w:rPr>
              <w:t>太阳能集热器</w:t>
            </w:r>
          </w:p>
        </w:tc>
      </w:tr>
      <w:tr w14:paraId="4DF86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318" w:type="pct"/>
          </w:tcPr>
          <w:p w14:paraId="559902CE">
            <w:pPr>
              <w:pStyle w:val="75"/>
              <w:keepNext w:val="0"/>
              <w:keepLines w:val="0"/>
              <w:pageBreakBefore w:val="0"/>
              <w:widowControl w:val="0"/>
              <w:kinsoku/>
              <w:wordWrap/>
              <w:overflowPunct/>
              <w:topLinePunct w:val="0"/>
              <w:autoSpaceDE/>
              <w:autoSpaceDN/>
              <w:bidi w:val="0"/>
              <w:adjustRightInd/>
              <w:snapToGrid/>
              <w:spacing w:line="340" w:lineRule="exact"/>
              <w:ind w:left="123"/>
              <w:textAlignment w:val="auto"/>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13</w:t>
            </w:r>
          </w:p>
        </w:tc>
        <w:tc>
          <w:tcPr>
            <w:tcW w:w="613" w:type="pct"/>
          </w:tcPr>
          <w:p w14:paraId="650B116F">
            <w:pPr>
              <w:pStyle w:val="75"/>
              <w:keepNext w:val="0"/>
              <w:keepLines w:val="0"/>
              <w:pageBreakBefore w:val="0"/>
              <w:widowControl w:val="0"/>
              <w:kinsoku/>
              <w:wordWrap/>
              <w:overflowPunct/>
              <w:topLinePunct w:val="0"/>
              <w:autoSpaceDE/>
              <w:autoSpaceDN/>
              <w:bidi w:val="0"/>
              <w:adjustRightInd/>
              <w:snapToGrid/>
              <w:spacing w:line="340" w:lineRule="exact"/>
              <w:ind w:left="122" w:right="158" w:hanging="22"/>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A020619</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照</w:t>
            </w:r>
            <w:r>
              <w:rPr>
                <w:rFonts w:hint="eastAsia" w:ascii="仿宋" w:hAnsi="仿宋" w:eastAsia="仿宋" w:cs="仿宋"/>
                <w:spacing w:val="-6"/>
                <w:sz w:val="21"/>
                <w:szCs w:val="21"/>
                <w:highlight w:val="none"/>
              </w:rPr>
              <w:t>明设备</w:t>
            </w:r>
          </w:p>
        </w:tc>
        <w:tc>
          <w:tcPr>
            <w:tcW w:w="1268" w:type="pct"/>
          </w:tcPr>
          <w:p w14:paraId="55302757">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A02061908</w:t>
            </w:r>
            <w:r>
              <w:rPr>
                <w:rFonts w:hint="eastAsia" w:ascii="仿宋" w:hAnsi="仿宋" w:eastAsia="仿宋" w:cs="仿宋"/>
                <w:spacing w:val="-31"/>
                <w:sz w:val="21"/>
                <w:szCs w:val="21"/>
                <w:highlight w:val="none"/>
              </w:rPr>
              <w:t xml:space="preserve"> </w:t>
            </w:r>
            <w:r>
              <w:rPr>
                <w:rFonts w:hint="eastAsia" w:ascii="仿宋" w:hAnsi="仿宋" w:eastAsia="仿宋" w:cs="仿宋"/>
                <w:spacing w:val="-1"/>
                <w:sz w:val="21"/>
                <w:szCs w:val="21"/>
                <w:highlight w:val="none"/>
              </w:rPr>
              <w:t>室内照明灯具</w:t>
            </w:r>
          </w:p>
        </w:tc>
        <w:tc>
          <w:tcPr>
            <w:tcW w:w="1073" w:type="pct"/>
          </w:tcPr>
          <w:p w14:paraId="51F5191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333F82EF">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HJ2518</w:t>
            </w:r>
            <w:r>
              <w:rPr>
                <w:rFonts w:hint="eastAsia" w:ascii="仿宋" w:hAnsi="仿宋" w:eastAsia="仿宋" w:cs="仿宋"/>
                <w:spacing w:val="-26"/>
                <w:sz w:val="21"/>
                <w:szCs w:val="21"/>
                <w:highlight w:val="none"/>
              </w:rPr>
              <w:t xml:space="preserve"> </w:t>
            </w:r>
            <w:r>
              <w:rPr>
                <w:rFonts w:hint="eastAsia" w:ascii="仿宋" w:hAnsi="仿宋" w:eastAsia="仿宋" w:cs="仿宋"/>
                <w:spacing w:val="-2"/>
                <w:sz w:val="21"/>
                <w:szCs w:val="21"/>
                <w:highlight w:val="none"/>
              </w:rPr>
              <w:t>照明光源</w:t>
            </w:r>
          </w:p>
        </w:tc>
      </w:tr>
      <w:tr w14:paraId="16279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318" w:type="pct"/>
          </w:tcPr>
          <w:p w14:paraId="78394137">
            <w:pPr>
              <w:pStyle w:val="75"/>
              <w:keepNext w:val="0"/>
              <w:keepLines w:val="0"/>
              <w:pageBreakBefore w:val="0"/>
              <w:widowControl w:val="0"/>
              <w:kinsoku/>
              <w:wordWrap/>
              <w:overflowPunct/>
              <w:topLinePunct w:val="0"/>
              <w:autoSpaceDE/>
              <w:autoSpaceDN/>
              <w:bidi w:val="0"/>
              <w:adjustRightInd/>
              <w:snapToGrid/>
              <w:spacing w:line="340" w:lineRule="exact"/>
              <w:ind w:left="123"/>
              <w:textAlignment w:val="auto"/>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14</w:t>
            </w:r>
          </w:p>
        </w:tc>
        <w:tc>
          <w:tcPr>
            <w:tcW w:w="613" w:type="pct"/>
          </w:tcPr>
          <w:p w14:paraId="4DD9BD3B">
            <w:pPr>
              <w:pStyle w:val="75"/>
              <w:keepNext w:val="0"/>
              <w:keepLines w:val="0"/>
              <w:pageBreakBefore w:val="0"/>
              <w:widowControl w:val="0"/>
              <w:kinsoku/>
              <w:wordWrap/>
              <w:overflowPunct/>
              <w:topLinePunct w:val="0"/>
              <w:autoSpaceDE/>
              <w:autoSpaceDN/>
              <w:bidi w:val="0"/>
              <w:adjustRightInd/>
              <w:snapToGrid/>
              <w:spacing w:line="340" w:lineRule="exact"/>
              <w:ind w:left="107" w:right="113" w:hanging="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A020810</w:t>
            </w:r>
            <w:r>
              <w:rPr>
                <w:rFonts w:hint="eastAsia" w:ascii="仿宋" w:hAnsi="仿宋" w:eastAsia="仿宋" w:cs="仿宋"/>
                <w:spacing w:val="-40"/>
                <w:sz w:val="21"/>
                <w:szCs w:val="21"/>
                <w:highlight w:val="none"/>
              </w:rPr>
              <w:t xml:space="preserve"> </w:t>
            </w:r>
            <w:r>
              <w:rPr>
                <w:rFonts w:hint="eastAsia" w:ascii="仿宋" w:hAnsi="仿宋" w:eastAsia="仿宋" w:cs="仿宋"/>
                <w:spacing w:val="-1"/>
                <w:sz w:val="21"/>
                <w:szCs w:val="21"/>
                <w:highlight w:val="none"/>
              </w:rPr>
              <w:t>传</w:t>
            </w:r>
            <w:r>
              <w:rPr>
                <w:rFonts w:hint="eastAsia" w:ascii="仿宋" w:hAnsi="仿宋" w:eastAsia="仿宋" w:cs="仿宋"/>
                <w:spacing w:val="-2"/>
                <w:sz w:val="21"/>
                <w:szCs w:val="21"/>
                <w:highlight w:val="none"/>
              </w:rPr>
              <w:t>真及数据数</w:t>
            </w:r>
          </w:p>
          <w:p w14:paraId="699571EC">
            <w:pPr>
              <w:pStyle w:val="75"/>
              <w:keepNext w:val="0"/>
              <w:keepLines w:val="0"/>
              <w:pageBreakBefore w:val="0"/>
              <w:widowControl w:val="0"/>
              <w:kinsoku/>
              <w:wordWrap/>
              <w:overflowPunct/>
              <w:topLinePunct w:val="0"/>
              <w:autoSpaceDE/>
              <w:autoSpaceDN/>
              <w:bidi w:val="0"/>
              <w:adjustRightInd/>
              <w:snapToGrid/>
              <w:spacing w:line="340" w:lineRule="exact"/>
              <w:ind w:left="106"/>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字通信设备</w:t>
            </w:r>
          </w:p>
        </w:tc>
        <w:tc>
          <w:tcPr>
            <w:tcW w:w="1268" w:type="pct"/>
          </w:tcPr>
          <w:p w14:paraId="7251E27E">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A02081001</w:t>
            </w:r>
            <w:r>
              <w:rPr>
                <w:rFonts w:hint="eastAsia" w:ascii="仿宋" w:hAnsi="仿宋" w:eastAsia="仿宋" w:cs="仿宋"/>
                <w:spacing w:val="-32"/>
                <w:sz w:val="21"/>
                <w:szCs w:val="21"/>
                <w:highlight w:val="none"/>
              </w:rPr>
              <w:t xml:space="preserve"> </w:t>
            </w:r>
            <w:r>
              <w:rPr>
                <w:rFonts w:hint="eastAsia" w:ascii="仿宋" w:hAnsi="仿宋" w:eastAsia="仿宋" w:cs="仿宋"/>
                <w:spacing w:val="-1"/>
                <w:sz w:val="21"/>
                <w:szCs w:val="21"/>
                <w:highlight w:val="none"/>
              </w:rPr>
              <w:t>传真通信设备</w:t>
            </w:r>
          </w:p>
        </w:tc>
        <w:tc>
          <w:tcPr>
            <w:tcW w:w="1073" w:type="pct"/>
          </w:tcPr>
          <w:p w14:paraId="6122C64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74470415">
            <w:pPr>
              <w:pStyle w:val="75"/>
              <w:keepNext w:val="0"/>
              <w:keepLines w:val="0"/>
              <w:pageBreakBefore w:val="0"/>
              <w:widowControl w:val="0"/>
              <w:kinsoku/>
              <w:wordWrap/>
              <w:overflowPunct/>
              <w:topLinePunct w:val="0"/>
              <w:autoSpaceDE/>
              <w:autoSpaceDN/>
              <w:bidi w:val="0"/>
              <w:adjustRightInd/>
              <w:snapToGrid/>
              <w:spacing w:line="340" w:lineRule="exact"/>
              <w:ind w:left="110" w:right="107" w:hanging="3"/>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HJ2512</w:t>
            </w:r>
            <w:r>
              <w:rPr>
                <w:rFonts w:hint="eastAsia" w:ascii="仿宋" w:hAnsi="仿宋" w:eastAsia="仿宋" w:cs="仿宋"/>
                <w:spacing w:val="-30"/>
                <w:sz w:val="21"/>
                <w:szCs w:val="21"/>
                <w:highlight w:val="none"/>
              </w:rPr>
              <w:t xml:space="preserve"> </w:t>
            </w:r>
            <w:r>
              <w:rPr>
                <w:rFonts w:hint="eastAsia" w:ascii="仿宋" w:hAnsi="仿宋" w:eastAsia="仿宋" w:cs="仿宋"/>
                <w:spacing w:val="-1"/>
                <w:sz w:val="21"/>
                <w:szCs w:val="21"/>
                <w:highlight w:val="none"/>
              </w:rPr>
              <w:t>打印机、传真机及多功能一体</w:t>
            </w:r>
            <w:r>
              <w:rPr>
                <w:rFonts w:hint="eastAsia" w:ascii="仿宋" w:hAnsi="仿宋" w:eastAsia="仿宋" w:cs="仿宋"/>
                <w:sz w:val="21"/>
                <w:szCs w:val="21"/>
                <w:highlight w:val="none"/>
              </w:rPr>
              <w:t>机</w:t>
            </w:r>
          </w:p>
        </w:tc>
      </w:tr>
      <w:tr w14:paraId="41A70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318" w:type="pct"/>
            <w:vMerge w:val="restart"/>
            <w:tcBorders>
              <w:bottom w:val="nil"/>
            </w:tcBorders>
          </w:tcPr>
          <w:p w14:paraId="54BBDD48">
            <w:pPr>
              <w:pStyle w:val="75"/>
              <w:keepNext w:val="0"/>
              <w:keepLines w:val="0"/>
              <w:pageBreakBefore w:val="0"/>
              <w:widowControl w:val="0"/>
              <w:kinsoku/>
              <w:wordWrap/>
              <w:overflowPunct/>
              <w:topLinePunct w:val="0"/>
              <w:autoSpaceDE/>
              <w:autoSpaceDN/>
              <w:bidi w:val="0"/>
              <w:adjustRightInd/>
              <w:snapToGrid/>
              <w:spacing w:line="340" w:lineRule="exact"/>
              <w:ind w:left="123"/>
              <w:textAlignment w:val="auto"/>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15</w:t>
            </w:r>
          </w:p>
        </w:tc>
        <w:tc>
          <w:tcPr>
            <w:tcW w:w="613" w:type="pct"/>
            <w:vMerge w:val="restart"/>
            <w:tcBorders>
              <w:bottom w:val="nil"/>
            </w:tcBorders>
          </w:tcPr>
          <w:p w14:paraId="5A6961D4">
            <w:pPr>
              <w:pStyle w:val="75"/>
              <w:keepNext w:val="0"/>
              <w:keepLines w:val="0"/>
              <w:pageBreakBefore w:val="0"/>
              <w:widowControl w:val="0"/>
              <w:kinsoku/>
              <w:wordWrap/>
              <w:overflowPunct/>
              <w:topLinePunct w:val="0"/>
              <w:autoSpaceDE/>
              <w:autoSpaceDN/>
              <w:bidi w:val="0"/>
              <w:adjustRightInd/>
              <w:snapToGrid/>
              <w:spacing w:line="340" w:lineRule="exact"/>
              <w:ind w:left="104" w:right="158" w:hanging="4"/>
              <w:textAlignment w:val="auto"/>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A020910</w:t>
            </w:r>
            <w:r>
              <w:rPr>
                <w:rFonts w:hint="eastAsia" w:ascii="仿宋" w:hAnsi="仿宋" w:eastAsia="仿宋" w:cs="仿宋"/>
                <w:spacing w:val="-16"/>
                <w:sz w:val="21"/>
                <w:szCs w:val="21"/>
                <w:highlight w:val="none"/>
              </w:rPr>
              <w:t xml:space="preserve"> </w:t>
            </w:r>
            <w:r>
              <w:rPr>
                <w:rFonts w:hint="eastAsia" w:ascii="仿宋" w:hAnsi="仿宋" w:eastAsia="仿宋" w:cs="仿宋"/>
                <w:spacing w:val="-4"/>
                <w:sz w:val="21"/>
                <w:szCs w:val="21"/>
                <w:highlight w:val="none"/>
              </w:rPr>
              <w:t>电</w:t>
            </w:r>
            <w:r>
              <w:rPr>
                <w:rFonts w:hint="eastAsia" w:ascii="仿宋" w:hAnsi="仿宋" w:eastAsia="仿宋" w:cs="仿宋"/>
                <w:spacing w:val="-2"/>
                <w:sz w:val="21"/>
                <w:szCs w:val="21"/>
                <w:highlight w:val="none"/>
              </w:rPr>
              <w:t>视设备</w:t>
            </w:r>
          </w:p>
        </w:tc>
        <w:tc>
          <w:tcPr>
            <w:tcW w:w="1268" w:type="pct"/>
          </w:tcPr>
          <w:p w14:paraId="4BDD11A9">
            <w:pPr>
              <w:pStyle w:val="75"/>
              <w:keepNext w:val="0"/>
              <w:keepLines w:val="0"/>
              <w:pageBreakBefore w:val="0"/>
              <w:widowControl w:val="0"/>
              <w:kinsoku/>
              <w:wordWrap/>
              <w:overflowPunct/>
              <w:topLinePunct w:val="0"/>
              <w:autoSpaceDE/>
              <w:autoSpaceDN/>
              <w:bidi w:val="0"/>
              <w:adjustRightInd/>
              <w:snapToGrid/>
              <w:spacing w:line="340" w:lineRule="exact"/>
              <w:ind w:left="111" w:right="272" w:hanging="10"/>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A02091001</w:t>
            </w:r>
            <w:r>
              <w:rPr>
                <w:rFonts w:hint="eastAsia" w:ascii="仿宋" w:hAnsi="仿宋" w:eastAsia="仿宋" w:cs="仿宋"/>
                <w:spacing w:val="-33"/>
                <w:sz w:val="21"/>
                <w:szCs w:val="21"/>
                <w:highlight w:val="none"/>
              </w:rPr>
              <w:t xml:space="preserve"> </w:t>
            </w:r>
            <w:r>
              <w:rPr>
                <w:rFonts w:hint="eastAsia" w:ascii="仿宋" w:hAnsi="仿宋" w:eastAsia="仿宋" w:cs="仿宋"/>
                <w:spacing w:val="-1"/>
                <w:sz w:val="21"/>
                <w:szCs w:val="21"/>
                <w:highlight w:val="none"/>
              </w:rPr>
              <w:t>普通电视设备</w:t>
            </w:r>
            <w:r>
              <w:rPr>
                <w:rFonts w:hint="eastAsia" w:ascii="仿宋" w:hAnsi="仿宋" w:eastAsia="仿宋" w:cs="仿宋"/>
                <w:spacing w:val="-4"/>
                <w:sz w:val="21"/>
                <w:szCs w:val="21"/>
                <w:highlight w:val="none"/>
              </w:rPr>
              <w:t>（电视机）</w:t>
            </w:r>
          </w:p>
        </w:tc>
        <w:tc>
          <w:tcPr>
            <w:tcW w:w="1073" w:type="pct"/>
          </w:tcPr>
          <w:p w14:paraId="3E13303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74CBA3D9">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HJ2506</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彩色电视广播接收机</w:t>
            </w:r>
          </w:p>
        </w:tc>
      </w:tr>
      <w:tr w14:paraId="278A3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318" w:type="pct"/>
            <w:vMerge w:val="continue"/>
            <w:tcBorders>
              <w:top w:val="nil"/>
            </w:tcBorders>
          </w:tcPr>
          <w:p w14:paraId="36922E99">
            <w:pPr>
              <w:rPr>
                <w:highlight w:val="none"/>
              </w:rPr>
            </w:pPr>
          </w:p>
        </w:tc>
        <w:tc>
          <w:tcPr>
            <w:tcW w:w="613" w:type="pct"/>
            <w:vMerge w:val="continue"/>
            <w:tcBorders>
              <w:top w:val="nil"/>
            </w:tcBorders>
          </w:tcPr>
          <w:p w14:paraId="298166DB">
            <w:pPr>
              <w:rPr>
                <w:highlight w:val="none"/>
              </w:rPr>
            </w:pPr>
          </w:p>
        </w:tc>
        <w:tc>
          <w:tcPr>
            <w:tcW w:w="1268" w:type="pct"/>
          </w:tcPr>
          <w:p w14:paraId="3628218B">
            <w:pPr>
              <w:pStyle w:val="75"/>
              <w:keepNext w:val="0"/>
              <w:keepLines w:val="0"/>
              <w:pageBreakBefore w:val="0"/>
              <w:widowControl w:val="0"/>
              <w:kinsoku/>
              <w:wordWrap/>
              <w:overflowPunct/>
              <w:topLinePunct w:val="0"/>
              <w:autoSpaceDE/>
              <w:autoSpaceDN/>
              <w:bidi w:val="0"/>
              <w:adjustRightInd/>
              <w:snapToGrid/>
              <w:spacing w:line="340" w:lineRule="exact"/>
              <w:ind w:left="127" w:right="272" w:hanging="26"/>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A02091003</w:t>
            </w:r>
            <w:r>
              <w:rPr>
                <w:rFonts w:hint="eastAsia" w:ascii="仿宋" w:hAnsi="仿宋" w:eastAsia="仿宋" w:cs="仿宋"/>
                <w:spacing w:val="-33"/>
                <w:sz w:val="21"/>
                <w:szCs w:val="21"/>
                <w:highlight w:val="none"/>
              </w:rPr>
              <w:t xml:space="preserve"> </w:t>
            </w:r>
            <w:r>
              <w:rPr>
                <w:rFonts w:hint="eastAsia" w:ascii="仿宋" w:hAnsi="仿宋" w:eastAsia="仿宋" w:cs="仿宋"/>
                <w:spacing w:val="-1"/>
                <w:sz w:val="21"/>
                <w:szCs w:val="21"/>
                <w:highlight w:val="none"/>
              </w:rPr>
              <w:t>特殊功能应用</w:t>
            </w:r>
            <w:r>
              <w:rPr>
                <w:rFonts w:hint="eastAsia" w:ascii="仿宋" w:hAnsi="仿宋" w:eastAsia="仿宋" w:cs="仿宋"/>
                <w:spacing w:val="-6"/>
                <w:sz w:val="21"/>
                <w:szCs w:val="21"/>
                <w:highlight w:val="none"/>
              </w:rPr>
              <w:t>电视设备</w:t>
            </w:r>
          </w:p>
        </w:tc>
        <w:tc>
          <w:tcPr>
            <w:tcW w:w="1073" w:type="pct"/>
          </w:tcPr>
          <w:p w14:paraId="76AF934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302D9183">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HJ2506</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彩色电视广播接收机</w:t>
            </w:r>
          </w:p>
        </w:tc>
      </w:tr>
      <w:tr w14:paraId="01B0C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18" w:type="pct"/>
            <w:vMerge w:val="restart"/>
            <w:tcBorders>
              <w:bottom w:val="nil"/>
            </w:tcBorders>
          </w:tcPr>
          <w:p w14:paraId="54EEC28F">
            <w:pPr>
              <w:pStyle w:val="75"/>
              <w:keepNext w:val="0"/>
              <w:keepLines w:val="0"/>
              <w:pageBreakBefore w:val="0"/>
              <w:widowControl w:val="0"/>
              <w:kinsoku/>
              <w:wordWrap/>
              <w:overflowPunct/>
              <w:topLinePunct w:val="0"/>
              <w:autoSpaceDE/>
              <w:autoSpaceDN/>
              <w:bidi w:val="0"/>
              <w:adjustRightInd/>
              <w:snapToGrid/>
              <w:spacing w:line="340" w:lineRule="exact"/>
              <w:ind w:left="123"/>
              <w:textAlignment w:val="auto"/>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16</w:t>
            </w:r>
          </w:p>
        </w:tc>
        <w:tc>
          <w:tcPr>
            <w:tcW w:w="613" w:type="pct"/>
            <w:vMerge w:val="restart"/>
            <w:tcBorders>
              <w:bottom w:val="nil"/>
            </w:tcBorders>
          </w:tcPr>
          <w:p w14:paraId="0D9708F8">
            <w:pPr>
              <w:pStyle w:val="75"/>
              <w:keepNext w:val="0"/>
              <w:keepLines w:val="0"/>
              <w:pageBreakBefore w:val="0"/>
              <w:widowControl w:val="0"/>
              <w:kinsoku/>
              <w:wordWrap/>
              <w:overflowPunct/>
              <w:topLinePunct w:val="0"/>
              <w:autoSpaceDE/>
              <w:autoSpaceDN/>
              <w:bidi w:val="0"/>
              <w:adjustRightInd/>
              <w:snapToGrid/>
              <w:spacing w:line="340" w:lineRule="exact"/>
              <w:ind w:left="100"/>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A0601</w:t>
            </w:r>
            <w:r>
              <w:rPr>
                <w:rFonts w:hint="eastAsia" w:ascii="仿宋" w:hAnsi="仿宋" w:eastAsia="仿宋" w:cs="仿宋"/>
                <w:spacing w:val="-38"/>
                <w:sz w:val="21"/>
                <w:szCs w:val="21"/>
                <w:highlight w:val="none"/>
              </w:rPr>
              <w:t xml:space="preserve"> </w:t>
            </w:r>
            <w:r>
              <w:rPr>
                <w:rFonts w:hint="eastAsia" w:ascii="仿宋" w:hAnsi="仿宋" w:eastAsia="仿宋" w:cs="仿宋"/>
                <w:spacing w:val="-1"/>
                <w:sz w:val="21"/>
                <w:szCs w:val="21"/>
                <w:highlight w:val="none"/>
              </w:rPr>
              <w:t>床类</w:t>
            </w:r>
          </w:p>
        </w:tc>
        <w:tc>
          <w:tcPr>
            <w:tcW w:w="1268" w:type="pct"/>
          </w:tcPr>
          <w:p w14:paraId="45D95D44">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A060101</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钢木床类</w:t>
            </w:r>
          </w:p>
        </w:tc>
        <w:tc>
          <w:tcPr>
            <w:tcW w:w="1073" w:type="pct"/>
          </w:tcPr>
          <w:p w14:paraId="4CCA4B7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33B22780">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HJ2547</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家具/HJ2540</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木塑制品</w:t>
            </w:r>
          </w:p>
        </w:tc>
      </w:tr>
      <w:tr w14:paraId="41211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18" w:type="pct"/>
            <w:vMerge w:val="continue"/>
            <w:tcBorders>
              <w:top w:val="nil"/>
              <w:bottom w:val="nil"/>
            </w:tcBorders>
          </w:tcPr>
          <w:p w14:paraId="2BA4D5A2">
            <w:pPr>
              <w:rPr>
                <w:highlight w:val="none"/>
              </w:rPr>
            </w:pPr>
          </w:p>
        </w:tc>
        <w:tc>
          <w:tcPr>
            <w:tcW w:w="613" w:type="pct"/>
            <w:vMerge w:val="continue"/>
            <w:tcBorders>
              <w:top w:val="nil"/>
              <w:bottom w:val="nil"/>
            </w:tcBorders>
          </w:tcPr>
          <w:p w14:paraId="68B8C91C">
            <w:pPr>
              <w:rPr>
                <w:highlight w:val="none"/>
              </w:rPr>
            </w:pPr>
          </w:p>
        </w:tc>
        <w:tc>
          <w:tcPr>
            <w:tcW w:w="1268" w:type="pct"/>
          </w:tcPr>
          <w:p w14:paraId="49DF4DDF">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A060104</w:t>
            </w:r>
            <w:r>
              <w:rPr>
                <w:rFonts w:hint="eastAsia" w:ascii="仿宋" w:hAnsi="仿宋" w:eastAsia="仿宋" w:cs="仿宋"/>
                <w:spacing w:val="-35"/>
                <w:sz w:val="21"/>
                <w:szCs w:val="21"/>
                <w:highlight w:val="none"/>
              </w:rPr>
              <w:t xml:space="preserve"> </w:t>
            </w:r>
            <w:r>
              <w:rPr>
                <w:rFonts w:hint="eastAsia" w:ascii="仿宋" w:hAnsi="仿宋" w:eastAsia="仿宋" w:cs="仿宋"/>
                <w:spacing w:val="-1"/>
                <w:sz w:val="21"/>
                <w:szCs w:val="21"/>
                <w:highlight w:val="none"/>
              </w:rPr>
              <w:t>木制床类</w:t>
            </w:r>
          </w:p>
        </w:tc>
        <w:tc>
          <w:tcPr>
            <w:tcW w:w="1073" w:type="pct"/>
          </w:tcPr>
          <w:p w14:paraId="0C59F45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63DCDA7E">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HJ2547</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家具/HJ2540</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木塑制品</w:t>
            </w:r>
          </w:p>
        </w:tc>
      </w:tr>
      <w:tr w14:paraId="71D58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18" w:type="pct"/>
            <w:vMerge w:val="continue"/>
            <w:tcBorders>
              <w:top w:val="nil"/>
            </w:tcBorders>
          </w:tcPr>
          <w:p w14:paraId="4DE2D6D4">
            <w:pPr>
              <w:rPr>
                <w:highlight w:val="none"/>
              </w:rPr>
            </w:pPr>
          </w:p>
        </w:tc>
        <w:tc>
          <w:tcPr>
            <w:tcW w:w="613" w:type="pct"/>
            <w:vMerge w:val="continue"/>
            <w:tcBorders>
              <w:top w:val="nil"/>
            </w:tcBorders>
          </w:tcPr>
          <w:p w14:paraId="039A5709">
            <w:pPr>
              <w:rPr>
                <w:highlight w:val="none"/>
              </w:rPr>
            </w:pPr>
          </w:p>
        </w:tc>
        <w:tc>
          <w:tcPr>
            <w:tcW w:w="1268" w:type="pct"/>
          </w:tcPr>
          <w:p w14:paraId="3D9DE376">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A060199</w:t>
            </w:r>
            <w:r>
              <w:rPr>
                <w:rFonts w:hint="eastAsia" w:ascii="仿宋" w:hAnsi="仿宋" w:eastAsia="仿宋" w:cs="仿宋"/>
                <w:spacing w:val="-35"/>
                <w:sz w:val="21"/>
                <w:szCs w:val="21"/>
                <w:highlight w:val="none"/>
              </w:rPr>
              <w:t xml:space="preserve"> </w:t>
            </w:r>
            <w:r>
              <w:rPr>
                <w:rFonts w:hint="eastAsia" w:ascii="仿宋" w:hAnsi="仿宋" w:eastAsia="仿宋" w:cs="仿宋"/>
                <w:spacing w:val="-1"/>
                <w:sz w:val="21"/>
                <w:szCs w:val="21"/>
                <w:highlight w:val="none"/>
              </w:rPr>
              <w:t>其他床类</w:t>
            </w:r>
          </w:p>
        </w:tc>
        <w:tc>
          <w:tcPr>
            <w:tcW w:w="1073" w:type="pct"/>
          </w:tcPr>
          <w:p w14:paraId="6877579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02811AA3">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HJ2547</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家具/HJ2540</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木塑制品</w:t>
            </w:r>
          </w:p>
        </w:tc>
      </w:tr>
      <w:tr w14:paraId="047F8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18" w:type="pct"/>
            <w:vMerge w:val="restart"/>
            <w:tcBorders>
              <w:bottom w:val="nil"/>
            </w:tcBorders>
          </w:tcPr>
          <w:p w14:paraId="6B52B1BC">
            <w:pPr>
              <w:pStyle w:val="75"/>
              <w:keepNext w:val="0"/>
              <w:keepLines w:val="0"/>
              <w:pageBreakBefore w:val="0"/>
              <w:widowControl w:val="0"/>
              <w:kinsoku/>
              <w:wordWrap/>
              <w:overflowPunct/>
              <w:topLinePunct w:val="0"/>
              <w:autoSpaceDE/>
              <w:autoSpaceDN/>
              <w:bidi w:val="0"/>
              <w:adjustRightInd/>
              <w:snapToGrid/>
              <w:spacing w:line="340" w:lineRule="exact"/>
              <w:ind w:left="123"/>
              <w:textAlignment w:val="auto"/>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17</w:t>
            </w:r>
          </w:p>
        </w:tc>
        <w:tc>
          <w:tcPr>
            <w:tcW w:w="613" w:type="pct"/>
            <w:vMerge w:val="restart"/>
            <w:tcBorders>
              <w:bottom w:val="nil"/>
            </w:tcBorders>
          </w:tcPr>
          <w:p w14:paraId="527444FB">
            <w:pPr>
              <w:pStyle w:val="75"/>
              <w:keepNext w:val="0"/>
              <w:keepLines w:val="0"/>
              <w:pageBreakBefore w:val="0"/>
              <w:widowControl w:val="0"/>
              <w:kinsoku/>
              <w:wordWrap/>
              <w:overflowPunct/>
              <w:topLinePunct w:val="0"/>
              <w:autoSpaceDE/>
              <w:autoSpaceDN/>
              <w:bidi w:val="0"/>
              <w:adjustRightInd/>
              <w:snapToGrid/>
              <w:spacing w:line="340" w:lineRule="exact"/>
              <w:ind w:left="107" w:right="185" w:hanging="7"/>
              <w:textAlignment w:val="auto"/>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A0602</w:t>
            </w:r>
            <w:r>
              <w:rPr>
                <w:rFonts w:hint="eastAsia" w:ascii="仿宋" w:hAnsi="仿宋" w:eastAsia="仿宋" w:cs="仿宋"/>
                <w:spacing w:val="-24"/>
                <w:sz w:val="21"/>
                <w:szCs w:val="21"/>
                <w:highlight w:val="none"/>
              </w:rPr>
              <w:t xml:space="preserve"> </w:t>
            </w:r>
            <w:r>
              <w:rPr>
                <w:rFonts w:hint="eastAsia" w:ascii="仿宋" w:hAnsi="仿宋" w:eastAsia="仿宋" w:cs="仿宋"/>
                <w:spacing w:val="-7"/>
                <w:sz w:val="21"/>
                <w:szCs w:val="21"/>
                <w:highlight w:val="none"/>
              </w:rPr>
              <w:t>台、</w:t>
            </w:r>
            <w:r>
              <w:rPr>
                <w:rFonts w:hint="eastAsia" w:ascii="仿宋" w:hAnsi="仿宋" w:eastAsia="仿宋" w:cs="仿宋"/>
                <w:spacing w:val="-3"/>
                <w:sz w:val="21"/>
                <w:szCs w:val="21"/>
                <w:highlight w:val="none"/>
              </w:rPr>
              <w:t>桌类</w:t>
            </w:r>
          </w:p>
        </w:tc>
        <w:tc>
          <w:tcPr>
            <w:tcW w:w="1268" w:type="pct"/>
          </w:tcPr>
          <w:p w14:paraId="0987AC6A">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A060201</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钢木台、桌类</w:t>
            </w:r>
          </w:p>
        </w:tc>
        <w:tc>
          <w:tcPr>
            <w:tcW w:w="1073" w:type="pct"/>
          </w:tcPr>
          <w:p w14:paraId="4963538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5CDD9E19">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HJ2547</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家具/HJ2540</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木塑制品</w:t>
            </w:r>
          </w:p>
        </w:tc>
      </w:tr>
      <w:tr w14:paraId="7F981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18" w:type="pct"/>
            <w:vMerge w:val="continue"/>
            <w:tcBorders>
              <w:top w:val="nil"/>
              <w:bottom w:val="nil"/>
            </w:tcBorders>
          </w:tcPr>
          <w:p w14:paraId="304BD4B7">
            <w:pPr>
              <w:rPr>
                <w:highlight w:val="none"/>
              </w:rPr>
            </w:pPr>
          </w:p>
        </w:tc>
        <w:tc>
          <w:tcPr>
            <w:tcW w:w="613" w:type="pct"/>
            <w:vMerge w:val="continue"/>
            <w:tcBorders>
              <w:top w:val="nil"/>
              <w:bottom w:val="nil"/>
            </w:tcBorders>
          </w:tcPr>
          <w:p w14:paraId="6AE6491D">
            <w:pPr>
              <w:rPr>
                <w:highlight w:val="none"/>
              </w:rPr>
            </w:pPr>
          </w:p>
        </w:tc>
        <w:tc>
          <w:tcPr>
            <w:tcW w:w="1268" w:type="pct"/>
          </w:tcPr>
          <w:p w14:paraId="6B95D0BE">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A060205</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木制台、桌类</w:t>
            </w:r>
          </w:p>
        </w:tc>
        <w:tc>
          <w:tcPr>
            <w:tcW w:w="1073" w:type="pct"/>
          </w:tcPr>
          <w:p w14:paraId="44445F2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03BF5794">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HJ2547</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家具/HJ2540</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木塑制品</w:t>
            </w:r>
          </w:p>
        </w:tc>
      </w:tr>
      <w:tr w14:paraId="0151E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18" w:type="pct"/>
            <w:vMerge w:val="continue"/>
            <w:tcBorders>
              <w:top w:val="nil"/>
            </w:tcBorders>
          </w:tcPr>
          <w:p w14:paraId="33924272">
            <w:pPr>
              <w:rPr>
                <w:highlight w:val="none"/>
              </w:rPr>
            </w:pPr>
          </w:p>
        </w:tc>
        <w:tc>
          <w:tcPr>
            <w:tcW w:w="613" w:type="pct"/>
            <w:vMerge w:val="continue"/>
            <w:tcBorders>
              <w:top w:val="nil"/>
            </w:tcBorders>
          </w:tcPr>
          <w:p w14:paraId="1C65F7F1">
            <w:pPr>
              <w:rPr>
                <w:highlight w:val="none"/>
              </w:rPr>
            </w:pPr>
          </w:p>
        </w:tc>
        <w:tc>
          <w:tcPr>
            <w:tcW w:w="1268" w:type="pct"/>
          </w:tcPr>
          <w:p w14:paraId="7541E3CB">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A060299</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其他台、桌类</w:t>
            </w:r>
          </w:p>
        </w:tc>
        <w:tc>
          <w:tcPr>
            <w:tcW w:w="1073" w:type="pct"/>
          </w:tcPr>
          <w:p w14:paraId="7642EAA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372E1728">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HJ2547</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家具/HJ2540</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木塑制品</w:t>
            </w:r>
          </w:p>
        </w:tc>
      </w:tr>
      <w:tr w14:paraId="0DEC0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18" w:type="pct"/>
            <w:vMerge w:val="restart"/>
            <w:tcBorders>
              <w:bottom w:val="nil"/>
            </w:tcBorders>
          </w:tcPr>
          <w:p w14:paraId="248878FA">
            <w:pPr>
              <w:pStyle w:val="75"/>
              <w:keepNext w:val="0"/>
              <w:keepLines w:val="0"/>
              <w:pageBreakBefore w:val="0"/>
              <w:widowControl w:val="0"/>
              <w:kinsoku/>
              <w:wordWrap/>
              <w:overflowPunct/>
              <w:topLinePunct w:val="0"/>
              <w:autoSpaceDE/>
              <w:autoSpaceDN/>
              <w:bidi w:val="0"/>
              <w:adjustRightInd/>
              <w:snapToGrid/>
              <w:spacing w:line="340" w:lineRule="exact"/>
              <w:ind w:left="123"/>
              <w:textAlignment w:val="auto"/>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18</w:t>
            </w:r>
          </w:p>
        </w:tc>
        <w:tc>
          <w:tcPr>
            <w:tcW w:w="613" w:type="pct"/>
            <w:vMerge w:val="restart"/>
            <w:tcBorders>
              <w:bottom w:val="nil"/>
            </w:tcBorders>
          </w:tcPr>
          <w:p w14:paraId="669C9FB3">
            <w:pPr>
              <w:pStyle w:val="75"/>
              <w:keepNext w:val="0"/>
              <w:keepLines w:val="0"/>
              <w:pageBreakBefore w:val="0"/>
              <w:widowControl w:val="0"/>
              <w:kinsoku/>
              <w:wordWrap/>
              <w:overflowPunct/>
              <w:topLinePunct w:val="0"/>
              <w:autoSpaceDE/>
              <w:autoSpaceDN/>
              <w:bidi w:val="0"/>
              <w:adjustRightInd/>
              <w:snapToGrid/>
              <w:spacing w:line="340" w:lineRule="exact"/>
              <w:ind w:left="105" w:right="158" w:hanging="5"/>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A0603</w:t>
            </w:r>
            <w:r>
              <w:rPr>
                <w:rFonts w:hint="eastAsia" w:ascii="仿宋" w:hAnsi="仿宋" w:eastAsia="仿宋" w:cs="仿宋"/>
                <w:spacing w:val="-34"/>
                <w:sz w:val="21"/>
                <w:szCs w:val="21"/>
                <w:highlight w:val="none"/>
              </w:rPr>
              <w:t xml:space="preserve"> </w:t>
            </w:r>
            <w:r>
              <w:rPr>
                <w:rFonts w:hint="eastAsia" w:ascii="仿宋" w:hAnsi="仿宋" w:eastAsia="仿宋" w:cs="仿宋"/>
                <w:spacing w:val="-2"/>
                <w:sz w:val="21"/>
                <w:szCs w:val="21"/>
                <w:highlight w:val="none"/>
              </w:rPr>
              <w:t>椅凳</w:t>
            </w:r>
            <w:r>
              <w:rPr>
                <w:rFonts w:hint="eastAsia" w:ascii="仿宋" w:hAnsi="仿宋" w:eastAsia="仿宋" w:cs="仿宋"/>
                <w:sz w:val="21"/>
                <w:szCs w:val="21"/>
                <w:highlight w:val="none"/>
              </w:rPr>
              <w:t>类</w:t>
            </w:r>
          </w:p>
        </w:tc>
        <w:tc>
          <w:tcPr>
            <w:tcW w:w="1268" w:type="pct"/>
          </w:tcPr>
          <w:p w14:paraId="15A6A048">
            <w:pPr>
              <w:pStyle w:val="75"/>
              <w:keepNext w:val="0"/>
              <w:keepLines w:val="0"/>
              <w:pageBreakBefore w:val="0"/>
              <w:widowControl w:val="0"/>
              <w:kinsoku/>
              <w:wordWrap/>
              <w:overflowPunct/>
              <w:topLinePunct w:val="0"/>
              <w:autoSpaceDE/>
              <w:autoSpaceDN/>
              <w:bidi w:val="0"/>
              <w:adjustRightInd/>
              <w:snapToGrid/>
              <w:spacing w:line="340" w:lineRule="exact"/>
              <w:ind w:left="106" w:right="272" w:hanging="5"/>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A060301</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金属骨架为主的</w:t>
            </w:r>
            <w:r>
              <w:rPr>
                <w:rFonts w:hint="eastAsia" w:ascii="仿宋" w:hAnsi="仿宋" w:eastAsia="仿宋" w:cs="仿宋"/>
                <w:spacing w:val="-2"/>
                <w:sz w:val="21"/>
                <w:szCs w:val="21"/>
                <w:highlight w:val="none"/>
              </w:rPr>
              <w:t>椅凳类</w:t>
            </w:r>
          </w:p>
        </w:tc>
        <w:tc>
          <w:tcPr>
            <w:tcW w:w="1073" w:type="pct"/>
          </w:tcPr>
          <w:p w14:paraId="3469D1D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03A79924">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HJ2547</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家具/HJ2540</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木塑制品</w:t>
            </w:r>
          </w:p>
        </w:tc>
      </w:tr>
      <w:tr w14:paraId="134F4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18" w:type="pct"/>
            <w:vMerge w:val="continue"/>
            <w:tcBorders>
              <w:top w:val="nil"/>
              <w:bottom w:val="nil"/>
            </w:tcBorders>
          </w:tcPr>
          <w:p w14:paraId="05F7860B">
            <w:pPr>
              <w:rPr>
                <w:highlight w:val="none"/>
              </w:rPr>
            </w:pPr>
          </w:p>
        </w:tc>
        <w:tc>
          <w:tcPr>
            <w:tcW w:w="613" w:type="pct"/>
            <w:vMerge w:val="continue"/>
            <w:tcBorders>
              <w:top w:val="nil"/>
              <w:bottom w:val="nil"/>
            </w:tcBorders>
          </w:tcPr>
          <w:p w14:paraId="4ACC9ECE">
            <w:pPr>
              <w:rPr>
                <w:highlight w:val="none"/>
              </w:rPr>
            </w:pPr>
          </w:p>
        </w:tc>
        <w:tc>
          <w:tcPr>
            <w:tcW w:w="1268" w:type="pct"/>
          </w:tcPr>
          <w:p w14:paraId="234CBCD7">
            <w:pPr>
              <w:pStyle w:val="75"/>
              <w:keepNext w:val="0"/>
              <w:keepLines w:val="0"/>
              <w:pageBreakBefore w:val="0"/>
              <w:widowControl w:val="0"/>
              <w:kinsoku/>
              <w:wordWrap/>
              <w:overflowPunct/>
              <w:topLinePunct w:val="0"/>
              <w:autoSpaceDE/>
              <w:autoSpaceDN/>
              <w:bidi w:val="0"/>
              <w:adjustRightInd/>
              <w:snapToGrid/>
              <w:spacing w:line="340" w:lineRule="exact"/>
              <w:ind w:left="106" w:right="272" w:hanging="6"/>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A060302</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木骨架为主的椅</w:t>
            </w:r>
            <w:r>
              <w:rPr>
                <w:rFonts w:hint="eastAsia" w:ascii="仿宋" w:hAnsi="仿宋" w:eastAsia="仿宋" w:cs="仿宋"/>
                <w:spacing w:val="-2"/>
                <w:sz w:val="21"/>
                <w:szCs w:val="21"/>
                <w:highlight w:val="none"/>
              </w:rPr>
              <w:t>凳类</w:t>
            </w:r>
          </w:p>
        </w:tc>
        <w:tc>
          <w:tcPr>
            <w:tcW w:w="1073" w:type="pct"/>
          </w:tcPr>
          <w:p w14:paraId="322FA99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05C5189C">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HJ2547</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家具/HJ2540</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木塑制品</w:t>
            </w:r>
          </w:p>
        </w:tc>
      </w:tr>
      <w:tr w14:paraId="27366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18" w:type="pct"/>
            <w:vMerge w:val="continue"/>
            <w:tcBorders>
              <w:top w:val="nil"/>
            </w:tcBorders>
          </w:tcPr>
          <w:p w14:paraId="73C3A711">
            <w:pPr>
              <w:rPr>
                <w:highlight w:val="none"/>
              </w:rPr>
            </w:pPr>
          </w:p>
        </w:tc>
        <w:tc>
          <w:tcPr>
            <w:tcW w:w="613" w:type="pct"/>
            <w:vMerge w:val="continue"/>
            <w:tcBorders>
              <w:top w:val="nil"/>
            </w:tcBorders>
          </w:tcPr>
          <w:p w14:paraId="2F6AB221">
            <w:pPr>
              <w:rPr>
                <w:highlight w:val="none"/>
              </w:rPr>
            </w:pPr>
          </w:p>
        </w:tc>
        <w:tc>
          <w:tcPr>
            <w:tcW w:w="1268" w:type="pct"/>
          </w:tcPr>
          <w:p w14:paraId="06153AA2">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A060399</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其他椅凳类</w:t>
            </w:r>
          </w:p>
        </w:tc>
        <w:tc>
          <w:tcPr>
            <w:tcW w:w="1073" w:type="pct"/>
          </w:tcPr>
          <w:p w14:paraId="5DB07DB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694AE34A">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HJ2547</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家具/HJ2540</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木塑制品</w:t>
            </w:r>
          </w:p>
        </w:tc>
      </w:tr>
      <w:tr w14:paraId="7D108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18" w:type="pct"/>
          </w:tcPr>
          <w:p w14:paraId="08571765">
            <w:pPr>
              <w:pStyle w:val="75"/>
              <w:keepNext w:val="0"/>
              <w:keepLines w:val="0"/>
              <w:pageBreakBefore w:val="0"/>
              <w:widowControl w:val="0"/>
              <w:kinsoku/>
              <w:wordWrap/>
              <w:overflowPunct/>
              <w:topLinePunct w:val="0"/>
              <w:autoSpaceDE/>
              <w:autoSpaceDN/>
              <w:bidi w:val="0"/>
              <w:adjustRightInd/>
              <w:snapToGrid/>
              <w:spacing w:line="340" w:lineRule="exact"/>
              <w:ind w:left="123"/>
              <w:textAlignment w:val="auto"/>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19</w:t>
            </w:r>
          </w:p>
        </w:tc>
        <w:tc>
          <w:tcPr>
            <w:tcW w:w="613" w:type="pct"/>
          </w:tcPr>
          <w:p w14:paraId="792C91A6">
            <w:pPr>
              <w:pStyle w:val="75"/>
              <w:keepNext w:val="0"/>
              <w:keepLines w:val="0"/>
              <w:pageBreakBefore w:val="0"/>
              <w:widowControl w:val="0"/>
              <w:kinsoku/>
              <w:wordWrap/>
              <w:overflowPunct/>
              <w:topLinePunct w:val="0"/>
              <w:autoSpaceDE/>
              <w:autoSpaceDN/>
              <w:bidi w:val="0"/>
              <w:adjustRightInd/>
              <w:snapToGrid/>
              <w:spacing w:line="340" w:lineRule="exact"/>
              <w:ind w:left="105" w:right="158" w:hanging="5"/>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A0604</w:t>
            </w:r>
            <w:r>
              <w:rPr>
                <w:rFonts w:hint="eastAsia" w:ascii="仿宋" w:hAnsi="仿宋" w:eastAsia="仿宋" w:cs="仿宋"/>
                <w:spacing w:val="-34"/>
                <w:sz w:val="21"/>
                <w:szCs w:val="21"/>
                <w:highlight w:val="none"/>
              </w:rPr>
              <w:t xml:space="preserve"> </w:t>
            </w:r>
            <w:r>
              <w:rPr>
                <w:rFonts w:hint="eastAsia" w:ascii="仿宋" w:hAnsi="仿宋" w:eastAsia="仿宋" w:cs="仿宋"/>
                <w:spacing w:val="-2"/>
                <w:sz w:val="21"/>
                <w:szCs w:val="21"/>
                <w:highlight w:val="none"/>
              </w:rPr>
              <w:t>沙发</w:t>
            </w:r>
            <w:r>
              <w:rPr>
                <w:rFonts w:hint="eastAsia" w:ascii="仿宋" w:hAnsi="仿宋" w:eastAsia="仿宋" w:cs="仿宋"/>
                <w:sz w:val="21"/>
                <w:szCs w:val="21"/>
                <w:highlight w:val="none"/>
              </w:rPr>
              <w:t>类</w:t>
            </w:r>
          </w:p>
        </w:tc>
        <w:tc>
          <w:tcPr>
            <w:tcW w:w="1268" w:type="pct"/>
          </w:tcPr>
          <w:p w14:paraId="4CCF75FE">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A060499</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其他沙发类</w:t>
            </w:r>
          </w:p>
        </w:tc>
        <w:tc>
          <w:tcPr>
            <w:tcW w:w="1073" w:type="pct"/>
          </w:tcPr>
          <w:p w14:paraId="2823B93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763BAC99">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HJ2547</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家具/HJ2540</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木塑制品</w:t>
            </w:r>
          </w:p>
        </w:tc>
      </w:tr>
      <w:tr w14:paraId="1F7CB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18" w:type="pct"/>
            <w:vMerge w:val="restart"/>
            <w:tcBorders>
              <w:bottom w:val="nil"/>
            </w:tcBorders>
          </w:tcPr>
          <w:p w14:paraId="4514FEC4">
            <w:pPr>
              <w:pStyle w:val="75"/>
              <w:keepNext w:val="0"/>
              <w:keepLines w:val="0"/>
              <w:pageBreakBefore w:val="0"/>
              <w:widowControl w:val="0"/>
              <w:kinsoku/>
              <w:wordWrap/>
              <w:overflowPunct/>
              <w:topLinePunct w:val="0"/>
              <w:autoSpaceDE/>
              <w:autoSpaceDN/>
              <w:bidi w:val="0"/>
              <w:adjustRightInd/>
              <w:snapToGrid/>
              <w:spacing w:line="340" w:lineRule="exact"/>
              <w:ind w:left="112"/>
              <w:textAlignment w:val="auto"/>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20</w:t>
            </w:r>
          </w:p>
        </w:tc>
        <w:tc>
          <w:tcPr>
            <w:tcW w:w="613" w:type="pct"/>
            <w:vMerge w:val="restart"/>
            <w:tcBorders>
              <w:bottom w:val="nil"/>
            </w:tcBorders>
          </w:tcPr>
          <w:p w14:paraId="0284FF2B">
            <w:pPr>
              <w:pStyle w:val="75"/>
              <w:keepNext w:val="0"/>
              <w:keepLines w:val="0"/>
              <w:pageBreakBefore w:val="0"/>
              <w:widowControl w:val="0"/>
              <w:kinsoku/>
              <w:wordWrap/>
              <w:overflowPunct/>
              <w:topLinePunct w:val="0"/>
              <w:autoSpaceDE/>
              <w:autoSpaceDN/>
              <w:bidi w:val="0"/>
              <w:adjustRightInd/>
              <w:snapToGrid/>
              <w:spacing w:line="340" w:lineRule="exact"/>
              <w:ind w:left="100"/>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A0605</w:t>
            </w:r>
            <w:r>
              <w:rPr>
                <w:rFonts w:hint="eastAsia" w:ascii="仿宋" w:hAnsi="仿宋" w:eastAsia="仿宋" w:cs="仿宋"/>
                <w:spacing w:val="-38"/>
                <w:sz w:val="21"/>
                <w:szCs w:val="21"/>
                <w:highlight w:val="none"/>
              </w:rPr>
              <w:t xml:space="preserve"> </w:t>
            </w:r>
            <w:r>
              <w:rPr>
                <w:rFonts w:hint="eastAsia" w:ascii="仿宋" w:hAnsi="仿宋" w:eastAsia="仿宋" w:cs="仿宋"/>
                <w:spacing w:val="-1"/>
                <w:sz w:val="21"/>
                <w:szCs w:val="21"/>
                <w:highlight w:val="none"/>
              </w:rPr>
              <w:t>柜类</w:t>
            </w:r>
          </w:p>
        </w:tc>
        <w:tc>
          <w:tcPr>
            <w:tcW w:w="1268" w:type="pct"/>
          </w:tcPr>
          <w:p w14:paraId="6DF0BCC4">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A060501</w:t>
            </w:r>
            <w:r>
              <w:rPr>
                <w:rFonts w:hint="eastAsia" w:ascii="仿宋" w:hAnsi="仿宋" w:eastAsia="仿宋" w:cs="仿宋"/>
                <w:spacing w:val="-35"/>
                <w:sz w:val="21"/>
                <w:szCs w:val="21"/>
                <w:highlight w:val="none"/>
              </w:rPr>
              <w:t xml:space="preserve"> </w:t>
            </w:r>
            <w:r>
              <w:rPr>
                <w:rFonts w:hint="eastAsia" w:ascii="仿宋" w:hAnsi="仿宋" w:eastAsia="仿宋" w:cs="仿宋"/>
                <w:spacing w:val="-1"/>
                <w:sz w:val="21"/>
                <w:szCs w:val="21"/>
                <w:highlight w:val="none"/>
              </w:rPr>
              <w:t>木质柜类</w:t>
            </w:r>
          </w:p>
        </w:tc>
        <w:tc>
          <w:tcPr>
            <w:tcW w:w="1073" w:type="pct"/>
          </w:tcPr>
          <w:p w14:paraId="1737E68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57AF9B7F">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HJ2547</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家具/HJ2540</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木塑制品</w:t>
            </w:r>
          </w:p>
        </w:tc>
      </w:tr>
      <w:tr w14:paraId="45078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18" w:type="pct"/>
            <w:vMerge w:val="continue"/>
            <w:tcBorders>
              <w:top w:val="nil"/>
              <w:bottom w:val="nil"/>
            </w:tcBorders>
          </w:tcPr>
          <w:p w14:paraId="327070E3">
            <w:pPr>
              <w:rPr>
                <w:highlight w:val="none"/>
              </w:rPr>
            </w:pPr>
          </w:p>
        </w:tc>
        <w:tc>
          <w:tcPr>
            <w:tcW w:w="613" w:type="pct"/>
            <w:vMerge w:val="continue"/>
            <w:tcBorders>
              <w:top w:val="nil"/>
              <w:bottom w:val="nil"/>
            </w:tcBorders>
          </w:tcPr>
          <w:p w14:paraId="6617D970">
            <w:pPr>
              <w:rPr>
                <w:highlight w:val="none"/>
              </w:rPr>
            </w:pPr>
          </w:p>
        </w:tc>
        <w:tc>
          <w:tcPr>
            <w:tcW w:w="1268" w:type="pct"/>
          </w:tcPr>
          <w:p w14:paraId="658523E7">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A060503</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金属质柜类</w:t>
            </w:r>
          </w:p>
        </w:tc>
        <w:tc>
          <w:tcPr>
            <w:tcW w:w="1073" w:type="pct"/>
          </w:tcPr>
          <w:p w14:paraId="65740EC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6972D3CD">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HJ2547</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家具/HJ2540</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木塑制品</w:t>
            </w:r>
          </w:p>
        </w:tc>
      </w:tr>
      <w:tr w14:paraId="63391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18" w:type="pct"/>
            <w:vMerge w:val="continue"/>
            <w:tcBorders>
              <w:top w:val="nil"/>
            </w:tcBorders>
          </w:tcPr>
          <w:p w14:paraId="64F22C62">
            <w:pPr>
              <w:rPr>
                <w:highlight w:val="none"/>
              </w:rPr>
            </w:pPr>
          </w:p>
        </w:tc>
        <w:tc>
          <w:tcPr>
            <w:tcW w:w="613" w:type="pct"/>
            <w:vMerge w:val="continue"/>
            <w:tcBorders>
              <w:top w:val="nil"/>
            </w:tcBorders>
          </w:tcPr>
          <w:p w14:paraId="4872DDA8">
            <w:pPr>
              <w:rPr>
                <w:highlight w:val="none"/>
              </w:rPr>
            </w:pPr>
          </w:p>
        </w:tc>
        <w:tc>
          <w:tcPr>
            <w:tcW w:w="1268" w:type="pct"/>
          </w:tcPr>
          <w:p w14:paraId="67634AB0">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A060599</w:t>
            </w:r>
            <w:r>
              <w:rPr>
                <w:rFonts w:hint="eastAsia" w:ascii="仿宋" w:hAnsi="仿宋" w:eastAsia="仿宋" w:cs="仿宋"/>
                <w:spacing w:val="-35"/>
                <w:sz w:val="21"/>
                <w:szCs w:val="21"/>
                <w:highlight w:val="none"/>
              </w:rPr>
              <w:t xml:space="preserve"> </w:t>
            </w:r>
            <w:r>
              <w:rPr>
                <w:rFonts w:hint="eastAsia" w:ascii="仿宋" w:hAnsi="仿宋" w:eastAsia="仿宋" w:cs="仿宋"/>
                <w:spacing w:val="-1"/>
                <w:sz w:val="21"/>
                <w:szCs w:val="21"/>
                <w:highlight w:val="none"/>
              </w:rPr>
              <w:t>其他柜类</w:t>
            </w:r>
          </w:p>
        </w:tc>
        <w:tc>
          <w:tcPr>
            <w:tcW w:w="1073" w:type="pct"/>
          </w:tcPr>
          <w:p w14:paraId="39332D9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3261A858">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HJ2547</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家具/HJ2540</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木塑制品</w:t>
            </w:r>
          </w:p>
        </w:tc>
      </w:tr>
      <w:tr w14:paraId="433CA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18" w:type="pct"/>
            <w:vMerge w:val="restart"/>
            <w:tcBorders>
              <w:bottom w:val="nil"/>
            </w:tcBorders>
          </w:tcPr>
          <w:p w14:paraId="35E34DC0">
            <w:pPr>
              <w:pStyle w:val="75"/>
              <w:keepNext w:val="0"/>
              <w:keepLines w:val="0"/>
              <w:pageBreakBefore w:val="0"/>
              <w:widowControl w:val="0"/>
              <w:kinsoku/>
              <w:wordWrap/>
              <w:overflowPunct/>
              <w:topLinePunct w:val="0"/>
              <w:autoSpaceDE/>
              <w:autoSpaceDN/>
              <w:bidi w:val="0"/>
              <w:adjustRightInd/>
              <w:snapToGrid/>
              <w:spacing w:line="340" w:lineRule="exact"/>
              <w:ind w:left="112"/>
              <w:textAlignment w:val="auto"/>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21</w:t>
            </w:r>
          </w:p>
        </w:tc>
        <w:tc>
          <w:tcPr>
            <w:tcW w:w="613" w:type="pct"/>
            <w:vMerge w:val="restart"/>
            <w:tcBorders>
              <w:bottom w:val="nil"/>
            </w:tcBorders>
          </w:tcPr>
          <w:p w14:paraId="3DE27416">
            <w:pPr>
              <w:pStyle w:val="75"/>
              <w:keepNext w:val="0"/>
              <w:keepLines w:val="0"/>
              <w:pageBreakBefore w:val="0"/>
              <w:widowControl w:val="0"/>
              <w:kinsoku/>
              <w:wordWrap/>
              <w:overflowPunct/>
              <w:topLinePunct w:val="0"/>
              <w:autoSpaceDE/>
              <w:autoSpaceDN/>
              <w:bidi w:val="0"/>
              <w:adjustRightInd/>
              <w:snapToGrid/>
              <w:spacing w:line="340" w:lineRule="exact"/>
              <w:ind w:left="100"/>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A0606</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架类</w:t>
            </w:r>
          </w:p>
        </w:tc>
        <w:tc>
          <w:tcPr>
            <w:tcW w:w="1268" w:type="pct"/>
          </w:tcPr>
          <w:p w14:paraId="0953FC6B">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A060601</w:t>
            </w:r>
            <w:r>
              <w:rPr>
                <w:rFonts w:hint="eastAsia" w:ascii="仿宋" w:hAnsi="仿宋" w:eastAsia="仿宋" w:cs="仿宋"/>
                <w:spacing w:val="-35"/>
                <w:sz w:val="21"/>
                <w:szCs w:val="21"/>
                <w:highlight w:val="none"/>
              </w:rPr>
              <w:t xml:space="preserve"> </w:t>
            </w:r>
            <w:r>
              <w:rPr>
                <w:rFonts w:hint="eastAsia" w:ascii="仿宋" w:hAnsi="仿宋" w:eastAsia="仿宋" w:cs="仿宋"/>
                <w:spacing w:val="-1"/>
                <w:sz w:val="21"/>
                <w:szCs w:val="21"/>
                <w:highlight w:val="none"/>
              </w:rPr>
              <w:t>木质架类</w:t>
            </w:r>
          </w:p>
        </w:tc>
        <w:tc>
          <w:tcPr>
            <w:tcW w:w="1073" w:type="pct"/>
          </w:tcPr>
          <w:p w14:paraId="10E925B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527F51BF">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HJ2547</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家具/HJ2540</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木塑制品</w:t>
            </w:r>
          </w:p>
        </w:tc>
      </w:tr>
      <w:tr w14:paraId="6EDD0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318" w:type="pct"/>
            <w:vMerge w:val="continue"/>
            <w:tcBorders>
              <w:top w:val="nil"/>
            </w:tcBorders>
          </w:tcPr>
          <w:p w14:paraId="7D1F22A3">
            <w:pPr>
              <w:rPr>
                <w:highlight w:val="none"/>
              </w:rPr>
            </w:pPr>
          </w:p>
        </w:tc>
        <w:tc>
          <w:tcPr>
            <w:tcW w:w="613" w:type="pct"/>
            <w:vMerge w:val="continue"/>
            <w:tcBorders>
              <w:top w:val="nil"/>
            </w:tcBorders>
          </w:tcPr>
          <w:p w14:paraId="3BD63F50">
            <w:pPr>
              <w:rPr>
                <w:highlight w:val="none"/>
              </w:rPr>
            </w:pPr>
          </w:p>
        </w:tc>
        <w:tc>
          <w:tcPr>
            <w:tcW w:w="1268" w:type="pct"/>
          </w:tcPr>
          <w:p w14:paraId="64CFF4EB">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A060602</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金属质架类</w:t>
            </w:r>
          </w:p>
        </w:tc>
        <w:tc>
          <w:tcPr>
            <w:tcW w:w="1073" w:type="pct"/>
          </w:tcPr>
          <w:p w14:paraId="33F486D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0A40C2EF">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HJ2547</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家具/HJ2540</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木塑制品</w:t>
            </w:r>
          </w:p>
        </w:tc>
      </w:tr>
      <w:tr w14:paraId="0B3F2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318" w:type="pct"/>
            <w:vMerge w:val="restart"/>
            <w:tcBorders>
              <w:bottom w:val="nil"/>
            </w:tcBorders>
          </w:tcPr>
          <w:p w14:paraId="62E8DC63">
            <w:pPr>
              <w:pStyle w:val="75"/>
              <w:keepNext w:val="0"/>
              <w:keepLines w:val="0"/>
              <w:pageBreakBefore w:val="0"/>
              <w:widowControl w:val="0"/>
              <w:kinsoku/>
              <w:wordWrap/>
              <w:overflowPunct/>
              <w:topLinePunct w:val="0"/>
              <w:autoSpaceDE/>
              <w:autoSpaceDN/>
              <w:bidi w:val="0"/>
              <w:adjustRightInd/>
              <w:snapToGrid/>
              <w:spacing w:line="340" w:lineRule="exact"/>
              <w:ind w:left="112"/>
              <w:textAlignment w:val="auto"/>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22</w:t>
            </w:r>
          </w:p>
        </w:tc>
        <w:tc>
          <w:tcPr>
            <w:tcW w:w="613" w:type="pct"/>
            <w:vMerge w:val="restart"/>
            <w:tcBorders>
              <w:bottom w:val="nil"/>
            </w:tcBorders>
          </w:tcPr>
          <w:p w14:paraId="69E22F2F">
            <w:pPr>
              <w:pStyle w:val="75"/>
              <w:keepNext w:val="0"/>
              <w:keepLines w:val="0"/>
              <w:pageBreakBefore w:val="0"/>
              <w:widowControl w:val="0"/>
              <w:kinsoku/>
              <w:wordWrap/>
              <w:overflowPunct/>
              <w:topLinePunct w:val="0"/>
              <w:autoSpaceDE/>
              <w:autoSpaceDN/>
              <w:bidi w:val="0"/>
              <w:adjustRightInd/>
              <w:snapToGrid/>
              <w:spacing w:line="340" w:lineRule="exact"/>
              <w:ind w:left="105" w:right="158" w:hanging="5"/>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A0607</w:t>
            </w:r>
            <w:r>
              <w:rPr>
                <w:rFonts w:hint="eastAsia" w:ascii="仿宋" w:hAnsi="仿宋" w:eastAsia="仿宋" w:cs="仿宋"/>
                <w:spacing w:val="-34"/>
                <w:sz w:val="21"/>
                <w:szCs w:val="21"/>
                <w:highlight w:val="none"/>
              </w:rPr>
              <w:t xml:space="preserve"> </w:t>
            </w:r>
            <w:r>
              <w:rPr>
                <w:rFonts w:hint="eastAsia" w:ascii="仿宋" w:hAnsi="仿宋" w:eastAsia="仿宋" w:cs="仿宋"/>
                <w:spacing w:val="-2"/>
                <w:sz w:val="21"/>
                <w:szCs w:val="21"/>
                <w:highlight w:val="none"/>
              </w:rPr>
              <w:t>屏风</w:t>
            </w:r>
            <w:r>
              <w:rPr>
                <w:rFonts w:hint="eastAsia" w:ascii="仿宋" w:hAnsi="仿宋" w:eastAsia="仿宋" w:cs="仿宋"/>
                <w:sz w:val="21"/>
                <w:szCs w:val="21"/>
                <w:highlight w:val="none"/>
              </w:rPr>
              <w:t>类</w:t>
            </w:r>
          </w:p>
        </w:tc>
        <w:tc>
          <w:tcPr>
            <w:tcW w:w="1268" w:type="pct"/>
          </w:tcPr>
          <w:p w14:paraId="12D70BEF">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A060701</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木质屏风类</w:t>
            </w:r>
          </w:p>
        </w:tc>
        <w:tc>
          <w:tcPr>
            <w:tcW w:w="1073" w:type="pct"/>
          </w:tcPr>
          <w:p w14:paraId="2BE5C88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213AEF4F">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HJ2547</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家具/HJ2540</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木塑制品</w:t>
            </w:r>
          </w:p>
        </w:tc>
      </w:tr>
      <w:tr w14:paraId="276BC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18" w:type="pct"/>
            <w:vMerge w:val="continue"/>
            <w:tcBorders>
              <w:top w:val="nil"/>
            </w:tcBorders>
          </w:tcPr>
          <w:p w14:paraId="1F6CC89B">
            <w:pPr>
              <w:rPr>
                <w:highlight w:val="none"/>
              </w:rPr>
            </w:pPr>
          </w:p>
        </w:tc>
        <w:tc>
          <w:tcPr>
            <w:tcW w:w="613" w:type="pct"/>
            <w:vMerge w:val="continue"/>
            <w:tcBorders>
              <w:top w:val="nil"/>
            </w:tcBorders>
          </w:tcPr>
          <w:p w14:paraId="1D6E4C03">
            <w:pPr>
              <w:rPr>
                <w:highlight w:val="none"/>
              </w:rPr>
            </w:pPr>
          </w:p>
        </w:tc>
        <w:tc>
          <w:tcPr>
            <w:tcW w:w="1268" w:type="pct"/>
          </w:tcPr>
          <w:p w14:paraId="3CDC7654">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A060702</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金属质屏风类</w:t>
            </w:r>
          </w:p>
        </w:tc>
        <w:tc>
          <w:tcPr>
            <w:tcW w:w="1073" w:type="pct"/>
          </w:tcPr>
          <w:p w14:paraId="33B9C03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0BD697F8">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HJ2547</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家具/HJ2540</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木塑制品</w:t>
            </w:r>
          </w:p>
        </w:tc>
      </w:tr>
      <w:tr w14:paraId="6E2F6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18" w:type="pct"/>
          </w:tcPr>
          <w:p w14:paraId="6C5C403C">
            <w:pPr>
              <w:pStyle w:val="75"/>
              <w:keepNext w:val="0"/>
              <w:keepLines w:val="0"/>
              <w:pageBreakBefore w:val="0"/>
              <w:widowControl w:val="0"/>
              <w:kinsoku/>
              <w:wordWrap/>
              <w:overflowPunct/>
              <w:topLinePunct w:val="0"/>
              <w:autoSpaceDE/>
              <w:autoSpaceDN/>
              <w:bidi w:val="0"/>
              <w:adjustRightInd/>
              <w:snapToGrid/>
              <w:spacing w:line="340" w:lineRule="exact"/>
              <w:ind w:left="112"/>
              <w:textAlignment w:val="auto"/>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23</w:t>
            </w:r>
          </w:p>
        </w:tc>
        <w:tc>
          <w:tcPr>
            <w:tcW w:w="613" w:type="pct"/>
          </w:tcPr>
          <w:p w14:paraId="15AEF188">
            <w:pPr>
              <w:pStyle w:val="75"/>
              <w:keepNext w:val="0"/>
              <w:keepLines w:val="0"/>
              <w:pageBreakBefore w:val="0"/>
              <w:widowControl w:val="0"/>
              <w:kinsoku/>
              <w:wordWrap/>
              <w:overflowPunct/>
              <w:topLinePunct w:val="0"/>
              <w:autoSpaceDE/>
              <w:autoSpaceDN/>
              <w:bidi w:val="0"/>
              <w:adjustRightInd/>
              <w:snapToGrid/>
              <w:spacing w:line="340" w:lineRule="exact"/>
              <w:ind w:left="105" w:right="158" w:hanging="5"/>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A060804</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水</w:t>
            </w:r>
            <w:r>
              <w:rPr>
                <w:rFonts w:hint="eastAsia" w:ascii="仿宋" w:hAnsi="仿宋" w:eastAsia="仿宋" w:cs="仿宋"/>
                <w:sz w:val="21"/>
                <w:szCs w:val="21"/>
                <w:highlight w:val="none"/>
              </w:rPr>
              <w:t>池</w:t>
            </w:r>
          </w:p>
        </w:tc>
        <w:tc>
          <w:tcPr>
            <w:tcW w:w="1268" w:type="pct"/>
          </w:tcPr>
          <w:p w14:paraId="438FC18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73" w:type="pct"/>
          </w:tcPr>
          <w:p w14:paraId="48B5E7E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1CB0D40C">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HJ/T296</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卫生陶瓷</w:t>
            </w:r>
          </w:p>
        </w:tc>
      </w:tr>
      <w:tr w14:paraId="3FB60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18" w:type="pct"/>
          </w:tcPr>
          <w:p w14:paraId="6A3C7466">
            <w:pPr>
              <w:pStyle w:val="75"/>
              <w:keepNext w:val="0"/>
              <w:keepLines w:val="0"/>
              <w:pageBreakBefore w:val="0"/>
              <w:widowControl w:val="0"/>
              <w:kinsoku/>
              <w:wordWrap/>
              <w:overflowPunct/>
              <w:topLinePunct w:val="0"/>
              <w:autoSpaceDE/>
              <w:autoSpaceDN/>
              <w:bidi w:val="0"/>
              <w:adjustRightInd/>
              <w:snapToGrid/>
              <w:spacing w:line="340" w:lineRule="exact"/>
              <w:ind w:left="112"/>
              <w:textAlignment w:val="auto"/>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24</w:t>
            </w:r>
          </w:p>
        </w:tc>
        <w:tc>
          <w:tcPr>
            <w:tcW w:w="613" w:type="pct"/>
          </w:tcPr>
          <w:p w14:paraId="220A11E6">
            <w:pPr>
              <w:pStyle w:val="75"/>
              <w:keepNext w:val="0"/>
              <w:keepLines w:val="0"/>
              <w:pageBreakBefore w:val="0"/>
              <w:widowControl w:val="0"/>
              <w:kinsoku/>
              <w:wordWrap/>
              <w:overflowPunct/>
              <w:topLinePunct w:val="0"/>
              <w:autoSpaceDE/>
              <w:autoSpaceDN/>
              <w:bidi w:val="0"/>
              <w:adjustRightInd/>
              <w:snapToGrid/>
              <w:spacing w:line="340" w:lineRule="exact"/>
              <w:ind w:left="105" w:right="158" w:hanging="5"/>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A060805</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便</w:t>
            </w:r>
            <w:r>
              <w:rPr>
                <w:rFonts w:hint="eastAsia" w:ascii="仿宋" w:hAnsi="仿宋" w:eastAsia="仿宋" w:cs="仿宋"/>
                <w:sz w:val="21"/>
                <w:szCs w:val="21"/>
                <w:highlight w:val="none"/>
              </w:rPr>
              <w:t>器</w:t>
            </w:r>
          </w:p>
        </w:tc>
        <w:tc>
          <w:tcPr>
            <w:tcW w:w="1268" w:type="pct"/>
          </w:tcPr>
          <w:p w14:paraId="6809948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73" w:type="pct"/>
          </w:tcPr>
          <w:p w14:paraId="49A0A66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593E9C13">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HJ/T296</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卫生陶瓷</w:t>
            </w:r>
          </w:p>
        </w:tc>
      </w:tr>
      <w:tr w14:paraId="68DA5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18" w:type="pct"/>
          </w:tcPr>
          <w:p w14:paraId="5EF9F92C">
            <w:pPr>
              <w:pStyle w:val="75"/>
              <w:keepNext w:val="0"/>
              <w:keepLines w:val="0"/>
              <w:pageBreakBefore w:val="0"/>
              <w:widowControl w:val="0"/>
              <w:kinsoku/>
              <w:wordWrap/>
              <w:overflowPunct/>
              <w:topLinePunct w:val="0"/>
              <w:autoSpaceDE/>
              <w:autoSpaceDN/>
              <w:bidi w:val="0"/>
              <w:adjustRightInd/>
              <w:snapToGrid/>
              <w:spacing w:line="340" w:lineRule="exact"/>
              <w:ind w:left="112"/>
              <w:textAlignment w:val="auto"/>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25</w:t>
            </w:r>
          </w:p>
        </w:tc>
        <w:tc>
          <w:tcPr>
            <w:tcW w:w="613" w:type="pct"/>
          </w:tcPr>
          <w:p w14:paraId="6D2D698A">
            <w:pPr>
              <w:pStyle w:val="75"/>
              <w:keepNext w:val="0"/>
              <w:keepLines w:val="0"/>
              <w:pageBreakBefore w:val="0"/>
              <w:widowControl w:val="0"/>
              <w:kinsoku/>
              <w:wordWrap/>
              <w:overflowPunct/>
              <w:topLinePunct w:val="0"/>
              <w:autoSpaceDE/>
              <w:autoSpaceDN/>
              <w:bidi w:val="0"/>
              <w:adjustRightInd/>
              <w:snapToGrid/>
              <w:spacing w:line="340" w:lineRule="exact"/>
              <w:ind w:left="112" w:right="158" w:hanging="12"/>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A060806</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水</w:t>
            </w:r>
            <w:r>
              <w:rPr>
                <w:rFonts w:hint="eastAsia" w:ascii="仿宋" w:hAnsi="仿宋" w:eastAsia="仿宋" w:cs="仿宋"/>
                <w:sz w:val="21"/>
                <w:szCs w:val="21"/>
                <w:highlight w:val="none"/>
              </w:rPr>
              <w:t>嘴</w:t>
            </w:r>
          </w:p>
        </w:tc>
        <w:tc>
          <w:tcPr>
            <w:tcW w:w="1268" w:type="pct"/>
          </w:tcPr>
          <w:p w14:paraId="679E4F0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73" w:type="pct"/>
          </w:tcPr>
          <w:p w14:paraId="34365F4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0C005026">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HJ/T411</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水嘴</w:t>
            </w:r>
          </w:p>
        </w:tc>
      </w:tr>
      <w:tr w14:paraId="21494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18" w:type="pct"/>
          </w:tcPr>
          <w:p w14:paraId="115D9092">
            <w:pPr>
              <w:pStyle w:val="75"/>
              <w:keepNext w:val="0"/>
              <w:keepLines w:val="0"/>
              <w:pageBreakBefore w:val="0"/>
              <w:widowControl w:val="0"/>
              <w:kinsoku/>
              <w:wordWrap/>
              <w:overflowPunct/>
              <w:topLinePunct w:val="0"/>
              <w:autoSpaceDE/>
              <w:autoSpaceDN/>
              <w:bidi w:val="0"/>
              <w:adjustRightInd/>
              <w:snapToGrid/>
              <w:spacing w:line="340" w:lineRule="exact"/>
              <w:ind w:left="112"/>
              <w:textAlignment w:val="auto"/>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26</w:t>
            </w:r>
          </w:p>
        </w:tc>
        <w:tc>
          <w:tcPr>
            <w:tcW w:w="613" w:type="pct"/>
          </w:tcPr>
          <w:p w14:paraId="35921D2B">
            <w:pPr>
              <w:pStyle w:val="75"/>
              <w:keepNext w:val="0"/>
              <w:keepLines w:val="0"/>
              <w:pageBreakBefore w:val="0"/>
              <w:widowControl w:val="0"/>
              <w:kinsoku/>
              <w:wordWrap/>
              <w:overflowPunct/>
              <w:topLinePunct w:val="0"/>
              <w:autoSpaceDE/>
              <w:autoSpaceDN/>
              <w:bidi w:val="0"/>
              <w:adjustRightInd/>
              <w:snapToGrid/>
              <w:spacing w:line="340" w:lineRule="exact"/>
              <w:ind w:left="107" w:right="158" w:hanging="7"/>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A0609</w:t>
            </w:r>
            <w:r>
              <w:rPr>
                <w:rFonts w:hint="eastAsia" w:ascii="仿宋" w:hAnsi="仿宋" w:eastAsia="仿宋" w:cs="仿宋"/>
                <w:spacing w:val="-34"/>
                <w:sz w:val="21"/>
                <w:szCs w:val="21"/>
                <w:highlight w:val="none"/>
              </w:rPr>
              <w:t xml:space="preserve"> </w:t>
            </w:r>
            <w:r>
              <w:rPr>
                <w:rFonts w:hint="eastAsia" w:ascii="仿宋" w:hAnsi="仿宋" w:eastAsia="仿宋" w:cs="仿宋"/>
                <w:spacing w:val="-2"/>
                <w:sz w:val="21"/>
                <w:szCs w:val="21"/>
                <w:highlight w:val="none"/>
              </w:rPr>
              <w:t>组合</w:t>
            </w:r>
            <w:r>
              <w:rPr>
                <w:rFonts w:hint="eastAsia" w:ascii="仿宋" w:hAnsi="仿宋" w:eastAsia="仿宋" w:cs="仿宋"/>
                <w:spacing w:val="-3"/>
                <w:sz w:val="21"/>
                <w:szCs w:val="21"/>
                <w:highlight w:val="none"/>
              </w:rPr>
              <w:t>家具</w:t>
            </w:r>
          </w:p>
        </w:tc>
        <w:tc>
          <w:tcPr>
            <w:tcW w:w="1268" w:type="pct"/>
          </w:tcPr>
          <w:p w14:paraId="4BF1C90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73" w:type="pct"/>
          </w:tcPr>
          <w:p w14:paraId="68E1BF6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05369F08">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HJ2547</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家具/HJ2540</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木塑制品</w:t>
            </w:r>
          </w:p>
        </w:tc>
      </w:tr>
      <w:tr w14:paraId="62C7E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318" w:type="pct"/>
          </w:tcPr>
          <w:p w14:paraId="38B3C1AE">
            <w:pPr>
              <w:pStyle w:val="75"/>
              <w:keepNext w:val="0"/>
              <w:keepLines w:val="0"/>
              <w:pageBreakBefore w:val="0"/>
              <w:widowControl w:val="0"/>
              <w:kinsoku/>
              <w:wordWrap/>
              <w:overflowPunct/>
              <w:topLinePunct w:val="0"/>
              <w:autoSpaceDE/>
              <w:autoSpaceDN/>
              <w:bidi w:val="0"/>
              <w:adjustRightInd/>
              <w:snapToGrid/>
              <w:spacing w:line="340" w:lineRule="exact"/>
              <w:ind w:left="112"/>
              <w:textAlignment w:val="auto"/>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27</w:t>
            </w:r>
          </w:p>
        </w:tc>
        <w:tc>
          <w:tcPr>
            <w:tcW w:w="613" w:type="pct"/>
          </w:tcPr>
          <w:p w14:paraId="1A7C87D9">
            <w:pPr>
              <w:pStyle w:val="75"/>
              <w:keepNext w:val="0"/>
              <w:keepLines w:val="0"/>
              <w:pageBreakBefore w:val="0"/>
              <w:widowControl w:val="0"/>
              <w:kinsoku/>
              <w:wordWrap/>
              <w:overflowPunct/>
              <w:topLinePunct w:val="0"/>
              <w:autoSpaceDE/>
              <w:autoSpaceDN/>
              <w:bidi w:val="0"/>
              <w:adjustRightInd/>
              <w:snapToGrid/>
              <w:spacing w:line="340" w:lineRule="exact"/>
              <w:ind w:left="107" w:right="113" w:hanging="7"/>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A0610</w:t>
            </w:r>
            <w:r>
              <w:rPr>
                <w:rFonts w:hint="eastAsia" w:ascii="仿宋" w:hAnsi="仿宋" w:eastAsia="仿宋" w:cs="仿宋"/>
                <w:spacing w:val="-34"/>
                <w:sz w:val="21"/>
                <w:szCs w:val="21"/>
                <w:highlight w:val="none"/>
              </w:rPr>
              <w:t xml:space="preserve"> </w:t>
            </w:r>
            <w:r>
              <w:rPr>
                <w:rFonts w:hint="eastAsia" w:ascii="仿宋" w:hAnsi="仿宋" w:eastAsia="仿宋" w:cs="仿宋"/>
                <w:spacing w:val="-2"/>
                <w:sz w:val="21"/>
                <w:szCs w:val="21"/>
                <w:highlight w:val="none"/>
              </w:rPr>
              <w:t>家用家具零配件</w:t>
            </w:r>
          </w:p>
        </w:tc>
        <w:tc>
          <w:tcPr>
            <w:tcW w:w="1268" w:type="pct"/>
          </w:tcPr>
          <w:p w14:paraId="0BA65E2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73" w:type="pct"/>
          </w:tcPr>
          <w:p w14:paraId="0748061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0651C6C6">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HJ2547</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家具/HJ2540</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木塑制品</w:t>
            </w:r>
          </w:p>
        </w:tc>
      </w:tr>
      <w:tr w14:paraId="58E1B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318" w:type="pct"/>
          </w:tcPr>
          <w:p w14:paraId="0BE727C6">
            <w:pPr>
              <w:pStyle w:val="75"/>
              <w:keepNext w:val="0"/>
              <w:keepLines w:val="0"/>
              <w:pageBreakBefore w:val="0"/>
              <w:widowControl w:val="0"/>
              <w:kinsoku/>
              <w:wordWrap/>
              <w:overflowPunct/>
              <w:topLinePunct w:val="0"/>
              <w:autoSpaceDE/>
              <w:autoSpaceDN/>
              <w:bidi w:val="0"/>
              <w:adjustRightInd/>
              <w:snapToGrid/>
              <w:spacing w:line="340" w:lineRule="exact"/>
              <w:ind w:left="112"/>
              <w:textAlignment w:val="auto"/>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28</w:t>
            </w:r>
          </w:p>
        </w:tc>
        <w:tc>
          <w:tcPr>
            <w:tcW w:w="613" w:type="pct"/>
          </w:tcPr>
          <w:p w14:paraId="1BDCB636">
            <w:pPr>
              <w:pStyle w:val="75"/>
              <w:keepNext w:val="0"/>
              <w:keepLines w:val="0"/>
              <w:pageBreakBefore w:val="0"/>
              <w:widowControl w:val="0"/>
              <w:kinsoku/>
              <w:wordWrap/>
              <w:overflowPunct/>
              <w:topLinePunct w:val="0"/>
              <w:autoSpaceDE/>
              <w:autoSpaceDN/>
              <w:bidi w:val="0"/>
              <w:adjustRightInd/>
              <w:snapToGrid/>
              <w:spacing w:line="340" w:lineRule="exact"/>
              <w:ind w:left="107" w:right="158" w:hanging="7"/>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A0699</w:t>
            </w:r>
            <w:r>
              <w:rPr>
                <w:rFonts w:hint="eastAsia" w:ascii="仿宋" w:hAnsi="仿宋" w:eastAsia="仿宋" w:cs="仿宋"/>
                <w:spacing w:val="-34"/>
                <w:sz w:val="21"/>
                <w:szCs w:val="21"/>
                <w:highlight w:val="none"/>
              </w:rPr>
              <w:t xml:space="preserve"> </w:t>
            </w:r>
            <w:r>
              <w:rPr>
                <w:rFonts w:hint="eastAsia" w:ascii="仿宋" w:hAnsi="仿宋" w:eastAsia="仿宋" w:cs="仿宋"/>
                <w:spacing w:val="-2"/>
                <w:sz w:val="21"/>
                <w:szCs w:val="21"/>
                <w:highlight w:val="none"/>
              </w:rPr>
              <w:t>其他家具用具</w:t>
            </w:r>
          </w:p>
        </w:tc>
        <w:tc>
          <w:tcPr>
            <w:tcW w:w="1268" w:type="pct"/>
          </w:tcPr>
          <w:p w14:paraId="7A86DEE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73" w:type="pct"/>
          </w:tcPr>
          <w:p w14:paraId="49B1718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784208E8">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HJ2547</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家具/HJ2540</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木塑制品</w:t>
            </w:r>
          </w:p>
        </w:tc>
      </w:tr>
      <w:tr w14:paraId="1B6E5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318" w:type="pct"/>
          </w:tcPr>
          <w:p w14:paraId="22132832">
            <w:pPr>
              <w:pStyle w:val="75"/>
              <w:keepNext w:val="0"/>
              <w:keepLines w:val="0"/>
              <w:pageBreakBefore w:val="0"/>
              <w:widowControl w:val="0"/>
              <w:kinsoku/>
              <w:wordWrap/>
              <w:overflowPunct/>
              <w:topLinePunct w:val="0"/>
              <w:autoSpaceDE/>
              <w:autoSpaceDN/>
              <w:bidi w:val="0"/>
              <w:adjustRightInd/>
              <w:snapToGrid/>
              <w:spacing w:line="340" w:lineRule="exact"/>
              <w:ind w:left="112"/>
              <w:textAlignment w:val="auto"/>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29</w:t>
            </w:r>
          </w:p>
        </w:tc>
        <w:tc>
          <w:tcPr>
            <w:tcW w:w="613" w:type="pct"/>
          </w:tcPr>
          <w:p w14:paraId="1BB41CB2">
            <w:pPr>
              <w:pStyle w:val="75"/>
              <w:keepNext w:val="0"/>
              <w:keepLines w:val="0"/>
              <w:pageBreakBefore w:val="0"/>
              <w:widowControl w:val="0"/>
              <w:kinsoku/>
              <w:wordWrap/>
              <w:overflowPunct/>
              <w:topLinePunct w:val="0"/>
              <w:autoSpaceDE/>
              <w:autoSpaceDN/>
              <w:bidi w:val="0"/>
              <w:adjustRightInd/>
              <w:snapToGrid/>
              <w:spacing w:line="340" w:lineRule="exact"/>
              <w:ind w:left="100"/>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A070101</w:t>
            </w:r>
          </w:p>
          <w:p w14:paraId="5BCEAC7D">
            <w:pPr>
              <w:pStyle w:val="75"/>
              <w:keepNext w:val="0"/>
              <w:keepLines w:val="0"/>
              <w:pageBreakBefore w:val="0"/>
              <w:widowControl w:val="0"/>
              <w:kinsoku/>
              <w:wordWrap/>
              <w:overflowPunct/>
              <w:topLinePunct w:val="0"/>
              <w:autoSpaceDE/>
              <w:autoSpaceDN/>
              <w:bidi w:val="0"/>
              <w:adjustRightInd/>
              <w:snapToGrid/>
              <w:spacing w:line="340" w:lineRule="exact"/>
              <w:ind w:left="106"/>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棉、化纤纺</w:t>
            </w:r>
          </w:p>
          <w:p w14:paraId="61D81970">
            <w:pPr>
              <w:pStyle w:val="75"/>
              <w:keepNext w:val="0"/>
              <w:keepLines w:val="0"/>
              <w:pageBreakBefore w:val="0"/>
              <w:widowControl w:val="0"/>
              <w:kinsoku/>
              <w:wordWrap/>
              <w:overflowPunct/>
              <w:topLinePunct w:val="0"/>
              <w:autoSpaceDE/>
              <w:autoSpaceDN/>
              <w:bidi w:val="0"/>
              <w:adjustRightInd/>
              <w:snapToGrid/>
              <w:spacing w:line="340" w:lineRule="exact"/>
              <w:ind w:left="106" w:right="113" w:firstLine="2"/>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织及印染原</w:t>
            </w:r>
            <w:r>
              <w:rPr>
                <w:rFonts w:hint="eastAsia" w:ascii="仿宋" w:hAnsi="仿宋" w:eastAsia="仿宋" w:cs="仿宋"/>
                <w:sz w:val="21"/>
                <w:szCs w:val="21"/>
                <w:highlight w:val="none"/>
              </w:rPr>
              <w:t>料</w:t>
            </w:r>
          </w:p>
        </w:tc>
        <w:tc>
          <w:tcPr>
            <w:tcW w:w="1268" w:type="pct"/>
          </w:tcPr>
          <w:p w14:paraId="609D8C6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73" w:type="pct"/>
          </w:tcPr>
          <w:p w14:paraId="2163B6F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4D49AC98">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HJ2546</w:t>
            </w:r>
            <w:r>
              <w:rPr>
                <w:rFonts w:hint="eastAsia" w:ascii="仿宋" w:hAnsi="仿宋" w:eastAsia="仿宋" w:cs="仿宋"/>
                <w:spacing w:val="-27"/>
                <w:sz w:val="21"/>
                <w:szCs w:val="21"/>
                <w:highlight w:val="none"/>
              </w:rPr>
              <w:t xml:space="preserve"> </w:t>
            </w:r>
            <w:r>
              <w:rPr>
                <w:rFonts w:hint="eastAsia" w:ascii="仿宋" w:hAnsi="仿宋" w:eastAsia="仿宋" w:cs="仿宋"/>
                <w:spacing w:val="-2"/>
                <w:sz w:val="21"/>
                <w:szCs w:val="21"/>
                <w:highlight w:val="none"/>
              </w:rPr>
              <w:t>纺织产品</w:t>
            </w:r>
          </w:p>
        </w:tc>
      </w:tr>
      <w:tr w14:paraId="19C41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318" w:type="pct"/>
          </w:tcPr>
          <w:p w14:paraId="45CED7CC">
            <w:pPr>
              <w:pStyle w:val="75"/>
              <w:keepNext w:val="0"/>
              <w:keepLines w:val="0"/>
              <w:pageBreakBefore w:val="0"/>
              <w:widowControl w:val="0"/>
              <w:kinsoku/>
              <w:wordWrap/>
              <w:overflowPunct/>
              <w:topLinePunct w:val="0"/>
              <w:autoSpaceDE/>
              <w:autoSpaceDN/>
              <w:bidi w:val="0"/>
              <w:adjustRightInd/>
              <w:snapToGrid/>
              <w:spacing w:line="340" w:lineRule="exact"/>
              <w:ind w:left="113"/>
              <w:textAlignment w:val="auto"/>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30</w:t>
            </w:r>
          </w:p>
        </w:tc>
        <w:tc>
          <w:tcPr>
            <w:tcW w:w="613" w:type="pct"/>
          </w:tcPr>
          <w:p w14:paraId="76A656D9">
            <w:pPr>
              <w:pStyle w:val="75"/>
              <w:keepNext w:val="0"/>
              <w:keepLines w:val="0"/>
              <w:pageBreakBefore w:val="0"/>
              <w:widowControl w:val="0"/>
              <w:kinsoku/>
              <w:wordWrap/>
              <w:overflowPunct/>
              <w:topLinePunct w:val="0"/>
              <w:autoSpaceDE/>
              <w:autoSpaceDN/>
              <w:bidi w:val="0"/>
              <w:adjustRightInd/>
              <w:snapToGrid/>
              <w:spacing w:line="340" w:lineRule="exact"/>
              <w:ind w:left="107" w:right="113" w:hanging="7"/>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A090101</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复印纸（包括再生复印</w:t>
            </w:r>
          </w:p>
          <w:p w14:paraId="7D39D466">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纸）</w:t>
            </w:r>
          </w:p>
        </w:tc>
        <w:tc>
          <w:tcPr>
            <w:tcW w:w="1268" w:type="pct"/>
          </w:tcPr>
          <w:p w14:paraId="064A4A9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73" w:type="pct"/>
          </w:tcPr>
          <w:p w14:paraId="30DD440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1B69FAC3">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HJ410</w:t>
            </w:r>
            <w:r>
              <w:rPr>
                <w:rFonts w:hint="eastAsia" w:ascii="仿宋" w:hAnsi="仿宋" w:eastAsia="仿宋" w:cs="仿宋"/>
                <w:spacing w:val="-29"/>
                <w:sz w:val="21"/>
                <w:szCs w:val="21"/>
                <w:highlight w:val="none"/>
              </w:rPr>
              <w:t xml:space="preserve"> </w:t>
            </w:r>
            <w:r>
              <w:rPr>
                <w:rFonts w:hint="eastAsia" w:ascii="仿宋" w:hAnsi="仿宋" w:eastAsia="仿宋" w:cs="仿宋"/>
                <w:spacing w:val="-2"/>
                <w:sz w:val="21"/>
                <w:szCs w:val="21"/>
                <w:highlight w:val="none"/>
              </w:rPr>
              <w:t>文化用纸</w:t>
            </w:r>
          </w:p>
        </w:tc>
      </w:tr>
      <w:tr w14:paraId="4AE31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318" w:type="pct"/>
          </w:tcPr>
          <w:p w14:paraId="0DCA144C">
            <w:pPr>
              <w:pStyle w:val="75"/>
              <w:keepNext w:val="0"/>
              <w:keepLines w:val="0"/>
              <w:pageBreakBefore w:val="0"/>
              <w:widowControl w:val="0"/>
              <w:kinsoku/>
              <w:wordWrap/>
              <w:overflowPunct/>
              <w:topLinePunct w:val="0"/>
              <w:autoSpaceDE/>
              <w:autoSpaceDN/>
              <w:bidi w:val="0"/>
              <w:adjustRightInd/>
              <w:snapToGrid/>
              <w:spacing w:line="340" w:lineRule="exact"/>
              <w:ind w:left="113"/>
              <w:textAlignment w:val="auto"/>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31</w:t>
            </w:r>
          </w:p>
        </w:tc>
        <w:tc>
          <w:tcPr>
            <w:tcW w:w="613" w:type="pct"/>
          </w:tcPr>
          <w:p w14:paraId="445F5E5F">
            <w:pPr>
              <w:pStyle w:val="75"/>
              <w:keepNext w:val="0"/>
              <w:keepLines w:val="0"/>
              <w:pageBreakBefore w:val="0"/>
              <w:widowControl w:val="0"/>
              <w:kinsoku/>
              <w:wordWrap/>
              <w:overflowPunct/>
              <w:topLinePunct w:val="0"/>
              <w:autoSpaceDE/>
              <w:autoSpaceDN/>
              <w:bidi w:val="0"/>
              <w:adjustRightInd/>
              <w:snapToGrid/>
              <w:spacing w:line="340" w:lineRule="exact"/>
              <w:ind w:left="104" w:right="113" w:hanging="4"/>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A090201</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鼓粉盒（包括再生鼓粉</w:t>
            </w:r>
          </w:p>
          <w:p w14:paraId="50D454B1">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盒）</w:t>
            </w:r>
          </w:p>
        </w:tc>
        <w:tc>
          <w:tcPr>
            <w:tcW w:w="1268" w:type="pct"/>
          </w:tcPr>
          <w:p w14:paraId="198C7C1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73" w:type="pct"/>
          </w:tcPr>
          <w:p w14:paraId="28F23FD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3B03A927">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HJ/T413</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再生鼓粉盒</w:t>
            </w:r>
          </w:p>
        </w:tc>
      </w:tr>
      <w:tr w14:paraId="790F3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18" w:type="pct"/>
            <w:vMerge w:val="restart"/>
            <w:tcBorders>
              <w:bottom w:val="nil"/>
            </w:tcBorders>
          </w:tcPr>
          <w:p w14:paraId="75940079">
            <w:pPr>
              <w:pStyle w:val="75"/>
              <w:keepNext w:val="0"/>
              <w:keepLines w:val="0"/>
              <w:pageBreakBefore w:val="0"/>
              <w:widowControl w:val="0"/>
              <w:kinsoku/>
              <w:wordWrap/>
              <w:overflowPunct/>
              <w:topLinePunct w:val="0"/>
              <w:autoSpaceDE/>
              <w:autoSpaceDN/>
              <w:bidi w:val="0"/>
              <w:adjustRightInd/>
              <w:snapToGrid/>
              <w:spacing w:line="340" w:lineRule="exact"/>
              <w:ind w:left="113"/>
              <w:textAlignment w:val="auto"/>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32</w:t>
            </w:r>
          </w:p>
        </w:tc>
        <w:tc>
          <w:tcPr>
            <w:tcW w:w="613" w:type="pct"/>
            <w:vMerge w:val="restart"/>
            <w:tcBorders>
              <w:bottom w:val="nil"/>
            </w:tcBorders>
          </w:tcPr>
          <w:p w14:paraId="17FD2C69">
            <w:pPr>
              <w:pStyle w:val="75"/>
              <w:keepNext w:val="0"/>
              <w:keepLines w:val="0"/>
              <w:pageBreakBefore w:val="0"/>
              <w:widowControl w:val="0"/>
              <w:kinsoku/>
              <w:wordWrap/>
              <w:overflowPunct/>
              <w:topLinePunct w:val="0"/>
              <w:autoSpaceDE/>
              <w:autoSpaceDN/>
              <w:bidi w:val="0"/>
              <w:adjustRightInd/>
              <w:snapToGrid/>
              <w:spacing w:line="340" w:lineRule="exact"/>
              <w:ind w:left="104" w:right="158" w:hanging="4"/>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A100203</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人造板</w:t>
            </w:r>
          </w:p>
        </w:tc>
        <w:tc>
          <w:tcPr>
            <w:tcW w:w="1268" w:type="pct"/>
          </w:tcPr>
          <w:p w14:paraId="24C4ACBE">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A10020301</w:t>
            </w:r>
            <w:r>
              <w:rPr>
                <w:rFonts w:hint="eastAsia" w:ascii="仿宋" w:hAnsi="仿宋" w:eastAsia="仿宋" w:cs="仿宋"/>
                <w:spacing w:val="-34"/>
                <w:sz w:val="21"/>
                <w:szCs w:val="21"/>
                <w:highlight w:val="none"/>
              </w:rPr>
              <w:t xml:space="preserve"> </w:t>
            </w:r>
            <w:r>
              <w:rPr>
                <w:rFonts w:hint="eastAsia" w:ascii="仿宋" w:hAnsi="仿宋" w:eastAsia="仿宋" w:cs="仿宋"/>
                <w:spacing w:val="-1"/>
                <w:sz w:val="21"/>
                <w:szCs w:val="21"/>
                <w:highlight w:val="none"/>
              </w:rPr>
              <w:t>胶合板</w:t>
            </w:r>
          </w:p>
        </w:tc>
        <w:tc>
          <w:tcPr>
            <w:tcW w:w="1073" w:type="pct"/>
          </w:tcPr>
          <w:p w14:paraId="4CCA58F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6CB3D46C">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HJ571</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人造板及其制品</w:t>
            </w:r>
          </w:p>
        </w:tc>
      </w:tr>
      <w:tr w14:paraId="1EEBC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18" w:type="pct"/>
            <w:vMerge w:val="continue"/>
            <w:tcBorders>
              <w:top w:val="nil"/>
              <w:bottom w:val="nil"/>
            </w:tcBorders>
          </w:tcPr>
          <w:p w14:paraId="39CCFE9B">
            <w:pPr>
              <w:rPr>
                <w:highlight w:val="none"/>
              </w:rPr>
            </w:pPr>
          </w:p>
        </w:tc>
        <w:tc>
          <w:tcPr>
            <w:tcW w:w="613" w:type="pct"/>
            <w:vMerge w:val="continue"/>
            <w:tcBorders>
              <w:top w:val="nil"/>
              <w:bottom w:val="nil"/>
            </w:tcBorders>
          </w:tcPr>
          <w:p w14:paraId="2B608AE9">
            <w:pPr>
              <w:rPr>
                <w:highlight w:val="none"/>
              </w:rPr>
            </w:pPr>
          </w:p>
        </w:tc>
        <w:tc>
          <w:tcPr>
            <w:tcW w:w="1268" w:type="pct"/>
          </w:tcPr>
          <w:p w14:paraId="3FF838F9">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A10020302</w:t>
            </w:r>
            <w:r>
              <w:rPr>
                <w:rFonts w:hint="eastAsia" w:ascii="仿宋" w:hAnsi="仿宋" w:eastAsia="仿宋" w:cs="仿宋"/>
                <w:spacing w:val="-32"/>
                <w:sz w:val="21"/>
                <w:szCs w:val="21"/>
                <w:highlight w:val="none"/>
              </w:rPr>
              <w:t xml:space="preserve"> </w:t>
            </w:r>
            <w:r>
              <w:rPr>
                <w:rFonts w:hint="eastAsia" w:ascii="仿宋" w:hAnsi="仿宋" w:eastAsia="仿宋" w:cs="仿宋"/>
                <w:spacing w:val="-1"/>
                <w:sz w:val="21"/>
                <w:szCs w:val="21"/>
                <w:highlight w:val="none"/>
              </w:rPr>
              <w:t>纤维板</w:t>
            </w:r>
          </w:p>
        </w:tc>
        <w:tc>
          <w:tcPr>
            <w:tcW w:w="1073" w:type="pct"/>
          </w:tcPr>
          <w:p w14:paraId="0BA156B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10E2C365">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HJ571</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人造板及其制品</w:t>
            </w:r>
          </w:p>
        </w:tc>
      </w:tr>
      <w:tr w14:paraId="4641C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18" w:type="pct"/>
            <w:vMerge w:val="continue"/>
            <w:tcBorders>
              <w:top w:val="nil"/>
              <w:bottom w:val="nil"/>
            </w:tcBorders>
          </w:tcPr>
          <w:p w14:paraId="645C3845">
            <w:pPr>
              <w:rPr>
                <w:highlight w:val="none"/>
              </w:rPr>
            </w:pPr>
          </w:p>
        </w:tc>
        <w:tc>
          <w:tcPr>
            <w:tcW w:w="613" w:type="pct"/>
            <w:vMerge w:val="continue"/>
            <w:tcBorders>
              <w:top w:val="nil"/>
              <w:bottom w:val="nil"/>
            </w:tcBorders>
          </w:tcPr>
          <w:p w14:paraId="00C8A1DD">
            <w:pPr>
              <w:rPr>
                <w:highlight w:val="none"/>
              </w:rPr>
            </w:pPr>
          </w:p>
        </w:tc>
        <w:tc>
          <w:tcPr>
            <w:tcW w:w="1268" w:type="pct"/>
          </w:tcPr>
          <w:p w14:paraId="167F1B0C">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A10020303</w:t>
            </w:r>
            <w:r>
              <w:rPr>
                <w:rFonts w:hint="eastAsia" w:ascii="仿宋" w:hAnsi="仿宋" w:eastAsia="仿宋" w:cs="仿宋"/>
                <w:spacing w:val="-33"/>
                <w:sz w:val="21"/>
                <w:szCs w:val="21"/>
                <w:highlight w:val="none"/>
              </w:rPr>
              <w:t xml:space="preserve"> </w:t>
            </w:r>
            <w:r>
              <w:rPr>
                <w:rFonts w:hint="eastAsia" w:ascii="仿宋" w:hAnsi="仿宋" w:eastAsia="仿宋" w:cs="仿宋"/>
                <w:spacing w:val="-1"/>
                <w:sz w:val="21"/>
                <w:szCs w:val="21"/>
                <w:highlight w:val="none"/>
              </w:rPr>
              <w:t>刨花板</w:t>
            </w:r>
          </w:p>
        </w:tc>
        <w:tc>
          <w:tcPr>
            <w:tcW w:w="1073" w:type="pct"/>
          </w:tcPr>
          <w:p w14:paraId="1FD9E2F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493B06F9">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HJ571</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人造板及其制品</w:t>
            </w:r>
          </w:p>
        </w:tc>
      </w:tr>
      <w:tr w14:paraId="68966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18" w:type="pct"/>
            <w:vMerge w:val="continue"/>
            <w:tcBorders>
              <w:top w:val="nil"/>
              <w:bottom w:val="nil"/>
            </w:tcBorders>
          </w:tcPr>
          <w:p w14:paraId="7FB015B6">
            <w:pPr>
              <w:rPr>
                <w:highlight w:val="none"/>
              </w:rPr>
            </w:pPr>
          </w:p>
        </w:tc>
        <w:tc>
          <w:tcPr>
            <w:tcW w:w="613" w:type="pct"/>
            <w:vMerge w:val="continue"/>
            <w:tcBorders>
              <w:top w:val="nil"/>
              <w:bottom w:val="nil"/>
            </w:tcBorders>
          </w:tcPr>
          <w:p w14:paraId="318FEB67">
            <w:pPr>
              <w:rPr>
                <w:highlight w:val="none"/>
              </w:rPr>
            </w:pPr>
          </w:p>
        </w:tc>
        <w:tc>
          <w:tcPr>
            <w:tcW w:w="1268" w:type="pct"/>
          </w:tcPr>
          <w:p w14:paraId="2C3E4A61">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A10020304</w:t>
            </w:r>
            <w:r>
              <w:rPr>
                <w:rFonts w:hint="eastAsia" w:ascii="仿宋" w:hAnsi="仿宋" w:eastAsia="仿宋" w:cs="仿宋"/>
                <w:spacing w:val="-33"/>
                <w:sz w:val="21"/>
                <w:szCs w:val="21"/>
                <w:highlight w:val="none"/>
              </w:rPr>
              <w:t xml:space="preserve"> </w:t>
            </w:r>
            <w:r>
              <w:rPr>
                <w:rFonts w:hint="eastAsia" w:ascii="仿宋" w:hAnsi="仿宋" w:eastAsia="仿宋" w:cs="仿宋"/>
                <w:spacing w:val="-1"/>
                <w:sz w:val="21"/>
                <w:szCs w:val="21"/>
                <w:highlight w:val="none"/>
              </w:rPr>
              <w:t>细木工板</w:t>
            </w:r>
          </w:p>
        </w:tc>
        <w:tc>
          <w:tcPr>
            <w:tcW w:w="1073" w:type="pct"/>
          </w:tcPr>
          <w:p w14:paraId="2B9B066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7B2D833E">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HJ571</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人造板及其制品</w:t>
            </w:r>
          </w:p>
        </w:tc>
      </w:tr>
      <w:tr w14:paraId="0C9CD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18" w:type="pct"/>
            <w:vMerge w:val="continue"/>
            <w:tcBorders>
              <w:top w:val="nil"/>
            </w:tcBorders>
          </w:tcPr>
          <w:p w14:paraId="0C8E51E0">
            <w:pPr>
              <w:rPr>
                <w:highlight w:val="none"/>
              </w:rPr>
            </w:pPr>
          </w:p>
        </w:tc>
        <w:tc>
          <w:tcPr>
            <w:tcW w:w="613" w:type="pct"/>
            <w:vMerge w:val="continue"/>
            <w:tcBorders>
              <w:top w:val="nil"/>
            </w:tcBorders>
          </w:tcPr>
          <w:p w14:paraId="3AB0CADE">
            <w:pPr>
              <w:rPr>
                <w:highlight w:val="none"/>
              </w:rPr>
            </w:pPr>
          </w:p>
        </w:tc>
        <w:tc>
          <w:tcPr>
            <w:tcW w:w="1268" w:type="pct"/>
          </w:tcPr>
          <w:p w14:paraId="12774127">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A10020399</w:t>
            </w:r>
            <w:r>
              <w:rPr>
                <w:rFonts w:hint="eastAsia" w:ascii="仿宋" w:hAnsi="仿宋" w:eastAsia="仿宋" w:cs="仿宋"/>
                <w:spacing w:val="-32"/>
                <w:sz w:val="21"/>
                <w:szCs w:val="21"/>
                <w:highlight w:val="none"/>
              </w:rPr>
              <w:t xml:space="preserve"> </w:t>
            </w:r>
            <w:r>
              <w:rPr>
                <w:rFonts w:hint="eastAsia" w:ascii="仿宋" w:hAnsi="仿宋" w:eastAsia="仿宋" w:cs="仿宋"/>
                <w:spacing w:val="-1"/>
                <w:sz w:val="21"/>
                <w:szCs w:val="21"/>
                <w:highlight w:val="none"/>
              </w:rPr>
              <w:t>其他人造板</w:t>
            </w:r>
          </w:p>
        </w:tc>
        <w:tc>
          <w:tcPr>
            <w:tcW w:w="1073" w:type="pct"/>
          </w:tcPr>
          <w:p w14:paraId="794FA50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56DFDD75">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HJ571</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人造板及其制品</w:t>
            </w:r>
          </w:p>
        </w:tc>
      </w:tr>
      <w:tr w14:paraId="31B32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18" w:type="pct"/>
            <w:vMerge w:val="restart"/>
            <w:tcBorders>
              <w:bottom w:val="nil"/>
            </w:tcBorders>
          </w:tcPr>
          <w:p w14:paraId="4AF62D5A">
            <w:pPr>
              <w:pStyle w:val="75"/>
              <w:keepNext w:val="0"/>
              <w:keepLines w:val="0"/>
              <w:pageBreakBefore w:val="0"/>
              <w:widowControl w:val="0"/>
              <w:kinsoku/>
              <w:wordWrap/>
              <w:overflowPunct/>
              <w:topLinePunct w:val="0"/>
              <w:autoSpaceDE/>
              <w:autoSpaceDN/>
              <w:bidi w:val="0"/>
              <w:adjustRightInd/>
              <w:snapToGrid/>
              <w:spacing w:line="340" w:lineRule="exact"/>
              <w:ind w:left="113"/>
              <w:textAlignment w:val="auto"/>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33</w:t>
            </w:r>
          </w:p>
        </w:tc>
        <w:tc>
          <w:tcPr>
            <w:tcW w:w="613" w:type="pct"/>
            <w:vMerge w:val="restart"/>
            <w:tcBorders>
              <w:bottom w:val="nil"/>
            </w:tcBorders>
          </w:tcPr>
          <w:p w14:paraId="313F15BF">
            <w:pPr>
              <w:pStyle w:val="75"/>
              <w:keepNext w:val="0"/>
              <w:keepLines w:val="0"/>
              <w:pageBreakBefore w:val="0"/>
              <w:widowControl w:val="0"/>
              <w:kinsoku/>
              <w:wordWrap/>
              <w:overflowPunct/>
              <w:topLinePunct w:val="0"/>
              <w:autoSpaceDE/>
              <w:autoSpaceDN/>
              <w:bidi w:val="0"/>
              <w:adjustRightInd/>
              <w:snapToGrid/>
              <w:spacing w:line="340" w:lineRule="exact"/>
              <w:ind w:left="105" w:right="158" w:hanging="5"/>
              <w:jc w:val="both"/>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A100204</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二次加工材,相关板材</w:t>
            </w:r>
          </w:p>
        </w:tc>
        <w:tc>
          <w:tcPr>
            <w:tcW w:w="1268" w:type="pct"/>
          </w:tcPr>
          <w:p w14:paraId="61CA452B">
            <w:pPr>
              <w:pStyle w:val="75"/>
              <w:keepNext w:val="0"/>
              <w:keepLines w:val="0"/>
              <w:pageBreakBefore w:val="0"/>
              <w:widowControl w:val="0"/>
              <w:kinsoku/>
              <w:wordWrap/>
              <w:overflowPunct/>
              <w:topLinePunct w:val="0"/>
              <w:autoSpaceDE/>
              <w:autoSpaceDN/>
              <w:bidi w:val="0"/>
              <w:adjustRightInd/>
              <w:snapToGrid/>
              <w:spacing w:line="340" w:lineRule="exact"/>
              <w:ind w:left="106" w:right="272" w:hanging="5"/>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A10020404</w:t>
            </w:r>
            <w:r>
              <w:rPr>
                <w:rFonts w:hint="eastAsia" w:ascii="仿宋" w:hAnsi="仿宋" w:eastAsia="仿宋" w:cs="仿宋"/>
                <w:spacing w:val="-33"/>
                <w:sz w:val="21"/>
                <w:szCs w:val="21"/>
                <w:highlight w:val="none"/>
              </w:rPr>
              <w:t xml:space="preserve"> </w:t>
            </w:r>
            <w:r>
              <w:rPr>
                <w:rFonts w:hint="eastAsia" w:ascii="仿宋" w:hAnsi="仿宋" w:eastAsia="仿宋" w:cs="仿宋"/>
                <w:spacing w:val="-1"/>
                <w:sz w:val="21"/>
                <w:szCs w:val="21"/>
                <w:highlight w:val="none"/>
              </w:rPr>
              <w:t>人造板表面装</w:t>
            </w:r>
            <w:r>
              <w:rPr>
                <w:rFonts w:hint="eastAsia" w:ascii="仿宋" w:hAnsi="仿宋" w:eastAsia="仿宋" w:cs="仿宋"/>
                <w:spacing w:val="-2"/>
                <w:sz w:val="21"/>
                <w:szCs w:val="21"/>
                <w:highlight w:val="none"/>
              </w:rPr>
              <w:t>饰板</w:t>
            </w:r>
          </w:p>
        </w:tc>
        <w:tc>
          <w:tcPr>
            <w:tcW w:w="1073" w:type="pct"/>
          </w:tcPr>
          <w:p w14:paraId="42393C7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6364D6FF">
            <w:pPr>
              <w:pStyle w:val="75"/>
              <w:keepNext w:val="0"/>
              <w:keepLines w:val="0"/>
              <w:pageBreakBefore w:val="0"/>
              <w:widowControl w:val="0"/>
              <w:kinsoku/>
              <w:wordWrap/>
              <w:overflowPunct/>
              <w:topLinePunct w:val="0"/>
              <w:autoSpaceDE/>
              <w:autoSpaceDN/>
              <w:bidi w:val="0"/>
              <w:adjustRightInd/>
              <w:snapToGrid/>
              <w:spacing w:line="340" w:lineRule="exact"/>
              <w:ind w:left="111" w:right="242" w:hanging="4"/>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HJ571</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人造板及其制品/HJ2540</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木塑</w:t>
            </w:r>
            <w:r>
              <w:rPr>
                <w:rFonts w:hint="eastAsia" w:ascii="仿宋" w:hAnsi="仿宋" w:eastAsia="仿宋" w:cs="仿宋"/>
                <w:spacing w:val="-2"/>
                <w:sz w:val="21"/>
                <w:szCs w:val="21"/>
                <w:highlight w:val="none"/>
              </w:rPr>
              <w:t>制品</w:t>
            </w:r>
          </w:p>
        </w:tc>
      </w:tr>
      <w:tr w14:paraId="08702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318" w:type="pct"/>
            <w:vMerge w:val="continue"/>
            <w:tcBorders>
              <w:top w:val="nil"/>
            </w:tcBorders>
          </w:tcPr>
          <w:p w14:paraId="39A950ED">
            <w:pPr>
              <w:rPr>
                <w:highlight w:val="none"/>
              </w:rPr>
            </w:pPr>
          </w:p>
        </w:tc>
        <w:tc>
          <w:tcPr>
            <w:tcW w:w="613" w:type="pct"/>
            <w:vMerge w:val="continue"/>
            <w:tcBorders>
              <w:top w:val="nil"/>
            </w:tcBorders>
          </w:tcPr>
          <w:p w14:paraId="7CD3CF7F">
            <w:pPr>
              <w:rPr>
                <w:highlight w:val="none"/>
              </w:rPr>
            </w:pPr>
          </w:p>
        </w:tc>
        <w:tc>
          <w:tcPr>
            <w:tcW w:w="1268" w:type="pct"/>
          </w:tcPr>
          <w:p w14:paraId="098D5BC6">
            <w:pPr>
              <w:pStyle w:val="75"/>
              <w:keepNext w:val="0"/>
              <w:keepLines w:val="0"/>
              <w:pageBreakBefore w:val="0"/>
              <w:widowControl w:val="0"/>
              <w:kinsoku/>
              <w:wordWrap/>
              <w:overflowPunct/>
              <w:topLinePunct w:val="0"/>
              <w:autoSpaceDE/>
              <w:autoSpaceDN/>
              <w:bidi w:val="0"/>
              <w:adjustRightInd/>
              <w:snapToGrid/>
              <w:spacing w:line="340" w:lineRule="exact"/>
              <w:ind w:left="106" w:right="272" w:hanging="5"/>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A10020404</w:t>
            </w:r>
            <w:r>
              <w:rPr>
                <w:rFonts w:hint="eastAsia" w:ascii="仿宋" w:hAnsi="仿宋" w:eastAsia="仿宋" w:cs="仿宋"/>
                <w:spacing w:val="-33"/>
                <w:sz w:val="21"/>
                <w:szCs w:val="21"/>
                <w:highlight w:val="none"/>
              </w:rPr>
              <w:t xml:space="preserve"> </w:t>
            </w:r>
            <w:r>
              <w:rPr>
                <w:rFonts w:hint="eastAsia" w:ascii="仿宋" w:hAnsi="仿宋" w:eastAsia="仿宋" w:cs="仿宋"/>
                <w:spacing w:val="-1"/>
                <w:sz w:val="21"/>
                <w:szCs w:val="21"/>
                <w:highlight w:val="none"/>
              </w:rPr>
              <w:t>人造板表面装</w:t>
            </w:r>
            <w:r>
              <w:rPr>
                <w:rFonts w:hint="eastAsia" w:ascii="仿宋" w:hAnsi="仿宋" w:eastAsia="仿宋" w:cs="仿宋"/>
                <w:spacing w:val="-2"/>
                <w:sz w:val="21"/>
                <w:szCs w:val="21"/>
                <w:highlight w:val="none"/>
              </w:rPr>
              <w:t>饰板</w:t>
            </w:r>
          </w:p>
          <w:p w14:paraId="76723C1F">
            <w:pPr>
              <w:pStyle w:val="75"/>
              <w:keepNext w:val="0"/>
              <w:keepLines w:val="0"/>
              <w:pageBreakBefore w:val="0"/>
              <w:widowControl w:val="0"/>
              <w:kinsoku/>
              <w:wordWrap/>
              <w:overflowPunct/>
              <w:topLinePunct w:val="0"/>
              <w:autoSpaceDE/>
              <w:autoSpaceDN/>
              <w:bidi w:val="0"/>
              <w:adjustRightInd/>
              <w:snapToGrid/>
              <w:spacing w:line="340" w:lineRule="exact"/>
              <w:ind w:left="111"/>
              <w:textAlignment w:val="auto"/>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（地板）</w:t>
            </w:r>
          </w:p>
        </w:tc>
        <w:tc>
          <w:tcPr>
            <w:tcW w:w="1073" w:type="pct"/>
          </w:tcPr>
          <w:p w14:paraId="4FFC8F3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4EA4877B">
            <w:pPr>
              <w:pStyle w:val="75"/>
              <w:keepNext w:val="0"/>
              <w:keepLines w:val="0"/>
              <w:pageBreakBefore w:val="0"/>
              <w:widowControl w:val="0"/>
              <w:kinsoku/>
              <w:wordWrap/>
              <w:overflowPunct/>
              <w:topLinePunct w:val="0"/>
              <w:autoSpaceDE/>
              <w:autoSpaceDN/>
              <w:bidi w:val="0"/>
              <w:adjustRightInd/>
              <w:snapToGrid/>
              <w:spacing w:line="340" w:lineRule="exact"/>
              <w:ind w:left="111" w:right="242" w:hanging="4"/>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HJ571</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人造板及其制品/HJ2540</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木塑</w:t>
            </w:r>
            <w:r>
              <w:rPr>
                <w:rFonts w:hint="eastAsia" w:ascii="仿宋" w:hAnsi="仿宋" w:eastAsia="仿宋" w:cs="仿宋"/>
                <w:spacing w:val="-2"/>
                <w:sz w:val="21"/>
                <w:szCs w:val="21"/>
                <w:highlight w:val="none"/>
              </w:rPr>
              <w:t>制品</w:t>
            </w:r>
          </w:p>
        </w:tc>
      </w:tr>
      <w:tr w14:paraId="2FD2A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318" w:type="pct"/>
          </w:tcPr>
          <w:p w14:paraId="2EC9E3D3">
            <w:pPr>
              <w:pStyle w:val="75"/>
              <w:keepNext w:val="0"/>
              <w:keepLines w:val="0"/>
              <w:pageBreakBefore w:val="0"/>
              <w:widowControl w:val="0"/>
              <w:kinsoku/>
              <w:wordWrap/>
              <w:overflowPunct/>
              <w:topLinePunct w:val="0"/>
              <w:autoSpaceDE/>
              <w:autoSpaceDN/>
              <w:bidi w:val="0"/>
              <w:adjustRightInd/>
              <w:snapToGrid/>
              <w:spacing w:line="340" w:lineRule="exact"/>
              <w:ind w:left="113"/>
              <w:textAlignment w:val="auto"/>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34</w:t>
            </w:r>
          </w:p>
        </w:tc>
        <w:tc>
          <w:tcPr>
            <w:tcW w:w="613" w:type="pct"/>
          </w:tcPr>
          <w:p w14:paraId="638CAF04">
            <w:pPr>
              <w:pStyle w:val="75"/>
              <w:keepNext w:val="0"/>
              <w:keepLines w:val="0"/>
              <w:pageBreakBefore w:val="0"/>
              <w:widowControl w:val="0"/>
              <w:kinsoku/>
              <w:wordWrap/>
              <w:overflowPunct/>
              <w:topLinePunct w:val="0"/>
              <w:autoSpaceDE/>
              <w:autoSpaceDN/>
              <w:bidi w:val="0"/>
              <w:adjustRightInd/>
              <w:snapToGrid/>
              <w:spacing w:line="340" w:lineRule="exact"/>
              <w:ind w:left="107" w:right="113" w:hanging="7"/>
              <w:jc w:val="both"/>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A100301</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水泥熟料及水</w:t>
            </w:r>
            <w:r>
              <w:rPr>
                <w:rFonts w:hint="eastAsia" w:ascii="仿宋" w:hAnsi="仿宋" w:eastAsia="仿宋" w:cs="仿宋"/>
                <w:sz w:val="21"/>
                <w:szCs w:val="21"/>
                <w:highlight w:val="none"/>
              </w:rPr>
              <w:t>泥</w:t>
            </w:r>
          </w:p>
        </w:tc>
        <w:tc>
          <w:tcPr>
            <w:tcW w:w="1268" w:type="pct"/>
          </w:tcPr>
          <w:p w14:paraId="1CB59044">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A10030102</w:t>
            </w:r>
            <w:r>
              <w:rPr>
                <w:rFonts w:hint="eastAsia" w:ascii="仿宋" w:hAnsi="仿宋" w:eastAsia="仿宋" w:cs="仿宋"/>
                <w:spacing w:val="-32"/>
                <w:sz w:val="21"/>
                <w:szCs w:val="21"/>
                <w:highlight w:val="none"/>
              </w:rPr>
              <w:t xml:space="preserve"> </w:t>
            </w:r>
            <w:r>
              <w:rPr>
                <w:rFonts w:hint="eastAsia" w:ascii="仿宋" w:hAnsi="仿宋" w:eastAsia="仿宋" w:cs="仿宋"/>
                <w:spacing w:val="-1"/>
                <w:sz w:val="21"/>
                <w:szCs w:val="21"/>
                <w:highlight w:val="none"/>
              </w:rPr>
              <w:t>水泥</w:t>
            </w:r>
          </w:p>
        </w:tc>
        <w:tc>
          <w:tcPr>
            <w:tcW w:w="1073" w:type="pct"/>
          </w:tcPr>
          <w:p w14:paraId="22DE276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2E060E7B">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HJ2519</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水泥</w:t>
            </w:r>
          </w:p>
        </w:tc>
      </w:tr>
      <w:tr w14:paraId="57D04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318" w:type="pct"/>
          </w:tcPr>
          <w:p w14:paraId="4B89BB3F">
            <w:pPr>
              <w:pStyle w:val="75"/>
              <w:keepNext w:val="0"/>
              <w:keepLines w:val="0"/>
              <w:pageBreakBefore w:val="0"/>
              <w:widowControl w:val="0"/>
              <w:kinsoku/>
              <w:wordWrap/>
              <w:overflowPunct/>
              <w:topLinePunct w:val="0"/>
              <w:autoSpaceDE/>
              <w:autoSpaceDN/>
              <w:bidi w:val="0"/>
              <w:adjustRightInd/>
              <w:snapToGrid/>
              <w:spacing w:line="340" w:lineRule="exact"/>
              <w:ind w:left="113"/>
              <w:textAlignment w:val="auto"/>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35</w:t>
            </w:r>
          </w:p>
        </w:tc>
        <w:tc>
          <w:tcPr>
            <w:tcW w:w="613" w:type="pct"/>
          </w:tcPr>
          <w:p w14:paraId="2A60A264">
            <w:pPr>
              <w:pStyle w:val="75"/>
              <w:keepNext w:val="0"/>
              <w:keepLines w:val="0"/>
              <w:pageBreakBefore w:val="0"/>
              <w:widowControl w:val="0"/>
              <w:kinsoku/>
              <w:wordWrap/>
              <w:overflowPunct/>
              <w:topLinePunct w:val="0"/>
              <w:autoSpaceDE/>
              <w:autoSpaceDN/>
              <w:bidi w:val="0"/>
              <w:adjustRightInd/>
              <w:snapToGrid/>
              <w:spacing w:line="340" w:lineRule="exact"/>
              <w:ind w:left="107" w:right="113" w:hanging="7"/>
              <w:jc w:val="both"/>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A100303</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水泥混凝土制</w:t>
            </w:r>
            <w:r>
              <w:rPr>
                <w:rFonts w:hint="eastAsia" w:ascii="仿宋" w:hAnsi="仿宋" w:eastAsia="仿宋" w:cs="仿宋"/>
                <w:sz w:val="21"/>
                <w:szCs w:val="21"/>
                <w:highlight w:val="none"/>
              </w:rPr>
              <w:t>品</w:t>
            </w:r>
          </w:p>
        </w:tc>
        <w:tc>
          <w:tcPr>
            <w:tcW w:w="1268" w:type="pct"/>
          </w:tcPr>
          <w:p w14:paraId="7ED9B298">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A10030301</w:t>
            </w:r>
            <w:r>
              <w:rPr>
                <w:rFonts w:hint="eastAsia" w:ascii="仿宋" w:hAnsi="仿宋" w:eastAsia="仿宋" w:cs="仿宋"/>
                <w:spacing w:val="-32"/>
                <w:sz w:val="21"/>
                <w:szCs w:val="21"/>
                <w:highlight w:val="none"/>
              </w:rPr>
              <w:t xml:space="preserve"> </w:t>
            </w:r>
            <w:r>
              <w:rPr>
                <w:rFonts w:hint="eastAsia" w:ascii="仿宋" w:hAnsi="仿宋" w:eastAsia="仿宋" w:cs="仿宋"/>
                <w:spacing w:val="-1"/>
                <w:sz w:val="21"/>
                <w:szCs w:val="21"/>
                <w:highlight w:val="none"/>
              </w:rPr>
              <w:t>商品混凝土</w:t>
            </w:r>
          </w:p>
        </w:tc>
        <w:tc>
          <w:tcPr>
            <w:tcW w:w="1073" w:type="pct"/>
          </w:tcPr>
          <w:p w14:paraId="4B7C0FD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04BBFE7C">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HJ/T412</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预拌混凝土</w:t>
            </w:r>
          </w:p>
        </w:tc>
      </w:tr>
      <w:tr w14:paraId="60C9C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18" w:type="pct"/>
            <w:vMerge w:val="restart"/>
            <w:tcBorders>
              <w:bottom w:val="nil"/>
            </w:tcBorders>
          </w:tcPr>
          <w:p w14:paraId="6E2E1762">
            <w:pPr>
              <w:pStyle w:val="75"/>
              <w:keepNext w:val="0"/>
              <w:keepLines w:val="0"/>
              <w:pageBreakBefore w:val="0"/>
              <w:widowControl w:val="0"/>
              <w:kinsoku/>
              <w:wordWrap/>
              <w:overflowPunct/>
              <w:topLinePunct w:val="0"/>
              <w:autoSpaceDE/>
              <w:autoSpaceDN/>
              <w:bidi w:val="0"/>
              <w:adjustRightInd/>
              <w:snapToGrid/>
              <w:spacing w:line="340" w:lineRule="exact"/>
              <w:ind w:left="113"/>
              <w:textAlignment w:val="auto"/>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36</w:t>
            </w:r>
          </w:p>
        </w:tc>
        <w:tc>
          <w:tcPr>
            <w:tcW w:w="613" w:type="pct"/>
            <w:vMerge w:val="restart"/>
            <w:tcBorders>
              <w:bottom w:val="nil"/>
            </w:tcBorders>
          </w:tcPr>
          <w:p w14:paraId="7911F49B">
            <w:pPr>
              <w:pStyle w:val="75"/>
              <w:keepNext w:val="0"/>
              <w:keepLines w:val="0"/>
              <w:pageBreakBefore w:val="0"/>
              <w:widowControl w:val="0"/>
              <w:kinsoku/>
              <w:wordWrap/>
              <w:overflowPunct/>
              <w:topLinePunct w:val="0"/>
              <w:autoSpaceDE/>
              <w:autoSpaceDN/>
              <w:bidi w:val="0"/>
              <w:adjustRightInd/>
              <w:snapToGrid/>
              <w:spacing w:line="340" w:lineRule="exact"/>
              <w:ind w:left="106" w:right="113" w:hanging="6"/>
              <w:jc w:val="both"/>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A100304</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纤维增强水泥制品</w:t>
            </w:r>
          </w:p>
        </w:tc>
        <w:tc>
          <w:tcPr>
            <w:tcW w:w="1268" w:type="pct"/>
          </w:tcPr>
          <w:p w14:paraId="04A835F5">
            <w:pPr>
              <w:pStyle w:val="75"/>
              <w:keepNext w:val="0"/>
              <w:keepLines w:val="0"/>
              <w:pageBreakBefore w:val="0"/>
              <w:widowControl w:val="0"/>
              <w:kinsoku/>
              <w:wordWrap/>
              <w:overflowPunct/>
              <w:topLinePunct w:val="0"/>
              <w:autoSpaceDE/>
              <w:autoSpaceDN/>
              <w:bidi w:val="0"/>
              <w:adjustRightInd/>
              <w:snapToGrid/>
              <w:spacing w:line="340" w:lineRule="exact"/>
              <w:ind w:left="105" w:right="272" w:hanging="4"/>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A10030402</w:t>
            </w:r>
            <w:r>
              <w:rPr>
                <w:rFonts w:hint="eastAsia" w:ascii="仿宋" w:hAnsi="仿宋" w:eastAsia="仿宋" w:cs="仿宋"/>
                <w:spacing w:val="-33"/>
                <w:sz w:val="21"/>
                <w:szCs w:val="21"/>
                <w:highlight w:val="none"/>
              </w:rPr>
              <w:t xml:space="preserve"> </w:t>
            </w:r>
            <w:r>
              <w:rPr>
                <w:rFonts w:hint="eastAsia" w:ascii="仿宋" w:hAnsi="仿宋" w:eastAsia="仿宋" w:cs="仿宋"/>
                <w:spacing w:val="-1"/>
                <w:sz w:val="21"/>
                <w:szCs w:val="21"/>
                <w:highlight w:val="none"/>
              </w:rPr>
              <w:t>纤维增强硅酸</w:t>
            </w:r>
            <w:r>
              <w:rPr>
                <w:rFonts w:hint="eastAsia" w:ascii="仿宋" w:hAnsi="仿宋" w:eastAsia="仿宋" w:cs="仿宋"/>
                <w:spacing w:val="-2"/>
                <w:sz w:val="21"/>
                <w:szCs w:val="21"/>
                <w:highlight w:val="none"/>
              </w:rPr>
              <w:t>钙板</w:t>
            </w:r>
          </w:p>
        </w:tc>
        <w:tc>
          <w:tcPr>
            <w:tcW w:w="1073" w:type="pct"/>
          </w:tcPr>
          <w:p w14:paraId="161C86D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0499DDB1">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HJ/T223</w:t>
            </w:r>
            <w:r>
              <w:rPr>
                <w:rFonts w:hint="eastAsia" w:ascii="仿宋" w:hAnsi="仿宋" w:eastAsia="仿宋" w:cs="仿宋"/>
                <w:spacing w:val="-35"/>
                <w:sz w:val="21"/>
                <w:szCs w:val="21"/>
                <w:highlight w:val="none"/>
              </w:rPr>
              <w:t xml:space="preserve"> </w:t>
            </w:r>
            <w:r>
              <w:rPr>
                <w:rFonts w:hint="eastAsia" w:ascii="仿宋" w:hAnsi="仿宋" w:eastAsia="仿宋" w:cs="仿宋"/>
                <w:spacing w:val="-1"/>
                <w:sz w:val="21"/>
                <w:szCs w:val="21"/>
                <w:highlight w:val="none"/>
              </w:rPr>
              <w:t>轻质墙体板材</w:t>
            </w:r>
          </w:p>
        </w:tc>
      </w:tr>
      <w:tr w14:paraId="7BF16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18" w:type="pct"/>
            <w:vMerge w:val="continue"/>
            <w:tcBorders>
              <w:top w:val="nil"/>
            </w:tcBorders>
          </w:tcPr>
          <w:p w14:paraId="09C8CEDC">
            <w:pPr>
              <w:rPr>
                <w:highlight w:val="none"/>
              </w:rPr>
            </w:pPr>
          </w:p>
        </w:tc>
        <w:tc>
          <w:tcPr>
            <w:tcW w:w="613" w:type="pct"/>
            <w:vMerge w:val="continue"/>
            <w:tcBorders>
              <w:top w:val="nil"/>
            </w:tcBorders>
          </w:tcPr>
          <w:p w14:paraId="46B4682D">
            <w:pPr>
              <w:rPr>
                <w:highlight w:val="none"/>
              </w:rPr>
            </w:pPr>
          </w:p>
        </w:tc>
        <w:tc>
          <w:tcPr>
            <w:tcW w:w="1268" w:type="pct"/>
          </w:tcPr>
          <w:p w14:paraId="22577A76">
            <w:pPr>
              <w:pStyle w:val="75"/>
              <w:keepNext w:val="0"/>
              <w:keepLines w:val="0"/>
              <w:pageBreakBefore w:val="0"/>
              <w:widowControl w:val="0"/>
              <w:kinsoku/>
              <w:wordWrap/>
              <w:overflowPunct/>
              <w:topLinePunct w:val="0"/>
              <w:autoSpaceDE/>
              <w:autoSpaceDN/>
              <w:bidi w:val="0"/>
              <w:adjustRightInd/>
              <w:snapToGrid/>
              <w:spacing w:line="340" w:lineRule="exact"/>
              <w:ind w:left="108" w:right="272" w:hanging="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A10030403</w:t>
            </w:r>
            <w:r>
              <w:rPr>
                <w:rFonts w:hint="eastAsia" w:ascii="仿宋" w:hAnsi="仿宋" w:eastAsia="仿宋" w:cs="仿宋"/>
                <w:spacing w:val="-33"/>
                <w:sz w:val="21"/>
                <w:szCs w:val="21"/>
                <w:highlight w:val="none"/>
              </w:rPr>
              <w:t xml:space="preserve"> </w:t>
            </w:r>
            <w:r>
              <w:rPr>
                <w:rFonts w:hint="eastAsia" w:ascii="仿宋" w:hAnsi="仿宋" w:eastAsia="仿宋" w:cs="仿宋"/>
                <w:spacing w:val="-1"/>
                <w:sz w:val="21"/>
                <w:szCs w:val="21"/>
                <w:highlight w:val="none"/>
              </w:rPr>
              <w:t>无石棉纤维水</w:t>
            </w:r>
            <w:r>
              <w:rPr>
                <w:rFonts w:hint="eastAsia" w:ascii="仿宋" w:hAnsi="仿宋" w:eastAsia="仿宋" w:cs="仿宋"/>
                <w:spacing w:val="-2"/>
                <w:sz w:val="21"/>
                <w:szCs w:val="21"/>
                <w:highlight w:val="none"/>
              </w:rPr>
              <w:t>泥制品</w:t>
            </w:r>
          </w:p>
        </w:tc>
        <w:tc>
          <w:tcPr>
            <w:tcW w:w="1073" w:type="pct"/>
          </w:tcPr>
          <w:p w14:paraId="230757B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23396116">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HJ/T223</w:t>
            </w:r>
            <w:r>
              <w:rPr>
                <w:rFonts w:hint="eastAsia" w:ascii="仿宋" w:hAnsi="仿宋" w:eastAsia="仿宋" w:cs="仿宋"/>
                <w:spacing w:val="-35"/>
                <w:sz w:val="21"/>
                <w:szCs w:val="21"/>
                <w:highlight w:val="none"/>
              </w:rPr>
              <w:t xml:space="preserve"> </w:t>
            </w:r>
            <w:r>
              <w:rPr>
                <w:rFonts w:hint="eastAsia" w:ascii="仿宋" w:hAnsi="仿宋" w:eastAsia="仿宋" w:cs="仿宋"/>
                <w:spacing w:val="-1"/>
                <w:sz w:val="21"/>
                <w:szCs w:val="21"/>
                <w:highlight w:val="none"/>
              </w:rPr>
              <w:t>轻质墙体板材</w:t>
            </w:r>
          </w:p>
        </w:tc>
      </w:tr>
      <w:tr w14:paraId="7EE4D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18" w:type="pct"/>
            <w:vMerge w:val="restart"/>
            <w:tcBorders>
              <w:bottom w:val="nil"/>
            </w:tcBorders>
          </w:tcPr>
          <w:p w14:paraId="2185D81B">
            <w:pPr>
              <w:pStyle w:val="75"/>
              <w:keepNext w:val="0"/>
              <w:keepLines w:val="0"/>
              <w:pageBreakBefore w:val="0"/>
              <w:widowControl w:val="0"/>
              <w:kinsoku/>
              <w:wordWrap/>
              <w:overflowPunct/>
              <w:topLinePunct w:val="0"/>
              <w:autoSpaceDE/>
              <w:autoSpaceDN/>
              <w:bidi w:val="0"/>
              <w:adjustRightInd/>
              <w:snapToGrid/>
              <w:spacing w:line="340" w:lineRule="exact"/>
              <w:ind w:left="113"/>
              <w:textAlignment w:val="auto"/>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37</w:t>
            </w:r>
          </w:p>
        </w:tc>
        <w:tc>
          <w:tcPr>
            <w:tcW w:w="613" w:type="pct"/>
            <w:vMerge w:val="restart"/>
            <w:tcBorders>
              <w:bottom w:val="nil"/>
            </w:tcBorders>
          </w:tcPr>
          <w:p w14:paraId="73F22667">
            <w:pPr>
              <w:pStyle w:val="75"/>
              <w:keepNext w:val="0"/>
              <w:keepLines w:val="0"/>
              <w:pageBreakBefore w:val="0"/>
              <w:widowControl w:val="0"/>
              <w:kinsoku/>
              <w:wordWrap/>
              <w:overflowPunct/>
              <w:topLinePunct w:val="0"/>
              <w:autoSpaceDE/>
              <w:autoSpaceDN/>
              <w:bidi w:val="0"/>
              <w:adjustRightInd/>
              <w:snapToGrid/>
              <w:spacing w:line="340" w:lineRule="exact"/>
              <w:ind w:left="104" w:right="113" w:hanging="4"/>
              <w:jc w:val="both"/>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A100305</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轻质建筑材料及制品</w:t>
            </w:r>
          </w:p>
        </w:tc>
        <w:tc>
          <w:tcPr>
            <w:tcW w:w="1268" w:type="pct"/>
          </w:tcPr>
          <w:p w14:paraId="417A6CFB">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A10030501</w:t>
            </w:r>
            <w:r>
              <w:rPr>
                <w:rFonts w:hint="eastAsia" w:ascii="仿宋" w:hAnsi="仿宋" w:eastAsia="仿宋" w:cs="仿宋"/>
                <w:spacing w:val="-33"/>
                <w:sz w:val="21"/>
                <w:szCs w:val="21"/>
                <w:highlight w:val="none"/>
              </w:rPr>
              <w:t xml:space="preserve"> </w:t>
            </w:r>
            <w:r>
              <w:rPr>
                <w:rFonts w:hint="eastAsia" w:ascii="仿宋" w:hAnsi="仿宋" w:eastAsia="仿宋" w:cs="仿宋"/>
                <w:spacing w:val="-1"/>
                <w:sz w:val="21"/>
                <w:szCs w:val="21"/>
                <w:highlight w:val="none"/>
              </w:rPr>
              <w:t>石膏板</w:t>
            </w:r>
          </w:p>
        </w:tc>
        <w:tc>
          <w:tcPr>
            <w:tcW w:w="1073" w:type="pct"/>
          </w:tcPr>
          <w:p w14:paraId="1929F8C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5C9D7FD8">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HJ/T223</w:t>
            </w:r>
            <w:r>
              <w:rPr>
                <w:rFonts w:hint="eastAsia" w:ascii="仿宋" w:hAnsi="仿宋" w:eastAsia="仿宋" w:cs="仿宋"/>
                <w:spacing w:val="-35"/>
                <w:sz w:val="21"/>
                <w:szCs w:val="21"/>
                <w:highlight w:val="none"/>
              </w:rPr>
              <w:t xml:space="preserve"> </w:t>
            </w:r>
            <w:r>
              <w:rPr>
                <w:rFonts w:hint="eastAsia" w:ascii="仿宋" w:hAnsi="仿宋" w:eastAsia="仿宋" w:cs="仿宋"/>
                <w:spacing w:val="-1"/>
                <w:sz w:val="21"/>
                <w:szCs w:val="21"/>
                <w:highlight w:val="none"/>
              </w:rPr>
              <w:t>轻质墙体板材</w:t>
            </w:r>
          </w:p>
        </w:tc>
      </w:tr>
      <w:tr w14:paraId="3D974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18" w:type="pct"/>
            <w:vMerge w:val="continue"/>
            <w:tcBorders>
              <w:top w:val="nil"/>
            </w:tcBorders>
          </w:tcPr>
          <w:p w14:paraId="2A852C54">
            <w:pPr>
              <w:rPr>
                <w:highlight w:val="none"/>
              </w:rPr>
            </w:pPr>
          </w:p>
        </w:tc>
        <w:tc>
          <w:tcPr>
            <w:tcW w:w="613" w:type="pct"/>
            <w:vMerge w:val="continue"/>
            <w:tcBorders>
              <w:top w:val="nil"/>
            </w:tcBorders>
          </w:tcPr>
          <w:p w14:paraId="6505A871">
            <w:pPr>
              <w:rPr>
                <w:highlight w:val="none"/>
              </w:rPr>
            </w:pPr>
          </w:p>
        </w:tc>
        <w:tc>
          <w:tcPr>
            <w:tcW w:w="1268" w:type="pct"/>
          </w:tcPr>
          <w:p w14:paraId="06508967">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A10030503</w:t>
            </w:r>
            <w:r>
              <w:rPr>
                <w:rFonts w:hint="eastAsia" w:ascii="仿宋" w:hAnsi="仿宋" w:eastAsia="仿宋" w:cs="仿宋"/>
                <w:spacing w:val="-32"/>
                <w:sz w:val="21"/>
                <w:szCs w:val="21"/>
                <w:highlight w:val="none"/>
              </w:rPr>
              <w:t xml:space="preserve"> </w:t>
            </w:r>
            <w:r>
              <w:rPr>
                <w:rFonts w:hint="eastAsia" w:ascii="仿宋" w:hAnsi="仿宋" w:eastAsia="仿宋" w:cs="仿宋"/>
                <w:spacing w:val="-1"/>
                <w:sz w:val="21"/>
                <w:szCs w:val="21"/>
                <w:highlight w:val="none"/>
              </w:rPr>
              <w:t>轻质隔墙条板</w:t>
            </w:r>
          </w:p>
        </w:tc>
        <w:tc>
          <w:tcPr>
            <w:tcW w:w="1073" w:type="pct"/>
          </w:tcPr>
          <w:p w14:paraId="43CC0F7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049E19B9">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HJ/T223</w:t>
            </w:r>
            <w:r>
              <w:rPr>
                <w:rFonts w:hint="eastAsia" w:ascii="仿宋" w:hAnsi="仿宋" w:eastAsia="仿宋" w:cs="仿宋"/>
                <w:spacing w:val="-35"/>
                <w:sz w:val="21"/>
                <w:szCs w:val="21"/>
                <w:highlight w:val="none"/>
              </w:rPr>
              <w:t xml:space="preserve"> </w:t>
            </w:r>
            <w:r>
              <w:rPr>
                <w:rFonts w:hint="eastAsia" w:ascii="仿宋" w:hAnsi="仿宋" w:eastAsia="仿宋" w:cs="仿宋"/>
                <w:spacing w:val="-1"/>
                <w:sz w:val="21"/>
                <w:szCs w:val="21"/>
                <w:highlight w:val="none"/>
              </w:rPr>
              <w:t>轻质墙体板材</w:t>
            </w:r>
          </w:p>
        </w:tc>
      </w:tr>
      <w:tr w14:paraId="56B15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18" w:type="pct"/>
            <w:vMerge w:val="restart"/>
            <w:tcBorders>
              <w:bottom w:val="nil"/>
            </w:tcBorders>
          </w:tcPr>
          <w:p w14:paraId="20514E5A">
            <w:pPr>
              <w:pStyle w:val="75"/>
              <w:keepNext w:val="0"/>
              <w:keepLines w:val="0"/>
              <w:pageBreakBefore w:val="0"/>
              <w:widowControl w:val="0"/>
              <w:kinsoku/>
              <w:wordWrap/>
              <w:overflowPunct/>
              <w:topLinePunct w:val="0"/>
              <w:autoSpaceDE/>
              <w:autoSpaceDN/>
              <w:bidi w:val="0"/>
              <w:adjustRightInd/>
              <w:snapToGrid/>
              <w:spacing w:line="340" w:lineRule="exact"/>
              <w:ind w:left="113"/>
              <w:textAlignment w:val="auto"/>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38</w:t>
            </w:r>
          </w:p>
        </w:tc>
        <w:tc>
          <w:tcPr>
            <w:tcW w:w="613" w:type="pct"/>
            <w:vMerge w:val="restart"/>
            <w:tcBorders>
              <w:bottom w:val="nil"/>
            </w:tcBorders>
          </w:tcPr>
          <w:p w14:paraId="06C83E0A">
            <w:pPr>
              <w:pStyle w:val="75"/>
              <w:keepNext w:val="0"/>
              <w:keepLines w:val="0"/>
              <w:pageBreakBefore w:val="0"/>
              <w:widowControl w:val="0"/>
              <w:kinsoku/>
              <w:wordWrap/>
              <w:overflowPunct/>
              <w:topLinePunct w:val="0"/>
              <w:autoSpaceDE/>
              <w:autoSpaceDN/>
              <w:bidi w:val="0"/>
              <w:adjustRightInd/>
              <w:snapToGrid/>
              <w:spacing w:line="340" w:lineRule="exact"/>
              <w:ind w:left="107" w:right="113" w:hanging="7"/>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A100307</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建筑陶瓷制品</w:t>
            </w:r>
          </w:p>
        </w:tc>
        <w:tc>
          <w:tcPr>
            <w:tcW w:w="1268" w:type="pct"/>
          </w:tcPr>
          <w:p w14:paraId="23264A4A">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A10030701</w:t>
            </w:r>
            <w:r>
              <w:rPr>
                <w:rFonts w:hint="eastAsia" w:ascii="仿宋" w:hAnsi="仿宋" w:eastAsia="仿宋" w:cs="仿宋"/>
                <w:spacing w:val="-32"/>
                <w:sz w:val="21"/>
                <w:szCs w:val="21"/>
                <w:highlight w:val="none"/>
              </w:rPr>
              <w:t xml:space="preserve"> </w:t>
            </w:r>
            <w:r>
              <w:rPr>
                <w:rFonts w:hint="eastAsia" w:ascii="仿宋" w:hAnsi="仿宋" w:eastAsia="仿宋" w:cs="仿宋"/>
                <w:spacing w:val="-1"/>
                <w:sz w:val="21"/>
                <w:szCs w:val="21"/>
                <w:highlight w:val="none"/>
              </w:rPr>
              <w:t>瓷质砖</w:t>
            </w:r>
          </w:p>
        </w:tc>
        <w:tc>
          <w:tcPr>
            <w:tcW w:w="1073" w:type="pct"/>
          </w:tcPr>
          <w:p w14:paraId="3D6ED45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529E1132">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HJ/T297</w:t>
            </w:r>
            <w:r>
              <w:rPr>
                <w:rFonts w:hint="eastAsia" w:ascii="仿宋" w:hAnsi="仿宋" w:eastAsia="仿宋" w:cs="仿宋"/>
                <w:spacing w:val="-24"/>
                <w:sz w:val="21"/>
                <w:szCs w:val="21"/>
                <w:highlight w:val="none"/>
              </w:rPr>
              <w:t xml:space="preserve"> </w:t>
            </w:r>
            <w:r>
              <w:rPr>
                <w:rFonts w:hint="eastAsia" w:ascii="仿宋" w:hAnsi="仿宋" w:eastAsia="仿宋" w:cs="仿宋"/>
                <w:spacing w:val="-2"/>
                <w:sz w:val="21"/>
                <w:szCs w:val="21"/>
                <w:highlight w:val="none"/>
              </w:rPr>
              <w:t>陶瓷砖</w:t>
            </w:r>
          </w:p>
        </w:tc>
      </w:tr>
      <w:tr w14:paraId="064C4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18" w:type="pct"/>
            <w:vMerge w:val="continue"/>
            <w:tcBorders>
              <w:top w:val="nil"/>
              <w:bottom w:val="nil"/>
            </w:tcBorders>
          </w:tcPr>
          <w:p w14:paraId="6F631AD0">
            <w:pPr>
              <w:rPr>
                <w:highlight w:val="none"/>
              </w:rPr>
            </w:pPr>
          </w:p>
        </w:tc>
        <w:tc>
          <w:tcPr>
            <w:tcW w:w="613" w:type="pct"/>
            <w:vMerge w:val="continue"/>
            <w:tcBorders>
              <w:top w:val="nil"/>
              <w:bottom w:val="nil"/>
            </w:tcBorders>
          </w:tcPr>
          <w:p w14:paraId="1228DECD">
            <w:pPr>
              <w:rPr>
                <w:highlight w:val="none"/>
              </w:rPr>
            </w:pPr>
          </w:p>
        </w:tc>
        <w:tc>
          <w:tcPr>
            <w:tcW w:w="1268" w:type="pct"/>
          </w:tcPr>
          <w:p w14:paraId="0044A34F">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A10030704</w:t>
            </w:r>
            <w:r>
              <w:rPr>
                <w:rFonts w:hint="eastAsia" w:ascii="仿宋" w:hAnsi="仿宋" w:eastAsia="仿宋" w:cs="仿宋"/>
                <w:spacing w:val="-33"/>
                <w:sz w:val="21"/>
                <w:szCs w:val="21"/>
                <w:highlight w:val="none"/>
              </w:rPr>
              <w:t xml:space="preserve"> </w:t>
            </w:r>
            <w:r>
              <w:rPr>
                <w:rFonts w:hint="eastAsia" w:ascii="仿宋" w:hAnsi="仿宋" w:eastAsia="仿宋" w:cs="仿宋"/>
                <w:spacing w:val="-1"/>
                <w:sz w:val="21"/>
                <w:szCs w:val="21"/>
                <w:highlight w:val="none"/>
              </w:rPr>
              <w:t>炻质砖</w:t>
            </w:r>
          </w:p>
        </w:tc>
        <w:tc>
          <w:tcPr>
            <w:tcW w:w="1073" w:type="pct"/>
          </w:tcPr>
          <w:p w14:paraId="5F761EE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4E333C3B">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HJ/T297</w:t>
            </w:r>
            <w:r>
              <w:rPr>
                <w:rFonts w:hint="eastAsia" w:ascii="仿宋" w:hAnsi="仿宋" w:eastAsia="仿宋" w:cs="仿宋"/>
                <w:spacing w:val="-24"/>
                <w:sz w:val="21"/>
                <w:szCs w:val="21"/>
                <w:highlight w:val="none"/>
              </w:rPr>
              <w:t xml:space="preserve"> </w:t>
            </w:r>
            <w:r>
              <w:rPr>
                <w:rFonts w:hint="eastAsia" w:ascii="仿宋" w:hAnsi="仿宋" w:eastAsia="仿宋" w:cs="仿宋"/>
                <w:spacing w:val="-2"/>
                <w:sz w:val="21"/>
                <w:szCs w:val="21"/>
                <w:highlight w:val="none"/>
              </w:rPr>
              <w:t>陶瓷砖</w:t>
            </w:r>
          </w:p>
        </w:tc>
      </w:tr>
      <w:tr w14:paraId="1348E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18" w:type="pct"/>
            <w:vMerge w:val="continue"/>
            <w:tcBorders>
              <w:top w:val="nil"/>
              <w:bottom w:val="nil"/>
            </w:tcBorders>
          </w:tcPr>
          <w:p w14:paraId="5C2A11E3">
            <w:pPr>
              <w:rPr>
                <w:highlight w:val="none"/>
              </w:rPr>
            </w:pPr>
          </w:p>
        </w:tc>
        <w:tc>
          <w:tcPr>
            <w:tcW w:w="613" w:type="pct"/>
            <w:vMerge w:val="continue"/>
            <w:tcBorders>
              <w:top w:val="nil"/>
              <w:bottom w:val="nil"/>
            </w:tcBorders>
          </w:tcPr>
          <w:p w14:paraId="19BCDCA7">
            <w:pPr>
              <w:rPr>
                <w:highlight w:val="none"/>
              </w:rPr>
            </w:pPr>
          </w:p>
        </w:tc>
        <w:tc>
          <w:tcPr>
            <w:tcW w:w="1268" w:type="pct"/>
          </w:tcPr>
          <w:p w14:paraId="41FA419F">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A10030705</w:t>
            </w:r>
            <w:r>
              <w:rPr>
                <w:rFonts w:hint="eastAsia" w:ascii="仿宋" w:hAnsi="仿宋" w:eastAsia="仿宋" w:cs="仿宋"/>
                <w:spacing w:val="-18"/>
                <w:sz w:val="21"/>
                <w:szCs w:val="21"/>
                <w:highlight w:val="none"/>
              </w:rPr>
              <w:t xml:space="preserve"> </w:t>
            </w:r>
            <w:r>
              <w:rPr>
                <w:rFonts w:hint="eastAsia" w:ascii="仿宋" w:hAnsi="仿宋" w:eastAsia="仿宋" w:cs="仿宋"/>
                <w:spacing w:val="-2"/>
                <w:sz w:val="21"/>
                <w:szCs w:val="21"/>
                <w:highlight w:val="none"/>
              </w:rPr>
              <w:t>陶质砖</w:t>
            </w:r>
          </w:p>
        </w:tc>
        <w:tc>
          <w:tcPr>
            <w:tcW w:w="1073" w:type="pct"/>
          </w:tcPr>
          <w:p w14:paraId="3810446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09E2EB79">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HJ/T297</w:t>
            </w:r>
            <w:r>
              <w:rPr>
                <w:rFonts w:hint="eastAsia" w:ascii="仿宋" w:hAnsi="仿宋" w:eastAsia="仿宋" w:cs="仿宋"/>
                <w:spacing w:val="-24"/>
                <w:sz w:val="21"/>
                <w:szCs w:val="21"/>
                <w:highlight w:val="none"/>
              </w:rPr>
              <w:t xml:space="preserve"> </w:t>
            </w:r>
            <w:r>
              <w:rPr>
                <w:rFonts w:hint="eastAsia" w:ascii="仿宋" w:hAnsi="仿宋" w:eastAsia="仿宋" w:cs="仿宋"/>
                <w:spacing w:val="-2"/>
                <w:sz w:val="21"/>
                <w:szCs w:val="21"/>
                <w:highlight w:val="none"/>
              </w:rPr>
              <w:t>陶瓷砖</w:t>
            </w:r>
          </w:p>
        </w:tc>
      </w:tr>
      <w:tr w14:paraId="4DE3F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18" w:type="pct"/>
            <w:vMerge w:val="continue"/>
            <w:tcBorders>
              <w:top w:val="nil"/>
            </w:tcBorders>
          </w:tcPr>
          <w:p w14:paraId="63A3E44D">
            <w:pPr>
              <w:rPr>
                <w:highlight w:val="none"/>
              </w:rPr>
            </w:pPr>
          </w:p>
        </w:tc>
        <w:tc>
          <w:tcPr>
            <w:tcW w:w="613" w:type="pct"/>
            <w:vMerge w:val="continue"/>
            <w:tcBorders>
              <w:top w:val="nil"/>
            </w:tcBorders>
          </w:tcPr>
          <w:p w14:paraId="321973DB">
            <w:pPr>
              <w:rPr>
                <w:highlight w:val="none"/>
              </w:rPr>
            </w:pPr>
          </w:p>
        </w:tc>
        <w:tc>
          <w:tcPr>
            <w:tcW w:w="1268" w:type="pct"/>
          </w:tcPr>
          <w:p w14:paraId="314AD843">
            <w:pPr>
              <w:pStyle w:val="75"/>
              <w:keepNext w:val="0"/>
              <w:keepLines w:val="0"/>
              <w:pageBreakBefore w:val="0"/>
              <w:widowControl w:val="0"/>
              <w:kinsoku/>
              <w:wordWrap/>
              <w:overflowPunct/>
              <w:topLinePunct w:val="0"/>
              <w:autoSpaceDE/>
              <w:autoSpaceDN/>
              <w:bidi w:val="0"/>
              <w:adjustRightInd/>
              <w:snapToGrid/>
              <w:spacing w:line="340" w:lineRule="exact"/>
              <w:ind w:left="106" w:right="272" w:hanging="6"/>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A10030799</w:t>
            </w:r>
            <w:r>
              <w:rPr>
                <w:rFonts w:hint="eastAsia" w:ascii="仿宋" w:hAnsi="仿宋" w:eastAsia="仿宋" w:cs="仿宋"/>
                <w:spacing w:val="-33"/>
                <w:sz w:val="21"/>
                <w:szCs w:val="21"/>
                <w:highlight w:val="none"/>
              </w:rPr>
              <w:t xml:space="preserve"> </w:t>
            </w:r>
            <w:r>
              <w:rPr>
                <w:rFonts w:hint="eastAsia" w:ascii="仿宋" w:hAnsi="仿宋" w:eastAsia="仿宋" w:cs="仿宋"/>
                <w:spacing w:val="-1"/>
                <w:sz w:val="21"/>
                <w:szCs w:val="21"/>
                <w:highlight w:val="none"/>
              </w:rPr>
              <w:t>其他建筑陶瓷</w:t>
            </w:r>
            <w:r>
              <w:rPr>
                <w:rFonts w:hint="eastAsia" w:ascii="仿宋" w:hAnsi="仿宋" w:eastAsia="仿宋" w:cs="仿宋"/>
                <w:spacing w:val="-2"/>
                <w:sz w:val="21"/>
                <w:szCs w:val="21"/>
                <w:highlight w:val="none"/>
              </w:rPr>
              <w:t>制品</w:t>
            </w:r>
          </w:p>
        </w:tc>
        <w:tc>
          <w:tcPr>
            <w:tcW w:w="1073" w:type="pct"/>
          </w:tcPr>
          <w:p w14:paraId="37C28F4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4C53585A">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HJ/T297</w:t>
            </w:r>
            <w:r>
              <w:rPr>
                <w:rFonts w:hint="eastAsia" w:ascii="仿宋" w:hAnsi="仿宋" w:eastAsia="仿宋" w:cs="仿宋"/>
                <w:spacing w:val="-24"/>
                <w:sz w:val="21"/>
                <w:szCs w:val="21"/>
                <w:highlight w:val="none"/>
              </w:rPr>
              <w:t xml:space="preserve"> </w:t>
            </w:r>
            <w:r>
              <w:rPr>
                <w:rFonts w:hint="eastAsia" w:ascii="仿宋" w:hAnsi="仿宋" w:eastAsia="仿宋" w:cs="仿宋"/>
                <w:spacing w:val="-2"/>
                <w:sz w:val="21"/>
                <w:szCs w:val="21"/>
                <w:highlight w:val="none"/>
              </w:rPr>
              <w:t>陶瓷砖</w:t>
            </w:r>
          </w:p>
        </w:tc>
      </w:tr>
      <w:tr w14:paraId="28EEA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318" w:type="pct"/>
            <w:vMerge w:val="restart"/>
            <w:tcBorders>
              <w:bottom w:val="nil"/>
            </w:tcBorders>
          </w:tcPr>
          <w:p w14:paraId="722226D6">
            <w:pPr>
              <w:pStyle w:val="75"/>
              <w:keepNext w:val="0"/>
              <w:keepLines w:val="0"/>
              <w:pageBreakBefore w:val="0"/>
              <w:widowControl w:val="0"/>
              <w:kinsoku/>
              <w:wordWrap/>
              <w:overflowPunct/>
              <w:topLinePunct w:val="0"/>
              <w:autoSpaceDE/>
              <w:autoSpaceDN/>
              <w:bidi w:val="0"/>
              <w:adjustRightInd/>
              <w:snapToGrid/>
              <w:spacing w:line="340" w:lineRule="exact"/>
              <w:ind w:left="113"/>
              <w:textAlignment w:val="auto"/>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39</w:t>
            </w:r>
          </w:p>
        </w:tc>
        <w:tc>
          <w:tcPr>
            <w:tcW w:w="613" w:type="pct"/>
            <w:vMerge w:val="restart"/>
            <w:tcBorders>
              <w:bottom w:val="nil"/>
            </w:tcBorders>
          </w:tcPr>
          <w:p w14:paraId="07BAC362">
            <w:pPr>
              <w:pStyle w:val="75"/>
              <w:keepNext w:val="0"/>
              <w:keepLines w:val="0"/>
              <w:pageBreakBefore w:val="0"/>
              <w:widowControl w:val="0"/>
              <w:kinsoku/>
              <w:wordWrap/>
              <w:overflowPunct/>
              <w:topLinePunct w:val="0"/>
              <w:autoSpaceDE/>
              <w:autoSpaceDN/>
              <w:bidi w:val="0"/>
              <w:adjustRightInd/>
              <w:snapToGrid/>
              <w:spacing w:line="340" w:lineRule="exact"/>
              <w:ind w:left="104" w:right="113" w:hanging="4"/>
              <w:jc w:val="both"/>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A100309</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建筑防水卷材及制品</w:t>
            </w:r>
          </w:p>
        </w:tc>
        <w:tc>
          <w:tcPr>
            <w:tcW w:w="1268" w:type="pct"/>
          </w:tcPr>
          <w:p w14:paraId="619C09E7">
            <w:pPr>
              <w:pStyle w:val="75"/>
              <w:keepNext w:val="0"/>
              <w:keepLines w:val="0"/>
              <w:pageBreakBefore w:val="0"/>
              <w:widowControl w:val="0"/>
              <w:kinsoku/>
              <w:wordWrap/>
              <w:overflowPunct/>
              <w:topLinePunct w:val="0"/>
              <w:autoSpaceDE/>
              <w:autoSpaceDN/>
              <w:bidi w:val="0"/>
              <w:adjustRightInd/>
              <w:snapToGrid/>
              <w:spacing w:line="340" w:lineRule="exact"/>
              <w:ind w:left="106" w:right="272" w:hanging="5"/>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A10030901</w:t>
            </w:r>
            <w:r>
              <w:rPr>
                <w:rFonts w:hint="eastAsia" w:ascii="仿宋" w:hAnsi="仿宋" w:eastAsia="仿宋" w:cs="仿宋"/>
                <w:spacing w:val="-33"/>
                <w:sz w:val="21"/>
                <w:szCs w:val="21"/>
                <w:highlight w:val="none"/>
              </w:rPr>
              <w:t xml:space="preserve"> </w:t>
            </w:r>
            <w:r>
              <w:rPr>
                <w:rFonts w:hint="eastAsia" w:ascii="仿宋" w:hAnsi="仿宋" w:eastAsia="仿宋" w:cs="仿宋"/>
                <w:spacing w:val="-1"/>
                <w:sz w:val="21"/>
                <w:szCs w:val="21"/>
                <w:highlight w:val="none"/>
              </w:rPr>
              <w:t>沥青和改性沥</w:t>
            </w:r>
            <w:r>
              <w:rPr>
                <w:rFonts w:hint="eastAsia" w:ascii="仿宋" w:hAnsi="仿宋" w:eastAsia="仿宋" w:cs="仿宋"/>
                <w:spacing w:val="-2"/>
                <w:sz w:val="21"/>
                <w:szCs w:val="21"/>
                <w:highlight w:val="none"/>
              </w:rPr>
              <w:t>青防水卷材</w:t>
            </w:r>
          </w:p>
        </w:tc>
        <w:tc>
          <w:tcPr>
            <w:tcW w:w="1073" w:type="pct"/>
          </w:tcPr>
          <w:p w14:paraId="07CC4E8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44AEF760">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HJ455</w:t>
            </w:r>
            <w:r>
              <w:rPr>
                <w:rFonts w:hint="eastAsia" w:ascii="仿宋" w:hAnsi="仿宋" w:eastAsia="仿宋" w:cs="仿宋"/>
                <w:spacing w:val="-27"/>
                <w:sz w:val="21"/>
                <w:szCs w:val="21"/>
                <w:highlight w:val="none"/>
              </w:rPr>
              <w:t xml:space="preserve"> </w:t>
            </w:r>
            <w:r>
              <w:rPr>
                <w:rFonts w:hint="eastAsia" w:ascii="仿宋" w:hAnsi="仿宋" w:eastAsia="仿宋" w:cs="仿宋"/>
                <w:spacing w:val="-2"/>
                <w:sz w:val="21"/>
                <w:szCs w:val="21"/>
                <w:highlight w:val="none"/>
              </w:rPr>
              <w:t>防水卷材</w:t>
            </w:r>
          </w:p>
        </w:tc>
      </w:tr>
      <w:tr w14:paraId="12E19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18" w:type="pct"/>
            <w:vMerge w:val="continue"/>
            <w:tcBorders>
              <w:top w:val="nil"/>
              <w:bottom w:val="nil"/>
            </w:tcBorders>
          </w:tcPr>
          <w:p w14:paraId="0E10A367">
            <w:pPr>
              <w:rPr>
                <w:highlight w:val="none"/>
              </w:rPr>
            </w:pPr>
          </w:p>
        </w:tc>
        <w:tc>
          <w:tcPr>
            <w:tcW w:w="613" w:type="pct"/>
            <w:vMerge w:val="continue"/>
            <w:tcBorders>
              <w:top w:val="nil"/>
              <w:bottom w:val="nil"/>
            </w:tcBorders>
          </w:tcPr>
          <w:p w14:paraId="55CFE529">
            <w:pPr>
              <w:rPr>
                <w:highlight w:val="none"/>
              </w:rPr>
            </w:pPr>
          </w:p>
        </w:tc>
        <w:tc>
          <w:tcPr>
            <w:tcW w:w="1268" w:type="pct"/>
          </w:tcPr>
          <w:p w14:paraId="79319862">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A10030903 自粘防水卷材</w:t>
            </w:r>
          </w:p>
        </w:tc>
        <w:tc>
          <w:tcPr>
            <w:tcW w:w="1073" w:type="pct"/>
          </w:tcPr>
          <w:p w14:paraId="1B6952A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24646F13">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HJ455</w:t>
            </w:r>
            <w:r>
              <w:rPr>
                <w:rFonts w:hint="eastAsia" w:ascii="仿宋" w:hAnsi="仿宋" w:eastAsia="仿宋" w:cs="仿宋"/>
                <w:spacing w:val="-27"/>
                <w:sz w:val="21"/>
                <w:szCs w:val="21"/>
                <w:highlight w:val="none"/>
              </w:rPr>
              <w:t xml:space="preserve"> </w:t>
            </w:r>
            <w:r>
              <w:rPr>
                <w:rFonts w:hint="eastAsia" w:ascii="仿宋" w:hAnsi="仿宋" w:eastAsia="仿宋" w:cs="仿宋"/>
                <w:spacing w:val="-2"/>
                <w:sz w:val="21"/>
                <w:szCs w:val="21"/>
                <w:highlight w:val="none"/>
              </w:rPr>
              <w:t>防水卷材</w:t>
            </w:r>
          </w:p>
        </w:tc>
      </w:tr>
      <w:tr w14:paraId="7E4DA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318" w:type="pct"/>
            <w:vMerge w:val="continue"/>
            <w:tcBorders>
              <w:top w:val="nil"/>
            </w:tcBorders>
          </w:tcPr>
          <w:p w14:paraId="1E6643C6">
            <w:pPr>
              <w:rPr>
                <w:highlight w:val="none"/>
              </w:rPr>
            </w:pPr>
          </w:p>
        </w:tc>
        <w:tc>
          <w:tcPr>
            <w:tcW w:w="613" w:type="pct"/>
            <w:vMerge w:val="continue"/>
            <w:tcBorders>
              <w:top w:val="nil"/>
            </w:tcBorders>
          </w:tcPr>
          <w:p w14:paraId="22C1C160">
            <w:pPr>
              <w:rPr>
                <w:highlight w:val="none"/>
              </w:rPr>
            </w:pPr>
          </w:p>
        </w:tc>
        <w:tc>
          <w:tcPr>
            <w:tcW w:w="1268" w:type="pct"/>
          </w:tcPr>
          <w:p w14:paraId="7C91A9B2">
            <w:pPr>
              <w:pStyle w:val="75"/>
              <w:keepNext w:val="0"/>
              <w:keepLines w:val="0"/>
              <w:pageBreakBefore w:val="0"/>
              <w:widowControl w:val="0"/>
              <w:kinsoku/>
              <w:wordWrap/>
              <w:overflowPunct/>
              <w:topLinePunct w:val="0"/>
              <w:autoSpaceDE/>
              <w:autoSpaceDN/>
              <w:bidi w:val="0"/>
              <w:adjustRightInd/>
              <w:snapToGrid/>
              <w:spacing w:line="340" w:lineRule="exact"/>
              <w:ind w:left="111" w:right="272" w:hanging="10"/>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A10030906</w:t>
            </w:r>
            <w:r>
              <w:rPr>
                <w:rFonts w:hint="eastAsia" w:ascii="仿宋" w:hAnsi="仿宋" w:eastAsia="仿宋" w:cs="仿宋"/>
                <w:spacing w:val="-33"/>
                <w:sz w:val="21"/>
                <w:szCs w:val="21"/>
                <w:highlight w:val="none"/>
              </w:rPr>
              <w:t xml:space="preserve"> </w:t>
            </w:r>
            <w:r>
              <w:rPr>
                <w:rFonts w:hint="eastAsia" w:ascii="仿宋" w:hAnsi="仿宋" w:eastAsia="仿宋" w:cs="仿宋"/>
                <w:spacing w:val="-1"/>
                <w:sz w:val="21"/>
                <w:szCs w:val="21"/>
                <w:highlight w:val="none"/>
              </w:rPr>
              <w:t>高分子防水卷</w:t>
            </w:r>
            <w:r>
              <w:rPr>
                <w:rFonts w:hint="eastAsia" w:ascii="仿宋" w:hAnsi="仿宋" w:eastAsia="仿宋" w:cs="仿宋"/>
                <w:spacing w:val="-4"/>
                <w:sz w:val="21"/>
                <w:szCs w:val="21"/>
                <w:highlight w:val="none"/>
              </w:rPr>
              <w:t>（片）材</w:t>
            </w:r>
          </w:p>
        </w:tc>
        <w:tc>
          <w:tcPr>
            <w:tcW w:w="1073" w:type="pct"/>
          </w:tcPr>
          <w:p w14:paraId="70161B6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0EF7BA5A">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HJ455</w:t>
            </w:r>
            <w:r>
              <w:rPr>
                <w:rFonts w:hint="eastAsia" w:ascii="仿宋" w:hAnsi="仿宋" w:eastAsia="仿宋" w:cs="仿宋"/>
                <w:spacing w:val="-27"/>
                <w:sz w:val="21"/>
                <w:szCs w:val="21"/>
                <w:highlight w:val="none"/>
              </w:rPr>
              <w:t xml:space="preserve"> </w:t>
            </w:r>
            <w:r>
              <w:rPr>
                <w:rFonts w:hint="eastAsia" w:ascii="仿宋" w:hAnsi="仿宋" w:eastAsia="仿宋" w:cs="仿宋"/>
                <w:spacing w:val="-2"/>
                <w:sz w:val="21"/>
                <w:szCs w:val="21"/>
                <w:highlight w:val="none"/>
              </w:rPr>
              <w:t>防水卷材</w:t>
            </w:r>
          </w:p>
        </w:tc>
      </w:tr>
      <w:tr w14:paraId="191BC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318" w:type="pct"/>
            <w:vMerge w:val="restart"/>
            <w:tcBorders>
              <w:bottom w:val="nil"/>
            </w:tcBorders>
          </w:tcPr>
          <w:p w14:paraId="5E867677">
            <w:pPr>
              <w:pStyle w:val="75"/>
              <w:keepNext w:val="0"/>
              <w:keepLines w:val="0"/>
              <w:pageBreakBefore w:val="0"/>
              <w:widowControl w:val="0"/>
              <w:kinsoku/>
              <w:wordWrap/>
              <w:overflowPunct/>
              <w:topLinePunct w:val="0"/>
              <w:autoSpaceDE/>
              <w:autoSpaceDN/>
              <w:bidi w:val="0"/>
              <w:adjustRightInd/>
              <w:snapToGrid/>
              <w:spacing w:line="340" w:lineRule="exact"/>
              <w:ind w:left="109"/>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40</w:t>
            </w:r>
          </w:p>
        </w:tc>
        <w:tc>
          <w:tcPr>
            <w:tcW w:w="613" w:type="pct"/>
            <w:vMerge w:val="restart"/>
            <w:tcBorders>
              <w:bottom w:val="nil"/>
            </w:tcBorders>
          </w:tcPr>
          <w:p w14:paraId="207B7499">
            <w:pPr>
              <w:pStyle w:val="75"/>
              <w:keepNext w:val="0"/>
              <w:keepLines w:val="0"/>
              <w:pageBreakBefore w:val="0"/>
              <w:widowControl w:val="0"/>
              <w:kinsoku/>
              <w:wordWrap/>
              <w:overflowPunct/>
              <w:topLinePunct w:val="0"/>
              <w:autoSpaceDE/>
              <w:autoSpaceDN/>
              <w:bidi w:val="0"/>
              <w:adjustRightInd/>
              <w:snapToGrid/>
              <w:spacing w:line="340" w:lineRule="exact"/>
              <w:ind w:left="109" w:right="113" w:hanging="9"/>
              <w:textAlignment w:val="auto"/>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A100310</w:t>
            </w:r>
            <w:r>
              <w:rPr>
                <w:rFonts w:hint="eastAsia" w:ascii="仿宋" w:hAnsi="仿宋" w:eastAsia="仿宋" w:cs="仿宋"/>
                <w:spacing w:val="-24"/>
                <w:sz w:val="21"/>
                <w:szCs w:val="21"/>
                <w:highlight w:val="none"/>
              </w:rPr>
              <w:t xml:space="preserve"> </w:t>
            </w:r>
            <w:r>
              <w:rPr>
                <w:rFonts w:hint="eastAsia" w:ascii="仿宋" w:hAnsi="仿宋" w:eastAsia="仿宋" w:cs="仿宋"/>
                <w:spacing w:val="-3"/>
                <w:sz w:val="21"/>
                <w:szCs w:val="21"/>
                <w:highlight w:val="none"/>
              </w:rPr>
              <w:t>隔热、隔音人</w:t>
            </w:r>
          </w:p>
          <w:p w14:paraId="75709646">
            <w:pPr>
              <w:pStyle w:val="75"/>
              <w:keepNext w:val="0"/>
              <w:keepLines w:val="0"/>
              <w:pageBreakBefore w:val="0"/>
              <w:widowControl w:val="0"/>
              <w:kinsoku/>
              <w:wordWrap/>
              <w:overflowPunct/>
              <w:topLinePunct w:val="0"/>
              <w:autoSpaceDE/>
              <w:autoSpaceDN/>
              <w:bidi w:val="0"/>
              <w:adjustRightInd/>
              <w:snapToGrid/>
              <w:spacing w:line="340" w:lineRule="exact"/>
              <w:ind w:left="105" w:right="113"/>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造矿物材料及其制品</w:t>
            </w:r>
          </w:p>
        </w:tc>
        <w:tc>
          <w:tcPr>
            <w:tcW w:w="1268" w:type="pct"/>
          </w:tcPr>
          <w:p w14:paraId="332D80ED">
            <w:pPr>
              <w:pStyle w:val="75"/>
              <w:keepNext w:val="0"/>
              <w:keepLines w:val="0"/>
              <w:pageBreakBefore w:val="0"/>
              <w:widowControl w:val="0"/>
              <w:kinsoku/>
              <w:wordWrap/>
              <w:overflowPunct/>
              <w:topLinePunct w:val="0"/>
              <w:autoSpaceDE/>
              <w:autoSpaceDN/>
              <w:bidi w:val="0"/>
              <w:adjustRightInd/>
              <w:snapToGrid/>
              <w:spacing w:line="340" w:lineRule="exact"/>
              <w:ind w:left="110" w:right="272" w:hanging="9"/>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A10031001</w:t>
            </w:r>
            <w:r>
              <w:rPr>
                <w:rFonts w:hint="eastAsia" w:ascii="仿宋" w:hAnsi="仿宋" w:eastAsia="仿宋" w:cs="仿宋"/>
                <w:spacing w:val="-33"/>
                <w:sz w:val="21"/>
                <w:szCs w:val="21"/>
                <w:highlight w:val="none"/>
              </w:rPr>
              <w:t xml:space="preserve"> </w:t>
            </w:r>
            <w:r>
              <w:rPr>
                <w:rFonts w:hint="eastAsia" w:ascii="仿宋" w:hAnsi="仿宋" w:eastAsia="仿宋" w:cs="仿宋"/>
                <w:spacing w:val="-1"/>
                <w:sz w:val="21"/>
                <w:szCs w:val="21"/>
                <w:highlight w:val="none"/>
              </w:rPr>
              <w:t>矿物绝热和吸</w:t>
            </w:r>
            <w:r>
              <w:rPr>
                <w:rFonts w:hint="eastAsia" w:ascii="仿宋" w:hAnsi="仿宋" w:eastAsia="仿宋" w:cs="仿宋"/>
                <w:spacing w:val="-3"/>
                <w:sz w:val="21"/>
                <w:szCs w:val="21"/>
                <w:highlight w:val="none"/>
              </w:rPr>
              <w:t>声材料</w:t>
            </w:r>
          </w:p>
        </w:tc>
        <w:tc>
          <w:tcPr>
            <w:tcW w:w="1073" w:type="pct"/>
          </w:tcPr>
          <w:p w14:paraId="6B60AB0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1301BD55">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HJ/T223</w:t>
            </w:r>
            <w:r>
              <w:rPr>
                <w:rFonts w:hint="eastAsia" w:ascii="仿宋" w:hAnsi="仿宋" w:eastAsia="仿宋" w:cs="仿宋"/>
                <w:spacing w:val="-35"/>
                <w:sz w:val="21"/>
                <w:szCs w:val="21"/>
                <w:highlight w:val="none"/>
              </w:rPr>
              <w:t xml:space="preserve"> </w:t>
            </w:r>
            <w:r>
              <w:rPr>
                <w:rFonts w:hint="eastAsia" w:ascii="仿宋" w:hAnsi="仿宋" w:eastAsia="仿宋" w:cs="仿宋"/>
                <w:spacing w:val="-1"/>
                <w:sz w:val="21"/>
                <w:szCs w:val="21"/>
                <w:highlight w:val="none"/>
              </w:rPr>
              <w:t>轻质墙体板材</w:t>
            </w:r>
          </w:p>
        </w:tc>
      </w:tr>
      <w:tr w14:paraId="42CAB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318" w:type="pct"/>
            <w:vMerge w:val="continue"/>
            <w:tcBorders>
              <w:top w:val="nil"/>
            </w:tcBorders>
          </w:tcPr>
          <w:p w14:paraId="73016632">
            <w:pPr>
              <w:rPr>
                <w:highlight w:val="none"/>
              </w:rPr>
            </w:pPr>
          </w:p>
        </w:tc>
        <w:tc>
          <w:tcPr>
            <w:tcW w:w="613" w:type="pct"/>
            <w:vMerge w:val="continue"/>
            <w:tcBorders>
              <w:top w:val="nil"/>
            </w:tcBorders>
          </w:tcPr>
          <w:p w14:paraId="016AA0FA">
            <w:pPr>
              <w:rPr>
                <w:highlight w:val="none"/>
              </w:rPr>
            </w:pPr>
          </w:p>
        </w:tc>
        <w:tc>
          <w:tcPr>
            <w:tcW w:w="1268" w:type="pct"/>
          </w:tcPr>
          <w:p w14:paraId="0AF151D7">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A10031002</w:t>
            </w:r>
            <w:r>
              <w:rPr>
                <w:rFonts w:hint="eastAsia" w:ascii="仿宋" w:hAnsi="仿宋" w:eastAsia="仿宋" w:cs="仿宋"/>
                <w:spacing w:val="-32"/>
                <w:sz w:val="21"/>
                <w:szCs w:val="21"/>
                <w:highlight w:val="none"/>
              </w:rPr>
              <w:t xml:space="preserve"> </w:t>
            </w:r>
            <w:r>
              <w:rPr>
                <w:rFonts w:hint="eastAsia" w:ascii="仿宋" w:hAnsi="仿宋" w:eastAsia="仿宋" w:cs="仿宋"/>
                <w:spacing w:val="-1"/>
                <w:sz w:val="21"/>
                <w:szCs w:val="21"/>
                <w:highlight w:val="none"/>
              </w:rPr>
              <w:t>矿物材料制品</w:t>
            </w:r>
          </w:p>
        </w:tc>
        <w:tc>
          <w:tcPr>
            <w:tcW w:w="1073" w:type="pct"/>
          </w:tcPr>
          <w:p w14:paraId="76F9B7A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244DC1F5">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HJ/T223</w:t>
            </w:r>
            <w:r>
              <w:rPr>
                <w:rFonts w:hint="eastAsia" w:ascii="仿宋" w:hAnsi="仿宋" w:eastAsia="仿宋" w:cs="仿宋"/>
                <w:spacing w:val="-35"/>
                <w:sz w:val="21"/>
                <w:szCs w:val="21"/>
                <w:highlight w:val="none"/>
              </w:rPr>
              <w:t xml:space="preserve"> </w:t>
            </w:r>
            <w:r>
              <w:rPr>
                <w:rFonts w:hint="eastAsia" w:ascii="仿宋" w:hAnsi="仿宋" w:eastAsia="仿宋" w:cs="仿宋"/>
                <w:spacing w:val="-1"/>
                <w:sz w:val="21"/>
                <w:szCs w:val="21"/>
                <w:highlight w:val="none"/>
              </w:rPr>
              <w:t>轻质墙体板材</w:t>
            </w:r>
          </w:p>
        </w:tc>
      </w:tr>
      <w:tr w14:paraId="41B59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318" w:type="pct"/>
          </w:tcPr>
          <w:p w14:paraId="04EE1E6B">
            <w:pPr>
              <w:pStyle w:val="75"/>
              <w:keepNext w:val="0"/>
              <w:keepLines w:val="0"/>
              <w:pageBreakBefore w:val="0"/>
              <w:widowControl w:val="0"/>
              <w:kinsoku/>
              <w:wordWrap/>
              <w:overflowPunct/>
              <w:topLinePunct w:val="0"/>
              <w:autoSpaceDE/>
              <w:autoSpaceDN/>
              <w:bidi w:val="0"/>
              <w:adjustRightInd/>
              <w:snapToGrid/>
              <w:spacing w:line="340" w:lineRule="exact"/>
              <w:ind w:left="109"/>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41</w:t>
            </w:r>
          </w:p>
        </w:tc>
        <w:tc>
          <w:tcPr>
            <w:tcW w:w="613" w:type="pct"/>
          </w:tcPr>
          <w:p w14:paraId="00316142">
            <w:pPr>
              <w:pStyle w:val="75"/>
              <w:keepNext w:val="0"/>
              <w:keepLines w:val="0"/>
              <w:pageBreakBefore w:val="0"/>
              <w:widowControl w:val="0"/>
              <w:kinsoku/>
              <w:wordWrap/>
              <w:overflowPunct/>
              <w:topLinePunct w:val="0"/>
              <w:autoSpaceDE/>
              <w:autoSpaceDN/>
              <w:bidi w:val="0"/>
              <w:adjustRightInd/>
              <w:snapToGrid/>
              <w:spacing w:line="340" w:lineRule="exact"/>
              <w:ind w:left="105" w:right="113" w:hanging="5"/>
              <w:jc w:val="both"/>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A100601</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功能性建筑涂</w:t>
            </w:r>
            <w:r>
              <w:rPr>
                <w:rFonts w:hint="eastAsia" w:ascii="仿宋" w:hAnsi="仿宋" w:eastAsia="仿宋" w:cs="仿宋"/>
                <w:sz w:val="21"/>
                <w:szCs w:val="21"/>
                <w:highlight w:val="none"/>
              </w:rPr>
              <w:t>料</w:t>
            </w:r>
          </w:p>
        </w:tc>
        <w:tc>
          <w:tcPr>
            <w:tcW w:w="1268" w:type="pct"/>
          </w:tcPr>
          <w:p w14:paraId="03BF368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73" w:type="pct"/>
          </w:tcPr>
          <w:p w14:paraId="38F5E72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019141D1">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HJ2537</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水性涂料</w:t>
            </w:r>
          </w:p>
        </w:tc>
      </w:tr>
      <w:tr w14:paraId="7F241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318" w:type="pct"/>
          </w:tcPr>
          <w:p w14:paraId="3A8E5549">
            <w:pPr>
              <w:pStyle w:val="75"/>
              <w:keepNext w:val="0"/>
              <w:keepLines w:val="0"/>
              <w:pageBreakBefore w:val="0"/>
              <w:widowControl w:val="0"/>
              <w:kinsoku/>
              <w:wordWrap/>
              <w:overflowPunct/>
              <w:topLinePunct w:val="0"/>
              <w:autoSpaceDE/>
              <w:autoSpaceDN/>
              <w:bidi w:val="0"/>
              <w:adjustRightInd/>
              <w:snapToGrid/>
              <w:spacing w:line="340" w:lineRule="exact"/>
              <w:ind w:left="109"/>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42</w:t>
            </w:r>
          </w:p>
        </w:tc>
        <w:tc>
          <w:tcPr>
            <w:tcW w:w="613" w:type="pct"/>
          </w:tcPr>
          <w:p w14:paraId="0DB0F8FA">
            <w:pPr>
              <w:pStyle w:val="75"/>
              <w:keepNext w:val="0"/>
              <w:keepLines w:val="0"/>
              <w:pageBreakBefore w:val="0"/>
              <w:widowControl w:val="0"/>
              <w:kinsoku/>
              <w:wordWrap/>
              <w:overflowPunct/>
              <w:topLinePunct w:val="0"/>
              <w:autoSpaceDE/>
              <w:autoSpaceDN/>
              <w:bidi w:val="0"/>
              <w:adjustRightInd/>
              <w:snapToGrid/>
              <w:spacing w:line="340" w:lineRule="exact"/>
              <w:ind w:left="105" w:right="113" w:hanging="5"/>
              <w:jc w:val="both"/>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A100399</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其他非金属矿物制品</w:t>
            </w:r>
          </w:p>
        </w:tc>
        <w:tc>
          <w:tcPr>
            <w:tcW w:w="1268" w:type="pct"/>
          </w:tcPr>
          <w:p w14:paraId="728D9E8C">
            <w:pPr>
              <w:pStyle w:val="75"/>
              <w:keepNext w:val="0"/>
              <w:keepLines w:val="0"/>
              <w:pageBreakBefore w:val="0"/>
              <w:widowControl w:val="0"/>
              <w:kinsoku/>
              <w:wordWrap/>
              <w:overflowPunct/>
              <w:topLinePunct w:val="0"/>
              <w:autoSpaceDE/>
              <w:autoSpaceDN/>
              <w:bidi w:val="0"/>
              <w:adjustRightInd/>
              <w:snapToGrid/>
              <w:spacing w:line="340" w:lineRule="exact"/>
              <w:ind w:left="108" w:right="272" w:hanging="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A10039901</w:t>
            </w:r>
            <w:r>
              <w:rPr>
                <w:rFonts w:hint="eastAsia" w:ascii="仿宋" w:hAnsi="仿宋" w:eastAsia="仿宋" w:cs="仿宋"/>
                <w:spacing w:val="-33"/>
                <w:sz w:val="21"/>
                <w:szCs w:val="21"/>
                <w:highlight w:val="none"/>
              </w:rPr>
              <w:t xml:space="preserve"> </w:t>
            </w:r>
            <w:r>
              <w:rPr>
                <w:rFonts w:hint="eastAsia" w:ascii="仿宋" w:hAnsi="仿宋" w:eastAsia="仿宋" w:cs="仿宋"/>
                <w:spacing w:val="-1"/>
                <w:sz w:val="21"/>
                <w:szCs w:val="21"/>
                <w:highlight w:val="none"/>
              </w:rPr>
              <w:t>其他非金属建</w:t>
            </w:r>
            <w:r>
              <w:rPr>
                <w:rFonts w:hint="eastAsia" w:ascii="仿宋" w:hAnsi="仿宋" w:eastAsia="仿宋" w:cs="仿宋"/>
                <w:spacing w:val="-2"/>
                <w:sz w:val="21"/>
                <w:szCs w:val="21"/>
                <w:highlight w:val="none"/>
              </w:rPr>
              <w:t>筑材料</w:t>
            </w:r>
          </w:p>
        </w:tc>
        <w:tc>
          <w:tcPr>
            <w:tcW w:w="1073" w:type="pct"/>
          </w:tcPr>
          <w:p w14:paraId="45CA3E2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62D2D698">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HJ456</w:t>
            </w:r>
            <w:r>
              <w:rPr>
                <w:rFonts w:hint="eastAsia" w:ascii="仿宋" w:hAnsi="仿宋" w:eastAsia="仿宋" w:cs="仿宋"/>
                <w:spacing w:val="-25"/>
                <w:sz w:val="21"/>
                <w:szCs w:val="21"/>
                <w:highlight w:val="none"/>
              </w:rPr>
              <w:t xml:space="preserve"> </w:t>
            </w:r>
            <w:r>
              <w:rPr>
                <w:rFonts w:hint="eastAsia" w:ascii="仿宋" w:hAnsi="仿宋" w:eastAsia="仿宋" w:cs="仿宋"/>
                <w:spacing w:val="-2"/>
                <w:sz w:val="21"/>
                <w:szCs w:val="21"/>
                <w:highlight w:val="none"/>
              </w:rPr>
              <w:t>刚性防水材料</w:t>
            </w:r>
          </w:p>
        </w:tc>
      </w:tr>
      <w:tr w14:paraId="5EB20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318" w:type="pct"/>
            <w:vMerge w:val="restart"/>
            <w:tcBorders>
              <w:bottom w:val="nil"/>
            </w:tcBorders>
          </w:tcPr>
          <w:p w14:paraId="171E04BF">
            <w:pPr>
              <w:pStyle w:val="75"/>
              <w:keepNext w:val="0"/>
              <w:keepLines w:val="0"/>
              <w:pageBreakBefore w:val="0"/>
              <w:widowControl w:val="0"/>
              <w:kinsoku/>
              <w:wordWrap/>
              <w:overflowPunct/>
              <w:topLinePunct w:val="0"/>
              <w:autoSpaceDE/>
              <w:autoSpaceDN/>
              <w:bidi w:val="0"/>
              <w:adjustRightInd/>
              <w:snapToGrid/>
              <w:spacing w:line="340" w:lineRule="exact"/>
              <w:ind w:left="109"/>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43</w:t>
            </w:r>
          </w:p>
        </w:tc>
        <w:tc>
          <w:tcPr>
            <w:tcW w:w="613" w:type="pct"/>
            <w:vMerge w:val="restart"/>
            <w:tcBorders>
              <w:bottom w:val="nil"/>
            </w:tcBorders>
          </w:tcPr>
          <w:p w14:paraId="7F852F0E">
            <w:pPr>
              <w:pStyle w:val="75"/>
              <w:keepNext w:val="0"/>
              <w:keepLines w:val="0"/>
              <w:pageBreakBefore w:val="0"/>
              <w:widowControl w:val="0"/>
              <w:kinsoku/>
              <w:wordWrap/>
              <w:overflowPunct/>
              <w:topLinePunct w:val="0"/>
              <w:autoSpaceDE/>
              <w:autoSpaceDN/>
              <w:bidi w:val="0"/>
              <w:adjustRightInd/>
              <w:snapToGrid/>
              <w:spacing w:line="340" w:lineRule="exact"/>
              <w:ind w:left="106" w:right="158" w:hanging="6"/>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A100602</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墙面涂料</w:t>
            </w:r>
          </w:p>
        </w:tc>
        <w:tc>
          <w:tcPr>
            <w:tcW w:w="1268" w:type="pct"/>
          </w:tcPr>
          <w:p w14:paraId="0D46AC2A">
            <w:pPr>
              <w:pStyle w:val="75"/>
              <w:keepNext w:val="0"/>
              <w:keepLines w:val="0"/>
              <w:pageBreakBefore w:val="0"/>
              <w:widowControl w:val="0"/>
              <w:kinsoku/>
              <w:wordWrap/>
              <w:overflowPunct/>
              <w:topLinePunct w:val="0"/>
              <w:autoSpaceDE/>
              <w:autoSpaceDN/>
              <w:bidi w:val="0"/>
              <w:adjustRightInd/>
              <w:snapToGrid/>
              <w:spacing w:line="340" w:lineRule="exact"/>
              <w:ind w:left="128" w:right="272" w:hanging="2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A10060202</w:t>
            </w:r>
            <w:r>
              <w:rPr>
                <w:rFonts w:hint="eastAsia" w:ascii="仿宋" w:hAnsi="仿宋" w:eastAsia="仿宋" w:cs="仿宋"/>
                <w:spacing w:val="-33"/>
                <w:sz w:val="21"/>
                <w:szCs w:val="21"/>
                <w:highlight w:val="none"/>
              </w:rPr>
              <w:t xml:space="preserve"> </w:t>
            </w:r>
            <w:r>
              <w:rPr>
                <w:rFonts w:hint="eastAsia" w:ascii="仿宋" w:hAnsi="仿宋" w:eastAsia="仿宋" w:cs="仿宋"/>
                <w:spacing w:val="-1"/>
                <w:sz w:val="21"/>
                <w:szCs w:val="21"/>
                <w:highlight w:val="none"/>
              </w:rPr>
              <w:t>合成树脂乳液</w:t>
            </w:r>
            <w:r>
              <w:rPr>
                <w:rFonts w:hint="eastAsia" w:ascii="仿宋" w:hAnsi="仿宋" w:eastAsia="仿宋" w:cs="仿宋"/>
                <w:spacing w:val="-6"/>
                <w:sz w:val="21"/>
                <w:szCs w:val="21"/>
                <w:highlight w:val="none"/>
              </w:rPr>
              <w:t>内墙涂料</w:t>
            </w:r>
          </w:p>
        </w:tc>
        <w:tc>
          <w:tcPr>
            <w:tcW w:w="1073" w:type="pct"/>
          </w:tcPr>
          <w:p w14:paraId="5BAD393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52A6A134">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HJ2537</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水性涂料</w:t>
            </w:r>
          </w:p>
        </w:tc>
      </w:tr>
      <w:tr w14:paraId="5E89A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318" w:type="pct"/>
            <w:vMerge w:val="continue"/>
            <w:tcBorders>
              <w:top w:val="nil"/>
              <w:bottom w:val="nil"/>
            </w:tcBorders>
          </w:tcPr>
          <w:p w14:paraId="4CCB1E13">
            <w:pPr>
              <w:rPr>
                <w:highlight w:val="none"/>
              </w:rPr>
            </w:pPr>
          </w:p>
        </w:tc>
        <w:tc>
          <w:tcPr>
            <w:tcW w:w="613" w:type="pct"/>
            <w:vMerge w:val="continue"/>
            <w:tcBorders>
              <w:top w:val="nil"/>
              <w:bottom w:val="nil"/>
            </w:tcBorders>
          </w:tcPr>
          <w:p w14:paraId="36D7DA75">
            <w:pPr>
              <w:rPr>
                <w:highlight w:val="none"/>
              </w:rPr>
            </w:pPr>
          </w:p>
        </w:tc>
        <w:tc>
          <w:tcPr>
            <w:tcW w:w="1268" w:type="pct"/>
          </w:tcPr>
          <w:p w14:paraId="5394F4E8">
            <w:pPr>
              <w:pStyle w:val="75"/>
              <w:keepNext w:val="0"/>
              <w:keepLines w:val="0"/>
              <w:pageBreakBefore w:val="0"/>
              <w:widowControl w:val="0"/>
              <w:kinsoku/>
              <w:wordWrap/>
              <w:overflowPunct/>
              <w:topLinePunct w:val="0"/>
              <w:autoSpaceDE/>
              <w:autoSpaceDN/>
              <w:bidi w:val="0"/>
              <w:adjustRightInd/>
              <w:snapToGrid/>
              <w:spacing w:line="340" w:lineRule="exact"/>
              <w:ind w:left="110" w:right="272" w:hanging="9"/>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A10060203</w:t>
            </w:r>
            <w:r>
              <w:rPr>
                <w:rFonts w:hint="eastAsia" w:ascii="仿宋" w:hAnsi="仿宋" w:eastAsia="仿宋" w:cs="仿宋"/>
                <w:spacing w:val="-33"/>
                <w:sz w:val="21"/>
                <w:szCs w:val="21"/>
                <w:highlight w:val="none"/>
              </w:rPr>
              <w:t xml:space="preserve"> </w:t>
            </w:r>
            <w:r>
              <w:rPr>
                <w:rFonts w:hint="eastAsia" w:ascii="仿宋" w:hAnsi="仿宋" w:eastAsia="仿宋" w:cs="仿宋"/>
                <w:spacing w:val="-1"/>
                <w:sz w:val="21"/>
                <w:szCs w:val="21"/>
                <w:highlight w:val="none"/>
              </w:rPr>
              <w:t>合成树脂乳液</w:t>
            </w:r>
            <w:r>
              <w:rPr>
                <w:rFonts w:hint="eastAsia" w:ascii="仿宋" w:hAnsi="仿宋" w:eastAsia="仿宋" w:cs="仿宋"/>
                <w:spacing w:val="-2"/>
                <w:sz w:val="21"/>
                <w:szCs w:val="21"/>
                <w:highlight w:val="none"/>
              </w:rPr>
              <w:t>外墙涂料</w:t>
            </w:r>
          </w:p>
        </w:tc>
        <w:tc>
          <w:tcPr>
            <w:tcW w:w="1073" w:type="pct"/>
          </w:tcPr>
          <w:p w14:paraId="2A0F4BD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3EA1DE76">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HJ2537</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水性涂料</w:t>
            </w:r>
          </w:p>
        </w:tc>
      </w:tr>
      <w:tr w14:paraId="5FBBE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18" w:type="pct"/>
            <w:vMerge w:val="continue"/>
            <w:tcBorders>
              <w:top w:val="nil"/>
            </w:tcBorders>
          </w:tcPr>
          <w:p w14:paraId="6B78B5C4">
            <w:pPr>
              <w:rPr>
                <w:highlight w:val="none"/>
              </w:rPr>
            </w:pPr>
          </w:p>
        </w:tc>
        <w:tc>
          <w:tcPr>
            <w:tcW w:w="613" w:type="pct"/>
            <w:vMerge w:val="continue"/>
            <w:tcBorders>
              <w:top w:val="nil"/>
            </w:tcBorders>
          </w:tcPr>
          <w:p w14:paraId="3E30430B">
            <w:pPr>
              <w:rPr>
                <w:highlight w:val="none"/>
              </w:rPr>
            </w:pPr>
          </w:p>
        </w:tc>
        <w:tc>
          <w:tcPr>
            <w:tcW w:w="1268" w:type="pct"/>
          </w:tcPr>
          <w:p w14:paraId="79BD04A7">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A10060299</w:t>
            </w:r>
            <w:r>
              <w:rPr>
                <w:rFonts w:hint="eastAsia" w:ascii="仿宋" w:hAnsi="仿宋" w:eastAsia="仿宋" w:cs="仿宋"/>
                <w:spacing w:val="-32"/>
                <w:sz w:val="21"/>
                <w:szCs w:val="21"/>
                <w:highlight w:val="none"/>
              </w:rPr>
              <w:t xml:space="preserve"> </w:t>
            </w:r>
            <w:r>
              <w:rPr>
                <w:rFonts w:hint="eastAsia" w:ascii="仿宋" w:hAnsi="仿宋" w:eastAsia="仿宋" w:cs="仿宋"/>
                <w:spacing w:val="-1"/>
                <w:sz w:val="21"/>
                <w:szCs w:val="21"/>
                <w:highlight w:val="none"/>
              </w:rPr>
              <w:t>其他墙面涂料</w:t>
            </w:r>
          </w:p>
        </w:tc>
        <w:tc>
          <w:tcPr>
            <w:tcW w:w="1073" w:type="pct"/>
          </w:tcPr>
          <w:p w14:paraId="1663794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049A9012">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HJ2537</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水性涂料</w:t>
            </w:r>
          </w:p>
        </w:tc>
      </w:tr>
      <w:tr w14:paraId="0443C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318" w:type="pct"/>
          </w:tcPr>
          <w:p w14:paraId="70DAED14">
            <w:pPr>
              <w:pStyle w:val="75"/>
              <w:keepNext w:val="0"/>
              <w:keepLines w:val="0"/>
              <w:pageBreakBefore w:val="0"/>
              <w:widowControl w:val="0"/>
              <w:kinsoku/>
              <w:wordWrap/>
              <w:overflowPunct/>
              <w:topLinePunct w:val="0"/>
              <w:autoSpaceDE/>
              <w:autoSpaceDN/>
              <w:bidi w:val="0"/>
              <w:adjustRightInd/>
              <w:snapToGrid/>
              <w:spacing w:line="340" w:lineRule="exact"/>
              <w:ind w:left="109"/>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44</w:t>
            </w:r>
          </w:p>
        </w:tc>
        <w:tc>
          <w:tcPr>
            <w:tcW w:w="613" w:type="pct"/>
          </w:tcPr>
          <w:p w14:paraId="2ED5655F">
            <w:pPr>
              <w:pStyle w:val="75"/>
              <w:keepNext w:val="0"/>
              <w:keepLines w:val="0"/>
              <w:pageBreakBefore w:val="0"/>
              <w:widowControl w:val="0"/>
              <w:kinsoku/>
              <w:wordWrap/>
              <w:overflowPunct/>
              <w:topLinePunct w:val="0"/>
              <w:autoSpaceDE/>
              <w:autoSpaceDN/>
              <w:bidi w:val="0"/>
              <w:adjustRightInd/>
              <w:snapToGrid/>
              <w:spacing w:line="340" w:lineRule="exact"/>
              <w:ind w:left="107" w:right="158" w:hanging="7"/>
              <w:textAlignment w:val="auto"/>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A100604</w:t>
            </w:r>
            <w:r>
              <w:rPr>
                <w:rFonts w:hint="eastAsia" w:ascii="仿宋" w:hAnsi="仿宋" w:eastAsia="仿宋" w:cs="仿宋"/>
                <w:spacing w:val="-24"/>
                <w:sz w:val="21"/>
                <w:szCs w:val="21"/>
                <w:highlight w:val="none"/>
              </w:rPr>
              <w:t xml:space="preserve"> </w:t>
            </w:r>
            <w:r>
              <w:rPr>
                <w:rFonts w:hint="eastAsia" w:ascii="仿宋" w:hAnsi="仿宋" w:eastAsia="仿宋" w:cs="仿宋"/>
                <w:spacing w:val="-3"/>
                <w:sz w:val="21"/>
                <w:szCs w:val="21"/>
                <w:highlight w:val="none"/>
              </w:rPr>
              <w:t>防水涂料</w:t>
            </w:r>
          </w:p>
        </w:tc>
        <w:tc>
          <w:tcPr>
            <w:tcW w:w="1268" w:type="pct"/>
          </w:tcPr>
          <w:p w14:paraId="7D2058D2">
            <w:pPr>
              <w:pStyle w:val="75"/>
              <w:keepNext w:val="0"/>
              <w:keepLines w:val="0"/>
              <w:pageBreakBefore w:val="0"/>
              <w:widowControl w:val="0"/>
              <w:kinsoku/>
              <w:wordWrap/>
              <w:overflowPunct/>
              <w:topLinePunct w:val="0"/>
              <w:autoSpaceDE/>
              <w:autoSpaceDN/>
              <w:bidi w:val="0"/>
              <w:adjustRightInd/>
              <w:snapToGrid/>
              <w:spacing w:line="340" w:lineRule="exact"/>
              <w:ind w:left="101"/>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A10060499</w:t>
            </w:r>
            <w:r>
              <w:rPr>
                <w:rFonts w:hint="eastAsia" w:ascii="仿宋" w:hAnsi="仿宋" w:eastAsia="仿宋" w:cs="仿宋"/>
                <w:spacing w:val="-32"/>
                <w:sz w:val="21"/>
                <w:szCs w:val="21"/>
                <w:highlight w:val="none"/>
              </w:rPr>
              <w:t xml:space="preserve"> </w:t>
            </w:r>
            <w:r>
              <w:rPr>
                <w:rFonts w:hint="eastAsia" w:ascii="仿宋" w:hAnsi="仿宋" w:eastAsia="仿宋" w:cs="仿宋"/>
                <w:spacing w:val="-1"/>
                <w:sz w:val="21"/>
                <w:szCs w:val="21"/>
                <w:highlight w:val="none"/>
              </w:rPr>
              <w:t>其他防水涂料</w:t>
            </w:r>
          </w:p>
        </w:tc>
        <w:tc>
          <w:tcPr>
            <w:tcW w:w="1073" w:type="pct"/>
          </w:tcPr>
          <w:p w14:paraId="5A6003F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6AB5AA69">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HJ2537</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水性涂料</w:t>
            </w:r>
          </w:p>
        </w:tc>
      </w:tr>
      <w:tr w14:paraId="59602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318" w:type="pct"/>
          </w:tcPr>
          <w:p w14:paraId="0E50F736">
            <w:pPr>
              <w:pStyle w:val="75"/>
              <w:keepNext w:val="0"/>
              <w:keepLines w:val="0"/>
              <w:pageBreakBefore w:val="0"/>
              <w:widowControl w:val="0"/>
              <w:kinsoku/>
              <w:wordWrap/>
              <w:overflowPunct/>
              <w:topLinePunct w:val="0"/>
              <w:autoSpaceDE/>
              <w:autoSpaceDN/>
              <w:bidi w:val="0"/>
              <w:adjustRightInd/>
              <w:snapToGrid/>
              <w:spacing w:line="340" w:lineRule="exact"/>
              <w:ind w:left="109"/>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45</w:t>
            </w:r>
          </w:p>
        </w:tc>
        <w:tc>
          <w:tcPr>
            <w:tcW w:w="613" w:type="pct"/>
          </w:tcPr>
          <w:p w14:paraId="0CDE9016">
            <w:pPr>
              <w:pStyle w:val="75"/>
              <w:keepNext w:val="0"/>
              <w:keepLines w:val="0"/>
              <w:pageBreakBefore w:val="0"/>
              <w:widowControl w:val="0"/>
              <w:kinsoku/>
              <w:wordWrap/>
              <w:overflowPunct/>
              <w:topLinePunct w:val="0"/>
              <w:autoSpaceDE/>
              <w:autoSpaceDN/>
              <w:bidi w:val="0"/>
              <w:adjustRightInd/>
              <w:snapToGrid/>
              <w:spacing w:line="340" w:lineRule="exact"/>
              <w:ind w:left="105" w:right="113" w:hanging="5"/>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A100699</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其他建筑涂料</w:t>
            </w:r>
          </w:p>
        </w:tc>
        <w:tc>
          <w:tcPr>
            <w:tcW w:w="1268" w:type="pct"/>
          </w:tcPr>
          <w:p w14:paraId="4E7CC8E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73" w:type="pct"/>
          </w:tcPr>
          <w:p w14:paraId="5649FB2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18ED16C3">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HJ2537</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水性涂料</w:t>
            </w:r>
          </w:p>
        </w:tc>
      </w:tr>
      <w:tr w14:paraId="79EF0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318" w:type="pct"/>
          </w:tcPr>
          <w:p w14:paraId="1368F0CF">
            <w:pPr>
              <w:pStyle w:val="75"/>
              <w:keepNext w:val="0"/>
              <w:keepLines w:val="0"/>
              <w:pageBreakBefore w:val="0"/>
              <w:widowControl w:val="0"/>
              <w:kinsoku/>
              <w:wordWrap/>
              <w:overflowPunct/>
              <w:topLinePunct w:val="0"/>
              <w:autoSpaceDE/>
              <w:autoSpaceDN/>
              <w:bidi w:val="0"/>
              <w:adjustRightInd/>
              <w:snapToGrid/>
              <w:spacing w:line="340" w:lineRule="exact"/>
              <w:ind w:left="109"/>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46</w:t>
            </w:r>
          </w:p>
        </w:tc>
        <w:tc>
          <w:tcPr>
            <w:tcW w:w="613" w:type="pct"/>
          </w:tcPr>
          <w:p w14:paraId="3D7F6326">
            <w:pPr>
              <w:pStyle w:val="75"/>
              <w:keepNext w:val="0"/>
              <w:keepLines w:val="0"/>
              <w:pageBreakBefore w:val="0"/>
              <w:widowControl w:val="0"/>
              <w:kinsoku/>
              <w:wordWrap/>
              <w:overflowPunct/>
              <w:topLinePunct w:val="0"/>
              <w:autoSpaceDE/>
              <w:autoSpaceDN/>
              <w:bidi w:val="0"/>
              <w:adjustRightInd/>
              <w:snapToGrid/>
              <w:spacing w:line="340" w:lineRule="exact"/>
              <w:ind w:left="100"/>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A100701</w:t>
            </w:r>
          </w:p>
          <w:p w14:paraId="297D1843">
            <w:pPr>
              <w:pStyle w:val="75"/>
              <w:keepNext w:val="0"/>
              <w:keepLines w:val="0"/>
              <w:pageBreakBefore w:val="0"/>
              <w:widowControl w:val="0"/>
              <w:kinsoku/>
              <w:wordWrap/>
              <w:overflowPunct/>
              <w:topLinePunct w:val="0"/>
              <w:autoSpaceDE/>
              <w:autoSpaceDN/>
              <w:bidi w:val="0"/>
              <w:adjustRightInd/>
              <w:snapToGrid/>
              <w:spacing w:line="340" w:lineRule="exact"/>
              <w:ind w:left="126"/>
              <w:textAlignment w:val="auto"/>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门、门槛</w:t>
            </w:r>
          </w:p>
        </w:tc>
        <w:tc>
          <w:tcPr>
            <w:tcW w:w="1268" w:type="pct"/>
          </w:tcPr>
          <w:p w14:paraId="45D88AB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73" w:type="pct"/>
          </w:tcPr>
          <w:p w14:paraId="4E5AD08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75C8B07B">
            <w:pPr>
              <w:pStyle w:val="75"/>
              <w:keepNext w:val="0"/>
              <w:keepLines w:val="0"/>
              <w:pageBreakBefore w:val="0"/>
              <w:widowControl w:val="0"/>
              <w:kinsoku/>
              <w:wordWrap/>
              <w:overflowPunct/>
              <w:topLinePunct w:val="0"/>
              <w:autoSpaceDE/>
              <w:autoSpaceDN/>
              <w:bidi w:val="0"/>
              <w:adjustRightInd/>
              <w:snapToGrid/>
              <w:spacing w:line="340" w:lineRule="exact"/>
              <w:ind w:left="111" w:right="152" w:hanging="4"/>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HJ/T237</w:t>
            </w:r>
            <w:r>
              <w:rPr>
                <w:rFonts w:hint="eastAsia" w:ascii="仿宋" w:hAnsi="仿宋" w:eastAsia="仿宋" w:cs="仿宋"/>
                <w:spacing w:val="-35"/>
                <w:sz w:val="21"/>
                <w:szCs w:val="21"/>
                <w:highlight w:val="none"/>
              </w:rPr>
              <w:t xml:space="preserve"> </w:t>
            </w:r>
            <w:r>
              <w:rPr>
                <w:rFonts w:hint="eastAsia" w:ascii="仿宋" w:hAnsi="仿宋" w:eastAsia="仿宋" w:cs="仿宋"/>
                <w:spacing w:val="-1"/>
                <w:sz w:val="21"/>
                <w:szCs w:val="21"/>
                <w:highlight w:val="none"/>
              </w:rPr>
              <w:t>塑料门窗/HJ459</w:t>
            </w:r>
            <w:r>
              <w:rPr>
                <w:rFonts w:hint="eastAsia" w:ascii="仿宋" w:hAnsi="仿宋" w:eastAsia="仿宋" w:cs="仿宋"/>
                <w:spacing w:val="-37"/>
                <w:sz w:val="21"/>
                <w:szCs w:val="21"/>
                <w:highlight w:val="none"/>
              </w:rPr>
              <w:t xml:space="preserve"> </w:t>
            </w:r>
            <w:r>
              <w:rPr>
                <w:rFonts w:hint="eastAsia" w:ascii="仿宋" w:hAnsi="仿宋" w:eastAsia="仿宋" w:cs="仿宋"/>
                <w:spacing w:val="-1"/>
                <w:sz w:val="21"/>
                <w:szCs w:val="21"/>
                <w:highlight w:val="none"/>
              </w:rPr>
              <w:t>木质门和钢</w:t>
            </w:r>
            <w:r>
              <w:rPr>
                <w:rFonts w:hint="eastAsia" w:ascii="仿宋" w:hAnsi="仿宋" w:eastAsia="仿宋" w:cs="仿宋"/>
                <w:spacing w:val="-2"/>
                <w:sz w:val="21"/>
                <w:szCs w:val="21"/>
                <w:highlight w:val="none"/>
              </w:rPr>
              <w:t>质门</w:t>
            </w:r>
          </w:p>
        </w:tc>
      </w:tr>
      <w:tr w14:paraId="5E130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18" w:type="pct"/>
          </w:tcPr>
          <w:p w14:paraId="7006E5E4">
            <w:pPr>
              <w:pStyle w:val="75"/>
              <w:keepNext w:val="0"/>
              <w:keepLines w:val="0"/>
              <w:pageBreakBefore w:val="0"/>
              <w:widowControl w:val="0"/>
              <w:kinsoku/>
              <w:wordWrap/>
              <w:overflowPunct/>
              <w:topLinePunct w:val="0"/>
              <w:autoSpaceDE/>
              <w:autoSpaceDN/>
              <w:bidi w:val="0"/>
              <w:adjustRightInd/>
              <w:snapToGrid/>
              <w:spacing w:line="340" w:lineRule="exact"/>
              <w:ind w:left="109"/>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47</w:t>
            </w:r>
          </w:p>
        </w:tc>
        <w:tc>
          <w:tcPr>
            <w:tcW w:w="613" w:type="pct"/>
          </w:tcPr>
          <w:p w14:paraId="4B9DDD03">
            <w:pPr>
              <w:pStyle w:val="75"/>
              <w:keepNext w:val="0"/>
              <w:keepLines w:val="0"/>
              <w:pageBreakBefore w:val="0"/>
              <w:widowControl w:val="0"/>
              <w:kinsoku/>
              <w:wordWrap/>
              <w:overflowPunct/>
              <w:topLinePunct w:val="0"/>
              <w:autoSpaceDE/>
              <w:autoSpaceDN/>
              <w:bidi w:val="0"/>
              <w:adjustRightInd/>
              <w:snapToGrid/>
              <w:spacing w:line="340" w:lineRule="exact"/>
              <w:ind w:left="100"/>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A100702</w:t>
            </w:r>
            <w:r>
              <w:rPr>
                <w:rFonts w:hint="eastAsia" w:ascii="仿宋" w:hAnsi="仿宋" w:eastAsia="仿宋" w:cs="仿宋"/>
                <w:spacing w:val="-24"/>
                <w:sz w:val="21"/>
                <w:szCs w:val="21"/>
                <w:highlight w:val="none"/>
              </w:rPr>
              <w:t xml:space="preserve"> </w:t>
            </w:r>
            <w:r>
              <w:rPr>
                <w:rFonts w:hint="eastAsia" w:ascii="仿宋" w:hAnsi="仿宋" w:eastAsia="仿宋" w:cs="仿宋"/>
                <w:spacing w:val="-1"/>
                <w:sz w:val="21"/>
                <w:szCs w:val="21"/>
                <w:highlight w:val="none"/>
              </w:rPr>
              <w:t>窗</w:t>
            </w:r>
          </w:p>
        </w:tc>
        <w:tc>
          <w:tcPr>
            <w:tcW w:w="1268" w:type="pct"/>
          </w:tcPr>
          <w:p w14:paraId="17F5D5C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73" w:type="pct"/>
          </w:tcPr>
          <w:p w14:paraId="7D7A0FC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46331C8F">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HJ/T237</w:t>
            </w:r>
            <w:r>
              <w:rPr>
                <w:rFonts w:hint="eastAsia" w:ascii="仿宋" w:hAnsi="仿宋" w:eastAsia="仿宋" w:cs="仿宋"/>
                <w:spacing w:val="-35"/>
                <w:sz w:val="21"/>
                <w:szCs w:val="21"/>
                <w:highlight w:val="none"/>
              </w:rPr>
              <w:t xml:space="preserve"> </w:t>
            </w:r>
            <w:r>
              <w:rPr>
                <w:rFonts w:hint="eastAsia" w:ascii="仿宋" w:hAnsi="仿宋" w:eastAsia="仿宋" w:cs="仿宋"/>
                <w:spacing w:val="-1"/>
                <w:sz w:val="21"/>
                <w:szCs w:val="21"/>
                <w:highlight w:val="none"/>
              </w:rPr>
              <w:t>塑料门窗</w:t>
            </w:r>
          </w:p>
        </w:tc>
      </w:tr>
      <w:tr w14:paraId="3C598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318" w:type="pct"/>
          </w:tcPr>
          <w:p w14:paraId="345B231A">
            <w:pPr>
              <w:pStyle w:val="75"/>
              <w:keepNext w:val="0"/>
              <w:keepLines w:val="0"/>
              <w:pageBreakBefore w:val="0"/>
              <w:widowControl w:val="0"/>
              <w:kinsoku/>
              <w:wordWrap/>
              <w:overflowPunct/>
              <w:topLinePunct w:val="0"/>
              <w:autoSpaceDE/>
              <w:autoSpaceDN/>
              <w:bidi w:val="0"/>
              <w:adjustRightInd/>
              <w:snapToGrid/>
              <w:spacing w:line="340" w:lineRule="exact"/>
              <w:ind w:left="109"/>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48</w:t>
            </w:r>
          </w:p>
        </w:tc>
        <w:tc>
          <w:tcPr>
            <w:tcW w:w="613" w:type="pct"/>
          </w:tcPr>
          <w:p w14:paraId="5A696F95">
            <w:pPr>
              <w:pStyle w:val="75"/>
              <w:keepNext w:val="0"/>
              <w:keepLines w:val="0"/>
              <w:pageBreakBefore w:val="0"/>
              <w:widowControl w:val="0"/>
              <w:kinsoku/>
              <w:wordWrap/>
              <w:overflowPunct/>
              <w:topLinePunct w:val="0"/>
              <w:autoSpaceDE/>
              <w:autoSpaceDN/>
              <w:bidi w:val="0"/>
              <w:adjustRightInd/>
              <w:snapToGrid/>
              <w:spacing w:line="340" w:lineRule="exact"/>
              <w:ind w:left="105" w:right="113" w:hanging="5"/>
              <w:jc w:val="both"/>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A170108</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涂料（建筑涂</w:t>
            </w:r>
            <w:r>
              <w:rPr>
                <w:rFonts w:hint="eastAsia" w:ascii="仿宋" w:hAnsi="仿宋" w:eastAsia="仿宋" w:cs="仿宋"/>
                <w:spacing w:val="-4"/>
                <w:sz w:val="21"/>
                <w:szCs w:val="21"/>
                <w:highlight w:val="none"/>
              </w:rPr>
              <w:t>料除外）</w:t>
            </w:r>
          </w:p>
        </w:tc>
        <w:tc>
          <w:tcPr>
            <w:tcW w:w="1268" w:type="pct"/>
          </w:tcPr>
          <w:p w14:paraId="48DF29A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73" w:type="pct"/>
          </w:tcPr>
          <w:p w14:paraId="1195F41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61815C77">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HJ2537</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水性涂料</w:t>
            </w:r>
          </w:p>
        </w:tc>
      </w:tr>
      <w:tr w14:paraId="0EEDC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318" w:type="pct"/>
          </w:tcPr>
          <w:p w14:paraId="1B717066">
            <w:pPr>
              <w:pStyle w:val="75"/>
              <w:keepNext w:val="0"/>
              <w:keepLines w:val="0"/>
              <w:pageBreakBefore w:val="0"/>
              <w:widowControl w:val="0"/>
              <w:kinsoku/>
              <w:wordWrap/>
              <w:overflowPunct/>
              <w:topLinePunct w:val="0"/>
              <w:autoSpaceDE/>
              <w:autoSpaceDN/>
              <w:bidi w:val="0"/>
              <w:adjustRightInd/>
              <w:snapToGrid/>
              <w:spacing w:line="340" w:lineRule="exact"/>
              <w:ind w:left="109"/>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49</w:t>
            </w:r>
          </w:p>
        </w:tc>
        <w:tc>
          <w:tcPr>
            <w:tcW w:w="613" w:type="pct"/>
          </w:tcPr>
          <w:p w14:paraId="12CA28B9">
            <w:pPr>
              <w:pStyle w:val="75"/>
              <w:keepNext w:val="0"/>
              <w:keepLines w:val="0"/>
              <w:pageBreakBefore w:val="0"/>
              <w:widowControl w:val="0"/>
              <w:kinsoku/>
              <w:wordWrap/>
              <w:overflowPunct/>
              <w:topLinePunct w:val="0"/>
              <w:autoSpaceDE/>
              <w:autoSpaceDN/>
              <w:bidi w:val="0"/>
              <w:adjustRightInd/>
              <w:snapToGrid/>
              <w:spacing w:line="340" w:lineRule="exact"/>
              <w:ind w:left="104" w:right="113" w:hanging="4"/>
              <w:jc w:val="both"/>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A170112</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密封用填料及类似品</w:t>
            </w:r>
          </w:p>
        </w:tc>
        <w:tc>
          <w:tcPr>
            <w:tcW w:w="1268" w:type="pct"/>
          </w:tcPr>
          <w:p w14:paraId="3406CD0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73" w:type="pct"/>
          </w:tcPr>
          <w:p w14:paraId="76161C4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6747D13F">
            <w:pPr>
              <w:pStyle w:val="75"/>
              <w:keepNext w:val="0"/>
              <w:keepLines w:val="0"/>
              <w:pageBreakBefore w:val="0"/>
              <w:widowControl w:val="0"/>
              <w:kinsoku/>
              <w:wordWrap/>
              <w:overflowPunct/>
              <w:topLinePunct w:val="0"/>
              <w:autoSpaceDE/>
              <w:autoSpaceDN/>
              <w:bidi w:val="0"/>
              <w:adjustRightInd/>
              <w:snapToGrid/>
              <w:spacing w:line="340" w:lineRule="exact"/>
              <w:ind w:left="107"/>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HJ2541</w:t>
            </w:r>
            <w:r>
              <w:rPr>
                <w:rFonts w:hint="eastAsia" w:ascii="仿宋" w:hAnsi="仿宋" w:eastAsia="仿宋" w:cs="仿宋"/>
                <w:spacing w:val="-38"/>
                <w:sz w:val="21"/>
                <w:szCs w:val="21"/>
                <w:highlight w:val="none"/>
              </w:rPr>
              <w:t xml:space="preserve"> </w:t>
            </w:r>
            <w:r>
              <w:rPr>
                <w:rFonts w:hint="eastAsia" w:ascii="仿宋" w:hAnsi="仿宋" w:eastAsia="仿宋" w:cs="仿宋"/>
                <w:spacing w:val="-1"/>
                <w:sz w:val="21"/>
                <w:szCs w:val="21"/>
                <w:highlight w:val="none"/>
              </w:rPr>
              <w:t>胶粘剂</w:t>
            </w:r>
          </w:p>
        </w:tc>
      </w:tr>
      <w:tr w14:paraId="596D3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318" w:type="pct"/>
          </w:tcPr>
          <w:p w14:paraId="2DC7D3C1">
            <w:pPr>
              <w:pStyle w:val="75"/>
              <w:keepNext w:val="0"/>
              <w:keepLines w:val="0"/>
              <w:pageBreakBefore w:val="0"/>
              <w:widowControl w:val="0"/>
              <w:kinsoku/>
              <w:wordWrap/>
              <w:overflowPunct/>
              <w:topLinePunct w:val="0"/>
              <w:autoSpaceDE/>
              <w:autoSpaceDN/>
              <w:bidi w:val="0"/>
              <w:adjustRightInd/>
              <w:snapToGrid/>
              <w:spacing w:line="340" w:lineRule="exact"/>
              <w:ind w:left="113"/>
              <w:textAlignment w:val="auto"/>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50</w:t>
            </w:r>
          </w:p>
        </w:tc>
        <w:tc>
          <w:tcPr>
            <w:tcW w:w="613" w:type="pct"/>
          </w:tcPr>
          <w:p w14:paraId="334C6B02">
            <w:pPr>
              <w:pStyle w:val="75"/>
              <w:keepNext w:val="0"/>
              <w:keepLines w:val="0"/>
              <w:pageBreakBefore w:val="0"/>
              <w:widowControl w:val="0"/>
              <w:kinsoku/>
              <w:wordWrap/>
              <w:overflowPunct/>
              <w:topLinePunct w:val="0"/>
              <w:autoSpaceDE/>
              <w:autoSpaceDN/>
              <w:bidi w:val="0"/>
              <w:adjustRightInd/>
              <w:snapToGrid/>
              <w:spacing w:line="340" w:lineRule="exact"/>
              <w:ind w:left="105" w:right="158" w:hanging="5"/>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A180201</w:t>
            </w:r>
            <w:r>
              <w:rPr>
                <w:rFonts w:hint="eastAsia" w:ascii="仿宋" w:hAnsi="仿宋" w:eastAsia="仿宋" w:cs="仿宋"/>
                <w:spacing w:val="-32"/>
                <w:sz w:val="21"/>
                <w:szCs w:val="21"/>
                <w:highlight w:val="none"/>
              </w:rPr>
              <w:t xml:space="preserve"> </w:t>
            </w:r>
            <w:r>
              <w:rPr>
                <w:rFonts w:hint="eastAsia" w:ascii="仿宋" w:hAnsi="仿宋" w:eastAsia="仿宋" w:cs="仿宋"/>
                <w:spacing w:val="-2"/>
                <w:sz w:val="21"/>
                <w:szCs w:val="21"/>
                <w:highlight w:val="none"/>
              </w:rPr>
              <w:t>塑料制品</w:t>
            </w:r>
          </w:p>
        </w:tc>
        <w:tc>
          <w:tcPr>
            <w:tcW w:w="1268" w:type="pct"/>
          </w:tcPr>
          <w:p w14:paraId="5E2EA1A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73" w:type="pct"/>
          </w:tcPr>
          <w:p w14:paraId="67D0311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725" w:type="pct"/>
            <w:gridSpan w:val="2"/>
          </w:tcPr>
          <w:p w14:paraId="09711FF2">
            <w:pPr>
              <w:pStyle w:val="75"/>
              <w:keepNext w:val="0"/>
              <w:keepLines w:val="0"/>
              <w:pageBreakBefore w:val="0"/>
              <w:widowControl w:val="0"/>
              <w:kinsoku/>
              <w:wordWrap/>
              <w:overflowPunct/>
              <w:topLinePunct w:val="0"/>
              <w:autoSpaceDE/>
              <w:autoSpaceDN/>
              <w:bidi w:val="0"/>
              <w:adjustRightInd/>
              <w:snapToGrid/>
              <w:spacing w:line="340" w:lineRule="exact"/>
              <w:ind w:left="112" w:right="152" w:hanging="5"/>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HJ/T226</w:t>
            </w:r>
            <w:r>
              <w:rPr>
                <w:rFonts w:hint="eastAsia" w:ascii="仿宋" w:hAnsi="仿宋" w:eastAsia="仿宋" w:cs="仿宋"/>
                <w:spacing w:val="-35"/>
                <w:sz w:val="21"/>
                <w:szCs w:val="21"/>
                <w:highlight w:val="none"/>
              </w:rPr>
              <w:t xml:space="preserve"> </w:t>
            </w:r>
            <w:r>
              <w:rPr>
                <w:rFonts w:hint="eastAsia" w:ascii="仿宋" w:hAnsi="仿宋" w:eastAsia="仿宋" w:cs="仿宋"/>
                <w:spacing w:val="-1"/>
                <w:sz w:val="21"/>
                <w:szCs w:val="21"/>
                <w:highlight w:val="none"/>
              </w:rPr>
              <w:t>建筑用塑料管材/HJ/T231</w:t>
            </w:r>
            <w:r>
              <w:rPr>
                <w:rFonts w:hint="eastAsia" w:ascii="仿宋" w:hAnsi="仿宋" w:eastAsia="仿宋" w:cs="仿宋"/>
                <w:spacing w:val="-36"/>
                <w:sz w:val="21"/>
                <w:szCs w:val="21"/>
                <w:highlight w:val="none"/>
              </w:rPr>
              <w:t xml:space="preserve"> </w:t>
            </w:r>
            <w:r>
              <w:rPr>
                <w:rFonts w:hint="eastAsia" w:ascii="仿宋" w:hAnsi="仿宋" w:eastAsia="仿宋" w:cs="仿宋"/>
                <w:spacing w:val="-1"/>
                <w:sz w:val="21"/>
                <w:szCs w:val="21"/>
                <w:highlight w:val="none"/>
              </w:rPr>
              <w:t>再</w:t>
            </w:r>
            <w:r>
              <w:rPr>
                <w:rFonts w:hint="eastAsia" w:ascii="仿宋" w:hAnsi="仿宋" w:eastAsia="仿宋" w:cs="仿宋"/>
                <w:spacing w:val="-2"/>
                <w:sz w:val="21"/>
                <w:szCs w:val="21"/>
                <w:highlight w:val="none"/>
              </w:rPr>
              <w:t>生塑料制品</w:t>
            </w:r>
          </w:p>
        </w:tc>
      </w:tr>
    </w:tbl>
    <w:p w14:paraId="30711D1A">
      <w:pPr>
        <w:pStyle w:val="13"/>
        <w:spacing w:before="67" w:line="218" w:lineRule="auto"/>
        <w:ind w:left="12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注：环境标志产品认证应依据相关标准的最新版本</w:t>
      </w:r>
    </w:p>
    <w:p w14:paraId="0C7A2654">
      <w:pP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br w:type="page"/>
      </w:r>
    </w:p>
    <w:p w14:paraId="7A1088E7">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附件 3</w:t>
      </w:r>
    </w:p>
    <w:tbl>
      <w:tblPr>
        <w:tblStyle w:val="29"/>
        <w:tblW w:w="8239" w:type="dxa"/>
        <w:tblInd w:w="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022"/>
        <w:gridCol w:w="839"/>
        <w:gridCol w:w="1333"/>
        <w:gridCol w:w="1087"/>
        <w:gridCol w:w="3249"/>
      </w:tblGrid>
      <w:tr w14:paraId="10B95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09" w:type="dxa"/>
            <w:vMerge w:val="restart"/>
            <w:tcBorders>
              <w:bottom w:val="nil"/>
            </w:tcBorders>
          </w:tcPr>
          <w:p w14:paraId="5E37852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54168635">
            <w:pPr>
              <w:pStyle w:val="75"/>
              <w:keepNext w:val="0"/>
              <w:keepLines w:val="0"/>
              <w:pageBreakBefore w:val="0"/>
              <w:widowControl w:val="0"/>
              <w:kinsoku/>
              <w:wordWrap/>
              <w:overflowPunct/>
              <w:topLinePunct w:val="0"/>
              <w:autoSpaceDE/>
              <w:autoSpaceDN/>
              <w:bidi w:val="0"/>
              <w:adjustRightInd/>
              <w:snapToGrid/>
              <w:spacing w:line="340" w:lineRule="exact"/>
              <w:ind w:left="171"/>
              <w:textAlignment w:val="auto"/>
              <w:rPr>
                <w:rFonts w:hint="eastAsia" w:ascii="仿宋" w:hAnsi="仿宋" w:eastAsia="仿宋" w:cs="仿宋"/>
                <w:sz w:val="21"/>
                <w:szCs w:val="21"/>
                <w:highlight w:val="none"/>
              </w:rPr>
            </w:pPr>
            <w:r>
              <w:rPr>
                <w:rFonts w:hint="eastAsia" w:ascii="仿宋" w:hAnsi="仿宋" w:eastAsia="仿宋" w:cs="仿宋"/>
                <w:color w:val="383838"/>
                <w:spacing w:val="-3"/>
                <w:sz w:val="21"/>
                <w:szCs w:val="21"/>
                <w:highlight w:val="none"/>
              </w:rPr>
              <w:t>序号</w:t>
            </w:r>
          </w:p>
        </w:tc>
        <w:tc>
          <w:tcPr>
            <w:tcW w:w="1861" w:type="dxa"/>
            <w:gridSpan w:val="2"/>
          </w:tcPr>
          <w:p w14:paraId="6AACCAA6">
            <w:pPr>
              <w:pStyle w:val="75"/>
              <w:keepNext w:val="0"/>
              <w:keepLines w:val="0"/>
              <w:pageBreakBefore w:val="0"/>
              <w:widowControl w:val="0"/>
              <w:kinsoku/>
              <w:wordWrap/>
              <w:overflowPunct/>
              <w:topLinePunct w:val="0"/>
              <w:autoSpaceDE/>
              <w:autoSpaceDN/>
              <w:bidi w:val="0"/>
              <w:adjustRightInd/>
              <w:snapToGrid/>
              <w:spacing w:line="340" w:lineRule="exact"/>
              <w:ind w:left="568"/>
              <w:textAlignment w:val="auto"/>
              <w:rPr>
                <w:rFonts w:hint="eastAsia" w:ascii="仿宋" w:hAnsi="仿宋" w:eastAsia="仿宋" w:cs="仿宋"/>
                <w:sz w:val="21"/>
                <w:szCs w:val="21"/>
                <w:highlight w:val="none"/>
              </w:rPr>
            </w:pPr>
            <w:r>
              <w:rPr>
                <w:rFonts w:hint="eastAsia" w:ascii="仿宋" w:hAnsi="仿宋" w:eastAsia="仿宋" w:cs="仿宋"/>
                <w:color w:val="383838"/>
                <w:spacing w:val="-1"/>
                <w:sz w:val="21"/>
                <w:szCs w:val="21"/>
                <w:highlight w:val="none"/>
              </w:rPr>
              <w:t>一级目录</w:t>
            </w:r>
          </w:p>
        </w:tc>
        <w:tc>
          <w:tcPr>
            <w:tcW w:w="2420" w:type="dxa"/>
            <w:gridSpan w:val="2"/>
          </w:tcPr>
          <w:p w14:paraId="17503C57">
            <w:pPr>
              <w:pStyle w:val="75"/>
              <w:keepNext w:val="0"/>
              <w:keepLines w:val="0"/>
              <w:pageBreakBefore w:val="0"/>
              <w:widowControl w:val="0"/>
              <w:kinsoku/>
              <w:wordWrap/>
              <w:overflowPunct/>
              <w:topLinePunct w:val="0"/>
              <w:autoSpaceDE/>
              <w:autoSpaceDN/>
              <w:bidi w:val="0"/>
              <w:adjustRightInd/>
              <w:snapToGrid/>
              <w:spacing w:line="340" w:lineRule="exact"/>
              <w:ind w:left="850"/>
              <w:textAlignment w:val="auto"/>
              <w:rPr>
                <w:rFonts w:hint="eastAsia" w:ascii="仿宋" w:hAnsi="仿宋" w:eastAsia="仿宋" w:cs="仿宋"/>
                <w:sz w:val="21"/>
                <w:szCs w:val="21"/>
                <w:highlight w:val="none"/>
              </w:rPr>
            </w:pPr>
            <w:r>
              <w:rPr>
                <w:rFonts w:hint="eastAsia" w:ascii="仿宋" w:hAnsi="仿宋" w:eastAsia="仿宋" w:cs="仿宋"/>
                <w:color w:val="383838"/>
                <w:spacing w:val="-1"/>
                <w:sz w:val="21"/>
                <w:szCs w:val="21"/>
                <w:highlight w:val="none"/>
              </w:rPr>
              <w:t>二级目录</w:t>
            </w:r>
          </w:p>
        </w:tc>
        <w:tc>
          <w:tcPr>
            <w:tcW w:w="3249" w:type="dxa"/>
            <w:vMerge w:val="restart"/>
            <w:tcBorders>
              <w:bottom w:val="nil"/>
            </w:tcBorders>
          </w:tcPr>
          <w:p w14:paraId="34B0FB8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469D426A">
            <w:pPr>
              <w:pStyle w:val="75"/>
              <w:keepNext w:val="0"/>
              <w:keepLines w:val="0"/>
              <w:pageBreakBefore w:val="0"/>
              <w:widowControl w:val="0"/>
              <w:kinsoku/>
              <w:wordWrap/>
              <w:overflowPunct/>
              <w:topLinePunct w:val="0"/>
              <w:autoSpaceDE/>
              <w:autoSpaceDN/>
              <w:bidi w:val="0"/>
              <w:adjustRightInd/>
              <w:snapToGrid/>
              <w:spacing w:line="340" w:lineRule="exact"/>
              <w:ind w:left="1075"/>
              <w:textAlignment w:val="auto"/>
              <w:rPr>
                <w:rFonts w:hint="eastAsia" w:ascii="仿宋" w:hAnsi="仿宋" w:eastAsia="仿宋" w:cs="仿宋"/>
                <w:sz w:val="21"/>
                <w:szCs w:val="21"/>
                <w:highlight w:val="none"/>
              </w:rPr>
            </w:pPr>
            <w:r>
              <w:rPr>
                <w:rFonts w:hint="eastAsia" w:ascii="仿宋" w:hAnsi="仿宋" w:eastAsia="仿宋" w:cs="仿宋"/>
                <w:color w:val="383838"/>
                <w:spacing w:val="2"/>
                <w:sz w:val="21"/>
                <w:szCs w:val="21"/>
                <w:highlight w:val="none"/>
              </w:rPr>
              <w:t>认证机构名录</w:t>
            </w:r>
          </w:p>
        </w:tc>
      </w:tr>
      <w:tr w14:paraId="3B1E0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09" w:type="dxa"/>
            <w:vMerge w:val="continue"/>
            <w:tcBorders>
              <w:top w:val="nil"/>
            </w:tcBorders>
          </w:tcPr>
          <w:p w14:paraId="00F9C64C">
            <w:pPr>
              <w:rPr>
                <w:highlight w:val="none"/>
              </w:rPr>
            </w:pPr>
          </w:p>
        </w:tc>
        <w:tc>
          <w:tcPr>
            <w:tcW w:w="1022" w:type="dxa"/>
          </w:tcPr>
          <w:p w14:paraId="5067A669">
            <w:pPr>
              <w:pStyle w:val="75"/>
              <w:keepNext w:val="0"/>
              <w:keepLines w:val="0"/>
              <w:pageBreakBefore w:val="0"/>
              <w:widowControl w:val="0"/>
              <w:kinsoku/>
              <w:wordWrap/>
              <w:overflowPunct/>
              <w:topLinePunct w:val="0"/>
              <w:autoSpaceDE/>
              <w:autoSpaceDN/>
              <w:bidi w:val="0"/>
              <w:adjustRightInd/>
              <w:snapToGrid/>
              <w:spacing w:line="340" w:lineRule="exact"/>
              <w:ind w:left="145"/>
              <w:textAlignment w:val="auto"/>
              <w:rPr>
                <w:rFonts w:hint="eastAsia" w:ascii="仿宋" w:hAnsi="仿宋" w:eastAsia="仿宋" w:cs="仿宋"/>
                <w:sz w:val="21"/>
                <w:szCs w:val="21"/>
                <w:highlight w:val="none"/>
              </w:rPr>
            </w:pPr>
            <w:r>
              <w:rPr>
                <w:rFonts w:hint="eastAsia" w:ascii="仿宋" w:hAnsi="仿宋" w:eastAsia="仿宋" w:cs="仿宋"/>
                <w:color w:val="383838"/>
                <w:spacing w:val="-1"/>
                <w:sz w:val="21"/>
                <w:szCs w:val="21"/>
                <w:highlight w:val="none"/>
              </w:rPr>
              <w:t>产品代码</w:t>
            </w:r>
          </w:p>
        </w:tc>
        <w:tc>
          <w:tcPr>
            <w:tcW w:w="839" w:type="dxa"/>
          </w:tcPr>
          <w:p w14:paraId="116BC977">
            <w:pPr>
              <w:pStyle w:val="75"/>
              <w:keepNext w:val="0"/>
              <w:keepLines w:val="0"/>
              <w:pageBreakBefore w:val="0"/>
              <w:widowControl w:val="0"/>
              <w:kinsoku/>
              <w:wordWrap/>
              <w:overflowPunct/>
              <w:topLinePunct w:val="0"/>
              <w:autoSpaceDE/>
              <w:autoSpaceDN/>
              <w:bidi w:val="0"/>
              <w:adjustRightInd/>
              <w:snapToGrid/>
              <w:spacing w:line="340" w:lineRule="exact"/>
              <w:ind w:left="56"/>
              <w:textAlignment w:val="auto"/>
              <w:rPr>
                <w:rFonts w:hint="eastAsia" w:ascii="仿宋" w:hAnsi="仿宋" w:eastAsia="仿宋" w:cs="仿宋"/>
                <w:sz w:val="21"/>
                <w:szCs w:val="21"/>
                <w:highlight w:val="none"/>
              </w:rPr>
            </w:pPr>
            <w:r>
              <w:rPr>
                <w:rFonts w:hint="eastAsia" w:ascii="仿宋" w:hAnsi="仿宋" w:eastAsia="仿宋" w:cs="仿宋"/>
                <w:color w:val="383838"/>
                <w:spacing w:val="-1"/>
                <w:sz w:val="21"/>
                <w:szCs w:val="21"/>
                <w:highlight w:val="none"/>
              </w:rPr>
              <w:t>产品名称</w:t>
            </w:r>
          </w:p>
        </w:tc>
        <w:tc>
          <w:tcPr>
            <w:tcW w:w="1333" w:type="dxa"/>
          </w:tcPr>
          <w:p w14:paraId="7A39E35D">
            <w:pPr>
              <w:pStyle w:val="75"/>
              <w:keepNext w:val="0"/>
              <w:keepLines w:val="0"/>
              <w:pageBreakBefore w:val="0"/>
              <w:widowControl w:val="0"/>
              <w:kinsoku/>
              <w:wordWrap/>
              <w:overflowPunct/>
              <w:topLinePunct w:val="0"/>
              <w:autoSpaceDE/>
              <w:autoSpaceDN/>
              <w:bidi w:val="0"/>
              <w:adjustRightInd/>
              <w:snapToGrid/>
              <w:spacing w:line="340" w:lineRule="exact"/>
              <w:ind w:left="303"/>
              <w:textAlignment w:val="auto"/>
              <w:rPr>
                <w:rFonts w:hint="eastAsia" w:ascii="仿宋" w:hAnsi="仿宋" w:eastAsia="仿宋" w:cs="仿宋"/>
                <w:sz w:val="21"/>
                <w:szCs w:val="21"/>
                <w:highlight w:val="none"/>
              </w:rPr>
            </w:pPr>
            <w:r>
              <w:rPr>
                <w:rFonts w:hint="eastAsia" w:ascii="仿宋" w:hAnsi="仿宋" w:eastAsia="仿宋" w:cs="仿宋"/>
                <w:color w:val="383838"/>
                <w:spacing w:val="-1"/>
                <w:sz w:val="21"/>
                <w:szCs w:val="21"/>
                <w:highlight w:val="none"/>
              </w:rPr>
              <w:t>产品代码</w:t>
            </w:r>
          </w:p>
        </w:tc>
        <w:tc>
          <w:tcPr>
            <w:tcW w:w="1087" w:type="dxa"/>
          </w:tcPr>
          <w:p w14:paraId="39C603C7">
            <w:pPr>
              <w:pStyle w:val="75"/>
              <w:keepNext w:val="0"/>
              <w:keepLines w:val="0"/>
              <w:pageBreakBefore w:val="0"/>
              <w:widowControl w:val="0"/>
              <w:kinsoku/>
              <w:wordWrap/>
              <w:overflowPunct/>
              <w:topLinePunct w:val="0"/>
              <w:autoSpaceDE/>
              <w:autoSpaceDN/>
              <w:bidi w:val="0"/>
              <w:adjustRightInd/>
              <w:snapToGrid/>
              <w:spacing w:line="340" w:lineRule="exact"/>
              <w:ind w:left="182"/>
              <w:textAlignment w:val="auto"/>
              <w:rPr>
                <w:rFonts w:hint="eastAsia" w:ascii="仿宋" w:hAnsi="仿宋" w:eastAsia="仿宋" w:cs="仿宋"/>
                <w:sz w:val="21"/>
                <w:szCs w:val="21"/>
                <w:highlight w:val="none"/>
              </w:rPr>
            </w:pPr>
            <w:r>
              <w:rPr>
                <w:rFonts w:hint="eastAsia" w:ascii="仿宋" w:hAnsi="仿宋" w:eastAsia="仿宋" w:cs="仿宋"/>
                <w:color w:val="383838"/>
                <w:spacing w:val="-1"/>
                <w:sz w:val="21"/>
                <w:szCs w:val="21"/>
                <w:highlight w:val="none"/>
              </w:rPr>
              <w:t>产品名称</w:t>
            </w:r>
          </w:p>
        </w:tc>
        <w:tc>
          <w:tcPr>
            <w:tcW w:w="3249" w:type="dxa"/>
            <w:vMerge w:val="continue"/>
            <w:tcBorders>
              <w:top w:val="nil"/>
            </w:tcBorders>
          </w:tcPr>
          <w:p w14:paraId="79A57BC1">
            <w:pPr>
              <w:rPr>
                <w:highlight w:val="none"/>
              </w:rPr>
            </w:pPr>
          </w:p>
        </w:tc>
      </w:tr>
      <w:tr w14:paraId="4DAE9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09" w:type="dxa"/>
            <w:vMerge w:val="restart"/>
            <w:tcBorders>
              <w:bottom w:val="nil"/>
            </w:tcBorders>
          </w:tcPr>
          <w:p w14:paraId="319DAE2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0ECCD62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21E5A56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5A32080F">
            <w:pPr>
              <w:pStyle w:val="75"/>
              <w:keepNext w:val="0"/>
              <w:keepLines w:val="0"/>
              <w:pageBreakBefore w:val="0"/>
              <w:widowControl w:val="0"/>
              <w:kinsoku/>
              <w:wordWrap/>
              <w:overflowPunct/>
              <w:topLinePunct w:val="0"/>
              <w:autoSpaceDE/>
              <w:autoSpaceDN/>
              <w:bidi w:val="0"/>
              <w:adjustRightInd/>
              <w:snapToGrid/>
              <w:spacing w:line="340" w:lineRule="exact"/>
              <w:ind w:left="322"/>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1</w:t>
            </w:r>
          </w:p>
        </w:tc>
        <w:tc>
          <w:tcPr>
            <w:tcW w:w="1022" w:type="dxa"/>
            <w:vMerge w:val="restart"/>
            <w:tcBorders>
              <w:bottom w:val="nil"/>
            </w:tcBorders>
          </w:tcPr>
          <w:p w14:paraId="3B30A24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231A27B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0771B4B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71B85AEC">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A020101</w:t>
            </w:r>
          </w:p>
        </w:tc>
        <w:tc>
          <w:tcPr>
            <w:tcW w:w="839" w:type="dxa"/>
            <w:vMerge w:val="restart"/>
            <w:tcBorders>
              <w:bottom w:val="nil"/>
            </w:tcBorders>
          </w:tcPr>
          <w:p w14:paraId="3D9DCFF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15FBE35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72B24194">
            <w:pPr>
              <w:pStyle w:val="75"/>
              <w:keepNext w:val="0"/>
              <w:keepLines w:val="0"/>
              <w:pageBreakBefore w:val="0"/>
              <w:widowControl w:val="0"/>
              <w:kinsoku/>
              <w:wordWrap/>
              <w:overflowPunct/>
              <w:topLinePunct w:val="0"/>
              <w:autoSpaceDE/>
              <w:autoSpaceDN/>
              <w:bidi w:val="0"/>
              <w:adjustRightInd/>
              <w:snapToGrid/>
              <w:spacing w:line="340" w:lineRule="exact"/>
              <w:ind w:left="6" w:right="2" w:hanging="2"/>
              <w:textAlignment w:val="auto"/>
              <w:rPr>
                <w:rFonts w:hint="eastAsia" w:ascii="仿宋" w:hAnsi="仿宋" w:eastAsia="仿宋" w:cs="仿宋"/>
                <w:sz w:val="21"/>
                <w:szCs w:val="21"/>
                <w:highlight w:val="none"/>
              </w:rPr>
            </w:pPr>
            <w:r>
              <w:rPr>
                <w:rFonts w:hint="eastAsia" w:ascii="仿宋" w:hAnsi="仿宋" w:eastAsia="仿宋" w:cs="仿宋"/>
                <w:color w:val="383838"/>
                <w:spacing w:val="25"/>
                <w:sz w:val="21"/>
                <w:szCs w:val="21"/>
                <w:highlight w:val="none"/>
              </w:rPr>
              <w:t>计算机设</w:t>
            </w:r>
            <w:r>
              <w:rPr>
                <w:rFonts w:hint="eastAsia" w:ascii="仿宋" w:hAnsi="仿宋" w:eastAsia="仿宋" w:cs="仿宋"/>
                <w:color w:val="383838"/>
                <w:sz w:val="21"/>
                <w:szCs w:val="21"/>
                <w:highlight w:val="none"/>
              </w:rPr>
              <w:t>备</w:t>
            </w:r>
          </w:p>
        </w:tc>
        <w:tc>
          <w:tcPr>
            <w:tcW w:w="1333" w:type="dxa"/>
          </w:tcPr>
          <w:p w14:paraId="5B645A9E">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A02010104</w:t>
            </w:r>
          </w:p>
        </w:tc>
        <w:tc>
          <w:tcPr>
            <w:tcW w:w="1087" w:type="dxa"/>
          </w:tcPr>
          <w:p w14:paraId="6A734020">
            <w:pPr>
              <w:pStyle w:val="75"/>
              <w:keepNext w:val="0"/>
              <w:keepLines w:val="0"/>
              <w:pageBreakBefore w:val="0"/>
              <w:widowControl w:val="0"/>
              <w:kinsoku/>
              <w:wordWrap/>
              <w:overflowPunct/>
              <w:topLinePunct w:val="0"/>
              <w:autoSpaceDE/>
              <w:autoSpaceDN/>
              <w:bidi w:val="0"/>
              <w:adjustRightInd/>
              <w:snapToGrid/>
              <w:spacing w:line="340" w:lineRule="exact"/>
              <w:ind w:left="21"/>
              <w:textAlignment w:val="auto"/>
              <w:rPr>
                <w:rFonts w:hint="eastAsia" w:ascii="仿宋" w:hAnsi="仿宋" w:eastAsia="仿宋" w:cs="仿宋"/>
                <w:sz w:val="21"/>
                <w:szCs w:val="21"/>
                <w:highlight w:val="none"/>
              </w:rPr>
            </w:pPr>
            <w:r>
              <w:rPr>
                <w:rFonts w:hint="eastAsia" w:ascii="仿宋" w:hAnsi="仿宋" w:eastAsia="仿宋" w:cs="仿宋"/>
                <w:color w:val="383838"/>
                <w:spacing w:val="-3"/>
                <w:sz w:val="21"/>
                <w:szCs w:val="21"/>
                <w:highlight w:val="none"/>
              </w:rPr>
              <w:t>台式计算机</w:t>
            </w:r>
          </w:p>
        </w:tc>
        <w:tc>
          <w:tcPr>
            <w:tcW w:w="3249" w:type="dxa"/>
            <w:vMerge w:val="restart"/>
            <w:tcBorders>
              <w:bottom w:val="nil"/>
            </w:tcBorders>
          </w:tcPr>
          <w:p w14:paraId="3C402ED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06BF2D5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2693170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6AFF3EC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1A4FF1B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6696473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224F8E4C">
            <w:pPr>
              <w:pStyle w:val="75"/>
              <w:keepNext w:val="0"/>
              <w:keepLines w:val="0"/>
              <w:pageBreakBefore w:val="0"/>
              <w:widowControl w:val="0"/>
              <w:kinsoku/>
              <w:wordWrap/>
              <w:overflowPunct/>
              <w:topLinePunct w:val="0"/>
              <w:autoSpaceDE/>
              <w:autoSpaceDN/>
              <w:bidi w:val="0"/>
              <w:adjustRightInd/>
              <w:snapToGrid/>
              <w:spacing w:line="340" w:lineRule="exact"/>
              <w:ind w:left="24"/>
              <w:textAlignment w:val="auto"/>
              <w:rPr>
                <w:rFonts w:hint="eastAsia" w:ascii="仿宋" w:hAnsi="仿宋" w:eastAsia="仿宋" w:cs="仿宋"/>
                <w:sz w:val="21"/>
                <w:szCs w:val="21"/>
                <w:highlight w:val="none"/>
              </w:rPr>
            </w:pPr>
            <w:r>
              <w:rPr>
                <w:rFonts w:hint="eastAsia" w:ascii="仿宋" w:hAnsi="仿宋" w:eastAsia="仿宋" w:cs="仿宋"/>
                <w:color w:val="383838"/>
                <w:spacing w:val="-3"/>
                <w:sz w:val="21"/>
                <w:szCs w:val="21"/>
                <w:highlight w:val="none"/>
              </w:rPr>
              <w:t>中国质量认证中心</w:t>
            </w:r>
          </w:p>
          <w:p w14:paraId="2B51B5DF">
            <w:pPr>
              <w:pStyle w:val="75"/>
              <w:keepNext w:val="0"/>
              <w:keepLines w:val="0"/>
              <w:pageBreakBefore w:val="0"/>
              <w:widowControl w:val="0"/>
              <w:kinsoku/>
              <w:wordWrap/>
              <w:overflowPunct/>
              <w:topLinePunct w:val="0"/>
              <w:autoSpaceDE/>
              <w:autoSpaceDN/>
              <w:bidi w:val="0"/>
              <w:adjustRightInd/>
              <w:snapToGrid/>
              <w:spacing w:line="340" w:lineRule="exact"/>
              <w:ind w:left="10"/>
              <w:textAlignment w:val="auto"/>
              <w:rPr>
                <w:rFonts w:hint="eastAsia" w:ascii="仿宋" w:hAnsi="仿宋" w:eastAsia="仿宋" w:cs="仿宋"/>
                <w:sz w:val="21"/>
                <w:szCs w:val="21"/>
                <w:highlight w:val="none"/>
              </w:rPr>
            </w:pPr>
            <w:r>
              <w:rPr>
                <w:rFonts w:hint="eastAsia" w:ascii="仿宋" w:hAnsi="仿宋" w:eastAsia="仿宋" w:cs="仿宋"/>
                <w:color w:val="383838"/>
                <w:spacing w:val="2"/>
                <w:sz w:val="21"/>
                <w:szCs w:val="21"/>
                <w:highlight w:val="none"/>
              </w:rPr>
              <w:t>北京赛西认证有限责任公司</w:t>
            </w:r>
          </w:p>
          <w:p w14:paraId="001616C2">
            <w:pPr>
              <w:pStyle w:val="75"/>
              <w:keepNext w:val="0"/>
              <w:keepLines w:val="0"/>
              <w:pageBreakBefore w:val="0"/>
              <w:widowControl w:val="0"/>
              <w:kinsoku/>
              <w:wordWrap/>
              <w:overflowPunct/>
              <w:topLinePunct w:val="0"/>
              <w:autoSpaceDE/>
              <w:autoSpaceDN/>
              <w:bidi w:val="0"/>
              <w:adjustRightInd/>
              <w:snapToGrid/>
              <w:spacing w:line="340" w:lineRule="exact"/>
              <w:ind w:left="8" w:right="509" w:firstLine="16"/>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中国网络安全审查技术与认证中心</w:t>
            </w:r>
            <w:r>
              <w:rPr>
                <w:rFonts w:hint="eastAsia" w:ascii="仿宋" w:hAnsi="仿宋" w:eastAsia="仿宋" w:cs="仿宋"/>
                <w:color w:val="383838"/>
                <w:spacing w:val="2"/>
                <w:sz w:val="21"/>
                <w:szCs w:val="21"/>
                <w:highlight w:val="none"/>
              </w:rPr>
              <w:t>广州赛宝认证中心服务有限公司</w:t>
            </w:r>
          </w:p>
        </w:tc>
      </w:tr>
      <w:tr w14:paraId="6A3D9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709" w:type="dxa"/>
            <w:vMerge w:val="continue"/>
            <w:tcBorders>
              <w:top w:val="nil"/>
              <w:bottom w:val="nil"/>
            </w:tcBorders>
          </w:tcPr>
          <w:p w14:paraId="24FC953A">
            <w:pPr>
              <w:rPr>
                <w:highlight w:val="none"/>
              </w:rPr>
            </w:pPr>
          </w:p>
        </w:tc>
        <w:tc>
          <w:tcPr>
            <w:tcW w:w="1022" w:type="dxa"/>
            <w:vMerge w:val="continue"/>
            <w:tcBorders>
              <w:top w:val="nil"/>
              <w:bottom w:val="nil"/>
            </w:tcBorders>
          </w:tcPr>
          <w:p w14:paraId="56C682EB">
            <w:pPr>
              <w:rPr>
                <w:highlight w:val="none"/>
              </w:rPr>
            </w:pPr>
          </w:p>
        </w:tc>
        <w:tc>
          <w:tcPr>
            <w:tcW w:w="839" w:type="dxa"/>
            <w:vMerge w:val="continue"/>
            <w:tcBorders>
              <w:top w:val="nil"/>
              <w:bottom w:val="nil"/>
            </w:tcBorders>
          </w:tcPr>
          <w:p w14:paraId="340B6B5E">
            <w:pPr>
              <w:rPr>
                <w:highlight w:val="none"/>
              </w:rPr>
            </w:pPr>
          </w:p>
        </w:tc>
        <w:tc>
          <w:tcPr>
            <w:tcW w:w="1333" w:type="dxa"/>
          </w:tcPr>
          <w:p w14:paraId="26FBDEF9">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A02010105</w:t>
            </w:r>
          </w:p>
        </w:tc>
        <w:tc>
          <w:tcPr>
            <w:tcW w:w="1087" w:type="dxa"/>
          </w:tcPr>
          <w:p w14:paraId="2C4A8176">
            <w:pPr>
              <w:pStyle w:val="75"/>
              <w:keepNext w:val="0"/>
              <w:keepLines w:val="0"/>
              <w:pageBreakBefore w:val="0"/>
              <w:widowControl w:val="0"/>
              <w:kinsoku/>
              <w:wordWrap/>
              <w:overflowPunct/>
              <w:topLinePunct w:val="0"/>
              <w:autoSpaceDE/>
              <w:autoSpaceDN/>
              <w:bidi w:val="0"/>
              <w:adjustRightInd/>
              <w:snapToGrid/>
              <w:spacing w:line="340" w:lineRule="exact"/>
              <w:ind w:left="6" w:right="2" w:firstLine="1"/>
              <w:textAlignment w:val="auto"/>
              <w:rPr>
                <w:rFonts w:hint="eastAsia" w:ascii="仿宋" w:hAnsi="仿宋" w:eastAsia="仿宋" w:cs="仿宋"/>
                <w:sz w:val="21"/>
                <w:szCs w:val="21"/>
                <w:highlight w:val="none"/>
              </w:rPr>
            </w:pPr>
            <w:r>
              <w:rPr>
                <w:rFonts w:hint="eastAsia" w:ascii="仿宋" w:hAnsi="仿宋" w:eastAsia="仿宋" w:cs="仿宋"/>
                <w:color w:val="383838"/>
                <w:spacing w:val="33"/>
                <w:sz w:val="21"/>
                <w:szCs w:val="21"/>
                <w:highlight w:val="none"/>
              </w:rPr>
              <w:t>便携式计算</w:t>
            </w:r>
            <w:r>
              <w:rPr>
                <w:rFonts w:hint="eastAsia" w:ascii="仿宋" w:hAnsi="仿宋" w:eastAsia="仿宋" w:cs="仿宋"/>
                <w:color w:val="383838"/>
                <w:sz w:val="21"/>
                <w:szCs w:val="21"/>
                <w:highlight w:val="none"/>
              </w:rPr>
              <w:t>机</w:t>
            </w:r>
          </w:p>
        </w:tc>
        <w:tc>
          <w:tcPr>
            <w:tcW w:w="3249" w:type="dxa"/>
            <w:vMerge w:val="continue"/>
            <w:tcBorders>
              <w:top w:val="nil"/>
              <w:bottom w:val="nil"/>
            </w:tcBorders>
          </w:tcPr>
          <w:p w14:paraId="39EA7590">
            <w:pPr>
              <w:rPr>
                <w:highlight w:val="none"/>
              </w:rPr>
            </w:pPr>
          </w:p>
        </w:tc>
      </w:tr>
      <w:tr w14:paraId="33642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709" w:type="dxa"/>
            <w:vMerge w:val="continue"/>
            <w:tcBorders>
              <w:top w:val="nil"/>
            </w:tcBorders>
          </w:tcPr>
          <w:p w14:paraId="3B648B5B">
            <w:pPr>
              <w:rPr>
                <w:highlight w:val="none"/>
              </w:rPr>
            </w:pPr>
          </w:p>
        </w:tc>
        <w:tc>
          <w:tcPr>
            <w:tcW w:w="1022" w:type="dxa"/>
            <w:vMerge w:val="continue"/>
            <w:tcBorders>
              <w:top w:val="nil"/>
            </w:tcBorders>
          </w:tcPr>
          <w:p w14:paraId="654FCDF5">
            <w:pPr>
              <w:rPr>
                <w:highlight w:val="none"/>
              </w:rPr>
            </w:pPr>
          </w:p>
        </w:tc>
        <w:tc>
          <w:tcPr>
            <w:tcW w:w="839" w:type="dxa"/>
            <w:vMerge w:val="continue"/>
            <w:tcBorders>
              <w:top w:val="nil"/>
            </w:tcBorders>
          </w:tcPr>
          <w:p w14:paraId="6CC38141">
            <w:pPr>
              <w:rPr>
                <w:highlight w:val="none"/>
              </w:rPr>
            </w:pPr>
          </w:p>
        </w:tc>
        <w:tc>
          <w:tcPr>
            <w:tcW w:w="1333" w:type="dxa"/>
          </w:tcPr>
          <w:p w14:paraId="4EBCF13A">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A02010107</w:t>
            </w:r>
          </w:p>
        </w:tc>
        <w:tc>
          <w:tcPr>
            <w:tcW w:w="1087" w:type="dxa"/>
          </w:tcPr>
          <w:p w14:paraId="734DE6CF">
            <w:pPr>
              <w:pStyle w:val="75"/>
              <w:keepNext w:val="0"/>
              <w:keepLines w:val="0"/>
              <w:pageBreakBefore w:val="0"/>
              <w:widowControl w:val="0"/>
              <w:kinsoku/>
              <w:wordWrap/>
              <w:overflowPunct/>
              <w:topLinePunct w:val="0"/>
              <w:autoSpaceDE/>
              <w:autoSpaceDN/>
              <w:bidi w:val="0"/>
              <w:adjustRightInd/>
              <w:snapToGrid/>
              <w:spacing w:line="340" w:lineRule="exact"/>
              <w:ind w:left="6"/>
              <w:textAlignment w:val="auto"/>
              <w:rPr>
                <w:rFonts w:hint="eastAsia" w:ascii="仿宋" w:hAnsi="仿宋" w:eastAsia="仿宋" w:cs="仿宋"/>
                <w:sz w:val="21"/>
                <w:szCs w:val="21"/>
                <w:highlight w:val="none"/>
              </w:rPr>
            </w:pPr>
            <w:r>
              <w:rPr>
                <w:rFonts w:hint="eastAsia" w:ascii="仿宋" w:hAnsi="仿宋" w:eastAsia="仿宋" w:cs="仿宋"/>
                <w:color w:val="383838"/>
                <w:spacing w:val="33"/>
                <w:sz w:val="21"/>
                <w:szCs w:val="21"/>
                <w:highlight w:val="none"/>
              </w:rPr>
              <w:t>平板式微型</w:t>
            </w:r>
            <w:r>
              <w:rPr>
                <w:rFonts w:hint="eastAsia" w:ascii="仿宋" w:hAnsi="仿宋" w:eastAsia="仿宋" w:cs="仿宋"/>
                <w:color w:val="383838"/>
                <w:spacing w:val="-2"/>
                <w:sz w:val="21"/>
                <w:szCs w:val="21"/>
                <w:highlight w:val="none"/>
              </w:rPr>
              <w:t>计算机</w:t>
            </w:r>
          </w:p>
        </w:tc>
        <w:tc>
          <w:tcPr>
            <w:tcW w:w="3249" w:type="dxa"/>
            <w:vMerge w:val="continue"/>
            <w:tcBorders>
              <w:top w:val="nil"/>
              <w:bottom w:val="nil"/>
            </w:tcBorders>
          </w:tcPr>
          <w:p w14:paraId="29C1B523">
            <w:pPr>
              <w:rPr>
                <w:highlight w:val="none"/>
              </w:rPr>
            </w:pPr>
          </w:p>
        </w:tc>
      </w:tr>
      <w:tr w14:paraId="0F6A9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09" w:type="dxa"/>
            <w:vMerge w:val="restart"/>
            <w:tcBorders>
              <w:bottom w:val="nil"/>
            </w:tcBorders>
          </w:tcPr>
          <w:p w14:paraId="5F62651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5DA81AD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58AD344B">
            <w:pPr>
              <w:pStyle w:val="75"/>
              <w:keepNext w:val="0"/>
              <w:keepLines w:val="0"/>
              <w:pageBreakBefore w:val="0"/>
              <w:widowControl w:val="0"/>
              <w:kinsoku/>
              <w:wordWrap/>
              <w:overflowPunct/>
              <w:topLinePunct w:val="0"/>
              <w:autoSpaceDE/>
              <w:autoSpaceDN/>
              <w:bidi w:val="0"/>
              <w:adjustRightInd/>
              <w:snapToGrid/>
              <w:spacing w:line="340" w:lineRule="exact"/>
              <w:ind w:left="311"/>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2</w:t>
            </w:r>
          </w:p>
        </w:tc>
        <w:tc>
          <w:tcPr>
            <w:tcW w:w="1022" w:type="dxa"/>
            <w:vMerge w:val="restart"/>
            <w:tcBorders>
              <w:bottom w:val="nil"/>
            </w:tcBorders>
          </w:tcPr>
          <w:p w14:paraId="6585EAB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0B16AE1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1BB86A51">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A020106</w:t>
            </w:r>
          </w:p>
        </w:tc>
        <w:tc>
          <w:tcPr>
            <w:tcW w:w="839" w:type="dxa"/>
            <w:vMerge w:val="restart"/>
            <w:tcBorders>
              <w:bottom w:val="nil"/>
            </w:tcBorders>
          </w:tcPr>
          <w:p w14:paraId="5BB98E1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25401E1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4C45D450">
            <w:pPr>
              <w:pStyle w:val="75"/>
              <w:keepNext w:val="0"/>
              <w:keepLines w:val="0"/>
              <w:pageBreakBefore w:val="0"/>
              <w:widowControl w:val="0"/>
              <w:kinsoku/>
              <w:wordWrap/>
              <w:overflowPunct/>
              <w:topLinePunct w:val="0"/>
              <w:autoSpaceDE/>
              <w:autoSpaceDN/>
              <w:bidi w:val="0"/>
              <w:adjustRightInd/>
              <w:snapToGrid/>
              <w:spacing w:line="340" w:lineRule="exact"/>
              <w:ind w:left="6" w:hanging="3"/>
              <w:textAlignment w:val="auto"/>
              <w:rPr>
                <w:rFonts w:hint="eastAsia" w:ascii="仿宋" w:hAnsi="仿宋" w:eastAsia="仿宋" w:cs="仿宋"/>
                <w:sz w:val="21"/>
                <w:szCs w:val="21"/>
                <w:highlight w:val="none"/>
              </w:rPr>
            </w:pPr>
            <w:r>
              <w:rPr>
                <w:rFonts w:hint="eastAsia" w:ascii="仿宋" w:hAnsi="仿宋" w:eastAsia="仿宋" w:cs="仿宋"/>
                <w:color w:val="383838"/>
                <w:spacing w:val="26"/>
                <w:sz w:val="21"/>
                <w:szCs w:val="21"/>
                <w:highlight w:val="none"/>
              </w:rPr>
              <w:t>输入输出</w:t>
            </w:r>
            <w:r>
              <w:rPr>
                <w:rFonts w:hint="eastAsia" w:ascii="仿宋" w:hAnsi="仿宋" w:eastAsia="仿宋" w:cs="仿宋"/>
                <w:color w:val="383838"/>
                <w:spacing w:val="-6"/>
                <w:sz w:val="21"/>
                <w:szCs w:val="21"/>
                <w:highlight w:val="none"/>
              </w:rPr>
              <w:t>设备</w:t>
            </w:r>
          </w:p>
        </w:tc>
        <w:tc>
          <w:tcPr>
            <w:tcW w:w="1333" w:type="dxa"/>
          </w:tcPr>
          <w:p w14:paraId="5ADB8621">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A02010601</w:t>
            </w:r>
          </w:p>
        </w:tc>
        <w:tc>
          <w:tcPr>
            <w:tcW w:w="1087" w:type="dxa"/>
          </w:tcPr>
          <w:p w14:paraId="60B33A8E">
            <w:pPr>
              <w:pStyle w:val="75"/>
              <w:keepNext w:val="0"/>
              <w:keepLines w:val="0"/>
              <w:pageBreakBefore w:val="0"/>
              <w:widowControl w:val="0"/>
              <w:kinsoku/>
              <w:wordWrap/>
              <w:overflowPunct/>
              <w:topLinePunct w:val="0"/>
              <w:autoSpaceDE/>
              <w:autoSpaceDN/>
              <w:bidi w:val="0"/>
              <w:adjustRightInd/>
              <w:snapToGrid/>
              <w:spacing w:line="340" w:lineRule="exact"/>
              <w:ind w:left="9"/>
              <w:textAlignment w:val="auto"/>
              <w:rPr>
                <w:rFonts w:hint="eastAsia" w:ascii="仿宋" w:hAnsi="仿宋" w:eastAsia="仿宋" w:cs="仿宋"/>
                <w:sz w:val="21"/>
                <w:szCs w:val="21"/>
                <w:highlight w:val="none"/>
              </w:rPr>
            </w:pPr>
            <w:r>
              <w:rPr>
                <w:rFonts w:hint="eastAsia" w:ascii="仿宋" w:hAnsi="仿宋" w:eastAsia="仿宋" w:cs="仿宋"/>
                <w:color w:val="383838"/>
                <w:spacing w:val="-1"/>
                <w:sz w:val="21"/>
                <w:szCs w:val="21"/>
                <w:highlight w:val="none"/>
              </w:rPr>
              <w:t>打印设备</w:t>
            </w:r>
          </w:p>
        </w:tc>
        <w:tc>
          <w:tcPr>
            <w:tcW w:w="3249" w:type="dxa"/>
            <w:vMerge w:val="continue"/>
            <w:tcBorders>
              <w:top w:val="nil"/>
              <w:bottom w:val="nil"/>
            </w:tcBorders>
          </w:tcPr>
          <w:p w14:paraId="1AF45CC0">
            <w:pPr>
              <w:rPr>
                <w:highlight w:val="none"/>
              </w:rPr>
            </w:pPr>
          </w:p>
        </w:tc>
      </w:tr>
      <w:tr w14:paraId="1702F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09" w:type="dxa"/>
            <w:vMerge w:val="continue"/>
            <w:tcBorders>
              <w:top w:val="nil"/>
              <w:bottom w:val="nil"/>
            </w:tcBorders>
          </w:tcPr>
          <w:p w14:paraId="262C808F">
            <w:pPr>
              <w:rPr>
                <w:highlight w:val="none"/>
              </w:rPr>
            </w:pPr>
          </w:p>
        </w:tc>
        <w:tc>
          <w:tcPr>
            <w:tcW w:w="1022" w:type="dxa"/>
            <w:vMerge w:val="continue"/>
            <w:tcBorders>
              <w:top w:val="nil"/>
              <w:bottom w:val="nil"/>
            </w:tcBorders>
          </w:tcPr>
          <w:p w14:paraId="3E2AC534">
            <w:pPr>
              <w:rPr>
                <w:highlight w:val="none"/>
              </w:rPr>
            </w:pPr>
          </w:p>
        </w:tc>
        <w:tc>
          <w:tcPr>
            <w:tcW w:w="839" w:type="dxa"/>
            <w:vMerge w:val="continue"/>
            <w:tcBorders>
              <w:top w:val="nil"/>
              <w:bottom w:val="nil"/>
            </w:tcBorders>
          </w:tcPr>
          <w:p w14:paraId="12712BF6">
            <w:pPr>
              <w:rPr>
                <w:highlight w:val="none"/>
              </w:rPr>
            </w:pPr>
          </w:p>
        </w:tc>
        <w:tc>
          <w:tcPr>
            <w:tcW w:w="1333" w:type="dxa"/>
          </w:tcPr>
          <w:p w14:paraId="36C1BD43">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A02010604</w:t>
            </w:r>
          </w:p>
        </w:tc>
        <w:tc>
          <w:tcPr>
            <w:tcW w:w="1087" w:type="dxa"/>
          </w:tcPr>
          <w:p w14:paraId="05EF3A30">
            <w:pPr>
              <w:pStyle w:val="75"/>
              <w:keepNext w:val="0"/>
              <w:keepLines w:val="0"/>
              <w:pageBreakBefore w:val="0"/>
              <w:widowControl w:val="0"/>
              <w:kinsoku/>
              <w:wordWrap/>
              <w:overflowPunct/>
              <w:topLinePunct w:val="0"/>
              <w:autoSpaceDE/>
              <w:autoSpaceDN/>
              <w:bidi w:val="0"/>
              <w:adjustRightInd/>
              <w:snapToGrid/>
              <w:spacing w:line="340" w:lineRule="exact"/>
              <w:ind w:left="11"/>
              <w:textAlignment w:val="auto"/>
              <w:rPr>
                <w:rFonts w:hint="eastAsia" w:ascii="仿宋" w:hAnsi="仿宋" w:eastAsia="仿宋" w:cs="仿宋"/>
                <w:sz w:val="21"/>
                <w:szCs w:val="21"/>
                <w:highlight w:val="none"/>
              </w:rPr>
            </w:pPr>
            <w:r>
              <w:rPr>
                <w:rFonts w:hint="eastAsia" w:ascii="仿宋" w:hAnsi="仿宋" w:eastAsia="仿宋" w:cs="仿宋"/>
                <w:color w:val="383838"/>
                <w:spacing w:val="-2"/>
                <w:sz w:val="21"/>
                <w:szCs w:val="21"/>
                <w:highlight w:val="none"/>
              </w:rPr>
              <w:t>显示设备</w:t>
            </w:r>
          </w:p>
        </w:tc>
        <w:tc>
          <w:tcPr>
            <w:tcW w:w="3249" w:type="dxa"/>
            <w:vMerge w:val="continue"/>
            <w:tcBorders>
              <w:top w:val="nil"/>
              <w:bottom w:val="nil"/>
            </w:tcBorders>
          </w:tcPr>
          <w:p w14:paraId="5A3F4E4D">
            <w:pPr>
              <w:rPr>
                <w:highlight w:val="none"/>
              </w:rPr>
            </w:pPr>
          </w:p>
        </w:tc>
      </w:tr>
      <w:tr w14:paraId="1969B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709" w:type="dxa"/>
            <w:vMerge w:val="continue"/>
            <w:tcBorders>
              <w:top w:val="nil"/>
            </w:tcBorders>
          </w:tcPr>
          <w:p w14:paraId="33C4A14F">
            <w:pPr>
              <w:rPr>
                <w:highlight w:val="none"/>
              </w:rPr>
            </w:pPr>
          </w:p>
        </w:tc>
        <w:tc>
          <w:tcPr>
            <w:tcW w:w="1022" w:type="dxa"/>
            <w:vMerge w:val="continue"/>
            <w:tcBorders>
              <w:top w:val="nil"/>
            </w:tcBorders>
          </w:tcPr>
          <w:p w14:paraId="4039803B">
            <w:pPr>
              <w:rPr>
                <w:highlight w:val="none"/>
              </w:rPr>
            </w:pPr>
          </w:p>
        </w:tc>
        <w:tc>
          <w:tcPr>
            <w:tcW w:w="839" w:type="dxa"/>
            <w:vMerge w:val="continue"/>
            <w:tcBorders>
              <w:top w:val="nil"/>
            </w:tcBorders>
          </w:tcPr>
          <w:p w14:paraId="49E47038">
            <w:pPr>
              <w:rPr>
                <w:highlight w:val="none"/>
              </w:rPr>
            </w:pPr>
          </w:p>
        </w:tc>
        <w:tc>
          <w:tcPr>
            <w:tcW w:w="1333" w:type="dxa"/>
          </w:tcPr>
          <w:p w14:paraId="6738A8B7">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A02010609</w:t>
            </w:r>
          </w:p>
        </w:tc>
        <w:tc>
          <w:tcPr>
            <w:tcW w:w="1087" w:type="dxa"/>
          </w:tcPr>
          <w:p w14:paraId="0C5B3A64">
            <w:pPr>
              <w:pStyle w:val="75"/>
              <w:keepNext w:val="0"/>
              <w:keepLines w:val="0"/>
              <w:pageBreakBefore w:val="0"/>
              <w:widowControl w:val="0"/>
              <w:kinsoku/>
              <w:wordWrap/>
              <w:overflowPunct/>
              <w:topLinePunct w:val="0"/>
              <w:autoSpaceDE/>
              <w:autoSpaceDN/>
              <w:bidi w:val="0"/>
              <w:adjustRightInd/>
              <w:snapToGrid/>
              <w:spacing w:line="340" w:lineRule="exact"/>
              <w:ind w:left="6" w:firstLine="18"/>
              <w:textAlignment w:val="auto"/>
              <w:rPr>
                <w:rFonts w:hint="eastAsia" w:ascii="仿宋" w:hAnsi="仿宋" w:eastAsia="仿宋" w:cs="仿宋"/>
                <w:sz w:val="21"/>
                <w:szCs w:val="21"/>
                <w:highlight w:val="none"/>
              </w:rPr>
            </w:pPr>
            <w:r>
              <w:rPr>
                <w:rFonts w:hint="eastAsia" w:ascii="仿宋" w:hAnsi="仿宋" w:eastAsia="仿宋" w:cs="仿宋"/>
                <w:color w:val="383838"/>
                <w:spacing w:val="30"/>
                <w:sz w:val="21"/>
                <w:szCs w:val="21"/>
                <w:highlight w:val="none"/>
              </w:rPr>
              <w:t>图形图像输</w:t>
            </w:r>
            <w:r>
              <w:rPr>
                <w:rFonts w:hint="eastAsia" w:ascii="仿宋" w:hAnsi="仿宋" w:eastAsia="仿宋" w:cs="仿宋"/>
                <w:color w:val="383838"/>
                <w:spacing w:val="-1"/>
                <w:sz w:val="21"/>
                <w:szCs w:val="21"/>
                <w:highlight w:val="none"/>
              </w:rPr>
              <w:t>入设备</w:t>
            </w:r>
          </w:p>
        </w:tc>
        <w:tc>
          <w:tcPr>
            <w:tcW w:w="3249" w:type="dxa"/>
            <w:vMerge w:val="continue"/>
            <w:tcBorders>
              <w:top w:val="nil"/>
              <w:bottom w:val="nil"/>
            </w:tcBorders>
          </w:tcPr>
          <w:p w14:paraId="38D8D33E">
            <w:pPr>
              <w:rPr>
                <w:highlight w:val="none"/>
              </w:rPr>
            </w:pPr>
          </w:p>
        </w:tc>
      </w:tr>
      <w:tr w14:paraId="3DF4F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09" w:type="dxa"/>
          </w:tcPr>
          <w:p w14:paraId="59B8BEBD">
            <w:pPr>
              <w:pStyle w:val="75"/>
              <w:keepNext w:val="0"/>
              <w:keepLines w:val="0"/>
              <w:pageBreakBefore w:val="0"/>
              <w:widowControl w:val="0"/>
              <w:kinsoku/>
              <w:wordWrap/>
              <w:overflowPunct/>
              <w:topLinePunct w:val="0"/>
              <w:autoSpaceDE/>
              <w:autoSpaceDN/>
              <w:bidi w:val="0"/>
              <w:adjustRightInd/>
              <w:snapToGrid/>
              <w:spacing w:line="340" w:lineRule="exact"/>
              <w:ind w:left="313"/>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3</w:t>
            </w:r>
          </w:p>
        </w:tc>
        <w:tc>
          <w:tcPr>
            <w:tcW w:w="1022" w:type="dxa"/>
          </w:tcPr>
          <w:p w14:paraId="3AC36CD1">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A020202</w:t>
            </w:r>
          </w:p>
        </w:tc>
        <w:tc>
          <w:tcPr>
            <w:tcW w:w="839" w:type="dxa"/>
          </w:tcPr>
          <w:p w14:paraId="08E04D43">
            <w:pPr>
              <w:pStyle w:val="75"/>
              <w:keepNext w:val="0"/>
              <w:keepLines w:val="0"/>
              <w:pageBreakBefore w:val="0"/>
              <w:widowControl w:val="0"/>
              <w:kinsoku/>
              <w:wordWrap/>
              <w:overflowPunct/>
              <w:topLinePunct w:val="0"/>
              <w:autoSpaceDE/>
              <w:autoSpaceDN/>
              <w:bidi w:val="0"/>
              <w:adjustRightInd/>
              <w:snapToGrid/>
              <w:spacing w:line="340" w:lineRule="exact"/>
              <w:ind w:left="6"/>
              <w:textAlignment w:val="auto"/>
              <w:rPr>
                <w:rFonts w:hint="eastAsia" w:ascii="仿宋" w:hAnsi="仿宋" w:eastAsia="仿宋" w:cs="仿宋"/>
                <w:sz w:val="21"/>
                <w:szCs w:val="21"/>
                <w:highlight w:val="none"/>
              </w:rPr>
            </w:pPr>
            <w:r>
              <w:rPr>
                <w:rFonts w:hint="eastAsia" w:ascii="仿宋" w:hAnsi="仿宋" w:eastAsia="仿宋" w:cs="仿宋"/>
                <w:color w:val="383838"/>
                <w:spacing w:val="-2"/>
                <w:sz w:val="21"/>
                <w:szCs w:val="21"/>
                <w:highlight w:val="none"/>
              </w:rPr>
              <w:t>投影仪</w:t>
            </w:r>
          </w:p>
        </w:tc>
        <w:tc>
          <w:tcPr>
            <w:tcW w:w="1333" w:type="dxa"/>
          </w:tcPr>
          <w:p w14:paraId="3405117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87" w:type="dxa"/>
          </w:tcPr>
          <w:p w14:paraId="2C3977C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3249" w:type="dxa"/>
            <w:vMerge w:val="continue"/>
            <w:tcBorders>
              <w:top w:val="nil"/>
              <w:bottom w:val="nil"/>
            </w:tcBorders>
          </w:tcPr>
          <w:p w14:paraId="10943BAF">
            <w:pPr>
              <w:rPr>
                <w:highlight w:val="none"/>
              </w:rPr>
            </w:pPr>
          </w:p>
        </w:tc>
      </w:tr>
      <w:tr w14:paraId="5F8C4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709" w:type="dxa"/>
          </w:tcPr>
          <w:p w14:paraId="4E1C7C40">
            <w:pPr>
              <w:pStyle w:val="75"/>
              <w:keepNext w:val="0"/>
              <w:keepLines w:val="0"/>
              <w:pageBreakBefore w:val="0"/>
              <w:widowControl w:val="0"/>
              <w:kinsoku/>
              <w:wordWrap/>
              <w:overflowPunct/>
              <w:topLinePunct w:val="0"/>
              <w:autoSpaceDE/>
              <w:autoSpaceDN/>
              <w:bidi w:val="0"/>
              <w:adjustRightInd/>
              <w:snapToGrid/>
              <w:spacing w:line="340" w:lineRule="exact"/>
              <w:ind w:left="308"/>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4</w:t>
            </w:r>
          </w:p>
        </w:tc>
        <w:tc>
          <w:tcPr>
            <w:tcW w:w="1022" w:type="dxa"/>
          </w:tcPr>
          <w:p w14:paraId="46D13697">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A020204</w:t>
            </w:r>
          </w:p>
        </w:tc>
        <w:tc>
          <w:tcPr>
            <w:tcW w:w="839" w:type="dxa"/>
          </w:tcPr>
          <w:p w14:paraId="6879FF93">
            <w:pPr>
              <w:pStyle w:val="75"/>
              <w:keepNext w:val="0"/>
              <w:keepLines w:val="0"/>
              <w:pageBreakBefore w:val="0"/>
              <w:widowControl w:val="0"/>
              <w:kinsoku/>
              <w:wordWrap/>
              <w:overflowPunct/>
              <w:topLinePunct w:val="0"/>
              <w:autoSpaceDE/>
              <w:autoSpaceDN/>
              <w:bidi w:val="0"/>
              <w:adjustRightInd/>
              <w:snapToGrid/>
              <w:spacing w:line="340" w:lineRule="exact"/>
              <w:ind w:left="4" w:right="3" w:firstLine="8"/>
              <w:textAlignment w:val="auto"/>
              <w:rPr>
                <w:rFonts w:hint="eastAsia" w:ascii="仿宋" w:hAnsi="仿宋" w:eastAsia="仿宋" w:cs="仿宋"/>
                <w:sz w:val="21"/>
                <w:szCs w:val="21"/>
                <w:highlight w:val="none"/>
              </w:rPr>
            </w:pPr>
            <w:r>
              <w:rPr>
                <w:rFonts w:hint="eastAsia" w:ascii="仿宋" w:hAnsi="仿宋" w:eastAsia="仿宋" w:cs="仿宋"/>
                <w:color w:val="383838"/>
                <w:spacing w:val="23"/>
                <w:sz w:val="21"/>
                <w:szCs w:val="21"/>
                <w:highlight w:val="none"/>
              </w:rPr>
              <w:t>多功能一</w:t>
            </w:r>
            <w:r>
              <w:rPr>
                <w:rFonts w:hint="eastAsia" w:ascii="仿宋" w:hAnsi="仿宋" w:eastAsia="仿宋" w:cs="仿宋"/>
                <w:color w:val="383838"/>
                <w:spacing w:val="-3"/>
                <w:sz w:val="21"/>
                <w:szCs w:val="21"/>
                <w:highlight w:val="none"/>
              </w:rPr>
              <w:t>体机</w:t>
            </w:r>
          </w:p>
        </w:tc>
        <w:tc>
          <w:tcPr>
            <w:tcW w:w="1333" w:type="dxa"/>
          </w:tcPr>
          <w:p w14:paraId="5B8693A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87" w:type="dxa"/>
          </w:tcPr>
          <w:p w14:paraId="5B43C6A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3249" w:type="dxa"/>
            <w:vMerge w:val="continue"/>
            <w:tcBorders>
              <w:top w:val="nil"/>
            </w:tcBorders>
          </w:tcPr>
          <w:p w14:paraId="75E2B389">
            <w:pPr>
              <w:rPr>
                <w:highlight w:val="none"/>
              </w:rPr>
            </w:pPr>
          </w:p>
        </w:tc>
      </w:tr>
      <w:tr w14:paraId="1F67E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709" w:type="dxa"/>
          </w:tcPr>
          <w:p w14:paraId="050ACB3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2850E46E">
            <w:pPr>
              <w:pStyle w:val="75"/>
              <w:keepNext w:val="0"/>
              <w:keepLines w:val="0"/>
              <w:pageBreakBefore w:val="0"/>
              <w:widowControl w:val="0"/>
              <w:kinsoku/>
              <w:wordWrap/>
              <w:overflowPunct/>
              <w:topLinePunct w:val="0"/>
              <w:autoSpaceDE/>
              <w:autoSpaceDN/>
              <w:bidi w:val="0"/>
              <w:adjustRightInd/>
              <w:snapToGrid/>
              <w:spacing w:line="340" w:lineRule="exact"/>
              <w:ind w:left="313"/>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5</w:t>
            </w:r>
          </w:p>
        </w:tc>
        <w:tc>
          <w:tcPr>
            <w:tcW w:w="1022" w:type="dxa"/>
          </w:tcPr>
          <w:p w14:paraId="7F00DF1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266A2EA4">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A020519</w:t>
            </w:r>
          </w:p>
        </w:tc>
        <w:tc>
          <w:tcPr>
            <w:tcW w:w="839" w:type="dxa"/>
          </w:tcPr>
          <w:p w14:paraId="0C2BB4E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4C43B712">
            <w:pPr>
              <w:pStyle w:val="75"/>
              <w:keepNext w:val="0"/>
              <w:keepLines w:val="0"/>
              <w:pageBreakBefore w:val="0"/>
              <w:widowControl w:val="0"/>
              <w:kinsoku/>
              <w:wordWrap/>
              <w:overflowPunct/>
              <w:topLinePunct w:val="0"/>
              <w:autoSpaceDE/>
              <w:autoSpaceDN/>
              <w:bidi w:val="0"/>
              <w:adjustRightInd/>
              <w:snapToGrid/>
              <w:spacing w:line="340" w:lineRule="exact"/>
              <w:ind w:left="4"/>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泵</w:t>
            </w:r>
          </w:p>
        </w:tc>
        <w:tc>
          <w:tcPr>
            <w:tcW w:w="1333" w:type="dxa"/>
          </w:tcPr>
          <w:p w14:paraId="32982BD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34B79902">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A02051901</w:t>
            </w:r>
          </w:p>
        </w:tc>
        <w:tc>
          <w:tcPr>
            <w:tcW w:w="1087" w:type="dxa"/>
          </w:tcPr>
          <w:p w14:paraId="44E21EE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799F5D94">
            <w:pPr>
              <w:pStyle w:val="75"/>
              <w:keepNext w:val="0"/>
              <w:keepLines w:val="0"/>
              <w:pageBreakBefore w:val="0"/>
              <w:widowControl w:val="0"/>
              <w:kinsoku/>
              <w:wordWrap/>
              <w:overflowPunct/>
              <w:topLinePunct w:val="0"/>
              <w:autoSpaceDE/>
              <w:autoSpaceDN/>
              <w:bidi w:val="0"/>
              <w:adjustRightInd/>
              <w:snapToGrid/>
              <w:spacing w:line="340" w:lineRule="exact"/>
              <w:ind w:left="9"/>
              <w:textAlignment w:val="auto"/>
              <w:rPr>
                <w:rFonts w:hint="eastAsia" w:ascii="仿宋" w:hAnsi="仿宋" w:eastAsia="仿宋" w:cs="仿宋"/>
                <w:sz w:val="21"/>
                <w:szCs w:val="21"/>
                <w:highlight w:val="none"/>
              </w:rPr>
            </w:pPr>
            <w:r>
              <w:rPr>
                <w:rFonts w:hint="eastAsia" w:ascii="仿宋" w:hAnsi="仿宋" w:eastAsia="仿宋" w:cs="仿宋"/>
                <w:color w:val="383838"/>
                <w:spacing w:val="-3"/>
                <w:sz w:val="21"/>
                <w:szCs w:val="21"/>
                <w:highlight w:val="none"/>
              </w:rPr>
              <w:t>离心泵</w:t>
            </w:r>
          </w:p>
        </w:tc>
        <w:tc>
          <w:tcPr>
            <w:tcW w:w="3249" w:type="dxa"/>
          </w:tcPr>
          <w:p w14:paraId="07657344">
            <w:pPr>
              <w:pStyle w:val="75"/>
              <w:keepNext w:val="0"/>
              <w:keepLines w:val="0"/>
              <w:pageBreakBefore w:val="0"/>
              <w:widowControl w:val="0"/>
              <w:kinsoku/>
              <w:wordWrap/>
              <w:overflowPunct/>
              <w:topLinePunct w:val="0"/>
              <w:autoSpaceDE/>
              <w:autoSpaceDN/>
              <w:bidi w:val="0"/>
              <w:adjustRightInd/>
              <w:snapToGrid/>
              <w:spacing w:line="340" w:lineRule="exact"/>
              <w:ind w:left="24"/>
              <w:textAlignment w:val="auto"/>
              <w:rPr>
                <w:rFonts w:hint="eastAsia" w:ascii="仿宋" w:hAnsi="仿宋" w:eastAsia="仿宋" w:cs="仿宋"/>
                <w:sz w:val="21"/>
                <w:szCs w:val="21"/>
                <w:highlight w:val="none"/>
              </w:rPr>
            </w:pPr>
            <w:r>
              <w:rPr>
                <w:rFonts w:hint="eastAsia" w:ascii="仿宋" w:hAnsi="仿宋" w:eastAsia="仿宋" w:cs="仿宋"/>
                <w:color w:val="383838"/>
                <w:spacing w:val="-3"/>
                <w:sz w:val="21"/>
                <w:szCs w:val="21"/>
                <w:highlight w:val="none"/>
              </w:rPr>
              <w:t>中国质量认证中心</w:t>
            </w:r>
          </w:p>
          <w:p w14:paraId="4915770D">
            <w:pPr>
              <w:pStyle w:val="75"/>
              <w:keepNext w:val="0"/>
              <w:keepLines w:val="0"/>
              <w:pageBreakBefore w:val="0"/>
              <w:widowControl w:val="0"/>
              <w:kinsoku/>
              <w:wordWrap/>
              <w:overflowPunct/>
              <w:topLinePunct w:val="0"/>
              <w:autoSpaceDE/>
              <w:autoSpaceDN/>
              <w:bidi w:val="0"/>
              <w:adjustRightInd/>
              <w:snapToGrid/>
              <w:spacing w:line="340" w:lineRule="exact"/>
              <w:ind w:left="8" w:right="700" w:firstLine="20"/>
              <w:textAlignment w:val="auto"/>
              <w:rPr>
                <w:rFonts w:hint="eastAsia" w:ascii="仿宋" w:hAnsi="仿宋" w:eastAsia="仿宋" w:cs="仿宋"/>
                <w:sz w:val="21"/>
                <w:szCs w:val="21"/>
                <w:highlight w:val="none"/>
              </w:rPr>
            </w:pPr>
            <w:r>
              <w:rPr>
                <w:rFonts w:hint="eastAsia" w:ascii="仿宋" w:hAnsi="仿宋" w:eastAsia="仿宋" w:cs="仿宋"/>
                <w:color w:val="383838"/>
                <w:spacing w:val="-1"/>
                <w:sz w:val="21"/>
                <w:szCs w:val="21"/>
                <w:highlight w:val="none"/>
              </w:rPr>
              <w:t>电能（北京）认证中心有限公司</w:t>
            </w:r>
            <w:r>
              <w:rPr>
                <w:rFonts w:hint="eastAsia" w:ascii="仿宋" w:hAnsi="仿宋" w:eastAsia="仿宋" w:cs="仿宋"/>
                <w:color w:val="383838"/>
                <w:spacing w:val="3"/>
                <w:sz w:val="21"/>
                <w:szCs w:val="21"/>
                <w:highlight w:val="none"/>
              </w:rPr>
              <w:t>方圆标志认证集团有限公司</w:t>
            </w:r>
          </w:p>
        </w:tc>
      </w:tr>
      <w:tr w14:paraId="5D753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09" w:type="dxa"/>
            <w:vMerge w:val="restart"/>
            <w:tcBorders>
              <w:bottom w:val="nil"/>
            </w:tcBorders>
          </w:tcPr>
          <w:p w14:paraId="02CDFB7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6F1583A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3B247DA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0AAB4D8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5B5F3227">
            <w:pPr>
              <w:pStyle w:val="75"/>
              <w:keepNext w:val="0"/>
              <w:keepLines w:val="0"/>
              <w:pageBreakBefore w:val="0"/>
              <w:widowControl w:val="0"/>
              <w:kinsoku/>
              <w:wordWrap/>
              <w:overflowPunct/>
              <w:topLinePunct w:val="0"/>
              <w:autoSpaceDE/>
              <w:autoSpaceDN/>
              <w:bidi w:val="0"/>
              <w:adjustRightInd/>
              <w:snapToGrid/>
              <w:spacing w:line="340" w:lineRule="exact"/>
              <w:ind w:left="310"/>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6</w:t>
            </w:r>
          </w:p>
        </w:tc>
        <w:tc>
          <w:tcPr>
            <w:tcW w:w="1022" w:type="dxa"/>
            <w:vMerge w:val="restart"/>
            <w:tcBorders>
              <w:bottom w:val="nil"/>
            </w:tcBorders>
          </w:tcPr>
          <w:p w14:paraId="408DB2B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6D7D4B8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7A2A6DA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7D60F6F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70979179">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A020523</w:t>
            </w:r>
          </w:p>
        </w:tc>
        <w:tc>
          <w:tcPr>
            <w:tcW w:w="839" w:type="dxa"/>
            <w:vMerge w:val="restart"/>
            <w:tcBorders>
              <w:bottom w:val="nil"/>
            </w:tcBorders>
          </w:tcPr>
          <w:p w14:paraId="232BC53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04EFC34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76722E3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1B1FE5F9">
            <w:pPr>
              <w:pStyle w:val="75"/>
              <w:keepNext w:val="0"/>
              <w:keepLines w:val="0"/>
              <w:pageBreakBefore w:val="0"/>
              <w:widowControl w:val="0"/>
              <w:kinsoku/>
              <w:wordWrap/>
              <w:overflowPunct/>
              <w:topLinePunct w:val="0"/>
              <w:autoSpaceDE/>
              <w:autoSpaceDN/>
              <w:bidi w:val="0"/>
              <w:adjustRightInd/>
              <w:snapToGrid/>
              <w:spacing w:line="340" w:lineRule="exact"/>
              <w:ind w:left="6" w:right="3" w:hanging="2"/>
              <w:textAlignment w:val="auto"/>
              <w:rPr>
                <w:rFonts w:hint="eastAsia" w:ascii="仿宋" w:hAnsi="仿宋" w:eastAsia="仿宋" w:cs="仿宋"/>
                <w:sz w:val="21"/>
                <w:szCs w:val="21"/>
                <w:highlight w:val="none"/>
              </w:rPr>
            </w:pPr>
            <w:r>
              <w:rPr>
                <w:rFonts w:hint="eastAsia" w:ascii="仿宋" w:hAnsi="仿宋" w:eastAsia="仿宋" w:cs="仿宋"/>
                <w:color w:val="383838"/>
                <w:spacing w:val="25"/>
                <w:sz w:val="21"/>
                <w:szCs w:val="21"/>
                <w:highlight w:val="none"/>
              </w:rPr>
              <w:t>制冷空调</w:t>
            </w:r>
            <w:r>
              <w:rPr>
                <w:rFonts w:hint="eastAsia" w:ascii="仿宋" w:hAnsi="仿宋" w:eastAsia="仿宋" w:cs="仿宋"/>
                <w:color w:val="383838"/>
                <w:spacing w:val="-4"/>
                <w:sz w:val="21"/>
                <w:szCs w:val="21"/>
                <w:highlight w:val="none"/>
              </w:rPr>
              <w:t>设备</w:t>
            </w:r>
          </w:p>
        </w:tc>
        <w:tc>
          <w:tcPr>
            <w:tcW w:w="1333" w:type="dxa"/>
          </w:tcPr>
          <w:p w14:paraId="3EC09E5D">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A02052301</w:t>
            </w:r>
          </w:p>
        </w:tc>
        <w:tc>
          <w:tcPr>
            <w:tcW w:w="1087" w:type="dxa"/>
          </w:tcPr>
          <w:p w14:paraId="5A0A6596">
            <w:pPr>
              <w:pStyle w:val="75"/>
              <w:keepNext w:val="0"/>
              <w:keepLines w:val="0"/>
              <w:pageBreakBefore w:val="0"/>
              <w:widowControl w:val="0"/>
              <w:kinsoku/>
              <w:wordWrap/>
              <w:overflowPunct/>
              <w:topLinePunct w:val="0"/>
              <w:autoSpaceDE/>
              <w:autoSpaceDN/>
              <w:bidi w:val="0"/>
              <w:adjustRightInd/>
              <w:snapToGrid/>
              <w:spacing w:line="340" w:lineRule="exact"/>
              <w:ind w:left="7"/>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制冷压缩机</w:t>
            </w:r>
          </w:p>
        </w:tc>
        <w:tc>
          <w:tcPr>
            <w:tcW w:w="3249" w:type="dxa"/>
            <w:vMerge w:val="restart"/>
            <w:tcBorders>
              <w:bottom w:val="nil"/>
            </w:tcBorders>
          </w:tcPr>
          <w:p w14:paraId="24AFC02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679BA37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1217FDFC">
            <w:pPr>
              <w:pStyle w:val="75"/>
              <w:keepNext w:val="0"/>
              <w:keepLines w:val="0"/>
              <w:pageBreakBefore w:val="0"/>
              <w:widowControl w:val="0"/>
              <w:kinsoku/>
              <w:wordWrap/>
              <w:overflowPunct/>
              <w:topLinePunct w:val="0"/>
              <w:autoSpaceDE/>
              <w:autoSpaceDN/>
              <w:bidi w:val="0"/>
              <w:adjustRightInd/>
              <w:snapToGrid/>
              <w:spacing w:line="340" w:lineRule="exact"/>
              <w:ind w:left="24"/>
              <w:textAlignment w:val="auto"/>
              <w:rPr>
                <w:rFonts w:hint="eastAsia" w:ascii="仿宋" w:hAnsi="仿宋" w:eastAsia="仿宋" w:cs="仿宋"/>
                <w:sz w:val="21"/>
                <w:szCs w:val="21"/>
                <w:highlight w:val="none"/>
              </w:rPr>
            </w:pPr>
            <w:r>
              <w:rPr>
                <w:rFonts w:hint="eastAsia" w:ascii="仿宋" w:hAnsi="仿宋" w:eastAsia="仿宋" w:cs="仿宋"/>
                <w:color w:val="383838"/>
                <w:spacing w:val="-3"/>
                <w:sz w:val="21"/>
                <w:szCs w:val="21"/>
                <w:highlight w:val="none"/>
              </w:rPr>
              <w:t>中国质量认证中心</w:t>
            </w:r>
          </w:p>
          <w:p w14:paraId="1E91CA69">
            <w:pPr>
              <w:pStyle w:val="75"/>
              <w:keepNext w:val="0"/>
              <w:keepLines w:val="0"/>
              <w:pageBreakBefore w:val="0"/>
              <w:widowControl w:val="0"/>
              <w:kinsoku/>
              <w:wordWrap/>
              <w:overflowPunct/>
              <w:topLinePunct w:val="0"/>
              <w:autoSpaceDE/>
              <w:autoSpaceDN/>
              <w:bidi w:val="0"/>
              <w:adjustRightInd/>
              <w:snapToGrid/>
              <w:spacing w:line="340" w:lineRule="exact"/>
              <w:ind w:left="7"/>
              <w:textAlignment w:val="auto"/>
              <w:rPr>
                <w:rFonts w:hint="eastAsia" w:ascii="仿宋" w:hAnsi="仿宋" w:eastAsia="仿宋" w:cs="仿宋"/>
                <w:sz w:val="21"/>
                <w:szCs w:val="21"/>
                <w:highlight w:val="none"/>
              </w:rPr>
            </w:pPr>
            <w:r>
              <w:rPr>
                <w:rFonts w:hint="eastAsia" w:ascii="仿宋" w:hAnsi="仿宋" w:eastAsia="仿宋" w:cs="仿宋"/>
                <w:color w:val="383838"/>
                <w:spacing w:val="2"/>
                <w:sz w:val="21"/>
                <w:szCs w:val="21"/>
                <w:highlight w:val="none"/>
              </w:rPr>
              <w:t>威凯认证检测有限公司</w:t>
            </w:r>
          </w:p>
          <w:p w14:paraId="23D949A3">
            <w:pPr>
              <w:pStyle w:val="75"/>
              <w:keepNext w:val="0"/>
              <w:keepLines w:val="0"/>
              <w:pageBreakBefore w:val="0"/>
              <w:widowControl w:val="0"/>
              <w:kinsoku/>
              <w:wordWrap/>
              <w:overflowPunct/>
              <w:topLinePunct w:val="0"/>
              <w:autoSpaceDE/>
              <w:autoSpaceDN/>
              <w:bidi w:val="0"/>
              <w:adjustRightInd/>
              <w:snapToGrid/>
              <w:spacing w:line="340" w:lineRule="exact"/>
              <w:ind w:left="8"/>
              <w:textAlignment w:val="auto"/>
              <w:rPr>
                <w:rFonts w:hint="eastAsia" w:ascii="仿宋" w:hAnsi="仿宋" w:eastAsia="仿宋" w:cs="仿宋"/>
                <w:sz w:val="21"/>
                <w:szCs w:val="21"/>
                <w:highlight w:val="none"/>
              </w:rPr>
            </w:pPr>
            <w:r>
              <w:rPr>
                <w:rFonts w:hint="eastAsia" w:ascii="仿宋" w:hAnsi="仿宋" w:eastAsia="仿宋" w:cs="仿宋"/>
                <w:color w:val="383838"/>
                <w:spacing w:val="2"/>
                <w:sz w:val="21"/>
                <w:szCs w:val="21"/>
                <w:highlight w:val="none"/>
              </w:rPr>
              <w:t>合肥通用机械产品认证有限公司</w:t>
            </w:r>
          </w:p>
          <w:p w14:paraId="79CA150F">
            <w:pPr>
              <w:pStyle w:val="75"/>
              <w:keepNext w:val="0"/>
              <w:keepLines w:val="0"/>
              <w:pageBreakBefore w:val="0"/>
              <w:widowControl w:val="0"/>
              <w:kinsoku/>
              <w:wordWrap/>
              <w:overflowPunct/>
              <w:topLinePunct w:val="0"/>
              <w:autoSpaceDE/>
              <w:autoSpaceDN/>
              <w:bidi w:val="0"/>
              <w:adjustRightInd/>
              <w:snapToGrid/>
              <w:spacing w:line="340" w:lineRule="exact"/>
              <w:ind w:left="10"/>
              <w:textAlignment w:val="auto"/>
              <w:rPr>
                <w:rFonts w:hint="eastAsia" w:ascii="仿宋" w:hAnsi="仿宋" w:eastAsia="仿宋" w:cs="仿宋"/>
                <w:sz w:val="21"/>
                <w:szCs w:val="21"/>
                <w:highlight w:val="none"/>
              </w:rPr>
            </w:pPr>
            <w:r>
              <w:rPr>
                <w:rFonts w:hint="eastAsia" w:ascii="仿宋" w:hAnsi="仿宋" w:eastAsia="仿宋" w:cs="仿宋"/>
                <w:color w:val="383838"/>
                <w:spacing w:val="3"/>
                <w:sz w:val="21"/>
                <w:szCs w:val="21"/>
                <w:highlight w:val="none"/>
              </w:rPr>
              <w:t>北京中冷通质量认证中心有限公司</w:t>
            </w:r>
          </w:p>
        </w:tc>
      </w:tr>
      <w:tr w14:paraId="7200C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09" w:type="dxa"/>
            <w:vMerge w:val="continue"/>
            <w:tcBorders>
              <w:top w:val="nil"/>
              <w:bottom w:val="nil"/>
            </w:tcBorders>
          </w:tcPr>
          <w:p w14:paraId="38EEAE14">
            <w:pPr>
              <w:rPr>
                <w:highlight w:val="none"/>
              </w:rPr>
            </w:pPr>
          </w:p>
        </w:tc>
        <w:tc>
          <w:tcPr>
            <w:tcW w:w="1022" w:type="dxa"/>
            <w:vMerge w:val="continue"/>
            <w:tcBorders>
              <w:top w:val="nil"/>
              <w:bottom w:val="nil"/>
            </w:tcBorders>
          </w:tcPr>
          <w:p w14:paraId="7AB82CE5">
            <w:pPr>
              <w:rPr>
                <w:highlight w:val="none"/>
              </w:rPr>
            </w:pPr>
          </w:p>
        </w:tc>
        <w:tc>
          <w:tcPr>
            <w:tcW w:w="839" w:type="dxa"/>
            <w:vMerge w:val="continue"/>
            <w:tcBorders>
              <w:top w:val="nil"/>
              <w:bottom w:val="nil"/>
            </w:tcBorders>
          </w:tcPr>
          <w:p w14:paraId="7D1D3C3A">
            <w:pPr>
              <w:rPr>
                <w:highlight w:val="none"/>
              </w:rPr>
            </w:pPr>
          </w:p>
        </w:tc>
        <w:tc>
          <w:tcPr>
            <w:tcW w:w="1333" w:type="dxa"/>
          </w:tcPr>
          <w:p w14:paraId="1514B3A7">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A02052305</w:t>
            </w:r>
          </w:p>
        </w:tc>
        <w:tc>
          <w:tcPr>
            <w:tcW w:w="1087" w:type="dxa"/>
          </w:tcPr>
          <w:p w14:paraId="7D61C9AE">
            <w:pPr>
              <w:pStyle w:val="75"/>
              <w:keepNext w:val="0"/>
              <w:keepLines w:val="0"/>
              <w:pageBreakBefore w:val="0"/>
              <w:widowControl w:val="0"/>
              <w:kinsoku/>
              <w:wordWrap/>
              <w:overflowPunct/>
              <w:topLinePunct w:val="0"/>
              <w:autoSpaceDE/>
              <w:autoSpaceDN/>
              <w:bidi w:val="0"/>
              <w:adjustRightInd/>
              <w:snapToGrid/>
              <w:spacing w:line="340" w:lineRule="exact"/>
              <w:ind w:left="12"/>
              <w:textAlignment w:val="auto"/>
              <w:rPr>
                <w:rFonts w:hint="eastAsia" w:ascii="仿宋" w:hAnsi="仿宋" w:eastAsia="仿宋" w:cs="仿宋"/>
                <w:sz w:val="21"/>
                <w:szCs w:val="21"/>
                <w:highlight w:val="none"/>
              </w:rPr>
            </w:pPr>
            <w:r>
              <w:rPr>
                <w:rFonts w:hint="eastAsia" w:ascii="仿宋" w:hAnsi="仿宋" w:eastAsia="仿宋" w:cs="仿宋"/>
                <w:color w:val="383838"/>
                <w:spacing w:val="-2"/>
                <w:sz w:val="21"/>
                <w:szCs w:val="21"/>
                <w:highlight w:val="none"/>
              </w:rPr>
              <w:t>空调机组</w:t>
            </w:r>
          </w:p>
        </w:tc>
        <w:tc>
          <w:tcPr>
            <w:tcW w:w="3249" w:type="dxa"/>
            <w:vMerge w:val="continue"/>
            <w:tcBorders>
              <w:top w:val="nil"/>
              <w:bottom w:val="nil"/>
            </w:tcBorders>
          </w:tcPr>
          <w:p w14:paraId="71B7146D">
            <w:pPr>
              <w:rPr>
                <w:highlight w:val="none"/>
              </w:rPr>
            </w:pPr>
          </w:p>
        </w:tc>
      </w:tr>
      <w:tr w14:paraId="6172C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709" w:type="dxa"/>
            <w:vMerge w:val="continue"/>
            <w:tcBorders>
              <w:top w:val="nil"/>
              <w:bottom w:val="nil"/>
            </w:tcBorders>
          </w:tcPr>
          <w:p w14:paraId="0FF75D26">
            <w:pPr>
              <w:rPr>
                <w:highlight w:val="none"/>
              </w:rPr>
            </w:pPr>
          </w:p>
        </w:tc>
        <w:tc>
          <w:tcPr>
            <w:tcW w:w="1022" w:type="dxa"/>
            <w:vMerge w:val="continue"/>
            <w:tcBorders>
              <w:top w:val="nil"/>
              <w:bottom w:val="nil"/>
            </w:tcBorders>
          </w:tcPr>
          <w:p w14:paraId="149CB6F6">
            <w:pPr>
              <w:rPr>
                <w:highlight w:val="none"/>
              </w:rPr>
            </w:pPr>
          </w:p>
        </w:tc>
        <w:tc>
          <w:tcPr>
            <w:tcW w:w="839" w:type="dxa"/>
            <w:vMerge w:val="continue"/>
            <w:tcBorders>
              <w:top w:val="nil"/>
              <w:bottom w:val="nil"/>
            </w:tcBorders>
          </w:tcPr>
          <w:p w14:paraId="2389F35F">
            <w:pPr>
              <w:rPr>
                <w:highlight w:val="none"/>
              </w:rPr>
            </w:pPr>
          </w:p>
        </w:tc>
        <w:tc>
          <w:tcPr>
            <w:tcW w:w="1333" w:type="dxa"/>
          </w:tcPr>
          <w:p w14:paraId="7225EDA0">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A02052309</w:t>
            </w:r>
          </w:p>
        </w:tc>
        <w:tc>
          <w:tcPr>
            <w:tcW w:w="1087" w:type="dxa"/>
          </w:tcPr>
          <w:p w14:paraId="14923F5C">
            <w:pPr>
              <w:pStyle w:val="75"/>
              <w:keepNext w:val="0"/>
              <w:keepLines w:val="0"/>
              <w:pageBreakBefore w:val="0"/>
              <w:widowControl w:val="0"/>
              <w:kinsoku/>
              <w:wordWrap/>
              <w:overflowPunct/>
              <w:topLinePunct w:val="0"/>
              <w:autoSpaceDE/>
              <w:autoSpaceDN/>
              <w:bidi w:val="0"/>
              <w:adjustRightInd/>
              <w:snapToGrid/>
              <w:spacing w:line="340" w:lineRule="exact"/>
              <w:ind w:left="7"/>
              <w:textAlignment w:val="auto"/>
              <w:rPr>
                <w:rFonts w:hint="eastAsia" w:ascii="仿宋" w:hAnsi="仿宋" w:eastAsia="仿宋" w:cs="仿宋"/>
                <w:sz w:val="21"/>
                <w:szCs w:val="21"/>
                <w:highlight w:val="none"/>
              </w:rPr>
            </w:pPr>
            <w:r>
              <w:rPr>
                <w:rFonts w:hint="eastAsia" w:ascii="仿宋" w:hAnsi="仿宋" w:eastAsia="仿宋" w:cs="仿宋"/>
                <w:color w:val="383838"/>
                <w:spacing w:val="-2"/>
                <w:sz w:val="21"/>
                <w:szCs w:val="21"/>
                <w:highlight w:val="none"/>
              </w:rPr>
              <w:t>专用制冷、空调设备</w:t>
            </w:r>
          </w:p>
        </w:tc>
        <w:tc>
          <w:tcPr>
            <w:tcW w:w="3249" w:type="dxa"/>
            <w:vMerge w:val="continue"/>
            <w:tcBorders>
              <w:top w:val="nil"/>
              <w:bottom w:val="nil"/>
            </w:tcBorders>
          </w:tcPr>
          <w:p w14:paraId="3518595F">
            <w:pPr>
              <w:rPr>
                <w:highlight w:val="none"/>
              </w:rPr>
            </w:pPr>
          </w:p>
        </w:tc>
      </w:tr>
      <w:tr w14:paraId="2E71E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709" w:type="dxa"/>
            <w:vMerge w:val="continue"/>
            <w:tcBorders>
              <w:top w:val="nil"/>
            </w:tcBorders>
          </w:tcPr>
          <w:p w14:paraId="7AFA11E4">
            <w:pPr>
              <w:rPr>
                <w:highlight w:val="none"/>
              </w:rPr>
            </w:pPr>
          </w:p>
        </w:tc>
        <w:tc>
          <w:tcPr>
            <w:tcW w:w="1022" w:type="dxa"/>
            <w:vMerge w:val="continue"/>
            <w:tcBorders>
              <w:top w:val="nil"/>
            </w:tcBorders>
          </w:tcPr>
          <w:p w14:paraId="36E6753B">
            <w:pPr>
              <w:rPr>
                <w:highlight w:val="none"/>
              </w:rPr>
            </w:pPr>
          </w:p>
        </w:tc>
        <w:tc>
          <w:tcPr>
            <w:tcW w:w="839" w:type="dxa"/>
            <w:vMerge w:val="continue"/>
            <w:tcBorders>
              <w:top w:val="nil"/>
            </w:tcBorders>
          </w:tcPr>
          <w:p w14:paraId="1C6ADC4E">
            <w:pPr>
              <w:rPr>
                <w:highlight w:val="none"/>
              </w:rPr>
            </w:pPr>
          </w:p>
        </w:tc>
        <w:tc>
          <w:tcPr>
            <w:tcW w:w="1333" w:type="dxa"/>
          </w:tcPr>
          <w:p w14:paraId="414B1F3F">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A02052399</w:t>
            </w:r>
          </w:p>
        </w:tc>
        <w:tc>
          <w:tcPr>
            <w:tcW w:w="1087" w:type="dxa"/>
          </w:tcPr>
          <w:p w14:paraId="0CB92E05">
            <w:pPr>
              <w:pStyle w:val="75"/>
              <w:keepNext w:val="0"/>
              <w:keepLines w:val="0"/>
              <w:pageBreakBefore w:val="0"/>
              <w:widowControl w:val="0"/>
              <w:kinsoku/>
              <w:wordWrap/>
              <w:overflowPunct/>
              <w:topLinePunct w:val="0"/>
              <w:autoSpaceDE/>
              <w:autoSpaceDN/>
              <w:bidi w:val="0"/>
              <w:adjustRightInd/>
              <w:snapToGrid/>
              <w:spacing w:line="340" w:lineRule="exact"/>
              <w:ind w:left="7" w:right="2"/>
              <w:textAlignment w:val="auto"/>
              <w:rPr>
                <w:rFonts w:hint="eastAsia" w:ascii="仿宋" w:hAnsi="仿宋" w:eastAsia="仿宋" w:cs="仿宋"/>
                <w:sz w:val="21"/>
                <w:szCs w:val="21"/>
                <w:highlight w:val="none"/>
              </w:rPr>
            </w:pPr>
            <w:r>
              <w:rPr>
                <w:rFonts w:hint="eastAsia" w:ascii="仿宋" w:hAnsi="仿宋" w:eastAsia="仿宋" w:cs="仿宋"/>
                <w:color w:val="383838"/>
                <w:spacing w:val="33"/>
                <w:sz w:val="21"/>
                <w:szCs w:val="21"/>
                <w:highlight w:val="none"/>
              </w:rPr>
              <w:t>其他制冷空</w:t>
            </w:r>
            <w:r>
              <w:rPr>
                <w:rFonts w:hint="eastAsia" w:ascii="仿宋" w:hAnsi="仿宋" w:eastAsia="仿宋" w:cs="仿宋"/>
                <w:color w:val="383838"/>
                <w:spacing w:val="-2"/>
                <w:sz w:val="21"/>
                <w:szCs w:val="21"/>
                <w:highlight w:val="none"/>
              </w:rPr>
              <w:t>调设备</w:t>
            </w:r>
          </w:p>
        </w:tc>
        <w:tc>
          <w:tcPr>
            <w:tcW w:w="3249" w:type="dxa"/>
            <w:vMerge w:val="continue"/>
            <w:tcBorders>
              <w:top w:val="nil"/>
            </w:tcBorders>
          </w:tcPr>
          <w:p w14:paraId="265921EB">
            <w:pPr>
              <w:rPr>
                <w:highlight w:val="none"/>
              </w:rPr>
            </w:pPr>
          </w:p>
        </w:tc>
      </w:tr>
      <w:tr w14:paraId="2C66E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709" w:type="dxa"/>
          </w:tcPr>
          <w:p w14:paraId="34FF7CE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4D4719C6">
            <w:pPr>
              <w:pStyle w:val="75"/>
              <w:keepNext w:val="0"/>
              <w:keepLines w:val="0"/>
              <w:pageBreakBefore w:val="0"/>
              <w:widowControl w:val="0"/>
              <w:kinsoku/>
              <w:wordWrap/>
              <w:overflowPunct/>
              <w:topLinePunct w:val="0"/>
              <w:autoSpaceDE/>
              <w:autoSpaceDN/>
              <w:bidi w:val="0"/>
              <w:adjustRightInd/>
              <w:snapToGrid/>
              <w:spacing w:line="340" w:lineRule="exact"/>
              <w:ind w:left="313"/>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7</w:t>
            </w:r>
          </w:p>
        </w:tc>
        <w:tc>
          <w:tcPr>
            <w:tcW w:w="1022" w:type="dxa"/>
          </w:tcPr>
          <w:p w14:paraId="079E845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64E4A61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220161B0">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A020601</w:t>
            </w:r>
          </w:p>
        </w:tc>
        <w:tc>
          <w:tcPr>
            <w:tcW w:w="839" w:type="dxa"/>
          </w:tcPr>
          <w:p w14:paraId="36D19C5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425E785E">
            <w:pPr>
              <w:pStyle w:val="75"/>
              <w:keepNext w:val="0"/>
              <w:keepLines w:val="0"/>
              <w:pageBreakBefore w:val="0"/>
              <w:widowControl w:val="0"/>
              <w:kinsoku/>
              <w:wordWrap/>
              <w:overflowPunct/>
              <w:topLinePunct w:val="0"/>
              <w:autoSpaceDE/>
              <w:autoSpaceDN/>
              <w:bidi w:val="0"/>
              <w:adjustRightInd/>
              <w:snapToGrid/>
              <w:spacing w:line="340" w:lineRule="exact"/>
              <w:ind w:left="25"/>
              <w:textAlignment w:val="auto"/>
              <w:rPr>
                <w:rFonts w:hint="eastAsia" w:ascii="仿宋" w:hAnsi="仿宋" w:eastAsia="仿宋" w:cs="仿宋"/>
                <w:sz w:val="21"/>
                <w:szCs w:val="21"/>
                <w:highlight w:val="none"/>
              </w:rPr>
            </w:pPr>
            <w:r>
              <w:rPr>
                <w:rFonts w:hint="eastAsia" w:ascii="仿宋" w:hAnsi="仿宋" w:eastAsia="仿宋" w:cs="仿宋"/>
                <w:color w:val="383838"/>
                <w:spacing w:val="-15"/>
                <w:sz w:val="21"/>
                <w:szCs w:val="21"/>
                <w:highlight w:val="none"/>
              </w:rPr>
              <w:t>电机</w:t>
            </w:r>
          </w:p>
        </w:tc>
        <w:tc>
          <w:tcPr>
            <w:tcW w:w="1333" w:type="dxa"/>
          </w:tcPr>
          <w:p w14:paraId="57EB69C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87" w:type="dxa"/>
          </w:tcPr>
          <w:p w14:paraId="06CBB53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3249" w:type="dxa"/>
          </w:tcPr>
          <w:p w14:paraId="58511AFB">
            <w:pPr>
              <w:pStyle w:val="75"/>
              <w:keepNext w:val="0"/>
              <w:keepLines w:val="0"/>
              <w:pageBreakBefore w:val="0"/>
              <w:widowControl w:val="0"/>
              <w:kinsoku/>
              <w:wordWrap/>
              <w:overflowPunct/>
              <w:topLinePunct w:val="0"/>
              <w:autoSpaceDE/>
              <w:autoSpaceDN/>
              <w:bidi w:val="0"/>
              <w:adjustRightInd/>
              <w:snapToGrid/>
              <w:spacing w:line="340" w:lineRule="exact"/>
              <w:ind w:left="24"/>
              <w:textAlignment w:val="auto"/>
              <w:rPr>
                <w:rFonts w:hint="eastAsia" w:ascii="仿宋" w:hAnsi="仿宋" w:eastAsia="仿宋" w:cs="仿宋"/>
                <w:sz w:val="21"/>
                <w:szCs w:val="21"/>
                <w:highlight w:val="none"/>
              </w:rPr>
            </w:pPr>
            <w:r>
              <w:rPr>
                <w:rFonts w:hint="eastAsia" w:ascii="仿宋" w:hAnsi="仿宋" w:eastAsia="仿宋" w:cs="仿宋"/>
                <w:color w:val="383838"/>
                <w:spacing w:val="-3"/>
                <w:sz w:val="21"/>
                <w:szCs w:val="21"/>
                <w:highlight w:val="none"/>
              </w:rPr>
              <w:t>中国质量认证中心</w:t>
            </w:r>
          </w:p>
          <w:p w14:paraId="5037AEC9">
            <w:pPr>
              <w:pStyle w:val="75"/>
              <w:keepNext w:val="0"/>
              <w:keepLines w:val="0"/>
              <w:pageBreakBefore w:val="0"/>
              <w:widowControl w:val="0"/>
              <w:kinsoku/>
              <w:wordWrap/>
              <w:overflowPunct/>
              <w:topLinePunct w:val="0"/>
              <w:autoSpaceDE/>
              <w:autoSpaceDN/>
              <w:bidi w:val="0"/>
              <w:adjustRightInd/>
              <w:snapToGrid/>
              <w:spacing w:line="340" w:lineRule="exact"/>
              <w:ind w:left="7"/>
              <w:textAlignment w:val="auto"/>
              <w:rPr>
                <w:rFonts w:hint="eastAsia" w:ascii="仿宋" w:hAnsi="仿宋" w:eastAsia="仿宋" w:cs="仿宋"/>
                <w:sz w:val="21"/>
                <w:szCs w:val="21"/>
                <w:highlight w:val="none"/>
              </w:rPr>
            </w:pPr>
            <w:r>
              <w:rPr>
                <w:rFonts w:hint="eastAsia" w:ascii="仿宋" w:hAnsi="仿宋" w:eastAsia="仿宋" w:cs="仿宋"/>
                <w:color w:val="383838"/>
                <w:spacing w:val="2"/>
                <w:sz w:val="21"/>
                <w:szCs w:val="21"/>
                <w:highlight w:val="none"/>
              </w:rPr>
              <w:t>威凯认证检测有限公司</w:t>
            </w:r>
          </w:p>
          <w:p w14:paraId="5469CBDF">
            <w:pPr>
              <w:pStyle w:val="75"/>
              <w:keepNext w:val="0"/>
              <w:keepLines w:val="0"/>
              <w:pageBreakBefore w:val="0"/>
              <w:widowControl w:val="0"/>
              <w:kinsoku/>
              <w:wordWrap/>
              <w:overflowPunct/>
              <w:topLinePunct w:val="0"/>
              <w:autoSpaceDE/>
              <w:autoSpaceDN/>
              <w:bidi w:val="0"/>
              <w:adjustRightInd/>
              <w:snapToGrid/>
              <w:spacing w:line="340" w:lineRule="exact"/>
              <w:ind w:left="24" w:right="700" w:firstLine="4"/>
              <w:textAlignment w:val="auto"/>
              <w:rPr>
                <w:rFonts w:hint="eastAsia" w:ascii="仿宋" w:hAnsi="仿宋" w:eastAsia="仿宋" w:cs="仿宋"/>
                <w:sz w:val="21"/>
                <w:szCs w:val="21"/>
                <w:highlight w:val="none"/>
              </w:rPr>
            </w:pPr>
            <w:r>
              <w:rPr>
                <w:rFonts w:hint="eastAsia" w:ascii="仿宋" w:hAnsi="仿宋" w:eastAsia="仿宋" w:cs="仿宋"/>
                <w:color w:val="383838"/>
                <w:spacing w:val="-1"/>
                <w:sz w:val="21"/>
                <w:szCs w:val="21"/>
                <w:highlight w:val="none"/>
              </w:rPr>
              <w:t>电能（北京）认证中心有限公司中国船级社质量认证公司</w:t>
            </w:r>
          </w:p>
        </w:tc>
      </w:tr>
      <w:tr w14:paraId="02142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709" w:type="dxa"/>
          </w:tcPr>
          <w:p w14:paraId="3A33496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5A03A7E3">
            <w:pPr>
              <w:pStyle w:val="75"/>
              <w:keepNext w:val="0"/>
              <w:keepLines w:val="0"/>
              <w:pageBreakBefore w:val="0"/>
              <w:widowControl w:val="0"/>
              <w:kinsoku/>
              <w:wordWrap/>
              <w:overflowPunct/>
              <w:topLinePunct w:val="0"/>
              <w:autoSpaceDE/>
              <w:autoSpaceDN/>
              <w:bidi w:val="0"/>
              <w:adjustRightInd/>
              <w:snapToGrid/>
              <w:spacing w:line="340" w:lineRule="exact"/>
              <w:ind w:left="310"/>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8</w:t>
            </w:r>
          </w:p>
        </w:tc>
        <w:tc>
          <w:tcPr>
            <w:tcW w:w="1022" w:type="dxa"/>
          </w:tcPr>
          <w:p w14:paraId="09069CA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0AE47CC5">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A020602</w:t>
            </w:r>
          </w:p>
        </w:tc>
        <w:tc>
          <w:tcPr>
            <w:tcW w:w="839" w:type="dxa"/>
          </w:tcPr>
          <w:p w14:paraId="6CB8AE5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6C2362EA">
            <w:pPr>
              <w:pStyle w:val="75"/>
              <w:keepNext w:val="0"/>
              <w:keepLines w:val="0"/>
              <w:pageBreakBefore w:val="0"/>
              <w:widowControl w:val="0"/>
              <w:kinsoku/>
              <w:wordWrap/>
              <w:overflowPunct/>
              <w:topLinePunct w:val="0"/>
              <w:autoSpaceDE/>
              <w:autoSpaceDN/>
              <w:bidi w:val="0"/>
              <w:adjustRightInd/>
              <w:snapToGrid/>
              <w:spacing w:line="340" w:lineRule="exact"/>
              <w:ind w:left="4"/>
              <w:textAlignment w:val="auto"/>
              <w:rPr>
                <w:rFonts w:hint="eastAsia" w:ascii="仿宋" w:hAnsi="仿宋" w:eastAsia="仿宋" w:cs="仿宋"/>
                <w:sz w:val="21"/>
                <w:szCs w:val="21"/>
                <w:highlight w:val="none"/>
              </w:rPr>
            </w:pPr>
            <w:r>
              <w:rPr>
                <w:rFonts w:hint="eastAsia" w:ascii="仿宋" w:hAnsi="仿宋" w:eastAsia="仿宋" w:cs="仿宋"/>
                <w:color w:val="383838"/>
                <w:spacing w:val="-2"/>
                <w:sz w:val="21"/>
                <w:szCs w:val="21"/>
                <w:highlight w:val="none"/>
              </w:rPr>
              <w:t>变压器</w:t>
            </w:r>
          </w:p>
        </w:tc>
        <w:tc>
          <w:tcPr>
            <w:tcW w:w="1333" w:type="dxa"/>
          </w:tcPr>
          <w:p w14:paraId="57AF393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87" w:type="dxa"/>
          </w:tcPr>
          <w:p w14:paraId="19A605A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3249" w:type="dxa"/>
          </w:tcPr>
          <w:p w14:paraId="4F135F54">
            <w:pPr>
              <w:pStyle w:val="75"/>
              <w:keepNext w:val="0"/>
              <w:keepLines w:val="0"/>
              <w:pageBreakBefore w:val="0"/>
              <w:widowControl w:val="0"/>
              <w:kinsoku/>
              <w:wordWrap/>
              <w:overflowPunct/>
              <w:topLinePunct w:val="0"/>
              <w:autoSpaceDE/>
              <w:autoSpaceDN/>
              <w:bidi w:val="0"/>
              <w:adjustRightInd/>
              <w:snapToGrid/>
              <w:spacing w:line="340" w:lineRule="exact"/>
              <w:ind w:left="24"/>
              <w:textAlignment w:val="auto"/>
              <w:rPr>
                <w:rFonts w:hint="eastAsia" w:ascii="仿宋" w:hAnsi="仿宋" w:eastAsia="仿宋" w:cs="仿宋"/>
                <w:sz w:val="21"/>
                <w:szCs w:val="21"/>
                <w:highlight w:val="none"/>
              </w:rPr>
            </w:pPr>
            <w:r>
              <w:rPr>
                <w:rFonts w:hint="eastAsia" w:ascii="仿宋" w:hAnsi="仿宋" w:eastAsia="仿宋" w:cs="仿宋"/>
                <w:color w:val="383838"/>
                <w:spacing w:val="-3"/>
                <w:sz w:val="21"/>
                <w:szCs w:val="21"/>
                <w:highlight w:val="none"/>
              </w:rPr>
              <w:t>中国质量认证中心</w:t>
            </w:r>
          </w:p>
          <w:p w14:paraId="10ED7B57">
            <w:pPr>
              <w:pStyle w:val="75"/>
              <w:keepNext w:val="0"/>
              <w:keepLines w:val="0"/>
              <w:pageBreakBefore w:val="0"/>
              <w:widowControl w:val="0"/>
              <w:kinsoku/>
              <w:wordWrap/>
              <w:overflowPunct/>
              <w:topLinePunct w:val="0"/>
              <w:autoSpaceDE/>
              <w:autoSpaceDN/>
              <w:bidi w:val="0"/>
              <w:adjustRightInd/>
              <w:snapToGrid/>
              <w:spacing w:line="340" w:lineRule="exact"/>
              <w:ind w:left="8" w:right="700" w:firstLine="20"/>
              <w:textAlignment w:val="auto"/>
              <w:rPr>
                <w:rFonts w:hint="eastAsia" w:ascii="仿宋" w:hAnsi="仿宋" w:eastAsia="仿宋" w:cs="仿宋"/>
                <w:sz w:val="21"/>
                <w:szCs w:val="21"/>
                <w:highlight w:val="none"/>
              </w:rPr>
            </w:pPr>
            <w:r>
              <w:rPr>
                <w:rFonts w:hint="eastAsia" w:ascii="仿宋" w:hAnsi="仿宋" w:eastAsia="仿宋" w:cs="仿宋"/>
                <w:color w:val="383838"/>
                <w:spacing w:val="-1"/>
                <w:sz w:val="21"/>
                <w:szCs w:val="21"/>
                <w:highlight w:val="none"/>
              </w:rPr>
              <w:t>电能（北京）认证中心有限公司</w:t>
            </w:r>
            <w:r>
              <w:rPr>
                <w:rFonts w:hint="eastAsia" w:ascii="仿宋" w:hAnsi="仿宋" w:eastAsia="仿宋" w:cs="仿宋"/>
                <w:color w:val="383838"/>
                <w:spacing w:val="3"/>
                <w:sz w:val="21"/>
                <w:szCs w:val="21"/>
                <w:highlight w:val="none"/>
              </w:rPr>
              <w:t>方圆标志认证集团有限公司</w:t>
            </w:r>
          </w:p>
        </w:tc>
      </w:tr>
      <w:tr w14:paraId="44938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5" w:hRule="atLeast"/>
        </w:trPr>
        <w:tc>
          <w:tcPr>
            <w:tcW w:w="709" w:type="dxa"/>
          </w:tcPr>
          <w:p w14:paraId="5B78391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21280B4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59417D7E">
            <w:pPr>
              <w:pStyle w:val="75"/>
              <w:keepNext w:val="0"/>
              <w:keepLines w:val="0"/>
              <w:pageBreakBefore w:val="0"/>
              <w:widowControl w:val="0"/>
              <w:kinsoku/>
              <w:wordWrap/>
              <w:overflowPunct/>
              <w:topLinePunct w:val="0"/>
              <w:autoSpaceDE/>
              <w:autoSpaceDN/>
              <w:bidi w:val="0"/>
              <w:adjustRightInd/>
              <w:snapToGrid/>
              <w:spacing w:line="340" w:lineRule="exact"/>
              <w:ind w:left="310"/>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9</w:t>
            </w:r>
          </w:p>
        </w:tc>
        <w:tc>
          <w:tcPr>
            <w:tcW w:w="1022" w:type="dxa"/>
          </w:tcPr>
          <w:p w14:paraId="607B898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06B38D6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6C2156D6">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A020609</w:t>
            </w:r>
          </w:p>
        </w:tc>
        <w:tc>
          <w:tcPr>
            <w:tcW w:w="839" w:type="dxa"/>
          </w:tcPr>
          <w:p w14:paraId="43144F9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57D65D5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5EF415E7">
            <w:pPr>
              <w:pStyle w:val="75"/>
              <w:keepNext w:val="0"/>
              <w:keepLines w:val="0"/>
              <w:pageBreakBefore w:val="0"/>
              <w:widowControl w:val="0"/>
              <w:kinsoku/>
              <w:wordWrap/>
              <w:overflowPunct/>
              <w:topLinePunct w:val="0"/>
              <w:autoSpaceDE/>
              <w:autoSpaceDN/>
              <w:bidi w:val="0"/>
              <w:adjustRightInd/>
              <w:snapToGrid/>
              <w:spacing w:line="340" w:lineRule="exact"/>
              <w:ind w:left="4"/>
              <w:textAlignment w:val="auto"/>
              <w:rPr>
                <w:rFonts w:hint="eastAsia" w:ascii="仿宋" w:hAnsi="仿宋" w:eastAsia="仿宋" w:cs="仿宋"/>
                <w:sz w:val="21"/>
                <w:szCs w:val="21"/>
                <w:highlight w:val="none"/>
              </w:rPr>
            </w:pPr>
            <w:r>
              <w:rPr>
                <w:rFonts w:hint="eastAsia" w:ascii="仿宋" w:hAnsi="仿宋" w:eastAsia="仿宋" w:cs="仿宋"/>
                <w:color w:val="383838"/>
                <w:spacing w:val="-2"/>
                <w:sz w:val="21"/>
                <w:szCs w:val="21"/>
                <w:highlight w:val="none"/>
              </w:rPr>
              <w:t>镇流器</w:t>
            </w:r>
          </w:p>
        </w:tc>
        <w:tc>
          <w:tcPr>
            <w:tcW w:w="1333" w:type="dxa"/>
          </w:tcPr>
          <w:p w14:paraId="00D243C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87" w:type="dxa"/>
          </w:tcPr>
          <w:p w14:paraId="3CDB8DA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3249" w:type="dxa"/>
          </w:tcPr>
          <w:p w14:paraId="7A9D8FB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6B338189">
            <w:pPr>
              <w:pStyle w:val="75"/>
              <w:keepNext w:val="0"/>
              <w:keepLines w:val="0"/>
              <w:pageBreakBefore w:val="0"/>
              <w:widowControl w:val="0"/>
              <w:kinsoku/>
              <w:wordWrap/>
              <w:overflowPunct/>
              <w:topLinePunct w:val="0"/>
              <w:autoSpaceDE/>
              <w:autoSpaceDN/>
              <w:bidi w:val="0"/>
              <w:adjustRightInd/>
              <w:snapToGrid/>
              <w:spacing w:line="340" w:lineRule="exact"/>
              <w:ind w:left="24"/>
              <w:textAlignment w:val="auto"/>
              <w:rPr>
                <w:rFonts w:hint="eastAsia" w:ascii="仿宋" w:hAnsi="仿宋" w:eastAsia="仿宋" w:cs="仿宋"/>
                <w:sz w:val="21"/>
                <w:szCs w:val="21"/>
                <w:highlight w:val="none"/>
              </w:rPr>
            </w:pPr>
            <w:r>
              <w:rPr>
                <w:rFonts w:hint="eastAsia" w:ascii="仿宋" w:hAnsi="仿宋" w:eastAsia="仿宋" w:cs="仿宋"/>
                <w:color w:val="383838"/>
                <w:spacing w:val="-3"/>
                <w:sz w:val="21"/>
                <w:szCs w:val="21"/>
                <w:highlight w:val="none"/>
              </w:rPr>
              <w:t>中国质量认证中心</w:t>
            </w:r>
          </w:p>
          <w:p w14:paraId="5C2673DB">
            <w:pPr>
              <w:pStyle w:val="75"/>
              <w:keepNext w:val="0"/>
              <w:keepLines w:val="0"/>
              <w:pageBreakBefore w:val="0"/>
              <w:widowControl w:val="0"/>
              <w:kinsoku/>
              <w:wordWrap/>
              <w:overflowPunct/>
              <w:topLinePunct w:val="0"/>
              <w:autoSpaceDE/>
              <w:autoSpaceDN/>
              <w:bidi w:val="0"/>
              <w:adjustRightInd/>
              <w:snapToGrid/>
              <w:spacing w:line="340" w:lineRule="exact"/>
              <w:ind w:left="8"/>
              <w:textAlignment w:val="auto"/>
              <w:rPr>
                <w:rFonts w:hint="eastAsia" w:ascii="仿宋" w:hAnsi="仿宋" w:eastAsia="仿宋" w:cs="仿宋"/>
                <w:sz w:val="21"/>
                <w:szCs w:val="21"/>
                <w:highlight w:val="none"/>
              </w:rPr>
            </w:pPr>
            <w:r>
              <w:rPr>
                <w:rFonts w:hint="eastAsia" w:ascii="仿宋" w:hAnsi="仿宋" w:eastAsia="仿宋" w:cs="仿宋"/>
                <w:color w:val="383838"/>
                <w:spacing w:val="3"/>
                <w:sz w:val="21"/>
                <w:szCs w:val="21"/>
                <w:highlight w:val="none"/>
              </w:rPr>
              <w:t>深圳市计量质量检测研究院</w:t>
            </w:r>
          </w:p>
          <w:p w14:paraId="661A3215">
            <w:pPr>
              <w:pStyle w:val="75"/>
              <w:keepNext w:val="0"/>
              <w:keepLines w:val="0"/>
              <w:pageBreakBefore w:val="0"/>
              <w:widowControl w:val="0"/>
              <w:kinsoku/>
              <w:wordWrap/>
              <w:overflowPunct/>
              <w:topLinePunct w:val="0"/>
              <w:autoSpaceDE/>
              <w:autoSpaceDN/>
              <w:bidi w:val="0"/>
              <w:adjustRightInd/>
              <w:snapToGrid/>
              <w:spacing w:line="340" w:lineRule="exact"/>
              <w:ind w:left="24"/>
              <w:textAlignment w:val="auto"/>
              <w:rPr>
                <w:rFonts w:hint="eastAsia" w:ascii="仿宋" w:hAnsi="仿宋" w:eastAsia="仿宋" w:cs="仿宋"/>
                <w:sz w:val="21"/>
                <w:szCs w:val="21"/>
                <w:highlight w:val="none"/>
              </w:rPr>
            </w:pPr>
            <w:r>
              <w:rPr>
                <w:rFonts w:hint="eastAsia" w:ascii="仿宋" w:hAnsi="仿宋" w:eastAsia="仿宋" w:cs="仿宋"/>
                <w:color w:val="383838"/>
                <w:spacing w:val="-1"/>
                <w:sz w:val="21"/>
                <w:szCs w:val="21"/>
                <w:highlight w:val="none"/>
              </w:rPr>
              <w:t>中标合信（北京）认证有限公司</w:t>
            </w:r>
          </w:p>
        </w:tc>
      </w:tr>
    </w:tbl>
    <w:p w14:paraId="3CC49842">
      <w:pPr>
        <w:pStyle w:val="4"/>
        <w:keepNext/>
        <w:keepLines/>
        <w:pageBreakBefore w:val="0"/>
        <w:widowControl w:val="0"/>
        <w:kinsoku/>
        <w:wordWrap/>
        <w:overflowPunct/>
        <w:topLinePunct w:val="0"/>
        <w:autoSpaceDE/>
        <w:autoSpaceDN/>
        <w:bidi w:val="0"/>
        <w:adjustRightInd/>
        <w:snapToGrid/>
        <w:spacing w:before="0" w:after="0" w:line="360" w:lineRule="auto"/>
        <w:ind w:left="0" w:firstLine="1405" w:firstLineChars="5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8"/>
          <w:szCs w:val="28"/>
          <w:highlight w:val="none"/>
          <w:lang w:val="en-US" w:eastAsia="zh-CN" w:bidi="ar-SA"/>
        </w:rPr>
        <w:t>参与实施政府采购节能产品认证机构名录</w:t>
      </w:r>
    </w:p>
    <w:tbl>
      <w:tblPr>
        <w:tblStyle w:val="29"/>
        <w:tblW w:w="8275" w:type="dxa"/>
        <w:tblInd w:w="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5"/>
        <w:gridCol w:w="1077"/>
        <w:gridCol w:w="847"/>
        <w:gridCol w:w="1345"/>
        <w:gridCol w:w="1085"/>
        <w:gridCol w:w="3236"/>
      </w:tblGrid>
      <w:tr w14:paraId="23DE5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trPr>
        <w:tc>
          <w:tcPr>
            <w:tcW w:w="685" w:type="dxa"/>
            <w:vMerge w:val="restart"/>
            <w:tcBorders>
              <w:bottom w:val="nil"/>
            </w:tcBorders>
          </w:tcPr>
          <w:p w14:paraId="21183D2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32C0E54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258B7E4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2E28E48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5AD0B7F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566EABD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2CEB55B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0CAB37B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155E7EF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1F4B1B09">
            <w:pPr>
              <w:pStyle w:val="75"/>
              <w:keepNext w:val="0"/>
              <w:keepLines w:val="0"/>
              <w:pageBreakBefore w:val="0"/>
              <w:widowControl w:val="0"/>
              <w:kinsoku/>
              <w:wordWrap/>
              <w:overflowPunct/>
              <w:topLinePunct w:val="0"/>
              <w:autoSpaceDE/>
              <w:autoSpaceDN/>
              <w:bidi w:val="0"/>
              <w:adjustRightInd/>
              <w:snapToGrid/>
              <w:spacing w:line="340" w:lineRule="exact"/>
              <w:ind w:left="269"/>
              <w:textAlignment w:val="auto"/>
              <w:rPr>
                <w:rFonts w:hint="eastAsia" w:ascii="仿宋" w:hAnsi="仿宋" w:eastAsia="仿宋" w:cs="仿宋"/>
                <w:sz w:val="21"/>
                <w:szCs w:val="21"/>
                <w:highlight w:val="none"/>
              </w:rPr>
            </w:pPr>
            <w:r>
              <w:rPr>
                <w:rFonts w:hint="eastAsia" w:ascii="仿宋" w:hAnsi="仿宋" w:eastAsia="仿宋" w:cs="仿宋"/>
                <w:color w:val="383838"/>
                <w:spacing w:val="-11"/>
                <w:sz w:val="21"/>
                <w:szCs w:val="21"/>
                <w:highlight w:val="none"/>
              </w:rPr>
              <w:t>10</w:t>
            </w:r>
          </w:p>
        </w:tc>
        <w:tc>
          <w:tcPr>
            <w:tcW w:w="1077" w:type="dxa"/>
            <w:vMerge w:val="restart"/>
            <w:tcBorders>
              <w:bottom w:val="nil"/>
            </w:tcBorders>
          </w:tcPr>
          <w:p w14:paraId="47BF9E6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7A59C7A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2910DEC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2557A8A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486B3D0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3381A86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032823F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5AEC30A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7F8E213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27D800A5">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A020618</w:t>
            </w:r>
          </w:p>
        </w:tc>
        <w:tc>
          <w:tcPr>
            <w:tcW w:w="847" w:type="dxa"/>
            <w:vMerge w:val="restart"/>
            <w:tcBorders>
              <w:bottom w:val="nil"/>
            </w:tcBorders>
          </w:tcPr>
          <w:p w14:paraId="72EEC1A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14FC0BD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6731EDB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40077E5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29B6980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221676A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3EEF282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40F70C9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3F7D291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32E0615C">
            <w:pPr>
              <w:pStyle w:val="75"/>
              <w:keepNext w:val="0"/>
              <w:keepLines w:val="0"/>
              <w:pageBreakBefore w:val="0"/>
              <w:widowControl w:val="0"/>
              <w:kinsoku/>
              <w:wordWrap/>
              <w:overflowPunct/>
              <w:topLinePunct w:val="0"/>
              <w:autoSpaceDE/>
              <w:autoSpaceDN/>
              <w:bidi w:val="0"/>
              <w:adjustRightInd/>
              <w:snapToGrid/>
              <w:spacing w:line="340" w:lineRule="exact"/>
              <w:ind w:left="4" w:firstLine="1"/>
              <w:textAlignment w:val="auto"/>
              <w:rPr>
                <w:rFonts w:hint="eastAsia" w:ascii="仿宋" w:hAnsi="仿宋" w:eastAsia="仿宋" w:cs="仿宋"/>
                <w:sz w:val="21"/>
                <w:szCs w:val="21"/>
                <w:highlight w:val="none"/>
              </w:rPr>
            </w:pPr>
            <w:r>
              <w:rPr>
                <w:rFonts w:hint="eastAsia" w:ascii="仿宋" w:hAnsi="仿宋" w:eastAsia="仿宋" w:cs="仿宋"/>
                <w:color w:val="383838"/>
                <w:spacing w:val="27"/>
                <w:sz w:val="21"/>
                <w:szCs w:val="21"/>
                <w:highlight w:val="none"/>
              </w:rPr>
              <w:t>生活用电</w:t>
            </w:r>
            <w:r>
              <w:rPr>
                <w:rFonts w:hint="eastAsia" w:ascii="仿宋" w:hAnsi="仿宋" w:eastAsia="仿宋" w:cs="仿宋"/>
                <w:color w:val="383838"/>
                <w:sz w:val="21"/>
                <w:szCs w:val="21"/>
                <w:highlight w:val="none"/>
              </w:rPr>
              <w:t>器</w:t>
            </w:r>
          </w:p>
        </w:tc>
        <w:tc>
          <w:tcPr>
            <w:tcW w:w="1345" w:type="dxa"/>
          </w:tcPr>
          <w:p w14:paraId="6FF681E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1833CABB">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A0206180101</w:t>
            </w:r>
          </w:p>
        </w:tc>
        <w:tc>
          <w:tcPr>
            <w:tcW w:w="1085" w:type="dxa"/>
          </w:tcPr>
          <w:p w14:paraId="215FF9D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211AC74A">
            <w:pPr>
              <w:pStyle w:val="75"/>
              <w:keepNext w:val="0"/>
              <w:keepLines w:val="0"/>
              <w:pageBreakBefore w:val="0"/>
              <w:widowControl w:val="0"/>
              <w:kinsoku/>
              <w:wordWrap/>
              <w:overflowPunct/>
              <w:topLinePunct w:val="0"/>
              <w:autoSpaceDE/>
              <w:autoSpaceDN/>
              <w:bidi w:val="0"/>
              <w:adjustRightInd/>
              <w:snapToGrid/>
              <w:spacing w:line="340" w:lineRule="exact"/>
              <w:ind w:left="28"/>
              <w:textAlignment w:val="auto"/>
              <w:rPr>
                <w:rFonts w:hint="eastAsia" w:ascii="仿宋" w:hAnsi="仿宋" w:eastAsia="仿宋" w:cs="仿宋"/>
                <w:sz w:val="21"/>
                <w:szCs w:val="21"/>
                <w:highlight w:val="none"/>
              </w:rPr>
            </w:pPr>
            <w:r>
              <w:rPr>
                <w:rFonts w:hint="eastAsia" w:ascii="仿宋" w:hAnsi="仿宋" w:eastAsia="仿宋" w:cs="仿宋"/>
                <w:color w:val="383838"/>
                <w:spacing w:val="-11"/>
                <w:sz w:val="21"/>
                <w:szCs w:val="21"/>
                <w:highlight w:val="none"/>
              </w:rPr>
              <w:t>电冰箱</w:t>
            </w:r>
          </w:p>
        </w:tc>
        <w:tc>
          <w:tcPr>
            <w:tcW w:w="3236" w:type="dxa"/>
          </w:tcPr>
          <w:p w14:paraId="5DE5EE65">
            <w:pPr>
              <w:pStyle w:val="75"/>
              <w:keepNext w:val="0"/>
              <w:keepLines w:val="0"/>
              <w:pageBreakBefore w:val="0"/>
              <w:widowControl w:val="0"/>
              <w:kinsoku/>
              <w:wordWrap/>
              <w:overflowPunct/>
              <w:topLinePunct w:val="0"/>
              <w:autoSpaceDE/>
              <w:autoSpaceDN/>
              <w:bidi w:val="0"/>
              <w:adjustRightInd/>
              <w:snapToGrid/>
              <w:spacing w:line="340" w:lineRule="exact"/>
              <w:ind w:left="25"/>
              <w:textAlignment w:val="auto"/>
              <w:rPr>
                <w:rFonts w:hint="eastAsia" w:ascii="仿宋" w:hAnsi="仿宋" w:eastAsia="仿宋" w:cs="仿宋"/>
                <w:sz w:val="21"/>
                <w:szCs w:val="21"/>
                <w:highlight w:val="none"/>
              </w:rPr>
            </w:pPr>
            <w:r>
              <w:rPr>
                <w:rFonts w:hint="eastAsia" w:ascii="仿宋" w:hAnsi="仿宋" w:eastAsia="仿宋" w:cs="仿宋"/>
                <w:color w:val="383838"/>
                <w:spacing w:val="-3"/>
                <w:sz w:val="21"/>
                <w:szCs w:val="21"/>
                <w:highlight w:val="none"/>
              </w:rPr>
              <w:t>中国质量认证中心</w:t>
            </w:r>
          </w:p>
          <w:p w14:paraId="21AD66E1">
            <w:pPr>
              <w:pStyle w:val="75"/>
              <w:keepNext w:val="0"/>
              <w:keepLines w:val="0"/>
              <w:pageBreakBefore w:val="0"/>
              <w:widowControl w:val="0"/>
              <w:kinsoku/>
              <w:wordWrap/>
              <w:overflowPunct/>
              <w:topLinePunct w:val="0"/>
              <w:autoSpaceDE/>
              <w:autoSpaceDN/>
              <w:bidi w:val="0"/>
              <w:adjustRightInd/>
              <w:snapToGrid/>
              <w:spacing w:line="340" w:lineRule="exact"/>
              <w:ind w:left="8"/>
              <w:textAlignment w:val="auto"/>
              <w:rPr>
                <w:rFonts w:hint="eastAsia" w:ascii="仿宋" w:hAnsi="仿宋" w:eastAsia="仿宋" w:cs="仿宋"/>
                <w:sz w:val="21"/>
                <w:szCs w:val="21"/>
                <w:highlight w:val="none"/>
              </w:rPr>
            </w:pPr>
            <w:r>
              <w:rPr>
                <w:rFonts w:hint="eastAsia" w:ascii="仿宋" w:hAnsi="仿宋" w:eastAsia="仿宋" w:cs="仿宋"/>
                <w:color w:val="383838"/>
                <w:spacing w:val="2"/>
                <w:sz w:val="21"/>
                <w:szCs w:val="21"/>
                <w:highlight w:val="none"/>
              </w:rPr>
              <w:t>威凯认证检测有限公司</w:t>
            </w:r>
          </w:p>
          <w:p w14:paraId="0C11E408">
            <w:pPr>
              <w:pStyle w:val="75"/>
              <w:keepNext w:val="0"/>
              <w:keepLines w:val="0"/>
              <w:pageBreakBefore w:val="0"/>
              <w:widowControl w:val="0"/>
              <w:kinsoku/>
              <w:wordWrap/>
              <w:overflowPunct/>
              <w:topLinePunct w:val="0"/>
              <w:autoSpaceDE/>
              <w:autoSpaceDN/>
              <w:bidi w:val="0"/>
              <w:adjustRightInd/>
              <w:snapToGrid/>
              <w:spacing w:line="340" w:lineRule="exact"/>
              <w:ind w:left="25"/>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中家院（北京）检测认证有限公司</w:t>
            </w:r>
          </w:p>
        </w:tc>
      </w:tr>
      <w:tr w14:paraId="5B65A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2" w:hRule="atLeast"/>
        </w:trPr>
        <w:tc>
          <w:tcPr>
            <w:tcW w:w="685" w:type="dxa"/>
            <w:vMerge w:val="continue"/>
            <w:tcBorders>
              <w:top w:val="nil"/>
              <w:bottom w:val="nil"/>
            </w:tcBorders>
          </w:tcPr>
          <w:p w14:paraId="3D8A175E">
            <w:pPr>
              <w:rPr>
                <w:highlight w:val="none"/>
              </w:rPr>
            </w:pPr>
          </w:p>
        </w:tc>
        <w:tc>
          <w:tcPr>
            <w:tcW w:w="1077" w:type="dxa"/>
            <w:vMerge w:val="continue"/>
            <w:tcBorders>
              <w:top w:val="nil"/>
              <w:bottom w:val="nil"/>
            </w:tcBorders>
          </w:tcPr>
          <w:p w14:paraId="6748AAA3">
            <w:pPr>
              <w:rPr>
                <w:highlight w:val="none"/>
              </w:rPr>
            </w:pPr>
          </w:p>
        </w:tc>
        <w:tc>
          <w:tcPr>
            <w:tcW w:w="847" w:type="dxa"/>
            <w:vMerge w:val="continue"/>
            <w:tcBorders>
              <w:top w:val="nil"/>
              <w:bottom w:val="nil"/>
            </w:tcBorders>
          </w:tcPr>
          <w:p w14:paraId="703239D4">
            <w:pPr>
              <w:rPr>
                <w:highlight w:val="none"/>
              </w:rPr>
            </w:pPr>
          </w:p>
        </w:tc>
        <w:tc>
          <w:tcPr>
            <w:tcW w:w="1345" w:type="dxa"/>
          </w:tcPr>
          <w:p w14:paraId="1ACDF82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6E5BA66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041989F9">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A0206180203</w:t>
            </w:r>
          </w:p>
        </w:tc>
        <w:tc>
          <w:tcPr>
            <w:tcW w:w="1085" w:type="dxa"/>
          </w:tcPr>
          <w:p w14:paraId="725330E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4066D87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12EBA196">
            <w:pPr>
              <w:pStyle w:val="75"/>
              <w:keepNext w:val="0"/>
              <w:keepLines w:val="0"/>
              <w:pageBreakBefore w:val="0"/>
              <w:widowControl w:val="0"/>
              <w:kinsoku/>
              <w:wordWrap/>
              <w:overflowPunct/>
              <w:topLinePunct w:val="0"/>
              <w:autoSpaceDE/>
              <w:autoSpaceDN/>
              <w:bidi w:val="0"/>
              <w:adjustRightInd/>
              <w:snapToGrid/>
              <w:spacing w:line="340" w:lineRule="exact"/>
              <w:ind w:left="12"/>
              <w:textAlignment w:val="auto"/>
              <w:rPr>
                <w:rFonts w:hint="eastAsia" w:ascii="仿宋" w:hAnsi="仿宋" w:eastAsia="仿宋" w:cs="仿宋"/>
                <w:sz w:val="21"/>
                <w:szCs w:val="21"/>
                <w:highlight w:val="none"/>
              </w:rPr>
            </w:pPr>
            <w:r>
              <w:rPr>
                <w:rFonts w:hint="eastAsia" w:ascii="仿宋" w:hAnsi="仿宋" w:eastAsia="仿宋" w:cs="仿宋"/>
                <w:color w:val="383838"/>
                <w:spacing w:val="-3"/>
                <w:sz w:val="21"/>
                <w:szCs w:val="21"/>
                <w:highlight w:val="none"/>
              </w:rPr>
              <w:t>空调机</w:t>
            </w:r>
          </w:p>
        </w:tc>
        <w:tc>
          <w:tcPr>
            <w:tcW w:w="3236" w:type="dxa"/>
          </w:tcPr>
          <w:p w14:paraId="3A33AB19">
            <w:pPr>
              <w:pStyle w:val="75"/>
              <w:keepNext w:val="0"/>
              <w:keepLines w:val="0"/>
              <w:pageBreakBefore w:val="0"/>
              <w:widowControl w:val="0"/>
              <w:kinsoku/>
              <w:wordWrap/>
              <w:overflowPunct/>
              <w:topLinePunct w:val="0"/>
              <w:autoSpaceDE/>
              <w:autoSpaceDN/>
              <w:bidi w:val="0"/>
              <w:adjustRightInd/>
              <w:snapToGrid/>
              <w:spacing w:line="340" w:lineRule="exact"/>
              <w:ind w:left="25"/>
              <w:textAlignment w:val="auto"/>
              <w:rPr>
                <w:rFonts w:hint="eastAsia" w:ascii="仿宋" w:hAnsi="仿宋" w:eastAsia="仿宋" w:cs="仿宋"/>
                <w:sz w:val="21"/>
                <w:szCs w:val="21"/>
                <w:highlight w:val="none"/>
              </w:rPr>
            </w:pPr>
            <w:r>
              <w:rPr>
                <w:rFonts w:hint="eastAsia" w:ascii="仿宋" w:hAnsi="仿宋" w:eastAsia="仿宋" w:cs="仿宋"/>
                <w:color w:val="383838"/>
                <w:spacing w:val="-3"/>
                <w:sz w:val="21"/>
                <w:szCs w:val="21"/>
                <w:highlight w:val="none"/>
              </w:rPr>
              <w:t>中国质量认证中心</w:t>
            </w:r>
          </w:p>
          <w:p w14:paraId="0E918AA8">
            <w:pPr>
              <w:pStyle w:val="75"/>
              <w:keepNext w:val="0"/>
              <w:keepLines w:val="0"/>
              <w:pageBreakBefore w:val="0"/>
              <w:widowControl w:val="0"/>
              <w:kinsoku/>
              <w:wordWrap/>
              <w:overflowPunct/>
              <w:topLinePunct w:val="0"/>
              <w:autoSpaceDE/>
              <w:autoSpaceDN/>
              <w:bidi w:val="0"/>
              <w:adjustRightInd/>
              <w:snapToGrid/>
              <w:spacing w:line="340" w:lineRule="exact"/>
              <w:ind w:left="8"/>
              <w:textAlignment w:val="auto"/>
              <w:rPr>
                <w:rFonts w:hint="eastAsia" w:ascii="仿宋" w:hAnsi="仿宋" w:eastAsia="仿宋" w:cs="仿宋"/>
                <w:sz w:val="21"/>
                <w:szCs w:val="21"/>
                <w:highlight w:val="none"/>
              </w:rPr>
            </w:pPr>
            <w:r>
              <w:rPr>
                <w:rFonts w:hint="eastAsia" w:ascii="仿宋" w:hAnsi="仿宋" w:eastAsia="仿宋" w:cs="仿宋"/>
                <w:color w:val="383838"/>
                <w:spacing w:val="2"/>
                <w:sz w:val="21"/>
                <w:szCs w:val="21"/>
                <w:highlight w:val="none"/>
              </w:rPr>
              <w:t>威凯认证检测有限公司</w:t>
            </w:r>
          </w:p>
          <w:p w14:paraId="05F0D487">
            <w:pPr>
              <w:pStyle w:val="75"/>
              <w:keepNext w:val="0"/>
              <w:keepLines w:val="0"/>
              <w:pageBreakBefore w:val="0"/>
              <w:widowControl w:val="0"/>
              <w:kinsoku/>
              <w:wordWrap/>
              <w:overflowPunct/>
              <w:topLinePunct w:val="0"/>
              <w:autoSpaceDE/>
              <w:autoSpaceDN/>
              <w:bidi w:val="0"/>
              <w:adjustRightInd/>
              <w:snapToGrid/>
              <w:spacing w:line="340" w:lineRule="exact"/>
              <w:ind w:left="9" w:right="489" w:firstLine="16"/>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中家院（北京）检测认证有限公司</w:t>
            </w:r>
            <w:r>
              <w:rPr>
                <w:rFonts w:hint="eastAsia" w:ascii="仿宋" w:hAnsi="仿宋" w:eastAsia="仿宋" w:cs="仿宋"/>
                <w:color w:val="383838"/>
                <w:spacing w:val="2"/>
                <w:sz w:val="21"/>
                <w:szCs w:val="21"/>
                <w:highlight w:val="none"/>
              </w:rPr>
              <w:t>合肥通用机械产品认证有限公司</w:t>
            </w:r>
          </w:p>
        </w:tc>
      </w:tr>
      <w:tr w14:paraId="65B73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685" w:type="dxa"/>
            <w:vMerge w:val="continue"/>
            <w:tcBorders>
              <w:top w:val="nil"/>
              <w:bottom w:val="nil"/>
            </w:tcBorders>
          </w:tcPr>
          <w:p w14:paraId="3E8ECAF1">
            <w:pPr>
              <w:rPr>
                <w:highlight w:val="none"/>
              </w:rPr>
            </w:pPr>
          </w:p>
        </w:tc>
        <w:tc>
          <w:tcPr>
            <w:tcW w:w="1077" w:type="dxa"/>
            <w:vMerge w:val="continue"/>
            <w:tcBorders>
              <w:top w:val="nil"/>
              <w:bottom w:val="nil"/>
            </w:tcBorders>
          </w:tcPr>
          <w:p w14:paraId="5A37D118">
            <w:pPr>
              <w:rPr>
                <w:highlight w:val="none"/>
              </w:rPr>
            </w:pPr>
          </w:p>
        </w:tc>
        <w:tc>
          <w:tcPr>
            <w:tcW w:w="847" w:type="dxa"/>
            <w:vMerge w:val="continue"/>
            <w:tcBorders>
              <w:top w:val="nil"/>
              <w:bottom w:val="nil"/>
            </w:tcBorders>
          </w:tcPr>
          <w:p w14:paraId="43758D58">
            <w:pPr>
              <w:rPr>
                <w:highlight w:val="none"/>
              </w:rPr>
            </w:pPr>
          </w:p>
        </w:tc>
        <w:tc>
          <w:tcPr>
            <w:tcW w:w="1345" w:type="dxa"/>
          </w:tcPr>
          <w:p w14:paraId="699918A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100AC551">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A0206180301</w:t>
            </w:r>
          </w:p>
        </w:tc>
        <w:tc>
          <w:tcPr>
            <w:tcW w:w="1085" w:type="dxa"/>
          </w:tcPr>
          <w:p w14:paraId="0546655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37EC6666">
            <w:pPr>
              <w:pStyle w:val="75"/>
              <w:keepNext w:val="0"/>
              <w:keepLines w:val="0"/>
              <w:pageBreakBefore w:val="0"/>
              <w:widowControl w:val="0"/>
              <w:kinsoku/>
              <w:wordWrap/>
              <w:overflowPunct/>
              <w:topLinePunct w:val="0"/>
              <w:autoSpaceDE/>
              <w:autoSpaceDN/>
              <w:bidi w:val="0"/>
              <w:adjustRightInd/>
              <w:snapToGrid/>
              <w:spacing w:line="340" w:lineRule="exact"/>
              <w:ind w:left="6"/>
              <w:textAlignment w:val="auto"/>
              <w:rPr>
                <w:rFonts w:hint="eastAsia" w:ascii="仿宋" w:hAnsi="仿宋" w:eastAsia="仿宋" w:cs="仿宋"/>
                <w:sz w:val="21"/>
                <w:szCs w:val="21"/>
                <w:highlight w:val="none"/>
              </w:rPr>
            </w:pPr>
            <w:r>
              <w:rPr>
                <w:rFonts w:hint="eastAsia" w:ascii="仿宋" w:hAnsi="仿宋" w:eastAsia="仿宋" w:cs="仿宋"/>
                <w:color w:val="383838"/>
                <w:spacing w:val="-1"/>
                <w:sz w:val="21"/>
                <w:szCs w:val="21"/>
                <w:highlight w:val="none"/>
              </w:rPr>
              <w:t>洗衣机</w:t>
            </w:r>
          </w:p>
        </w:tc>
        <w:tc>
          <w:tcPr>
            <w:tcW w:w="3236" w:type="dxa"/>
          </w:tcPr>
          <w:p w14:paraId="5E78DB33">
            <w:pPr>
              <w:pStyle w:val="75"/>
              <w:keepNext w:val="0"/>
              <w:keepLines w:val="0"/>
              <w:pageBreakBefore w:val="0"/>
              <w:widowControl w:val="0"/>
              <w:kinsoku/>
              <w:wordWrap/>
              <w:overflowPunct/>
              <w:topLinePunct w:val="0"/>
              <w:autoSpaceDE/>
              <w:autoSpaceDN/>
              <w:bidi w:val="0"/>
              <w:adjustRightInd/>
              <w:snapToGrid/>
              <w:spacing w:line="340" w:lineRule="exact"/>
              <w:ind w:left="25"/>
              <w:textAlignment w:val="auto"/>
              <w:rPr>
                <w:rFonts w:hint="eastAsia" w:ascii="仿宋" w:hAnsi="仿宋" w:eastAsia="仿宋" w:cs="仿宋"/>
                <w:sz w:val="21"/>
                <w:szCs w:val="21"/>
                <w:highlight w:val="none"/>
              </w:rPr>
            </w:pPr>
            <w:r>
              <w:rPr>
                <w:rFonts w:hint="eastAsia" w:ascii="仿宋" w:hAnsi="仿宋" w:eastAsia="仿宋" w:cs="仿宋"/>
                <w:color w:val="383838"/>
                <w:spacing w:val="-3"/>
                <w:sz w:val="21"/>
                <w:szCs w:val="21"/>
                <w:highlight w:val="none"/>
              </w:rPr>
              <w:t>中国质量认证中心</w:t>
            </w:r>
          </w:p>
          <w:p w14:paraId="5EC57A71">
            <w:pPr>
              <w:pStyle w:val="75"/>
              <w:keepNext w:val="0"/>
              <w:keepLines w:val="0"/>
              <w:pageBreakBefore w:val="0"/>
              <w:widowControl w:val="0"/>
              <w:kinsoku/>
              <w:wordWrap/>
              <w:overflowPunct/>
              <w:topLinePunct w:val="0"/>
              <w:autoSpaceDE/>
              <w:autoSpaceDN/>
              <w:bidi w:val="0"/>
              <w:adjustRightInd/>
              <w:snapToGrid/>
              <w:spacing w:line="340" w:lineRule="exact"/>
              <w:ind w:left="8"/>
              <w:textAlignment w:val="auto"/>
              <w:rPr>
                <w:rFonts w:hint="eastAsia" w:ascii="仿宋" w:hAnsi="仿宋" w:eastAsia="仿宋" w:cs="仿宋"/>
                <w:sz w:val="21"/>
                <w:szCs w:val="21"/>
                <w:highlight w:val="none"/>
              </w:rPr>
            </w:pPr>
            <w:r>
              <w:rPr>
                <w:rFonts w:hint="eastAsia" w:ascii="仿宋" w:hAnsi="仿宋" w:eastAsia="仿宋" w:cs="仿宋"/>
                <w:color w:val="383838"/>
                <w:spacing w:val="2"/>
                <w:sz w:val="21"/>
                <w:szCs w:val="21"/>
                <w:highlight w:val="none"/>
              </w:rPr>
              <w:t>威凯认证检测有限公司</w:t>
            </w:r>
          </w:p>
          <w:p w14:paraId="3663C930">
            <w:pPr>
              <w:pStyle w:val="75"/>
              <w:keepNext w:val="0"/>
              <w:keepLines w:val="0"/>
              <w:pageBreakBefore w:val="0"/>
              <w:widowControl w:val="0"/>
              <w:kinsoku/>
              <w:wordWrap/>
              <w:overflowPunct/>
              <w:topLinePunct w:val="0"/>
              <w:autoSpaceDE/>
              <w:autoSpaceDN/>
              <w:bidi w:val="0"/>
              <w:adjustRightInd/>
              <w:snapToGrid/>
              <w:spacing w:line="340" w:lineRule="exact"/>
              <w:ind w:left="25"/>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中家院（北京）检测认证有限公司</w:t>
            </w:r>
          </w:p>
        </w:tc>
      </w:tr>
      <w:tr w14:paraId="52E18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0" w:hRule="atLeast"/>
        </w:trPr>
        <w:tc>
          <w:tcPr>
            <w:tcW w:w="685" w:type="dxa"/>
            <w:vMerge w:val="continue"/>
            <w:tcBorders>
              <w:top w:val="nil"/>
            </w:tcBorders>
          </w:tcPr>
          <w:p w14:paraId="3D83B9D8">
            <w:pPr>
              <w:rPr>
                <w:highlight w:val="none"/>
              </w:rPr>
            </w:pPr>
          </w:p>
        </w:tc>
        <w:tc>
          <w:tcPr>
            <w:tcW w:w="1077" w:type="dxa"/>
            <w:vMerge w:val="continue"/>
            <w:tcBorders>
              <w:top w:val="nil"/>
            </w:tcBorders>
          </w:tcPr>
          <w:p w14:paraId="04579360">
            <w:pPr>
              <w:rPr>
                <w:highlight w:val="none"/>
              </w:rPr>
            </w:pPr>
          </w:p>
        </w:tc>
        <w:tc>
          <w:tcPr>
            <w:tcW w:w="847" w:type="dxa"/>
            <w:vMerge w:val="continue"/>
            <w:tcBorders>
              <w:top w:val="nil"/>
            </w:tcBorders>
          </w:tcPr>
          <w:p w14:paraId="58C5D0A2">
            <w:pPr>
              <w:rPr>
                <w:highlight w:val="none"/>
              </w:rPr>
            </w:pPr>
          </w:p>
        </w:tc>
        <w:tc>
          <w:tcPr>
            <w:tcW w:w="1345" w:type="dxa"/>
          </w:tcPr>
          <w:p w14:paraId="16F6A26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0BABC0D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2906AC9B">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A02061808</w:t>
            </w:r>
          </w:p>
        </w:tc>
        <w:tc>
          <w:tcPr>
            <w:tcW w:w="1085" w:type="dxa"/>
          </w:tcPr>
          <w:p w14:paraId="0A53DA9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6682DCC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6C8B845F">
            <w:pPr>
              <w:pStyle w:val="75"/>
              <w:keepNext w:val="0"/>
              <w:keepLines w:val="0"/>
              <w:pageBreakBefore w:val="0"/>
              <w:widowControl w:val="0"/>
              <w:kinsoku/>
              <w:wordWrap/>
              <w:overflowPunct/>
              <w:topLinePunct w:val="0"/>
              <w:autoSpaceDE/>
              <w:autoSpaceDN/>
              <w:bidi w:val="0"/>
              <w:adjustRightInd/>
              <w:snapToGrid/>
              <w:spacing w:line="340" w:lineRule="exact"/>
              <w:ind w:left="10"/>
              <w:textAlignment w:val="auto"/>
              <w:rPr>
                <w:rFonts w:hint="eastAsia" w:ascii="仿宋" w:hAnsi="仿宋" w:eastAsia="仿宋" w:cs="仿宋"/>
                <w:sz w:val="21"/>
                <w:szCs w:val="21"/>
                <w:highlight w:val="none"/>
              </w:rPr>
            </w:pPr>
            <w:r>
              <w:rPr>
                <w:rFonts w:hint="eastAsia" w:ascii="仿宋" w:hAnsi="仿宋" w:eastAsia="仿宋" w:cs="仿宋"/>
                <w:color w:val="383838"/>
                <w:spacing w:val="-3"/>
                <w:sz w:val="21"/>
                <w:szCs w:val="21"/>
                <w:highlight w:val="none"/>
              </w:rPr>
              <w:t>热水器</w:t>
            </w:r>
          </w:p>
        </w:tc>
        <w:tc>
          <w:tcPr>
            <w:tcW w:w="3236" w:type="dxa"/>
          </w:tcPr>
          <w:p w14:paraId="5283E227">
            <w:pPr>
              <w:pStyle w:val="75"/>
              <w:keepNext w:val="0"/>
              <w:keepLines w:val="0"/>
              <w:pageBreakBefore w:val="0"/>
              <w:widowControl w:val="0"/>
              <w:kinsoku/>
              <w:wordWrap/>
              <w:overflowPunct/>
              <w:topLinePunct w:val="0"/>
              <w:autoSpaceDE/>
              <w:autoSpaceDN/>
              <w:bidi w:val="0"/>
              <w:adjustRightInd/>
              <w:snapToGrid/>
              <w:spacing w:line="340" w:lineRule="exact"/>
              <w:ind w:left="25"/>
              <w:textAlignment w:val="auto"/>
              <w:rPr>
                <w:rFonts w:hint="eastAsia" w:ascii="仿宋" w:hAnsi="仿宋" w:eastAsia="仿宋" w:cs="仿宋"/>
                <w:sz w:val="21"/>
                <w:szCs w:val="21"/>
                <w:highlight w:val="none"/>
              </w:rPr>
            </w:pPr>
            <w:r>
              <w:rPr>
                <w:rFonts w:hint="eastAsia" w:ascii="仿宋" w:hAnsi="仿宋" w:eastAsia="仿宋" w:cs="仿宋"/>
                <w:color w:val="383838"/>
                <w:spacing w:val="-3"/>
                <w:sz w:val="21"/>
                <w:szCs w:val="21"/>
                <w:highlight w:val="none"/>
              </w:rPr>
              <w:t>中国质量认证中心</w:t>
            </w:r>
          </w:p>
          <w:p w14:paraId="6EE9D7F4">
            <w:pPr>
              <w:pStyle w:val="75"/>
              <w:keepNext w:val="0"/>
              <w:keepLines w:val="0"/>
              <w:pageBreakBefore w:val="0"/>
              <w:widowControl w:val="0"/>
              <w:kinsoku/>
              <w:wordWrap/>
              <w:overflowPunct/>
              <w:topLinePunct w:val="0"/>
              <w:autoSpaceDE/>
              <w:autoSpaceDN/>
              <w:bidi w:val="0"/>
              <w:adjustRightInd/>
              <w:snapToGrid/>
              <w:spacing w:line="340" w:lineRule="exact"/>
              <w:ind w:left="8"/>
              <w:textAlignment w:val="auto"/>
              <w:rPr>
                <w:rFonts w:hint="eastAsia" w:ascii="仿宋" w:hAnsi="仿宋" w:eastAsia="仿宋" w:cs="仿宋"/>
                <w:sz w:val="21"/>
                <w:szCs w:val="21"/>
                <w:highlight w:val="none"/>
              </w:rPr>
            </w:pPr>
            <w:r>
              <w:rPr>
                <w:rFonts w:hint="eastAsia" w:ascii="仿宋" w:hAnsi="仿宋" w:eastAsia="仿宋" w:cs="仿宋"/>
                <w:color w:val="383838"/>
                <w:spacing w:val="2"/>
                <w:sz w:val="21"/>
                <w:szCs w:val="21"/>
                <w:highlight w:val="none"/>
              </w:rPr>
              <w:t>威凯认证检测有限公司</w:t>
            </w:r>
          </w:p>
          <w:p w14:paraId="03599F59">
            <w:pPr>
              <w:pStyle w:val="75"/>
              <w:keepNext w:val="0"/>
              <w:keepLines w:val="0"/>
              <w:pageBreakBefore w:val="0"/>
              <w:widowControl w:val="0"/>
              <w:kinsoku/>
              <w:wordWrap/>
              <w:overflowPunct/>
              <w:topLinePunct w:val="0"/>
              <w:autoSpaceDE/>
              <w:autoSpaceDN/>
              <w:bidi w:val="0"/>
              <w:adjustRightInd/>
              <w:snapToGrid/>
              <w:spacing w:line="340" w:lineRule="exact"/>
              <w:ind w:left="25"/>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中家院（北京）检测认证有限公司</w:t>
            </w:r>
          </w:p>
          <w:p w14:paraId="4E4AA1EB">
            <w:pPr>
              <w:pStyle w:val="75"/>
              <w:keepNext w:val="0"/>
              <w:keepLines w:val="0"/>
              <w:pageBreakBefore w:val="0"/>
              <w:widowControl w:val="0"/>
              <w:kinsoku/>
              <w:wordWrap/>
              <w:overflowPunct/>
              <w:topLinePunct w:val="0"/>
              <w:autoSpaceDE/>
              <w:autoSpaceDN/>
              <w:bidi w:val="0"/>
              <w:adjustRightInd/>
              <w:snapToGrid/>
              <w:spacing w:line="340" w:lineRule="exact"/>
              <w:ind w:left="20" w:right="3" w:hanging="11"/>
              <w:textAlignment w:val="auto"/>
              <w:rPr>
                <w:rFonts w:hint="eastAsia" w:ascii="仿宋" w:hAnsi="仿宋" w:eastAsia="仿宋" w:cs="仿宋"/>
                <w:sz w:val="21"/>
                <w:szCs w:val="21"/>
                <w:highlight w:val="none"/>
              </w:rPr>
            </w:pPr>
            <w:r>
              <w:rPr>
                <w:rFonts w:hint="eastAsia" w:ascii="仿宋" w:hAnsi="仿宋" w:eastAsia="仿宋" w:cs="仿宋"/>
                <w:color w:val="383838"/>
                <w:spacing w:val="1"/>
                <w:sz w:val="21"/>
                <w:szCs w:val="21"/>
                <w:highlight w:val="none"/>
              </w:rPr>
              <w:t>合肥通用机械产品认证有限公司</w:t>
            </w:r>
            <w:r>
              <w:rPr>
                <w:rFonts w:hint="eastAsia" w:ascii="仿宋" w:hAnsi="仿宋" w:eastAsia="仿宋" w:cs="仿宋"/>
                <w:color w:val="383838"/>
                <w:spacing w:val="-46"/>
                <w:sz w:val="21"/>
                <w:szCs w:val="21"/>
                <w:highlight w:val="none"/>
              </w:rPr>
              <w:t xml:space="preserve"> </w:t>
            </w:r>
            <w:r>
              <w:rPr>
                <w:rFonts w:hint="eastAsia" w:ascii="仿宋" w:hAnsi="仿宋" w:eastAsia="仿宋" w:cs="仿宋"/>
                <w:color w:val="383838"/>
                <w:spacing w:val="1"/>
                <w:sz w:val="21"/>
                <w:szCs w:val="21"/>
                <w:highlight w:val="none"/>
              </w:rPr>
              <w:t>(范围仅</w:t>
            </w:r>
            <w:r>
              <w:rPr>
                <w:rFonts w:hint="eastAsia" w:ascii="仿宋" w:hAnsi="仿宋" w:eastAsia="仿宋" w:cs="仿宋"/>
                <w:color w:val="383838"/>
                <w:sz w:val="21"/>
                <w:szCs w:val="21"/>
                <w:highlight w:val="none"/>
              </w:rPr>
              <w:t>限于“热泵热水器”)</w:t>
            </w:r>
          </w:p>
        </w:tc>
      </w:tr>
      <w:tr w14:paraId="2FB51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685" w:type="dxa"/>
          </w:tcPr>
          <w:p w14:paraId="10FF743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0CB04CD2">
            <w:pPr>
              <w:pStyle w:val="75"/>
              <w:keepNext w:val="0"/>
              <w:keepLines w:val="0"/>
              <w:pageBreakBefore w:val="0"/>
              <w:widowControl w:val="0"/>
              <w:kinsoku/>
              <w:wordWrap/>
              <w:overflowPunct/>
              <w:topLinePunct w:val="0"/>
              <w:autoSpaceDE/>
              <w:autoSpaceDN/>
              <w:bidi w:val="0"/>
              <w:adjustRightInd/>
              <w:snapToGrid/>
              <w:spacing w:line="340" w:lineRule="exact"/>
              <w:ind w:left="269"/>
              <w:textAlignment w:val="auto"/>
              <w:rPr>
                <w:rFonts w:hint="eastAsia" w:ascii="仿宋" w:hAnsi="仿宋" w:eastAsia="仿宋" w:cs="仿宋"/>
                <w:sz w:val="21"/>
                <w:szCs w:val="21"/>
                <w:highlight w:val="none"/>
              </w:rPr>
            </w:pPr>
            <w:r>
              <w:rPr>
                <w:rFonts w:hint="eastAsia" w:ascii="仿宋" w:hAnsi="仿宋" w:eastAsia="仿宋" w:cs="仿宋"/>
                <w:color w:val="383838"/>
                <w:spacing w:val="-11"/>
                <w:sz w:val="21"/>
                <w:szCs w:val="21"/>
                <w:highlight w:val="none"/>
              </w:rPr>
              <w:t>11</w:t>
            </w:r>
          </w:p>
        </w:tc>
        <w:tc>
          <w:tcPr>
            <w:tcW w:w="1077" w:type="dxa"/>
          </w:tcPr>
          <w:p w14:paraId="66AAFE0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73248B7C">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A020619</w:t>
            </w:r>
          </w:p>
        </w:tc>
        <w:tc>
          <w:tcPr>
            <w:tcW w:w="847" w:type="dxa"/>
          </w:tcPr>
          <w:p w14:paraId="668FAF6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300139F5">
            <w:pPr>
              <w:pStyle w:val="75"/>
              <w:keepNext w:val="0"/>
              <w:keepLines w:val="0"/>
              <w:pageBreakBefore w:val="0"/>
              <w:widowControl w:val="0"/>
              <w:kinsoku/>
              <w:wordWrap/>
              <w:overflowPunct/>
              <w:topLinePunct w:val="0"/>
              <w:autoSpaceDE/>
              <w:autoSpaceDN/>
              <w:bidi w:val="0"/>
              <w:adjustRightInd/>
              <w:snapToGrid/>
              <w:spacing w:line="340" w:lineRule="exact"/>
              <w:ind w:left="9"/>
              <w:textAlignment w:val="auto"/>
              <w:rPr>
                <w:rFonts w:hint="eastAsia" w:ascii="仿宋" w:hAnsi="仿宋" w:eastAsia="仿宋" w:cs="仿宋"/>
                <w:sz w:val="21"/>
                <w:szCs w:val="21"/>
                <w:highlight w:val="none"/>
              </w:rPr>
            </w:pPr>
            <w:r>
              <w:rPr>
                <w:rFonts w:hint="eastAsia" w:ascii="仿宋" w:hAnsi="仿宋" w:eastAsia="仿宋" w:cs="仿宋"/>
                <w:color w:val="383838"/>
                <w:spacing w:val="-2"/>
                <w:sz w:val="21"/>
                <w:szCs w:val="21"/>
                <w:highlight w:val="none"/>
              </w:rPr>
              <w:t>照明设备</w:t>
            </w:r>
          </w:p>
        </w:tc>
        <w:tc>
          <w:tcPr>
            <w:tcW w:w="1345" w:type="dxa"/>
          </w:tcPr>
          <w:p w14:paraId="63075BF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85" w:type="dxa"/>
          </w:tcPr>
          <w:p w14:paraId="255DC96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3236" w:type="dxa"/>
          </w:tcPr>
          <w:p w14:paraId="077AFB64">
            <w:pPr>
              <w:pStyle w:val="75"/>
              <w:keepNext w:val="0"/>
              <w:keepLines w:val="0"/>
              <w:pageBreakBefore w:val="0"/>
              <w:widowControl w:val="0"/>
              <w:kinsoku/>
              <w:wordWrap/>
              <w:overflowPunct/>
              <w:topLinePunct w:val="0"/>
              <w:autoSpaceDE/>
              <w:autoSpaceDN/>
              <w:bidi w:val="0"/>
              <w:adjustRightInd/>
              <w:snapToGrid/>
              <w:spacing w:line="340" w:lineRule="exact"/>
              <w:ind w:left="25"/>
              <w:textAlignment w:val="auto"/>
              <w:rPr>
                <w:rFonts w:hint="eastAsia" w:ascii="仿宋" w:hAnsi="仿宋" w:eastAsia="仿宋" w:cs="仿宋"/>
                <w:sz w:val="21"/>
                <w:szCs w:val="21"/>
                <w:highlight w:val="none"/>
              </w:rPr>
            </w:pPr>
            <w:r>
              <w:rPr>
                <w:rFonts w:hint="eastAsia" w:ascii="仿宋" w:hAnsi="仿宋" w:eastAsia="仿宋" w:cs="仿宋"/>
                <w:color w:val="383838"/>
                <w:spacing w:val="-3"/>
                <w:sz w:val="21"/>
                <w:szCs w:val="21"/>
                <w:highlight w:val="none"/>
              </w:rPr>
              <w:t>中国质量认证中心</w:t>
            </w:r>
          </w:p>
          <w:p w14:paraId="22012749">
            <w:pPr>
              <w:pStyle w:val="75"/>
              <w:keepNext w:val="0"/>
              <w:keepLines w:val="0"/>
              <w:pageBreakBefore w:val="0"/>
              <w:widowControl w:val="0"/>
              <w:kinsoku/>
              <w:wordWrap/>
              <w:overflowPunct/>
              <w:topLinePunct w:val="0"/>
              <w:autoSpaceDE/>
              <w:autoSpaceDN/>
              <w:bidi w:val="0"/>
              <w:adjustRightInd/>
              <w:snapToGrid/>
              <w:spacing w:line="340" w:lineRule="exact"/>
              <w:ind w:left="9"/>
              <w:textAlignment w:val="auto"/>
              <w:rPr>
                <w:rFonts w:hint="eastAsia" w:ascii="仿宋" w:hAnsi="仿宋" w:eastAsia="仿宋" w:cs="仿宋"/>
                <w:sz w:val="21"/>
                <w:szCs w:val="21"/>
                <w:highlight w:val="none"/>
              </w:rPr>
            </w:pPr>
            <w:r>
              <w:rPr>
                <w:rFonts w:hint="eastAsia" w:ascii="仿宋" w:hAnsi="仿宋" w:eastAsia="仿宋" w:cs="仿宋"/>
                <w:color w:val="383838"/>
                <w:spacing w:val="3"/>
                <w:sz w:val="21"/>
                <w:szCs w:val="21"/>
                <w:highlight w:val="none"/>
              </w:rPr>
              <w:t>深圳市计量质量检测研究院</w:t>
            </w:r>
          </w:p>
          <w:p w14:paraId="7C1ACF4E">
            <w:pPr>
              <w:pStyle w:val="75"/>
              <w:keepNext w:val="0"/>
              <w:keepLines w:val="0"/>
              <w:pageBreakBefore w:val="0"/>
              <w:widowControl w:val="0"/>
              <w:kinsoku/>
              <w:wordWrap/>
              <w:overflowPunct/>
              <w:topLinePunct w:val="0"/>
              <w:autoSpaceDE/>
              <w:autoSpaceDN/>
              <w:bidi w:val="0"/>
              <w:adjustRightInd/>
              <w:snapToGrid/>
              <w:spacing w:line="340" w:lineRule="exact"/>
              <w:ind w:left="25"/>
              <w:textAlignment w:val="auto"/>
              <w:rPr>
                <w:rFonts w:hint="eastAsia" w:ascii="仿宋" w:hAnsi="仿宋" w:eastAsia="仿宋" w:cs="仿宋"/>
                <w:sz w:val="21"/>
                <w:szCs w:val="21"/>
                <w:highlight w:val="none"/>
              </w:rPr>
            </w:pPr>
            <w:r>
              <w:rPr>
                <w:rFonts w:hint="eastAsia" w:ascii="仿宋" w:hAnsi="仿宋" w:eastAsia="仿宋" w:cs="仿宋"/>
                <w:color w:val="383838"/>
                <w:spacing w:val="-1"/>
                <w:sz w:val="21"/>
                <w:szCs w:val="21"/>
                <w:highlight w:val="none"/>
              </w:rPr>
              <w:t>中标合信（北京）认证有限公司</w:t>
            </w:r>
          </w:p>
        </w:tc>
      </w:tr>
      <w:tr w14:paraId="53DF3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685" w:type="dxa"/>
          </w:tcPr>
          <w:p w14:paraId="10BEAD1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7DB75EF2">
            <w:pPr>
              <w:pStyle w:val="75"/>
              <w:keepNext w:val="0"/>
              <w:keepLines w:val="0"/>
              <w:pageBreakBefore w:val="0"/>
              <w:widowControl w:val="0"/>
              <w:kinsoku/>
              <w:wordWrap/>
              <w:overflowPunct/>
              <w:topLinePunct w:val="0"/>
              <w:autoSpaceDE/>
              <w:autoSpaceDN/>
              <w:bidi w:val="0"/>
              <w:adjustRightInd/>
              <w:snapToGrid/>
              <w:spacing w:line="340" w:lineRule="exact"/>
              <w:ind w:left="269"/>
              <w:textAlignment w:val="auto"/>
              <w:rPr>
                <w:rFonts w:hint="eastAsia" w:ascii="仿宋" w:hAnsi="仿宋" w:eastAsia="仿宋" w:cs="仿宋"/>
                <w:sz w:val="21"/>
                <w:szCs w:val="21"/>
                <w:highlight w:val="none"/>
              </w:rPr>
            </w:pPr>
            <w:r>
              <w:rPr>
                <w:rFonts w:hint="eastAsia" w:ascii="仿宋" w:hAnsi="仿宋" w:eastAsia="仿宋" w:cs="仿宋"/>
                <w:color w:val="383838"/>
                <w:spacing w:val="-11"/>
                <w:sz w:val="21"/>
                <w:szCs w:val="21"/>
                <w:highlight w:val="none"/>
              </w:rPr>
              <w:t>12</w:t>
            </w:r>
          </w:p>
        </w:tc>
        <w:tc>
          <w:tcPr>
            <w:tcW w:w="1077" w:type="dxa"/>
          </w:tcPr>
          <w:p w14:paraId="4EBA825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3B3D4458">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A020910</w:t>
            </w:r>
          </w:p>
        </w:tc>
        <w:tc>
          <w:tcPr>
            <w:tcW w:w="847" w:type="dxa"/>
          </w:tcPr>
          <w:p w14:paraId="30FC4EC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351C31D8">
            <w:pPr>
              <w:pStyle w:val="75"/>
              <w:keepNext w:val="0"/>
              <w:keepLines w:val="0"/>
              <w:pageBreakBefore w:val="0"/>
              <w:widowControl w:val="0"/>
              <w:kinsoku/>
              <w:wordWrap/>
              <w:overflowPunct/>
              <w:topLinePunct w:val="0"/>
              <w:autoSpaceDE/>
              <w:autoSpaceDN/>
              <w:bidi w:val="0"/>
              <w:adjustRightInd/>
              <w:snapToGrid/>
              <w:spacing w:line="340" w:lineRule="exact"/>
              <w:ind w:left="25"/>
              <w:textAlignment w:val="auto"/>
              <w:rPr>
                <w:rFonts w:hint="eastAsia" w:ascii="仿宋" w:hAnsi="仿宋" w:eastAsia="仿宋" w:cs="仿宋"/>
                <w:sz w:val="21"/>
                <w:szCs w:val="21"/>
                <w:highlight w:val="none"/>
              </w:rPr>
            </w:pPr>
            <w:r>
              <w:rPr>
                <w:rFonts w:hint="eastAsia" w:ascii="仿宋" w:hAnsi="仿宋" w:eastAsia="仿宋" w:cs="仿宋"/>
                <w:color w:val="383838"/>
                <w:spacing w:val="-10"/>
                <w:sz w:val="21"/>
                <w:szCs w:val="21"/>
                <w:highlight w:val="none"/>
              </w:rPr>
              <w:t>电视设备</w:t>
            </w:r>
          </w:p>
        </w:tc>
        <w:tc>
          <w:tcPr>
            <w:tcW w:w="1345" w:type="dxa"/>
          </w:tcPr>
          <w:p w14:paraId="580554C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71F6977F">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A02091001</w:t>
            </w:r>
          </w:p>
        </w:tc>
        <w:tc>
          <w:tcPr>
            <w:tcW w:w="1085" w:type="dxa"/>
          </w:tcPr>
          <w:p w14:paraId="5A58F2CE">
            <w:pPr>
              <w:pStyle w:val="75"/>
              <w:keepNext w:val="0"/>
              <w:keepLines w:val="0"/>
              <w:pageBreakBefore w:val="0"/>
              <w:widowControl w:val="0"/>
              <w:kinsoku/>
              <w:wordWrap/>
              <w:overflowPunct/>
              <w:topLinePunct w:val="0"/>
              <w:autoSpaceDE/>
              <w:autoSpaceDN/>
              <w:bidi w:val="0"/>
              <w:adjustRightInd/>
              <w:snapToGrid/>
              <w:spacing w:line="340" w:lineRule="exact"/>
              <w:ind w:left="8" w:hanging="2"/>
              <w:textAlignment w:val="auto"/>
              <w:rPr>
                <w:rFonts w:hint="eastAsia" w:ascii="仿宋" w:hAnsi="仿宋" w:eastAsia="仿宋" w:cs="仿宋"/>
                <w:sz w:val="21"/>
                <w:szCs w:val="21"/>
                <w:highlight w:val="none"/>
              </w:rPr>
            </w:pPr>
            <w:r>
              <w:rPr>
                <w:rFonts w:hint="eastAsia" w:ascii="仿宋" w:hAnsi="仿宋" w:eastAsia="仿宋" w:cs="仿宋"/>
                <w:color w:val="383838"/>
                <w:spacing w:val="33"/>
                <w:sz w:val="21"/>
                <w:szCs w:val="21"/>
                <w:highlight w:val="none"/>
              </w:rPr>
              <w:t>普通电视设</w:t>
            </w:r>
            <w:r>
              <w:rPr>
                <w:rFonts w:hint="eastAsia" w:ascii="仿宋" w:hAnsi="仿宋" w:eastAsia="仿宋" w:cs="仿宋"/>
                <w:color w:val="383838"/>
                <w:spacing w:val="-4"/>
                <w:sz w:val="21"/>
                <w:szCs w:val="21"/>
                <w:highlight w:val="none"/>
              </w:rPr>
              <w:t>备（电视机）</w:t>
            </w:r>
          </w:p>
        </w:tc>
        <w:tc>
          <w:tcPr>
            <w:tcW w:w="3236" w:type="dxa"/>
            <w:vMerge w:val="restart"/>
            <w:tcBorders>
              <w:bottom w:val="nil"/>
            </w:tcBorders>
          </w:tcPr>
          <w:p w14:paraId="7D1031A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570AD9C6">
            <w:pPr>
              <w:pStyle w:val="75"/>
              <w:keepNext w:val="0"/>
              <w:keepLines w:val="0"/>
              <w:pageBreakBefore w:val="0"/>
              <w:widowControl w:val="0"/>
              <w:kinsoku/>
              <w:wordWrap/>
              <w:overflowPunct/>
              <w:topLinePunct w:val="0"/>
              <w:autoSpaceDE/>
              <w:autoSpaceDN/>
              <w:bidi w:val="0"/>
              <w:adjustRightInd/>
              <w:snapToGrid/>
              <w:spacing w:line="340" w:lineRule="exact"/>
              <w:ind w:left="25"/>
              <w:textAlignment w:val="auto"/>
              <w:rPr>
                <w:rFonts w:hint="eastAsia" w:ascii="仿宋" w:hAnsi="仿宋" w:eastAsia="仿宋" w:cs="仿宋"/>
                <w:sz w:val="21"/>
                <w:szCs w:val="21"/>
                <w:highlight w:val="none"/>
              </w:rPr>
            </w:pPr>
            <w:r>
              <w:rPr>
                <w:rFonts w:hint="eastAsia" w:ascii="仿宋" w:hAnsi="仿宋" w:eastAsia="仿宋" w:cs="仿宋"/>
                <w:color w:val="383838"/>
                <w:spacing w:val="-3"/>
                <w:sz w:val="21"/>
                <w:szCs w:val="21"/>
                <w:highlight w:val="none"/>
              </w:rPr>
              <w:t>中国质量认证中心</w:t>
            </w:r>
          </w:p>
          <w:p w14:paraId="348F3040">
            <w:pPr>
              <w:pStyle w:val="75"/>
              <w:keepNext w:val="0"/>
              <w:keepLines w:val="0"/>
              <w:pageBreakBefore w:val="0"/>
              <w:widowControl w:val="0"/>
              <w:kinsoku/>
              <w:wordWrap/>
              <w:overflowPunct/>
              <w:topLinePunct w:val="0"/>
              <w:autoSpaceDE/>
              <w:autoSpaceDN/>
              <w:bidi w:val="0"/>
              <w:adjustRightInd/>
              <w:snapToGrid/>
              <w:spacing w:line="340" w:lineRule="exact"/>
              <w:ind w:left="11"/>
              <w:textAlignment w:val="auto"/>
              <w:rPr>
                <w:rFonts w:hint="eastAsia" w:ascii="仿宋" w:hAnsi="仿宋" w:eastAsia="仿宋" w:cs="仿宋"/>
                <w:sz w:val="21"/>
                <w:szCs w:val="21"/>
                <w:highlight w:val="none"/>
              </w:rPr>
            </w:pPr>
            <w:r>
              <w:rPr>
                <w:rFonts w:hint="eastAsia" w:ascii="仿宋" w:hAnsi="仿宋" w:eastAsia="仿宋" w:cs="仿宋"/>
                <w:color w:val="383838"/>
                <w:spacing w:val="2"/>
                <w:sz w:val="21"/>
                <w:szCs w:val="21"/>
                <w:highlight w:val="none"/>
              </w:rPr>
              <w:t>北京泰瑞特认证有限责任公司</w:t>
            </w:r>
          </w:p>
          <w:p w14:paraId="0EAC2888">
            <w:pPr>
              <w:pStyle w:val="75"/>
              <w:keepNext w:val="0"/>
              <w:keepLines w:val="0"/>
              <w:pageBreakBefore w:val="0"/>
              <w:widowControl w:val="0"/>
              <w:kinsoku/>
              <w:wordWrap/>
              <w:overflowPunct/>
              <w:topLinePunct w:val="0"/>
              <w:autoSpaceDE/>
              <w:autoSpaceDN/>
              <w:bidi w:val="0"/>
              <w:adjustRightInd/>
              <w:snapToGrid/>
              <w:spacing w:line="340" w:lineRule="exact"/>
              <w:ind w:left="9"/>
              <w:textAlignment w:val="auto"/>
              <w:rPr>
                <w:rFonts w:hint="eastAsia" w:ascii="仿宋" w:hAnsi="仿宋" w:eastAsia="仿宋" w:cs="仿宋"/>
                <w:sz w:val="21"/>
                <w:szCs w:val="21"/>
                <w:highlight w:val="none"/>
              </w:rPr>
            </w:pPr>
            <w:r>
              <w:rPr>
                <w:rFonts w:hint="eastAsia" w:ascii="仿宋" w:hAnsi="仿宋" w:eastAsia="仿宋" w:cs="仿宋"/>
                <w:color w:val="383838"/>
                <w:spacing w:val="2"/>
                <w:sz w:val="21"/>
                <w:szCs w:val="21"/>
                <w:highlight w:val="none"/>
              </w:rPr>
              <w:t>广州赛宝认证中心服务有限公司</w:t>
            </w:r>
          </w:p>
        </w:tc>
      </w:tr>
      <w:tr w14:paraId="546C7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85" w:type="dxa"/>
          </w:tcPr>
          <w:p w14:paraId="66778495">
            <w:pPr>
              <w:pStyle w:val="75"/>
              <w:keepNext w:val="0"/>
              <w:keepLines w:val="0"/>
              <w:pageBreakBefore w:val="0"/>
              <w:widowControl w:val="0"/>
              <w:kinsoku/>
              <w:wordWrap/>
              <w:overflowPunct/>
              <w:topLinePunct w:val="0"/>
              <w:autoSpaceDE/>
              <w:autoSpaceDN/>
              <w:bidi w:val="0"/>
              <w:adjustRightInd/>
              <w:snapToGrid/>
              <w:spacing w:line="340" w:lineRule="exact"/>
              <w:ind w:left="269"/>
              <w:textAlignment w:val="auto"/>
              <w:rPr>
                <w:rFonts w:hint="eastAsia" w:ascii="仿宋" w:hAnsi="仿宋" w:eastAsia="仿宋" w:cs="仿宋"/>
                <w:sz w:val="21"/>
                <w:szCs w:val="21"/>
                <w:highlight w:val="none"/>
              </w:rPr>
            </w:pPr>
            <w:r>
              <w:rPr>
                <w:rFonts w:hint="eastAsia" w:ascii="仿宋" w:hAnsi="仿宋" w:eastAsia="仿宋" w:cs="仿宋"/>
                <w:color w:val="383838"/>
                <w:spacing w:val="-11"/>
                <w:sz w:val="21"/>
                <w:szCs w:val="21"/>
                <w:highlight w:val="none"/>
              </w:rPr>
              <w:t>13</w:t>
            </w:r>
          </w:p>
        </w:tc>
        <w:tc>
          <w:tcPr>
            <w:tcW w:w="1077" w:type="dxa"/>
          </w:tcPr>
          <w:p w14:paraId="3ED13879">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A020911</w:t>
            </w:r>
          </w:p>
        </w:tc>
        <w:tc>
          <w:tcPr>
            <w:tcW w:w="847" w:type="dxa"/>
          </w:tcPr>
          <w:p w14:paraId="08290EAE">
            <w:pPr>
              <w:pStyle w:val="75"/>
              <w:keepNext w:val="0"/>
              <w:keepLines w:val="0"/>
              <w:pageBreakBefore w:val="0"/>
              <w:widowControl w:val="0"/>
              <w:kinsoku/>
              <w:wordWrap/>
              <w:overflowPunct/>
              <w:topLinePunct w:val="0"/>
              <w:autoSpaceDE/>
              <w:autoSpaceDN/>
              <w:bidi w:val="0"/>
              <w:adjustRightInd/>
              <w:snapToGrid/>
              <w:spacing w:line="340" w:lineRule="exact"/>
              <w:ind w:left="3"/>
              <w:textAlignment w:val="auto"/>
              <w:rPr>
                <w:rFonts w:hint="eastAsia" w:ascii="仿宋" w:hAnsi="仿宋" w:eastAsia="仿宋" w:cs="仿宋"/>
                <w:sz w:val="21"/>
                <w:szCs w:val="21"/>
                <w:highlight w:val="none"/>
              </w:rPr>
            </w:pPr>
            <w:r>
              <w:rPr>
                <w:rFonts w:hint="eastAsia" w:ascii="仿宋" w:hAnsi="仿宋" w:eastAsia="仿宋" w:cs="仿宋"/>
                <w:color w:val="383838"/>
                <w:spacing w:val="-1"/>
                <w:sz w:val="21"/>
                <w:szCs w:val="21"/>
                <w:highlight w:val="none"/>
              </w:rPr>
              <w:t>视频设备</w:t>
            </w:r>
          </w:p>
        </w:tc>
        <w:tc>
          <w:tcPr>
            <w:tcW w:w="1345" w:type="dxa"/>
          </w:tcPr>
          <w:p w14:paraId="3C92274C">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A02091107</w:t>
            </w:r>
          </w:p>
        </w:tc>
        <w:tc>
          <w:tcPr>
            <w:tcW w:w="1085" w:type="dxa"/>
          </w:tcPr>
          <w:p w14:paraId="092D073A">
            <w:pPr>
              <w:pStyle w:val="75"/>
              <w:keepNext w:val="0"/>
              <w:keepLines w:val="0"/>
              <w:pageBreakBefore w:val="0"/>
              <w:widowControl w:val="0"/>
              <w:kinsoku/>
              <w:wordWrap/>
              <w:overflowPunct/>
              <w:topLinePunct w:val="0"/>
              <w:autoSpaceDE/>
              <w:autoSpaceDN/>
              <w:bidi w:val="0"/>
              <w:adjustRightInd/>
              <w:snapToGrid/>
              <w:spacing w:line="340" w:lineRule="exact"/>
              <w:ind w:left="8" w:right="2" w:hanging="2"/>
              <w:textAlignment w:val="auto"/>
              <w:rPr>
                <w:rFonts w:hint="eastAsia" w:ascii="仿宋" w:hAnsi="仿宋" w:eastAsia="仿宋" w:cs="仿宋"/>
                <w:sz w:val="21"/>
                <w:szCs w:val="21"/>
                <w:highlight w:val="none"/>
              </w:rPr>
            </w:pPr>
            <w:r>
              <w:rPr>
                <w:rFonts w:hint="eastAsia" w:ascii="仿宋" w:hAnsi="仿宋" w:eastAsia="仿宋" w:cs="仿宋"/>
                <w:color w:val="383838"/>
                <w:spacing w:val="33"/>
                <w:sz w:val="21"/>
                <w:szCs w:val="21"/>
                <w:highlight w:val="none"/>
              </w:rPr>
              <w:t>视频监控设</w:t>
            </w:r>
            <w:r>
              <w:rPr>
                <w:rFonts w:hint="eastAsia" w:ascii="仿宋" w:hAnsi="仿宋" w:eastAsia="仿宋" w:cs="仿宋"/>
                <w:color w:val="383838"/>
                <w:sz w:val="21"/>
                <w:szCs w:val="21"/>
                <w:highlight w:val="none"/>
              </w:rPr>
              <w:t>备</w:t>
            </w:r>
          </w:p>
        </w:tc>
        <w:tc>
          <w:tcPr>
            <w:tcW w:w="3236" w:type="dxa"/>
            <w:vMerge w:val="continue"/>
            <w:tcBorders>
              <w:top w:val="nil"/>
            </w:tcBorders>
          </w:tcPr>
          <w:p w14:paraId="2441C601">
            <w:pPr>
              <w:rPr>
                <w:highlight w:val="none"/>
              </w:rPr>
            </w:pPr>
          </w:p>
        </w:tc>
      </w:tr>
      <w:tr w14:paraId="73CB6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685" w:type="dxa"/>
          </w:tcPr>
          <w:p w14:paraId="1E91E27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6F8D6DD1">
            <w:pPr>
              <w:pStyle w:val="75"/>
              <w:keepNext w:val="0"/>
              <w:keepLines w:val="0"/>
              <w:pageBreakBefore w:val="0"/>
              <w:widowControl w:val="0"/>
              <w:kinsoku/>
              <w:wordWrap/>
              <w:overflowPunct/>
              <w:topLinePunct w:val="0"/>
              <w:autoSpaceDE/>
              <w:autoSpaceDN/>
              <w:bidi w:val="0"/>
              <w:adjustRightInd/>
              <w:snapToGrid/>
              <w:spacing w:line="340" w:lineRule="exact"/>
              <w:ind w:left="269"/>
              <w:textAlignment w:val="auto"/>
              <w:rPr>
                <w:rFonts w:hint="eastAsia" w:ascii="仿宋" w:hAnsi="仿宋" w:eastAsia="仿宋" w:cs="仿宋"/>
                <w:sz w:val="21"/>
                <w:szCs w:val="21"/>
                <w:highlight w:val="none"/>
              </w:rPr>
            </w:pPr>
            <w:r>
              <w:rPr>
                <w:rFonts w:hint="eastAsia" w:ascii="仿宋" w:hAnsi="仿宋" w:eastAsia="仿宋" w:cs="仿宋"/>
                <w:color w:val="383838"/>
                <w:spacing w:val="-11"/>
                <w:sz w:val="21"/>
                <w:szCs w:val="21"/>
                <w:highlight w:val="none"/>
              </w:rPr>
              <w:t>14</w:t>
            </w:r>
          </w:p>
        </w:tc>
        <w:tc>
          <w:tcPr>
            <w:tcW w:w="1077" w:type="dxa"/>
          </w:tcPr>
          <w:p w14:paraId="5625E45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70F01548">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A031210</w:t>
            </w:r>
          </w:p>
        </w:tc>
        <w:tc>
          <w:tcPr>
            <w:tcW w:w="847" w:type="dxa"/>
          </w:tcPr>
          <w:p w14:paraId="640A6ECA">
            <w:pPr>
              <w:pStyle w:val="75"/>
              <w:keepNext w:val="0"/>
              <w:keepLines w:val="0"/>
              <w:pageBreakBefore w:val="0"/>
              <w:widowControl w:val="0"/>
              <w:kinsoku/>
              <w:wordWrap/>
              <w:overflowPunct/>
              <w:topLinePunct w:val="0"/>
              <w:autoSpaceDE/>
              <w:autoSpaceDN/>
              <w:bidi w:val="0"/>
              <w:adjustRightInd/>
              <w:snapToGrid/>
              <w:spacing w:line="340" w:lineRule="exact"/>
              <w:ind w:left="3" w:right="4"/>
              <w:textAlignment w:val="auto"/>
              <w:rPr>
                <w:rFonts w:hint="eastAsia" w:ascii="仿宋" w:hAnsi="仿宋" w:eastAsia="仿宋" w:cs="仿宋"/>
                <w:sz w:val="21"/>
                <w:szCs w:val="21"/>
                <w:highlight w:val="none"/>
              </w:rPr>
            </w:pPr>
            <w:r>
              <w:rPr>
                <w:rFonts w:hint="eastAsia" w:ascii="仿宋" w:hAnsi="仿宋" w:eastAsia="仿宋" w:cs="仿宋"/>
                <w:color w:val="383838"/>
                <w:spacing w:val="27"/>
                <w:sz w:val="21"/>
                <w:szCs w:val="21"/>
                <w:highlight w:val="none"/>
              </w:rPr>
              <w:t>饮食炊事</w:t>
            </w:r>
            <w:r>
              <w:rPr>
                <w:rFonts w:hint="eastAsia" w:ascii="仿宋" w:hAnsi="仿宋" w:eastAsia="仿宋" w:cs="仿宋"/>
                <w:color w:val="383838"/>
                <w:spacing w:val="-3"/>
                <w:sz w:val="21"/>
                <w:szCs w:val="21"/>
                <w:highlight w:val="none"/>
              </w:rPr>
              <w:t>机械</w:t>
            </w:r>
          </w:p>
        </w:tc>
        <w:tc>
          <w:tcPr>
            <w:tcW w:w="1345" w:type="dxa"/>
          </w:tcPr>
          <w:p w14:paraId="66433DF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85" w:type="dxa"/>
          </w:tcPr>
          <w:p w14:paraId="1FB79BF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3236" w:type="dxa"/>
          </w:tcPr>
          <w:p w14:paraId="56E59CBD">
            <w:pPr>
              <w:pStyle w:val="75"/>
              <w:keepNext w:val="0"/>
              <w:keepLines w:val="0"/>
              <w:pageBreakBefore w:val="0"/>
              <w:widowControl w:val="0"/>
              <w:kinsoku/>
              <w:wordWrap/>
              <w:overflowPunct/>
              <w:topLinePunct w:val="0"/>
              <w:autoSpaceDE/>
              <w:autoSpaceDN/>
              <w:bidi w:val="0"/>
              <w:adjustRightInd/>
              <w:snapToGrid/>
              <w:spacing w:line="340" w:lineRule="exact"/>
              <w:ind w:left="25"/>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中国质量认证中心北京鉴衡认证中心</w:t>
            </w:r>
          </w:p>
          <w:p w14:paraId="583A6DDE">
            <w:pPr>
              <w:pStyle w:val="75"/>
              <w:keepNext w:val="0"/>
              <w:keepLines w:val="0"/>
              <w:pageBreakBefore w:val="0"/>
              <w:widowControl w:val="0"/>
              <w:kinsoku/>
              <w:wordWrap/>
              <w:overflowPunct/>
              <w:topLinePunct w:val="0"/>
              <w:autoSpaceDE/>
              <w:autoSpaceDN/>
              <w:bidi w:val="0"/>
              <w:adjustRightInd/>
              <w:snapToGrid/>
              <w:spacing w:line="340" w:lineRule="exact"/>
              <w:ind w:left="16" w:right="1" w:firstLine="9"/>
              <w:textAlignment w:val="auto"/>
              <w:rPr>
                <w:rFonts w:hint="eastAsia" w:ascii="仿宋" w:hAnsi="仿宋" w:eastAsia="仿宋" w:cs="仿宋"/>
                <w:sz w:val="21"/>
                <w:szCs w:val="21"/>
                <w:highlight w:val="none"/>
              </w:rPr>
            </w:pPr>
            <w:r>
              <w:rPr>
                <w:rFonts w:hint="eastAsia" w:ascii="仿宋" w:hAnsi="仿宋" w:eastAsia="仿宋" w:cs="仿宋"/>
                <w:color w:val="383838"/>
                <w:spacing w:val="8"/>
                <w:sz w:val="21"/>
                <w:szCs w:val="21"/>
                <w:highlight w:val="none"/>
              </w:rPr>
              <w:t>中国市政工程华北设计研究总院有限公</w:t>
            </w:r>
            <w:r>
              <w:rPr>
                <w:rFonts w:hint="eastAsia" w:ascii="仿宋" w:hAnsi="仿宋" w:eastAsia="仿宋" w:cs="仿宋"/>
                <w:color w:val="383838"/>
                <w:sz w:val="21"/>
                <w:szCs w:val="21"/>
                <w:highlight w:val="none"/>
              </w:rPr>
              <w:t>司</w:t>
            </w:r>
          </w:p>
        </w:tc>
      </w:tr>
      <w:tr w14:paraId="3E676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685" w:type="dxa"/>
          </w:tcPr>
          <w:p w14:paraId="28777935">
            <w:pPr>
              <w:pStyle w:val="75"/>
              <w:keepNext w:val="0"/>
              <w:keepLines w:val="0"/>
              <w:pageBreakBefore w:val="0"/>
              <w:widowControl w:val="0"/>
              <w:kinsoku/>
              <w:wordWrap/>
              <w:overflowPunct/>
              <w:topLinePunct w:val="0"/>
              <w:autoSpaceDE/>
              <w:autoSpaceDN/>
              <w:bidi w:val="0"/>
              <w:adjustRightInd/>
              <w:snapToGrid/>
              <w:spacing w:line="340" w:lineRule="exact"/>
              <w:ind w:left="269"/>
              <w:textAlignment w:val="auto"/>
              <w:rPr>
                <w:rFonts w:hint="eastAsia" w:ascii="仿宋" w:hAnsi="仿宋" w:eastAsia="仿宋" w:cs="仿宋"/>
                <w:sz w:val="21"/>
                <w:szCs w:val="21"/>
                <w:highlight w:val="none"/>
              </w:rPr>
            </w:pPr>
            <w:r>
              <w:rPr>
                <w:rFonts w:hint="eastAsia" w:ascii="仿宋" w:hAnsi="仿宋" w:eastAsia="仿宋" w:cs="仿宋"/>
                <w:color w:val="383838"/>
                <w:spacing w:val="-11"/>
                <w:sz w:val="21"/>
                <w:szCs w:val="21"/>
                <w:highlight w:val="none"/>
              </w:rPr>
              <w:t>15</w:t>
            </w:r>
          </w:p>
        </w:tc>
        <w:tc>
          <w:tcPr>
            <w:tcW w:w="1077" w:type="dxa"/>
          </w:tcPr>
          <w:p w14:paraId="1561E10D">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A060805</w:t>
            </w:r>
          </w:p>
        </w:tc>
        <w:tc>
          <w:tcPr>
            <w:tcW w:w="847" w:type="dxa"/>
          </w:tcPr>
          <w:p w14:paraId="5E8F52BE">
            <w:pPr>
              <w:pStyle w:val="75"/>
              <w:keepNext w:val="0"/>
              <w:keepLines w:val="0"/>
              <w:pageBreakBefore w:val="0"/>
              <w:widowControl w:val="0"/>
              <w:kinsoku/>
              <w:wordWrap/>
              <w:overflowPunct/>
              <w:topLinePunct w:val="0"/>
              <w:autoSpaceDE/>
              <w:autoSpaceDN/>
              <w:bidi w:val="0"/>
              <w:adjustRightInd/>
              <w:snapToGrid/>
              <w:spacing w:line="340" w:lineRule="exact"/>
              <w:ind w:left="4"/>
              <w:textAlignment w:val="auto"/>
              <w:rPr>
                <w:rFonts w:hint="eastAsia" w:ascii="仿宋" w:hAnsi="仿宋" w:eastAsia="仿宋" w:cs="仿宋"/>
                <w:sz w:val="21"/>
                <w:szCs w:val="21"/>
                <w:highlight w:val="none"/>
              </w:rPr>
            </w:pPr>
            <w:r>
              <w:rPr>
                <w:rFonts w:hint="eastAsia" w:ascii="仿宋" w:hAnsi="仿宋" w:eastAsia="仿宋" w:cs="仿宋"/>
                <w:color w:val="383838"/>
                <w:spacing w:val="-3"/>
                <w:sz w:val="21"/>
                <w:szCs w:val="21"/>
                <w:highlight w:val="none"/>
              </w:rPr>
              <w:t>便器</w:t>
            </w:r>
          </w:p>
        </w:tc>
        <w:tc>
          <w:tcPr>
            <w:tcW w:w="1345" w:type="dxa"/>
          </w:tcPr>
          <w:p w14:paraId="43778F1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85" w:type="dxa"/>
          </w:tcPr>
          <w:p w14:paraId="3D1986E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3236" w:type="dxa"/>
            <w:vMerge w:val="restart"/>
            <w:tcBorders>
              <w:bottom w:val="nil"/>
            </w:tcBorders>
          </w:tcPr>
          <w:p w14:paraId="060A59B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43FD310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75DFEAEC">
            <w:pPr>
              <w:pStyle w:val="75"/>
              <w:keepNext w:val="0"/>
              <w:keepLines w:val="0"/>
              <w:pageBreakBefore w:val="0"/>
              <w:widowControl w:val="0"/>
              <w:kinsoku/>
              <w:wordWrap/>
              <w:overflowPunct/>
              <w:topLinePunct w:val="0"/>
              <w:autoSpaceDE/>
              <w:autoSpaceDN/>
              <w:bidi w:val="0"/>
              <w:adjustRightInd/>
              <w:snapToGrid/>
              <w:spacing w:line="340" w:lineRule="exact"/>
              <w:ind w:left="25"/>
              <w:textAlignment w:val="auto"/>
              <w:rPr>
                <w:rFonts w:hint="eastAsia" w:ascii="仿宋" w:hAnsi="仿宋" w:eastAsia="仿宋" w:cs="仿宋"/>
                <w:sz w:val="21"/>
                <w:szCs w:val="21"/>
                <w:highlight w:val="none"/>
              </w:rPr>
            </w:pPr>
            <w:r>
              <w:rPr>
                <w:rFonts w:hint="eastAsia" w:ascii="仿宋" w:hAnsi="仿宋" w:eastAsia="仿宋" w:cs="仿宋"/>
                <w:color w:val="383838"/>
                <w:spacing w:val="-3"/>
                <w:sz w:val="21"/>
                <w:szCs w:val="21"/>
                <w:highlight w:val="none"/>
              </w:rPr>
              <w:t>中国质量认证中心</w:t>
            </w:r>
          </w:p>
          <w:p w14:paraId="28E12359">
            <w:pPr>
              <w:pStyle w:val="75"/>
              <w:keepNext w:val="0"/>
              <w:keepLines w:val="0"/>
              <w:pageBreakBefore w:val="0"/>
              <w:widowControl w:val="0"/>
              <w:kinsoku/>
              <w:wordWrap/>
              <w:overflowPunct/>
              <w:topLinePunct w:val="0"/>
              <w:autoSpaceDE/>
              <w:autoSpaceDN/>
              <w:bidi w:val="0"/>
              <w:adjustRightInd/>
              <w:snapToGrid/>
              <w:spacing w:line="340" w:lineRule="exact"/>
              <w:ind w:left="9" w:right="664" w:firstLine="2"/>
              <w:textAlignment w:val="auto"/>
              <w:rPr>
                <w:rFonts w:hint="eastAsia" w:ascii="仿宋" w:hAnsi="仿宋" w:eastAsia="仿宋" w:cs="仿宋"/>
                <w:sz w:val="21"/>
                <w:szCs w:val="21"/>
                <w:highlight w:val="none"/>
              </w:rPr>
            </w:pPr>
            <w:r>
              <w:rPr>
                <w:rFonts w:hint="eastAsia" w:ascii="仿宋" w:hAnsi="仿宋" w:eastAsia="仿宋" w:cs="仿宋"/>
                <w:color w:val="383838"/>
                <w:spacing w:val="2"/>
                <w:sz w:val="21"/>
                <w:szCs w:val="21"/>
                <w:highlight w:val="none"/>
              </w:rPr>
              <w:t>北京新华节水产品认证有限公司</w:t>
            </w:r>
            <w:r>
              <w:rPr>
                <w:rFonts w:hint="eastAsia" w:ascii="仿宋" w:hAnsi="仿宋" w:eastAsia="仿宋" w:cs="仿宋"/>
                <w:color w:val="383838"/>
                <w:spacing w:val="3"/>
                <w:sz w:val="21"/>
                <w:szCs w:val="21"/>
                <w:highlight w:val="none"/>
              </w:rPr>
              <w:t>方圆标志认证集团有限公司</w:t>
            </w:r>
          </w:p>
        </w:tc>
      </w:tr>
      <w:tr w14:paraId="6EE66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685" w:type="dxa"/>
          </w:tcPr>
          <w:p w14:paraId="55D269AA">
            <w:pPr>
              <w:pStyle w:val="75"/>
              <w:keepNext w:val="0"/>
              <w:keepLines w:val="0"/>
              <w:pageBreakBefore w:val="0"/>
              <w:widowControl w:val="0"/>
              <w:kinsoku/>
              <w:wordWrap/>
              <w:overflowPunct/>
              <w:topLinePunct w:val="0"/>
              <w:autoSpaceDE/>
              <w:autoSpaceDN/>
              <w:bidi w:val="0"/>
              <w:adjustRightInd/>
              <w:snapToGrid/>
              <w:spacing w:line="340" w:lineRule="exact"/>
              <w:ind w:left="269"/>
              <w:textAlignment w:val="auto"/>
              <w:rPr>
                <w:rFonts w:hint="eastAsia" w:ascii="仿宋" w:hAnsi="仿宋" w:eastAsia="仿宋" w:cs="仿宋"/>
                <w:sz w:val="21"/>
                <w:szCs w:val="21"/>
                <w:highlight w:val="none"/>
              </w:rPr>
            </w:pPr>
            <w:r>
              <w:rPr>
                <w:rFonts w:hint="eastAsia" w:ascii="仿宋" w:hAnsi="仿宋" w:eastAsia="仿宋" w:cs="仿宋"/>
                <w:color w:val="383838"/>
                <w:spacing w:val="-11"/>
                <w:sz w:val="21"/>
                <w:szCs w:val="21"/>
                <w:highlight w:val="none"/>
              </w:rPr>
              <w:t>16</w:t>
            </w:r>
          </w:p>
        </w:tc>
        <w:tc>
          <w:tcPr>
            <w:tcW w:w="1077" w:type="dxa"/>
          </w:tcPr>
          <w:p w14:paraId="37E14A9D">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A060806</w:t>
            </w:r>
          </w:p>
        </w:tc>
        <w:tc>
          <w:tcPr>
            <w:tcW w:w="847" w:type="dxa"/>
          </w:tcPr>
          <w:p w14:paraId="1768C4F1">
            <w:pPr>
              <w:pStyle w:val="75"/>
              <w:keepNext w:val="0"/>
              <w:keepLines w:val="0"/>
              <w:pageBreakBefore w:val="0"/>
              <w:widowControl w:val="0"/>
              <w:kinsoku/>
              <w:wordWrap/>
              <w:overflowPunct/>
              <w:topLinePunct w:val="0"/>
              <w:autoSpaceDE/>
              <w:autoSpaceDN/>
              <w:bidi w:val="0"/>
              <w:adjustRightInd/>
              <w:snapToGrid/>
              <w:spacing w:line="340" w:lineRule="exact"/>
              <w:ind w:left="6"/>
              <w:textAlignment w:val="auto"/>
              <w:rPr>
                <w:rFonts w:hint="eastAsia" w:ascii="仿宋" w:hAnsi="仿宋" w:eastAsia="仿宋" w:cs="仿宋"/>
                <w:sz w:val="21"/>
                <w:szCs w:val="21"/>
                <w:highlight w:val="none"/>
              </w:rPr>
            </w:pPr>
            <w:r>
              <w:rPr>
                <w:rFonts w:hint="eastAsia" w:ascii="仿宋" w:hAnsi="仿宋" w:eastAsia="仿宋" w:cs="仿宋"/>
                <w:color w:val="383838"/>
                <w:spacing w:val="-4"/>
                <w:sz w:val="21"/>
                <w:szCs w:val="21"/>
                <w:highlight w:val="none"/>
              </w:rPr>
              <w:t>水嘴</w:t>
            </w:r>
          </w:p>
        </w:tc>
        <w:tc>
          <w:tcPr>
            <w:tcW w:w="1345" w:type="dxa"/>
          </w:tcPr>
          <w:p w14:paraId="5977A32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85" w:type="dxa"/>
          </w:tcPr>
          <w:p w14:paraId="53FF5CA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3236" w:type="dxa"/>
            <w:vMerge w:val="continue"/>
            <w:tcBorders>
              <w:top w:val="nil"/>
              <w:bottom w:val="nil"/>
            </w:tcBorders>
          </w:tcPr>
          <w:p w14:paraId="0A905DBE">
            <w:pPr>
              <w:rPr>
                <w:highlight w:val="none"/>
              </w:rPr>
            </w:pPr>
          </w:p>
        </w:tc>
      </w:tr>
      <w:tr w14:paraId="7BEE9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685" w:type="dxa"/>
          </w:tcPr>
          <w:p w14:paraId="634D48D4">
            <w:pPr>
              <w:pStyle w:val="75"/>
              <w:keepNext w:val="0"/>
              <w:keepLines w:val="0"/>
              <w:pageBreakBefore w:val="0"/>
              <w:widowControl w:val="0"/>
              <w:kinsoku/>
              <w:wordWrap/>
              <w:overflowPunct/>
              <w:topLinePunct w:val="0"/>
              <w:autoSpaceDE/>
              <w:autoSpaceDN/>
              <w:bidi w:val="0"/>
              <w:adjustRightInd/>
              <w:snapToGrid/>
              <w:spacing w:line="340" w:lineRule="exact"/>
              <w:ind w:left="269"/>
              <w:textAlignment w:val="auto"/>
              <w:rPr>
                <w:rFonts w:hint="eastAsia" w:ascii="仿宋" w:hAnsi="仿宋" w:eastAsia="仿宋" w:cs="仿宋"/>
                <w:sz w:val="21"/>
                <w:szCs w:val="21"/>
                <w:highlight w:val="none"/>
              </w:rPr>
            </w:pPr>
            <w:r>
              <w:rPr>
                <w:rFonts w:hint="eastAsia" w:ascii="仿宋" w:hAnsi="仿宋" w:eastAsia="仿宋" w:cs="仿宋"/>
                <w:color w:val="383838"/>
                <w:spacing w:val="-11"/>
                <w:sz w:val="21"/>
                <w:szCs w:val="21"/>
                <w:highlight w:val="none"/>
              </w:rPr>
              <w:t>17</w:t>
            </w:r>
          </w:p>
        </w:tc>
        <w:tc>
          <w:tcPr>
            <w:tcW w:w="1077" w:type="dxa"/>
          </w:tcPr>
          <w:p w14:paraId="7FC5FBF3">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A060807</w:t>
            </w:r>
          </w:p>
        </w:tc>
        <w:tc>
          <w:tcPr>
            <w:tcW w:w="847" w:type="dxa"/>
          </w:tcPr>
          <w:p w14:paraId="748F6C1C">
            <w:pPr>
              <w:pStyle w:val="75"/>
              <w:keepNext w:val="0"/>
              <w:keepLines w:val="0"/>
              <w:pageBreakBefore w:val="0"/>
              <w:widowControl w:val="0"/>
              <w:kinsoku/>
              <w:wordWrap/>
              <w:overflowPunct/>
              <w:topLinePunct w:val="0"/>
              <w:autoSpaceDE/>
              <w:autoSpaceDN/>
              <w:bidi w:val="0"/>
              <w:adjustRightInd/>
              <w:snapToGrid/>
              <w:spacing w:line="340" w:lineRule="exact"/>
              <w:ind w:left="18" w:right="4" w:hanging="16"/>
              <w:textAlignment w:val="auto"/>
              <w:rPr>
                <w:rFonts w:hint="eastAsia" w:ascii="仿宋" w:hAnsi="仿宋" w:eastAsia="仿宋" w:cs="仿宋"/>
                <w:sz w:val="21"/>
                <w:szCs w:val="21"/>
                <w:highlight w:val="none"/>
              </w:rPr>
            </w:pPr>
            <w:r>
              <w:rPr>
                <w:rFonts w:hint="eastAsia" w:ascii="仿宋" w:hAnsi="仿宋" w:eastAsia="仿宋" w:cs="仿宋"/>
                <w:color w:val="383838"/>
                <w:spacing w:val="27"/>
                <w:sz w:val="21"/>
                <w:szCs w:val="21"/>
                <w:highlight w:val="none"/>
              </w:rPr>
              <w:t>便器冲洗</w:t>
            </w:r>
            <w:r>
              <w:rPr>
                <w:rFonts w:hint="eastAsia" w:ascii="仿宋" w:hAnsi="仿宋" w:eastAsia="仿宋" w:cs="仿宋"/>
                <w:color w:val="383838"/>
                <w:sz w:val="21"/>
                <w:szCs w:val="21"/>
                <w:highlight w:val="none"/>
              </w:rPr>
              <w:t>阀</w:t>
            </w:r>
          </w:p>
        </w:tc>
        <w:tc>
          <w:tcPr>
            <w:tcW w:w="1345" w:type="dxa"/>
          </w:tcPr>
          <w:p w14:paraId="5CAC0A2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85" w:type="dxa"/>
          </w:tcPr>
          <w:p w14:paraId="1AE9590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3236" w:type="dxa"/>
            <w:vMerge w:val="continue"/>
            <w:tcBorders>
              <w:top w:val="nil"/>
              <w:bottom w:val="nil"/>
            </w:tcBorders>
          </w:tcPr>
          <w:p w14:paraId="3CC768CB">
            <w:pPr>
              <w:rPr>
                <w:highlight w:val="none"/>
              </w:rPr>
            </w:pPr>
          </w:p>
        </w:tc>
      </w:tr>
      <w:tr w14:paraId="73D21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685" w:type="dxa"/>
          </w:tcPr>
          <w:p w14:paraId="4327244E">
            <w:pPr>
              <w:pStyle w:val="75"/>
              <w:keepNext w:val="0"/>
              <w:keepLines w:val="0"/>
              <w:pageBreakBefore w:val="0"/>
              <w:widowControl w:val="0"/>
              <w:kinsoku/>
              <w:wordWrap/>
              <w:overflowPunct/>
              <w:topLinePunct w:val="0"/>
              <w:autoSpaceDE/>
              <w:autoSpaceDN/>
              <w:bidi w:val="0"/>
              <w:adjustRightInd/>
              <w:snapToGrid/>
              <w:spacing w:line="340" w:lineRule="exact"/>
              <w:ind w:left="269"/>
              <w:textAlignment w:val="auto"/>
              <w:rPr>
                <w:rFonts w:hint="eastAsia" w:ascii="仿宋" w:hAnsi="仿宋" w:eastAsia="仿宋" w:cs="仿宋"/>
                <w:sz w:val="21"/>
                <w:szCs w:val="21"/>
                <w:highlight w:val="none"/>
              </w:rPr>
            </w:pPr>
            <w:r>
              <w:rPr>
                <w:rFonts w:hint="eastAsia" w:ascii="仿宋" w:hAnsi="仿宋" w:eastAsia="仿宋" w:cs="仿宋"/>
                <w:color w:val="383838"/>
                <w:spacing w:val="-11"/>
                <w:sz w:val="21"/>
                <w:szCs w:val="21"/>
                <w:highlight w:val="none"/>
              </w:rPr>
              <w:t>18</w:t>
            </w:r>
          </w:p>
        </w:tc>
        <w:tc>
          <w:tcPr>
            <w:tcW w:w="1077" w:type="dxa"/>
          </w:tcPr>
          <w:p w14:paraId="75291037">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A060810</w:t>
            </w:r>
          </w:p>
        </w:tc>
        <w:tc>
          <w:tcPr>
            <w:tcW w:w="847" w:type="dxa"/>
          </w:tcPr>
          <w:p w14:paraId="4B2CC7DE">
            <w:pPr>
              <w:pStyle w:val="75"/>
              <w:keepNext w:val="0"/>
              <w:keepLines w:val="0"/>
              <w:pageBreakBefore w:val="0"/>
              <w:widowControl w:val="0"/>
              <w:kinsoku/>
              <w:wordWrap/>
              <w:overflowPunct/>
              <w:topLinePunct w:val="0"/>
              <w:autoSpaceDE/>
              <w:autoSpaceDN/>
              <w:bidi w:val="0"/>
              <w:adjustRightInd/>
              <w:snapToGrid/>
              <w:spacing w:line="340" w:lineRule="exact"/>
              <w:ind w:left="5"/>
              <w:textAlignment w:val="auto"/>
              <w:rPr>
                <w:rFonts w:hint="eastAsia" w:ascii="仿宋" w:hAnsi="仿宋" w:eastAsia="仿宋" w:cs="仿宋"/>
                <w:sz w:val="21"/>
                <w:szCs w:val="21"/>
                <w:highlight w:val="none"/>
              </w:rPr>
            </w:pPr>
            <w:r>
              <w:rPr>
                <w:rFonts w:hint="eastAsia" w:ascii="仿宋" w:hAnsi="仿宋" w:eastAsia="仿宋" w:cs="仿宋"/>
                <w:color w:val="383838"/>
                <w:spacing w:val="-2"/>
                <w:sz w:val="21"/>
                <w:szCs w:val="21"/>
                <w:highlight w:val="none"/>
              </w:rPr>
              <w:t>淋浴器</w:t>
            </w:r>
          </w:p>
        </w:tc>
        <w:tc>
          <w:tcPr>
            <w:tcW w:w="1345" w:type="dxa"/>
          </w:tcPr>
          <w:p w14:paraId="0A7E5A8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1085" w:type="dxa"/>
          </w:tcPr>
          <w:p w14:paraId="2B8E22F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tc>
        <w:tc>
          <w:tcPr>
            <w:tcW w:w="3236" w:type="dxa"/>
            <w:vMerge w:val="continue"/>
            <w:tcBorders>
              <w:top w:val="nil"/>
            </w:tcBorders>
          </w:tcPr>
          <w:p w14:paraId="44F647A5">
            <w:pPr>
              <w:rPr>
                <w:highlight w:val="none"/>
              </w:rPr>
            </w:pPr>
          </w:p>
        </w:tc>
      </w:tr>
    </w:tbl>
    <w:p w14:paraId="4E49E8F8">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b/>
          <w:bCs/>
          <w:color w:val="auto"/>
          <w:kern w:val="2"/>
          <w:sz w:val="24"/>
          <w:szCs w:val="24"/>
          <w:highlight w:val="none"/>
          <w:lang w:val="en-US" w:eastAsia="zh-CN" w:bidi="ar-SA"/>
        </w:rPr>
      </w:pPr>
    </w:p>
    <w:p w14:paraId="0C3BB026">
      <w:pPr>
        <w:pStyle w:val="4"/>
        <w:keepNext/>
        <w:keepLines/>
        <w:pageBreakBefore w:val="0"/>
        <w:widowControl w:val="0"/>
        <w:kinsoku/>
        <w:wordWrap/>
        <w:overflowPunct/>
        <w:topLinePunct w:val="0"/>
        <w:autoSpaceDE/>
        <w:autoSpaceDN/>
        <w:bidi w:val="0"/>
        <w:adjustRightInd/>
        <w:snapToGrid/>
        <w:spacing w:before="0" w:after="0" w:line="360" w:lineRule="auto"/>
        <w:ind w:left="0" w:firstLine="843" w:firstLineChars="3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参与实施政府采购环境标志产品认证机构名录</w:t>
      </w:r>
    </w:p>
    <w:tbl>
      <w:tblPr>
        <w:tblStyle w:val="29"/>
        <w:tblW w:w="8284"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3"/>
        <w:gridCol w:w="2157"/>
        <w:gridCol w:w="5154"/>
      </w:tblGrid>
      <w:tr w14:paraId="40236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973" w:type="dxa"/>
          </w:tcPr>
          <w:p w14:paraId="408A06A8">
            <w:pPr>
              <w:pStyle w:val="75"/>
              <w:keepNext w:val="0"/>
              <w:keepLines w:val="0"/>
              <w:pageBreakBefore w:val="0"/>
              <w:widowControl w:val="0"/>
              <w:kinsoku/>
              <w:wordWrap/>
              <w:overflowPunct/>
              <w:topLinePunct w:val="0"/>
              <w:autoSpaceDE/>
              <w:autoSpaceDN/>
              <w:bidi w:val="0"/>
              <w:adjustRightInd/>
              <w:snapToGrid/>
              <w:spacing w:line="340" w:lineRule="exact"/>
              <w:ind w:left="303"/>
              <w:textAlignment w:val="auto"/>
              <w:rPr>
                <w:rFonts w:hint="eastAsia" w:ascii="仿宋" w:hAnsi="仿宋" w:eastAsia="仿宋" w:cs="仿宋"/>
                <w:sz w:val="21"/>
                <w:szCs w:val="21"/>
                <w:highlight w:val="none"/>
              </w:rPr>
            </w:pPr>
            <w:r>
              <w:rPr>
                <w:rFonts w:hint="eastAsia" w:ascii="仿宋" w:hAnsi="仿宋" w:eastAsia="仿宋" w:cs="仿宋"/>
                <w:color w:val="383838"/>
                <w:spacing w:val="-3"/>
                <w:sz w:val="21"/>
                <w:szCs w:val="21"/>
                <w:highlight w:val="none"/>
              </w:rPr>
              <w:t>序号</w:t>
            </w:r>
          </w:p>
        </w:tc>
        <w:tc>
          <w:tcPr>
            <w:tcW w:w="2157" w:type="dxa"/>
          </w:tcPr>
          <w:p w14:paraId="42AE129B">
            <w:pPr>
              <w:pStyle w:val="75"/>
              <w:keepNext w:val="0"/>
              <w:keepLines w:val="0"/>
              <w:pageBreakBefore w:val="0"/>
              <w:widowControl w:val="0"/>
              <w:kinsoku/>
              <w:wordWrap/>
              <w:overflowPunct/>
              <w:topLinePunct w:val="0"/>
              <w:autoSpaceDE/>
              <w:autoSpaceDN/>
              <w:bidi w:val="0"/>
              <w:adjustRightInd/>
              <w:snapToGrid/>
              <w:spacing w:line="340" w:lineRule="exact"/>
              <w:ind w:left="944"/>
              <w:textAlignment w:val="auto"/>
              <w:rPr>
                <w:rFonts w:hint="eastAsia" w:ascii="仿宋" w:hAnsi="仿宋" w:eastAsia="仿宋" w:cs="仿宋"/>
                <w:sz w:val="21"/>
                <w:szCs w:val="21"/>
                <w:highlight w:val="none"/>
              </w:rPr>
            </w:pPr>
            <w:r>
              <w:rPr>
                <w:rFonts w:hint="eastAsia" w:ascii="仿宋" w:hAnsi="仿宋" w:eastAsia="仿宋" w:cs="仿宋"/>
                <w:color w:val="383838"/>
                <w:spacing w:val="-21"/>
                <w:sz w:val="21"/>
                <w:szCs w:val="21"/>
                <w:highlight w:val="none"/>
              </w:rPr>
              <w:t>目录</w:t>
            </w:r>
          </w:p>
        </w:tc>
        <w:tc>
          <w:tcPr>
            <w:tcW w:w="5154" w:type="dxa"/>
          </w:tcPr>
          <w:p w14:paraId="36041AB9">
            <w:pPr>
              <w:pStyle w:val="75"/>
              <w:keepNext w:val="0"/>
              <w:keepLines w:val="0"/>
              <w:pageBreakBefore w:val="0"/>
              <w:widowControl w:val="0"/>
              <w:kinsoku/>
              <w:wordWrap/>
              <w:overflowPunct/>
              <w:topLinePunct w:val="0"/>
              <w:autoSpaceDE/>
              <w:autoSpaceDN/>
              <w:bidi w:val="0"/>
              <w:adjustRightInd/>
              <w:snapToGrid/>
              <w:spacing w:line="340" w:lineRule="exact"/>
              <w:ind w:left="2027"/>
              <w:textAlignment w:val="auto"/>
              <w:rPr>
                <w:rFonts w:hint="eastAsia" w:ascii="仿宋" w:hAnsi="仿宋" w:eastAsia="仿宋" w:cs="仿宋"/>
                <w:sz w:val="21"/>
                <w:szCs w:val="21"/>
                <w:highlight w:val="none"/>
              </w:rPr>
            </w:pPr>
            <w:r>
              <w:rPr>
                <w:rFonts w:hint="eastAsia" w:ascii="仿宋" w:hAnsi="仿宋" w:eastAsia="仿宋" w:cs="仿宋"/>
                <w:color w:val="383838"/>
                <w:spacing w:val="2"/>
                <w:sz w:val="21"/>
                <w:szCs w:val="21"/>
                <w:highlight w:val="none"/>
              </w:rPr>
              <w:t>认证机构名录</w:t>
            </w:r>
          </w:p>
        </w:tc>
      </w:tr>
      <w:tr w14:paraId="252A8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973" w:type="dxa"/>
          </w:tcPr>
          <w:p w14:paraId="3DC2BFE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711586C8">
            <w:pPr>
              <w:pStyle w:val="75"/>
              <w:keepNext w:val="0"/>
              <w:keepLines w:val="0"/>
              <w:pageBreakBefore w:val="0"/>
              <w:widowControl w:val="0"/>
              <w:kinsoku/>
              <w:wordWrap/>
              <w:overflowPunct/>
              <w:topLinePunct w:val="0"/>
              <w:autoSpaceDE/>
              <w:autoSpaceDN/>
              <w:bidi w:val="0"/>
              <w:adjustRightInd/>
              <w:snapToGrid/>
              <w:spacing w:line="340" w:lineRule="exact"/>
              <w:ind w:left="269"/>
              <w:textAlignment w:val="auto"/>
              <w:rPr>
                <w:rFonts w:hint="eastAsia" w:ascii="仿宋" w:hAnsi="仿宋" w:eastAsia="仿宋" w:cs="仿宋"/>
                <w:color w:val="383838"/>
                <w:spacing w:val="-3"/>
                <w:sz w:val="21"/>
                <w:szCs w:val="21"/>
                <w:highlight w:val="none"/>
              </w:rPr>
            </w:pPr>
            <w:r>
              <w:rPr>
                <w:rFonts w:hint="eastAsia" w:ascii="仿宋" w:hAnsi="仿宋" w:eastAsia="仿宋" w:cs="仿宋"/>
                <w:color w:val="383838"/>
                <w:spacing w:val="-11"/>
                <w:sz w:val="21"/>
                <w:szCs w:val="21"/>
                <w:highlight w:val="none"/>
              </w:rPr>
              <w:t>1</w:t>
            </w:r>
          </w:p>
        </w:tc>
        <w:tc>
          <w:tcPr>
            <w:tcW w:w="2157" w:type="dxa"/>
          </w:tcPr>
          <w:p w14:paraId="3B828CB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1"/>
                <w:szCs w:val="21"/>
                <w:highlight w:val="none"/>
              </w:rPr>
            </w:pPr>
          </w:p>
          <w:p w14:paraId="406B17BE">
            <w:pPr>
              <w:pStyle w:val="7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383838"/>
                <w:spacing w:val="-21"/>
                <w:sz w:val="21"/>
                <w:szCs w:val="21"/>
                <w:highlight w:val="none"/>
              </w:rPr>
            </w:pPr>
            <w:r>
              <w:rPr>
                <w:rFonts w:hint="eastAsia" w:ascii="仿宋" w:hAnsi="仿宋" w:eastAsia="仿宋" w:cs="仿宋"/>
                <w:color w:val="383838"/>
                <w:spacing w:val="2"/>
                <w:sz w:val="21"/>
                <w:szCs w:val="21"/>
                <w:highlight w:val="none"/>
              </w:rPr>
              <w:t>环境标志产品</w:t>
            </w:r>
          </w:p>
        </w:tc>
        <w:tc>
          <w:tcPr>
            <w:tcW w:w="5154" w:type="dxa"/>
          </w:tcPr>
          <w:p w14:paraId="2B2F1317">
            <w:pPr>
              <w:pStyle w:val="75"/>
              <w:keepNext w:val="0"/>
              <w:keepLines w:val="0"/>
              <w:pageBreakBefore w:val="0"/>
              <w:widowControl w:val="0"/>
              <w:kinsoku/>
              <w:wordWrap/>
              <w:overflowPunct/>
              <w:topLinePunct w:val="0"/>
              <w:autoSpaceDE/>
              <w:autoSpaceDN/>
              <w:bidi w:val="0"/>
              <w:adjustRightInd/>
              <w:snapToGrid/>
              <w:spacing w:line="340" w:lineRule="exact"/>
              <w:ind w:left="22"/>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中环联合（北京）认证中心有限公司</w:t>
            </w:r>
          </w:p>
          <w:p w14:paraId="7E06D8E4">
            <w:pPr>
              <w:pStyle w:val="75"/>
              <w:keepNext w:val="0"/>
              <w:keepLines w:val="0"/>
              <w:pageBreakBefore w:val="0"/>
              <w:widowControl w:val="0"/>
              <w:kinsoku/>
              <w:wordWrap/>
              <w:overflowPunct/>
              <w:topLinePunct w:val="0"/>
              <w:autoSpaceDE/>
              <w:autoSpaceDN/>
              <w:bidi w:val="0"/>
              <w:adjustRightInd/>
              <w:snapToGrid/>
              <w:spacing w:line="340" w:lineRule="exact"/>
              <w:ind w:left="22"/>
              <w:textAlignment w:val="auto"/>
              <w:rPr>
                <w:rFonts w:hint="eastAsia" w:ascii="仿宋" w:hAnsi="仿宋" w:eastAsia="仿宋" w:cs="仿宋"/>
                <w:sz w:val="21"/>
                <w:szCs w:val="21"/>
                <w:highlight w:val="none"/>
              </w:rPr>
            </w:pPr>
            <w:r>
              <w:rPr>
                <w:rFonts w:hint="eastAsia" w:ascii="仿宋" w:hAnsi="仿宋" w:eastAsia="仿宋" w:cs="仿宋"/>
                <w:color w:val="383838"/>
                <w:sz w:val="21"/>
                <w:szCs w:val="21"/>
                <w:highlight w:val="none"/>
              </w:rPr>
              <w:t>中标合信（北京）认证有限公司</w:t>
            </w:r>
          </w:p>
          <w:p w14:paraId="58192101">
            <w:pPr>
              <w:pStyle w:val="75"/>
              <w:keepNext w:val="0"/>
              <w:keepLines w:val="0"/>
              <w:pageBreakBefore w:val="0"/>
              <w:widowControl w:val="0"/>
              <w:kinsoku/>
              <w:wordWrap/>
              <w:overflowPunct/>
              <w:topLinePunct w:val="0"/>
              <w:autoSpaceDE/>
              <w:autoSpaceDN/>
              <w:bidi w:val="0"/>
              <w:adjustRightInd/>
              <w:snapToGrid/>
              <w:spacing w:line="340" w:lineRule="exact"/>
              <w:ind w:left="22"/>
              <w:textAlignment w:val="auto"/>
              <w:rPr>
                <w:rFonts w:hint="eastAsia" w:ascii="仿宋" w:hAnsi="仿宋" w:eastAsia="仿宋" w:cs="仿宋"/>
                <w:sz w:val="21"/>
                <w:szCs w:val="21"/>
                <w:highlight w:val="none"/>
              </w:rPr>
            </w:pPr>
            <w:r>
              <w:rPr>
                <w:rFonts w:hint="eastAsia" w:ascii="仿宋" w:hAnsi="仿宋" w:eastAsia="仿宋" w:cs="仿宋"/>
                <w:color w:val="383838"/>
                <w:spacing w:val="-1"/>
                <w:sz w:val="21"/>
                <w:szCs w:val="21"/>
                <w:highlight w:val="none"/>
              </w:rPr>
              <w:t>中环协（北京）认证中心</w:t>
            </w:r>
          </w:p>
          <w:p w14:paraId="4D6209EC">
            <w:pPr>
              <w:pStyle w:val="75"/>
              <w:keepNext w:val="0"/>
              <w:keepLines w:val="0"/>
              <w:pageBreakBefore w:val="0"/>
              <w:widowControl w:val="0"/>
              <w:kinsoku/>
              <w:wordWrap/>
              <w:overflowPunct/>
              <w:topLinePunct w:val="0"/>
              <w:autoSpaceDE/>
              <w:autoSpaceDN/>
              <w:bidi w:val="0"/>
              <w:adjustRightInd/>
              <w:snapToGrid/>
              <w:spacing w:line="340" w:lineRule="exact"/>
              <w:ind w:left="9"/>
              <w:textAlignment w:val="auto"/>
              <w:rPr>
                <w:rFonts w:hint="eastAsia" w:ascii="仿宋" w:hAnsi="仿宋" w:eastAsia="仿宋" w:cs="仿宋"/>
                <w:color w:val="383838"/>
                <w:spacing w:val="2"/>
                <w:sz w:val="21"/>
                <w:szCs w:val="21"/>
                <w:highlight w:val="none"/>
              </w:rPr>
            </w:pPr>
            <w:r>
              <w:rPr>
                <w:rFonts w:hint="eastAsia" w:ascii="仿宋" w:hAnsi="仿宋" w:eastAsia="仿宋" w:cs="仿宋"/>
                <w:color w:val="383838"/>
                <w:spacing w:val="2"/>
                <w:sz w:val="21"/>
                <w:szCs w:val="21"/>
                <w:highlight w:val="none"/>
              </w:rPr>
              <w:t>天津华诚认证有限公司</w:t>
            </w:r>
          </w:p>
        </w:tc>
      </w:tr>
    </w:tbl>
    <w:p w14:paraId="48F99CA4">
      <w:pPr>
        <w:pStyle w:val="13"/>
        <w:rPr>
          <w:highlight w:val="none"/>
          <w:lang w:val="en-US" w:eastAsia="zh-CN"/>
        </w:rPr>
      </w:pPr>
    </w:p>
    <w:p w14:paraId="7C67E3CB">
      <w:pPr>
        <w:rPr>
          <w:highlight w:val="none"/>
          <w:lang w:val="en-US" w:eastAsia="zh-CN"/>
        </w:rPr>
      </w:pPr>
    </w:p>
    <w:p w14:paraId="4EA37D68">
      <w:pPr>
        <w:pStyle w:val="13"/>
        <w:rPr>
          <w:highlight w:val="none"/>
          <w:lang w:val="en-US" w:eastAsia="zh-CN"/>
        </w:rPr>
      </w:pPr>
    </w:p>
    <w:p w14:paraId="79876175">
      <w:pPr>
        <w:rPr>
          <w:highlight w:val="none"/>
          <w:lang w:val="en-US" w:eastAsia="zh-CN"/>
        </w:rPr>
      </w:pPr>
    </w:p>
    <w:p w14:paraId="4DE751D9">
      <w:pPr>
        <w:pStyle w:val="13"/>
        <w:rPr>
          <w:highlight w:val="none"/>
          <w:lang w:val="en-US" w:eastAsia="zh-CN"/>
        </w:rPr>
      </w:pPr>
    </w:p>
    <w:p w14:paraId="39BA8FE1">
      <w:pPr>
        <w:rPr>
          <w:highlight w:val="none"/>
          <w:lang w:val="en-US" w:eastAsia="zh-CN"/>
        </w:rPr>
      </w:pPr>
    </w:p>
    <w:p w14:paraId="086A9F24">
      <w:pPr>
        <w:pStyle w:val="13"/>
        <w:rPr>
          <w:highlight w:val="none"/>
          <w:lang w:val="en-US" w:eastAsia="zh-CN"/>
        </w:rPr>
      </w:pPr>
    </w:p>
    <w:p w14:paraId="0D229B9A">
      <w:pPr>
        <w:rPr>
          <w:highlight w:val="none"/>
          <w:lang w:val="en-US" w:eastAsia="zh-CN"/>
        </w:rPr>
      </w:pPr>
    </w:p>
    <w:p w14:paraId="181CD125">
      <w:pPr>
        <w:pStyle w:val="13"/>
        <w:rPr>
          <w:highlight w:val="none"/>
          <w:lang w:val="en-US" w:eastAsia="zh-CN"/>
        </w:rPr>
      </w:pPr>
    </w:p>
    <w:p w14:paraId="185E94E5">
      <w:pPr>
        <w:rPr>
          <w:highlight w:val="none"/>
          <w:lang w:val="en-US" w:eastAsia="zh-CN"/>
        </w:rPr>
      </w:pPr>
    </w:p>
    <w:p w14:paraId="0D853B18">
      <w:pPr>
        <w:pStyle w:val="13"/>
        <w:rPr>
          <w:highlight w:val="none"/>
          <w:lang w:val="en-US" w:eastAsia="zh-CN"/>
        </w:rPr>
      </w:pPr>
    </w:p>
    <w:p w14:paraId="32433E54">
      <w:pPr>
        <w:rPr>
          <w:highlight w:val="none"/>
          <w:lang w:val="en-US" w:eastAsia="zh-CN"/>
        </w:rPr>
      </w:pPr>
    </w:p>
    <w:p w14:paraId="693A1252">
      <w:pPr>
        <w:pStyle w:val="13"/>
        <w:rPr>
          <w:highlight w:val="none"/>
          <w:lang w:val="en-US" w:eastAsia="zh-CN"/>
        </w:rPr>
      </w:pPr>
    </w:p>
    <w:p w14:paraId="02AC8EE1">
      <w:pPr>
        <w:rPr>
          <w:highlight w:val="none"/>
          <w:lang w:val="en-US" w:eastAsia="zh-CN"/>
        </w:rPr>
      </w:pPr>
    </w:p>
    <w:p w14:paraId="1FD22017">
      <w:pPr>
        <w:pStyle w:val="13"/>
        <w:rPr>
          <w:highlight w:val="none"/>
          <w:lang w:val="en-US" w:eastAsia="zh-CN"/>
        </w:rPr>
      </w:pPr>
    </w:p>
    <w:p w14:paraId="1B82018F">
      <w:pPr>
        <w:rPr>
          <w:highlight w:val="none"/>
          <w:lang w:val="en-US" w:eastAsia="zh-CN"/>
        </w:rPr>
      </w:pPr>
    </w:p>
    <w:p w14:paraId="7E662AF3">
      <w:pPr>
        <w:pStyle w:val="13"/>
        <w:rPr>
          <w:highlight w:val="none"/>
          <w:lang w:val="en-US" w:eastAsia="zh-CN"/>
        </w:rPr>
      </w:pPr>
    </w:p>
    <w:p w14:paraId="0EC8744D">
      <w:pPr>
        <w:rPr>
          <w:highlight w:val="none"/>
          <w:lang w:val="en-US" w:eastAsia="zh-CN"/>
        </w:rPr>
      </w:pPr>
    </w:p>
    <w:p w14:paraId="74EBA566">
      <w:pPr>
        <w:pStyle w:val="13"/>
        <w:rPr>
          <w:highlight w:val="none"/>
          <w:lang w:val="en-US" w:eastAsia="zh-CN"/>
        </w:rPr>
      </w:pPr>
    </w:p>
    <w:p w14:paraId="3DB2B70D">
      <w:pPr>
        <w:rPr>
          <w:highlight w:val="none"/>
          <w:lang w:val="en-US" w:eastAsia="zh-CN"/>
        </w:rPr>
      </w:pPr>
    </w:p>
    <w:p w14:paraId="606B2EA5">
      <w:pPr>
        <w:pStyle w:val="4"/>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（二）中小企业声明函【如专门面向中小企业采购的项目，此函可放于此处，否则，应后置于“其他资格证明文件”】</w:t>
      </w:r>
      <w:bookmarkEnd w:id="408"/>
    </w:p>
    <w:p w14:paraId="7A518507">
      <w:pPr>
        <w:pStyle w:val="39"/>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ascii="仿宋" w:hAnsi="仿宋" w:eastAsia="仿宋" w:cs="仿宋"/>
          <w:b/>
          <w:bCs/>
          <w:color w:val="auto"/>
          <w:sz w:val="32"/>
          <w:szCs w:val="32"/>
          <w:highlight w:val="none"/>
        </w:rPr>
      </w:pPr>
    </w:p>
    <w:p w14:paraId="760F43E1">
      <w:pPr>
        <w:pStyle w:val="39"/>
        <w:numPr>
          <w:ilvl w:val="0"/>
          <w:numId w:val="0"/>
        </w:numPr>
        <w:ind w:left="420" w:leftChars="0" w:hanging="420" w:firstLineChars="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中小企业声明函</w:t>
      </w:r>
    </w:p>
    <w:p w14:paraId="78BC1CF1">
      <w:pPr>
        <w:ind w:firstLine="504" w:firstLineChars="200"/>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本公司（联合体）郑重声明，根据《政府采购促进中小企业发展管理办法》（财库﹝2020﹞46 号）的规定，本公司（联合体）参加</w:t>
      </w:r>
      <w:r>
        <w:rPr>
          <w:rFonts w:hint="eastAsia" w:ascii="仿宋" w:hAnsi="仿宋" w:eastAsia="仿宋" w:cs="仿宋"/>
          <w:color w:val="auto"/>
          <w:spacing w:val="6"/>
          <w:szCs w:val="24"/>
          <w:highlight w:val="none"/>
          <w:u w:val="single"/>
        </w:rPr>
        <w:t xml:space="preserve"> （单位名称）</w:t>
      </w:r>
      <w:r>
        <w:rPr>
          <w:rFonts w:hint="eastAsia" w:ascii="仿宋" w:hAnsi="仿宋" w:eastAsia="仿宋" w:cs="仿宋"/>
          <w:color w:val="auto"/>
          <w:spacing w:val="6"/>
          <w:szCs w:val="24"/>
          <w:highlight w:val="none"/>
        </w:rPr>
        <w:t xml:space="preserve"> 的</w:t>
      </w:r>
      <w:r>
        <w:rPr>
          <w:rFonts w:hint="eastAsia" w:ascii="仿宋" w:hAnsi="仿宋" w:eastAsia="仿宋" w:cs="仿宋"/>
          <w:color w:val="auto"/>
          <w:spacing w:val="6"/>
          <w:szCs w:val="24"/>
          <w:highlight w:val="none"/>
          <w:u w:val="single"/>
        </w:rPr>
        <w:t xml:space="preserve"> （项目名称） </w:t>
      </w:r>
      <w:r>
        <w:rPr>
          <w:rFonts w:hint="eastAsia" w:ascii="仿宋" w:hAnsi="仿宋" w:eastAsia="仿宋" w:cs="仿宋"/>
          <w:color w:val="auto"/>
          <w:spacing w:val="6"/>
          <w:szCs w:val="24"/>
          <w:highlight w:val="none"/>
        </w:rPr>
        <w:t>采购活动，提供的货物全部由符合政策要求的中小企业制造。相关企业（含联合体中的中小企业、签订分包意向协议的中小企业）的具体情况如下：</w:t>
      </w:r>
    </w:p>
    <w:p w14:paraId="5FCC96F1">
      <w:pPr>
        <w:ind w:firstLine="504" w:firstLineChars="200"/>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1.</w:t>
      </w:r>
      <w:r>
        <w:rPr>
          <w:rFonts w:hint="eastAsia" w:ascii="仿宋" w:hAnsi="仿宋" w:eastAsia="仿宋" w:cs="仿宋"/>
          <w:color w:val="auto"/>
          <w:spacing w:val="6"/>
          <w:szCs w:val="24"/>
          <w:highlight w:val="none"/>
          <w:u w:val="single"/>
        </w:rPr>
        <w:t xml:space="preserve"> （标的名称） </w:t>
      </w:r>
      <w:r>
        <w:rPr>
          <w:rFonts w:hint="eastAsia" w:ascii="仿宋" w:hAnsi="仿宋" w:eastAsia="仿宋" w:cs="仿宋"/>
          <w:color w:val="auto"/>
          <w:spacing w:val="6"/>
          <w:szCs w:val="24"/>
          <w:highlight w:val="none"/>
        </w:rPr>
        <w:t>，属于</w:t>
      </w:r>
      <w:r>
        <w:rPr>
          <w:rFonts w:hint="eastAsia" w:ascii="仿宋" w:hAnsi="仿宋" w:eastAsia="仿宋" w:cs="仿宋"/>
          <w:color w:val="auto"/>
          <w:spacing w:val="6"/>
          <w:szCs w:val="24"/>
          <w:highlight w:val="none"/>
          <w:u w:val="single"/>
        </w:rPr>
        <w:t xml:space="preserve"> （采购文件中明确的所属行业）</w:t>
      </w:r>
      <w:r>
        <w:rPr>
          <w:rFonts w:hint="eastAsia" w:ascii="仿宋" w:hAnsi="仿宋" w:eastAsia="仿宋" w:cs="仿宋"/>
          <w:color w:val="auto"/>
          <w:spacing w:val="6"/>
          <w:szCs w:val="24"/>
          <w:highlight w:val="none"/>
        </w:rPr>
        <w:t>行业 ；制造商为</w:t>
      </w:r>
      <w:r>
        <w:rPr>
          <w:rFonts w:hint="eastAsia" w:ascii="仿宋" w:hAnsi="仿宋" w:eastAsia="仿宋" w:cs="仿宋"/>
          <w:color w:val="auto"/>
          <w:spacing w:val="6"/>
          <w:szCs w:val="24"/>
          <w:highlight w:val="none"/>
          <w:u w:val="single"/>
        </w:rPr>
        <w:t xml:space="preserve"> （企业名称） </w:t>
      </w:r>
      <w:r>
        <w:rPr>
          <w:rFonts w:hint="eastAsia" w:ascii="仿宋" w:hAnsi="仿宋" w:eastAsia="仿宋" w:cs="仿宋"/>
          <w:color w:val="auto"/>
          <w:spacing w:val="6"/>
          <w:szCs w:val="24"/>
          <w:highlight w:val="none"/>
        </w:rPr>
        <w:t>，从业人员</w:t>
      </w:r>
      <w:r>
        <w:rPr>
          <w:rFonts w:hint="eastAsia" w:ascii="仿宋" w:hAnsi="仿宋" w:eastAsia="仿宋" w:cs="仿宋"/>
          <w:color w:val="auto"/>
          <w:spacing w:val="6"/>
          <w:szCs w:val="24"/>
          <w:highlight w:val="none"/>
          <w:u w:val="single"/>
          <w:lang w:val="en-US" w:eastAsia="zh-CN"/>
        </w:rPr>
        <w:t xml:space="preserve">     </w:t>
      </w:r>
      <w:r>
        <w:rPr>
          <w:rFonts w:hint="eastAsia" w:ascii="仿宋" w:hAnsi="仿宋" w:eastAsia="仿宋" w:cs="仿宋"/>
          <w:color w:val="auto"/>
          <w:spacing w:val="6"/>
          <w:szCs w:val="24"/>
          <w:highlight w:val="none"/>
        </w:rPr>
        <w:t>人，营业收入为</w:t>
      </w:r>
      <w:r>
        <w:rPr>
          <w:rFonts w:hint="eastAsia" w:ascii="仿宋" w:hAnsi="仿宋" w:eastAsia="仿宋" w:cs="仿宋"/>
          <w:color w:val="auto"/>
          <w:spacing w:val="6"/>
          <w:szCs w:val="24"/>
          <w:highlight w:val="none"/>
          <w:u w:val="single"/>
          <w:lang w:val="en-US" w:eastAsia="zh-CN"/>
        </w:rPr>
        <w:t xml:space="preserve">      </w:t>
      </w:r>
      <w:r>
        <w:rPr>
          <w:rFonts w:hint="eastAsia" w:ascii="仿宋" w:hAnsi="仿宋" w:eastAsia="仿宋" w:cs="仿宋"/>
          <w:color w:val="auto"/>
          <w:spacing w:val="6"/>
          <w:szCs w:val="24"/>
          <w:highlight w:val="none"/>
        </w:rPr>
        <w:t>万元，资产总额为</w:t>
      </w:r>
      <w:r>
        <w:rPr>
          <w:rFonts w:hint="eastAsia" w:ascii="仿宋" w:hAnsi="仿宋" w:eastAsia="仿宋" w:cs="仿宋"/>
          <w:color w:val="auto"/>
          <w:spacing w:val="6"/>
          <w:szCs w:val="24"/>
          <w:highlight w:val="none"/>
          <w:u w:val="single"/>
          <w:lang w:val="en-US" w:eastAsia="zh-CN"/>
        </w:rPr>
        <w:t xml:space="preserve">       </w:t>
      </w:r>
      <w:r>
        <w:rPr>
          <w:rFonts w:hint="eastAsia" w:ascii="仿宋" w:hAnsi="仿宋" w:eastAsia="仿宋" w:cs="仿宋"/>
          <w:color w:val="auto"/>
          <w:spacing w:val="6"/>
          <w:szCs w:val="24"/>
          <w:highlight w:val="none"/>
        </w:rPr>
        <w:t>万元，属于</w:t>
      </w:r>
      <w:r>
        <w:rPr>
          <w:rFonts w:hint="eastAsia" w:ascii="仿宋" w:hAnsi="仿宋" w:eastAsia="仿宋" w:cs="仿宋"/>
          <w:color w:val="auto"/>
          <w:spacing w:val="6"/>
          <w:szCs w:val="24"/>
          <w:highlight w:val="none"/>
          <w:u w:val="single"/>
        </w:rPr>
        <w:t xml:space="preserve"> （中型企业、小型企业、微型企业）</w:t>
      </w:r>
      <w:r>
        <w:rPr>
          <w:rFonts w:hint="eastAsia" w:ascii="仿宋" w:hAnsi="仿宋" w:eastAsia="仿宋" w:cs="仿宋"/>
          <w:color w:val="auto"/>
          <w:spacing w:val="6"/>
          <w:szCs w:val="24"/>
          <w:highlight w:val="none"/>
        </w:rPr>
        <w:t>；</w:t>
      </w:r>
    </w:p>
    <w:p w14:paraId="1D01E102">
      <w:pPr>
        <w:ind w:firstLine="504" w:firstLineChars="200"/>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2.</w:t>
      </w:r>
      <w:r>
        <w:rPr>
          <w:rFonts w:hint="eastAsia" w:ascii="仿宋" w:hAnsi="仿宋" w:eastAsia="仿宋" w:cs="仿宋"/>
          <w:color w:val="auto"/>
          <w:spacing w:val="6"/>
          <w:szCs w:val="24"/>
          <w:highlight w:val="none"/>
          <w:u w:val="single"/>
        </w:rPr>
        <w:t xml:space="preserve"> （标的名称） </w:t>
      </w:r>
      <w:r>
        <w:rPr>
          <w:rFonts w:hint="eastAsia" w:ascii="仿宋" w:hAnsi="仿宋" w:eastAsia="仿宋" w:cs="仿宋"/>
          <w:color w:val="auto"/>
          <w:spacing w:val="6"/>
          <w:szCs w:val="24"/>
          <w:highlight w:val="none"/>
        </w:rPr>
        <w:t>，属于</w:t>
      </w:r>
      <w:r>
        <w:rPr>
          <w:rFonts w:hint="eastAsia" w:ascii="仿宋" w:hAnsi="仿宋" w:eastAsia="仿宋" w:cs="仿宋"/>
          <w:color w:val="auto"/>
          <w:spacing w:val="6"/>
          <w:szCs w:val="24"/>
          <w:highlight w:val="none"/>
          <w:u w:val="single"/>
        </w:rPr>
        <w:t xml:space="preserve"> （采购文件中明确的所属行业）</w:t>
      </w:r>
      <w:r>
        <w:rPr>
          <w:rFonts w:hint="eastAsia" w:ascii="仿宋" w:hAnsi="仿宋" w:eastAsia="仿宋" w:cs="仿宋"/>
          <w:color w:val="auto"/>
          <w:spacing w:val="6"/>
          <w:szCs w:val="24"/>
          <w:highlight w:val="none"/>
        </w:rPr>
        <w:t>行业 ；制造商为</w:t>
      </w:r>
      <w:r>
        <w:rPr>
          <w:rFonts w:hint="eastAsia" w:ascii="仿宋" w:hAnsi="仿宋" w:eastAsia="仿宋" w:cs="仿宋"/>
          <w:color w:val="auto"/>
          <w:spacing w:val="6"/>
          <w:szCs w:val="24"/>
          <w:highlight w:val="none"/>
          <w:u w:val="single"/>
        </w:rPr>
        <w:t xml:space="preserve"> （企业名称） </w:t>
      </w:r>
      <w:r>
        <w:rPr>
          <w:rFonts w:hint="eastAsia" w:ascii="仿宋" w:hAnsi="仿宋" w:eastAsia="仿宋" w:cs="仿宋"/>
          <w:color w:val="auto"/>
          <w:spacing w:val="6"/>
          <w:szCs w:val="24"/>
          <w:highlight w:val="none"/>
        </w:rPr>
        <w:t>，从业人员</w:t>
      </w:r>
      <w:r>
        <w:rPr>
          <w:rFonts w:hint="eastAsia" w:ascii="仿宋" w:hAnsi="仿宋" w:eastAsia="仿宋" w:cs="仿宋"/>
          <w:color w:val="auto"/>
          <w:spacing w:val="6"/>
          <w:szCs w:val="24"/>
          <w:highlight w:val="none"/>
          <w:u w:val="single"/>
          <w:lang w:val="en-US" w:eastAsia="zh-CN"/>
        </w:rPr>
        <w:t xml:space="preserve">      </w:t>
      </w:r>
      <w:r>
        <w:rPr>
          <w:rFonts w:hint="eastAsia" w:ascii="仿宋" w:hAnsi="仿宋" w:eastAsia="仿宋" w:cs="仿宋"/>
          <w:color w:val="auto"/>
          <w:spacing w:val="6"/>
          <w:szCs w:val="24"/>
          <w:highlight w:val="none"/>
        </w:rPr>
        <w:t>人，营业收入为</w:t>
      </w:r>
      <w:r>
        <w:rPr>
          <w:rFonts w:hint="eastAsia" w:ascii="仿宋" w:hAnsi="仿宋" w:eastAsia="仿宋" w:cs="仿宋"/>
          <w:color w:val="auto"/>
          <w:spacing w:val="6"/>
          <w:szCs w:val="24"/>
          <w:highlight w:val="none"/>
          <w:u w:val="single"/>
          <w:lang w:val="en-US" w:eastAsia="zh-CN"/>
        </w:rPr>
        <w:t xml:space="preserve">      </w:t>
      </w:r>
      <w:r>
        <w:rPr>
          <w:rFonts w:hint="eastAsia" w:ascii="仿宋" w:hAnsi="仿宋" w:eastAsia="仿宋" w:cs="仿宋"/>
          <w:color w:val="auto"/>
          <w:spacing w:val="6"/>
          <w:szCs w:val="24"/>
          <w:highlight w:val="none"/>
        </w:rPr>
        <w:t>万元，资产总额为</w:t>
      </w:r>
      <w:r>
        <w:rPr>
          <w:rFonts w:hint="eastAsia" w:ascii="仿宋" w:hAnsi="仿宋" w:eastAsia="仿宋" w:cs="仿宋"/>
          <w:color w:val="auto"/>
          <w:spacing w:val="6"/>
          <w:szCs w:val="24"/>
          <w:highlight w:val="none"/>
          <w:u w:val="single"/>
          <w:lang w:val="en-US" w:eastAsia="zh-CN"/>
        </w:rPr>
        <w:t xml:space="preserve">       </w:t>
      </w:r>
      <w:r>
        <w:rPr>
          <w:rFonts w:hint="eastAsia" w:ascii="仿宋" w:hAnsi="仿宋" w:eastAsia="仿宋" w:cs="仿宋"/>
          <w:color w:val="auto"/>
          <w:spacing w:val="6"/>
          <w:szCs w:val="24"/>
          <w:highlight w:val="none"/>
        </w:rPr>
        <w:t>万元，属于</w:t>
      </w:r>
      <w:r>
        <w:rPr>
          <w:rFonts w:hint="eastAsia" w:ascii="仿宋" w:hAnsi="仿宋" w:eastAsia="仿宋" w:cs="仿宋"/>
          <w:color w:val="auto"/>
          <w:spacing w:val="6"/>
          <w:szCs w:val="24"/>
          <w:highlight w:val="none"/>
          <w:u w:val="single"/>
        </w:rPr>
        <w:t xml:space="preserve"> （中型企业、小型企业、微型企业）</w:t>
      </w:r>
      <w:r>
        <w:rPr>
          <w:rFonts w:hint="eastAsia" w:ascii="仿宋" w:hAnsi="仿宋" w:eastAsia="仿宋" w:cs="仿宋"/>
          <w:color w:val="auto"/>
          <w:spacing w:val="6"/>
          <w:szCs w:val="24"/>
          <w:highlight w:val="none"/>
        </w:rPr>
        <w:t>；</w:t>
      </w:r>
    </w:p>
    <w:p w14:paraId="7CB1DD8C">
      <w:pPr>
        <w:ind w:firstLine="504" w:firstLineChars="200"/>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w:t>
      </w:r>
    </w:p>
    <w:p w14:paraId="776FE44A">
      <w:pPr>
        <w:ind w:firstLine="504" w:firstLineChars="200"/>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本企业对上述声明内容的真实性负责。如有虚假，将依法承担相应责任。</w:t>
      </w:r>
    </w:p>
    <w:p w14:paraId="5A6D844B">
      <w:pPr>
        <w:ind w:right="1008" w:firstLine="4788" w:firstLineChars="1900"/>
        <w:rPr>
          <w:rFonts w:hint="eastAsia" w:ascii="仿宋" w:hAnsi="仿宋" w:eastAsia="仿宋" w:cs="仿宋"/>
          <w:color w:val="auto"/>
          <w:spacing w:val="6"/>
          <w:szCs w:val="24"/>
          <w:highlight w:val="none"/>
        </w:rPr>
      </w:pPr>
    </w:p>
    <w:p w14:paraId="165AEE2D">
      <w:pPr>
        <w:ind w:right="1008" w:firstLine="4284" w:firstLineChars="1700"/>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lang w:val="en-US" w:eastAsia="zh-CN"/>
        </w:rPr>
        <w:t>投标人</w:t>
      </w:r>
      <w:r>
        <w:rPr>
          <w:rFonts w:hint="eastAsia" w:ascii="仿宋" w:hAnsi="仿宋" w:eastAsia="仿宋" w:cs="仿宋"/>
          <w:color w:val="auto"/>
          <w:spacing w:val="6"/>
          <w:szCs w:val="24"/>
          <w:highlight w:val="none"/>
        </w:rPr>
        <w:t>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spacing w:val="6"/>
          <w:szCs w:val="24"/>
          <w:highlight w:val="none"/>
        </w:rPr>
        <w:t>：</w:t>
      </w:r>
    </w:p>
    <w:p w14:paraId="5183E380">
      <w:pPr>
        <w:ind w:right="1008" w:firstLine="4284" w:firstLineChars="1700"/>
        <w:rPr>
          <w:rFonts w:hint="eastAsia" w:ascii="仿宋" w:hAnsi="仿宋" w:eastAsia="仿宋" w:cs="仿宋"/>
          <w:color w:val="auto"/>
          <w:spacing w:val="6"/>
          <w:szCs w:val="24"/>
          <w:highlight w:val="none"/>
          <w:lang w:val="en-US" w:eastAsia="zh-CN"/>
        </w:rPr>
      </w:pPr>
      <w:r>
        <w:rPr>
          <w:rFonts w:hint="eastAsia" w:ascii="仿宋" w:hAnsi="仿宋" w:eastAsia="仿宋" w:cs="仿宋"/>
          <w:color w:val="auto"/>
          <w:spacing w:val="6"/>
          <w:szCs w:val="24"/>
          <w:highlight w:val="none"/>
        </w:rPr>
        <w:t>日期：</w:t>
      </w:r>
      <w:r>
        <w:rPr>
          <w:rFonts w:hint="eastAsia" w:ascii="仿宋" w:hAnsi="仿宋" w:eastAsia="仿宋" w:cs="仿宋"/>
          <w:color w:val="auto"/>
          <w:spacing w:val="6"/>
          <w:szCs w:val="24"/>
          <w:highlight w:val="none"/>
          <w:lang w:val="en-US" w:eastAsia="zh-CN"/>
        </w:rPr>
        <w:t xml:space="preserve">   年  月  日</w:t>
      </w:r>
    </w:p>
    <w:p w14:paraId="7BA8C73B">
      <w:pPr>
        <w:ind w:firstLine="504" w:firstLineChars="200"/>
        <w:rPr>
          <w:rFonts w:hint="eastAsia" w:ascii="仿宋" w:hAnsi="仿宋" w:eastAsia="仿宋" w:cs="仿宋"/>
          <w:color w:val="auto"/>
          <w:spacing w:val="6"/>
          <w:szCs w:val="24"/>
          <w:highlight w:val="none"/>
        </w:rPr>
      </w:pPr>
    </w:p>
    <w:p w14:paraId="748B4DD4">
      <w:pPr>
        <w:rPr>
          <w:rFonts w:hint="eastAsia" w:ascii="仿宋" w:hAnsi="仿宋" w:eastAsia="仿宋" w:cs="仿宋"/>
          <w:b/>
          <w:bCs/>
          <w:color w:val="auto"/>
          <w:spacing w:val="6"/>
          <w:sz w:val="21"/>
          <w:szCs w:val="21"/>
          <w:highlight w:val="none"/>
          <w:lang w:val="en-US" w:eastAsia="zh-CN"/>
        </w:rPr>
      </w:pPr>
      <w:r>
        <w:rPr>
          <w:rFonts w:hint="eastAsia" w:ascii="仿宋" w:hAnsi="仿宋" w:eastAsia="仿宋" w:cs="仿宋"/>
          <w:b/>
          <w:bCs/>
          <w:color w:val="auto"/>
          <w:spacing w:val="6"/>
          <w:sz w:val="21"/>
          <w:szCs w:val="21"/>
          <w:highlight w:val="none"/>
        </w:rPr>
        <w:t>说明：</w:t>
      </w:r>
      <w:r>
        <w:rPr>
          <w:rFonts w:hint="eastAsia" w:ascii="仿宋" w:hAnsi="仿宋" w:eastAsia="仿宋" w:cs="仿宋"/>
          <w:b/>
          <w:bCs/>
          <w:color w:val="auto"/>
          <w:spacing w:val="6"/>
          <w:sz w:val="21"/>
          <w:szCs w:val="21"/>
          <w:highlight w:val="none"/>
          <w:lang w:val="en-US" w:eastAsia="zh-CN"/>
        </w:rPr>
        <w:t>1.重要提示：供应商应仔细阅读本函附件1关于</w:t>
      </w:r>
      <w:r>
        <w:rPr>
          <w:rFonts w:hint="eastAsia" w:ascii="仿宋" w:hAnsi="仿宋" w:eastAsia="仿宋" w:cs="仿宋"/>
          <w:color w:val="auto"/>
          <w:spacing w:val="-6"/>
          <w:kern w:val="0"/>
          <w:sz w:val="21"/>
          <w:szCs w:val="21"/>
          <w:highlight w:val="none"/>
          <w:lang w:val="en-US" w:eastAsia="zh-CN" w:bidi="ar"/>
        </w:rPr>
        <w:t>“</w:t>
      </w:r>
      <w:r>
        <w:rPr>
          <w:rFonts w:hint="eastAsia" w:ascii="仿宋" w:hAnsi="仿宋" w:eastAsia="仿宋" w:cs="仿宋"/>
          <w:b/>
          <w:bCs/>
          <w:color w:val="auto"/>
          <w:spacing w:val="6"/>
          <w:sz w:val="21"/>
          <w:szCs w:val="21"/>
          <w:highlight w:val="none"/>
          <w:lang w:val="en-US" w:eastAsia="zh-CN"/>
        </w:rPr>
        <w:t>中小企业声明函”的填写要求及提交要求，否则，因填写或提交等产生的一切不利后果，须自行承担。</w:t>
      </w:r>
    </w:p>
    <w:p w14:paraId="126DF3AF">
      <w:pPr>
        <w:ind w:firstLine="668" w:firstLineChars="300"/>
        <w:rPr>
          <w:rFonts w:hint="eastAsia" w:ascii="仿宋" w:hAnsi="仿宋" w:eastAsia="仿宋" w:cs="仿宋"/>
          <w:color w:val="auto"/>
          <w:spacing w:val="6"/>
          <w:sz w:val="21"/>
          <w:szCs w:val="21"/>
          <w:highlight w:val="none"/>
        </w:rPr>
      </w:pPr>
      <w:r>
        <w:rPr>
          <w:rFonts w:hint="eastAsia" w:ascii="仿宋" w:hAnsi="仿宋" w:eastAsia="仿宋" w:cs="仿宋"/>
          <w:b/>
          <w:bCs/>
          <w:color w:val="auto"/>
          <w:spacing w:val="6"/>
          <w:sz w:val="21"/>
          <w:szCs w:val="21"/>
          <w:highlight w:val="none"/>
          <w:lang w:val="en-US" w:eastAsia="zh-CN"/>
        </w:rPr>
        <w:t>2.</w:t>
      </w:r>
      <w:r>
        <w:rPr>
          <w:rFonts w:hint="eastAsia" w:ascii="仿宋" w:hAnsi="仿宋" w:eastAsia="仿宋" w:cs="仿宋"/>
          <w:color w:val="auto"/>
          <w:spacing w:val="6"/>
          <w:sz w:val="21"/>
          <w:szCs w:val="21"/>
          <w:highlight w:val="none"/>
        </w:rPr>
        <w:t>从业人员、营业收入、资产总额填报上一年度数据，无上一年度数据的新成立企业可不填报。</w:t>
      </w:r>
    </w:p>
    <w:p w14:paraId="54C60C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highlight w:val="none"/>
          <w:lang w:val="en-US" w:eastAsia="zh-CN"/>
        </w:rPr>
      </w:pPr>
    </w:p>
    <w:p w14:paraId="44B897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highlight w:val="none"/>
          <w:lang w:val="en-US" w:eastAsia="zh-CN"/>
        </w:rPr>
      </w:pP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 xml:space="preserve">附件1 </w:t>
      </w:r>
    </w:p>
    <w:p w14:paraId="2B5549A9">
      <w:pPr>
        <w:keepNext w:val="0"/>
        <w:keepLines w:val="0"/>
        <w:widowControl/>
        <w:suppressLineNumbers w:val="0"/>
        <w:ind w:firstLine="482" w:firstLineChars="200"/>
        <w:jc w:val="left"/>
        <w:rPr>
          <w:rStyle w:val="32"/>
          <w:rFonts w:hint="eastAsia" w:ascii="仿宋" w:hAnsi="仿宋" w:eastAsia="仿宋" w:cs="仿宋"/>
          <w:color w:val="auto"/>
          <w:kern w:val="0"/>
          <w:sz w:val="24"/>
          <w:szCs w:val="24"/>
          <w:highlight w:val="none"/>
          <w:lang w:val="en-US" w:eastAsia="zh-CN" w:bidi="ar"/>
        </w:rPr>
      </w:pPr>
      <w:r>
        <w:rPr>
          <w:rStyle w:val="32"/>
          <w:rFonts w:hint="eastAsia" w:ascii="仿宋" w:hAnsi="仿宋" w:eastAsia="仿宋" w:cs="仿宋"/>
          <w:color w:val="auto"/>
          <w:kern w:val="0"/>
          <w:sz w:val="24"/>
          <w:szCs w:val="24"/>
          <w:highlight w:val="none"/>
          <w:lang w:val="en-US" w:eastAsia="zh-CN" w:bidi="ar"/>
        </w:rPr>
        <w:t>（一）关于“中小企业声明函”的填写要求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“中小企业声明函”具体填写要求如下：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2"/>
          <w:rFonts w:hint="eastAsia" w:ascii="仿宋" w:hAnsi="仿宋" w:eastAsia="仿宋" w:cs="仿宋"/>
          <w:color w:val="auto"/>
          <w:kern w:val="0"/>
          <w:sz w:val="24"/>
          <w:szCs w:val="24"/>
          <w:highlight w:val="none"/>
          <w:lang w:val="en-US" w:eastAsia="zh-CN" w:bidi="ar"/>
        </w:rPr>
      </w:pPr>
      <w:r>
        <w:rPr>
          <w:rStyle w:val="32"/>
          <w:rFonts w:hint="eastAsia" w:ascii="仿宋" w:hAnsi="仿宋" w:eastAsia="仿宋" w:cs="仿宋"/>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C2F8">
      <w:pP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br w:type="page"/>
      </w: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附件2：</w:t>
      </w:r>
    </w:p>
    <w:p w14:paraId="3903639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2"/>
          <w:rFonts w:hint="eastAsia" w:ascii="仿宋" w:hAnsi="仿宋" w:eastAsia="仿宋" w:cs="仿宋"/>
          <w:b w:val="0"/>
          <w:color w:val="auto"/>
          <w:sz w:val="24"/>
          <w:szCs w:val="24"/>
          <w:highlight w:val="none"/>
        </w:rPr>
      </w:pPr>
      <w:r>
        <w:rPr>
          <w:rStyle w:val="32"/>
          <w:rFonts w:hint="eastAsia" w:ascii="仿宋" w:hAnsi="仿宋" w:eastAsia="仿宋" w:cs="仿宋"/>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2"/>
          <w:rFonts w:hint="eastAsia" w:ascii="仿宋" w:hAnsi="仿宋" w:eastAsia="仿宋" w:cs="仿宋"/>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仿宋" w:hAnsi="仿宋" w:eastAsia="仿宋" w:cs="仿宋"/>
          <w:b w:val="0"/>
          <w:color w:val="auto"/>
          <w:sz w:val="24"/>
          <w:szCs w:val="24"/>
          <w:highlight w:val="none"/>
        </w:rPr>
      </w:pPr>
      <w:r>
        <w:rPr>
          <w:rStyle w:val="32"/>
          <w:rFonts w:hint="eastAsia" w:ascii="仿宋" w:hAnsi="仿宋" w:eastAsia="仿宋" w:cs="仿宋"/>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2"/>
          <w:rFonts w:hint="eastAsia" w:ascii="仿宋" w:hAnsi="仿宋" w:eastAsia="仿宋" w:cs="仿宋"/>
          <w:b/>
          <w:bCs w:val="0"/>
          <w:color w:val="auto"/>
          <w:sz w:val="28"/>
          <w:szCs w:val="28"/>
          <w:highlight w:val="none"/>
        </w:rPr>
      </w:pPr>
      <w:r>
        <w:rPr>
          <w:rStyle w:val="32"/>
          <w:rFonts w:hint="eastAsia" w:ascii="仿宋" w:hAnsi="仿宋" w:eastAsia="仿宋" w:cs="仿宋"/>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pacing w:val="6"/>
          <w:sz w:val="21"/>
          <w:szCs w:val="21"/>
          <w:highlight w:val="none"/>
        </w:rPr>
      </w:pPr>
      <w:r>
        <w:rPr>
          <w:rStyle w:val="32"/>
          <w:rFonts w:hint="eastAsia" w:ascii="仿宋" w:hAnsi="仿宋" w:eastAsia="仿宋" w:cs="仿宋"/>
          <w:b w:val="0"/>
          <w:bCs w:val="0"/>
          <w:color w:val="auto"/>
          <w:sz w:val="24"/>
          <w:szCs w:val="24"/>
          <w:highlight w:val="none"/>
        </w:rPr>
        <w:t>十、本规定自发布之日起执行，原国家经贸委、原国家计委、财政部和国家统计局2003年颁布的《中小企业标准暂行规定》同时废止。</w:t>
      </w:r>
    </w:p>
    <w:p w14:paraId="2CABEDA6">
      <w:pPr>
        <w:rPr>
          <w:rFonts w:hint="eastAsia" w:ascii="仿宋" w:hAnsi="仿宋" w:eastAsia="仿宋" w:cs="仿宋"/>
          <w:color w:val="auto"/>
          <w:spacing w:val="6"/>
          <w:sz w:val="21"/>
          <w:szCs w:val="21"/>
          <w:highlight w:val="none"/>
        </w:rPr>
      </w:pPr>
    </w:p>
    <w:p w14:paraId="69E3A359">
      <w:pPr>
        <w:rPr>
          <w:rFonts w:hint="eastAsia" w:ascii="仿宋" w:hAnsi="仿宋" w:eastAsia="仿宋" w:cs="仿宋"/>
          <w:color w:val="auto"/>
          <w:spacing w:val="6"/>
          <w:sz w:val="21"/>
          <w:szCs w:val="21"/>
          <w:highlight w:val="none"/>
        </w:rPr>
      </w:pPr>
    </w:p>
    <w:p w14:paraId="2DA82083">
      <w:pPr>
        <w:rPr>
          <w:rFonts w:hint="eastAsia" w:ascii="仿宋" w:hAnsi="仿宋" w:eastAsia="仿宋" w:cs="仿宋"/>
          <w:color w:val="auto"/>
          <w:spacing w:val="6"/>
          <w:sz w:val="21"/>
          <w:szCs w:val="21"/>
          <w:highlight w:val="none"/>
        </w:rPr>
      </w:pPr>
    </w:p>
    <w:p w14:paraId="11402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附件3：</w:t>
      </w:r>
    </w:p>
    <w:p w14:paraId="69CF5111">
      <w:pPr>
        <w:rPr>
          <w:rFonts w:hint="eastAsia" w:ascii="仿宋" w:hAnsi="仿宋" w:eastAsia="仿宋" w:cs="仿宋"/>
          <w:color w:val="auto"/>
          <w:spacing w:val="6"/>
          <w:sz w:val="21"/>
          <w:szCs w:val="21"/>
          <w:highlight w:val="none"/>
        </w:rPr>
      </w:pPr>
    </w:p>
    <w:p w14:paraId="1C50A46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关于印发《金融业企业划型标准规定》的通知</w:t>
      </w:r>
    </w:p>
    <w:p w14:paraId="2EC1ECF3">
      <w:pPr>
        <w:jc w:val="center"/>
        <w:rPr>
          <w:rStyle w:val="32"/>
          <w:rFonts w:hint="eastAsia" w:ascii="仿宋" w:hAnsi="仿宋" w:eastAsia="仿宋" w:cs="仿宋"/>
          <w:b w:val="0"/>
          <w:color w:val="auto"/>
          <w:sz w:val="24"/>
          <w:szCs w:val="24"/>
          <w:highlight w:val="none"/>
        </w:rPr>
      </w:pPr>
      <w:r>
        <w:rPr>
          <w:rStyle w:val="32"/>
          <w:rFonts w:hint="eastAsia" w:ascii="仿宋" w:hAnsi="仿宋" w:eastAsia="仿宋" w:cs="仿宋"/>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仿宋" w:hAnsi="仿宋" w:eastAsia="仿宋" w:cs="仿宋"/>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2"/>
          <w:rFonts w:hint="eastAsia" w:ascii="仿宋" w:hAnsi="仿宋" w:eastAsia="仿宋" w:cs="仿宋"/>
          <w:b w:val="0"/>
          <w:bCs w:val="0"/>
          <w:color w:val="auto"/>
          <w:sz w:val="24"/>
          <w:szCs w:val="24"/>
          <w:highlight w:val="none"/>
        </w:rPr>
      </w:pPr>
      <w:r>
        <w:rPr>
          <w:rFonts w:hint="eastAsia" w:ascii="仿宋" w:hAnsi="仿宋" w:eastAsia="仿宋" w:cs="仿宋"/>
          <w:color w:val="auto"/>
          <w:spacing w:val="6"/>
          <w:sz w:val="24"/>
          <w:szCs w:val="24"/>
          <w:highlight w:val="none"/>
        </w:rPr>
        <w:t>                                      </w:t>
      </w:r>
      <w:r>
        <w:rPr>
          <w:rStyle w:val="32"/>
          <w:rFonts w:hint="eastAsia" w:ascii="仿宋" w:hAnsi="仿宋" w:eastAsia="仿宋" w:cs="仿宋"/>
          <w:b w:val="0"/>
          <w:bCs w:val="0"/>
          <w:color w:val="auto"/>
          <w:sz w:val="24"/>
          <w:szCs w:val="24"/>
          <w:highlight w:val="none"/>
        </w:rPr>
        <w:t>       </w:t>
      </w:r>
      <w:r>
        <w:rPr>
          <w:rStyle w:val="32"/>
          <w:rFonts w:hint="eastAsia" w:ascii="仿宋" w:hAnsi="仿宋" w:eastAsia="仿宋" w:cs="仿宋"/>
          <w:b w:val="0"/>
          <w:bCs w:val="0"/>
          <w:color w:val="auto"/>
          <w:sz w:val="24"/>
          <w:szCs w:val="24"/>
          <w:highlight w:val="none"/>
          <w:lang w:val="en-US" w:eastAsia="zh-CN"/>
        </w:rPr>
        <w:t xml:space="preserve">                            </w:t>
      </w:r>
      <w:r>
        <w:rPr>
          <w:rStyle w:val="32"/>
          <w:rFonts w:hint="eastAsia" w:ascii="仿宋" w:hAnsi="仿宋" w:eastAsia="仿宋" w:cs="仿宋"/>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                                                     </w:t>
      </w:r>
      <w:r>
        <w:rPr>
          <w:rStyle w:val="32"/>
          <w:rFonts w:hint="eastAsia" w:ascii="仿宋" w:hAnsi="仿宋" w:eastAsia="仿宋" w:cs="仿宋"/>
          <w:b w:val="0"/>
          <w:bCs w:val="0"/>
          <w:color w:val="auto"/>
          <w:sz w:val="24"/>
          <w:szCs w:val="24"/>
          <w:highlight w:val="none"/>
          <w:lang w:val="en-US" w:eastAsia="zh-CN"/>
        </w:rPr>
        <w:t xml:space="preserve">     </w:t>
      </w:r>
      <w:r>
        <w:rPr>
          <w:rStyle w:val="32"/>
          <w:rFonts w:hint="eastAsia" w:ascii="仿宋" w:hAnsi="仿宋" w:eastAsia="仿宋" w:cs="仿宋"/>
          <w:b w:val="0"/>
          <w:bCs w:val="0"/>
          <w:color w:val="auto"/>
          <w:sz w:val="24"/>
          <w:szCs w:val="24"/>
          <w:highlight w:val="none"/>
        </w:rPr>
        <w:t> 2015年9月28日</w:t>
      </w:r>
    </w:p>
    <w:p w14:paraId="2D875BF0">
      <w:pPr>
        <w:rPr>
          <w:rFonts w:hint="eastAsia" w:ascii="仿宋" w:hAnsi="仿宋" w:eastAsia="仿宋" w:cs="仿宋"/>
          <w:color w:val="auto"/>
          <w:spacing w:val="6"/>
          <w:sz w:val="21"/>
          <w:szCs w:val="21"/>
          <w:highlight w:val="none"/>
        </w:rPr>
      </w:pPr>
    </w:p>
    <w:p w14:paraId="3D3E2F07">
      <w:pPr>
        <w:rPr>
          <w:rFonts w:hint="eastAsia" w:ascii="仿宋" w:hAnsi="仿宋" w:eastAsia="仿宋" w:cs="仿宋"/>
          <w:color w:val="auto"/>
          <w:spacing w:val="6"/>
          <w:sz w:val="21"/>
          <w:szCs w:val="21"/>
          <w:highlight w:val="none"/>
          <w:lang w:val="en-US" w:eastAsia="zh-CN"/>
        </w:rPr>
      </w:pPr>
    </w:p>
    <w:p w14:paraId="7D55D2C4">
      <w:pPr>
        <w:rPr>
          <w:rFonts w:hint="eastAsia" w:ascii="仿宋" w:hAnsi="仿宋" w:eastAsia="仿宋" w:cs="仿宋"/>
          <w:color w:val="auto"/>
          <w:spacing w:val="6"/>
          <w:sz w:val="21"/>
          <w:szCs w:val="21"/>
          <w:highlight w:val="none"/>
          <w:lang w:val="en-US" w:eastAsia="zh-CN"/>
        </w:rPr>
      </w:pPr>
    </w:p>
    <w:p w14:paraId="535B7B3C">
      <w:pPr>
        <w:rPr>
          <w:rFonts w:hint="eastAsia" w:ascii="仿宋" w:hAnsi="仿宋" w:eastAsia="仿宋" w:cs="仿宋"/>
          <w:color w:val="auto"/>
          <w:spacing w:val="6"/>
          <w:sz w:val="21"/>
          <w:szCs w:val="21"/>
          <w:highlight w:val="none"/>
          <w:lang w:val="en-US" w:eastAsia="zh-CN"/>
        </w:rPr>
      </w:pPr>
    </w:p>
    <w:p w14:paraId="0003DA46">
      <w:pPr>
        <w:rPr>
          <w:rFonts w:hint="eastAsia" w:ascii="仿宋" w:hAnsi="仿宋" w:eastAsia="仿宋" w:cs="仿宋"/>
          <w:color w:val="auto"/>
          <w:spacing w:val="6"/>
          <w:sz w:val="21"/>
          <w:szCs w:val="21"/>
          <w:highlight w:val="none"/>
          <w:lang w:val="en-US" w:eastAsia="zh-CN"/>
        </w:rPr>
      </w:pPr>
    </w:p>
    <w:p w14:paraId="2EB5298D">
      <w:pPr>
        <w:rPr>
          <w:rFonts w:hint="eastAsia" w:ascii="仿宋" w:hAnsi="仿宋" w:eastAsia="仿宋" w:cs="仿宋"/>
          <w:color w:val="auto"/>
          <w:spacing w:val="6"/>
          <w:sz w:val="21"/>
          <w:szCs w:val="21"/>
          <w:highlight w:val="none"/>
          <w:lang w:val="en-US" w:eastAsia="zh-CN"/>
        </w:rPr>
      </w:pPr>
    </w:p>
    <w:p w14:paraId="10CE00AF">
      <w:pPr>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lang w:val="en-US" w:eastAsia="zh-CN"/>
        </w:rPr>
        <w:br w:type="page"/>
      </w:r>
    </w:p>
    <w:p w14:paraId="4E7B262E">
      <w:pP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lang w:val="en-US" w:eastAsia="zh-CN"/>
        </w:rPr>
        <w:t>附件</w:t>
      </w:r>
      <w:r>
        <w:rPr>
          <w:rFonts w:hint="eastAsia" w:ascii="仿宋" w:hAnsi="仿宋" w:eastAsia="仿宋" w:cs="仿宋"/>
          <w:color w:val="auto"/>
          <w:spacing w:val="6"/>
          <w:sz w:val="21"/>
          <w:szCs w:val="21"/>
          <w:highlight w:val="none"/>
        </w:rPr>
        <w:t>              </w:t>
      </w:r>
    </w:p>
    <w:p w14:paraId="23A68F6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仿宋" w:hAnsi="仿宋" w:eastAsia="仿宋" w:cs="仿宋"/>
          <w:b w:val="0"/>
          <w:bCs w:val="0"/>
          <w:color w:val="auto"/>
          <w:sz w:val="24"/>
          <w:szCs w:val="24"/>
          <w:highlight w:val="none"/>
          <w:lang w:eastAsia="zh-CN"/>
        </w:rPr>
      </w:pPr>
      <w:r>
        <w:rPr>
          <w:rStyle w:val="32"/>
          <w:rFonts w:hint="eastAsia" w:ascii="仿宋" w:hAnsi="仿宋" w:eastAsia="仿宋" w:cs="仿宋"/>
          <w:b w:val="0"/>
          <w:bCs w:val="0"/>
          <w:color w:val="auto"/>
          <w:sz w:val="24"/>
          <w:szCs w:val="24"/>
          <w:highlight w:val="none"/>
          <w:lang w:eastAsia="zh-CN"/>
        </w:rPr>
        <w:t>（八）</w:t>
      </w:r>
      <w:r>
        <w:rPr>
          <w:rStyle w:val="32"/>
          <w:rFonts w:hint="eastAsia" w:ascii="仿宋" w:hAnsi="仿宋" w:eastAsia="仿宋" w:cs="仿宋"/>
          <w:b w:val="0"/>
          <w:bCs w:val="0"/>
          <w:color w:val="auto"/>
          <w:sz w:val="24"/>
          <w:szCs w:val="24"/>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2"/>
          <w:rFonts w:hint="eastAsia" w:ascii="仿宋" w:hAnsi="仿宋" w:eastAsia="仿宋" w:cs="仿宋"/>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2"/>
          <w:rFonts w:hint="eastAsia" w:ascii="仿宋" w:hAnsi="仿宋" w:eastAsia="仿宋" w:cs="仿宋"/>
          <w:b w:val="0"/>
          <w:bCs w:val="0"/>
          <w:color w:val="auto"/>
          <w:sz w:val="24"/>
          <w:szCs w:val="24"/>
          <w:highlight w:val="none"/>
          <w:lang w:eastAsia="zh-CN"/>
        </w:rPr>
        <w:t>，</w:t>
      </w:r>
      <w:r>
        <w:rPr>
          <w:rStyle w:val="32"/>
          <w:rFonts w:hint="eastAsia" w:ascii="仿宋" w:hAnsi="仿宋" w:eastAsia="仿宋" w:cs="仿宋"/>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仿宋" w:hAnsi="仿宋" w:eastAsia="仿宋" w:cs="仿宋"/>
          <w:b w:val="0"/>
          <w:bCs w:val="0"/>
          <w:color w:val="auto"/>
          <w:sz w:val="24"/>
          <w:szCs w:val="24"/>
          <w:highlight w:val="none"/>
          <w:lang w:eastAsia="zh-CN"/>
        </w:rPr>
      </w:pPr>
      <w:r>
        <w:rPr>
          <w:rStyle w:val="32"/>
          <w:rFonts w:hint="eastAsia" w:ascii="仿宋" w:hAnsi="仿宋" w:eastAsia="仿宋" w:cs="仿宋"/>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2"/>
          <w:rFonts w:hint="eastAsia" w:ascii="仿宋" w:hAnsi="仿宋" w:eastAsia="仿宋" w:cs="仿宋"/>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仿宋" w:hAnsi="仿宋" w:eastAsia="仿宋" w:cs="仿宋"/>
          <w:b w:val="0"/>
          <w:bCs w:val="0"/>
          <w:color w:val="auto"/>
          <w:sz w:val="24"/>
          <w:szCs w:val="24"/>
          <w:highlight w:val="none"/>
          <w:lang w:eastAsia="zh-CN"/>
        </w:rPr>
      </w:pPr>
      <w:r>
        <w:rPr>
          <w:rStyle w:val="32"/>
          <w:rFonts w:hint="eastAsia" w:ascii="仿宋" w:hAnsi="仿宋" w:eastAsia="仿宋" w:cs="仿宋"/>
          <w:b w:val="0"/>
          <w:bCs w:val="0"/>
          <w:color w:val="auto"/>
          <w:sz w:val="24"/>
          <w:szCs w:val="24"/>
          <w:highlight w:val="none"/>
        </w:rPr>
        <w:t>九、融资担保公司参照本规定中“除贷款公司、小额贷款公司、典当行以外的其他金融机构”标准划型</w:t>
      </w:r>
      <w:r>
        <w:rPr>
          <w:rStyle w:val="32"/>
          <w:rFonts w:hint="eastAsia" w:ascii="仿宋" w:hAnsi="仿宋" w:eastAsia="仿宋" w:cs="仿宋"/>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仿宋" w:hAnsi="仿宋" w:eastAsia="仿宋" w:cs="仿宋"/>
          <w:b w:val="0"/>
          <w:bCs w:val="0"/>
          <w:color w:val="auto"/>
          <w:sz w:val="24"/>
          <w:szCs w:val="24"/>
          <w:highlight w:val="none"/>
          <w:lang w:eastAsia="zh-CN"/>
        </w:rPr>
      </w:pPr>
      <w:r>
        <w:rPr>
          <w:rStyle w:val="32"/>
          <w:rFonts w:hint="eastAsia" w:ascii="仿宋" w:hAnsi="仿宋" w:eastAsia="仿宋" w:cs="仿宋"/>
          <w:b w:val="0"/>
          <w:bCs w:val="0"/>
          <w:color w:val="auto"/>
          <w:sz w:val="24"/>
          <w:szCs w:val="24"/>
          <w:highlight w:val="none"/>
        </w:rPr>
        <w:t>十一、本规定自发布之日起实施</w:t>
      </w:r>
      <w:r>
        <w:rPr>
          <w:rStyle w:val="32"/>
          <w:rFonts w:hint="eastAsia" w:ascii="仿宋" w:hAnsi="仿宋" w:eastAsia="仿宋" w:cs="仿宋"/>
          <w:b w:val="0"/>
          <w:bCs w:val="0"/>
          <w:color w:val="auto"/>
          <w:sz w:val="24"/>
          <w:szCs w:val="24"/>
          <w:highlight w:val="none"/>
          <w:lang w:eastAsia="zh-CN"/>
        </w:rPr>
        <w:t>。</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仿宋" w:hAnsi="仿宋" w:eastAsia="仿宋" w:cs="仿宋"/>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仿宋" w:hAnsi="仿宋" w:eastAsia="仿宋" w:cs="仿宋"/>
          <w:b w:val="0"/>
          <w:bCs w:val="0"/>
          <w:color w:val="auto"/>
          <w:sz w:val="24"/>
          <w:szCs w:val="24"/>
          <w:highlight w:val="none"/>
        </w:rPr>
      </w:pPr>
      <w:r>
        <w:rPr>
          <w:rStyle w:val="32"/>
          <w:rFonts w:hint="eastAsia" w:ascii="仿宋" w:hAnsi="仿宋" w:eastAsia="仿宋" w:cs="仿宋"/>
          <w:b w:val="0"/>
          <w:bCs w:val="0"/>
          <w:color w:val="auto"/>
          <w:sz w:val="24"/>
          <w:szCs w:val="24"/>
          <w:highlight w:val="none"/>
        </w:rPr>
        <w:t>附</w:t>
      </w:r>
      <w:r>
        <w:rPr>
          <w:rStyle w:val="32"/>
          <w:rFonts w:hint="eastAsia" w:ascii="仿宋" w:hAnsi="仿宋" w:eastAsia="仿宋" w:cs="仿宋"/>
          <w:b w:val="0"/>
          <w:bCs w:val="0"/>
          <w:color w:val="auto"/>
          <w:sz w:val="24"/>
          <w:szCs w:val="24"/>
          <w:highlight w:val="none"/>
          <w:lang w:eastAsia="zh-CN"/>
        </w:rPr>
        <w:t>：</w:t>
      </w:r>
      <w:r>
        <w:rPr>
          <w:rStyle w:val="32"/>
          <w:rFonts w:hint="eastAsia" w:ascii="仿宋" w:hAnsi="仿宋" w:eastAsia="仿宋" w:cs="仿宋"/>
          <w:b w:val="0"/>
          <w:bCs w:val="0"/>
          <w:color w:val="auto"/>
          <w:sz w:val="24"/>
          <w:szCs w:val="24"/>
          <w:highlight w:val="none"/>
        </w:rPr>
        <w:t>金融业企业划型标准</w:t>
      </w:r>
    </w:p>
    <w:p w14:paraId="4CB94869">
      <w:pPr>
        <w:rPr>
          <w:rFonts w:hint="eastAsia" w:ascii="仿宋" w:hAnsi="仿宋" w:eastAsia="仿宋" w:cs="仿宋"/>
          <w:color w:val="auto"/>
          <w:spacing w:val="6"/>
          <w:sz w:val="21"/>
          <w:szCs w:val="21"/>
          <w:highlight w:val="none"/>
        </w:rPr>
      </w:pPr>
    </w:p>
    <w:p w14:paraId="018058A8">
      <w:pPr>
        <w:rPr>
          <w:rFonts w:hint="eastAsia" w:ascii="仿宋" w:hAnsi="仿宋" w:eastAsia="仿宋" w:cs="仿宋"/>
          <w:color w:val="auto"/>
          <w:spacing w:val="6"/>
          <w:sz w:val="24"/>
          <w:szCs w:val="24"/>
          <w:highlight w:val="none"/>
          <w:lang w:val="en-US" w:eastAsia="zh-CN"/>
        </w:rPr>
      </w:pPr>
    </w:p>
    <w:p w14:paraId="5023B69E">
      <w:pPr>
        <w:rPr>
          <w:rFonts w:hint="eastAsia" w:ascii="仿宋" w:hAnsi="仿宋" w:eastAsia="仿宋" w:cs="仿宋"/>
          <w:color w:val="auto"/>
          <w:spacing w:val="6"/>
          <w:sz w:val="24"/>
          <w:szCs w:val="24"/>
          <w:highlight w:val="none"/>
          <w:lang w:val="en-US" w:eastAsia="zh-CN"/>
        </w:rPr>
      </w:pPr>
    </w:p>
    <w:p w14:paraId="5F7D4B83">
      <w:pPr>
        <w:rPr>
          <w:rFonts w:hint="eastAsia" w:ascii="仿宋" w:hAnsi="仿宋" w:eastAsia="仿宋" w:cs="仿宋"/>
          <w:color w:val="auto"/>
          <w:spacing w:val="6"/>
          <w:sz w:val="24"/>
          <w:szCs w:val="24"/>
          <w:highlight w:val="none"/>
          <w:lang w:val="en-US" w:eastAsia="zh-CN"/>
        </w:rPr>
      </w:pPr>
    </w:p>
    <w:p w14:paraId="20B74F82">
      <w:pPr>
        <w:rPr>
          <w:rFonts w:hint="eastAsia" w:ascii="仿宋" w:hAnsi="仿宋" w:eastAsia="仿宋" w:cs="仿宋"/>
          <w:color w:val="auto"/>
          <w:spacing w:val="6"/>
          <w:sz w:val="24"/>
          <w:szCs w:val="24"/>
          <w:highlight w:val="none"/>
          <w:lang w:val="en-US" w:eastAsia="zh-CN"/>
        </w:rPr>
      </w:pPr>
    </w:p>
    <w:p w14:paraId="7F8B5FC3">
      <w:pPr>
        <w:rPr>
          <w:rFonts w:hint="eastAsia" w:ascii="仿宋" w:hAnsi="仿宋" w:eastAsia="仿宋" w:cs="仿宋"/>
          <w:color w:val="auto"/>
          <w:spacing w:val="6"/>
          <w:sz w:val="24"/>
          <w:szCs w:val="24"/>
          <w:highlight w:val="none"/>
          <w:lang w:val="en-US" w:eastAsia="zh-CN"/>
        </w:rPr>
      </w:pPr>
    </w:p>
    <w:p w14:paraId="70123D58">
      <w:pP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附</w:t>
      </w:r>
    </w:p>
    <w:p w14:paraId="7EB97DB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金融业企业划型标准</w:t>
      </w:r>
    </w:p>
    <w:tbl>
      <w:tblPr>
        <w:tblStyle w:val="30"/>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25F9841A">
            <w:pPr>
              <w:spacing w:line="240" w:lineRule="auto"/>
              <w:jc w:val="center"/>
              <w:rPr>
                <w:rFonts w:hint="eastAsia" w:ascii="仿宋" w:hAnsi="仿宋" w:eastAsia="仿宋" w:cs="仿宋"/>
                <w:b/>
                <w:color w:val="auto"/>
                <w:spacing w:val="6"/>
                <w:sz w:val="21"/>
                <w:szCs w:val="21"/>
                <w:highlight w:val="none"/>
                <w:vertAlign w:val="baseline"/>
                <w:lang w:val="en-US" w:eastAsia="zh-CN"/>
              </w:rPr>
            </w:pPr>
            <w:r>
              <w:rPr>
                <w:rFonts w:hint="eastAsia" w:ascii="仿宋" w:hAnsi="仿宋" w:eastAsia="仿宋" w:cs="仿宋"/>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仿宋" w:hAnsi="仿宋" w:eastAsia="仿宋" w:cs="仿宋"/>
                <w:b/>
                <w:color w:val="auto"/>
                <w:spacing w:val="6"/>
                <w:sz w:val="21"/>
                <w:szCs w:val="21"/>
                <w:highlight w:val="none"/>
                <w:vertAlign w:val="baseline"/>
                <w:lang w:val="en-US" w:eastAsia="zh-CN"/>
              </w:rPr>
            </w:pPr>
            <w:r>
              <w:rPr>
                <w:rFonts w:hint="eastAsia" w:ascii="仿宋" w:hAnsi="仿宋" w:eastAsia="仿宋" w:cs="仿宋"/>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仿宋" w:hAnsi="仿宋" w:eastAsia="仿宋" w:cs="仿宋"/>
                <w:b/>
                <w:color w:val="auto"/>
                <w:spacing w:val="6"/>
                <w:sz w:val="21"/>
                <w:szCs w:val="21"/>
                <w:highlight w:val="none"/>
                <w:vertAlign w:val="baseline"/>
                <w:lang w:val="en-US" w:eastAsia="zh-CN"/>
              </w:rPr>
            </w:pPr>
            <w:r>
              <w:rPr>
                <w:rFonts w:hint="eastAsia" w:ascii="仿宋" w:hAnsi="仿宋" w:eastAsia="仿宋" w:cs="仿宋"/>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仿宋" w:hAnsi="仿宋" w:eastAsia="仿宋" w:cs="仿宋"/>
                <w:b/>
                <w:color w:val="auto"/>
                <w:spacing w:val="6"/>
                <w:sz w:val="21"/>
                <w:szCs w:val="21"/>
                <w:highlight w:val="none"/>
                <w:vertAlign w:val="baseline"/>
                <w:lang w:val="en-US" w:eastAsia="zh-CN"/>
              </w:rPr>
            </w:pPr>
            <w:r>
              <w:rPr>
                <w:rFonts w:hint="eastAsia" w:ascii="仿宋" w:hAnsi="仿宋" w:eastAsia="仿宋" w:cs="仿宋"/>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仿宋" w:hAnsi="仿宋" w:eastAsia="仿宋" w:cs="仿宋"/>
                <w:color w:val="auto"/>
                <w:spacing w:val="6"/>
                <w:sz w:val="21"/>
                <w:szCs w:val="21"/>
                <w:highlight w:val="none"/>
                <w:vertAlign w:val="baseline"/>
              </w:rPr>
            </w:pPr>
          </w:p>
        </w:tc>
        <w:tc>
          <w:tcPr>
            <w:tcW w:w="1143" w:type="dxa"/>
            <w:vAlign w:val="center"/>
          </w:tcPr>
          <w:p w14:paraId="146F4352">
            <w:pPr>
              <w:spacing w:line="240" w:lineRule="auto"/>
              <w:jc w:val="center"/>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仿宋" w:hAnsi="仿宋" w:eastAsia="仿宋" w:cs="仿宋"/>
                <w:color w:val="auto"/>
                <w:spacing w:val="6"/>
                <w:sz w:val="21"/>
                <w:szCs w:val="21"/>
                <w:highlight w:val="none"/>
                <w:vertAlign w:val="baseline"/>
              </w:rPr>
            </w:pPr>
          </w:p>
        </w:tc>
        <w:tc>
          <w:tcPr>
            <w:tcW w:w="1143" w:type="dxa"/>
            <w:vAlign w:val="center"/>
          </w:tcPr>
          <w:p w14:paraId="0A8569B9">
            <w:pPr>
              <w:spacing w:line="240" w:lineRule="auto"/>
              <w:jc w:val="center"/>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仿宋" w:hAnsi="仿宋" w:eastAsia="仿宋" w:cs="仿宋"/>
                <w:color w:val="auto"/>
                <w:spacing w:val="6"/>
                <w:sz w:val="21"/>
                <w:szCs w:val="21"/>
                <w:highlight w:val="none"/>
                <w:vertAlign w:val="baseline"/>
                <w:lang w:val="en-US"/>
              </w:rPr>
            </w:pPr>
            <w:r>
              <w:rPr>
                <w:rFonts w:hint="eastAsia" w:ascii="仿宋" w:hAnsi="仿宋" w:eastAsia="仿宋" w:cs="仿宋"/>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仿宋" w:hAnsi="仿宋" w:eastAsia="仿宋" w:cs="仿宋"/>
                <w:color w:val="auto"/>
                <w:spacing w:val="6"/>
                <w:sz w:val="21"/>
                <w:szCs w:val="21"/>
                <w:highlight w:val="none"/>
                <w:vertAlign w:val="baseline"/>
              </w:rPr>
            </w:pPr>
            <w:r>
              <w:rPr>
                <w:rFonts w:hint="eastAsia" w:ascii="仿宋" w:hAnsi="仿宋" w:eastAsia="仿宋" w:cs="仿宋"/>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仿宋" w:hAnsi="仿宋" w:eastAsia="仿宋" w:cs="仿宋"/>
                <w:color w:val="auto"/>
                <w:spacing w:val="6"/>
                <w:sz w:val="21"/>
                <w:szCs w:val="21"/>
                <w:highlight w:val="none"/>
                <w:vertAlign w:val="baseline"/>
              </w:rPr>
            </w:pPr>
            <w:r>
              <w:rPr>
                <w:rFonts w:hint="eastAsia" w:ascii="仿宋" w:hAnsi="仿宋" w:eastAsia="仿宋" w:cs="仿宋"/>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仿宋" w:hAnsi="仿宋" w:eastAsia="仿宋" w:cs="仿宋"/>
                <w:color w:val="auto"/>
                <w:spacing w:val="6"/>
                <w:sz w:val="21"/>
                <w:szCs w:val="21"/>
                <w:highlight w:val="none"/>
                <w:vertAlign w:val="baseline"/>
              </w:rPr>
            </w:pPr>
            <w:r>
              <w:rPr>
                <w:rFonts w:hint="eastAsia" w:ascii="仿宋" w:hAnsi="仿宋" w:eastAsia="仿宋" w:cs="仿宋"/>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仿宋" w:hAnsi="仿宋" w:eastAsia="仿宋" w:cs="仿宋"/>
                <w:color w:val="auto"/>
                <w:spacing w:val="6"/>
                <w:sz w:val="21"/>
                <w:szCs w:val="21"/>
                <w:highlight w:val="none"/>
                <w:vertAlign w:val="baseline"/>
              </w:rPr>
            </w:pPr>
            <w:r>
              <w:rPr>
                <w:rFonts w:hint="eastAsia" w:ascii="仿宋" w:hAnsi="仿宋" w:eastAsia="仿宋" w:cs="仿宋"/>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仿宋" w:hAnsi="仿宋" w:eastAsia="仿宋" w:cs="仿宋"/>
                <w:color w:val="auto"/>
                <w:spacing w:val="6"/>
                <w:sz w:val="21"/>
                <w:szCs w:val="21"/>
                <w:highlight w:val="none"/>
                <w:vertAlign w:val="baseline"/>
              </w:rPr>
            </w:pPr>
          </w:p>
        </w:tc>
        <w:tc>
          <w:tcPr>
            <w:tcW w:w="1168" w:type="dxa"/>
            <w:vMerge w:val="continue"/>
          </w:tcPr>
          <w:p w14:paraId="2F2E72F9">
            <w:pPr>
              <w:spacing w:line="240" w:lineRule="auto"/>
              <w:rPr>
                <w:rFonts w:hint="eastAsia" w:ascii="仿宋" w:hAnsi="仿宋" w:eastAsia="仿宋" w:cs="仿宋"/>
                <w:color w:val="auto"/>
                <w:spacing w:val="6"/>
                <w:sz w:val="21"/>
                <w:szCs w:val="21"/>
                <w:highlight w:val="none"/>
                <w:vertAlign w:val="baseline"/>
              </w:rPr>
            </w:pPr>
          </w:p>
        </w:tc>
        <w:tc>
          <w:tcPr>
            <w:tcW w:w="1817" w:type="dxa"/>
            <w:vMerge w:val="continue"/>
          </w:tcPr>
          <w:p w14:paraId="179DE2D0">
            <w:pPr>
              <w:spacing w:line="240" w:lineRule="auto"/>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仿宋" w:hAnsi="仿宋" w:eastAsia="仿宋" w:cs="仿宋"/>
                <w:color w:val="auto"/>
                <w:spacing w:val="6"/>
                <w:sz w:val="21"/>
                <w:szCs w:val="21"/>
                <w:highlight w:val="none"/>
                <w:vertAlign w:val="baseline"/>
              </w:rPr>
            </w:pPr>
          </w:p>
        </w:tc>
        <w:tc>
          <w:tcPr>
            <w:tcW w:w="1168" w:type="dxa"/>
            <w:vMerge w:val="continue"/>
          </w:tcPr>
          <w:p w14:paraId="08010151">
            <w:pPr>
              <w:spacing w:line="240" w:lineRule="auto"/>
              <w:rPr>
                <w:rFonts w:hint="eastAsia" w:ascii="仿宋" w:hAnsi="仿宋" w:eastAsia="仿宋" w:cs="仿宋"/>
                <w:color w:val="auto"/>
                <w:spacing w:val="6"/>
                <w:sz w:val="21"/>
                <w:szCs w:val="21"/>
                <w:highlight w:val="none"/>
                <w:vertAlign w:val="baseline"/>
              </w:rPr>
            </w:pPr>
          </w:p>
        </w:tc>
        <w:tc>
          <w:tcPr>
            <w:tcW w:w="1817" w:type="dxa"/>
            <w:vMerge w:val="continue"/>
          </w:tcPr>
          <w:p w14:paraId="71A393FF">
            <w:pPr>
              <w:spacing w:line="240" w:lineRule="auto"/>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50亿元以下</w:t>
            </w:r>
          </w:p>
        </w:tc>
      </w:tr>
    </w:tbl>
    <w:p w14:paraId="5C97BC7A">
      <w:pPr>
        <w:rPr>
          <w:rFonts w:hint="eastAsia" w:ascii="仿宋" w:hAnsi="仿宋" w:eastAsia="仿宋" w:cs="仿宋"/>
          <w:bCs/>
          <w:color w:val="auto"/>
          <w:sz w:val="36"/>
          <w:szCs w:val="36"/>
          <w:highlight w:val="none"/>
          <w:lang w:val="en-US" w:eastAsia="zh-CN"/>
        </w:rPr>
      </w:pPr>
      <w:r>
        <w:rPr>
          <w:rFonts w:hint="eastAsia" w:ascii="仿宋" w:hAnsi="仿宋" w:eastAsia="仿宋" w:cs="仿宋"/>
          <w:color w:val="auto"/>
          <w:spacing w:val="6"/>
          <w:sz w:val="21"/>
          <w:szCs w:val="21"/>
          <w:highlight w:val="none"/>
        </w:rPr>
        <w:br w:type="page"/>
      </w:r>
      <w:bookmarkStart w:id="409" w:name="_Toc163492940"/>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（三）监狱企业证明文件【如适用】</w:t>
      </w:r>
      <w:bookmarkEnd w:id="409"/>
    </w:p>
    <w:p w14:paraId="744F56E2">
      <w:pPr>
        <w:rPr>
          <w:rFonts w:hint="eastAsia" w:ascii="仿宋" w:hAnsi="仿宋" w:eastAsia="仿宋" w:cs="仿宋"/>
          <w:b/>
          <w:color w:val="auto"/>
          <w:sz w:val="28"/>
          <w:szCs w:val="28"/>
          <w:highlight w:val="none"/>
        </w:rPr>
      </w:pPr>
    </w:p>
    <w:p w14:paraId="23D1BFCD">
      <w:pPr>
        <w:adjustRightInd w:val="0"/>
        <w:snapToGrid w:val="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【监狱企业应当提供由省级及以上监狱管理局、戒毒管理局（含新疆生产建设兵团）出具的监狱企业的证明文件，格式</w:t>
      </w:r>
      <w:r>
        <w:rPr>
          <w:rFonts w:hint="eastAsia" w:ascii="仿宋" w:hAnsi="仿宋" w:eastAsia="仿宋" w:cs="仿宋"/>
          <w:color w:val="auto"/>
          <w:sz w:val="24"/>
          <w:szCs w:val="24"/>
          <w:highlight w:val="none"/>
          <w:lang w:val="en-US" w:eastAsia="zh-CN"/>
        </w:rPr>
        <w:t>如下</w:t>
      </w:r>
      <w:r>
        <w:rPr>
          <w:rFonts w:hint="eastAsia" w:ascii="仿宋" w:hAnsi="仿宋" w:eastAsia="仿宋" w:cs="仿宋"/>
          <w:color w:val="auto"/>
          <w:sz w:val="24"/>
          <w:szCs w:val="24"/>
          <w:highlight w:val="none"/>
        </w:rPr>
        <w:t>】。</w:t>
      </w:r>
    </w:p>
    <w:p w14:paraId="75238DB1">
      <w:pPr>
        <w:pStyle w:val="17"/>
        <w:spacing w:line="360" w:lineRule="auto"/>
        <w:jc w:val="center"/>
        <w:rPr>
          <w:rFonts w:hint="eastAsia" w:ascii="仿宋" w:hAnsi="仿宋" w:eastAsia="仿宋" w:cs="仿宋"/>
          <w:b/>
          <w:bCs w:val="0"/>
          <w:color w:val="auto"/>
          <w:sz w:val="32"/>
          <w:szCs w:val="32"/>
          <w:highlight w:val="none"/>
        </w:rPr>
      </w:pPr>
    </w:p>
    <w:p w14:paraId="3EAA5E2A">
      <w:pPr>
        <w:pStyle w:val="17"/>
        <w:spacing w:line="360" w:lineRule="auto"/>
        <w:jc w:val="center"/>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监狱企业证明函</w:t>
      </w:r>
    </w:p>
    <w:p w14:paraId="73EFA9C1">
      <w:pPr>
        <w:spacing w:line="360" w:lineRule="auto"/>
        <w:rPr>
          <w:rFonts w:hint="eastAsia" w:ascii="仿宋" w:hAnsi="仿宋" w:eastAsia="仿宋" w:cs="仿宋"/>
          <w:color w:val="auto"/>
          <w:sz w:val="32"/>
          <w:szCs w:val="32"/>
          <w:highlight w:val="none"/>
        </w:rPr>
      </w:pPr>
    </w:p>
    <w:p w14:paraId="7E6FDB37">
      <w:pPr>
        <w:ind w:firstLine="504" w:firstLineChars="200"/>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本公司郑重声明，根据财政部、司法部《关于政府采购支持监狱企业发展有关问题的通知》（财库</w:t>
      </w:r>
      <w:r>
        <w:rPr>
          <w:rFonts w:hint="eastAsia" w:ascii="仿宋" w:hAnsi="仿宋" w:eastAsia="仿宋" w:cs="仿宋"/>
          <w:color w:val="auto"/>
          <w:spacing w:val="6"/>
          <w:szCs w:val="24"/>
          <w:highlight w:val="none"/>
          <w:lang w:eastAsia="zh-CN"/>
        </w:rPr>
        <w:t>〔</w:t>
      </w:r>
      <w:r>
        <w:rPr>
          <w:rFonts w:hint="eastAsia" w:ascii="仿宋" w:hAnsi="仿宋" w:eastAsia="仿宋" w:cs="仿宋"/>
          <w:color w:val="auto"/>
          <w:spacing w:val="6"/>
          <w:szCs w:val="24"/>
          <w:highlight w:val="none"/>
        </w:rPr>
        <w:t>2014</w:t>
      </w:r>
      <w:r>
        <w:rPr>
          <w:rFonts w:hint="eastAsia" w:ascii="仿宋" w:hAnsi="仿宋" w:eastAsia="仿宋" w:cs="仿宋"/>
          <w:color w:val="auto"/>
          <w:spacing w:val="6"/>
          <w:szCs w:val="24"/>
          <w:highlight w:val="none"/>
          <w:lang w:eastAsia="zh-CN"/>
        </w:rPr>
        <w:t>〕</w:t>
      </w:r>
      <w:r>
        <w:rPr>
          <w:rFonts w:hint="eastAsia" w:ascii="仿宋" w:hAnsi="仿宋" w:eastAsia="仿宋" w:cs="仿宋"/>
          <w:color w:val="auto"/>
          <w:spacing w:val="6"/>
          <w:szCs w:val="24"/>
          <w:highlight w:val="none"/>
        </w:rPr>
        <w:t>68号）的规定，本公司为监狱企业。</w:t>
      </w:r>
    </w:p>
    <w:p w14:paraId="3C2CE4C6">
      <w:pPr>
        <w:spacing w:line="360" w:lineRule="auto"/>
        <w:rPr>
          <w:rFonts w:hint="eastAsia" w:ascii="仿宋" w:hAnsi="仿宋" w:eastAsia="仿宋" w:cs="仿宋"/>
          <w:color w:val="auto"/>
          <w:sz w:val="24"/>
          <w:szCs w:val="24"/>
          <w:highlight w:val="none"/>
        </w:rPr>
      </w:pPr>
    </w:p>
    <w:p w14:paraId="25406F97">
      <w:pPr>
        <w:ind w:firstLine="4440" w:firstLineChars="1850"/>
        <w:rPr>
          <w:rFonts w:hint="eastAsia" w:ascii="仿宋" w:hAnsi="仿宋" w:eastAsia="仿宋" w:cs="仿宋"/>
          <w:color w:val="auto"/>
          <w:sz w:val="24"/>
          <w:szCs w:val="24"/>
          <w:highlight w:val="none"/>
        </w:rPr>
      </w:pPr>
    </w:p>
    <w:p w14:paraId="44FF352C">
      <w:pPr>
        <w:ind w:firstLine="4440" w:firstLineChars="1850"/>
        <w:rPr>
          <w:rFonts w:hint="eastAsia" w:ascii="仿宋" w:hAnsi="仿宋" w:eastAsia="仿宋" w:cs="仿宋"/>
          <w:color w:val="auto"/>
          <w:sz w:val="24"/>
          <w:szCs w:val="24"/>
          <w:highlight w:val="none"/>
        </w:rPr>
      </w:pPr>
    </w:p>
    <w:p w14:paraId="0841D36F">
      <w:pPr>
        <w:ind w:right="1008" w:firstLine="4284" w:firstLineChars="17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投标人</w:t>
      </w:r>
      <w:r>
        <w:rPr>
          <w:rFonts w:hint="eastAsia" w:ascii="仿宋" w:hAnsi="仿宋" w:eastAsia="仿宋" w:cs="仿宋"/>
          <w:color w:val="auto"/>
          <w:spacing w:val="6"/>
          <w:sz w:val="24"/>
          <w:szCs w:val="24"/>
          <w:highlight w:val="none"/>
        </w:rPr>
        <w:t>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spacing w:val="6"/>
          <w:sz w:val="24"/>
          <w:szCs w:val="24"/>
          <w:highlight w:val="none"/>
        </w:rPr>
        <w:t>：</w:t>
      </w:r>
    </w:p>
    <w:p w14:paraId="3678CEA7">
      <w:pPr>
        <w:ind w:right="1008" w:firstLine="4284" w:firstLineChars="1700"/>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日期：</w:t>
      </w:r>
      <w:r>
        <w:rPr>
          <w:rFonts w:hint="eastAsia" w:ascii="仿宋" w:hAnsi="仿宋" w:eastAsia="仿宋" w:cs="仿宋"/>
          <w:color w:val="auto"/>
          <w:spacing w:val="6"/>
          <w:sz w:val="24"/>
          <w:szCs w:val="24"/>
          <w:highlight w:val="none"/>
          <w:lang w:val="en-US" w:eastAsia="zh-CN"/>
        </w:rPr>
        <w:t xml:space="preserve">   年  月  日</w:t>
      </w:r>
    </w:p>
    <w:p w14:paraId="75D11779">
      <w:pPr>
        <w:spacing w:line="360" w:lineRule="auto"/>
        <w:ind w:firstLine="240" w:firstLineChars="100"/>
        <w:rPr>
          <w:rFonts w:hint="eastAsia" w:ascii="仿宋" w:hAnsi="仿宋" w:eastAsia="仿宋" w:cs="仿宋"/>
          <w:color w:val="auto"/>
          <w:sz w:val="24"/>
          <w:szCs w:val="24"/>
          <w:highlight w:val="none"/>
        </w:rPr>
      </w:pPr>
    </w:p>
    <w:p w14:paraId="7B8735C9">
      <w:pPr>
        <w:spacing w:line="360" w:lineRule="auto"/>
        <w:ind w:firstLine="240" w:firstLineChars="100"/>
        <w:rPr>
          <w:rFonts w:hint="eastAsia" w:ascii="仿宋" w:hAnsi="仿宋" w:eastAsia="仿宋" w:cs="仿宋"/>
          <w:color w:val="auto"/>
          <w:sz w:val="24"/>
          <w:szCs w:val="24"/>
          <w:highlight w:val="none"/>
        </w:rPr>
      </w:pPr>
    </w:p>
    <w:p w14:paraId="32722C7E">
      <w:pPr>
        <w:spacing w:line="36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省级以上监狱管理局、戒毒管理局</w:t>
      </w:r>
    </w:p>
    <w:p w14:paraId="20204BC0">
      <w:pPr>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（含新疆生产建设兵团）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eastAsia="zh-CN"/>
        </w:rPr>
        <w:t>盖章）</w:t>
      </w:r>
      <w:r>
        <w:rPr>
          <w:rFonts w:hint="eastAsia" w:ascii="仿宋" w:hAnsi="仿宋" w:eastAsia="仿宋" w:cs="仿宋"/>
          <w:color w:val="auto"/>
          <w:sz w:val="24"/>
          <w:szCs w:val="24"/>
          <w:highlight w:val="none"/>
        </w:rPr>
        <w:t xml:space="preserve">：  </w:t>
      </w:r>
    </w:p>
    <w:p w14:paraId="4A414B41">
      <w:pPr>
        <w:ind w:firstLine="4320" w:firstLine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pacing w:val="6"/>
          <w:sz w:val="24"/>
          <w:szCs w:val="24"/>
          <w:highlight w:val="none"/>
          <w:lang w:val="en-US" w:eastAsia="zh-CN"/>
        </w:rPr>
        <w:t xml:space="preserve">   年  月  日</w:t>
      </w:r>
    </w:p>
    <w:p w14:paraId="028B0253">
      <w:pPr>
        <w:spacing w:line="360" w:lineRule="auto"/>
        <w:ind w:firstLine="240" w:firstLineChars="100"/>
        <w:rPr>
          <w:rFonts w:hint="eastAsia" w:ascii="仿宋" w:hAnsi="仿宋" w:eastAsia="仿宋" w:cs="仿宋"/>
          <w:color w:val="auto"/>
          <w:sz w:val="24"/>
          <w:szCs w:val="24"/>
          <w:highlight w:val="none"/>
        </w:rPr>
      </w:pPr>
    </w:p>
    <w:p w14:paraId="4A20867A">
      <w:pPr>
        <w:spacing w:line="360" w:lineRule="auto"/>
        <w:ind w:firstLine="4000" w:firstLineChars="1250"/>
        <w:rPr>
          <w:rFonts w:hint="eastAsia" w:ascii="仿宋" w:hAnsi="仿宋" w:eastAsia="仿宋" w:cs="仿宋"/>
          <w:color w:val="auto"/>
          <w:sz w:val="32"/>
          <w:szCs w:val="32"/>
          <w:highlight w:val="none"/>
        </w:rPr>
      </w:pPr>
    </w:p>
    <w:p w14:paraId="206A9633">
      <w:pPr>
        <w:spacing w:line="360" w:lineRule="auto"/>
        <w:rPr>
          <w:rFonts w:hint="eastAsia" w:ascii="仿宋" w:hAnsi="仿宋" w:eastAsia="仿宋" w:cs="仿宋"/>
          <w:color w:val="auto"/>
          <w:sz w:val="32"/>
          <w:szCs w:val="32"/>
          <w:highlight w:val="none"/>
        </w:rPr>
      </w:pPr>
    </w:p>
    <w:p w14:paraId="52D5DFEB">
      <w:pPr>
        <w:spacing w:line="360" w:lineRule="auto"/>
        <w:rPr>
          <w:rFonts w:hint="eastAsia" w:ascii="仿宋" w:hAnsi="仿宋" w:eastAsia="仿宋" w:cs="仿宋"/>
          <w:color w:val="auto"/>
          <w:sz w:val="32"/>
          <w:szCs w:val="32"/>
          <w:highlight w:val="none"/>
        </w:rPr>
      </w:pPr>
    </w:p>
    <w:p w14:paraId="283F77FC">
      <w:pPr>
        <w:widowControl/>
        <w:spacing w:before="100" w:beforeAutospacing="1" w:after="100" w:afterAutospacing="1"/>
        <w:rPr>
          <w:rFonts w:hint="eastAsia" w:ascii="仿宋" w:hAnsi="仿宋" w:eastAsia="仿宋" w:cs="仿宋"/>
          <w:color w:val="auto"/>
          <w:sz w:val="21"/>
          <w:szCs w:val="21"/>
          <w:highlight w:val="none"/>
        </w:rPr>
      </w:pPr>
    </w:p>
    <w:p w14:paraId="3ACDD48E">
      <w:pPr>
        <w:widowControl/>
        <w:spacing w:before="100" w:beforeAutospacing="1" w:after="100" w:afterAutospacing="1"/>
        <w:rPr>
          <w:rFonts w:hint="eastAsia" w:ascii="仿宋" w:hAnsi="仿宋" w:eastAsia="仿宋" w:cs="仿宋"/>
          <w:color w:val="auto"/>
          <w:sz w:val="21"/>
          <w:szCs w:val="21"/>
          <w:highlight w:val="none"/>
        </w:rPr>
      </w:pPr>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410" w:name="_Toc163492941"/>
      <w:r>
        <w:rPr>
          <w:rFonts w:hint="eastAsia" w:ascii="仿宋" w:hAnsi="仿宋" w:eastAsia="仿宋" w:cs="仿宋"/>
          <w:b/>
          <w:bCs/>
          <w:color w:val="auto"/>
          <w:kern w:val="2"/>
          <w:sz w:val="24"/>
          <w:szCs w:val="24"/>
          <w:highlight w:val="none"/>
          <w:lang w:val="en-US" w:eastAsia="zh-CN" w:bidi="ar-SA"/>
        </w:rPr>
        <w:t>（四）残疾人福利性单位声明函</w:t>
      </w:r>
      <w:r>
        <w:rPr>
          <w:rFonts w:hint="eastAsia" w:ascii="仿宋" w:hAnsi="仿宋" w:eastAsia="仿宋" w:cs="仿宋"/>
          <w:b w:val="0"/>
          <w:bCs w:val="0"/>
          <w:color w:val="auto"/>
          <w:kern w:val="2"/>
          <w:sz w:val="24"/>
          <w:szCs w:val="24"/>
          <w:highlight w:val="none"/>
          <w:lang w:val="en-US" w:eastAsia="zh-CN" w:bidi="ar-SA"/>
        </w:rPr>
        <w:t>【如适用】</w:t>
      </w:r>
      <w:bookmarkEnd w:id="410"/>
    </w:p>
    <w:p w14:paraId="0EAC9468">
      <w:pPr>
        <w:pStyle w:val="39"/>
        <w:numPr>
          <w:ilvl w:val="0"/>
          <w:numId w:val="0"/>
        </w:numPr>
        <w:ind w:left="420" w:leftChars="0" w:hanging="420" w:firstLineChars="0"/>
        <w:jc w:val="center"/>
        <w:rPr>
          <w:rFonts w:hint="eastAsia" w:ascii="仿宋" w:hAnsi="仿宋" w:eastAsia="仿宋" w:cs="仿宋"/>
          <w:b/>
          <w:bCs/>
          <w:color w:val="auto"/>
          <w:sz w:val="32"/>
          <w:szCs w:val="32"/>
          <w:highlight w:val="none"/>
        </w:rPr>
      </w:pPr>
    </w:p>
    <w:p w14:paraId="091B47EA">
      <w:pPr>
        <w:pStyle w:val="39"/>
        <w:numPr>
          <w:ilvl w:val="0"/>
          <w:numId w:val="0"/>
        </w:numPr>
        <w:ind w:left="420" w:leftChars="0" w:hanging="420" w:firstLineChars="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残疾人福利性单位声明函</w:t>
      </w:r>
    </w:p>
    <w:p w14:paraId="28D13EE8">
      <w:pPr>
        <w:wordWrap w:val="0"/>
        <w:ind w:firstLine="480" w:firstLineChars="200"/>
        <w:rPr>
          <w:rFonts w:hint="eastAsia" w:ascii="仿宋" w:hAnsi="仿宋" w:eastAsia="仿宋" w:cs="仿宋"/>
          <w:color w:val="auto"/>
          <w:szCs w:val="24"/>
          <w:highlight w:val="none"/>
        </w:rPr>
      </w:pPr>
    </w:p>
    <w:p w14:paraId="2B2B6A0A">
      <w:pPr>
        <w:wordWrap w:val="0"/>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ascii="仿宋" w:hAnsi="仿宋" w:eastAsia="仿宋" w:cs="仿宋"/>
          <w:i w:val="0"/>
          <w:iCs w:val="0"/>
          <w:color w:val="auto"/>
          <w:szCs w:val="24"/>
          <w:highlight w:val="none"/>
          <w:u w:val="single"/>
        </w:rPr>
        <w:t xml:space="preserve"> （单位名称） </w:t>
      </w:r>
      <w:r>
        <w:rPr>
          <w:rFonts w:hint="eastAsia" w:ascii="仿宋" w:hAnsi="仿宋" w:eastAsia="仿宋" w:cs="仿宋"/>
          <w:i w:val="0"/>
          <w:iCs w:val="0"/>
          <w:color w:val="auto"/>
          <w:szCs w:val="24"/>
          <w:highlight w:val="none"/>
        </w:rPr>
        <w:t>的</w:t>
      </w:r>
      <w:r>
        <w:rPr>
          <w:rFonts w:hint="eastAsia" w:ascii="仿宋" w:hAnsi="仿宋" w:eastAsia="仿宋" w:cs="仿宋"/>
          <w:i w:val="0"/>
          <w:iCs w:val="0"/>
          <w:color w:val="auto"/>
          <w:szCs w:val="24"/>
          <w:highlight w:val="none"/>
          <w:u w:val="single"/>
        </w:rPr>
        <w:t xml:space="preserve"> （项目名称） </w:t>
      </w:r>
      <w:r>
        <w:rPr>
          <w:rFonts w:hint="eastAsia" w:ascii="仿宋" w:hAnsi="仿宋" w:eastAsia="仿宋" w:cs="仿宋"/>
          <w:i w:val="0"/>
          <w:iCs w:val="0"/>
          <w:color w:val="auto"/>
          <w:szCs w:val="24"/>
          <w:highlight w:val="none"/>
        </w:rPr>
        <w:t>采购活动，提供的货物</w:t>
      </w:r>
      <w:r>
        <w:rPr>
          <w:rFonts w:hint="eastAsia" w:ascii="仿宋" w:hAnsi="仿宋" w:eastAsia="仿宋" w:cs="仿宋"/>
          <w:b/>
          <w:i w:val="0"/>
          <w:iCs w:val="0"/>
          <w:color w:val="auto"/>
          <w:szCs w:val="24"/>
          <w:highlight w:val="none"/>
        </w:rPr>
        <w:t>全部由</w:t>
      </w:r>
      <w:r>
        <w:rPr>
          <w:rFonts w:hint="eastAsia" w:ascii="仿宋" w:hAnsi="仿宋" w:eastAsia="仿宋" w:cs="仿宋"/>
          <w:i w:val="0"/>
          <w:iCs w:val="0"/>
          <w:color w:val="auto"/>
          <w:szCs w:val="24"/>
          <w:highlight w:val="none"/>
        </w:rPr>
        <w:t>符合政策要求的</w:t>
      </w:r>
      <w:r>
        <w:rPr>
          <w:rFonts w:hint="eastAsia" w:ascii="仿宋" w:hAnsi="仿宋" w:eastAsia="仿宋" w:cs="仿宋"/>
          <w:b/>
          <w:i w:val="0"/>
          <w:iCs w:val="0"/>
          <w:color w:val="auto"/>
          <w:szCs w:val="24"/>
          <w:highlight w:val="none"/>
        </w:rPr>
        <w:t>残疾人福利性单位制造</w:t>
      </w:r>
      <w:r>
        <w:rPr>
          <w:rFonts w:hint="eastAsia" w:ascii="仿宋" w:hAnsi="仿宋" w:eastAsia="仿宋" w:cs="仿宋"/>
          <w:i w:val="0"/>
          <w:iCs w:val="0"/>
          <w:color w:val="auto"/>
          <w:szCs w:val="24"/>
          <w:highlight w:val="none"/>
        </w:rPr>
        <w:t>。相关企业（含联合体中的残疾人福利性单位、签订分包意向协议</w:t>
      </w:r>
      <w:r>
        <w:rPr>
          <w:rFonts w:hint="eastAsia" w:ascii="仿宋" w:hAnsi="仿宋" w:eastAsia="仿宋" w:cs="仿宋"/>
          <w:i w:val="0"/>
          <w:iCs w:val="0"/>
          <w:color w:val="auto"/>
          <w:szCs w:val="24"/>
          <w:highlight w:val="none"/>
          <w:lang w:val="en-US" w:eastAsia="zh-CN"/>
        </w:rPr>
        <w:t>书</w:t>
      </w:r>
      <w:r>
        <w:rPr>
          <w:rFonts w:hint="eastAsia" w:ascii="仿宋" w:hAnsi="仿宋" w:eastAsia="仿宋" w:cs="仿宋"/>
          <w:i w:val="0"/>
          <w:iCs w:val="0"/>
          <w:color w:val="auto"/>
          <w:szCs w:val="24"/>
          <w:highlight w:val="none"/>
        </w:rPr>
        <w:t>的残疾人福利性单位）的具体情况如下：</w:t>
      </w:r>
    </w:p>
    <w:p w14:paraId="2B0D31AB">
      <w:pPr>
        <w:wordWrap w:val="0"/>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1.</w:t>
      </w:r>
      <w:r>
        <w:rPr>
          <w:rFonts w:hint="eastAsia" w:ascii="仿宋" w:hAnsi="仿宋" w:eastAsia="仿宋" w:cs="仿宋"/>
          <w:i w:val="0"/>
          <w:iCs w:val="0"/>
          <w:color w:val="auto"/>
          <w:szCs w:val="24"/>
          <w:highlight w:val="none"/>
          <w:u w:val="single"/>
        </w:rPr>
        <w:t xml:space="preserve"> （标的名称） </w:t>
      </w:r>
      <w:r>
        <w:rPr>
          <w:rFonts w:hint="eastAsia" w:ascii="仿宋" w:hAnsi="仿宋" w:eastAsia="仿宋" w:cs="仿宋"/>
          <w:i w:val="0"/>
          <w:iCs w:val="0"/>
          <w:color w:val="auto"/>
          <w:szCs w:val="24"/>
          <w:highlight w:val="none"/>
        </w:rPr>
        <w:t xml:space="preserve">，制造商为 </w:t>
      </w:r>
      <w:r>
        <w:rPr>
          <w:rFonts w:hint="eastAsia" w:ascii="仿宋" w:hAnsi="仿宋" w:eastAsia="仿宋" w:cs="仿宋"/>
          <w:i w:val="0"/>
          <w:iCs w:val="0"/>
          <w:color w:val="auto"/>
          <w:szCs w:val="24"/>
          <w:highlight w:val="none"/>
          <w:u w:val="single"/>
        </w:rPr>
        <w:t xml:space="preserve">  （企业名称） </w:t>
      </w:r>
      <w:r>
        <w:rPr>
          <w:rFonts w:hint="eastAsia" w:ascii="仿宋" w:hAnsi="仿宋" w:eastAsia="仿宋" w:cs="仿宋"/>
          <w:i w:val="0"/>
          <w:iCs w:val="0"/>
          <w:color w:val="auto"/>
          <w:szCs w:val="24"/>
          <w:highlight w:val="none"/>
        </w:rPr>
        <w:t>，属于残疾人福利性单位；</w:t>
      </w:r>
    </w:p>
    <w:p w14:paraId="138F8FD5">
      <w:pPr>
        <w:wordWrap w:val="0"/>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 xml:space="preserve">2. </w:t>
      </w:r>
      <w:r>
        <w:rPr>
          <w:rFonts w:hint="eastAsia" w:ascii="仿宋" w:hAnsi="仿宋" w:eastAsia="仿宋" w:cs="仿宋"/>
          <w:i w:val="0"/>
          <w:iCs w:val="0"/>
          <w:color w:val="auto"/>
          <w:szCs w:val="24"/>
          <w:highlight w:val="none"/>
          <w:u w:val="single"/>
        </w:rPr>
        <w:t xml:space="preserve">（标的名称） </w:t>
      </w:r>
      <w:r>
        <w:rPr>
          <w:rFonts w:hint="eastAsia" w:ascii="仿宋" w:hAnsi="仿宋" w:eastAsia="仿宋" w:cs="仿宋"/>
          <w:i w:val="0"/>
          <w:iCs w:val="0"/>
          <w:color w:val="auto"/>
          <w:szCs w:val="24"/>
          <w:highlight w:val="none"/>
        </w:rPr>
        <w:t xml:space="preserve">，制造商为 </w:t>
      </w:r>
      <w:r>
        <w:rPr>
          <w:rFonts w:hint="eastAsia" w:ascii="仿宋" w:hAnsi="仿宋" w:eastAsia="仿宋" w:cs="仿宋"/>
          <w:i w:val="0"/>
          <w:iCs w:val="0"/>
          <w:color w:val="auto"/>
          <w:szCs w:val="24"/>
          <w:highlight w:val="none"/>
          <w:u w:val="single"/>
        </w:rPr>
        <w:t xml:space="preserve">  （企业名称） </w:t>
      </w:r>
      <w:r>
        <w:rPr>
          <w:rFonts w:hint="eastAsia" w:ascii="仿宋" w:hAnsi="仿宋" w:eastAsia="仿宋" w:cs="仿宋"/>
          <w:i w:val="0"/>
          <w:iCs w:val="0"/>
          <w:color w:val="auto"/>
          <w:szCs w:val="24"/>
          <w:highlight w:val="none"/>
        </w:rPr>
        <w:t>，属于残疾人福利性单位；</w:t>
      </w:r>
    </w:p>
    <w:p w14:paraId="7FB12063">
      <w:pPr>
        <w:wordWrap w:val="0"/>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w:t>
      </w:r>
    </w:p>
    <w:p w14:paraId="7B8F3287">
      <w:pPr>
        <w:wordWrap w:val="0"/>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本企业对上述声明内容的真实性负责。如有虚假，将依法承担相应责任。</w:t>
      </w:r>
    </w:p>
    <w:p w14:paraId="44C7A080">
      <w:pPr>
        <w:wordWrap w:val="0"/>
        <w:ind w:left="1091" w:hanging="1091" w:hangingChars="453"/>
        <w:rPr>
          <w:rFonts w:hint="eastAsia" w:ascii="仿宋" w:hAnsi="仿宋" w:eastAsia="仿宋" w:cs="仿宋"/>
          <w:b/>
          <w:bCs/>
          <w:i w:val="0"/>
          <w:iCs w:val="0"/>
          <w:color w:val="auto"/>
          <w:szCs w:val="24"/>
          <w:highlight w:val="none"/>
        </w:rPr>
      </w:pPr>
    </w:p>
    <w:p w14:paraId="43523196">
      <w:pPr>
        <w:wordWrap w:val="0"/>
        <w:ind w:left="1091" w:hanging="1091" w:hangingChars="453"/>
        <w:rPr>
          <w:rFonts w:hint="eastAsia" w:ascii="仿宋" w:hAnsi="仿宋" w:eastAsia="仿宋" w:cs="仿宋"/>
          <w:bCs/>
          <w:i w:val="0"/>
          <w:iCs w:val="0"/>
          <w:color w:val="auto"/>
          <w:szCs w:val="24"/>
          <w:highlight w:val="none"/>
        </w:rPr>
      </w:pPr>
      <w:r>
        <w:rPr>
          <w:rFonts w:hint="eastAsia" w:ascii="仿宋" w:hAnsi="仿宋" w:eastAsia="仿宋" w:cs="仿宋"/>
          <w:b/>
          <w:bCs/>
          <w:i w:val="0"/>
          <w:iCs w:val="0"/>
          <w:color w:val="auto"/>
          <w:szCs w:val="24"/>
          <w:highlight w:val="none"/>
        </w:rPr>
        <w:t>说明：</w:t>
      </w:r>
      <w:r>
        <w:rPr>
          <w:rFonts w:hint="eastAsia" w:ascii="仿宋" w:hAnsi="仿宋" w:eastAsia="仿宋" w:cs="仿宋"/>
          <w:bCs/>
          <w:i w:val="0"/>
          <w:iCs w:val="0"/>
          <w:color w:val="auto"/>
          <w:szCs w:val="24"/>
          <w:highlight w:val="none"/>
        </w:rPr>
        <w:t>1、</w:t>
      </w:r>
      <w:r>
        <w:rPr>
          <w:rFonts w:hint="eastAsia" w:ascii="仿宋" w:hAnsi="仿宋" w:eastAsia="仿宋" w:cs="仿宋"/>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hint="eastAsia" w:ascii="仿宋" w:hAnsi="仿宋" w:eastAsia="仿宋" w:cs="仿宋"/>
          <w:color w:val="auto"/>
          <w:szCs w:val="21"/>
          <w:highlight w:val="none"/>
        </w:rPr>
      </w:pPr>
      <w:r>
        <w:rPr>
          <w:rFonts w:hint="eastAsia" w:ascii="仿宋" w:hAnsi="仿宋" w:eastAsia="仿宋" w:cs="仿宋"/>
          <w:bCs/>
          <w:i w:val="0"/>
          <w:iCs w:val="0"/>
          <w:color w:val="auto"/>
          <w:szCs w:val="21"/>
          <w:highlight w:val="none"/>
          <w:lang w:val="zh-CN"/>
        </w:rPr>
        <w:t xml:space="preserve">      2、</w:t>
      </w:r>
      <w:r>
        <w:rPr>
          <w:rFonts w:hint="eastAsia" w:ascii="仿宋" w:hAnsi="仿宋" w:eastAsia="仿宋" w:cs="仿宋"/>
          <w:i w:val="0"/>
          <w:iCs w:val="0"/>
          <w:color w:val="auto"/>
          <w:szCs w:val="21"/>
          <w:highlight w:val="none"/>
        </w:rPr>
        <w:t>以联合体形式参加的，应</w:t>
      </w:r>
      <w:r>
        <w:rPr>
          <w:rFonts w:hint="eastAsia" w:ascii="仿宋" w:hAnsi="仿宋" w:eastAsia="仿宋" w:cs="仿宋"/>
          <w:bCs/>
          <w:i w:val="0"/>
          <w:iCs w:val="0"/>
          <w:color w:val="auto"/>
          <w:szCs w:val="21"/>
          <w:highlight w:val="none"/>
          <w:lang w:val="zh-CN"/>
        </w:rPr>
        <w:t>当</w:t>
      </w:r>
      <w:r>
        <w:rPr>
          <w:rFonts w:hint="eastAsia" w:ascii="仿宋" w:hAnsi="仿宋" w:eastAsia="仿宋" w:cs="仿宋"/>
          <w:i w:val="0"/>
          <w:iCs w:val="0"/>
          <w:color w:val="auto"/>
          <w:szCs w:val="21"/>
          <w:highlight w:val="none"/>
        </w:rPr>
        <w:t>由联合体各方盖章。</w:t>
      </w:r>
    </w:p>
    <w:p w14:paraId="71983F83">
      <w:pPr>
        <w:wordWrap w:val="0"/>
        <w:spacing w:before="100" w:beforeAutospacing="1" w:after="100" w:afterAutospacing="1"/>
        <w:ind w:firstLine="3316" w:firstLineChars="1382"/>
        <w:rPr>
          <w:rFonts w:hint="eastAsia" w:ascii="仿宋" w:hAnsi="仿宋" w:eastAsia="仿宋" w:cs="仿宋"/>
          <w:bCs/>
          <w:color w:val="auto"/>
          <w:szCs w:val="21"/>
          <w:highlight w:val="none"/>
          <w:lang w:val="zh-CN"/>
        </w:rPr>
      </w:pPr>
      <w:r>
        <w:rPr>
          <w:rFonts w:hint="eastAsia" w:ascii="仿宋" w:hAnsi="仿宋" w:eastAsia="仿宋" w:cs="仿宋"/>
          <w:bCs/>
          <w:color w:val="auto"/>
          <w:szCs w:val="21"/>
          <w:highlight w:val="none"/>
          <w:lang w:val="zh-CN"/>
        </w:rPr>
        <w:t>投标人</w:t>
      </w:r>
      <w:r>
        <w:rPr>
          <w:rFonts w:hint="eastAsia" w:ascii="仿宋" w:hAnsi="仿宋" w:eastAsia="仿宋" w:cs="仿宋"/>
          <w:bCs/>
          <w:color w:val="auto"/>
          <w:szCs w:val="21"/>
          <w:highlight w:val="none"/>
          <w:lang w:val="en-US" w:eastAsia="zh-CN"/>
        </w:rPr>
        <w:t>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bCs/>
          <w:color w:val="auto"/>
          <w:szCs w:val="21"/>
          <w:highlight w:val="none"/>
          <w:lang w:val="zh-CN"/>
        </w:rPr>
        <w:t>：</w:t>
      </w:r>
      <w:r>
        <w:rPr>
          <w:rFonts w:hint="eastAsia" w:ascii="仿宋" w:hAnsi="仿宋" w:eastAsia="仿宋" w:cs="仿宋"/>
          <w:bCs/>
          <w:color w:val="auto"/>
          <w:szCs w:val="21"/>
          <w:highlight w:val="none"/>
          <w:u w:val="single"/>
          <w:lang w:val="zh-CN"/>
        </w:rPr>
        <w:t xml:space="preserve">              </w:t>
      </w:r>
    </w:p>
    <w:p w14:paraId="3A972AC9">
      <w:pPr>
        <w:wordWrap w:val="0"/>
        <w:spacing w:before="100" w:beforeAutospacing="1" w:after="100" w:afterAutospacing="1"/>
        <w:ind w:firstLine="3316" w:firstLineChars="1382"/>
        <w:rPr>
          <w:rFonts w:hint="eastAsia" w:ascii="仿宋" w:hAnsi="仿宋" w:eastAsia="仿宋" w:cs="仿宋"/>
          <w:color w:val="auto"/>
          <w:highlight w:val="none"/>
        </w:rPr>
      </w:pPr>
      <w:r>
        <w:rPr>
          <w:rFonts w:hint="eastAsia" w:ascii="仿宋" w:hAnsi="仿宋" w:eastAsia="仿宋" w:cs="仿宋"/>
          <w:color w:val="auto"/>
          <w:szCs w:val="24"/>
          <w:highlight w:val="none"/>
        </w:rPr>
        <w:t>日  期：</w:t>
      </w:r>
      <w:r>
        <w:rPr>
          <w:rFonts w:hint="eastAsia" w:ascii="仿宋" w:hAnsi="仿宋" w:eastAsia="仿宋" w:cs="仿宋"/>
          <w:bCs/>
          <w:color w:val="auto"/>
          <w:szCs w:val="24"/>
          <w:highlight w:val="none"/>
          <w:u w:val="single"/>
        </w:rPr>
        <w:t xml:space="preserve">                         </w:t>
      </w:r>
    </w:p>
    <w:p w14:paraId="611A222F">
      <w:pP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br w:type="page"/>
      </w:r>
    </w:p>
    <w:p w14:paraId="4B9EE2D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411" w:name="_Toc7668"/>
      <w:bookmarkStart w:id="412" w:name="_Toc163492942"/>
      <w:r>
        <w:rPr>
          <w:rFonts w:hint="eastAsia" w:ascii="仿宋" w:hAnsi="仿宋" w:eastAsia="仿宋" w:cs="仿宋"/>
          <w:color w:val="auto"/>
          <w:highlight w:val="none"/>
          <w:lang w:val="en-US" w:eastAsia="zh-CN"/>
        </w:rPr>
        <w:t>★</w:t>
      </w:r>
      <w:r>
        <w:rPr>
          <w:rFonts w:hint="eastAsia" w:ascii="仿宋" w:hAnsi="仿宋" w:eastAsia="仿宋" w:cs="仿宋"/>
          <w:b/>
          <w:bCs/>
          <w:color w:val="auto"/>
          <w:kern w:val="2"/>
          <w:sz w:val="28"/>
          <w:szCs w:val="28"/>
          <w:highlight w:val="none"/>
          <w:lang w:val="en-US" w:eastAsia="zh-CN" w:bidi="ar-SA"/>
        </w:rPr>
        <w:t>三、不参与围标串标承诺书</w:t>
      </w:r>
      <w:bookmarkEnd w:id="411"/>
    </w:p>
    <w:p w14:paraId="70D7F20B">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32"/>
          <w:szCs w:val="32"/>
          <w:highlight w:val="none"/>
          <w:lang w:val="en-US" w:eastAsia="zh-CN" w:bidi="ar-SA"/>
        </w:rPr>
      </w:pPr>
    </w:p>
    <w:p w14:paraId="75FF23AC">
      <w:pPr>
        <w:jc w:val="center"/>
        <w:rPr>
          <w:rFonts w:hint="eastAsia" w:ascii="仿宋" w:hAnsi="仿宋" w:eastAsia="仿宋" w:cs="仿宋"/>
          <w:color w:val="auto"/>
          <w:highlight w:val="none"/>
          <w:lang w:val="en-US" w:eastAsia="zh-CN"/>
        </w:rPr>
      </w:pPr>
      <w:r>
        <w:rPr>
          <w:rFonts w:hint="eastAsia" w:ascii="仿宋" w:hAnsi="仿宋" w:eastAsia="仿宋" w:cs="仿宋"/>
          <w:b/>
          <w:bCs/>
          <w:color w:val="auto"/>
          <w:kern w:val="2"/>
          <w:sz w:val="32"/>
          <w:szCs w:val="32"/>
          <w:highlight w:val="none"/>
          <w:lang w:val="en-US" w:eastAsia="zh-CN" w:bidi="ar-SA"/>
        </w:rPr>
        <w:t>不参与围标串标承诺书</w:t>
      </w:r>
    </w:p>
    <w:p w14:paraId="6B233C07">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w:t>
      </w:r>
    </w:p>
    <w:p w14:paraId="1ACC5C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本人作为经授权的投标人代表,清楚知晓我单位本项目投标活动,对以下事项作出承诺：</w:t>
      </w:r>
    </w:p>
    <w:p w14:paraId="398E60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highlight w:val="none"/>
          <w:lang w:val="en-US" w:eastAsia="zh-CN"/>
        </w:rPr>
      </w:pPr>
    </w:p>
    <w:p w14:paraId="26BB11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二、我单位和我本人在本项目政府采购投标活动中,未参与围标串标。</w:t>
      </w:r>
    </w:p>
    <w:p w14:paraId="1A7E3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9E3C848">
      <w:pPr>
        <w:pStyle w:val="13"/>
        <w:rPr>
          <w:rFonts w:hint="eastAsia" w:ascii="仿宋" w:hAnsi="仿宋" w:eastAsia="仿宋" w:cs="仿宋"/>
          <w:color w:val="auto"/>
          <w:highlight w:val="none"/>
          <w:lang w:val="en-US" w:eastAsia="zh-CN"/>
        </w:rPr>
      </w:pPr>
    </w:p>
    <w:p w14:paraId="39CB3E48">
      <w:pPr>
        <w:spacing w:line="560" w:lineRule="exact"/>
        <w:rPr>
          <w:rFonts w:hint="eastAsia" w:ascii="仿宋" w:hAnsi="仿宋" w:eastAsia="仿宋" w:cs="仿宋"/>
          <w:color w:val="auto"/>
          <w:kern w:val="0"/>
          <w:sz w:val="24"/>
          <w:szCs w:val="24"/>
          <w:highlight w:val="none"/>
        </w:rPr>
      </w:pPr>
    </w:p>
    <w:p w14:paraId="19648C53">
      <w:pPr>
        <w:spacing w:line="5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szCs w:val="24"/>
          <w:highlight w:val="none"/>
        </w:rPr>
        <w:t>：</w:t>
      </w:r>
    </w:p>
    <w:p w14:paraId="2CCE383A">
      <w:pPr>
        <w:spacing w:line="5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负责人</w:t>
      </w:r>
      <w:r>
        <w:rPr>
          <w:rFonts w:hint="eastAsia" w:ascii="仿宋" w:hAnsi="仿宋" w:eastAsia="仿宋" w:cs="仿宋"/>
          <w:color w:val="auto"/>
          <w:kern w:val="0"/>
          <w:sz w:val="24"/>
          <w:szCs w:val="24"/>
          <w:highlight w:val="none"/>
          <w:lang w:val="en-US" w:eastAsia="zh-CN"/>
        </w:rPr>
        <w:t>或</w:t>
      </w: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或授权代表</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签字或</w:t>
      </w:r>
      <w:r>
        <w:rPr>
          <w:rFonts w:hint="eastAsia" w:ascii="仿宋" w:hAnsi="仿宋" w:eastAsia="仿宋" w:cs="仿宋"/>
          <w:color w:val="auto"/>
          <w:kern w:val="0"/>
          <w:sz w:val="24"/>
          <w:szCs w:val="24"/>
          <w:highlight w:val="none"/>
          <w:lang w:eastAsia="zh-CN"/>
        </w:rPr>
        <w:t>盖章）</w:t>
      </w:r>
      <w:r>
        <w:rPr>
          <w:rFonts w:hint="eastAsia" w:ascii="仿宋" w:hAnsi="仿宋" w:eastAsia="仿宋" w:cs="仿宋"/>
          <w:color w:val="auto"/>
          <w:kern w:val="0"/>
          <w:sz w:val="24"/>
          <w:szCs w:val="24"/>
          <w:highlight w:val="none"/>
        </w:rPr>
        <w:t>：</w:t>
      </w:r>
    </w:p>
    <w:p w14:paraId="692B3277">
      <w:pPr>
        <w:spacing w:line="5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13DA43E0">
      <w:pPr>
        <w:widowControl/>
        <w:spacing w:line="560" w:lineRule="exact"/>
        <w:ind w:firstLine="630"/>
        <w:jc w:val="left"/>
        <w:rPr>
          <w:rFonts w:hint="eastAsia" w:ascii="仿宋" w:hAnsi="仿宋" w:eastAsia="仿宋" w:cs="仿宋"/>
          <w:color w:val="auto"/>
          <w:kern w:val="0"/>
          <w:sz w:val="24"/>
          <w:szCs w:val="24"/>
          <w:highlight w:val="none"/>
        </w:rPr>
      </w:pPr>
    </w:p>
    <w:p w14:paraId="7CD72A88">
      <w:pPr>
        <w:pStyle w:val="13"/>
        <w:rPr>
          <w:rFonts w:hint="eastAsia" w:ascii="仿宋" w:hAnsi="仿宋" w:eastAsia="仿宋" w:cs="仿宋"/>
          <w:color w:val="auto"/>
          <w:highlight w:val="none"/>
          <w:lang w:val="en-US" w:eastAsia="zh-CN"/>
        </w:rPr>
      </w:pPr>
    </w:p>
    <w:p w14:paraId="6FC519D1">
      <w:pPr>
        <w:pStyle w:val="13"/>
        <w:rPr>
          <w:rFonts w:hint="eastAsia" w:ascii="仿宋" w:hAnsi="仿宋" w:eastAsia="仿宋" w:cs="仿宋"/>
          <w:color w:val="auto"/>
          <w:highlight w:val="none"/>
          <w:lang w:val="en-US" w:eastAsia="zh-CN"/>
        </w:rPr>
      </w:pPr>
    </w:p>
    <w:p w14:paraId="6CF88E83">
      <w:pPr>
        <w:pStyle w:val="13"/>
        <w:rPr>
          <w:rFonts w:hint="eastAsia" w:ascii="仿宋" w:hAnsi="仿宋" w:eastAsia="仿宋" w:cs="仿宋"/>
          <w:color w:val="auto"/>
          <w:highlight w:val="none"/>
          <w:lang w:val="en-US" w:eastAsia="zh-CN"/>
        </w:rPr>
      </w:pPr>
    </w:p>
    <w:p w14:paraId="7500053D">
      <w:pPr>
        <w:pStyle w:val="13"/>
        <w:rPr>
          <w:rFonts w:hint="eastAsia" w:ascii="仿宋" w:hAnsi="仿宋" w:eastAsia="仿宋" w:cs="仿宋"/>
          <w:color w:val="auto"/>
          <w:highlight w:val="none"/>
          <w:lang w:val="en-US" w:eastAsia="zh-CN"/>
        </w:rPr>
      </w:pPr>
    </w:p>
    <w:p w14:paraId="5BF64493">
      <w:pPr>
        <w:pStyle w:val="13"/>
        <w:rPr>
          <w:rFonts w:hint="eastAsia" w:ascii="仿宋" w:hAnsi="仿宋" w:eastAsia="仿宋" w:cs="仿宋"/>
          <w:color w:val="auto"/>
          <w:highlight w:val="none"/>
          <w:lang w:val="en-US" w:eastAsia="zh-CN"/>
        </w:rPr>
      </w:pPr>
    </w:p>
    <w:p w14:paraId="5CA01A8B">
      <w:pPr>
        <w:pStyle w:val="13"/>
        <w:rPr>
          <w:rFonts w:hint="eastAsia" w:ascii="仿宋" w:hAnsi="仿宋" w:eastAsia="仿宋" w:cs="仿宋"/>
          <w:color w:val="auto"/>
          <w:highlight w:val="none"/>
          <w:lang w:val="en-US" w:eastAsia="zh-CN"/>
        </w:rPr>
      </w:pPr>
    </w:p>
    <w:p w14:paraId="029F743D">
      <w:pPr>
        <w:pStyle w:val="13"/>
        <w:rPr>
          <w:rFonts w:hint="eastAsia" w:ascii="仿宋" w:hAnsi="仿宋" w:eastAsia="仿宋" w:cs="仿宋"/>
          <w:color w:val="auto"/>
          <w:highlight w:val="none"/>
          <w:lang w:val="en-US" w:eastAsia="zh-CN"/>
        </w:rPr>
      </w:pPr>
    </w:p>
    <w:p w14:paraId="30C8D33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仿宋" w:hAnsi="仿宋" w:eastAsia="仿宋" w:cs="仿宋"/>
          <w:b/>
          <w:bCs/>
          <w:color w:val="auto"/>
          <w:kern w:val="2"/>
          <w:sz w:val="28"/>
          <w:szCs w:val="28"/>
          <w:highlight w:val="none"/>
          <w:lang w:val="zh-CN" w:eastAsia="zh-CN" w:bidi="ar-SA"/>
        </w:rPr>
      </w:pPr>
      <w:bookmarkStart w:id="413" w:name="_Toc7005"/>
      <w:r>
        <w:rPr>
          <w:rFonts w:hint="eastAsia" w:ascii="仿宋" w:hAnsi="仿宋" w:eastAsia="仿宋" w:cs="仿宋"/>
          <w:b/>
          <w:bCs/>
          <w:color w:val="auto"/>
          <w:kern w:val="2"/>
          <w:sz w:val="28"/>
          <w:szCs w:val="28"/>
          <w:highlight w:val="none"/>
          <w:lang w:val="en-US" w:eastAsia="zh-CN" w:bidi="ar-SA"/>
        </w:rPr>
        <w:t>四、</w:t>
      </w:r>
      <w:bookmarkEnd w:id="412"/>
      <w:r>
        <w:rPr>
          <w:rFonts w:hint="eastAsia" w:ascii="仿宋" w:hAnsi="仿宋" w:eastAsia="仿宋" w:cs="仿宋"/>
          <w:b/>
          <w:bCs/>
          <w:color w:val="auto"/>
          <w:kern w:val="2"/>
          <w:sz w:val="28"/>
          <w:szCs w:val="28"/>
          <w:highlight w:val="none"/>
          <w:lang w:val="zh-CN" w:eastAsia="zh-CN" w:bidi="ar-SA"/>
        </w:rPr>
        <w:t>其他资格证明文件</w:t>
      </w:r>
      <w:bookmarkEnd w:id="413"/>
    </w:p>
    <w:p w14:paraId="7C97FB8D">
      <w:pPr>
        <w:pStyle w:val="37"/>
        <w:rPr>
          <w:rFonts w:hint="eastAsia" w:ascii="仿宋" w:hAnsi="仿宋" w:eastAsia="仿宋" w:cs="仿宋"/>
          <w:color w:val="auto"/>
          <w:sz w:val="24"/>
          <w:szCs w:val="24"/>
          <w:highlight w:val="none"/>
          <w:lang w:val="en-US" w:eastAsia="zh-CN"/>
        </w:rPr>
      </w:pPr>
      <w:r>
        <w:rPr>
          <w:rFonts w:hint="eastAsia" w:ascii="仿宋" w:hAnsi="仿宋" w:eastAsia="仿宋" w:cs="仿宋"/>
          <w:color w:val="auto"/>
          <w:highlight w:val="none"/>
          <w:lang w:val="en-US" w:eastAsia="zh-CN"/>
        </w:rPr>
        <w:t>★</w:t>
      </w:r>
      <w:r>
        <w:rPr>
          <w:rFonts w:hint="eastAsia" w:ascii="仿宋" w:hAnsi="仿宋" w:eastAsia="仿宋" w:cs="仿宋"/>
          <w:color w:val="auto"/>
          <w:sz w:val="24"/>
          <w:szCs w:val="24"/>
          <w:highlight w:val="none"/>
          <w:lang w:val="en-US" w:eastAsia="zh-CN"/>
        </w:rPr>
        <w:t>1.附保证金缴纳凭证</w:t>
      </w:r>
    </w:p>
    <w:p w14:paraId="0C24F0AE">
      <w:pPr>
        <w:pStyle w:val="37"/>
        <w:rPr>
          <w:rFonts w:hint="eastAsia" w:ascii="仿宋" w:hAnsi="仿宋" w:eastAsia="仿宋" w:cs="仿宋"/>
          <w:color w:val="auto"/>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Cs w:val="24"/>
          <w:highlight w:val="none"/>
        </w:rPr>
        <w:t>投标人认为需提供的其它相关资格证明材料</w:t>
      </w:r>
    </w:p>
    <w:p w14:paraId="58A36194">
      <w:pPr>
        <w:pStyle w:val="37"/>
        <w:rPr>
          <w:rFonts w:hint="eastAsia" w:ascii="仿宋" w:hAnsi="仿宋" w:eastAsia="仿宋" w:cs="仿宋"/>
          <w:color w:val="auto"/>
          <w:highlight w:val="none"/>
        </w:rPr>
      </w:pPr>
    </w:p>
    <w:p w14:paraId="4FBCA2C5">
      <w:pPr>
        <w:pStyle w:val="37"/>
        <w:rPr>
          <w:rFonts w:hint="eastAsia" w:ascii="仿宋" w:hAnsi="仿宋" w:eastAsia="仿宋" w:cs="仿宋"/>
          <w:color w:val="auto"/>
          <w:highlight w:val="none"/>
        </w:rPr>
      </w:pPr>
    </w:p>
    <w:p w14:paraId="20FCB5CB">
      <w:pPr>
        <w:pStyle w:val="37"/>
        <w:rPr>
          <w:rFonts w:hint="eastAsia" w:ascii="仿宋" w:hAnsi="仿宋" w:eastAsia="仿宋" w:cs="仿宋"/>
          <w:color w:val="auto"/>
          <w:highlight w:val="none"/>
        </w:rPr>
      </w:pPr>
    </w:p>
    <w:p w14:paraId="2588E711">
      <w:pPr>
        <w:pStyle w:val="37"/>
        <w:rPr>
          <w:rFonts w:hint="eastAsia" w:ascii="仿宋" w:hAnsi="仿宋" w:eastAsia="仿宋" w:cs="仿宋"/>
          <w:color w:val="auto"/>
          <w:highlight w:val="none"/>
        </w:rPr>
      </w:pPr>
    </w:p>
    <w:p w14:paraId="79859455">
      <w:pPr>
        <w:pStyle w:val="37"/>
        <w:rPr>
          <w:rFonts w:hint="eastAsia" w:ascii="仿宋" w:hAnsi="仿宋" w:eastAsia="仿宋" w:cs="仿宋"/>
          <w:color w:val="auto"/>
          <w:highlight w:val="none"/>
        </w:rPr>
      </w:pPr>
    </w:p>
    <w:p w14:paraId="0CC11E3A">
      <w:pPr>
        <w:pStyle w:val="37"/>
        <w:rPr>
          <w:rFonts w:hint="eastAsia" w:ascii="仿宋" w:hAnsi="仿宋" w:eastAsia="仿宋" w:cs="仿宋"/>
          <w:color w:val="auto"/>
          <w:highlight w:val="none"/>
        </w:rPr>
      </w:pPr>
    </w:p>
    <w:p w14:paraId="495B0226">
      <w:pPr>
        <w:pStyle w:val="37"/>
        <w:rPr>
          <w:rFonts w:hint="eastAsia" w:ascii="仿宋" w:hAnsi="仿宋" w:eastAsia="仿宋" w:cs="仿宋"/>
          <w:color w:val="auto"/>
          <w:highlight w:val="none"/>
        </w:rPr>
      </w:pPr>
    </w:p>
    <w:p w14:paraId="526A76D3">
      <w:pPr>
        <w:pStyle w:val="37"/>
        <w:rPr>
          <w:rFonts w:hint="eastAsia" w:ascii="仿宋" w:hAnsi="仿宋" w:eastAsia="仿宋" w:cs="仿宋"/>
          <w:color w:val="auto"/>
          <w:highlight w:val="none"/>
        </w:rPr>
      </w:pPr>
    </w:p>
    <w:p w14:paraId="2FCE18DA">
      <w:pPr>
        <w:pStyle w:val="37"/>
        <w:rPr>
          <w:rFonts w:hint="eastAsia" w:ascii="仿宋" w:hAnsi="仿宋" w:eastAsia="仿宋" w:cs="仿宋"/>
          <w:color w:val="auto"/>
          <w:highlight w:val="none"/>
        </w:rPr>
      </w:pPr>
    </w:p>
    <w:p w14:paraId="76E8A91B">
      <w:pPr>
        <w:pStyle w:val="37"/>
        <w:rPr>
          <w:rFonts w:hint="eastAsia" w:ascii="仿宋" w:hAnsi="仿宋" w:eastAsia="仿宋" w:cs="仿宋"/>
          <w:color w:val="auto"/>
          <w:highlight w:val="none"/>
        </w:rPr>
      </w:pPr>
    </w:p>
    <w:p w14:paraId="482693F5">
      <w:pPr>
        <w:pStyle w:val="37"/>
        <w:rPr>
          <w:rFonts w:hint="eastAsia" w:ascii="仿宋" w:hAnsi="仿宋" w:eastAsia="仿宋" w:cs="仿宋"/>
          <w:color w:val="auto"/>
          <w:highlight w:val="none"/>
        </w:rPr>
      </w:pPr>
    </w:p>
    <w:p w14:paraId="3553B395">
      <w:pPr>
        <w:pStyle w:val="37"/>
        <w:rPr>
          <w:rFonts w:hint="eastAsia" w:ascii="仿宋" w:hAnsi="仿宋" w:eastAsia="仿宋" w:cs="仿宋"/>
          <w:color w:val="auto"/>
          <w:highlight w:val="none"/>
        </w:rPr>
      </w:pPr>
    </w:p>
    <w:p w14:paraId="49D404FC">
      <w:pPr>
        <w:pStyle w:val="37"/>
        <w:rPr>
          <w:rFonts w:hint="eastAsia" w:ascii="仿宋" w:hAnsi="仿宋" w:eastAsia="仿宋" w:cs="仿宋"/>
          <w:color w:val="auto"/>
          <w:highlight w:val="none"/>
        </w:rPr>
      </w:pPr>
    </w:p>
    <w:p w14:paraId="4B98E4B6">
      <w:pPr>
        <w:pStyle w:val="37"/>
        <w:rPr>
          <w:rFonts w:hint="eastAsia" w:ascii="仿宋" w:hAnsi="仿宋" w:eastAsia="仿宋" w:cs="仿宋"/>
          <w:color w:val="auto"/>
          <w:highlight w:val="none"/>
        </w:rPr>
      </w:pPr>
    </w:p>
    <w:p w14:paraId="737FEDD3">
      <w:pPr>
        <w:pStyle w:val="37"/>
        <w:rPr>
          <w:rFonts w:hint="eastAsia" w:ascii="仿宋" w:hAnsi="仿宋" w:eastAsia="仿宋" w:cs="仿宋"/>
          <w:color w:val="auto"/>
          <w:highlight w:val="none"/>
        </w:rPr>
      </w:pPr>
    </w:p>
    <w:p w14:paraId="1C876135">
      <w:pPr>
        <w:pStyle w:val="37"/>
        <w:rPr>
          <w:rFonts w:hint="eastAsia" w:ascii="仿宋" w:hAnsi="仿宋" w:eastAsia="仿宋" w:cs="仿宋"/>
          <w:color w:val="auto"/>
          <w:highlight w:val="none"/>
        </w:rPr>
      </w:pPr>
    </w:p>
    <w:p w14:paraId="7E85C842">
      <w:pPr>
        <w:pStyle w:val="37"/>
        <w:rPr>
          <w:rFonts w:hint="eastAsia" w:ascii="仿宋" w:hAnsi="仿宋" w:eastAsia="仿宋" w:cs="仿宋"/>
          <w:color w:val="auto"/>
          <w:highlight w:val="none"/>
        </w:rPr>
      </w:pPr>
    </w:p>
    <w:p w14:paraId="4CBE3B0D">
      <w:pPr>
        <w:pStyle w:val="37"/>
        <w:rPr>
          <w:rFonts w:hint="eastAsia" w:ascii="仿宋" w:hAnsi="仿宋" w:eastAsia="仿宋" w:cs="仿宋"/>
          <w:color w:val="auto"/>
          <w:highlight w:val="none"/>
        </w:rPr>
      </w:pPr>
    </w:p>
    <w:p w14:paraId="2E6E451F">
      <w:pPr>
        <w:pStyle w:val="37"/>
        <w:rPr>
          <w:rFonts w:hint="eastAsia" w:ascii="仿宋" w:hAnsi="仿宋" w:eastAsia="仿宋" w:cs="仿宋"/>
          <w:color w:val="auto"/>
          <w:highlight w:val="none"/>
        </w:rPr>
      </w:pPr>
    </w:p>
    <w:p w14:paraId="38DC2C55">
      <w:pPr>
        <w:pStyle w:val="37"/>
        <w:rPr>
          <w:rFonts w:hint="eastAsia" w:ascii="仿宋" w:hAnsi="仿宋" w:eastAsia="仿宋" w:cs="仿宋"/>
          <w:color w:val="auto"/>
          <w:highlight w:val="none"/>
        </w:rPr>
      </w:pPr>
    </w:p>
    <w:p w14:paraId="04DAFD3C">
      <w:pPr>
        <w:pStyle w:val="37"/>
        <w:rPr>
          <w:rFonts w:hint="eastAsia" w:ascii="仿宋" w:hAnsi="仿宋" w:eastAsia="仿宋" w:cs="仿宋"/>
          <w:color w:val="auto"/>
          <w:highlight w:val="none"/>
        </w:rPr>
      </w:pPr>
    </w:p>
    <w:p w14:paraId="51E24CDC">
      <w:pPr>
        <w:pStyle w:val="37"/>
        <w:rPr>
          <w:rFonts w:hint="eastAsia" w:ascii="仿宋" w:hAnsi="仿宋" w:eastAsia="仿宋" w:cs="仿宋"/>
          <w:color w:val="auto"/>
          <w:highlight w:val="none"/>
        </w:rPr>
      </w:pPr>
    </w:p>
    <w:p w14:paraId="1AC1942E">
      <w:pPr>
        <w:pStyle w:val="37"/>
        <w:rPr>
          <w:rFonts w:hint="eastAsia" w:ascii="仿宋" w:hAnsi="仿宋" w:eastAsia="仿宋" w:cs="仿宋"/>
          <w:color w:val="auto"/>
          <w:highlight w:val="none"/>
        </w:rPr>
      </w:pPr>
    </w:p>
    <w:p w14:paraId="4722E259">
      <w:pPr>
        <w:pStyle w:val="37"/>
        <w:rPr>
          <w:rFonts w:hint="eastAsia" w:ascii="仿宋" w:hAnsi="仿宋" w:eastAsia="仿宋" w:cs="仿宋"/>
          <w:color w:val="auto"/>
          <w:highlight w:val="none"/>
        </w:rPr>
      </w:pPr>
    </w:p>
    <w:p w14:paraId="07033BD3">
      <w:pPr>
        <w:pStyle w:val="37"/>
        <w:rPr>
          <w:rFonts w:hint="eastAsia" w:ascii="仿宋" w:hAnsi="仿宋" w:eastAsia="仿宋" w:cs="仿宋"/>
          <w:color w:val="auto"/>
          <w:highlight w:val="none"/>
        </w:rPr>
      </w:pPr>
    </w:p>
    <w:p w14:paraId="04384634">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40582944">
      <w:pPr>
        <w:ind w:firstLine="480" w:firstLineChars="200"/>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封面：</w:t>
      </w:r>
    </w:p>
    <w:p w14:paraId="4D1553A3">
      <w:pPr>
        <w:autoSpaceDE w:val="0"/>
        <w:autoSpaceDN w:val="0"/>
        <w:adjustRightInd w:val="0"/>
        <w:rPr>
          <w:rFonts w:hint="eastAsia" w:ascii="仿宋" w:hAnsi="仿宋" w:eastAsia="仿宋" w:cs="仿宋"/>
          <w:color w:val="auto"/>
          <w:sz w:val="21"/>
          <w:szCs w:val="24"/>
          <w:highlight w:val="none"/>
        </w:rPr>
      </w:pPr>
    </w:p>
    <w:p w14:paraId="4625D57D">
      <w:pPr>
        <w:autoSpaceDE w:val="0"/>
        <w:autoSpaceDN w:val="0"/>
        <w:adjustRightInd w:val="0"/>
        <w:rPr>
          <w:rFonts w:hint="eastAsia" w:ascii="仿宋" w:hAnsi="仿宋" w:eastAsia="仿宋" w:cs="仿宋"/>
          <w:color w:val="auto"/>
          <w:sz w:val="21"/>
          <w:szCs w:val="24"/>
          <w:highlight w:val="none"/>
        </w:rPr>
      </w:pPr>
    </w:p>
    <w:p w14:paraId="426BCEA1">
      <w:pPr>
        <w:autoSpaceDE w:val="0"/>
        <w:autoSpaceDN w:val="0"/>
        <w:adjustRightInd w:val="0"/>
        <w:jc w:val="center"/>
        <w:rPr>
          <w:rFonts w:hint="eastAsia" w:ascii="仿宋" w:hAnsi="仿宋" w:eastAsia="仿宋" w:cs="仿宋"/>
          <w:color w:val="auto"/>
          <w:sz w:val="21"/>
          <w:szCs w:val="24"/>
          <w:highlight w:val="none"/>
        </w:rPr>
      </w:pPr>
    </w:p>
    <w:p w14:paraId="3902644C">
      <w:pPr>
        <w:pStyle w:val="2"/>
        <w:bidi w:val="0"/>
        <w:rPr>
          <w:rFonts w:hint="eastAsia" w:ascii="仿宋" w:hAnsi="仿宋" w:eastAsia="仿宋" w:cs="仿宋"/>
          <w:color w:val="auto"/>
          <w:sz w:val="56"/>
          <w:szCs w:val="56"/>
          <w:highlight w:val="none"/>
        </w:rPr>
      </w:pPr>
      <w:bookmarkStart w:id="414" w:name="_Toc32421"/>
      <w:r>
        <w:rPr>
          <w:rFonts w:hint="eastAsia" w:ascii="仿宋" w:hAnsi="仿宋" w:eastAsia="仿宋" w:cs="仿宋"/>
          <w:color w:val="auto"/>
          <w:sz w:val="56"/>
          <w:szCs w:val="56"/>
          <w:highlight w:val="none"/>
        </w:rPr>
        <w:t>投 标 文 件</w:t>
      </w:r>
      <w:bookmarkEnd w:id="414"/>
    </w:p>
    <w:p w14:paraId="5B89FC04">
      <w:pPr>
        <w:pStyle w:val="2"/>
        <w:bidi w:val="0"/>
        <w:rPr>
          <w:rFonts w:hint="eastAsia" w:ascii="仿宋" w:hAnsi="仿宋" w:eastAsia="仿宋" w:cs="仿宋"/>
          <w:color w:val="auto"/>
          <w:sz w:val="56"/>
          <w:szCs w:val="56"/>
          <w:highlight w:val="none"/>
          <w:lang w:val="en-US" w:eastAsia="zh-CN"/>
        </w:rPr>
      </w:pPr>
      <w:bookmarkStart w:id="415" w:name="_Toc26359"/>
      <w:r>
        <w:rPr>
          <w:rFonts w:hint="eastAsia" w:ascii="仿宋" w:hAnsi="仿宋" w:eastAsia="仿宋" w:cs="仿宋"/>
          <w:color w:val="auto"/>
          <w:sz w:val="56"/>
          <w:szCs w:val="56"/>
          <w:highlight w:val="none"/>
          <w:lang w:val="en-US" w:eastAsia="zh-CN"/>
        </w:rPr>
        <w:t>报价文件</w:t>
      </w:r>
      <w:bookmarkEnd w:id="415"/>
    </w:p>
    <w:p w14:paraId="054E0C81">
      <w:pPr>
        <w:pStyle w:val="3"/>
        <w:rPr>
          <w:rFonts w:hint="eastAsia" w:ascii="仿宋" w:hAnsi="仿宋" w:eastAsia="仿宋" w:cs="仿宋"/>
          <w:color w:val="auto"/>
          <w:sz w:val="21"/>
          <w:szCs w:val="21"/>
          <w:highlight w:val="none"/>
        </w:rPr>
      </w:pPr>
    </w:p>
    <w:p w14:paraId="1272EDA2">
      <w:pPr>
        <w:rPr>
          <w:rFonts w:hint="eastAsia"/>
          <w:highlight w:val="none"/>
        </w:rPr>
      </w:pPr>
    </w:p>
    <w:p w14:paraId="425E1EDC">
      <w:pPr>
        <w:rPr>
          <w:rFonts w:hint="eastAsia" w:ascii="仿宋" w:hAnsi="仿宋" w:eastAsia="仿宋" w:cs="仿宋"/>
          <w:color w:val="auto"/>
          <w:sz w:val="21"/>
          <w:szCs w:val="21"/>
          <w:highlight w:val="none"/>
        </w:rPr>
      </w:pPr>
    </w:p>
    <w:p w14:paraId="5FFD5616">
      <w:pPr>
        <w:rPr>
          <w:rFonts w:hint="eastAsia" w:ascii="仿宋" w:hAnsi="仿宋" w:eastAsia="仿宋" w:cs="仿宋"/>
          <w:color w:val="auto"/>
          <w:highlight w:val="none"/>
        </w:rPr>
      </w:pPr>
    </w:p>
    <w:p w14:paraId="0338FA55">
      <w:pPr>
        <w:autoSpaceDE w:val="0"/>
        <w:autoSpaceDN w:val="0"/>
        <w:adjustRightInd w:val="0"/>
        <w:rPr>
          <w:rFonts w:hint="eastAsia" w:ascii="仿宋" w:hAnsi="仿宋" w:eastAsia="仿宋" w:cs="仿宋"/>
          <w:color w:val="auto"/>
          <w:sz w:val="21"/>
          <w:szCs w:val="21"/>
          <w:highlight w:val="none"/>
        </w:rPr>
      </w:pPr>
    </w:p>
    <w:p w14:paraId="336C0AE3">
      <w:pPr>
        <w:autoSpaceDE w:val="0"/>
        <w:autoSpaceDN w:val="0"/>
        <w:adjustRightInd w:val="0"/>
        <w:rPr>
          <w:rFonts w:hint="eastAsia" w:ascii="仿宋" w:hAnsi="仿宋" w:eastAsia="仿宋" w:cs="仿宋"/>
          <w:color w:val="auto"/>
          <w:sz w:val="21"/>
          <w:szCs w:val="21"/>
          <w:highlight w:val="none"/>
        </w:rPr>
      </w:pPr>
    </w:p>
    <w:p w14:paraId="6F475132">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0173F70E">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101680F9">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投</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标</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人：</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13B6644C">
      <w:pPr>
        <w:ind w:left="840" w:firstLine="420"/>
        <w:rPr>
          <w:rFonts w:hint="eastAsia" w:ascii="仿宋" w:hAnsi="仿宋" w:eastAsia="仿宋" w:cs="仿宋"/>
          <w:b/>
          <w:bCs/>
          <w:color w:val="auto"/>
          <w:sz w:val="28"/>
          <w:szCs w:val="28"/>
          <w:highlight w:val="none"/>
        </w:rPr>
      </w:pPr>
    </w:p>
    <w:p w14:paraId="5776D25B">
      <w:pPr>
        <w:ind w:left="840" w:firstLine="420"/>
        <w:rPr>
          <w:rFonts w:hint="eastAsia" w:ascii="仿宋" w:hAnsi="仿宋" w:eastAsia="仿宋" w:cs="仿宋"/>
          <w:b/>
          <w:bCs/>
          <w:color w:val="auto"/>
          <w:sz w:val="28"/>
          <w:szCs w:val="28"/>
          <w:highlight w:val="none"/>
        </w:rPr>
      </w:pPr>
    </w:p>
    <w:p w14:paraId="153E0B10">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2B025C97">
      <w:pP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br w:type="page"/>
      </w:r>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pPr>
      <w:bookmarkStart w:id="416" w:name="_Toc18799"/>
      <w:r>
        <w:rPr>
          <w:rFonts w:hint="eastAsia" w:ascii="仿宋" w:hAnsi="仿宋" w:eastAsia="仿宋" w:cs="仿宋"/>
          <w:color w:val="auto"/>
          <w:highlight w:val="none"/>
          <w:lang w:val="en-US" w:eastAsia="zh-CN"/>
        </w:rPr>
        <w:t>★</w:t>
      </w:r>
      <w:r>
        <w:rPr>
          <w:rFonts w:hint="eastAsia" w:ascii="仿宋" w:hAnsi="仿宋" w:eastAsia="仿宋" w:cs="仿宋"/>
          <w:b/>
          <w:bCs/>
          <w:color w:val="auto"/>
          <w:kern w:val="2"/>
          <w:sz w:val="32"/>
          <w:szCs w:val="32"/>
          <w:highlight w:val="none"/>
          <w:lang w:val="en-US" w:eastAsia="zh-CN" w:bidi="ar-SA"/>
        </w:rPr>
        <w:t>一、开标一览表</w:t>
      </w:r>
      <w:bookmarkEnd w:id="416"/>
    </w:p>
    <w:p w14:paraId="2AB3D72A">
      <w:pPr>
        <w:spacing w:line="300" w:lineRule="auto"/>
        <w:rPr>
          <w:rFonts w:hint="eastAsia" w:ascii="仿宋" w:hAnsi="仿宋" w:eastAsia="仿宋" w:cs="仿宋"/>
          <w:color w:val="auto"/>
          <w:szCs w:val="24"/>
          <w:highlight w:val="none"/>
        </w:rPr>
      </w:pPr>
    </w:p>
    <w:p w14:paraId="599D3A7B">
      <w:pPr>
        <w:rPr>
          <w:rFonts w:hint="eastAsia" w:ascii="仿宋" w:hAnsi="仿宋" w:eastAsia="仿宋" w:cs="仿宋"/>
          <w:b w:val="0"/>
          <w:bCs/>
          <w:color w:val="auto"/>
          <w:szCs w:val="21"/>
          <w:highlight w:val="none"/>
          <w:lang w:val="zh-CN"/>
        </w:rPr>
      </w:pPr>
      <w:r>
        <w:rPr>
          <w:rFonts w:hint="eastAsia" w:ascii="仿宋" w:hAnsi="仿宋" w:eastAsia="仿宋" w:cs="仿宋"/>
          <w:b w:val="0"/>
          <w:bCs/>
          <w:color w:val="auto"/>
          <w:szCs w:val="21"/>
          <w:highlight w:val="none"/>
          <w:lang w:val="zh-CN"/>
        </w:rPr>
        <w:t>项目名称：</w:t>
      </w:r>
      <w:r>
        <w:rPr>
          <w:rFonts w:hint="eastAsia" w:ascii="仿宋" w:hAnsi="仿宋" w:eastAsia="仿宋" w:cs="仿宋"/>
          <w:b w:val="0"/>
          <w:bCs/>
          <w:color w:val="auto"/>
          <w:szCs w:val="21"/>
          <w:highlight w:val="none"/>
          <w:u w:val="single"/>
          <w:lang w:val="zh-CN"/>
        </w:rPr>
        <w:t xml:space="preserve">                     </w:t>
      </w:r>
    </w:p>
    <w:p w14:paraId="0CABFDF4">
      <w:pPr>
        <w:rPr>
          <w:rFonts w:hint="eastAsia" w:ascii="仿宋" w:hAnsi="仿宋" w:eastAsia="仿宋" w:cs="仿宋"/>
          <w:b w:val="0"/>
          <w:bCs/>
          <w:color w:val="auto"/>
          <w:szCs w:val="21"/>
          <w:highlight w:val="none"/>
          <w:u w:val="single"/>
          <w:lang w:val="zh-CN"/>
        </w:rPr>
      </w:pPr>
      <w:r>
        <w:rPr>
          <w:rFonts w:hint="eastAsia" w:ascii="仿宋" w:hAnsi="仿宋" w:eastAsia="仿宋" w:cs="仿宋"/>
          <w:b w:val="0"/>
          <w:bCs/>
          <w:color w:val="auto"/>
          <w:szCs w:val="21"/>
          <w:highlight w:val="none"/>
          <w:lang w:val="zh-CN"/>
        </w:rPr>
        <w:t>项目编号：</w:t>
      </w:r>
      <w:r>
        <w:rPr>
          <w:rFonts w:hint="eastAsia" w:ascii="仿宋" w:hAnsi="仿宋" w:eastAsia="仿宋" w:cs="仿宋"/>
          <w:b w:val="0"/>
          <w:bCs/>
          <w:color w:val="auto"/>
          <w:szCs w:val="21"/>
          <w:highlight w:val="none"/>
          <w:u w:val="single"/>
          <w:lang w:val="zh-CN"/>
        </w:rPr>
        <w:t xml:space="preserve">                </w:t>
      </w: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spacing w:line="24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352" w:type="dxa"/>
            <w:vAlign w:val="center"/>
          </w:tcPr>
          <w:p w14:paraId="5D10FF2E">
            <w:pPr>
              <w:widowControl/>
              <w:autoSpaceDE w:val="0"/>
              <w:autoSpaceDN w:val="0"/>
              <w:spacing w:line="240" w:lineRule="auto"/>
              <w:ind w:left="851" w:hanging="851"/>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tc>
        <w:tc>
          <w:tcPr>
            <w:tcW w:w="2161" w:type="dxa"/>
            <w:vAlign w:val="center"/>
          </w:tcPr>
          <w:p w14:paraId="48CC1886">
            <w:pPr>
              <w:widowControl/>
              <w:autoSpaceDE w:val="0"/>
              <w:autoSpaceDN w:val="0"/>
              <w:spacing w:line="240" w:lineRule="auto"/>
              <w:ind w:left="851" w:hanging="851"/>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交货期限</w:t>
            </w:r>
          </w:p>
        </w:tc>
        <w:tc>
          <w:tcPr>
            <w:tcW w:w="2611" w:type="dxa"/>
            <w:vAlign w:val="center"/>
          </w:tcPr>
          <w:p w14:paraId="620875ED">
            <w:pPr>
              <w:widowControl/>
              <w:autoSpaceDE w:val="0"/>
              <w:autoSpaceDN w:val="0"/>
              <w:spacing w:line="24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widowControl/>
              <w:autoSpaceDE w:val="0"/>
              <w:autoSpaceDN w:val="0"/>
              <w:spacing w:line="240" w:lineRule="auto"/>
              <w:ind w:left="851" w:hanging="851"/>
              <w:jc w:val="center"/>
              <w:textAlignment w:val="bottom"/>
              <w:rPr>
                <w:rFonts w:hint="eastAsia" w:ascii="仿宋" w:hAnsi="仿宋" w:eastAsia="仿宋" w:cs="仿宋"/>
                <w:color w:val="auto"/>
                <w:sz w:val="24"/>
                <w:szCs w:val="24"/>
                <w:highlight w:val="none"/>
              </w:rPr>
            </w:pPr>
          </w:p>
        </w:tc>
        <w:tc>
          <w:tcPr>
            <w:tcW w:w="2352" w:type="dxa"/>
            <w:vAlign w:val="center"/>
          </w:tcPr>
          <w:p w14:paraId="45A40F19">
            <w:pPr>
              <w:widowControl/>
              <w:shd w:val="clear"/>
              <w:autoSpaceDE w:val="0"/>
              <w:autoSpaceDN w:val="0"/>
              <w:spacing w:line="240" w:lineRule="auto"/>
              <w:ind w:left="851" w:hanging="851"/>
              <w:jc w:val="both"/>
              <w:textAlignment w:val="bottom"/>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小写：</w:t>
            </w:r>
          </w:p>
          <w:p w14:paraId="11F7915D">
            <w:pPr>
              <w:widowControl/>
              <w:shd w:val="clear"/>
              <w:autoSpaceDE w:val="0"/>
              <w:autoSpaceDN w:val="0"/>
              <w:spacing w:line="240" w:lineRule="auto"/>
              <w:ind w:left="851" w:hanging="851"/>
              <w:jc w:val="both"/>
              <w:textAlignment w:val="bottom"/>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大写：</w:t>
            </w:r>
          </w:p>
        </w:tc>
        <w:tc>
          <w:tcPr>
            <w:tcW w:w="2161" w:type="dxa"/>
            <w:vAlign w:val="center"/>
          </w:tcPr>
          <w:p w14:paraId="3409D243">
            <w:pPr>
              <w:widowControl/>
              <w:autoSpaceDE w:val="0"/>
              <w:autoSpaceDN w:val="0"/>
              <w:spacing w:line="240" w:lineRule="auto"/>
              <w:ind w:left="851" w:hanging="851"/>
              <w:jc w:val="center"/>
              <w:textAlignment w:val="bottom"/>
              <w:rPr>
                <w:rFonts w:hint="eastAsia" w:ascii="仿宋" w:hAnsi="仿宋" w:eastAsia="仿宋" w:cs="仿宋"/>
                <w:color w:val="auto"/>
                <w:sz w:val="24"/>
                <w:szCs w:val="24"/>
                <w:highlight w:val="none"/>
              </w:rPr>
            </w:pPr>
          </w:p>
        </w:tc>
        <w:tc>
          <w:tcPr>
            <w:tcW w:w="2611" w:type="dxa"/>
            <w:vAlign w:val="center"/>
          </w:tcPr>
          <w:p w14:paraId="35602B49">
            <w:pPr>
              <w:widowControl/>
              <w:autoSpaceDE w:val="0"/>
              <w:autoSpaceDN w:val="0"/>
              <w:spacing w:line="240" w:lineRule="auto"/>
              <w:ind w:left="851" w:hanging="851"/>
              <w:jc w:val="center"/>
              <w:textAlignment w:val="bottom"/>
              <w:rPr>
                <w:rFonts w:hint="eastAsia" w:ascii="仿宋" w:hAnsi="仿宋" w:eastAsia="仿宋" w:cs="仿宋"/>
                <w:color w:val="auto"/>
                <w:sz w:val="24"/>
                <w:szCs w:val="24"/>
                <w:highlight w:val="none"/>
              </w:rPr>
            </w:pPr>
          </w:p>
        </w:tc>
      </w:tr>
    </w:tbl>
    <w:p w14:paraId="486E37D7">
      <w:pPr>
        <w:spacing w:line="300" w:lineRule="auto"/>
        <w:rPr>
          <w:rFonts w:hint="eastAsia" w:ascii="仿宋" w:hAnsi="仿宋" w:eastAsia="仿宋" w:cs="仿宋"/>
          <w:color w:val="auto"/>
          <w:szCs w:val="21"/>
          <w:highlight w:val="none"/>
          <w:u w:val="single"/>
        </w:rPr>
      </w:pPr>
    </w:p>
    <w:p w14:paraId="0270EFB4">
      <w:pPr>
        <w:spacing w:line="30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zCs w:val="21"/>
          <w:highlight w:val="none"/>
        </w:rPr>
        <w:t>：</w:t>
      </w:r>
    </w:p>
    <w:p w14:paraId="6302F8A6">
      <w:pPr>
        <w:spacing w:line="30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日期：</w:t>
      </w:r>
    </w:p>
    <w:p w14:paraId="722CC087">
      <w:pPr>
        <w:rPr>
          <w:rFonts w:hint="eastAsia" w:ascii="仿宋" w:hAnsi="仿宋" w:eastAsia="仿宋" w:cs="仿宋"/>
          <w:color w:val="auto"/>
          <w:szCs w:val="24"/>
          <w:highlight w:val="none"/>
        </w:rPr>
      </w:pPr>
    </w:p>
    <w:p w14:paraId="21BB3A26">
      <w:pPr>
        <w:pStyle w:val="13"/>
        <w:rPr>
          <w:rFonts w:hint="eastAsia" w:ascii="仿宋" w:hAnsi="仿宋" w:eastAsia="仿宋" w:cs="仿宋"/>
          <w:color w:val="auto"/>
          <w:szCs w:val="24"/>
          <w:highlight w:val="none"/>
        </w:rPr>
      </w:pPr>
    </w:p>
    <w:p w14:paraId="4C551945">
      <w:pPr>
        <w:pStyle w:val="13"/>
        <w:rPr>
          <w:rFonts w:hint="eastAsia" w:ascii="仿宋" w:hAnsi="仿宋" w:eastAsia="仿宋" w:cs="仿宋"/>
          <w:color w:val="auto"/>
          <w:szCs w:val="24"/>
          <w:highlight w:val="none"/>
        </w:rPr>
      </w:pPr>
    </w:p>
    <w:p w14:paraId="09ACCEBB">
      <w:pPr>
        <w:pStyle w:val="13"/>
        <w:rPr>
          <w:rFonts w:hint="eastAsia" w:ascii="仿宋" w:hAnsi="仿宋" w:eastAsia="仿宋" w:cs="仿宋"/>
          <w:color w:val="auto"/>
          <w:szCs w:val="24"/>
          <w:highlight w:val="none"/>
        </w:rPr>
      </w:pPr>
    </w:p>
    <w:p w14:paraId="54CAC625">
      <w:pPr>
        <w:pStyle w:val="13"/>
        <w:rPr>
          <w:rFonts w:hint="eastAsia" w:ascii="仿宋" w:hAnsi="仿宋" w:eastAsia="仿宋" w:cs="仿宋"/>
          <w:color w:val="auto"/>
          <w:szCs w:val="24"/>
          <w:highlight w:val="none"/>
        </w:rPr>
      </w:pPr>
    </w:p>
    <w:p w14:paraId="5D119674">
      <w:pPr>
        <w:spacing w:line="360" w:lineRule="auto"/>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eastAsia="zh-CN"/>
        </w:rPr>
        <w:t>注：</w:t>
      </w:r>
    </w:p>
    <w:p w14:paraId="7BF32ACE">
      <w:pPr>
        <w:spacing w:line="360" w:lineRule="auto"/>
        <w:ind w:firstLine="43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1.此表用于开标唱标之用。</w:t>
      </w:r>
    </w:p>
    <w:p w14:paraId="7C885789">
      <w:pPr>
        <w:spacing w:line="360" w:lineRule="auto"/>
        <w:ind w:firstLine="43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2.表中投标报价即为优惠后报价，并作为评审及定标依据。任何有选择或有条件的投标报价，或者表中某一包填写多个报价，均为无效报价。</w:t>
      </w:r>
    </w:p>
    <w:p w14:paraId="68588FF0">
      <w:pPr>
        <w:pStyle w:val="13"/>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.表中大写与小写不一致的，以大写为准。</w:t>
      </w:r>
    </w:p>
    <w:p w14:paraId="4D6E4C40">
      <w:pPr>
        <w:pStyle w:val="13"/>
        <w:ind w:firstLine="480" w:firstLineChars="200"/>
        <w:rPr>
          <w:rFonts w:hint="eastAsia" w:ascii="仿宋" w:hAnsi="仿宋" w:eastAsia="仿宋" w:cs="仿宋"/>
          <w:color w:val="auto"/>
          <w:sz w:val="24"/>
          <w:szCs w:val="24"/>
          <w:highlight w:val="none"/>
        </w:rPr>
      </w:pPr>
    </w:p>
    <w:p w14:paraId="5E0B168A">
      <w:pPr>
        <w:pStyle w:val="13"/>
        <w:ind w:firstLine="480" w:firstLineChars="200"/>
        <w:rPr>
          <w:rFonts w:hint="eastAsia" w:ascii="仿宋" w:hAnsi="仿宋" w:eastAsia="仿宋" w:cs="仿宋"/>
          <w:color w:val="auto"/>
          <w:sz w:val="24"/>
          <w:szCs w:val="24"/>
          <w:highlight w:val="none"/>
        </w:rPr>
      </w:pPr>
    </w:p>
    <w:p w14:paraId="050DEE08">
      <w:pPr>
        <w:pStyle w:val="13"/>
        <w:ind w:firstLine="480" w:firstLineChars="200"/>
        <w:rPr>
          <w:rFonts w:hint="eastAsia" w:ascii="仿宋" w:hAnsi="仿宋" w:eastAsia="仿宋" w:cs="仿宋"/>
          <w:color w:val="auto"/>
          <w:sz w:val="24"/>
          <w:szCs w:val="24"/>
          <w:highlight w:val="none"/>
        </w:rPr>
      </w:pPr>
    </w:p>
    <w:p w14:paraId="455BA4B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pPr>
      <w:bookmarkStart w:id="417" w:name="_Toc6640"/>
      <w:r>
        <w:rPr>
          <w:rFonts w:hint="eastAsia" w:ascii="仿宋" w:hAnsi="仿宋" w:eastAsia="仿宋" w:cs="仿宋"/>
          <w:color w:val="auto"/>
          <w:highlight w:val="none"/>
          <w:lang w:val="en-US" w:eastAsia="zh-CN"/>
        </w:rPr>
        <w:t>★</w:t>
      </w:r>
      <w:r>
        <w:rPr>
          <w:rFonts w:hint="eastAsia" w:ascii="仿宋" w:hAnsi="仿宋" w:eastAsia="仿宋" w:cs="仿宋"/>
          <w:b/>
          <w:bCs/>
          <w:color w:val="auto"/>
          <w:kern w:val="2"/>
          <w:sz w:val="32"/>
          <w:szCs w:val="32"/>
          <w:highlight w:val="none"/>
          <w:lang w:val="en-US" w:eastAsia="zh-CN" w:bidi="ar-SA"/>
        </w:rPr>
        <w:t>二、分项报价表</w:t>
      </w:r>
      <w:bookmarkEnd w:id="417"/>
    </w:p>
    <w:p w14:paraId="3C0402CB">
      <w:pPr>
        <w:rPr>
          <w:rFonts w:hint="eastAsia" w:ascii="仿宋" w:hAnsi="仿宋" w:eastAsia="仿宋" w:cs="仿宋"/>
          <w:b w:val="0"/>
          <w:bCs/>
          <w:color w:val="auto"/>
          <w:szCs w:val="21"/>
          <w:highlight w:val="none"/>
          <w:lang w:val="zh-CN"/>
        </w:rPr>
      </w:pPr>
      <w:r>
        <w:rPr>
          <w:rFonts w:hint="eastAsia" w:ascii="仿宋" w:hAnsi="仿宋" w:eastAsia="仿宋" w:cs="仿宋"/>
          <w:b w:val="0"/>
          <w:bCs/>
          <w:color w:val="auto"/>
          <w:szCs w:val="21"/>
          <w:highlight w:val="none"/>
          <w:lang w:val="zh-CN"/>
        </w:rPr>
        <w:t>项目名称：</w:t>
      </w:r>
      <w:r>
        <w:rPr>
          <w:rFonts w:hint="eastAsia" w:ascii="仿宋" w:hAnsi="仿宋" w:eastAsia="仿宋" w:cs="仿宋"/>
          <w:b w:val="0"/>
          <w:bCs/>
          <w:color w:val="auto"/>
          <w:szCs w:val="21"/>
          <w:highlight w:val="none"/>
          <w:u w:val="single"/>
          <w:lang w:val="zh-CN"/>
        </w:rPr>
        <w:t xml:space="preserve">                  </w:t>
      </w:r>
      <w:r>
        <w:rPr>
          <w:rFonts w:hint="eastAsia" w:ascii="仿宋" w:hAnsi="仿宋" w:eastAsia="仿宋" w:cs="仿宋"/>
          <w:b w:val="0"/>
          <w:bCs/>
          <w:color w:val="auto"/>
          <w:szCs w:val="21"/>
          <w:highlight w:val="none"/>
          <w:u w:val="single"/>
          <w:lang w:val="en-US" w:eastAsia="zh-CN"/>
        </w:rPr>
        <w:t xml:space="preserve">     </w:t>
      </w:r>
      <w:r>
        <w:rPr>
          <w:rFonts w:hint="eastAsia" w:ascii="仿宋" w:hAnsi="仿宋" w:eastAsia="仿宋" w:cs="仿宋"/>
          <w:b w:val="0"/>
          <w:bCs/>
          <w:color w:val="auto"/>
          <w:szCs w:val="21"/>
          <w:highlight w:val="none"/>
          <w:u w:val="single"/>
          <w:lang w:val="zh-CN"/>
        </w:rPr>
        <w:t xml:space="preserve">   </w:t>
      </w:r>
    </w:p>
    <w:p w14:paraId="5456D210">
      <w:pPr>
        <w:rPr>
          <w:rFonts w:hint="eastAsia" w:ascii="仿宋" w:hAnsi="仿宋" w:eastAsia="仿宋" w:cs="仿宋"/>
          <w:b w:val="0"/>
          <w:bCs/>
          <w:color w:val="auto"/>
          <w:szCs w:val="21"/>
          <w:highlight w:val="none"/>
          <w:u w:val="single"/>
          <w:lang w:val="zh-CN"/>
        </w:rPr>
      </w:pPr>
      <w:r>
        <w:rPr>
          <w:rFonts w:hint="eastAsia" w:ascii="仿宋" w:hAnsi="仿宋" w:eastAsia="仿宋" w:cs="仿宋"/>
          <w:b w:val="0"/>
          <w:bCs/>
          <w:color w:val="auto"/>
          <w:szCs w:val="21"/>
          <w:highlight w:val="none"/>
          <w:lang w:val="zh-CN"/>
        </w:rPr>
        <w:t>项目编号：</w:t>
      </w:r>
      <w:r>
        <w:rPr>
          <w:rFonts w:hint="eastAsia" w:ascii="仿宋" w:hAnsi="仿宋" w:eastAsia="仿宋" w:cs="仿宋"/>
          <w:b w:val="0"/>
          <w:bCs/>
          <w:color w:val="auto"/>
          <w:szCs w:val="21"/>
          <w:highlight w:val="none"/>
          <w:u w:val="single"/>
          <w:lang w:val="zh-CN"/>
        </w:rPr>
        <w:t xml:space="preserve">                     </w:t>
      </w:r>
      <w:r>
        <w:rPr>
          <w:rFonts w:hint="eastAsia" w:ascii="仿宋" w:hAnsi="仿宋" w:eastAsia="仿宋" w:cs="仿宋"/>
          <w:b w:val="0"/>
          <w:bCs/>
          <w:color w:val="auto"/>
          <w:szCs w:val="21"/>
          <w:highlight w:val="none"/>
          <w:lang w:val="zh-CN"/>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1066"/>
        <w:gridCol w:w="1067"/>
        <w:gridCol w:w="1040"/>
        <w:gridCol w:w="1383"/>
        <w:gridCol w:w="1008"/>
        <w:gridCol w:w="1464"/>
        <w:gridCol w:w="1025"/>
        <w:gridCol w:w="863"/>
        <w:gridCol w:w="1324"/>
        <w:gridCol w:w="1026"/>
        <w:gridCol w:w="923"/>
        <w:gridCol w:w="1091"/>
      </w:tblGrid>
      <w:tr w14:paraId="3310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 w:type="dxa"/>
            <w:vAlign w:val="center"/>
          </w:tcPr>
          <w:p w14:paraId="2D51E3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kern w:val="2"/>
                <w:sz w:val="21"/>
                <w:szCs w:val="21"/>
                <w:highlight w:val="none"/>
              </w:rPr>
              <w:t>序号</w:t>
            </w:r>
          </w:p>
        </w:tc>
        <w:tc>
          <w:tcPr>
            <w:tcW w:w="1066" w:type="dxa"/>
            <w:vAlign w:val="center"/>
          </w:tcPr>
          <w:p w14:paraId="31DAB9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lang w:val="en-US" w:eastAsia="zh-CN"/>
              </w:rPr>
              <w:t>分项</w:t>
            </w:r>
            <w:r>
              <w:rPr>
                <w:rFonts w:hint="eastAsia" w:ascii="仿宋" w:hAnsi="仿宋" w:eastAsia="仿宋" w:cs="仿宋"/>
                <w:b w:val="0"/>
                <w:bCs/>
                <w:color w:val="auto"/>
                <w:sz w:val="21"/>
                <w:szCs w:val="21"/>
                <w:highlight w:val="none"/>
              </w:rPr>
              <w:t>名称</w:t>
            </w:r>
          </w:p>
        </w:tc>
        <w:tc>
          <w:tcPr>
            <w:tcW w:w="1067" w:type="dxa"/>
            <w:vAlign w:val="center"/>
          </w:tcPr>
          <w:p w14:paraId="1FEEAE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lang w:val="en-US" w:eastAsia="zh-CN"/>
              </w:rPr>
              <w:t>制造商</w:t>
            </w:r>
          </w:p>
        </w:tc>
        <w:tc>
          <w:tcPr>
            <w:tcW w:w="1040" w:type="dxa"/>
            <w:vAlign w:val="center"/>
          </w:tcPr>
          <w:p w14:paraId="264DED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lang w:val="en-US" w:eastAsia="zh-CN"/>
              </w:rPr>
              <w:t>产地/国别</w:t>
            </w:r>
          </w:p>
        </w:tc>
        <w:tc>
          <w:tcPr>
            <w:tcW w:w="1383" w:type="dxa"/>
            <w:vAlign w:val="center"/>
          </w:tcPr>
          <w:p w14:paraId="64AC8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制造商</w:t>
            </w:r>
          </w:p>
          <w:p w14:paraId="09B31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lang w:val="en-US" w:eastAsia="zh-CN"/>
              </w:rPr>
              <w:t>统一社会信用代码</w:t>
            </w:r>
          </w:p>
        </w:tc>
        <w:tc>
          <w:tcPr>
            <w:tcW w:w="1008" w:type="dxa"/>
            <w:vAlign w:val="center"/>
          </w:tcPr>
          <w:p w14:paraId="7A390D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lang w:val="en-US" w:eastAsia="zh-CN"/>
              </w:rPr>
              <w:t>制造商规模</w:t>
            </w:r>
          </w:p>
        </w:tc>
        <w:tc>
          <w:tcPr>
            <w:tcW w:w="1464" w:type="dxa"/>
            <w:vAlign w:val="center"/>
          </w:tcPr>
          <w:p w14:paraId="3A9B2D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en-US"/>
              </w:rPr>
            </w:pPr>
            <w:r>
              <w:rPr>
                <w:rFonts w:hint="eastAsia" w:ascii="仿宋" w:hAnsi="仿宋" w:eastAsia="仿宋" w:cs="仿宋"/>
                <w:b w:val="0"/>
                <w:bCs/>
                <w:color w:val="auto"/>
                <w:sz w:val="21"/>
                <w:szCs w:val="21"/>
                <w:highlight w:val="none"/>
                <w:lang w:val="en-US" w:eastAsia="zh-CN"/>
              </w:rPr>
              <w:t>制造商实际控制人性别</w:t>
            </w:r>
          </w:p>
        </w:tc>
        <w:tc>
          <w:tcPr>
            <w:tcW w:w="1025" w:type="dxa"/>
            <w:vAlign w:val="center"/>
          </w:tcPr>
          <w:p w14:paraId="37BD30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lang w:val="en-US" w:eastAsia="zh-CN"/>
              </w:rPr>
              <w:t>外商投资类型</w:t>
            </w:r>
          </w:p>
        </w:tc>
        <w:tc>
          <w:tcPr>
            <w:tcW w:w="863" w:type="dxa"/>
            <w:vAlign w:val="center"/>
          </w:tcPr>
          <w:p w14:paraId="60D081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rPr>
              <w:t>品牌</w:t>
            </w:r>
          </w:p>
        </w:tc>
        <w:tc>
          <w:tcPr>
            <w:tcW w:w="1324" w:type="dxa"/>
            <w:vAlign w:val="center"/>
          </w:tcPr>
          <w:p w14:paraId="6B3AFB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lang w:val="en-US" w:eastAsia="zh-CN"/>
              </w:rPr>
              <w:t>规格、</w:t>
            </w:r>
            <w:r>
              <w:rPr>
                <w:rFonts w:hint="eastAsia" w:ascii="仿宋" w:hAnsi="仿宋" w:eastAsia="仿宋" w:cs="仿宋"/>
                <w:b w:val="0"/>
                <w:bCs/>
                <w:color w:val="auto"/>
                <w:sz w:val="21"/>
                <w:szCs w:val="21"/>
                <w:highlight w:val="none"/>
              </w:rPr>
              <w:t>型号</w:t>
            </w:r>
          </w:p>
        </w:tc>
        <w:tc>
          <w:tcPr>
            <w:tcW w:w="1026" w:type="dxa"/>
            <w:vAlign w:val="center"/>
          </w:tcPr>
          <w:p w14:paraId="45014B84">
            <w:pPr>
              <w:spacing w:line="240" w:lineRule="auto"/>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单价</w:t>
            </w:r>
          </w:p>
          <w:p w14:paraId="145DF2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rPr>
              <w:t>（元）</w:t>
            </w:r>
          </w:p>
        </w:tc>
        <w:tc>
          <w:tcPr>
            <w:tcW w:w="923" w:type="dxa"/>
            <w:vAlign w:val="center"/>
          </w:tcPr>
          <w:p w14:paraId="3BCED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rPr>
              <w:t>数量</w:t>
            </w:r>
          </w:p>
        </w:tc>
        <w:tc>
          <w:tcPr>
            <w:tcW w:w="1091" w:type="dxa"/>
            <w:vAlign w:val="center"/>
          </w:tcPr>
          <w:p w14:paraId="577D0E39">
            <w:pPr>
              <w:spacing w:line="240" w:lineRule="auto"/>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合价</w:t>
            </w:r>
          </w:p>
          <w:p w14:paraId="2EC37A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rPr>
              <w:t>（元）</w:t>
            </w:r>
          </w:p>
        </w:tc>
      </w:tr>
      <w:tr w14:paraId="3DDD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76007496">
            <w:pPr>
              <w:jc w:val="center"/>
              <w:rPr>
                <w:rFonts w:hint="eastAsia" w:ascii="仿宋" w:hAnsi="仿宋" w:eastAsia="仿宋" w:cs="仿宋"/>
                <w:b w:val="0"/>
                <w:bCs/>
                <w:color w:val="auto"/>
                <w:sz w:val="21"/>
                <w:szCs w:val="21"/>
                <w:highlight w:val="none"/>
                <w:u w:val="none"/>
                <w:vertAlign w:val="baseline"/>
                <w:lang w:val="en-US" w:eastAsia="zh-CN"/>
              </w:rPr>
            </w:pPr>
            <w:r>
              <w:rPr>
                <w:rFonts w:hint="eastAsia" w:ascii="仿宋" w:hAnsi="仿宋" w:eastAsia="仿宋" w:cs="仿宋"/>
                <w:b w:val="0"/>
                <w:bCs/>
                <w:color w:val="auto"/>
                <w:sz w:val="21"/>
                <w:szCs w:val="21"/>
                <w:highlight w:val="none"/>
                <w:u w:val="none"/>
                <w:vertAlign w:val="baseline"/>
                <w:lang w:val="en-US" w:eastAsia="zh-CN"/>
              </w:rPr>
              <w:t>1</w:t>
            </w:r>
          </w:p>
        </w:tc>
        <w:tc>
          <w:tcPr>
            <w:tcW w:w="1066" w:type="dxa"/>
            <w:vAlign w:val="center"/>
          </w:tcPr>
          <w:p w14:paraId="5185A0F8">
            <w:pPr>
              <w:jc w:val="center"/>
              <w:rPr>
                <w:rFonts w:hint="eastAsia" w:ascii="仿宋" w:hAnsi="仿宋" w:eastAsia="仿宋" w:cs="仿宋"/>
                <w:b w:val="0"/>
                <w:bCs/>
                <w:color w:val="auto"/>
                <w:sz w:val="21"/>
                <w:szCs w:val="21"/>
                <w:highlight w:val="none"/>
                <w:u w:val="none"/>
                <w:vertAlign w:val="baseline"/>
                <w:lang w:val="zh-CN"/>
              </w:rPr>
            </w:pPr>
          </w:p>
        </w:tc>
        <w:tc>
          <w:tcPr>
            <w:tcW w:w="1067" w:type="dxa"/>
            <w:vAlign w:val="center"/>
          </w:tcPr>
          <w:p w14:paraId="440761B0">
            <w:pPr>
              <w:jc w:val="center"/>
              <w:rPr>
                <w:rFonts w:hint="eastAsia" w:ascii="仿宋" w:hAnsi="仿宋" w:eastAsia="仿宋" w:cs="仿宋"/>
                <w:b w:val="0"/>
                <w:bCs/>
                <w:color w:val="auto"/>
                <w:sz w:val="21"/>
                <w:szCs w:val="21"/>
                <w:highlight w:val="none"/>
                <w:u w:val="none"/>
                <w:vertAlign w:val="baseline"/>
                <w:lang w:val="zh-CN"/>
              </w:rPr>
            </w:pPr>
          </w:p>
        </w:tc>
        <w:tc>
          <w:tcPr>
            <w:tcW w:w="1040" w:type="dxa"/>
            <w:vAlign w:val="center"/>
          </w:tcPr>
          <w:p w14:paraId="2042EBA7">
            <w:pPr>
              <w:jc w:val="center"/>
              <w:rPr>
                <w:rFonts w:hint="eastAsia" w:ascii="仿宋" w:hAnsi="仿宋" w:eastAsia="仿宋" w:cs="仿宋"/>
                <w:b w:val="0"/>
                <w:bCs/>
                <w:color w:val="auto"/>
                <w:sz w:val="21"/>
                <w:szCs w:val="21"/>
                <w:highlight w:val="none"/>
                <w:u w:val="none"/>
                <w:vertAlign w:val="baseline"/>
                <w:lang w:val="zh-CN"/>
              </w:rPr>
            </w:pPr>
          </w:p>
        </w:tc>
        <w:tc>
          <w:tcPr>
            <w:tcW w:w="1383" w:type="dxa"/>
            <w:vAlign w:val="center"/>
          </w:tcPr>
          <w:p w14:paraId="74B97F46">
            <w:pPr>
              <w:jc w:val="center"/>
              <w:rPr>
                <w:rFonts w:hint="eastAsia" w:ascii="仿宋" w:hAnsi="仿宋" w:eastAsia="仿宋" w:cs="仿宋"/>
                <w:b w:val="0"/>
                <w:bCs/>
                <w:color w:val="auto"/>
                <w:sz w:val="21"/>
                <w:szCs w:val="21"/>
                <w:highlight w:val="none"/>
                <w:u w:val="none"/>
                <w:vertAlign w:val="baseline"/>
                <w:lang w:val="zh-CN"/>
              </w:rPr>
            </w:pPr>
          </w:p>
        </w:tc>
        <w:tc>
          <w:tcPr>
            <w:tcW w:w="1008" w:type="dxa"/>
            <w:vAlign w:val="center"/>
          </w:tcPr>
          <w:p w14:paraId="339AD079">
            <w:pPr>
              <w:jc w:val="center"/>
              <w:rPr>
                <w:rFonts w:hint="eastAsia" w:ascii="仿宋" w:hAnsi="仿宋" w:eastAsia="仿宋" w:cs="仿宋"/>
                <w:b w:val="0"/>
                <w:bCs/>
                <w:color w:val="auto"/>
                <w:sz w:val="21"/>
                <w:szCs w:val="21"/>
                <w:highlight w:val="none"/>
                <w:u w:val="none"/>
                <w:vertAlign w:val="baseline"/>
                <w:lang w:val="zh-CN"/>
              </w:rPr>
            </w:pPr>
          </w:p>
        </w:tc>
        <w:tc>
          <w:tcPr>
            <w:tcW w:w="1464" w:type="dxa"/>
            <w:vAlign w:val="center"/>
          </w:tcPr>
          <w:p w14:paraId="0CB6EDE3">
            <w:pPr>
              <w:jc w:val="center"/>
              <w:rPr>
                <w:rFonts w:hint="eastAsia" w:ascii="仿宋" w:hAnsi="仿宋" w:eastAsia="仿宋" w:cs="仿宋"/>
                <w:b w:val="0"/>
                <w:bCs/>
                <w:color w:val="auto"/>
                <w:sz w:val="21"/>
                <w:szCs w:val="21"/>
                <w:highlight w:val="none"/>
                <w:u w:val="none"/>
                <w:vertAlign w:val="baseline"/>
                <w:lang w:val="zh-CN"/>
              </w:rPr>
            </w:pPr>
          </w:p>
        </w:tc>
        <w:tc>
          <w:tcPr>
            <w:tcW w:w="1025" w:type="dxa"/>
            <w:vAlign w:val="center"/>
          </w:tcPr>
          <w:p w14:paraId="2B5545C8">
            <w:pPr>
              <w:jc w:val="center"/>
              <w:rPr>
                <w:rFonts w:hint="eastAsia" w:ascii="仿宋" w:hAnsi="仿宋" w:eastAsia="仿宋" w:cs="仿宋"/>
                <w:b w:val="0"/>
                <w:bCs/>
                <w:color w:val="auto"/>
                <w:sz w:val="21"/>
                <w:szCs w:val="21"/>
                <w:highlight w:val="none"/>
                <w:u w:val="none"/>
                <w:vertAlign w:val="baseline"/>
                <w:lang w:val="zh-CN"/>
              </w:rPr>
            </w:pPr>
          </w:p>
        </w:tc>
        <w:tc>
          <w:tcPr>
            <w:tcW w:w="863" w:type="dxa"/>
            <w:vAlign w:val="center"/>
          </w:tcPr>
          <w:p w14:paraId="58D4443B">
            <w:pPr>
              <w:jc w:val="center"/>
              <w:rPr>
                <w:rFonts w:hint="eastAsia" w:ascii="仿宋" w:hAnsi="仿宋" w:eastAsia="仿宋" w:cs="仿宋"/>
                <w:b w:val="0"/>
                <w:bCs/>
                <w:color w:val="auto"/>
                <w:sz w:val="21"/>
                <w:szCs w:val="21"/>
                <w:highlight w:val="none"/>
                <w:u w:val="none"/>
                <w:vertAlign w:val="baseline"/>
                <w:lang w:val="zh-CN"/>
              </w:rPr>
            </w:pPr>
          </w:p>
        </w:tc>
        <w:tc>
          <w:tcPr>
            <w:tcW w:w="1324" w:type="dxa"/>
            <w:vAlign w:val="center"/>
          </w:tcPr>
          <w:p w14:paraId="38890D30">
            <w:pPr>
              <w:jc w:val="center"/>
              <w:rPr>
                <w:rFonts w:hint="eastAsia" w:ascii="仿宋" w:hAnsi="仿宋" w:eastAsia="仿宋" w:cs="仿宋"/>
                <w:b w:val="0"/>
                <w:bCs/>
                <w:color w:val="auto"/>
                <w:sz w:val="21"/>
                <w:szCs w:val="21"/>
                <w:highlight w:val="none"/>
                <w:u w:val="none"/>
                <w:vertAlign w:val="baseline"/>
                <w:lang w:val="zh-CN"/>
              </w:rPr>
            </w:pPr>
          </w:p>
        </w:tc>
        <w:tc>
          <w:tcPr>
            <w:tcW w:w="1026" w:type="dxa"/>
            <w:vAlign w:val="center"/>
          </w:tcPr>
          <w:p w14:paraId="50753003">
            <w:pPr>
              <w:jc w:val="center"/>
              <w:rPr>
                <w:rFonts w:hint="eastAsia" w:ascii="仿宋" w:hAnsi="仿宋" w:eastAsia="仿宋" w:cs="仿宋"/>
                <w:b w:val="0"/>
                <w:bCs/>
                <w:color w:val="auto"/>
                <w:sz w:val="21"/>
                <w:szCs w:val="21"/>
                <w:highlight w:val="none"/>
                <w:u w:val="none"/>
                <w:vertAlign w:val="baseline"/>
                <w:lang w:val="zh-CN"/>
              </w:rPr>
            </w:pPr>
          </w:p>
        </w:tc>
        <w:tc>
          <w:tcPr>
            <w:tcW w:w="923" w:type="dxa"/>
            <w:vAlign w:val="center"/>
          </w:tcPr>
          <w:p w14:paraId="722E72FF">
            <w:pPr>
              <w:jc w:val="center"/>
              <w:rPr>
                <w:rFonts w:hint="eastAsia" w:ascii="仿宋" w:hAnsi="仿宋" w:eastAsia="仿宋" w:cs="仿宋"/>
                <w:b w:val="0"/>
                <w:bCs/>
                <w:color w:val="auto"/>
                <w:sz w:val="21"/>
                <w:szCs w:val="21"/>
                <w:highlight w:val="none"/>
                <w:u w:val="none"/>
                <w:vertAlign w:val="baseline"/>
                <w:lang w:val="zh-CN"/>
              </w:rPr>
            </w:pPr>
          </w:p>
        </w:tc>
        <w:tc>
          <w:tcPr>
            <w:tcW w:w="1091" w:type="dxa"/>
            <w:vAlign w:val="center"/>
          </w:tcPr>
          <w:p w14:paraId="1F020DC5">
            <w:pPr>
              <w:jc w:val="center"/>
              <w:rPr>
                <w:rFonts w:hint="eastAsia" w:ascii="仿宋" w:hAnsi="仿宋" w:eastAsia="仿宋" w:cs="仿宋"/>
                <w:b w:val="0"/>
                <w:bCs/>
                <w:color w:val="auto"/>
                <w:sz w:val="21"/>
                <w:szCs w:val="21"/>
                <w:highlight w:val="none"/>
                <w:u w:val="none"/>
                <w:vertAlign w:val="baseline"/>
                <w:lang w:val="zh-CN"/>
              </w:rPr>
            </w:pPr>
          </w:p>
        </w:tc>
      </w:tr>
      <w:tr w14:paraId="327B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2DA2FC9F">
            <w:pPr>
              <w:jc w:val="center"/>
              <w:rPr>
                <w:rFonts w:hint="eastAsia" w:ascii="仿宋" w:hAnsi="仿宋" w:eastAsia="仿宋" w:cs="仿宋"/>
                <w:b w:val="0"/>
                <w:bCs/>
                <w:color w:val="auto"/>
                <w:sz w:val="21"/>
                <w:szCs w:val="21"/>
                <w:highlight w:val="none"/>
                <w:u w:val="none"/>
                <w:vertAlign w:val="baseline"/>
                <w:lang w:val="en-US" w:eastAsia="zh-CN"/>
              </w:rPr>
            </w:pPr>
            <w:r>
              <w:rPr>
                <w:rFonts w:hint="eastAsia" w:ascii="仿宋" w:hAnsi="仿宋" w:eastAsia="仿宋" w:cs="仿宋"/>
                <w:b w:val="0"/>
                <w:bCs/>
                <w:color w:val="auto"/>
                <w:sz w:val="21"/>
                <w:szCs w:val="21"/>
                <w:highlight w:val="none"/>
                <w:u w:val="none"/>
                <w:vertAlign w:val="baseline"/>
                <w:lang w:val="en-US" w:eastAsia="zh-CN"/>
              </w:rPr>
              <w:t>2</w:t>
            </w:r>
          </w:p>
        </w:tc>
        <w:tc>
          <w:tcPr>
            <w:tcW w:w="1066" w:type="dxa"/>
            <w:vAlign w:val="center"/>
          </w:tcPr>
          <w:p w14:paraId="022E3F12">
            <w:pPr>
              <w:jc w:val="center"/>
              <w:rPr>
                <w:rFonts w:hint="eastAsia" w:ascii="仿宋" w:hAnsi="仿宋" w:eastAsia="仿宋" w:cs="仿宋"/>
                <w:b w:val="0"/>
                <w:bCs/>
                <w:color w:val="auto"/>
                <w:sz w:val="21"/>
                <w:szCs w:val="21"/>
                <w:highlight w:val="none"/>
                <w:u w:val="none"/>
                <w:vertAlign w:val="baseline"/>
                <w:lang w:val="zh-CN"/>
              </w:rPr>
            </w:pPr>
          </w:p>
        </w:tc>
        <w:tc>
          <w:tcPr>
            <w:tcW w:w="1067" w:type="dxa"/>
            <w:vAlign w:val="center"/>
          </w:tcPr>
          <w:p w14:paraId="3FFF5518">
            <w:pPr>
              <w:jc w:val="center"/>
              <w:rPr>
                <w:rFonts w:hint="eastAsia" w:ascii="仿宋" w:hAnsi="仿宋" w:eastAsia="仿宋" w:cs="仿宋"/>
                <w:b w:val="0"/>
                <w:bCs/>
                <w:color w:val="auto"/>
                <w:sz w:val="21"/>
                <w:szCs w:val="21"/>
                <w:highlight w:val="none"/>
                <w:u w:val="none"/>
                <w:vertAlign w:val="baseline"/>
                <w:lang w:val="zh-CN"/>
              </w:rPr>
            </w:pPr>
          </w:p>
        </w:tc>
        <w:tc>
          <w:tcPr>
            <w:tcW w:w="1040" w:type="dxa"/>
            <w:vAlign w:val="center"/>
          </w:tcPr>
          <w:p w14:paraId="0C93B94B">
            <w:pPr>
              <w:jc w:val="center"/>
              <w:rPr>
                <w:rFonts w:hint="eastAsia" w:ascii="仿宋" w:hAnsi="仿宋" w:eastAsia="仿宋" w:cs="仿宋"/>
                <w:b w:val="0"/>
                <w:bCs/>
                <w:color w:val="auto"/>
                <w:sz w:val="21"/>
                <w:szCs w:val="21"/>
                <w:highlight w:val="none"/>
                <w:u w:val="none"/>
                <w:vertAlign w:val="baseline"/>
                <w:lang w:val="zh-CN"/>
              </w:rPr>
            </w:pPr>
          </w:p>
        </w:tc>
        <w:tc>
          <w:tcPr>
            <w:tcW w:w="1383" w:type="dxa"/>
            <w:vAlign w:val="center"/>
          </w:tcPr>
          <w:p w14:paraId="43F08D28">
            <w:pPr>
              <w:jc w:val="center"/>
              <w:rPr>
                <w:rFonts w:hint="eastAsia" w:ascii="仿宋" w:hAnsi="仿宋" w:eastAsia="仿宋" w:cs="仿宋"/>
                <w:b w:val="0"/>
                <w:bCs/>
                <w:color w:val="auto"/>
                <w:sz w:val="21"/>
                <w:szCs w:val="21"/>
                <w:highlight w:val="none"/>
                <w:u w:val="none"/>
                <w:vertAlign w:val="baseline"/>
                <w:lang w:val="zh-CN"/>
              </w:rPr>
            </w:pPr>
          </w:p>
        </w:tc>
        <w:tc>
          <w:tcPr>
            <w:tcW w:w="1008" w:type="dxa"/>
            <w:vAlign w:val="center"/>
          </w:tcPr>
          <w:p w14:paraId="4F7A043B">
            <w:pPr>
              <w:jc w:val="center"/>
              <w:rPr>
                <w:rFonts w:hint="eastAsia" w:ascii="仿宋" w:hAnsi="仿宋" w:eastAsia="仿宋" w:cs="仿宋"/>
                <w:b w:val="0"/>
                <w:bCs/>
                <w:color w:val="auto"/>
                <w:sz w:val="21"/>
                <w:szCs w:val="21"/>
                <w:highlight w:val="none"/>
                <w:u w:val="none"/>
                <w:vertAlign w:val="baseline"/>
                <w:lang w:val="zh-CN"/>
              </w:rPr>
            </w:pPr>
          </w:p>
        </w:tc>
        <w:tc>
          <w:tcPr>
            <w:tcW w:w="1464" w:type="dxa"/>
            <w:vAlign w:val="center"/>
          </w:tcPr>
          <w:p w14:paraId="2BA9D216">
            <w:pPr>
              <w:jc w:val="center"/>
              <w:rPr>
                <w:rFonts w:hint="eastAsia" w:ascii="仿宋" w:hAnsi="仿宋" w:eastAsia="仿宋" w:cs="仿宋"/>
                <w:b w:val="0"/>
                <w:bCs/>
                <w:color w:val="auto"/>
                <w:sz w:val="21"/>
                <w:szCs w:val="21"/>
                <w:highlight w:val="none"/>
                <w:u w:val="none"/>
                <w:vertAlign w:val="baseline"/>
                <w:lang w:val="zh-CN"/>
              </w:rPr>
            </w:pPr>
          </w:p>
        </w:tc>
        <w:tc>
          <w:tcPr>
            <w:tcW w:w="1025" w:type="dxa"/>
            <w:vAlign w:val="center"/>
          </w:tcPr>
          <w:p w14:paraId="0E652E37">
            <w:pPr>
              <w:jc w:val="center"/>
              <w:rPr>
                <w:rFonts w:hint="eastAsia" w:ascii="仿宋" w:hAnsi="仿宋" w:eastAsia="仿宋" w:cs="仿宋"/>
                <w:b w:val="0"/>
                <w:bCs/>
                <w:color w:val="auto"/>
                <w:sz w:val="21"/>
                <w:szCs w:val="21"/>
                <w:highlight w:val="none"/>
                <w:u w:val="none"/>
                <w:vertAlign w:val="baseline"/>
                <w:lang w:val="zh-CN"/>
              </w:rPr>
            </w:pPr>
          </w:p>
        </w:tc>
        <w:tc>
          <w:tcPr>
            <w:tcW w:w="863" w:type="dxa"/>
            <w:vAlign w:val="center"/>
          </w:tcPr>
          <w:p w14:paraId="22025CB6">
            <w:pPr>
              <w:jc w:val="center"/>
              <w:rPr>
                <w:rFonts w:hint="eastAsia" w:ascii="仿宋" w:hAnsi="仿宋" w:eastAsia="仿宋" w:cs="仿宋"/>
                <w:b w:val="0"/>
                <w:bCs/>
                <w:color w:val="auto"/>
                <w:sz w:val="21"/>
                <w:szCs w:val="21"/>
                <w:highlight w:val="none"/>
                <w:u w:val="none"/>
                <w:vertAlign w:val="baseline"/>
                <w:lang w:val="zh-CN"/>
              </w:rPr>
            </w:pPr>
          </w:p>
        </w:tc>
        <w:tc>
          <w:tcPr>
            <w:tcW w:w="1324" w:type="dxa"/>
            <w:vAlign w:val="center"/>
          </w:tcPr>
          <w:p w14:paraId="62DDA3C2">
            <w:pPr>
              <w:jc w:val="center"/>
              <w:rPr>
                <w:rFonts w:hint="eastAsia" w:ascii="仿宋" w:hAnsi="仿宋" w:eastAsia="仿宋" w:cs="仿宋"/>
                <w:b w:val="0"/>
                <w:bCs/>
                <w:color w:val="auto"/>
                <w:sz w:val="21"/>
                <w:szCs w:val="21"/>
                <w:highlight w:val="none"/>
                <w:u w:val="none"/>
                <w:vertAlign w:val="baseline"/>
                <w:lang w:val="zh-CN"/>
              </w:rPr>
            </w:pPr>
          </w:p>
        </w:tc>
        <w:tc>
          <w:tcPr>
            <w:tcW w:w="1026" w:type="dxa"/>
            <w:vAlign w:val="center"/>
          </w:tcPr>
          <w:p w14:paraId="703F39B0">
            <w:pPr>
              <w:jc w:val="center"/>
              <w:rPr>
                <w:rFonts w:hint="eastAsia" w:ascii="仿宋" w:hAnsi="仿宋" w:eastAsia="仿宋" w:cs="仿宋"/>
                <w:b w:val="0"/>
                <w:bCs/>
                <w:color w:val="auto"/>
                <w:sz w:val="21"/>
                <w:szCs w:val="21"/>
                <w:highlight w:val="none"/>
                <w:u w:val="none"/>
                <w:vertAlign w:val="baseline"/>
                <w:lang w:val="zh-CN"/>
              </w:rPr>
            </w:pPr>
          </w:p>
        </w:tc>
        <w:tc>
          <w:tcPr>
            <w:tcW w:w="923" w:type="dxa"/>
            <w:vAlign w:val="center"/>
          </w:tcPr>
          <w:p w14:paraId="454AC89A">
            <w:pPr>
              <w:jc w:val="center"/>
              <w:rPr>
                <w:rFonts w:hint="eastAsia" w:ascii="仿宋" w:hAnsi="仿宋" w:eastAsia="仿宋" w:cs="仿宋"/>
                <w:b w:val="0"/>
                <w:bCs/>
                <w:color w:val="auto"/>
                <w:sz w:val="21"/>
                <w:szCs w:val="21"/>
                <w:highlight w:val="none"/>
                <w:u w:val="none"/>
                <w:vertAlign w:val="baseline"/>
                <w:lang w:val="zh-CN"/>
              </w:rPr>
            </w:pPr>
          </w:p>
        </w:tc>
        <w:tc>
          <w:tcPr>
            <w:tcW w:w="1091" w:type="dxa"/>
            <w:vAlign w:val="center"/>
          </w:tcPr>
          <w:p w14:paraId="3DE3EDC9">
            <w:pPr>
              <w:jc w:val="center"/>
              <w:rPr>
                <w:rFonts w:hint="eastAsia" w:ascii="仿宋" w:hAnsi="仿宋" w:eastAsia="仿宋" w:cs="仿宋"/>
                <w:b w:val="0"/>
                <w:bCs/>
                <w:color w:val="auto"/>
                <w:sz w:val="21"/>
                <w:szCs w:val="21"/>
                <w:highlight w:val="none"/>
                <w:u w:val="none"/>
                <w:vertAlign w:val="baseline"/>
                <w:lang w:val="zh-CN"/>
              </w:rPr>
            </w:pPr>
          </w:p>
        </w:tc>
      </w:tr>
      <w:tr w14:paraId="338F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288DC270">
            <w:pPr>
              <w:jc w:val="center"/>
              <w:rPr>
                <w:rFonts w:hint="eastAsia" w:ascii="仿宋" w:hAnsi="仿宋" w:eastAsia="仿宋" w:cs="仿宋"/>
                <w:b w:val="0"/>
                <w:bCs/>
                <w:color w:val="auto"/>
                <w:sz w:val="21"/>
                <w:szCs w:val="21"/>
                <w:highlight w:val="none"/>
                <w:u w:val="none"/>
                <w:vertAlign w:val="baseline"/>
                <w:lang w:val="en-US" w:eastAsia="zh-CN"/>
              </w:rPr>
            </w:pPr>
            <w:r>
              <w:rPr>
                <w:rFonts w:hint="eastAsia" w:ascii="仿宋" w:hAnsi="仿宋" w:eastAsia="仿宋" w:cs="仿宋"/>
                <w:b w:val="0"/>
                <w:bCs/>
                <w:color w:val="auto"/>
                <w:sz w:val="21"/>
                <w:szCs w:val="21"/>
                <w:highlight w:val="none"/>
                <w:u w:val="none"/>
                <w:vertAlign w:val="baseline"/>
                <w:lang w:val="en-US" w:eastAsia="zh-CN"/>
              </w:rPr>
              <w:t>3</w:t>
            </w:r>
          </w:p>
        </w:tc>
        <w:tc>
          <w:tcPr>
            <w:tcW w:w="1066" w:type="dxa"/>
            <w:vAlign w:val="center"/>
          </w:tcPr>
          <w:p w14:paraId="296B3553">
            <w:pPr>
              <w:jc w:val="center"/>
              <w:rPr>
                <w:rFonts w:hint="eastAsia" w:ascii="仿宋" w:hAnsi="仿宋" w:eastAsia="仿宋" w:cs="仿宋"/>
                <w:b w:val="0"/>
                <w:bCs/>
                <w:color w:val="auto"/>
                <w:sz w:val="21"/>
                <w:szCs w:val="21"/>
                <w:highlight w:val="none"/>
                <w:u w:val="none"/>
                <w:vertAlign w:val="baseline"/>
                <w:lang w:val="zh-CN"/>
              </w:rPr>
            </w:pPr>
          </w:p>
        </w:tc>
        <w:tc>
          <w:tcPr>
            <w:tcW w:w="1067" w:type="dxa"/>
            <w:vAlign w:val="center"/>
          </w:tcPr>
          <w:p w14:paraId="11A9BFBA">
            <w:pPr>
              <w:jc w:val="center"/>
              <w:rPr>
                <w:rFonts w:hint="eastAsia" w:ascii="仿宋" w:hAnsi="仿宋" w:eastAsia="仿宋" w:cs="仿宋"/>
                <w:b w:val="0"/>
                <w:bCs/>
                <w:color w:val="auto"/>
                <w:sz w:val="21"/>
                <w:szCs w:val="21"/>
                <w:highlight w:val="none"/>
                <w:u w:val="none"/>
                <w:vertAlign w:val="baseline"/>
                <w:lang w:val="zh-CN"/>
              </w:rPr>
            </w:pPr>
          </w:p>
        </w:tc>
        <w:tc>
          <w:tcPr>
            <w:tcW w:w="1040" w:type="dxa"/>
            <w:vAlign w:val="center"/>
          </w:tcPr>
          <w:p w14:paraId="6D34AAEE">
            <w:pPr>
              <w:jc w:val="center"/>
              <w:rPr>
                <w:rFonts w:hint="eastAsia" w:ascii="仿宋" w:hAnsi="仿宋" w:eastAsia="仿宋" w:cs="仿宋"/>
                <w:b w:val="0"/>
                <w:bCs/>
                <w:color w:val="auto"/>
                <w:sz w:val="21"/>
                <w:szCs w:val="21"/>
                <w:highlight w:val="none"/>
                <w:u w:val="none"/>
                <w:vertAlign w:val="baseline"/>
                <w:lang w:val="zh-CN"/>
              </w:rPr>
            </w:pPr>
          </w:p>
        </w:tc>
        <w:tc>
          <w:tcPr>
            <w:tcW w:w="1383" w:type="dxa"/>
            <w:vAlign w:val="center"/>
          </w:tcPr>
          <w:p w14:paraId="1895811B">
            <w:pPr>
              <w:jc w:val="center"/>
              <w:rPr>
                <w:rFonts w:hint="eastAsia" w:ascii="仿宋" w:hAnsi="仿宋" w:eastAsia="仿宋" w:cs="仿宋"/>
                <w:b w:val="0"/>
                <w:bCs/>
                <w:color w:val="auto"/>
                <w:sz w:val="21"/>
                <w:szCs w:val="21"/>
                <w:highlight w:val="none"/>
                <w:u w:val="none"/>
                <w:vertAlign w:val="baseline"/>
                <w:lang w:val="zh-CN"/>
              </w:rPr>
            </w:pPr>
          </w:p>
        </w:tc>
        <w:tc>
          <w:tcPr>
            <w:tcW w:w="1008" w:type="dxa"/>
            <w:vAlign w:val="center"/>
          </w:tcPr>
          <w:p w14:paraId="5C049FB4">
            <w:pPr>
              <w:jc w:val="center"/>
              <w:rPr>
                <w:rFonts w:hint="eastAsia" w:ascii="仿宋" w:hAnsi="仿宋" w:eastAsia="仿宋" w:cs="仿宋"/>
                <w:b w:val="0"/>
                <w:bCs/>
                <w:color w:val="auto"/>
                <w:sz w:val="21"/>
                <w:szCs w:val="21"/>
                <w:highlight w:val="none"/>
                <w:u w:val="none"/>
                <w:vertAlign w:val="baseline"/>
                <w:lang w:val="zh-CN"/>
              </w:rPr>
            </w:pPr>
          </w:p>
        </w:tc>
        <w:tc>
          <w:tcPr>
            <w:tcW w:w="1464" w:type="dxa"/>
            <w:vAlign w:val="center"/>
          </w:tcPr>
          <w:p w14:paraId="1EEF0947">
            <w:pPr>
              <w:jc w:val="center"/>
              <w:rPr>
                <w:rFonts w:hint="eastAsia" w:ascii="仿宋" w:hAnsi="仿宋" w:eastAsia="仿宋" w:cs="仿宋"/>
                <w:b w:val="0"/>
                <w:bCs/>
                <w:color w:val="auto"/>
                <w:sz w:val="21"/>
                <w:szCs w:val="21"/>
                <w:highlight w:val="none"/>
                <w:u w:val="none"/>
                <w:vertAlign w:val="baseline"/>
                <w:lang w:val="zh-CN"/>
              </w:rPr>
            </w:pPr>
          </w:p>
        </w:tc>
        <w:tc>
          <w:tcPr>
            <w:tcW w:w="1025" w:type="dxa"/>
            <w:vAlign w:val="center"/>
          </w:tcPr>
          <w:p w14:paraId="7778CA91">
            <w:pPr>
              <w:jc w:val="center"/>
              <w:rPr>
                <w:rFonts w:hint="eastAsia" w:ascii="仿宋" w:hAnsi="仿宋" w:eastAsia="仿宋" w:cs="仿宋"/>
                <w:b w:val="0"/>
                <w:bCs/>
                <w:color w:val="auto"/>
                <w:sz w:val="21"/>
                <w:szCs w:val="21"/>
                <w:highlight w:val="none"/>
                <w:u w:val="none"/>
                <w:vertAlign w:val="baseline"/>
                <w:lang w:val="zh-CN"/>
              </w:rPr>
            </w:pPr>
          </w:p>
        </w:tc>
        <w:tc>
          <w:tcPr>
            <w:tcW w:w="863" w:type="dxa"/>
            <w:vAlign w:val="center"/>
          </w:tcPr>
          <w:p w14:paraId="4765FF03">
            <w:pPr>
              <w:jc w:val="center"/>
              <w:rPr>
                <w:rFonts w:hint="eastAsia" w:ascii="仿宋" w:hAnsi="仿宋" w:eastAsia="仿宋" w:cs="仿宋"/>
                <w:b w:val="0"/>
                <w:bCs/>
                <w:color w:val="auto"/>
                <w:sz w:val="21"/>
                <w:szCs w:val="21"/>
                <w:highlight w:val="none"/>
                <w:u w:val="none"/>
                <w:vertAlign w:val="baseline"/>
                <w:lang w:val="zh-CN"/>
              </w:rPr>
            </w:pPr>
          </w:p>
        </w:tc>
        <w:tc>
          <w:tcPr>
            <w:tcW w:w="1324" w:type="dxa"/>
            <w:vAlign w:val="center"/>
          </w:tcPr>
          <w:p w14:paraId="1030805C">
            <w:pPr>
              <w:jc w:val="center"/>
              <w:rPr>
                <w:rFonts w:hint="eastAsia" w:ascii="仿宋" w:hAnsi="仿宋" w:eastAsia="仿宋" w:cs="仿宋"/>
                <w:b w:val="0"/>
                <w:bCs/>
                <w:color w:val="auto"/>
                <w:sz w:val="21"/>
                <w:szCs w:val="21"/>
                <w:highlight w:val="none"/>
                <w:u w:val="none"/>
                <w:vertAlign w:val="baseline"/>
                <w:lang w:val="zh-CN"/>
              </w:rPr>
            </w:pPr>
          </w:p>
        </w:tc>
        <w:tc>
          <w:tcPr>
            <w:tcW w:w="1026" w:type="dxa"/>
            <w:vAlign w:val="center"/>
          </w:tcPr>
          <w:p w14:paraId="03FD13FA">
            <w:pPr>
              <w:jc w:val="center"/>
              <w:rPr>
                <w:rFonts w:hint="eastAsia" w:ascii="仿宋" w:hAnsi="仿宋" w:eastAsia="仿宋" w:cs="仿宋"/>
                <w:b w:val="0"/>
                <w:bCs/>
                <w:color w:val="auto"/>
                <w:sz w:val="21"/>
                <w:szCs w:val="21"/>
                <w:highlight w:val="none"/>
                <w:u w:val="none"/>
                <w:vertAlign w:val="baseline"/>
                <w:lang w:val="zh-CN"/>
              </w:rPr>
            </w:pPr>
          </w:p>
        </w:tc>
        <w:tc>
          <w:tcPr>
            <w:tcW w:w="923" w:type="dxa"/>
            <w:vAlign w:val="center"/>
          </w:tcPr>
          <w:p w14:paraId="16B2BB13">
            <w:pPr>
              <w:jc w:val="center"/>
              <w:rPr>
                <w:rFonts w:hint="eastAsia" w:ascii="仿宋" w:hAnsi="仿宋" w:eastAsia="仿宋" w:cs="仿宋"/>
                <w:b w:val="0"/>
                <w:bCs/>
                <w:color w:val="auto"/>
                <w:sz w:val="21"/>
                <w:szCs w:val="21"/>
                <w:highlight w:val="none"/>
                <w:u w:val="none"/>
                <w:vertAlign w:val="baseline"/>
                <w:lang w:val="zh-CN"/>
              </w:rPr>
            </w:pPr>
          </w:p>
        </w:tc>
        <w:tc>
          <w:tcPr>
            <w:tcW w:w="1091" w:type="dxa"/>
            <w:vAlign w:val="center"/>
          </w:tcPr>
          <w:p w14:paraId="568E139E">
            <w:pPr>
              <w:jc w:val="center"/>
              <w:rPr>
                <w:rFonts w:hint="eastAsia" w:ascii="仿宋" w:hAnsi="仿宋" w:eastAsia="仿宋" w:cs="仿宋"/>
                <w:b w:val="0"/>
                <w:bCs/>
                <w:color w:val="auto"/>
                <w:sz w:val="21"/>
                <w:szCs w:val="21"/>
                <w:highlight w:val="none"/>
                <w:u w:val="none"/>
                <w:vertAlign w:val="baseline"/>
                <w:lang w:val="zh-CN"/>
              </w:rPr>
            </w:pPr>
          </w:p>
        </w:tc>
      </w:tr>
      <w:tr w14:paraId="1A2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4B0C62D3">
            <w:pPr>
              <w:jc w:val="center"/>
              <w:rPr>
                <w:rFonts w:hint="eastAsia" w:ascii="仿宋" w:hAnsi="仿宋" w:eastAsia="仿宋" w:cs="仿宋"/>
                <w:b w:val="0"/>
                <w:bCs/>
                <w:color w:val="auto"/>
                <w:sz w:val="21"/>
                <w:szCs w:val="21"/>
                <w:highlight w:val="none"/>
                <w:u w:val="none"/>
                <w:vertAlign w:val="baseline"/>
                <w:lang w:val="en-US" w:eastAsia="zh-CN"/>
              </w:rPr>
            </w:pPr>
            <w:r>
              <w:rPr>
                <w:rFonts w:hint="eastAsia" w:ascii="仿宋" w:hAnsi="仿宋" w:eastAsia="仿宋" w:cs="仿宋"/>
                <w:b w:val="0"/>
                <w:bCs/>
                <w:color w:val="auto"/>
                <w:sz w:val="21"/>
                <w:szCs w:val="21"/>
                <w:highlight w:val="none"/>
                <w:u w:val="none"/>
                <w:vertAlign w:val="baseline"/>
                <w:lang w:val="en-US" w:eastAsia="zh-CN"/>
              </w:rPr>
              <w:t>4</w:t>
            </w:r>
          </w:p>
        </w:tc>
        <w:tc>
          <w:tcPr>
            <w:tcW w:w="1066" w:type="dxa"/>
            <w:vAlign w:val="center"/>
          </w:tcPr>
          <w:p w14:paraId="78D63140">
            <w:pPr>
              <w:jc w:val="center"/>
              <w:rPr>
                <w:rFonts w:hint="eastAsia" w:ascii="仿宋" w:hAnsi="仿宋" w:eastAsia="仿宋" w:cs="仿宋"/>
                <w:b w:val="0"/>
                <w:bCs/>
                <w:color w:val="auto"/>
                <w:sz w:val="21"/>
                <w:szCs w:val="21"/>
                <w:highlight w:val="none"/>
                <w:u w:val="none"/>
                <w:vertAlign w:val="baseline"/>
                <w:lang w:val="zh-CN"/>
              </w:rPr>
            </w:pPr>
          </w:p>
        </w:tc>
        <w:tc>
          <w:tcPr>
            <w:tcW w:w="1067" w:type="dxa"/>
            <w:vAlign w:val="center"/>
          </w:tcPr>
          <w:p w14:paraId="36FCE407">
            <w:pPr>
              <w:jc w:val="center"/>
              <w:rPr>
                <w:rFonts w:hint="eastAsia" w:ascii="仿宋" w:hAnsi="仿宋" w:eastAsia="仿宋" w:cs="仿宋"/>
                <w:b w:val="0"/>
                <w:bCs/>
                <w:color w:val="auto"/>
                <w:sz w:val="21"/>
                <w:szCs w:val="21"/>
                <w:highlight w:val="none"/>
                <w:u w:val="none"/>
                <w:vertAlign w:val="baseline"/>
                <w:lang w:val="zh-CN"/>
              </w:rPr>
            </w:pPr>
          </w:p>
        </w:tc>
        <w:tc>
          <w:tcPr>
            <w:tcW w:w="1040" w:type="dxa"/>
            <w:vAlign w:val="center"/>
          </w:tcPr>
          <w:p w14:paraId="7B685A3F">
            <w:pPr>
              <w:jc w:val="center"/>
              <w:rPr>
                <w:rFonts w:hint="eastAsia" w:ascii="仿宋" w:hAnsi="仿宋" w:eastAsia="仿宋" w:cs="仿宋"/>
                <w:b w:val="0"/>
                <w:bCs/>
                <w:color w:val="auto"/>
                <w:sz w:val="21"/>
                <w:szCs w:val="21"/>
                <w:highlight w:val="none"/>
                <w:u w:val="none"/>
                <w:vertAlign w:val="baseline"/>
                <w:lang w:val="zh-CN"/>
              </w:rPr>
            </w:pPr>
          </w:p>
        </w:tc>
        <w:tc>
          <w:tcPr>
            <w:tcW w:w="1383" w:type="dxa"/>
            <w:vAlign w:val="center"/>
          </w:tcPr>
          <w:p w14:paraId="737DC40C">
            <w:pPr>
              <w:jc w:val="center"/>
              <w:rPr>
                <w:rFonts w:hint="eastAsia" w:ascii="仿宋" w:hAnsi="仿宋" w:eastAsia="仿宋" w:cs="仿宋"/>
                <w:b w:val="0"/>
                <w:bCs/>
                <w:color w:val="auto"/>
                <w:sz w:val="21"/>
                <w:szCs w:val="21"/>
                <w:highlight w:val="none"/>
                <w:u w:val="none"/>
                <w:vertAlign w:val="baseline"/>
                <w:lang w:val="zh-CN"/>
              </w:rPr>
            </w:pPr>
          </w:p>
        </w:tc>
        <w:tc>
          <w:tcPr>
            <w:tcW w:w="1008" w:type="dxa"/>
            <w:vAlign w:val="center"/>
          </w:tcPr>
          <w:p w14:paraId="6DC3F2EB">
            <w:pPr>
              <w:jc w:val="center"/>
              <w:rPr>
                <w:rFonts w:hint="eastAsia" w:ascii="仿宋" w:hAnsi="仿宋" w:eastAsia="仿宋" w:cs="仿宋"/>
                <w:b w:val="0"/>
                <w:bCs/>
                <w:color w:val="auto"/>
                <w:sz w:val="21"/>
                <w:szCs w:val="21"/>
                <w:highlight w:val="none"/>
                <w:u w:val="none"/>
                <w:vertAlign w:val="baseline"/>
                <w:lang w:val="zh-CN"/>
              </w:rPr>
            </w:pPr>
          </w:p>
        </w:tc>
        <w:tc>
          <w:tcPr>
            <w:tcW w:w="1464" w:type="dxa"/>
            <w:vAlign w:val="center"/>
          </w:tcPr>
          <w:p w14:paraId="04B80A38">
            <w:pPr>
              <w:jc w:val="center"/>
              <w:rPr>
                <w:rFonts w:hint="eastAsia" w:ascii="仿宋" w:hAnsi="仿宋" w:eastAsia="仿宋" w:cs="仿宋"/>
                <w:b w:val="0"/>
                <w:bCs/>
                <w:color w:val="auto"/>
                <w:sz w:val="21"/>
                <w:szCs w:val="21"/>
                <w:highlight w:val="none"/>
                <w:u w:val="none"/>
                <w:vertAlign w:val="baseline"/>
                <w:lang w:val="zh-CN"/>
              </w:rPr>
            </w:pPr>
          </w:p>
        </w:tc>
        <w:tc>
          <w:tcPr>
            <w:tcW w:w="1025" w:type="dxa"/>
            <w:vAlign w:val="center"/>
          </w:tcPr>
          <w:p w14:paraId="7E28DCD6">
            <w:pPr>
              <w:jc w:val="center"/>
              <w:rPr>
                <w:rFonts w:hint="eastAsia" w:ascii="仿宋" w:hAnsi="仿宋" w:eastAsia="仿宋" w:cs="仿宋"/>
                <w:b w:val="0"/>
                <w:bCs/>
                <w:color w:val="auto"/>
                <w:sz w:val="21"/>
                <w:szCs w:val="21"/>
                <w:highlight w:val="none"/>
                <w:u w:val="none"/>
                <w:vertAlign w:val="baseline"/>
                <w:lang w:val="zh-CN"/>
              </w:rPr>
            </w:pPr>
          </w:p>
        </w:tc>
        <w:tc>
          <w:tcPr>
            <w:tcW w:w="863" w:type="dxa"/>
            <w:vAlign w:val="center"/>
          </w:tcPr>
          <w:p w14:paraId="4E72731F">
            <w:pPr>
              <w:jc w:val="center"/>
              <w:rPr>
                <w:rFonts w:hint="eastAsia" w:ascii="仿宋" w:hAnsi="仿宋" w:eastAsia="仿宋" w:cs="仿宋"/>
                <w:b w:val="0"/>
                <w:bCs/>
                <w:color w:val="auto"/>
                <w:sz w:val="21"/>
                <w:szCs w:val="21"/>
                <w:highlight w:val="none"/>
                <w:u w:val="none"/>
                <w:vertAlign w:val="baseline"/>
                <w:lang w:val="zh-CN"/>
              </w:rPr>
            </w:pPr>
          </w:p>
        </w:tc>
        <w:tc>
          <w:tcPr>
            <w:tcW w:w="1324" w:type="dxa"/>
            <w:vAlign w:val="center"/>
          </w:tcPr>
          <w:p w14:paraId="781A2EB9">
            <w:pPr>
              <w:jc w:val="center"/>
              <w:rPr>
                <w:rFonts w:hint="eastAsia" w:ascii="仿宋" w:hAnsi="仿宋" w:eastAsia="仿宋" w:cs="仿宋"/>
                <w:b w:val="0"/>
                <w:bCs/>
                <w:color w:val="auto"/>
                <w:sz w:val="21"/>
                <w:szCs w:val="21"/>
                <w:highlight w:val="none"/>
                <w:u w:val="none"/>
                <w:vertAlign w:val="baseline"/>
                <w:lang w:val="zh-CN"/>
              </w:rPr>
            </w:pPr>
          </w:p>
        </w:tc>
        <w:tc>
          <w:tcPr>
            <w:tcW w:w="1026" w:type="dxa"/>
            <w:vAlign w:val="center"/>
          </w:tcPr>
          <w:p w14:paraId="427EE9F9">
            <w:pPr>
              <w:jc w:val="center"/>
              <w:rPr>
                <w:rFonts w:hint="eastAsia" w:ascii="仿宋" w:hAnsi="仿宋" w:eastAsia="仿宋" w:cs="仿宋"/>
                <w:b w:val="0"/>
                <w:bCs/>
                <w:color w:val="auto"/>
                <w:sz w:val="21"/>
                <w:szCs w:val="21"/>
                <w:highlight w:val="none"/>
                <w:u w:val="none"/>
                <w:vertAlign w:val="baseline"/>
                <w:lang w:val="zh-CN"/>
              </w:rPr>
            </w:pPr>
          </w:p>
        </w:tc>
        <w:tc>
          <w:tcPr>
            <w:tcW w:w="923" w:type="dxa"/>
            <w:vAlign w:val="center"/>
          </w:tcPr>
          <w:p w14:paraId="12B42903">
            <w:pPr>
              <w:jc w:val="center"/>
              <w:rPr>
                <w:rFonts w:hint="eastAsia" w:ascii="仿宋" w:hAnsi="仿宋" w:eastAsia="仿宋" w:cs="仿宋"/>
                <w:b w:val="0"/>
                <w:bCs/>
                <w:color w:val="auto"/>
                <w:sz w:val="21"/>
                <w:szCs w:val="21"/>
                <w:highlight w:val="none"/>
                <w:u w:val="none"/>
                <w:vertAlign w:val="baseline"/>
                <w:lang w:val="zh-CN"/>
              </w:rPr>
            </w:pPr>
          </w:p>
        </w:tc>
        <w:tc>
          <w:tcPr>
            <w:tcW w:w="1091" w:type="dxa"/>
            <w:vAlign w:val="center"/>
          </w:tcPr>
          <w:p w14:paraId="69FF26F0">
            <w:pPr>
              <w:jc w:val="center"/>
              <w:rPr>
                <w:rFonts w:hint="eastAsia" w:ascii="仿宋" w:hAnsi="仿宋" w:eastAsia="仿宋" w:cs="仿宋"/>
                <w:b w:val="0"/>
                <w:bCs/>
                <w:color w:val="auto"/>
                <w:sz w:val="21"/>
                <w:szCs w:val="21"/>
                <w:highlight w:val="none"/>
                <w:u w:val="none"/>
                <w:vertAlign w:val="baseline"/>
                <w:lang w:val="zh-CN"/>
              </w:rPr>
            </w:pPr>
          </w:p>
        </w:tc>
      </w:tr>
      <w:tr w14:paraId="49E7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4442CB85">
            <w:pPr>
              <w:jc w:val="center"/>
              <w:rPr>
                <w:rFonts w:hint="eastAsia" w:ascii="仿宋" w:hAnsi="仿宋" w:eastAsia="仿宋" w:cs="仿宋"/>
                <w:b w:val="0"/>
                <w:bCs/>
                <w:color w:val="auto"/>
                <w:sz w:val="21"/>
                <w:szCs w:val="21"/>
                <w:highlight w:val="none"/>
                <w:u w:val="none"/>
                <w:vertAlign w:val="baseline"/>
                <w:lang w:val="en-US" w:eastAsia="zh-CN"/>
              </w:rPr>
            </w:pPr>
            <w:r>
              <w:rPr>
                <w:rFonts w:hint="eastAsia" w:ascii="仿宋" w:hAnsi="仿宋" w:eastAsia="仿宋" w:cs="仿宋"/>
                <w:b w:val="0"/>
                <w:bCs/>
                <w:color w:val="auto"/>
                <w:sz w:val="21"/>
                <w:szCs w:val="21"/>
                <w:highlight w:val="none"/>
                <w:u w:val="none"/>
                <w:vertAlign w:val="baseline"/>
                <w:lang w:val="en-US" w:eastAsia="zh-CN"/>
              </w:rPr>
              <w:t>5</w:t>
            </w:r>
          </w:p>
        </w:tc>
        <w:tc>
          <w:tcPr>
            <w:tcW w:w="1066" w:type="dxa"/>
            <w:vAlign w:val="center"/>
          </w:tcPr>
          <w:p w14:paraId="679234AE">
            <w:pPr>
              <w:jc w:val="center"/>
              <w:rPr>
                <w:rFonts w:hint="eastAsia" w:ascii="仿宋" w:hAnsi="仿宋" w:eastAsia="仿宋" w:cs="仿宋"/>
                <w:b w:val="0"/>
                <w:bCs/>
                <w:color w:val="auto"/>
                <w:sz w:val="21"/>
                <w:szCs w:val="21"/>
                <w:highlight w:val="none"/>
                <w:u w:val="none"/>
                <w:vertAlign w:val="baseline"/>
                <w:lang w:val="zh-CN"/>
              </w:rPr>
            </w:pPr>
          </w:p>
        </w:tc>
        <w:tc>
          <w:tcPr>
            <w:tcW w:w="1067" w:type="dxa"/>
            <w:vAlign w:val="center"/>
          </w:tcPr>
          <w:p w14:paraId="1677FA79">
            <w:pPr>
              <w:jc w:val="center"/>
              <w:rPr>
                <w:rFonts w:hint="eastAsia" w:ascii="仿宋" w:hAnsi="仿宋" w:eastAsia="仿宋" w:cs="仿宋"/>
                <w:b w:val="0"/>
                <w:bCs/>
                <w:color w:val="auto"/>
                <w:sz w:val="21"/>
                <w:szCs w:val="21"/>
                <w:highlight w:val="none"/>
                <w:u w:val="none"/>
                <w:vertAlign w:val="baseline"/>
                <w:lang w:val="zh-CN"/>
              </w:rPr>
            </w:pPr>
          </w:p>
        </w:tc>
        <w:tc>
          <w:tcPr>
            <w:tcW w:w="1040" w:type="dxa"/>
            <w:vAlign w:val="center"/>
          </w:tcPr>
          <w:p w14:paraId="73FE1D76">
            <w:pPr>
              <w:jc w:val="center"/>
              <w:rPr>
                <w:rFonts w:hint="eastAsia" w:ascii="仿宋" w:hAnsi="仿宋" w:eastAsia="仿宋" w:cs="仿宋"/>
                <w:b w:val="0"/>
                <w:bCs/>
                <w:color w:val="auto"/>
                <w:sz w:val="21"/>
                <w:szCs w:val="21"/>
                <w:highlight w:val="none"/>
                <w:u w:val="none"/>
                <w:vertAlign w:val="baseline"/>
                <w:lang w:val="zh-CN"/>
              </w:rPr>
            </w:pPr>
          </w:p>
        </w:tc>
        <w:tc>
          <w:tcPr>
            <w:tcW w:w="1383" w:type="dxa"/>
            <w:vAlign w:val="center"/>
          </w:tcPr>
          <w:p w14:paraId="61CBC7D1">
            <w:pPr>
              <w:jc w:val="center"/>
              <w:rPr>
                <w:rFonts w:hint="eastAsia" w:ascii="仿宋" w:hAnsi="仿宋" w:eastAsia="仿宋" w:cs="仿宋"/>
                <w:b w:val="0"/>
                <w:bCs/>
                <w:color w:val="auto"/>
                <w:sz w:val="21"/>
                <w:szCs w:val="21"/>
                <w:highlight w:val="none"/>
                <w:u w:val="none"/>
                <w:vertAlign w:val="baseline"/>
                <w:lang w:val="zh-CN"/>
              </w:rPr>
            </w:pPr>
          </w:p>
        </w:tc>
        <w:tc>
          <w:tcPr>
            <w:tcW w:w="1008" w:type="dxa"/>
            <w:vAlign w:val="center"/>
          </w:tcPr>
          <w:p w14:paraId="6A301C20">
            <w:pPr>
              <w:jc w:val="center"/>
              <w:rPr>
                <w:rFonts w:hint="eastAsia" w:ascii="仿宋" w:hAnsi="仿宋" w:eastAsia="仿宋" w:cs="仿宋"/>
                <w:b w:val="0"/>
                <w:bCs/>
                <w:color w:val="auto"/>
                <w:sz w:val="21"/>
                <w:szCs w:val="21"/>
                <w:highlight w:val="none"/>
                <w:u w:val="none"/>
                <w:vertAlign w:val="baseline"/>
                <w:lang w:val="zh-CN"/>
              </w:rPr>
            </w:pPr>
          </w:p>
        </w:tc>
        <w:tc>
          <w:tcPr>
            <w:tcW w:w="1464" w:type="dxa"/>
            <w:vAlign w:val="center"/>
          </w:tcPr>
          <w:p w14:paraId="04151E12">
            <w:pPr>
              <w:jc w:val="center"/>
              <w:rPr>
                <w:rFonts w:hint="eastAsia" w:ascii="仿宋" w:hAnsi="仿宋" w:eastAsia="仿宋" w:cs="仿宋"/>
                <w:b w:val="0"/>
                <w:bCs/>
                <w:color w:val="auto"/>
                <w:sz w:val="21"/>
                <w:szCs w:val="21"/>
                <w:highlight w:val="none"/>
                <w:u w:val="none"/>
                <w:vertAlign w:val="baseline"/>
                <w:lang w:val="zh-CN"/>
              </w:rPr>
            </w:pPr>
          </w:p>
        </w:tc>
        <w:tc>
          <w:tcPr>
            <w:tcW w:w="1025" w:type="dxa"/>
            <w:vAlign w:val="center"/>
          </w:tcPr>
          <w:p w14:paraId="4252EDFA">
            <w:pPr>
              <w:jc w:val="center"/>
              <w:rPr>
                <w:rFonts w:hint="eastAsia" w:ascii="仿宋" w:hAnsi="仿宋" w:eastAsia="仿宋" w:cs="仿宋"/>
                <w:b w:val="0"/>
                <w:bCs/>
                <w:color w:val="auto"/>
                <w:sz w:val="21"/>
                <w:szCs w:val="21"/>
                <w:highlight w:val="none"/>
                <w:u w:val="none"/>
                <w:vertAlign w:val="baseline"/>
                <w:lang w:val="zh-CN"/>
              </w:rPr>
            </w:pPr>
          </w:p>
        </w:tc>
        <w:tc>
          <w:tcPr>
            <w:tcW w:w="863" w:type="dxa"/>
            <w:vAlign w:val="center"/>
          </w:tcPr>
          <w:p w14:paraId="0C1A4B6F">
            <w:pPr>
              <w:jc w:val="center"/>
              <w:rPr>
                <w:rFonts w:hint="eastAsia" w:ascii="仿宋" w:hAnsi="仿宋" w:eastAsia="仿宋" w:cs="仿宋"/>
                <w:b w:val="0"/>
                <w:bCs/>
                <w:color w:val="auto"/>
                <w:sz w:val="21"/>
                <w:szCs w:val="21"/>
                <w:highlight w:val="none"/>
                <w:u w:val="none"/>
                <w:vertAlign w:val="baseline"/>
                <w:lang w:val="zh-CN"/>
              </w:rPr>
            </w:pPr>
          </w:p>
        </w:tc>
        <w:tc>
          <w:tcPr>
            <w:tcW w:w="1324" w:type="dxa"/>
            <w:vAlign w:val="center"/>
          </w:tcPr>
          <w:p w14:paraId="42FC6DBD">
            <w:pPr>
              <w:jc w:val="center"/>
              <w:rPr>
                <w:rFonts w:hint="eastAsia" w:ascii="仿宋" w:hAnsi="仿宋" w:eastAsia="仿宋" w:cs="仿宋"/>
                <w:b w:val="0"/>
                <w:bCs/>
                <w:color w:val="auto"/>
                <w:sz w:val="21"/>
                <w:szCs w:val="21"/>
                <w:highlight w:val="none"/>
                <w:u w:val="none"/>
                <w:vertAlign w:val="baseline"/>
                <w:lang w:val="zh-CN"/>
              </w:rPr>
            </w:pPr>
          </w:p>
        </w:tc>
        <w:tc>
          <w:tcPr>
            <w:tcW w:w="1026" w:type="dxa"/>
            <w:vAlign w:val="center"/>
          </w:tcPr>
          <w:p w14:paraId="2F3F1C2B">
            <w:pPr>
              <w:jc w:val="center"/>
              <w:rPr>
                <w:rFonts w:hint="eastAsia" w:ascii="仿宋" w:hAnsi="仿宋" w:eastAsia="仿宋" w:cs="仿宋"/>
                <w:b w:val="0"/>
                <w:bCs/>
                <w:color w:val="auto"/>
                <w:sz w:val="21"/>
                <w:szCs w:val="21"/>
                <w:highlight w:val="none"/>
                <w:u w:val="none"/>
                <w:vertAlign w:val="baseline"/>
                <w:lang w:val="zh-CN"/>
              </w:rPr>
            </w:pPr>
          </w:p>
        </w:tc>
        <w:tc>
          <w:tcPr>
            <w:tcW w:w="923" w:type="dxa"/>
            <w:vAlign w:val="center"/>
          </w:tcPr>
          <w:p w14:paraId="7843F507">
            <w:pPr>
              <w:jc w:val="center"/>
              <w:rPr>
                <w:rFonts w:hint="eastAsia" w:ascii="仿宋" w:hAnsi="仿宋" w:eastAsia="仿宋" w:cs="仿宋"/>
                <w:b w:val="0"/>
                <w:bCs/>
                <w:color w:val="auto"/>
                <w:sz w:val="21"/>
                <w:szCs w:val="21"/>
                <w:highlight w:val="none"/>
                <w:u w:val="none"/>
                <w:vertAlign w:val="baseline"/>
                <w:lang w:val="zh-CN"/>
              </w:rPr>
            </w:pPr>
          </w:p>
        </w:tc>
        <w:tc>
          <w:tcPr>
            <w:tcW w:w="1091" w:type="dxa"/>
            <w:vAlign w:val="center"/>
          </w:tcPr>
          <w:p w14:paraId="5011D80F">
            <w:pPr>
              <w:jc w:val="center"/>
              <w:rPr>
                <w:rFonts w:hint="eastAsia" w:ascii="仿宋" w:hAnsi="仿宋" w:eastAsia="仿宋" w:cs="仿宋"/>
                <w:b w:val="0"/>
                <w:bCs/>
                <w:color w:val="auto"/>
                <w:sz w:val="21"/>
                <w:szCs w:val="21"/>
                <w:highlight w:val="none"/>
                <w:u w:val="none"/>
                <w:vertAlign w:val="baseline"/>
                <w:lang w:val="zh-CN"/>
              </w:rPr>
            </w:pPr>
          </w:p>
        </w:tc>
      </w:tr>
      <w:tr w14:paraId="0995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60BE0365">
            <w:pPr>
              <w:jc w:val="center"/>
              <w:rPr>
                <w:rFonts w:hint="eastAsia" w:ascii="仿宋" w:hAnsi="仿宋" w:eastAsia="仿宋" w:cs="仿宋"/>
                <w:b w:val="0"/>
                <w:bCs/>
                <w:color w:val="auto"/>
                <w:sz w:val="21"/>
                <w:szCs w:val="21"/>
                <w:highlight w:val="none"/>
                <w:u w:val="none"/>
                <w:vertAlign w:val="baseline"/>
                <w:lang w:val="en-US" w:eastAsia="zh-CN"/>
              </w:rPr>
            </w:pPr>
            <w:r>
              <w:rPr>
                <w:rFonts w:hint="eastAsia" w:ascii="仿宋" w:hAnsi="仿宋" w:eastAsia="仿宋" w:cs="仿宋"/>
                <w:b w:val="0"/>
                <w:bCs/>
                <w:color w:val="auto"/>
                <w:sz w:val="21"/>
                <w:szCs w:val="21"/>
                <w:highlight w:val="none"/>
                <w:u w:val="none"/>
                <w:vertAlign w:val="baseline"/>
                <w:lang w:val="en-US" w:eastAsia="zh-CN"/>
              </w:rPr>
              <w:t>6</w:t>
            </w:r>
          </w:p>
        </w:tc>
        <w:tc>
          <w:tcPr>
            <w:tcW w:w="1066" w:type="dxa"/>
            <w:vAlign w:val="center"/>
          </w:tcPr>
          <w:p w14:paraId="6D8BCB32">
            <w:pPr>
              <w:jc w:val="center"/>
              <w:rPr>
                <w:rFonts w:hint="eastAsia" w:ascii="仿宋" w:hAnsi="仿宋" w:eastAsia="仿宋" w:cs="仿宋"/>
                <w:b w:val="0"/>
                <w:bCs/>
                <w:color w:val="auto"/>
                <w:sz w:val="21"/>
                <w:szCs w:val="21"/>
                <w:highlight w:val="none"/>
                <w:u w:val="none"/>
                <w:vertAlign w:val="baseline"/>
                <w:lang w:val="zh-CN"/>
              </w:rPr>
            </w:pPr>
          </w:p>
        </w:tc>
        <w:tc>
          <w:tcPr>
            <w:tcW w:w="1067" w:type="dxa"/>
            <w:vAlign w:val="center"/>
          </w:tcPr>
          <w:p w14:paraId="517AD61C">
            <w:pPr>
              <w:jc w:val="center"/>
              <w:rPr>
                <w:rFonts w:hint="eastAsia" w:ascii="仿宋" w:hAnsi="仿宋" w:eastAsia="仿宋" w:cs="仿宋"/>
                <w:b w:val="0"/>
                <w:bCs/>
                <w:color w:val="auto"/>
                <w:sz w:val="21"/>
                <w:szCs w:val="21"/>
                <w:highlight w:val="none"/>
                <w:u w:val="none"/>
                <w:vertAlign w:val="baseline"/>
                <w:lang w:val="zh-CN"/>
              </w:rPr>
            </w:pPr>
          </w:p>
        </w:tc>
        <w:tc>
          <w:tcPr>
            <w:tcW w:w="1040" w:type="dxa"/>
            <w:vAlign w:val="center"/>
          </w:tcPr>
          <w:p w14:paraId="000621DE">
            <w:pPr>
              <w:jc w:val="center"/>
              <w:rPr>
                <w:rFonts w:hint="eastAsia" w:ascii="仿宋" w:hAnsi="仿宋" w:eastAsia="仿宋" w:cs="仿宋"/>
                <w:b w:val="0"/>
                <w:bCs/>
                <w:color w:val="auto"/>
                <w:sz w:val="21"/>
                <w:szCs w:val="21"/>
                <w:highlight w:val="none"/>
                <w:u w:val="none"/>
                <w:vertAlign w:val="baseline"/>
                <w:lang w:val="zh-CN"/>
              </w:rPr>
            </w:pPr>
          </w:p>
        </w:tc>
        <w:tc>
          <w:tcPr>
            <w:tcW w:w="1383" w:type="dxa"/>
            <w:vAlign w:val="center"/>
          </w:tcPr>
          <w:p w14:paraId="62068598">
            <w:pPr>
              <w:jc w:val="center"/>
              <w:rPr>
                <w:rFonts w:hint="eastAsia" w:ascii="仿宋" w:hAnsi="仿宋" w:eastAsia="仿宋" w:cs="仿宋"/>
                <w:b w:val="0"/>
                <w:bCs/>
                <w:color w:val="auto"/>
                <w:sz w:val="21"/>
                <w:szCs w:val="21"/>
                <w:highlight w:val="none"/>
                <w:u w:val="none"/>
                <w:vertAlign w:val="baseline"/>
                <w:lang w:val="zh-CN"/>
              </w:rPr>
            </w:pPr>
          </w:p>
        </w:tc>
        <w:tc>
          <w:tcPr>
            <w:tcW w:w="1008" w:type="dxa"/>
            <w:vAlign w:val="center"/>
          </w:tcPr>
          <w:p w14:paraId="7CAA6800">
            <w:pPr>
              <w:jc w:val="center"/>
              <w:rPr>
                <w:rFonts w:hint="eastAsia" w:ascii="仿宋" w:hAnsi="仿宋" w:eastAsia="仿宋" w:cs="仿宋"/>
                <w:b w:val="0"/>
                <w:bCs/>
                <w:color w:val="auto"/>
                <w:sz w:val="21"/>
                <w:szCs w:val="21"/>
                <w:highlight w:val="none"/>
                <w:u w:val="none"/>
                <w:vertAlign w:val="baseline"/>
                <w:lang w:val="zh-CN"/>
              </w:rPr>
            </w:pPr>
          </w:p>
        </w:tc>
        <w:tc>
          <w:tcPr>
            <w:tcW w:w="1464" w:type="dxa"/>
            <w:vAlign w:val="center"/>
          </w:tcPr>
          <w:p w14:paraId="45ABB011">
            <w:pPr>
              <w:jc w:val="center"/>
              <w:rPr>
                <w:rFonts w:hint="eastAsia" w:ascii="仿宋" w:hAnsi="仿宋" w:eastAsia="仿宋" w:cs="仿宋"/>
                <w:b w:val="0"/>
                <w:bCs/>
                <w:color w:val="auto"/>
                <w:sz w:val="21"/>
                <w:szCs w:val="21"/>
                <w:highlight w:val="none"/>
                <w:u w:val="none"/>
                <w:vertAlign w:val="baseline"/>
                <w:lang w:val="zh-CN"/>
              </w:rPr>
            </w:pPr>
          </w:p>
        </w:tc>
        <w:tc>
          <w:tcPr>
            <w:tcW w:w="1025" w:type="dxa"/>
            <w:vAlign w:val="center"/>
          </w:tcPr>
          <w:p w14:paraId="30B8B0A5">
            <w:pPr>
              <w:jc w:val="center"/>
              <w:rPr>
                <w:rFonts w:hint="eastAsia" w:ascii="仿宋" w:hAnsi="仿宋" w:eastAsia="仿宋" w:cs="仿宋"/>
                <w:b w:val="0"/>
                <w:bCs/>
                <w:color w:val="auto"/>
                <w:sz w:val="21"/>
                <w:szCs w:val="21"/>
                <w:highlight w:val="none"/>
                <w:u w:val="none"/>
                <w:vertAlign w:val="baseline"/>
                <w:lang w:val="zh-CN"/>
              </w:rPr>
            </w:pPr>
          </w:p>
        </w:tc>
        <w:tc>
          <w:tcPr>
            <w:tcW w:w="863" w:type="dxa"/>
            <w:vAlign w:val="center"/>
          </w:tcPr>
          <w:p w14:paraId="4202EE98">
            <w:pPr>
              <w:jc w:val="center"/>
              <w:rPr>
                <w:rFonts w:hint="eastAsia" w:ascii="仿宋" w:hAnsi="仿宋" w:eastAsia="仿宋" w:cs="仿宋"/>
                <w:b w:val="0"/>
                <w:bCs/>
                <w:color w:val="auto"/>
                <w:sz w:val="21"/>
                <w:szCs w:val="21"/>
                <w:highlight w:val="none"/>
                <w:u w:val="none"/>
                <w:vertAlign w:val="baseline"/>
                <w:lang w:val="zh-CN"/>
              </w:rPr>
            </w:pPr>
          </w:p>
        </w:tc>
        <w:tc>
          <w:tcPr>
            <w:tcW w:w="1324" w:type="dxa"/>
            <w:vAlign w:val="center"/>
          </w:tcPr>
          <w:p w14:paraId="7256613A">
            <w:pPr>
              <w:jc w:val="center"/>
              <w:rPr>
                <w:rFonts w:hint="eastAsia" w:ascii="仿宋" w:hAnsi="仿宋" w:eastAsia="仿宋" w:cs="仿宋"/>
                <w:b w:val="0"/>
                <w:bCs/>
                <w:color w:val="auto"/>
                <w:sz w:val="21"/>
                <w:szCs w:val="21"/>
                <w:highlight w:val="none"/>
                <w:u w:val="none"/>
                <w:vertAlign w:val="baseline"/>
                <w:lang w:val="zh-CN"/>
              </w:rPr>
            </w:pPr>
          </w:p>
        </w:tc>
        <w:tc>
          <w:tcPr>
            <w:tcW w:w="1026" w:type="dxa"/>
            <w:vAlign w:val="center"/>
          </w:tcPr>
          <w:p w14:paraId="5EF22610">
            <w:pPr>
              <w:jc w:val="center"/>
              <w:rPr>
                <w:rFonts w:hint="eastAsia" w:ascii="仿宋" w:hAnsi="仿宋" w:eastAsia="仿宋" w:cs="仿宋"/>
                <w:b w:val="0"/>
                <w:bCs/>
                <w:color w:val="auto"/>
                <w:sz w:val="21"/>
                <w:szCs w:val="21"/>
                <w:highlight w:val="none"/>
                <w:u w:val="none"/>
                <w:vertAlign w:val="baseline"/>
                <w:lang w:val="zh-CN"/>
              </w:rPr>
            </w:pPr>
          </w:p>
        </w:tc>
        <w:tc>
          <w:tcPr>
            <w:tcW w:w="923" w:type="dxa"/>
            <w:vAlign w:val="center"/>
          </w:tcPr>
          <w:p w14:paraId="60FE5997">
            <w:pPr>
              <w:jc w:val="center"/>
              <w:rPr>
                <w:rFonts w:hint="eastAsia" w:ascii="仿宋" w:hAnsi="仿宋" w:eastAsia="仿宋" w:cs="仿宋"/>
                <w:b w:val="0"/>
                <w:bCs/>
                <w:color w:val="auto"/>
                <w:sz w:val="21"/>
                <w:szCs w:val="21"/>
                <w:highlight w:val="none"/>
                <w:u w:val="none"/>
                <w:vertAlign w:val="baseline"/>
                <w:lang w:val="zh-CN"/>
              </w:rPr>
            </w:pPr>
          </w:p>
        </w:tc>
        <w:tc>
          <w:tcPr>
            <w:tcW w:w="1091" w:type="dxa"/>
            <w:vAlign w:val="center"/>
          </w:tcPr>
          <w:p w14:paraId="11199F0C">
            <w:pPr>
              <w:jc w:val="center"/>
              <w:rPr>
                <w:rFonts w:hint="eastAsia" w:ascii="仿宋" w:hAnsi="仿宋" w:eastAsia="仿宋" w:cs="仿宋"/>
                <w:b w:val="0"/>
                <w:bCs/>
                <w:color w:val="auto"/>
                <w:sz w:val="21"/>
                <w:szCs w:val="21"/>
                <w:highlight w:val="none"/>
                <w:u w:val="none"/>
                <w:vertAlign w:val="baseline"/>
                <w:lang w:val="zh-CN"/>
              </w:rPr>
            </w:pPr>
          </w:p>
        </w:tc>
      </w:tr>
      <w:tr w14:paraId="24D4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0CA1058F">
            <w:pPr>
              <w:jc w:val="center"/>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u w:val="none"/>
                <w:vertAlign w:val="baseline"/>
                <w:lang w:val="zh-CN"/>
              </w:rPr>
              <w:t>…</w:t>
            </w:r>
          </w:p>
        </w:tc>
        <w:tc>
          <w:tcPr>
            <w:tcW w:w="1066" w:type="dxa"/>
            <w:vAlign w:val="center"/>
          </w:tcPr>
          <w:p w14:paraId="07D6C3C7">
            <w:pPr>
              <w:jc w:val="center"/>
              <w:rPr>
                <w:rFonts w:hint="eastAsia" w:ascii="仿宋" w:hAnsi="仿宋" w:eastAsia="仿宋" w:cs="仿宋"/>
                <w:b w:val="0"/>
                <w:bCs/>
                <w:color w:val="auto"/>
                <w:sz w:val="21"/>
                <w:szCs w:val="21"/>
                <w:highlight w:val="none"/>
                <w:u w:val="none"/>
                <w:vertAlign w:val="baseline"/>
                <w:lang w:val="zh-CN"/>
              </w:rPr>
            </w:pPr>
          </w:p>
        </w:tc>
        <w:tc>
          <w:tcPr>
            <w:tcW w:w="1067" w:type="dxa"/>
            <w:vAlign w:val="center"/>
          </w:tcPr>
          <w:p w14:paraId="54762713">
            <w:pPr>
              <w:jc w:val="center"/>
              <w:rPr>
                <w:rFonts w:hint="eastAsia" w:ascii="仿宋" w:hAnsi="仿宋" w:eastAsia="仿宋" w:cs="仿宋"/>
                <w:b w:val="0"/>
                <w:bCs/>
                <w:color w:val="auto"/>
                <w:sz w:val="21"/>
                <w:szCs w:val="21"/>
                <w:highlight w:val="none"/>
                <w:u w:val="none"/>
                <w:vertAlign w:val="baseline"/>
                <w:lang w:val="zh-CN"/>
              </w:rPr>
            </w:pPr>
          </w:p>
        </w:tc>
        <w:tc>
          <w:tcPr>
            <w:tcW w:w="1040" w:type="dxa"/>
            <w:vAlign w:val="center"/>
          </w:tcPr>
          <w:p w14:paraId="6008D212">
            <w:pPr>
              <w:jc w:val="center"/>
              <w:rPr>
                <w:rFonts w:hint="eastAsia" w:ascii="仿宋" w:hAnsi="仿宋" w:eastAsia="仿宋" w:cs="仿宋"/>
                <w:b w:val="0"/>
                <w:bCs/>
                <w:color w:val="auto"/>
                <w:sz w:val="21"/>
                <w:szCs w:val="21"/>
                <w:highlight w:val="none"/>
                <w:u w:val="none"/>
                <w:vertAlign w:val="baseline"/>
                <w:lang w:val="zh-CN"/>
              </w:rPr>
            </w:pPr>
          </w:p>
        </w:tc>
        <w:tc>
          <w:tcPr>
            <w:tcW w:w="1383" w:type="dxa"/>
            <w:vAlign w:val="center"/>
          </w:tcPr>
          <w:p w14:paraId="7BB3E714">
            <w:pPr>
              <w:jc w:val="center"/>
              <w:rPr>
                <w:rFonts w:hint="eastAsia" w:ascii="仿宋" w:hAnsi="仿宋" w:eastAsia="仿宋" w:cs="仿宋"/>
                <w:b w:val="0"/>
                <w:bCs/>
                <w:color w:val="auto"/>
                <w:sz w:val="21"/>
                <w:szCs w:val="21"/>
                <w:highlight w:val="none"/>
                <w:u w:val="none"/>
                <w:vertAlign w:val="baseline"/>
                <w:lang w:val="zh-CN"/>
              </w:rPr>
            </w:pPr>
          </w:p>
        </w:tc>
        <w:tc>
          <w:tcPr>
            <w:tcW w:w="1008" w:type="dxa"/>
            <w:vAlign w:val="center"/>
          </w:tcPr>
          <w:p w14:paraId="4B0014E9">
            <w:pPr>
              <w:jc w:val="center"/>
              <w:rPr>
                <w:rFonts w:hint="eastAsia" w:ascii="仿宋" w:hAnsi="仿宋" w:eastAsia="仿宋" w:cs="仿宋"/>
                <w:b w:val="0"/>
                <w:bCs/>
                <w:color w:val="auto"/>
                <w:sz w:val="21"/>
                <w:szCs w:val="21"/>
                <w:highlight w:val="none"/>
                <w:u w:val="none"/>
                <w:vertAlign w:val="baseline"/>
                <w:lang w:val="zh-CN"/>
              </w:rPr>
            </w:pPr>
          </w:p>
        </w:tc>
        <w:tc>
          <w:tcPr>
            <w:tcW w:w="1464" w:type="dxa"/>
            <w:vAlign w:val="center"/>
          </w:tcPr>
          <w:p w14:paraId="53F16430">
            <w:pPr>
              <w:jc w:val="center"/>
              <w:rPr>
                <w:rFonts w:hint="eastAsia" w:ascii="仿宋" w:hAnsi="仿宋" w:eastAsia="仿宋" w:cs="仿宋"/>
                <w:b w:val="0"/>
                <w:bCs/>
                <w:color w:val="auto"/>
                <w:sz w:val="21"/>
                <w:szCs w:val="21"/>
                <w:highlight w:val="none"/>
                <w:u w:val="none"/>
                <w:vertAlign w:val="baseline"/>
                <w:lang w:val="zh-CN"/>
              </w:rPr>
            </w:pPr>
          </w:p>
        </w:tc>
        <w:tc>
          <w:tcPr>
            <w:tcW w:w="1025" w:type="dxa"/>
            <w:vAlign w:val="center"/>
          </w:tcPr>
          <w:p w14:paraId="2BF5155B">
            <w:pPr>
              <w:jc w:val="center"/>
              <w:rPr>
                <w:rFonts w:hint="eastAsia" w:ascii="仿宋" w:hAnsi="仿宋" w:eastAsia="仿宋" w:cs="仿宋"/>
                <w:b w:val="0"/>
                <w:bCs/>
                <w:color w:val="auto"/>
                <w:sz w:val="21"/>
                <w:szCs w:val="21"/>
                <w:highlight w:val="none"/>
                <w:u w:val="none"/>
                <w:vertAlign w:val="baseline"/>
                <w:lang w:val="zh-CN"/>
              </w:rPr>
            </w:pPr>
          </w:p>
        </w:tc>
        <w:tc>
          <w:tcPr>
            <w:tcW w:w="863" w:type="dxa"/>
            <w:vAlign w:val="center"/>
          </w:tcPr>
          <w:p w14:paraId="30E0F0AA">
            <w:pPr>
              <w:jc w:val="center"/>
              <w:rPr>
                <w:rFonts w:hint="eastAsia" w:ascii="仿宋" w:hAnsi="仿宋" w:eastAsia="仿宋" w:cs="仿宋"/>
                <w:b w:val="0"/>
                <w:bCs/>
                <w:color w:val="auto"/>
                <w:sz w:val="21"/>
                <w:szCs w:val="21"/>
                <w:highlight w:val="none"/>
                <w:u w:val="none"/>
                <w:vertAlign w:val="baseline"/>
                <w:lang w:val="zh-CN"/>
              </w:rPr>
            </w:pPr>
          </w:p>
        </w:tc>
        <w:tc>
          <w:tcPr>
            <w:tcW w:w="1324" w:type="dxa"/>
            <w:vAlign w:val="center"/>
          </w:tcPr>
          <w:p w14:paraId="77514C69">
            <w:pPr>
              <w:jc w:val="center"/>
              <w:rPr>
                <w:rFonts w:hint="eastAsia" w:ascii="仿宋" w:hAnsi="仿宋" w:eastAsia="仿宋" w:cs="仿宋"/>
                <w:b w:val="0"/>
                <w:bCs/>
                <w:color w:val="auto"/>
                <w:sz w:val="21"/>
                <w:szCs w:val="21"/>
                <w:highlight w:val="none"/>
                <w:u w:val="none"/>
                <w:vertAlign w:val="baseline"/>
                <w:lang w:val="zh-CN"/>
              </w:rPr>
            </w:pPr>
          </w:p>
        </w:tc>
        <w:tc>
          <w:tcPr>
            <w:tcW w:w="1026" w:type="dxa"/>
            <w:vAlign w:val="center"/>
          </w:tcPr>
          <w:p w14:paraId="3C51E7DE">
            <w:pPr>
              <w:jc w:val="center"/>
              <w:rPr>
                <w:rFonts w:hint="eastAsia" w:ascii="仿宋" w:hAnsi="仿宋" w:eastAsia="仿宋" w:cs="仿宋"/>
                <w:b w:val="0"/>
                <w:bCs/>
                <w:color w:val="auto"/>
                <w:sz w:val="21"/>
                <w:szCs w:val="21"/>
                <w:highlight w:val="none"/>
                <w:u w:val="none"/>
                <w:vertAlign w:val="baseline"/>
                <w:lang w:val="zh-CN"/>
              </w:rPr>
            </w:pPr>
          </w:p>
        </w:tc>
        <w:tc>
          <w:tcPr>
            <w:tcW w:w="923" w:type="dxa"/>
            <w:vAlign w:val="center"/>
          </w:tcPr>
          <w:p w14:paraId="1C3D14DE">
            <w:pPr>
              <w:jc w:val="center"/>
              <w:rPr>
                <w:rFonts w:hint="eastAsia" w:ascii="仿宋" w:hAnsi="仿宋" w:eastAsia="仿宋" w:cs="仿宋"/>
                <w:b w:val="0"/>
                <w:bCs/>
                <w:color w:val="auto"/>
                <w:sz w:val="21"/>
                <w:szCs w:val="21"/>
                <w:highlight w:val="none"/>
                <w:u w:val="none"/>
                <w:vertAlign w:val="baseline"/>
                <w:lang w:val="zh-CN"/>
              </w:rPr>
            </w:pPr>
          </w:p>
        </w:tc>
        <w:tc>
          <w:tcPr>
            <w:tcW w:w="1091" w:type="dxa"/>
            <w:vAlign w:val="center"/>
          </w:tcPr>
          <w:p w14:paraId="7C3AA4BD">
            <w:pPr>
              <w:jc w:val="center"/>
              <w:rPr>
                <w:rFonts w:hint="eastAsia" w:ascii="仿宋" w:hAnsi="仿宋" w:eastAsia="仿宋" w:cs="仿宋"/>
                <w:b w:val="0"/>
                <w:bCs/>
                <w:color w:val="auto"/>
                <w:sz w:val="21"/>
                <w:szCs w:val="21"/>
                <w:highlight w:val="none"/>
                <w:u w:val="none"/>
                <w:vertAlign w:val="baseline"/>
                <w:lang w:val="zh-CN"/>
              </w:rPr>
            </w:pPr>
          </w:p>
        </w:tc>
      </w:tr>
      <w:tr w14:paraId="0C8A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3" w:type="dxa"/>
            <w:gridSpan w:val="12"/>
            <w:vAlign w:val="center"/>
          </w:tcPr>
          <w:p w14:paraId="66A2BE18">
            <w:pPr>
              <w:jc w:val="center"/>
              <w:rPr>
                <w:rFonts w:hint="eastAsia" w:ascii="仿宋" w:hAnsi="仿宋" w:eastAsia="仿宋" w:cs="仿宋"/>
                <w:b w:val="0"/>
                <w:bCs/>
                <w:color w:val="auto"/>
                <w:sz w:val="21"/>
                <w:szCs w:val="21"/>
                <w:highlight w:val="none"/>
                <w:u w:val="none"/>
                <w:vertAlign w:val="baseline"/>
                <w:lang w:val="en-US" w:eastAsia="zh-CN"/>
              </w:rPr>
            </w:pPr>
            <w:r>
              <w:rPr>
                <w:rFonts w:hint="eastAsia" w:ascii="仿宋" w:hAnsi="仿宋" w:eastAsia="仿宋" w:cs="仿宋"/>
                <w:b w:val="0"/>
                <w:bCs/>
                <w:color w:val="auto"/>
                <w:sz w:val="21"/>
                <w:szCs w:val="21"/>
                <w:highlight w:val="none"/>
                <w:u w:val="none"/>
                <w:vertAlign w:val="baseline"/>
                <w:lang w:val="en-US" w:eastAsia="zh-CN"/>
              </w:rPr>
              <w:t>总价</w:t>
            </w:r>
            <w:r>
              <w:rPr>
                <w:rFonts w:hint="eastAsia" w:ascii="仿宋" w:hAnsi="仿宋" w:eastAsia="仿宋" w:cs="仿宋"/>
                <w:b w:val="0"/>
                <w:bCs/>
                <w:color w:val="auto"/>
                <w:sz w:val="21"/>
                <w:szCs w:val="21"/>
                <w:highlight w:val="none"/>
              </w:rPr>
              <w:t>（元）</w:t>
            </w:r>
          </w:p>
        </w:tc>
        <w:tc>
          <w:tcPr>
            <w:tcW w:w="1091" w:type="dxa"/>
            <w:vAlign w:val="center"/>
          </w:tcPr>
          <w:p w14:paraId="6386598F">
            <w:pPr>
              <w:jc w:val="center"/>
              <w:rPr>
                <w:rFonts w:hint="eastAsia" w:ascii="仿宋" w:hAnsi="仿宋" w:eastAsia="仿宋" w:cs="仿宋"/>
                <w:b w:val="0"/>
                <w:bCs/>
                <w:color w:val="auto"/>
                <w:sz w:val="21"/>
                <w:szCs w:val="21"/>
                <w:highlight w:val="none"/>
                <w:u w:val="none"/>
                <w:vertAlign w:val="baseline"/>
                <w:lang w:val="zh-CN"/>
              </w:rPr>
            </w:pPr>
          </w:p>
        </w:tc>
      </w:tr>
    </w:tbl>
    <w:p w14:paraId="3B42EAA5">
      <w:pPr>
        <w:spacing w:line="300" w:lineRule="auto"/>
        <w:rPr>
          <w:rFonts w:hint="eastAsia" w:ascii="仿宋" w:hAnsi="仿宋" w:eastAsia="仿宋" w:cs="仿宋"/>
          <w:color w:val="auto"/>
          <w:szCs w:val="21"/>
          <w:highlight w:val="none"/>
        </w:rPr>
      </w:pPr>
    </w:p>
    <w:p w14:paraId="51101AF7">
      <w:pPr>
        <w:spacing w:line="30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zCs w:val="21"/>
          <w:highlight w:val="none"/>
        </w:rPr>
        <w:t>：</w:t>
      </w:r>
    </w:p>
    <w:p w14:paraId="2F327AC4">
      <w:pPr>
        <w:spacing w:line="30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14:paraId="14EB6496">
      <w:pPr>
        <w:spacing w:line="300" w:lineRule="auto"/>
        <w:rPr>
          <w:rFonts w:hint="eastAsia" w:ascii="仿宋" w:hAnsi="仿宋" w:eastAsia="仿宋" w:cs="仿宋"/>
          <w:color w:val="auto"/>
          <w:sz w:val="24"/>
          <w:szCs w:val="24"/>
          <w:highlight w:val="none"/>
        </w:rPr>
      </w:pPr>
    </w:p>
    <w:p w14:paraId="2BD20AC0">
      <w:pPr>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b/>
          <w:color w:val="auto"/>
          <w:sz w:val="21"/>
          <w:szCs w:val="21"/>
          <w:highlight w:val="none"/>
          <w:lang w:eastAsia="zh-CN"/>
        </w:rPr>
        <w:t>注：</w:t>
      </w:r>
      <w:r>
        <w:rPr>
          <w:rFonts w:hint="eastAsia" w:ascii="仿宋" w:hAnsi="仿宋" w:eastAsia="仿宋" w:cs="仿宋"/>
          <w:color w:val="auto"/>
          <w:sz w:val="21"/>
          <w:szCs w:val="21"/>
          <w:highlight w:val="none"/>
          <w:lang w:val="en-US" w:eastAsia="zh-CN"/>
        </w:rPr>
        <w:t>1.按照本表填写的总价填写到“开标一览表”中对应的“投标报价”栏中。</w:t>
      </w:r>
    </w:p>
    <w:p w14:paraId="6B43AF2E">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.表中所列货物为对应本项目需求的全部货物及所需附件购置费、包装费、运输费、人工费、保险费、安装调试费、各种税费、资料费、售后服务费及完成项目应有的全部费用。如有漏项或缺项，</w:t>
      </w: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承担全部责任。</w:t>
      </w:r>
    </w:p>
    <w:p w14:paraId="06F958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.表中须明确列出所投产品的</w:t>
      </w:r>
      <w:r>
        <w:rPr>
          <w:rFonts w:hint="eastAsia" w:ascii="仿宋" w:hAnsi="仿宋" w:eastAsia="仿宋" w:cs="仿宋"/>
          <w:color w:val="auto"/>
          <w:sz w:val="21"/>
          <w:szCs w:val="21"/>
          <w:highlight w:val="none"/>
          <w:lang w:val="en-US" w:eastAsia="zh-CN"/>
        </w:rPr>
        <w:t>分项</w:t>
      </w:r>
      <w:r>
        <w:rPr>
          <w:rFonts w:hint="eastAsia" w:ascii="仿宋" w:hAnsi="仿宋" w:eastAsia="仿宋" w:cs="仿宋"/>
          <w:color w:val="auto"/>
          <w:sz w:val="21"/>
          <w:szCs w:val="21"/>
          <w:highlight w:val="none"/>
        </w:rPr>
        <w:t>名称、</w:t>
      </w:r>
      <w:r>
        <w:rPr>
          <w:rFonts w:hint="eastAsia" w:ascii="仿宋" w:hAnsi="仿宋" w:eastAsia="仿宋" w:cs="仿宋"/>
          <w:color w:val="auto"/>
          <w:sz w:val="21"/>
          <w:szCs w:val="21"/>
          <w:highlight w:val="none"/>
          <w:lang w:val="en-US" w:eastAsia="zh-CN"/>
        </w:rPr>
        <w:t>制造商、</w:t>
      </w:r>
      <w:r>
        <w:rPr>
          <w:rFonts w:hint="eastAsia" w:ascii="仿宋" w:hAnsi="仿宋" w:eastAsia="仿宋" w:cs="仿宋"/>
          <w:b w:val="0"/>
          <w:bCs/>
          <w:color w:val="auto"/>
          <w:sz w:val="21"/>
          <w:szCs w:val="21"/>
          <w:highlight w:val="none"/>
          <w:lang w:val="en-US" w:eastAsia="zh-CN"/>
        </w:rPr>
        <w:t>产地/国别、制造商统一社会信用代码、制造商规模、制造商所属性别、外商投资类型、</w:t>
      </w:r>
      <w:r>
        <w:rPr>
          <w:rFonts w:hint="eastAsia" w:ascii="仿宋" w:hAnsi="仿宋" w:eastAsia="仿宋" w:cs="仿宋"/>
          <w:color w:val="auto"/>
          <w:sz w:val="21"/>
          <w:szCs w:val="21"/>
          <w:highlight w:val="none"/>
        </w:rPr>
        <w:t>品牌、</w:t>
      </w:r>
      <w:r>
        <w:rPr>
          <w:rFonts w:hint="eastAsia" w:ascii="仿宋" w:hAnsi="仿宋" w:eastAsia="仿宋" w:cs="仿宋"/>
          <w:color w:val="auto"/>
          <w:sz w:val="21"/>
          <w:szCs w:val="21"/>
          <w:highlight w:val="none"/>
          <w:lang w:eastAsia="zh-CN"/>
        </w:rPr>
        <w:t>规格、</w:t>
      </w:r>
      <w:r>
        <w:rPr>
          <w:rFonts w:hint="eastAsia" w:ascii="仿宋" w:hAnsi="仿宋" w:eastAsia="仿宋" w:cs="仿宋"/>
          <w:color w:val="auto"/>
          <w:sz w:val="21"/>
          <w:szCs w:val="21"/>
          <w:highlight w:val="none"/>
        </w:rPr>
        <w:t>型号、</w:t>
      </w:r>
      <w:r>
        <w:rPr>
          <w:rFonts w:hint="eastAsia" w:ascii="仿宋" w:hAnsi="仿宋" w:eastAsia="仿宋" w:cs="仿宋"/>
          <w:color w:val="auto"/>
          <w:sz w:val="21"/>
          <w:szCs w:val="21"/>
          <w:highlight w:val="none"/>
          <w:lang w:eastAsia="zh-CN"/>
        </w:rPr>
        <w:t>单价、数量、</w:t>
      </w:r>
      <w:r>
        <w:rPr>
          <w:rFonts w:hint="eastAsia" w:ascii="仿宋" w:hAnsi="仿宋" w:eastAsia="仿宋" w:cs="仿宋"/>
          <w:color w:val="auto"/>
          <w:sz w:val="21"/>
          <w:szCs w:val="21"/>
          <w:highlight w:val="none"/>
          <w:lang w:val="en-US" w:eastAsia="zh-CN"/>
        </w:rPr>
        <w:t>合价等</w:t>
      </w:r>
      <w:r>
        <w:rPr>
          <w:rFonts w:hint="eastAsia" w:ascii="仿宋" w:hAnsi="仿宋" w:eastAsia="仿宋" w:cs="仿宋"/>
          <w:color w:val="auto"/>
          <w:sz w:val="21"/>
          <w:szCs w:val="21"/>
          <w:highlight w:val="none"/>
        </w:rPr>
        <w:t>，否则可能导致</w:t>
      </w:r>
      <w:r>
        <w:rPr>
          <w:rFonts w:hint="eastAsia" w:ascii="仿宋" w:hAnsi="仿宋" w:eastAsia="仿宋" w:cs="仿宋"/>
          <w:b/>
          <w:bCs/>
          <w:color w:val="auto"/>
          <w:sz w:val="21"/>
          <w:szCs w:val="21"/>
          <w:highlight w:val="none"/>
        </w:rPr>
        <w:t>响应无效</w:t>
      </w:r>
      <w:r>
        <w:rPr>
          <w:rFonts w:hint="eastAsia" w:ascii="仿宋" w:hAnsi="仿宋" w:eastAsia="仿宋" w:cs="仿宋"/>
          <w:color w:val="auto"/>
          <w:sz w:val="21"/>
          <w:szCs w:val="21"/>
          <w:highlight w:val="none"/>
        </w:rPr>
        <w:t>。</w:t>
      </w:r>
    </w:p>
    <w:p w14:paraId="66C30DF1">
      <w:pPr>
        <w:keepNext w:val="0"/>
        <w:keepLines w:val="0"/>
        <w:widowControl/>
        <w:suppressLineNumbers w:val="0"/>
        <w:jc w:val="left"/>
        <w:rPr>
          <w:rFonts w:hint="eastAsia" w:ascii="仿宋" w:hAnsi="仿宋" w:eastAsia="仿宋" w:cs="仿宋"/>
          <w:b/>
          <w:bCs/>
          <w:i w:val="0"/>
          <w:iCs w:val="0"/>
          <w:color w:val="auto"/>
          <w:kern w:val="0"/>
          <w:sz w:val="21"/>
          <w:szCs w:val="21"/>
          <w:highlight w:val="none"/>
          <w:lang w:val="en-US" w:eastAsia="zh-CN" w:bidi="ar"/>
        </w:rPr>
      </w:pPr>
    </w:p>
    <w:p w14:paraId="561842FA">
      <w:pPr>
        <w:keepNext w:val="0"/>
        <w:keepLines w:val="0"/>
        <w:widowControl/>
        <w:suppressLineNumbers w:val="0"/>
        <w:jc w:val="left"/>
        <w:rPr>
          <w:rFonts w:hint="eastAsia" w:ascii="仿宋" w:hAnsi="仿宋" w:eastAsia="仿宋" w:cs="仿宋"/>
          <w:b w:val="0"/>
          <w:bCs w:val="0"/>
          <w:i w:val="0"/>
          <w:iCs w:val="0"/>
          <w:color w:val="auto"/>
          <w:kern w:val="0"/>
          <w:sz w:val="21"/>
          <w:szCs w:val="21"/>
          <w:highlight w:val="none"/>
          <w:lang w:val="en-US" w:eastAsia="zh-CN" w:bidi="ar"/>
        </w:rPr>
      </w:pPr>
      <w:r>
        <w:rPr>
          <w:rFonts w:hint="eastAsia" w:ascii="仿宋" w:hAnsi="仿宋" w:eastAsia="仿宋" w:cs="仿宋"/>
          <w:b/>
          <w:bCs/>
          <w:i w:val="0"/>
          <w:iCs w:val="0"/>
          <w:color w:val="auto"/>
          <w:kern w:val="0"/>
          <w:sz w:val="21"/>
          <w:szCs w:val="21"/>
          <w:highlight w:val="none"/>
          <w:lang w:val="en-US" w:eastAsia="zh-CN" w:bidi="ar"/>
        </w:rPr>
        <w:t>填写说明：</w:t>
      </w:r>
      <w:r>
        <w:rPr>
          <w:rFonts w:hint="eastAsia" w:ascii="仿宋" w:hAnsi="仿宋" w:eastAsia="仿宋" w:cs="仿宋"/>
          <w:b w:val="0"/>
          <w:bCs w:val="0"/>
          <w:i w:val="0"/>
          <w:iCs w:val="0"/>
          <w:color w:val="auto"/>
          <w:kern w:val="0"/>
          <w:sz w:val="21"/>
          <w:szCs w:val="21"/>
          <w:highlight w:val="none"/>
          <w:lang w:val="en-US" w:eastAsia="zh-CN" w:bidi="ar"/>
        </w:rPr>
        <w:t>1、“制造商规模”请填写“大型”、“中型”、“小型”、“微型”或“其他”，且不应与《中小企业声明函》或《拟分包情况说明》中内容矛盾。</w:t>
      </w:r>
    </w:p>
    <w:p w14:paraId="6D411982">
      <w:pPr>
        <w:keepNext w:val="0"/>
        <w:keepLines w:val="0"/>
        <w:widowControl/>
        <w:suppressLineNumbers w:val="0"/>
        <w:ind w:firstLine="1050" w:firstLineChars="500"/>
        <w:jc w:val="left"/>
        <w:rPr>
          <w:rFonts w:hint="eastAsia" w:ascii="仿宋" w:hAnsi="仿宋" w:eastAsia="仿宋" w:cs="仿宋"/>
          <w:b w:val="0"/>
          <w:bCs w:val="0"/>
          <w:i w:val="0"/>
          <w:iCs w:val="0"/>
          <w:color w:val="auto"/>
          <w:sz w:val="21"/>
          <w:szCs w:val="21"/>
          <w:highlight w:val="none"/>
        </w:rPr>
      </w:pPr>
      <w:r>
        <w:rPr>
          <w:rFonts w:hint="eastAsia" w:ascii="仿宋" w:hAnsi="仿宋" w:eastAsia="仿宋" w:cs="仿宋"/>
          <w:b w:val="0"/>
          <w:bCs w:val="0"/>
          <w:i w:val="0"/>
          <w:iCs w:val="0"/>
          <w:color w:val="auto"/>
          <w:kern w:val="0"/>
          <w:sz w:val="21"/>
          <w:szCs w:val="21"/>
          <w:highlight w:val="none"/>
          <w:lang w:val="en-US" w:eastAsia="zh-CN" w:bidi="ar"/>
        </w:rPr>
        <w:t xml:space="preserve">2、“制造商实际控制人性别”按制造商实际控制人性别划分请填写“男”或“女”，指拥有制造商 51%以上绝对所有权的性别；绝对所有权拥有者可以是一个人，也可以是多人合计计算。 </w:t>
      </w:r>
    </w:p>
    <w:p w14:paraId="67B455A8">
      <w:pPr>
        <w:spacing w:line="300" w:lineRule="auto"/>
        <w:ind w:firstLine="1050" w:firstLineChars="500"/>
        <w:rPr>
          <w:rFonts w:hint="eastAsia" w:ascii="仿宋" w:hAnsi="仿宋" w:eastAsia="仿宋" w:cs="仿宋"/>
          <w:b w:val="0"/>
          <w:bCs w:val="0"/>
          <w:i w:val="0"/>
          <w:iCs w:val="0"/>
          <w:color w:val="auto"/>
          <w:kern w:val="0"/>
          <w:sz w:val="21"/>
          <w:szCs w:val="21"/>
          <w:highlight w:val="none"/>
          <w:lang w:val="en-US" w:eastAsia="zh-CN" w:bidi="ar"/>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仿宋" w:hAnsi="仿宋" w:eastAsia="仿宋" w:cs="仿宋"/>
          <w:b w:val="0"/>
          <w:bCs w:val="0"/>
          <w:i w:val="0"/>
          <w:iCs w:val="0"/>
          <w:color w:val="auto"/>
          <w:kern w:val="0"/>
          <w:sz w:val="21"/>
          <w:szCs w:val="21"/>
          <w:highlight w:val="none"/>
          <w:lang w:val="en-US" w:eastAsia="zh-CN" w:bidi="ar"/>
        </w:rPr>
        <w:t>3、“外商投资类型”请填写“外商单独投资”、“外商部分投资”或“内资”。</w:t>
      </w:r>
    </w:p>
    <w:p w14:paraId="2C323B6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pPr>
      <w:bookmarkStart w:id="418" w:name="_Toc8737"/>
      <w:r>
        <w:rPr>
          <w:rFonts w:hint="eastAsia" w:ascii="仿宋" w:hAnsi="仿宋" w:eastAsia="仿宋" w:cs="仿宋"/>
          <w:b/>
          <w:bCs/>
          <w:color w:val="auto"/>
          <w:kern w:val="2"/>
          <w:sz w:val="32"/>
          <w:szCs w:val="32"/>
          <w:highlight w:val="none"/>
          <w:lang w:val="en-US" w:eastAsia="zh-CN" w:bidi="ar-SA"/>
        </w:rPr>
        <w:t>三、关于符合本国产品标准的声明函或财政部规定的其他</w:t>
      </w:r>
      <w:bookmarkEnd w:id="418"/>
    </w:p>
    <w:p w14:paraId="478C52C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pPr>
      <w:bookmarkStart w:id="419" w:name="_Toc14371"/>
      <w:r>
        <w:rPr>
          <w:rFonts w:hint="eastAsia" w:ascii="仿宋" w:hAnsi="仿宋" w:eastAsia="仿宋" w:cs="仿宋"/>
          <w:b/>
          <w:bCs/>
          <w:color w:val="auto"/>
          <w:kern w:val="2"/>
          <w:sz w:val="32"/>
          <w:szCs w:val="32"/>
          <w:highlight w:val="none"/>
          <w:lang w:val="en-US" w:eastAsia="zh-CN" w:bidi="ar-SA"/>
        </w:rPr>
        <w:t>证明文件</w:t>
      </w:r>
      <w:bookmarkEnd w:id="419"/>
    </w:p>
    <w:p w14:paraId="6FF3AA7F">
      <w:pPr>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（一）关于符合本国产品标准的声明函</w:t>
      </w:r>
    </w:p>
    <w:p w14:paraId="4E43082D">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w:t>
      </w:r>
      <w:r>
        <w:rPr>
          <w:rFonts w:hint="eastAsia" w:ascii="仿宋" w:hAnsi="仿宋" w:eastAsia="仿宋" w:cs="仿宋"/>
          <w:color w:val="auto"/>
          <w:kern w:val="0"/>
          <w:sz w:val="21"/>
          <w:szCs w:val="21"/>
          <w:highlight w:val="none"/>
          <w:u w:val="single"/>
          <w:lang w:val="en-US" w:eastAsia="zh-CN" w:bidi="ar"/>
        </w:rPr>
        <w:t>（产品名称1）</w:t>
      </w:r>
      <w:r>
        <w:rPr>
          <w:rFonts w:hint="eastAsia" w:ascii="仿宋" w:hAnsi="仿宋" w:eastAsia="仿宋" w:cs="仿宋"/>
          <w:color w:val="auto"/>
          <w:kern w:val="0"/>
          <w:sz w:val="21"/>
          <w:szCs w:val="21"/>
          <w:highlight w:val="none"/>
          <w:lang w:val="en-US" w:eastAsia="zh-CN" w:bidi="ar"/>
        </w:rPr>
        <w:t>1，生产厂为</w:t>
      </w:r>
      <w:r>
        <w:rPr>
          <w:rFonts w:hint="eastAsia" w:ascii="仿宋" w:hAnsi="仿宋" w:eastAsia="仿宋" w:cs="仿宋"/>
          <w:color w:val="auto"/>
          <w:kern w:val="0"/>
          <w:sz w:val="21"/>
          <w:szCs w:val="21"/>
          <w:highlight w:val="none"/>
          <w:u w:val="single"/>
          <w:lang w:val="en-US" w:eastAsia="zh-CN" w:bidi="ar"/>
        </w:rPr>
        <w:t>（厂名）</w:t>
      </w:r>
      <w:r>
        <w:rPr>
          <w:rFonts w:hint="eastAsia" w:ascii="仿宋" w:hAnsi="仿宋" w:eastAsia="仿宋" w:cs="仿宋"/>
          <w:color w:val="auto"/>
          <w:kern w:val="0"/>
          <w:sz w:val="21"/>
          <w:szCs w:val="21"/>
          <w:highlight w:val="none"/>
          <w:lang w:val="en-US" w:eastAsia="zh-CN" w:bidi="ar"/>
        </w:rPr>
        <w:t>2，厂址为</w:t>
      </w:r>
      <w:r>
        <w:rPr>
          <w:rFonts w:hint="eastAsia" w:ascii="仿宋" w:hAnsi="仿宋" w:eastAsia="仿宋" w:cs="仿宋"/>
          <w:color w:val="auto"/>
          <w:kern w:val="0"/>
          <w:sz w:val="21"/>
          <w:szCs w:val="21"/>
          <w:highlight w:val="none"/>
          <w:u w:val="single"/>
          <w:lang w:val="en-US" w:eastAsia="zh-CN" w:bidi="ar"/>
        </w:rPr>
        <w:t>（生产厂址）</w:t>
      </w:r>
      <w:r>
        <w:rPr>
          <w:rFonts w:hint="eastAsia" w:ascii="仿宋" w:hAnsi="仿宋" w:eastAsia="仿宋" w:cs="仿宋"/>
          <w:color w:val="auto"/>
          <w:kern w:val="0"/>
          <w:sz w:val="21"/>
          <w:szCs w:val="21"/>
          <w:highlight w:val="none"/>
          <w:lang w:val="en-US" w:eastAsia="zh-CN" w:bidi="ar"/>
        </w:rPr>
        <w:t>。</w:t>
      </w:r>
      <w:r>
        <w:rPr>
          <w:rFonts w:hint="eastAsia" w:ascii="仿宋" w:hAnsi="仿宋" w:eastAsia="仿宋" w:cs="仿宋"/>
          <w:color w:val="auto"/>
          <w:kern w:val="0"/>
          <w:sz w:val="21"/>
          <w:szCs w:val="21"/>
          <w:highlight w:val="none"/>
          <w:u w:val="single"/>
          <w:lang w:val="en-US" w:eastAsia="zh-CN" w:bidi="ar"/>
        </w:rPr>
        <w:t>（产品名称1）</w:t>
      </w:r>
      <w:r>
        <w:rPr>
          <w:rFonts w:hint="eastAsia" w:ascii="仿宋" w:hAnsi="仿宋" w:eastAsia="仿宋" w:cs="仿宋"/>
          <w:color w:val="auto"/>
          <w:kern w:val="0"/>
          <w:sz w:val="21"/>
          <w:szCs w:val="21"/>
          <w:highlight w:val="none"/>
          <w:lang w:val="en-US" w:eastAsia="zh-CN" w:bidi="ar"/>
        </w:rPr>
        <w:t>的中国境内生产的组件成本占比≥</w:t>
      </w:r>
      <w:r>
        <w:rPr>
          <w:rFonts w:hint="eastAsia" w:ascii="仿宋" w:hAnsi="仿宋" w:eastAsia="仿宋" w:cs="仿宋"/>
          <w:color w:val="auto"/>
          <w:kern w:val="0"/>
          <w:sz w:val="21"/>
          <w:szCs w:val="21"/>
          <w:highlight w:val="none"/>
          <w:u w:val="single"/>
          <w:lang w:val="en-US" w:eastAsia="zh-CN" w:bidi="ar"/>
        </w:rPr>
        <w:t>（规定比例）</w:t>
      </w:r>
      <w:r>
        <w:rPr>
          <w:rFonts w:hint="eastAsia" w:ascii="仿宋" w:hAnsi="仿宋" w:eastAsia="仿宋" w:cs="仿宋"/>
          <w:color w:val="auto"/>
          <w:kern w:val="0"/>
          <w:sz w:val="21"/>
          <w:szCs w:val="21"/>
          <w:highlight w:val="none"/>
          <w:lang w:val="en-US" w:eastAsia="zh-CN" w:bidi="ar"/>
        </w:rPr>
        <w:t>3。</w:t>
      </w:r>
      <w:r>
        <w:rPr>
          <w:rFonts w:hint="eastAsia" w:ascii="仿宋" w:hAnsi="仿宋" w:eastAsia="仿宋" w:cs="仿宋"/>
          <w:color w:val="auto"/>
          <w:kern w:val="0"/>
          <w:sz w:val="21"/>
          <w:szCs w:val="21"/>
          <w:highlight w:val="none"/>
          <w:u w:val="single"/>
          <w:lang w:val="en-US" w:eastAsia="zh-CN" w:bidi="ar"/>
        </w:rPr>
        <w:t>（产品名称1）</w:t>
      </w:r>
      <w:r>
        <w:rPr>
          <w:rFonts w:hint="eastAsia" w:ascii="仿宋" w:hAnsi="仿宋" w:eastAsia="仿宋" w:cs="仿宋"/>
          <w:color w:val="auto"/>
          <w:kern w:val="0"/>
          <w:sz w:val="21"/>
          <w:szCs w:val="21"/>
          <w:highlight w:val="none"/>
          <w:lang w:val="en-US" w:eastAsia="zh-CN" w:bidi="ar"/>
        </w:rPr>
        <w:t>的</w:t>
      </w:r>
      <w:r>
        <w:rPr>
          <w:rFonts w:hint="eastAsia" w:ascii="仿宋" w:hAnsi="仿宋" w:eastAsia="仿宋" w:cs="仿宋"/>
          <w:color w:val="auto"/>
          <w:kern w:val="0"/>
          <w:sz w:val="21"/>
          <w:szCs w:val="21"/>
          <w:highlight w:val="none"/>
          <w:u w:val="single"/>
          <w:lang w:val="en-US" w:eastAsia="zh-CN" w:bidi="ar"/>
        </w:rPr>
        <w:t>（关键组件）</w:t>
      </w:r>
      <w:r>
        <w:rPr>
          <w:rFonts w:hint="eastAsia" w:ascii="仿宋" w:hAnsi="仿宋" w:eastAsia="仿宋" w:cs="仿宋"/>
          <w:color w:val="auto"/>
          <w:kern w:val="0"/>
          <w:sz w:val="21"/>
          <w:szCs w:val="21"/>
          <w:highlight w:val="none"/>
          <w:lang w:val="en-US" w:eastAsia="zh-CN" w:bidi="ar"/>
        </w:rPr>
        <w:t>4在中国境内生产。</w:t>
      </w:r>
      <w:r>
        <w:rPr>
          <w:rFonts w:hint="eastAsia" w:ascii="仿宋" w:hAnsi="仿宋" w:eastAsia="仿宋" w:cs="仿宋"/>
          <w:color w:val="auto"/>
          <w:kern w:val="0"/>
          <w:sz w:val="21"/>
          <w:szCs w:val="21"/>
          <w:highlight w:val="none"/>
          <w:u w:val="single"/>
          <w:lang w:val="en-US" w:eastAsia="zh-CN" w:bidi="ar"/>
        </w:rPr>
        <w:t>（产品名称1）</w:t>
      </w:r>
      <w:r>
        <w:rPr>
          <w:rFonts w:hint="eastAsia" w:ascii="仿宋" w:hAnsi="仿宋" w:eastAsia="仿宋" w:cs="仿宋"/>
          <w:color w:val="auto"/>
          <w:kern w:val="0"/>
          <w:sz w:val="21"/>
          <w:szCs w:val="21"/>
          <w:highlight w:val="none"/>
          <w:lang w:val="en-US" w:eastAsia="zh-CN" w:bidi="ar"/>
        </w:rPr>
        <w:t>的</w:t>
      </w:r>
      <w:r>
        <w:rPr>
          <w:rFonts w:hint="eastAsia" w:ascii="仿宋" w:hAnsi="仿宋" w:eastAsia="仿宋" w:cs="仿宋"/>
          <w:color w:val="auto"/>
          <w:kern w:val="0"/>
          <w:sz w:val="21"/>
          <w:szCs w:val="21"/>
          <w:highlight w:val="none"/>
          <w:u w:val="single"/>
          <w:lang w:val="en-US" w:eastAsia="zh-CN" w:bidi="ar"/>
        </w:rPr>
        <w:t>（关键工序）</w:t>
      </w:r>
      <w:r>
        <w:rPr>
          <w:rFonts w:hint="eastAsia" w:ascii="仿宋" w:hAnsi="仿宋" w:eastAsia="仿宋" w:cs="仿宋"/>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w:t>
      </w:r>
      <w:r>
        <w:rPr>
          <w:rFonts w:hint="eastAsia" w:ascii="仿宋" w:hAnsi="仿宋" w:eastAsia="仿宋" w:cs="仿宋"/>
          <w:color w:val="auto"/>
          <w:kern w:val="0"/>
          <w:sz w:val="21"/>
          <w:szCs w:val="21"/>
          <w:highlight w:val="none"/>
          <w:u w:val="single"/>
          <w:lang w:val="en-US" w:eastAsia="zh-CN" w:bidi="ar"/>
        </w:rPr>
        <w:t>（产品名称2）</w:t>
      </w:r>
      <w:r>
        <w:rPr>
          <w:rFonts w:hint="eastAsia" w:ascii="仿宋" w:hAnsi="仿宋" w:eastAsia="仿宋" w:cs="仿宋"/>
          <w:color w:val="auto"/>
          <w:kern w:val="0"/>
          <w:sz w:val="21"/>
          <w:szCs w:val="21"/>
          <w:highlight w:val="none"/>
          <w:lang w:val="en-US" w:eastAsia="zh-CN" w:bidi="ar"/>
        </w:rPr>
        <w:t>，生产厂为</w:t>
      </w:r>
      <w:r>
        <w:rPr>
          <w:rFonts w:hint="eastAsia" w:ascii="仿宋" w:hAnsi="仿宋" w:eastAsia="仿宋" w:cs="仿宋"/>
          <w:color w:val="auto"/>
          <w:kern w:val="0"/>
          <w:sz w:val="21"/>
          <w:szCs w:val="21"/>
          <w:highlight w:val="none"/>
          <w:u w:val="single"/>
          <w:lang w:val="en-US" w:eastAsia="zh-CN" w:bidi="ar"/>
        </w:rPr>
        <w:t>（厂名）</w:t>
      </w:r>
      <w:r>
        <w:rPr>
          <w:rFonts w:hint="eastAsia" w:ascii="仿宋" w:hAnsi="仿宋" w:eastAsia="仿宋" w:cs="仿宋"/>
          <w:color w:val="auto"/>
          <w:kern w:val="0"/>
          <w:sz w:val="21"/>
          <w:szCs w:val="21"/>
          <w:highlight w:val="none"/>
          <w:lang w:val="en-US" w:eastAsia="zh-CN" w:bidi="ar"/>
        </w:rPr>
        <w:t>，厂址为</w:t>
      </w:r>
      <w:r>
        <w:rPr>
          <w:rFonts w:hint="eastAsia" w:ascii="仿宋" w:hAnsi="仿宋" w:eastAsia="仿宋" w:cs="仿宋"/>
          <w:color w:val="auto"/>
          <w:kern w:val="0"/>
          <w:sz w:val="21"/>
          <w:szCs w:val="21"/>
          <w:highlight w:val="none"/>
          <w:u w:val="single"/>
          <w:lang w:val="en-US" w:eastAsia="zh-CN" w:bidi="ar"/>
        </w:rPr>
        <w:t>（生产厂址）</w:t>
      </w:r>
      <w:r>
        <w:rPr>
          <w:rFonts w:hint="eastAsia" w:ascii="仿宋" w:hAnsi="仿宋" w:eastAsia="仿宋" w:cs="仿宋"/>
          <w:color w:val="auto"/>
          <w:kern w:val="0"/>
          <w:sz w:val="21"/>
          <w:szCs w:val="21"/>
          <w:highlight w:val="none"/>
          <w:lang w:val="en-US" w:eastAsia="zh-CN" w:bidi="ar"/>
        </w:rPr>
        <w:t>。</w:t>
      </w:r>
      <w:r>
        <w:rPr>
          <w:rFonts w:hint="eastAsia" w:ascii="仿宋" w:hAnsi="仿宋" w:eastAsia="仿宋" w:cs="仿宋"/>
          <w:color w:val="auto"/>
          <w:kern w:val="0"/>
          <w:sz w:val="21"/>
          <w:szCs w:val="21"/>
          <w:highlight w:val="none"/>
          <w:u w:val="single"/>
          <w:lang w:val="en-US" w:eastAsia="zh-CN" w:bidi="ar"/>
        </w:rPr>
        <w:t>（产品名称2）</w:t>
      </w:r>
      <w:r>
        <w:rPr>
          <w:rFonts w:hint="eastAsia" w:ascii="仿宋" w:hAnsi="仿宋" w:eastAsia="仿宋" w:cs="仿宋"/>
          <w:color w:val="auto"/>
          <w:kern w:val="0"/>
          <w:sz w:val="21"/>
          <w:szCs w:val="21"/>
          <w:highlight w:val="none"/>
          <w:lang w:val="en-US" w:eastAsia="zh-CN" w:bidi="ar"/>
        </w:rPr>
        <w:t>的中国境内生产的组件成本占比≥</w:t>
      </w:r>
      <w:r>
        <w:rPr>
          <w:rFonts w:hint="eastAsia" w:ascii="仿宋" w:hAnsi="仿宋" w:eastAsia="仿宋" w:cs="仿宋"/>
          <w:color w:val="auto"/>
          <w:kern w:val="0"/>
          <w:sz w:val="21"/>
          <w:szCs w:val="21"/>
          <w:highlight w:val="none"/>
          <w:u w:val="single"/>
          <w:lang w:val="en-US" w:eastAsia="zh-CN" w:bidi="ar"/>
        </w:rPr>
        <w:t>（规定比例）</w:t>
      </w:r>
      <w:r>
        <w:rPr>
          <w:rFonts w:hint="eastAsia" w:ascii="仿宋" w:hAnsi="仿宋" w:eastAsia="仿宋" w:cs="仿宋"/>
          <w:color w:val="auto"/>
          <w:kern w:val="0"/>
          <w:sz w:val="21"/>
          <w:szCs w:val="21"/>
          <w:highlight w:val="none"/>
          <w:lang w:val="en-US" w:eastAsia="zh-CN" w:bidi="ar"/>
        </w:rPr>
        <w:t>。</w:t>
      </w:r>
      <w:r>
        <w:rPr>
          <w:rFonts w:hint="eastAsia" w:ascii="仿宋" w:hAnsi="仿宋" w:eastAsia="仿宋" w:cs="仿宋"/>
          <w:color w:val="auto"/>
          <w:kern w:val="0"/>
          <w:sz w:val="21"/>
          <w:szCs w:val="21"/>
          <w:highlight w:val="none"/>
          <w:u w:val="single"/>
          <w:lang w:val="en-US" w:eastAsia="zh-CN" w:bidi="ar"/>
        </w:rPr>
        <w:t>（产品名称2）</w:t>
      </w:r>
      <w:r>
        <w:rPr>
          <w:rFonts w:hint="eastAsia" w:ascii="仿宋" w:hAnsi="仿宋" w:eastAsia="仿宋" w:cs="仿宋"/>
          <w:color w:val="auto"/>
          <w:kern w:val="0"/>
          <w:sz w:val="21"/>
          <w:szCs w:val="21"/>
          <w:highlight w:val="none"/>
          <w:lang w:val="en-US" w:eastAsia="zh-CN" w:bidi="ar"/>
        </w:rPr>
        <w:t>的</w:t>
      </w:r>
      <w:r>
        <w:rPr>
          <w:rFonts w:hint="eastAsia" w:ascii="仿宋" w:hAnsi="仿宋" w:eastAsia="仿宋" w:cs="仿宋"/>
          <w:color w:val="auto"/>
          <w:kern w:val="0"/>
          <w:sz w:val="21"/>
          <w:szCs w:val="21"/>
          <w:highlight w:val="none"/>
          <w:u w:val="single"/>
          <w:lang w:val="en-US" w:eastAsia="zh-CN" w:bidi="ar"/>
        </w:rPr>
        <w:t>（关键组件）</w:t>
      </w:r>
      <w:r>
        <w:rPr>
          <w:rFonts w:hint="eastAsia" w:ascii="仿宋" w:hAnsi="仿宋" w:eastAsia="仿宋" w:cs="仿宋"/>
          <w:color w:val="auto"/>
          <w:kern w:val="0"/>
          <w:sz w:val="21"/>
          <w:szCs w:val="21"/>
          <w:highlight w:val="none"/>
          <w:lang w:val="en-US" w:eastAsia="zh-CN" w:bidi="ar"/>
        </w:rPr>
        <w:t>在中国境内生产。</w:t>
      </w:r>
      <w:r>
        <w:rPr>
          <w:rFonts w:hint="eastAsia" w:ascii="仿宋" w:hAnsi="仿宋" w:eastAsia="仿宋" w:cs="仿宋"/>
          <w:color w:val="auto"/>
          <w:kern w:val="0"/>
          <w:sz w:val="21"/>
          <w:szCs w:val="21"/>
          <w:highlight w:val="none"/>
          <w:u w:val="single"/>
          <w:lang w:val="en-US" w:eastAsia="zh-CN" w:bidi="ar"/>
        </w:rPr>
        <w:t>（产品名称2）</w:t>
      </w:r>
      <w:r>
        <w:rPr>
          <w:rFonts w:hint="eastAsia" w:ascii="仿宋" w:hAnsi="仿宋" w:eastAsia="仿宋" w:cs="仿宋"/>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仿宋" w:hAnsi="仿宋" w:eastAsia="仿宋" w:cs="仿宋"/>
          <w:color w:val="auto"/>
          <w:kern w:val="0"/>
          <w:sz w:val="21"/>
          <w:szCs w:val="21"/>
          <w:highlight w:val="none"/>
          <w:lang w:val="en-US" w:eastAsia="zh-CN" w:bidi="ar"/>
        </w:rPr>
      </w:pPr>
    </w:p>
    <w:p w14:paraId="3C20D06F">
      <w:pPr>
        <w:keepNext w:val="0"/>
        <w:keepLines w:val="0"/>
        <w:widowControl/>
        <w:suppressLineNumbers w:val="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注：</w:t>
      </w:r>
      <w:r>
        <w:rPr>
          <w:rFonts w:hint="eastAsia" w:ascii="仿宋" w:hAnsi="仿宋" w:eastAsia="仿宋" w:cs="仿宋"/>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5.该产品的关键工序要求实施前，“关键工序”栏可不填，下同。</w:t>
      </w:r>
    </w:p>
    <w:p w14:paraId="4AE36C1C">
      <w:pPr>
        <w:rPr>
          <w:rFonts w:hint="eastAsia" w:ascii="仿宋" w:hAnsi="仿宋" w:eastAsia="仿宋" w:cs="仿宋"/>
          <w:b w:val="0"/>
          <w:bCs w:val="0"/>
          <w:i w:val="0"/>
          <w:iCs w:val="0"/>
          <w:color w:val="auto"/>
          <w:kern w:val="0"/>
          <w:sz w:val="21"/>
          <w:szCs w:val="21"/>
          <w:highlight w:val="none"/>
          <w:lang w:val="en-US" w:eastAsia="zh-CN" w:bidi="ar"/>
        </w:rPr>
      </w:pPr>
      <w:r>
        <w:rPr>
          <w:rFonts w:hint="eastAsia" w:ascii="仿宋" w:hAnsi="仿宋" w:eastAsia="仿宋" w:cs="仿宋"/>
          <w:b w:val="0"/>
          <w:bCs w:val="0"/>
          <w:i w:val="0"/>
          <w:iCs w:val="0"/>
          <w:color w:val="auto"/>
          <w:kern w:val="0"/>
          <w:sz w:val="21"/>
          <w:szCs w:val="21"/>
          <w:highlight w:val="none"/>
          <w:lang w:val="en-US" w:eastAsia="zh-CN" w:bidi="ar"/>
        </w:rPr>
        <w:br w:type="page"/>
      </w:r>
    </w:p>
    <w:p w14:paraId="0F8F4702">
      <w:pPr>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lang w:val="en-US" w:eastAsia="zh-CN"/>
        </w:rPr>
        <w:t>附件2</w:t>
      </w:r>
    </w:p>
    <w:p w14:paraId="6662B597">
      <w:pPr>
        <w:jc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（二）本国产品成本占比承诺函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24"/>
          <w:szCs w:val="24"/>
          <w:highlight w:val="none"/>
        </w:rPr>
      </w:pPr>
    </w:p>
    <w:p w14:paraId="58B0E73F">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ascii="仿宋" w:hAnsi="仿宋" w:eastAsia="仿宋" w:cs="仿宋"/>
          <w:color w:val="auto"/>
          <w:kern w:val="0"/>
          <w:sz w:val="21"/>
          <w:szCs w:val="21"/>
          <w:highlight w:val="none"/>
          <w:u w:val="single"/>
          <w:lang w:val="en-US" w:eastAsia="zh-CN" w:bidi="ar"/>
        </w:rPr>
        <w:t xml:space="preserve">     </w:t>
      </w:r>
      <w:r>
        <w:rPr>
          <w:rFonts w:hint="eastAsia" w:ascii="仿宋" w:hAnsi="仿宋" w:eastAsia="仿宋" w:cs="仿宋"/>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日期:  年  月  日</w:t>
      </w:r>
    </w:p>
    <w:p w14:paraId="62B3730C">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49A0CD8B">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4B4300D7">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547ADD6E">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1E91AD67">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1C1085AD">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5ED9EEAD">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1B57883A">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0CC4D559">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5E3FA7A7">
      <w:pPr>
        <w:keepNext w:val="0"/>
        <w:keepLines w:val="0"/>
        <w:widowControl/>
        <w:suppressLineNumbers w:val="0"/>
        <w:jc w:val="both"/>
        <w:rPr>
          <w:rFonts w:hint="eastAsia" w:ascii="仿宋" w:hAnsi="仿宋" w:eastAsia="仿宋" w:cs="仿宋"/>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仿宋" w:hAnsi="仿宋" w:eastAsia="仿宋" w:cs="仿宋"/>
          <w:b/>
          <w:bCs/>
          <w:strike w:val="0"/>
          <w:dstrike w:val="0"/>
          <w:color w:val="auto"/>
          <w:kern w:val="0"/>
          <w:sz w:val="21"/>
          <w:szCs w:val="21"/>
          <w:highlight w:val="none"/>
          <w:lang w:val="en-US" w:eastAsia="zh-CN" w:bidi="ar"/>
        </w:rPr>
        <w:t>注：</w:t>
      </w:r>
      <w:r>
        <w:rPr>
          <w:rFonts w:hint="eastAsia" w:ascii="仿宋" w:hAnsi="仿宋" w:eastAsia="仿宋" w:cs="仿宋"/>
          <w:strike w:val="0"/>
          <w:dstrike w:val="0"/>
          <w:color w:val="auto"/>
          <w:kern w:val="0"/>
          <w:sz w:val="21"/>
          <w:szCs w:val="21"/>
          <w:highlight w:val="none"/>
          <w:lang w:val="en-US" w:eastAsia="zh-CN" w:bidi="ar"/>
        </w:rPr>
        <w:t>若供应商所投产品均符合本国产品标准，且已提供《声明函》，可不填写《承诺函》。</w:t>
      </w:r>
    </w:p>
    <w:p w14:paraId="5DC54707">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61810CE8">
      <w:pPr>
        <w:ind w:firstLine="480" w:firstLineChars="200"/>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封面：</w:t>
      </w:r>
    </w:p>
    <w:p w14:paraId="62869EA6">
      <w:pPr>
        <w:autoSpaceDE w:val="0"/>
        <w:autoSpaceDN w:val="0"/>
        <w:adjustRightInd w:val="0"/>
        <w:rPr>
          <w:rFonts w:hint="eastAsia" w:ascii="仿宋" w:hAnsi="仿宋" w:eastAsia="仿宋" w:cs="仿宋"/>
          <w:color w:val="auto"/>
          <w:sz w:val="21"/>
          <w:szCs w:val="24"/>
          <w:highlight w:val="none"/>
        </w:rPr>
      </w:pPr>
    </w:p>
    <w:p w14:paraId="5B0902B7">
      <w:pPr>
        <w:autoSpaceDE w:val="0"/>
        <w:autoSpaceDN w:val="0"/>
        <w:adjustRightInd w:val="0"/>
        <w:rPr>
          <w:rFonts w:hint="eastAsia" w:ascii="仿宋" w:hAnsi="仿宋" w:eastAsia="仿宋" w:cs="仿宋"/>
          <w:color w:val="auto"/>
          <w:sz w:val="21"/>
          <w:szCs w:val="24"/>
          <w:highlight w:val="none"/>
        </w:rPr>
      </w:pPr>
    </w:p>
    <w:p w14:paraId="5A04F91B">
      <w:pPr>
        <w:autoSpaceDE w:val="0"/>
        <w:autoSpaceDN w:val="0"/>
        <w:adjustRightInd w:val="0"/>
        <w:jc w:val="center"/>
        <w:rPr>
          <w:rFonts w:hint="eastAsia" w:ascii="仿宋" w:hAnsi="仿宋" w:eastAsia="仿宋" w:cs="仿宋"/>
          <w:color w:val="auto"/>
          <w:sz w:val="21"/>
          <w:szCs w:val="24"/>
          <w:highlight w:val="none"/>
        </w:rPr>
      </w:pPr>
    </w:p>
    <w:p w14:paraId="47D22CDA">
      <w:pPr>
        <w:pStyle w:val="2"/>
        <w:bidi w:val="0"/>
        <w:rPr>
          <w:rFonts w:hint="eastAsia" w:ascii="仿宋" w:hAnsi="仿宋" w:eastAsia="仿宋" w:cs="仿宋"/>
          <w:color w:val="auto"/>
          <w:sz w:val="56"/>
          <w:szCs w:val="56"/>
          <w:highlight w:val="none"/>
        </w:rPr>
      </w:pPr>
      <w:bookmarkStart w:id="420" w:name="_Toc22345"/>
      <w:r>
        <w:rPr>
          <w:rFonts w:hint="eastAsia" w:ascii="仿宋" w:hAnsi="仿宋" w:eastAsia="仿宋" w:cs="仿宋"/>
          <w:color w:val="auto"/>
          <w:sz w:val="56"/>
          <w:szCs w:val="56"/>
          <w:highlight w:val="none"/>
        </w:rPr>
        <w:t>投 标 文 件</w:t>
      </w:r>
      <w:bookmarkEnd w:id="420"/>
    </w:p>
    <w:p w14:paraId="2059EAAA">
      <w:pPr>
        <w:pStyle w:val="2"/>
        <w:bidi w:val="0"/>
        <w:rPr>
          <w:rFonts w:hint="eastAsia" w:ascii="仿宋" w:hAnsi="仿宋" w:eastAsia="仿宋" w:cs="仿宋"/>
          <w:color w:val="auto"/>
          <w:sz w:val="56"/>
          <w:szCs w:val="56"/>
          <w:highlight w:val="none"/>
          <w:lang w:val="en-US" w:eastAsia="zh-CN"/>
        </w:rPr>
      </w:pPr>
      <w:bookmarkStart w:id="421" w:name="_Toc20355"/>
      <w:r>
        <w:rPr>
          <w:rFonts w:hint="eastAsia" w:ascii="仿宋" w:hAnsi="仿宋" w:eastAsia="仿宋" w:cs="仿宋"/>
          <w:color w:val="auto"/>
          <w:sz w:val="56"/>
          <w:szCs w:val="56"/>
          <w:highlight w:val="none"/>
          <w:lang w:val="en-US" w:eastAsia="zh-CN"/>
        </w:rPr>
        <w:t>商务技术文件</w:t>
      </w:r>
      <w:bookmarkEnd w:id="421"/>
    </w:p>
    <w:p w14:paraId="039027FC">
      <w:pPr>
        <w:pStyle w:val="3"/>
        <w:rPr>
          <w:rFonts w:hint="eastAsia" w:ascii="仿宋" w:hAnsi="仿宋" w:eastAsia="仿宋" w:cs="仿宋"/>
          <w:color w:val="auto"/>
          <w:sz w:val="21"/>
          <w:szCs w:val="21"/>
          <w:highlight w:val="none"/>
        </w:rPr>
      </w:pPr>
    </w:p>
    <w:p w14:paraId="3BDDBD79">
      <w:pPr>
        <w:rPr>
          <w:rFonts w:hint="eastAsia"/>
          <w:highlight w:val="none"/>
        </w:rPr>
      </w:pPr>
    </w:p>
    <w:p w14:paraId="1B35F1EE">
      <w:pPr>
        <w:rPr>
          <w:rFonts w:hint="eastAsia" w:ascii="仿宋" w:hAnsi="仿宋" w:eastAsia="仿宋" w:cs="仿宋"/>
          <w:color w:val="auto"/>
          <w:sz w:val="21"/>
          <w:szCs w:val="21"/>
          <w:highlight w:val="none"/>
        </w:rPr>
      </w:pPr>
    </w:p>
    <w:p w14:paraId="54B78BF7">
      <w:pPr>
        <w:rPr>
          <w:rFonts w:hint="eastAsia" w:ascii="仿宋" w:hAnsi="仿宋" w:eastAsia="仿宋" w:cs="仿宋"/>
          <w:color w:val="auto"/>
          <w:highlight w:val="none"/>
        </w:rPr>
      </w:pPr>
    </w:p>
    <w:p w14:paraId="44CE1222">
      <w:pPr>
        <w:autoSpaceDE w:val="0"/>
        <w:autoSpaceDN w:val="0"/>
        <w:adjustRightInd w:val="0"/>
        <w:rPr>
          <w:rFonts w:hint="eastAsia" w:ascii="仿宋" w:hAnsi="仿宋" w:eastAsia="仿宋" w:cs="仿宋"/>
          <w:color w:val="auto"/>
          <w:sz w:val="21"/>
          <w:szCs w:val="21"/>
          <w:highlight w:val="none"/>
        </w:rPr>
      </w:pPr>
    </w:p>
    <w:p w14:paraId="7AA0A974">
      <w:pPr>
        <w:autoSpaceDE w:val="0"/>
        <w:autoSpaceDN w:val="0"/>
        <w:adjustRightInd w:val="0"/>
        <w:rPr>
          <w:rFonts w:hint="eastAsia" w:ascii="仿宋" w:hAnsi="仿宋" w:eastAsia="仿宋" w:cs="仿宋"/>
          <w:color w:val="auto"/>
          <w:sz w:val="21"/>
          <w:szCs w:val="21"/>
          <w:highlight w:val="none"/>
        </w:rPr>
      </w:pPr>
    </w:p>
    <w:p w14:paraId="037029E5">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0538909E">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6D86FB53">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投</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标</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人：</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02BCF110">
      <w:pPr>
        <w:ind w:left="420" w:leftChars="175"/>
        <w:rPr>
          <w:rFonts w:hint="eastAsia" w:ascii="仿宋" w:hAnsi="仿宋" w:eastAsia="仿宋" w:cs="仿宋"/>
          <w:color w:val="auto"/>
          <w:sz w:val="32"/>
          <w:szCs w:val="32"/>
          <w:highlight w:val="none"/>
        </w:rPr>
      </w:pPr>
    </w:p>
    <w:p w14:paraId="2EF2CC50">
      <w:pPr>
        <w:ind w:left="840" w:firstLine="420"/>
        <w:rPr>
          <w:rFonts w:hint="eastAsia" w:ascii="仿宋" w:hAnsi="仿宋" w:eastAsia="仿宋" w:cs="仿宋"/>
          <w:b/>
          <w:bCs/>
          <w:color w:val="auto"/>
          <w:sz w:val="28"/>
          <w:szCs w:val="28"/>
          <w:highlight w:val="none"/>
        </w:rPr>
      </w:pPr>
    </w:p>
    <w:p w14:paraId="2451F1DE">
      <w:pPr>
        <w:ind w:left="840" w:firstLine="420"/>
        <w:rPr>
          <w:rFonts w:hint="eastAsia" w:ascii="仿宋" w:hAnsi="仿宋" w:eastAsia="仿宋" w:cs="仿宋"/>
          <w:b/>
          <w:bCs/>
          <w:color w:val="auto"/>
          <w:sz w:val="28"/>
          <w:szCs w:val="28"/>
          <w:highlight w:val="none"/>
        </w:rPr>
      </w:pPr>
    </w:p>
    <w:p w14:paraId="5B12266F">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5C2AEB63">
      <w:pP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pPr>
      <w:bookmarkStart w:id="422" w:name="_Toc109899908"/>
      <w:bookmarkStart w:id="423" w:name="_Toc109900327"/>
      <w:bookmarkStart w:id="424" w:name="_Toc25402"/>
      <w:bookmarkStart w:id="425" w:name="_Toc140132831"/>
      <w:bookmarkStart w:id="426" w:name="_Toc109899489"/>
      <w:bookmarkStart w:id="427" w:name="_Toc14917"/>
      <w:bookmarkStart w:id="428" w:name="_Toc3577"/>
      <w:bookmarkStart w:id="429" w:name="_Toc155185921"/>
      <w:bookmarkStart w:id="430" w:name="_Toc163492915"/>
      <w:r>
        <w:rPr>
          <w:rFonts w:hint="eastAsia" w:ascii="仿宋" w:hAnsi="仿宋" w:eastAsia="仿宋" w:cs="仿宋"/>
          <w:color w:val="auto"/>
          <w:highlight w:val="none"/>
          <w:lang w:val="en-US" w:eastAsia="zh-CN"/>
        </w:rPr>
        <w:t>★</w:t>
      </w:r>
      <w:r>
        <w:rPr>
          <w:rFonts w:hint="eastAsia" w:ascii="仿宋" w:hAnsi="仿宋" w:eastAsia="仿宋" w:cs="仿宋"/>
          <w:b/>
          <w:bCs/>
          <w:color w:val="auto"/>
          <w:kern w:val="2"/>
          <w:sz w:val="32"/>
          <w:szCs w:val="32"/>
          <w:highlight w:val="none"/>
          <w:lang w:val="en-US" w:eastAsia="zh-CN" w:bidi="ar-SA"/>
        </w:rPr>
        <w:t>一、投标函</w:t>
      </w:r>
      <w:bookmarkEnd w:id="422"/>
      <w:bookmarkEnd w:id="423"/>
      <w:bookmarkEnd w:id="424"/>
      <w:bookmarkEnd w:id="425"/>
      <w:bookmarkEnd w:id="426"/>
      <w:bookmarkEnd w:id="427"/>
      <w:bookmarkEnd w:id="428"/>
      <w:bookmarkEnd w:id="429"/>
      <w:bookmarkEnd w:id="430"/>
    </w:p>
    <w:p w14:paraId="0ABD9EA3">
      <w:pPr>
        <w:rPr>
          <w:rFonts w:hint="eastAsia" w:ascii="仿宋" w:hAnsi="仿宋" w:eastAsia="仿宋" w:cs="仿宋"/>
          <w:color w:val="auto"/>
          <w:highlight w:val="none"/>
        </w:rPr>
      </w:pPr>
      <w:r>
        <w:rPr>
          <w:rFonts w:hint="eastAsia" w:ascii="仿宋" w:hAnsi="仿宋" w:eastAsia="仿宋" w:cs="仿宋"/>
          <w:color w:val="auto"/>
          <w:highlight w:val="none"/>
        </w:rPr>
        <w:t>致：（采购人）</w:t>
      </w:r>
    </w:p>
    <w:p w14:paraId="35C4266A">
      <w:pPr>
        <w:ind w:firstLine="480" w:firstLineChars="2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根据贵方</w:t>
      </w:r>
      <w:r>
        <w:rPr>
          <w:rFonts w:hint="eastAsia" w:ascii="仿宋" w:hAnsi="仿宋" w:eastAsia="仿宋" w:cs="仿宋"/>
          <w:color w:val="auto"/>
          <w:szCs w:val="24"/>
          <w:highlight w:val="none"/>
          <w:u w:val="single"/>
        </w:rPr>
        <w:t>（项目名称）（项目编号</w:t>
      </w:r>
      <w:r>
        <w:rPr>
          <w:rFonts w:hint="eastAsia" w:ascii="仿宋" w:hAnsi="仿宋" w:eastAsia="仿宋" w:cs="仿宋"/>
          <w:color w:val="auto"/>
          <w:szCs w:val="24"/>
          <w:highlight w:val="none"/>
          <w:u w:val="single"/>
          <w:lang w:val="en-US" w:eastAsia="zh-CN"/>
        </w:rPr>
        <w:t>/包号</w:t>
      </w:r>
      <w:r>
        <w:rPr>
          <w:rFonts w:hint="eastAsia" w:ascii="仿宋" w:hAnsi="仿宋" w:eastAsia="仿宋" w:cs="仿宋"/>
          <w:color w:val="auto"/>
          <w:szCs w:val="24"/>
          <w:highlight w:val="none"/>
          <w:u w:val="single"/>
        </w:rPr>
        <w:t>）</w:t>
      </w:r>
      <w:r>
        <w:rPr>
          <w:rFonts w:hint="eastAsia" w:ascii="仿宋" w:hAnsi="仿宋" w:eastAsia="仿宋" w:cs="仿宋"/>
          <w:color w:val="auto"/>
          <w:szCs w:val="24"/>
          <w:highlight w:val="none"/>
          <w:lang w:val="en-US" w:eastAsia="zh-CN"/>
        </w:rPr>
        <w:t>项目</w:t>
      </w:r>
      <w:r>
        <w:rPr>
          <w:rFonts w:hint="eastAsia" w:ascii="仿宋" w:hAnsi="仿宋" w:eastAsia="仿宋" w:cs="仿宋"/>
          <w:color w:val="auto"/>
          <w:szCs w:val="24"/>
          <w:highlight w:val="none"/>
        </w:rPr>
        <w:t>的</w:t>
      </w:r>
      <w:r>
        <w:rPr>
          <w:rFonts w:hint="eastAsia" w:ascii="仿宋" w:hAnsi="仿宋" w:eastAsia="仿宋" w:cs="仿宋"/>
          <w:color w:val="auto"/>
          <w:szCs w:val="24"/>
          <w:highlight w:val="none"/>
          <w:lang w:val="en-US" w:eastAsia="zh-CN"/>
        </w:rPr>
        <w:t>招标公告</w:t>
      </w:r>
      <w:r>
        <w:rPr>
          <w:rFonts w:hint="eastAsia" w:ascii="仿宋" w:hAnsi="仿宋" w:eastAsia="仿宋" w:cs="仿宋"/>
          <w:color w:val="auto"/>
          <w:szCs w:val="24"/>
          <w:highlight w:val="none"/>
        </w:rPr>
        <w:t>，签字代表</w:t>
      </w:r>
      <w:r>
        <w:rPr>
          <w:rFonts w:hint="eastAsia" w:ascii="仿宋" w:hAnsi="仿宋" w:eastAsia="仿宋" w:cs="仿宋"/>
          <w:color w:val="auto"/>
          <w:szCs w:val="24"/>
          <w:highlight w:val="none"/>
          <w:u w:val="single"/>
        </w:rPr>
        <w:t>（姓名、职务）</w:t>
      </w:r>
      <w:r>
        <w:rPr>
          <w:rFonts w:hint="eastAsia" w:ascii="仿宋" w:hAnsi="仿宋" w:eastAsia="仿宋" w:cs="仿宋"/>
          <w:color w:val="auto"/>
          <w:szCs w:val="24"/>
          <w:highlight w:val="none"/>
        </w:rPr>
        <w:t>经正式授权并代表投标人</w:t>
      </w:r>
      <w:r>
        <w:rPr>
          <w:rFonts w:hint="eastAsia" w:ascii="仿宋" w:hAnsi="仿宋" w:eastAsia="仿宋" w:cs="仿宋"/>
          <w:color w:val="auto"/>
          <w:szCs w:val="24"/>
          <w:highlight w:val="none"/>
          <w:u w:val="single"/>
        </w:rPr>
        <w:t>（投标人名称、地址）</w:t>
      </w:r>
      <w:r>
        <w:rPr>
          <w:rFonts w:hint="eastAsia" w:ascii="仿宋" w:hAnsi="仿宋" w:eastAsia="仿宋" w:cs="仿宋"/>
          <w:color w:val="auto"/>
          <w:szCs w:val="24"/>
          <w:highlight w:val="none"/>
        </w:rPr>
        <w:t>提交下述文件</w:t>
      </w:r>
      <w:r>
        <w:rPr>
          <w:rFonts w:hint="eastAsia" w:ascii="仿宋" w:hAnsi="仿宋" w:eastAsia="仿宋" w:cs="仿宋"/>
          <w:b/>
          <w:bCs/>
          <w:color w:val="auto"/>
          <w:szCs w:val="24"/>
          <w:highlight w:val="none"/>
        </w:rPr>
        <w:t>：</w:t>
      </w:r>
    </w:p>
    <w:p w14:paraId="21BBF032">
      <w:pPr>
        <w:numPr>
          <w:ilvl w:val="0"/>
          <w:numId w:val="0"/>
        </w:numPr>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Cs w:val="24"/>
          <w:highlight w:val="none"/>
        </w:rPr>
        <w:t>资格</w:t>
      </w:r>
      <w:r>
        <w:rPr>
          <w:rFonts w:hint="eastAsia" w:ascii="仿宋" w:hAnsi="仿宋" w:eastAsia="仿宋" w:cs="仿宋"/>
          <w:color w:val="auto"/>
          <w:szCs w:val="24"/>
          <w:highlight w:val="none"/>
          <w:lang w:val="en-US" w:eastAsia="zh-CN"/>
        </w:rPr>
        <w:t>证明</w:t>
      </w:r>
      <w:r>
        <w:rPr>
          <w:rFonts w:hint="eastAsia" w:ascii="仿宋" w:hAnsi="仿宋" w:eastAsia="仿宋" w:cs="仿宋"/>
          <w:color w:val="auto"/>
          <w:szCs w:val="24"/>
          <w:highlight w:val="none"/>
        </w:rPr>
        <w:t>文件；</w:t>
      </w:r>
    </w:p>
    <w:p w14:paraId="0A0EA079">
      <w:pPr>
        <w:numPr>
          <w:ilvl w:val="0"/>
          <w:numId w:val="0"/>
        </w:numPr>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Cs w:val="24"/>
          <w:highlight w:val="none"/>
        </w:rPr>
        <w:t>投标报价文件；</w:t>
      </w:r>
    </w:p>
    <w:p w14:paraId="7C008F28">
      <w:pPr>
        <w:numPr>
          <w:ilvl w:val="0"/>
          <w:numId w:val="0"/>
        </w:numPr>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Cs w:val="24"/>
          <w:highlight w:val="none"/>
          <w:lang w:val="en-US" w:eastAsia="zh-CN"/>
        </w:rPr>
        <w:t>商务技术</w:t>
      </w:r>
      <w:r>
        <w:rPr>
          <w:rFonts w:hint="eastAsia" w:ascii="仿宋" w:hAnsi="仿宋" w:eastAsia="仿宋" w:cs="仿宋"/>
          <w:color w:val="auto"/>
          <w:szCs w:val="24"/>
          <w:highlight w:val="none"/>
        </w:rPr>
        <w:t>文件。</w:t>
      </w:r>
    </w:p>
    <w:p w14:paraId="2038C573">
      <w:pPr>
        <w:spacing w:line="324"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根据此函，签字代表宣布同意如下：</w:t>
      </w:r>
    </w:p>
    <w:p w14:paraId="7021F257">
      <w:pPr>
        <w:numPr>
          <w:ilvl w:val="0"/>
          <w:numId w:val="0"/>
        </w:numPr>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Cs w:val="24"/>
          <w:highlight w:val="none"/>
        </w:rPr>
        <w:t>所附投标价格表中规定的应提交和交付的货物和</w:t>
      </w:r>
      <w:r>
        <w:rPr>
          <w:rFonts w:hint="eastAsia" w:ascii="仿宋" w:hAnsi="仿宋" w:eastAsia="仿宋" w:cs="仿宋"/>
          <w:color w:val="auto"/>
          <w:szCs w:val="24"/>
          <w:highlight w:val="none"/>
          <w:lang w:val="en-US" w:eastAsia="zh-CN"/>
        </w:rPr>
        <w:t>相关</w:t>
      </w:r>
      <w:r>
        <w:rPr>
          <w:rFonts w:hint="eastAsia" w:ascii="仿宋" w:hAnsi="仿宋" w:eastAsia="仿宋" w:cs="仿宋"/>
          <w:color w:val="auto"/>
          <w:szCs w:val="24"/>
          <w:highlight w:val="none"/>
        </w:rPr>
        <w:t xml:space="preserve">服务（如有）的投标报价为 </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w:t>
      </w:r>
    </w:p>
    <w:p w14:paraId="3FF1B405">
      <w:pPr>
        <w:numPr>
          <w:ilvl w:val="0"/>
          <w:numId w:val="0"/>
        </w:numPr>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Cs w:val="24"/>
          <w:highlight w:val="none"/>
        </w:rPr>
        <w:t>我方将按招标文件的规定履行合同责任和义务。</w:t>
      </w:r>
    </w:p>
    <w:p w14:paraId="464D767C">
      <w:pPr>
        <w:numPr>
          <w:ilvl w:val="0"/>
          <w:numId w:val="0"/>
        </w:numPr>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Cs w:val="24"/>
          <w:highlight w:val="none"/>
        </w:rPr>
        <w:t>我方已详细审查全部招标文件，包括第</w:t>
      </w:r>
      <w:r>
        <w:rPr>
          <w:rFonts w:hint="eastAsia" w:ascii="仿宋" w:hAnsi="仿宋" w:eastAsia="仿宋" w:cs="仿宋"/>
          <w:i w:val="0"/>
          <w:iCs/>
          <w:color w:val="auto"/>
          <w:szCs w:val="24"/>
          <w:highlight w:val="none"/>
          <w:u w:val="single"/>
        </w:rPr>
        <w:t>（编号、补遗书）（如果有的话）</w:t>
      </w:r>
      <w:r>
        <w:rPr>
          <w:rFonts w:hint="eastAsia" w:ascii="仿宋" w:hAnsi="仿宋" w:eastAsia="仿宋" w:cs="仿宋"/>
          <w:color w:val="auto"/>
          <w:szCs w:val="24"/>
          <w:highlight w:val="none"/>
        </w:rPr>
        <w:t>。我方完全理解并同意放弃对这方面有不明及误解的权力。</w:t>
      </w:r>
    </w:p>
    <w:p w14:paraId="70CAE828">
      <w:pPr>
        <w:numPr>
          <w:ilvl w:val="0"/>
          <w:numId w:val="0"/>
        </w:numPr>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szCs w:val="24"/>
          <w:highlight w:val="none"/>
        </w:rPr>
        <w:t>投标有效期为自提交投标文件的截止之日起</w:t>
      </w:r>
      <w:r>
        <w:rPr>
          <w:rFonts w:hint="eastAsia" w:ascii="仿宋" w:hAnsi="仿宋" w:eastAsia="仿宋" w:cs="仿宋"/>
          <w:i/>
          <w:color w:val="auto"/>
          <w:szCs w:val="24"/>
          <w:highlight w:val="none"/>
          <w:u w:val="single"/>
        </w:rPr>
        <w:t xml:space="preserve"> </w:t>
      </w:r>
      <w:r>
        <w:rPr>
          <w:rFonts w:hint="eastAsia" w:ascii="仿宋" w:hAnsi="仿宋" w:eastAsia="仿宋" w:cs="仿宋"/>
          <w:i w:val="0"/>
          <w:iCs/>
          <w:color w:val="auto"/>
          <w:szCs w:val="24"/>
          <w:highlight w:val="none"/>
          <w:u w:val="single"/>
        </w:rPr>
        <w:t>（由投标人填写）</w:t>
      </w:r>
      <w:r>
        <w:rPr>
          <w:rFonts w:hint="eastAsia" w:ascii="仿宋" w:hAnsi="仿宋" w:eastAsia="仿宋" w:cs="仿宋"/>
          <w:color w:val="auto"/>
          <w:szCs w:val="24"/>
          <w:highlight w:val="none"/>
        </w:rPr>
        <w:t>个日历天。</w:t>
      </w:r>
    </w:p>
    <w:p w14:paraId="52EDF2A7">
      <w:pPr>
        <w:numPr>
          <w:ilvl w:val="0"/>
          <w:numId w:val="0"/>
        </w:numPr>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szCs w:val="24"/>
          <w:highlight w:val="none"/>
        </w:rPr>
        <w:t>我方同意提供按照贵方</w:t>
      </w:r>
      <w:r>
        <w:rPr>
          <w:rFonts w:hint="eastAsia" w:ascii="仿宋" w:hAnsi="仿宋" w:eastAsia="仿宋" w:cs="仿宋"/>
          <w:color w:val="auto"/>
          <w:szCs w:val="24"/>
          <w:highlight w:val="none"/>
          <w:lang w:val="en-US" w:eastAsia="zh-CN"/>
        </w:rPr>
        <w:t>招标</w:t>
      </w:r>
      <w:r>
        <w:rPr>
          <w:rFonts w:hint="eastAsia" w:ascii="仿宋" w:hAnsi="仿宋" w:eastAsia="仿宋" w:cs="仿宋"/>
          <w:color w:val="auto"/>
          <w:szCs w:val="24"/>
          <w:highlight w:val="none"/>
        </w:rPr>
        <w:t>文件要求的与投标有关的一切数据或资料，采用综合评分法时，我方完全理解贵方不一定接受最低价的投标。</w:t>
      </w:r>
    </w:p>
    <w:p w14:paraId="3CF5A666">
      <w:pPr>
        <w:numPr>
          <w:ilvl w:val="0"/>
          <w:numId w:val="0"/>
        </w:numPr>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6.</w:t>
      </w:r>
      <w:r>
        <w:rPr>
          <w:rFonts w:hint="eastAsia" w:ascii="仿宋" w:hAnsi="仿宋" w:eastAsia="仿宋" w:cs="仿宋"/>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7.</w:t>
      </w:r>
      <w:r>
        <w:rPr>
          <w:rFonts w:hint="eastAsia" w:ascii="仿宋" w:hAnsi="仿宋" w:eastAsia="仿宋" w:cs="仿宋"/>
          <w:color w:val="auto"/>
          <w:szCs w:val="24"/>
          <w:highlight w:val="none"/>
        </w:rPr>
        <w:t>重要声明：</w:t>
      </w:r>
    </w:p>
    <w:p w14:paraId="40AFB77A">
      <w:pPr>
        <w:snapToGrid w:val="0"/>
        <w:spacing w:line="324"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1）与我方单位负责人为同一人的其他单位名称：</w:t>
      </w:r>
    </w:p>
    <w:p w14:paraId="409D2F71">
      <w:pPr>
        <w:snapToGrid w:val="0"/>
        <w:spacing w:line="324" w:lineRule="auto"/>
        <w:ind w:left="456" w:leftChars="190" w:firstLine="355" w:firstLineChars="148"/>
        <w:rPr>
          <w:rFonts w:hint="eastAsia" w:ascii="仿宋" w:hAnsi="仿宋" w:eastAsia="仿宋" w:cs="仿宋"/>
          <w:i w:val="0"/>
          <w:iCs/>
          <w:color w:val="auto"/>
          <w:szCs w:val="24"/>
          <w:highlight w:val="none"/>
        </w:rPr>
      </w:pP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无；</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有，具体单位名称为：</w:t>
      </w:r>
      <w:r>
        <w:rPr>
          <w:rFonts w:hint="eastAsia" w:ascii="仿宋" w:hAnsi="仿宋" w:eastAsia="仿宋" w:cs="仿宋"/>
          <w:i w:val="0"/>
          <w:iCs/>
          <w:color w:val="auto"/>
          <w:szCs w:val="24"/>
          <w:highlight w:val="none"/>
          <w:u w:val="single"/>
        </w:rPr>
        <w:t>（由投标人如实填写）</w:t>
      </w:r>
      <w:r>
        <w:rPr>
          <w:rFonts w:hint="eastAsia" w:ascii="仿宋" w:hAnsi="仿宋" w:eastAsia="仿宋" w:cs="仿宋"/>
          <w:i w:val="0"/>
          <w:iCs/>
          <w:color w:val="auto"/>
          <w:szCs w:val="24"/>
          <w:highlight w:val="none"/>
        </w:rPr>
        <w:t>。</w:t>
      </w:r>
    </w:p>
    <w:p w14:paraId="0B2F52C6">
      <w:pPr>
        <w:snapToGrid w:val="0"/>
        <w:spacing w:line="324" w:lineRule="auto"/>
        <w:ind w:firstLine="480" w:firstLineChars="200"/>
        <w:rPr>
          <w:rFonts w:hint="eastAsia" w:ascii="仿宋" w:hAnsi="仿宋" w:eastAsia="仿宋" w:cs="仿宋"/>
          <w:i w:val="0"/>
          <w:iCs/>
          <w:color w:val="auto"/>
          <w:szCs w:val="24"/>
          <w:highlight w:val="none"/>
        </w:rPr>
      </w:pPr>
      <w:r>
        <w:rPr>
          <w:rFonts w:hint="eastAsia" w:ascii="仿宋" w:hAnsi="仿宋" w:eastAsia="仿宋" w:cs="仿宋"/>
          <w:i w:val="0"/>
          <w:iCs/>
          <w:color w:val="auto"/>
          <w:szCs w:val="24"/>
          <w:highlight w:val="none"/>
        </w:rPr>
        <w:t>2）与我方存在控股、管理关系的其他单位的名称：</w:t>
      </w:r>
    </w:p>
    <w:p w14:paraId="3BE8BBB8">
      <w:pPr>
        <w:snapToGrid w:val="0"/>
        <w:spacing w:line="324" w:lineRule="auto"/>
        <w:ind w:left="456" w:leftChars="190" w:firstLine="355" w:firstLineChars="148"/>
        <w:rPr>
          <w:rFonts w:hint="eastAsia" w:ascii="仿宋" w:hAnsi="仿宋" w:eastAsia="仿宋" w:cs="仿宋"/>
          <w:color w:val="auto"/>
          <w:szCs w:val="24"/>
          <w:highlight w:val="none"/>
        </w:rPr>
      </w:pPr>
      <w:r>
        <w:rPr>
          <w:rFonts w:hint="eastAsia" w:ascii="仿宋" w:hAnsi="仿宋" w:eastAsia="仿宋" w:cs="仿宋"/>
          <w:i w:val="0"/>
          <w:iCs/>
          <w:color w:val="auto"/>
          <w:szCs w:val="24"/>
          <w:highlight w:val="none"/>
          <w:lang w:eastAsia="zh-CN"/>
        </w:rPr>
        <w:t>□</w:t>
      </w:r>
      <w:r>
        <w:rPr>
          <w:rFonts w:hint="eastAsia" w:ascii="仿宋" w:hAnsi="仿宋" w:eastAsia="仿宋" w:cs="仿宋"/>
          <w:i w:val="0"/>
          <w:iCs/>
          <w:color w:val="auto"/>
          <w:szCs w:val="24"/>
          <w:highlight w:val="none"/>
        </w:rPr>
        <w:t xml:space="preserve">无；□有，具体单位名称为： </w:t>
      </w:r>
      <w:r>
        <w:rPr>
          <w:rFonts w:hint="eastAsia" w:ascii="仿宋" w:hAnsi="仿宋" w:eastAsia="仿宋" w:cs="仿宋"/>
          <w:i w:val="0"/>
          <w:iCs/>
          <w:color w:val="auto"/>
          <w:szCs w:val="24"/>
          <w:highlight w:val="none"/>
          <w:u w:val="single"/>
        </w:rPr>
        <w:t>（由投标人如实填写）</w:t>
      </w:r>
      <w:r>
        <w:rPr>
          <w:rFonts w:hint="eastAsia" w:ascii="仿宋" w:hAnsi="仿宋" w:eastAsia="仿宋" w:cs="仿宋"/>
          <w:color w:val="auto"/>
          <w:szCs w:val="24"/>
          <w:highlight w:val="none"/>
        </w:rPr>
        <w:t>。</w:t>
      </w:r>
    </w:p>
    <w:p w14:paraId="1103F8A2">
      <w:pPr>
        <w:snapToGrid w:val="0"/>
        <w:spacing w:line="324"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rFonts w:hint="eastAsia" w:ascii="仿宋" w:hAnsi="仿宋" w:eastAsia="仿宋" w:cs="仿宋"/>
          <w:color w:val="auto"/>
          <w:szCs w:val="24"/>
          <w:highlight w:val="none"/>
        </w:rPr>
      </w:pP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无；□有，已提供的具体服务内容为：</w:t>
      </w:r>
      <w:r>
        <w:rPr>
          <w:rFonts w:hint="eastAsia" w:ascii="仿宋" w:hAnsi="仿宋" w:eastAsia="仿宋" w:cs="仿宋"/>
          <w:i w:val="0"/>
          <w:iCs w:val="0"/>
          <w:color w:val="auto"/>
          <w:szCs w:val="24"/>
          <w:highlight w:val="none"/>
        </w:rPr>
        <w:t xml:space="preserve"> </w:t>
      </w:r>
      <w:r>
        <w:rPr>
          <w:rFonts w:hint="eastAsia" w:ascii="仿宋" w:hAnsi="仿宋" w:eastAsia="仿宋" w:cs="仿宋"/>
          <w:i w:val="0"/>
          <w:iCs w:val="0"/>
          <w:color w:val="auto"/>
          <w:szCs w:val="24"/>
          <w:highlight w:val="none"/>
          <w:u w:val="single"/>
        </w:rPr>
        <w:t>（由投标人如实填写）</w:t>
      </w:r>
      <w:r>
        <w:rPr>
          <w:rFonts w:hint="eastAsia" w:ascii="仿宋" w:hAnsi="仿宋" w:eastAsia="仿宋" w:cs="仿宋"/>
          <w:color w:val="auto"/>
          <w:szCs w:val="24"/>
          <w:highlight w:val="none"/>
        </w:rPr>
        <w:t>。</w:t>
      </w:r>
    </w:p>
    <w:p w14:paraId="4FC84088">
      <w:pPr>
        <w:spacing w:line="324"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（备注：以上3项声明，必须如实选择，选中项用</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w:t>
      </w:r>
      <w:bookmarkStart w:id="431" w:name="_Hlk161604053"/>
      <w:r>
        <w:rPr>
          <w:rFonts w:hint="eastAsia" w:ascii="仿宋" w:hAnsi="仿宋" w:eastAsia="仿宋" w:cs="仿宋"/>
          <w:color w:val="auto"/>
          <w:szCs w:val="24"/>
          <w:highlight w:val="none"/>
        </w:rPr>
        <w:t>我方承诺本《投标函》的签章对本投标文件全部内容具有约束力并承担法律责任。</w:t>
      </w:r>
      <w:bookmarkEnd w:id="431"/>
    </w:p>
    <w:p w14:paraId="2A195747">
      <w:pPr>
        <w:spacing w:line="300" w:lineRule="auto"/>
        <w:rPr>
          <w:rFonts w:hint="eastAsia" w:ascii="仿宋" w:hAnsi="仿宋" w:eastAsia="仿宋" w:cs="仿宋"/>
          <w:color w:val="auto"/>
          <w:szCs w:val="24"/>
          <w:highlight w:val="none"/>
        </w:rPr>
      </w:pPr>
    </w:p>
    <w:p w14:paraId="3F664789">
      <w:pPr>
        <w:spacing w:line="300" w:lineRule="auto"/>
        <w:rPr>
          <w:rFonts w:hint="eastAsia" w:ascii="仿宋" w:hAnsi="仿宋" w:eastAsia="仿宋" w:cs="仿宋"/>
          <w:color w:val="auto"/>
          <w:szCs w:val="24"/>
          <w:highlight w:val="none"/>
        </w:rPr>
      </w:pPr>
    </w:p>
    <w:p w14:paraId="6C365FF0">
      <w:pPr>
        <w:spacing w:line="300" w:lineRule="auto"/>
        <w:rPr>
          <w:rFonts w:hint="eastAsia" w:ascii="仿宋" w:hAnsi="仿宋" w:eastAsia="仿宋" w:cs="仿宋"/>
          <w:color w:val="auto"/>
          <w:szCs w:val="24"/>
          <w:highlight w:val="none"/>
        </w:rPr>
      </w:pPr>
    </w:p>
    <w:p w14:paraId="448666AB">
      <w:pPr>
        <w:autoSpaceDE w:val="0"/>
        <w:autoSpaceDN w:val="0"/>
        <w:adjustRightInd w:val="0"/>
        <w:snapToGrid w:val="0"/>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szCs w:val="24"/>
          <w:highlight w:val="none"/>
          <w:lang w:val="en-US" w:eastAsia="zh-CN" w:bidi="ar"/>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p>
    <w:p w14:paraId="1186FA25">
      <w:pPr>
        <w:autoSpaceDE w:val="0"/>
        <w:autoSpaceDN w:val="0"/>
        <w:adjustRightInd w:val="0"/>
        <w:snapToGrid w:val="0"/>
        <w:ind w:firstLine="480" w:firstLineChars="200"/>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法定代表人或授权代表（签字或印章）：</w:t>
      </w:r>
    </w:p>
    <w:p w14:paraId="4CCC9D16">
      <w:pPr>
        <w:autoSpaceDE w:val="0"/>
        <w:autoSpaceDN w:val="0"/>
        <w:adjustRightInd w:val="0"/>
        <w:snapToGrid w:val="0"/>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通  讯  地  址：</w:t>
      </w:r>
    </w:p>
    <w:p w14:paraId="268281DA">
      <w:pPr>
        <w:autoSpaceDE w:val="0"/>
        <w:autoSpaceDN w:val="0"/>
        <w:adjustRightInd w:val="0"/>
        <w:snapToGrid w:val="0"/>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传          真：</w:t>
      </w:r>
    </w:p>
    <w:p w14:paraId="0A396883">
      <w:pPr>
        <w:autoSpaceDE w:val="0"/>
        <w:autoSpaceDN w:val="0"/>
        <w:adjustRightInd w:val="0"/>
        <w:snapToGrid w:val="0"/>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电          话：</w:t>
      </w:r>
    </w:p>
    <w:p w14:paraId="63C92097">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highlight w:val="none"/>
        </w:rPr>
        <w:t>日           期：</w:t>
      </w:r>
    </w:p>
    <w:p w14:paraId="6674502E">
      <w:pPr>
        <w:rPr>
          <w:rFonts w:hint="eastAsia" w:ascii="仿宋" w:hAnsi="仿宋" w:eastAsia="仿宋" w:cs="仿宋"/>
          <w:color w:val="auto"/>
          <w:szCs w:val="24"/>
          <w:highlight w:val="none"/>
          <w:u w:val="single"/>
        </w:rPr>
      </w:pPr>
    </w:p>
    <w:p w14:paraId="478BFBB8">
      <w:pPr>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pPr>
      <w:bookmarkStart w:id="432" w:name="_Toc155185924"/>
      <w:bookmarkStart w:id="433" w:name="_Toc163492918"/>
      <w:bookmarkStart w:id="434" w:name="_Toc16989"/>
      <w:r>
        <w:rPr>
          <w:rFonts w:hint="eastAsia" w:ascii="仿宋" w:hAnsi="仿宋" w:eastAsia="仿宋" w:cs="仿宋"/>
          <w:color w:val="auto"/>
          <w:highlight w:val="none"/>
          <w:lang w:val="en-US" w:eastAsia="zh-CN"/>
        </w:rPr>
        <w:t>★</w:t>
      </w:r>
      <w:r>
        <w:rPr>
          <w:rFonts w:hint="eastAsia" w:ascii="仿宋" w:hAnsi="仿宋" w:eastAsia="仿宋" w:cs="仿宋"/>
          <w:b/>
          <w:bCs/>
          <w:color w:val="auto"/>
          <w:kern w:val="2"/>
          <w:sz w:val="32"/>
          <w:szCs w:val="32"/>
          <w:highlight w:val="none"/>
          <w:lang w:val="en-US" w:eastAsia="zh-CN" w:bidi="ar-SA"/>
        </w:rPr>
        <w:t>二、法定代表人（单位负责人）身份证明</w:t>
      </w:r>
      <w:bookmarkEnd w:id="432"/>
      <w:bookmarkEnd w:id="433"/>
      <w:bookmarkEnd w:id="434"/>
    </w:p>
    <w:p w14:paraId="46CF1AA3">
      <w:pPr>
        <w:spacing w:line="48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致：（采购人或采购代理机构） </w:t>
      </w:r>
    </w:p>
    <w:p w14:paraId="3DE52D6F">
      <w:pPr>
        <w:spacing w:line="480" w:lineRule="auto"/>
        <w:ind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兹证明， </w:t>
      </w:r>
    </w:p>
    <w:p w14:paraId="1D36B9E0">
      <w:pPr>
        <w:spacing w:line="48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姓名：____性别：____年龄：____职务：____ </w:t>
      </w:r>
    </w:p>
    <w:p w14:paraId="38746EB6">
      <w:pPr>
        <w:spacing w:line="48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系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hint="eastAsia" w:ascii="仿宋" w:hAnsi="仿宋" w:eastAsia="仿宋" w:cs="仿宋"/>
          <w:color w:val="auto"/>
          <w:szCs w:val="24"/>
          <w:highlight w:val="none"/>
        </w:rPr>
      </w:pPr>
    </w:p>
    <w:p w14:paraId="473563CD">
      <w:pPr>
        <w:rPr>
          <w:rFonts w:hint="eastAsia" w:ascii="仿宋" w:hAnsi="仿宋" w:eastAsia="仿宋" w:cs="仿宋"/>
          <w:color w:val="auto"/>
          <w:sz w:val="21"/>
          <w:szCs w:val="21"/>
          <w:highlight w:val="none"/>
        </w:rPr>
      </w:pP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hint="eastAsia" w:ascii="仿宋" w:hAnsi="仿宋" w:eastAsia="仿宋" w:cs="仿宋"/>
                <w:color w:val="auto"/>
                <w:highlight w:val="none"/>
              </w:rPr>
            </w:pPr>
          </w:p>
        </w:tc>
      </w:tr>
    </w:tbl>
    <w:p w14:paraId="76B5C725">
      <w:pPr>
        <w:ind w:firstLine="840" w:firstLineChars="350"/>
        <w:jc w:val="center"/>
        <w:rPr>
          <w:rFonts w:hint="eastAsia" w:ascii="仿宋" w:hAnsi="仿宋" w:eastAsia="仿宋" w:cs="仿宋"/>
          <w:color w:val="auto"/>
          <w:highlight w:val="none"/>
        </w:rPr>
      </w:pPr>
    </w:p>
    <w:p w14:paraId="4AD74708">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en-US" w:eastAsia="zh-CN" w:bidi="ar"/>
        </w:rPr>
        <w:t xml:space="preserve">：________________ </w:t>
      </w:r>
    </w:p>
    <w:p w14:paraId="364A1245">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法定代表人（单位负责人）（签字或</w:t>
      </w:r>
      <w:r>
        <w:rPr>
          <w:rFonts w:hint="eastAsia" w:ascii="仿宋" w:hAnsi="仿宋" w:eastAsia="仿宋" w:cs="仿宋"/>
          <w:color w:val="auto"/>
          <w:kern w:val="0"/>
          <w:sz w:val="24"/>
          <w:szCs w:val="24"/>
          <w:highlight w:val="none"/>
          <w:lang w:eastAsia="zh-CN"/>
        </w:rPr>
        <w:t>盖章</w:t>
      </w:r>
      <w:r>
        <w:rPr>
          <w:rFonts w:hint="eastAsia" w:ascii="仿宋" w:hAnsi="仿宋" w:eastAsia="仿宋" w:cs="仿宋"/>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7239FE13">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日期：_____年______月______日</w:t>
      </w:r>
    </w:p>
    <w:p w14:paraId="6948CD78">
      <w:pPr>
        <w:rPr>
          <w:rFonts w:hint="eastAsia" w:ascii="仿宋" w:hAnsi="仿宋" w:eastAsia="仿宋" w:cs="仿宋"/>
          <w:b/>
          <w:color w:val="auto"/>
          <w:sz w:val="28"/>
          <w:szCs w:val="28"/>
          <w:highlight w:val="none"/>
        </w:rPr>
      </w:pPr>
    </w:p>
    <w:p w14:paraId="04FDD702">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pPr>
      <w:bookmarkStart w:id="435" w:name="_Toc18668"/>
      <w:bookmarkStart w:id="436" w:name="_Toc163492919"/>
      <w:bookmarkStart w:id="437" w:name="_Toc155185925"/>
      <w:r>
        <w:rPr>
          <w:rFonts w:hint="eastAsia" w:ascii="仿宋" w:hAnsi="仿宋" w:eastAsia="仿宋" w:cs="仿宋"/>
          <w:color w:val="auto"/>
          <w:highlight w:val="none"/>
          <w:lang w:val="en-US" w:eastAsia="zh-CN"/>
        </w:rPr>
        <w:t>★</w:t>
      </w:r>
      <w:r>
        <w:rPr>
          <w:rFonts w:hint="eastAsia" w:ascii="仿宋" w:hAnsi="仿宋" w:eastAsia="仿宋" w:cs="仿宋"/>
          <w:b/>
          <w:bCs/>
          <w:color w:val="auto"/>
          <w:kern w:val="2"/>
          <w:sz w:val="32"/>
          <w:szCs w:val="32"/>
          <w:highlight w:val="none"/>
          <w:lang w:val="en-US" w:eastAsia="zh-CN" w:bidi="ar-SA"/>
        </w:rPr>
        <w:t>三、授权委托书</w:t>
      </w:r>
      <w:bookmarkEnd w:id="435"/>
      <w:bookmarkEnd w:id="436"/>
      <w:bookmarkEnd w:id="437"/>
    </w:p>
    <w:p w14:paraId="593F068D">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本人</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none"/>
        </w:rPr>
        <w:t>（姓名）</w:t>
      </w:r>
      <w:r>
        <w:rPr>
          <w:rFonts w:hint="eastAsia" w:ascii="仿宋" w:hAnsi="仿宋" w:eastAsia="仿宋" w:cs="仿宋"/>
          <w:color w:val="auto"/>
          <w:szCs w:val="24"/>
          <w:highlight w:val="none"/>
        </w:rPr>
        <w:t>系</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none"/>
        </w:rPr>
        <w:t>（投标人名称）</w:t>
      </w:r>
      <w:r>
        <w:rPr>
          <w:rFonts w:hint="eastAsia" w:ascii="仿宋" w:hAnsi="仿宋" w:eastAsia="仿宋" w:cs="仿宋"/>
          <w:color w:val="auto"/>
          <w:szCs w:val="24"/>
          <w:highlight w:val="none"/>
        </w:rPr>
        <w:t>的法定代表人</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单位</w:t>
      </w:r>
      <w:r>
        <w:rPr>
          <w:rFonts w:hint="eastAsia" w:ascii="仿宋" w:hAnsi="仿宋" w:eastAsia="仿宋" w:cs="仿宋"/>
          <w:color w:val="auto"/>
          <w:highlight w:val="none"/>
        </w:rPr>
        <w:t>负责人）</w:t>
      </w:r>
      <w:r>
        <w:rPr>
          <w:rFonts w:hint="eastAsia" w:ascii="仿宋" w:hAnsi="仿宋" w:eastAsia="仿宋" w:cs="仿宋"/>
          <w:color w:val="auto"/>
          <w:szCs w:val="24"/>
          <w:highlight w:val="none"/>
        </w:rPr>
        <w:t>，现委托</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（姓名）为我方代理人。代理人根据授权，以我方名义签署、澄清</w:t>
      </w:r>
      <w:r>
        <w:rPr>
          <w:rFonts w:hint="eastAsia" w:ascii="仿宋" w:hAnsi="仿宋" w:eastAsia="仿宋" w:cs="仿宋"/>
          <w:color w:val="auto"/>
          <w:szCs w:val="24"/>
          <w:highlight w:val="none"/>
          <w:lang w:val="en-US" w:eastAsia="zh-CN"/>
        </w:rPr>
        <w:t>确认</w:t>
      </w:r>
      <w:r>
        <w:rPr>
          <w:rFonts w:hint="eastAsia" w:ascii="仿宋" w:hAnsi="仿宋" w:eastAsia="仿宋" w:cs="仿宋"/>
          <w:color w:val="auto"/>
          <w:szCs w:val="24"/>
          <w:highlight w:val="none"/>
        </w:rPr>
        <w:t>、说明、补正、递交、撤回、修改</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（项目名称）投标文件、签订合同和处理有关事宜，其法律后果由我方承担。</w:t>
      </w:r>
    </w:p>
    <w:p w14:paraId="56B80D1C">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委托期限：</w:t>
      </w:r>
      <w:r>
        <w:rPr>
          <w:rFonts w:hint="eastAsia" w:ascii="仿宋" w:hAnsi="仿宋" w:eastAsia="仿宋" w:cs="仿宋"/>
          <w:color w:val="auto"/>
          <w:szCs w:val="24"/>
          <w:highlight w:val="none"/>
          <w:lang w:val="en-US" w:eastAsia="zh-CN"/>
        </w:rPr>
        <w:t>自本授权委托书签署之日起至投标有效期届满之日止。</w:t>
      </w:r>
    </w:p>
    <w:p w14:paraId="0A605ABE">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法定代表人（单位负责人）（签字或</w:t>
      </w:r>
      <w:r>
        <w:rPr>
          <w:rFonts w:hint="eastAsia" w:ascii="仿宋" w:hAnsi="仿宋" w:eastAsia="仿宋" w:cs="仿宋"/>
          <w:color w:val="auto"/>
          <w:kern w:val="0"/>
          <w:sz w:val="24"/>
          <w:szCs w:val="24"/>
          <w:highlight w:val="none"/>
          <w:lang w:eastAsia="zh-CN"/>
        </w:rPr>
        <w:t>盖章）</w:t>
      </w:r>
      <w:r>
        <w:rPr>
          <w:rFonts w:hint="eastAsia" w:ascii="仿宋" w:hAnsi="仿宋" w:eastAsia="仿宋" w:cs="仿宋"/>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highlight w:val="none"/>
          <w:lang w:val="en-US"/>
        </w:rPr>
      </w:pPr>
      <w:r>
        <w:rPr>
          <w:rFonts w:hint="eastAsia" w:ascii="仿宋" w:hAnsi="仿宋" w:eastAsia="仿宋" w:cs="仿宋"/>
          <w:color w:val="auto"/>
          <w:kern w:val="0"/>
          <w:sz w:val="24"/>
          <w:szCs w:val="24"/>
          <w:highlight w:val="none"/>
          <w:lang w:val="en-US" w:eastAsia="zh-CN" w:bidi="ar"/>
        </w:rPr>
        <w:t>委托代理人（签字或</w:t>
      </w:r>
      <w:r>
        <w:rPr>
          <w:rFonts w:hint="eastAsia" w:ascii="仿宋" w:hAnsi="仿宋" w:eastAsia="仿宋" w:cs="仿宋"/>
          <w:color w:val="auto"/>
          <w:kern w:val="0"/>
          <w:sz w:val="24"/>
          <w:szCs w:val="24"/>
          <w:highlight w:val="none"/>
          <w:lang w:eastAsia="zh-CN"/>
        </w:rPr>
        <w:t>盖章）</w:t>
      </w:r>
      <w:r>
        <w:rPr>
          <w:rFonts w:hint="eastAsia" w:ascii="仿宋" w:hAnsi="仿宋" w:eastAsia="仿宋" w:cs="仿宋"/>
          <w:color w:val="auto"/>
          <w:kern w:val="0"/>
          <w:sz w:val="24"/>
          <w:szCs w:val="24"/>
          <w:highlight w:val="none"/>
          <w:lang w:val="en-US" w:eastAsia="zh-CN" w:bidi="ar"/>
        </w:rPr>
        <w:t>：________________    联系电话：________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日期：_____年______月______日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附：法定代表人及委托代理人身份证明文件电子件： </w:t>
      </w: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hint="eastAsia" w:ascii="仿宋" w:hAnsi="仿宋" w:eastAsia="仿宋" w:cs="仿宋"/>
                <w:color w:val="auto"/>
                <w:highlight w:val="none"/>
              </w:rPr>
            </w:pPr>
          </w:p>
        </w:tc>
      </w:tr>
    </w:tbl>
    <w:p w14:paraId="003FC2D7">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说明： </w:t>
      </w:r>
    </w:p>
    <w:p w14:paraId="6A6FAC65">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2.若投标文件中签字之处均为法定代表人（单位负责人）本人签署，则可不提供本《授权委托书》，但须提供《法定代表人（单位负责人）身份证明》。 </w:t>
      </w:r>
    </w:p>
    <w:p w14:paraId="7D81952A">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3.投标人为自然人的情形，可不提供本《授权委托书》。 </w:t>
      </w:r>
    </w:p>
    <w:p w14:paraId="16E91B57">
      <w:pPr>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4.投标人应随本《授权委托书》同时提供法定代表人（单位负责人）及委托代理人的有效的身份证、护照等身份证明文件电子件。提供身份证的，应同时提供身份证</w:t>
      </w:r>
      <w:r>
        <w:rPr>
          <w:rFonts w:hint="eastAsia" w:ascii="仿宋" w:hAnsi="仿宋" w:eastAsia="仿宋" w:cs="仿宋"/>
          <w:b/>
          <w:bCs/>
          <w:color w:val="auto"/>
          <w:szCs w:val="24"/>
          <w:highlight w:val="none"/>
          <w:lang w:val="en-US" w:eastAsia="zh-CN"/>
        </w:rPr>
        <w:t>双面</w:t>
      </w:r>
      <w:r>
        <w:rPr>
          <w:rFonts w:hint="eastAsia" w:ascii="仿宋" w:hAnsi="仿宋" w:eastAsia="仿宋" w:cs="仿宋"/>
          <w:color w:val="auto"/>
          <w:szCs w:val="24"/>
          <w:highlight w:val="none"/>
          <w:lang w:val="en-US" w:eastAsia="zh-CN"/>
        </w:rPr>
        <w:t>电子件。</w:t>
      </w:r>
    </w:p>
    <w:p w14:paraId="789915E3">
      <w:pPr>
        <w:ind w:firstLine="480" w:firstLineChars="200"/>
        <w:rPr>
          <w:rFonts w:hint="eastAsia" w:ascii="仿宋" w:hAnsi="仿宋" w:eastAsia="仿宋" w:cs="仿宋"/>
          <w:color w:val="auto"/>
          <w:szCs w:val="24"/>
          <w:highlight w:val="none"/>
          <w:lang w:val="en-US" w:eastAsia="zh-CN"/>
        </w:rPr>
      </w:pP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pPr>
      <w:bookmarkStart w:id="438" w:name="_Toc163492928"/>
      <w:bookmarkStart w:id="439" w:name="_Toc155185934"/>
      <w:bookmarkStart w:id="440" w:name="_Toc12518"/>
      <w:r>
        <w:rPr>
          <w:rFonts w:hint="eastAsia" w:ascii="仿宋" w:hAnsi="仿宋" w:eastAsia="仿宋" w:cs="仿宋"/>
          <w:color w:val="auto"/>
          <w:highlight w:val="none"/>
          <w:lang w:val="en-US" w:eastAsia="zh-CN"/>
        </w:rPr>
        <w:t>★</w:t>
      </w:r>
      <w:r>
        <w:rPr>
          <w:rFonts w:hint="eastAsia" w:ascii="仿宋" w:hAnsi="仿宋" w:eastAsia="仿宋" w:cs="仿宋"/>
          <w:b/>
          <w:bCs/>
          <w:color w:val="auto"/>
          <w:kern w:val="2"/>
          <w:sz w:val="32"/>
          <w:szCs w:val="32"/>
          <w:highlight w:val="none"/>
          <w:lang w:val="en-US" w:eastAsia="zh-CN" w:bidi="ar-SA"/>
        </w:rPr>
        <w:t>四、</w:t>
      </w:r>
      <w:bookmarkEnd w:id="438"/>
      <w:bookmarkEnd w:id="439"/>
      <w:bookmarkStart w:id="441" w:name="_Toc163492929"/>
      <w:r>
        <w:rPr>
          <w:rFonts w:hint="eastAsia" w:ascii="仿宋" w:hAnsi="仿宋" w:eastAsia="仿宋" w:cs="仿宋"/>
          <w:b/>
          <w:bCs/>
          <w:color w:val="auto"/>
          <w:kern w:val="2"/>
          <w:sz w:val="32"/>
          <w:szCs w:val="32"/>
          <w:highlight w:val="none"/>
          <w:lang w:val="zh-CN" w:eastAsia="zh-CN" w:bidi="ar-SA"/>
        </w:rPr>
        <w:t>政府采购</w:t>
      </w:r>
      <w:r>
        <w:rPr>
          <w:rFonts w:hint="eastAsia" w:ascii="仿宋" w:hAnsi="仿宋" w:eastAsia="仿宋" w:cs="仿宋"/>
          <w:b/>
          <w:bCs/>
          <w:color w:val="auto"/>
          <w:kern w:val="2"/>
          <w:sz w:val="32"/>
          <w:szCs w:val="32"/>
          <w:highlight w:val="none"/>
          <w:lang w:val="en-US" w:eastAsia="zh-CN" w:bidi="ar-SA"/>
        </w:rPr>
        <w:t>投标人</w:t>
      </w:r>
      <w:r>
        <w:rPr>
          <w:rFonts w:hint="eastAsia" w:ascii="仿宋" w:hAnsi="仿宋" w:eastAsia="仿宋" w:cs="仿宋"/>
          <w:b/>
          <w:bCs/>
          <w:color w:val="auto"/>
          <w:kern w:val="2"/>
          <w:sz w:val="32"/>
          <w:szCs w:val="32"/>
          <w:highlight w:val="none"/>
          <w:lang w:val="zh-CN" w:eastAsia="zh-CN" w:bidi="ar-SA"/>
        </w:rPr>
        <w:t>廉洁自律承诺书</w:t>
      </w:r>
      <w:bookmarkEnd w:id="440"/>
    </w:p>
    <w:p w14:paraId="2AB445CF">
      <w:pPr>
        <w:pStyle w:val="13"/>
        <w:rPr>
          <w:rFonts w:hint="eastAsia" w:ascii="仿宋" w:hAnsi="仿宋" w:eastAsia="仿宋" w:cs="仿宋"/>
          <w:color w:val="auto"/>
          <w:highlight w:val="none"/>
        </w:rPr>
      </w:pPr>
    </w:p>
    <w:p w14:paraId="2CE177B4">
      <w:pPr>
        <w:snapToGrid w:val="0"/>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（采购人）、（采购代理机构）</w:t>
      </w:r>
      <w:r>
        <w:rPr>
          <w:rFonts w:hint="eastAsia" w:ascii="仿宋" w:hAnsi="仿宋" w:eastAsia="仿宋" w:cs="仿宋"/>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我单位响应你</w:t>
      </w:r>
      <w:r>
        <w:rPr>
          <w:rFonts w:hint="eastAsia" w:ascii="仿宋" w:hAnsi="仿宋" w:eastAsia="仿宋" w:cs="仿宋"/>
          <w:color w:val="auto"/>
          <w:sz w:val="24"/>
          <w:szCs w:val="24"/>
          <w:highlight w:val="none"/>
        </w:rPr>
        <w:t>单位</w:t>
      </w:r>
      <w:r>
        <w:rPr>
          <w:rFonts w:hint="eastAsia" w:ascii="仿宋" w:hAnsi="仿宋" w:eastAsia="仿宋" w:cs="仿宋"/>
          <w:color w:val="auto"/>
          <w:kern w:val="0"/>
          <w:sz w:val="24"/>
          <w:szCs w:val="24"/>
          <w:highlight w:val="none"/>
          <w:lang w:val="zh-CN"/>
        </w:rPr>
        <w:t>项目招标</w:t>
      </w:r>
      <w:r>
        <w:rPr>
          <w:rFonts w:hint="eastAsia" w:ascii="仿宋" w:hAnsi="仿宋" w:eastAsia="仿宋" w:cs="仿宋"/>
          <w:color w:val="auto"/>
          <w:kern w:val="0"/>
          <w:sz w:val="24"/>
          <w:szCs w:val="24"/>
          <w:highlight w:val="none"/>
          <w:lang w:val="en-US" w:eastAsia="zh-CN"/>
        </w:rPr>
        <w:t>文件</w:t>
      </w:r>
      <w:r>
        <w:rPr>
          <w:rFonts w:hint="eastAsia" w:ascii="仿宋" w:hAnsi="仿宋" w:eastAsia="仿宋" w:cs="仿宋"/>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六、严格遵守《中华人民共和国政府采购法》《中华人民共和国政府采购法</w:t>
      </w:r>
      <w:r>
        <w:rPr>
          <w:rFonts w:hint="eastAsia" w:ascii="仿宋" w:hAnsi="仿宋" w:eastAsia="仿宋" w:cs="仿宋"/>
          <w:color w:val="auto"/>
          <w:kern w:val="0"/>
          <w:sz w:val="24"/>
          <w:szCs w:val="24"/>
          <w:highlight w:val="none"/>
          <w:lang w:val="en-US" w:eastAsia="zh-CN"/>
        </w:rPr>
        <w:t>实施条例</w:t>
      </w:r>
      <w:r>
        <w:rPr>
          <w:rFonts w:hint="eastAsia" w:ascii="仿宋" w:hAnsi="仿宋" w:eastAsia="仿宋" w:cs="仿宋"/>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ascii="仿宋" w:hAnsi="仿宋" w:eastAsia="仿宋" w:cs="仿宋"/>
          <w:color w:val="auto"/>
          <w:kern w:val="0"/>
          <w:sz w:val="24"/>
          <w:szCs w:val="24"/>
          <w:highlight w:val="none"/>
          <w:lang w:val="en-US" w:eastAsia="zh-CN"/>
        </w:rPr>
        <w:t>兵团</w:t>
      </w:r>
      <w:r>
        <w:rPr>
          <w:rFonts w:hint="eastAsia" w:ascii="仿宋" w:hAnsi="仿宋" w:eastAsia="仿宋" w:cs="仿宋"/>
          <w:color w:val="auto"/>
          <w:kern w:val="0"/>
          <w:sz w:val="24"/>
          <w:szCs w:val="24"/>
          <w:highlight w:val="none"/>
          <w:lang w:val="zh-CN"/>
        </w:rPr>
        <w:t>财政局。由此引起的相应损失均由我单位承担。</w:t>
      </w:r>
    </w:p>
    <w:p w14:paraId="5E22ECB4">
      <w:pPr>
        <w:autoSpaceDE w:val="0"/>
        <w:autoSpaceDN w:val="0"/>
        <w:spacing w:line="360" w:lineRule="auto"/>
        <w:ind w:left="2"/>
        <w:jc w:val="left"/>
        <w:rPr>
          <w:rFonts w:hint="eastAsia" w:ascii="仿宋" w:hAnsi="仿宋" w:eastAsia="仿宋" w:cs="仿宋"/>
          <w:color w:val="auto"/>
          <w:kern w:val="0"/>
          <w:sz w:val="24"/>
          <w:szCs w:val="24"/>
          <w:highlight w:val="none"/>
          <w:lang w:val="zh-CN"/>
        </w:rPr>
      </w:pPr>
    </w:p>
    <w:p w14:paraId="0914ACDE">
      <w:pPr>
        <w:autoSpaceDE w:val="0"/>
        <w:autoSpaceDN w:val="0"/>
        <w:spacing w:line="360" w:lineRule="auto"/>
        <w:ind w:left="2"/>
        <w:jc w:val="left"/>
        <w:rPr>
          <w:rFonts w:hint="eastAsia" w:ascii="仿宋" w:hAnsi="仿宋" w:eastAsia="仿宋" w:cs="仿宋"/>
          <w:color w:val="auto"/>
          <w:kern w:val="0"/>
          <w:sz w:val="24"/>
          <w:szCs w:val="24"/>
          <w:highlight w:val="none"/>
          <w:lang w:val="zh-CN"/>
        </w:rPr>
      </w:pPr>
    </w:p>
    <w:p w14:paraId="02E01AF0">
      <w:pPr>
        <w:autoSpaceDE w:val="0"/>
        <w:autoSpaceDN w:val="0"/>
        <w:spacing w:line="360" w:lineRule="auto"/>
        <w:ind w:left="2"/>
        <w:jc w:val="left"/>
        <w:rPr>
          <w:rFonts w:hint="eastAsia" w:ascii="仿宋" w:hAnsi="仿宋" w:eastAsia="仿宋" w:cs="仿宋"/>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 xml:space="preserve">：                                                                                                                                                                                                               </w:t>
      </w:r>
    </w:p>
    <w:p w14:paraId="0FD8A2DC">
      <w:pPr>
        <w:ind w:firstLine="4560" w:firstLineChars="19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zh-CN"/>
        </w:rPr>
        <w:t>日期</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zh-CN"/>
        </w:rPr>
        <w:t xml:space="preserve">   年   月   日</w:t>
      </w:r>
    </w:p>
    <w:p w14:paraId="5AA40BF9">
      <w:pPr>
        <w:rPr>
          <w:rFonts w:hint="eastAsia" w:ascii="仿宋" w:hAnsi="仿宋" w:eastAsia="仿宋" w:cs="仿宋"/>
          <w:b/>
          <w:bCs/>
          <w:color w:val="auto"/>
          <w:kern w:val="2"/>
          <w:sz w:val="24"/>
          <w:szCs w:val="24"/>
          <w:highlight w:val="none"/>
          <w:lang w:val="en-US" w:eastAsia="zh-CN" w:bidi="ar-SA"/>
        </w:rPr>
      </w:pPr>
    </w:p>
    <w:p w14:paraId="2917743B">
      <w:pPr>
        <w:pStyle w:val="13"/>
        <w:rPr>
          <w:rFonts w:hint="eastAsia" w:ascii="仿宋" w:hAnsi="仿宋" w:eastAsia="仿宋" w:cs="仿宋"/>
          <w:b/>
          <w:bCs/>
          <w:color w:val="auto"/>
          <w:kern w:val="2"/>
          <w:sz w:val="24"/>
          <w:szCs w:val="24"/>
          <w:highlight w:val="none"/>
          <w:lang w:val="en-US" w:eastAsia="zh-CN" w:bidi="ar-SA"/>
        </w:rPr>
      </w:pPr>
    </w:p>
    <w:p w14:paraId="2CC927CA">
      <w:pPr>
        <w:pStyle w:val="13"/>
        <w:rPr>
          <w:rFonts w:hint="eastAsia" w:ascii="仿宋" w:hAnsi="仿宋" w:eastAsia="仿宋" w:cs="仿宋"/>
          <w:b/>
          <w:bCs/>
          <w:color w:val="auto"/>
          <w:kern w:val="2"/>
          <w:sz w:val="24"/>
          <w:szCs w:val="24"/>
          <w:highlight w:val="none"/>
          <w:lang w:val="en-US" w:eastAsia="zh-CN" w:bidi="ar-SA"/>
        </w:rPr>
      </w:pPr>
    </w:p>
    <w:p w14:paraId="32CB8242">
      <w:pPr>
        <w:pStyle w:val="13"/>
        <w:rPr>
          <w:rFonts w:hint="eastAsia" w:ascii="仿宋" w:hAnsi="仿宋" w:eastAsia="仿宋" w:cs="仿宋"/>
          <w:b/>
          <w:bCs/>
          <w:color w:val="auto"/>
          <w:kern w:val="2"/>
          <w:sz w:val="24"/>
          <w:szCs w:val="24"/>
          <w:highlight w:val="none"/>
          <w:lang w:val="en-US" w:eastAsia="zh-CN" w:bidi="ar-SA"/>
        </w:rPr>
      </w:pPr>
    </w:p>
    <w:p w14:paraId="0B1F8F75">
      <w:pPr>
        <w:pStyle w:val="13"/>
        <w:rPr>
          <w:rFonts w:hint="eastAsia" w:ascii="仿宋" w:hAnsi="仿宋" w:eastAsia="仿宋" w:cs="仿宋"/>
          <w:b/>
          <w:bCs/>
          <w:color w:val="auto"/>
          <w:kern w:val="2"/>
          <w:sz w:val="24"/>
          <w:szCs w:val="24"/>
          <w:highlight w:val="none"/>
          <w:lang w:val="en-US" w:eastAsia="zh-CN" w:bidi="ar-SA"/>
        </w:rPr>
      </w:pPr>
    </w:p>
    <w:p w14:paraId="74E8B7C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pPr>
      <w:bookmarkStart w:id="442" w:name="_Toc15732"/>
      <w:r>
        <w:rPr>
          <w:rFonts w:hint="eastAsia" w:ascii="仿宋" w:hAnsi="仿宋" w:eastAsia="仿宋" w:cs="仿宋"/>
          <w:color w:val="auto"/>
          <w:highlight w:val="none"/>
          <w:lang w:val="en-US" w:eastAsia="zh-CN"/>
        </w:rPr>
        <w:t>★</w:t>
      </w:r>
      <w:r>
        <w:rPr>
          <w:rFonts w:hint="eastAsia" w:ascii="仿宋" w:hAnsi="仿宋" w:eastAsia="仿宋" w:cs="仿宋"/>
          <w:b/>
          <w:bCs/>
          <w:color w:val="auto"/>
          <w:kern w:val="2"/>
          <w:sz w:val="32"/>
          <w:szCs w:val="32"/>
          <w:highlight w:val="none"/>
          <w:lang w:val="en-US" w:eastAsia="zh-CN" w:bidi="ar-SA"/>
        </w:rPr>
        <w:t>五、</w:t>
      </w:r>
      <w:r>
        <w:rPr>
          <w:rFonts w:hint="eastAsia" w:ascii="仿宋" w:hAnsi="仿宋" w:eastAsia="仿宋" w:cs="仿宋"/>
          <w:b/>
          <w:bCs/>
          <w:color w:val="auto"/>
          <w:kern w:val="2"/>
          <w:sz w:val="32"/>
          <w:szCs w:val="32"/>
          <w:highlight w:val="none"/>
          <w:lang w:val="zh-CN" w:eastAsia="zh-CN" w:bidi="ar-SA"/>
        </w:rPr>
        <w:t>实质性响应一览表【</w:t>
      </w:r>
      <w:r>
        <w:rPr>
          <w:rFonts w:hint="eastAsia" w:ascii="仿宋" w:hAnsi="仿宋" w:eastAsia="仿宋" w:cs="仿宋"/>
          <w:b/>
          <w:bCs/>
          <w:color w:val="auto"/>
          <w:kern w:val="2"/>
          <w:sz w:val="32"/>
          <w:szCs w:val="32"/>
          <w:highlight w:val="none"/>
          <w:lang w:val="en-US" w:eastAsia="zh-CN" w:bidi="ar-SA"/>
        </w:rPr>
        <w:t>本表须与第五章的一致】</w:t>
      </w:r>
      <w:bookmarkEnd w:id="442"/>
    </w:p>
    <w:p w14:paraId="3FC7E450">
      <w:pPr>
        <w:shd w:val="clear" w:color="auto" w:fill="FFFFFF"/>
        <w:tabs>
          <w:tab w:val="left" w:pos="3045"/>
        </w:tabs>
        <w:autoSpaceDE w:val="0"/>
        <w:autoSpaceDN w:val="0"/>
        <w:adjustRightInd w:val="0"/>
        <w:snapToGrid w:val="0"/>
        <w:spacing w:line="360" w:lineRule="exact"/>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w:t>
      </w:r>
      <w:r>
        <w:rPr>
          <w:rFonts w:hint="eastAsia" w:ascii="仿宋" w:hAnsi="仿宋" w:eastAsia="仿宋" w:cs="仿宋"/>
          <w:b w:val="0"/>
          <w:bCs/>
          <w:color w:val="auto"/>
          <w:sz w:val="24"/>
          <w:highlight w:val="none"/>
          <w:lang w:val="en-US" w:eastAsia="zh-CN"/>
        </w:rPr>
        <w:t>投标人</w:t>
      </w:r>
      <w:r>
        <w:rPr>
          <w:rFonts w:hint="eastAsia" w:ascii="仿宋" w:hAnsi="仿宋" w:eastAsia="仿宋" w:cs="仿宋"/>
          <w:b w:val="0"/>
          <w:bCs/>
          <w:color w:val="auto"/>
          <w:sz w:val="24"/>
          <w:highlight w:val="none"/>
        </w:rPr>
        <w:t>须对本附表所有内容逐条响应且无负偏离，否则</w:t>
      </w:r>
      <w:r>
        <w:rPr>
          <w:rFonts w:hint="eastAsia" w:ascii="仿宋" w:hAnsi="仿宋" w:eastAsia="仿宋" w:cs="仿宋"/>
          <w:b w:val="0"/>
          <w:bCs/>
          <w:color w:val="auto"/>
          <w:sz w:val="24"/>
          <w:highlight w:val="none"/>
          <w:lang w:val="en-US" w:eastAsia="zh-CN"/>
        </w:rPr>
        <w:t>其</w:t>
      </w:r>
      <w:r>
        <w:rPr>
          <w:rFonts w:hint="eastAsia" w:ascii="仿宋" w:hAnsi="仿宋" w:eastAsia="仿宋" w:cs="仿宋"/>
          <w:b/>
          <w:bCs w:val="0"/>
          <w:color w:val="auto"/>
          <w:sz w:val="24"/>
          <w:highlight w:val="none"/>
        </w:rPr>
        <w:t>投标无效</w:t>
      </w:r>
      <w:r>
        <w:rPr>
          <w:rFonts w:hint="eastAsia" w:ascii="仿宋" w:hAnsi="仿宋" w:eastAsia="仿宋" w:cs="仿宋"/>
          <w:b w:val="0"/>
          <w:bCs/>
          <w:color w:val="auto"/>
          <w:sz w:val="24"/>
          <w:highlight w:val="none"/>
        </w:rPr>
        <w:t>）</w:t>
      </w:r>
    </w:p>
    <w:p w14:paraId="3B3C031E">
      <w:pPr>
        <w:pStyle w:val="23"/>
        <w:rPr>
          <w:rFonts w:hint="eastAsia" w:ascii="仿宋" w:hAnsi="仿宋" w:eastAsia="仿宋" w:cs="仿宋"/>
          <w:color w:val="auto"/>
          <w:highlight w:val="none"/>
        </w:rPr>
      </w:pPr>
    </w:p>
    <w:tbl>
      <w:tblPr>
        <w:tblStyle w:val="29"/>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78"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文件要求的实质性响应内容</w:t>
            </w:r>
          </w:p>
        </w:tc>
        <w:tc>
          <w:tcPr>
            <w:tcW w:w="1083"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投标文件响应</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具体内容</w:t>
            </w:r>
          </w:p>
        </w:tc>
        <w:tc>
          <w:tcPr>
            <w:tcW w:w="511"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p>
        </w:tc>
        <w:tc>
          <w:tcPr>
            <w:tcW w:w="1103"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实质性要求</w:t>
            </w:r>
          </w:p>
        </w:tc>
        <w:tc>
          <w:tcPr>
            <w:tcW w:w="2074"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招标文件中的规定</w:t>
            </w:r>
          </w:p>
        </w:tc>
        <w:tc>
          <w:tcPr>
            <w:tcW w:w="1083"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p>
        </w:tc>
        <w:tc>
          <w:tcPr>
            <w:tcW w:w="511"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103"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4"/>
                <w:szCs w:val="24"/>
                <w:highlight w:val="none"/>
                <w:lang w:val="en-US" w:eastAsia="zh-CN" w:bidi="ar-SA"/>
              </w:rPr>
            </w:pPr>
          </w:p>
        </w:tc>
        <w:tc>
          <w:tcPr>
            <w:tcW w:w="2074"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auto"/>
                <w:kern w:val="2"/>
                <w:sz w:val="24"/>
                <w:szCs w:val="24"/>
                <w:highlight w:val="none"/>
                <w:lang w:val="en-US" w:eastAsia="zh-CN" w:bidi="ar-SA"/>
              </w:rPr>
            </w:pPr>
          </w:p>
        </w:tc>
        <w:tc>
          <w:tcPr>
            <w:tcW w:w="1083"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2" w:hRule="atLeast"/>
        </w:trPr>
        <w:tc>
          <w:tcPr>
            <w:tcW w:w="226"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103"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4"/>
                <w:szCs w:val="24"/>
                <w:highlight w:val="none"/>
                <w:lang w:val="en-US" w:eastAsia="zh-CN" w:bidi="ar-SA"/>
              </w:rPr>
            </w:pPr>
          </w:p>
        </w:tc>
        <w:tc>
          <w:tcPr>
            <w:tcW w:w="2074"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auto"/>
                <w:kern w:val="2"/>
                <w:sz w:val="24"/>
                <w:szCs w:val="24"/>
                <w:highlight w:val="none"/>
                <w:lang w:val="en-US" w:eastAsia="zh-CN" w:bidi="ar-SA"/>
              </w:rPr>
            </w:pPr>
          </w:p>
        </w:tc>
        <w:tc>
          <w:tcPr>
            <w:tcW w:w="1083"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p>
        </w:tc>
        <w:tc>
          <w:tcPr>
            <w:tcW w:w="1103" w:type="pct"/>
            <w:shd w:val="clear" w:color="auto" w:fill="auto"/>
            <w:noWrap w:val="0"/>
            <w:vAlign w:val="center"/>
          </w:tcPr>
          <w:p w14:paraId="46BFE239">
            <w:pPr>
              <w:pStyle w:val="49"/>
              <w:rPr>
                <w:rFonts w:hint="eastAsia" w:ascii="仿宋" w:hAnsi="仿宋" w:eastAsia="仿宋" w:cs="仿宋"/>
                <w:color w:val="auto"/>
                <w:kern w:val="2"/>
                <w:sz w:val="24"/>
                <w:szCs w:val="24"/>
                <w:highlight w:val="none"/>
                <w:lang w:val="en-US" w:eastAsia="zh-CN" w:bidi="ar-SA"/>
              </w:rPr>
            </w:pPr>
          </w:p>
        </w:tc>
        <w:tc>
          <w:tcPr>
            <w:tcW w:w="2074" w:type="pct"/>
            <w:shd w:val="clear" w:color="auto" w:fill="auto"/>
            <w:noWrap w:val="0"/>
            <w:vAlign w:val="center"/>
          </w:tcPr>
          <w:p w14:paraId="486ABA85">
            <w:pPr>
              <w:pStyle w:val="49"/>
              <w:rPr>
                <w:rFonts w:hint="eastAsia" w:ascii="仿宋" w:hAnsi="仿宋" w:eastAsia="仿宋" w:cs="仿宋"/>
                <w:color w:val="auto"/>
                <w:kern w:val="2"/>
                <w:sz w:val="24"/>
                <w:szCs w:val="24"/>
                <w:highlight w:val="none"/>
                <w:lang w:val="en-US" w:eastAsia="zh-CN" w:bidi="ar-SA"/>
              </w:rPr>
            </w:pPr>
          </w:p>
        </w:tc>
        <w:tc>
          <w:tcPr>
            <w:tcW w:w="1083"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2" w:hRule="atLeast"/>
        </w:trPr>
        <w:tc>
          <w:tcPr>
            <w:tcW w:w="226"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1103" w:type="pct"/>
            <w:shd w:val="clear" w:color="auto" w:fill="auto"/>
            <w:noWrap w:val="0"/>
            <w:vAlign w:val="center"/>
          </w:tcPr>
          <w:p w14:paraId="1D3E0310">
            <w:pPr>
              <w:pStyle w:val="49"/>
              <w:rPr>
                <w:rFonts w:hint="eastAsia" w:ascii="仿宋" w:hAnsi="仿宋" w:eastAsia="仿宋" w:cs="仿宋"/>
                <w:color w:val="auto"/>
                <w:kern w:val="2"/>
                <w:sz w:val="24"/>
                <w:szCs w:val="24"/>
                <w:highlight w:val="none"/>
                <w:lang w:val="en-US" w:eastAsia="zh-CN" w:bidi="ar-SA"/>
              </w:rPr>
            </w:pPr>
          </w:p>
        </w:tc>
        <w:tc>
          <w:tcPr>
            <w:tcW w:w="2074" w:type="pct"/>
            <w:shd w:val="clear" w:color="auto" w:fill="auto"/>
            <w:noWrap w:val="0"/>
            <w:vAlign w:val="center"/>
          </w:tcPr>
          <w:p w14:paraId="281089E1">
            <w:pPr>
              <w:pStyle w:val="49"/>
              <w:rPr>
                <w:rFonts w:hint="eastAsia" w:ascii="仿宋" w:hAnsi="仿宋" w:eastAsia="仿宋" w:cs="仿宋"/>
                <w:color w:val="auto"/>
                <w:kern w:val="2"/>
                <w:sz w:val="24"/>
                <w:szCs w:val="24"/>
                <w:highlight w:val="none"/>
                <w:lang w:val="en-US" w:eastAsia="zh-CN" w:bidi="ar-SA"/>
              </w:rPr>
            </w:pPr>
          </w:p>
        </w:tc>
        <w:tc>
          <w:tcPr>
            <w:tcW w:w="1083"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1103"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w:t>
            </w:r>
          </w:p>
        </w:tc>
        <w:tc>
          <w:tcPr>
            <w:tcW w:w="2074" w:type="pct"/>
            <w:noWrap w:val="0"/>
            <w:vAlign w:val="center"/>
          </w:tcPr>
          <w:p w14:paraId="310F1D1A">
            <w:pPr>
              <w:pStyle w:val="73"/>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仿宋" w:hAnsi="仿宋" w:eastAsia="仿宋" w:cs="仿宋"/>
                <w:color w:val="auto"/>
                <w:kern w:val="0"/>
                <w:sz w:val="24"/>
                <w:szCs w:val="24"/>
                <w:highlight w:val="none"/>
                <w:lang w:val="en-US" w:eastAsia="zh-CN" w:bidi="ar-SA"/>
              </w:rPr>
            </w:pPr>
          </w:p>
        </w:tc>
        <w:tc>
          <w:tcPr>
            <w:tcW w:w="1083"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2" w:hRule="atLeast"/>
        </w:trPr>
        <w:tc>
          <w:tcPr>
            <w:tcW w:w="226"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w:t>
            </w:r>
          </w:p>
        </w:tc>
        <w:tc>
          <w:tcPr>
            <w:tcW w:w="1103"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w:t>
            </w:r>
          </w:p>
        </w:tc>
        <w:tc>
          <w:tcPr>
            <w:tcW w:w="2074"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4"/>
                <w:szCs w:val="24"/>
                <w:highlight w:val="none"/>
                <w:lang w:val="en-US" w:eastAsia="zh-CN" w:bidi="ar-SA"/>
              </w:rPr>
            </w:pPr>
          </w:p>
        </w:tc>
        <w:tc>
          <w:tcPr>
            <w:tcW w:w="1083"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7</w:t>
            </w:r>
          </w:p>
        </w:tc>
        <w:tc>
          <w:tcPr>
            <w:tcW w:w="1103"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w:t>
            </w:r>
          </w:p>
        </w:tc>
        <w:tc>
          <w:tcPr>
            <w:tcW w:w="2074"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仿宋" w:hAnsi="仿宋" w:eastAsia="仿宋" w:cs="仿宋"/>
                <w:color w:val="auto"/>
                <w:sz w:val="24"/>
                <w:szCs w:val="24"/>
                <w:highlight w:val="none"/>
                <w:lang w:val="en-US" w:eastAsia="zh-CN"/>
              </w:rPr>
            </w:pPr>
          </w:p>
        </w:tc>
        <w:tc>
          <w:tcPr>
            <w:tcW w:w="1083"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lang w:val="en-US" w:eastAsia="zh-CN"/>
              </w:rPr>
            </w:pPr>
          </w:p>
        </w:tc>
        <w:tc>
          <w:tcPr>
            <w:tcW w:w="1103"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w:t>
            </w:r>
          </w:p>
        </w:tc>
        <w:tc>
          <w:tcPr>
            <w:tcW w:w="2074"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eastAsia="zh-CN"/>
              </w:rPr>
            </w:pPr>
          </w:p>
        </w:tc>
        <w:tc>
          <w:tcPr>
            <w:tcW w:w="1083"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kern w:val="2"/>
          <w:sz w:val="28"/>
          <w:szCs w:val="28"/>
          <w:highlight w:val="none"/>
          <w:lang w:val="en-US" w:eastAsia="zh-CN" w:bidi="ar-SA"/>
        </w:rPr>
      </w:pPr>
    </w:p>
    <w:p w14:paraId="61F3D6B1">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pPr>
    </w:p>
    <w:p w14:paraId="01639337">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pPr>
      <w:bookmarkStart w:id="443" w:name="_Toc25611"/>
      <w:r>
        <w:rPr>
          <w:rFonts w:hint="eastAsia" w:ascii="仿宋" w:hAnsi="仿宋" w:eastAsia="仿宋" w:cs="仿宋"/>
          <w:color w:val="auto"/>
          <w:highlight w:val="none"/>
          <w:lang w:val="en-US" w:eastAsia="zh-CN"/>
        </w:rPr>
        <w:t>★</w:t>
      </w:r>
      <w:r>
        <w:rPr>
          <w:rFonts w:hint="eastAsia" w:ascii="仿宋" w:hAnsi="仿宋" w:eastAsia="仿宋" w:cs="仿宋"/>
          <w:b/>
          <w:bCs/>
          <w:color w:val="auto"/>
          <w:kern w:val="2"/>
          <w:sz w:val="32"/>
          <w:szCs w:val="32"/>
          <w:highlight w:val="none"/>
          <w:lang w:val="en-US" w:eastAsia="zh-CN" w:bidi="ar-SA"/>
        </w:rPr>
        <w:t>六、商务响应偏离表</w:t>
      </w:r>
      <w:bookmarkEnd w:id="441"/>
      <w:bookmarkEnd w:id="443"/>
    </w:p>
    <w:p w14:paraId="21AF32D6">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项目名称：                                         </w:t>
      </w:r>
    </w:p>
    <w:p w14:paraId="0424C095">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项目编号</w:t>
      </w:r>
      <w:r>
        <w:rPr>
          <w:rFonts w:hint="eastAsia" w:ascii="仿宋" w:hAnsi="仿宋" w:eastAsia="仿宋" w:cs="仿宋"/>
          <w:b w:val="0"/>
          <w:bCs/>
          <w:color w:val="auto"/>
          <w:szCs w:val="21"/>
          <w:highlight w:val="none"/>
          <w:lang w:val="en-US" w:eastAsia="zh-CN"/>
        </w:rPr>
        <w:t>/</w:t>
      </w:r>
      <w:r>
        <w:rPr>
          <w:rFonts w:hint="eastAsia" w:ascii="仿宋" w:hAnsi="仿宋" w:eastAsia="仿宋" w:cs="仿宋"/>
          <w:b w:val="0"/>
          <w:bCs/>
          <w:color w:val="auto"/>
          <w:szCs w:val="21"/>
          <w:highlight w:val="none"/>
          <w:lang w:val="zh-CN"/>
        </w:rPr>
        <w:t>包号</w:t>
      </w:r>
      <w:r>
        <w:rPr>
          <w:rFonts w:hint="eastAsia" w:ascii="仿宋" w:hAnsi="仿宋" w:eastAsia="仿宋" w:cs="仿宋"/>
          <w:color w:val="auto"/>
          <w:szCs w:val="24"/>
          <w:highlight w:val="none"/>
        </w:rPr>
        <w:t xml:space="preserve">：        </w:t>
      </w:r>
    </w:p>
    <w:tbl>
      <w:tblPr>
        <w:tblStyle w:val="29"/>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395" w:type="pct"/>
            <w:vAlign w:val="center"/>
          </w:tcPr>
          <w:p w14:paraId="7CB83CD6">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招标文件的商务条款</w:t>
            </w:r>
          </w:p>
        </w:tc>
        <w:tc>
          <w:tcPr>
            <w:tcW w:w="1002" w:type="pct"/>
            <w:vAlign w:val="center"/>
          </w:tcPr>
          <w:p w14:paraId="55A47B57">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投标文件的响应内容</w:t>
            </w:r>
          </w:p>
        </w:tc>
        <w:tc>
          <w:tcPr>
            <w:tcW w:w="1090" w:type="pct"/>
            <w:vAlign w:val="center"/>
          </w:tcPr>
          <w:p w14:paraId="2572E859">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响应情况</w:t>
            </w:r>
          </w:p>
        </w:tc>
        <w:tc>
          <w:tcPr>
            <w:tcW w:w="1090" w:type="pct"/>
            <w:vAlign w:val="center"/>
          </w:tcPr>
          <w:p w14:paraId="7884F206">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395" w:type="pct"/>
            <w:vAlign w:val="center"/>
          </w:tcPr>
          <w:p w14:paraId="34566CA0">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02" w:type="pct"/>
            <w:vAlign w:val="center"/>
          </w:tcPr>
          <w:p w14:paraId="1C6482B4">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90" w:type="pct"/>
            <w:vAlign w:val="center"/>
          </w:tcPr>
          <w:p w14:paraId="1BBD0417">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响应/偏离</w:t>
            </w:r>
          </w:p>
        </w:tc>
        <w:tc>
          <w:tcPr>
            <w:tcW w:w="1090" w:type="pct"/>
            <w:vAlign w:val="center"/>
          </w:tcPr>
          <w:p w14:paraId="1A90E39C">
            <w:pPr>
              <w:pStyle w:val="49"/>
              <w:jc w:val="center"/>
              <w:rPr>
                <w:rFonts w:hint="eastAsia" w:ascii="仿宋" w:hAnsi="仿宋" w:eastAsia="仿宋" w:cs="仿宋"/>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395" w:type="pct"/>
            <w:vAlign w:val="center"/>
          </w:tcPr>
          <w:p w14:paraId="2A717A55">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02" w:type="pct"/>
            <w:vAlign w:val="center"/>
          </w:tcPr>
          <w:p w14:paraId="20EC7575">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90" w:type="pct"/>
            <w:vAlign w:val="center"/>
          </w:tcPr>
          <w:p w14:paraId="5923E58D">
            <w:pPr>
              <w:pStyle w:val="49"/>
              <w:jc w:val="center"/>
              <w:rPr>
                <w:rFonts w:hint="eastAsia" w:ascii="仿宋" w:hAnsi="仿宋" w:eastAsia="仿宋" w:cs="仿宋"/>
                <w:color w:val="auto"/>
                <w:sz w:val="21"/>
                <w:szCs w:val="21"/>
                <w:highlight w:val="none"/>
              </w:rPr>
            </w:pPr>
          </w:p>
        </w:tc>
        <w:tc>
          <w:tcPr>
            <w:tcW w:w="1090" w:type="pct"/>
            <w:vAlign w:val="center"/>
          </w:tcPr>
          <w:p w14:paraId="59C2C317">
            <w:pPr>
              <w:pStyle w:val="49"/>
              <w:jc w:val="center"/>
              <w:rPr>
                <w:rFonts w:hint="eastAsia" w:ascii="仿宋" w:hAnsi="仿宋" w:eastAsia="仿宋" w:cs="仿宋"/>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395" w:type="pct"/>
            <w:vAlign w:val="center"/>
          </w:tcPr>
          <w:p w14:paraId="595245DB">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02" w:type="pct"/>
            <w:vAlign w:val="center"/>
          </w:tcPr>
          <w:p w14:paraId="0A16B4B6">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90" w:type="pct"/>
            <w:vAlign w:val="center"/>
          </w:tcPr>
          <w:p w14:paraId="58535F72">
            <w:pPr>
              <w:pStyle w:val="49"/>
              <w:jc w:val="center"/>
              <w:rPr>
                <w:rFonts w:hint="eastAsia" w:ascii="仿宋" w:hAnsi="仿宋" w:eastAsia="仿宋" w:cs="仿宋"/>
                <w:color w:val="auto"/>
                <w:sz w:val="21"/>
                <w:szCs w:val="21"/>
                <w:highlight w:val="none"/>
              </w:rPr>
            </w:pPr>
          </w:p>
        </w:tc>
        <w:tc>
          <w:tcPr>
            <w:tcW w:w="1090" w:type="pct"/>
            <w:vAlign w:val="center"/>
          </w:tcPr>
          <w:p w14:paraId="50AB520B">
            <w:pPr>
              <w:pStyle w:val="49"/>
              <w:jc w:val="center"/>
              <w:rPr>
                <w:rFonts w:hint="eastAsia" w:ascii="仿宋" w:hAnsi="仿宋" w:eastAsia="仿宋" w:cs="仿宋"/>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49"/>
              <w:jc w:val="center"/>
              <w:rPr>
                <w:rFonts w:hint="eastAsia" w:ascii="仿宋" w:hAnsi="仿宋" w:eastAsia="仿宋" w:cs="仿宋"/>
                <w:color w:val="auto"/>
                <w:sz w:val="21"/>
                <w:szCs w:val="21"/>
                <w:highlight w:val="none"/>
              </w:rPr>
            </w:pPr>
          </w:p>
        </w:tc>
        <w:tc>
          <w:tcPr>
            <w:tcW w:w="1395" w:type="pct"/>
            <w:vAlign w:val="center"/>
          </w:tcPr>
          <w:p w14:paraId="14968038">
            <w:pPr>
              <w:pStyle w:val="49"/>
              <w:jc w:val="center"/>
              <w:rPr>
                <w:rFonts w:hint="eastAsia" w:ascii="仿宋" w:hAnsi="仿宋" w:eastAsia="仿宋" w:cs="仿宋"/>
                <w:color w:val="auto"/>
                <w:sz w:val="21"/>
                <w:szCs w:val="21"/>
                <w:highlight w:val="none"/>
              </w:rPr>
            </w:pPr>
          </w:p>
        </w:tc>
        <w:tc>
          <w:tcPr>
            <w:tcW w:w="1002" w:type="pct"/>
            <w:vAlign w:val="center"/>
          </w:tcPr>
          <w:p w14:paraId="10A6B59E">
            <w:pPr>
              <w:pStyle w:val="49"/>
              <w:jc w:val="center"/>
              <w:rPr>
                <w:rFonts w:hint="eastAsia" w:ascii="仿宋" w:hAnsi="仿宋" w:eastAsia="仿宋" w:cs="仿宋"/>
                <w:color w:val="auto"/>
                <w:sz w:val="21"/>
                <w:szCs w:val="21"/>
                <w:highlight w:val="none"/>
              </w:rPr>
            </w:pPr>
          </w:p>
        </w:tc>
        <w:tc>
          <w:tcPr>
            <w:tcW w:w="1090" w:type="pct"/>
            <w:vAlign w:val="center"/>
          </w:tcPr>
          <w:p w14:paraId="61702DF6">
            <w:pPr>
              <w:pStyle w:val="49"/>
              <w:jc w:val="center"/>
              <w:rPr>
                <w:rFonts w:hint="eastAsia" w:ascii="仿宋" w:hAnsi="仿宋" w:eastAsia="仿宋" w:cs="仿宋"/>
                <w:color w:val="auto"/>
                <w:sz w:val="21"/>
                <w:szCs w:val="21"/>
                <w:highlight w:val="none"/>
              </w:rPr>
            </w:pPr>
          </w:p>
        </w:tc>
        <w:tc>
          <w:tcPr>
            <w:tcW w:w="1090" w:type="pct"/>
            <w:vAlign w:val="center"/>
          </w:tcPr>
          <w:p w14:paraId="0CC18FC2">
            <w:pPr>
              <w:pStyle w:val="49"/>
              <w:jc w:val="center"/>
              <w:rPr>
                <w:rFonts w:hint="eastAsia" w:ascii="仿宋" w:hAnsi="仿宋" w:eastAsia="仿宋" w:cs="仿宋"/>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49"/>
              <w:jc w:val="center"/>
              <w:rPr>
                <w:rFonts w:hint="eastAsia" w:ascii="仿宋" w:hAnsi="仿宋" w:eastAsia="仿宋" w:cs="仿宋"/>
                <w:color w:val="auto"/>
                <w:sz w:val="21"/>
                <w:szCs w:val="21"/>
                <w:highlight w:val="none"/>
              </w:rPr>
            </w:pPr>
          </w:p>
        </w:tc>
        <w:tc>
          <w:tcPr>
            <w:tcW w:w="1395" w:type="pct"/>
            <w:vAlign w:val="center"/>
          </w:tcPr>
          <w:p w14:paraId="5DDD9937">
            <w:pPr>
              <w:pStyle w:val="49"/>
              <w:jc w:val="center"/>
              <w:rPr>
                <w:rFonts w:hint="eastAsia" w:ascii="仿宋" w:hAnsi="仿宋" w:eastAsia="仿宋" w:cs="仿宋"/>
                <w:color w:val="auto"/>
                <w:sz w:val="21"/>
                <w:szCs w:val="21"/>
                <w:highlight w:val="none"/>
              </w:rPr>
            </w:pPr>
          </w:p>
        </w:tc>
        <w:tc>
          <w:tcPr>
            <w:tcW w:w="1002" w:type="pct"/>
            <w:vAlign w:val="center"/>
          </w:tcPr>
          <w:p w14:paraId="0B29A018">
            <w:pPr>
              <w:pStyle w:val="49"/>
              <w:jc w:val="center"/>
              <w:rPr>
                <w:rFonts w:hint="eastAsia" w:ascii="仿宋" w:hAnsi="仿宋" w:eastAsia="仿宋" w:cs="仿宋"/>
                <w:color w:val="auto"/>
                <w:sz w:val="21"/>
                <w:szCs w:val="21"/>
                <w:highlight w:val="none"/>
              </w:rPr>
            </w:pPr>
          </w:p>
        </w:tc>
        <w:tc>
          <w:tcPr>
            <w:tcW w:w="1090" w:type="pct"/>
            <w:vAlign w:val="center"/>
          </w:tcPr>
          <w:p w14:paraId="1FA693DE">
            <w:pPr>
              <w:pStyle w:val="49"/>
              <w:jc w:val="center"/>
              <w:rPr>
                <w:rFonts w:hint="eastAsia" w:ascii="仿宋" w:hAnsi="仿宋" w:eastAsia="仿宋" w:cs="仿宋"/>
                <w:color w:val="auto"/>
                <w:sz w:val="21"/>
                <w:szCs w:val="21"/>
                <w:highlight w:val="none"/>
              </w:rPr>
            </w:pPr>
          </w:p>
        </w:tc>
        <w:tc>
          <w:tcPr>
            <w:tcW w:w="1090" w:type="pct"/>
            <w:vAlign w:val="center"/>
          </w:tcPr>
          <w:p w14:paraId="3D633AB6">
            <w:pPr>
              <w:pStyle w:val="49"/>
              <w:jc w:val="center"/>
              <w:rPr>
                <w:rFonts w:hint="eastAsia" w:ascii="仿宋" w:hAnsi="仿宋" w:eastAsia="仿宋" w:cs="仿宋"/>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49"/>
              <w:jc w:val="center"/>
              <w:rPr>
                <w:rFonts w:hint="eastAsia" w:ascii="仿宋" w:hAnsi="仿宋" w:eastAsia="仿宋" w:cs="仿宋"/>
                <w:color w:val="auto"/>
                <w:sz w:val="21"/>
                <w:szCs w:val="21"/>
                <w:highlight w:val="none"/>
              </w:rPr>
            </w:pPr>
          </w:p>
        </w:tc>
        <w:tc>
          <w:tcPr>
            <w:tcW w:w="1395" w:type="pct"/>
            <w:vAlign w:val="center"/>
          </w:tcPr>
          <w:p w14:paraId="014A297F">
            <w:pPr>
              <w:pStyle w:val="49"/>
              <w:jc w:val="center"/>
              <w:rPr>
                <w:rFonts w:hint="eastAsia" w:ascii="仿宋" w:hAnsi="仿宋" w:eastAsia="仿宋" w:cs="仿宋"/>
                <w:color w:val="auto"/>
                <w:sz w:val="21"/>
                <w:szCs w:val="21"/>
                <w:highlight w:val="none"/>
              </w:rPr>
            </w:pPr>
          </w:p>
        </w:tc>
        <w:tc>
          <w:tcPr>
            <w:tcW w:w="1002" w:type="pct"/>
            <w:vAlign w:val="center"/>
          </w:tcPr>
          <w:p w14:paraId="51467013">
            <w:pPr>
              <w:pStyle w:val="49"/>
              <w:jc w:val="center"/>
              <w:rPr>
                <w:rFonts w:hint="eastAsia" w:ascii="仿宋" w:hAnsi="仿宋" w:eastAsia="仿宋" w:cs="仿宋"/>
                <w:color w:val="auto"/>
                <w:sz w:val="21"/>
                <w:szCs w:val="21"/>
                <w:highlight w:val="none"/>
              </w:rPr>
            </w:pPr>
          </w:p>
        </w:tc>
        <w:tc>
          <w:tcPr>
            <w:tcW w:w="1090" w:type="pct"/>
            <w:vAlign w:val="center"/>
          </w:tcPr>
          <w:p w14:paraId="011E40CA">
            <w:pPr>
              <w:pStyle w:val="49"/>
              <w:jc w:val="center"/>
              <w:rPr>
                <w:rFonts w:hint="eastAsia" w:ascii="仿宋" w:hAnsi="仿宋" w:eastAsia="仿宋" w:cs="仿宋"/>
                <w:color w:val="auto"/>
                <w:sz w:val="21"/>
                <w:szCs w:val="21"/>
                <w:highlight w:val="none"/>
              </w:rPr>
            </w:pPr>
          </w:p>
        </w:tc>
        <w:tc>
          <w:tcPr>
            <w:tcW w:w="1090" w:type="pct"/>
            <w:vAlign w:val="center"/>
          </w:tcPr>
          <w:p w14:paraId="7062C313">
            <w:pPr>
              <w:pStyle w:val="49"/>
              <w:jc w:val="center"/>
              <w:rPr>
                <w:rFonts w:hint="eastAsia" w:ascii="仿宋" w:hAnsi="仿宋" w:eastAsia="仿宋" w:cs="仿宋"/>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49"/>
              <w:jc w:val="center"/>
              <w:rPr>
                <w:rFonts w:hint="eastAsia" w:ascii="仿宋" w:hAnsi="仿宋" w:eastAsia="仿宋" w:cs="仿宋"/>
                <w:color w:val="auto"/>
                <w:sz w:val="21"/>
                <w:szCs w:val="21"/>
                <w:highlight w:val="none"/>
              </w:rPr>
            </w:pPr>
          </w:p>
        </w:tc>
        <w:tc>
          <w:tcPr>
            <w:tcW w:w="1395" w:type="pct"/>
            <w:vAlign w:val="center"/>
          </w:tcPr>
          <w:p w14:paraId="010A1BB0">
            <w:pPr>
              <w:pStyle w:val="49"/>
              <w:jc w:val="center"/>
              <w:rPr>
                <w:rFonts w:hint="eastAsia" w:ascii="仿宋" w:hAnsi="仿宋" w:eastAsia="仿宋" w:cs="仿宋"/>
                <w:color w:val="auto"/>
                <w:sz w:val="21"/>
                <w:szCs w:val="21"/>
                <w:highlight w:val="none"/>
              </w:rPr>
            </w:pPr>
          </w:p>
        </w:tc>
        <w:tc>
          <w:tcPr>
            <w:tcW w:w="1002" w:type="pct"/>
            <w:vAlign w:val="center"/>
          </w:tcPr>
          <w:p w14:paraId="1EE22C75">
            <w:pPr>
              <w:pStyle w:val="49"/>
              <w:jc w:val="center"/>
              <w:rPr>
                <w:rFonts w:hint="eastAsia" w:ascii="仿宋" w:hAnsi="仿宋" w:eastAsia="仿宋" w:cs="仿宋"/>
                <w:color w:val="auto"/>
                <w:sz w:val="21"/>
                <w:szCs w:val="21"/>
                <w:highlight w:val="none"/>
              </w:rPr>
            </w:pPr>
          </w:p>
        </w:tc>
        <w:tc>
          <w:tcPr>
            <w:tcW w:w="1090" w:type="pct"/>
            <w:vAlign w:val="center"/>
          </w:tcPr>
          <w:p w14:paraId="3C86F2CC">
            <w:pPr>
              <w:pStyle w:val="49"/>
              <w:jc w:val="center"/>
              <w:rPr>
                <w:rFonts w:hint="eastAsia" w:ascii="仿宋" w:hAnsi="仿宋" w:eastAsia="仿宋" w:cs="仿宋"/>
                <w:color w:val="auto"/>
                <w:sz w:val="21"/>
                <w:szCs w:val="21"/>
                <w:highlight w:val="none"/>
              </w:rPr>
            </w:pPr>
          </w:p>
        </w:tc>
        <w:tc>
          <w:tcPr>
            <w:tcW w:w="1090" w:type="pct"/>
            <w:vAlign w:val="center"/>
          </w:tcPr>
          <w:p w14:paraId="515EA04E">
            <w:pPr>
              <w:pStyle w:val="49"/>
              <w:jc w:val="center"/>
              <w:rPr>
                <w:rFonts w:hint="eastAsia" w:ascii="仿宋" w:hAnsi="仿宋" w:eastAsia="仿宋" w:cs="仿宋"/>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49"/>
              <w:jc w:val="center"/>
              <w:rPr>
                <w:rFonts w:hint="eastAsia" w:ascii="仿宋" w:hAnsi="仿宋" w:eastAsia="仿宋" w:cs="仿宋"/>
                <w:color w:val="auto"/>
                <w:sz w:val="21"/>
                <w:szCs w:val="21"/>
                <w:highlight w:val="none"/>
              </w:rPr>
            </w:pPr>
          </w:p>
        </w:tc>
        <w:tc>
          <w:tcPr>
            <w:tcW w:w="1395" w:type="pct"/>
            <w:vAlign w:val="center"/>
          </w:tcPr>
          <w:p w14:paraId="1C7A6406">
            <w:pPr>
              <w:pStyle w:val="49"/>
              <w:jc w:val="center"/>
              <w:rPr>
                <w:rFonts w:hint="eastAsia" w:ascii="仿宋" w:hAnsi="仿宋" w:eastAsia="仿宋" w:cs="仿宋"/>
                <w:color w:val="auto"/>
                <w:sz w:val="21"/>
                <w:szCs w:val="21"/>
                <w:highlight w:val="none"/>
              </w:rPr>
            </w:pPr>
          </w:p>
        </w:tc>
        <w:tc>
          <w:tcPr>
            <w:tcW w:w="1002" w:type="pct"/>
            <w:vAlign w:val="center"/>
          </w:tcPr>
          <w:p w14:paraId="7F774DAF">
            <w:pPr>
              <w:pStyle w:val="49"/>
              <w:jc w:val="center"/>
              <w:rPr>
                <w:rFonts w:hint="eastAsia" w:ascii="仿宋" w:hAnsi="仿宋" w:eastAsia="仿宋" w:cs="仿宋"/>
                <w:color w:val="auto"/>
                <w:sz w:val="21"/>
                <w:szCs w:val="21"/>
                <w:highlight w:val="none"/>
              </w:rPr>
            </w:pPr>
          </w:p>
        </w:tc>
        <w:tc>
          <w:tcPr>
            <w:tcW w:w="1090" w:type="pct"/>
            <w:vAlign w:val="center"/>
          </w:tcPr>
          <w:p w14:paraId="66A55C54">
            <w:pPr>
              <w:pStyle w:val="49"/>
              <w:jc w:val="center"/>
              <w:rPr>
                <w:rFonts w:hint="eastAsia" w:ascii="仿宋" w:hAnsi="仿宋" w:eastAsia="仿宋" w:cs="仿宋"/>
                <w:color w:val="auto"/>
                <w:sz w:val="21"/>
                <w:szCs w:val="21"/>
                <w:highlight w:val="none"/>
              </w:rPr>
            </w:pPr>
          </w:p>
        </w:tc>
        <w:tc>
          <w:tcPr>
            <w:tcW w:w="1090" w:type="pct"/>
            <w:vAlign w:val="center"/>
          </w:tcPr>
          <w:p w14:paraId="6FC3A7DB">
            <w:pPr>
              <w:pStyle w:val="49"/>
              <w:jc w:val="center"/>
              <w:rPr>
                <w:rFonts w:hint="eastAsia" w:ascii="仿宋" w:hAnsi="仿宋" w:eastAsia="仿宋" w:cs="仿宋"/>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49"/>
              <w:jc w:val="center"/>
              <w:rPr>
                <w:rFonts w:hint="eastAsia" w:ascii="仿宋" w:hAnsi="仿宋" w:eastAsia="仿宋" w:cs="仿宋"/>
                <w:color w:val="auto"/>
                <w:sz w:val="21"/>
                <w:szCs w:val="21"/>
                <w:highlight w:val="none"/>
              </w:rPr>
            </w:pPr>
          </w:p>
        </w:tc>
        <w:tc>
          <w:tcPr>
            <w:tcW w:w="1395" w:type="pct"/>
            <w:vAlign w:val="center"/>
          </w:tcPr>
          <w:p w14:paraId="199507E1">
            <w:pPr>
              <w:pStyle w:val="49"/>
              <w:jc w:val="center"/>
              <w:rPr>
                <w:rFonts w:hint="eastAsia" w:ascii="仿宋" w:hAnsi="仿宋" w:eastAsia="仿宋" w:cs="仿宋"/>
                <w:color w:val="auto"/>
                <w:sz w:val="21"/>
                <w:szCs w:val="21"/>
                <w:highlight w:val="none"/>
              </w:rPr>
            </w:pPr>
          </w:p>
        </w:tc>
        <w:tc>
          <w:tcPr>
            <w:tcW w:w="1002" w:type="pct"/>
            <w:vAlign w:val="center"/>
          </w:tcPr>
          <w:p w14:paraId="6691FD82">
            <w:pPr>
              <w:pStyle w:val="49"/>
              <w:jc w:val="center"/>
              <w:rPr>
                <w:rFonts w:hint="eastAsia" w:ascii="仿宋" w:hAnsi="仿宋" w:eastAsia="仿宋" w:cs="仿宋"/>
                <w:color w:val="auto"/>
                <w:sz w:val="21"/>
                <w:szCs w:val="21"/>
                <w:highlight w:val="none"/>
              </w:rPr>
            </w:pPr>
          </w:p>
        </w:tc>
        <w:tc>
          <w:tcPr>
            <w:tcW w:w="1090" w:type="pct"/>
            <w:vAlign w:val="center"/>
          </w:tcPr>
          <w:p w14:paraId="6E35002B">
            <w:pPr>
              <w:pStyle w:val="49"/>
              <w:jc w:val="center"/>
              <w:rPr>
                <w:rFonts w:hint="eastAsia" w:ascii="仿宋" w:hAnsi="仿宋" w:eastAsia="仿宋" w:cs="仿宋"/>
                <w:color w:val="auto"/>
                <w:sz w:val="21"/>
                <w:szCs w:val="21"/>
                <w:highlight w:val="none"/>
              </w:rPr>
            </w:pPr>
          </w:p>
        </w:tc>
        <w:tc>
          <w:tcPr>
            <w:tcW w:w="1090" w:type="pct"/>
            <w:vAlign w:val="center"/>
          </w:tcPr>
          <w:p w14:paraId="69818ED1">
            <w:pPr>
              <w:pStyle w:val="49"/>
              <w:jc w:val="center"/>
              <w:rPr>
                <w:rFonts w:hint="eastAsia" w:ascii="仿宋" w:hAnsi="仿宋" w:eastAsia="仿宋" w:cs="仿宋"/>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395" w:type="pct"/>
            <w:vAlign w:val="center"/>
          </w:tcPr>
          <w:p w14:paraId="6324A49D">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02" w:type="pct"/>
            <w:vAlign w:val="center"/>
          </w:tcPr>
          <w:p w14:paraId="0EE83785">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90" w:type="pct"/>
            <w:vAlign w:val="center"/>
          </w:tcPr>
          <w:p w14:paraId="7A24BB2D">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90" w:type="pct"/>
            <w:vAlign w:val="center"/>
          </w:tcPr>
          <w:p w14:paraId="7CC08218">
            <w:pPr>
              <w:pStyle w:val="49"/>
              <w:jc w:val="center"/>
              <w:rPr>
                <w:rFonts w:hint="eastAsia" w:ascii="仿宋" w:hAnsi="仿宋" w:eastAsia="仿宋" w:cs="仿宋"/>
                <w:color w:val="auto"/>
                <w:sz w:val="21"/>
                <w:szCs w:val="21"/>
                <w:highlight w:val="none"/>
              </w:rPr>
            </w:pPr>
          </w:p>
        </w:tc>
      </w:tr>
    </w:tbl>
    <w:p w14:paraId="5516D2ED">
      <w:pPr>
        <w:ind w:firstLine="420" w:firstLineChars="200"/>
        <w:rPr>
          <w:rFonts w:hint="eastAsia" w:ascii="仿宋" w:hAnsi="仿宋" w:eastAsia="仿宋" w:cs="仿宋"/>
          <w:color w:val="auto"/>
          <w:sz w:val="21"/>
          <w:szCs w:val="21"/>
          <w:highlight w:val="none"/>
        </w:rPr>
      </w:pPr>
    </w:p>
    <w:p w14:paraId="5CB06622">
      <w:pPr>
        <w:ind w:firstLine="480" w:firstLineChars="200"/>
        <w:rPr>
          <w:rFonts w:hint="eastAsia" w:ascii="仿宋" w:hAnsi="仿宋" w:eastAsia="仿宋" w:cs="仿宋"/>
          <w:color w:val="auto"/>
          <w:szCs w:val="24"/>
          <w:highlight w:val="none"/>
        </w:rPr>
      </w:pPr>
    </w:p>
    <w:p w14:paraId="2E8083B6">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szCs w:val="24"/>
          <w:highlight w:val="none"/>
        </w:rPr>
        <w:t xml:space="preserve">： </w:t>
      </w:r>
    </w:p>
    <w:p w14:paraId="77655944">
      <w:pPr>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日      期：</w:t>
      </w:r>
    </w:p>
    <w:p w14:paraId="62D3AA4F">
      <w:pPr>
        <w:ind w:firstLine="420" w:firstLineChars="200"/>
        <w:rPr>
          <w:rFonts w:hint="eastAsia" w:ascii="仿宋" w:hAnsi="仿宋" w:eastAsia="仿宋" w:cs="仿宋"/>
          <w:color w:val="auto"/>
          <w:sz w:val="21"/>
          <w:szCs w:val="21"/>
          <w:highlight w:val="none"/>
        </w:rPr>
      </w:pPr>
    </w:p>
    <w:p w14:paraId="3F428C59">
      <w:pPr>
        <w:ind w:firstLine="420" w:firstLineChars="200"/>
        <w:rPr>
          <w:rFonts w:hint="eastAsia" w:ascii="仿宋" w:hAnsi="仿宋" w:eastAsia="仿宋" w:cs="仿宋"/>
          <w:color w:val="auto"/>
          <w:szCs w:val="24"/>
          <w:highlight w:val="none"/>
        </w:rPr>
      </w:pPr>
      <w:r>
        <w:rPr>
          <w:rFonts w:hint="eastAsia" w:ascii="仿宋" w:hAnsi="仿宋" w:eastAsia="仿宋" w:cs="仿宋"/>
          <w:color w:val="auto"/>
          <w:sz w:val="21"/>
          <w:szCs w:val="21"/>
          <w:highlight w:val="none"/>
        </w:rPr>
        <w:t>注：投标人应按照招标文件“第三章 采购需求”</w:t>
      </w:r>
      <w:r>
        <w:rPr>
          <w:rFonts w:hint="eastAsia" w:ascii="仿宋" w:hAnsi="仿宋" w:eastAsia="仿宋" w:cs="仿宋"/>
          <w:color w:val="auto"/>
          <w:sz w:val="21"/>
          <w:szCs w:val="21"/>
          <w:highlight w:val="none"/>
          <w:lang w:val="en-US" w:eastAsia="zh-CN"/>
        </w:rPr>
        <w:t>中的商务要求</w:t>
      </w:r>
      <w:r>
        <w:rPr>
          <w:rFonts w:hint="eastAsia" w:ascii="仿宋" w:hAnsi="仿宋" w:eastAsia="仿宋" w:cs="仿宋"/>
          <w:color w:val="auto"/>
          <w:sz w:val="21"/>
          <w:szCs w:val="21"/>
          <w:highlight w:val="none"/>
        </w:rPr>
        <w:t>填写</w:t>
      </w:r>
      <w:r>
        <w:rPr>
          <w:rFonts w:hint="eastAsia" w:ascii="仿宋" w:hAnsi="仿宋" w:eastAsia="仿宋" w:cs="仿宋"/>
          <w:color w:val="auto"/>
          <w:sz w:val="21"/>
          <w:szCs w:val="21"/>
          <w:highlight w:val="none"/>
          <w:lang w:eastAsia="zh-CN"/>
        </w:rPr>
        <w:t>：</w:t>
      </w:r>
    </w:p>
    <w:p w14:paraId="16749689">
      <w:pPr>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eastAsia" w:ascii="仿宋" w:hAnsi="仿宋" w:eastAsia="仿宋" w:cs="仿宋"/>
          <w:b/>
          <w:bCs/>
          <w:color w:val="auto"/>
          <w:sz w:val="21"/>
          <w:szCs w:val="21"/>
          <w:highlight w:val="none"/>
          <w:lang w:val="en-US" w:eastAsia="zh-CN"/>
        </w:rPr>
        <w:t>投标无效</w:t>
      </w:r>
      <w:r>
        <w:rPr>
          <w:rFonts w:hint="eastAsia" w:ascii="仿宋" w:hAnsi="仿宋" w:eastAsia="仿宋" w:cs="仿宋"/>
          <w:color w:val="auto"/>
          <w:sz w:val="21"/>
          <w:szCs w:val="21"/>
          <w:highlight w:val="none"/>
          <w:lang w:val="en-US" w:eastAsia="zh-CN"/>
        </w:rPr>
        <w:t xml:space="preserve">。 </w:t>
      </w:r>
    </w:p>
    <w:p w14:paraId="0F350247">
      <w:pPr>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3.“响应情况”栏应据实填写“响应”、“正偏离”或“负偏离”。 </w:t>
      </w:r>
    </w:p>
    <w:p w14:paraId="5B002B53">
      <w:pPr>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4.“说明及索引”栏可填写偏离情况的具体说明及索引。</w:t>
      </w:r>
    </w:p>
    <w:p w14:paraId="59273B30">
      <w:pPr>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5.对招标文件中的所有商务要求，除本表所列明的所有偏离外，均视作供应商已对之理解和响应。此表中若无任何文字说明，内容为空白的，</w:t>
      </w:r>
      <w:r>
        <w:rPr>
          <w:rFonts w:hint="eastAsia" w:ascii="仿宋" w:hAnsi="仿宋" w:eastAsia="仿宋" w:cs="仿宋"/>
          <w:b/>
          <w:bCs/>
          <w:color w:val="auto"/>
          <w:sz w:val="21"/>
          <w:szCs w:val="21"/>
          <w:highlight w:val="none"/>
          <w:lang w:val="en-US" w:eastAsia="zh-CN"/>
        </w:rPr>
        <w:t>投标无效</w:t>
      </w:r>
      <w:r>
        <w:rPr>
          <w:rFonts w:hint="eastAsia" w:ascii="仿宋" w:hAnsi="仿宋" w:eastAsia="仿宋" w:cs="仿宋"/>
          <w:color w:val="auto"/>
          <w:sz w:val="21"/>
          <w:szCs w:val="21"/>
          <w:highlight w:val="none"/>
          <w:lang w:val="en-US" w:eastAsia="zh-CN"/>
        </w:rPr>
        <w:t>。</w:t>
      </w:r>
    </w:p>
    <w:p w14:paraId="598C43A6">
      <w:pPr>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br w:type="page"/>
      </w: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pPr>
      <w:bookmarkStart w:id="444" w:name="_Toc163492930"/>
      <w:bookmarkStart w:id="445" w:name="_Toc32374"/>
      <w:r>
        <w:rPr>
          <w:rFonts w:hint="eastAsia" w:ascii="仿宋" w:hAnsi="仿宋" w:eastAsia="仿宋" w:cs="仿宋"/>
          <w:b/>
          <w:bCs/>
          <w:color w:val="auto"/>
          <w:kern w:val="2"/>
          <w:sz w:val="32"/>
          <w:szCs w:val="32"/>
          <w:highlight w:val="none"/>
          <w:lang w:val="en-US" w:eastAsia="zh-CN" w:bidi="ar-SA"/>
        </w:rPr>
        <w:t>七、业绩证明文件</w:t>
      </w:r>
      <w:bookmarkEnd w:id="444"/>
      <w:bookmarkEnd w:id="445"/>
    </w:p>
    <w:p w14:paraId="4541380C">
      <w:pPr>
        <w:rPr>
          <w:rFonts w:hint="eastAsia" w:ascii="仿宋" w:hAnsi="仿宋" w:eastAsia="仿宋" w:cs="仿宋"/>
          <w:color w:val="auto"/>
          <w:szCs w:val="24"/>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color w:val="auto"/>
          <w:szCs w:val="21"/>
          <w:highlight w:val="none"/>
        </w:rPr>
        <w:instrText xml:space="preserve"> LINK Word.Document.8 "D:\\音乐厅\\4通用设备\\招标文件\\音乐厅空调设备招标文件v1.0.doc" "OLE_LINK8" \r  \* MERGEFORMAT </w:instrText>
      </w:r>
      <w:r>
        <w:rPr>
          <w:rFonts w:hint="eastAsia" w:ascii="仿宋" w:hAnsi="仿宋" w:eastAsia="仿宋" w:cs="仿宋"/>
          <w:bCs/>
          <w:color w:val="auto"/>
          <w:szCs w:val="21"/>
          <w:highlight w:val="none"/>
        </w:rPr>
        <w:fldChar w:fldCharType="separate"/>
      </w:r>
      <w:r>
        <w:rPr>
          <w:rFonts w:hint="eastAsia" w:ascii="仿宋" w:hAnsi="仿宋" w:eastAsia="仿宋" w:cs="仿宋"/>
          <w:color w:val="auto"/>
          <w:szCs w:val="24"/>
          <w:highlight w:val="none"/>
        </w:rPr>
        <w:t xml:space="preserve">项目名称：                                         </w:t>
      </w:r>
    </w:p>
    <w:p w14:paraId="159B24BA">
      <w:pPr>
        <w:rPr>
          <w:rFonts w:hint="eastAsia" w:ascii="仿宋" w:hAnsi="仿宋" w:eastAsia="仿宋" w:cs="仿宋"/>
          <w:bCs/>
          <w:color w:val="auto"/>
          <w:szCs w:val="21"/>
          <w:highlight w:val="none"/>
        </w:rPr>
      </w:pPr>
      <w:r>
        <w:rPr>
          <w:rFonts w:hint="eastAsia" w:ascii="仿宋" w:hAnsi="仿宋" w:eastAsia="仿宋" w:cs="仿宋"/>
          <w:color w:val="auto"/>
          <w:szCs w:val="24"/>
          <w:highlight w:val="none"/>
        </w:rPr>
        <w:t>项目编号</w:t>
      </w:r>
      <w:r>
        <w:rPr>
          <w:rFonts w:hint="eastAsia" w:ascii="仿宋" w:hAnsi="仿宋" w:eastAsia="仿宋" w:cs="仿宋"/>
          <w:b w:val="0"/>
          <w:bCs/>
          <w:color w:val="auto"/>
          <w:szCs w:val="21"/>
          <w:highlight w:val="none"/>
          <w:lang w:val="en-US" w:eastAsia="zh-CN"/>
        </w:rPr>
        <w:t>/</w:t>
      </w:r>
      <w:r>
        <w:rPr>
          <w:rFonts w:hint="eastAsia" w:ascii="仿宋" w:hAnsi="仿宋" w:eastAsia="仿宋" w:cs="仿宋"/>
          <w:b w:val="0"/>
          <w:bCs/>
          <w:color w:val="auto"/>
          <w:szCs w:val="21"/>
          <w:highlight w:val="none"/>
          <w:lang w:val="zh-CN"/>
        </w:rPr>
        <w:t>包号</w:t>
      </w:r>
      <w:r>
        <w:rPr>
          <w:rFonts w:hint="eastAsia" w:ascii="仿宋" w:hAnsi="仿宋" w:eastAsia="仿宋" w:cs="仿宋"/>
          <w:color w:val="auto"/>
          <w:szCs w:val="24"/>
          <w:highlight w:val="none"/>
        </w:rPr>
        <w:t xml:space="preserve">：      </w:t>
      </w:r>
      <w:r>
        <w:rPr>
          <w:rFonts w:hint="eastAsia" w:ascii="仿宋" w:hAnsi="仿宋" w:eastAsia="仿宋" w:cs="仿宋"/>
          <w:bCs/>
          <w:color w:val="auto"/>
          <w:szCs w:val="21"/>
          <w:highlight w:val="none"/>
        </w:rPr>
        <w:fldChar w:fldCharType="end"/>
      </w:r>
    </w:p>
    <w:tbl>
      <w:tblPr>
        <w:tblStyle w:val="29"/>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9572F9">
            <w:pPr>
              <w:jc w:val="center"/>
              <w:rPr>
                <w:rFonts w:hint="eastAsia" w:ascii="仿宋" w:hAnsi="仿宋" w:eastAsia="仿宋" w:cs="仿宋"/>
                <w:color w:val="auto"/>
                <w:sz w:val="21"/>
                <w:szCs w:val="21"/>
                <w:highlight w:val="none"/>
              </w:rPr>
            </w:pPr>
            <w:bookmarkStart w:id="446" w:name="_Hlk46779239"/>
            <w:r>
              <w:rPr>
                <w:rFonts w:hint="eastAsia" w:ascii="仿宋" w:hAnsi="仿宋" w:eastAsia="仿宋" w:cs="仿宋"/>
                <w:color w:val="auto"/>
                <w:sz w:val="21"/>
                <w:szCs w:val="21"/>
                <w:highlight w:val="none"/>
              </w:rPr>
              <w:t>序号</w:t>
            </w:r>
          </w:p>
        </w:tc>
        <w:tc>
          <w:tcPr>
            <w:tcW w:w="1560" w:type="dxa"/>
            <w:shd w:val="clear" w:color="auto" w:fill="auto"/>
            <w:vAlign w:val="center"/>
          </w:tcPr>
          <w:p w14:paraId="51F55A40">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项目名称</w:t>
            </w:r>
          </w:p>
        </w:tc>
        <w:tc>
          <w:tcPr>
            <w:tcW w:w="1248" w:type="dxa"/>
            <w:shd w:val="clear" w:color="auto" w:fill="auto"/>
            <w:vAlign w:val="center"/>
          </w:tcPr>
          <w:p w14:paraId="4D5C38D5">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标的</w:t>
            </w:r>
            <w:r>
              <w:rPr>
                <w:rFonts w:hint="eastAsia" w:ascii="仿宋" w:hAnsi="仿宋" w:eastAsia="仿宋" w:cs="仿宋"/>
                <w:color w:val="auto"/>
                <w:sz w:val="21"/>
                <w:szCs w:val="21"/>
                <w:highlight w:val="none"/>
              </w:rPr>
              <w:t>内容</w:t>
            </w:r>
          </w:p>
        </w:tc>
        <w:tc>
          <w:tcPr>
            <w:tcW w:w="1560" w:type="dxa"/>
            <w:shd w:val="clear" w:color="auto" w:fill="auto"/>
            <w:vAlign w:val="center"/>
          </w:tcPr>
          <w:p w14:paraId="69717F2A">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采购人</w:t>
            </w:r>
            <w:r>
              <w:rPr>
                <w:rFonts w:hint="eastAsia" w:ascii="仿宋" w:hAnsi="仿宋" w:eastAsia="仿宋" w:cs="仿宋"/>
                <w:color w:val="auto"/>
                <w:sz w:val="21"/>
                <w:szCs w:val="21"/>
                <w:highlight w:val="none"/>
              </w:rPr>
              <w:t>名称</w:t>
            </w:r>
          </w:p>
        </w:tc>
        <w:tc>
          <w:tcPr>
            <w:tcW w:w="1344" w:type="dxa"/>
            <w:shd w:val="clear" w:color="auto" w:fill="auto"/>
            <w:vAlign w:val="center"/>
          </w:tcPr>
          <w:p w14:paraId="57C35070">
            <w:pPr>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中标（成交）金额</w:t>
            </w:r>
          </w:p>
        </w:tc>
        <w:tc>
          <w:tcPr>
            <w:tcW w:w="1525" w:type="dxa"/>
            <w:shd w:val="clear" w:color="auto" w:fill="auto"/>
            <w:vAlign w:val="center"/>
          </w:tcPr>
          <w:p w14:paraId="01352CB9">
            <w:pPr>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采购合同签订时间</w:t>
            </w:r>
          </w:p>
        </w:tc>
        <w:tc>
          <w:tcPr>
            <w:tcW w:w="1091" w:type="dxa"/>
            <w:vAlign w:val="center"/>
          </w:tcPr>
          <w:p w14:paraId="2DA424BF">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560" w:type="dxa"/>
            <w:vAlign w:val="center"/>
          </w:tcPr>
          <w:p w14:paraId="27562AF7">
            <w:pPr>
              <w:rPr>
                <w:rFonts w:hint="eastAsia" w:ascii="仿宋" w:hAnsi="仿宋" w:eastAsia="仿宋" w:cs="仿宋"/>
                <w:color w:val="auto"/>
                <w:sz w:val="21"/>
                <w:szCs w:val="21"/>
                <w:highlight w:val="none"/>
              </w:rPr>
            </w:pPr>
          </w:p>
        </w:tc>
        <w:tc>
          <w:tcPr>
            <w:tcW w:w="1248" w:type="dxa"/>
            <w:vAlign w:val="center"/>
          </w:tcPr>
          <w:p w14:paraId="02799269">
            <w:pPr>
              <w:rPr>
                <w:rFonts w:hint="eastAsia" w:ascii="仿宋" w:hAnsi="仿宋" w:eastAsia="仿宋" w:cs="仿宋"/>
                <w:color w:val="auto"/>
                <w:sz w:val="21"/>
                <w:szCs w:val="21"/>
                <w:highlight w:val="none"/>
              </w:rPr>
            </w:pPr>
          </w:p>
        </w:tc>
        <w:tc>
          <w:tcPr>
            <w:tcW w:w="1560" w:type="dxa"/>
            <w:vAlign w:val="center"/>
          </w:tcPr>
          <w:p w14:paraId="6449ADDF">
            <w:pPr>
              <w:rPr>
                <w:rFonts w:hint="eastAsia" w:ascii="仿宋" w:hAnsi="仿宋" w:eastAsia="仿宋" w:cs="仿宋"/>
                <w:color w:val="auto"/>
                <w:sz w:val="21"/>
                <w:szCs w:val="21"/>
                <w:highlight w:val="none"/>
              </w:rPr>
            </w:pPr>
          </w:p>
        </w:tc>
        <w:tc>
          <w:tcPr>
            <w:tcW w:w="1344" w:type="dxa"/>
            <w:vAlign w:val="center"/>
          </w:tcPr>
          <w:p w14:paraId="183C0714">
            <w:pPr>
              <w:rPr>
                <w:rFonts w:hint="eastAsia" w:ascii="仿宋" w:hAnsi="仿宋" w:eastAsia="仿宋" w:cs="仿宋"/>
                <w:color w:val="auto"/>
                <w:sz w:val="21"/>
                <w:szCs w:val="21"/>
                <w:highlight w:val="none"/>
              </w:rPr>
            </w:pPr>
          </w:p>
        </w:tc>
        <w:tc>
          <w:tcPr>
            <w:tcW w:w="1525" w:type="dxa"/>
            <w:vAlign w:val="center"/>
          </w:tcPr>
          <w:p w14:paraId="4A8D26BB">
            <w:pPr>
              <w:rPr>
                <w:rFonts w:hint="eastAsia" w:ascii="仿宋" w:hAnsi="仿宋" w:eastAsia="仿宋" w:cs="仿宋"/>
                <w:color w:val="auto"/>
                <w:sz w:val="21"/>
                <w:szCs w:val="21"/>
                <w:highlight w:val="none"/>
              </w:rPr>
            </w:pPr>
          </w:p>
        </w:tc>
        <w:tc>
          <w:tcPr>
            <w:tcW w:w="1091" w:type="dxa"/>
            <w:vAlign w:val="center"/>
          </w:tcPr>
          <w:p w14:paraId="09D0936A">
            <w:pPr>
              <w:rPr>
                <w:rFonts w:hint="eastAsia" w:ascii="仿宋" w:hAnsi="仿宋" w:eastAsia="仿宋" w:cs="仿宋"/>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560" w:type="dxa"/>
            <w:vAlign w:val="center"/>
          </w:tcPr>
          <w:p w14:paraId="7CA4B3F3">
            <w:pPr>
              <w:rPr>
                <w:rFonts w:hint="eastAsia" w:ascii="仿宋" w:hAnsi="仿宋" w:eastAsia="仿宋" w:cs="仿宋"/>
                <w:color w:val="auto"/>
                <w:sz w:val="21"/>
                <w:szCs w:val="21"/>
                <w:highlight w:val="none"/>
              </w:rPr>
            </w:pPr>
          </w:p>
        </w:tc>
        <w:tc>
          <w:tcPr>
            <w:tcW w:w="1248" w:type="dxa"/>
            <w:vAlign w:val="center"/>
          </w:tcPr>
          <w:p w14:paraId="59CCECB1">
            <w:pPr>
              <w:rPr>
                <w:rFonts w:hint="eastAsia" w:ascii="仿宋" w:hAnsi="仿宋" w:eastAsia="仿宋" w:cs="仿宋"/>
                <w:color w:val="auto"/>
                <w:sz w:val="21"/>
                <w:szCs w:val="21"/>
                <w:highlight w:val="none"/>
              </w:rPr>
            </w:pPr>
          </w:p>
        </w:tc>
        <w:tc>
          <w:tcPr>
            <w:tcW w:w="1560" w:type="dxa"/>
            <w:vAlign w:val="center"/>
          </w:tcPr>
          <w:p w14:paraId="4E8043C4">
            <w:pPr>
              <w:rPr>
                <w:rFonts w:hint="eastAsia" w:ascii="仿宋" w:hAnsi="仿宋" w:eastAsia="仿宋" w:cs="仿宋"/>
                <w:color w:val="auto"/>
                <w:sz w:val="21"/>
                <w:szCs w:val="21"/>
                <w:highlight w:val="none"/>
              </w:rPr>
            </w:pPr>
          </w:p>
        </w:tc>
        <w:tc>
          <w:tcPr>
            <w:tcW w:w="1344" w:type="dxa"/>
            <w:vAlign w:val="center"/>
          </w:tcPr>
          <w:p w14:paraId="2E195778">
            <w:pPr>
              <w:rPr>
                <w:rFonts w:hint="eastAsia" w:ascii="仿宋" w:hAnsi="仿宋" w:eastAsia="仿宋" w:cs="仿宋"/>
                <w:color w:val="auto"/>
                <w:sz w:val="21"/>
                <w:szCs w:val="21"/>
                <w:highlight w:val="none"/>
              </w:rPr>
            </w:pPr>
          </w:p>
        </w:tc>
        <w:tc>
          <w:tcPr>
            <w:tcW w:w="1525" w:type="dxa"/>
            <w:vAlign w:val="center"/>
          </w:tcPr>
          <w:p w14:paraId="3DDF15B1">
            <w:pPr>
              <w:rPr>
                <w:rFonts w:hint="eastAsia" w:ascii="仿宋" w:hAnsi="仿宋" w:eastAsia="仿宋" w:cs="仿宋"/>
                <w:color w:val="auto"/>
                <w:sz w:val="21"/>
                <w:szCs w:val="21"/>
                <w:highlight w:val="none"/>
              </w:rPr>
            </w:pPr>
          </w:p>
        </w:tc>
        <w:tc>
          <w:tcPr>
            <w:tcW w:w="1091" w:type="dxa"/>
            <w:vAlign w:val="center"/>
          </w:tcPr>
          <w:p w14:paraId="185645D3">
            <w:pPr>
              <w:rPr>
                <w:rFonts w:hint="eastAsia" w:ascii="仿宋" w:hAnsi="仿宋" w:eastAsia="仿宋" w:cs="仿宋"/>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560" w:type="dxa"/>
            <w:vAlign w:val="center"/>
          </w:tcPr>
          <w:p w14:paraId="46AEF6AC">
            <w:pPr>
              <w:rPr>
                <w:rFonts w:hint="eastAsia" w:ascii="仿宋" w:hAnsi="仿宋" w:eastAsia="仿宋" w:cs="仿宋"/>
                <w:color w:val="auto"/>
                <w:sz w:val="21"/>
                <w:szCs w:val="21"/>
                <w:highlight w:val="none"/>
              </w:rPr>
            </w:pPr>
          </w:p>
        </w:tc>
        <w:tc>
          <w:tcPr>
            <w:tcW w:w="1248" w:type="dxa"/>
            <w:vAlign w:val="center"/>
          </w:tcPr>
          <w:p w14:paraId="601B0208">
            <w:pPr>
              <w:rPr>
                <w:rFonts w:hint="eastAsia" w:ascii="仿宋" w:hAnsi="仿宋" w:eastAsia="仿宋" w:cs="仿宋"/>
                <w:color w:val="auto"/>
                <w:sz w:val="21"/>
                <w:szCs w:val="21"/>
                <w:highlight w:val="none"/>
              </w:rPr>
            </w:pPr>
          </w:p>
        </w:tc>
        <w:tc>
          <w:tcPr>
            <w:tcW w:w="1560" w:type="dxa"/>
            <w:vAlign w:val="center"/>
          </w:tcPr>
          <w:p w14:paraId="56885EE6">
            <w:pPr>
              <w:rPr>
                <w:rFonts w:hint="eastAsia" w:ascii="仿宋" w:hAnsi="仿宋" w:eastAsia="仿宋" w:cs="仿宋"/>
                <w:color w:val="auto"/>
                <w:sz w:val="21"/>
                <w:szCs w:val="21"/>
                <w:highlight w:val="none"/>
              </w:rPr>
            </w:pPr>
          </w:p>
        </w:tc>
        <w:tc>
          <w:tcPr>
            <w:tcW w:w="1344" w:type="dxa"/>
            <w:vAlign w:val="center"/>
          </w:tcPr>
          <w:p w14:paraId="00552B19">
            <w:pPr>
              <w:rPr>
                <w:rFonts w:hint="eastAsia" w:ascii="仿宋" w:hAnsi="仿宋" w:eastAsia="仿宋" w:cs="仿宋"/>
                <w:color w:val="auto"/>
                <w:sz w:val="21"/>
                <w:szCs w:val="21"/>
                <w:highlight w:val="none"/>
              </w:rPr>
            </w:pPr>
          </w:p>
        </w:tc>
        <w:tc>
          <w:tcPr>
            <w:tcW w:w="1525" w:type="dxa"/>
            <w:vAlign w:val="center"/>
          </w:tcPr>
          <w:p w14:paraId="38FE3D5D">
            <w:pPr>
              <w:rPr>
                <w:rFonts w:hint="eastAsia" w:ascii="仿宋" w:hAnsi="仿宋" w:eastAsia="仿宋" w:cs="仿宋"/>
                <w:color w:val="auto"/>
                <w:sz w:val="21"/>
                <w:szCs w:val="21"/>
                <w:highlight w:val="none"/>
              </w:rPr>
            </w:pPr>
          </w:p>
        </w:tc>
        <w:tc>
          <w:tcPr>
            <w:tcW w:w="1091" w:type="dxa"/>
            <w:vAlign w:val="center"/>
          </w:tcPr>
          <w:p w14:paraId="20173386">
            <w:pPr>
              <w:rPr>
                <w:rFonts w:hint="eastAsia" w:ascii="仿宋" w:hAnsi="仿宋" w:eastAsia="仿宋" w:cs="仿宋"/>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560" w:type="dxa"/>
            <w:vAlign w:val="center"/>
          </w:tcPr>
          <w:p w14:paraId="12629B54">
            <w:pPr>
              <w:rPr>
                <w:rFonts w:hint="eastAsia" w:ascii="仿宋" w:hAnsi="仿宋" w:eastAsia="仿宋" w:cs="仿宋"/>
                <w:color w:val="auto"/>
                <w:sz w:val="21"/>
                <w:szCs w:val="21"/>
                <w:highlight w:val="none"/>
              </w:rPr>
            </w:pPr>
          </w:p>
        </w:tc>
        <w:tc>
          <w:tcPr>
            <w:tcW w:w="1248" w:type="dxa"/>
            <w:vAlign w:val="center"/>
          </w:tcPr>
          <w:p w14:paraId="278EE304">
            <w:pPr>
              <w:rPr>
                <w:rFonts w:hint="eastAsia" w:ascii="仿宋" w:hAnsi="仿宋" w:eastAsia="仿宋" w:cs="仿宋"/>
                <w:color w:val="auto"/>
                <w:sz w:val="21"/>
                <w:szCs w:val="21"/>
                <w:highlight w:val="none"/>
              </w:rPr>
            </w:pPr>
          </w:p>
        </w:tc>
        <w:tc>
          <w:tcPr>
            <w:tcW w:w="1560" w:type="dxa"/>
            <w:vAlign w:val="center"/>
          </w:tcPr>
          <w:p w14:paraId="502FE2B6">
            <w:pPr>
              <w:rPr>
                <w:rFonts w:hint="eastAsia" w:ascii="仿宋" w:hAnsi="仿宋" w:eastAsia="仿宋" w:cs="仿宋"/>
                <w:color w:val="auto"/>
                <w:sz w:val="21"/>
                <w:szCs w:val="21"/>
                <w:highlight w:val="none"/>
              </w:rPr>
            </w:pPr>
          </w:p>
        </w:tc>
        <w:tc>
          <w:tcPr>
            <w:tcW w:w="1344" w:type="dxa"/>
            <w:vAlign w:val="center"/>
          </w:tcPr>
          <w:p w14:paraId="44F7BE63">
            <w:pPr>
              <w:rPr>
                <w:rFonts w:hint="eastAsia" w:ascii="仿宋" w:hAnsi="仿宋" w:eastAsia="仿宋" w:cs="仿宋"/>
                <w:color w:val="auto"/>
                <w:sz w:val="21"/>
                <w:szCs w:val="21"/>
                <w:highlight w:val="none"/>
              </w:rPr>
            </w:pPr>
          </w:p>
        </w:tc>
        <w:tc>
          <w:tcPr>
            <w:tcW w:w="1525" w:type="dxa"/>
            <w:vAlign w:val="center"/>
          </w:tcPr>
          <w:p w14:paraId="5208210B">
            <w:pPr>
              <w:rPr>
                <w:rFonts w:hint="eastAsia" w:ascii="仿宋" w:hAnsi="仿宋" w:eastAsia="仿宋" w:cs="仿宋"/>
                <w:color w:val="auto"/>
                <w:sz w:val="21"/>
                <w:szCs w:val="21"/>
                <w:highlight w:val="none"/>
              </w:rPr>
            </w:pPr>
          </w:p>
        </w:tc>
        <w:tc>
          <w:tcPr>
            <w:tcW w:w="1091" w:type="dxa"/>
            <w:vAlign w:val="center"/>
          </w:tcPr>
          <w:p w14:paraId="7EC41624">
            <w:pPr>
              <w:rPr>
                <w:rFonts w:hint="eastAsia" w:ascii="仿宋" w:hAnsi="仿宋" w:eastAsia="仿宋" w:cs="仿宋"/>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1560" w:type="dxa"/>
            <w:vAlign w:val="center"/>
          </w:tcPr>
          <w:p w14:paraId="1728B663">
            <w:pPr>
              <w:rPr>
                <w:rFonts w:hint="eastAsia" w:ascii="仿宋" w:hAnsi="仿宋" w:eastAsia="仿宋" w:cs="仿宋"/>
                <w:color w:val="auto"/>
                <w:sz w:val="21"/>
                <w:szCs w:val="21"/>
                <w:highlight w:val="none"/>
              </w:rPr>
            </w:pPr>
          </w:p>
        </w:tc>
        <w:tc>
          <w:tcPr>
            <w:tcW w:w="1248" w:type="dxa"/>
            <w:vAlign w:val="center"/>
          </w:tcPr>
          <w:p w14:paraId="5B701B38">
            <w:pPr>
              <w:rPr>
                <w:rFonts w:hint="eastAsia" w:ascii="仿宋" w:hAnsi="仿宋" w:eastAsia="仿宋" w:cs="仿宋"/>
                <w:color w:val="auto"/>
                <w:sz w:val="21"/>
                <w:szCs w:val="21"/>
                <w:highlight w:val="none"/>
              </w:rPr>
            </w:pPr>
          </w:p>
        </w:tc>
        <w:tc>
          <w:tcPr>
            <w:tcW w:w="1560" w:type="dxa"/>
            <w:vAlign w:val="center"/>
          </w:tcPr>
          <w:p w14:paraId="0BFD5658">
            <w:pPr>
              <w:rPr>
                <w:rFonts w:hint="eastAsia" w:ascii="仿宋" w:hAnsi="仿宋" w:eastAsia="仿宋" w:cs="仿宋"/>
                <w:color w:val="auto"/>
                <w:sz w:val="21"/>
                <w:szCs w:val="21"/>
                <w:highlight w:val="none"/>
              </w:rPr>
            </w:pPr>
          </w:p>
        </w:tc>
        <w:tc>
          <w:tcPr>
            <w:tcW w:w="1344" w:type="dxa"/>
            <w:vAlign w:val="center"/>
          </w:tcPr>
          <w:p w14:paraId="56955758">
            <w:pPr>
              <w:rPr>
                <w:rFonts w:hint="eastAsia" w:ascii="仿宋" w:hAnsi="仿宋" w:eastAsia="仿宋" w:cs="仿宋"/>
                <w:color w:val="auto"/>
                <w:sz w:val="21"/>
                <w:szCs w:val="21"/>
                <w:highlight w:val="none"/>
              </w:rPr>
            </w:pPr>
          </w:p>
        </w:tc>
        <w:tc>
          <w:tcPr>
            <w:tcW w:w="1525" w:type="dxa"/>
            <w:vAlign w:val="center"/>
          </w:tcPr>
          <w:p w14:paraId="0E461DD3">
            <w:pPr>
              <w:rPr>
                <w:rFonts w:hint="eastAsia" w:ascii="仿宋" w:hAnsi="仿宋" w:eastAsia="仿宋" w:cs="仿宋"/>
                <w:color w:val="auto"/>
                <w:sz w:val="21"/>
                <w:szCs w:val="21"/>
                <w:highlight w:val="none"/>
              </w:rPr>
            </w:pPr>
          </w:p>
        </w:tc>
        <w:tc>
          <w:tcPr>
            <w:tcW w:w="1091" w:type="dxa"/>
            <w:vAlign w:val="center"/>
          </w:tcPr>
          <w:p w14:paraId="5804A0BF">
            <w:pPr>
              <w:rPr>
                <w:rFonts w:hint="eastAsia" w:ascii="仿宋" w:hAnsi="仿宋" w:eastAsia="仿宋" w:cs="仿宋"/>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560" w:type="dxa"/>
            <w:vAlign w:val="center"/>
          </w:tcPr>
          <w:p w14:paraId="5D94CAA1">
            <w:pPr>
              <w:rPr>
                <w:rFonts w:hint="eastAsia" w:ascii="仿宋" w:hAnsi="仿宋" w:eastAsia="仿宋" w:cs="仿宋"/>
                <w:color w:val="auto"/>
                <w:sz w:val="21"/>
                <w:szCs w:val="21"/>
                <w:highlight w:val="none"/>
              </w:rPr>
            </w:pPr>
          </w:p>
        </w:tc>
        <w:tc>
          <w:tcPr>
            <w:tcW w:w="1248" w:type="dxa"/>
            <w:vAlign w:val="center"/>
          </w:tcPr>
          <w:p w14:paraId="48AC7386">
            <w:pPr>
              <w:rPr>
                <w:rFonts w:hint="eastAsia" w:ascii="仿宋" w:hAnsi="仿宋" w:eastAsia="仿宋" w:cs="仿宋"/>
                <w:color w:val="auto"/>
                <w:sz w:val="21"/>
                <w:szCs w:val="21"/>
                <w:highlight w:val="none"/>
              </w:rPr>
            </w:pPr>
          </w:p>
        </w:tc>
        <w:tc>
          <w:tcPr>
            <w:tcW w:w="1560" w:type="dxa"/>
            <w:vAlign w:val="center"/>
          </w:tcPr>
          <w:p w14:paraId="20172F35">
            <w:pPr>
              <w:rPr>
                <w:rFonts w:hint="eastAsia" w:ascii="仿宋" w:hAnsi="仿宋" w:eastAsia="仿宋" w:cs="仿宋"/>
                <w:color w:val="auto"/>
                <w:sz w:val="21"/>
                <w:szCs w:val="21"/>
                <w:highlight w:val="none"/>
              </w:rPr>
            </w:pPr>
          </w:p>
        </w:tc>
        <w:tc>
          <w:tcPr>
            <w:tcW w:w="1344" w:type="dxa"/>
            <w:vAlign w:val="center"/>
          </w:tcPr>
          <w:p w14:paraId="75CF74D1">
            <w:pPr>
              <w:rPr>
                <w:rFonts w:hint="eastAsia" w:ascii="仿宋" w:hAnsi="仿宋" w:eastAsia="仿宋" w:cs="仿宋"/>
                <w:color w:val="auto"/>
                <w:sz w:val="21"/>
                <w:szCs w:val="21"/>
                <w:highlight w:val="none"/>
              </w:rPr>
            </w:pPr>
          </w:p>
        </w:tc>
        <w:tc>
          <w:tcPr>
            <w:tcW w:w="1525" w:type="dxa"/>
            <w:vAlign w:val="center"/>
          </w:tcPr>
          <w:p w14:paraId="4A3F6BEC">
            <w:pPr>
              <w:rPr>
                <w:rFonts w:hint="eastAsia" w:ascii="仿宋" w:hAnsi="仿宋" w:eastAsia="仿宋" w:cs="仿宋"/>
                <w:color w:val="auto"/>
                <w:sz w:val="21"/>
                <w:szCs w:val="21"/>
                <w:highlight w:val="none"/>
              </w:rPr>
            </w:pPr>
          </w:p>
        </w:tc>
        <w:tc>
          <w:tcPr>
            <w:tcW w:w="1091" w:type="dxa"/>
            <w:vAlign w:val="center"/>
          </w:tcPr>
          <w:p w14:paraId="52BCFD5F">
            <w:pPr>
              <w:rPr>
                <w:rFonts w:hint="eastAsia" w:ascii="仿宋" w:hAnsi="仿宋" w:eastAsia="仿宋" w:cs="仿宋"/>
                <w:color w:val="auto"/>
                <w:sz w:val="21"/>
                <w:szCs w:val="21"/>
                <w:highlight w:val="none"/>
              </w:rPr>
            </w:pPr>
          </w:p>
        </w:tc>
      </w:tr>
      <w:bookmarkEnd w:id="446"/>
    </w:tbl>
    <w:p w14:paraId="05F32EC7">
      <w:pPr>
        <w:rPr>
          <w:rFonts w:hint="eastAsia" w:ascii="仿宋" w:hAnsi="仿宋" w:eastAsia="仿宋" w:cs="仿宋"/>
          <w:color w:val="auto"/>
          <w:szCs w:val="24"/>
          <w:highlight w:val="none"/>
        </w:rPr>
      </w:pPr>
    </w:p>
    <w:p w14:paraId="58FF379C">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注：投标人须按</w:t>
      </w:r>
      <w:r>
        <w:rPr>
          <w:rFonts w:hint="eastAsia" w:ascii="仿宋" w:hAnsi="仿宋" w:eastAsia="仿宋" w:cs="仿宋"/>
          <w:color w:val="auto"/>
          <w:sz w:val="21"/>
          <w:szCs w:val="21"/>
          <w:highlight w:val="none"/>
          <w:lang w:val="en-US" w:eastAsia="zh-CN"/>
        </w:rPr>
        <w:t>相关要求</w:t>
      </w:r>
      <w:r>
        <w:rPr>
          <w:rFonts w:hint="eastAsia" w:ascii="仿宋" w:hAnsi="仿宋" w:eastAsia="仿宋" w:cs="仿宋"/>
          <w:color w:val="auto"/>
          <w:sz w:val="21"/>
          <w:szCs w:val="21"/>
          <w:highlight w:val="none"/>
        </w:rPr>
        <w:t>提供相应的</w:t>
      </w:r>
      <w:r>
        <w:rPr>
          <w:rFonts w:hint="eastAsia" w:ascii="仿宋" w:hAnsi="仿宋" w:eastAsia="仿宋" w:cs="仿宋"/>
          <w:color w:val="auto"/>
          <w:sz w:val="21"/>
          <w:szCs w:val="21"/>
          <w:highlight w:val="none"/>
          <w:lang w:val="en-US" w:eastAsia="zh-CN"/>
        </w:rPr>
        <w:t>中标（成交）通知书、采购合同等</w:t>
      </w:r>
      <w:r>
        <w:rPr>
          <w:rFonts w:hint="eastAsia" w:ascii="仿宋" w:hAnsi="仿宋" w:eastAsia="仿宋" w:cs="仿宋"/>
          <w:color w:val="auto"/>
          <w:sz w:val="21"/>
          <w:szCs w:val="21"/>
          <w:highlight w:val="none"/>
        </w:rPr>
        <w:t>业绩证明资料。</w:t>
      </w:r>
    </w:p>
    <w:p w14:paraId="5DB99613">
      <w:pPr>
        <w:widowControl/>
        <w:spacing w:before="100" w:beforeAutospacing="1" w:after="100" w:afterAutospacing="1"/>
        <w:rPr>
          <w:rFonts w:hint="eastAsia" w:ascii="仿宋" w:hAnsi="仿宋" w:eastAsia="仿宋" w:cs="仿宋"/>
          <w:color w:val="auto"/>
          <w:szCs w:val="21"/>
          <w:highlight w:val="none"/>
        </w:rPr>
      </w:pPr>
    </w:p>
    <w:p w14:paraId="68FCBA1E">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szCs w:val="24"/>
          <w:highlight w:val="none"/>
        </w:rPr>
        <w:t xml:space="preserve">： </w:t>
      </w:r>
    </w:p>
    <w:p w14:paraId="360811C8">
      <w:pPr>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日      期：</w:t>
      </w:r>
    </w:p>
    <w:p w14:paraId="095105C8">
      <w:pPr>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pPr>
      <w:bookmarkStart w:id="447" w:name="_Toc27603"/>
      <w:bookmarkStart w:id="448" w:name="_Toc163492931"/>
      <w:r>
        <w:rPr>
          <w:rFonts w:hint="eastAsia" w:ascii="仿宋" w:hAnsi="仿宋" w:eastAsia="仿宋" w:cs="仿宋"/>
          <w:b/>
          <w:bCs/>
          <w:color w:val="auto"/>
          <w:kern w:val="2"/>
          <w:sz w:val="32"/>
          <w:szCs w:val="32"/>
          <w:highlight w:val="none"/>
          <w:lang w:val="en-US" w:eastAsia="zh-CN" w:bidi="ar-SA"/>
        </w:rPr>
        <w:t>八、拟派项目团队</w:t>
      </w:r>
      <w:bookmarkEnd w:id="447"/>
      <w:bookmarkEnd w:id="448"/>
    </w:p>
    <w:tbl>
      <w:tblPr>
        <w:tblStyle w:val="29"/>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267" w:type="dxa"/>
            <w:vAlign w:val="center"/>
          </w:tcPr>
          <w:p w14:paraId="1096055A">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团队成员</w:t>
            </w:r>
          </w:p>
          <w:p w14:paraId="09FA2F86">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1296" w:type="dxa"/>
            <w:tcBorders>
              <w:right w:val="single" w:color="auto" w:sz="4" w:space="0"/>
            </w:tcBorders>
            <w:vAlign w:val="center"/>
          </w:tcPr>
          <w:p w14:paraId="4D802FFD">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工作单位</w:t>
            </w:r>
          </w:p>
        </w:tc>
        <w:tc>
          <w:tcPr>
            <w:tcW w:w="1080" w:type="dxa"/>
            <w:tcBorders>
              <w:left w:val="single" w:color="auto" w:sz="4" w:space="0"/>
            </w:tcBorders>
            <w:vAlign w:val="center"/>
          </w:tcPr>
          <w:p w14:paraId="3116E3D2">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w:t>
            </w:r>
          </w:p>
        </w:tc>
        <w:tc>
          <w:tcPr>
            <w:tcW w:w="804" w:type="dxa"/>
            <w:tcBorders>
              <w:left w:val="single" w:color="auto" w:sz="4" w:space="0"/>
            </w:tcBorders>
            <w:vAlign w:val="center"/>
          </w:tcPr>
          <w:p w14:paraId="1115941F">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职称</w:t>
            </w:r>
          </w:p>
        </w:tc>
        <w:tc>
          <w:tcPr>
            <w:tcW w:w="1860" w:type="dxa"/>
            <w:vAlign w:val="center"/>
          </w:tcPr>
          <w:p w14:paraId="57503923">
            <w:pPr>
              <w:pStyle w:val="49"/>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注册证书（岗位证书）名称及编号</w:t>
            </w:r>
          </w:p>
        </w:tc>
        <w:tc>
          <w:tcPr>
            <w:tcW w:w="1356" w:type="dxa"/>
            <w:vAlign w:val="center"/>
          </w:tcPr>
          <w:p w14:paraId="422D7D9F">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在团队中职务（岗位）</w:t>
            </w:r>
          </w:p>
        </w:tc>
        <w:tc>
          <w:tcPr>
            <w:tcW w:w="816" w:type="dxa"/>
            <w:vAlign w:val="center"/>
          </w:tcPr>
          <w:p w14:paraId="79229F16">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49"/>
              <w:jc w:val="center"/>
              <w:rPr>
                <w:rFonts w:hint="eastAsia" w:ascii="仿宋" w:hAnsi="仿宋" w:eastAsia="仿宋" w:cs="仿宋"/>
                <w:color w:val="auto"/>
                <w:sz w:val="21"/>
                <w:szCs w:val="21"/>
                <w:highlight w:val="none"/>
              </w:rPr>
            </w:pPr>
            <w:bookmarkStart w:id="449" w:name="_Toc100090784"/>
            <w:bookmarkStart w:id="450" w:name="_Toc99533292"/>
            <w:r>
              <w:rPr>
                <w:rFonts w:hint="eastAsia" w:ascii="仿宋" w:hAnsi="仿宋" w:eastAsia="仿宋" w:cs="仿宋"/>
                <w:color w:val="auto"/>
                <w:sz w:val="21"/>
                <w:szCs w:val="21"/>
                <w:highlight w:val="none"/>
              </w:rPr>
              <w:t>1</w:t>
            </w:r>
            <w:bookmarkEnd w:id="449"/>
            <w:bookmarkEnd w:id="450"/>
          </w:p>
        </w:tc>
        <w:tc>
          <w:tcPr>
            <w:tcW w:w="1267" w:type="dxa"/>
            <w:vAlign w:val="center"/>
          </w:tcPr>
          <w:p w14:paraId="04D72608">
            <w:pPr>
              <w:pStyle w:val="49"/>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7C735158">
            <w:pPr>
              <w:pStyle w:val="49"/>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0EF6F977">
            <w:pPr>
              <w:pStyle w:val="49"/>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3483447B">
            <w:pPr>
              <w:pStyle w:val="49"/>
              <w:jc w:val="center"/>
              <w:rPr>
                <w:rFonts w:hint="eastAsia" w:ascii="仿宋" w:hAnsi="仿宋" w:eastAsia="仿宋" w:cs="仿宋"/>
                <w:color w:val="auto"/>
                <w:sz w:val="21"/>
                <w:szCs w:val="21"/>
                <w:highlight w:val="none"/>
              </w:rPr>
            </w:pPr>
          </w:p>
        </w:tc>
        <w:tc>
          <w:tcPr>
            <w:tcW w:w="1860" w:type="dxa"/>
            <w:vAlign w:val="center"/>
          </w:tcPr>
          <w:p w14:paraId="7F355EC3">
            <w:pPr>
              <w:pStyle w:val="49"/>
              <w:jc w:val="center"/>
              <w:rPr>
                <w:rFonts w:hint="eastAsia" w:ascii="仿宋" w:hAnsi="仿宋" w:eastAsia="仿宋" w:cs="仿宋"/>
                <w:color w:val="auto"/>
                <w:sz w:val="21"/>
                <w:szCs w:val="21"/>
                <w:highlight w:val="none"/>
              </w:rPr>
            </w:pPr>
          </w:p>
        </w:tc>
        <w:tc>
          <w:tcPr>
            <w:tcW w:w="1356" w:type="dxa"/>
            <w:vAlign w:val="center"/>
          </w:tcPr>
          <w:p w14:paraId="2148FD62">
            <w:pPr>
              <w:pStyle w:val="49"/>
              <w:jc w:val="center"/>
              <w:rPr>
                <w:rFonts w:hint="eastAsia" w:ascii="仿宋" w:hAnsi="仿宋" w:eastAsia="仿宋" w:cs="仿宋"/>
                <w:color w:val="auto"/>
                <w:sz w:val="21"/>
                <w:szCs w:val="21"/>
                <w:highlight w:val="none"/>
              </w:rPr>
            </w:pPr>
          </w:p>
        </w:tc>
        <w:tc>
          <w:tcPr>
            <w:tcW w:w="816" w:type="dxa"/>
            <w:vAlign w:val="center"/>
          </w:tcPr>
          <w:p w14:paraId="30F5864D">
            <w:pPr>
              <w:pStyle w:val="49"/>
              <w:jc w:val="center"/>
              <w:rPr>
                <w:rFonts w:hint="eastAsia" w:ascii="仿宋" w:hAnsi="仿宋" w:eastAsia="仿宋" w:cs="仿宋"/>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7" w:hRule="atLeast"/>
        </w:trPr>
        <w:tc>
          <w:tcPr>
            <w:tcW w:w="773" w:type="dxa"/>
            <w:vAlign w:val="center"/>
          </w:tcPr>
          <w:p w14:paraId="47F12C5C">
            <w:pPr>
              <w:pStyle w:val="49"/>
              <w:jc w:val="center"/>
              <w:rPr>
                <w:rFonts w:hint="eastAsia" w:ascii="仿宋" w:hAnsi="仿宋" w:eastAsia="仿宋" w:cs="仿宋"/>
                <w:color w:val="auto"/>
                <w:sz w:val="21"/>
                <w:szCs w:val="21"/>
                <w:highlight w:val="none"/>
              </w:rPr>
            </w:pPr>
            <w:bookmarkStart w:id="451" w:name="_Toc99533293"/>
            <w:bookmarkStart w:id="452" w:name="_Toc100090785"/>
            <w:r>
              <w:rPr>
                <w:rFonts w:hint="eastAsia" w:ascii="仿宋" w:hAnsi="仿宋" w:eastAsia="仿宋" w:cs="仿宋"/>
                <w:color w:val="auto"/>
                <w:sz w:val="21"/>
                <w:szCs w:val="21"/>
                <w:highlight w:val="none"/>
              </w:rPr>
              <w:t>2</w:t>
            </w:r>
            <w:bookmarkEnd w:id="451"/>
            <w:bookmarkEnd w:id="452"/>
          </w:p>
        </w:tc>
        <w:tc>
          <w:tcPr>
            <w:tcW w:w="1267" w:type="dxa"/>
            <w:vAlign w:val="center"/>
          </w:tcPr>
          <w:p w14:paraId="3AE14FF6">
            <w:pPr>
              <w:pStyle w:val="49"/>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06FFE829">
            <w:pPr>
              <w:pStyle w:val="49"/>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1A33E450">
            <w:pPr>
              <w:pStyle w:val="49"/>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476ECD82">
            <w:pPr>
              <w:pStyle w:val="49"/>
              <w:jc w:val="center"/>
              <w:rPr>
                <w:rFonts w:hint="eastAsia" w:ascii="仿宋" w:hAnsi="仿宋" w:eastAsia="仿宋" w:cs="仿宋"/>
                <w:color w:val="auto"/>
                <w:sz w:val="21"/>
                <w:szCs w:val="21"/>
                <w:highlight w:val="none"/>
              </w:rPr>
            </w:pPr>
          </w:p>
        </w:tc>
        <w:tc>
          <w:tcPr>
            <w:tcW w:w="1860" w:type="dxa"/>
            <w:vAlign w:val="center"/>
          </w:tcPr>
          <w:p w14:paraId="390E678F">
            <w:pPr>
              <w:pStyle w:val="49"/>
              <w:jc w:val="center"/>
              <w:rPr>
                <w:rFonts w:hint="eastAsia" w:ascii="仿宋" w:hAnsi="仿宋" w:eastAsia="仿宋" w:cs="仿宋"/>
                <w:color w:val="auto"/>
                <w:sz w:val="21"/>
                <w:szCs w:val="21"/>
                <w:highlight w:val="none"/>
              </w:rPr>
            </w:pPr>
          </w:p>
        </w:tc>
        <w:tc>
          <w:tcPr>
            <w:tcW w:w="1356" w:type="dxa"/>
            <w:vAlign w:val="center"/>
          </w:tcPr>
          <w:p w14:paraId="77E48E09">
            <w:pPr>
              <w:pStyle w:val="49"/>
              <w:jc w:val="center"/>
              <w:rPr>
                <w:rFonts w:hint="eastAsia" w:ascii="仿宋" w:hAnsi="仿宋" w:eastAsia="仿宋" w:cs="仿宋"/>
                <w:color w:val="auto"/>
                <w:sz w:val="21"/>
                <w:szCs w:val="21"/>
                <w:highlight w:val="none"/>
              </w:rPr>
            </w:pPr>
          </w:p>
        </w:tc>
        <w:tc>
          <w:tcPr>
            <w:tcW w:w="816" w:type="dxa"/>
            <w:vAlign w:val="center"/>
          </w:tcPr>
          <w:p w14:paraId="3D8C0BFB">
            <w:pPr>
              <w:pStyle w:val="49"/>
              <w:jc w:val="center"/>
              <w:rPr>
                <w:rFonts w:hint="eastAsia" w:ascii="仿宋" w:hAnsi="仿宋" w:eastAsia="仿宋" w:cs="仿宋"/>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49"/>
              <w:jc w:val="center"/>
              <w:rPr>
                <w:rFonts w:hint="eastAsia" w:ascii="仿宋" w:hAnsi="仿宋" w:eastAsia="仿宋" w:cs="仿宋"/>
                <w:color w:val="auto"/>
                <w:sz w:val="21"/>
                <w:szCs w:val="21"/>
                <w:highlight w:val="none"/>
              </w:rPr>
            </w:pPr>
            <w:bookmarkStart w:id="453" w:name="_Toc100090786"/>
            <w:bookmarkStart w:id="454" w:name="_Toc99533294"/>
            <w:r>
              <w:rPr>
                <w:rFonts w:hint="eastAsia" w:ascii="仿宋" w:hAnsi="仿宋" w:eastAsia="仿宋" w:cs="仿宋"/>
                <w:color w:val="auto"/>
                <w:sz w:val="21"/>
                <w:szCs w:val="21"/>
                <w:highlight w:val="none"/>
              </w:rPr>
              <w:t>3</w:t>
            </w:r>
            <w:bookmarkEnd w:id="453"/>
            <w:bookmarkEnd w:id="454"/>
          </w:p>
        </w:tc>
        <w:tc>
          <w:tcPr>
            <w:tcW w:w="1267" w:type="dxa"/>
            <w:vAlign w:val="center"/>
          </w:tcPr>
          <w:p w14:paraId="19C12411">
            <w:pPr>
              <w:pStyle w:val="49"/>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E33B914">
            <w:pPr>
              <w:pStyle w:val="49"/>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70C10384">
            <w:pPr>
              <w:pStyle w:val="49"/>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657B47D5">
            <w:pPr>
              <w:pStyle w:val="49"/>
              <w:jc w:val="center"/>
              <w:rPr>
                <w:rFonts w:hint="eastAsia" w:ascii="仿宋" w:hAnsi="仿宋" w:eastAsia="仿宋" w:cs="仿宋"/>
                <w:color w:val="auto"/>
                <w:sz w:val="21"/>
                <w:szCs w:val="21"/>
                <w:highlight w:val="none"/>
              </w:rPr>
            </w:pPr>
          </w:p>
        </w:tc>
        <w:tc>
          <w:tcPr>
            <w:tcW w:w="1860" w:type="dxa"/>
            <w:vAlign w:val="center"/>
          </w:tcPr>
          <w:p w14:paraId="3F31D2CD">
            <w:pPr>
              <w:pStyle w:val="49"/>
              <w:jc w:val="center"/>
              <w:rPr>
                <w:rFonts w:hint="eastAsia" w:ascii="仿宋" w:hAnsi="仿宋" w:eastAsia="仿宋" w:cs="仿宋"/>
                <w:color w:val="auto"/>
                <w:sz w:val="21"/>
                <w:szCs w:val="21"/>
                <w:highlight w:val="none"/>
              </w:rPr>
            </w:pPr>
          </w:p>
        </w:tc>
        <w:tc>
          <w:tcPr>
            <w:tcW w:w="1356" w:type="dxa"/>
            <w:vAlign w:val="center"/>
          </w:tcPr>
          <w:p w14:paraId="107FDE9E">
            <w:pPr>
              <w:pStyle w:val="49"/>
              <w:jc w:val="center"/>
              <w:rPr>
                <w:rFonts w:hint="eastAsia" w:ascii="仿宋" w:hAnsi="仿宋" w:eastAsia="仿宋" w:cs="仿宋"/>
                <w:color w:val="auto"/>
                <w:sz w:val="21"/>
                <w:szCs w:val="21"/>
                <w:highlight w:val="none"/>
              </w:rPr>
            </w:pPr>
          </w:p>
        </w:tc>
        <w:tc>
          <w:tcPr>
            <w:tcW w:w="816" w:type="dxa"/>
            <w:vAlign w:val="center"/>
          </w:tcPr>
          <w:p w14:paraId="0ED9D4FB">
            <w:pPr>
              <w:pStyle w:val="49"/>
              <w:jc w:val="center"/>
              <w:rPr>
                <w:rFonts w:hint="eastAsia" w:ascii="仿宋" w:hAnsi="仿宋" w:eastAsia="仿宋" w:cs="仿宋"/>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49"/>
              <w:jc w:val="center"/>
              <w:rPr>
                <w:rFonts w:hint="eastAsia" w:ascii="仿宋" w:hAnsi="仿宋" w:eastAsia="仿宋" w:cs="仿宋"/>
                <w:color w:val="auto"/>
                <w:sz w:val="21"/>
                <w:szCs w:val="21"/>
                <w:highlight w:val="none"/>
              </w:rPr>
            </w:pPr>
            <w:bookmarkStart w:id="455" w:name="_Toc99533295"/>
            <w:bookmarkStart w:id="456" w:name="_Toc100090787"/>
            <w:r>
              <w:rPr>
                <w:rFonts w:hint="eastAsia" w:ascii="仿宋" w:hAnsi="仿宋" w:eastAsia="仿宋" w:cs="仿宋"/>
                <w:color w:val="auto"/>
                <w:sz w:val="21"/>
                <w:szCs w:val="21"/>
                <w:highlight w:val="none"/>
              </w:rPr>
              <w:t>4</w:t>
            </w:r>
            <w:bookmarkEnd w:id="455"/>
            <w:bookmarkEnd w:id="456"/>
          </w:p>
        </w:tc>
        <w:tc>
          <w:tcPr>
            <w:tcW w:w="1267" w:type="dxa"/>
            <w:vAlign w:val="center"/>
          </w:tcPr>
          <w:p w14:paraId="42DE0F63">
            <w:pPr>
              <w:pStyle w:val="49"/>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3CA0809C">
            <w:pPr>
              <w:pStyle w:val="49"/>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6D63F4E6">
            <w:pPr>
              <w:pStyle w:val="49"/>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496384D0">
            <w:pPr>
              <w:pStyle w:val="49"/>
              <w:jc w:val="center"/>
              <w:rPr>
                <w:rFonts w:hint="eastAsia" w:ascii="仿宋" w:hAnsi="仿宋" w:eastAsia="仿宋" w:cs="仿宋"/>
                <w:color w:val="auto"/>
                <w:sz w:val="21"/>
                <w:szCs w:val="21"/>
                <w:highlight w:val="none"/>
              </w:rPr>
            </w:pPr>
          </w:p>
        </w:tc>
        <w:tc>
          <w:tcPr>
            <w:tcW w:w="1860" w:type="dxa"/>
            <w:vAlign w:val="center"/>
          </w:tcPr>
          <w:p w14:paraId="068007BF">
            <w:pPr>
              <w:pStyle w:val="49"/>
              <w:jc w:val="center"/>
              <w:rPr>
                <w:rFonts w:hint="eastAsia" w:ascii="仿宋" w:hAnsi="仿宋" w:eastAsia="仿宋" w:cs="仿宋"/>
                <w:color w:val="auto"/>
                <w:sz w:val="21"/>
                <w:szCs w:val="21"/>
                <w:highlight w:val="none"/>
              </w:rPr>
            </w:pPr>
          </w:p>
        </w:tc>
        <w:tc>
          <w:tcPr>
            <w:tcW w:w="1356" w:type="dxa"/>
            <w:vAlign w:val="center"/>
          </w:tcPr>
          <w:p w14:paraId="7A6D63FA">
            <w:pPr>
              <w:pStyle w:val="49"/>
              <w:jc w:val="center"/>
              <w:rPr>
                <w:rFonts w:hint="eastAsia" w:ascii="仿宋" w:hAnsi="仿宋" w:eastAsia="仿宋" w:cs="仿宋"/>
                <w:color w:val="auto"/>
                <w:sz w:val="21"/>
                <w:szCs w:val="21"/>
                <w:highlight w:val="none"/>
              </w:rPr>
            </w:pPr>
          </w:p>
        </w:tc>
        <w:tc>
          <w:tcPr>
            <w:tcW w:w="816" w:type="dxa"/>
            <w:vAlign w:val="center"/>
          </w:tcPr>
          <w:p w14:paraId="01F1E6DB">
            <w:pPr>
              <w:pStyle w:val="49"/>
              <w:jc w:val="center"/>
              <w:rPr>
                <w:rFonts w:hint="eastAsia" w:ascii="仿宋" w:hAnsi="仿宋" w:eastAsia="仿宋" w:cs="仿宋"/>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49"/>
              <w:jc w:val="center"/>
              <w:rPr>
                <w:rFonts w:hint="eastAsia" w:ascii="仿宋" w:hAnsi="仿宋" w:eastAsia="仿宋" w:cs="仿宋"/>
                <w:color w:val="auto"/>
                <w:sz w:val="21"/>
                <w:szCs w:val="21"/>
                <w:highlight w:val="none"/>
              </w:rPr>
            </w:pPr>
            <w:bookmarkStart w:id="457" w:name="_Toc100090788"/>
            <w:bookmarkStart w:id="458" w:name="_Toc99533296"/>
            <w:r>
              <w:rPr>
                <w:rFonts w:hint="eastAsia" w:ascii="仿宋" w:hAnsi="仿宋" w:eastAsia="仿宋" w:cs="仿宋"/>
                <w:color w:val="auto"/>
                <w:sz w:val="21"/>
                <w:szCs w:val="21"/>
                <w:highlight w:val="none"/>
              </w:rPr>
              <w:t>5</w:t>
            </w:r>
            <w:bookmarkEnd w:id="457"/>
            <w:bookmarkEnd w:id="458"/>
          </w:p>
        </w:tc>
        <w:tc>
          <w:tcPr>
            <w:tcW w:w="1267" w:type="dxa"/>
            <w:vAlign w:val="center"/>
          </w:tcPr>
          <w:p w14:paraId="3241008C">
            <w:pPr>
              <w:pStyle w:val="49"/>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3999E45B">
            <w:pPr>
              <w:pStyle w:val="49"/>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64009478">
            <w:pPr>
              <w:pStyle w:val="49"/>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75153765">
            <w:pPr>
              <w:pStyle w:val="49"/>
              <w:jc w:val="center"/>
              <w:rPr>
                <w:rFonts w:hint="eastAsia" w:ascii="仿宋" w:hAnsi="仿宋" w:eastAsia="仿宋" w:cs="仿宋"/>
                <w:color w:val="auto"/>
                <w:sz w:val="21"/>
                <w:szCs w:val="21"/>
                <w:highlight w:val="none"/>
              </w:rPr>
            </w:pPr>
          </w:p>
        </w:tc>
        <w:tc>
          <w:tcPr>
            <w:tcW w:w="1860" w:type="dxa"/>
            <w:vAlign w:val="center"/>
          </w:tcPr>
          <w:p w14:paraId="12AB49C0">
            <w:pPr>
              <w:pStyle w:val="49"/>
              <w:jc w:val="center"/>
              <w:rPr>
                <w:rFonts w:hint="eastAsia" w:ascii="仿宋" w:hAnsi="仿宋" w:eastAsia="仿宋" w:cs="仿宋"/>
                <w:color w:val="auto"/>
                <w:sz w:val="21"/>
                <w:szCs w:val="21"/>
                <w:highlight w:val="none"/>
              </w:rPr>
            </w:pPr>
          </w:p>
        </w:tc>
        <w:tc>
          <w:tcPr>
            <w:tcW w:w="1356" w:type="dxa"/>
            <w:vAlign w:val="center"/>
          </w:tcPr>
          <w:p w14:paraId="3943C72A">
            <w:pPr>
              <w:pStyle w:val="49"/>
              <w:jc w:val="center"/>
              <w:rPr>
                <w:rFonts w:hint="eastAsia" w:ascii="仿宋" w:hAnsi="仿宋" w:eastAsia="仿宋" w:cs="仿宋"/>
                <w:color w:val="auto"/>
                <w:sz w:val="21"/>
                <w:szCs w:val="21"/>
                <w:highlight w:val="none"/>
              </w:rPr>
            </w:pPr>
          </w:p>
        </w:tc>
        <w:tc>
          <w:tcPr>
            <w:tcW w:w="816" w:type="dxa"/>
            <w:vAlign w:val="center"/>
          </w:tcPr>
          <w:p w14:paraId="5FBE7410">
            <w:pPr>
              <w:pStyle w:val="49"/>
              <w:jc w:val="center"/>
              <w:rPr>
                <w:rFonts w:hint="eastAsia" w:ascii="仿宋" w:hAnsi="仿宋" w:eastAsia="仿宋" w:cs="仿宋"/>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49"/>
              <w:jc w:val="center"/>
              <w:rPr>
                <w:rFonts w:hint="eastAsia" w:ascii="仿宋" w:hAnsi="仿宋" w:eastAsia="仿宋" w:cs="仿宋"/>
                <w:color w:val="auto"/>
                <w:sz w:val="21"/>
                <w:szCs w:val="21"/>
                <w:highlight w:val="none"/>
              </w:rPr>
            </w:pPr>
            <w:bookmarkStart w:id="459" w:name="_Toc99533297"/>
            <w:bookmarkStart w:id="460" w:name="_Toc100090789"/>
            <w:r>
              <w:rPr>
                <w:rFonts w:hint="eastAsia" w:ascii="仿宋" w:hAnsi="仿宋" w:eastAsia="仿宋" w:cs="仿宋"/>
                <w:color w:val="auto"/>
                <w:sz w:val="21"/>
                <w:szCs w:val="21"/>
                <w:highlight w:val="none"/>
              </w:rPr>
              <w:t>6</w:t>
            </w:r>
            <w:bookmarkEnd w:id="459"/>
            <w:bookmarkEnd w:id="460"/>
          </w:p>
        </w:tc>
        <w:tc>
          <w:tcPr>
            <w:tcW w:w="1267" w:type="dxa"/>
            <w:vAlign w:val="center"/>
          </w:tcPr>
          <w:p w14:paraId="40527E11">
            <w:pPr>
              <w:pStyle w:val="49"/>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6947C68">
            <w:pPr>
              <w:pStyle w:val="49"/>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1666B8AD">
            <w:pPr>
              <w:pStyle w:val="49"/>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45256EB9">
            <w:pPr>
              <w:pStyle w:val="49"/>
              <w:jc w:val="center"/>
              <w:rPr>
                <w:rFonts w:hint="eastAsia" w:ascii="仿宋" w:hAnsi="仿宋" w:eastAsia="仿宋" w:cs="仿宋"/>
                <w:color w:val="auto"/>
                <w:sz w:val="21"/>
                <w:szCs w:val="21"/>
                <w:highlight w:val="none"/>
              </w:rPr>
            </w:pPr>
          </w:p>
        </w:tc>
        <w:tc>
          <w:tcPr>
            <w:tcW w:w="1860" w:type="dxa"/>
            <w:vAlign w:val="center"/>
          </w:tcPr>
          <w:p w14:paraId="51ADEB68">
            <w:pPr>
              <w:pStyle w:val="49"/>
              <w:jc w:val="center"/>
              <w:rPr>
                <w:rFonts w:hint="eastAsia" w:ascii="仿宋" w:hAnsi="仿宋" w:eastAsia="仿宋" w:cs="仿宋"/>
                <w:color w:val="auto"/>
                <w:sz w:val="21"/>
                <w:szCs w:val="21"/>
                <w:highlight w:val="none"/>
              </w:rPr>
            </w:pPr>
          </w:p>
        </w:tc>
        <w:tc>
          <w:tcPr>
            <w:tcW w:w="1356" w:type="dxa"/>
            <w:vAlign w:val="center"/>
          </w:tcPr>
          <w:p w14:paraId="6FF03D95">
            <w:pPr>
              <w:pStyle w:val="49"/>
              <w:jc w:val="center"/>
              <w:rPr>
                <w:rFonts w:hint="eastAsia" w:ascii="仿宋" w:hAnsi="仿宋" w:eastAsia="仿宋" w:cs="仿宋"/>
                <w:color w:val="auto"/>
                <w:sz w:val="21"/>
                <w:szCs w:val="21"/>
                <w:highlight w:val="none"/>
              </w:rPr>
            </w:pPr>
          </w:p>
        </w:tc>
        <w:tc>
          <w:tcPr>
            <w:tcW w:w="816" w:type="dxa"/>
            <w:vAlign w:val="center"/>
          </w:tcPr>
          <w:p w14:paraId="4EF8AB8A">
            <w:pPr>
              <w:pStyle w:val="49"/>
              <w:jc w:val="center"/>
              <w:rPr>
                <w:rFonts w:hint="eastAsia" w:ascii="仿宋" w:hAnsi="仿宋" w:eastAsia="仿宋" w:cs="仿宋"/>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49"/>
              <w:jc w:val="center"/>
              <w:rPr>
                <w:rFonts w:hint="eastAsia" w:ascii="仿宋" w:hAnsi="仿宋" w:eastAsia="仿宋" w:cs="仿宋"/>
                <w:color w:val="auto"/>
                <w:sz w:val="21"/>
                <w:szCs w:val="21"/>
                <w:highlight w:val="none"/>
              </w:rPr>
            </w:pPr>
            <w:bookmarkStart w:id="461" w:name="_Toc99533298"/>
            <w:bookmarkStart w:id="462" w:name="_Toc100090790"/>
            <w:r>
              <w:rPr>
                <w:rFonts w:hint="eastAsia" w:ascii="仿宋" w:hAnsi="仿宋" w:eastAsia="仿宋" w:cs="仿宋"/>
                <w:color w:val="auto"/>
                <w:sz w:val="21"/>
                <w:szCs w:val="21"/>
                <w:highlight w:val="none"/>
              </w:rPr>
              <w:t>7</w:t>
            </w:r>
            <w:bookmarkEnd w:id="461"/>
            <w:bookmarkEnd w:id="462"/>
          </w:p>
        </w:tc>
        <w:tc>
          <w:tcPr>
            <w:tcW w:w="1267" w:type="dxa"/>
            <w:vAlign w:val="center"/>
          </w:tcPr>
          <w:p w14:paraId="3F3B684D">
            <w:pPr>
              <w:pStyle w:val="49"/>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78032A99">
            <w:pPr>
              <w:pStyle w:val="49"/>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601AE572">
            <w:pPr>
              <w:pStyle w:val="49"/>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01172C19">
            <w:pPr>
              <w:pStyle w:val="49"/>
              <w:jc w:val="center"/>
              <w:rPr>
                <w:rFonts w:hint="eastAsia" w:ascii="仿宋" w:hAnsi="仿宋" w:eastAsia="仿宋" w:cs="仿宋"/>
                <w:color w:val="auto"/>
                <w:sz w:val="21"/>
                <w:szCs w:val="21"/>
                <w:highlight w:val="none"/>
              </w:rPr>
            </w:pPr>
          </w:p>
        </w:tc>
        <w:tc>
          <w:tcPr>
            <w:tcW w:w="1860" w:type="dxa"/>
            <w:vAlign w:val="center"/>
          </w:tcPr>
          <w:p w14:paraId="7E9B2A2D">
            <w:pPr>
              <w:pStyle w:val="49"/>
              <w:jc w:val="center"/>
              <w:rPr>
                <w:rFonts w:hint="eastAsia" w:ascii="仿宋" w:hAnsi="仿宋" w:eastAsia="仿宋" w:cs="仿宋"/>
                <w:color w:val="auto"/>
                <w:sz w:val="21"/>
                <w:szCs w:val="21"/>
                <w:highlight w:val="none"/>
              </w:rPr>
            </w:pPr>
          </w:p>
        </w:tc>
        <w:tc>
          <w:tcPr>
            <w:tcW w:w="1356" w:type="dxa"/>
            <w:vAlign w:val="center"/>
          </w:tcPr>
          <w:p w14:paraId="5FBF328E">
            <w:pPr>
              <w:pStyle w:val="49"/>
              <w:jc w:val="center"/>
              <w:rPr>
                <w:rFonts w:hint="eastAsia" w:ascii="仿宋" w:hAnsi="仿宋" w:eastAsia="仿宋" w:cs="仿宋"/>
                <w:color w:val="auto"/>
                <w:sz w:val="21"/>
                <w:szCs w:val="21"/>
                <w:highlight w:val="none"/>
              </w:rPr>
            </w:pPr>
          </w:p>
        </w:tc>
        <w:tc>
          <w:tcPr>
            <w:tcW w:w="816" w:type="dxa"/>
            <w:vAlign w:val="center"/>
          </w:tcPr>
          <w:p w14:paraId="718DD530">
            <w:pPr>
              <w:pStyle w:val="49"/>
              <w:jc w:val="center"/>
              <w:rPr>
                <w:rFonts w:hint="eastAsia" w:ascii="仿宋" w:hAnsi="仿宋" w:eastAsia="仿宋" w:cs="仿宋"/>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49"/>
              <w:jc w:val="center"/>
              <w:rPr>
                <w:rFonts w:hint="eastAsia" w:ascii="仿宋" w:hAnsi="仿宋" w:eastAsia="仿宋" w:cs="仿宋"/>
                <w:color w:val="auto"/>
                <w:sz w:val="21"/>
                <w:szCs w:val="21"/>
                <w:highlight w:val="none"/>
              </w:rPr>
            </w:pPr>
            <w:bookmarkStart w:id="463" w:name="_Toc100090791"/>
            <w:bookmarkStart w:id="464" w:name="_Toc99533299"/>
            <w:r>
              <w:rPr>
                <w:rFonts w:hint="eastAsia" w:ascii="仿宋" w:hAnsi="仿宋" w:eastAsia="仿宋" w:cs="仿宋"/>
                <w:color w:val="auto"/>
                <w:sz w:val="21"/>
                <w:szCs w:val="21"/>
                <w:highlight w:val="none"/>
              </w:rPr>
              <w:t>8</w:t>
            </w:r>
            <w:bookmarkEnd w:id="463"/>
            <w:bookmarkEnd w:id="464"/>
          </w:p>
        </w:tc>
        <w:tc>
          <w:tcPr>
            <w:tcW w:w="1267" w:type="dxa"/>
            <w:vAlign w:val="center"/>
          </w:tcPr>
          <w:p w14:paraId="20BD29D0">
            <w:pPr>
              <w:pStyle w:val="49"/>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7C9D455C">
            <w:pPr>
              <w:pStyle w:val="49"/>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3548599B">
            <w:pPr>
              <w:pStyle w:val="49"/>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842C962">
            <w:pPr>
              <w:pStyle w:val="49"/>
              <w:jc w:val="center"/>
              <w:rPr>
                <w:rFonts w:hint="eastAsia" w:ascii="仿宋" w:hAnsi="仿宋" w:eastAsia="仿宋" w:cs="仿宋"/>
                <w:color w:val="auto"/>
                <w:sz w:val="21"/>
                <w:szCs w:val="21"/>
                <w:highlight w:val="none"/>
              </w:rPr>
            </w:pPr>
          </w:p>
        </w:tc>
        <w:tc>
          <w:tcPr>
            <w:tcW w:w="1860" w:type="dxa"/>
            <w:vAlign w:val="center"/>
          </w:tcPr>
          <w:p w14:paraId="292DF220">
            <w:pPr>
              <w:pStyle w:val="49"/>
              <w:jc w:val="center"/>
              <w:rPr>
                <w:rFonts w:hint="eastAsia" w:ascii="仿宋" w:hAnsi="仿宋" w:eastAsia="仿宋" w:cs="仿宋"/>
                <w:color w:val="auto"/>
                <w:sz w:val="21"/>
                <w:szCs w:val="21"/>
                <w:highlight w:val="none"/>
              </w:rPr>
            </w:pPr>
          </w:p>
        </w:tc>
        <w:tc>
          <w:tcPr>
            <w:tcW w:w="1356" w:type="dxa"/>
            <w:vAlign w:val="center"/>
          </w:tcPr>
          <w:p w14:paraId="7107F6B0">
            <w:pPr>
              <w:pStyle w:val="49"/>
              <w:jc w:val="center"/>
              <w:rPr>
                <w:rFonts w:hint="eastAsia" w:ascii="仿宋" w:hAnsi="仿宋" w:eastAsia="仿宋" w:cs="仿宋"/>
                <w:color w:val="auto"/>
                <w:sz w:val="21"/>
                <w:szCs w:val="21"/>
                <w:highlight w:val="none"/>
              </w:rPr>
            </w:pPr>
          </w:p>
        </w:tc>
        <w:tc>
          <w:tcPr>
            <w:tcW w:w="816" w:type="dxa"/>
            <w:vAlign w:val="center"/>
          </w:tcPr>
          <w:p w14:paraId="247AF589">
            <w:pPr>
              <w:pStyle w:val="49"/>
              <w:jc w:val="center"/>
              <w:rPr>
                <w:rFonts w:hint="eastAsia" w:ascii="仿宋" w:hAnsi="仿宋" w:eastAsia="仿宋" w:cs="仿宋"/>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49"/>
              <w:jc w:val="center"/>
              <w:rPr>
                <w:rFonts w:hint="eastAsia" w:ascii="仿宋" w:hAnsi="仿宋" w:eastAsia="仿宋" w:cs="仿宋"/>
                <w:color w:val="auto"/>
                <w:sz w:val="21"/>
                <w:szCs w:val="21"/>
                <w:highlight w:val="none"/>
              </w:rPr>
            </w:pPr>
            <w:bookmarkStart w:id="465" w:name="_Toc99533300"/>
            <w:bookmarkStart w:id="466" w:name="_Toc100090792"/>
            <w:r>
              <w:rPr>
                <w:rFonts w:hint="eastAsia" w:ascii="仿宋" w:hAnsi="仿宋" w:eastAsia="仿宋" w:cs="仿宋"/>
                <w:color w:val="auto"/>
                <w:sz w:val="21"/>
                <w:szCs w:val="21"/>
                <w:highlight w:val="none"/>
              </w:rPr>
              <w:t>9</w:t>
            </w:r>
            <w:bookmarkEnd w:id="465"/>
            <w:bookmarkEnd w:id="466"/>
          </w:p>
        </w:tc>
        <w:tc>
          <w:tcPr>
            <w:tcW w:w="1267" w:type="dxa"/>
            <w:vAlign w:val="center"/>
          </w:tcPr>
          <w:p w14:paraId="6C5090EC">
            <w:pPr>
              <w:pStyle w:val="49"/>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32CD2ADB">
            <w:pPr>
              <w:pStyle w:val="49"/>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0DD9EDDC">
            <w:pPr>
              <w:pStyle w:val="49"/>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05650614">
            <w:pPr>
              <w:pStyle w:val="49"/>
              <w:jc w:val="center"/>
              <w:rPr>
                <w:rFonts w:hint="eastAsia" w:ascii="仿宋" w:hAnsi="仿宋" w:eastAsia="仿宋" w:cs="仿宋"/>
                <w:color w:val="auto"/>
                <w:sz w:val="21"/>
                <w:szCs w:val="21"/>
                <w:highlight w:val="none"/>
              </w:rPr>
            </w:pPr>
          </w:p>
        </w:tc>
        <w:tc>
          <w:tcPr>
            <w:tcW w:w="1860" w:type="dxa"/>
            <w:vAlign w:val="center"/>
          </w:tcPr>
          <w:p w14:paraId="337B4053">
            <w:pPr>
              <w:pStyle w:val="49"/>
              <w:jc w:val="center"/>
              <w:rPr>
                <w:rFonts w:hint="eastAsia" w:ascii="仿宋" w:hAnsi="仿宋" w:eastAsia="仿宋" w:cs="仿宋"/>
                <w:color w:val="auto"/>
                <w:sz w:val="21"/>
                <w:szCs w:val="21"/>
                <w:highlight w:val="none"/>
              </w:rPr>
            </w:pPr>
          </w:p>
        </w:tc>
        <w:tc>
          <w:tcPr>
            <w:tcW w:w="1356" w:type="dxa"/>
            <w:vAlign w:val="center"/>
          </w:tcPr>
          <w:p w14:paraId="6968EA5F">
            <w:pPr>
              <w:pStyle w:val="49"/>
              <w:jc w:val="center"/>
              <w:rPr>
                <w:rFonts w:hint="eastAsia" w:ascii="仿宋" w:hAnsi="仿宋" w:eastAsia="仿宋" w:cs="仿宋"/>
                <w:color w:val="auto"/>
                <w:sz w:val="21"/>
                <w:szCs w:val="21"/>
                <w:highlight w:val="none"/>
              </w:rPr>
            </w:pPr>
          </w:p>
        </w:tc>
        <w:tc>
          <w:tcPr>
            <w:tcW w:w="816" w:type="dxa"/>
            <w:vAlign w:val="center"/>
          </w:tcPr>
          <w:p w14:paraId="45D99552">
            <w:pPr>
              <w:pStyle w:val="49"/>
              <w:jc w:val="center"/>
              <w:rPr>
                <w:rFonts w:hint="eastAsia" w:ascii="仿宋" w:hAnsi="仿宋" w:eastAsia="仿宋" w:cs="仿宋"/>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49"/>
              <w:jc w:val="center"/>
              <w:rPr>
                <w:rFonts w:hint="eastAsia" w:ascii="仿宋" w:hAnsi="仿宋" w:eastAsia="仿宋" w:cs="仿宋"/>
                <w:color w:val="auto"/>
                <w:sz w:val="21"/>
                <w:szCs w:val="21"/>
                <w:highlight w:val="none"/>
              </w:rPr>
            </w:pPr>
            <w:bookmarkStart w:id="467" w:name="_Toc100090793"/>
            <w:bookmarkStart w:id="468" w:name="_Toc99533301"/>
            <w:r>
              <w:rPr>
                <w:rFonts w:hint="eastAsia" w:ascii="仿宋" w:hAnsi="仿宋" w:eastAsia="仿宋" w:cs="仿宋"/>
                <w:color w:val="auto"/>
                <w:sz w:val="21"/>
                <w:szCs w:val="21"/>
                <w:highlight w:val="none"/>
              </w:rPr>
              <w:t>10</w:t>
            </w:r>
            <w:bookmarkEnd w:id="467"/>
            <w:bookmarkEnd w:id="468"/>
          </w:p>
        </w:tc>
        <w:tc>
          <w:tcPr>
            <w:tcW w:w="1267" w:type="dxa"/>
            <w:vAlign w:val="center"/>
          </w:tcPr>
          <w:p w14:paraId="0D84E205">
            <w:pPr>
              <w:pStyle w:val="49"/>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79F36313">
            <w:pPr>
              <w:pStyle w:val="49"/>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193C6909">
            <w:pPr>
              <w:pStyle w:val="49"/>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6C34049E">
            <w:pPr>
              <w:pStyle w:val="49"/>
              <w:jc w:val="center"/>
              <w:rPr>
                <w:rFonts w:hint="eastAsia" w:ascii="仿宋" w:hAnsi="仿宋" w:eastAsia="仿宋" w:cs="仿宋"/>
                <w:color w:val="auto"/>
                <w:sz w:val="21"/>
                <w:szCs w:val="21"/>
                <w:highlight w:val="none"/>
              </w:rPr>
            </w:pPr>
          </w:p>
        </w:tc>
        <w:tc>
          <w:tcPr>
            <w:tcW w:w="1860" w:type="dxa"/>
            <w:vAlign w:val="center"/>
          </w:tcPr>
          <w:p w14:paraId="7790D037">
            <w:pPr>
              <w:pStyle w:val="49"/>
              <w:jc w:val="center"/>
              <w:rPr>
                <w:rFonts w:hint="eastAsia" w:ascii="仿宋" w:hAnsi="仿宋" w:eastAsia="仿宋" w:cs="仿宋"/>
                <w:color w:val="auto"/>
                <w:sz w:val="21"/>
                <w:szCs w:val="21"/>
                <w:highlight w:val="none"/>
              </w:rPr>
            </w:pPr>
          </w:p>
        </w:tc>
        <w:tc>
          <w:tcPr>
            <w:tcW w:w="1356" w:type="dxa"/>
            <w:vAlign w:val="center"/>
          </w:tcPr>
          <w:p w14:paraId="292E64B7">
            <w:pPr>
              <w:pStyle w:val="49"/>
              <w:jc w:val="center"/>
              <w:rPr>
                <w:rFonts w:hint="eastAsia" w:ascii="仿宋" w:hAnsi="仿宋" w:eastAsia="仿宋" w:cs="仿宋"/>
                <w:color w:val="auto"/>
                <w:sz w:val="21"/>
                <w:szCs w:val="21"/>
                <w:highlight w:val="none"/>
              </w:rPr>
            </w:pPr>
          </w:p>
        </w:tc>
        <w:tc>
          <w:tcPr>
            <w:tcW w:w="816" w:type="dxa"/>
            <w:vAlign w:val="center"/>
          </w:tcPr>
          <w:p w14:paraId="77E1C162">
            <w:pPr>
              <w:pStyle w:val="49"/>
              <w:jc w:val="center"/>
              <w:rPr>
                <w:rFonts w:hint="eastAsia" w:ascii="仿宋" w:hAnsi="仿宋" w:eastAsia="仿宋" w:cs="仿宋"/>
                <w:color w:val="auto"/>
                <w:sz w:val="21"/>
                <w:szCs w:val="21"/>
                <w:highlight w:val="none"/>
              </w:rPr>
            </w:pPr>
          </w:p>
        </w:tc>
      </w:tr>
    </w:tbl>
    <w:p w14:paraId="3CBF9299">
      <w:pPr>
        <w:rPr>
          <w:rFonts w:hint="eastAsia" w:ascii="仿宋" w:hAnsi="仿宋" w:eastAsia="仿宋" w:cs="仿宋"/>
          <w:color w:val="auto"/>
          <w:sz w:val="21"/>
          <w:szCs w:val="21"/>
          <w:highlight w:val="none"/>
          <w:lang w:val="en-US" w:eastAsia="zh-CN"/>
        </w:rPr>
      </w:pPr>
    </w:p>
    <w:p w14:paraId="1EAF0062">
      <w:pP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注：按招标文件要求在本表后附相关人员证书。</w:t>
      </w:r>
    </w:p>
    <w:p w14:paraId="3B621572">
      <w:pPr>
        <w:ind w:firstLine="420" w:firstLineChars="200"/>
        <w:rPr>
          <w:rFonts w:hint="eastAsia" w:ascii="仿宋" w:hAnsi="仿宋" w:eastAsia="仿宋" w:cs="仿宋"/>
          <w:color w:val="auto"/>
          <w:sz w:val="21"/>
          <w:szCs w:val="21"/>
          <w:highlight w:val="none"/>
          <w:lang w:val="en-US" w:eastAsia="zh-CN"/>
        </w:rPr>
      </w:pPr>
    </w:p>
    <w:p w14:paraId="178B25F9">
      <w:pPr>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说明： </w:t>
      </w:r>
    </w:p>
    <w:p w14:paraId="442D33DF">
      <w:pPr>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1.“在团队中职务（岗位）”栏应包括但不限于：项目负责人、项目联系人、项目服务人员或技术人员等。 </w:t>
      </w:r>
    </w:p>
    <w:p w14:paraId="4DC17E9A">
      <w:pPr>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2.如投标人中标，须按本表项目组成人员操作，不得随意更换。</w:t>
      </w:r>
    </w:p>
    <w:p w14:paraId="285371E7">
      <w:pPr>
        <w:rPr>
          <w:rFonts w:hint="eastAsia" w:ascii="仿宋" w:hAnsi="仿宋" w:eastAsia="仿宋" w:cs="仿宋"/>
          <w:color w:val="auto"/>
          <w:highlight w:val="none"/>
        </w:rPr>
      </w:pPr>
    </w:p>
    <w:p w14:paraId="51ED7B0D">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pPr>
      <w:bookmarkStart w:id="469" w:name="_Toc30796"/>
      <w:bookmarkStart w:id="470" w:name="_Toc163492934"/>
      <w:r>
        <w:rPr>
          <w:rFonts w:hint="eastAsia" w:ascii="仿宋" w:hAnsi="仿宋" w:eastAsia="仿宋" w:cs="仿宋"/>
          <w:color w:val="auto"/>
          <w:highlight w:val="none"/>
          <w:lang w:val="en-US" w:eastAsia="zh-CN"/>
        </w:rPr>
        <w:t>★</w:t>
      </w:r>
      <w:r>
        <w:rPr>
          <w:rFonts w:hint="eastAsia" w:ascii="仿宋" w:hAnsi="仿宋" w:eastAsia="仿宋" w:cs="仿宋"/>
          <w:b/>
          <w:bCs/>
          <w:color w:val="auto"/>
          <w:kern w:val="2"/>
          <w:sz w:val="32"/>
          <w:szCs w:val="32"/>
          <w:highlight w:val="none"/>
          <w:lang w:val="en-US" w:eastAsia="zh-CN" w:bidi="ar-SA"/>
        </w:rPr>
        <w:t>九、技术响应偏离表</w:t>
      </w:r>
      <w:bookmarkEnd w:id="469"/>
      <w:bookmarkEnd w:id="470"/>
    </w:p>
    <w:p w14:paraId="7EE50E6A">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项目名称：                                         </w:t>
      </w:r>
    </w:p>
    <w:p w14:paraId="10CF1BE4">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项目编号</w:t>
      </w:r>
      <w:r>
        <w:rPr>
          <w:rFonts w:hint="eastAsia" w:ascii="仿宋" w:hAnsi="仿宋" w:eastAsia="仿宋" w:cs="仿宋"/>
          <w:b w:val="0"/>
          <w:bCs/>
          <w:color w:val="auto"/>
          <w:szCs w:val="21"/>
          <w:highlight w:val="none"/>
          <w:lang w:val="en-US" w:eastAsia="zh-CN"/>
        </w:rPr>
        <w:t>/</w:t>
      </w:r>
      <w:r>
        <w:rPr>
          <w:rFonts w:hint="eastAsia" w:ascii="仿宋" w:hAnsi="仿宋" w:eastAsia="仿宋" w:cs="仿宋"/>
          <w:b w:val="0"/>
          <w:bCs/>
          <w:color w:val="auto"/>
          <w:szCs w:val="21"/>
          <w:highlight w:val="none"/>
          <w:lang w:val="zh-CN"/>
        </w:rPr>
        <w:t>包号</w:t>
      </w:r>
      <w:r>
        <w:rPr>
          <w:rFonts w:hint="eastAsia" w:ascii="仿宋" w:hAnsi="仿宋" w:eastAsia="仿宋" w:cs="仿宋"/>
          <w:color w:val="auto"/>
          <w:szCs w:val="24"/>
          <w:highlight w:val="none"/>
        </w:rPr>
        <w:t xml:space="preserve">：         </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F892E53">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59" w:type="pct"/>
            <w:vAlign w:val="center"/>
          </w:tcPr>
          <w:p w14:paraId="48E48677">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招标文件技术</w:t>
            </w:r>
          </w:p>
          <w:p w14:paraId="0C5608DB">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要求条款</w:t>
            </w:r>
          </w:p>
        </w:tc>
        <w:tc>
          <w:tcPr>
            <w:tcW w:w="1031" w:type="pct"/>
            <w:vAlign w:val="center"/>
          </w:tcPr>
          <w:p w14:paraId="0B845CF1">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投标文件内容</w:t>
            </w:r>
          </w:p>
          <w:p w14:paraId="4F79E073">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对应简述</w:t>
            </w:r>
          </w:p>
        </w:tc>
        <w:tc>
          <w:tcPr>
            <w:tcW w:w="1265" w:type="pct"/>
            <w:vAlign w:val="center"/>
          </w:tcPr>
          <w:p w14:paraId="4AB4E9C3">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响应情况</w:t>
            </w:r>
          </w:p>
        </w:tc>
        <w:tc>
          <w:tcPr>
            <w:tcW w:w="1136" w:type="pct"/>
            <w:vAlign w:val="center"/>
          </w:tcPr>
          <w:p w14:paraId="09D725B9">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证明资料</w:t>
            </w:r>
            <w:r>
              <w:rPr>
                <w:rFonts w:hint="eastAsia" w:ascii="仿宋" w:hAnsi="仿宋" w:eastAsia="仿宋" w:cs="仿宋"/>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9950C57">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159" w:type="pct"/>
            <w:vAlign w:val="center"/>
          </w:tcPr>
          <w:p w14:paraId="69B288A0">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31" w:type="pct"/>
            <w:vAlign w:val="center"/>
          </w:tcPr>
          <w:p w14:paraId="0E04AD72">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65" w:type="pct"/>
            <w:vAlign w:val="center"/>
          </w:tcPr>
          <w:p w14:paraId="585AEA1C">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响应/正偏离/负偏离</w:t>
            </w:r>
          </w:p>
        </w:tc>
        <w:tc>
          <w:tcPr>
            <w:tcW w:w="1136" w:type="pct"/>
            <w:vAlign w:val="center"/>
          </w:tcPr>
          <w:p w14:paraId="02D97874">
            <w:pPr>
              <w:pStyle w:val="49"/>
              <w:jc w:val="center"/>
              <w:rPr>
                <w:rFonts w:hint="eastAsia" w:ascii="仿宋" w:hAnsi="仿宋" w:eastAsia="仿宋" w:cs="仿宋"/>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195B6778">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159" w:type="pct"/>
            <w:vAlign w:val="center"/>
          </w:tcPr>
          <w:p w14:paraId="30E52A7F">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31" w:type="pct"/>
            <w:vAlign w:val="center"/>
          </w:tcPr>
          <w:p w14:paraId="29A6C1E1">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65" w:type="pct"/>
            <w:vAlign w:val="center"/>
          </w:tcPr>
          <w:p w14:paraId="5D92E460">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响应/正偏离/负偏离</w:t>
            </w:r>
          </w:p>
        </w:tc>
        <w:tc>
          <w:tcPr>
            <w:tcW w:w="1136" w:type="pct"/>
            <w:vAlign w:val="center"/>
          </w:tcPr>
          <w:p w14:paraId="63E16449">
            <w:pPr>
              <w:pStyle w:val="49"/>
              <w:jc w:val="center"/>
              <w:rPr>
                <w:rFonts w:hint="eastAsia" w:ascii="仿宋" w:hAnsi="仿宋" w:eastAsia="仿宋" w:cs="仿宋"/>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4C45FE18">
            <w:pPr>
              <w:pStyle w:val="49"/>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159" w:type="pct"/>
            <w:shd w:val="clear" w:color="auto" w:fill="auto"/>
            <w:vAlign w:val="center"/>
          </w:tcPr>
          <w:p w14:paraId="6D1DD644">
            <w:pPr>
              <w:pStyle w:val="49"/>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w:t>
            </w:r>
          </w:p>
        </w:tc>
        <w:tc>
          <w:tcPr>
            <w:tcW w:w="1031" w:type="pct"/>
            <w:shd w:val="clear" w:color="auto" w:fill="auto"/>
            <w:vAlign w:val="center"/>
          </w:tcPr>
          <w:p w14:paraId="2982168B">
            <w:pPr>
              <w:pStyle w:val="49"/>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w:t>
            </w:r>
          </w:p>
        </w:tc>
        <w:tc>
          <w:tcPr>
            <w:tcW w:w="1265" w:type="pct"/>
            <w:shd w:val="clear" w:color="auto" w:fill="auto"/>
            <w:vAlign w:val="center"/>
          </w:tcPr>
          <w:p w14:paraId="78EC7D09">
            <w:pPr>
              <w:pStyle w:val="49"/>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响应/正偏离/负偏离</w:t>
            </w:r>
          </w:p>
        </w:tc>
        <w:tc>
          <w:tcPr>
            <w:tcW w:w="1136" w:type="pct"/>
            <w:vAlign w:val="center"/>
          </w:tcPr>
          <w:p w14:paraId="46369488">
            <w:pPr>
              <w:pStyle w:val="49"/>
              <w:jc w:val="center"/>
              <w:rPr>
                <w:rFonts w:hint="eastAsia" w:ascii="仿宋" w:hAnsi="仿宋" w:eastAsia="仿宋" w:cs="仿宋"/>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3874C19">
            <w:pPr>
              <w:pStyle w:val="49"/>
              <w:jc w:val="center"/>
              <w:rPr>
                <w:rFonts w:hint="eastAsia" w:ascii="仿宋" w:hAnsi="仿宋" w:eastAsia="仿宋" w:cs="仿宋"/>
                <w:color w:val="auto"/>
                <w:sz w:val="21"/>
                <w:szCs w:val="21"/>
                <w:highlight w:val="none"/>
              </w:rPr>
            </w:pPr>
          </w:p>
        </w:tc>
        <w:tc>
          <w:tcPr>
            <w:tcW w:w="1159" w:type="pct"/>
            <w:vAlign w:val="center"/>
          </w:tcPr>
          <w:p w14:paraId="529041E2">
            <w:pPr>
              <w:pStyle w:val="49"/>
              <w:jc w:val="center"/>
              <w:rPr>
                <w:rFonts w:hint="eastAsia" w:ascii="仿宋" w:hAnsi="仿宋" w:eastAsia="仿宋" w:cs="仿宋"/>
                <w:color w:val="auto"/>
                <w:sz w:val="21"/>
                <w:szCs w:val="21"/>
                <w:highlight w:val="none"/>
              </w:rPr>
            </w:pPr>
          </w:p>
        </w:tc>
        <w:tc>
          <w:tcPr>
            <w:tcW w:w="1031" w:type="pct"/>
            <w:vAlign w:val="center"/>
          </w:tcPr>
          <w:p w14:paraId="301E476D">
            <w:pPr>
              <w:pStyle w:val="49"/>
              <w:jc w:val="center"/>
              <w:rPr>
                <w:rFonts w:hint="eastAsia" w:ascii="仿宋" w:hAnsi="仿宋" w:eastAsia="仿宋" w:cs="仿宋"/>
                <w:color w:val="auto"/>
                <w:sz w:val="21"/>
                <w:szCs w:val="21"/>
                <w:highlight w:val="none"/>
              </w:rPr>
            </w:pPr>
          </w:p>
        </w:tc>
        <w:tc>
          <w:tcPr>
            <w:tcW w:w="1265" w:type="pct"/>
            <w:vAlign w:val="center"/>
          </w:tcPr>
          <w:p w14:paraId="06F8AED7">
            <w:pPr>
              <w:pStyle w:val="49"/>
              <w:jc w:val="center"/>
              <w:rPr>
                <w:rFonts w:hint="eastAsia" w:ascii="仿宋" w:hAnsi="仿宋" w:eastAsia="仿宋" w:cs="仿宋"/>
                <w:color w:val="auto"/>
                <w:sz w:val="21"/>
                <w:szCs w:val="21"/>
                <w:highlight w:val="none"/>
              </w:rPr>
            </w:pPr>
          </w:p>
        </w:tc>
        <w:tc>
          <w:tcPr>
            <w:tcW w:w="1136" w:type="pct"/>
            <w:vAlign w:val="center"/>
          </w:tcPr>
          <w:p w14:paraId="0CE9DF45">
            <w:pPr>
              <w:pStyle w:val="49"/>
              <w:jc w:val="center"/>
              <w:rPr>
                <w:rFonts w:hint="eastAsia" w:ascii="仿宋" w:hAnsi="仿宋" w:eastAsia="仿宋" w:cs="仿宋"/>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1433E5C">
            <w:pPr>
              <w:pStyle w:val="49"/>
              <w:jc w:val="center"/>
              <w:rPr>
                <w:rFonts w:hint="eastAsia" w:ascii="仿宋" w:hAnsi="仿宋" w:eastAsia="仿宋" w:cs="仿宋"/>
                <w:color w:val="auto"/>
                <w:sz w:val="21"/>
                <w:szCs w:val="21"/>
                <w:highlight w:val="none"/>
              </w:rPr>
            </w:pPr>
          </w:p>
        </w:tc>
        <w:tc>
          <w:tcPr>
            <w:tcW w:w="1159" w:type="pct"/>
            <w:vAlign w:val="center"/>
          </w:tcPr>
          <w:p w14:paraId="77107295">
            <w:pPr>
              <w:pStyle w:val="49"/>
              <w:jc w:val="center"/>
              <w:rPr>
                <w:rFonts w:hint="eastAsia" w:ascii="仿宋" w:hAnsi="仿宋" w:eastAsia="仿宋" w:cs="仿宋"/>
                <w:color w:val="auto"/>
                <w:sz w:val="21"/>
                <w:szCs w:val="21"/>
                <w:highlight w:val="none"/>
              </w:rPr>
            </w:pPr>
          </w:p>
        </w:tc>
        <w:tc>
          <w:tcPr>
            <w:tcW w:w="1031" w:type="pct"/>
            <w:vAlign w:val="center"/>
          </w:tcPr>
          <w:p w14:paraId="4D01D78E">
            <w:pPr>
              <w:pStyle w:val="49"/>
              <w:jc w:val="center"/>
              <w:rPr>
                <w:rFonts w:hint="eastAsia" w:ascii="仿宋" w:hAnsi="仿宋" w:eastAsia="仿宋" w:cs="仿宋"/>
                <w:color w:val="auto"/>
                <w:sz w:val="21"/>
                <w:szCs w:val="21"/>
                <w:highlight w:val="none"/>
              </w:rPr>
            </w:pPr>
          </w:p>
        </w:tc>
        <w:tc>
          <w:tcPr>
            <w:tcW w:w="1265" w:type="pct"/>
            <w:vAlign w:val="center"/>
          </w:tcPr>
          <w:p w14:paraId="6D546857">
            <w:pPr>
              <w:pStyle w:val="49"/>
              <w:jc w:val="center"/>
              <w:rPr>
                <w:rFonts w:hint="eastAsia" w:ascii="仿宋" w:hAnsi="仿宋" w:eastAsia="仿宋" w:cs="仿宋"/>
                <w:color w:val="auto"/>
                <w:sz w:val="21"/>
                <w:szCs w:val="21"/>
                <w:highlight w:val="none"/>
              </w:rPr>
            </w:pPr>
          </w:p>
        </w:tc>
        <w:tc>
          <w:tcPr>
            <w:tcW w:w="1136" w:type="pct"/>
            <w:vAlign w:val="center"/>
          </w:tcPr>
          <w:p w14:paraId="2E1B7D0B">
            <w:pPr>
              <w:pStyle w:val="49"/>
              <w:jc w:val="center"/>
              <w:rPr>
                <w:rFonts w:hint="eastAsia" w:ascii="仿宋" w:hAnsi="仿宋" w:eastAsia="仿宋" w:cs="仿宋"/>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AF16AFE">
            <w:pPr>
              <w:pStyle w:val="49"/>
              <w:jc w:val="center"/>
              <w:rPr>
                <w:rFonts w:hint="eastAsia" w:ascii="仿宋" w:hAnsi="仿宋" w:eastAsia="仿宋" w:cs="仿宋"/>
                <w:color w:val="auto"/>
                <w:sz w:val="21"/>
                <w:szCs w:val="21"/>
                <w:highlight w:val="none"/>
              </w:rPr>
            </w:pPr>
          </w:p>
        </w:tc>
        <w:tc>
          <w:tcPr>
            <w:tcW w:w="1159" w:type="pct"/>
            <w:vAlign w:val="center"/>
          </w:tcPr>
          <w:p w14:paraId="5C7E043B">
            <w:pPr>
              <w:pStyle w:val="49"/>
              <w:jc w:val="center"/>
              <w:rPr>
                <w:rFonts w:hint="eastAsia" w:ascii="仿宋" w:hAnsi="仿宋" w:eastAsia="仿宋" w:cs="仿宋"/>
                <w:color w:val="auto"/>
                <w:sz w:val="21"/>
                <w:szCs w:val="21"/>
                <w:highlight w:val="none"/>
              </w:rPr>
            </w:pPr>
          </w:p>
        </w:tc>
        <w:tc>
          <w:tcPr>
            <w:tcW w:w="1031" w:type="pct"/>
            <w:vAlign w:val="center"/>
          </w:tcPr>
          <w:p w14:paraId="64166C7A">
            <w:pPr>
              <w:pStyle w:val="49"/>
              <w:jc w:val="center"/>
              <w:rPr>
                <w:rFonts w:hint="eastAsia" w:ascii="仿宋" w:hAnsi="仿宋" w:eastAsia="仿宋" w:cs="仿宋"/>
                <w:color w:val="auto"/>
                <w:sz w:val="21"/>
                <w:szCs w:val="21"/>
                <w:highlight w:val="none"/>
              </w:rPr>
            </w:pPr>
          </w:p>
        </w:tc>
        <w:tc>
          <w:tcPr>
            <w:tcW w:w="1265" w:type="pct"/>
            <w:vAlign w:val="center"/>
          </w:tcPr>
          <w:p w14:paraId="2817CCE5">
            <w:pPr>
              <w:pStyle w:val="49"/>
              <w:jc w:val="center"/>
              <w:rPr>
                <w:rFonts w:hint="eastAsia" w:ascii="仿宋" w:hAnsi="仿宋" w:eastAsia="仿宋" w:cs="仿宋"/>
                <w:color w:val="auto"/>
                <w:sz w:val="21"/>
                <w:szCs w:val="21"/>
                <w:highlight w:val="none"/>
              </w:rPr>
            </w:pPr>
          </w:p>
        </w:tc>
        <w:tc>
          <w:tcPr>
            <w:tcW w:w="1136" w:type="pct"/>
            <w:vAlign w:val="center"/>
          </w:tcPr>
          <w:p w14:paraId="184E3F96">
            <w:pPr>
              <w:pStyle w:val="49"/>
              <w:jc w:val="center"/>
              <w:rPr>
                <w:rFonts w:hint="eastAsia" w:ascii="仿宋" w:hAnsi="仿宋" w:eastAsia="仿宋" w:cs="仿宋"/>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DBDBE11">
            <w:pPr>
              <w:pStyle w:val="49"/>
              <w:jc w:val="center"/>
              <w:rPr>
                <w:rFonts w:hint="eastAsia" w:ascii="仿宋" w:hAnsi="仿宋" w:eastAsia="仿宋" w:cs="仿宋"/>
                <w:color w:val="auto"/>
                <w:sz w:val="21"/>
                <w:szCs w:val="21"/>
                <w:highlight w:val="none"/>
              </w:rPr>
            </w:pPr>
          </w:p>
        </w:tc>
        <w:tc>
          <w:tcPr>
            <w:tcW w:w="1159" w:type="pct"/>
            <w:vAlign w:val="center"/>
          </w:tcPr>
          <w:p w14:paraId="1F11A7BE">
            <w:pPr>
              <w:pStyle w:val="49"/>
              <w:jc w:val="center"/>
              <w:rPr>
                <w:rFonts w:hint="eastAsia" w:ascii="仿宋" w:hAnsi="仿宋" w:eastAsia="仿宋" w:cs="仿宋"/>
                <w:color w:val="auto"/>
                <w:sz w:val="21"/>
                <w:szCs w:val="21"/>
                <w:highlight w:val="none"/>
              </w:rPr>
            </w:pPr>
          </w:p>
        </w:tc>
        <w:tc>
          <w:tcPr>
            <w:tcW w:w="1031" w:type="pct"/>
            <w:vAlign w:val="center"/>
          </w:tcPr>
          <w:p w14:paraId="09342B6E">
            <w:pPr>
              <w:pStyle w:val="49"/>
              <w:jc w:val="center"/>
              <w:rPr>
                <w:rFonts w:hint="eastAsia" w:ascii="仿宋" w:hAnsi="仿宋" w:eastAsia="仿宋" w:cs="仿宋"/>
                <w:color w:val="auto"/>
                <w:sz w:val="21"/>
                <w:szCs w:val="21"/>
                <w:highlight w:val="none"/>
              </w:rPr>
            </w:pPr>
          </w:p>
        </w:tc>
        <w:tc>
          <w:tcPr>
            <w:tcW w:w="1265" w:type="pct"/>
            <w:vAlign w:val="center"/>
          </w:tcPr>
          <w:p w14:paraId="6742B646">
            <w:pPr>
              <w:pStyle w:val="49"/>
              <w:jc w:val="center"/>
              <w:rPr>
                <w:rFonts w:hint="eastAsia" w:ascii="仿宋" w:hAnsi="仿宋" w:eastAsia="仿宋" w:cs="仿宋"/>
                <w:color w:val="auto"/>
                <w:sz w:val="21"/>
                <w:szCs w:val="21"/>
                <w:highlight w:val="none"/>
              </w:rPr>
            </w:pPr>
          </w:p>
        </w:tc>
        <w:tc>
          <w:tcPr>
            <w:tcW w:w="1136" w:type="pct"/>
            <w:vAlign w:val="center"/>
          </w:tcPr>
          <w:p w14:paraId="4C72FCC2">
            <w:pPr>
              <w:pStyle w:val="49"/>
              <w:jc w:val="center"/>
              <w:rPr>
                <w:rFonts w:hint="eastAsia" w:ascii="仿宋" w:hAnsi="仿宋" w:eastAsia="仿宋" w:cs="仿宋"/>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0D811F11">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159" w:type="pct"/>
            <w:vAlign w:val="center"/>
          </w:tcPr>
          <w:p w14:paraId="7D0AF02A">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31" w:type="pct"/>
            <w:vAlign w:val="center"/>
          </w:tcPr>
          <w:p w14:paraId="6EC8C4F3">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65" w:type="pct"/>
            <w:vAlign w:val="center"/>
          </w:tcPr>
          <w:p w14:paraId="59EB3DF9">
            <w:pPr>
              <w:pStyle w:val="4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136" w:type="pct"/>
            <w:vAlign w:val="center"/>
          </w:tcPr>
          <w:p w14:paraId="1BF96619">
            <w:pPr>
              <w:pStyle w:val="49"/>
              <w:jc w:val="center"/>
              <w:rPr>
                <w:rFonts w:hint="eastAsia" w:ascii="仿宋" w:hAnsi="仿宋" w:eastAsia="仿宋" w:cs="仿宋"/>
                <w:color w:val="auto"/>
                <w:sz w:val="21"/>
                <w:szCs w:val="21"/>
                <w:highlight w:val="none"/>
              </w:rPr>
            </w:pPr>
          </w:p>
        </w:tc>
      </w:tr>
    </w:tbl>
    <w:p w14:paraId="12AEBD40">
      <w:pPr>
        <w:ind w:firstLine="480" w:firstLineChars="200"/>
        <w:rPr>
          <w:rFonts w:hint="eastAsia" w:ascii="仿宋" w:hAnsi="仿宋" w:eastAsia="仿宋" w:cs="仿宋"/>
          <w:color w:val="auto"/>
          <w:szCs w:val="24"/>
          <w:highlight w:val="none"/>
        </w:rPr>
      </w:pPr>
    </w:p>
    <w:p w14:paraId="53059121">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szCs w:val="24"/>
          <w:highlight w:val="none"/>
        </w:rPr>
        <w:t>：</w:t>
      </w:r>
    </w:p>
    <w:p w14:paraId="27EF6D84">
      <w:pPr>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日      期：</w:t>
      </w:r>
    </w:p>
    <w:p w14:paraId="34FA0C9E">
      <w:pPr>
        <w:ind w:firstLine="420"/>
        <w:rPr>
          <w:rFonts w:hint="eastAsia" w:ascii="仿宋" w:hAnsi="仿宋" w:eastAsia="仿宋" w:cs="仿宋"/>
          <w:color w:val="auto"/>
          <w:sz w:val="21"/>
          <w:szCs w:val="21"/>
          <w:highlight w:val="none"/>
          <w:lang w:val="en-US" w:eastAsia="zh-CN"/>
        </w:rPr>
      </w:pPr>
    </w:p>
    <w:p w14:paraId="695CF979">
      <w:pPr>
        <w:ind w:firstLine="420" w:firstLineChars="200"/>
        <w:rPr>
          <w:rFonts w:hint="eastAsia" w:ascii="仿宋" w:hAnsi="仿宋" w:eastAsia="仿宋" w:cs="仿宋"/>
          <w:color w:val="auto"/>
          <w:szCs w:val="24"/>
          <w:highlight w:val="none"/>
        </w:rPr>
      </w:pPr>
      <w:r>
        <w:rPr>
          <w:rFonts w:hint="eastAsia" w:ascii="仿宋" w:hAnsi="仿宋" w:eastAsia="仿宋" w:cs="仿宋"/>
          <w:color w:val="auto"/>
          <w:sz w:val="21"/>
          <w:szCs w:val="21"/>
          <w:highlight w:val="none"/>
        </w:rPr>
        <w:t>注：投标人应按照招标文件“第三章 采购需求”</w:t>
      </w:r>
      <w:r>
        <w:rPr>
          <w:rFonts w:hint="eastAsia" w:ascii="仿宋" w:hAnsi="仿宋" w:eastAsia="仿宋" w:cs="仿宋"/>
          <w:color w:val="auto"/>
          <w:sz w:val="21"/>
          <w:szCs w:val="21"/>
          <w:highlight w:val="none"/>
          <w:lang w:val="en-US" w:eastAsia="zh-CN"/>
        </w:rPr>
        <w:t>中的技术要求</w:t>
      </w:r>
      <w:r>
        <w:rPr>
          <w:rFonts w:hint="eastAsia" w:ascii="仿宋" w:hAnsi="仿宋" w:eastAsia="仿宋" w:cs="仿宋"/>
          <w:color w:val="auto"/>
          <w:sz w:val="21"/>
          <w:szCs w:val="21"/>
          <w:highlight w:val="none"/>
        </w:rPr>
        <w:t>填写</w:t>
      </w:r>
      <w:r>
        <w:rPr>
          <w:rFonts w:hint="eastAsia" w:ascii="仿宋" w:hAnsi="仿宋" w:eastAsia="仿宋" w:cs="仿宋"/>
          <w:color w:val="auto"/>
          <w:sz w:val="21"/>
          <w:szCs w:val="21"/>
          <w:highlight w:val="none"/>
          <w:lang w:eastAsia="zh-CN"/>
        </w:rPr>
        <w:t>：</w:t>
      </w:r>
    </w:p>
    <w:p w14:paraId="2C3D9747">
      <w:pPr>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eastAsia" w:ascii="仿宋" w:hAnsi="仿宋" w:eastAsia="仿宋" w:cs="仿宋"/>
          <w:b/>
          <w:bCs/>
          <w:color w:val="auto"/>
          <w:sz w:val="21"/>
          <w:szCs w:val="21"/>
          <w:highlight w:val="none"/>
          <w:lang w:val="en-US" w:eastAsia="zh-CN"/>
        </w:rPr>
        <w:t>投标无效</w:t>
      </w:r>
      <w:r>
        <w:rPr>
          <w:rFonts w:hint="eastAsia" w:ascii="仿宋" w:hAnsi="仿宋" w:eastAsia="仿宋" w:cs="仿宋"/>
          <w:color w:val="auto"/>
          <w:sz w:val="21"/>
          <w:szCs w:val="21"/>
          <w:highlight w:val="none"/>
          <w:lang w:val="en-US" w:eastAsia="zh-CN"/>
        </w:rPr>
        <w:t xml:space="preserve">。 </w:t>
      </w:r>
    </w:p>
    <w:p w14:paraId="1ADFBBD2">
      <w:pPr>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3.“响应情况”栏应据实填写“响应”、“正偏离”或“负偏离”。 </w:t>
      </w:r>
    </w:p>
    <w:p w14:paraId="5D0BE6F5">
      <w:pPr>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4.“证明资料及索引”栏可填写证明资料的具体内容及索引。</w:t>
      </w:r>
    </w:p>
    <w:p w14:paraId="2738FDA8">
      <w:pPr>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5.对招标文件中的所有技术要求，除本表所列明的所有偏离外，均视作供应商已对之理解和响应。此表中若无任何文字说明，内容为空白的，</w:t>
      </w:r>
      <w:r>
        <w:rPr>
          <w:rFonts w:hint="eastAsia" w:ascii="仿宋" w:hAnsi="仿宋" w:eastAsia="仿宋" w:cs="仿宋"/>
          <w:b/>
          <w:bCs/>
          <w:color w:val="auto"/>
          <w:sz w:val="21"/>
          <w:szCs w:val="21"/>
          <w:highlight w:val="none"/>
          <w:lang w:val="en-US" w:eastAsia="zh-CN"/>
        </w:rPr>
        <w:t>投标无效</w:t>
      </w:r>
      <w:r>
        <w:rPr>
          <w:rFonts w:hint="eastAsia" w:ascii="仿宋" w:hAnsi="仿宋" w:eastAsia="仿宋" w:cs="仿宋"/>
          <w:color w:val="auto"/>
          <w:sz w:val="21"/>
          <w:szCs w:val="21"/>
          <w:highlight w:val="none"/>
          <w:lang w:val="en-US" w:eastAsia="zh-CN"/>
        </w:rPr>
        <w:t>。</w:t>
      </w:r>
    </w:p>
    <w:p w14:paraId="47044C1A">
      <w:pPr>
        <w:ind w:firstLine="420"/>
        <w:rPr>
          <w:rFonts w:hint="eastAsia" w:ascii="仿宋" w:hAnsi="仿宋" w:eastAsia="仿宋" w:cs="仿宋"/>
          <w:color w:val="auto"/>
          <w:sz w:val="21"/>
          <w:szCs w:val="21"/>
          <w:highlight w:val="none"/>
          <w:lang w:val="en-US" w:eastAsia="zh-CN"/>
        </w:rPr>
      </w:pPr>
    </w:p>
    <w:p w14:paraId="49372E23">
      <w:pPr>
        <w:ind w:firstLine="420"/>
        <w:rPr>
          <w:rFonts w:hint="eastAsia" w:ascii="仿宋" w:hAnsi="仿宋" w:eastAsia="仿宋" w:cs="仿宋"/>
          <w:color w:val="auto"/>
          <w:sz w:val="21"/>
          <w:szCs w:val="21"/>
          <w:highlight w:val="none"/>
          <w:lang w:val="en-US" w:eastAsia="zh-CN"/>
        </w:rPr>
      </w:pP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pPr>
      <w:bookmarkStart w:id="471" w:name="_Toc163492935"/>
      <w:bookmarkStart w:id="472" w:name="_Toc30176"/>
      <w:r>
        <w:rPr>
          <w:rFonts w:hint="eastAsia" w:ascii="仿宋" w:hAnsi="仿宋" w:eastAsia="仿宋" w:cs="仿宋"/>
          <w:b/>
          <w:bCs/>
          <w:color w:val="auto"/>
          <w:kern w:val="2"/>
          <w:sz w:val="32"/>
          <w:szCs w:val="32"/>
          <w:highlight w:val="none"/>
          <w:lang w:val="en-US" w:eastAsia="zh-CN" w:bidi="ar-SA"/>
        </w:rPr>
        <w:t>十、技术方案</w:t>
      </w:r>
      <w:bookmarkEnd w:id="471"/>
      <w:bookmarkEnd w:id="472"/>
    </w:p>
    <w:p w14:paraId="3878D3F5">
      <w:pPr>
        <w:pStyle w:val="37"/>
        <w:rPr>
          <w:rFonts w:hint="eastAsia" w:ascii="仿宋" w:hAnsi="仿宋" w:eastAsia="仿宋" w:cs="仿宋"/>
          <w:color w:val="auto"/>
          <w:highlight w:val="none"/>
        </w:rPr>
      </w:pPr>
      <w:r>
        <w:rPr>
          <w:rFonts w:hint="eastAsia" w:ascii="仿宋" w:hAnsi="仿宋" w:eastAsia="仿宋" w:cs="仿宋"/>
          <w:color w:val="auto"/>
          <w:highlight w:val="none"/>
        </w:rPr>
        <w:t>投标人应按照招标文件的要求，提供详细的</w:t>
      </w:r>
      <w:r>
        <w:rPr>
          <w:rFonts w:hint="eastAsia" w:ascii="仿宋" w:hAnsi="仿宋" w:eastAsia="仿宋" w:cs="仿宋"/>
          <w:color w:val="auto"/>
          <w:highlight w:val="none"/>
          <w:lang w:val="en-US" w:eastAsia="zh-CN"/>
        </w:rPr>
        <w:t>供货及相关</w:t>
      </w:r>
      <w:r>
        <w:rPr>
          <w:rFonts w:hint="eastAsia" w:ascii="仿宋" w:hAnsi="仿宋" w:eastAsia="仿宋" w:cs="仿宋"/>
          <w:color w:val="auto"/>
          <w:highlight w:val="none"/>
        </w:rPr>
        <w:t>服务方案，包括文字描述或图表显示。格式自拟。</w:t>
      </w:r>
    </w:p>
    <w:p w14:paraId="7EE77353">
      <w:pPr>
        <w:pStyle w:val="37"/>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68D392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pPr>
      <w:bookmarkStart w:id="473" w:name="_Toc163492936"/>
      <w:bookmarkStart w:id="474" w:name="_Toc29208"/>
      <w:r>
        <w:rPr>
          <w:rFonts w:hint="eastAsia" w:ascii="仿宋" w:hAnsi="仿宋" w:eastAsia="仿宋" w:cs="仿宋"/>
          <w:b/>
          <w:bCs/>
          <w:color w:val="auto"/>
          <w:kern w:val="2"/>
          <w:sz w:val="32"/>
          <w:szCs w:val="32"/>
          <w:highlight w:val="none"/>
          <w:lang w:val="en-US" w:eastAsia="zh-CN" w:bidi="ar-SA"/>
        </w:rPr>
        <w:t>十一、其他文件</w:t>
      </w:r>
      <w:bookmarkEnd w:id="473"/>
      <w:bookmarkEnd w:id="474"/>
    </w:p>
    <w:p w14:paraId="6EF40482">
      <w:pPr>
        <w:pStyle w:val="37"/>
        <w:ind w:left="0" w:lef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招标文件要求提供的其它商务</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技术资料和证明材料；</w:t>
      </w:r>
    </w:p>
    <w:p w14:paraId="1AB0431C">
      <w:pPr>
        <w:pStyle w:val="3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1.1供应商信息采集表</w:t>
      </w:r>
    </w:p>
    <w:tbl>
      <w:tblPr>
        <w:tblStyle w:val="30"/>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37"/>
              <w:rPr>
                <w:rFonts w:hint="eastAsia" w:ascii="仿宋" w:hAnsi="仿宋" w:eastAsia="仿宋" w:cs="仿宋"/>
                <w:color w:val="auto"/>
                <w:sz w:val="24"/>
                <w:szCs w:val="24"/>
                <w:highlight w:val="none"/>
                <w:vertAlign w:val="baseline"/>
                <w:lang w:val="en-US" w:eastAsia="zh-CN"/>
              </w:rPr>
            </w:pPr>
          </w:p>
        </w:tc>
        <w:tc>
          <w:tcPr>
            <w:tcW w:w="2841" w:type="dxa"/>
          </w:tcPr>
          <w:p w14:paraId="471F983C">
            <w:pPr>
              <w:pStyle w:val="37"/>
              <w:rPr>
                <w:rFonts w:hint="eastAsia" w:ascii="仿宋" w:hAnsi="仿宋" w:eastAsia="仿宋" w:cs="仿宋"/>
                <w:color w:val="auto"/>
                <w:sz w:val="24"/>
                <w:szCs w:val="24"/>
                <w:highlight w:val="none"/>
                <w:vertAlign w:val="baseline"/>
                <w:lang w:val="en-US" w:eastAsia="zh-CN"/>
              </w:rPr>
            </w:pPr>
          </w:p>
        </w:tc>
        <w:tc>
          <w:tcPr>
            <w:tcW w:w="2743" w:type="dxa"/>
          </w:tcPr>
          <w:p w14:paraId="59E9D0CB">
            <w:pPr>
              <w:pStyle w:val="37"/>
              <w:rPr>
                <w:rFonts w:hint="eastAsia" w:ascii="仿宋" w:hAnsi="仿宋" w:eastAsia="仿宋" w:cs="仿宋"/>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37"/>
              <w:rPr>
                <w:rFonts w:hint="eastAsia" w:ascii="仿宋" w:hAnsi="仿宋" w:eastAsia="仿宋" w:cs="仿宋"/>
                <w:color w:val="auto"/>
                <w:sz w:val="24"/>
                <w:szCs w:val="24"/>
                <w:highlight w:val="none"/>
                <w:vertAlign w:val="baseline"/>
                <w:lang w:val="en-US" w:eastAsia="zh-CN"/>
              </w:rPr>
            </w:pPr>
          </w:p>
        </w:tc>
        <w:tc>
          <w:tcPr>
            <w:tcW w:w="2841" w:type="dxa"/>
          </w:tcPr>
          <w:p w14:paraId="65335BA2">
            <w:pPr>
              <w:pStyle w:val="37"/>
              <w:rPr>
                <w:rFonts w:hint="eastAsia" w:ascii="仿宋" w:hAnsi="仿宋" w:eastAsia="仿宋" w:cs="仿宋"/>
                <w:color w:val="auto"/>
                <w:sz w:val="24"/>
                <w:szCs w:val="24"/>
                <w:highlight w:val="none"/>
                <w:vertAlign w:val="baseline"/>
                <w:lang w:val="en-US" w:eastAsia="zh-CN"/>
              </w:rPr>
            </w:pPr>
          </w:p>
        </w:tc>
        <w:tc>
          <w:tcPr>
            <w:tcW w:w="2743" w:type="dxa"/>
          </w:tcPr>
          <w:p w14:paraId="331FBFA7">
            <w:pPr>
              <w:pStyle w:val="37"/>
              <w:rPr>
                <w:rFonts w:hint="eastAsia" w:ascii="仿宋" w:hAnsi="仿宋" w:eastAsia="仿宋" w:cs="仿宋"/>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37"/>
              <w:rPr>
                <w:rFonts w:hint="eastAsia" w:ascii="仿宋" w:hAnsi="仿宋" w:eastAsia="仿宋" w:cs="仿宋"/>
                <w:color w:val="auto"/>
                <w:sz w:val="24"/>
                <w:szCs w:val="24"/>
                <w:highlight w:val="none"/>
                <w:vertAlign w:val="baseline"/>
                <w:lang w:val="en-US" w:eastAsia="zh-CN"/>
              </w:rPr>
            </w:pPr>
          </w:p>
        </w:tc>
        <w:tc>
          <w:tcPr>
            <w:tcW w:w="2841" w:type="dxa"/>
          </w:tcPr>
          <w:p w14:paraId="00E4C5E8">
            <w:pPr>
              <w:pStyle w:val="37"/>
              <w:rPr>
                <w:rFonts w:hint="eastAsia" w:ascii="仿宋" w:hAnsi="仿宋" w:eastAsia="仿宋" w:cs="仿宋"/>
                <w:color w:val="auto"/>
                <w:sz w:val="24"/>
                <w:szCs w:val="24"/>
                <w:highlight w:val="none"/>
                <w:vertAlign w:val="baseline"/>
                <w:lang w:val="en-US" w:eastAsia="zh-CN"/>
              </w:rPr>
            </w:pPr>
          </w:p>
        </w:tc>
        <w:tc>
          <w:tcPr>
            <w:tcW w:w="2743" w:type="dxa"/>
          </w:tcPr>
          <w:p w14:paraId="42125693">
            <w:pPr>
              <w:pStyle w:val="37"/>
              <w:rPr>
                <w:rFonts w:hint="eastAsia" w:ascii="仿宋" w:hAnsi="仿宋" w:eastAsia="仿宋" w:cs="仿宋"/>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8" w:type="dxa"/>
          </w:tcPr>
          <w:p w14:paraId="2995954E">
            <w:pPr>
              <w:pStyle w:val="37"/>
              <w:rPr>
                <w:rFonts w:hint="eastAsia" w:ascii="仿宋" w:hAnsi="仿宋" w:eastAsia="仿宋" w:cs="仿宋"/>
                <w:color w:val="auto"/>
                <w:sz w:val="24"/>
                <w:szCs w:val="24"/>
                <w:highlight w:val="none"/>
                <w:vertAlign w:val="baseline"/>
                <w:lang w:val="en-US" w:eastAsia="zh-CN"/>
              </w:rPr>
            </w:pPr>
          </w:p>
        </w:tc>
        <w:tc>
          <w:tcPr>
            <w:tcW w:w="2841" w:type="dxa"/>
          </w:tcPr>
          <w:p w14:paraId="75889361">
            <w:pPr>
              <w:pStyle w:val="37"/>
              <w:rPr>
                <w:rFonts w:hint="eastAsia" w:ascii="仿宋" w:hAnsi="仿宋" w:eastAsia="仿宋" w:cs="仿宋"/>
                <w:color w:val="auto"/>
                <w:sz w:val="24"/>
                <w:szCs w:val="24"/>
                <w:highlight w:val="none"/>
                <w:vertAlign w:val="baseline"/>
                <w:lang w:val="en-US" w:eastAsia="zh-CN"/>
              </w:rPr>
            </w:pPr>
          </w:p>
        </w:tc>
        <w:tc>
          <w:tcPr>
            <w:tcW w:w="2743" w:type="dxa"/>
          </w:tcPr>
          <w:p w14:paraId="760C7D5C">
            <w:pPr>
              <w:pStyle w:val="37"/>
              <w:rPr>
                <w:rFonts w:hint="eastAsia" w:ascii="仿宋" w:hAnsi="仿宋" w:eastAsia="仿宋" w:cs="仿宋"/>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2.“供应商实际控制人性别”按供应商实际控制人性别划分请填写“男”或“女”，指拥有供应商 51%以上绝对所有权的性别；绝对所有权拥有者可以是一个人，也可以是多人合计计算。</w:t>
      </w:r>
    </w:p>
    <w:p w14:paraId="6C85D95C">
      <w:pPr>
        <w:pStyle w:val="37"/>
        <w:ind w:left="0" w:leftChars="0"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bidi="ar"/>
        </w:rPr>
        <w:t>3.“外商投资类型”请填写“外商单独投资”、“外商部分投资”或“内资”。</w:t>
      </w:r>
    </w:p>
    <w:p w14:paraId="74B37C36">
      <w:pPr>
        <w:pStyle w:val="37"/>
        <w:rPr>
          <w:rFonts w:hint="eastAsia" w:ascii="仿宋" w:hAnsi="仿宋" w:eastAsia="仿宋" w:cs="仿宋"/>
          <w:color w:val="auto"/>
          <w:sz w:val="28"/>
          <w:szCs w:val="28"/>
          <w:highlight w:val="none"/>
          <w:lang w:val="en-US" w:eastAsia="zh-CN"/>
        </w:rPr>
      </w:pPr>
    </w:p>
    <w:p w14:paraId="3F26FF37">
      <w:pPr>
        <w:pStyle w:val="3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1.2其它商务、技术资料和证明材料</w:t>
      </w:r>
    </w:p>
    <w:p w14:paraId="110B54DA">
      <w:pPr>
        <w:pStyle w:val="37"/>
        <w:ind w:left="0" w:leftChars="0" w:firstLine="0" w:firstLineChars="0"/>
        <w:rPr>
          <w:rFonts w:hint="eastAsia" w:ascii="仿宋" w:hAnsi="仿宋" w:eastAsia="仿宋" w:cs="仿宋"/>
          <w:b/>
          <w:bCs/>
          <w:color w:val="auto"/>
          <w:sz w:val="24"/>
          <w:szCs w:val="24"/>
          <w:highlight w:val="none"/>
          <w:lang w:eastAsia="zh-CN"/>
        </w:rPr>
      </w:pPr>
    </w:p>
    <w:p w14:paraId="7DF13FE9">
      <w:pPr>
        <w:pStyle w:val="37"/>
        <w:ind w:left="0" w:lef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投标人认为需要提供的其它商务</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技术资料和说明。</w:t>
      </w:r>
    </w:p>
    <w:p w14:paraId="6A6AFDD6">
      <w:pPr>
        <w:rPr>
          <w:rFonts w:hint="eastAsia" w:ascii="仿宋" w:hAnsi="仿宋" w:eastAsia="仿宋" w:cs="仿宋"/>
          <w:color w:val="auto"/>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60C9777-F3A7-41F0-99C4-D6CEB1AD400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4F852C75-49BF-47D2-B949-ADB0D2D5B95D}"/>
  </w:font>
  <w:font w:name="等线">
    <w:panose1 w:val="02010600030101010101"/>
    <w:charset w:val="86"/>
    <w:family w:val="auto"/>
    <w:pitch w:val="default"/>
    <w:sig w:usb0="A00002BF" w:usb1="38CF7CFA" w:usb2="00000016" w:usb3="00000000" w:csb0="0004000F" w:csb1="00000000"/>
    <w:embedRegular r:id="rId3" w:fontKey="{D78C29EC-B622-4995-BE6A-D9BD659F6D6E}"/>
  </w:font>
  <w:font w:name="仿宋_GB2312">
    <w:altName w:val="仿宋"/>
    <w:panose1 w:val="02010609030101010101"/>
    <w:charset w:val="86"/>
    <w:family w:val="modern"/>
    <w:pitch w:val="default"/>
    <w:sig w:usb0="00000000" w:usb1="00000000" w:usb2="00000000" w:usb3="00000000" w:csb0="00040000" w:csb1="00000000"/>
    <w:embedRegular r:id="rId4" w:fontKey="{36532587-3CAF-4C56-A6D1-0AEF5419BB05}"/>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EndPr>
                            <w:rPr>
                              <w:rFonts w:hint="eastAsia" w:ascii="仿宋" w:hAnsi="仿宋" w:eastAsia="仿宋" w:cs="仿宋"/>
                            </w:rPr>
                          </w:sdtEndPr>
                          <w:sdtContent>
                            <w:p w14:paraId="43E63C1D">
                              <w:pPr>
                                <w:pStyle w:val="19"/>
                                <w:jc w:val="center"/>
                                <w:rPr>
                                  <w:rFonts w:hint="eastAsia" w:ascii="仿宋" w:hAnsi="仿宋" w:eastAsia="仿宋" w:cs="仿宋"/>
                                </w:rPr>
                              </w:pPr>
                              <w:r>
                                <w:rPr>
                                  <w:rFonts w:hint="eastAsia" w:ascii="仿宋" w:hAnsi="仿宋" w:eastAsia="仿宋" w:cs="仿宋"/>
                                  <w:sz w:val="18"/>
                                  <w:szCs w:val="18"/>
                                </w:rPr>
                                <w:fldChar w:fldCharType="begin"/>
                              </w:r>
                              <w:r>
                                <w:rPr>
                                  <w:rFonts w:hint="eastAsia" w:ascii="仿宋" w:hAnsi="仿宋" w:eastAsia="仿宋" w:cs="仿宋"/>
                                  <w:sz w:val="18"/>
                                  <w:szCs w:val="18"/>
                                </w:rPr>
                                <w:instrText xml:space="preserve">PAGE   \* MERGEFORMAT</w:instrText>
                              </w:r>
                              <w:r>
                                <w:rPr>
                                  <w:rFonts w:hint="eastAsia" w:ascii="仿宋" w:hAnsi="仿宋" w:eastAsia="仿宋" w:cs="仿宋"/>
                                  <w:sz w:val="18"/>
                                  <w:szCs w:val="18"/>
                                </w:rPr>
                                <w:fldChar w:fldCharType="separate"/>
                              </w:r>
                              <w:r>
                                <w:rPr>
                                  <w:rFonts w:hint="eastAsia" w:ascii="仿宋" w:hAnsi="仿宋" w:eastAsia="仿宋" w:cs="仿宋"/>
                                  <w:sz w:val="18"/>
                                  <w:szCs w:val="18"/>
                                  <w:lang w:val="zh-CN"/>
                                </w:rPr>
                                <w:t>2</w:t>
                              </w:r>
                              <w:r>
                                <w:rPr>
                                  <w:rFonts w:hint="eastAsia" w:ascii="仿宋" w:hAnsi="仿宋" w:eastAsia="仿宋" w:cs="仿宋"/>
                                  <w:sz w:val="18"/>
                                  <w:szCs w:val="18"/>
                                </w:rPr>
                                <w:fldChar w:fldCharType="end"/>
                              </w:r>
                            </w:p>
                          </w:sdtContent>
                        </w:sdt>
                        <w:p w14:paraId="718A90B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4804"/>
                    </w:sdtPr>
                    <w:sdtEndPr>
                      <w:rPr>
                        <w:rFonts w:hint="eastAsia" w:ascii="仿宋" w:hAnsi="仿宋" w:eastAsia="仿宋" w:cs="仿宋"/>
                      </w:rPr>
                    </w:sdtEndPr>
                    <w:sdtContent>
                      <w:p w14:paraId="43E63C1D">
                        <w:pPr>
                          <w:pStyle w:val="19"/>
                          <w:jc w:val="center"/>
                          <w:rPr>
                            <w:rFonts w:hint="eastAsia" w:ascii="仿宋" w:hAnsi="仿宋" w:eastAsia="仿宋" w:cs="仿宋"/>
                          </w:rPr>
                        </w:pPr>
                        <w:r>
                          <w:rPr>
                            <w:rFonts w:hint="eastAsia" w:ascii="仿宋" w:hAnsi="仿宋" w:eastAsia="仿宋" w:cs="仿宋"/>
                            <w:sz w:val="18"/>
                            <w:szCs w:val="18"/>
                          </w:rPr>
                          <w:fldChar w:fldCharType="begin"/>
                        </w:r>
                        <w:r>
                          <w:rPr>
                            <w:rFonts w:hint="eastAsia" w:ascii="仿宋" w:hAnsi="仿宋" w:eastAsia="仿宋" w:cs="仿宋"/>
                            <w:sz w:val="18"/>
                            <w:szCs w:val="18"/>
                          </w:rPr>
                          <w:instrText xml:space="preserve">PAGE   \* MERGEFORMAT</w:instrText>
                        </w:r>
                        <w:r>
                          <w:rPr>
                            <w:rFonts w:hint="eastAsia" w:ascii="仿宋" w:hAnsi="仿宋" w:eastAsia="仿宋" w:cs="仿宋"/>
                            <w:sz w:val="18"/>
                            <w:szCs w:val="18"/>
                          </w:rPr>
                          <w:fldChar w:fldCharType="separate"/>
                        </w:r>
                        <w:r>
                          <w:rPr>
                            <w:rFonts w:hint="eastAsia" w:ascii="仿宋" w:hAnsi="仿宋" w:eastAsia="仿宋" w:cs="仿宋"/>
                            <w:sz w:val="18"/>
                            <w:szCs w:val="18"/>
                            <w:lang w:val="zh-CN"/>
                          </w:rPr>
                          <w:t>2</w:t>
                        </w:r>
                        <w:r>
                          <w:rPr>
                            <w:rFonts w:hint="eastAsia" w:ascii="仿宋" w:hAnsi="仿宋" w:eastAsia="仿宋" w:cs="仿宋"/>
                            <w:sz w:val="18"/>
                            <w:szCs w:val="18"/>
                          </w:rPr>
                          <w:fldChar w:fldCharType="end"/>
                        </w:r>
                      </w:p>
                    </w:sdtContent>
                  </w:sdt>
                  <w:p w14:paraId="718A90B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8494927"/>
    </w:sdtPr>
    <w:sdtContent>
      <w:p w14:paraId="3ECF9A56">
        <w:pPr>
          <w:pStyle w:val="19"/>
          <w:jc w:val="cente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PAGE   \* MERGEFORMAT</w:instrText>
        </w:r>
        <w:r>
          <w:rPr>
            <w:rFonts w:hint="eastAsia" w:ascii="仿宋" w:hAnsi="仿宋" w:eastAsia="仿宋" w:cs="仿宋"/>
            <w:sz w:val="21"/>
            <w:szCs w:val="21"/>
          </w:rPr>
          <w:fldChar w:fldCharType="separate"/>
        </w:r>
        <w:r>
          <w:rPr>
            <w:rFonts w:hint="eastAsia" w:ascii="仿宋" w:hAnsi="仿宋" w:eastAsia="仿宋" w:cs="仿宋"/>
            <w:sz w:val="21"/>
            <w:szCs w:val="21"/>
            <w:lang w:val="zh-CN"/>
          </w:rPr>
          <w:t>2</w:t>
        </w:r>
        <w:r>
          <w:rPr>
            <w:rFonts w:hint="eastAsia" w:ascii="仿宋" w:hAnsi="仿宋" w:eastAsia="仿宋" w:cs="仿宋"/>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1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18"/>
                              <w:szCs w:val="18"/>
                            </w:rPr>
                            <w:id w:val="-178428888"/>
                          </w:sdtPr>
                          <w:sdtEndPr>
                            <w:rPr>
                              <w:rFonts w:hint="eastAsia" w:ascii="仿宋" w:hAnsi="仿宋" w:eastAsia="仿宋" w:cs="仿宋"/>
                              <w:sz w:val="18"/>
                              <w:szCs w:val="18"/>
                            </w:rPr>
                          </w:sdtEndPr>
                          <w:sdtContent>
                            <w:p w14:paraId="1087FA9B">
                              <w:pPr>
                                <w:pStyle w:val="19"/>
                                <w:jc w:val="center"/>
                                <w:rPr>
                                  <w:rFonts w:hint="eastAsia" w:ascii="仿宋" w:hAnsi="仿宋" w:eastAsia="仿宋" w:cs="仿宋"/>
                                  <w:sz w:val="18"/>
                                  <w:szCs w:val="18"/>
                                </w:rPr>
                              </w:pPr>
                              <w:r>
                                <w:rPr>
                                  <w:rFonts w:hint="eastAsia" w:ascii="仿宋" w:hAnsi="仿宋" w:eastAsia="仿宋" w:cs="仿宋"/>
                                  <w:sz w:val="18"/>
                                  <w:szCs w:val="18"/>
                                </w:rPr>
                                <w:fldChar w:fldCharType="begin"/>
                              </w:r>
                              <w:r>
                                <w:rPr>
                                  <w:rFonts w:hint="eastAsia" w:ascii="仿宋" w:hAnsi="仿宋" w:eastAsia="仿宋" w:cs="仿宋"/>
                                  <w:sz w:val="18"/>
                                  <w:szCs w:val="18"/>
                                </w:rPr>
                                <w:instrText xml:space="preserve">PAGE   \* MERGEFORMAT</w:instrText>
                              </w:r>
                              <w:r>
                                <w:rPr>
                                  <w:rFonts w:hint="eastAsia" w:ascii="仿宋" w:hAnsi="仿宋" w:eastAsia="仿宋" w:cs="仿宋"/>
                                  <w:sz w:val="18"/>
                                  <w:szCs w:val="18"/>
                                </w:rPr>
                                <w:fldChar w:fldCharType="separate"/>
                              </w:r>
                              <w:r>
                                <w:rPr>
                                  <w:rFonts w:hint="eastAsia" w:ascii="仿宋" w:hAnsi="仿宋" w:eastAsia="仿宋" w:cs="仿宋"/>
                                  <w:sz w:val="18"/>
                                  <w:szCs w:val="18"/>
                                  <w:lang w:val="zh-CN"/>
                                </w:rPr>
                                <w:t>2</w:t>
                              </w:r>
                              <w:r>
                                <w:rPr>
                                  <w:rFonts w:hint="eastAsia" w:ascii="仿宋" w:hAnsi="仿宋" w:eastAsia="仿宋" w:cs="仿宋"/>
                                  <w:sz w:val="18"/>
                                  <w:szCs w:val="18"/>
                                </w:rPr>
                                <w:fldChar w:fldCharType="end"/>
                              </w:r>
                            </w:p>
                          </w:sdtContent>
                        </w:sdt>
                        <w:p w14:paraId="448A793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rPr>
                        <w:rFonts w:hint="eastAsia" w:ascii="仿宋" w:hAnsi="仿宋" w:eastAsia="仿宋" w:cs="仿宋"/>
                        <w:sz w:val="18"/>
                        <w:szCs w:val="18"/>
                      </w:rPr>
                      <w:id w:val="-178428888"/>
                    </w:sdtPr>
                    <w:sdtEndPr>
                      <w:rPr>
                        <w:rFonts w:hint="eastAsia" w:ascii="仿宋" w:hAnsi="仿宋" w:eastAsia="仿宋" w:cs="仿宋"/>
                        <w:sz w:val="18"/>
                        <w:szCs w:val="18"/>
                      </w:rPr>
                    </w:sdtEndPr>
                    <w:sdtContent>
                      <w:p w14:paraId="1087FA9B">
                        <w:pPr>
                          <w:pStyle w:val="19"/>
                          <w:jc w:val="center"/>
                          <w:rPr>
                            <w:rFonts w:hint="eastAsia" w:ascii="仿宋" w:hAnsi="仿宋" w:eastAsia="仿宋" w:cs="仿宋"/>
                            <w:sz w:val="18"/>
                            <w:szCs w:val="18"/>
                          </w:rPr>
                        </w:pPr>
                        <w:r>
                          <w:rPr>
                            <w:rFonts w:hint="eastAsia" w:ascii="仿宋" w:hAnsi="仿宋" w:eastAsia="仿宋" w:cs="仿宋"/>
                            <w:sz w:val="18"/>
                            <w:szCs w:val="18"/>
                          </w:rPr>
                          <w:fldChar w:fldCharType="begin"/>
                        </w:r>
                        <w:r>
                          <w:rPr>
                            <w:rFonts w:hint="eastAsia" w:ascii="仿宋" w:hAnsi="仿宋" w:eastAsia="仿宋" w:cs="仿宋"/>
                            <w:sz w:val="18"/>
                            <w:szCs w:val="18"/>
                          </w:rPr>
                          <w:instrText xml:space="preserve">PAGE   \* MERGEFORMAT</w:instrText>
                        </w:r>
                        <w:r>
                          <w:rPr>
                            <w:rFonts w:hint="eastAsia" w:ascii="仿宋" w:hAnsi="仿宋" w:eastAsia="仿宋" w:cs="仿宋"/>
                            <w:sz w:val="18"/>
                            <w:szCs w:val="18"/>
                          </w:rPr>
                          <w:fldChar w:fldCharType="separate"/>
                        </w:r>
                        <w:r>
                          <w:rPr>
                            <w:rFonts w:hint="eastAsia" w:ascii="仿宋" w:hAnsi="仿宋" w:eastAsia="仿宋" w:cs="仿宋"/>
                            <w:sz w:val="18"/>
                            <w:szCs w:val="18"/>
                            <w:lang w:val="zh-CN"/>
                          </w:rPr>
                          <w:t>2</w:t>
                        </w:r>
                        <w:r>
                          <w:rPr>
                            <w:rFonts w:hint="eastAsia" w:ascii="仿宋" w:hAnsi="仿宋" w:eastAsia="仿宋" w:cs="仿宋"/>
                            <w:sz w:val="18"/>
                            <w:szCs w:val="18"/>
                          </w:rPr>
                          <w:fldChar w:fldCharType="end"/>
                        </w:r>
                      </w:p>
                    </w:sdtContent>
                  </w:sdt>
                  <w:p w14:paraId="448A7938"/>
                </w:txbxContent>
              </v:textbox>
            </v:shape>
          </w:pict>
        </mc:Fallback>
      </mc:AlternateContent>
    </w:r>
  </w:p>
  <w:p w14:paraId="4005E617">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AC4">
    <w:pPr>
      <w:pStyle w:val="20"/>
      <w:keepNext w:val="0"/>
      <w:keepLines w:val="0"/>
      <w:pageBreakBefore w:val="0"/>
      <w:widowControl w:val="0"/>
      <w:kinsoku/>
      <w:wordWrap/>
      <w:overflowPunct/>
      <w:topLinePunct w:val="0"/>
      <w:bidi w:val="0"/>
      <w:adjustRightInd/>
      <w:snapToGrid w:val="0"/>
      <w:jc w:val="right"/>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兵团政府采购项目</w:t>
    </w:r>
    <w:r>
      <w:rPr>
        <w:rFonts w:hint="eastAsia" w:ascii="仿宋" w:hAnsi="仿宋" w:eastAsia="仿宋" w:cs="仿宋"/>
        <w:sz w:val="18"/>
        <w:szCs w:val="18"/>
      </w:rPr>
      <w:t>公开招标文件</w:t>
    </w:r>
    <w:r>
      <w:rPr>
        <w:rFonts w:hint="eastAsia" w:ascii="仿宋" w:hAnsi="仿宋" w:eastAsia="仿宋" w:cs="仿宋"/>
        <w:sz w:val="18"/>
        <w:szCs w:val="18"/>
        <w:lang w:val="en-US" w:eastAsia="zh-CN"/>
      </w:rPr>
      <w:t>（货物）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0"/>
    </w:pPr>
    <w:r>
      <w:rPr>
        <w:rFonts w:hint="eastAsia"/>
        <w:sz w:val="24"/>
        <w:szCs w:val="24"/>
        <w:lang w:val="en-US" w:eastAsia="zh-CN"/>
      </w:rPr>
      <w:t xml:space="preserve">                         </w:t>
    </w:r>
    <w:r>
      <w:rPr>
        <w:rFonts w:hint="eastAsia" w:ascii="宋体" w:hAnsi="宋体" w:eastAsia="宋体" w:cs="宋体"/>
        <w:sz w:val="18"/>
        <w:szCs w:val="18"/>
        <w:lang w:val="en-US" w:eastAsia="zh-CN"/>
      </w:rPr>
      <w:t>兵团政府采购项目</w:t>
    </w:r>
    <w:r>
      <w:rPr>
        <w:rFonts w:hint="eastAsia" w:ascii="宋体" w:hAnsi="宋体" w:eastAsia="宋体" w:cs="宋体"/>
        <w:sz w:val="18"/>
        <w:szCs w:val="18"/>
      </w:rPr>
      <w:t>公开招标文件</w:t>
    </w:r>
    <w:r>
      <w:rPr>
        <w:rFonts w:hint="eastAsia" w:ascii="宋体" w:hAnsi="宋体" w:eastAsia="宋体" w:cs="宋体"/>
        <w:sz w:val="18"/>
        <w:szCs w:val="18"/>
        <w:lang w:val="en-US" w:eastAsia="zh-CN"/>
      </w:rPr>
      <w:t>（货物）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E2401"/>
    <w:multiLevelType w:val="singleLevel"/>
    <w:tmpl w:val="88BE2401"/>
    <w:lvl w:ilvl="0" w:tentative="0">
      <w:start w:val="1"/>
      <w:numFmt w:val="decimal"/>
      <w:lvlText w:val="%1."/>
      <w:lvlJc w:val="left"/>
      <w:pPr>
        <w:ind w:left="425" w:hanging="425"/>
      </w:pPr>
      <w:rPr>
        <w:rFonts w:hint="default"/>
      </w:rPr>
    </w:lvl>
  </w:abstractNum>
  <w:abstractNum w:abstractNumId="1">
    <w:nsid w:val="8BCEEBCF"/>
    <w:multiLevelType w:val="singleLevel"/>
    <w:tmpl w:val="8BCEEBCF"/>
    <w:lvl w:ilvl="0" w:tentative="0">
      <w:start w:val="1"/>
      <w:numFmt w:val="chineseCounting"/>
      <w:suff w:val="space"/>
      <w:lvlText w:val="%1、"/>
      <w:lvlJc w:val="left"/>
      <w:rPr>
        <w:rFonts w:hint="eastAsia"/>
      </w:rPr>
    </w:lvl>
  </w:abstractNum>
  <w:abstractNum w:abstractNumId="2">
    <w:nsid w:val="9A3F58D9"/>
    <w:multiLevelType w:val="singleLevel"/>
    <w:tmpl w:val="9A3F58D9"/>
    <w:lvl w:ilvl="0" w:tentative="0">
      <w:start w:val="1"/>
      <w:numFmt w:val="decimal"/>
      <w:lvlText w:val="%1."/>
      <w:lvlJc w:val="left"/>
      <w:pPr>
        <w:ind w:left="425" w:hanging="425"/>
      </w:pPr>
      <w:rPr>
        <w:rFonts w:hint="default"/>
      </w:rPr>
    </w:lvl>
  </w:abstractNum>
  <w:abstractNum w:abstractNumId="3">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4">
    <w:nsid w:val="9F1650E4"/>
    <w:multiLevelType w:val="singleLevel"/>
    <w:tmpl w:val="9F1650E4"/>
    <w:lvl w:ilvl="0" w:tentative="0">
      <w:start w:val="1"/>
      <w:numFmt w:val="decimal"/>
      <w:lvlText w:val="%1."/>
      <w:lvlJc w:val="left"/>
      <w:pPr>
        <w:ind w:left="425" w:hanging="425"/>
      </w:pPr>
      <w:rPr>
        <w:rFonts w:hint="default"/>
      </w:rPr>
    </w:lvl>
  </w:abstractNum>
  <w:abstractNum w:abstractNumId="5">
    <w:nsid w:val="A0B57810"/>
    <w:multiLevelType w:val="singleLevel"/>
    <w:tmpl w:val="A0B57810"/>
    <w:lvl w:ilvl="0" w:tentative="0">
      <w:start w:val="1"/>
      <w:numFmt w:val="decimal"/>
      <w:lvlText w:val="%1."/>
      <w:lvlJc w:val="left"/>
      <w:pPr>
        <w:ind w:left="425" w:hanging="425"/>
      </w:pPr>
      <w:rPr>
        <w:rFonts w:hint="default"/>
      </w:rPr>
    </w:lvl>
  </w:abstractNum>
  <w:abstractNum w:abstractNumId="6">
    <w:nsid w:val="A15800D6"/>
    <w:multiLevelType w:val="singleLevel"/>
    <w:tmpl w:val="A15800D6"/>
    <w:lvl w:ilvl="0" w:tentative="0">
      <w:start w:val="1"/>
      <w:numFmt w:val="decimal"/>
      <w:lvlText w:val="%1."/>
      <w:lvlJc w:val="left"/>
      <w:pPr>
        <w:ind w:left="425" w:hanging="425"/>
      </w:pPr>
      <w:rPr>
        <w:rFonts w:hint="default"/>
      </w:rPr>
    </w:lvl>
  </w:abstractNum>
  <w:abstractNum w:abstractNumId="7">
    <w:nsid w:val="A1DAEFB5"/>
    <w:multiLevelType w:val="singleLevel"/>
    <w:tmpl w:val="A1DAEFB5"/>
    <w:lvl w:ilvl="0" w:tentative="0">
      <w:start w:val="1"/>
      <w:numFmt w:val="decimal"/>
      <w:lvlText w:val="%1."/>
      <w:lvlJc w:val="left"/>
      <w:pPr>
        <w:ind w:left="425" w:hanging="425"/>
      </w:pPr>
      <w:rPr>
        <w:rFonts w:hint="default"/>
      </w:rPr>
    </w:lvl>
  </w:abstractNum>
  <w:abstractNum w:abstractNumId="8">
    <w:nsid w:val="AC5D34A5"/>
    <w:multiLevelType w:val="singleLevel"/>
    <w:tmpl w:val="AC5D34A5"/>
    <w:lvl w:ilvl="0" w:tentative="0">
      <w:start w:val="1"/>
      <w:numFmt w:val="decimal"/>
      <w:lvlText w:val="%1."/>
      <w:lvlJc w:val="left"/>
      <w:pPr>
        <w:ind w:left="425" w:hanging="425"/>
      </w:pPr>
      <w:rPr>
        <w:rFonts w:hint="default"/>
      </w:rPr>
    </w:lvl>
  </w:abstractNum>
  <w:abstractNum w:abstractNumId="9">
    <w:nsid w:val="AD4816FE"/>
    <w:multiLevelType w:val="singleLevel"/>
    <w:tmpl w:val="AD4816FE"/>
    <w:lvl w:ilvl="0" w:tentative="0">
      <w:start w:val="1"/>
      <w:numFmt w:val="chineseCounting"/>
      <w:suff w:val="space"/>
      <w:lvlText w:val="%1、"/>
      <w:lvlJc w:val="left"/>
      <w:rPr>
        <w:rFonts w:hint="eastAsia"/>
      </w:rPr>
    </w:lvl>
  </w:abstractNum>
  <w:abstractNum w:abstractNumId="10">
    <w:nsid w:val="B772E632"/>
    <w:multiLevelType w:val="singleLevel"/>
    <w:tmpl w:val="B772E632"/>
    <w:lvl w:ilvl="0" w:tentative="0">
      <w:start w:val="1"/>
      <w:numFmt w:val="chineseCounting"/>
      <w:suff w:val="space"/>
      <w:lvlText w:val="%1、"/>
      <w:lvlJc w:val="left"/>
      <w:rPr>
        <w:rFonts w:hint="eastAsia"/>
      </w:rPr>
    </w:lvl>
  </w:abstractNum>
  <w:abstractNum w:abstractNumId="11">
    <w:nsid w:val="BADEEAAD"/>
    <w:multiLevelType w:val="singleLevel"/>
    <w:tmpl w:val="BADEEAAD"/>
    <w:lvl w:ilvl="0" w:tentative="0">
      <w:start w:val="1"/>
      <w:numFmt w:val="decimal"/>
      <w:lvlText w:val="(%1)"/>
      <w:lvlJc w:val="left"/>
      <w:pPr>
        <w:ind w:left="425" w:hanging="425"/>
      </w:pPr>
      <w:rPr>
        <w:rFonts w:hint="default"/>
      </w:rPr>
    </w:lvl>
  </w:abstractNum>
  <w:abstractNum w:abstractNumId="12">
    <w:nsid w:val="BD1A3F74"/>
    <w:multiLevelType w:val="singleLevel"/>
    <w:tmpl w:val="BD1A3F74"/>
    <w:lvl w:ilvl="0" w:tentative="0">
      <w:start w:val="1"/>
      <w:numFmt w:val="decimal"/>
      <w:lvlText w:val="%1."/>
      <w:lvlJc w:val="left"/>
      <w:pPr>
        <w:ind w:left="425" w:hanging="425"/>
      </w:pPr>
      <w:rPr>
        <w:rFonts w:hint="default"/>
      </w:rPr>
    </w:lvl>
  </w:abstractNum>
  <w:abstractNum w:abstractNumId="13">
    <w:nsid w:val="BE9741DD"/>
    <w:multiLevelType w:val="singleLevel"/>
    <w:tmpl w:val="BE9741DD"/>
    <w:lvl w:ilvl="0" w:tentative="0">
      <w:start w:val="1"/>
      <w:numFmt w:val="decimal"/>
      <w:lvlText w:val="%1."/>
      <w:lvlJc w:val="left"/>
      <w:pPr>
        <w:ind w:left="425" w:hanging="425"/>
      </w:pPr>
      <w:rPr>
        <w:rFonts w:hint="default"/>
      </w:rPr>
    </w:lvl>
  </w:abstractNum>
  <w:abstractNum w:abstractNumId="14">
    <w:nsid w:val="BEC01FD7"/>
    <w:multiLevelType w:val="singleLevel"/>
    <w:tmpl w:val="BEC01FD7"/>
    <w:lvl w:ilvl="0" w:tentative="0">
      <w:start w:val="1"/>
      <w:numFmt w:val="decimal"/>
      <w:lvlText w:val="%1."/>
      <w:lvlJc w:val="left"/>
      <w:pPr>
        <w:ind w:left="425" w:hanging="425"/>
      </w:pPr>
      <w:rPr>
        <w:rFonts w:hint="default"/>
      </w:rPr>
    </w:lvl>
  </w:abstractNum>
  <w:abstractNum w:abstractNumId="15">
    <w:nsid w:val="C2DE2792"/>
    <w:multiLevelType w:val="singleLevel"/>
    <w:tmpl w:val="C2DE2792"/>
    <w:lvl w:ilvl="0" w:tentative="0">
      <w:start w:val="1"/>
      <w:numFmt w:val="decimal"/>
      <w:lvlText w:val="%1."/>
      <w:lvlJc w:val="left"/>
      <w:pPr>
        <w:ind w:left="425" w:hanging="425"/>
      </w:pPr>
      <w:rPr>
        <w:rFonts w:hint="default"/>
      </w:rPr>
    </w:lvl>
  </w:abstractNum>
  <w:abstractNum w:abstractNumId="16">
    <w:nsid w:val="C2E5B272"/>
    <w:multiLevelType w:val="singleLevel"/>
    <w:tmpl w:val="C2E5B272"/>
    <w:lvl w:ilvl="0" w:tentative="0">
      <w:start w:val="1"/>
      <w:numFmt w:val="decimal"/>
      <w:lvlText w:val="%1."/>
      <w:lvlJc w:val="left"/>
      <w:pPr>
        <w:ind w:left="425" w:hanging="425"/>
      </w:pPr>
      <w:rPr>
        <w:rFonts w:hint="default"/>
      </w:rPr>
    </w:lvl>
  </w:abstractNum>
  <w:abstractNum w:abstractNumId="17">
    <w:nsid w:val="C3A86A21"/>
    <w:multiLevelType w:val="singleLevel"/>
    <w:tmpl w:val="C3A86A21"/>
    <w:lvl w:ilvl="0" w:tentative="0">
      <w:start w:val="1"/>
      <w:numFmt w:val="decimal"/>
      <w:lvlText w:val="%1."/>
      <w:lvlJc w:val="left"/>
      <w:pPr>
        <w:ind w:left="425" w:hanging="425"/>
      </w:pPr>
      <w:rPr>
        <w:rFonts w:hint="default"/>
      </w:rPr>
    </w:lvl>
  </w:abstractNum>
  <w:abstractNum w:abstractNumId="18">
    <w:nsid w:val="C8D5763B"/>
    <w:multiLevelType w:val="singleLevel"/>
    <w:tmpl w:val="C8D5763B"/>
    <w:lvl w:ilvl="0" w:tentative="0">
      <w:start w:val="1"/>
      <w:numFmt w:val="decimal"/>
      <w:lvlText w:val="%1."/>
      <w:lvlJc w:val="left"/>
      <w:pPr>
        <w:ind w:left="425" w:hanging="425"/>
      </w:pPr>
      <w:rPr>
        <w:rFonts w:hint="default"/>
      </w:rPr>
    </w:lvl>
  </w:abstractNum>
  <w:abstractNum w:abstractNumId="19">
    <w:nsid w:val="C9A35DEA"/>
    <w:multiLevelType w:val="singleLevel"/>
    <w:tmpl w:val="C9A35DEA"/>
    <w:lvl w:ilvl="0" w:tentative="0">
      <w:start w:val="1"/>
      <w:numFmt w:val="decimal"/>
      <w:lvlText w:val="%1."/>
      <w:lvlJc w:val="left"/>
      <w:pPr>
        <w:ind w:left="425" w:hanging="425"/>
      </w:pPr>
      <w:rPr>
        <w:rFonts w:hint="default"/>
      </w:rPr>
    </w:lvl>
  </w:abstractNum>
  <w:abstractNum w:abstractNumId="20">
    <w:nsid w:val="CA4BE522"/>
    <w:multiLevelType w:val="singleLevel"/>
    <w:tmpl w:val="CA4BE522"/>
    <w:lvl w:ilvl="0" w:tentative="0">
      <w:start w:val="3"/>
      <w:numFmt w:val="chineseCounting"/>
      <w:suff w:val="nothing"/>
      <w:lvlText w:val="%1、"/>
      <w:lvlJc w:val="left"/>
      <w:rPr>
        <w:rFonts w:hint="eastAsia"/>
      </w:rPr>
    </w:lvl>
  </w:abstractNum>
  <w:abstractNum w:abstractNumId="21">
    <w:nsid w:val="CAF70EB2"/>
    <w:multiLevelType w:val="singleLevel"/>
    <w:tmpl w:val="CAF70EB2"/>
    <w:lvl w:ilvl="0" w:tentative="0">
      <w:start w:val="1"/>
      <w:numFmt w:val="decimal"/>
      <w:lvlText w:val="%1."/>
      <w:lvlJc w:val="left"/>
      <w:pPr>
        <w:ind w:left="425" w:hanging="425"/>
      </w:pPr>
      <w:rPr>
        <w:rFonts w:hint="default"/>
      </w:rPr>
    </w:lvl>
  </w:abstractNum>
  <w:abstractNum w:abstractNumId="22">
    <w:nsid w:val="CC255CAE"/>
    <w:multiLevelType w:val="singleLevel"/>
    <w:tmpl w:val="CC255CAE"/>
    <w:lvl w:ilvl="0" w:tentative="0">
      <w:start w:val="1"/>
      <w:numFmt w:val="decimal"/>
      <w:lvlText w:val="%1."/>
      <w:lvlJc w:val="left"/>
      <w:pPr>
        <w:ind w:left="425" w:hanging="425"/>
      </w:pPr>
      <w:rPr>
        <w:rFonts w:hint="default"/>
      </w:rPr>
    </w:lvl>
  </w:abstractNum>
  <w:abstractNum w:abstractNumId="23">
    <w:nsid w:val="CDD70C84"/>
    <w:multiLevelType w:val="singleLevel"/>
    <w:tmpl w:val="CDD70C84"/>
    <w:lvl w:ilvl="0" w:tentative="0">
      <w:start w:val="1"/>
      <w:numFmt w:val="decimal"/>
      <w:lvlText w:val="%1."/>
      <w:lvlJc w:val="left"/>
      <w:pPr>
        <w:ind w:left="425" w:hanging="425"/>
      </w:pPr>
      <w:rPr>
        <w:rFonts w:hint="default"/>
      </w:rPr>
    </w:lvl>
  </w:abstractNum>
  <w:abstractNum w:abstractNumId="24">
    <w:nsid w:val="CE8064EA"/>
    <w:multiLevelType w:val="singleLevel"/>
    <w:tmpl w:val="CE8064EA"/>
    <w:lvl w:ilvl="0" w:tentative="0">
      <w:start w:val="1"/>
      <w:numFmt w:val="decimal"/>
      <w:lvlText w:val="%1."/>
      <w:lvlJc w:val="left"/>
      <w:pPr>
        <w:ind w:left="425" w:hanging="425"/>
      </w:pPr>
      <w:rPr>
        <w:rFonts w:hint="default"/>
      </w:rPr>
    </w:lvl>
  </w:abstractNum>
  <w:abstractNum w:abstractNumId="25">
    <w:nsid w:val="D0A0FE7C"/>
    <w:multiLevelType w:val="singleLevel"/>
    <w:tmpl w:val="D0A0FE7C"/>
    <w:lvl w:ilvl="0" w:tentative="0">
      <w:start w:val="1"/>
      <w:numFmt w:val="decimal"/>
      <w:lvlText w:val="%1."/>
      <w:lvlJc w:val="left"/>
      <w:pPr>
        <w:ind w:left="425" w:hanging="425"/>
      </w:pPr>
      <w:rPr>
        <w:rFonts w:hint="default"/>
      </w:rPr>
    </w:lvl>
  </w:abstractNum>
  <w:abstractNum w:abstractNumId="26">
    <w:nsid w:val="D1673FBC"/>
    <w:multiLevelType w:val="singleLevel"/>
    <w:tmpl w:val="D1673FBC"/>
    <w:lvl w:ilvl="0" w:tentative="0">
      <w:start w:val="1"/>
      <w:numFmt w:val="chineseCounting"/>
      <w:suff w:val="space"/>
      <w:lvlText w:val="%1、"/>
      <w:lvlJc w:val="left"/>
      <w:rPr>
        <w:rFonts w:hint="eastAsia"/>
      </w:rPr>
    </w:lvl>
  </w:abstractNum>
  <w:abstractNum w:abstractNumId="27">
    <w:nsid w:val="D1B48366"/>
    <w:multiLevelType w:val="singleLevel"/>
    <w:tmpl w:val="D1B48366"/>
    <w:lvl w:ilvl="0" w:tentative="0">
      <w:start w:val="1"/>
      <w:numFmt w:val="decimal"/>
      <w:lvlText w:val="%1."/>
      <w:lvlJc w:val="left"/>
      <w:pPr>
        <w:ind w:left="425" w:hanging="425"/>
      </w:pPr>
      <w:rPr>
        <w:rFonts w:hint="default"/>
      </w:rPr>
    </w:lvl>
  </w:abstractNum>
  <w:abstractNum w:abstractNumId="28">
    <w:nsid w:val="D95B84FC"/>
    <w:multiLevelType w:val="singleLevel"/>
    <w:tmpl w:val="D95B84FC"/>
    <w:lvl w:ilvl="0" w:tentative="0">
      <w:start w:val="1"/>
      <w:numFmt w:val="decimal"/>
      <w:lvlText w:val="%1."/>
      <w:lvlJc w:val="left"/>
      <w:pPr>
        <w:ind w:left="425" w:hanging="425"/>
      </w:pPr>
      <w:rPr>
        <w:rFonts w:hint="default"/>
      </w:rPr>
    </w:lvl>
  </w:abstractNum>
  <w:abstractNum w:abstractNumId="29">
    <w:nsid w:val="DB1AB993"/>
    <w:multiLevelType w:val="singleLevel"/>
    <w:tmpl w:val="DB1AB993"/>
    <w:lvl w:ilvl="0" w:tentative="0">
      <w:start w:val="1"/>
      <w:numFmt w:val="decimal"/>
      <w:lvlText w:val="%1."/>
      <w:lvlJc w:val="left"/>
      <w:pPr>
        <w:ind w:left="425" w:hanging="425"/>
      </w:pPr>
      <w:rPr>
        <w:rFonts w:hint="default"/>
      </w:rPr>
    </w:lvl>
  </w:abstractNum>
  <w:abstractNum w:abstractNumId="30">
    <w:nsid w:val="DE646CE7"/>
    <w:multiLevelType w:val="singleLevel"/>
    <w:tmpl w:val="DE646CE7"/>
    <w:lvl w:ilvl="0" w:tentative="0">
      <w:start w:val="1"/>
      <w:numFmt w:val="decimal"/>
      <w:lvlText w:val="%1."/>
      <w:lvlJc w:val="left"/>
      <w:pPr>
        <w:ind w:left="425" w:hanging="425"/>
      </w:pPr>
      <w:rPr>
        <w:rFonts w:hint="default"/>
      </w:rPr>
    </w:lvl>
  </w:abstractNum>
  <w:abstractNum w:abstractNumId="31">
    <w:nsid w:val="DFEE1544"/>
    <w:multiLevelType w:val="singleLevel"/>
    <w:tmpl w:val="DFEE1544"/>
    <w:lvl w:ilvl="0" w:tentative="0">
      <w:start w:val="1"/>
      <w:numFmt w:val="decimal"/>
      <w:lvlText w:val="%1."/>
      <w:lvlJc w:val="left"/>
      <w:pPr>
        <w:ind w:left="425" w:hanging="425"/>
      </w:pPr>
      <w:rPr>
        <w:rFonts w:hint="default"/>
      </w:rPr>
    </w:lvl>
  </w:abstractNum>
  <w:abstractNum w:abstractNumId="32">
    <w:nsid w:val="E41B264A"/>
    <w:multiLevelType w:val="singleLevel"/>
    <w:tmpl w:val="E41B264A"/>
    <w:lvl w:ilvl="0" w:tentative="0">
      <w:start w:val="1"/>
      <w:numFmt w:val="decimal"/>
      <w:lvlText w:val="%1."/>
      <w:lvlJc w:val="left"/>
      <w:pPr>
        <w:ind w:left="425" w:hanging="425"/>
      </w:pPr>
      <w:rPr>
        <w:rFonts w:hint="default"/>
      </w:rPr>
    </w:lvl>
  </w:abstractNum>
  <w:abstractNum w:abstractNumId="33">
    <w:nsid w:val="E75E7BE8"/>
    <w:multiLevelType w:val="singleLevel"/>
    <w:tmpl w:val="E75E7BE8"/>
    <w:lvl w:ilvl="0" w:tentative="0">
      <w:start w:val="1"/>
      <w:numFmt w:val="chineseCounting"/>
      <w:suff w:val="space"/>
      <w:lvlText w:val="%1、"/>
      <w:lvlJc w:val="left"/>
      <w:rPr>
        <w:rFonts w:hint="eastAsia"/>
      </w:rPr>
    </w:lvl>
  </w:abstractNum>
  <w:abstractNum w:abstractNumId="34">
    <w:nsid w:val="EB65C1EE"/>
    <w:multiLevelType w:val="singleLevel"/>
    <w:tmpl w:val="EB65C1EE"/>
    <w:lvl w:ilvl="0" w:tentative="0">
      <w:start w:val="1"/>
      <w:numFmt w:val="decimal"/>
      <w:lvlText w:val="%1."/>
      <w:lvlJc w:val="left"/>
      <w:pPr>
        <w:ind w:left="425" w:hanging="425"/>
      </w:pPr>
      <w:rPr>
        <w:rFonts w:hint="default"/>
      </w:rPr>
    </w:lvl>
  </w:abstractNum>
  <w:abstractNum w:abstractNumId="35">
    <w:nsid w:val="F1E51102"/>
    <w:multiLevelType w:val="singleLevel"/>
    <w:tmpl w:val="F1E51102"/>
    <w:lvl w:ilvl="0" w:tentative="0">
      <w:start w:val="1"/>
      <w:numFmt w:val="chineseCounting"/>
      <w:suff w:val="space"/>
      <w:lvlText w:val="%1、"/>
      <w:lvlJc w:val="left"/>
      <w:rPr>
        <w:rFonts w:hint="eastAsia"/>
      </w:rPr>
    </w:lvl>
  </w:abstractNum>
  <w:abstractNum w:abstractNumId="36">
    <w:nsid w:val="FF5CD4A1"/>
    <w:multiLevelType w:val="singleLevel"/>
    <w:tmpl w:val="FF5CD4A1"/>
    <w:lvl w:ilvl="0" w:tentative="0">
      <w:start w:val="1"/>
      <w:numFmt w:val="decimal"/>
      <w:lvlText w:val="%1."/>
      <w:lvlJc w:val="left"/>
      <w:pPr>
        <w:ind w:left="425" w:hanging="425"/>
      </w:pPr>
      <w:rPr>
        <w:rFonts w:hint="default"/>
      </w:rPr>
    </w:lvl>
  </w:abstractNum>
  <w:abstractNum w:abstractNumId="37">
    <w:nsid w:val="08C20F06"/>
    <w:multiLevelType w:val="singleLevel"/>
    <w:tmpl w:val="08C20F06"/>
    <w:lvl w:ilvl="0" w:tentative="0">
      <w:start w:val="1"/>
      <w:numFmt w:val="chineseCounting"/>
      <w:suff w:val="space"/>
      <w:lvlText w:val="%1、"/>
      <w:lvlJc w:val="left"/>
      <w:rPr>
        <w:rFonts w:hint="eastAsia"/>
      </w:rPr>
    </w:lvl>
  </w:abstractNum>
  <w:abstractNum w:abstractNumId="38">
    <w:nsid w:val="10D6C5EB"/>
    <w:multiLevelType w:val="singleLevel"/>
    <w:tmpl w:val="10D6C5EB"/>
    <w:lvl w:ilvl="0" w:tentative="0">
      <w:start w:val="1"/>
      <w:numFmt w:val="decimal"/>
      <w:lvlText w:val="%1."/>
      <w:lvlJc w:val="left"/>
      <w:pPr>
        <w:ind w:left="425" w:hanging="425"/>
      </w:pPr>
      <w:rPr>
        <w:rFonts w:hint="default"/>
      </w:rPr>
    </w:lvl>
  </w:abstractNum>
  <w:abstractNum w:abstractNumId="39">
    <w:nsid w:val="11BE4C4D"/>
    <w:multiLevelType w:val="singleLevel"/>
    <w:tmpl w:val="11BE4C4D"/>
    <w:lvl w:ilvl="0" w:tentative="0">
      <w:start w:val="1"/>
      <w:numFmt w:val="chineseCounting"/>
      <w:suff w:val="space"/>
      <w:lvlText w:val="%1、"/>
      <w:lvlJc w:val="left"/>
      <w:rPr>
        <w:rFonts w:hint="eastAsia"/>
      </w:rPr>
    </w:lvl>
  </w:abstractNum>
  <w:abstractNum w:abstractNumId="40">
    <w:nsid w:val="11FFE9EC"/>
    <w:multiLevelType w:val="singleLevel"/>
    <w:tmpl w:val="11FFE9EC"/>
    <w:lvl w:ilvl="0" w:tentative="0">
      <w:start w:val="1"/>
      <w:numFmt w:val="decimal"/>
      <w:lvlText w:val="%1."/>
      <w:lvlJc w:val="left"/>
      <w:pPr>
        <w:ind w:left="425" w:hanging="425"/>
      </w:pPr>
      <w:rPr>
        <w:rFonts w:hint="default"/>
      </w:rPr>
    </w:lvl>
  </w:abstractNum>
  <w:abstractNum w:abstractNumId="41">
    <w:nsid w:val="15A7D5E0"/>
    <w:multiLevelType w:val="singleLevel"/>
    <w:tmpl w:val="15A7D5E0"/>
    <w:lvl w:ilvl="0" w:tentative="0">
      <w:start w:val="1"/>
      <w:numFmt w:val="chineseCounting"/>
      <w:suff w:val="space"/>
      <w:lvlText w:val="%1、"/>
      <w:lvlJc w:val="left"/>
      <w:rPr>
        <w:rFonts w:hint="eastAsia"/>
      </w:rPr>
    </w:lvl>
  </w:abstractNum>
  <w:abstractNum w:abstractNumId="42">
    <w:nsid w:val="167FB5A4"/>
    <w:multiLevelType w:val="singleLevel"/>
    <w:tmpl w:val="167FB5A4"/>
    <w:lvl w:ilvl="0" w:tentative="0">
      <w:start w:val="1"/>
      <w:numFmt w:val="decimal"/>
      <w:lvlText w:val="%1."/>
      <w:lvlJc w:val="left"/>
      <w:pPr>
        <w:ind w:left="425" w:hanging="425"/>
      </w:pPr>
      <w:rPr>
        <w:rFonts w:hint="default"/>
      </w:rPr>
    </w:lvl>
  </w:abstractNum>
  <w:abstractNum w:abstractNumId="43">
    <w:nsid w:val="16AFC3B0"/>
    <w:multiLevelType w:val="singleLevel"/>
    <w:tmpl w:val="16AFC3B0"/>
    <w:lvl w:ilvl="0" w:tentative="0">
      <w:start w:val="1"/>
      <w:numFmt w:val="decimal"/>
      <w:lvlText w:val="%1."/>
      <w:lvlJc w:val="left"/>
      <w:pPr>
        <w:ind w:left="425" w:hanging="425"/>
      </w:pPr>
      <w:rPr>
        <w:rFonts w:hint="default"/>
      </w:rPr>
    </w:lvl>
  </w:abstractNum>
  <w:abstractNum w:abstractNumId="44">
    <w:nsid w:val="172B9913"/>
    <w:multiLevelType w:val="singleLevel"/>
    <w:tmpl w:val="172B9913"/>
    <w:lvl w:ilvl="0" w:tentative="0">
      <w:start w:val="1"/>
      <w:numFmt w:val="decimal"/>
      <w:lvlText w:val="%1."/>
      <w:lvlJc w:val="left"/>
      <w:pPr>
        <w:ind w:left="425" w:hanging="425"/>
      </w:pPr>
      <w:rPr>
        <w:rFonts w:hint="default"/>
      </w:rPr>
    </w:lvl>
  </w:abstractNum>
  <w:abstractNum w:abstractNumId="45">
    <w:nsid w:val="17DAFC51"/>
    <w:multiLevelType w:val="singleLevel"/>
    <w:tmpl w:val="17DAFC51"/>
    <w:lvl w:ilvl="0" w:tentative="0">
      <w:start w:val="1"/>
      <w:numFmt w:val="decimal"/>
      <w:lvlText w:val="%1."/>
      <w:lvlJc w:val="left"/>
      <w:pPr>
        <w:ind w:left="425" w:hanging="425"/>
      </w:pPr>
      <w:rPr>
        <w:rFonts w:hint="default"/>
      </w:rPr>
    </w:lvl>
  </w:abstractNum>
  <w:abstractNum w:abstractNumId="46">
    <w:nsid w:val="1814FF8D"/>
    <w:multiLevelType w:val="singleLevel"/>
    <w:tmpl w:val="1814FF8D"/>
    <w:lvl w:ilvl="0" w:tentative="0">
      <w:start w:val="1"/>
      <w:numFmt w:val="decimal"/>
      <w:lvlText w:val="%1."/>
      <w:lvlJc w:val="left"/>
      <w:pPr>
        <w:tabs>
          <w:tab w:val="left" w:pos="312"/>
        </w:tabs>
        <w:ind w:left="120" w:firstLine="0"/>
      </w:pPr>
    </w:lvl>
  </w:abstractNum>
  <w:abstractNum w:abstractNumId="47">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210EC7FB"/>
    <w:multiLevelType w:val="singleLevel"/>
    <w:tmpl w:val="210EC7FB"/>
    <w:lvl w:ilvl="0" w:tentative="0">
      <w:start w:val="1"/>
      <w:numFmt w:val="chineseCounting"/>
      <w:suff w:val="space"/>
      <w:lvlText w:val="%1、"/>
      <w:lvlJc w:val="left"/>
      <w:rPr>
        <w:rFonts w:hint="eastAsia"/>
      </w:rPr>
    </w:lvl>
  </w:abstractNum>
  <w:abstractNum w:abstractNumId="49">
    <w:nsid w:val="2150D604"/>
    <w:multiLevelType w:val="singleLevel"/>
    <w:tmpl w:val="2150D604"/>
    <w:lvl w:ilvl="0" w:tentative="0">
      <w:start w:val="1"/>
      <w:numFmt w:val="decimal"/>
      <w:lvlText w:val="%1."/>
      <w:lvlJc w:val="left"/>
      <w:pPr>
        <w:ind w:left="425" w:hanging="425"/>
      </w:pPr>
      <w:rPr>
        <w:rFonts w:hint="default"/>
      </w:rPr>
    </w:lvl>
  </w:abstractNum>
  <w:abstractNum w:abstractNumId="50">
    <w:nsid w:val="254816AB"/>
    <w:multiLevelType w:val="singleLevel"/>
    <w:tmpl w:val="254816AB"/>
    <w:lvl w:ilvl="0" w:tentative="0">
      <w:start w:val="1"/>
      <w:numFmt w:val="decimal"/>
      <w:lvlText w:val="%1."/>
      <w:lvlJc w:val="left"/>
      <w:pPr>
        <w:ind w:left="425" w:hanging="425"/>
      </w:pPr>
      <w:rPr>
        <w:rFonts w:hint="default"/>
      </w:rPr>
    </w:lvl>
  </w:abstractNum>
  <w:abstractNum w:abstractNumId="51">
    <w:nsid w:val="262608C4"/>
    <w:multiLevelType w:val="singleLevel"/>
    <w:tmpl w:val="262608C4"/>
    <w:lvl w:ilvl="0" w:tentative="0">
      <w:start w:val="1"/>
      <w:numFmt w:val="chineseCounting"/>
      <w:suff w:val="space"/>
      <w:lvlText w:val="%1、"/>
      <w:lvlJc w:val="left"/>
      <w:rPr>
        <w:rFonts w:hint="eastAsia"/>
      </w:rPr>
    </w:lvl>
  </w:abstractNum>
  <w:abstractNum w:abstractNumId="52">
    <w:nsid w:val="266A5841"/>
    <w:multiLevelType w:val="singleLevel"/>
    <w:tmpl w:val="266A5841"/>
    <w:lvl w:ilvl="0" w:tentative="0">
      <w:start w:val="1"/>
      <w:numFmt w:val="chineseCounting"/>
      <w:suff w:val="space"/>
      <w:lvlText w:val="%1、"/>
      <w:lvlJc w:val="left"/>
      <w:rPr>
        <w:rFonts w:hint="eastAsia"/>
      </w:rPr>
    </w:lvl>
  </w:abstractNum>
  <w:abstractNum w:abstractNumId="53">
    <w:nsid w:val="282A8EAC"/>
    <w:multiLevelType w:val="singleLevel"/>
    <w:tmpl w:val="282A8EAC"/>
    <w:lvl w:ilvl="0" w:tentative="0">
      <w:start w:val="1"/>
      <w:numFmt w:val="chineseCounting"/>
      <w:suff w:val="space"/>
      <w:lvlText w:val="%1、"/>
      <w:lvlJc w:val="left"/>
      <w:rPr>
        <w:rFonts w:hint="eastAsia"/>
      </w:rPr>
    </w:lvl>
  </w:abstractNum>
  <w:abstractNum w:abstractNumId="54">
    <w:nsid w:val="28C92FB1"/>
    <w:multiLevelType w:val="singleLevel"/>
    <w:tmpl w:val="28C92FB1"/>
    <w:lvl w:ilvl="0" w:tentative="0">
      <w:start w:val="1"/>
      <w:numFmt w:val="decimal"/>
      <w:lvlText w:val="%1."/>
      <w:lvlJc w:val="left"/>
      <w:pPr>
        <w:tabs>
          <w:tab w:val="left" w:pos="312"/>
        </w:tabs>
      </w:pPr>
    </w:lvl>
  </w:abstractNum>
  <w:abstractNum w:abstractNumId="55">
    <w:nsid w:val="2A7F285F"/>
    <w:multiLevelType w:val="singleLevel"/>
    <w:tmpl w:val="2A7F285F"/>
    <w:lvl w:ilvl="0" w:tentative="0">
      <w:start w:val="1"/>
      <w:numFmt w:val="decimal"/>
      <w:lvlText w:val="%1."/>
      <w:lvlJc w:val="left"/>
      <w:pPr>
        <w:ind w:left="425" w:hanging="425"/>
      </w:pPr>
      <w:rPr>
        <w:rFonts w:hint="default"/>
      </w:rPr>
    </w:lvl>
  </w:abstractNum>
  <w:abstractNum w:abstractNumId="56">
    <w:nsid w:val="2C45DF7B"/>
    <w:multiLevelType w:val="singleLevel"/>
    <w:tmpl w:val="2C45DF7B"/>
    <w:lvl w:ilvl="0" w:tentative="0">
      <w:start w:val="1"/>
      <w:numFmt w:val="decimal"/>
      <w:lvlText w:val="%1."/>
      <w:lvlJc w:val="left"/>
      <w:pPr>
        <w:ind w:left="425" w:hanging="425"/>
      </w:pPr>
      <w:rPr>
        <w:rFonts w:hint="default"/>
      </w:rPr>
    </w:lvl>
  </w:abstractNum>
  <w:abstractNum w:abstractNumId="57">
    <w:nsid w:val="3021E9E8"/>
    <w:multiLevelType w:val="singleLevel"/>
    <w:tmpl w:val="3021E9E8"/>
    <w:lvl w:ilvl="0" w:tentative="0">
      <w:start w:val="1"/>
      <w:numFmt w:val="decimal"/>
      <w:lvlText w:val="%1."/>
      <w:lvlJc w:val="left"/>
      <w:pPr>
        <w:ind w:left="425" w:hanging="425"/>
      </w:pPr>
      <w:rPr>
        <w:rFonts w:hint="default"/>
      </w:rPr>
    </w:lvl>
  </w:abstractNum>
  <w:abstractNum w:abstractNumId="58">
    <w:nsid w:val="30D9FCE4"/>
    <w:multiLevelType w:val="singleLevel"/>
    <w:tmpl w:val="30D9FCE4"/>
    <w:lvl w:ilvl="0" w:tentative="0">
      <w:start w:val="1"/>
      <w:numFmt w:val="decimal"/>
      <w:lvlText w:val="%1."/>
      <w:lvlJc w:val="left"/>
      <w:pPr>
        <w:ind w:left="425" w:hanging="425"/>
      </w:pPr>
      <w:rPr>
        <w:rFonts w:hint="default"/>
      </w:rPr>
    </w:lvl>
  </w:abstractNum>
  <w:abstractNum w:abstractNumId="59">
    <w:nsid w:val="30E689EB"/>
    <w:multiLevelType w:val="singleLevel"/>
    <w:tmpl w:val="30E689EB"/>
    <w:lvl w:ilvl="0" w:tentative="0">
      <w:start w:val="1"/>
      <w:numFmt w:val="chineseCounting"/>
      <w:suff w:val="space"/>
      <w:lvlText w:val="%1、"/>
      <w:lvlJc w:val="left"/>
      <w:rPr>
        <w:rFonts w:hint="eastAsia"/>
      </w:rPr>
    </w:lvl>
  </w:abstractNum>
  <w:abstractNum w:abstractNumId="60">
    <w:nsid w:val="3311290B"/>
    <w:multiLevelType w:val="singleLevel"/>
    <w:tmpl w:val="3311290B"/>
    <w:lvl w:ilvl="0" w:tentative="0">
      <w:start w:val="1"/>
      <w:numFmt w:val="decimal"/>
      <w:lvlText w:val="%1."/>
      <w:lvlJc w:val="left"/>
      <w:pPr>
        <w:ind w:left="425" w:hanging="425"/>
      </w:pPr>
      <w:rPr>
        <w:rFonts w:hint="default"/>
      </w:rPr>
    </w:lvl>
  </w:abstractNum>
  <w:abstractNum w:abstractNumId="61">
    <w:nsid w:val="346EA32E"/>
    <w:multiLevelType w:val="singleLevel"/>
    <w:tmpl w:val="346EA32E"/>
    <w:lvl w:ilvl="0" w:tentative="0">
      <w:start w:val="1"/>
      <w:numFmt w:val="decimal"/>
      <w:lvlText w:val="%1."/>
      <w:lvlJc w:val="left"/>
      <w:pPr>
        <w:ind w:left="425" w:hanging="425"/>
      </w:pPr>
      <w:rPr>
        <w:rFonts w:hint="default"/>
      </w:rPr>
    </w:lvl>
  </w:abstractNum>
  <w:abstractNum w:abstractNumId="62">
    <w:nsid w:val="355E81AB"/>
    <w:multiLevelType w:val="singleLevel"/>
    <w:tmpl w:val="355E81AB"/>
    <w:lvl w:ilvl="0" w:tentative="0">
      <w:start w:val="1"/>
      <w:numFmt w:val="decimal"/>
      <w:lvlText w:val="%1."/>
      <w:lvlJc w:val="left"/>
      <w:pPr>
        <w:ind w:left="425" w:hanging="425"/>
      </w:pPr>
      <w:rPr>
        <w:rFonts w:hint="default"/>
      </w:rPr>
    </w:lvl>
  </w:abstractNum>
  <w:abstractNum w:abstractNumId="63">
    <w:nsid w:val="380CF205"/>
    <w:multiLevelType w:val="singleLevel"/>
    <w:tmpl w:val="380CF205"/>
    <w:lvl w:ilvl="0" w:tentative="0">
      <w:start w:val="1"/>
      <w:numFmt w:val="chineseCounting"/>
      <w:suff w:val="space"/>
      <w:lvlText w:val="%1、"/>
      <w:lvlJc w:val="left"/>
      <w:rPr>
        <w:rFonts w:hint="eastAsia"/>
      </w:rPr>
    </w:lvl>
  </w:abstractNum>
  <w:abstractNum w:abstractNumId="64">
    <w:nsid w:val="39A04470"/>
    <w:multiLevelType w:val="singleLevel"/>
    <w:tmpl w:val="39A04470"/>
    <w:lvl w:ilvl="0" w:tentative="0">
      <w:start w:val="1"/>
      <w:numFmt w:val="decimal"/>
      <w:lvlText w:val="%1."/>
      <w:lvlJc w:val="left"/>
      <w:pPr>
        <w:ind w:left="425" w:hanging="425"/>
      </w:pPr>
      <w:rPr>
        <w:rFonts w:hint="default"/>
      </w:rPr>
    </w:lvl>
  </w:abstractNum>
  <w:abstractNum w:abstractNumId="65">
    <w:nsid w:val="3BC6D9BE"/>
    <w:multiLevelType w:val="singleLevel"/>
    <w:tmpl w:val="3BC6D9BE"/>
    <w:lvl w:ilvl="0" w:tentative="0">
      <w:start w:val="1"/>
      <w:numFmt w:val="decimal"/>
      <w:lvlText w:val="%1."/>
      <w:lvlJc w:val="left"/>
      <w:pPr>
        <w:ind w:left="425" w:hanging="425"/>
      </w:pPr>
      <w:rPr>
        <w:rFonts w:hint="default"/>
      </w:rPr>
    </w:lvl>
  </w:abstractNum>
  <w:abstractNum w:abstractNumId="66">
    <w:nsid w:val="3E33375A"/>
    <w:multiLevelType w:val="singleLevel"/>
    <w:tmpl w:val="3E33375A"/>
    <w:lvl w:ilvl="0" w:tentative="0">
      <w:start w:val="1"/>
      <w:numFmt w:val="decimal"/>
      <w:lvlText w:val="%1."/>
      <w:lvlJc w:val="left"/>
      <w:pPr>
        <w:ind w:left="425" w:hanging="425"/>
      </w:pPr>
      <w:rPr>
        <w:rFonts w:hint="default"/>
        <w:color w:val="auto"/>
      </w:rPr>
    </w:lvl>
  </w:abstractNum>
  <w:abstractNum w:abstractNumId="67">
    <w:nsid w:val="40D1D06F"/>
    <w:multiLevelType w:val="singleLevel"/>
    <w:tmpl w:val="40D1D06F"/>
    <w:lvl w:ilvl="0" w:tentative="0">
      <w:start w:val="1"/>
      <w:numFmt w:val="decimal"/>
      <w:lvlText w:val="%1."/>
      <w:lvlJc w:val="left"/>
      <w:pPr>
        <w:ind w:left="425" w:hanging="425"/>
      </w:pPr>
      <w:rPr>
        <w:rFonts w:hint="default"/>
      </w:rPr>
    </w:lvl>
  </w:abstractNum>
  <w:abstractNum w:abstractNumId="68">
    <w:nsid w:val="421E26A6"/>
    <w:multiLevelType w:val="singleLevel"/>
    <w:tmpl w:val="421E26A6"/>
    <w:lvl w:ilvl="0" w:tentative="0">
      <w:start w:val="1"/>
      <w:numFmt w:val="decimal"/>
      <w:lvlText w:val="%1."/>
      <w:lvlJc w:val="left"/>
      <w:pPr>
        <w:ind w:left="425" w:hanging="425"/>
      </w:pPr>
      <w:rPr>
        <w:rFonts w:hint="default"/>
      </w:rPr>
    </w:lvl>
  </w:abstractNum>
  <w:abstractNum w:abstractNumId="69">
    <w:nsid w:val="447B6378"/>
    <w:multiLevelType w:val="multilevel"/>
    <w:tmpl w:val="447B6378"/>
    <w:lvl w:ilvl="0" w:tentative="0">
      <w:start w:val="1"/>
      <w:numFmt w:val="decimal"/>
      <w:pStyle w:val="39"/>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456DF4FE"/>
    <w:multiLevelType w:val="singleLevel"/>
    <w:tmpl w:val="456DF4FE"/>
    <w:lvl w:ilvl="0" w:tentative="0">
      <w:start w:val="1"/>
      <w:numFmt w:val="decimal"/>
      <w:lvlText w:val="%1."/>
      <w:lvlJc w:val="left"/>
      <w:pPr>
        <w:ind w:left="425" w:hanging="425"/>
      </w:pPr>
      <w:rPr>
        <w:rFonts w:hint="default"/>
      </w:rPr>
    </w:lvl>
  </w:abstractNum>
  <w:abstractNum w:abstractNumId="71">
    <w:nsid w:val="478FA576"/>
    <w:multiLevelType w:val="singleLevel"/>
    <w:tmpl w:val="478FA576"/>
    <w:lvl w:ilvl="0" w:tentative="0">
      <w:start w:val="1"/>
      <w:numFmt w:val="decimal"/>
      <w:lvlText w:val="%1."/>
      <w:lvlJc w:val="left"/>
      <w:pPr>
        <w:ind w:left="425" w:hanging="425"/>
      </w:pPr>
      <w:rPr>
        <w:rFonts w:hint="default"/>
      </w:rPr>
    </w:lvl>
  </w:abstractNum>
  <w:abstractNum w:abstractNumId="72">
    <w:nsid w:val="4863AB59"/>
    <w:multiLevelType w:val="singleLevel"/>
    <w:tmpl w:val="4863AB59"/>
    <w:lvl w:ilvl="0" w:tentative="0">
      <w:start w:val="1"/>
      <w:numFmt w:val="decimal"/>
      <w:lvlText w:val="%1."/>
      <w:lvlJc w:val="left"/>
      <w:pPr>
        <w:ind w:left="425" w:hanging="425"/>
      </w:pPr>
      <w:rPr>
        <w:rFonts w:hint="default"/>
      </w:rPr>
    </w:lvl>
  </w:abstractNum>
  <w:abstractNum w:abstractNumId="73">
    <w:nsid w:val="4CF1DAB9"/>
    <w:multiLevelType w:val="singleLevel"/>
    <w:tmpl w:val="4CF1DAB9"/>
    <w:lvl w:ilvl="0" w:tentative="0">
      <w:start w:val="1"/>
      <w:numFmt w:val="decimal"/>
      <w:lvlText w:val="%1."/>
      <w:lvlJc w:val="left"/>
      <w:pPr>
        <w:ind w:left="425" w:hanging="425"/>
      </w:pPr>
      <w:rPr>
        <w:rFonts w:hint="default"/>
      </w:rPr>
    </w:lvl>
  </w:abstractNum>
  <w:abstractNum w:abstractNumId="74">
    <w:nsid w:val="524F2662"/>
    <w:multiLevelType w:val="singleLevel"/>
    <w:tmpl w:val="524F2662"/>
    <w:lvl w:ilvl="0" w:tentative="0">
      <w:start w:val="1"/>
      <w:numFmt w:val="chineseCounting"/>
      <w:suff w:val="space"/>
      <w:lvlText w:val="%1、"/>
      <w:lvlJc w:val="left"/>
      <w:rPr>
        <w:rFonts w:hint="eastAsia"/>
      </w:rPr>
    </w:lvl>
  </w:abstractNum>
  <w:abstractNum w:abstractNumId="75">
    <w:nsid w:val="573BDD10"/>
    <w:multiLevelType w:val="singleLevel"/>
    <w:tmpl w:val="573BDD10"/>
    <w:lvl w:ilvl="0" w:tentative="0">
      <w:start w:val="1"/>
      <w:numFmt w:val="decimal"/>
      <w:lvlText w:val="%1."/>
      <w:lvlJc w:val="left"/>
      <w:pPr>
        <w:ind w:left="425" w:hanging="425"/>
      </w:pPr>
      <w:rPr>
        <w:rFonts w:hint="default"/>
      </w:rPr>
    </w:lvl>
  </w:abstractNum>
  <w:abstractNum w:abstractNumId="76">
    <w:nsid w:val="577AEF11"/>
    <w:multiLevelType w:val="singleLevel"/>
    <w:tmpl w:val="577AEF11"/>
    <w:lvl w:ilvl="0" w:tentative="0">
      <w:start w:val="1"/>
      <w:numFmt w:val="decimal"/>
      <w:lvlText w:val="%1."/>
      <w:lvlJc w:val="left"/>
      <w:pPr>
        <w:ind w:left="425" w:hanging="425"/>
      </w:pPr>
      <w:rPr>
        <w:rFonts w:hint="default"/>
      </w:rPr>
    </w:lvl>
  </w:abstractNum>
  <w:abstractNum w:abstractNumId="77">
    <w:nsid w:val="5E13D1D9"/>
    <w:multiLevelType w:val="singleLevel"/>
    <w:tmpl w:val="5E13D1D9"/>
    <w:lvl w:ilvl="0" w:tentative="0">
      <w:start w:val="1"/>
      <w:numFmt w:val="chineseCounting"/>
      <w:suff w:val="space"/>
      <w:lvlText w:val="%1、"/>
      <w:lvlJc w:val="left"/>
      <w:rPr>
        <w:rFonts w:hint="eastAsia"/>
      </w:rPr>
    </w:lvl>
  </w:abstractNum>
  <w:abstractNum w:abstractNumId="78">
    <w:nsid w:val="60BB875E"/>
    <w:multiLevelType w:val="singleLevel"/>
    <w:tmpl w:val="60BB875E"/>
    <w:lvl w:ilvl="0" w:tentative="0">
      <w:start w:val="1"/>
      <w:numFmt w:val="chineseCounting"/>
      <w:suff w:val="space"/>
      <w:lvlText w:val="%1、"/>
      <w:lvlJc w:val="left"/>
      <w:rPr>
        <w:rFonts w:hint="eastAsia"/>
      </w:rPr>
    </w:lvl>
  </w:abstractNum>
  <w:abstractNum w:abstractNumId="79">
    <w:nsid w:val="6416BA62"/>
    <w:multiLevelType w:val="singleLevel"/>
    <w:tmpl w:val="6416BA62"/>
    <w:lvl w:ilvl="0" w:tentative="0">
      <w:start w:val="1"/>
      <w:numFmt w:val="decimal"/>
      <w:lvlText w:val="%1."/>
      <w:lvlJc w:val="left"/>
      <w:pPr>
        <w:ind w:left="425" w:hanging="425"/>
      </w:pPr>
      <w:rPr>
        <w:rFonts w:hint="default"/>
      </w:rPr>
    </w:lvl>
  </w:abstractNum>
  <w:abstractNum w:abstractNumId="80">
    <w:nsid w:val="6A1F04FE"/>
    <w:multiLevelType w:val="singleLevel"/>
    <w:tmpl w:val="6A1F04FE"/>
    <w:lvl w:ilvl="0" w:tentative="0">
      <w:start w:val="1"/>
      <w:numFmt w:val="decimal"/>
      <w:lvlText w:val="%1."/>
      <w:lvlJc w:val="left"/>
      <w:pPr>
        <w:ind w:left="425" w:hanging="425"/>
      </w:pPr>
      <w:rPr>
        <w:rFonts w:hint="default"/>
      </w:rPr>
    </w:lvl>
  </w:abstractNum>
  <w:abstractNum w:abstractNumId="81">
    <w:nsid w:val="6B9D6E3D"/>
    <w:multiLevelType w:val="singleLevel"/>
    <w:tmpl w:val="6B9D6E3D"/>
    <w:lvl w:ilvl="0" w:tentative="0">
      <w:start w:val="1"/>
      <w:numFmt w:val="decimal"/>
      <w:lvlText w:val="%1."/>
      <w:lvlJc w:val="left"/>
      <w:pPr>
        <w:ind w:left="425" w:hanging="425"/>
      </w:pPr>
      <w:rPr>
        <w:rFonts w:hint="default"/>
      </w:rPr>
    </w:lvl>
  </w:abstractNum>
  <w:abstractNum w:abstractNumId="82">
    <w:nsid w:val="711A1EF2"/>
    <w:multiLevelType w:val="singleLevel"/>
    <w:tmpl w:val="711A1EF2"/>
    <w:lvl w:ilvl="0" w:tentative="0">
      <w:start w:val="1"/>
      <w:numFmt w:val="decimal"/>
      <w:lvlText w:val="%1."/>
      <w:lvlJc w:val="left"/>
      <w:pPr>
        <w:ind w:left="425" w:hanging="425"/>
      </w:pPr>
      <w:rPr>
        <w:rFonts w:hint="default"/>
      </w:rPr>
    </w:lvl>
  </w:abstractNum>
  <w:abstractNum w:abstractNumId="83">
    <w:nsid w:val="72656537"/>
    <w:multiLevelType w:val="singleLevel"/>
    <w:tmpl w:val="72656537"/>
    <w:lvl w:ilvl="0" w:tentative="0">
      <w:start w:val="1"/>
      <w:numFmt w:val="decimal"/>
      <w:lvlText w:val="%1."/>
      <w:lvlJc w:val="left"/>
      <w:pPr>
        <w:ind w:left="425" w:hanging="425"/>
      </w:pPr>
      <w:rPr>
        <w:rFonts w:hint="default"/>
      </w:rPr>
    </w:lvl>
  </w:abstractNum>
  <w:abstractNum w:abstractNumId="84">
    <w:nsid w:val="7522A1AD"/>
    <w:multiLevelType w:val="singleLevel"/>
    <w:tmpl w:val="7522A1AD"/>
    <w:lvl w:ilvl="0" w:tentative="0">
      <w:start w:val="1"/>
      <w:numFmt w:val="decimal"/>
      <w:lvlText w:val="%1."/>
      <w:lvlJc w:val="left"/>
      <w:pPr>
        <w:ind w:left="425" w:hanging="425"/>
      </w:pPr>
      <w:rPr>
        <w:rFonts w:hint="default"/>
        <w:b w:val="0"/>
        <w:bCs w:val="0"/>
      </w:rPr>
    </w:lvl>
  </w:abstractNum>
  <w:abstractNum w:abstractNumId="85">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6">
    <w:nsid w:val="7D1D16B0"/>
    <w:multiLevelType w:val="singleLevel"/>
    <w:tmpl w:val="7D1D16B0"/>
    <w:lvl w:ilvl="0" w:tentative="0">
      <w:start w:val="1"/>
      <w:numFmt w:val="decimal"/>
      <w:lvlText w:val="%1."/>
      <w:lvlJc w:val="left"/>
      <w:pPr>
        <w:ind w:left="425" w:hanging="425"/>
      </w:pPr>
      <w:rPr>
        <w:rFonts w:hint="default"/>
      </w:rPr>
    </w:lvl>
  </w:abstractNum>
  <w:num w:numId="1">
    <w:abstractNumId w:val="3"/>
  </w:num>
  <w:num w:numId="2">
    <w:abstractNumId w:val="69"/>
  </w:num>
  <w:num w:numId="3">
    <w:abstractNumId w:val="46"/>
  </w:num>
  <w:num w:numId="4">
    <w:abstractNumId w:val="54"/>
  </w:num>
  <w:num w:numId="5">
    <w:abstractNumId w:val="20"/>
  </w:num>
  <w:num w:numId="6">
    <w:abstractNumId w:val="48"/>
  </w:num>
  <w:num w:numId="7">
    <w:abstractNumId w:val="17"/>
  </w:num>
  <w:num w:numId="8">
    <w:abstractNumId w:val="84"/>
  </w:num>
  <w:num w:numId="9">
    <w:abstractNumId w:val="40"/>
  </w:num>
  <w:num w:numId="10">
    <w:abstractNumId w:val="77"/>
  </w:num>
  <w:num w:numId="11">
    <w:abstractNumId w:val="75"/>
  </w:num>
  <w:num w:numId="12">
    <w:abstractNumId w:val="73"/>
  </w:num>
  <w:num w:numId="13">
    <w:abstractNumId w:val="7"/>
  </w:num>
  <w:num w:numId="14">
    <w:abstractNumId w:val="10"/>
  </w:num>
  <w:num w:numId="15">
    <w:abstractNumId w:val="21"/>
  </w:num>
  <w:num w:numId="16">
    <w:abstractNumId w:val="62"/>
  </w:num>
  <w:num w:numId="17">
    <w:abstractNumId w:val="57"/>
  </w:num>
  <w:num w:numId="18">
    <w:abstractNumId w:val="37"/>
  </w:num>
  <w:num w:numId="19">
    <w:abstractNumId w:val="5"/>
  </w:num>
  <w:num w:numId="20">
    <w:abstractNumId w:val="28"/>
  </w:num>
  <w:num w:numId="21">
    <w:abstractNumId w:val="63"/>
  </w:num>
  <w:num w:numId="22">
    <w:abstractNumId w:val="82"/>
  </w:num>
  <w:num w:numId="23">
    <w:abstractNumId w:val="58"/>
  </w:num>
  <w:num w:numId="24">
    <w:abstractNumId w:val="44"/>
  </w:num>
  <w:num w:numId="25">
    <w:abstractNumId w:val="36"/>
  </w:num>
  <w:num w:numId="26">
    <w:abstractNumId w:val="35"/>
  </w:num>
  <w:num w:numId="27">
    <w:abstractNumId w:val="2"/>
  </w:num>
  <w:num w:numId="28">
    <w:abstractNumId w:val="16"/>
  </w:num>
  <w:num w:numId="29">
    <w:abstractNumId w:val="23"/>
  </w:num>
  <w:num w:numId="30">
    <w:abstractNumId w:val="33"/>
  </w:num>
  <w:num w:numId="31">
    <w:abstractNumId w:val="68"/>
  </w:num>
  <w:num w:numId="32">
    <w:abstractNumId w:val="22"/>
  </w:num>
  <w:num w:numId="33">
    <w:abstractNumId w:val="11"/>
  </w:num>
  <w:num w:numId="34">
    <w:abstractNumId w:val="19"/>
  </w:num>
  <w:num w:numId="35">
    <w:abstractNumId w:val="9"/>
  </w:num>
  <w:num w:numId="36">
    <w:abstractNumId w:val="76"/>
  </w:num>
  <w:num w:numId="37">
    <w:abstractNumId w:val="71"/>
  </w:num>
  <w:num w:numId="38">
    <w:abstractNumId w:val="80"/>
  </w:num>
  <w:num w:numId="39">
    <w:abstractNumId w:val="53"/>
  </w:num>
  <w:num w:numId="40">
    <w:abstractNumId w:val="4"/>
  </w:num>
  <w:num w:numId="41">
    <w:abstractNumId w:val="8"/>
  </w:num>
  <w:num w:numId="42">
    <w:abstractNumId w:val="18"/>
  </w:num>
  <w:num w:numId="43">
    <w:abstractNumId w:val="51"/>
  </w:num>
  <w:num w:numId="44">
    <w:abstractNumId w:val="27"/>
  </w:num>
  <w:num w:numId="45">
    <w:abstractNumId w:val="56"/>
  </w:num>
  <w:num w:numId="46">
    <w:abstractNumId w:val="86"/>
  </w:num>
  <w:num w:numId="47">
    <w:abstractNumId w:val="24"/>
  </w:num>
  <w:num w:numId="48">
    <w:abstractNumId w:val="78"/>
  </w:num>
  <w:num w:numId="49">
    <w:abstractNumId w:val="32"/>
  </w:num>
  <w:num w:numId="50">
    <w:abstractNumId w:val="45"/>
  </w:num>
  <w:num w:numId="51">
    <w:abstractNumId w:val="29"/>
  </w:num>
  <w:num w:numId="52">
    <w:abstractNumId w:val="60"/>
  </w:num>
  <w:num w:numId="53">
    <w:abstractNumId w:val="41"/>
  </w:num>
  <w:num w:numId="54">
    <w:abstractNumId w:val="79"/>
  </w:num>
  <w:num w:numId="55">
    <w:abstractNumId w:val="42"/>
  </w:num>
  <w:num w:numId="56">
    <w:abstractNumId w:val="81"/>
  </w:num>
  <w:num w:numId="57">
    <w:abstractNumId w:val="70"/>
  </w:num>
  <w:num w:numId="58">
    <w:abstractNumId w:val="39"/>
  </w:num>
  <w:num w:numId="59">
    <w:abstractNumId w:val="83"/>
  </w:num>
  <w:num w:numId="60">
    <w:abstractNumId w:val="14"/>
  </w:num>
  <w:num w:numId="61">
    <w:abstractNumId w:val="52"/>
  </w:num>
  <w:num w:numId="62">
    <w:abstractNumId w:val="25"/>
  </w:num>
  <w:num w:numId="63">
    <w:abstractNumId w:val="65"/>
  </w:num>
  <w:num w:numId="64">
    <w:abstractNumId w:val="50"/>
  </w:num>
  <w:num w:numId="65">
    <w:abstractNumId w:val="1"/>
  </w:num>
  <w:num w:numId="66">
    <w:abstractNumId w:val="12"/>
  </w:num>
  <w:num w:numId="67">
    <w:abstractNumId w:val="55"/>
  </w:num>
  <w:num w:numId="68">
    <w:abstractNumId w:val="64"/>
  </w:num>
  <w:num w:numId="69">
    <w:abstractNumId w:val="26"/>
  </w:num>
  <w:num w:numId="70">
    <w:abstractNumId w:val="31"/>
  </w:num>
  <w:num w:numId="71">
    <w:abstractNumId w:val="0"/>
  </w:num>
  <w:num w:numId="72">
    <w:abstractNumId w:val="43"/>
  </w:num>
  <w:num w:numId="73">
    <w:abstractNumId w:val="6"/>
  </w:num>
  <w:num w:numId="74">
    <w:abstractNumId w:val="59"/>
  </w:num>
  <w:num w:numId="75">
    <w:abstractNumId w:val="38"/>
  </w:num>
  <w:num w:numId="76">
    <w:abstractNumId w:val="66"/>
  </w:num>
  <w:num w:numId="77">
    <w:abstractNumId w:val="49"/>
  </w:num>
  <w:num w:numId="78">
    <w:abstractNumId w:val="67"/>
  </w:num>
  <w:num w:numId="79">
    <w:abstractNumId w:val="74"/>
  </w:num>
  <w:num w:numId="80">
    <w:abstractNumId w:val="72"/>
  </w:num>
  <w:num w:numId="81">
    <w:abstractNumId w:val="15"/>
  </w:num>
  <w:num w:numId="82">
    <w:abstractNumId w:val="61"/>
  </w:num>
  <w:num w:numId="83">
    <w:abstractNumId w:val="30"/>
  </w:num>
  <w:num w:numId="84">
    <w:abstractNumId w:val="13"/>
  </w:num>
  <w:num w:numId="85">
    <w:abstractNumId w:val="34"/>
  </w:num>
  <w:num w:numId="86">
    <w:abstractNumId w:val="47"/>
  </w:num>
  <w:num w:numId="87">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36AB7"/>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2851DF"/>
    <w:rsid w:val="052E656D"/>
    <w:rsid w:val="053A4F12"/>
    <w:rsid w:val="053F247C"/>
    <w:rsid w:val="05595CE0"/>
    <w:rsid w:val="057C377D"/>
    <w:rsid w:val="057E74F5"/>
    <w:rsid w:val="05810D93"/>
    <w:rsid w:val="05812B41"/>
    <w:rsid w:val="058F2F99"/>
    <w:rsid w:val="05B362B9"/>
    <w:rsid w:val="05C2565F"/>
    <w:rsid w:val="05C72C4A"/>
    <w:rsid w:val="05CB2336"/>
    <w:rsid w:val="05D15877"/>
    <w:rsid w:val="05D215EF"/>
    <w:rsid w:val="05D2339D"/>
    <w:rsid w:val="05D37841"/>
    <w:rsid w:val="05E530D0"/>
    <w:rsid w:val="05EA4B8A"/>
    <w:rsid w:val="05F9301F"/>
    <w:rsid w:val="05FD48BE"/>
    <w:rsid w:val="06093262"/>
    <w:rsid w:val="060C1B32"/>
    <w:rsid w:val="06231E4A"/>
    <w:rsid w:val="06253E14"/>
    <w:rsid w:val="0633208D"/>
    <w:rsid w:val="063A16EC"/>
    <w:rsid w:val="063B53E6"/>
    <w:rsid w:val="065B7836"/>
    <w:rsid w:val="06856661"/>
    <w:rsid w:val="068576CE"/>
    <w:rsid w:val="069114AA"/>
    <w:rsid w:val="0698763E"/>
    <w:rsid w:val="06A66D03"/>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C6BC2"/>
    <w:rsid w:val="085D7896"/>
    <w:rsid w:val="08687FE8"/>
    <w:rsid w:val="08935065"/>
    <w:rsid w:val="08997D8A"/>
    <w:rsid w:val="089A2898"/>
    <w:rsid w:val="08AD2074"/>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EA6F07"/>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13F4"/>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FA6155"/>
    <w:rsid w:val="12130FC5"/>
    <w:rsid w:val="121C60CC"/>
    <w:rsid w:val="1222745A"/>
    <w:rsid w:val="12341A6A"/>
    <w:rsid w:val="12371157"/>
    <w:rsid w:val="127001C5"/>
    <w:rsid w:val="127759F8"/>
    <w:rsid w:val="127A0C92"/>
    <w:rsid w:val="127F48AC"/>
    <w:rsid w:val="128819B3"/>
    <w:rsid w:val="128F2D41"/>
    <w:rsid w:val="12942106"/>
    <w:rsid w:val="129E4D32"/>
    <w:rsid w:val="12A548F1"/>
    <w:rsid w:val="12B91B6C"/>
    <w:rsid w:val="12BA7692"/>
    <w:rsid w:val="12EF558E"/>
    <w:rsid w:val="12F9640D"/>
    <w:rsid w:val="12FF24D9"/>
    <w:rsid w:val="13021765"/>
    <w:rsid w:val="13037AFF"/>
    <w:rsid w:val="132A4818"/>
    <w:rsid w:val="13456351"/>
    <w:rsid w:val="134C0C32"/>
    <w:rsid w:val="13541895"/>
    <w:rsid w:val="135D4BEE"/>
    <w:rsid w:val="137B79E1"/>
    <w:rsid w:val="13833F28"/>
    <w:rsid w:val="13C74117"/>
    <w:rsid w:val="13D64F42"/>
    <w:rsid w:val="13E7095B"/>
    <w:rsid w:val="13E83E5F"/>
    <w:rsid w:val="14065285"/>
    <w:rsid w:val="144731A8"/>
    <w:rsid w:val="14717C9A"/>
    <w:rsid w:val="147F2942"/>
    <w:rsid w:val="14991C55"/>
    <w:rsid w:val="14AF7789"/>
    <w:rsid w:val="14D50D33"/>
    <w:rsid w:val="14DA401C"/>
    <w:rsid w:val="14EA0703"/>
    <w:rsid w:val="14EF1875"/>
    <w:rsid w:val="15113EE2"/>
    <w:rsid w:val="151E65FF"/>
    <w:rsid w:val="1537321C"/>
    <w:rsid w:val="154020D1"/>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215F32"/>
    <w:rsid w:val="172872C1"/>
    <w:rsid w:val="17457E73"/>
    <w:rsid w:val="174F6F43"/>
    <w:rsid w:val="175814CF"/>
    <w:rsid w:val="176821F4"/>
    <w:rsid w:val="177C792A"/>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6547FC"/>
    <w:rsid w:val="19856C4C"/>
    <w:rsid w:val="199665EC"/>
    <w:rsid w:val="199C7AF2"/>
    <w:rsid w:val="19CC03D7"/>
    <w:rsid w:val="19D2300F"/>
    <w:rsid w:val="19E80F89"/>
    <w:rsid w:val="19EC5173"/>
    <w:rsid w:val="19F872A0"/>
    <w:rsid w:val="1A352420"/>
    <w:rsid w:val="1A377809"/>
    <w:rsid w:val="1A452ACF"/>
    <w:rsid w:val="1A512FD2"/>
    <w:rsid w:val="1A5D54D3"/>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C6FB8"/>
    <w:rsid w:val="1BDD4B1E"/>
    <w:rsid w:val="1BDE5A55"/>
    <w:rsid w:val="1BE35EAC"/>
    <w:rsid w:val="1BE718C7"/>
    <w:rsid w:val="1BF43C15"/>
    <w:rsid w:val="1C146065"/>
    <w:rsid w:val="1C1B73F4"/>
    <w:rsid w:val="1C2F10F1"/>
    <w:rsid w:val="1C3B1844"/>
    <w:rsid w:val="1C406E5A"/>
    <w:rsid w:val="1C495921"/>
    <w:rsid w:val="1C542906"/>
    <w:rsid w:val="1C744D56"/>
    <w:rsid w:val="1C7A6810"/>
    <w:rsid w:val="1C7B7E93"/>
    <w:rsid w:val="1C7D1E5D"/>
    <w:rsid w:val="1C8036FB"/>
    <w:rsid w:val="1C91765D"/>
    <w:rsid w:val="1C9C6787"/>
    <w:rsid w:val="1C9D289F"/>
    <w:rsid w:val="1CD770EC"/>
    <w:rsid w:val="1CE43C8A"/>
    <w:rsid w:val="1CFC09BB"/>
    <w:rsid w:val="1D183933"/>
    <w:rsid w:val="1D210A3A"/>
    <w:rsid w:val="1D3764AF"/>
    <w:rsid w:val="1D4F5570"/>
    <w:rsid w:val="1D5E1C8E"/>
    <w:rsid w:val="1D61177E"/>
    <w:rsid w:val="1D7E7C3A"/>
    <w:rsid w:val="1D8D4321"/>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53819"/>
    <w:rsid w:val="228D26CE"/>
    <w:rsid w:val="22BB723B"/>
    <w:rsid w:val="22C87E24"/>
    <w:rsid w:val="22C95DFC"/>
    <w:rsid w:val="22EC5F17"/>
    <w:rsid w:val="22EE06E2"/>
    <w:rsid w:val="22F015DA"/>
    <w:rsid w:val="22F8223D"/>
    <w:rsid w:val="22F84FC6"/>
    <w:rsid w:val="22FD3CF7"/>
    <w:rsid w:val="230230BC"/>
    <w:rsid w:val="230A01C2"/>
    <w:rsid w:val="23243032"/>
    <w:rsid w:val="235A0EEE"/>
    <w:rsid w:val="235C6C70"/>
    <w:rsid w:val="23614286"/>
    <w:rsid w:val="23712585"/>
    <w:rsid w:val="23C93BD9"/>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4730B4"/>
    <w:rsid w:val="27473793"/>
    <w:rsid w:val="27677991"/>
    <w:rsid w:val="27802801"/>
    <w:rsid w:val="27802D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747"/>
    <w:rsid w:val="29AE7AF9"/>
    <w:rsid w:val="29C54E43"/>
    <w:rsid w:val="29C9048F"/>
    <w:rsid w:val="29CB06AB"/>
    <w:rsid w:val="29DE4538"/>
    <w:rsid w:val="29FA689B"/>
    <w:rsid w:val="2A007C29"/>
    <w:rsid w:val="2A0108B7"/>
    <w:rsid w:val="2A04596B"/>
    <w:rsid w:val="2A133E00"/>
    <w:rsid w:val="2A1536D4"/>
    <w:rsid w:val="2A1A0CEB"/>
    <w:rsid w:val="2A202079"/>
    <w:rsid w:val="2A2E4796"/>
    <w:rsid w:val="2A500BB0"/>
    <w:rsid w:val="2A506E02"/>
    <w:rsid w:val="2A5C57A7"/>
    <w:rsid w:val="2A6B3832"/>
    <w:rsid w:val="2A88659C"/>
    <w:rsid w:val="2A906CB5"/>
    <w:rsid w:val="2A954815"/>
    <w:rsid w:val="2ABE1FBE"/>
    <w:rsid w:val="2AD0584D"/>
    <w:rsid w:val="2AEE4B12"/>
    <w:rsid w:val="2AFE685E"/>
    <w:rsid w:val="2B057BED"/>
    <w:rsid w:val="2B060A50"/>
    <w:rsid w:val="2B0A5203"/>
    <w:rsid w:val="2B116592"/>
    <w:rsid w:val="2B193698"/>
    <w:rsid w:val="2B1C4F36"/>
    <w:rsid w:val="2B2160A9"/>
    <w:rsid w:val="2B400C25"/>
    <w:rsid w:val="2B4714A0"/>
    <w:rsid w:val="2B471FB3"/>
    <w:rsid w:val="2B606BD1"/>
    <w:rsid w:val="2B612949"/>
    <w:rsid w:val="2B6C5576"/>
    <w:rsid w:val="2B717030"/>
    <w:rsid w:val="2B74267D"/>
    <w:rsid w:val="2B762899"/>
    <w:rsid w:val="2B7663F5"/>
    <w:rsid w:val="2B7E52A9"/>
    <w:rsid w:val="2BA50A88"/>
    <w:rsid w:val="2BAA2542"/>
    <w:rsid w:val="2BB60EE7"/>
    <w:rsid w:val="2BCA4992"/>
    <w:rsid w:val="2BE035C8"/>
    <w:rsid w:val="2BE735BA"/>
    <w:rsid w:val="2BF24188"/>
    <w:rsid w:val="2BF65788"/>
    <w:rsid w:val="2BFD08C4"/>
    <w:rsid w:val="2C235EB7"/>
    <w:rsid w:val="2C2B5431"/>
    <w:rsid w:val="2C610E53"/>
    <w:rsid w:val="2C6646BB"/>
    <w:rsid w:val="2C876684"/>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746964"/>
    <w:rsid w:val="2D8D7A26"/>
    <w:rsid w:val="2DB9081B"/>
    <w:rsid w:val="2DCE2518"/>
    <w:rsid w:val="2DD218DC"/>
    <w:rsid w:val="2DDB69E3"/>
    <w:rsid w:val="2DE735DA"/>
    <w:rsid w:val="2DEF7457"/>
    <w:rsid w:val="2DFD104F"/>
    <w:rsid w:val="2E093AD9"/>
    <w:rsid w:val="2E0A0E72"/>
    <w:rsid w:val="2E112405"/>
    <w:rsid w:val="2E426A62"/>
    <w:rsid w:val="2E4637EF"/>
    <w:rsid w:val="2E4E18AB"/>
    <w:rsid w:val="2E6B420B"/>
    <w:rsid w:val="2E6C48D9"/>
    <w:rsid w:val="2E7035CF"/>
    <w:rsid w:val="2E7D3F3E"/>
    <w:rsid w:val="2E864BA1"/>
    <w:rsid w:val="2E8F4F19"/>
    <w:rsid w:val="2E9279E9"/>
    <w:rsid w:val="2EA63495"/>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4A3443"/>
    <w:rsid w:val="334F40FB"/>
    <w:rsid w:val="3353526D"/>
    <w:rsid w:val="33641229"/>
    <w:rsid w:val="338673F1"/>
    <w:rsid w:val="339964E5"/>
    <w:rsid w:val="339D48A3"/>
    <w:rsid w:val="33AC3A1C"/>
    <w:rsid w:val="33C74846"/>
    <w:rsid w:val="33CF6FEA"/>
    <w:rsid w:val="33F64577"/>
    <w:rsid w:val="34056568"/>
    <w:rsid w:val="34296B28"/>
    <w:rsid w:val="343E7CCC"/>
    <w:rsid w:val="34525525"/>
    <w:rsid w:val="346040E6"/>
    <w:rsid w:val="34A0589E"/>
    <w:rsid w:val="34A67F96"/>
    <w:rsid w:val="34A9783B"/>
    <w:rsid w:val="34B0508B"/>
    <w:rsid w:val="34CE1050"/>
    <w:rsid w:val="34DF440A"/>
    <w:rsid w:val="350A581B"/>
    <w:rsid w:val="352E7D40"/>
    <w:rsid w:val="35426A60"/>
    <w:rsid w:val="35586B6B"/>
    <w:rsid w:val="355E7319"/>
    <w:rsid w:val="35690D78"/>
    <w:rsid w:val="358D36CE"/>
    <w:rsid w:val="3598340C"/>
    <w:rsid w:val="35A10512"/>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67524B"/>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7795A"/>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6E3791"/>
    <w:rsid w:val="3D762284"/>
    <w:rsid w:val="3D826E7B"/>
    <w:rsid w:val="3D864BBD"/>
    <w:rsid w:val="3DDB0CD9"/>
    <w:rsid w:val="3DDD67A7"/>
    <w:rsid w:val="3DE23DBE"/>
    <w:rsid w:val="3DE90CA8"/>
    <w:rsid w:val="3E157CEF"/>
    <w:rsid w:val="3E667746"/>
    <w:rsid w:val="3E815385"/>
    <w:rsid w:val="3E885B96"/>
    <w:rsid w:val="3E952BDE"/>
    <w:rsid w:val="3EB43064"/>
    <w:rsid w:val="3EB92D70"/>
    <w:rsid w:val="3EBC22FE"/>
    <w:rsid w:val="3ECD4126"/>
    <w:rsid w:val="3EF1250A"/>
    <w:rsid w:val="3EF773F5"/>
    <w:rsid w:val="3F163D1F"/>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5A77F7"/>
    <w:rsid w:val="4061546E"/>
    <w:rsid w:val="40664832"/>
    <w:rsid w:val="4079067E"/>
    <w:rsid w:val="4093139F"/>
    <w:rsid w:val="409343AF"/>
    <w:rsid w:val="409E3FCC"/>
    <w:rsid w:val="40C73F2B"/>
    <w:rsid w:val="40D75730"/>
    <w:rsid w:val="40E63BC5"/>
    <w:rsid w:val="40EB4D37"/>
    <w:rsid w:val="40EC14AB"/>
    <w:rsid w:val="40FA4F7A"/>
    <w:rsid w:val="410D2F00"/>
    <w:rsid w:val="410D73A4"/>
    <w:rsid w:val="411E0040"/>
    <w:rsid w:val="413C37E5"/>
    <w:rsid w:val="415648A7"/>
    <w:rsid w:val="415A71E1"/>
    <w:rsid w:val="415E3518"/>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9C7DE3"/>
    <w:rsid w:val="4BA17066"/>
    <w:rsid w:val="4BDA7172"/>
    <w:rsid w:val="4C0575F5"/>
    <w:rsid w:val="4C2B503E"/>
    <w:rsid w:val="4C312198"/>
    <w:rsid w:val="4C3253A4"/>
    <w:rsid w:val="4C3677AE"/>
    <w:rsid w:val="4C40062D"/>
    <w:rsid w:val="4C481290"/>
    <w:rsid w:val="4C651E42"/>
    <w:rsid w:val="4C735D9E"/>
    <w:rsid w:val="4C765DFD"/>
    <w:rsid w:val="4C787DC7"/>
    <w:rsid w:val="4C801DE2"/>
    <w:rsid w:val="4C8229F4"/>
    <w:rsid w:val="4C8C3872"/>
    <w:rsid w:val="4C912726"/>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350B8E"/>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F072F"/>
    <w:rsid w:val="58946569"/>
    <w:rsid w:val="58BA1767"/>
    <w:rsid w:val="58C83A04"/>
    <w:rsid w:val="58DC49CD"/>
    <w:rsid w:val="58DD31FA"/>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151F73"/>
    <w:rsid w:val="5A492DA3"/>
    <w:rsid w:val="5A53777D"/>
    <w:rsid w:val="5A582FE6"/>
    <w:rsid w:val="5A601E9A"/>
    <w:rsid w:val="5A842D91"/>
    <w:rsid w:val="5AA77AC9"/>
    <w:rsid w:val="5AA91A93"/>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DE201AE"/>
    <w:rsid w:val="5E084D23"/>
    <w:rsid w:val="5E092890"/>
    <w:rsid w:val="5E172FC3"/>
    <w:rsid w:val="5E192A8C"/>
    <w:rsid w:val="5E1C432A"/>
    <w:rsid w:val="5E257683"/>
    <w:rsid w:val="5E282CCF"/>
    <w:rsid w:val="5E3A2E3F"/>
    <w:rsid w:val="5E510478"/>
    <w:rsid w:val="5E524438"/>
    <w:rsid w:val="5E714676"/>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62E90"/>
    <w:rsid w:val="604F2688"/>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185A08"/>
    <w:rsid w:val="631D29EB"/>
    <w:rsid w:val="633C6169"/>
    <w:rsid w:val="635322D4"/>
    <w:rsid w:val="637A3FCD"/>
    <w:rsid w:val="63822EAD"/>
    <w:rsid w:val="638C7755"/>
    <w:rsid w:val="639B1A12"/>
    <w:rsid w:val="63B70D7D"/>
    <w:rsid w:val="63BC45E5"/>
    <w:rsid w:val="63D23E09"/>
    <w:rsid w:val="63F773CC"/>
    <w:rsid w:val="64055F8C"/>
    <w:rsid w:val="642B176B"/>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5114E9"/>
    <w:rsid w:val="675863D3"/>
    <w:rsid w:val="6759039D"/>
    <w:rsid w:val="679703E1"/>
    <w:rsid w:val="67984F00"/>
    <w:rsid w:val="67A965FC"/>
    <w:rsid w:val="68220B45"/>
    <w:rsid w:val="68336E40"/>
    <w:rsid w:val="683926A8"/>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242EE4"/>
    <w:rsid w:val="6A2922A9"/>
    <w:rsid w:val="6A4415E9"/>
    <w:rsid w:val="6A5D1F52"/>
    <w:rsid w:val="6A7C062B"/>
    <w:rsid w:val="6A8D0A8A"/>
    <w:rsid w:val="6A9736B6"/>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9345E"/>
    <w:rsid w:val="6BAD273F"/>
    <w:rsid w:val="6BBB1626"/>
    <w:rsid w:val="6BC56001"/>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C265FC"/>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5636CC"/>
    <w:rsid w:val="70720586"/>
    <w:rsid w:val="70875F7B"/>
    <w:rsid w:val="70897150"/>
    <w:rsid w:val="70A64653"/>
    <w:rsid w:val="70C8281B"/>
    <w:rsid w:val="71094BE2"/>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5D632B"/>
    <w:rsid w:val="73661E78"/>
    <w:rsid w:val="73697BB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F40160"/>
    <w:rsid w:val="781D568D"/>
    <w:rsid w:val="78342545"/>
    <w:rsid w:val="78362F6D"/>
    <w:rsid w:val="78412EB3"/>
    <w:rsid w:val="78627545"/>
    <w:rsid w:val="78632E2A"/>
    <w:rsid w:val="78654665"/>
    <w:rsid w:val="78654DF4"/>
    <w:rsid w:val="787B0173"/>
    <w:rsid w:val="787C0B87"/>
    <w:rsid w:val="789C661D"/>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45B4A"/>
    <w:rsid w:val="79E7658E"/>
    <w:rsid w:val="7A153CB4"/>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D00F2"/>
    <w:rsid w:val="7E1846B6"/>
    <w:rsid w:val="7E1A21DD"/>
    <w:rsid w:val="7E3037AE"/>
    <w:rsid w:val="7E3A287F"/>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8"/>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2"/>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5"/>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6"/>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3"/>
    <w:autoRedefine/>
    <w:qFormat/>
    <w:uiPriority w:val="0"/>
    <w:pPr>
      <w:spacing w:line="240" w:lineRule="auto"/>
    </w:pPr>
    <w:rPr>
      <w:rFonts w:eastAsiaTheme="minorEastAsia"/>
      <w:sz w:val="21"/>
      <w:szCs w:val="24"/>
    </w:rPr>
  </w:style>
  <w:style w:type="paragraph" w:styleId="13">
    <w:name w:val="Body Text"/>
    <w:basedOn w:val="1"/>
    <w:link w:val="47"/>
    <w:autoRedefine/>
    <w:qFormat/>
    <w:uiPriority w:val="99"/>
    <w:pPr>
      <w:spacing w:after="120" w:line="240" w:lineRule="auto"/>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footer"/>
    <w:basedOn w:val="1"/>
    <w:link w:val="41"/>
    <w:autoRedefine/>
    <w:unhideWhenUsed/>
    <w:qFormat/>
    <w:uiPriority w:val="99"/>
    <w:pPr>
      <w:tabs>
        <w:tab w:val="center" w:pos="4153"/>
        <w:tab w:val="right" w:pos="8306"/>
      </w:tabs>
      <w:snapToGrid w:val="0"/>
      <w:spacing w:line="240" w:lineRule="auto"/>
    </w:pPr>
    <w:rPr>
      <w:sz w:val="18"/>
      <w:szCs w:val="18"/>
    </w:rPr>
  </w:style>
  <w:style w:type="paragraph" w:styleId="20">
    <w:name w:val="header"/>
    <w:basedOn w:val="1"/>
    <w:link w:val="40"/>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2">
    <w:name w:val="toc 4"/>
    <w:basedOn w:val="1"/>
    <w:next w:val="1"/>
    <w:autoRedefine/>
    <w:unhideWhenUsed/>
    <w:qFormat/>
    <w:uiPriority w:val="39"/>
    <w:pPr>
      <w:ind w:left="720"/>
    </w:pPr>
    <w:rPr>
      <w:rFonts w:asciiTheme="minorHAnsi" w:eastAsiaTheme="minorHAnsi"/>
      <w:sz w:val="18"/>
      <w:szCs w:val="18"/>
    </w:rPr>
  </w:style>
  <w:style w:type="paragraph" w:styleId="23">
    <w:name w:val="footnote text"/>
    <w:basedOn w:val="1"/>
    <w:qFormat/>
    <w:uiPriority w:val="0"/>
    <w:pPr>
      <w:widowControl/>
      <w:jc w:val="left"/>
    </w:pPr>
    <w:rPr>
      <w:kern w:val="0"/>
      <w:sz w:val="20"/>
      <w:szCs w:val="20"/>
      <w:lang w:val="de-DE"/>
    </w:rPr>
  </w:style>
  <w:style w:type="paragraph" w:styleId="24">
    <w:name w:val="toc 6"/>
    <w:basedOn w:val="1"/>
    <w:next w:val="1"/>
    <w:autoRedefine/>
    <w:unhideWhenUsed/>
    <w:qFormat/>
    <w:uiPriority w:val="39"/>
    <w:pPr>
      <w:ind w:left="1200"/>
    </w:pPr>
    <w:rPr>
      <w:rFonts w:asciiTheme="minorHAnsi" w:eastAsiaTheme="minorHAnsi"/>
      <w:sz w:val="18"/>
      <w:szCs w:val="18"/>
    </w:rPr>
  </w:style>
  <w:style w:type="paragraph" w:styleId="25">
    <w:name w:val="toc 2"/>
    <w:basedOn w:val="1"/>
    <w:next w:val="1"/>
    <w:autoRedefine/>
    <w:unhideWhenUsed/>
    <w:qFormat/>
    <w:uiPriority w:val="39"/>
    <w:pPr>
      <w:ind w:left="240"/>
    </w:pPr>
    <w:rPr>
      <w:rFonts w:asciiTheme="minorHAnsi" w:eastAsiaTheme="minorHAnsi"/>
      <w:smallCaps/>
      <w:sz w:val="20"/>
      <w:szCs w:val="20"/>
    </w:rPr>
  </w:style>
  <w:style w:type="paragraph" w:styleId="26">
    <w:name w:val="toc 9"/>
    <w:basedOn w:val="1"/>
    <w:next w:val="1"/>
    <w:autoRedefine/>
    <w:unhideWhenUsed/>
    <w:qFormat/>
    <w:uiPriority w:val="39"/>
    <w:pPr>
      <w:ind w:left="1920"/>
    </w:pPr>
    <w:rPr>
      <w:rFonts w:asciiTheme="minorHAnsi" w:eastAsiaTheme="minorHAnsi"/>
      <w:sz w:val="18"/>
      <w:szCs w:val="18"/>
    </w:rPr>
  </w:style>
  <w:style w:type="paragraph" w:styleId="27">
    <w:name w:val="annotation subject"/>
    <w:basedOn w:val="12"/>
    <w:next w:val="12"/>
    <w:link w:val="51"/>
    <w:autoRedefine/>
    <w:semiHidden/>
    <w:unhideWhenUsed/>
    <w:qFormat/>
    <w:uiPriority w:val="99"/>
    <w:pPr>
      <w:spacing w:line="360" w:lineRule="auto"/>
    </w:pPr>
    <w:rPr>
      <w:rFonts w:eastAsia="宋体"/>
      <w:b/>
      <w:bCs/>
      <w:sz w:val="24"/>
      <w:szCs w:val="22"/>
    </w:rPr>
  </w:style>
  <w:style w:type="paragraph" w:styleId="28">
    <w:name w:val="Body Text First Indent 2"/>
    <w:basedOn w:val="14"/>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0"/>
    <w:rPr>
      <w:b/>
      <w:bCs/>
    </w:rPr>
  </w:style>
  <w:style w:type="character" w:styleId="33">
    <w:name w:val="Emphasis"/>
    <w:basedOn w:val="31"/>
    <w:qFormat/>
    <w:uiPriority w:val="20"/>
    <w:rPr>
      <w:i/>
    </w:rPr>
  </w:style>
  <w:style w:type="character" w:styleId="34">
    <w:name w:val="Hyperlink"/>
    <w:basedOn w:val="31"/>
    <w:autoRedefine/>
    <w:unhideWhenUsed/>
    <w:qFormat/>
    <w:uiPriority w:val="99"/>
    <w:rPr>
      <w:color w:val="0563C1" w:themeColor="hyperlink"/>
      <w:u w:val="single"/>
      <w14:textFill>
        <w14:solidFill>
          <w14:schemeClr w14:val="hlink"/>
        </w14:solidFill>
      </w14:textFill>
    </w:rPr>
  </w:style>
  <w:style w:type="character" w:styleId="35">
    <w:name w:val="annotation reference"/>
    <w:basedOn w:val="31"/>
    <w:autoRedefine/>
    <w:qFormat/>
    <w:uiPriority w:val="0"/>
    <w:rPr>
      <w:sz w:val="21"/>
      <w:szCs w:val="21"/>
    </w:rPr>
  </w:style>
  <w:style w:type="paragraph" w:customStyle="1" w:styleId="3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7">
    <w:name w:val="正文缩进2"/>
    <w:basedOn w:val="1"/>
    <w:autoRedefine/>
    <w:qFormat/>
    <w:uiPriority w:val="0"/>
    <w:pPr>
      <w:wordWrap w:val="0"/>
      <w:ind w:firstLine="480"/>
    </w:pPr>
    <w:rPr>
      <w:iCs/>
      <w:shd w:val="clear" w:color="auto" w:fill="FFFFFF" w:themeFill="background1"/>
      <w:lang w:val="zh-CN"/>
    </w:rPr>
  </w:style>
  <w:style w:type="character" w:customStyle="1" w:styleId="38">
    <w:name w:val="标题 1 字符"/>
    <w:basedOn w:val="31"/>
    <w:link w:val="2"/>
    <w:autoRedefine/>
    <w:qFormat/>
    <w:uiPriority w:val="9"/>
    <w:rPr>
      <w:rFonts w:eastAsia="黑体"/>
      <w:b/>
      <w:bCs/>
      <w:kern w:val="44"/>
      <w:sz w:val="44"/>
      <w:szCs w:val="44"/>
    </w:rPr>
  </w:style>
  <w:style w:type="paragraph" w:styleId="39">
    <w:name w:val="List Paragraph"/>
    <w:basedOn w:val="1"/>
    <w:autoRedefine/>
    <w:qFormat/>
    <w:uiPriority w:val="34"/>
    <w:pPr>
      <w:numPr>
        <w:ilvl w:val="0"/>
        <w:numId w:val="2"/>
      </w:numPr>
    </w:pPr>
  </w:style>
  <w:style w:type="character" w:customStyle="1" w:styleId="40">
    <w:name w:val="页眉 字符"/>
    <w:basedOn w:val="31"/>
    <w:link w:val="20"/>
    <w:autoRedefine/>
    <w:qFormat/>
    <w:uiPriority w:val="99"/>
    <w:rPr>
      <w:rFonts w:eastAsia="宋体"/>
      <w:sz w:val="18"/>
      <w:szCs w:val="18"/>
    </w:rPr>
  </w:style>
  <w:style w:type="character" w:customStyle="1" w:styleId="41">
    <w:name w:val="页脚 字符"/>
    <w:basedOn w:val="31"/>
    <w:link w:val="19"/>
    <w:autoRedefine/>
    <w:qFormat/>
    <w:uiPriority w:val="99"/>
    <w:rPr>
      <w:rFonts w:eastAsia="宋体"/>
      <w:sz w:val="18"/>
      <w:szCs w:val="18"/>
    </w:rPr>
  </w:style>
  <w:style w:type="character" w:customStyle="1" w:styleId="42">
    <w:name w:val="标题 2 字符"/>
    <w:basedOn w:val="31"/>
    <w:link w:val="3"/>
    <w:autoRedefine/>
    <w:qFormat/>
    <w:uiPriority w:val="0"/>
    <w:rPr>
      <w:rFonts w:eastAsia="宋体" w:asciiTheme="majorHAnsi" w:hAnsiTheme="majorHAnsi" w:cstheme="majorBidi"/>
      <w:b/>
      <w:bCs/>
      <w:sz w:val="32"/>
      <w:szCs w:val="32"/>
    </w:rPr>
  </w:style>
  <w:style w:type="character" w:customStyle="1" w:styleId="43">
    <w:name w:val="批注文字 字符"/>
    <w:basedOn w:val="31"/>
    <w:link w:val="12"/>
    <w:autoRedefine/>
    <w:qFormat/>
    <w:uiPriority w:val="0"/>
    <w:rPr>
      <w:szCs w:val="24"/>
    </w:rPr>
  </w:style>
  <w:style w:type="paragraph" w:customStyle="1" w:styleId="44">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5">
    <w:name w:val="标题 3 字符"/>
    <w:basedOn w:val="31"/>
    <w:link w:val="4"/>
    <w:autoRedefine/>
    <w:qFormat/>
    <w:uiPriority w:val="9"/>
    <w:rPr>
      <w:rFonts w:eastAsia="宋体"/>
      <w:b/>
      <w:bCs/>
      <w:sz w:val="30"/>
      <w:szCs w:val="32"/>
    </w:rPr>
  </w:style>
  <w:style w:type="character" w:customStyle="1" w:styleId="46">
    <w:name w:val="标题 4 字符"/>
    <w:basedOn w:val="31"/>
    <w:link w:val="5"/>
    <w:autoRedefine/>
    <w:qFormat/>
    <w:uiPriority w:val="9"/>
    <w:rPr>
      <w:rFonts w:eastAsia="宋体" w:asciiTheme="majorHAnsi" w:hAnsiTheme="majorHAnsi" w:cstheme="majorBidi"/>
      <w:b/>
      <w:bCs/>
      <w:sz w:val="28"/>
      <w:szCs w:val="28"/>
    </w:rPr>
  </w:style>
  <w:style w:type="character" w:customStyle="1" w:styleId="47">
    <w:name w:val="正文文本 字符"/>
    <w:basedOn w:val="31"/>
    <w:link w:val="13"/>
    <w:autoRedefine/>
    <w:qFormat/>
    <w:uiPriority w:val="99"/>
    <w:rPr>
      <w:szCs w:val="24"/>
    </w:rPr>
  </w:style>
  <w:style w:type="paragraph" w:customStyle="1" w:styleId="48">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49">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0">
    <w:name w:val="未处理的提及1"/>
    <w:basedOn w:val="31"/>
    <w:autoRedefine/>
    <w:semiHidden/>
    <w:unhideWhenUsed/>
    <w:qFormat/>
    <w:uiPriority w:val="99"/>
    <w:rPr>
      <w:color w:val="605E5C"/>
      <w:shd w:val="clear" w:color="auto" w:fill="E1DFDD"/>
    </w:rPr>
  </w:style>
  <w:style w:type="character" w:customStyle="1" w:styleId="51">
    <w:name w:val="批注主题 字符"/>
    <w:basedOn w:val="43"/>
    <w:link w:val="27"/>
    <w:autoRedefine/>
    <w:semiHidden/>
    <w:qFormat/>
    <w:uiPriority w:val="99"/>
    <w:rPr>
      <w:rFonts w:ascii="宋体" w:hAnsi="宋体" w:cstheme="minorBidi"/>
      <w:b/>
      <w:bCs/>
      <w:kern w:val="2"/>
      <w:sz w:val="24"/>
      <w:szCs w:val="22"/>
    </w:rPr>
  </w:style>
  <w:style w:type="character" w:customStyle="1" w:styleId="52">
    <w:name w:val="未处理的提及2"/>
    <w:basedOn w:val="31"/>
    <w:autoRedefine/>
    <w:semiHidden/>
    <w:unhideWhenUsed/>
    <w:qFormat/>
    <w:uiPriority w:val="99"/>
    <w:rPr>
      <w:color w:val="605E5C"/>
      <w:shd w:val="clear" w:color="auto" w:fill="E1DFDD"/>
    </w:rPr>
  </w:style>
  <w:style w:type="paragraph" w:customStyle="1" w:styleId="53">
    <w:name w:val="正文_2"/>
    <w:autoRedefine/>
    <w:qFormat/>
    <w:uiPriority w:val="0"/>
    <w:pPr>
      <w:widowControl w:val="0"/>
      <w:jc w:val="both"/>
    </w:pPr>
    <w:rPr>
      <w:rFonts w:ascii="Calibri" w:hAnsi="Calibri" w:eastAsia="宋体" w:cs="Times New Roman"/>
      <w:lang w:val="en-US" w:eastAsia="zh-CN" w:bidi="ar-SA"/>
    </w:rPr>
  </w:style>
  <w:style w:type="paragraph" w:customStyle="1" w:styleId="54">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7">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8">
    <w:name w:val="Normal Indent1"/>
    <w:basedOn w:val="1"/>
    <w:autoRedefine/>
    <w:qFormat/>
    <w:uiPriority w:val="0"/>
    <w:pPr>
      <w:ind w:firstLine="420" w:firstLineChars="200"/>
    </w:pPr>
  </w:style>
  <w:style w:type="paragraph" w:customStyle="1" w:styleId="59">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0">
    <w:name w:val="Normal_22"/>
    <w:autoRedefine/>
    <w:qFormat/>
    <w:uiPriority w:val="0"/>
    <w:rPr>
      <w:rFonts w:ascii="Times New Roman" w:hAnsi="Times New Roman" w:eastAsia="Times New Roman" w:cs="Times New Roman"/>
      <w:sz w:val="24"/>
      <w:szCs w:val="24"/>
      <w:lang w:bidi="ar-SA"/>
    </w:rPr>
  </w:style>
  <w:style w:type="paragraph" w:customStyle="1" w:styleId="61">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2">
    <w:name w:val="正文_0_0_0 Char"/>
    <w:link w:val="63"/>
    <w:autoRedefine/>
    <w:qFormat/>
    <w:locked/>
    <w:uiPriority w:val="0"/>
    <w:rPr>
      <w:rFonts w:ascii="Calibri" w:hAnsi="Calibri" w:cs="Calibri"/>
      <w:kern w:val="2"/>
      <w:sz w:val="28"/>
      <w:szCs w:val="22"/>
      <w:lang w:val="en-US" w:eastAsia="zh-CN" w:bidi="ar-SA"/>
    </w:rPr>
  </w:style>
  <w:style w:type="paragraph" w:customStyle="1" w:styleId="63">
    <w:name w:val="正文_0_0_0_0_0"/>
    <w:link w:val="62"/>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4">
    <w:name w:val="正文文本_0_1"/>
    <w:basedOn w:val="65"/>
    <w:autoRedefine/>
    <w:qFormat/>
    <w:uiPriority w:val="99"/>
    <w:pPr>
      <w:spacing w:after="120"/>
    </w:pPr>
    <w:rPr>
      <w:rFonts w:ascii="Calibri" w:hAnsi="Calibri" w:eastAsia="宋体"/>
      <w:kern w:val="0"/>
      <w:sz w:val="24"/>
      <w:szCs w:val="20"/>
    </w:rPr>
  </w:style>
  <w:style w:type="paragraph" w:customStyle="1" w:styleId="65">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Table Paragraph_1"/>
    <w:basedOn w:val="65"/>
    <w:autoRedefine/>
    <w:qFormat/>
    <w:uiPriority w:val="0"/>
    <w:pPr>
      <w:jc w:val="left"/>
    </w:pPr>
    <w:rPr>
      <w:rFonts w:ascii="Calibri" w:hAnsi="Calibri" w:eastAsia="宋体"/>
      <w:kern w:val="0"/>
      <w:sz w:val="22"/>
      <w:lang w:eastAsia="en-US"/>
    </w:rPr>
  </w:style>
  <w:style w:type="paragraph" w:customStyle="1" w:styleId="67">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1"/>
    <w:autoRedefine/>
    <w:qFormat/>
    <w:uiPriority w:val="0"/>
    <w:pPr>
      <w:widowControl w:val="0"/>
      <w:jc w:val="both"/>
    </w:pPr>
    <w:rPr>
      <w:rFonts w:ascii="Calibri" w:hAnsi="Calibri" w:eastAsia="宋体" w:cs="Times New Roman"/>
      <w:lang w:val="en-US" w:eastAsia="zh-CN" w:bidi="ar-SA"/>
    </w:rPr>
  </w:style>
  <w:style w:type="paragraph" w:customStyle="1" w:styleId="69">
    <w:name w:val="列出段落1"/>
    <w:basedOn w:val="1"/>
    <w:autoRedefine/>
    <w:qFormat/>
    <w:uiPriority w:val="0"/>
    <w:pPr>
      <w:ind w:firstLine="420" w:firstLineChars="200"/>
    </w:pPr>
    <w:rPr>
      <w:szCs w:val="21"/>
    </w:rPr>
  </w:style>
  <w:style w:type="paragraph" w:customStyle="1" w:styleId="7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1">
    <w:name w:val="正文2"/>
    <w:basedOn w:val="1"/>
    <w:qFormat/>
    <w:uiPriority w:val="0"/>
    <w:pPr>
      <w:spacing w:before="156" w:line="360" w:lineRule="auto"/>
      <w:ind w:firstLine="510" w:firstLineChars="200"/>
    </w:pPr>
    <w:rPr>
      <w:sz w:val="24"/>
      <w:szCs w:val="20"/>
    </w:rPr>
  </w:style>
  <w:style w:type="paragraph" w:customStyle="1" w:styleId="72">
    <w:name w:val="Char Char Char Char Char Char Char1 Char"/>
    <w:basedOn w:val="1"/>
    <w:autoRedefine/>
    <w:qFormat/>
    <w:uiPriority w:val="0"/>
    <w:rPr>
      <w:rFonts w:ascii="Arial" w:hAnsi="Arial" w:eastAsia="宋体" w:cs="Arial"/>
      <w:sz w:val="24"/>
    </w:rPr>
  </w:style>
  <w:style w:type="paragraph" w:customStyle="1" w:styleId="73">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4">
    <w:name w:val="正文_1_0"/>
    <w:qFormat/>
    <w:uiPriority w:val="0"/>
    <w:pPr>
      <w:widowControl w:val="0"/>
      <w:jc w:val="both"/>
    </w:pPr>
    <w:rPr>
      <w:rFonts w:ascii="Calibri" w:hAnsi="Calibri" w:eastAsia="楷体_GB2312" w:cs="Times New Roman"/>
      <w:kern w:val="2"/>
      <w:sz w:val="21"/>
      <w:szCs w:val="22"/>
      <w:lang w:val="en-US" w:eastAsia="zh-CN" w:bidi="ar-SA"/>
    </w:rPr>
  </w:style>
  <w:style w:type="paragraph" w:customStyle="1" w:styleId="75">
    <w:name w:val="Table Text"/>
    <w:basedOn w:val="1"/>
    <w:qFormat/>
    <w:uiPriority w:val="0"/>
    <w:rPr>
      <w:rFonts w:ascii="仿宋_GB2312" w:hAnsi="仿宋_GB2312" w:eastAsia="仿宋_GB2312" w:cs="仿宋_GB2312"/>
      <w:sz w:val="28"/>
      <w:szCs w:val="28"/>
      <w:lang w:val="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154</Pages>
  <Words>27147</Words>
  <Characters>29282</Characters>
  <Lines>328</Lines>
  <Paragraphs>92</Paragraphs>
  <TotalTime>0</TotalTime>
  <ScaleCrop>false</ScaleCrop>
  <LinksUpToDate>false</LinksUpToDate>
  <CharactersWithSpaces>29916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李春雪</cp:lastModifiedBy>
  <cp:lastPrinted>2024-12-28T09:33:00Z</cp:lastPrinted>
  <dcterms:modified xsi:type="dcterms:W3CDTF">2026-04-24T09:37:08Z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1D1CD78630114338A69A701259BCC25B_13</vt:lpwstr>
  </property>
  <property fmtid="{D5CDD505-2E9C-101B-9397-08002B2CF9AE}" pid="4" name="KSOTemplateDocerSaveRecord">
    <vt:lpwstr>eyJoZGlkIjoiMjhjYmY3NTM3NmQzODU0MmRhODk2Njk1YjhkNWRmZDAiLCJ1c2VySWQiOiIxNDU3NjQ1NjQ3In0=</vt:lpwstr>
  </property>
</Properties>
</file>