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3D5BF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ascii="微软雅黑" w:hAnsi="微软雅黑" w:eastAsia="微软雅黑" w:cs="微软雅黑"/>
          <w:b/>
          <w:bCs/>
          <w:i w:val="0"/>
          <w:iCs w:val="0"/>
          <w:caps w:val="0"/>
          <w:color w:val="333333"/>
          <w:spacing w:val="0"/>
          <w:sz w:val="39"/>
          <w:szCs w:val="39"/>
        </w:rPr>
      </w:pPr>
      <w:r>
        <w:rPr>
          <w:rFonts w:hint="eastAsia" w:ascii="微软雅黑" w:hAnsi="微软雅黑" w:eastAsia="微软雅黑" w:cs="微软雅黑"/>
          <w:b/>
          <w:bCs/>
          <w:i w:val="0"/>
          <w:iCs w:val="0"/>
          <w:caps w:val="0"/>
          <w:color w:val="333333"/>
          <w:spacing w:val="0"/>
          <w:sz w:val="39"/>
          <w:szCs w:val="39"/>
          <w:bdr w:val="none" w:color="auto" w:sz="0" w:space="0"/>
          <w:shd w:val="clear" w:fill="FFFFFF"/>
        </w:rPr>
        <w:t>第三章 技术、服务及其他要求</w:t>
      </w:r>
    </w:p>
    <w:p w14:paraId="3DDDB05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（注：本章的技术、服务及其他要求中，带“★”的要求为实质性要求。采购人、代理机构应当根据项目实际要求合理设定，并在第五章符合性审查中明确响应要求。）</w:t>
      </w:r>
    </w:p>
    <w:p w14:paraId="46D59A4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3.1.采购内容</w:t>
      </w:r>
    </w:p>
    <w:p w14:paraId="5726665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w:t>
      </w:r>
    </w:p>
    <w:p w14:paraId="4A3C4F5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采购包预算金额（元）: 2,409,566.70</w:t>
      </w:r>
    </w:p>
    <w:p w14:paraId="5A88732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采购包最高限价（元）: 2,409,566.70</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50"/>
        <w:gridCol w:w="927"/>
        <w:gridCol w:w="1038"/>
        <w:gridCol w:w="1071"/>
        <w:gridCol w:w="1074"/>
        <w:gridCol w:w="667"/>
        <w:gridCol w:w="667"/>
        <w:gridCol w:w="667"/>
        <w:gridCol w:w="667"/>
        <w:gridCol w:w="609"/>
        <w:gridCol w:w="609"/>
      </w:tblGrid>
      <w:tr w14:paraId="54257F8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93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CEE853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68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B28CB3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168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D1148D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168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38D403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数量</w:t>
            </w:r>
            <w:r>
              <w:rPr>
                <w:rFonts w:ascii="宋体" w:hAnsi="宋体" w:eastAsia="宋体" w:cs="宋体"/>
                <w:b/>
                <w:bCs/>
                <w:kern w:val="0"/>
                <w:sz w:val="24"/>
                <w:szCs w:val="24"/>
                <w:bdr w:val="none" w:color="auto" w:sz="0" w:space="0"/>
                <w:lang w:val="en-US" w:eastAsia="zh-CN" w:bidi="ar"/>
              </w:rPr>
              <w:br w:type="textWrapping"/>
            </w:r>
            <w:r>
              <w:rPr>
                <w:rFonts w:ascii="宋体" w:hAnsi="宋体" w:eastAsia="宋体" w:cs="宋体"/>
                <w:b/>
                <w:bCs/>
                <w:kern w:val="0"/>
                <w:sz w:val="24"/>
                <w:szCs w:val="24"/>
                <w:bdr w:val="none" w:color="auto" w:sz="0" w:space="0"/>
                <w:lang w:val="en-US" w:eastAsia="zh-CN" w:bidi="ar"/>
              </w:rPr>
              <w:t>(计量单位)</w:t>
            </w:r>
          </w:p>
        </w:tc>
        <w:tc>
          <w:tcPr>
            <w:tcW w:w="168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2382B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标的金额 （元）</w:t>
            </w:r>
          </w:p>
        </w:tc>
        <w:tc>
          <w:tcPr>
            <w:tcW w:w="168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039F55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所属行业</w:t>
            </w:r>
          </w:p>
        </w:tc>
        <w:tc>
          <w:tcPr>
            <w:tcW w:w="168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FB8056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是否涉及核心产品</w:t>
            </w:r>
          </w:p>
        </w:tc>
        <w:tc>
          <w:tcPr>
            <w:tcW w:w="168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763BB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是否涉及采购进口产品</w:t>
            </w:r>
          </w:p>
        </w:tc>
        <w:tc>
          <w:tcPr>
            <w:tcW w:w="168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D8B256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是否涉及强制采购节能产品</w:t>
            </w:r>
          </w:p>
        </w:tc>
        <w:tc>
          <w:tcPr>
            <w:tcW w:w="130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9910A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是否涉及优先采购节能产品</w:t>
            </w:r>
          </w:p>
        </w:tc>
        <w:tc>
          <w:tcPr>
            <w:tcW w:w="130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481DE3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是否涉及优先采购环境标志产品</w:t>
            </w:r>
          </w:p>
        </w:tc>
      </w:tr>
      <w:tr w14:paraId="51D4D4A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64DF8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5132A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A02249900 其他食品加工设备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0E20D1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泸州老窖天府中学食堂设备更新项目</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8191353">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B112479">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2,409,566.70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FC2D9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472F87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7EA24F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2DEA03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017802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B26E9A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是</w:t>
            </w:r>
          </w:p>
        </w:tc>
      </w:tr>
    </w:tbl>
    <w:p w14:paraId="031D8E1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kern w:val="0"/>
          <w:sz w:val="24"/>
          <w:szCs w:val="24"/>
          <w:bdr w:val="none" w:color="auto" w:sz="0" w:space="0"/>
          <w:shd w:val="clear" w:fill="FFFFFF"/>
          <w:lang w:val="en-US" w:eastAsia="zh-CN" w:bidi="ar"/>
        </w:rPr>
        <w:t>是否适用本国产品标准：</w:t>
      </w:r>
    </w:p>
    <w:p w14:paraId="28C2D28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采购包1：是</w:t>
      </w:r>
    </w:p>
    <w:p w14:paraId="1835775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报价要求</w:t>
      </w:r>
    </w:p>
    <w:p w14:paraId="72D2419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69"/>
        <w:gridCol w:w="1793"/>
        <w:gridCol w:w="1458"/>
        <w:gridCol w:w="1324"/>
        <w:gridCol w:w="1154"/>
        <w:gridCol w:w="1748"/>
      </w:tblGrid>
      <w:tr w14:paraId="2863F67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20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F29AD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349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FDF74D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报价内容</w:t>
            </w:r>
          </w:p>
        </w:tc>
        <w:tc>
          <w:tcPr>
            <w:tcW w:w="232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546DC3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数量（计量单位）</w:t>
            </w:r>
          </w:p>
        </w:tc>
        <w:tc>
          <w:tcPr>
            <w:tcW w:w="279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AF268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最高限价</w:t>
            </w:r>
          </w:p>
        </w:tc>
        <w:tc>
          <w:tcPr>
            <w:tcW w:w="232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C76690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价款形式</w:t>
            </w:r>
          </w:p>
        </w:tc>
        <w:tc>
          <w:tcPr>
            <w:tcW w:w="395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25891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报价说明</w:t>
            </w:r>
          </w:p>
        </w:tc>
      </w:tr>
      <w:tr w14:paraId="3723525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A0D7FD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8C6A44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泸州老窖天府中学食堂设备更新项目</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4F6614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B45963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2,409,566.70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74274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5A455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bl>
    <w:p w14:paraId="5A4CD2F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★注：投标人响应产品应当明确品牌和规格型号并指向唯一产品，不能指向唯一产品的，应通过报价表唯一产品说明栏补充说明。</w:t>
      </w:r>
    </w:p>
    <w:p w14:paraId="39CEB13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本项目涉及核心产品：</w:t>
      </w:r>
    </w:p>
    <w:p w14:paraId="5A96397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16"/>
        <w:gridCol w:w="2510"/>
        <w:gridCol w:w="2510"/>
        <w:gridCol w:w="2510"/>
      </w:tblGrid>
      <w:tr w14:paraId="18EF386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69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30B34A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509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7BA04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509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2A0B9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509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0090E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69A5452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96412A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ECF7A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A02249900 其他食品加工设备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FA870D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泸州老窖天府中学食堂设备更新项目</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B0CD2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油烟净化一体机</w:t>
            </w:r>
          </w:p>
        </w:tc>
      </w:tr>
    </w:tbl>
    <w:p w14:paraId="445FDB3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kern w:val="0"/>
          <w:sz w:val="24"/>
          <w:szCs w:val="24"/>
          <w:bdr w:val="none" w:color="auto" w:sz="0" w:space="0"/>
          <w:shd w:val="clear" w:fill="FFFFFF"/>
          <w:lang w:val="en-US" w:eastAsia="zh-CN" w:bidi="ar"/>
        </w:rPr>
        <w:t>注：涉及核心产品的，具体评审规定见第五章。</w:t>
      </w:r>
    </w:p>
    <w:p w14:paraId="287230D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本项目涉及采购进口产品：</w:t>
      </w:r>
    </w:p>
    <w:p w14:paraId="177DD0D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16"/>
        <w:gridCol w:w="2510"/>
        <w:gridCol w:w="2510"/>
        <w:gridCol w:w="2510"/>
      </w:tblGrid>
      <w:tr w14:paraId="6993C6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69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E6D15F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509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F54A11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509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0CE85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509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B8C50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6D77673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1214889">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28D5CA9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kern w:val="0"/>
          <w:sz w:val="24"/>
          <w:szCs w:val="24"/>
          <w:bdr w:val="none" w:color="auto" w:sz="0" w:space="0"/>
          <w:shd w:val="clear" w:fill="FFFFFF"/>
          <w:lang w:val="en-US" w:eastAsia="zh-CN" w:bidi="ar"/>
        </w:rPr>
        <w:t>★注：不涉及采购进口产品时，投标人不得提供进口产品进行响应；涉及采购进口产品时，如国产产品满足采购需求，也可提供国产产品进行响应。</w:t>
      </w:r>
    </w:p>
    <w:p w14:paraId="629683D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本项目涉及强制采购节能产品：</w:t>
      </w:r>
    </w:p>
    <w:p w14:paraId="7A555B5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16"/>
        <w:gridCol w:w="2510"/>
        <w:gridCol w:w="2510"/>
        <w:gridCol w:w="2510"/>
      </w:tblGrid>
      <w:tr w14:paraId="7516381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69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15EBD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509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DBF61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509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6DFEA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509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9F1B58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18CF451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E0708FD">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2C3984A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kern w:val="0"/>
          <w:sz w:val="24"/>
          <w:szCs w:val="24"/>
          <w:bdr w:val="none" w:color="auto" w:sz="0" w:space="0"/>
          <w:shd w:val="clear" w:fill="FFFFFF"/>
          <w:lang w:val="en-US" w:eastAsia="zh-CN" w:bidi="ar"/>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043F3BA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本项目涉及优先采购节能产品：</w:t>
      </w:r>
    </w:p>
    <w:p w14:paraId="3D948EE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16"/>
        <w:gridCol w:w="2510"/>
        <w:gridCol w:w="2510"/>
        <w:gridCol w:w="2510"/>
      </w:tblGrid>
      <w:tr w14:paraId="17F02D8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69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96599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509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2354D3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509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E0D3C5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509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09DB95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293CF21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E359D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2CBF8A5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kern w:val="0"/>
          <w:sz w:val="24"/>
          <w:szCs w:val="24"/>
          <w:bdr w:val="none" w:color="auto" w:sz="0" w:space="0"/>
          <w:shd w:val="clear" w:fill="FFFFFF"/>
          <w:lang w:val="en-US" w:eastAsia="zh-CN" w:bidi="ar"/>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797C794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本项目涉及优先采购环境标志产品：</w:t>
      </w:r>
    </w:p>
    <w:p w14:paraId="09529A0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16"/>
        <w:gridCol w:w="2510"/>
        <w:gridCol w:w="2510"/>
        <w:gridCol w:w="2510"/>
      </w:tblGrid>
      <w:tr w14:paraId="0D5FC16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69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EB5DBC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509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6E872E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509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081D3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509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4D12AD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102F22B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C2F450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B2688F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A02249900 其他食品加工设备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5612E4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泸州老窖天府中学食堂设备更新项目</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15EFE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风柜</w:t>
            </w:r>
          </w:p>
        </w:tc>
      </w:tr>
    </w:tbl>
    <w:p w14:paraId="2902485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kern w:val="0"/>
          <w:sz w:val="24"/>
          <w:szCs w:val="24"/>
          <w:bdr w:val="none" w:color="auto" w:sz="0" w:space="0"/>
          <w:shd w:val="clear" w:fill="FFFFFF"/>
          <w:lang w:val="en-US" w:eastAsia="zh-CN" w:bidi="ar"/>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D1486D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3.2.技术要求</w:t>
      </w:r>
    </w:p>
    <w:p w14:paraId="7B578E5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w:t>
      </w:r>
    </w:p>
    <w:p w14:paraId="2DC9C03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标的名称：泸州老窖天府中学食堂设备更新项目</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312"/>
        <w:gridCol w:w="312"/>
        <w:gridCol w:w="383"/>
        <w:gridCol w:w="7539"/>
      </w:tblGrid>
      <w:tr w14:paraId="4916640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49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82F2B8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49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C9699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73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9F497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2521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D98F94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6333A8F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0F1D10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545728">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DFCDB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泸州老窖天府中学食堂设备更新项目技术要求及性能指标（含控制价）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tbl>
            <w:tblPr>
              <w:tblW w:w="13920" w:type="dxa"/>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264"/>
              <w:gridCol w:w="265"/>
              <w:gridCol w:w="14"/>
              <w:gridCol w:w="224"/>
              <w:gridCol w:w="142"/>
              <w:gridCol w:w="265"/>
              <w:gridCol w:w="13"/>
              <w:gridCol w:w="252"/>
              <w:gridCol w:w="265"/>
              <w:gridCol w:w="265"/>
              <w:gridCol w:w="375"/>
              <w:gridCol w:w="375"/>
              <w:gridCol w:w="4580"/>
            </w:tblGrid>
            <w:tr w14:paraId="4D517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3920" w:type="dxa"/>
                  <w:gridSpan w:val="13"/>
                  <w:tcBorders>
                    <w:top w:val="nil"/>
                    <w:left w:val="single" w:color="000000" w:sz="6" w:space="0"/>
                    <w:bottom w:val="nil"/>
                    <w:right w:val="nil"/>
                  </w:tcBorders>
                  <w:shd w:val="clear"/>
                  <w:tcMar>
                    <w:left w:w="105" w:type="dxa"/>
                    <w:right w:w="105" w:type="dxa"/>
                  </w:tcMar>
                  <w:vAlign w:val="center"/>
                </w:tcPr>
                <w:p w14:paraId="4345D79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泸州老窖天府中学食堂设备更新项目技术要求及性能标准</w:t>
                  </w:r>
                </w:p>
              </w:tc>
            </w:tr>
            <w:tr w14:paraId="33638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21C9F8C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序号</w:t>
                  </w:r>
                </w:p>
              </w:tc>
              <w:tc>
                <w:tcPr>
                  <w:tcW w:w="720" w:type="dxa"/>
                  <w:gridSpan w:val="2"/>
                  <w:tcBorders>
                    <w:top w:val="nil"/>
                    <w:left w:val="nil"/>
                    <w:bottom w:val="single" w:color="000000" w:sz="6" w:space="0"/>
                    <w:right w:val="single" w:color="000000" w:sz="6" w:space="0"/>
                  </w:tcBorders>
                  <w:shd w:val="clear"/>
                  <w:tcMar>
                    <w:left w:w="105" w:type="dxa"/>
                    <w:right w:w="105" w:type="dxa"/>
                  </w:tcMar>
                  <w:vAlign w:val="center"/>
                </w:tcPr>
                <w:p w14:paraId="410DCF9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商品名称</w:t>
                  </w:r>
                </w:p>
              </w:tc>
              <w:tc>
                <w:tcPr>
                  <w:tcW w:w="1365" w:type="dxa"/>
                  <w:gridSpan w:val="3"/>
                  <w:tcBorders>
                    <w:top w:val="nil"/>
                    <w:left w:val="nil"/>
                    <w:bottom w:val="single" w:color="000000" w:sz="6" w:space="0"/>
                    <w:right w:val="single" w:color="000000" w:sz="6" w:space="0"/>
                  </w:tcBorders>
                  <w:shd w:val="clear"/>
                  <w:tcMar>
                    <w:left w:w="105" w:type="dxa"/>
                    <w:right w:w="105" w:type="dxa"/>
                  </w:tcMar>
                  <w:vAlign w:val="center"/>
                </w:tcPr>
                <w:p w14:paraId="12B6CE3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使用位置</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73B502A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规格</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7D436CD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单位</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3FB6742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数量</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1F1F2EF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控制单价（元）</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7254C29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控制合价（元）</w:t>
                  </w:r>
                </w:p>
              </w:tc>
              <w:tc>
                <w:tcPr>
                  <w:tcW w:w="592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668D283">
                  <w:pPr>
                    <w:rPr>
                      <w:rFonts w:hint="eastAsia" w:ascii="宋体"/>
                      <w:sz w:val="24"/>
                      <w:szCs w:val="24"/>
                    </w:rPr>
                  </w:pPr>
                </w:p>
              </w:tc>
            </w:tr>
            <w:tr w14:paraId="64998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170" w:type="dxa"/>
                  <w:gridSpan w:val="13"/>
                  <w:tcBorders>
                    <w:top w:val="nil"/>
                    <w:left w:val="single" w:color="000000" w:sz="6" w:space="0"/>
                    <w:bottom w:val="single" w:color="000000" w:sz="6" w:space="0"/>
                    <w:right w:val="single" w:color="000000" w:sz="6" w:space="0"/>
                  </w:tcBorders>
                  <w:shd w:val="clear"/>
                  <w:tcMar>
                    <w:left w:w="105" w:type="dxa"/>
                    <w:right w:w="105" w:type="dxa"/>
                  </w:tcMar>
                  <w:vAlign w:val="center"/>
                </w:tcPr>
                <w:p w14:paraId="203E0AF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Style w:val="13"/>
                      <w:rFonts w:hint="eastAsia" w:ascii="宋体" w:hAnsi="宋体" w:eastAsia="宋体" w:cs="宋体"/>
                      <w:color w:val="FF0000"/>
                      <w:sz w:val="24"/>
                      <w:szCs w:val="24"/>
                      <w:bdr w:val="none" w:color="auto" w:sz="0" w:space="0"/>
                    </w:rPr>
                    <w:t>油烟系统</w:t>
                  </w:r>
                </w:p>
              </w:tc>
            </w:tr>
            <w:tr w14:paraId="6B518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624D05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w:t>
                  </w:r>
                </w:p>
              </w:tc>
              <w:tc>
                <w:tcPr>
                  <w:tcW w:w="720" w:type="dxa"/>
                  <w:gridSpan w:val="2"/>
                  <w:vMerge w:val="restart"/>
                  <w:tcBorders>
                    <w:top w:val="nil"/>
                    <w:left w:val="nil"/>
                    <w:bottom w:val="single" w:color="000000" w:sz="6" w:space="0"/>
                    <w:right w:val="single" w:color="000000" w:sz="6" w:space="0"/>
                  </w:tcBorders>
                  <w:shd w:val="clear"/>
                  <w:tcMar>
                    <w:left w:w="105" w:type="dxa"/>
                    <w:right w:w="105" w:type="dxa"/>
                  </w:tcMar>
                  <w:vAlign w:val="center"/>
                </w:tcPr>
                <w:p w14:paraId="6EE12F9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油烟净化一体机组</w:t>
                  </w:r>
                </w:p>
              </w:tc>
              <w:tc>
                <w:tcPr>
                  <w:tcW w:w="420" w:type="dxa"/>
                  <w:gridSpan w:val="2"/>
                  <w:vMerge w:val="restart"/>
                  <w:tcBorders>
                    <w:top w:val="nil"/>
                    <w:left w:val="nil"/>
                    <w:bottom w:val="single" w:color="000000" w:sz="6" w:space="0"/>
                    <w:right w:val="single" w:color="000000" w:sz="6" w:space="0"/>
                  </w:tcBorders>
                  <w:shd w:val="clear"/>
                  <w:tcMar>
                    <w:left w:w="105" w:type="dxa"/>
                    <w:right w:w="105" w:type="dxa"/>
                  </w:tcMar>
                  <w:vAlign w:val="center"/>
                </w:tcPr>
                <w:p w14:paraId="42CC315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良知楼负一楼</w:t>
                  </w: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042396B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蒸煮间靠窗1</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6E80EAA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2540953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58CB4F2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0F753B2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50CD981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39465.00</w:t>
                  </w:r>
                </w:p>
              </w:tc>
              <w:tc>
                <w:tcPr>
                  <w:tcW w:w="5925" w:type="dxa"/>
                  <w:vMerge w:val="restart"/>
                  <w:tcBorders>
                    <w:top w:val="single" w:color="000000" w:sz="6" w:space="0"/>
                    <w:left w:val="nil"/>
                    <w:bottom w:val="single" w:color="000000" w:sz="6" w:space="0"/>
                    <w:right w:val="single" w:color="000000" w:sz="6" w:space="0"/>
                  </w:tcBorders>
                  <w:shd w:val="clear"/>
                  <w:tcMar>
                    <w:left w:w="105" w:type="dxa"/>
                    <w:right w:w="105" w:type="dxa"/>
                  </w:tcMar>
                  <w:vAlign w:val="top"/>
                </w:tcPr>
                <w:p w14:paraId="70401E3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4"/>
                      <w:szCs w:val="24"/>
                    </w:rPr>
                  </w:pPr>
                  <w:r>
                    <w:rPr>
                      <w:rFonts w:hint="eastAsia" w:ascii="宋体" w:hAnsi="宋体" w:eastAsia="宋体" w:cs="宋体"/>
                      <w:kern w:val="0"/>
                      <w:sz w:val="24"/>
                      <w:szCs w:val="24"/>
                      <w:bdr w:val="none" w:color="auto" w:sz="0" w:space="0"/>
                      <w:lang w:val="en-US" w:eastAsia="zh-CN" w:bidi="ar"/>
                    </w:rPr>
                    <w:t>★1. 外壳及面板材质：采用304#不锈钢板制作，板厚≥1.2mm，兼顾耐用性与抗腐蚀性能。</w:t>
                  </w:r>
                </w:p>
                <w:p w14:paraId="2D04148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4"/>
                      <w:szCs w:val="24"/>
                    </w:rPr>
                  </w:pPr>
                  <w:r>
                    <w:rPr>
                      <w:rFonts w:hint="eastAsia" w:ascii="宋体" w:hAnsi="宋体" w:eastAsia="宋体" w:cs="宋体"/>
                      <w:kern w:val="0"/>
                      <w:sz w:val="24"/>
                      <w:szCs w:val="24"/>
                      <w:bdr w:val="none" w:color="auto" w:sz="0" w:space="0"/>
                      <w:lang w:val="en-US" w:eastAsia="zh-CN" w:bidi="ar"/>
                    </w:rPr>
                    <w:t>2. 功率/电压：功率≥1kw，额定电压380V，供电稳定，满足设备持续运行需求。</w:t>
                  </w:r>
                </w:p>
                <w:p w14:paraId="32832CD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4"/>
                      <w:szCs w:val="24"/>
                    </w:rPr>
                  </w:pPr>
                  <w:r>
                    <w:rPr>
                      <w:rFonts w:hint="eastAsia" w:ascii="宋体" w:hAnsi="宋体" w:eastAsia="宋体" w:cs="宋体"/>
                      <w:kern w:val="0"/>
                      <w:sz w:val="24"/>
                      <w:szCs w:val="24"/>
                      <w:bdr w:val="none" w:color="auto" w:sz="0" w:space="0"/>
                      <w:lang w:val="en-US" w:eastAsia="zh-CN" w:bidi="ar"/>
                    </w:rPr>
                    <w:t>3.风口方向：可前，后，上三个方向调节安装出风口</w:t>
                  </w:r>
                </w:p>
                <w:p w14:paraId="0B7D30F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4"/>
                      <w:szCs w:val="24"/>
                    </w:rPr>
                  </w:pPr>
                  <w:r>
                    <w:rPr>
                      <w:rFonts w:hint="eastAsia" w:ascii="宋体" w:hAnsi="宋体" w:eastAsia="宋体" w:cs="宋体"/>
                      <w:kern w:val="0"/>
                      <w:sz w:val="24"/>
                      <w:szCs w:val="24"/>
                      <w:bdr w:val="none" w:color="auto" w:sz="0" w:space="0"/>
                      <w:lang w:val="en-US" w:eastAsia="zh-CN" w:bidi="ar"/>
                    </w:rPr>
                    <w:t>4. 操控方式：支持感应式操控与一键启动式操控，操作便捷，适配不同使用场景。</w:t>
                  </w:r>
                </w:p>
                <w:p w14:paraId="71DE752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4"/>
                      <w:szCs w:val="24"/>
                    </w:rPr>
                  </w:pPr>
                  <w:r>
                    <w:rPr>
                      <w:rFonts w:hint="eastAsia" w:ascii="宋体" w:hAnsi="宋体" w:eastAsia="宋体" w:cs="宋体"/>
                      <w:kern w:val="0"/>
                      <w:sz w:val="24"/>
                      <w:szCs w:val="24"/>
                      <w:bdr w:val="none" w:color="auto" w:sz="0" w:space="0"/>
                      <w:lang w:val="en-US" w:eastAsia="zh-CN" w:bidi="ar"/>
                    </w:rPr>
                    <w:t>5. 六级净化系统详情：</w:t>
                  </w:r>
                </w:p>
                <w:p w14:paraId="78CD828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4"/>
                      <w:szCs w:val="24"/>
                    </w:rPr>
                  </w:pPr>
                  <w:r>
                    <w:rPr>
                      <w:rFonts w:hint="eastAsia" w:ascii="宋体" w:hAnsi="宋体" w:eastAsia="宋体" w:cs="宋体"/>
                      <w:kern w:val="0"/>
                      <w:sz w:val="24"/>
                      <w:szCs w:val="24"/>
                      <w:bdr w:val="none" w:color="auto" w:sz="0" w:space="0"/>
                      <w:lang w:val="en-US" w:eastAsia="zh-CN" w:bidi="ar"/>
                    </w:rPr>
                    <w:t>（1）一级净化：采用冷碰撞原理，针对性去除大颗粒油烟；利用气态污染物在不同温压下饱和蒸气压的差异，通过降温或加压使部分污染物凝结。</w:t>
                  </w:r>
                </w:p>
                <w:p w14:paraId="58904C0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4"/>
                      <w:szCs w:val="24"/>
                    </w:rPr>
                  </w:pPr>
                  <w:r>
                    <w:rPr>
                      <w:rFonts w:hint="eastAsia" w:ascii="宋体" w:hAnsi="宋体" w:eastAsia="宋体" w:cs="宋体"/>
                      <w:kern w:val="0"/>
                      <w:sz w:val="24"/>
                      <w:szCs w:val="24"/>
                      <w:bdr w:val="none" w:color="auto" w:sz="0" w:space="0"/>
                      <w:lang w:val="en-US" w:eastAsia="zh-CN" w:bidi="ar"/>
                    </w:rPr>
                    <w:t>（2）二级净化：配置金属过滤器（中效过滤网），采用数控精密加工工艺，依托重力与碰撞双重原理，高效分离杂质与油脂，同时实现均匀散流，为下级静电净化环节提供充分前置处理，保障后续净化效果。</w:t>
                  </w:r>
                </w:p>
                <w:p w14:paraId="41585E0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4"/>
                      <w:szCs w:val="24"/>
                    </w:rPr>
                  </w:pPr>
                  <w:r>
                    <w:rPr>
                      <w:rFonts w:hint="eastAsia" w:ascii="宋体" w:hAnsi="宋体" w:eastAsia="宋体" w:cs="宋体"/>
                      <w:kern w:val="0"/>
                      <w:sz w:val="24"/>
                      <w:szCs w:val="24"/>
                      <w:bdr w:val="none" w:color="auto" w:sz="0" w:space="0"/>
                      <w:lang w:val="en-US" w:eastAsia="zh-CN" w:bidi="ar"/>
                    </w:rPr>
                    <w:t>（3）三级净化：采用等离子净烟原理，搭配不锈钢电离器，可使气体发生离子化反应，强电场作用下让颗粒物带上电荷，转化为带电颗粒，为后续收集环节奠定基础。</w:t>
                  </w:r>
                </w:p>
                <w:p w14:paraId="343F472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4"/>
                      <w:szCs w:val="24"/>
                    </w:rPr>
                  </w:pPr>
                  <w:r>
                    <w:rPr>
                      <w:rFonts w:hint="eastAsia" w:ascii="宋体" w:hAnsi="宋体" w:eastAsia="宋体" w:cs="宋体"/>
                      <w:kern w:val="0"/>
                      <w:sz w:val="24"/>
                      <w:szCs w:val="24"/>
                      <w:bdr w:val="none" w:color="auto" w:sz="0" w:space="0"/>
                      <w:lang w:val="en-US" w:eastAsia="zh-CN" w:bidi="ar"/>
                    </w:rPr>
                    <w:t>（4）四级净化：配备不锈钢集成器，带电颗粒进入第二段集成器后，通过粒子撞击收集电板，被收集电极快速吸附，可滤除90%以上的污染物，净化效率显著。</w:t>
                  </w:r>
                </w:p>
                <w:p w14:paraId="559DFE8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4"/>
                      <w:szCs w:val="24"/>
                    </w:rPr>
                  </w:pPr>
                  <w:r>
                    <w:rPr>
                      <w:rFonts w:hint="eastAsia" w:ascii="宋体" w:hAnsi="宋体" w:eastAsia="宋体" w:cs="宋体"/>
                      <w:kern w:val="0"/>
                      <w:sz w:val="24"/>
                      <w:szCs w:val="24"/>
                      <w:bdr w:val="none" w:color="auto" w:sz="0" w:space="0"/>
                      <w:lang w:val="en-US" w:eastAsia="zh-CN" w:bidi="ar"/>
                    </w:rPr>
                    <w:t>（5）五级净化：采用不锈钢集成器，进一步深度净化，可有效收集大于1.0微米的细小颗粒，大幅降低排放污染物粒径。</w:t>
                  </w:r>
                </w:p>
                <w:p w14:paraId="1675C65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4"/>
                      <w:szCs w:val="24"/>
                    </w:rPr>
                  </w:pPr>
                  <w:r>
                    <w:rPr>
                      <w:rFonts w:hint="eastAsia" w:ascii="宋体" w:hAnsi="宋体" w:eastAsia="宋体" w:cs="宋体"/>
                      <w:kern w:val="0"/>
                      <w:sz w:val="24"/>
                      <w:szCs w:val="24"/>
                      <w:bdr w:val="none" w:color="auto" w:sz="0" w:space="0"/>
                      <w:lang w:val="en-US" w:eastAsia="zh-CN" w:bidi="ar"/>
                    </w:rPr>
                    <w:t>（6）六级净化：采用UV除味原理；油烟通过灯管时，254nm紫外线可切断油脂分子链，将其分解为小分子油脂；185nm紫外线与空气中的氧气反应生成臭氧，臭氧进一步将油脂分子氧化分解为水、二氧化碳及微量白色粉末，既能实现油烟油分的光解氧化，又能有效去除烟道内异味。</w:t>
                  </w:r>
                </w:p>
                <w:p w14:paraId="19672A9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4"/>
                      <w:szCs w:val="24"/>
                    </w:rPr>
                  </w:pPr>
                  <w:r>
                    <w:rPr>
                      <w:rFonts w:hint="eastAsia" w:ascii="宋体" w:hAnsi="宋体" w:eastAsia="宋体" w:cs="宋体"/>
                      <w:kern w:val="0"/>
                      <w:sz w:val="24"/>
                      <w:szCs w:val="24"/>
                      <w:bdr w:val="none" w:color="auto" w:sz="0" w:space="0"/>
                      <w:lang w:val="en-US" w:eastAsia="zh-CN" w:bidi="ar"/>
                    </w:rPr>
                    <w:t>▲6.设备经检测符合GB/T3482-2008标准的要求，雷击实验后，设备正常工作，并且严酷等级达到8级。（需提供具有CMA或CNAS标识的检测报告复印件并加盖厂家公章）</w:t>
                  </w:r>
                </w:p>
                <w:p w14:paraId="57A0819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4"/>
                      <w:szCs w:val="24"/>
                    </w:rPr>
                  </w:pPr>
                  <w:r>
                    <w:rPr>
                      <w:rFonts w:hint="eastAsia" w:ascii="宋体" w:hAnsi="宋体" w:eastAsia="宋体" w:cs="宋体"/>
                      <w:kern w:val="0"/>
                      <w:sz w:val="24"/>
                      <w:szCs w:val="24"/>
                      <w:bdr w:val="none" w:color="auto" w:sz="0" w:space="0"/>
                      <w:lang w:val="en-US" w:eastAsia="zh-CN" w:bidi="ar"/>
                    </w:rPr>
                    <w:t>▲7.额定风量下油烟净化效率98.1%、折算为基准排风量时的额定风量下油烟排放浓度0.187mg/m”、折算为基准排风量时的额定风量下颗粒物排放浓度1.3mg/m’、折算为基准排风量时的额定风量下非甲烷总烃排放浓度0.82mg/m’、噪声51daB(A)（需提供具有CMA或CNAS标识的检测报告复印件并加盖厂家公章）</w:t>
                  </w:r>
                </w:p>
                <w:p w14:paraId="52F28FC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4"/>
                      <w:szCs w:val="24"/>
                    </w:rPr>
                  </w:pPr>
                  <w:r>
                    <w:rPr>
                      <w:rFonts w:hint="eastAsia" w:ascii="宋体" w:hAnsi="宋体" w:eastAsia="宋体" w:cs="宋体"/>
                      <w:kern w:val="0"/>
                      <w:sz w:val="24"/>
                      <w:szCs w:val="24"/>
                      <w:bdr w:val="none" w:color="auto" w:sz="0" w:space="0"/>
                      <w:lang w:val="en-US" w:eastAsia="zh-CN" w:bidi="ar"/>
                    </w:rPr>
                    <w:t>▲8.、净化器根据GB/T2423.2-2008标准，在温度150℃，48h高温测试后，样品外观无明显变化，测试后样品能正常工作。测试合格。 （需提供具有CMA或CNAS标识的检测报告复印件并加盖厂家公章）</w:t>
                  </w:r>
                </w:p>
                <w:p w14:paraId="38B72FF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kern w:val="0"/>
                      <w:sz w:val="24"/>
                      <w:szCs w:val="24"/>
                      <w:bdr w:val="none" w:color="auto" w:sz="0" w:space="0"/>
                      <w:lang w:val="en-US" w:eastAsia="zh-CN" w:bidi="ar"/>
                    </w:rPr>
                    <w:t>▲9、符合GB/T 1034-2008 中国现行国家标准《塑料吸水性的测定》（需提供具有CMA或CNAS标识的检测报告复印件并加盖厂家公章）。</w:t>
                  </w:r>
                </w:p>
                <w:p w14:paraId="62164A5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kern w:val="0"/>
                      <w:sz w:val="24"/>
                      <w:szCs w:val="24"/>
                      <w:bdr w:val="none" w:color="auto" w:sz="0" w:space="0"/>
                      <w:lang w:val="en-US" w:eastAsia="zh-CN" w:bidi="ar"/>
                    </w:rPr>
                    <w:t>▲10.符合GB/T 11547-2008 《塑料耐液体化学试剂性能的测定》（需提供具有CMA或CNAS标识的检测报告复印件并加盖厂家公章）.</w:t>
                  </w:r>
                </w:p>
                <w:p w14:paraId="466E31E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4"/>
                      <w:szCs w:val="24"/>
                    </w:rPr>
                  </w:pPr>
                  <w:r>
                    <w:rPr>
                      <w:rFonts w:hint="eastAsia" w:ascii="宋体" w:hAnsi="宋体" w:eastAsia="宋体" w:cs="宋体"/>
                      <w:kern w:val="0"/>
                      <w:sz w:val="24"/>
                      <w:szCs w:val="24"/>
                      <w:bdr w:val="none" w:color="auto" w:sz="0" w:space="0"/>
                      <w:lang w:val="en-US" w:eastAsia="zh-CN" w:bidi="ar"/>
                    </w:rPr>
                    <w:t>★11.烟罩一体机所配高压电源依据GB/T 2423.10-2019进行振动（正弦）测试，频率范围：5~ 55Hz；振幅：0.75mm；加速度：2m/s2；持续时间90min/轴，共270min，测试后，样品外观无损坏、变形、零部件脱落等现象，通电运行正常。（需提供具有CMA或CNAS标识的检测报告复印件并加盖厂家公章）</w:t>
                  </w:r>
                </w:p>
                <w:p w14:paraId="22A4ED8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kern w:val="0"/>
                      <w:sz w:val="24"/>
                      <w:szCs w:val="24"/>
                      <w:bdr w:val="none" w:color="auto" w:sz="0" w:space="0"/>
                      <w:lang w:val="en-US" w:eastAsia="zh-CN" w:bidi="ar"/>
                    </w:rPr>
                    <w:t>★12.一体机依据GB/T229-2020对外壳金属材料进行夏比摆锤冲击试验，冲击能量测试≥2个点位，试样缺口对称面与两砧座中间平面间的距离应不大于0.5mm。（需提供具有CMA或CNAS标识的检测报告复印件并加盖厂家公章）</w:t>
                  </w:r>
                  <w:r>
                    <w:rPr>
                      <w:rFonts w:ascii="Calibri" w:hAnsi="Calibri" w:cs="Calibri"/>
                      <w:kern w:val="0"/>
                      <w:sz w:val="24"/>
                      <w:szCs w:val="24"/>
                      <w:bdr w:val="none" w:color="auto" w:sz="0" w:space="0"/>
                      <w:lang w:val="en-US" w:eastAsia="zh-CN" w:bidi="ar"/>
                    </w:rPr>
                    <w:t> </w:t>
                  </w:r>
                </w:p>
                <w:p w14:paraId="26558F3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kern w:val="0"/>
                      <w:sz w:val="24"/>
                      <w:szCs w:val="24"/>
                      <w:bdr w:val="none" w:color="auto" w:sz="0" w:space="0"/>
                      <w:lang w:val="en-US" w:eastAsia="zh-CN" w:bidi="ar"/>
                    </w:rPr>
                    <w:t>★13.投标单位需提供所投品牌机械静电光解复合式集烟罩餐饮业油烟净化一体设备CCEP证书。（需提供具有CMA或CNAS标识的检测报告复印件并加盖厂家公章)。           </w:t>
                  </w:r>
                </w:p>
                <w:p w14:paraId="4E6B9E8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kern w:val="0"/>
                      <w:sz w:val="24"/>
                      <w:szCs w:val="24"/>
                      <w:bdr w:val="none" w:color="auto" w:sz="0" w:space="0"/>
                      <w:lang w:val="en-US" w:eastAsia="zh-CN" w:bidi="ar"/>
                    </w:rPr>
                    <w:t>▲14：烟罩一体机所配高压电源应具有CCEP认证证书，所投净化器电源可靠性实验项目要求：在60℃±2℃高温环境中，运行500h无故障。（需提供国家认可的第三方环境保护产品质量检测单位出具的检测报告，加盖生产厂商公章。）          </w:t>
                  </w:r>
                  <w:r>
                    <w:rPr>
                      <w:rFonts w:hint="default" w:ascii="Calibri" w:hAnsi="Calibri" w:cs="Calibri"/>
                      <w:kern w:val="0"/>
                      <w:sz w:val="24"/>
                      <w:szCs w:val="24"/>
                      <w:bdr w:val="none" w:color="auto" w:sz="0" w:space="0"/>
                      <w:lang w:val="en-US" w:eastAsia="zh-CN" w:bidi="ar"/>
                    </w:rPr>
                    <w:t>                                                                </w:t>
                  </w:r>
                </w:p>
                <w:p w14:paraId="7C19554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▲15：所有油烟净化器电源在振动和耐冲击实验项目要求：电源频率10-55HZ,双振幅1.5mm，扫频次数10次，每一 轴线振动时间45min，不应出现零部件松动和损坏。电源峰值加速度150m/s2,脉冲持续时间11ms，半正玄波，每一轴线冲击次数为3次，实验后不应出现零部件松动和损坏。（需提供国家认可的第三方环境保护产品质量检测单位出具的检测报告，加盖生产厂商公章。） </w:t>
                  </w:r>
                </w:p>
              </w:tc>
            </w:tr>
            <w:tr w14:paraId="0C9BF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69A33EB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4255F886">
                  <w:pPr>
                    <w:rPr>
                      <w:rFonts w:hint="eastAsia" w:ascii="宋体"/>
                      <w:sz w:val="24"/>
                      <w:szCs w:val="24"/>
                    </w:rPr>
                  </w:pPr>
                </w:p>
              </w:tc>
              <w:tc>
                <w:tcPr>
                  <w:tcW w:w="4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1671E7C1">
                  <w:pPr>
                    <w:rPr>
                      <w:rFonts w:hint="eastAsia" w:ascii="宋体"/>
                      <w:sz w:val="24"/>
                      <w:szCs w:val="24"/>
                    </w:rPr>
                  </w:pP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5FB96E2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蒸煮间靠墙2</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1E36F3E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4A679F3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69AB99B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76896CD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1391062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39465.00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2B952CFB">
                  <w:pPr>
                    <w:rPr>
                      <w:rFonts w:hint="eastAsia" w:ascii="宋体"/>
                      <w:sz w:val="24"/>
                      <w:szCs w:val="24"/>
                    </w:rPr>
                  </w:pPr>
                </w:p>
              </w:tc>
            </w:tr>
            <w:tr w14:paraId="012AE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ED32E3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5F38BCD6">
                  <w:pPr>
                    <w:rPr>
                      <w:rFonts w:hint="eastAsia" w:ascii="宋体"/>
                      <w:sz w:val="24"/>
                      <w:szCs w:val="24"/>
                    </w:rPr>
                  </w:pPr>
                </w:p>
              </w:tc>
              <w:tc>
                <w:tcPr>
                  <w:tcW w:w="4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3B19BA34">
                  <w:pPr>
                    <w:rPr>
                      <w:rFonts w:hint="eastAsia" w:ascii="宋体"/>
                      <w:sz w:val="24"/>
                      <w:szCs w:val="24"/>
                    </w:rPr>
                  </w:pP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09879D7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主厨房1</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778A0BC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7F53163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6F23A4E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6.5</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4D5DE94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7A146DF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51304.50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16ABCBAE">
                  <w:pPr>
                    <w:rPr>
                      <w:rFonts w:hint="eastAsia" w:ascii="宋体"/>
                      <w:sz w:val="24"/>
                      <w:szCs w:val="24"/>
                    </w:rPr>
                  </w:pPr>
                </w:p>
              </w:tc>
            </w:tr>
            <w:tr w14:paraId="729EA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2325F43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58859932">
                  <w:pPr>
                    <w:rPr>
                      <w:rFonts w:hint="eastAsia" w:ascii="宋体"/>
                      <w:sz w:val="24"/>
                      <w:szCs w:val="24"/>
                    </w:rPr>
                  </w:pPr>
                </w:p>
              </w:tc>
              <w:tc>
                <w:tcPr>
                  <w:tcW w:w="4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6DBE1F0B">
                  <w:pPr>
                    <w:rPr>
                      <w:rFonts w:hint="eastAsia" w:ascii="宋体"/>
                      <w:sz w:val="24"/>
                      <w:szCs w:val="24"/>
                    </w:rPr>
                  </w:pP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18F3BB7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主厨房2</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7C1C472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2E9E1AA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355520F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0.7</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388CD9B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2C8E5AC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5525.10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2F202D30">
                  <w:pPr>
                    <w:rPr>
                      <w:rFonts w:hint="eastAsia" w:ascii="宋体"/>
                      <w:sz w:val="24"/>
                      <w:szCs w:val="24"/>
                    </w:rPr>
                  </w:pPr>
                </w:p>
              </w:tc>
            </w:tr>
            <w:tr w14:paraId="2CF26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7F9AAA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4755EF82">
                  <w:pPr>
                    <w:rPr>
                      <w:rFonts w:hint="eastAsia" w:ascii="宋体"/>
                      <w:sz w:val="24"/>
                      <w:szCs w:val="24"/>
                    </w:rPr>
                  </w:pPr>
                </w:p>
              </w:tc>
              <w:tc>
                <w:tcPr>
                  <w:tcW w:w="4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73A64E3F">
                  <w:pPr>
                    <w:rPr>
                      <w:rFonts w:hint="eastAsia" w:ascii="宋体"/>
                      <w:sz w:val="24"/>
                      <w:szCs w:val="24"/>
                    </w:rPr>
                  </w:pP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34D0538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主厨房3</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3717EA3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27ED242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35B8FC8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5.5</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313DB60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4875F0B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43411.50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2A6D2BA9">
                  <w:pPr>
                    <w:rPr>
                      <w:rFonts w:hint="eastAsia" w:ascii="宋体"/>
                      <w:sz w:val="24"/>
                      <w:szCs w:val="24"/>
                    </w:rPr>
                  </w:pPr>
                </w:p>
              </w:tc>
            </w:tr>
            <w:tr w14:paraId="3D486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2EC83A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7185236F">
                  <w:pPr>
                    <w:rPr>
                      <w:rFonts w:hint="eastAsia" w:ascii="宋体"/>
                      <w:sz w:val="24"/>
                      <w:szCs w:val="24"/>
                    </w:rPr>
                  </w:pPr>
                </w:p>
              </w:tc>
              <w:tc>
                <w:tcPr>
                  <w:tcW w:w="420" w:type="dxa"/>
                  <w:gridSpan w:val="2"/>
                  <w:vMerge w:val="restart"/>
                  <w:tcBorders>
                    <w:top w:val="nil"/>
                    <w:left w:val="nil"/>
                    <w:bottom w:val="single" w:color="000000" w:sz="6" w:space="0"/>
                    <w:right w:val="single" w:color="000000" w:sz="6" w:space="0"/>
                  </w:tcBorders>
                  <w:shd w:val="clear"/>
                  <w:tcMar>
                    <w:left w:w="105" w:type="dxa"/>
                    <w:right w:w="105" w:type="dxa"/>
                  </w:tcMar>
                  <w:vAlign w:val="center"/>
                </w:tcPr>
                <w:p w14:paraId="14DE92A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良知楼一楼</w:t>
                  </w: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39B59AB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蒸煮间靠窗1</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5E255DB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710781D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25760DA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5BEFE62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36BBE2D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39465.00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720F2696">
                  <w:pPr>
                    <w:rPr>
                      <w:rFonts w:hint="eastAsia" w:ascii="宋体"/>
                      <w:sz w:val="24"/>
                      <w:szCs w:val="24"/>
                    </w:rPr>
                  </w:pPr>
                </w:p>
              </w:tc>
            </w:tr>
            <w:tr w14:paraId="44E00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86129C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1BA1A365">
                  <w:pPr>
                    <w:rPr>
                      <w:rFonts w:hint="eastAsia" w:ascii="宋体"/>
                      <w:sz w:val="24"/>
                      <w:szCs w:val="24"/>
                    </w:rPr>
                  </w:pPr>
                </w:p>
              </w:tc>
              <w:tc>
                <w:tcPr>
                  <w:tcW w:w="4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06BD0F4C">
                  <w:pPr>
                    <w:rPr>
                      <w:rFonts w:hint="eastAsia" w:ascii="宋体"/>
                      <w:sz w:val="24"/>
                      <w:szCs w:val="24"/>
                    </w:rPr>
                  </w:pP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61E2ACD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蒸煮间靠墙2</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3B74DC2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645A37A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0BBB3EA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15537F4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6B199AE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39465.00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5C9FAD01">
                  <w:pPr>
                    <w:rPr>
                      <w:rFonts w:hint="eastAsia" w:ascii="宋体"/>
                      <w:sz w:val="24"/>
                      <w:szCs w:val="24"/>
                    </w:rPr>
                  </w:pPr>
                </w:p>
              </w:tc>
            </w:tr>
            <w:tr w14:paraId="75E80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C00398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8</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4321EF8D">
                  <w:pPr>
                    <w:rPr>
                      <w:rFonts w:hint="eastAsia" w:ascii="宋体"/>
                      <w:sz w:val="24"/>
                      <w:szCs w:val="24"/>
                    </w:rPr>
                  </w:pPr>
                </w:p>
              </w:tc>
              <w:tc>
                <w:tcPr>
                  <w:tcW w:w="4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42C898AE">
                  <w:pPr>
                    <w:rPr>
                      <w:rFonts w:hint="eastAsia" w:ascii="宋体"/>
                      <w:sz w:val="24"/>
                      <w:szCs w:val="24"/>
                    </w:rPr>
                  </w:pP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673215D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蒸包间</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1CF6F90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77126C5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79D786F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4.8</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1539DDF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6A33BAD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37886.40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48A16CC8">
                  <w:pPr>
                    <w:rPr>
                      <w:rFonts w:hint="eastAsia" w:ascii="宋体"/>
                      <w:sz w:val="24"/>
                      <w:szCs w:val="24"/>
                    </w:rPr>
                  </w:pPr>
                </w:p>
              </w:tc>
            </w:tr>
            <w:tr w14:paraId="78906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FD912A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9</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20BE4C19">
                  <w:pPr>
                    <w:rPr>
                      <w:rFonts w:hint="eastAsia" w:ascii="宋体"/>
                      <w:sz w:val="24"/>
                      <w:szCs w:val="24"/>
                    </w:rPr>
                  </w:pPr>
                </w:p>
              </w:tc>
              <w:tc>
                <w:tcPr>
                  <w:tcW w:w="4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3EB6717E">
                  <w:pPr>
                    <w:rPr>
                      <w:rFonts w:hint="eastAsia" w:ascii="宋体"/>
                      <w:sz w:val="24"/>
                      <w:szCs w:val="24"/>
                    </w:rPr>
                  </w:pP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1836EC1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主厨房1</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274FC0D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710723E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7BC84EA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6.5</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3356B9E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6A58A8D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51304.50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1A75E509">
                  <w:pPr>
                    <w:rPr>
                      <w:rFonts w:hint="eastAsia" w:ascii="宋体"/>
                      <w:sz w:val="24"/>
                      <w:szCs w:val="24"/>
                    </w:rPr>
                  </w:pPr>
                </w:p>
              </w:tc>
            </w:tr>
            <w:tr w14:paraId="23BA6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32883E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10</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2B627372">
                  <w:pPr>
                    <w:rPr>
                      <w:rFonts w:hint="eastAsia" w:ascii="宋体"/>
                      <w:sz w:val="24"/>
                      <w:szCs w:val="24"/>
                    </w:rPr>
                  </w:pPr>
                </w:p>
              </w:tc>
              <w:tc>
                <w:tcPr>
                  <w:tcW w:w="4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5997B965">
                  <w:pPr>
                    <w:rPr>
                      <w:rFonts w:hint="eastAsia" w:ascii="宋体"/>
                      <w:sz w:val="24"/>
                      <w:szCs w:val="24"/>
                    </w:rPr>
                  </w:pP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3C67C23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主厨房2</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7219883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7CE0D7E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4267B5C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0.7</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5E3775A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56DEAC7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5525.10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05EE5D7A">
                  <w:pPr>
                    <w:rPr>
                      <w:rFonts w:hint="eastAsia" w:ascii="宋体"/>
                      <w:sz w:val="24"/>
                      <w:szCs w:val="24"/>
                    </w:rPr>
                  </w:pPr>
                </w:p>
              </w:tc>
            </w:tr>
            <w:tr w14:paraId="6F4C7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105C96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11</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1A04B0C4">
                  <w:pPr>
                    <w:rPr>
                      <w:rFonts w:hint="eastAsia" w:ascii="宋体"/>
                      <w:sz w:val="24"/>
                      <w:szCs w:val="24"/>
                    </w:rPr>
                  </w:pPr>
                </w:p>
              </w:tc>
              <w:tc>
                <w:tcPr>
                  <w:tcW w:w="4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033365CE">
                  <w:pPr>
                    <w:rPr>
                      <w:rFonts w:hint="eastAsia" w:ascii="宋体"/>
                      <w:sz w:val="24"/>
                      <w:szCs w:val="24"/>
                    </w:rPr>
                  </w:pP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6C3836E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主厨房3</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6D91B4D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216CF41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37FB9EA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5.5</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4023D6B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40CC277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43411.50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38199741">
                  <w:pPr>
                    <w:rPr>
                      <w:rFonts w:hint="eastAsia" w:ascii="宋体"/>
                      <w:sz w:val="24"/>
                      <w:szCs w:val="24"/>
                    </w:rPr>
                  </w:pPr>
                </w:p>
              </w:tc>
            </w:tr>
            <w:tr w14:paraId="0748A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EC88E4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12</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7BCC687F">
                  <w:pPr>
                    <w:rPr>
                      <w:rFonts w:hint="eastAsia" w:ascii="宋体"/>
                      <w:sz w:val="24"/>
                      <w:szCs w:val="24"/>
                    </w:rPr>
                  </w:pPr>
                </w:p>
              </w:tc>
              <w:tc>
                <w:tcPr>
                  <w:tcW w:w="420" w:type="dxa"/>
                  <w:gridSpan w:val="2"/>
                  <w:vMerge w:val="restart"/>
                  <w:tcBorders>
                    <w:top w:val="nil"/>
                    <w:left w:val="nil"/>
                    <w:bottom w:val="single" w:color="000000" w:sz="6" w:space="0"/>
                    <w:right w:val="single" w:color="000000" w:sz="6" w:space="0"/>
                  </w:tcBorders>
                  <w:shd w:val="clear"/>
                  <w:tcMar>
                    <w:left w:w="105" w:type="dxa"/>
                    <w:right w:w="105" w:type="dxa"/>
                  </w:tcMar>
                  <w:vAlign w:val="center"/>
                </w:tcPr>
                <w:p w14:paraId="0D404B0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良知楼二楼</w:t>
                  </w: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4F9011A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蒸煮间靠窗1</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3A9286C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1C28E32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65CAC9E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4.8</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2278681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297E702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37886.40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03413E26">
                  <w:pPr>
                    <w:rPr>
                      <w:rFonts w:hint="eastAsia" w:ascii="宋体"/>
                      <w:sz w:val="24"/>
                      <w:szCs w:val="24"/>
                    </w:rPr>
                  </w:pPr>
                </w:p>
              </w:tc>
            </w:tr>
            <w:tr w14:paraId="6B90D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B03DE7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13</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787BA836">
                  <w:pPr>
                    <w:rPr>
                      <w:rFonts w:hint="eastAsia" w:ascii="宋体"/>
                      <w:sz w:val="24"/>
                      <w:szCs w:val="24"/>
                    </w:rPr>
                  </w:pPr>
                </w:p>
              </w:tc>
              <w:tc>
                <w:tcPr>
                  <w:tcW w:w="4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31ABE2FE">
                  <w:pPr>
                    <w:rPr>
                      <w:rFonts w:hint="eastAsia" w:ascii="宋体"/>
                      <w:sz w:val="24"/>
                      <w:szCs w:val="24"/>
                    </w:rPr>
                  </w:pP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34698EB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蒸煮间靠墙2</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2E7F999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17672D3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4F1890F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4.8</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629036F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7FDF319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37886.40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7450AD86">
                  <w:pPr>
                    <w:rPr>
                      <w:rFonts w:hint="eastAsia" w:ascii="宋体"/>
                      <w:sz w:val="24"/>
                      <w:szCs w:val="24"/>
                    </w:rPr>
                  </w:pPr>
                </w:p>
              </w:tc>
            </w:tr>
            <w:tr w14:paraId="1AE55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BA8726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14</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7BC06927">
                  <w:pPr>
                    <w:rPr>
                      <w:rFonts w:hint="eastAsia" w:ascii="宋体"/>
                      <w:sz w:val="24"/>
                      <w:szCs w:val="24"/>
                    </w:rPr>
                  </w:pPr>
                </w:p>
              </w:tc>
              <w:tc>
                <w:tcPr>
                  <w:tcW w:w="4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431BC665">
                  <w:pPr>
                    <w:rPr>
                      <w:rFonts w:hint="eastAsia" w:ascii="宋体"/>
                      <w:sz w:val="24"/>
                      <w:szCs w:val="24"/>
                    </w:rPr>
                  </w:pP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2CBA053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热厨B区</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28DAF60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7542DDC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436D585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5.7</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3E1E047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62029E1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44990.10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15B39E2D">
                  <w:pPr>
                    <w:rPr>
                      <w:rFonts w:hint="eastAsia" w:ascii="宋体"/>
                      <w:sz w:val="24"/>
                      <w:szCs w:val="24"/>
                    </w:rPr>
                  </w:pPr>
                </w:p>
              </w:tc>
            </w:tr>
            <w:tr w14:paraId="5C60B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6ABC5C5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15</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450D6476">
                  <w:pPr>
                    <w:rPr>
                      <w:rFonts w:hint="eastAsia" w:ascii="宋体"/>
                      <w:sz w:val="24"/>
                      <w:szCs w:val="24"/>
                    </w:rPr>
                  </w:pPr>
                </w:p>
              </w:tc>
              <w:tc>
                <w:tcPr>
                  <w:tcW w:w="4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37410A06">
                  <w:pPr>
                    <w:rPr>
                      <w:rFonts w:hint="eastAsia" w:ascii="宋体"/>
                      <w:sz w:val="24"/>
                      <w:szCs w:val="24"/>
                    </w:rPr>
                  </w:pP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7AD159C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主厨房1</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6DB403D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0A560DB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3134C29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21D61D8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3BCF727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39465.00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5085D77B">
                  <w:pPr>
                    <w:rPr>
                      <w:rFonts w:hint="eastAsia" w:ascii="宋体"/>
                      <w:sz w:val="24"/>
                      <w:szCs w:val="24"/>
                    </w:rPr>
                  </w:pPr>
                </w:p>
              </w:tc>
            </w:tr>
            <w:tr w14:paraId="78F81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20C44F7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16</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5FE9BCF5">
                  <w:pPr>
                    <w:rPr>
                      <w:rFonts w:hint="eastAsia" w:ascii="宋体"/>
                      <w:sz w:val="24"/>
                      <w:szCs w:val="24"/>
                    </w:rPr>
                  </w:pPr>
                </w:p>
              </w:tc>
              <w:tc>
                <w:tcPr>
                  <w:tcW w:w="4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61493AAE">
                  <w:pPr>
                    <w:rPr>
                      <w:rFonts w:hint="eastAsia" w:ascii="宋体"/>
                      <w:sz w:val="24"/>
                      <w:szCs w:val="24"/>
                    </w:rPr>
                  </w:pP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19E2C26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主厨房2</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2530019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560A425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6F892B1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0.7</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25EA5A2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29443E8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5525.10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066AB220">
                  <w:pPr>
                    <w:rPr>
                      <w:rFonts w:hint="eastAsia" w:ascii="宋体"/>
                      <w:sz w:val="24"/>
                      <w:szCs w:val="24"/>
                    </w:rPr>
                  </w:pPr>
                </w:p>
              </w:tc>
            </w:tr>
            <w:tr w14:paraId="4BDE7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4C3BBA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17</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6CD4FB42">
                  <w:pPr>
                    <w:rPr>
                      <w:rFonts w:hint="eastAsia" w:ascii="宋体"/>
                      <w:sz w:val="24"/>
                      <w:szCs w:val="24"/>
                    </w:rPr>
                  </w:pPr>
                </w:p>
              </w:tc>
              <w:tc>
                <w:tcPr>
                  <w:tcW w:w="4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7BB792CB">
                  <w:pPr>
                    <w:rPr>
                      <w:rFonts w:hint="eastAsia" w:ascii="宋体"/>
                      <w:sz w:val="24"/>
                      <w:szCs w:val="24"/>
                    </w:rPr>
                  </w:pP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5A5A2CE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主厨房3</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185DFD5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7DB4CB7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0984EE0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5.5</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36E4883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0868CCB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43411.50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4020A920">
                  <w:pPr>
                    <w:rPr>
                      <w:rFonts w:hint="eastAsia" w:ascii="宋体"/>
                      <w:sz w:val="24"/>
                      <w:szCs w:val="24"/>
                    </w:rPr>
                  </w:pPr>
                </w:p>
              </w:tc>
            </w:tr>
            <w:tr w14:paraId="5F767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6C18AC1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18</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69726F84">
                  <w:pPr>
                    <w:rPr>
                      <w:rFonts w:hint="eastAsia" w:ascii="宋体"/>
                      <w:sz w:val="24"/>
                      <w:szCs w:val="24"/>
                    </w:rPr>
                  </w:pPr>
                </w:p>
              </w:tc>
              <w:tc>
                <w:tcPr>
                  <w:tcW w:w="420" w:type="dxa"/>
                  <w:gridSpan w:val="2"/>
                  <w:vMerge w:val="restart"/>
                  <w:tcBorders>
                    <w:top w:val="nil"/>
                    <w:left w:val="nil"/>
                    <w:bottom w:val="single" w:color="000000" w:sz="6" w:space="0"/>
                    <w:right w:val="single" w:color="000000" w:sz="6" w:space="0"/>
                  </w:tcBorders>
                  <w:shd w:val="clear"/>
                  <w:tcMar>
                    <w:left w:w="105" w:type="dxa"/>
                    <w:right w:w="105" w:type="dxa"/>
                  </w:tcMar>
                  <w:vAlign w:val="center"/>
                </w:tcPr>
                <w:p w14:paraId="0E1831D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敬惜楼二楼</w:t>
                  </w: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3A0F50D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大厨房</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0850949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6147C9F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2458883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17.5</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3EA096D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07742C9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138127.50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44AE3AED">
                  <w:pPr>
                    <w:rPr>
                      <w:rFonts w:hint="eastAsia" w:ascii="宋体"/>
                      <w:sz w:val="24"/>
                      <w:szCs w:val="24"/>
                    </w:rPr>
                  </w:pPr>
                </w:p>
              </w:tc>
            </w:tr>
            <w:tr w14:paraId="0D47C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EDD062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19</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3CCA943E">
                  <w:pPr>
                    <w:rPr>
                      <w:rFonts w:hint="eastAsia" w:ascii="宋体"/>
                      <w:sz w:val="24"/>
                      <w:szCs w:val="24"/>
                    </w:rPr>
                  </w:pPr>
                </w:p>
              </w:tc>
              <w:tc>
                <w:tcPr>
                  <w:tcW w:w="4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21C5C5A7">
                  <w:pPr>
                    <w:rPr>
                      <w:rFonts w:hint="eastAsia" w:ascii="宋体"/>
                      <w:sz w:val="24"/>
                      <w:szCs w:val="24"/>
                    </w:rPr>
                  </w:pP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422F125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蒸煮间</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5F7E2F6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0D49044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0C5EB5E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8.5</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2E3150E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28D0B6F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67090.50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3BBAA1A7">
                  <w:pPr>
                    <w:rPr>
                      <w:rFonts w:hint="eastAsia" w:ascii="宋体"/>
                      <w:sz w:val="24"/>
                      <w:szCs w:val="24"/>
                    </w:rPr>
                  </w:pPr>
                </w:p>
              </w:tc>
            </w:tr>
            <w:tr w14:paraId="5B75F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5FE0FB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20</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41643A76">
                  <w:pPr>
                    <w:rPr>
                      <w:rFonts w:hint="eastAsia" w:ascii="宋体"/>
                      <w:sz w:val="24"/>
                      <w:szCs w:val="24"/>
                    </w:rPr>
                  </w:pPr>
                </w:p>
              </w:tc>
              <w:tc>
                <w:tcPr>
                  <w:tcW w:w="4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6C1C88F4">
                  <w:pPr>
                    <w:rPr>
                      <w:rFonts w:hint="eastAsia" w:ascii="宋体"/>
                      <w:sz w:val="24"/>
                      <w:szCs w:val="24"/>
                    </w:rPr>
                  </w:pP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4C01B6E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蒸包间</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189A013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4AA0F28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4179B27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4.4</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07CD7B6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2703B06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34729.20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0AA544B5">
                  <w:pPr>
                    <w:rPr>
                      <w:rFonts w:hint="eastAsia" w:ascii="宋体"/>
                      <w:sz w:val="24"/>
                      <w:szCs w:val="24"/>
                    </w:rPr>
                  </w:pPr>
                </w:p>
              </w:tc>
            </w:tr>
            <w:tr w14:paraId="7FB39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495E2A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21</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15822775">
                  <w:pPr>
                    <w:rPr>
                      <w:rFonts w:hint="eastAsia" w:ascii="宋体"/>
                      <w:sz w:val="24"/>
                      <w:szCs w:val="24"/>
                    </w:rPr>
                  </w:pPr>
                </w:p>
              </w:tc>
              <w:tc>
                <w:tcPr>
                  <w:tcW w:w="420" w:type="dxa"/>
                  <w:gridSpan w:val="2"/>
                  <w:vMerge w:val="restart"/>
                  <w:tcBorders>
                    <w:top w:val="nil"/>
                    <w:left w:val="nil"/>
                    <w:bottom w:val="single" w:color="000000" w:sz="6" w:space="0"/>
                    <w:right w:val="single" w:color="000000" w:sz="6" w:space="0"/>
                  </w:tcBorders>
                  <w:shd w:val="clear"/>
                  <w:tcMar>
                    <w:left w:w="105" w:type="dxa"/>
                    <w:right w:w="105" w:type="dxa"/>
                  </w:tcMar>
                  <w:vAlign w:val="center"/>
                </w:tcPr>
                <w:p w14:paraId="616DCBF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敬惜楼三楼</w:t>
                  </w: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06F1E68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大厨房</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2B8CE9F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77EC546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2DCD9E4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17.5</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1E77332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6336C9E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138127.50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6628FFB6">
                  <w:pPr>
                    <w:rPr>
                      <w:rFonts w:hint="eastAsia" w:ascii="宋体"/>
                      <w:sz w:val="24"/>
                      <w:szCs w:val="24"/>
                    </w:rPr>
                  </w:pPr>
                </w:p>
              </w:tc>
            </w:tr>
            <w:tr w14:paraId="13426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981AB0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22</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0229969A">
                  <w:pPr>
                    <w:rPr>
                      <w:rFonts w:hint="eastAsia" w:ascii="宋体"/>
                      <w:sz w:val="24"/>
                      <w:szCs w:val="24"/>
                    </w:rPr>
                  </w:pPr>
                </w:p>
              </w:tc>
              <w:tc>
                <w:tcPr>
                  <w:tcW w:w="4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48B99BAF">
                  <w:pPr>
                    <w:rPr>
                      <w:rFonts w:hint="eastAsia" w:ascii="宋体"/>
                      <w:sz w:val="24"/>
                      <w:szCs w:val="24"/>
                    </w:rPr>
                  </w:pP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0EFFD75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蒸煮间</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7BB2E6E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71843E2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4EE48F7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8.7</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199FE51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5C7EDD1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68669.10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5248038D">
                  <w:pPr>
                    <w:rPr>
                      <w:rFonts w:hint="eastAsia" w:ascii="宋体"/>
                      <w:sz w:val="24"/>
                      <w:szCs w:val="24"/>
                    </w:rPr>
                  </w:pPr>
                </w:p>
              </w:tc>
            </w:tr>
            <w:tr w14:paraId="0F053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218897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23</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2F4EE3F4">
                  <w:pPr>
                    <w:rPr>
                      <w:rFonts w:hint="eastAsia" w:ascii="宋体"/>
                      <w:sz w:val="24"/>
                      <w:szCs w:val="24"/>
                    </w:rPr>
                  </w:pPr>
                </w:p>
              </w:tc>
              <w:tc>
                <w:tcPr>
                  <w:tcW w:w="420" w:type="dxa"/>
                  <w:gridSpan w:val="2"/>
                  <w:vMerge w:val="restart"/>
                  <w:tcBorders>
                    <w:top w:val="nil"/>
                    <w:left w:val="nil"/>
                    <w:bottom w:val="single" w:color="000000" w:sz="6" w:space="0"/>
                    <w:right w:val="single" w:color="000000" w:sz="6" w:space="0"/>
                  </w:tcBorders>
                  <w:shd w:val="clear"/>
                  <w:tcMar>
                    <w:left w:w="105" w:type="dxa"/>
                    <w:right w:w="105" w:type="dxa"/>
                  </w:tcMar>
                  <w:vAlign w:val="center"/>
                </w:tcPr>
                <w:p w14:paraId="72FA390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敬惜楼四楼</w:t>
                  </w: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1BAEB71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大厨房1</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7C1D3DF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3580DB4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36563E4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11</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2FAB715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1DEAB74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86823.00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77D5D314">
                  <w:pPr>
                    <w:rPr>
                      <w:rFonts w:hint="eastAsia" w:ascii="宋体"/>
                      <w:sz w:val="24"/>
                      <w:szCs w:val="24"/>
                    </w:rPr>
                  </w:pPr>
                </w:p>
              </w:tc>
            </w:tr>
            <w:tr w14:paraId="18002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339930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24</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537A8D81">
                  <w:pPr>
                    <w:rPr>
                      <w:rFonts w:hint="eastAsia" w:ascii="宋体"/>
                      <w:sz w:val="24"/>
                      <w:szCs w:val="24"/>
                    </w:rPr>
                  </w:pPr>
                </w:p>
              </w:tc>
              <w:tc>
                <w:tcPr>
                  <w:tcW w:w="4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71B3F18F">
                  <w:pPr>
                    <w:rPr>
                      <w:rFonts w:hint="eastAsia" w:ascii="宋体"/>
                      <w:sz w:val="24"/>
                      <w:szCs w:val="24"/>
                    </w:rPr>
                  </w:pP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1A8A2D6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大厨房2</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54180A8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637AAEA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1799434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2.6</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710C51D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792C263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20521.80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041EDCDA">
                  <w:pPr>
                    <w:rPr>
                      <w:rFonts w:hint="eastAsia" w:ascii="宋体"/>
                      <w:sz w:val="24"/>
                      <w:szCs w:val="24"/>
                    </w:rPr>
                  </w:pPr>
                </w:p>
              </w:tc>
            </w:tr>
            <w:tr w14:paraId="35CB5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38039B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25</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509C17E6">
                  <w:pPr>
                    <w:rPr>
                      <w:rFonts w:hint="eastAsia" w:ascii="宋体"/>
                      <w:sz w:val="24"/>
                      <w:szCs w:val="24"/>
                    </w:rPr>
                  </w:pPr>
                </w:p>
              </w:tc>
              <w:tc>
                <w:tcPr>
                  <w:tcW w:w="4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053656B3">
                  <w:pPr>
                    <w:rPr>
                      <w:rFonts w:hint="eastAsia" w:ascii="宋体"/>
                      <w:sz w:val="24"/>
                      <w:szCs w:val="24"/>
                    </w:rPr>
                  </w:pP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2F9FAB2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蒸煮间1</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1491E94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77A0CF3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1CF99D2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13B1A85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236AE9E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23679.00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622BBC5C">
                  <w:pPr>
                    <w:rPr>
                      <w:rFonts w:hint="eastAsia" w:ascii="宋体"/>
                      <w:sz w:val="24"/>
                      <w:szCs w:val="24"/>
                    </w:rPr>
                  </w:pPr>
                </w:p>
              </w:tc>
            </w:tr>
            <w:tr w14:paraId="6559F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100C6B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26</w:t>
                  </w:r>
                </w:p>
              </w:tc>
              <w:tc>
                <w:tcPr>
                  <w:tcW w:w="7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51A3768B">
                  <w:pPr>
                    <w:rPr>
                      <w:rFonts w:hint="eastAsia" w:ascii="宋体"/>
                      <w:sz w:val="24"/>
                      <w:szCs w:val="24"/>
                    </w:rPr>
                  </w:pPr>
                </w:p>
              </w:tc>
              <w:tc>
                <w:tcPr>
                  <w:tcW w:w="420" w:type="dxa"/>
                  <w:gridSpan w:val="2"/>
                  <w:vMerge w:val="continue"/>
                  <w:tcBorders>
                    <w:top w:val="nil"/>
                    <w:left w:val="nil"/>
                    <w:bottom w:val="single" w:color="000000" w:sz="6" w:space="0"/>
                    <w:right w:val="single" w:color="000000" w:sz="6" w:space="0"/>
                  </w:tcBorders>
                  <w:shd w:val="clear"/>
                  <w:tcMar>
                    <w:left w:w="105" w:type="dxa"/>
                    <w:right w:w="105" w:type="dxa"/>
                  </w:tcMar>
                  <w:vAlign w:val="center"/>
                </w:tcPr>
                <w:p w14:paraId="6A4C950E">
                  <w:pPr>
                    <w:rPr>
                      <w:rFonts w:hint="eastAsia" w:ascii="宋体"/>
                      <w:sz w:val="24"/>
                      <w:szCs w:val="24"/>
                    </w:rPr>
                  </w:pP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5B78400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蒸煮间2</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6D5782F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L*1300*1000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3F6294D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1F077C5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624DBC9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4F0E31F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23679.00</w:t>
                  </w:r>
                </w:p>
              </w:tc>
              <w:tc>
                <w:tcPr>
                  <w:tcW w:w="592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14:paraId="30B06498">
                  <w:pPr>
                    <w:rPr>
                      <w:rFonts w:hint="eastAsia" w:ascii="宋体"/>
                      <w:sz w:val="24"/>
                      <w:szCs w:val="24"/>
                    </w:rPr>
                  </w:pPr>
                </w:p>
              </w:tc>
            </w:tr>
            <w:tr w14:paraId="42420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B10F5D0">
                  <w:pPr>
                    <w:rPr>
                      <w:rFonts w:hint="eastAsia" w:ascii="宋体"/>
                      <w:sz w:val="24"/>
                      <w:szCs w:val="24"/>
                    </w:rPr>
                  </w:pPr>
                </w:p>
              </w:tc>
              <w:tc>
                <w:tcPr>
                  <w:tcW w:w="720" w:type="dxa"/>
                  <w:gridSpan w:val="2"/>
                  <w:tcBorders>
                    <w:top w:val="nil"/>
                    <w:left w:val="nil"/>
                    <w:bottom w:val="single" w:color="000000" w:sz="6" w:space="0"/>
                    <w:right w:val="single" w:color="000000" w:sz="6" w:space="0"/>
                  </w:tcBorders>
                  <w:shd w:val="clear"/>
                  <w:tcMar>
                    <w:left w:w="105" w:type="dxa"/>
                    <w:right w:w="105" w:type="dxa"/>
                  </w:tcMar>
                  <w:vAlign w:val="center"/>
                </w:tcPr>
                <w:p w14:paraId="6F3C6E4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Style w:val="13"/>
                      <w:rFonts w:hint="eastAsia" w:ascii="宋体" w:hAnsi="宋体" w:eastAsia="宋体" w:cs="宋体"/>
                      <w:color w:val="000000"/>
                      <w:sz w:val="24"/>
                      <w:szCs w:val="24"/>
                      <w:bdr w:val="none" w:color="auto" w:sz="0" w:space="0"/>
                    </w:rPr>
                    <w:t>小计</w:t>
                  </w:r>
                </w:p>
              </w:tc>
              <w:tc>
                <w:tcPr>
                  <w:tcW w:w="420" w:type="dxa"/>
                  <w:gridSpan w:val="2"/>
                  <w:tcBorders>
                    <w:top w:val="nil"/>
                    <w:left w:val="nil"/>
                    <w:bottom w:val="single" w:color="000000" w:sz="6" w:space="0"/>
                    <w:right w:val="single" w:color="000000" w:sz="6" w:space="0"/>
                  </w:tcBorders>
                  <w:shd w:val="clear"/>
                  <w:tcMar>
                    <w:left w:w="105" w:type="dxa"/>
                    <w:right w:w="105" w:type="dxa"/>
                  </w:tcMar>
                  <w:vAlign w:val="center"/>
                </w:tcPr>
                <w:p w14:paraId="5487B60F">
                  <w:pPr>
                    <w:rPr>
                      <w:rFonts w:hint="eastAsia" w:ascii="宋体"/>
                      <w:sz w:val="24"/>
                      <w:szCs w:val="24"/>
                    </w:rPr>
                  </w:pP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0FAABA2E">
                  <w:pPr>
                    <w:rPr>
                      <w:rFonts w:hint="eastAsia" w:ascii="宋体"/>
                      <w:sz w:val="24"/>
                      <w:szCs w:val="24"/>
                    </w:rPr>
                  </w:pP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08DD2772">
                  <w:pPr>
                    <w:rPr>
                      <w:rFonts w:hint="eastAsia" w:ascii="宋体"/>
                      <w:sz w:val="24"/>
                      <w:szCs w:val="24"/>
                    </w:rPr>
                  </w:pP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627D07B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Style w:val="13"/>
                      <w:rFonts w:hint="eastAsia" w:ascii="宋体" w:hAnsi="宋体" w:eastAsia="宋体" w:cs="宋体"/>
                      <w:color w:val="000000"/>
                      <w:sz w:val="24"/>
                      <w:szCs w:val="24"/>
                      <w:bdr w:val="none" w:color="auto" w:sz="0" w:space="0"/>
                    </w:rPr>
                    <w:t>米</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72110A2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Style w:val="13"/>
                      <w:rFonts w:hint="eastAsia" w:ascii="宋体" w:hAnsi="宋体" w:eastAsia="宋体" w:cs="宋体"/>
                      <w:color w:val="000000"/>
                      <w:sz w:val="24"/>
                      <w:szCs w:val="24"/>
                      <w:bdr w:val="none" w:color="auto" w:sz="0" w:space="0"/>
                    </w:rPr>
                    <w:t>152.9</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20C4CAB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Style w:val="13"/>
                      <w:rFonts w:hint="eastAsia" w:ascii="宋体" w:hAnsi="宋体" w:eastAsia="宋体" w:cs="宋体"/>
                      <w:color w:val="000000"/>
                      <w:sz w:val="24"/>
                      <w:szCs w:val="24"/>
                      <w:bdr w:val="none" w:color="auto" w:sz="0" w:space="0"/>
                    </w:rPr>
                    <w:t>7893.00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4CB3617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Style w:val="13"/>
                      <w:rFonts w:hint="eastAsia" w:ascii="宋体" w:hAnsi="宋体" w:eastAsia="宋体" w:cs="宋体"/>
                      <w:color w:val="000000"/>
                      <w:sz w:val="24"/>
                      <w:szCs w:val="24"/>
                      <w:bdr w:val="none" w:color="auto" w:sz="0" w:space="0"/>
                    </w:rPr>
                    <w:t>1206839.70</w:t>
                  </w:r>
                </w:p>
              </w:tc>
              <w:tc>
                <w:tcPr>
                  <w:tcW w:w="5925" w:type="dxa"/>
                  <w:tcBorders>
                    <w:top w:val="nil"/>
                    <w:left w:val="nil"/>
                    <w:bottom w:val="single" w:color="000000" w:sz="6" w:space="0"/>
                    <w:right w:val="single" w:color="000000" w:sz="6" w:space="0"/>
                  </w:tcBorders>
                  <w:shd w:val="clear"/>
                  <w:tcMar>
                    <w:left w:w="105" w:type="dxa"/>
                    <w:right w:w="105" w:type="dxa"/>
                  </w:tcMar>
                  <w:vAlign w:val="center"/>
                </w:tcPr>
                <w:p w14:paraId="1C9DA9E9">
                  <w:pPr>
                    <w:rPr>
                      <w:rFonts w:hint="eastAsia" w:ascii="宋体"/>
                      <w:sz w:val="24"/>
                      <w:szCs w:val="24"/>
                    </w:rPr>
                  </w:pPr>
                </w:p>
              </w:tc>
            </w:tr>
            <w:tr w14:paraId="15D21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6B6BBD3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27</w:t>
                  </w:r>
                </w:p>
              </w:tc>
              <w:tc>
                <w:tcPr>
                  <w:tcW w:w="720" w:type="dxa"/>
                  <w:gridSpan w:val="2"/>
                  <w:tcBorders>
                    <w:top w:val="nil"/>
                    <w:left w:val="nil"/>
                    <w:bottom w:val="single" w:color="000000" w:sz="6" w:space="0"/>
                    <w:right w:val="single" w:color="000000" w:sz="6" w:space="0"/>
                  </w:tcBorders>
                  <w:shd w:val="clear"/>
                  <w:tcMar>
                    <w:left w:w="105" w:type="dxa"/>
                    <w:right w:w="105" w:type="dxa"/>
                  </w:tcMar>
                  <w:vAlign w:val="center"/>
                </w:tcPr>
                <w:p w14:paraId="71D012F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风墙板</w:t>
                  </w:r>
                </w:p>
              </w:tc>
              <w:tc>
                <w:tcPr>
                  <w:tcW w:w="420" w:type="dxa"/>
                  <w:gridSpan w:val="2"/>
                  <w:tcBorders>
                    <w:top w:val="nil"/>
                    <w:left w:val="nil"/>
                    <w:bottom w:val="single" w:color="000000" w:sz="6" w:space="0"/>
                    <w:right w:val="single" w:color="000000" w:sz="6" w:space="0"/>
                  </w:tcBorders>
                  <w:shd w:val="clear"/>
                  <w:tcMar>
                    <w:left w:w="105" w:type="dxa"/>
                    <w:right w:w="105" w:type="dxa"/>
                  </w:tcMar>
                  <w:vAlign w:val="center"/>
                </w:tcPr>
                <w:p w14:paraId="234F5E0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w:t>
                  </w: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64039FB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厨房炉灶及蒸饭车后墙</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7AC56C7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根据现场定制</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549D540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平方</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3D8FA03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320</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7D9E3AA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398.00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092C329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127360.00</w:t>
                  </w:r>
                </w:p>
              </w:tc>
              <w:tc>
                <w:tcPr>
                  <w:tcW w:w="5925" w:type="dxa"/>
                  <w:tcBorders>
                    <w:top w:val="nil"/>
                    <w:left w:val="nil"/>
                    <w:bottom w:val="single" w:color="000000" w:sz="6" w:space="0"/>
                    <w:right w:val="single" w:color="000000" w:sz="6" w:space="0"/>
                  </w:tcBorders>
                  <w:shd w:val="clear"/>
                  <w:tcMar>
                    <w:left w:w="105" w:type="dxa"/>
                    <w:right w:w="105" w:type="dxa"/>
                  </w:tcMar>
                  <w:vAlign w:val="center"/>
                </w:tcPr>
                <w:p w14:paraId="42C2471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1</w:t>
                  </w:r>
                  <w:r>
                    <w:rPr>
                      <w:rFonts w:hint="eastAsia" w:ascii="宋体" w:hAnsi="宋体" w:eastAsia="宋体" w:cs="宋体"/>
                      <w:color w:val="FF0000"/>
                      <w:sz w:val="24"/>
                      <w:szCs w:val="24"/>
                      <w:bdr w:val="none" w:color="auto" w:sz="0" w:space="0"/>
                    </w:rPr>
                    <w:t>.墙板规格：单个封窗面积约4平方</w:t>
                  </w:r>
                  <w:r>
                    <w:rPr>
                      <w:rFonts w:hint="eastAsia" w:ascii="宋体" w:hAnsi="宋体" w:eastAsia="宋体" w:cs="宋体"/>
                      <w:color w:val="000000"/>
                      <w:sz w:val="24"/>
                      <w:szCs w:val="24"/>
                      <w:bdr w:val="none" w:color="auto" w:sz="0" w:space="0"/>
                    </w:rPr>
                    <w:t>；材质：采用304#不锈钢板制作，板厚≥1.2mm，兼顾耐用性与抗腐蚀性能，包含安装辅材螺丝、玻璃胶等；</w:t>
                  </w:r>
                  <w:r>
                    <w:rPr>
                      <w:rFonts w:hint="eastAsia" w:ascii="宋体" w:hAnsi="宋体" w:eastAsia="宋体" w:cs="宋体"/>
                      <w:color w:val="FF0000"/>
                      <w:sz w:val="24"/>
                      <w:szCs w:val="24"/>
                      <w:bdr w:val="none" w:color="auto" w:sz="0" w:space="0"/>
                    </w:rPr>
                    <w:t>安装方式：采用焊接固定 ；间距：贴墙式封装。</w:t>
                  </w:r>
                </w:p>
              </w:tc>
            </w:tr>
            <w:tr w14:paraId="32EE0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61878E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28</w:t>
                  </w:r>
                </w:p>
              </w:tc>
              <w:tc>
                <w:tcPr>
                  <w:tcW w:w="720" w:type="dxa"/>
                  <w:gridSpan w:val="2"/>
                  <w:tcBorders>
                    <w:top w:val="nil"/>
                    <w:left w:val="nil"/>
                    <w:bottom w:val="single" w:color="000000" w:sz="6" w:space="0"/>
                    <w:right w:val="single" w:color="000000" w:sz="6" w:space="0"/>
                  </w:tcBorders>
                  <w:shd w:val="clear"/>
                  <w:tcMar>
                    <w:left w:w="105" w:type="dxa"/>
                    <w:right w:w="105" w:type="dxa"/>
                  </w:tcMar>
                  <w:vAlign w:val="center"/>
                </w:tcPr>
                <w:p w14:paraId="04C22E4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管道</w:t>
                  </w:r>
                </w:p>
              </w:tc>
              <w:tc>
                <w:tcPr>
                  <w:tcW w:w="420" w:type="dxa"/>
                  <w:gridSpan w:val="2"/>
                  <w:tcBorders>
                    <w:top w:val="nil"/>
                    <w:left w:val="nil"/>
                    <w:bottom w:val="single" w:color="000000" w:sz="6" w:space="0"/>
                    <w:right w:val="single" w:color="000000" w:sz="6" w:space="0"/>
                  </w:tcBorders>
                  <w:shd w:val="clear"/>
                  <w:tcMar>
                    <w:left w:w="105" w:type="dxa"/>
                    <w:right w:w="105" w:type="dxa"/>
                  </w:tcMar>
                  <w:vAlign w:val="center"/>
                </w:tcPr>
                <w:p w14:paraId="3342A13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w:t>
                  </w: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63D3EC4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所有蒸煮区热厨区</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5BE150A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根据现场定制</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774F42E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平方</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522728E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850</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33E6963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419.00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2284DB0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356150.00</w:t>
                  </w:r>
                </w:p>
              </w:tc>
              <w:tc>
                <w:tcPr>
                  <w:tcW w:w="5925" w:type="dxa"/>
                  <w:tcBorders>
                    <w:top w:val="nil"/>
                    <w:left w:val="nil"/>
                    <w:bottom w:val="single" w:color="000000" w:sz="6" w:space="0"/>
                    <w:right w:val="single" w:color="000000" w:sz="6" w:space="0"/>
                  </w:tcBorders>
                  <w:shd w:val="clear"/>
                  <w:tcMar>
                    <w:left w:w="105" w:type="dxa"/>
                    <w:right w:w="105" w:type="dxa"/>
                  </w:tcMar>
                  <w:vAlign w:val="center"/>
                </w:tcPr>
                <w:p w14:paraId="3BA3DA4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1.</w:t>
                  </w:r>
                  <w:r>
                    <w:rPr>
                      <w:rFonts w:hint="eastAsia" w:ascii="宋体" w:hAnsi="宋体" w:eastAsia="宋体" w:cs="宋体"/>
                      <w:color w:val="FF0000"/>
                      <w:sz w:val="24"/>
                      <w:szCs w:val="24"/>
                      <w:bdr w:val="none" w:color="auto" w:sz="0" w:space="0"/>
                    </w:rPr>
                    <w:t>烟道规格：单个长度2米一组；</w:t>
                  </w:r>
                  <w:r>
                    <w:rPr>
                      <w:rFonts w:hint="eastAsia" w:ascii="宋体" w:hAnsi="宋体" w:eastAsia="宋体" w:cs="宋体"/>
                      <w:color w:val="000000"/>
                      <w:sz w:val="24"/>
                      <w:szCs w:val="24"/>
                      <w:bdr w:val="none" w:color="auto" w:sz="0" w:space="0"/>
                    </w:rPr>
                    <w:t>材质：采用304#不锈钢板制作，板厚≥1.2mm，兼顾耐用性与抗腐蚀性能，烟管内连接处用玻璃硅胶密封，双面压筋加强处理，包含安装辅材螺丝、吊筋、玻璃胶等；</w:t>
                  </w:r>
                  <w:r>
                    <w:rPr>
                      <w:rFonts w:hint="eastAsia" w:ascii="宋体" w:hAnsi="宋体" w:eastAsia="宋体" w:cs="宋体"/>
                      <w:color w:val="FF0000"/>
                      <w:sz w:val="24"/>
                      <w:szCs w:val="24"/>
                      <w:bdr w:val="none" w:color="auto" w:sz="0" w:space="0"/>
                    </w:rPr>
                    <w:t>支架材质：厚度1.5mm不锈钢 ；支架间距：2米 ，支架安装方式：吊装2米</w:t>
                  </w:r>
                </w:p>
              </w:tc>
            </w:tr>
            <w:tr w14:paraId="51DAE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540F4E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29</w:t>
                  </w:r>
                </w:p>
              </w:tc>
              <w:tc>
                <w:tcPr>
                  <w:tcW w:w="720" w:type="dxa"/>
                  <w:gridSpan w:val="2"/>
                  <w:tcBorders>
                    <w:top w:val="nil"/>
                    <w:left w:val="nil"/>
                    <w:bottom w:val="single" w:color="000000" w:sz="6" w:space="0"/>
                    <w:right w:val="single" w:color="000000" w:sz="6" w:space="0"/>
                  </w:tcBorders>
                  <w:shd w:val="clear"/>
                  <w:tcMar>
                    <w:left w:w="105" w:type="dxa"/>
                    <w:right w:w="105" w:type="dxa"/>
                  </w:tcMar>
                  <w:vAlign w:val="center"/>
                </w:tcPr>
                <w:p w14:paraId="32575D6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风柜</w:t>
                  </w:r>
                </w:p>
              </w:tc>
              <w:tc>
                <w:tcPr>
                  <w:tcW w:w="420" w:type="dxa"/>
                  <w:gridSpan w:val="2"/>
                  <w:tcBorders>
                    <w:top w:val="nil"/>
                    <w:left w:val="nil"/>
                    <w:bottom w:val="single" w:color="000000" w:sz="6" w:space="0"/>
                    <w:right w:val="single" w:color="000000" w:sz="6" w:space="0"/>
                  </w:tcBorders>
                  <w:shd w:val="clear"/>
                  <w:tcMar>
                    <w:left w:w="105" w:type="dxa"/>
                    <w:right w:w="105" w:type="dxa"/>
                  </w:tcMar>
                  <w:vAlign w:val="center"/>
                </w:tcPr>
                <w:p w14:paraId="1A97C2E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w:t>
                  </w: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4542EE1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热厨区楼顶</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45A2E19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30寸</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47D0688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台</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7CBB837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321692C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15500.00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1E1D27F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31000.00</w:t>
                  </w:r>
                </w:p>
              </w:tc>
              <w:tc>
                <w:tcPr>
                  <w:tcW w:w="5925" w:type="dxa"/>
                  <w:tcBorders>
                    <w:top w:val="nil"/>
                    <w:left w:val="nil"/>
                    <w:bottom w:val="single" w:color="000000" w:sz="6" w:space="0"/>
                    <w:right w:val="single" w:color="000000" w:sz="6" w:space="0"/>
                  </w:tcBorders>
                  <w:shd w:val="clear"/>
                  <w:tcMar>
                    <w:left w:w="105" w:type="dxa"/>
                    <w:right w:w="105" w:type="dxa"/>
                  </w:tcMar>
                  <w:vAlign w:val="center"/>
                </w:tcPr>
                <w:p w14:paraId="1A791FD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1.适配电机电压：380V，满载风量功率≤30kW；规格≥30寸；风量（m³/h）：62260-77830；满载风量转速≤735r/min；全压（Pa）：968-1290；风机采用双吸式结构，风机外壳及叶片均采用≥1.2mm优质镀锌板，且里外全面环氧漆静电喷涂，有很好的防腐防锈防水保护作用，有效延长使用寿命。</w:t>
                  </w:r>
                  <w:r>
                    <w:rPr>
                      <w:rFonts w:hint="default" w:ascii="Calibri" w:hAnsi="Calibri" w:cs="Calibri"/>
                      <w:sz w:val="24"/>
                      <w:szCs w:val="24"/>
                      <w:bdr w:val="none" w:color="auto" w:sz="0" w:space="0"/>
                    </w:rPr>
                    <w:br w:type="textWrapping"/>
                  </w:r>
                  <w:r>
                    <w:rPr>
                      <w:rFonts w:hint="eastAsia" w:ascii="宋体" w:hAnsi="宋体" w:eastAsia="宋体" w:cs="宋体"/>
                      <w:color w:val="000000"/>
                      <w:sz w:val="24"/>
                      <w:szCs w:val="24"/>
                      <w:bdr w:val="none" w:color="auto" w:sz="0" w:space="0"/>
                    </w:rPr>
                    <w:t>2.风机主轴为高强度碳素钢，由高精度数控车床加工，皮带轮采用铸铁材质，精车加工，主轴和皮带轮经严格的平衡校正，使整机运行更加平稳。</w:t>
                  </w:r>
                  <w:r>
                    <w:rPr>
                      <w:rFonts w:hint="default" w:ascii="Calibri" w:hAnsi="Calibri" w:cs="Calibri"/>
                      <w:sz w:val="24"/>
                      <w:szCs w:val="24"/>
                      <w:bdr w:val="none" w:color="auto" w:sz="0" w:space="0"/>
                    </w:rPr>
                    <w:br w:type="textWrapping"/>
                  </w:r>
                  <w:r>
                    <w:rPr>
                      <w:rFonts w:hint="eastAsia" w:ascii="宋体" w:hAnsi="宋体" w:eastAsia="宋体" w:cs="宋体"/>
                      <w:color w:val="000000"/>
                      <w:sz w:val="24"/>
                      <w:szCs w:val="24"/>
                      <w:bdr w:val="none" w:color="auto" w:sz="0" w:space="0"/>
                    </w:rPr>
                    <w:t>3.叶轮为前倾多翼式铆接结构，由前后盘和叶片组成。前、后盘材料厚度≥1.5mm，后盘拉伸成形，刚性好，流线合理。叶轮经严格的平衡校正，振动小。叶片厚度≥1.2mm，冲压成型，韧性好，抗拉强度高，不易断裂。叶片曲线及装配角度，是在气动力学和气动声学原理基础上设计，并经反复研制而成，因此使叶轮具有良好的气动性能。蜗壳采用静音技术，噪音低，风量大，风压高。</w:t>
                  </w:r>
                  <w:r>
                    <w:rPr>
                      <w:rFonts w:hint="default" w:ascii="Calibri" w:hAnsi="Calibri" w:cs="Calibri"/>
                      <w:sz w:val="24"/>
                      <w:szCs w:val="24"/>
                      <w:bdr w:val="none" w:color="auto" w:sz="0" w:space="0"/>
                    </w:rPr>
                    <w:br w:type="textWrapping"/>
                  </w:r>
                  <w:r>
                    <w:rPr>
                      <w:rFonts w:hint="eastAsia" w:ascii="宋体" w:hAnsi="宋体" w:eastAsia="宋体" w:cs="宋体"/>
                      <w:color w:val="000000"/>
                      <w:sz w:val="24"/>
                      <w:szCs w:val="24"/>
                      <w:bdr w:val="none" w:color="auto" w:sz="0" w:space="0"/>
                    </w:rPr>
                    <w:t>4.机箱底部安装U型槽钢枕梁及四端设有安装孔，支架采用≥50#角钢或者槽钢焊接。</w:t>
                  </w:r>
                  <w:r>
                    <w:rPr>
                      <w:rFonts w:hint="default" w:ascii="Calibri" w:hAnsi="Calibri" w:cs="Calibri"/>
                      <w:sz w:val="24"/>
                      <w:szCs w:val="24"/>
                      <w:bdr w:val="none" w:color="auto" w:sz="0" w:space="0"/>
                    </w:rPr>
                    <w:br w:type="textWrapping"/>
                  </w:r>
                  <w:r>
                    <w:rPr>
                      <w:rFonts w:hint="eastAsia" w:ascii="宋体" w:hAnsi="宋体" w:eastAsia="宋体" w:cs="宋体"/>
                      <w:color w:val="000000"/>
                      <w:sz w:val="24"/>
                      <w:szCs w:val="24"/>
                      <w:bdr w:val="none" w:color="auto" w:sz="0" w:space="0"/>
                    </w:rPr>
                    <w:t>5.风机蜗壳增加了汽车用阻燃静音棉有效降低气流和蜗壳内磨擦以及蜗壳体振抖所产生的噪音。</w:t>
                  </w:r>
                  <w:r>
                    <w:rPr>
                      <w:rFonts w:hint="default" w:ascii="Calibri" w:hAnsi="Calibri" w:cs="Calibri"/>
                      <w:sz w:val="24"/>
                      <w:szCs w:val="24"/>
                      <w:bdr w:val="none" w:color="auto" w:sz="0" w:space="0"/>
                    </w:rPr>
                    <w:br w:type="textWrapping"/>
                  </w:r>
                  <w:r>
                    <w:rPr>
                      <w:rFonts w:hint="eastAsia" w:ascii="宋体" w:hAnsi="宋体" w:eastAsia="宋体" w:cs="宋体"/>
                      <w:color w:val="000000"/>
                      <w:sz w:val="24"/>
                      <w:szCs w:val="24"/>
                      <w:bdr w:val="none" w:color="auto" w:sz="0" w:space="0"/>
                    </w:rPr>
                    <w:t>6.轴承加装了保护装置，可以防止油烟和水汽灰尘的侵入，延长轴承使用寿命。</w:t>
                  </w:r>
                  <w:r>
                    <w:rPr>
                      <w:rFonts w:hint="default" w:ascii="Calibri" w:hAnsi="Calibri" w:cs="Calibri"/>
                      <w:sz w:val="24"/>
                      <w:szCs w:val="24"/>
                      <w:bdr w:val="none" w:color="auto" w:sz="0" w:space="0"/>
                    </w:rPr>
                    <w:br w:type="textWrapping"/>
                  </w:r>
                  <w:r>
                    <w:rPr>
                      <w:rFonts w:hint="eastAsia" w:ascii="宋体" w:hAnsi="宋体" w:eastAsia="宋体" w:cs="宋体"/>
                      <w:color w:val="000000"/>
                      <w:sz w:val="24"/>
                      <w:szCs w:val="24"/>
                      <w:bdr w:val="none" w:color="auto" w:sz="0" w:space="0"/>
                    </w:rPr>
                    <w:t>7.安全及性能要求：产品依据“GB/T2423.65-2024、GB/T2423.34-2024、GB/T2423.17-2024”等技术标准（需测试或评定判定合格）且①进行3阶段试验（至少包含阶段一：2小时湿热(高温、高湿)、盐雾和太阳辐射；阶段二：2小时干热(高温、低湿)和太阳辐射；阶段三：4小时湿热(高温、高湿)和盐雾）循环、至少循环10次，循环试验后：外观需无剥落及功能应无异常。②在“温度：-10℃→65℃，湿度30%→98%RH”以24小时为一周期（一周期内至少循环10次）、持续时间不低于48h，循环试验后：外观应无变形，气泡及剥落等现象，且电气和机械性能亦应完好。</w:t>
                  </w:r>
                  <w:r>
                    <w:rPr>
                      <w:rFonts w:hint="default" w:ascii="Calibri" w:hAnsi="Calibri" w:cs="Calibri"/>
                      <w:sz w:val="24"/>
                      <w:szCs w:val="24"/>
                      <w:bdr w:val="none" w:color="auto" w:sz="0" w:space="0"/>
                    </w:rPr>
                    <w:br w:type="textWrapping"/>
                  </w:r>
                  <w:r>
                    <w:rPr>
                      <w:rFonts w:hint="eastAsia" w:ascii="宋体" w:hAnsi="宋体" w:eastAsia="宋体" w:cs="宋体"/>
                      <w:color w:val="000000"/>
                      <w:sz w:val="24"/>
                      <w:szCs w:val="24"/>
                      <w:bdr w:val="none" w:color="auto" w:sz="0" w:space="0"/>
                    </w:rPr>
                    <w:t>8.其他技术规格及质量要求：产品依据“GB 17799.3-2023、GB 17799.8-2023”等技术标准（需测试或评定判定合格）；在150kHz～30MHz（Class A限值）频段，进行传导骚扰测试，测试结果应低于限值8.1dBμV；在30MHz～6GHz频段，进行辐射骚扰测试，测试结果应低于限值5.1dBμV/m。</w:t>
                  </w:r>
                </w:p>
              </w:tc>
            </w:tr>
            <w:tr w14:paraId="00906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C360BD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30</w:t>
                  </w:r>
                </w:p>
              </w:tc>
              <w:tc>
                <w:tcPr>
                  <w:tcW w:w="720" w:type="dxa"/>
                  <w:gridSpan w:val="2"/>
                  <w:tcBorders>
                    <w:top w:val="nil"/>
                    <w:left w:val="nil"/>
                    <w:bottom w:val="single" w:color="000000" w:sz="6" w:space="0"/>
                    <w:right w:val="single" w:color="000000" w:sz="6" w:space="0"/>
                  </w:tcBorders>
                  <w:shd w:val="clear"/>
                  <w:tcMar>
                    <w:left w:w="105" w:type="dxa"/>
                    <w:right w:w="105" w:type="dxa"/>
                  </w:tcMar>
                  <w:vAlign w:val="center"/>
                </w:tcPr>
                <w:p w14:paraId="6C1DB51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控制箱</w:t>
                  </w:r>
                </w:p>
              </w:tc>
              <w:tc>
                <w:tcPr>
                  <w:tcW w:w="420" w:type="dxa"/>
                  <w:gridSpan w:val="2"/>
                  <w:tcBorders>
                    <w:top w:val="nil"/>
                    <w:left w:val="nil"/>
                    <w:bottom w:val="single" w:color="000000" w:sz="6" w:space="0"/>
                    <w:right w:val="single" w:color="000000" w:sz="6" w:space="0"/>
                  </w:tcBorders>
                  <w:shd w:val="clear"/>
                  <w:tcMar>
                    <w:left w:w="105" w:type="dxa"/>
                    <w:right w:w="105" w:type="dxa"/>
                  </w:tcMar>
                  <w:vAlign w:val="center"/>
                </w:tcPr>
                <w:p w14:paraId="3A16310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w:t>
                  </w: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192EB4E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热厨区</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3B95D0C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30kw</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7094CA0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台</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6D2498F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1BE38FC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2367.00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45D79BE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4734.00</w:t>
                  </w:r>
                </w:p>
              </w:tc>
              <w:tc>
                <w:tcPr>
                  <w:tcW w:w="5925" w:type="dxa"/>
                  <w:tcBorders>
                    <w:top w:val="nil"/>
                    <w:left w:val="nil"/>
                    <w:bottom w:val="single" w:color="000000" w:sz="6" w:space="0"/>
                    <w:right w:val="single" w:color="000000" w:sz="6" w:space="0"/>
                  </w:tcBorders>
                  <w:shd w:val="clear"/>
                  <w:tcMar>
                    <w:left w:w="105" w:type="dxa"/>
                    <w:right w:w="105" w:type="dxa"/>
                  </w:tcMar>
                  <w:vAlign w:val="center"/>
                </w:tcPr>
                <w:p w14:paraId="0BDDF7E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FF0000"/>
                      <w:sz w:val="24"/>
                      <w:szCs w:val="24"/>
                      <w:bdr w:val="none" w:color="auto" w:sz="0" w:space="0"/>
                    </w:rPr>
                    <w:t>1.规格：功率：30kW</w:t>
                  </w:r>
                  <w:r>
                    <w:rPr>
                      <w:rFonts w:hint="eastAsia" w:ascii="宋体" w:hAnsi="宋体" w:eastAsia="宋体" w:cs="宋体"/>
                      <w:color w:val="000000"/>
                      <w:sz w:val="24"/>
                      <w:szCs w:val="24"/>
                      <w:bdr w:val="none" w:color="auto" w:sz="0" w:space="0"/>
                    </w:rPr>
                    <w:t>；产品为非完全标准化的成套定制设备；至少具有空开，交流接触器，电动机综合数显保护器分ABC三相可直观对电流电压工作数据。启动运行时可缺相自动断电，启动电流过大时自动断电，漏电时自动断电。有过流、过压、欠压、缺相、过热、接地保护等功能。②使用范围和工作条件：周围介质温度不高于+45℃，不低于-35℃，空气相对湿度不大于85%；无凝露腐金属体及导电尘埃。              </w:t>
                  </w:r>
                  <w:r>
                    <w:rPr>
                      <w:rFonts w:hint="eastAsia" w:ascii="宋体" w:hAnsi="宋体" w:eastAsia="宋体" w:cs="宋体"/>
                      <w:color w:val="FF0000"/>
                      <w:sz w:val="24"/>
                      <w:szCs w:val="24"/>
                      <w:bdr w:val="none" w:color="auto" w:sz="0" w:space="0"/>
                    </w:rPr>
                    <w:t>2.箱体材质：1.0mm冷轧钢板。 </w:t>
                  </w:r>
                  <w:r>
                    <w:rPr>
                      <w:rFonts w:hint="default" w:ascii="Calibri" w:hAnsi="Calibri" w:cs="Calibri"/>
                      <w:sz w:val="24"/>
                      <w:szCs w:val="24"/>
                      <w:bdr w:val="none" w:color="auto" w:sz="0" w:space="0"/>
                    </w:rPr>
                    <w:t>                                                                     </w:t>
                  </w:r>
                </w:p>
              </w:tc>
            </w:tr>
            <w:tr w14:paraId="1221E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73164A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31</w:t>
                  </w:r>
                </w:p>
              </w:tc>
              <w:tc>
                <w:tcPr>
                  <w:tcW w:w="720" w:type="dxa"/>
                  <w:gridSpan w:val="2"/>
                  <w:tcBorders>
                    <w:top w:val="nil"/>
                    <w:left w:val="nil"/>
                    <w:bottom w:val="single" w:color="000000" w:sz="6" w:space="0"/>
                    <w:right w:val="single" w:color="000000" w:sz="6" w:space="0"/>
                  </w:tcBorders>
                  <w:shd w:val="clear"/>
                  <w:tcMar>
                    <w:left w:w="105" w:type="dxa"/>
                    <w:right w:w="105" w:type="dxa"/>
                  </w:tcMar>
                  <w:vAlign w:val="center"/>
                </w:tcPr>
                <w:p w14:paraId="0D3C7A8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旧设备撤除</w:t>
                  </w:r>
                </w:p>
              </w:tc>
              <w:tc>
                <w:tcPr>
                  <w:tcW w:w="420" w:type="dxa"/>
                  <w:gridSpan w:val="2"/>
                  <w:tcBorders>
                    <w:top w:val="nil"/>
                    <w:left w:val="nil"/>
                    <w:bottom w:val="single" w:color="000000" w:sz="6" w:space="0"/>
                    <w:right w:val="single" w:color="000000" w:sz="6" w:space="0"/>
                  </w:tcBorders>
                  <w:shd w:val="clear"/>
                  <w:tcMar>
                    <w:left w:w="105" w:type="dxa"/>
                    <w:right w:w="105" w:type="dxa"/>
                  </w:tcMar>
                  <w:vAlign w:val="center"/>
                </w:tcPr>
                <w:p w14:paraId="21D96E1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w:t>
                  </w:r>
                </w:p>
              </w:tc>
              <w:tc>
                <w:tcPr>
                  <w:tcW w:w="930" w:type="dxa"/>
                  <w:tcBorders>
                    <w:top w:val="nil"/>
                    <w:left w:val="nil"/>
                    <w:bottom w:val="single" w:color="000000" w:sz="6" w:space="0"/>
                    <w:right w:val="single" w:color="000000" w:sz="6" w:space="0"/>
                  </w:tcBorders>
                  <w:shd w:val="clear"/>
                  <w:tcMar>
                    <w:left w:w="105" w:type="dxa"/>
                    <w:right w:w="105" w:type="dxa"/>
                  </w:tcMar>
                  <w:vAlign w:val="center"/>
                </w:tcPr>
                <w:p w14:paraId="6C751C7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按学校要求</w:t>
                  </w:r>
                </w:p>
              </w:tc>
              <w:tc>
                <w:tcPr>
                  <w:tcW w:w="1290" w:type="dxa"/>
                  <w:gridSpan w:val="2"/>
                  <w:tcBorders>
                    <w:top w:val="nil"/>
                    <w:left w:val="nil"/>
                    <w:bottom w:val="single" w:color="000000" w:sz="6" w:space="0"/>
                    <w:right w:val="single" w:color="000000" w:sz="6" w:space="0"/>
                  </w:tcBorders>
                  <w:shd w:val="clear"/>
                  <w:tcMar>
                    <w:left w:w="105" w:type="dxa"/>
                    <w:right w:w="105" w:type="dxa"/>
                  </w:tcMar>
                  <w:vAlign w:val="center"/>
                </w:tcPr>
                <w:p w14:paraId="3D127C9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根据现场定制</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30D1D35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项</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72016BE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2AAA13A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38000.00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0DB16E5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38000.00</w:t>
                  </w:r>
                </w:p>
              </w:tc>
              <w:tc>
                <w:tcPr>
                  <w:tcW w:w="5925" w:type="dxa"/>
                  <w:tcBorders>
                    <w:top w:val="nil"/>
                    <w:left w:val="nil"/>
                    <w:bottom w:val="single" w:color="000000" w:sz="6" w:space="0"/>
                    <w:right w:val="single" w:color="000000" w:sz="6" w:space="0"/>
                  </w:tcBorders>
                  <w:shd w:val="clear"/>
                  <w:tcMar>
                    <w:left w:w="105" w:type="dxa"/>
                    <w:right w:w="105" w:type="dxa"/>
                  </w:tcMar>
                  <w:vAlign w:val="center"/>
                </w:tcPr>
                <w:p w14:paraId="07841D4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1.包含拆除搬运烟罩、净化器、风柜、风管等，开洞及恢复，厨房设备归置含恢复，新装油烟净化一体设备、风柜电源箱及电源线等，且按学校要求施工，旧设备搬运到校方指定地点（学校校区内）。    2.不锈钢烟灶旧设备拆除数量：172米；背风管旧设备拆除：172米；管道拆除（含外墙拆除）：850平方；两栋楼顶旧风柜2台拆除；风柜净化器拆除2套 。                                                       3.拆除方式：按1米距离切割、吊车拆装、搬运至指定位置（大约1000米）。                                                                               4.所有利旧厨房燃气灶及蒸饭设备拆除后，指定位置堆放，完成新设备安装后再进行恢复利旧设备的安装。</w:t>
                  </w:r>
                </w:p>
              </w:tc>
            </w:tr>
            <w:tr w14:paraId="4351A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140" w:type="dxa"/>
                  <w:gridSpan w:val="13"/>
                  <w:tcBorders>
                    <w:top w:val="nil"/>
                    <w:left w:val="single" w:color="000000" w:sz="6" w:space="0"/>
                    <w:bottom w:val="single" w:color="000000" w:sz="6" w:space="0"/>
                    <w:right w:val="single" w:color="000000" w:sz="6" w:space="0"/>
                  </w:tcBorders>
                  <w:shd w:val="clear"/>
                  <w:tcMar>
                    <w:left w:w="105" w:type="dxa"/>
                    <w:right w:w="105" w:type="dxa"/>
                  </w:tcMar>
                  <w:vAlign w:val="center"/>
                </w:tcPr>
                <w:p w14:paraId="78B1018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Style w:val="13"/>
                      <w:rFonts w:hint="eastAsia" w:ascii="宋体" w:hAnsi="宋体" w:eastAsia="宋体" w:cs="宋体"/>
                      <w:color w:val="FF0000"/>
                      <w:sz w:val="24"/>
                      <w:szCs w:val="24"/>
                      <w:bdr w:val="none" w:color="auto" w:sz="0" w:space="0"/>
                    </w:rPr>
                    <w:t>其他</w:t>
                  </w:r>
                </w:p>
              </w:tc>
            </w:tr>
            <w:tr w14:paraId="0B31A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2AAF90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32</w:t>
                  </w:r>
                </w:p>
              </w:tc>
              <w:tc>
                <w:tcPr>
                  <w:tcW w:w="690" w:type="dxa"/>
                  <w:tcBorders>
                    <w:top w:val="nil"/>
                    <w:left w:val="nil"/>
                    <w:bottom w:val="single" w:color="000000" w:sz="6" w:space="0"/>
                    <w:right w:val="single" w:color="000000" w:sz="6" w:space="0"/>
                  </w:tcBorders>
                  <w:shd w:val="clear"/>
                  <w:tcMar>
                    <w:left w:w="105" w:type="dxa"/>
                    <w:right w:w="105" w:type="dxa"/>
                  </w:tcMar>
                  <w:vAlign w:val="center"/>
                </w:tcPr>
                <w:p w14:paraId="71CFA07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厨房设备灭火装置</w:t>
                  </w:r>
                </w:p>
              </w:tc>
              <w:tc>
                <w:tcPr>
                  <w:tcW w:w="225" w:type="dxa"/>
                  <w:gridSpan w:val="2"/>
                  <w:tcBorders>
                    <w:top w:val="nil"/>
                    <w:left w:val="nil"/>
                    <w:bottom w:val="single" w:color="000000" w:sz="6" w:space="0"/>
                    <w:right w:val="single" w:color="000000" w:sz="6" w:space="0"/>
                  </w:tcBorders>
                  <w:shd w:val="clear"/>
                  <w:tcMar>
                    <w:left w:w="105" w:type="dxa"/>
                    <w:right w:w="105" w:type="dxa"/>
                  </w:tcMar>
                  <w:vAlign w:val="center"/>
                </w:tcPr>
                <w:p w14:paraId="53D1741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w:t>
                  </w:r>
                </w:p>
              </w:tc>
              <w:tc>
                <w:tcPr>
                  <w:tcW w:w="1755" w:type="dxa"/>
                  <w:gridSpan w:val="3"/>
                  <w:tcBorders>
                    <w:top w:val="nil"/>
                    <w:left w:val="nil"/>
                    <w:bottom w:val="single" w:color="000000" w:sz="6" w:space="0"/>
                    <w:right w:val="single" w:color="000000" w:sz="6" w:space="0"/>
                  </w:tcBorders>
                  <w:shd w:val="clear"/>
                  <w:tcMar>
                    <w:left w:w="105" w:type="dxa"/>
                    <w:right w:w="105" w:type="dxa"/>
                  </w:tcMar>
                  <w:vAlign w:val="center"/>
                </w:tcPr>
                <w:p w14:paraId="7953445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所有热厨区</w:t>
                  </w:r>
                </w:p>
              </w:tc>
              <w:tc>
                <w:tcPr>
                  <w:tcW w:w="675" w:type="dxa"/>
                  <w:tcBorders>
                    <w:top w:val="nil"/>
                    <w:left w:val="nil"/>
                    <w:bottom w:val="single" w:color="000000" w:sz="6" w:space="0"/>
                    <w:right w:val="single" w:color="000000" w:sz="6" w:space="0"/>
                  </w:tcBorders>
                  <w:shd w:val="clear"/>
                  <w:tcMar>
                    <w:left w:w="105" w:type="dxa"/>
                    <w:right w:w="105" w:type="dxa"/>
                  </w:tcMar>
                  <w:vAlign w:val="center"/>
                </w:tcPr>
                <w:p w14:paraId="25829EB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650*200*600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3710914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套</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7A8D826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15</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58EEDDA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7250.00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57D3F86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108750.00</w:t>
                  </w:r>
                </w:p>
              </w:tc>
              <w:tc>
                <w:tcPr>
                  <w:tcW w:w="5925" w:type="dxa"/>
                  <w:tcBorders>
                    <w:top w:val="single" w:color="000000" w:sz="6" w:space="0"/>
                    <w:left w:val="nil"/>
                    <w:bottom w:val="single" w:color="000000" w:sz="6" w:space="0"/>
                    <w:right w:val="single" w:color="000000" w:sz="6" w:space="0"/>
                  </w:tcBorders>
                  <w:shd w:val="clear"/>
                  <w:tcMar>
                    <w:left w:w="105" w:type="dxa"/>
                    <w:right w:w="105" w:type="dxa"/>
                  </w:tcMar>
                  <w:vAlign w:val="center"/>
                </w:tcPr>
                <w:p w14:paraId="085D7BC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1.产品至少由箱体,控制盘、灭火剂贮存容器、驱动气体贮存容器、水流阀、机械驱动器、减压器、单向阀、连接管、喷嘴、⼿启动盒、感温易熔金属拉索释放器、轴承角轮、管路、管件等部件组成。</w:t>
                  </w:r>
                  <w:r>
                    <w:rPr>
                      <w:rFonts w:hint="default" w:ascii="Calibri" w:hAnsi="Calibri" w:cs="Calibri"/>
                      <w:sz w:val="24"/>
                      <w:szCs w:val="24"/>
                      <w:bdr w:val="none" w:color="auto" w:sz="0" w:space="0"/>
                    </w:rPr>
                    <w:br w:type="textWrapping"/>
                  </w:r>
                  <w:r>
                    <w:rPr>
                      <w:rFonts w:hint="eastAsia" w:ascii="宋体" w:hAnsi="宋体" w:eastAsia="宋体" w:cs="宋体"/>
                      <w:sz w:val="24"/>
                      <w:szCs w:val="24"/>
                      <w:bdr w:val="none" w:color="auto" w:sz="0" w:space="0"/>
                    </w:rPr>
                    <w:t>2.产品通过国家固定灭火系统和耐火构件质量监督检验，消防认证产品（行业3C认证），灭火剂充装质量单瓶组为≥12L，双瓶组为≥24L；产品符合国家XF498-2012《厨房设备灭火装置》标准。</w:t>
                  </w:r>
                  <w:r>
                    <w:rPr>
                      <w:rFonts w:hint="default" w:ascii="Calibri" w:hAnsi="Calibri" w:cs="Calibri"/>
                      <w:sz w:val="24"/>
                      <w:szCs w:val="24"/>
                      <w:bdr w:val="none" w:color="auto" w:sz="0" w:space="0"/>
                    </w:rPr>
                    <w:br w:type="textWrapping"/>
                  </w:r>
                  <w:r>
                    <w:rPr>
                      <w:rFonts w:hint="eastAsia" w:ascii="宋体" w:hAnsi="宋体" w:eastAsia="宋体" w:cs="宋体"/>
                      <w:sz w:val="24"/>
                      <w:szCs w:val="24"/>
                      <w:bdr w:val="none" w:color="auto" w:sz="0" w:space="0"/>
                    </w:rPr>
                    <w:t>3.产品具有中国保险公司承保；保值需≥1000万元。</w:t>
                  </w:r>
                  <w:r>
                    <w:rPr>
                      <w:rFonts w:hint="default" w:ascii="Calibri" w:hAnsi="Calibri" w:cs="Calibri"/>
                      <w:sz w:val="24"/>
                      <w:szCs w:val="24"/>
                      <w:bdr w:val="none" w:color="auto" w:sz="0" w:space="0"/>
                    </w:rPr>
                    <w:br w:type="textWrapping"/>
                  </w:r>
                  <w:r>
                    <w:rPr>
                      <w:rFonts w:hint="eastAsia" w:ascii="宋体" w:hAnsi="宋体" w:eastAsia="宋体" w:cs="宋体"/>
                      <w:sz w:val="24"/>
                      <w:szCs w:val="24"/>
                      <w:bdr w:val="none" w:color="auto" w:sz="0" w:space="0"/>
                    </w:rPr>
                    <w:t>4.厨房设备灭火装置核心部件“灭火剂管道”符合GB/T12137-2015气密性实验法。</w:t>
                  </w:r>
                  <w:r>
                    <w:rPr>
                      <w:rFonts w:hint="default" w:ascii="Calibri" w:hAnsi="Calibri" w:cs="Calibri"/>
                      <w:sz w:val="24"/>
                      <w:szCs w:val="24"/>
                      <w:bdr w:val="none" w:color="auto" w:sz="0" w:space="0"/>
                    </w:rPr>
                    <w:br w:type="textWrapping"/>
                  </w:r>
                  <w:r>
                    <w:rPr>
                      <w:rFonts w:hint="eastAsia" w:ascii="宋体" w:hAnsi="宋体" w:eastAsia="宋体" w:cs="宋体"/>
                      <w:sz w:val="24"/>
                      <w:szCs w:val="24"/>
                      <w:bdr w:val="none" w:color="auto" w:sz="0" w:space="0"/>
                    </w:rPr>
                    <w:t>5.产品厨房设备灭火装置钢丝绳规格≥2.0mm，符合GB/T 20123-2006、GB/T 223.11-2008、GB/T 8358-2014技术标准；直径用精度不低于0.01mm的宽口量具测量，在相距至少1m两个截面上，并在同一截面相互垂直的方向上个测量一个直径，4次测量的平均值作为钢丝绳的实测直径。按GB/T9944-2015技术标准，破断拉力/kN和公称直径符合要求。经检测，化学成分项目符合GB/T4240-2019标准规定的要求，检测内容：碳、硅、锰、磷、硫、镍、铬7项检测全部合格。</w:t>
                  </w:r>
                </w:p>
              </w:tc>
            </w:tr>
            <w:tr w14:paraId="27A9E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9B52E5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33</w:t>
                  </w:r>
                </w:p>
              </w:tc>
              <w:tc>
                <w:tcPr>
                  <w:tcW w:w="690" w:type="dxa"/>
                  <w:tcBorders>
                    <w:top w:val="nil"/>
                    <w:left w:val="nil"/>
                    <w:bottom w:val="single" w:color="000000" w:sz="6" w:space="0"/>
                    <w:right w:val="single" w:color="000000" w:sz="6" w:space="0"/>
                  </w:tcBorders>
                  <w:shd w:val="clear"/>
                  <w:tcMar>
                    <w:left w:w="105" w:type="dxa"/>
                    <w:right w:w="105" w:type="dxa"/>
                  </w:tcMar>
                  <w:vAlign w:val="center"/>
                </w:tcPr>
                <w:p w14:paraId="4F50D48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1#无机房客梯</w:t>
                  </w:r>
                </w:p>
              </w:tc>
              <w:tc>
                <w:tcPr>
                  <w:tcW w:w="225" w:type="dxa"/>
                  <w:gridSpan w:val="2"/>
                  <w:tcBorders>
                    <w:top w:val="nil"/>
                    <w:left w:val="nil"/>
                    <w:bottom w:val="single" w:color="000000" w:sz="6" w:space="0"/>
                    <w:right w:val="single" w:color="000000" w:sz="6" w:space="0"/>
                  </w:tcBorders>
                  <w:shd w:val="clear"/>
                  <w:tcMar>
                    <w:left w:w="105" w:type="dxa"/>
                    <w:right w:w="105" w:type="dxa"/>
                  </w:tcMar>
                  <w:vAlign w:val="center"/>
                </w:tcPr>
                <w:p w14:paraId="1A76C5FC">
                  <w:pPr>
                    <w:rPr>
                      <w:rFonts w:hint="eastAsia" w:ascii="宋体"/>
                      <w:sz w:val="24"/>
                      <w:szCs w:val="24"/>
                    </w:rPr>
                  </w:pPr>
                </w:p>
              </w:tc>
              <w:tc>
                <w:tcPr>
                  <w:tcW w:w="1755" w:type="dxa"/>
                  <w:gridSpan w:val="3"/>
                  <w:tcBorders>
                    <w:top w:val="nil"/>
                    <w:left w:val="nil"/>
                    <w:bottom w:val="single" w:color="000000" w:sz="6" w:space="0"/>
                    <w:right w:val="single" w:color="000000" w:sz="6" w:space="0"/>
                  </w:tcBorders>
                  <w:shd w:val="clear"/>
                  <w:tcMar>
                    <w:left w:w="105" w:type="dxa"/>
                    <w:right w:w="105" w:type="dxa"/>
                  </w:tcMar>
                  <w:vAlign w:val="center"/>
                </w:tcPr>
                <w:p w14:paraId="1D9B8D6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良知楼食堂</w:t>
                  </w:r>
                </w:p>
              </w:tc>
              <w:tc>
                <w:tcPr>
                  <w:tcW w:w="675" w:type="dxa"/>
                  <w:tcBorders>
                    <w:top w:val="nil"/>
                    <w:left w:val="nil"/>
                    <w:bottom w:val="single" w:color="000000" w:sz="6" w:space="0"/>
                    <w:right w:val="single" w:color="000000" w:sz="6" w:space="0"/>
                  </w:tcBorders>
                  <w:shd w:val="clear"/>
                  <w:tcMar>
                    <w:left w:w="105" w:type="dxa"/>
                    <w:right w:w="105" w:type="dxa"/>
                  </w:tcMar>
                  <w:vAlign w:val="center"/>
                </w:tcPr>
                <w:p w14:paraId="4E9B676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1300*1700*2400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77B2DA4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台</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1C8FFDB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29ABE69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179500.00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384B662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179500.00</w:t>
                  </w:r>
                </w:p>
              </w:tc>
              <w:tc>
                <w:tcPr>
                  <w:tcW w:w="5925" w:type="dxa"/>
                  <w:tcBorders>
                    <w:top w:val="nil"/>
                    <w:left w:val="nil"/>
                    <w:bottom w:val="single" w:color="000000" w:sz="6" w:space="0"/>
                    <w:right w:val="single" w:color="000000" w:sz="6" w:space="0"/>
                  </w:tcBorders>
                  <w:shd w:val="clear"/>
                  <w:tcMar>
                    <w:left w:w="105" w:type="dxa"/>
                    <w:right w:w="105" w:type="dxa"/>
                  </w:tcMar>
                  <w:vAlign w:val="center"/>
                </w:tcPr>
                <w:p w14:paraId="72C50C5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5" w:afterAutospacing="0" w:line="480" w:lineRule="atLeast"/>
                    <w:ind w:left="0" w:right="0" w:firstLine="420"/>
                    <w:jc w:val="both"/>
                    <w:rPr>
                      <w:sz w:val="24"/>
                      <w:szCs w:val="24"/>
                    </w:rPr>
                  </w:pPr>
                  <w:r>
                    <w:rPr>
                      <w:rFonts w:hint="eastAsia" w:ascii="宋体" w:hAnsi="宋体" w:eastAsia="宋体" w:cs="宋体"/>
                      <w:color w:val="000000"/>
                      <w:kern w:val="0"/>
                      <w:sz w:val="24"/>
                      <w:szCs w:val="24"/>
                      <w:bdr w:val="none" w:color="auto" w:sz="0" w:space="0"/>
                      <w:lang w:val="en-US" w:eastAsia="zh-CN" w:bidi="ar"/>
                    </w:rPr>
                    <w:t>★1.载重(kg)：≥1050；速度(m/s)：1.0；层/站/门：4/4/4；停靠层站：1~4F；层高：以现场实际测量为准；井道尺寸：2300mm*2600mm；顶站高度：4600mm；底坑深度：≥1600mm；轿厢内部尺寸（宽*深*高）：1400mm×1650mm*2400mm；开门型式及宽度：中分门900mm×高2100mm；控制方式：微机控制全集选；操纵方式：VVVF；电梯运行方式：单梯；轿箱通风：轴流风机；轿厢照明：LED光源；轿门围壁材料：发纹不锈钢；小门套装潢：每层发纹不锈钢；地板：防滑花纹不锈钢；候梯厅指示器：按照数字式轿厢位置和运行方向显示；面板：发纹不锈钢、金属按钮。</w:t>
                  </w:r>
                </w:p>
                <w:p w14:paraId="0280F1C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5" w:afterAutospacing="0" w:line="480" w:lineRule="atLeast"/>
                    <w:ind w:left="0" w:right="0" w:firstLine="420"/>
                    <w:jc w:val="both"/>
                    <w:rPr>
                      <w:sz w:val="24"/>
                      <w:szCs w:val="24"/>
                    </w:rPr>
                  </w:pPr>
                  <w:r>
                    <w:rPr>
                      <w:rFonts w:hint="eastAsia" w:ascii="宋体" w:hAnsi="宋体" w:eastAsia="宋体" w:cs="宋体"/>
                      <w:color w:val="000000"/>
                      <w:kern w:val="0"/>
                      <w:sz w:val="24"/>
                      <w:szCs w:val="24"/>
                      <w:bdr w:val="none" w:color="auto" w:sz="0" w:space="0"/>
                      <w:lang w:val="en-US" w:eastAsia="zh-CN" w:bidi="ar"/>
                    </w:rPr>
                    <w:t>▲2.（1）依据GB/T 4942-2021《旋转电机整体结构的防护等级(IP代码) 分级》曳引机防护等级：≥IP21；（2）曳引机主轴受力安全系数，曳引机按主轴10倍及以上的安全系数设计,曳引机制动器寿命≥2000万次。制动器制动力矩静载试验强度优于标准（《电梯型式试验规则》（TSG T7007-2022）H6.3.9）。曳引机按215%额定载荷制动力矩设计，测试时间达到60分钟，曳引机实测温升低于50K，曳引机实测温升在51K至60K。曳引机能效等级一级。依据《电梯型式试验规则》(TSG T7007-2016、TSG T7007-2022)标准；（3）制动器线圈耐压试验，导电部分对地间施加1000V，历时1min,不得有击穿现象。（4）制动器试验总次数不低于2600万次，次数：0~1500万次周期:动作周期：2.5s打开，2.5s 关闭；次数：1500万~2600万次；动作周期：3s打开，2s 关闭，判定合格。（5）依据“《电梯型式试验规则》（TSG T7007-2022）、 GB/T 7588.1-2020、 GB/T 7588.2-2020”技术要求且对电梯轿门锁试验：≥700万次后，机械部件状态良好；（6）依据“《电梯型式试验规则》（TSG T7007-2016）技术要求且对电梯层门锁试验：≥800万次后，机械部件良好。（7）门机开、关门噪音≤56 dB(A)，且通过1600万次以上的可靠性测试。（需提供具有CMA或CNAS标识的检测报告复印件并加盖厂家公章）</w:t>
                  </w:r>
                </w:p>
                <w:p w14:paraId="75023B1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5" w:afterAutospacing="0" w:line="480" w:lineRule="atLeast"/>
                    <w:ind w:left="0" w:right="0" w:firstLine="420"/>
                    <w:jc w:val="both"/>
                    <w:rPr>
                      <w:sz w:val="24"/>
                      <w:szCs w:val="24"/>
                    </w:rPr>
                  </w:pPr>
                  <w:r>
                    <w:rPr>
                      <w:rFonts w:hint="eastAsia" w:ascii="宋体" w:hAnsi="宋体" w:eastAsia="宋体" w:cs="宋体"/>
                      <w:color w:val="000000"/>
                      <w:kern w:val="0"/>
                      <w:sz w:val="24"/>
                      <w:szCs w:val="24"/>
                      <w:bdr w:val="none" w:color="auto" w:sz="0" w:space="0"/>
                      <w:lang w:val="en-US" w:eastAsia="zh-CN" w:bidi="ar"/>
                    </w:rPr>
                    <w:t>★3.曳引机、控制柜、限速器、安全钳、缓冲器、门机需与投标电梯为同厂同品牌 。</w:t>
                  </w:r>
                </w:p>
                <w:p w14:paraId="7025D34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5" w:afterAutospacing="0" w:line="480" w:lineRule="atLeast"/>
                    <w:ind w:left="0" w:right="0" w:firstLine="420"/>
                    <w:jc w:val="both"/>
                    <w:rPr>
                      <w:sz w:val="24"/>
                      <w:szCs w:val="24"/>
                    </w:rPr>
                  </w:pPr>
                  <w:r>
                    <w:rPr>
                      <w:rFonts w:hint="eastAsia" w:ascii="宋体" w:hAnsi="宋体" w:eastAsia="宋体" w:cs="宋体"/>
                      <w:color w:val="000000"/>
                      <w:kern w:val="0"/>
                      <w:sz w:val="24"/>
                      <w:szCs w:val="24"/>
                      <w:bdr w:val="none" w:color="auto" w:sz="0" w:space="0"/>
                      <w:lang w:val="en-US" w:eastAsia="zh-CN" w:bidi="ar"/>
                    </w:rPr>
                    <w:t>▲4.(1)依据GB/T 4208-2017《外壳防护等级（IP代码）》 控制柜供电电压在三相AC380V±20%的情况下运行，电梯无故障，(2)控制柜壳防护等级：≥IP55；依据GB/T 12350-2009。(3)光幕为原厂原品牌且光幕外壳防护等级达到IP65及光束达到190束。（需提供具有CMA或CNAS标识的检测报告复印件并加盖厂家公章）</w:t>
                  </w:r>
                </w:p>
                <w:p w14:paraId="49E2C7C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5" w:afterAutospacing="0" w:line="480" w:lineRule="atLeast"/>
                    <w:ind w:left="0" w:right="0" w:firstLine="420"/>
                    <w:jc w:val="both"/>
                    <w:rPr>
                      <w:sz w:val="24"/>
                      <w:szCs w:val="24"/>
                    </w:rPr>
                  </w:pPr>
                  <w:r>
                    <w:rPr>
                      <w:rFonts w:hint="eastAsia" w:ascii="宋体" w:hAnsi="宋体" w:eastAsia="宋体" w:cs="宋体"/>
                      <w:color w:val="000000"/>
                      <w:kern w:val="0"/>
                      <w:sz w:val="24"/>
                      <w:szCs w:val="24"/>
                      <w:bdr w:val="none" w:color="auto" w:sz="0" w:space="0"/>
                      <w:lang w:val="en-US" w:eastAsia="zh-CN" w:bidi="ar"/>
                    </w:rPr>
                    <w:t>5.厅门防撞装置：每层厅门的左、右两侧，在外呼盒位置高度至地板处，外墙部分及厅门内侧部分分别用发纹不锈钢做成防撞装置处，外墙部分及厅门内侧部分分别用发纹不锈钢做成防撞装置。</w:t>
                  </w:r>
                </w:p>
                <w:p w14:paraId="7A327A1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5" w:afterAutospacing="0" w:line="480" w:lineRule="atLeast"/>
                    <w:ind w:left="0" w:right="0" w:firstLine="420"/>
                    <w:jc w:val="both"/>
                    <w:rPr>
                      <w:sz w:val="24"/>
                      <w:szCs w:val="24"/>
                    </w:rPr>
                  </w:pPr>
                  <w:r>
                    <w:rPr>
                      <w:rFonts w:hint="eastAsia" w:ascii="宋体" w:hAnsi="宋体" w:eastAsia="宋体" w:cs="宋体"/>
                      <w:color w:val="000000"/>
                      <w:kern w:val="0"/>
                      <w:sz w:val="24"/>
                      <w:szCs w:val="24"/>
                      <w:bdr w:val="none" w:color="auto" w:sz="0" w:space="0"/>
                      <w:lang w:val="en-US" w:eastAsia="zh-CN" w:bidi="ar"/>
                    </w:rPr>
                    <w:t>6.旧梯拆除及土建等要求：原有电梯处理方式为由中标单位负责拆除，旧电梯交由业主处理；拆除原有电梯曳引机机架工字钢承重墩，拆除机房墙体中原有承重工字钢，拆除限速器原有土建围挡，根据电梯安装需要在楼层板重新开孔，并制作围挡（曳引钢丝绳孔、限速器钢丝绳孔、随行电缆孔等），对机房楼层板上原有孔洞（不需要的）采用混凝土进行回填，对机房墙体上因原有电梯部件拆除产生的孔洞进行回填，机房门、窗、灯按电梯安装规范进行符合性整改，拆除其他层厅门门套，电梯安装完毕后按原样恢复，根据新安装电梯外呼盒尺寸对原有呼梯盒孔进行修改，拆除原有电梯厅门地坎，如地面石材损坏，按原样恢复，拆除原有电梯轿厢缓冲器、对重缓冲器承重墩，根据电梯安装要求制作导轨支撑座，根据电梯安装要求制作轿厢缓冲器、对重缓冲器承重墩（混凝土）；无机房电梯，现场实际踏勘，土建有不符合现行验收标准的，由投标人自行处理。不组织踏勘，由投标人自行评估风险，并将土建整改因素折算进报价成本中。拆除之后的旧电梯交由业主另行处理，中标单位按业主要求拆除及搬运至业主指定地点（学校校区内）。</w:t>
                  </w:r>
                </w:p>
                <w:p w14:paraId="40AE980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kern w:val="0"/>
                      <w:sz w:val="24"/>
                      <w:szCs w:val="24"/>
                      <w:bdr w:val="none" w:color="auto" w:sz="0" w:space="0"/>
                      <w:lang w:val="en-US" w:eastAsia="zh-CN" w:bidi="ar"/>
                    </w:rPr>
                    <w:t>7.功能：本层同向外呼再开门、集选控制、满载直驶、梯门未开则自动开往下一层、防捣乱功能（空载时，内呼登记限制）、防捣乱功能（端站停层取消内呼）、防捣乱功能（反向内呼自动消除）、基站开门等待时间可调、门机速度及力矩可调、再平层、轿厢照明、风扇节能运行功能、启动补偿功能、故障时就近平层（如，马达过温故障、楼层位置错误）、火灾应急返回、报警和对讲功能、轿内应急照明、超载保护、门锁故障重复关门、门受阻保护、光幕、锁梯（钥匙开关）、缺相及错相保护、控制柜可锁主开关、紧急电动运行、检修操作（轿顶）、检修操作（底坑）、曳引机温度监控、曳引机空转保护功能、火灾应急返回信号预留、轿厢意外移动保护、限制轿内人员开启轿门装置、制动力矩检测功能、门锁安全装置的失效检测、应急电动松闸功能、门锁旁路功能、剩余电流动作保护功能、自动门、集选错误信号、运行计时计数、关门按钮、开门按钮、误指令消除（双击取消）、外召白色 LED 显示、轿内白色 LED 显示、语音安抚功能、对讲系统、停电应急平层，配置手机端及网页端的监控（实现实时查看电梯的运行状态、电梯所在楼层、方向、开关门状态、运行次数、距离、时间、各楼层停靠次数、查看近 3 个月内事件履历）。</w:t>
                  </w:r>
                </w:p>
              </w:tc>
            </w:tr>
            <w:tr w14:paraId="7552B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523F77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34</w:t>
                  </w:r>
                </w:p>
              </w:tc>
              <w:tc>
                <w:tcPr>
                  <w:tcW w:w="690" w:type="dxa"/>
                  <w:tcBorders>
                    <w:top w:val="nil"/>
                    <w:left w:val="nil"/>
                    <w:bottom w:val="single" w:color="000000" w:sz="6" w:space="0"/>
                    <w:right w:val="single" w:color="000000" w:sz="6" w:space="0"/>
                  </w:tcBorders>
                  <w:shd w:val="clear"/>
                  <w:tcMar>
                    <w:left w:w="105" w:type="dxa"/>
                    <w:right w:w="105" w:type="dxa"/>
                  </w:tcMar>
                  <w:vAlign w:val="center"/>
                </w:tcPr>
                <w:p w14:paraId="502C335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2#无机房客梯</w:t>
                  </w:r>
                </w:p>
              </w:tc>
              <w:tc>
                <w:tcPr>
                  <w:tcW w:w="225" w:type="dxa"/>
                  <w:gridSpan w:val="2"/>
                  <w:tcBorders>
                    <w:top w:val="nil"/>
                    <w:left w:val="nil"/>
                    <w:bottom w:val="single" w:color="000000" w:sz="6" w:space="0"/>
                    <w:right w:val="single" w:color="000000" w:sz="6" w:space="0"/>
                  </w:tcBorders>
                  <w:shd w:val="clear"/>
                  <w:tcMar>
                    <w:left w:w="105" w:type="dxa"/>
                    <w:right w:w="105" w:type="dxa"/>
                  </w:tcMar>
                  <w:vAlign w:val="center"/>
                </w:tcPr>
                <w:p w14:paraId="5483E797">
                  <w:pPr>
                    <w:rPr>
                      <w:rFonts w:hint="eastAsia" w:ascii="宋体"/>
                      <w:sz w:val="24"/>
                      <w:szCs w:val="24"/>
                    </w:rPr>
                  </w:pPr>
                </w:p>
              </w:tc>
              <w:tc>
                <w:tcPr>
                  <w:tcW w:w="1755" w:type="dxa"/>
                  <w:gridSpan w:val="3"/>
                  <w:tcBorders>
                    <w:top w:val="nil"/>
                    <w:left w:val="nil"/>
                    <w:bottom w:val="single" w:color="000000" w:sz="6" w:space="0"/>
                    <w:right w:val="single" w:color="000000" w:sz="6" w:space="0"/>
                  </w:tcBorders>
                  <w:shd w:val="clear"/>
                  <w:tcMar>
                    <w:left w:w="105" w:type="dxa"/>
                    <w:right w:w="105" w:type="dxa"/>
                  </w:tcMar>
                  <w:vAlign w:val="center"/>
                </w:tcPr>
                <w:p w14:paraId="0E1EFB0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良知楼食堂</w:t>
                  </w:r>
                </w:p>
              </w:tc>
              <w:tc>
                <w:tcPr>
                  <w:tcW w:w="675" w:type="dxa"/>
                  <w:tcBorders>
                    <w:top w:val="nil"/>
                    <w:left w:val="nil"/>
                    <w:bottom w:val="single" w:color="000000" w:sz="6" w:space="0"/>
                    <w:right w:val="single" w:color="000000" w:sz="6" w:space="0"/>
                  </w:tcBorders>
                  <w:shd w:val="clear"/>
                  <w:tcMar>
                    <w:left w:w="105" w:type="dxa"/>
                    <w:right w:w="105" w:type="dxa"/>
                  </w:tcMar>
                  <w:vAlign w:val="center"/>
                </w:tcPr>
                <w:p w14:paraId="6358707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1400*1500*2400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2DAB135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台</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0800F26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5F3EF17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178100.00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61CD67F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178100.00</w:t>
                  </w:r>
                </w:p>
              </w:tc>
              <w:tc>
                <w:tcPr>
                  <w:tcW w:w="5925" w:type="dxa"/>
                  <w:tcBorders>
                    <w:top w:val="nil"/>
                    <w:left w:val="nil"/>
                    <w:bottom w:val="single" w:color="000000" w:sz="6" w:space="0"/>
                    <w:right w:val="single" w:color="000000" w:sz="6" w:space="0"/>
                  </w:tcBorders>
                  <w:shd w:val="clear"/>
                  <w:tcMar>
                    <w:left w:w="105" w:type="dxa"/>
                    <w:right w:w="105" w:type="dxa"/>
                  </w:tcMar>
                  <w:vAlign w:val="center"/>
                </w:tcPr>
                <w:p w14:paraId="6C5D3AD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5" w:afterAutospacing="0" w:line="480" w:lineRule="atLeast"/>
                    <w:ind w:left="0" w:right="0" w:firstLine="420"/>
                    <w:jc w:val="both"/>
                    <w:rPr>
                      <w:sz w:val="24"/>
                      <w:szCs w:val="24"/>
                    </w:rPr>
                  </w:pPr>
                  <w:r>
                    <w:rPr>
                      <w:rFonts w:hint="eastAsia" w:ascii="宋体" w:hAnsi="宋体" w:eastAsia="宋体" w:cs="宋体"/>
                      <w:color w:val="000000"/>
                      <w:kern w:val="0"/>
                      <w:sz w:val="24"/>
                      <w:szCs w:val="24"/>
                      <w:bdr w:val="none" w:color="auto" w:sz="0" w:space="0"/>
                      <w:lang w:val="en-US" w:eastAsia="zh-CN" w:bidi="ar"/>
                    </w:rPr>
                    <w:t>★1.载重(kg)：≥1050；速度(m/s)：1.0；层/站/门：4/4/4；停靠层站：1~4F；层高：以现场实际测量为准；井道尺寸：2300mm*2600mm；顶站高度：4600mm；底坑深度：≥1600mm；轿厢内部尺寸（宽*深*高）：1400mm×1650mm*2400mm；开门型式及宽度：中分门900mm×高2100mm；控制方式：微机控制全集选；操纵方式：VVVF；电梯运行方式：单梯；轿箱通风：轴流风机；轿厢照明：LED光源；轿门围壁材料：发纹不锈钢；小门套装潢：每层发纹不锈钢；地板：防滑花纹不锈钢；候梯厅指示器：按照数字式轿厢位置和运行方向显示；面板：发纹不锈钢、金属按钮。</w:t>
                  </w:r>
                </w:p>
                <w:p w14:paraId="548D368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5" w:afterAutospacing="0" w:line="480" w:lineRule="atLeast"/>
                    <w:ind w:left="0" w:right="0" w:firstLine="420"/>
                    <w:jc w:val="both"/>
                    <w:rPr>
                      <w:sz w:val="24"/>
                      <w:szCs w:val="24"/>
                    </w:rPr>
                  </w:pPr>
                  <w:r>
                    <w:rPr>
                      <w:rFonts w:hint="eastAsia" w:ascii="宋体" w:hAnsi="宋体" w:eastAsia="宋体" w:cs="宋体"/>
                      <w:color w:val="000000"/>
                      <w:kern w:val="0"/>
                      <w:sz w:val="24"/>
                      <w:szCs w:val="24"/>
                      <w:bdr w:val="none" w:color="auto" w:sz="0" w:space="0"/>
                      <w:lang w:val="en-US" w:eastAsia="zh-CN" w:bidi="ar"/>
                    </w:rPr>
                    <w:t>▲2.(1)依据GB/T 4942-2021《旋转电机整体结构的防护等级(IP代码) 分级》曳引机防护等级：≥IP21；(2)曳引机主轴受力安全系数，曳引机按主轴10倍及以上的安全系数设计,曳引机制动器寿命≥2000万次。制动器制动力矩静载试验强度优于标准（《电梯型式试验规则》（TSG T7007-2022）H6.3.9）。曳引机按215%额定载荷制动力矩设计，测试时间达到60分钟，曳引机实测温升低于50K，曳引机实测温升在51K至60K。曳引机能效等级一级。依据《电梯型式试验规则》(TSG T7007-2016、TSG T7007-2022)标准；(3)制动器线圈耐压试验，导电部分对地间施加1000V，历时1min,不得有击穿现象。(4)制动器试验总次数不低于2600万次，次数：0~1500万次周期:动作周期：2.5s打开，2.5s 关闭；次数：1500万~2600万次；动作周期：3s打开，2s 关闭，判定合格。(5)依据“《电梯型式试验规则》（TSG T7007-2022）、 GB/T 7588.1-2020、 GB/T 7588.2-2020”技术要求且对电梯轿门锁试验：≥700万次后，机械部件状态良好；(6)依据“《电梯型式试验规则》（TSG T7007-2016）技术要求且对电梯层门锁试验：≥800万次后，机械部件良好。(7)门机开、关门噪音≤56 dB(A)，且通过</w:t>
                  </w:r>
                  <w:r>
                    <w:rPr>
                      <w:rFonts w:hint="eastAsia" w:ascii="宋体" w:hAnsi="宋体" w:eastAsia="宋体" w:cs="宋体"/>
                      <w:kern w:val="0"/>
                      <w:sz w:val="24"/>
                      <w:szCs w:val="24"/>
                      <w:bdr w:val="none" w:color="auto" w:sz="0" w:space="0"/>
                      <w:lang w:val="en-US" w:eastAsia="zh-CN" w:bidi="ar"/>
                    </w:rPr>
                    <w:t>1600万次以上的可靠性测试。（需提供具有CMA或CNAS标识的检测报告复印件并加盖厂家公章）</w:t>
                  </w:r>
                </w:p>
                <w:p w14:paraId="4A2800B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5" w:afterAutospacing="0" w:line="480" w:lineRule="atLeast"/>
                    <w:ind w:left="0" w:right="0" w:firstLine="420"/>
                    <w:jc w:val="both"/>
                    <w:rPr>
                      <w:sz w:val="24"/>
                      <w:szCs w:val="24"/>
                    </w:rPr>
                  </w:pPr>
                  <w:r>
                    <w:rPr>
                      <w:rFonts w:hint="eastAsia" w:ascii="宋体" w:hAnsi="宋体" w:eastAsia="宋体" w:cs="宋体"/>
                      <w:color w:val="000000"/>
                      <w:kern w:val="0"/>
                      <w:sz w:val="24"/>
                      <w:szCs w:val="24"/>
                      <w:bdr w:val="none" w:color="auto" w:sz="0" w:space="0"/>
                      <w:lang w:val="en-US" w:eastAsia="zh-CN" w:bidi="ar"/>
                    </w:rPr>
                    <w:t>★3.曳引机、控制柜、限速器、安全钳、缓冲器、门机需与投标电梯为同厂同品牌 。</w:t>
                  </w:r>
                </w:p>
                <w:p w14:paraId="112EA13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5" w:afterAutospacing="0" w:line="480" w:lineRule="atLeast"/>
                    <w:ind w:left="0" w:right="0" w:firstLine="420"/>
                    <w:jc w:val="both"/>
                    <w:rPr>
                      <w:sz w:val="24"/>
                      <w:szCs w:val="24"/>
                    </w:rPr>
                  </w:pPr>
                  <w:r>
                    <w:rPr>
                      <w:rFonts w:hint="eastAsia" w:ascii="宋体" w:hAnsi="宋体" w:eastAsia="宋体" w:cs="宋体"/>
                      <w:color w:val="000000"/>
                      <w:kern w:val="0"/>
                      <w:sz w:val="24"/>
                      <w:szCs w:val="24"/>
                      <w:bdr w:val="none" w:color="auto" w:sz="0" w:space="0"/>
                      <w:lang w:val="en-US" w:eastAsia="zh-CN" w:bidi="ar"/>
                    </w:rPr>
                    <w:t>▲4.（1）依据GB/T 4208-2017《外壳防护等级（IP代码）》 控制柜供电电压在三相AC380V±20%的情况下运行，电梯无故障，（2）控制柜壳防护等级：≥IP55；依据GB/T 12350-2009。（3）光幕为原厂原品牌且光幕外壳防护等级达到IP65及光束达到190束。（需提供具有CMA或CNAS标识的检测报告复印件并加盖厂家公章）</w:t>
                  </w:r>
                </w:p>
                <w:p w14:paraId="5101C19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5" w:afterAutospacing="0" w:line="480" w:lineRule="atLeast"/>
                    <w:ind w:left="0" w:right="0" w:firstLine="420"/>
                    <w:jc w:val="both"/>
                    <w:rPr>
                      <w:sz w:val="24"/>
                      <w:szCs w:val="24"/>
                    </w:rPr>
                  </w:pPr>
                  <w:r>
                    <w:rPr>
                      <w:rFonts w:hint="eastAsia" w:ascii="宋体" w:hAnsi="宋体" w:eastAsia="宋体" w:cs="宋体"/>
                      <w:color w:val="000000"/>
                      <w:kern w:val="0"/>
                      <w:sz w:val="24"/>
                      <w:szCs w:val="24"/>
                      <w:bdr w:val="none" w:color="auto" w:sz="0" w:space="0"/>
                      <w:lang w:val="en-US" w:eastAsia="zh-CN" w:bidi="ar"/>
                    </w:rPr>
                    <w:t>5.厅门防撞装置：每层厅门的左、右两侧，在外呼盒位置高度至地板处，外墙部分及厅门内侧部分分别用发纹不锈钢做成防撞装置处，外墙部分及厅门内侧部分分别用发纹不锈钢做成防撞装置。</w:t>
                  </w:r>
                </w:p>
                <w:p w14:paraId="424B2B9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5" w:afterAutospacing="0" w:line="480" w:lineRule="atLeast"/>
                    <w:ind w:left="0" w:right="0" w:firstLine="420"/>
                    <w:jc w:val="both"/>
                    <w:rPr>
                      <w:sz w:val="24"/>
                      <w:szCs w:val="24"/>
                    </w:rPr>
                  </w:pPr>
                  <w:r>
                    <w:rPr>
                      <w:rFonts w:hint="eastAsia" w:ascii="宋体" w:hAnsi="宋体" w:eastAsia="宋体" w:cs="宋体"/>
                      <w:color w:val="000000"/>
                      <w:kern w:val="0"/>
                      <w:sz w:val="24"/>
                      <w:szCs w:val="24"/>
                      <w:bdr w:val="none" w:color="auto" w:sz="0" w:space="0"/>
                      <w:lang w:val="en-US" w:eastAsia="zh-CN" w:bidi="ar"/>
                    </w:rPr>
                    <w:t>6.旧梯拆除及土建等要求：原有电梯处理方式为由中标单位负责拆除，旧电梯交由业主处理；拆除原有电梯曳引机机架工字钢承重墩，拆除机房墙体中原有承重工字钢，拆除限速器原有土建围挡，根据电梯安装需要在楼层板重新开孔，并制作围挡（曳引钢丝绳孔、限速器钢丝绳孔、随行电缆孔等），对机房楼层板上原有孔洞（不需要的）采用混凝土进行回填，对机房墙体上因原有电梯部件拆除产生的孔洞进行回填，机房门、窗、灯按电梯安装规范进行符合性整改，拆除其他层厅门门套，电梯安装完毕后按原样恢复，根据新安装电梯外呼盒尺寸对原有呼梯盒孔进行修改，拆除原有电梯厅门地坎，如地面石材损坏，按原样恢复，拆除原有电梯轿厢缓冲器、对重缓冲器承重墩，根据电梯安装要求制作导轨支撑座，根据电梯安装要求制作轿厢缓冲器、对重缓冲器承重墩（混凝土）；无机房电梯，现场实际踏勘，土建有不符合现行验收标准的，由投标人自行处理。不组织踏勘，由投标人自行评估风险，并将土建整改因素折算进报价成本中。拆除之后的旧电梯交由业主另行处理，中标单位按业主要求拆除及搬运至业主指定地点（学校校区内）。</w:t>
                  </w:r>
                </w:p>
                <w:p w14:paraId="5497C12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kern w:val="0"/>
                      <w:sz w:val="24"/>
                      <w:szCs w:val="24"/>
                      <w:bdr w:val="none" w:color="auto" w:sz="0" w:space="0"/>
                      <w:lang w:val="en-US" w:eastAsia="zh-CN" w:bidi="ar"/>
                    </w:rPr>
                    <w:t>7.功能：本层同向外呼再开门、集选控制、满载直驶、梯门未开则自动开往下一层、防捣乱功能（空载时，内呼登记限制）、防捣乱功能（端站停层取消内呼）、防捣乱功能（反向内呼自动消除）、基站开门等待时间可调、门机速度及力矩可调、再平层、轿厢照明、风扇节能运行功能、启动补偿功能、故障时就近平层（如，马达过温故障、楼层位置错误）、火灾应急返回、报警和对讲功能、轿内应急照明、超载保护、门锁故障重复关门、门受阻保护、光幕、锁梯（钥匙开关）、缺相及错相保护、控制柜可锁主开关、紧急电动运行、检修操作（轿顶）、检修操作（底坑）、曳引机温度监控、曳引机空转保护功能、火灾应急返回信号预留、轿厢意外移动保护、限制轿内人员开启轿门装置、制动力矩检测功能、门锁安全装置的失效检测、应急电动松闸功能、门锁旁路功能、剩余电流动作保护功能、自动门、集选错误信号、运行计时计数、关门按钮、开门按钮、误指令消除（双击取消）、外召白色 LED 显示、轿内白色 LED 显示、语音安抚功能、对讲系统、停电应急平层，配置手机端及网页端的监控（实现实时查看电梯的运行状态、电梯所在楼层、方向、开关门状态、运行次数、距离、时间、各楼层停靠次数、查看近 3 个月内事件履历）。</w:t>
                  </w:r>
                </w:p>
              </w:tc>
            </w:tr>
            <w:tr w14:paraId="17D8F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3B08C8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35</w:t>
                  </w:r>
                </w:p>
              </w:tc>
              <w:tc>
                <w:tcPr>
                  <w:tcW w:w="690" w:type="dxa"/>
                  <w:tcBorders>
                    <w:top w:val="nil"/>
                    <w:left w:val="nil"/>
                    <w:bottom w:val="single" w:color="000000" w:sz="6" w:space="0"/>
                    <w:right w:val="single" w:color="000000" w:sz="6" w:space="0"/>
                  </w:tcBorders>
                  <w:shd w:val="clear"/>
                  <w:tcMar>
                    <w:left w:w="105" w:type="dxa"/>
                    <w:right w:w="105" w:type="dxa"/>
                  </w:tcMar>
                  <w:vAlign w:val="center"/>
                </w:tcPr>
                <w:p w14:paraId="27F42B5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3#有机房客梯</w:t>
                  </w:r>
                </w:p>
              </w:tc>
              <w:tc>
                <w:tcPr>
                  <w:tcW w:w="225" w:type="dxa"/>
                  <w:gridSpan w:val="2"/>
                  <w:tcBorders>
                    <w:top w:val="nil"/>
                    <w:left w:val="nil"/>
                    <w:bottom w:val="single" w:color="000000" w:sz="6" w:space="0"/>
                    <w:right w:val="single" w:color="000000" w:sz="6" w:space="0"/>
                  </w:tcBorders>
                  <w:shd w:val="clear"/>
                  <w:tcMar>
                    <w:left w:w="105" w:type="dxa"/>
                    <w:right w:w="105" w:type="dxa"/>
                  </w:tcMar>
                  <w:vAlign w:val="center"/>
                </w:tcPr>
                <w:p w14:paraId="6B2E7E6F">
                  <w:pPr>
                    <w:rPr>
                      <w:rFonts w:hint="eastAsia" w:ascii="宋体"/>
                      <w:sz w:val="24"/>
                      <w:szCs w:val="24"/>
                    </w:rPr>
                  </w:pPr>
                </w:p>
              </w:tc>
              <w:tc>
                <w:tcPr>
                  <w:tcW w:w="1755" w:type="dxa"/>
                  <w:gridSpan w:val="3"/>
                  <w:tcBorders>
                    <w:top w:val="nil"/>
                    <w:left w:val="nil"/>
                    <w:bottom w:val="single" w:color="000000" w:sz="6" w:space="0"/>
                    <w:right w:val="single" w:color="000000" w:sz="6" w:space="0"/>
                  </w:tcBorders>
                  <w:shd w:val="clear"/>
                  <w:tcMar>
                    <w:left w:w="105" w:type="dxa"/>
                    <w:right w:w="105" w:type="dxa"/>
                  </w:tcMar>
                  <w:vAlign w:val="center"/>
                </w:tcPr>
                <w:p w14:paraId="3A2AD67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敬惜楼食堂</w:t>
                  </w:r>
                </w:p>
              </w:tc>
              <w:tc>
                <w:tcPr>
                  <w:tcW w:w="675" w:type="dxa"/>
                  <w:tcBorders>
                    <w:top w:val="nil"/>
                    <w:left w:val="nil"/>
                    <w:bottom w:val="single" w:color="000000" w:sz="6" w:space="0"/>
                    <w:right w:val="single" w:color="000000" w:sz="6" w:space="0"/>
                  </w:tcBorders>
                  <w:shd w:val="clear"/>
                  <w:tcMar>
                    <w:left w:w="105" w:type="dxa"/>
                    <w:right w:w="105" w:type="dxa"/>
                  </w:tcMar>
                  <w:vAlign w:val="center"/>
                </w:tcPr>
                <w:p w14:paraId="2D01EFE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1400*1650*2400</w:t>
                  </w:r>
                </w:p>
              </w:tc>
              <w:tc>
                <w:tcPr>
                  <w:tcW w:w="585" w:type="dxa"/>
                  <w:tcBorders>
                    <w:top w:val="nil"/>
                    <w:left w:val="nil"/>
                    <w:bottom w:val="single" w:color="000000" w:sz="6" w:space="0"/>
                    <w:right w:val="single" w:color="000000" w:sz="6" w:space="0"/>
                  </w:tcBorders>
                  <w:shd w:val="clear"/>
                  <w:tcMar>
                    <w:left w:w="105" w:type="dxa"/>
                    <w:right w:w="105" w:type="dxa"/>
                  </w:tcMar>
                  <w:vAlign w:val="center"/>
                </w:tcPr>
                <w:p w14:paraId="4C75A87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台</w:t>
                  </w: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259359B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w:t>
                  </w:r>
                </w:p>
              </w:tc>
              <w:tc>
                <w:tcPr>
                  <w:tcW w:w="975" w:type="dxa"/>
                  <w:tcBorders>
                    <w:top w:val="nil"/>
                    <w:left w:val="nil"/>
                    <w:bottom w:val="single" w:color="000000" w:sz="6" w:space="0"/>
                    <w:right w:val="single" w:color="000000" w:sz="6" w:space="0"/>
                  </w:tcBorders>
                  <w:shd w:val="clear"/>
                  <w:tcMar>
                    <w:left w:w="105" w:type="dxa"/>
                    <w:right w:w="105" w:type="dxa"/>
                  </w:tcMar>
                  <w:vAlign w:val="center"/>
                </w:tcPr>
                <w:p w14:paraId="5414D69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179133.00</w:t>
                  </w:r>
                </w:p>
              </w:tc>
              <w:tc>
                <w:tcPr>
                  <w:tcW w:w="1035" w:type="dxa"/>
                  <w:tcBorders>
                    <w:top w:val="nil"/>
                    <w:left w:val="nil"/>
                    <w:bottom w:val="single" w:color="000000" w:sz="6" w:space="0"/>
                    <w:right w:val="single" w:color="000000" w:sz="6" w:space="0"/>
                  </w:tcBorders>
                  <w:shd w:val="clear"/>
                  <w:tcMar>
                    <w:left w:w="105" w:type="dxa"/>
                    <w:right w:w="105" w:type="dxa"/>
                  </w:tcMar>
                  <w:vAlign w:val="center"/>
                </w:tcPr>
                <w:p w14:paraId="74D870F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179133.00</w:t>
                  </w:r>
                </w:p>
              </w:tc>
              <w:tc>
                <w:tcPr>
                  <w:tcW w:w="5925" w:type="dxa"/>
                  <w:tcBorders>
                    <w:top w:val="nil"/>
                    <w:left w:val="nil"/>
                    <w:bottom w:val="single" w:color="000000" w:sz="6" w:space="0"/>
                    <w:right w:val="single" w:color="000000" w:sz="6" w:space="0"/>
                  </w:tcBorders>
                  <w:shd w:val="clear"/>
                  <w:tcMar>
                    <w:left w:w="105" w:type="dxa"/>
                    <w:right w:w="105" w:type="dxa"/>
                  </w:tcMar>
                  <w:vAlign w:val="center"/>
                </w:tcPr>
                <w:p w14:paraId="20BC3CB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5" w:afterAutospacing="0" w:line="480" w:lineRule="atLeast"/>
                    <w:ind w:left="0" w:right="0" w:firstLine="420"/>
                    <w:jc w:val="both"/>
                    <w:rPr>
                      <w:sz w:val="24"/>
                      <w:szCs w:val="24"/>
                    </w:rPr>
                  </w:pPr>
                  <w:r>
                    <w:rPr>
                      <w:rFonts w:hint="eastAsia" w:ascii="宋体" w:hAnsi="宋体" w:eastAsia="宋体" w:cs="宋体"/>
                      <w:color w:val="000000"/>
                      <w:kern w:val="0"/>
                      <w:sz w:val="24"/>
                      <w:szCs w:val="24"/>
                      <w:bdr w:val="none" w:color="auto" w:sz="0" w:space="0"/>
                      <w:lang w:val="en-US" w:eastAsia="zh-CN" w:bidi="ar"/>
                    </w:rPr>
                    <w:t>★1.载重(kg)：≥1050；速度(m/s)：1.0；层/站/门：4/4/4；停靠层站：1~4F；层高：以现场实际测量为准；井道尺寸：2300mm*2600mm；顶站高度：4600mm；底坑深度：≥1600mm；轿厢内部尺寸（宽*深*高）：1400mm×1650mm*2400mm；开门型式及宽度：中分门900mm×高2100mm；控制方式：微机控制全集选；操纵方式：VVVF；电梯运行方式：单梯；轿箱通风：轴流风机；轿厢照明：LED光源；轿门围壁材料：发纹不锈钢；小门套装潢：每层发纹不锈钢；地板：防滑花纹不锈钢；候梯厅指示器：按照数字式轿厢位置和运行方向显示；面板：发纹不锈钢、金属按钮。</w:t>
                  </w:r>
                </w:p>
                <w:p w14:paraId="76EB11E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5" w:afterAutospacing="0" w:line="480" w:lineRule="atLeast"/>
                    <w:ind w:left="0" w:right="0" w:firstLine="420"/>
                    <w:jc w:val="both"/>
                    <w:rPr>
                      <w:sz w:val="24"/>
                      <w:szCs w:val="24"/>
                    </w:rPr>
                  </w:pPr>
                  <w:r>
                    <w:rPr>
                      <w:rFonts w:hint="eastAsia" w:ascii="宋体" w:hAnsi="宋体" w:eastAsia="宋体" w:cs="宋体"/>
                      <w:color w:val="000000"/>
                      <w:kern w:val="0"/>
                      <w:sz w:val="24"/>
                      <w:szCs w:val="24"/>
                      <w:bdr w:val="none" w:color="auto" w:sz="0" w:space="0"/>
                      <w:lang w:val="en-US" w:eastAsia="zh-CN" w:bidi="ar"/>
                    </w:rPr>
                    <w:t>▲2.（1）依据GB/T 4942-2021《旋转电机整体结构的防护等级(IP代码) 分级》曳引机防护等级：≥IP21；（2）曳引机主轴受力安全系数，曳引机按主轴10倍及以上的安全系数设计,曳引机制动器寿命≥2000万次。制动器制动力矩静载试验强度优于标准（《电梯型式试验规则》（TSG T7007-2022）H6.3.9）。曳引机按215%额定载荷制动力矩设计，测试时间达到60分钟，曳引机实测温升低于50K，曳引机实测温升在51K至60K。曳引机能效等级一级。依据《电梯型式试验规则》(TSG T7007-2016、TSG T7007-2022)标准；（3）制动器线圈耐压试验，导电部分对地间施加1000V，历时1min,不得有击穿现象。（4）制动器试验总次数不低于2600万次，次数：0~1500万次周期:动作周期：2.5s打开，2.5s 关闭；次数：1500万~2600万次；动作周期：3s打开，2s 关闭，判定合格。（5）依据“《电梯型式试验规则》（TSG T7007-2022）、 GB/T 7588.1-2020、 GB/T 7588.2-2020”技术要求且对电梯轿门锁试验：≥700万次后，机械部件状态良好；（6）依据“《电梯型式试验规则》（TSG T7007-2016）技术要求且对电梯层门锁试验：≥800万次后，机械部件良好。（7）门机开、关门噪音≤56 dB(A)，且通过1600万次以上的可靠性测试。（需提供具有CMA或CNAS标识的检测报告复印件并加盖厂家公章）</w:t>
                  </w:r>
                </w:p>
                <w:p w14:paraId="403514F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5" w:afterAutospacing="0" w:line="480" w:lineRule="atLeast"/>
                    <w:ind w:left="0" w:right="0" w:firstLine="420"/>
                    <w:jc w:val="both"/>
                    <w:rPr>
                      <w:sz w:val="24"/>
                      <w:szCs w:val="24"/>
                    </w:rPr>
                  </w:pPr>
                  <w:r>
                    <w:rPr>
                      <w:rFonts w:hint="eastAsia" w:ascii="宋体" w:hAnsi="宋体" w:eastAsia="宋体" w:cs="宋体"/>
                      <w:color w:val="000000"/>
                      <w:kern w:val="0"/>
                      <w:sz w:val="24"/>
                      <w:szCs w:val="24"/>
                      <w:bdr w:val="none" w:color="auto" w:sz="0" w:space="0"/>
                      <w:lang w:val="en-US" w:eastAsia="zh-CN" w:bidi="ar"/>
                    </w:rPr>
                    <w:t>★3.曳引机、控制柜、限速器、安全钳、缓冲器、门机与投标电梯为同厂同品牌 。</w:t>
                  </w:r>
                </w:p>
                <w:p w14:paraId="6AA33F2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5" w:afterAutospacing="0" w:line="480" w:lineRule="atLeast"/>
                    <w:ind w:left="0" w:right="0" w:firstLine="420"/>
                    <w:jc w:val="both"/>
                    <w:rPr>
                      <w:sz w:val="24"/>
                      <w:szCs w:val="24"/>
                    </w:rPr>
                  </w:pPr>
                  <w:r>
                    <w:rPr>
                      <w:rFonts w:hint="eastAsia" w:ascii="宋体" w:hAnsi="宋体" w:eastAsia="宋体" w:cs="宋体"/>
                      <w:color w:val="000000"/>
                      <w:kern w:val="0"/>
                      <w:sz w:val="24"/>
                      <w:szCs w:val="24"/>
                      <w:bdr w:val="none" w:color="auto" w:sz="0" w:space="0"/>
                      <w:lang w:val="en-US" w:eastAsia="zh-CN" w:bidi="ar"/>
                    </w:rPr>
                    <w:t>▲4.（1）依据GB/T 4208-2017《外壳防护等级（IP代码）》 控制柜供电电压在三相AC380V±20%的情况下运行，电梯无故障，（2）控制柜壳防护等级：≥IP55；依据GB/T 12350-2009。（3）光幕为原厂原品牌且光幕外壳防护等级达到IP65及光束达到190束。（需提供具有CMA或CNAS标识的检测报告复印件并加盖厂家公章）</w:t>
                  </w:r>
                </w:p>
                <w:p w14:paraId="20F0895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5" w:afterAutospacing="0" w:line="480" w:lineRule="atLeast"/>
                    <w:ind w:left="0" w:right="0" w:firstLine="420"/>
                    <w:jc w:val="both"/>
                    <w:rPr>
                      <w:sz w:val="24"/>
                      <w:szCs w:val="24"/>
                    </w:rPr>
                  </w:pPr>
                  <w:r>
                    <w:rPr>
                      <w:rFonts w:hint="eastAsia" w:ascii="宋体" w:hAnsi="宋体" w:eastAsia="宋体" w:cs="宋体"/>
                      <w:color w:val="000000"/>
                      <w:kern w:val="0"/>
                      <w:sz w:val="24"/>
                      <w:szCs w:val="24"/>
                      <w:bdr w:val="none" w:color="auto" w:sz="0" w:space="0"/>
                      <w:lang w:val="en-US" w:eastAsia="zh-CN" w:bidi="ar"/>
                    </w:rPr>
                    <w:t>5.厅门防撞装置：每层厅门的左、右两侧，在外呼盒位置高度至地板处，外墙部分及厅门内侧部分分别用发纹不锈钢做成防撞装置处，外墙部分及厅门内侧部分分别用发纹不锈钢做成防撞装置。</w:t>
                  </w:r>
                </w:p>
                <w:p w14:paraId="3952CA8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5" w:afterAutospacing="0" w:line="480" w:lineRule="atLeast"/>
                    <w:ind w:left="0" w:right="0" w:firstLine="420"/>
                    <w:jc w:val="both"/>
                    <w:rPr>
                      <w:sz w:val="24"/>
                      <w:szCs w:val="24"/>
                    </w:rPr>
                  </w:pPr>
                  <w:r>
                    <w:rPr>
                      <w:rFonts w:hint="eastAsia" w:ascii="宋体" w:hAnsi="宋体" w:eastAsia="宋体" w:cs="宋体"/>
                      <w:color w:val="000000"/>
                      <w:kern w:val="0"/>
                      <w:sz w:val="24"/>
                      <w:szCs w:val="24"/>
                      <w:bdr w:val="none" w:color="auto" w:sz="0" w:space="0"/>
                      <w:lang w:val="en-US" w:eastAsia="zh-CN" w:bidi="ar"/>
                    </w:rPr>
                    <w:t>6.旧梯拆除及土建等要求：原有电梯处理方式为由中标单位负责拆除，旧电梯交由业主处理；拆除原有电梯曳引机机架工字钢承重墩，拆除机房墙体中原有承重工字钢，拆除限速器原有土建围挡，根据电梯安装需要在楼层板重新开孔，并制作围挡（曳引钢丝绳孔、限速器钢丝绳孔、随行电缆孔等），对机房楼层板上原有孔洞（不需要的）采用混凝土进行回填，对机房墙体上因原有电梯部件拆除产生的孔洞进行回填，机房门、窗、灯按电梯安装规范进行符合性整改，拆除其他层厅门门套，电梯安装完毕后按原样恢复，根据新安装电梯外呼盒尺寸对原有呼梯盒孔进行修改，拆除原有电梯厅门地坎，如地面石材损坏，按原样恢复，拆除原有电梯轿厢缓冲器、对重缓冲器承重墩，根据电梯安装要求制作导轨支撑座，根据电梯安装要求制作轿厢缓冲器、对重缓冲器承重墩（混凝土）；无机房电梯，现场实际踏勘，土建有不符合现行验收标准的，由投标人自行处理。不组织踏勘，由投标人自行评估风险，并将土建整改因素折算进报价成本中。拆除之后的旧电梯交由业主另行处理，中标单位按业主要求拆除及搬运至业主指定地点（学校校区内）。</w:t>
                  </w:r>
                </w:p>
                <w:p w14:paraId="4C1F67F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kern w:val="0"/>
                      <w:sz w:val="24"/>
                      <w:szCs w:val="24"/>
                      <w:bdr w:val="none" w:color="auto" w:sz="0" w:space="0"/>
                      <w:lang w:val="en-US" w:eastAsia="zh-CN" w:bidi="ar"/>
                    </w:rPr>
                    <w:t>7.功能：本层同向外呼再开门、集选控制、满载直驶、梯门未开则自动开往下一层、防捣乱功能（空载时，内呼登记限制）、防捣乱功能（端站停层取消内呼）、防捣乱功能（反向内呼自动消除）、基站开门等待时间可调、门机速度及力矩可调、再平层、轿厢照明、风扇节能运行功能、启动补偿功能、故障时就近平层（如，马达过温故障、楼层位置错误）、火灾应急返回、报警和对讲功能、轿内应急照明、超载保护、门锁故障重复关门、门受阻保护、光幕、锁梯（钥匙开关）、缺相及错相保护、控制柜可锁主开关、紧急电动运行、检修操作（轿顶）、检修操作（底坑）、曳引机温度监控、曳引机空转保护功能、火灾应急返回信号预留、轿厢意外移动保护、限制轿内人员开启轿门装置、制动力矩检测功能、门锁安全装置的失效检测、应急电动松闸功能、门锁旁路功能、剩余电流动作保护功能、自动门、集选错误信号、运行计时计数、关门按钮、开门按钮、误指令消除（双击取消）、外召白色 LED 显示、轿内白色 LED 显示、语音安抚功能、对讲系统、停电应急平层，配置手机端及网页端的监控（实现实时查看电梯的运行状态、电梯所在楼层、方向、开关门状态、运行次数、距离、时间、各楼层停靠次数、查看近 3 个月内事件履历）。</w:t>
                  </w:r>
                </w:p>
              </w:tc>
            </w:tr>
            <w:tr w14:paraId="1169F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2535" w:type="dxa"/>
                  <w:gridSpan w:val="6"/>
                  <w:tcBorders>
                    <w:top w:val="nil"/>
                    <w:left w:val="single" w:color="000000" w:sz="6" w:space="0"/>
                    <w:bottom w:val="single" w:color="000000" w:sz="6" w:space="0"/>
                    <w:right w:val="single" w:color="000000" w:sz="6" w:space="0"/>
                  </w:tcBorders>
                  <w:shd w:val="clear"/>
                  <w:tcMar>
                    <w:left w:w="105" w:type="dxa"/>
                    <w:right w:w="105" w:type="dxa"/>
                  </w:tcMar>
                  <w:vAlign w:val="center"/>
                </w:tcPr>
                <w:p w14:paraId="2379407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项目控制价（元）：</w:t>
                  </w:r>
                </w:p>
              </w:tc>
              <w:tc>
                <w:tcPr>
                  <w:tcW w:w="5430" w:type="dxa"/>
                  <w:gridSpan w:val="6"/>
                  <w:tcBorders>
                    <w:top w:val="nil"/>
                    <w:left w:val="nil"/>
                    <w:bottom w:val="single" w:color="000000" w:sz="6" w:space="0"/>
                    <w:right w:val="single" w:color="000000" w:sz="6" w:space="0"/>
                  </w:tcBorders>
                  <w:shd w:val="clear"/>
                  <w:tcMar>
                    <w:left w:w="105" w:type="dxa"/>
                    <w:right w:w="105" w:type="dxa"/>
                  </w:tcMar>
                  <w:vAlign w:val="center"/>
                </w:tcPr>
                <w:p w14:paraId="70AE53C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2409566.70</w:t>
                  </w:r>
                </w:p>
              </w:tc>
              <w:tc>
                <w:tcPr>
                  <w:tcW w:w="5925" w:type="dxa"/>
                  <w:tcBorders>
                    <w:top w:val="nil"/>
                    <w:left w:val="nil"/>
                    <w:bottom w:val="single" w:color="000000" w:sz="6" w:space="0"/>
                    <w:right w:val="single" w:color="000000" w:sz="6" w:space="0"/>
                  </w:tcBorders>
                  <w:shd w:val="clear"/>
                  <w:tcMar>
                    <w:left w:w="105" w:type="dxa"/>
                    <w:right w:w="105" w:type="dxa"/>
                  </w:tcMar>
                  <w:vAlign w:val="center"/>
                </w:tcPr>
                <w:p w14:paraId="74751D1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color w:val="000000"/>
                      <w:sz w:val="24"/>
                      <w:szCs w:val="24"/>
                      <w:bdr w:val="none" w:color="auto" w:sz="0" w:space="0"/>
                    </w:rPr>
                    <w:t>大写：贰佰肆拾万玖仟伍佰陆拾陆元柒角整</w:t>
                  </w:r>
                </w:p>
              </w:tc>
            </w:tr>
          </w:tbl>
          <w:p w14:paraId="031CF22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宋体" w:hAnsi="宋体" w:eastAsia="宋体" w:cs="宋体"/>
                <w:kern w:val="0"/>
                <w:sz w:val="24"/>
                <w:szCs w:val="24"/>
                <w:bdr w:val="none" w:color="auto" w:sz="0" w:space="0"/>
                <w:lang w:val="en-US" w:eastAsia="zh-CN" w:bidi="ar"/>
              </w:rPr>
              <w:t>注：1、若是涉及的标准过期或是废止，按最新标准执行。</w:t>
            </w:r>
          </w:p>
          <w:p w14:paraId="3484EA7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left"/>
              <w:rPr>
                <w:sz w:val="24"/>
                <w:szCs w:val="24"/>
              </w:rPr>
            </w:pPr>
            <w:r>
              <w:rPr>
                <w:rFonts w:hint="eastAsia" w:ascii="宋体" w:hAnsi="宋体" w:eastAsia="宋体" w:cs="宋体"/>
                <w:kern w:val="0"/>
                <w:sz w:val="24"/>
                <w:szCs w:val="24"/>
                <w:bdr w:val="none" w:color="auto" w:sz="0" w:space="0"/>
                <w:lang w:val="en-US" w:eastAsia="zh-CN" w:bidi="ar"/>
              </w:rPr>
              <w:t>2、项目所涉及到的国家标准或行业标准若有最新标准按最新标准执行。</w:t>
            </w:r>
          </w:p>
          <w:p w14:paraId="154DE7E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宋体" w:hAnsi="宋体" w:eastAsia="宋体" w:cs="宋体"/>
                <w:sz w:val="24"/>
                <w:szCs w:val="24"/>
                <w:bdr w:val="none" w:color="auto" w:sz="0" w:space="0"/>
              </w:rPr>
              <w:t>★</w:t>
            </w:r>
            <w:r>
              <w:rPr>
                <w:rStyle w:val="13"/>
                <w:rFonts w:hint="eastAsia" w:ascii="宋体" w:hAnsi="宋体" w:eastAsia="宋体" w:cs="宋体"/>
                <w:sz w:val="24"/>
                <w:szCs w:val="24"/>
                <w:bdr w:val="none" w:color="auto" w:sz="0" w:space="0"/>
              </w:rPr>
              <w:t>其他要求：</w:t>
            </w:r>
          </w:p>
          <w:p w14:paraId="4BF5BCC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2"/>
              <w:jc w:val="both"/>
              <w:rPr>
                <w:sz w:val="24"/>
                <w:szCs w:val="24"/>
              </w:rPr>
            </w:pPr>
            <w:r>
              <w:rPr>
                <w:rStyle w:val="13"/>
                <w:rFonts w:hint="eastAsia" w:ascii="宋体" w:hAnsi="宋体" w:eastAsia="宋体" w:cs="宋体"/>
                <w:sz w:val="24"/>
                <w:szCs w:val="24"/>
                <w:bdr w:val="none" w:color="auto" w:sz="0" w:space="0"/>
              </w:rPr>
              <w:t>（1）</w:t>
            </w:r>
            <w:r>
              <w:rPr>
                <w:rFonts w:hint="eastAsia" w:ascii="宋体" w:hAnsi="宋体" w:eastAsia="宋体" w:cs="宋体"/>
                <w:sz w:val="24"/>
                <w:szCs w:val="24"/>
                <w:bdr w:val="none" w:color="auto" w:sz="0" w:space="0"/>
              </w:rPr>
              <w:t> 成交供应商按采购的品种、数量配货，送货到采购人指定地点，并附详细的发货清单和签收单，以便验货核对；所有货物均须由成交供应商送货上门并安装调试，含施工辅材、安装、调试等，采购人不再额外支付任何费用。</w:t>
            </w:r>
          </w:p>
          <w:p w14:paraId="168F514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sz w:val="24"/>
                <w:szCs w:val="24"/>
                <w:bdr w:val="none" w:color="auto" w:sz="0" w:space="0"/>
              </w:rPr>
              <w:t>（2）成交供应商供货的货物应为全新的未开封产品，满足本次采购货物的技术要求，须具有产品合格证；须提供全新的货物（含零部件、配件等），货物在送到采购单位之前表面无划伤、无碰撞等现象，并且安装后能正常使用；若遇配货包装、运输过程中造成的短缺、差错、丢失、损坏等，成交供应商无条件调换、补缺。</w:t>
            </w:r>
          </w:p>
          <w:p w14:paraId="5BF0203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sz w:val="24"/>
                <w:szCs w:val="24"/>
                <w:bdr w:val="none" w:color="auto" w:sz="0" w:space="0"/>
              </w:rPr>
              <w:t>（3）投标人承诺：若中标，采购人有权对中标人所提供的货物随机抽样，送至具备相应检测资质的第三方检测机构进行检测；若检测结果不符合招标文件技术参数及相关标准要求，中标人承诺无条件免费更换为合格产品，并承担全部检测费用、运输费用及由此给采购人造成的一切损失。投标人按要求提供加盖单位公章的承诺函的。</w:t>
            </w:r>
          </w:p>
          <w:p w14:paraId="65BFE83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sz w:val="24"/>
                <w:szCs w:val="24"/>
                <w:bdr w:val="none" w:color="auto" w:sz="0" w:space="0"/>
              </w:rPr>
              <w:t>（4）电梯产品非生产厂家参与投标的，须在投标时提供投标产品生产厂家针对本项目的授权委托书原件。</w:t>
            </w:r>
          </w:p>
          <w:p w14:paraId="3519707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sz w:val="24"/>
                <w:szCs w:val="24"/>
                <w:bdr w:val="none" w:color="auto" w:sz="0" w:space="0"/>
              </w:rPr>
              <w:t>（5）其它未尽事宜由采购人与中标供应商在合同中约定。</w:t>
            </w:r>
          </w:p>
          <w:p w14:paraId="6D271D1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sz w:val="24"/>
                <w:szCs w:val="24"/>
                <w:bdr w:val="none" w:color="auto" w:sz="0" w:space="0"/>
              </w:rPr>
              <w:t>以上所有内容中，★项为实质性参数必须响应，</w:t>
            </w:r>
            <w:r>
              <w:rPr>
                <w:rFonts w:hint="eastAsia" w:ascii="宋体" w:hAnsi="宋体" w:eastAsia="宋体" w:cs="宋体"/>
                <w:color w:val="000000"/>
                <w:sz w:val="24"/>
                <w:szCs w:val="24"/>
                <w:bdr w:val="none" w:color="auto" w:sz="0" w:space="0"/>
              </w:rPr>
              <w:t>▲项为加分项需提供相关证明材料</w:t>
            </w:r>
            <w:r>
              <w:rPr>
                <w:sz w:val="24"/>
                <w:szCs w:val="24"/>
                <w:bdr w:val="none" w:color="auto" w:sz="0" w:space="0"/>
              </w:rPr>
              <w:t> 。</w:t>
            </w:r>
          </w:p>
          <w:p w14:paraId="57FA4B3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sz w:val="24"/>
                <w:szCs w:val="24"/>
                <w:bdr w:val="none" w:color="auto" w:sz="0" w:space="0"/>
              </w:rPr>
              <w:t> </w:t>
            </w:r>
          </w:p>
          <w:p w14:paraId="5BE5B12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sz w:val="24"/>
                <w:szCs w:val="24"/>
                <w:bdr w:val="none" w:color="auto" w:sz="0" w:space="0"/>
              </w:rPr>
              <w:t> </w:t>
            </w:r>
          </w:p>
          <w:p w14:paraId="230B7A4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sz w:val="24"/>
                <w:szCs w:val="24"/>
                <w:bdr w:val="none" w:color="auto" w:sz="0" w:space="0"/>
              </w:rPr>
              <w:t> </w:t>
            </w:r>
          </w:p>
          <w:p w14:paraId="2415B8B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sz w:val="24"/>
                <w:szCs w:val="24"/>
                <w:bdr w:val="none" w:color="auto" w:sz="0" w:space="0"/>
              </w:rPr>
              <w:t> </w:t>
            </w:r>
          </w:p>
          <w:p w14:paraId="6C156DF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sz w:val="24"/>
                <w:szCs w:val="24"/>
                <w:bdr w:val="none" w:color="auto" w:sz="0" w:space="0"/>
              </w:rPr>
              <w:t> </w:t>
            </w:r>
          </w:p>
          <w:p w14:paraId="6E23788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sz w:val="24"/>
                <w:szCs w:val="24"/>
                <w:bdr w:val="none" w:color="auto" w:sz="0" w:space="0"/>
              </w:rPr>
              <w:t> </w:t>
            </w:r>
          </w:p>
        </w:tc>
      </w:tr>
    </w:tbl>
    <w:p w14:paraId="3712DEE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3.3.服务要求</w:t>
      </w:r>
    </w:p>
    <w:p w14:paraId="28ED6FF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3.3.1.服务内容要求</w:t>
      </w:r>
    </w:p>
    <w:p w14:paraId="738BAD7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43"/>
        <w:gridCol w:w="792"/>
        <w:gridCol w:w="1614"/>
        <w:gridCol w:w="5497"/>
      </w:tblGrid>
      <w:tr w14:paraId="454D4C1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84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4CB8D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18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D44ED8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05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C6A54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服务要求名称</w:t>
            </w:r>
          </w:p>
        </w:tc>
        <w:tc>
          <w:tcPr>
            <w:tcW w:w="1189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3273C4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服务要求内容</w:t>
            </w:r>
          </w:p>
        </w:tc>
      </w:tr>
      <w:tr w14:paraId="3289624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AA003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无</w:t>
            </w:r>
          </w:p>
        </w:tc>
      </w:tr>
    </w:tbl>
    <w:p w14:paraId="195AED5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3.3.2.商务要求</w:t>
      </w:r>
    </w:p>
    <w:p w14:paraId="794BC12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44"/>
        <w:gridCol w:w="602"/>
        <w:gridCol w:w="1131"/>
        <w:gridCol w:w="6269"/>
      </w:tblGrid>
      <w:tr w14:paraId="62287A6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84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42010E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18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C9B3C5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05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D55691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商务要求名称</w:t>
            </w:r>
          </w:p>
        </w:tc>
        <w:tc>
          <w:tcPr>
            <w:tcW w:w="1189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E72DF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商务要求内容</w:t>
            </w:r>
          </w:p>
        </w:tc>
      </w:tr>
      <w:tr w14:paraId="1EB022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F646AB7">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A8CC3B">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9CEB7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交货时间</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56A0AE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自合同签订之日起50日</w:t>
            </w:r>
          </w:p>
        </w:tc>
      </w:tr>
      <w:tr w14:paraId="74C5D64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93C92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F9016D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76610F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交货地点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417593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泸州老窖天府中学校内（发包人指定地点）</w:t>
            </w:r>
          </w:p>
        </w:tc>
      </w:tr>
      <w:tr w14:paraId="0F3D430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3CC61DD">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F36D4F">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2A7F76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支付方式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427C5B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分期付款</w:t>
            </w:r>
          </w:p>
        </w:tc>
      </w:tr>
      <w:tr w14:paraId="4DA51F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A6A132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EAE7A46">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FCFE3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付款进度安排</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B45679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1、进度款，完成所有项目内容的配送，并安装调试至可符合项目要求的使用。经验收合格并经项目结算评审后，支付项目结算金额的97%。，达到付款条件起30日内，据实结算说明为按项目结算评审报告按实结算。</w:t>
            </w:r>
          </w:p>
          <w:p w14:paraId="5166483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2、尾款，自项目验收合格后，正常使用期限达30日，支付项目结算评审金额3%。，达到付款条件起30日内，据实结算说明为按结算评审报告按实结算。</w:t>
            </w:r>
          </w:p>
        </w:tc>
      </w:tr>
      <w:tr w14:paraId="39E01DF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FB62B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915ACD">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495C9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验收、交付标准和方法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50C302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参照财政部《关于进一步加强政府采购需求和履约验收管理的指导意见》（财库〔2016〕205号）要求组织验收。</w:t>
            </w:r>
          </w:p>
        </w:tc>
      </w:tr>
      <w:tr w14:paraId="139A210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197C27B">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9C8AAD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42B5C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质量保修范围和保修期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00E86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所投产品油烟机质保期为三年；风柜、灭火装置、电梯等其他项目内所含设备质保期为一年。</w:t>
            </w:r>
          </w:p>
        </w:tc>
      </w:tr>
      <w:tr w14:paraId="72E008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D90E0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7</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288BF2">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21B136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违约责任与解决争议的方法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D32D0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 甲乙双方均应遵守本合同，非因不可抗力而单方面终止执行合同的，将赔偿因违约给对方造成的经济损失，并向对方支付本合同总额10%的违约金。 2.若因乙方原因在合同规定期限内无法交货， 甲方有权终止合同，并取消其中标资格，并由乙方向甲方支付10%的违约金；或经甲、乙双方协商同意继续履行合同，甲方视情况在延迟交货期内每天按合同总额5‰的标准收取违约金。因不可抗力所导致的交货及付款延迟等按照《中华人民共和国民法典》有关条文及本合同第八条处理。 3.乙方交付的货物质量不符合合同规定的，乙方应向甲方支付合同总价的 5%的违约金，并须在合同规定的交货时间内更换合格的货物给甲方，否则，视作乙方不能交付货物而违约，按第本项第2款进行处理。甲方可将乙方货物交具有法定资格条件的质量技术监督机构检测，检测合格检测费由发包人承担，检测不合格检测费由承包人承担。 4.乙方保证本合同货物的权利无瑕疵，包括货物所有权及知识产权等权利无瑕疵。如任何第三方经法院（或仲裁机构）裁决有权对上述货物主张权利或 国家机关依法对货物进行没收查处的，乙方除应向甲方返还已收款项外，还应 另按合同总价的10%向甲方支付违约金并赔偿因此给甲方造成的一切损失。 5.乙方应严格遵守服务承诺，如有违约，将赔偿因服务违约给甲方造成的经济损失。若因乙方未按承诺的响应及到场维修时间进行故障排除， 甲方有权 部分或全部扣除质量保证金；若甲方电话通知乙方，未按承诺时限到场维修， 超过1天未解决问题的，甲方有权动用质量保证金进行故障处理，并凭票扣除质量保证金，追究服务违约的相关责任。 6．验收合格后，甲方应在合同约定的付款期限内及时支付合同款项。 7．合同履行期间,若双方发生争议，双方本着友好合作的态度，对合同履行过程中发生的违约行为进行及时的协商解决或由有关部门调解解决，如不能协商解决，并可向合同签约地（泸州市）中级人民法院通过法律诉讼解决。</w:t>
            </w:r>
          </w:p>
        </w:tc>
      </w:tr>
      <w:tr w14:paraId="31306F7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870816">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8</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4F49E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D75125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包装方式及运输</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C8CBB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7D74E4A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3.4.其他要求</w:t>
      </w:r>
    </w:p>
    <w:p w14:paraId="40B7D1C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rFonts w:hint="eastAsia" w:ascii="方正小标宋简体" w:hAnsi="方正小标宋简体" w:eastAsia="方正小标宋简体" w:cs="方正小标宋简体"/>
          <w:sz w:val="30"/>
          <w:szCs w:val="30"/>
          <w:lang w:val="en-US" w:eastAsia="zh-CN"/>
        </w:rPr>
      </w:pPr>
      <w:r>
        <w:rPr>
          <w:rFonts w:hint="eastAsia" w:ascii="微软雅黑" w:hAnsi="微软雅黑" w:eastAsia="微软雅黑" w:cs="微软雅黑"/>
          <w:i w:val="0"/>
          <w:iCs w:val="0"/>
          <w:caps w:val="0"/>
          <w:color w:val="333333"/>
          <w:spacing w:val="0"/>
          <w:sz w:val="24"/>
          <w:szCs w:val="24"/>
          <w:bdr w:val="none" w:color="auto" w:sz="0" w:space="0"/>
          <w:shd w:val="clear" w:fill="FFFFFF"/>
        </w:rPr>
        <w:t>一、投标人根据采购需求提供：1.至少一个2022年（含）至今的厨房设施设备类似项目业绩。注：提供采购合同复印件或中标通知书。 2.项目实施方案至少包含以下内容①项目实施进度计划；②运输配送方案；③产品安装及培训方案（设备使用培训、设备故障维修培训、设备检查培训）；④质量保证方案⑤人员配置计划及岗位职责；⑥应急预案 3.售后服务方案至少包含以下内容①售后服务承诺；②服务人员配备；③售后服务保障措施；④产品退换货流程。 二、1.国家政策变化风险应对 标书及合同明确，遇国家消防、环保、特种设备强制标准更新，双方互不违约，可协商调整设备参数与施工方案。专人动态跟踪行业最新政策标准，政策变动产生的成本据实核算调整，杜绝乙方擅自加价，无甲方确认增量费用不予认可。设备选型预留技术余量、高于现行国标配置，降低改造返工概率。因政策变动造成工期延误的，依规办理工期顺延，互不追责。 2.实施环境变化风险应对 采购前组织现场踏勘，投标人签署踏勘确认书，自行预判环境风险，报价包含全部现场适配费用。明确权责：甲方场地、土建基础问题造成返工损耗的，据实签证补偿、顺延工期；乙方踏勘不足、预判失误产生费用自行承担。错峰施工、落实安全围挡防护，建立每周现场联席调度机制。提前复核电梯井道、烟道等关键点位，提前整改消除停工隐患。 3.重大技术变化风险应对 采购参数对标现行国标底线，新规落地优先局部兼容改造，避免整体重做。设备预留智能、消防联动等拓展接口，保障可升级性。所有重大技术变更须经申请、论证、审核、集体决策，严禁乙方私自改方案。中标后三方图纸会审固化技术标准与施工工艺。非乙方原因的技术调整依规调价，乙方选型失误产生的改造费用自行承担。 4.预算项目调整风险应对 落实资金前置审核，资金未到位不启动采购。排烟、电梯分项单列预算报价，支持独立调剂、分期实施。合同约定财政资金延迟可顺延付款、不计甲方违约金。严格管控暂列金、暂估价，按中标清单执行，杜绝超预算支出。 5.质疑投诉影响进度风险应对 规范编制采购文件，杜绝排他、倾向性及品牌限定条款，分项列明设备技术参数。依规公示答疑、规范答复质疑，减少投诉争议。采购计划预留缓冲工期，保障校舍正常使用。对恶意投诉留痕取证，纳入供应商信用考核。 6.采购失败风险应对 合理设置供应商准入条件，保障市场充分竞争。科学配比评审权重，平衡专业度与竞争性。前置市场调研，提前预判流标风险，备妥磋商等替代采购方式。明确弃标、拒签合同罚则，没收保证金并记入不良信用。流废标后立即启动简易二次采购，保障工期。 7.合同签订及履约违规风险应对 明确法定签约时限，逾期取消中标资格并追责。合同禁止转包、违法分包，违规立即解约追责。实行分项验收结算，排烟、电梯需专项验收合格后方可结算。足额收取质保金，落实全周期履约约束。常态化履约巡查，对到货、施工、进度违规问题及时整改扣罚。 8.损害国家及公共利益风险应对 严格落实内控、回避、集体决策制度，全流程留痕公示。强化开评标、签约、变更、验收全过程监督。设备进场核验资质证书，杜绝伪劣产品。严控工程变更，所有增项调价须审批论证。发现围标串标、利益输送、质量造假等问题，立即终止项目并依规追责上报。 9.其他履约风险应对 （1）质量安全风险：严格执行动火、高空作业、消防旁站管控，施工安全事故责任及费用全部由乙方承担。 （2）工期延误风险：细化总进度与分项节点计划，实行周调度月考核，逾期依规计收违约金。 （3）维保售后风险：明确两类设备独立维保、年检及故障响应要求，维保不力扣罚质保金。 （4）物价波动风险：设置主材价格波动阈值，阈值内乙方自担盈亏，超阈值依规协商调整。 （5）验收移交风险：设备分项独立验收、单独归档，全套竣工及检测资料齐全方可验收付款。</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E2ZjE2Y2M5YmI2NTBlMjdlZTcyZDJjNDM3NTE1MzAifQ=="/>
  </w:docVars>
  <w:rsids>
    <w:rsidRoot w:val="00000000"/>
    <w:rsid w:val="00326057"/>
    <w:rsid w:val="03DF1C34"/>
    <w:rsid w:val="064E18AD"/>
    <w:rsid w:val="078E1587"/>
    <w:rsid w:val="09771B07"/>
    <w:rsid w:val="09C43B7A"/>
    <w:rsid w:val="0AEC3153"/>
    <w:rsid w:val="0C560575"/>
    <w:rsid w:val="121B59DC"/>
    <w:rsid w:val="173D3CE8"/>
    <w:rsid w:val="17E933C4"/>
    <w:rsid w:val="192B218B"/>
    <w:rsid w:val="1B2D4820"/>
    <w:rsid w:val="1B6D2281"/>
    <w:rsid w:val="1C4115A3"/>
    <w:rsid w:val="1CEB10DB"/>
    <w:rsid w:val="1EC27FFB"/>
    <w:rsid w:val="1FBB787E"/>
    <w:rsid w:val="26213C64"/>
    <w:rsid w:val="2763299E"/>
    <w:rsid w:val="298365D8"/>
    <w:rsid w:val="2B136D58"/>
    <w:rsid w:val="2B5F006C"/>
    <w:rsid w:val="30C470C8"/>
    <w:rsid w:val="34A118FF"/>
    <w:rsid w:val="3826616F"/>
    <w:rsid w:val="398443D3"/>
    <w:rsid w:val="3CA90D66"/>
    <w:rsid w:val="413A0B8A"/>
    <w:rsid w:val="44551F37"/>
    <w:rsid w:val="44D428DC"/>
    <w:rsid w:val="464576B6"/>
    <w:rsid w:val="46BF584E"/>
    <w:rsid w:val="47561316"/>
    <w:rsid w:val="48380CBD"/>
    <w:rsid w:val="4A8F35E9"/>
    <w:rsid w:val="4CB61B9C"/>
    <w:rsid w:val="50B67110"/>
    <w:rsid w:val="50EC37AF"/>
    <w:rsid w:val="52336D25"/>
    <w:rsid w:val="53403178"/>
    <w:rsid w:val="53633063"/>
    <w:rsid w:val="53D529A8"/>
    <w:rsid w:val="5487013B"/>
    <w:rsid w:val="554F5FE2"/>
    <w:rsid w:val="55717AA9"/>
    <w:rsid w:val="565A22EB"/>
    <w:rsid w:val="572141E4"/>
    <w:rsid w:val="5BD04CA8"/>
    <w:rsid w:val="5E481E72"/>
    <w:rsid w:val="643246C6"/>
    <w:rsid w:val="6AF534A9"/>
    <w:rsid w:val="6B4A697B"/>
    <w:rsid w:val="6BA40A19"/>
    <w:rsid w:val="6BEC05E8"/>
    <w:rsid w:val="6C4E4249"/>
    <w:rsid w:val="6D141E86"/>
    <w:rsid w:val="70631A1F"/>
    <w:rsid w:val="70C22552"/>
    <w:rsid w:val="719E4B8A"/>
    <w:rsid w:val="73016F14"/>
    <w:rsid w:val="74762683"/>
    <w:rsid w:val="749C4821"/>
    <w:rsid w:val="758E12F1"/>
    <w:rsid w:val="78B103F0"/>
    <w:rsid w:val="7A271BAE"/>
    <w:rsid w:val="7A287E87"/>
    <w:rsid w:val="7DEE0D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5">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6">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footer"/>
    <w:basedOn w:val="1"/>
    <w:next w:val="1"/>
    <w:unhideWhenUsed/>
    <w:qFormat/>
    <w:uiPriority w:val="99"/>
    <w:pPr>
      <w:tabs>
        <w:tab w:val="center" w:pos="4153"/>
        <w:tab w:val="right" w:pos="8306"/>
      </w:tabs>
      <w:snapToGrid w:val="0"/>
      <w:jc w:val="left"/>
    </w:pPr>
    <w:rPr>
      <w:sz w:val="18"/>
      <w:szCs w:val="18"/>
    </w:rPr>
  </w:style>
  <w:style w:type="paragraph" w:styleId="7">
    <w:name w:val="Body Text"/>
    <w:basedOn w:val="1"/>
    <w:next w:val="1"/>
    <w:unhideWhenUsed/>
    <w:qFormat/>
    <w:uiPriority w:val="99"/>
    <w:pPr>
      <w:jc w:val="center"/>
    </w:pPr>
    <w:rPr>
      <w:rFonts w:eastAsia="黑体"/>
      <w:bCs/>
      <w:sz w:val="44"/>
      <w:szCs w:val="44"/>
    </w:rPr>
  </w:style>
  <w:style w:type="paragraph" w:styleId="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cs="Times New Roman"/>
      <w:kern w:val="0"/>
      <w:sz w:val="24"/>
      <w:szCs w:val="24"/>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Emphasis"/>
    <w:basedOn w:val="12"/>
    <w:qFormat/>
    <w:uiPriority w:val="0"/>
    <w:rPr>
      <w:i/>
    </w:rPr>
  </w:style>
  <w:style w:type="character" w:styleId="15">
    <w:name w:val="Hyperlink"/>
    <w:basedOn w:val="12"/>
    <w:qFormat/>
    <w:uiPriority w:val="0"/>
    <w:rPr>
      <w:color w:val="0000FF"/>
      <w:u w:val="single"/>
    </w:rPr>
  </w:style>
  <w:style w:type="character" w:customStyle="1" w:styleId="16">
    <w:name w:val="font81"/>
    <w:basedOn w:val="12"/>
    <w:qFormat/>
    <w:uiPriority w:val="0"/>
    <w:rPr>
      <w:rFonts w:hint="eastAsia" w:ascii="Arial Unicode MS" w:hAnsi="Arial Unicode MS" w:eastAsia="Arial Unicode MS" w:cs="Arial Unicode MS"/>
      <w:color w:val="000000"/>
      <w:sz w:val="20"/>
      <w:szCs w:val="20"/>
      <w:u w:val="none"/>
    </w:rPr>
  </w:style>
  <w:style w:type="character" w:customStyle="1" w:styleId="17">
    <w:name w:val="font101"/>
    <w:basedOn w:val="12"/>
    <w:qFormat/>
    <w:uiPriority w:val="0"/>
    <w:rPr>
      <w:rFonts w:hint="eastAsia" w:ascii="Arial Unicode MS" w:hAnsi="Arial Unicode MS" w:eastAsia="Arial Unicode MS" w:cs="Arial Unicode MS"/>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37</Pages>
  <Words>478</Words>
  <Characters>483</Characters>
  <Lines>0</Lines>
  <Paragraphs>0</Paragraphs>
  <TotalTime>5</TotalTime>
  <ScaleCrop>false</ScaleCrop>
  <LinksUpToDate>false</LinksUpToDate>
  <CharactersWithSpaces>483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2024-08-14T01:43:00Z</dcterms:created>
  <dc:creator>Administrator</dc:creator>
  <cp:lastModifiedBy>Administrator</cp:lastModifiedBy>
  <cp:lastPrinted>2025-04-30T03:40:00Z</cp:lastPrinted>
  <dcterms:modified xsi:type="dcterms:W3CDTF">2026-05-19T08:27:33Z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9D38756C477D46D5AC57370DF9D4221D_13</vt:lpwstr>
  </property>
  <property fmtid="{D5CDD505-2E9C-101B-9397-08002B2CF9AE}" pid="4" name="KSOTemplateDocerSaveRecord">
    <vt:lpwstr>eyJoZGlkIjoiYTE2ZjE2Y2M5YmI2NTBlMjdlZTcyZDJjNDM3NTE1MzAiLCJ1c2VySWQiOiI1MzM3ODUzMjAifQ==</vt:lpwstr>
  </property>
</Properties>
</file>