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版本号：N513423202600005120260507001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2026年购买就业公共服务项目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N5134232026000051</w:t>
      </w:r>
    </w:p>
    <w:p>
      <w:pPr>
        <w:pStyle w:val="null3"/>
        <w:jc w:val="center"/>
        <w:outlineLvl w:val="2"/>
      </w:pPr>
      <w:r>
        <w:rPr>
          <w:rFonts w:ascii="仿宋_GB2312" w:hAnsi="仿宋_GB2312" w:cs="仿宋_GB2312" w:eastAsia="仿宋_GB2312"/>
          <w:sz w:val="28"/>
          <w:b/>
        </w:rPr>
        <w:t>盐源县就业服务管理局</w:t>
      </w:r>
    </w:p>
    <w:p>
      <w:pPr>
        <w:pStyle w:val="null3"/>
        <w:jc w:val="center"/>
        <w:outlineLvl w:val="2"/>
      </w:pPr>
      <w:r>
        <w:rPr>
          <w:rFonts w:ascii="仿宋_GB2312" w:hAnsi="仿宋_GB2312" w:cs="仿宋_GB2312" w:eastAsia="仿宋_GB2312"/>
          <w:sz w:val="28"/>
          <w:b/>
        </w:rPr>
        <w:t>四川乐投招标代理有限公司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四川乐投招标代理有限公司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盐源县就业服务管理局</w:t>
      </w:r>
      <w:r>
        <w:rPr>
          <w:rFonts w:ascii="仿宋_GB2312" w:hAnsi="仿宋_GB2312" w:cs="仿宋_GB2312" w:eastAsia="仿宋_GB2312"/>
        </w:rPr>
        <w:t xml:space="preserve"> 委托，拟对 </w:t>
      </w:r>
      <w:r>
        <w:rPr>
          <w:rFonts w:ascii="仿宋_GB2312" w:hAnsi="仿宋_GB2312" w:cs="仿宋_GB2312" w:eastAsia="仿宋_GB2312"/>
        </w:rPr>
        <w:t>2026年购买就业公共服务项目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凉山彝族自治州盐源县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N5134232026000051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2026年购买就业公共服务项目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2026年购买就业公共服务项目。采购内容：其他服务。采购数量：1项。主要功能或目标：无。需满足的要求：无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盐源县就业服务管理局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盐源县盐井镇政府街103号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0834-6362916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四川乐投招标代理有限公司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四川省乐山市市中区嘉定中路570号19楼2、3、4、5号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0833-2485290/2350977-811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采购包1：1,296,000.00元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代理服务费收费标准：成本支出加合理利润。金额：25800.00元。代理服务费账户 交款方式：公对公账户 银行转账（以当地银行下账时间为准）。 招标代理机构：四川乐投招标代理有限公司。 联 系 人：刘女士 联系电话：19938850937（财务室） 收款单位：四川乐投招标代理有限公司。 开 户 行：乐山市商业银行股份有限公司通悦路支行。 开户行行号：313665000367 银行账号：03092100000148990 特别注意：请在备注栏必须填写“项目编号”代理服务费!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盐源县就业服务管理局</w:t>
      </w:r>
      <w:r>
        <w:rPr>
          <w:rFonts w:ascii="仿宋_GB2312" w:hAnsi="仿宋_GB2312" w:cs="仿宋_GB2312" w:eastAsia="仿宋_GB2312"/>
        </w:rPr>
        <w:t xml:space="preserve"> 和 </w:t>
      </w:r>
      <w:r>
        <w:rPr>
          <w:rFonts w:ascii="仿宋_GB2312" w:hAnsi="仿宋_GB2312" w:cs="仿宋_GB2312" w:eastAsia="仿宋_GB2312"/>
        </w:rPr>
        <w:t>四川乐投招标代理有限公司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盐源县就业服务管理局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四川乐投招标代理有限公司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供应商提出验收申请且采购人验收合格后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按国家有关规定以及采购人采购文件的质量要求和技术指标、中标（成交）供应商的响应文件及承诺与本合同约定标准进行验收；采购人、成交供应商双方如对质量要求和技术指标的约定标准有相互抵触或异议的事项，由采购人在招标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按国家有关规定以及采购人采购文件的质量要求和技术指标、中标（成交）供应商的响应文件及承诺与本合同约定标准进行验收；采购人、成交供应商双方如对质量要求和技术指标的约定标准有相互抵触或异议的事项，由采购人在招标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按采购文件所列技术标准及要求，及现行国家、行业、有关标准和要求执行。交验时，发现中标（成交）人提供的物资不符合采购文件要求，采购人有权取消其成交资格或取消合同，并按有关规定对中标（成交）人作出相应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中标（成交）供应商与采购人应严格按照《财政部关于进一步加强政府采购需求和履约验收管理的指导意见》（财库〔2016〕205号）进行验收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盐源县就业服务管理局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四川乐投招标代理有限公司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四川乐投招标代理有限公司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联系电话：0834-6362916</w:t>
      </w:r>
    </w:p>
    <w:p>
      <w:pPr>
        <w:pStyle w:val="null3"/>
        <w:jc w:val="left"/>
      </w:pPr>
      <w:r>
        <w:rPr>
          <w:rFonts w:ascii="仿宋_GB2312" w:hAnsi="仿宋_GB2312" w:cs="仿宋_GB2312" w:eastAsia="仿宋_GB2312"/>
        </w:rPr>
        <w:t>地址：盐源县盐井镇政府街103号</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联系电话：0833-2485290</w:t>
      </w:r>
    </w:p>
    <w:p>
      <w:pPr>
        <w:pStyle w:val="null3"/>
        <w:jc w:val="left"/>
      </w:pPr>
      <w:r>
        <w:rPr>
          <w:rFonts w:ascii="仿宋_GB2312" w:hAnsi="仿宋_GB2312" w:cs="仿宋_GB2312" w:eastAsia="仿宋_GB2312"/>
        </w:rPr>
        <w:t>地址：四川省乐山市市中区嘉定中路570号19楼2、3、4、5号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1,296,000.00</w:t>
      </w:r>
    </w:p>
    <w:p>
      <w:pPr>
        <w:pStyle w:val="null3"/>
        <w:jc w:val="left"/>
      </w:pPr>
      <w:r>
        <w:rPr>
          <w:rFonts w:ascii="仿宋_GB2312" w:hAnsi="仿宋_GB2312" w:cs="仿宋_GB2312" w:eastAsia="仿宋_GB2312"/>
        </w:rPr>
        <w:t>采购包最高限价（元）: 1,296,000.00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2026年购买就业公共服务项目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1,296,000.00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2026年购买就业公共服务项目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1,296,000.00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本项目为包干价，供应商所报价格为完成本项目的一切费用，采购人不再支付其他任何费用，投标报价估算错误等引起的风险由供应商自行承担。</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标的名称：2026年购买就业公共服务项目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采购内容</w:t>
            </w:r>
          </w:p>
        </w:tc>
        <w:tc>
          <w:tcPr>
            <w:tcW w:type="dxa" w:w="5814"/>
          </w:tcPr>
          <w:p>
            <w:pPr>
              <w:pStyle w:val="null3"/>
              <w:jc w:val="both"/>
            </w:pPr>
            <w:r>
              <w:rPr>
                <w:rFonts w:ascii="仿宋_GB2312" w:hAnsi="仿宋_GB2312" w:cs="仿宋_GB2312" w:eastAsia="仿宋_GB2312"/>
                <w:sz w:val="24"/>
              </w:rPr>
              <w:t>第一条</w:t>
            </w:r>
            <w:r>
              <w:rPr>
                <w:rFonts w:ascii="仿宋_GB2312" w:hAnsi="仿宋_GB2312" w:cs="仿宋_GB2312" w:eastAsia="仿宋_GB2312"/>
                <w:sz w:val="24"/>
              </w:rPr>
              <w:t>:总体服务内容</w:t>
            </w:r>
          </w:p>
          <w:p>
            <w:pPr>
              <w:pStyle w:val="null3"/>
              <w:jc w:val="both"/>
            </w:pPr>
            <w:r>
              <w:rPr>
                <w:rFonts w:ascii="仿宋_GB2312" w:hAnsi="仿宋_GB2312" w:cs="仿宋_GB2312" w:eastAsia="仿宋_GB2312"/>
                <w:sz w:val="24"/>
              </w:rPr>
              <w:t>涵盖公共就业创业规划和政策研究、咨询及宣传服务；公共就业信息的收集与统计分析；农村劳动力转移就业辅助性工作；政府组织的就业创业培训；职业培训项目验收；培训项目第三方监督；劳动力资源调查；社区就业帮扶。</w:t>
            </w:r>
          </w:p>
          <w:p>
            <w:pPr>
              <w:pStyle w:val="null3"/>
              <w:jc w:val="both"/>
            </w:pPr>
            <w:r>
              <w:rPr>
                <w:rFonts w:ascii="仿宋_GB2312" w:hAnsi="仿宋_GB2312" w:cs="仿宋_GB2312" w:eastAsia="仿宋_GB2312"/>
                <w:sz w:val="24"/>
              </w:rPr>
              <w:t>其中政府委托的其他公共就业创业服务</w:t>
            </w:r>
            <w:r>
              <w:rPr>
                <w:rFonts w:ascii="仿宋_GB2312" w:hAnsi="仿宋_GB2312" w:cs="仿宋_GB2312" w:eastAsia="仿宋_GB2312"/>
                <w:sz w:val="24"/>
              </w:rPr>
              <w:t>(主要包括从事人力资源管理服务、农村劳动力转移就业服务、失业人员就业服务、高校毕业生就业服务、困难人员就业援助服务、人力资源信息收集整理、就业扶贫、社会保险经办服务、返乡创业等相关公共就业事务管理服务，完成各项就业创业指标任务。)</w:t>
            </w:r>
          </w:p>
          <w:p>
            <w:pPr>
              <w:pStyle w:val="null3"/>
              <w:jc w:val="both"/>
            </w:pPr>
            <w:r>
              <w:rPr>
                <w:rFonts w:ascii="仿宋_GB2312" w:hAnsi="仿宋_GB2312" w:cs="仿宋_GB2312" w:eastAsia="仿宋_GB2312"/>
                <w:sz w:val="24"/>
              </w:rPr>
              <w:t>第二条</w:t>
            </w:r>
            <w:r>
              <w:rPr>
                <w:rFonts w:ascii="仿宋_GB2312" w:hAnsi="仿宋_GB2312" w:cs="仿宋_GB2312" w:eastAsia="仿宋_GB2312"/>
                <w:sz w:val="24"/>
              </w:rPr>
              <w:t>:服务项目及要求</w:t>
            </w:r>
          </w:p>
          <w:p>
            <w:pPr>
              <w:pStyle w:val="null3"/>
              <w:jc w:val="both"/>
            </w:pPr>
            <w:r>
              <w:rPr>
                <w:rFonts w:ascii="仿宋_GB2312" w:hAnsi="仿宋_GB2312" w:cs="仿宋_GB2312" w:eastAsia="仿宋_GB2312"/>
                <w:sz w:val="24"/>
              </w:rPr>
              <w:t>一、公共信息服务</w:t>
            </w:r>
          </w:p>
          <w:p>
            <w:pPr>
              <w:pStyle w:val="null3"/>
              <w:jc w:val="both"/>
            </w:pPr>
            <w:r>
              <w:rPr>
                <w:rFonts w:ascii="仿宋_GB2312" w:hAnsi="仿宋_GB2312" w:cs="仿宋_GB2312" w:eastAsia="仿宋_GB2312"/>
                <w:sz w:val="24"/>
              </w:rPr>
              <w:t>1.政策咨询与信息发布</w:t>
            </w:r>
          </w:p>
          <w:p>
            <w:pPr>
              <w:pStyle w:val="null3"/>
              <w:jc w:val="both"/>
            </w:pPr>
            <w:r>
              <w:rPr>
                <w:rFonts w:ascii="仿宋_GB2312" w:hAnsi="仿宋_GB2312" w:cs="仿宋_GB2312" w:eastAsia="仿宋_GB2312"/>
                <w:sz w:val="24"/>
              </w:rPr>
              <w:t>面向广大劳动者和用人单位，提供国家、省、州、县各级劳动保障法律法规、就业创业扶持政策、社保政策等专业咨询服务，精准发布人力资源市场供求状况、岗位薪资行情、职业发展、培训报名等各类信息，确保信息及时、准确、易懂，保障供需双方信息对称。</w:t>
            </w:r>
          </w:p>
          <w:p>
            <w:pPr>
              <w:pStyle w:val="null3"/>
              <w:jc w:val="both"/>
            </w:pPr>
            <w:r>
              <w:rPr>
                <w:rFonts w:ascii="仿宋_GB2312" w:hAnsi="仿宋_GB2312" w:cs="仿宋_GB2312" w:eastAsia="仿宋_GB2312"/>
                <w:sz w:val="24"/>
              </w:rPr>
              <w:t>2.人力资源管理服务</w:t>
            </w:r>
          </w:p>
          <w:p>
            <w:pPr>
              <w:pStyle w:val="null3"/>
              <w:jc w:val="both"/>
            </w:pPr>
            <w:r>
              <w:rPr>
                <w:rFonts w:ascii="仿宋_GB2312" w:hAnsi="仿宋_GB2312" w:cs="仿宋_GB2312" w:eastAsia="仿宋_GB2312"/>
                <w:sz w:val="24"/>
              </w:rPr>
              <w:t>依托</w:t>
            </w:r>
            <w:r>
              <w:rPr>
                <w:rFonts w:ascii="仿宋_GB2312" w:hAnsi="仿宋_GB2312" w:cs="仿宋_GB2312" w:eastAsia="仿宋_GB2312"/>
                <w:sz w:val="24"/>
              </w:rPr>
              <w:t>“基层就业服务平台”，及时登记辖区内所有人力资源信息，规范录入省就业失业和劳动用工备案信息管理系统（以下简称“系统”），保证信息录入完整、真实、有效，无遗漏、无错误，信息发生变动时及时更新。确保数据动态精准。同时，全程指导全县23个乡镇全面完善人力资源信息台账，督促乡镇及时更新各类就业服务相关信息，保障基层数据与系统数据同步一致。</w:t>
            </w:r>
          </w:p>
          <w:p>
            <w:pPr>
              <w:pStyle w:val="null3"/>
              <w:jc w:val="both"/>
            </w:pPr>
            <w:r>
              <w:rPr>
                <w:rFonts w:ascii="仿宋_GB2312" w:hAnsi="仿宋_GB2312" w:cs="仿宋_GB2312" w:eastAsia="仿宋_GB2312"/>
                <w:sz w:val="24"/>
              </w:rPr>
              <w:t>3.人力资源信息归结管理</w:t>
            </w:r>
          </w:p>
          <w:p>
            <w:pPr>
              <w:pStyle w:val="null3"/>
              <w:jc w:val="both"/>
            </w:pPr>
            <w:r>
              <w:rPr>
                <w:rFonts w:ascii="仿宋_GB2312" w:hAnsi="仿宋_GB2312" w:cs="仿宋_GB2312" w:eastAsia="仿宋_GB2312"/>
                <w:sz w:val="24"/>
              </w:rPr>
              <w:t>全面归集、梳理、管理全县人力资源全维度信息，包括个人基本信息、学历信息、职业资格信息及专业技术职务信息，当前就业情况、失业登记情况、农村劳动力资源分布情况、就业援助对象认定情况、享受就业扶持政策情况、公共就业人才服务接受情况、失业保险待遇核定及享受情况、社保年审情况等。实现全县</w:t>
            </w:r>
            <w:r>
              <w:rPr>
                <w:rFonts w:ascii="仿宋_GB2312" w:hAnsi="仿宋_GB2312" w:cs="仿宋_GB2312" w:eastAsia="仿宋_GB2312"/>
                <w:sz w:val="24"/>
              </w:rPr>
              <w:t>24万农村劳动力基本信息要全面掌握、精准建档、动态管理，建立完善的劳动力资源信息库。</w:t>
            </w:r>
          </w:p>
          <w:p>
            <w:pPr>
              <w:pStyle w:val="null3"/>
              <w:jc w:val="both"/>
            </w:pPr>
            <w:r>
              <w:rPr>
                <w:rFonts w:ascii="仿宋_GB2312" w:hAnsi="仿宋_GB2312" w:cs="仿宋_GB2312" w:eastAsia="仿宋_GB2312"/>
                <w:sz w:val="24"/>
              </w:rPr>
              <w:t>4.就业岗位信息归结储备</w:t>
            </w:r>
          </w:p>
          <w:p>
            <w:pPr>
              <w:pStyle w:val="null3"/>
              <w:jc w:val="both"/>
            </w:pPr>
            <w:r>
              <w:rPr>
                <w:rFonts w:ascii="仿宋_GB2312" w:hAnsi="仿宋_GB2312" w:cs="仿宋_GB2312" w:eastAsia="仿宋_GB2312"/>
                <w:sz w:val="24"/>
              </w:rPr>
              <w:t>充分依托</w:t>
            </w:r>
            <w:r>
              <w:rPr>
                <w:rFonts w:ascii="仿宋_GB2312" w:hAnsi="仿宋_GB2312" w:cs="仿宋_GB2312" w:eastAsia="仿宋_GB2312"/>
                <w:sz w:val="24"/>
              </w:rPr>
              <w:t>“幸福里社区”服务平台、“零工市场”等线上线下载体，全面摸排、收集省内外、县外、县内周边企业用工需求，建立岗位信息储备库，实时更新岗位信息，搭建劳动者与用人单位高效对接的桥梁，拓宽就业岗位供给渠道。</w:t>
            </w:r>
          </w:p>
          <w:p>
            <w:pPr>
              <w:pStyle w:val="null3"/>
              <w:jc w:val="both"/>
            </w:pPr>
            <w:r>
              <w:rPr>
                <w:rFonts w:ascii="仿宋_GB2312" w:hAnsi="仿宋_GB2312" w:cs="仿宋_GB2312" w:eastAsia="仿宋_GB2312"/>
                <w:sz w:val="24"/>
              </w:rPr>
              <w:t>二、就业指导服务和劳动力转移辅助性服务</w:t>
            </w:r>
          </w:p>
          <w:p>
            <w:pPr>
              <w:pStyle w:val="null3"/>
              <w:jc w:val="both"/>
            </w:pPr>
            <w:r>
              <w:rPr>
                <w:rFonts w:ascii="仿宋_GB2312" w:hAnsi="仿宋_GB2312" w:cs="仿宋_GB2312" w:eastAsia="仿宋_GB2312"/>
                <w:sz w:val="24"/>
              </w:rPr>
              <w:t>1.农村劳动力转移就业服务</w:t>
            </w:r>
          </w:p>
          <w:p>
            <w:pPr>
              <w:pStyle w:val="null3"/>
              <w:jc w:val="both"/>
            </w:pPr>
            <w:r>
              <w:rPr>
                <w:rFonts w:ascii="仿宋_GB2312" w:hAnsi="仿宋_GB2312" w:cs="仿宋_GB2312" w:eastAsia="仿宋_GB2312"/>
                <w:sz w:val="24"/>
              </w:rPr>
              <w:t>基层就业服务平台建立辖区农村劳动力</w:t>
            </w:r>
            <w:r>
              <w:rPr>
                <w:rFonts w:ascii="仿宋_GB2312" w:hAnsi="仿宋_GB2312" w:cs="仿宋_GB2312" w:eastAsia="仿宋_GB2312"/>
                <w:sz w:val="24"/>
              </w:rPr>
              <w:t>(含被征地农民)动态基础管理台账，实时掌握劳动力就业、失业、培训、转移等情况。通过开展培训、岗前适应性培训、组织现场面试招聘、举办专场招聘会、精准推送岗位信息等多元化措施，全力推动劳动力在省、内外有序转移输出，促进农村劳动力(含被征地农民)在省内、外转移就业的。通过“东西部劳务协作”专场招聘会转移输出贫困劳动力到浙江宁波务工。全年完成农村劳动力转移就业服务不少于11万人次。保障转移就业服务质量与成效。</w:t>
            </w:r>
          </w:p>
          <w:p>
            <w:pPr>
              <w:pStyle w:val="null3"/>
              <w:jc w:val="both"/>
            </w:pPr>
            <w:r>
              <w:rPr>
                <w:rFonts w:ascii="仿宋_GB2312" w:hAnsi="仿宋_GB2312" w:cs="仿宋_GB2312" w:eastAsia="仿宋_GB2312"/>
                <w:sz w:val="24"/>
              </w:rPr>
              <w:t>2.失业人员再就业服务</w:t>
            </w:r>
          </w:p>
          <w:p>
            <w:pPr>
              <w:pStyle w:val="null3"/>
              <w:jc w:val="both"/>
            </w:pPr>
            <w:r>
              <w:rPr>
                <w:rFonts w:ascii="仿宋_GB2312" w:hAnsi="仿宋_GB2312" w:cs="仿宋_GB2312" w:eastAsia="仿宋_GB2312"/>
                <w:sz w:val="24"/>
              </w:rPr>
              <w:t>基层平台及时了解辖区登记失业人员信息，建立失业人员服务台账，为失业人员提供一对一就业服务。通过推荐参与技能培训、精准推送适配岗位、开展个性化职业指导、解读就业扶持政策等方式，落实</w:t>
            </w:r>
            <w:r>
              <w:rPr>
                <w:rFonts w:ascii="仿宋_GB2312" w:hAnsi="仿宋_GB2312" w:cs="仿宋_GB2312" w:eastAsia="仿宋_GB2312"/>
                <w:sz w:val="24"/>
              </w:rPr>
              <w:t>“1311”就业帮扶机制（即1次职业指导、3个适合岗位推荐、1个职业培训项目推荐、1次职业技能见习对接），全方位助力失业人员尽快实现再就业。</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 高校毕业生就业服务</w:t>
            </w:r>
          </w:p>
          <w:p>
            <w:pPr>
              <w:pStyle w:val="null3"/>
              <w:jc w:val="both"/>
            </w:pPr>
            <w:r>
              <w:rPr>
                <w:rFonts w:ascii="仿宋_GB2312" w:hAnsi="仿宋_GB2312" w:cs="仿宋_GB2312" w:eastAsia="仿宋_GB2312"/>
                <w:sz w:val="24"/>
              </w:rPr>
              <w:t>基层平台及时摸排辖区内离校未就业高校毕业生信息，建立专项服务档案，提供针对性就业指导服务。全面落实离校未就业高校毕业生就业见习政策、</w:t>
            </w:r>
            <w:r>
              <w:rPr>
                <w:rFonts w:ascii="仿宋_GB2312" w:hAnsi="仿宋_GB2312" w:cs="仿宋_GB2312" w:eastAsia="仿宋_GB2312"/>
                <w:sz w:val="24"/>
              </w:rPr>
              <w:t>“1311”就业帮扶政策，搭建高校毕业生与用人单位对接平台，开展专场招聘、岗位推送、见习推荐等服务，助力离校未就业高校毕业生实现尽快就业、高质量就业。提供就业服务，为劳动者提供推荐参加技能培训、提供岗位信息、开展职业指导等就业服务，落实就业政策，通过“1311”帮扶、就业指导、岗位推送等多种措施促进失业人员实现再就业的。</w:t>
            </w:r>
          </w:p>
          <w:p>
            <w:pPr>
              <w:pStyle w:val="null3"/>
              <w:jc w:val="both"/>
            </w:pPr>
            <w:r>
              <w:rPr>
                <w:rFonts w:ascii="仿宋_GB2312" w:hAnsi="仿宋_GB2312" w:cs="仿宋_GB2312" w:eastAsia="仿宋_GB2312"/>
                <w:sz w:val="24"/>
              </w:rPr>
              <w:t>4. 困难人员就业援助服务</w:t>
            </w:r>
          </w:p>
          <w:p>
            <w:pPr>
              <w:pStyle w:val="null3"/>
              <w:jc w:val="both"/>
            </w:pPr>
            <w:r>
              <w:rPr>
                <w:rFonts w:ascii="仿宋_GB2312" w:hAnsi="仿宋_GB2312" w:cs="仿宋_GB2312" w:eastAsia="仿宋_GB2312"/>
                <w:sz w:val="24"/>
              </w:rPr>
              <w:t>基层平台及时认定就业困难人员或零就业家庭，建立专属援助台账，提供就业服务，全面落实各项就业援助政策，开展常态化跟踪援助服务，通过公益性岗位安置、岗位推荐、技能培训、创业扶持等多种措施，确保就业困难人员、零就业家庭成员实现稳定就业，做到应援尽援、帮扶到位。</w:t>
            </w:r>
          </w:p>
          <w:p>
            <w:pPr>
              <w:pStyle w:val="null3"/>
              <w:jc w:val="both"/>
            </w:pPr>
            <w:r>
              <w:rPr>
                <w:rFonts w:ascii="仿宋_GB2312" w:hAnsi="仿宋_GB2312" w:cs="仿宋_GB2312" w:eastAsia="仿宋_GB2312"/>
                <w:sz w:val="24"/>
              </w:rPr>
              <w:t>5.就业扶贫服务</w:t>
            </w:r>
          </w:p>
          <w:p>
            <w:pPr>
              <w:pStyle w:val="null3"/>
              <w:jc w:val="both"/>
            </w:pPr>
            <w:r>
              <w:rPr>
                <w:rFonts w:ascii="仿宋_GB2312" w:hAnsi="仿宋_GB2312" w:cs="仿宋_GB2312" w:eastAsia="仿宋_GB2312"/>
                <w:sz w:val="24"/>
              </w:rPr>
              <w:t>聚焦农村贫困劳动力就业需求，积极开发、规范管理农村贫困劳动力公益性岗位，组织贫困劳动力参加职业技能培训，提升就业技能水平；深化东西部劳务协作，开展协作东西部劳务对接、劳务输出、稳岗就业服务，助力巩固拓展就业帮扶成果。</w:t>
            </w:r>
          </w:p>
          <w:p>
            <w:pPr>
              <w:pStyle w:val="null3"/>
              <w:jc w:val="both"/>
            </w:pPr>
            <w:r>
              <w:rPr>
                <w:rFonts w:ascii="仿宋_GB2312" w:hAnsi="仿宋_GB2312" w:cs="仿宋_GB2312" w:eastAsia="仿宋_GB2312"/>
                <w:sz w:val="24"/>
              </w:rPr>
              <w:t>6.社会保险经办服务。</w:t>
            </w:r>
          </w:p>
          <w:p>
            <w:pPr>
              <w:pStyle w:val="null3"/>
              <w:jc w:val="both"/>
            </w:pPr>
            <w:r>
              <w:rPr>
                <w:rFonts w:ascii="仿宋_GB2312" w:hAnsi="仿宋_GB2312" w:cs="仿宋_GB2312" w:eastAsia="仿宋_GB2312"/>
                <w:sz w:val="24"/>
              </w:rPr>
              <w:t>积极开展城乡居民、及各类就业人员社会保险参保宣传服务、动员、登记服务，做好参保信息收集、整理、录入、核对等经办工作，协助参保人员办理社保缴费、待遇申领、信息变更等相关业务，提升城乡居民及就业人员参保率，保障社保政策落地落实。</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 xml:space="preserve"> 创业服务。</w:t>
            </w:r>
          </w:p>
          <w:p>
            <w:pPr>
              <w:pStyle w:val="null3"/>
              <w:jc w:val="both"/>
            </w:pPr>
            <w:r>
              <w:rPr>
                <w:rFonts w:ascii="仿宋_GB2312" w:hAnsi="仿宋_GB2312" w:cs="仿宋_GB2312" w:eastAsia="仿宋_GB2312"/>
                <w:sz w:val="24"/>
              </w:rPr>
              <w:t>1.创业咨询服务</w:t>
            </w:r>
          </w:p>
          <w:p>
            <w:pPr>
              <w:pStyle w:val="null3"/>
              <w:jc w:val="both"/>
            </w:pPr>
            <w:r>
              <w:rPr>
                <w:rFonts w:ascii="仿宋_GB2312" w:hAnsi="仿宋_GB2312" w:cs="仿宋_GB2312" w:eastAsia="仿宋_GB2312"/>
                <w:sz w:val="24"/>
              </w:rPr>
              <w:t>为有创业意愿、准备从事个体经营或创办私营企业的劳动者，提供全方位创业咨询服务，涵盖创业政策解读、创业项目筛选、创业流程指导、经营管理咨询、风险防控等内容，助力创业者理清创业思路、规避创业风险。</w:t>
            </w:r>
          </w:p>
          <w:p>
            <w:pPr>
              <w:pStyle w:val="null3"/>
              <w:jc w:val="both"/>
            </w:pPr>
            <w:r>
              <w:rPr>
                <w:rFonts w:ascii="仿宋_GB2312" w:hAnsi="仿宋_GB2312" w:cs="仿宋_GB2312" w:eastAsia="仿宋_GB2312"/>
                <w:sz w:val="24"/>
              </w:rPr>
              <w:t>2.抓好创业补助政策落实</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深入乡镇、社区等基层一线，全面核实、精准核实重点人群创业情况，对符合政策要求的创业人员，落实创业补助。确保创业补助政策精准兑现、直达创业者。</w:t>
            </w:r>
          </w:p>
          <w:p>
            <w:pPr>
              <w:pStyle w:val="null3"/>
              <w:jc w:val="both"/>
            </w:pPr>
            <w:r>
              <w:rPr>
                <w:rFonts w:ascii="仿宋_GB2312" w:hAnsi="仿宋_GB2312" w:cs="仿宋_GB2312" w:eastAsia="仿宋_GB2312"/>
                <w:sz w:val="24"/>
              </w:rPr>
              <w:t>3.抓好创业贷报贷款工作</w:t>
            </w:r>
          </w:p>
          <w:p>
            <w:pPr>
              <w:pStyle w:val="null3"/>
              <w:jc w:val="both"/>
            </w:pPr>
            <w:r>
              <w:rPr>
                <w:rFonts w:ascii="仿宋_GB2312" w:hAnsi="仿宋_GB2312" w:cs="仿宋_GB2312" w:eastAsia="仿宋_GB2312"/>
                <w:sz w:val="24"/>
              </w:rPr>
              <w:t>积极和财政、国投公司、金融机构对接，全力推动创业担保贷款政策落地见效。每年完成创业担保贷款不少于</w:t>
            </w:r>
            <w:r>
              <w:rPr>
                <w:rFonts w:ascii="仿宋_GB2312" w:hAnsi="仿宋_GB2312" w:cs="仿宋_GB2312" w:eastAsia="仿宋_GB2312"/>
                <w:sz w:val="24"/>
              </w:rPr>
              <w:t>600万元，缓解创业者资金难题。</w:t>
            </w:r>
          </w:p>
          <w:p>
            <w:pPr>
              <w:pStyle w:val="null3"/>
              <w:jc w:val="both"/>
            </w:pPr>
            <w:r>
              <w:rPr>
                <w:rFonts w:ascii="仿宋_GB2312" w:hAnsi="仿宋_GB2312" w:cs="仿宋_GB2312" w:eastAsia="仿宋_GB2312"/>
                <w:sz w:val="24"/>
              </w:rPr>
              <w:t>4.创新创业大赛组织推送</w:t>
            </w:r>
          </w:p>
          <w:p>
            <w:pPr>
              <w:pStyle w:val="null3"/>
              <w:jc w:val="both"/>
            </w:pPr>
            <w:r>
              <w:rPr>
                <w:rFonts w:ascii="仿宋_GB2312" w:hAnsi="仿宋_GB2312" w:cs="仿宋_GB2312" w:eastAsia="仿宋_GB2312"/>
                <w:sz w:val="24"/>
              </w:rPr>
              <w:t>积极组织、培育推送优质项目和人员参加省州县创新创业大赛工作。通过政策宣传、组织报名、赛前指导等环节，</w:t>
            </w:r>
            <w:r>
              <w:rPr>
                <w:rFonts w:ascii="仿宋_GB2312" w:hAnsi="仿宋_GB2312" w:cs="仿宋_GB2312" w:eastAsia="仿宋_GB2312"/>
                <w:sz w:val="24"/>
              </w:rPr>
              <w:t>筛选、推荐优秀创业项目和创业人员，参加国家、省、州、县级创新创业大赛，营造良好创新创业氛围。</w:t>
            </w:r>
          </w:p>
          <w:p>
            <w:pPr>
              <w:pStyle w:val="null3"/>
              <w:jc w:val="both"/>
            </w:pPr>
            <w:r>
              <w:rPr>
                <w:rFonts w:ascii="仿宋_GB2312" w:hAnsi="仿宋_GB2312" w:cs="仿宋_GB2312" w:eastAsia="仿宋_GB2312"/>
                <w:sz w:val="24"/>
              </w:rPr>
              <w:t>5.创业（致富带头人）培训</w:t>
            </w:r>
          </w:p>
          <w:p>
            <w:pPr>
              <w:pStyle w:val="null3"/>
              <w:jc w:val="both"/>
            </w:pPr>
            <w:r>
              <w:rPr>
                <w:rFonts w:ascii="仿宋_GB2312" w:hAnsi="仿宋_GB2312" w:cs="仿宋_GB2312" w:eastAsia="仿宋_GB2312"/>
                <w:sz w:val="24"/>
              </w:rPr>
              <w:t>组织开展创业（致富带头人）专项培训。围绕产业发展、经营管理、市场拓展、政策运用等内容开展教学，让基层致富带头人增见识、涨知识、扩思路、提升技能，全面增强其带头创业、带领群众增收致富的能力。</w:t>
            </w:r>
          </w:p>
          <w:p>
            <w:pPr>
              <w:pStyle w:val="null3"/>
              <w:jc w:val="both"/>
            </w:pPr>
            <w:r>
              <w:rPr>
                <w:rFonts w:ascii="仿宋_GB2312" w:hAnsi="仿宋_GB2312" w:cs="仿宋_GB2312" w:eastAsia="仿宋_GB2312"/>
                <w:sz w:val="24"/>
              </w:rPr>
              <w:t>6.创业巡诊回访服务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针对已开展创业巡诊活动的创业项目进行回访活动，定期开展</w:t>
            </w:r>
            <w:r>
              <w:rPr>
                <w:rFonts w:ascii="仿宋_GB2312" w:hAnsi="仿宋_GB2312" w:cs="仿宋_GB2312" w:eastAsia="仿宋_GB2312"/>
                <w:sz w:val="24"/>
              </w:rPr>
              <w:t>“回头看”回访活动。对项目的发展和存在的问题等进行指导、调研帮扶，持续助力创业项目健康运营、稳步发展。</w:t>
            </w:r>
          </w:p>
          <w:p>
            <w:pPr>
              <w:pStyle w:val="null3"/>
              <w:jc w:val="both"/>
            </w:pPr>
            <w:r>
              <w:rPr>
                <w:rFonts w:ascii="仿宋_GB2312" w:hAnsi="仿宋_GB2312" w:cs="仿宋_GB2312" w:eastAsia="仿宋_GB2312"/>
                <w:sz w:val="24"/>
              </w:rPr>
              <w:t>四、职业技能培训服务</w:t>
            </w:r>
          </w:p>
          <w:p>
            <w:pPr>
              <w:pStyle w:val="null3"/>
              <w:jc w:val="both"/>
            </w:pPr>
            <w:r>
              <w:rPr>
                <w:rFonts w:ascii="仿宋_GB2312" w:hAnsi="仿宋_GB2312" w:cs="仿宋_GB2312" w:eastAsia="仿宋_GB2312"/>
                <w:sz w:val="24"/>
              </w:rPr>
              <w:t>全面按照</w:t>
            </w:r>
            <w:r>
              <w:rPr>
                <w:rFonts w:ascii="仿宋_GB2312" w:hAnsi="仿宋_GB2312" w:cs="仿宋_GB2312" w:eastAsia="仿宋_GB2312"/>
                <w:sz w:val="24"/>
              </w:rPr>
              <w:t>“技能照亮前程”行动的要求，全面抓好农村劳动力职业技能培训工作。</w:t>
            </w:r>
          </w:p>
          <w:p>
            <w:pPr>
              <w:pStyle w:val="null3"/>
              <w:jc w:val="both"/>
            </w:pPr>
            <w:r>
              <w:rPr>
                <w:rFonts w:ascii="仿宋_GB2312" w:hAnsi="仿宋_GB2312" w:cs="仿宋_GB2312" w:eastAsia="仿宋_GB2312"/>
                <w:sz w:val="24"/>
              </w:rPr>
              <w:t>1.培训意愿摸底</w:t>
            </w:r>
          </w:p>
          <w:p>
            <w:pPr>
              <w:pStyle w:val="null3"/>
              <w:jc w:val="both"/>
            </w:pPr>
            <w:r>
              <w:rPr>
                <w:rFonts w:ascii="仿宋_GB2312" w:hAnsi="仿宋_GB2312" w:cs="仿宋_GB2312" w:eastAsia="仿宋_GB2312"/>
                <w:sz w:val="24"/>
              </w:rPr>
              <w:t>全面弄清</w:t>
            </w:r>
            <w:r>
              <w:rPr>
                <w:rFonts w:ascii="仿宋_GB2312" w:hAnsi="仿宋_GB2312" w:cs="仿宋_GB2312" w:eastAsia="仿宋_GB2312"/>
                <w:sz w:val="24"/>
              </w:rPr>
              <w:t>23个乡镇农村劳动力培训意愿，精准掌握劳动力培训需求、意向工种、参训时间等信息；并结合当地产业发展情况、重大项目用工需求等，确定当地当年技能培训工种、培训规模、培训计划等初步方案，确保培训贴合实际、精准有效。</w:t>
            </w:r>
          </w:p>
          <w:p>
            <w:pPr>
              <w:pStyle w:val="null3"/>
              <w:jc w:val="both"/>
            </w:pPr>
            <w:r>
              <w:rPr>
                <w:rFonts w:ascii="仿宋_GB2312" w:hAnsi="仿宋_GB2312" w:cs="仿宋_GB2312" w:eastAsia="仿宋_GB2312"/>
                <w:sz w:val="24"/>
              </w:rPr>
              <w:t>2.培训政策宣传动员</w:t>
            </w:r>
          </w:p>
          <w:p>
            <w:pPr>
              <w:pStyle w:val="null3"/>
              <w:jc w:val="both"/>
            </w:pPr>
            <w:r>
              <w:rPr>
                <w:rFonts w:ascii="仿宋_GB2312" w:hAnsi="仿宋_GB2312" w:cs="仿宋_GB2312" w:eastAsia="仿宋_GB2312"/>
                <w:sz w:val="24"/>
              </w:rPr>
              <w:t>通过召开政策宣讲会、乡村坝坝会、入户走访、分发宣传资料、线上线下推送等多种方式宣传技能培训相关政策，鼓励农村劳动力，特别是年龄偏大、文化偏低、就业能力较弱的村民质效政策、主动参加培训。</w:t>
            </w:r>
          </w:p>
          <w:p>
            <w:pPr>
              <w:pStyle w:val="null3"/>
              <w:jc w:val="both"/>
            </w:pPr>
            <w:r>
              <w:rPr>
                <w:rFonts w:ascii="仿宋_GB2312" w:hAnsi="仿宋_GB2312" w:cs="仿宋_GB2312" w:eastAsia="仿宋_GB2312"/>
                <w:sz w:val="24"/>
              </w:rPr>
              <w:t>3.培训组织实施</w:t>
            </w:r>
          </w:p>
          <w:p>
            <w:pPr>
              <w:pStyle w:val="null3"/>
              <w:jc w:val="both"/>
            </w:pPr>
            <w:r>
              <w:rPr>
                <w:rFonts w:ascii="仿宋_GB2312" w:hAnsi="仿宋_GB2312" w:cs="仿宋_GB2312" w:eastAsia="仿宋_GB2312"/>
                <w:sz w:val="24"/>
              </w:rPr>
              <w:t>配合职业承训机构组织有意义的农村劳动力积极参与培训，督促学员认真学习技能知识、掌握一门技能。全年组织技能培训</w:t>
            </w:r>
            <w:r>
              <w:rPr>
                <w:rFonts w:ascii="仿宋_GB2312" w:hAnsi="仿宋_GB2312" w:cs="仿宋_GB2312" w:eastAsia="仿宋_GB2312"/>
                <w:sz w:val="24"/>
              </w:rPr>
              <w:t>2000人以上，切实提升农村劳动力就业技能水平。</w:t>
            </w:r>
          </w:p>
          <w:p>
            <w:pPr>
              <w:pStyle w:val="null3"/>
              <w:jc w:val="both"/>
            </w:pPr>
            <w:r>
              <w:rPr>
                <w:rFonts w:ascii="仿宋_GB2312" w:hAnsi="仿宋_GB2312" w:cs="仿宋_GB2312" w:eastAsia="仿宋_GB2312"/>
                <w:sz w:val="24"/>
              </w:rPr>
              <w:t>4、过程监管</w:t>
            </w:r>
          </w:p>
          <w:p>
            <w:pPr>
              <w:pStyle w:val="null3"/>
              <w:jc w:val="both"/>
            </w:pPr>
            <w:r>
              <w:rPr>
                <w:rFonts w:ascii="仿宋_GB2312" w:hAnsi="仿宋_GB2312" w:cs="仿宋_GB2312" w:eastAsia="仿宋_GB2312"/>
                <w:sz w:val="24"/>
              </w:rPr>
              <w:t>实行开班备案、全程监管督导、随机抽查，考勤打卡、视频监控等技术，杜绝</w:t>
            </w:r>
            <w:r>
              <w:rPr>
                <w:rFonts w:ascii="仿宋_GB2312" w:hAnsi="仿宋_GB2312" w:cs="仿宋_GB2312" w:eastAsia="仿宋_GB2312"/>
                <w:sz w:val="24"/>
              </w:rPr>
              <w:t>“空转”，“走过场”。按照凡补必进，不进不补原则将培训项目信息录入四川省职业技能培训实名制管理系统。</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5、考核评估</w:t>
            </w:r>
          </w:p>
          <w:p>
            <w:pPr>
              <w:pStyle w:val="null3"/>
              <w:jc w:val="both"/>
            </w:pPr>
            <w:r>
              <w:rPr>
                <w:rFonts w:ascii="仿宋_GB2312" w:hAnsi="仿宋_GB2312" w:cs="仿宋_GB2312" w:eastAsia="仿宋_GB2312"/>
                <w:sz w:val="24"/>
              </w:rPr>
              <w:t>培训结束后开展结业考核，按照</w:t>
            </w:r>
            <w:r>
              <w:rPr>
                <w:rFonts w:ascii="仿宋_GB2312" w:hAnsi="仿宋_GB2312" w:cs="仿宋_GB2312" w:eastAsia="仿宋_GB2312"/>
                <w:sz w:val="24"/>
              </w:rPr>
              <w:t>“取证一人、补贴一人”的原则核算职业技能培训补贴总额。</w:t>
            </w:r>
          </w:p>
          <w:p>
            <w:pPr>
              <w:pStyle w:val="null3"/>
              <w:jc w:val="both"/>
            </w:pPr>
            <w:r>
              <w:rPr>
                <w:rFonts w:ascii="仿宋_GB2312" w:hAnsi="仿宋_GB2312" w:cs="仿宋_GB2312" w:eastAsia="仿宋_GB2312"/>
                <w:sz w:val="24"/>
              </w:rPr>
              <w:t>6.培训后跟踪服务</w:t>
            </w:r>
          </w:p>
          <w:p>
            <w:pPr>
              <w:pStyle w:val="null3"/>
              <w:jc w:val="both"/>
            </w:pPr>
            <w:r>
              <w:rPr>
                <w:rFonts w:ascii="仿宋_GB2312" w:hAnsi="仿宋_GB2312" w:cs="仿宋_GB2312" w:eastAsia="仿宋_GB2312"/>
                <w:sz w:val="24"/>
              </w:rPr>
              <w:t>针对劳动力培训的工种推荐相应岗位，鼓励学员积极就业。</w:t>
            </w:r>
          </w:p>
          <w:p>
            <w:pPr>
              <w:pStyle w:val="null3"/>
              <w:jc w:val="both"/>
            </w:pPr>
            <w:r>
              <w:rPr>
                <w:rFonts w:ascii="仿宋_GB2312" w:hAnsi="仿宋_GB2312" w:cs="仿宋_GB2312" w:eastAsia="仿宋_GB2312"/>
                <w:sz w:val="24"/>
              </w:rPr>
              <w:t>并定期进行跟踪回访就业情况、稳岗情况，建立培训就业跟踪台账，及时解决学员就业过程中遇到的问题，提升培训后就业率和稳岗率。</w:t>
            </w:r>
          </w:p>
          <w:p>
            <w:pPr>
              <w:pStyle w:val="null3"/>
              <w:jc w:val="both"/>
            </w:pPr>
            <w:r>
              <w:rPr>
                <w:rFonts w:ascii="仿宋_GB2312" w:hAnsi="仿宋_GB2312" w:cs="仿宋_GB2312" w:eastAsia="仿宋_GB2312"/>
                <w:sz w:val="24"/>
              </w:rPr>
              <w:t>五、其他服务</w:t>
            </w:r>
          </w:p>
          <w:p>
            <w:pPr>
              <w:pStyle w:val="null3"/>
              <w:jc w:val="left"/>
            </w:pPr>
            <w:r>
              <w:rPr>
                <w:rFonts w:ascii="仿宋_GB2312" w:hAnsi="仿宋_GB2312" w:cs="仿宋_GB2312" w:eastAsia="仿宋_GB2312"/>
                <w:sz w:val="24"/>
              </w:rPr>
              <w:t>完成人才服务、公共就业规划及政策研究、基础性科学人才再培训等工作。承接政府部门委托的其他公共就业服务事项，严格按照委托要求，保质保量完成各项临时性、专项性公共就业服务工作，全力配合做好就业创业服务各项保障工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成本补偿和风险分担约定</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1）成本补偿：无。 （2）风险承担：中标（成交）供应商按有关规定采取严格的项目实施安全措施，承担由于自身安全措施不力造成的事故责任和因此发生的费用及后果。中标（成交）供应商投入本项目工作人员的人身安全由供应商负责。中标（成交）供应商应为本项目工作人员购买人身意外伤害险及与项目施工有关的一切保险。凡在项目实施过程中发生安全责任事故或其他责任事故，均由成交供应商承担全部民事和刑事责任，采购人概不负责。</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自合同签订之日起1095日（本项目采购三年，本项目预算为一年预算。采购合同一年一签）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盐源县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按照采购文件第二章供应商须知-2.6.6.履约验收方案执行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1、签订合同后服务3个月，达到付款条件起15日内，支付合同总金额的25.00%</w:t>
            </w:r>
          </w:p>
          <w:p>
            <w:pPr>
              <w:pStyle w:val="null3"/>
              <w:jc w:val="left"/>
            </w:pPr>
            <w:r>
              <w:rPr>
                <w:rFonts w:ascii="仿宋_GB2312" w:hAnsi="仿宋_GB2312" w:cs="仿宋_GB2312" w:eastAsia="仿宋_GB2312"/>
              </w:rPr>
              <w:t>2、服务3个月，达到付款条件起15日内，支付合同总金额的25.00%</w:t>
            </w:r>
          </w:p>
          <w:p>
            <w:pPr>
              <w:pStyle w:val="null3"/>
              <w:jc w:val="left"/>
            </w:pPr>
            <w:r>
              <w:rPr>
                <w:rFonts w:ascii="仿宋_GB2312" w:hAnsi="仿宋_GB2312" w:cs="仿宋_GB2312" w:eastAsia="仿宋_GB2312"/>
              </w:rPr>
              <w:t>3、服务3个月，达到付款条件起15日内，支付合同总金额的25.00%</w:t>
            </w:r>
          </w:p>
          <w:p>
            <w:pPr>
              <w:pStyle w:val="null3"/>
              <w:jc w:val="left"/>
            </w:pPr>
            <w:r>
              <w:rPr>
                <w:rFonts w:ascii="仿宋_GB2312" w:hAnsi="仿宋_GB2312" w:cs="仿宋_GB2312" w:eastAsia="仿宋_GB2312"/>
              </w:rPr>
              <w:t>4、服务3个月，达到付款条件起15日内，支付合同总金额的25.00%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1、甲方违约责任（1）甲方必须遵守本合同并执行合同中的各项规定，保证本合同的正常履行；（2）如因甲方原因导致变更、中止或者终止本合同的，甲方应当依照 本合同约定对乙方受到的损失予以赔偿或者补偿。 2、乙方违约责任 （1）乙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（3）乙方偿付的违约金不足以弥补甲方损失的，还应按甲方损失尚未弥补的部分，支付赔偿金给甲方。 争议解决办法合同履行期间,若双方发生争议，可协商或由有关部门调解解决，协商或调解不成的，由当事人依法维护其合法权益，并由合同履行地人民法院会裁定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评分因素：项目实施方案（供应商应根据本项目实际情况制定相应的项目实施方案包括不限于:①针对本项目科学的总体流程；②履约目标与重难点分析；③项目全生命周期管理制度；④安全保障措施；⑤人员培训方案。）；服务内容实施细则（供应商针对本项目核心服务；①各乡（镇）社区就业指导；②创业指导；③政策宣传；④职业技能培训；⑤农村劳动力转移就业；⑥政府委托的其他就业公共服务）；管理办法（供应商应根据本项目实际情况制定相应的管理办法。具体项目实施保障包括但不限于以下内容：①财务管理办法；②考核管理办法；③现场管理办法；④日常管理制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第三章“技术、服务及其他要求”均可</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扫描件并进行电子签章。</w:t>
            </w:r>
          </w:p>
        </w:tc>
        <w:tc>
          <w:tcPr>
            <w:tcW w:type="dxa" w:w="1661"/>
          </w:tcPr>
          <w:p>
            <w:pPr>
              <w:pStyle w:val="null3"/>
              <w:jc w:val="left"/>
            </w:pPr>
            <w:r>
              <w:rPr>
                <w:rFonts w:ascii="仿宋_GB2312" w:hAnsi="仿宋_GB2312" w:cs="仿宋_GB2312" w:eastAsia="仿宋_GB2312"/>
              </w:rPr>
              <w:t>响应文件封面,具有独立承担民事责任能力的证明材料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投标人公章）；⑤也可提供具有健全的财务会计制度的承诺函原件。（①-④复印件并进行电子签章；⑤承诺函格式自拟并进行电子签章。以上五项提供任意一项即可）</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采购文件中的明确要求进行单独响应或提供证明材料或承诺的实质性要求。 供应商在《技术、服务及其他要求应答表》中须对采购文件第3章“3.1.采购内容”、“3.2.技术要求”、“3.3服务要求”、“3.4其他要求”中的全部内容响应，并进行电子签章。要求了提供证明材料的，须按要求在《技术、服务及其他要求应答表》中逐一提供。</w:t>
            </w:r>
          </w:p>
        </w:tc>
        <w:tc>
          <w:tcPr>
            <w:tcW w:type="dxa" w:w="1661"/>
          </w:tcPr>
          <w:p>
            <w:pPr>
              <w:pStyle w:val="null3"/>
              <w:jc w:val="left"/>
            </w:pPr>
            <w:r>
              <w:rPr>
                <w:rFonts w:ascii="仿宋_GB2312" w:hAnsi="仿宋_GB2312" w:cs="仿宋_GB2312" w:eastAsia="仿宋_GB2312"/>
              </w:rPr>
              <w:t>技术、服务及其他要求应答表,知识产权声明函,其他供应商认为需要提供的文件和资料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应根据本项目实际情况制定相应的项目实施方案包括不限于:①针对本项目科学的总体流程；②履约目标与重难点分析；③项目全生命周期管理制度；④安全保障措施；⑤人员培训方案。方案符合采购文件要求的得35分，每有一项缺项或漏项扣7分，每有一项内容中有一处缺陷扣3.5分，扣完为止。（注：以上内容缺陷是指非专门针对本项目或不适用项目特性的情形、内容不完整、套用其他项目方案、引用的规范及标准错误或失效、不利于项目实施、不可能实现的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评审细则及标准中要求供应商提供的佐证资料及方案等</w:t>
            </w:r>
          </w:p>
        </w:tc>
      </w:tr>
      <w:tr>
        <w:tc>
          <w:tcPr>
            <w:tcW w:type="dxa" w:w="831"/>
            <w:vMerge/>
          </w:tcPr>
          <w:p/>
        </w:tc>
        <w:tc>
          <w:tcPr>
            <w:tcW w:type="dxa" w:w="1661"/>
          </w:tcPr>
          <w:p>
            <w:pPr>
              <w:pStyle w:val="null3"/>
              <w:jc w:val="left"/>
            </w:pPr>
            <w:r>
              <w:rPr>
                <w:rFonts w:ascii="仿宋_GB2312" w:hAnsi="仿宋_GB2312" w:cs="仿宋_GB2312" w:eastAsia="仿宋_GB2312"/>
              </w:rPr>
              <w:t>服务内容实施细则</w:t>
            </w:r>
          </w:p>
        </w:tc>
        <w:tc>
          <w:tcPr>
            <w:tcW w:type="dxa" w:w="2575"/>
          </w:tcPr>
          <w:p>
            <w:pPr>
              <w:pStyle w:val="null3"/>
              <w:jc w:val="left"/>
            </w:pPr>
            <w:r>
              <w:rPr>
                <w:rFonts w:ascii="仿宋_GB2312" w:hAnsi="仿宋_GB2312" w:cs="仿宋_GB2312" w:eastAsia="仿宋_GB2312"/>
              </w:rPr>
              <w:t>供应商针对本项目核心服务；①各乡（镇）社区就业指导；②创业指导；③政策宣传；④职业技能培训；⑤农村劳动力转移就业；⑥政府委托的其他就业公共服务。方案符合采购文件要求的得30分，每有一项缺项或漏项扣5分，每有一项内容中有一处缺陷扣2.5分，扣完为止。（注：以上内容缺陷是指非专门针对本项目或不适用项目特性的情形、内容不完整、套用其他项目方案、引用的规范及标准错误或失效、不利于项目实施、不可能实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评审细则及标准中要求供应商提供的佐证资料及方案等</w:t>
            </w:r>
          </w:p>
        </w:tc>
      </w:tr>
      <w:tr>
        <w:tc>
          <w:tcPr>
            <w:tcW w:type="dxa" w:w="831"/>
            <w:vMerge/>
          </w:tcPr>
          <w:p/>
        </w:tc>
        <w:tc>
          <w:tcPr>
            <w:tcW w:type="dxa" w:w="1661"/>
          </w:tcPr>
          <w:p>
            <w:pPr>
              <w:pStyle w:val="null3"/>
              <w:jc w:val="left"/>
            </w:pPr>
            <w:r>
              <w:rPr>
                <w:rFonts w:ascii="仿宋_GB2312" w:hAnsi="仿宋_GB2312" w:cs="仿宋_GB2312" w:eastAsia="仿宋_GB2312"/>
              </w:rPr>
              <w:t>管理办法</w:t>
            </w:r>
          </w:p>
        </w:tc>
        <w:tc>
          <w:tcPr>
            <w:tcW w:type="dxa" w:w="2575"/>
          </w:tcPr>
          <w:p>
            <w:pPr>
              <w:pStyle w:val="null3"/>
              <w:jc w:val="left"/>
            </w:pPr>
            <w:r>
              <w:rPr>
                <w:rFonts w:ascii="仿宋_GB2312" w:hAnsi="仿宋_GB2312" w:cs="仿宋_GB2312" w:eastAsia="仿宋_GB2312"/>
              </w:rPr>
              <w:t>供应商应根据本项目实际情况制定相应的管理办法。具体项目实施保障包括但不限于以下内容：①财务管理办法；②考核管理办法；③现场管理办法；④日常管理制度。方案符合采购文件要求的得20分，每有一项缺项或漏项扣5分，每有一项内容中有一处缺陷扣2.5分，扣完为止。（注：以上内容缺陷是指非专门针对本项目或不适用项目特性的情形、内容不完整、套用其他项目方案、引用的规范及标准错误或失效、不利于项目实施、不可能实现的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评审细则及标准中要求供应商提供的佐证资料及方案等</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详见附件：评审细则及标准中要求供应商提供的佐证资料及方案等</w:t>
      </w:r>
    </w:p>
    <w:p>
      <w:pPr>
        <w:pStyle w:val="null3"/>
        <w:ind w:firstLine="960"/>
        <w:jc w:val="left"/>
      </w:pPr>
      <w:r>
        <w:rPr>
          <w:rFonts w:ascii="仿宋_GB2312" w:hAnsi="仿宋_GB2312" w:cs="仿宋_GB2312" w:eastAsia="仿宋_GB2312"/>
        </w:rPr>
        <w:t>详见附件：其他供应商认为需要提供的文件和资料</w:t>
      </w:r>
    </w:p>
    <w:p>
      <w:pPr>
        <w:pStyle w:val="null3"/>
        <w:ind w:firstLine="960"/>
        <w:jc w:val="left"/>
      </w:pPr>
      <w:r>
        <w:rPr>
          <w:rFonts w:ascii="仿宋_GB2312" w:hAnsi="仿宋_GB2312" w:cs="仿宋_GB2312" w:eastAsia="仿宋_GB2312"/>
        </w:rPr>
        <w:t>详见附件：知识产权声明函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