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67E0D">
      <w:pPr>
        <w:spacing w:line="360" w:lineRule="auto"/>
        <w:ind w:left="-440" w:leftChars="-200" w:firstLine="280" w:firstLineChars="100"/>
        <w:rPr>
          <w:rFonts w:ascii="宋体" w:hAnsi="宋体" w:eastAsia="宋体" w:cs="宋体"/>
          <w:color w:val="auto"/>
          <w:sz w:val="28"/>
          <w:szCs w:val="28"/>
          <w:lang w:eastAsia="zh-CN"/>
        </w:rPr>
      </w:pPr>
      <w:r>
        <w:rPr>
          <w:rFonts w:hint="eastAsia" w:ascii="宋体" w:hAnsi="宋体" w:eastAsia="宋体" w:cs="宋体"/>
          <w:color w:val="auto"/>
          <w:sz w:val="28"/>
          <w:szCs w:val="28"/>
          <w:lang w:eastAsia="zh-CN"/>
        </w:rPr>
        <w:t>合同登记编号：</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661"/>
        <w:gridCol w:w="661"/>
        <w:gridCol w:w="661"/>
        <w:gridCol w:w="661"/>
        <w:gridCol w:w="661"/>
        <w:gridCol w:w="661"/>
        <w:gridCol w:w="661"/>
        <w:gridCol w:w="661"/>
        <w:gridCol w:w="661"/>
        <w:gridCol w:w="661"/>
        <w:gridCol w:w="661"/>
        <w:gridCol w:w="661"/>
        <w:gridCol w:w="661"/>
      </w:tblGrid>
      <w:tr w14:paraId="23F20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661" w:type="dxa"/>
          </w:tcPr>
          <w:p w14:paraId="23F141E1">
            <w:pPr>
              <w:spacing w:line="360" w:lineRule="auto"/>
              <w:rPr>
                <w:rFonts w:ascii="宋体" w:hAnsi="宋体" w:eastAsia="宋体" w:cs="宋体"/>
                <w:color w:val="auto"/>
                <w:sz w:val="28"/>
                <w:szCs w:val="28"/>
                <w:lang w:eastAsia="zh-CN"/>
              </w:rPr>
            </w:pPr>
          </w:p>
        </w:tc>
        <w:tc>
          <w:tcPr>
            <w:tcW w:w="661" w:type="dxa"/>
          </w:tcPr>
          <w:p w14:paraId="70DF052B">
            <w:pPr>
              <w:spacing w:line="360" w:lineRule="auto"/>
              <w:rPr>
                <w:rFonts w:ascii="宋体" w:hAnsi="宋体" w:eastAsia="宋体" w:cs="宋体"/>
                <w:color w:val="auto"/>
                <w:sz w:val="28"/>
                <w:szCs w:val="28"/>
                <w:lang w:eastAsia="zh-CN"/>
              </w:rPr>
            </w:pPr>
          </w:p>
        </w:tc>
        <w:tc>
          <w:tcPr>
            <w:tcW w:w="661" w:type="dxa"/>
          </w:tcPr>
          <w:p w14:paraId="7DCAC013">
            <w:pPr>
              <w:spacing w:line="360" w:lineRule="auto"/>
              <w:rPr>
                <w:rFonts w:ascii="宋体" w:hAnsi="宋体" w:eastAsia="宋体" w:cs="宋体"/>
                <w:color w:val="auto"/>
                <w:sz w:val="28"/>
                <w:szCs w:val="28"/>
                <w:lang w:eastAsia="zh-CN"/>
              </w:rPr>
            </w:pPr>
          </w:p>
        </w:tc>
        <w:tc>
          <w:tcPr>
            <w:tcW w:w="661" w:type="dxa"/>
          </w:tcPr>
          <w:p w14:paraId="193F9782">
            <w:pPr>
              <w:spacing w:line="360" w:lineRule="auto"/>
              <w:rPr>
                <w:rFonts w:ascii="宋体" w:hAnsi="宋体" w:eastAsia="宋体" w:cs="宋体"/>
                <w:color w:val="auto"/>
                <w:sz w:val="28"/>
                <w:szCs w:val="28"/>
                <w:lang w:eastAsia="zh-CN"/>
              </w:rPr>
            </w:pPr>
          </w:p>
        </w:tc>
        <w:tc>
          <w:tcPr>
            <w:tcW w:w="661" w:type="dxa"/>
          </w:tcPr>
          <w:p w14:paraId="10D8A827">
            <w:pPr>
              <w:spacing w:line="360" w:lineRule="auto"/>
              <w:rPr>
                <w:rFonts w:ascii="宋体" w:hAnsi="宋体" w:eastAsia="宋体" w:cs="宋体"/>
                <w:color w:val="auto"/>
                <w:sz w:val="28"/>
                <w:szCs w:val="28"/>
                <w:lang w:eastAsia="zh-CN"/>
              </w:rPr>
            </w:pPr>
          </w:p>
        </w:tc>
        <w:tc>
          <w:tcPr>
            <w:tcW w:w="661" w:type="dxa"/>
          </w:tcPr>
          <w:p w14:paraId="77708E73">
            <w:pPr>
              <w:spacing w:line="360" w:lineRule="auto"/>
              <w:rPr>
                <w:rFonts w:ascii="宋体" w:hAnsi="宋体" w:eastAsia="宋体" w:cs="宋体"/>
                <w:color w:val="auto"/>
                <w:sz w:val="28"/>
                <w:szCs w:val="28"/>
                <w:lang w:eastAsia="zh-CN"/>
              </w:rPr>
            </w:pPr>
          </w:p>
        </w:tc>
        <w:tc>
          <w:tcPr>
            <w:tcW w:w="661" w:type="dxa"/>
          </w:tcPr>
          <w:p w14:paraId="0E34FA24">
            <w:pPr>
              <w:spacing w:line="360" w:lineRule="auto"/>
              <w:rPr>
                <w:rFonts w:ascii="宋体" w:hAnsi="宋体" w:eastAsia="宋体" w:cs="宋体"/>
                <w:color w:val="auto"/>
                <w:sz w:val="28"/>
                <w:szCs w:val="28"/>
                <w:lang w:eastAsia="zh-CN"/>
              </w:rPr>
            </w:pPr>
          </w:p>
        </w:tc>
        <w:tc>
          <w:tcPr>
            <w:tcW w:w="661" w:type="dxa"/>
          </w:tcPr>
          <w:p w14:paraId="4C397B83">
            <w:pPr>
              <w:spacing w:line="360" w:lineRule="auto"/>
              <w:rPr>
                <w:rFonts w:ascii="宋体" w:hAnsi="宋体" w:eastAsia="宋体" w:cs="宋体"/>
                <w:color w:val="auto"/>
                <w:sz w:val="28"/>
                <w:szCs w:val="28"/>
                <w:lang w:eastAsia="zh-CN"/>
              </w:rPr>
            </w:pPr>
          </w:p>
        </w:tc>
        <w:tc>
          <w:tcPr>
            <w:tcW w:w="661" w:type="dxa"/>
          </w:tcPr>
          <w:p w14:paraId="2EE268AE">
            <w:pPr>
              <w:spacing w:line="360" w:lineRule="auto"/>
              <w:rPr>
                <w:rFonts w:ascii="宋体" w:hAnsi="宋体" w:eastAsia="宋体" w:cs="宋体"/>
                <w:color w:val="auto"/>
                <w:sz w:val="28"/>
                <w:szCs w:val="28"/>
                <w:lang w:eastAsia="zh-CN"/>
              </w:rPr>
            </w:pPr>
          </w:p>
        </w:tc>
        <w:tc>
          <w:tcPr>
            <w:tcW w:w="661" w:type="dxa"/>
          </w:tcPr>
          <w:p w14:paraId="2C61AA90">
            <w:pPr>
              <w:spacing w:line="360" w:lineRule="auto"/>
              <w:rPr>
                <w:rFonts w:ascii="宋体" w:hAnsi="宋体" w:eastAsia="宋体" w:cs="宋体"/>
                <w:color w:val="auto"/>
                <w:sz w:val="28"/>
                <w:szCs w:val="28"/>
                <w:lang w:eastAsia="zh-CN"/>
              </w:rPr>
            </w:pPr>
          </w:p>
        </w:tc>
        <w:tc>
          <w:tcPr>
            <w:tcW w:w="661" w:type="dxa"/>
          </w:tcPr>
          <w:p w14:paraId="2C3A08E5">
            <w:pPr>
              <w:spacing w:line="360" w:lineRule="auto"/>
              <w:rPr>
                <w:rFonts w:ascii="宋体" w:hAnsi="宋体" w:eastAsia="宋体" w:cs="宋体"/>
                <w:color w:val="auto"/>
                <w:sz w:val="28"/>
                <w:szCs w:val="28"/>
                <w:lang w:eastAsia="zh-CN"/>
              </w:rPr>
            </w:pPr>
          </w:p>
        </w:tc>
        <w:tc>
          <w:tcPr>
            <w:tcW w:w="661" w:type="dxa"/>
          </w:tcPr>
          <w:p w14:paraId="2C42C7C4">
            <w:pPr>
              <w:spacing w:line="360" w:lineRule="auto"/>
              <w:rPr>
                <w:rFonts w:ascii="宋体" w:hAnsi="宋体" w:eastAsia="宋体" w:cs="宋体"/>
                <w:color w:val="auto"/>
                <w:sz w:val="28"/>
                <w:szCs w:val="28"/>
                <w:lang w:eastAsia="zh-CN"/>
              </w:rPr>
            </w:pPr>
          </w:p>
        </w:tc>
        <w:tc>
          <w:tcPr>
            <w:tcW w:w="661" w:type="dxa"/>
          </w:tcPr>
          <w:p w14:paraId="74AF01AB">
            <w:pPr>
              <w:spacing w:line="360" w:lineRule="auto"/>
              <w:rPr>
                <w:rFonts w:ascii="宋体" w:hAnsi="宋体" w:eastAsia="宋体" w:cs="宋体"/>
                <w:color w:val="auto"/>
                <w:sz w:val="28"/>
                <w:szCs w:val="28"/>
                <w:lang w:eastAsia="zh-CN"/>
              </w:rPr>
            </w:pPr>
          </w:p>
        </w:tc>
        <w:tc>
          <w:tcPr>
            <w:tcW w:w="661" w:type="dxa"/>
          </w:tcPr>
          <w:p w14:paraId="6C9A7E42">
            <w:pPr>
              <w:spacing w:line="360" w:lineRule="auto"/>
              <w:rPr>
                <w:rFonts w:ascii="宋体" w:hAnsi="宋体" w:eastAsia="宋体" w:cs="宋体"/>
                <w:color w:val="auto"/>
                <w:sz w:val="28"/>
                <w:szCs w:val="28"/>
                <w:lang w:eastAsia="zh-CN"/>
              </w:rPr>
            </w:pPr>
          </w:p>
        </w:tc>
      </w:tr>
    </w:tbl>
    <w:p w14:paraId="01A1EC29">
      <w:pPr>
        <w:spacing w:line="360" w:lineRule="auto"/>
        <w:rPr>
          <w:rFonts w:ascii="宋体" w:hAnsi="宋体" w:eastAsia="宋体" w:cs="宋体"/>
          <w:color w:val="auto"/>
          <w:sz w:val="28"/>
          <w:szCs w:val="28"/>
          <w:lang w:eastAsia="zh-CN"/>
        </w:rPr>
      </w:pPr>
    </w:p>
    <w:p w14:paraId="2F3800F9">
      <w:pPr>
        <w:spacing w:line="360" w:lineRule="auto"/>
        <w:ind w:firstLine="480"/>
        <w:jc w:val="both"/>
        <w:textAlignment w:val="baseline"/>
        <w:rPr>
          <w:rFonts w:ascii="宋体" w:hAnsi="宋体" w:eastAsia="宋体" w:cs="宋体"/>
          <w:color w:val="auto"/>
          <w:sz w:val="24"/>
          <w:szCs w:val="24"/>
          <w:lang w:eastAsia="zh-CN" w:bidi="ar"/>
        </w:rPr>
      </w:pPr>
      <w:r>
        <w:rPr>
          <w:rFonts w:hint="eastAsia" w:ascii="宋体" w:hAnsi="宋体" w:eastAsia="宋体" w:cs="宋体"/>
          <w:color w:val="auto"/>
          <w:sz w:val="24"/>
          <w:szCs w:val="24"/>
          <w:lang w:eastAsia="zh-CN" w:bidi="ar"/>
        </w:rPr>
        <w:t>项目名称：四川省甘孜州稻城县2026年金沙江（南段）高原湿地水源涵养与高山生物多样性保护修复项目监理</w:t>
      </w:r>
    </w:p>
    <w:p w14:paraId="3DC9D18D">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合同编号：XXXX。</w:t>
      </w:r>
    </w:p>
    <w:p w14:paraId="0C57AB2F">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签订地点：XXXX。</w:t>
      </w:r>
    </w:p>
    <w:p w14:paraId="486E7709">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签订时间：XXXX年XX月XX日。</w:t>
      </w:r>
    </w:p>
    <w:p w14:paraId="67FDE4E8">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采购人（甲方）：</w:t>
      </w:r>
      <w:r>
        <w:rPr>
          <w:rFonts w:hint="eastAsia" w:ascii="宋体" w:hAnsi="宋体" w:eastAsia="宋体" w:cs="宋体"/>
          <w:color w:val="auto"/>
          <w:sz w:val="24"/>
          <w:szCs w:val="24"/>
          <w:u w:val="single" w:color="000000"/>
          <w:lang w:eastAsia="zh-CN"/>
        </w:rPr>
        <w:t xml:space="preserve">                             </w:t>
      </w:r>
    </w:p>
    <w:p w14:paraId="166387B1">
      <w:pPr>
        <w:spacing w:line="360" w:lineRule="auto"/>
        <w:ind w:firstLine="480"/>
        <w:jc w:val="both"/>
        <w:textAlignment w:val="baseline"/>
        <w:rPr>
          <w:rFonts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供应商（乙方）：</w:t>
      </w:r>
      <w:r>
        <w:rPr>
          <w:rFonts w:hint="eastAsia" w:ascii="宋体" w:hAnsi="宋体" w:eastAsia="宋体" w:cs="宋体"/>
          <w:color w:val="auto"/>
          <w:sz w:val="24"/>
          <w:szCs w:val="24"/>
          <w:u w:val="single" w:color="000000"/>
          <w:lang w:eastAsia="zh-CN"/>
        </w:rPr>
        <w:t xml:space="preserve">                             </w:t>
      </w:r>
    </w:p>
    <w:p w14:paraId="2803091B">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依据《中华人民共和国民法典》、《中华人民共和国政府采购法》与项目行业有关的法律法规，乙方的《响应文件》及《成交通知书》，甲、乙双方同意签订本合同。详细技术说明及其他有关合同项目的特定信息由合同附件予以说明，合同附件及本项目的《竞争性磋商文件》、《响应文件》、《成交通知书》等均为本合同的组成部分。</w:t>
      </w:r>
    </w:p>
    <w:p w14:paraId="67975C9C">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项目基本情况</w:t>
      </w:r>
    </w:p>
    <w:p w14:paraId="3638CA24">
      <w:pPr>
        <w:spacing w:line="360" w:lineRule="auto"/>
        <w:ind w:firstLine="42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1、XXXX；</w:t>
      </w:r>
    </w:p>
    <w:p w14:paraId="03104F95">
      <w:pPr>
        <w:spacing w:line="360" w:lineRule="auto"/>
        <w:ind w:firstLine="42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2、XXXX；</w:t>
      </w:r>
    </w:p>
    <w:p w14:paraId="29DA3BD4">
      <w:pPr>
        <w:spacing w:line="360" w:lineRule="auto"/>
        <w:ind w:firstLine="42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w:t>
      </w:r>
    </w:p>
    <w:p w14:paraId="2765A245">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合同期限</w:t>
      </w:r>
    </w:p>
    <w:p w14:paraId="58983636">
      <w:pPr>
        <w:spacing w:line="360" w:lineRule="auto"/>
        <w:ind w:firstLine="42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1、XXXX；</w:t>
      </w:r>
    </w:p>
    <w:p w14:paraId="7B527317">
      <w:pPr>
        <w:spacing w:line="360" w:lineRule="auto"/>
        <w:ind w:firstLine="42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2、XXXX；</w:t>
      </w:r>
    </w:p>
    <w:p w14:paraId="3C5B8463">
      <w:pPr>
        <w:spacing w:line="360" w:lineRule="auto"/>
        <w:ind w:firstLine="42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w:t>
      </w:r>
    </w:p>
    <w:p w14:paraId="71F1FA0E">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服务内容与质量标准</w:t>
      </w:r>
    </w:p>
    <w:p w14:paraId="07E83984">
      <w:pPr>
        <w:spacing w:line="360" w:lineRule="auto"/>
        <w:ind w:firstLine="42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1、XXXX；</w:t>
      </w:r>
    </w:p>
    <w:p w14:paraId="2C92FB7B">
      <w:pPr>
        <w:spacing w:line="360" w:lineRule="auto"/>
        <w:ind w:firstLine="42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2、XXXX；</w:t>
      </w:r>
    </w:p>
    <w:p w14:paraId="532A3A1B">
      <w:pPr>
        <w:spacing w:line="360" w:lineRule="auto"/>
        <w:ind w:firstLine="42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3、XXXX．</w:t>
      </w:r>
    </w:p>
    <w:p w14:paraId="20570B34">
      <w:pPr>
        <w:spacing w:line="360" w:lineRule="auto"/>
        <w:ind w:firstLine="48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w:t>
      </w:r>
    </w:p>
    <w:p w14:paraId="455C4B33">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服务费用及支付方式</w:t>
      </w:r>
    </w:p>
    <w:p w14:paraId="12684121">
      <w:pPr>
        <w:numPr>
          <w:ilvl w:val="0"/>
          <w:numId w:val="2"/>
        </w:numPr>
        <w:spacing w:line="360" w:lineRule="auto"/>
        <w:ind w:left="0" w:firstLine="567"/>
        <w:jc w:val="both"/>
        <w:textAlignment w:val="baseline"/>
        <w:rPr>
          <w:rFonts w:ascii="宋体" w:hAnsi="宋体" w:eastAsia="宋体" w:cs="宋体"/>
          <w:b/>
          <w:color w:val="auto"/>
          <w:sz w:val="24"/>
          <w:szCs w:val="24"/>
          <w:lang w:eastAsia="zh-CN"/>
        </w:rPr>
      </w:pPr>
      <w:r>
        <w:rPr>
          <w:rFonts w:hint="eastAsia" w:ascii="宋体" w:hAnsi="宋体" w:eastAsia="宋体" w:cs="宋体"/>
          <w:b/>
          <w:color w:val="auto"/>
          <w:sz w:val="24"/>
          <w:szCs w:val="24"/>
          <w:lang w:eastAsia="zh-CN"/>
        </w:rPr>
        <w:t>本项目服务费用由以下组成：</w:t>
      </w:r>
    </w:p>
    <w:p w14:paraId="09EA980D">
      <w:pPr>
        <w:spacing w:line="360" w:lineRule="auto"/>
        <w:ind w:firstLine="48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1、XX万元；</w:t>
      </w:r>
    </w:p>
    <w:p w14:paraId="21C6244F">
      <w:pPr>
        <w:spacing w:line="360" w:lineRule="auto"/>
        <w:ind w:firstLine="48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2、XX万元；</w:t>
      </w:r>
    </w:p>
    <w:p w14:paraId="0DF05FEB">
      <w:pPr>
        <w:spacing w:line="360" w:lineRule="auto"/>
        <w:ind w:firstLine="48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3、XX万元。</w:t>
      </w:r>
    </w:p>
    <w:p w14:paraId="4548565E">
      <w:pPr>
        <w:spacing w:line="360" w:lineRule="auto"/>
        <w:ind w:firstLine="48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w:t>
      </w:r>
    </w:p>
    <w:p w14:paraId="641BAC44">
      <w:pPr>
        <w:numPr>
          <w:ilvl w:val="0"/>
          <w:numId w:val="2"/>
        </w:numPr>
        <w:tabs>
          <w:tab w:val="left" w:pos="780"/>
        </w:tabs>
        <w:spacing w:line="360" w:lineRule="auto"/>
        <w:ind w:left="0" w:firstLine="567"/>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 xml:space="preserve">服务费支付方式： </w:t>
      </w:r>
    </w:p>
    <w:p w14:paraId="0181B2D6">
      <w:pPr>
        <w:pStyle w:val="3"/>
        <w:spacing w:line="360" w:lineRule="auto"/>
        <w:ind w:left="920" w:right="63" w:hanging="480"/>
        <w:jc w:val="both"/>
        <w:textAlignment w:val="baseline"/>
        <w:rPr>
          <w:rFonts w:ascii="宋体" w:hAnsi="宋体" w:eastAsia="宋体" w:cs="宋体"/>
          <w:color w:val="auto"/>
          <w:sz w:val="24"/>
          <w:szCs w:val="24"/>
        </w:rPr>
      </w:pPr>
    </w:p>
    <w:p w14:paraId="2631F302">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知识产权</w:t>
      </w:r>
    </w:p>
    <w:p w14:paraId="19F5B0A5">
      <w:pPr>
        <w:tabs>
          <w:tab w:val="left" w:pos="1440"/>
        </w:tabs>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乙方应保证所提供的服务或其任何一部分均不会侵犯任何第三方的专利权、商标权或著作权。</w:t>
      </w:r>
    </w:p>
    <w:p w14:paraId="160B1B18">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无产权瑕疵条款</w:t>
      </w:r>
    </w:p>
    <w:p w14:paraId="0E261916">
      <w:pPr>
        <w:tabs>
          <w:tab w:val="left" w:pos="1440"/>
        </w:tabs>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乙方保证所提供的服务的所有权完全属于乙方且无任何抵押、查封等产权瑕疵。如有产权瑕疵的，视为乙方违约。乙方应负担由此而产生的一切损失。</w:t>
      </w:r>
    </w:p>
    <w:p w14:paraId="3680A11B">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履约保证金</w:t>
      </w:r>
    </w:p>
    <w:p w14:paraId="7A2C606A">
      <w:pPr>
        <w:spacing w:line="360" w:lineRule="auto"/>
        <w:ind w:firstLine="480"/>
        <w:textAlignment w:val="baseline"/>
        <w:rPr>
          <w:rFonts w:ascii="宋体" w:hAnsi="宋体" w:eastAsia="宋体" w:cs="宋体"/>
          <w:bCs/>
          <w:color w:val="auto"/>
          <w:sz w:val="24"/>
          <w:szCs w:val="24"/>
        </w:rPr>
      </w:pPr>
      <w:r>
        <w:rPr>
          <w:rFonts w:hint="eastAsia" w:ascii="宋体" w:hAnsi="宋体" w:eastAsia="宋体" w:cs="宋体"/>
          <w:color w:val="auto"/>
          <w:sz w:val="24"/>
          <w:szCs w:val="24"/>
        </w:rPr>
        <w:t>……</w:t>
      </w:r>
    </w:p>
    <w:p w14:paraId="48E845D3">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甲方的权利和义务</w:t>
      </w:r>
    </w:p>
    <w:p w14:paraId="4FD2F8F5">
      <w:pPr>
        <w:spacing w:line="360" w:lineRule="auto"/>
        <w:ind w:firstLine="480"/>
        <w:textAlignment w:val="baseline"/>
        <w:rPr>
          <w:rFonts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1、甲方有权对合同规定范围内乙方的服务行为进行监督和检查，拥有监管权。有权定期核对乙方提供服务所配备的人员数量。对甲方认为不合理的部分有权下达整改通知书，并要求乙方限期整改。</w:t>
      </w:r>
    </w:p>
    <w:p w14:paraId="079EDDA5">
      <w:pPr>
        <w:spacing w:line="360" w:lineRule="auto"/>
        <w:ind w:firstLine="480"/>
        <w:textAlignment w:val="baseline"/>
        <w:rPr>
          <w:rFonts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2、甲方有权依据双方签订的考评办法对乙方提供的服务进行定期考评。当考评结果未达到标准时，有权依据考评办法约定的数额扣除服务费用。</w:t>
      </w:r>
    </w:p>
    <w:p w14:paraId="69BF0099">
      <w:pPr>
        <w:spacing w:line="360" w:lineRule="auto"/>
        <w:ind w:firstLine="480"/>
        <w:textAlignment w:val="baseline"/>
        <w:rPr>
          <w:rFonts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3、负责检查监督乙方管理工作的实施及制度的执行情况。</w:t>
      </w:r>
    </w:p>
    <w:p w14:paraId="09A95384">
      <w:pPr>
        <w:spacing w:line="360" w:lineRule="auto"/>
        <w:ind w:firstLine="480"/>
        <w:textAlignment w:val="baseline"/>
        <w:rPr>
          <w:rFonts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4、根据本合同规定，按时向乙方支付应付服务费用。</w:t>
      </w:r>
    </w:p>
    <w:p w14:paraId="058E1935">
      <w:pPr>
        <w:spacing w:line="360" w:lineRule="auto"/>
        <w:ind w:firstLine="480"/>
        <w:textAlignment w:val="baseline"/>
        <w:rPr>
          <w:rFonts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5、国家法律、法规所规定由甲方承担的其他责任。</w:t>
      </w:r>
    </w:p>
    <w:p w14:paraId="30E91C42">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乙方的权利和义务</w:t>
      </w:r>
    </w:p>
    <w:p w14:paraId="555582F1">
      <w:pPr>
        <w:spacing w:line="360" w:lineRule="auto"/>
        <w:ind w:firstLine="480"/>
        <w:textAlignment w:val="baseline"/>
        <w:rPr>
          <w:rFonts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1、对本合同规定的委托服务范围内的项目享有管理权及服务义务。</w:t>
      </w:r>
    </w:p>
    <w:p w14:paraId="1C081A44">
      <w:pPr>
        <w:spacing w:line="360" w:lineRule="auto"/>
        <w:ind w:firstLine="480"/>
        <w:textAlignment w:val="baseline"/>
        <w:rPr>
          <w:rFonts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2、根据本合同的规定向甲方收取相关服务费用，并有权在本项目管理范围内管理及合理使用。</w:t>
      </w:r>
    </w:p>
    <w:p w14:paraId="06CE55E1">
      <w:pPr>
        <w:spacing w:line="360" w:lineRule="auto"/>
        <w:ind w:firstLine="480"/>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3、及时向甲方通告本项目服务范围内有关服务的重大事项，及时配合处理投诉。</w:t>
      </w:r>
    </w:p>
    <w:p w14:paraId="33E62353">
      <w:pPr>
        <w:spacing w:line="360" w:lineRule="auto"/>
        <w:ind w:firstLine="480"/>
        <w:textAlignment w:val="baseline"/>
        <w:rPr>
          <w:rFonts w:ascii="宋体" w:hAnsi="宋体" w:eastAsia="宋体" w:cs="宋体"/>
          <w:bCs/>
          <w:color w:val="auto"/>
          <w:sz w:val="24"/>
          <w:szCs w:val="24"/>
          <w:lang w:eastAsia="zh-CN"/>
        </w:rPr>
      </w:pPr>
      <w:r>
        <w:rPr>
          <w:rFonts w:hint="eastAsia" w:ascii="宋体" w:hAnsi="宋体" w:eastAsia="宋体" w:cs="宋体"/>
          <w:color w:val="auto"/>
          <w:sz w:val="24"/>
          <w:szCs w:val="24"/>
          <w:lang w:eastAsia="zh-CN"/>
        </w:rPr>
        <w:t>4、</w:t>
      </w:r>
      <w:r>
        <w:rPr>
          <w:rFonts w:hint="eastAsia" w:ascii="宋体" w:hAnsi="宋体" w:eastAsia="宋体" w:cs="宋体"/>
          <w:bCs/>
          <w:color w:val="auto"/>
          <w:sz w:val="24"/>
          <w:szCs w:val="24"/>
          <w:lang w:eastAsia="zh-CN"/>
        </w:rPr>
        <w:t>接受项目行业管理部门及政府有关部门的指导，接受甲方的监督。</w:t>
      </w:r>
    </w:p>
    <w:p w14:paraId="0D27E264">
      <w:pPr>
        <w:spacing w:line="360" w:lineRule="auto"/>
        <w:ind w:firstLine="480"/>
        <w:textAlignment w:val="baseline"/>
        <w:rPr>
          <w:rFonts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5、国家法律、法规所规定由乙方承担的其他责任。</w:t>
      </w:r>
    </w:p>
    <w:p w14:paraId="3C5EF05A">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违约责任</w:t>
      </w:r>
    </w:p>
    <w:p w14:paraId="2511F65D">
      <w:pPr>
        <w:spacing w:line="360" w:lineRule="auto"/>
        <w:ind w:firstLine="480"/>
        <w:textAlignment w:val="baseline"/>
        <w:rPr>
          <w:rFonts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1、甲乙双方必须遵守本合同并执行合同中的各项规定，保证本合同的正常履行。</w:t>
      </w:r>
    </w:p>
    <w:p w14:paraId="2D91FBA6">
      <w:pPr>
        <w:spacing w:line="360" w:lineRule="auto"/>
        <w:ind w:firstLine="480"/>
        <w:textAlignment w:val="baseline"/>
        <w:rPr>
          <w:rFonts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3945C0">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不可抗力事件处理</w:t>
      </w:r>
    </w:p>
    <w:p w14:paraId="306A1033">
      <w:pPr>
        <w:tabs>
          <w:tab w:val="left" w:pos="0"/>
        </w:tabs>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1、在合同有效期内，任何一方因不可抗力事件导致不能履行合同，则合同履行期可延长，其延长期与不可抗力影响期相同。</w:t>
      </w:r>
    </w:p>
    <w:p w14:paraId="66C11D2F">
      <w:pPr>
        <w:tabs>
          <w:tab w:val="left" w:pos="0"/>
        </w:tabs>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2、不可抗力事件发生后，应立即通知对方，并寄送有关权威机构出具的证明。</w:t>
      </w:r>
    </w:p>
    <w:p w14:paraId="4CD5B230">
      <w:pPr>
        <w:tabs>
          <w:tab w:val="left" w:pos="0"/>
        </w:tabs>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3、不可抗力事件延续XX天以上，双方应通过友好协商，确定是否继续履行合同。</w:t>
      </w:r>
    </w:p>
    <w:p w14:paraId="1B27A7B2">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解决合同纠纷的方式</w:t>
      </w:r>
    </w:p>
    <w:p w14:paraId="6E28982F">
      <w:pPr>
        <w:tabs>
          <w:tab w:val="left" w:pos="0"/>
        </w:tabs>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1、在执行本合同中发生的或与本合同有关的争端，双方应通过友好协商解决，经协商在XX天内不能达成协议时，双方均可向项目所在地人民法院提起诉讼。</w:t>
      </w:r>
    </w:p>
    <w:p w14:paraId="6F77C3F1">
      <w:pPr>
        <w:tabs>
          <w:tab w:val="left" w:pos="0"/>
        </w:tabs>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2、仲裁裁决应为最终决定，并对双方具有约束力。</w:t>
      </w:r>
    </w:p>
    <w:p w14:paraId="70289F9A">
      <w:pPr>
        <w:tabs>
          <w:tab w:val="left" w:pos="0"/>
        </w:tabs>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3、除另有裁决外，仲裁费应由败诉方负担。 </w:t>
      </w:r>
    </w:p>
    <w:p w14:paraId="623AFFB0">
      <w:pPr>
        <w:tabs>
          <w:tab w:val="left" w:pos="0"/>
        </w:tabs>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4、在仲裁期间，除正在进行仲裁部分外，合同其他部分继续执行。  </w:t>
      </w:r>
    </w:p>
    <w:p w14:paraId="31A4441F">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合同生效及其他</w:t>
      </w:r>
    </w:p>
    <w:p w14:paraId="0B42FEBB">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1、合同经双方法定代表人或授权委托代理人签字并加盖单位公章后生效。</w:t>
      </w:r>
    </w:p>
    <w:p w14:paraId="1619757A">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2、合同执行中涉及采购资金和采购内容修改或补充的，须经政府采购监管部门审批，并签书面补充协议报政府采购监督管理部门备案，方可作为主合同不可分割的一部分。</w:t>
      </w:r>
    </w:p>
    <w:p w14:paraId="01A1EEBC">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3、本合同一式XX份，自双方签章之日起起效。甲方XX份，乙方XX份，政府采购代理机构1份，同级财政部门备案XX份，具有同等法律效力。</w:t>
      </w:r>
    </w:p>
    <w:p w14:paraId="2492A6C0">
      <w:pPr>
        <w:numPr>
          <w:ilvl w:val="0"/>
          <w:numId w:val="1"/>
        </w:numPr>
        <w:spacing w:line="360" w:lineRule="auto"/>
        <w:jc w:val="both"/>
        <w:textAlignment w:val="baseline"/>
        <w:rPr>
          <w:rFonts w:ascii="宋体" w:hAnsi="宋体" w:eastAsia="宋体" w:cs="宋体"/>
          <w:b/>
          <w:color w:val="auto"/>
          <w:sz w:val="24"/>
          <w:szCs w:val="24"/>
        </w:rPr>
      </w:pPr>
      <w:r>
        <w:rPr>
          <w:rFonts w:hint="eastAsia" w:ascii="宋体" w:hAnsi="宋体" w:eastAsia="宋体" w:cs="宋体"/>
          <w:b/>
          <w:color w:val="auto"/>
          <w:sz w:val="24"/>
          <w:szCs w:val="24"/>
        </w:rPr>
        <w:t>附件</w:t>
      </w:r>
    </w:p>
    <w:p w14:paraId="0CBF9C7C">
      <w:pPr>
        <w:spacing w:line="360" w:lineRule="auto"/>
        <w:ind w:firstLine="48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1、项目磋商文件</w:t>
      </w:r>
    </w:p>
    <w:p w14:paraId="7BFAF3D1">
      <w:pPr>
        <w:spacing w:line="360" w:lineRule="auto"/>
        <w:ind w:firstLine="48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2、项目修改澄清文件</w:t>
      </w:r>
    </w:p>
    <w:p w14:paraId="1A8FB2B5">
      <w:pPr>
        <w:spacing w:line="360" w:lineRule="auto"/>
        <w:ind w:firstLine="48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3、项目响应文件</w:t>
      </w:r>
    </w:p>
    <w:p w14:paraId="111BEDD8">
      <w:pPr>
        <w:spacing w:line="360" w:lineRule="auto"/>
        <w:ind w:firstLine="48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4、成交通知书</w:t>
      </w:r>
    </w:p>
    <w:p w14:paraId="7AFA05C5">
      <w:pPr>
        <w:spacing w:line="360" w:lineRule="auto"/>
        <w:ind w:firstLine="480"/>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rPr>
        <w:t>5、其他</w:t>
      </w:r>
    </w:p>
    <w:p w14:paraId="3350E4E1">
      <w:pPr>
        <w:spacing w:line="360" w:lineRule="auto"/>
        <w:ind w:firstLine="480"/>
        <w:jc w:val="both"/>
        <w:textAlignment w:val="baseline"/>
        <w:rPr>
          <w:rFonts w:ascii="宋体" w:hAnsi="宋体" w:eastAsia="宋体" w:cs="宋体"/>
          <w:color w:val="auto"/>
          <w:sz w:val="24"/>
          <w:szCs w:val="24"/>
        </w:rPr>
      </w:pPr>
    </w:p>
    <w:p w14:paraId="76D25E48">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甲方：   （盖章）                   乙方：   （盖章）</w:t>
      </w:r>
    </w:p>
    <w:p w14:paraId="083558EE">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法定代表人（授权代表）：            法定代表人（授权代表）：</w:t>
      </w:r>
    </w:p>
    <w:p w14:paraId="553D6557">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地    址：                          地    址：</w:t>
      </w:r>
    </w:p>
    <w:p w14:paraId="2CE231CA">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开户银行：                          开户银行：</w:t>
      </w:r>
    </w:p>
    <w:p w14:paraId="4E57E0D6">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账   号：                           账   号：</w:t>
      </w:r>
    </w:p>
    <w:p w14:paraId="394D3C7D">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电   话：                           电   话：</w:t>
      </w:r>
    </w:p>
    <w:p w14:paraId="6697356E">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传   真：                           传   真：</w:t>
      </w:r>
    </w:p>
    <w:p w14:paraId="292AA739">
      <w:pPr>
        <w:spacing w:line="360" w:lineRule="auto"/>
        <w:ind w:firstLine="480"/>
        <w:jc w:val="both"/>
        <w:textAlignment w:val="baseline"/>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签约日期：                          签约日期： </w:t>
      </w:r>
    </w:p>
    <w:p w14:paraId="2A60BF89">
      <w:pPr>
        <w:pStyle w:val="3"/>
        <w:spacing w:line="360" w:lineRule="auto"/>
        <w:ind w:left="920" w:right="63" w:hanging="480"/>
        <w:jc w:val="both"/>
        <w:textAlignment w:val="baseline"/>
        <w:rPr>
          <w:rFonts w:ascii="宋体" w:hAnsi="宋体" w:eastAsia="宋体" w:cs="宋体"/>
          <w:color w:val="auto"/>
          <w:sz w:val="24"/>
          <w:szCs w:val="24"/>
          <w:lang w:eastAsia="zh-CN"/>
        </w:rPr>
      </w:pPr>
    </w:p>
    <w:p w14:paraId="35B4EE58">
      <w:pPr>
        <w:spacing w:line="360" w:lineRule="auto"/>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注：合同条款可根据采购人及成交人签订合同时的实际情况进行修改调整。</w:t>
      </w:r>
    </w:p>
    <w:p w14:paraId="14EB9C0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C2199"/>
    <w:multiLevelType w:val="multilevel"/>
    <w:tmpl w:val="1D9C2199"/>
    <w:lvl w:ilvl="0" w:tentative="0">
      <w:start w:val="1"/>
      <w:numFmt w:val="chineseCountingThousand"/>
      <w:suff w:val="nothing"/>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C2C4B8D"/>
    <w:multiLevelType w:val="singleLevel"/>
    <w:tmpl w:val="2C2C4B8D"/>
    <w:lvl w:ilvl="0" w:tentative="0">
      <w:start w:val="1"/>
      <w:numFmt w:val="japaneseCounting"/>
      <w:lvlText w:val="第%1条"/>
      <w:lvlJc w:val="left"/>
      <w:pPr>
        <w:tabs>
          <w:tab w:val="left" w:pos="1521"/>
        </w:tabs>
        <w:ind w:left="1521" w:hanging="1095"/>
      </w:pPr>
      <w:rPr>
        <w:b/>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55130D"/>
    <w:rsid w:val="60551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heme="minorHAnsi" w:hAnsiTheme="minorHAnsi" w:eastAsiaTheme="minorEastAsia" w:cstheme="minorBidi"/>
      <w:sz w:val="22"/>
      <w:szCs w:val="22"/>
      <w:lang w:val="en-US" w:eastAsia="en-US" w:bidi="ar-SA"/>
    </w:rPr>
  </w:style>
  <w:style w:type="paragraph" w:styleId="2">
    <w:name w:val="heading 2"/>
    <w:basedOn w:val="1"/>
    <w:next w:val="1"/>
    <w:unhideWhenUsed/>
    <w:qFormat/>
    <w:uiPriority w:val="9"/>
    <w:pPr>
      <w:outlineLvl w:val="1"/>
    </w:pPr>
    <w:rPr>
      <w:rFonts w:ascii="方正小标宋_GBK" w:hAnsi="方正小标宋_GBK" w:eastAsia="方正小标宋_GBK" w:cs="宋体"/>
      <w:sz w:val="44"/>
      <w:szCs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unhideWhenUsed/>
    <w:qFormat/>
    <w:uiPriority w:val="1"/>
    <w:pPr>
      <w:ind w:left="109"/>
    </w:pPr>
    <w:rPr>
      <w:rFonts w:ascii="方正仿宋_GBK" w:hAnsi="方正仿宋_GBK" w:eastAsia="方正仿宋_GBK"/>
      <w:sz w:val="32"/>
      <w:szCs w:val="32"/>
    </w:rPr>
  </w:style>
  <w:style w:type="paragraph" w:styleId="4">
    <w:name w:val="Quote"/>
    <w:next w:val="1"/>
    <w:autoRedefine/>
    <w:qFormat/>
    <w:uiPriority w:val="0"/>
    <w:pPr>
      <w:wordWrap w:val="0"/>
      <w:spacing w:before="200" w:after="160"/>
      <w:ind w:left="864" w:right="864"/>
      <w:jc w:val="center"/>
    </w:pPr>
    <w:rPr>
      <w:rFonts w:ascii="Calibri" w:hAnsi="Calibri" w:eastAsia="Calibri" w:cs="Times New Roman"/>
      <w:i/>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2026-05-07T02:00:00Z</dcterms:created>
  <dc:creator>WPS_1698997858</dc:creator>
  <cp:lastModifiedBy>WPS_1698997858</cp:lastModifiedBy>
  <dcterms:modified xsi:type="dcterms:W3CDTF">2026-05-07T02:01:20Z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5E274BD7C38B407BBDBCB46D21093168_11</vt:lpwstr>
  </property>
  <property fmtid="{D5CDD505-2E9C-101B-9397-08002B2CF9AE}" pid="4" name="KSOTemplateDocerSaveRecord">
    <vt:lpwstr>eyJoZGlkIjoiNWY4YWU1NTA1NmFjOWRmNWQzYzcyMmU2ZTZmZTE2YzciLCJ1c2VySWQiOiIxNTU0NDA5ODc2In0=</vt:lpwstr>
  </property>
</Properties>
</file>