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版本号：N513337202600006820260507001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四川省甘孜州稻城县2026年金沙江（南段）高原湿地水源涵养与高山生物多样性保护修复项目监理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N5133372026000068</w:t>
      </w:r>
    </w:p>
    <w:p>
      <w:pPr>
        <w:pStyle w:val="null3"/>
        <w:jc w:val="center"/>
        <w:outlineLvl w:val="2"/>
      </w:pPr>
      <w:r>
        <w:rPr>
          <w:rFonts w:ascii="仿宋_GB2312" w:hAnsi="仿宋_GB2312" w:cs="仿宋_GB2312" w:eastAsia="仿宋_GB2312"/>
          <w:sz w:val="28"/>
          <w:b/>
        </w:rPr>
        <w:t>稻城县林业和草原局</w:t>
      </w:r>
    </w:p>
    <w:p>
      <w:pPr>
        <w:pStyle w:val="null3"/>
        <w:jc w:val="center"/>
        <w:outlineLvl w:val="2"/>
      </w:pPr>
      <w:r>
        <w:rPr>
          <w:rFonts w:ascii="仿宋_GB2312" w:hAnsi="仿宋_GB2312" w:cs="仿宋_GB2312" w:eastAsia="仿宋_GB2312"/>
          <w:sz w:val="28"/>
          <w:b/>
        </w:rPr>
        <w:t>四川富然招标代理有限公司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四川富然招标代理有限公司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稻城县林业和草原局</w:t>
      </w:r>
      <w:r>
        <w:rPr>
          <w:rFonts w:ascii="仿宋_GB2312" w:hAnsi="仿宋_GB2312" w:cs="仿宋_GB2312" w:eastAsia="仿宋_GB2312"/>
        </w:rPr>
        <w:t xml:space="preserve"> 委托，拟对 </w:t>
      </w:r>
      <w:r>
        <w:rPr>
          <w:rFonts w:ascii="仿宋_GB2312" w:hAnsi="仿宋_GB2312" w:cs="仿宋_GB2312" w:eastAsia="仿宋_GB2312"/>
        </w:rPr>
        <w:t>四川省甘孜州稻城县2026年金沙江（南段）高原湿地水源涵养与高山生物多样性保护修复项目监理</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甘孜藏族自治州稻城县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N5133372026000068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四川省甘孜州稻城县2026年金沙江（南段）高原湿地水源涵养与高山生物多样性保护修复项目监理</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本项目为四川省甘孜州稻城县2026年金沙江（南段）高原湿地水源涵养与高山生物多样性保护修复项目监理服务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1、供应商具有行政主管部门颁发的有效期内的水利工程监理乙级及以上资质证书（描述：供应商具有行政主管部门颁发的有效期内的水利工程监理乙级及以上资质证书，提供有效证书复印件并加盖电子签章）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稻城县林业和草原局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四川省甘孜州稻城县金珠镇波瓦街73号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627750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0836-5725295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四川富然招标代理有限公司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四川省成都市高新区汇川街166号1栋10层11号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15612398083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采购包1：611,400.00元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代理服务费收费标准：本项目定额收取12600元，由成交供应商领取成交通知书前支付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稻城县林业和草原局</w:t>
      </w:r>
      <w:r>
        <w:rPr>
          <w:rFonts w:ascii="仿宋_GB2312" w:hAnsi="仿宋_GB2312" w:cs="仿宋_GB2312" w:eastAsia="仿宋_GB2312"/>
        </w:rPr>
        <w:t xml:space="preserve"> 和 </w:t>
      </w:r>
      <w:r>
        <w:rPr>
          <w:rFonts w:ascii="仿宋_GB2312" w:hAnsi="仿宋_GB2312" w:cs="仿宋_GB2312" w:eastAsia="仿宋_GB2312"/>
        </w:rPr>
        <w:t>四川富然招标代理有限公司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稻城县林业和草原局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四川富然招标代理有限公司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完成所有服务内容之日起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按照本项目采购文件中“服务内容及要求”约定执行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参照《财政部关于进-步加强政府采购需求和履约验收管理的指导意见》(财库(2016) 205号)以及主管部门的相关要求进行验收。由采购人组织履约验收小组，开展项目验收工作， 达到国家相关标准、行业标准、地方标准或者其他标准、规范要求为标准，按照《采购文件》、 《响应文件》和双方签订的《采购合同》，对成交供应商履约情况进行验收，出具验收报告</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稻城县林业和草原局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四川富然招标代理有限公司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四川富然招标代理有限公司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联系人：郭老师</w:t>
      </w:r>
    </w:p>
    <w:p>
      <w:pPr>
        <w:pStyle w:val="null3"/>
        <w:jc w:val="left"/>
      </w:pPr>
      <w:r>
        <w:rPr>
          <w:rFonts w:ascii="仿宋_GB2312" w:hAnsi="仿宋_GB2312" w:cs="仿宋_GB2312" w:eastAsia="仿宋_GB2312"/>
        </w:rPr>
        <w:t>联系电话：0836-5725295</w:t>
      </w:r>
    </w:p>
    <w:p>
      <w:pPr>
        <w:pStyle w:val="null3"/>
        <w:jc w:val="left"/>
      </w:pPr>
      <w:r>
        <w:rPr>
          <w:rFonts w:ascii="仿宋_GB2312" w:hAnsi="仿宋_GB2312" w:cs="仿宋_GB2312" w:eastAsia="仿宋_GB2312"/>
        </w:rPr>
        <w:t>地址：四川省甘孜州稻城县金珠镇波瓦街73号</w:t>
      </w:r>
    </w:p>
    <w:p>
      <w:pPr>
        <w:pStyle w:val="null3"/>
        <w:jc w:val="left"/>
      </w:pPr>
      <w:r>
        <w:rPr>
          <w:rFonts w:ascii="仿宋_GB2312" w:hAnsi="仿宋_GB2312" w:cs="仿宋_GB2312" w:eastAsia="仿宋_GB2312"/>
        </w:rPr>
        <w:t>邮编：627750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联系人：廖老师</w:t>
      </w:r>
    </w:p>
    <w:p>
      <w:pPr>
        <w:pStyle w:val="null3"/>
        <w:jc w:val="left"/>
      </w:pPr>
      <w:r>
        <w:rPr>
          <w:rFonts w:ascii="仿宋_GB2312" w:hAnsi="仿宋_GB2312" w:cs="仿宋_GB2312" w:eastAsia="仿宋_GB2312"/>
        </w:rPr>
        <w:t>联系电话：15612398083</w:t>
      </w:r>
    </w:p>
    <w:p>
      <w:pPr>
        <w:pStyle w:val="null3"/>
        <w:jc w:val="left"/>
      </w:pPr>
      <w:r>
        <w:rPr>
          <w:rFonts w:ascii="仿宋_GB2312" w:hAnsi="仿宋_GB2312" w:cs="仿宋_GB2312" w:eastAsia="仿宋_GB2312"/>
        </w:rPr>
        <w:t>地址：四川省成都市高新区汇川街166号1栋10层11号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611,400.00</w:t>
      </w:r>
    </w:p>
    <w:p>
      <w:pPr>
        <w:pStyle w:val="null3"/>
        <w:jc w:val="left"/>
      </w:pPr>
      <w:r>
        <w:rPr>
          <w:rFonts w:ascii="仿宋_GB2312" w:hAnsi="仿宋_GB2312" w:cs="仿宋_GB2312" w:eastAsia="仿宋_GB2312"/>
        </w:rPr>
        <w:t>采购包最高限价（元）: 611,400.00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C20020600 工程监理服务</w:t>
            </w:r>
          </w:p>
        </w:tc>
        <w:tc>
          <w:tcPr>
            <w:tcW w:type="dxa" w:w="821"/>
          </w:tcPr>
          <w:p>
            <w:pPr>
              <w:pStyle w:val="null3"/>
              <w:jc w:val="left"/>
            </w:pPr>
            <w:r>
              <w:rPr>
                <w:rFonts w:ascii="仿宋_GB2312" w:hAnsi="仿宋_GB2312" w:cs="仿宋_GB2312" w:eastAsia="仿宋_GB2312"/>
              </w:rPr>
              <w:t>四川省甘孜州稻城县2026年金沙江（南段）高原湿地水源涵养与高山生物多样性保护修复项目监理</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611,400.00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四川省甘孜州稻城县2026年金沙江（南段）高原湿地水源涵养与高山生物多样性保护修复项目监理</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611,400.00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的报价是供应商响应采购项目要求的全部工作内容的价格体现，包括完成本项目所涉及人工劳务、差旅费、设备投入、利润、风险、税金、招标代理服务等的一切费用。供应商只允许有一个报价，并且在合同履行过程中是固定不变的，任何有选择或可调整的报价将不予接受，并按无效响应处理</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标的名称：四川省甘孜州稻城县2026年金沙江（南段）高原湿地水源涵养与高山生物多样性保护修复项目监理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left="105"/>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72"/>
              <w:jc w:val="left"/>
            </w:pPr>
            <w:r>
              <w:rPr>
                <w:rFonts w:ascii="仿宋_GB2312" w:hAnsi="仿宋_GB2312" w:cs="仿宋_GB2312" w:eastAsia="仿宋_GB2312"/>
                <w:sz w:val="24"/>
              </w:rPr>
              <w:t>（一）建设地点：稻坝林场、贡岭林场、吉呷镇、省母乡、巨龙乡、桑堆镇、金珠镇和噶通镇。</w:t>
            </w:r>
          </w:p>
          <w:p>
            <w:pPr>
              <w:pStyle w:val="null3"/>
              <w:ind w:firstLine="472"/>
              <w:jc w:val="left"/>
            </w:pPr>
            <w:r>
              <w:rPr>
                <w:rFonts w:ascii="仿宋_GB2312" w:hAnsi="仿宋_GB2312" w:cs="仿宋_GB2312" w:eastAsia="仿宋_GB2312"/>
                <w:sz w:val="24"/>
              </w:rPr>
              <w:t>（二）工程内容及规模：</w:t>
            </w:r>
            <w:r>
              <w:rPr>
                <w:rFonts w:ascii="仿宋_GB2312" w:hAnsi="仿宋_GB2312" w:cs="仿宋_GB2312" w:eastAsia="仿宋_GB2312"/>
                <w:sz w:val="24"/>
              </w:rPr>
              <w:t>2026 年建设规模 4.2 万亩(人工造乔木林 0.69 万亩、人工造灌木林0.02 万亩、退化林修复 1.26 万亩、人工种草 2.03 万亩和沙化土地治理 0.2 万亩),建设网围栏 14.98 万米。</w:t>
            </w:r>
          </w:p>
          <w:p>
            <w:pPr>
              <w:pStyle w:val="null3"/>
              <w:ind w:firstLine="472"/>
              <w:jc w:val="left"/>
            </w:pPr>
            <w:r>
              <w:rPr>
                <w:rFonts w:ascii="仿宋_GB2312" w:hAnsi="仿宋_GB2312" w:cs="仿宋_GB2312" w:eastAsia="仿宋_GB2312"/>
                <w:sz w:val="24"/>
              </w:rPr>
              <w:t>（三）计划工期：</w:t>
            </w:r>
            <w:r>
              <w:rPr>
                <w:rFonts w:ascii="仿宋_GB2312" w:hAnsi="仿宋_GB2312" w:cs="仿宋_GB2312" w:eastAsia="仿宋_GB2312"/>
                <w:sz w:val="24"/>
              </w:rPr>
              <w:t>365 日历天（人工造乔木林、人工造灌木林、退化林修复、人工种草管护期 3 年，沙化土地治理管护期 5 年）。</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二、服务内容及标准要求（实质性要求）</w:t>
            </w:r>
          </w:p>
          <w:p>
            <w:pPr>
              <w:pStyle w:val="null3"/>
              <w:ind w:firstLine="472"/>
              <w:jc w:val="left"/>
            </w:pPr>
            <w:r>
              <w:rPr>
                <w:rFonts w:ascii="仿宋_GB2312" w:hAnsi="仿宋_GB2312" w:cs="仿宋_GB2312" w:eastAsia="仿宋_GB2312"/>
                <w:sz w:val="24"/>
              </w:rPr>
              <w:t>1.服务要求</w:t>
            </w:r>
          </w:p>
          <w:p>
            <w:pPr>
              <w:pStyle w:val="null3"/>
              <w:ind w:firstLine="472"/>
              <w:jc w:val="left"/>
            </w:pPr>
            <w:r>
              <w:rPr>
                <w:rFonts w:ascii="仿宋_GB2312" w:hAnsi="仿宋_GB2312" w:cs="仿宋_GB2312" w:eastAsia="仿宋_GB2312"/>
                <w:sz w:val="24"/>
              </w:rPr>
              <w:t>1.1监理内容：行政主管部门批准的本项目的监理全部内容。包括对项目的施工阶段、验收阶段的全过程监理，包括质量控制、进度控制、造价控制、合同管理、信息管理、安全管理、项目协调等，确保项目按期、高质、高效地完成，并顺利通过验收。</w:t>
            </w:r>
          </w:p>
          <w:p>
            <w:pPr>
              <w:pStyle w:val="null3"/>
              <w:ind w:firstLine="472"/>
              <w:jc w:val="left"/>
            </w:pPr>
            <w:r>
              <w:rPr>
                <w:rFonts w:ascii="仿宋_GB2312" w:hAnsi="仿宋_GB2312" w:cs="仿宋_GB2312" w:eastAsia="仿宋_GB2312"/>
                <w:sz w:val="24"/>
              </w:rPr>
              <w:t>1.2技术标准和要求：符合国家、省及行业的相关技术规范和标准要求。</w:t>
            </w:r>
          </w:p>
          <w:p>
            <w:pPr>
              <w:pStyle w:val="null3"/>
              <w:ind w:firstLine="472"/>
              <w:jc w:val="left"/>
            </w:pPr>
            <w:r>
              <w:rPr>
                <w:rFonts w:ascii="仿宋_GB2312" w:hAnsi="仿宋_GB2312" w:cs="仿宋_GB2312" w:eastAsia="仿宋_GB2312"/>
                <w:sz w:val="24"/>
              </w:rPr>
              <w:t>1.3服务范围：本项目建设的全部内容的施工监理工作，包括施工直至竣工验收及整体移交、缺陷责任期内的缺陷修复等相关监理工作。</w:t>
            </w:r>
          </w:p>
          <w:p>
            <w:pPr>
              <w:pStyle w:val="null3"/>
              <w:ind w:firstLine="472"/>
              <w:jc w:val="left"/>
            </w:pPr>
            <w:r>
              <w:rPr>
                <w:rFonts w:ascii="仿宋_GB2312" w:hAnsi="仿宋_GB2312" w:cs="仿宋_GB2312" w:eastAsia="仿宋_GB2312"/>
                <w:sz w:val="24"/>
              </w:rPr>
              <w:t>1.4服务目标：确保工程安全施工，按合同工期完工，节省投资，工程质量符合国家现行工程施工质量验收规范，达到合格标准。</w:t>
            </w:r>
          </w:p>
          <w:p>
            <w:pPr>
              <w:pStyle w:val="null3"/>
              <w:ind w:firstLine="472"/>
              <w:jc w:val="left"/>
            </w:pPr>
            <w:r>
              <w:rPr>
                <w:rFonts w:ascii="仿宋_GB2312" w:hAnsi="仿宋_GB2312" w:cs="仿宋_GB2312" w:eastAsia="仿宋_GB2312"/>
                <w:sz w:val="24"/>
              </w:rPr>
              <w:t>1.5服务内容：</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工程的施工全过程监理及安全监理，包括质量控制管理、进度控制管理、造价控制管理、投资控制管理、安全文明施工控制管理、合同管理、信息资料管理及项目组织协调工作，配合采购人委托中介机构的审核工作等。</w:t>
            </w:r>
          </w:p>
          <w:p>
            <w:pPr>
              <w:pStyle w:val="null3"/>
              <w:ind w:firstLine="472"/>
              <w:jc w:val="left"/>
            </w:pPr>
            <w:r>
              <w:rPr>
                <w:rFonts w:ascii="仿宋_GB2312" w:hAnsi="仿宋_GB2312" w:cs="仿宋_GB2312" w:eastAsia="仿宋_GB2312"/>
                <w:sz w:val="24"/>
              </w:rPr>
              <w:t>2.严格按照《建设工程监理规范》（GB/T 50319-2013）规定的监理工作要求做好监理工作。</w:t>
            </w:r>
          </w:p>
          <w:p>
            <w:pPr>
              <w:pStyle w:val="null3"/>
              <w:ind w:firstLine="472"/>
              <w:jc w:val="left"/>
            </w:pPr>
            <w:r>
              <w:rPr>
                <w:rFonts w:ascii="仿宋_GB2312" w:hAnsi="仿宋_GB2312" w:cs="仿宋_GB2312" w:eastAsia="仿宋_GB2312"/>
                <w:sz w:val="24"/>
              </w:rPr>
              <w:t>3.监理具体工作包括但不限于以下内容：</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1）协助采购人审查开工报告；</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2）审查承包人各项施工准备工作，下达开工令；</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3）督促承包人施工管理制度和质量保障体系的建立、健全与实施；</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4）审查承包人提交的施工组织设计、施工技术方案和施工进度计划，并监督实施；</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5）编制投资控制计划，控制费用支出，严格审核已完工程量，并按已完工程量签认承包人工程中期付款申请；对变更及新增项目，监理应对工程量进一步确认并审核承包人申报工程造价，以控制费用支出；</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6）经设计咨询单位审核、采购人批准设计变更后，发布施工工程变更令；严格签证，检查督促实施单位执行合同情况；</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7）审查工程使用的原材料、半成品、成品、构配件和设备的质量，必要时进行测试和监控；</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8）监督承包人严格按技术规范和设计文件施工，控制工程质量，采用旁站监理、巡视检查、成果质量抽查、质量控制记录审核等手段实施成果质量控制；重要工程部位督促承包人实施预控措施；</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9）抽查工程施工质量，对隐蔽工程进行复验签证，参与工程质量事故分析及处理；</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10）分阶段进行进度控制，及时提出调整意见；在保证项目质量的基础上监督施工单位计划执行情况，当实际进度滞后于计划进度时，签发《监理通知书》，责令施工单位采取纠偏措施；当实际进度严重滞后于计划进度时，及时汇报采购人；监督合同的履行情况，变更合同时对变更合同进行审核；协助处理合同纠纷和索赔事宜，协调采购人与承包人之间的争议及相关项目协调工作；</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11）对施工单位的安全生产进行督查；监督检查安全生产、文明施工的实施；</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12）编制监理工作月报、监理工作总结和质检运行报告，报采购人和相关主管部门；</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13）督促承包人整理合同文件及施工技术档案资料；</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14）审核竣工图纸和其他技术资料；</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15）编制监理工作竣工资料和项目工程最终总结；</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16）负责工程缺陷责任期内的工程修复、检修、检验、实验及相关监理工作；</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17）签发交工验收证书和工程缺陷责任终止证书；</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18）签发最终支付证书。</w:t>
            </w:r>
          </w:p>
          <w:p>
            <w:pPr>
              <w:pStyle w:val="null3"/>
              <w:jc w:val="left"/>
            </w:pPr>
            <w:r>
              <w:rPr>
                <w:rFonts w:ascii="仿宋_GB2312" w:hAnsi="仿宋_GB2312" w:cs="仿宋_GB2312" w:eastAsia="仿宋_GB2312"/>
                <w:sz w:val="24"/>
              </w:rPr>
              <w:t>4.供应商服务人员在项目履约过程中的一切安全责任由供应商自行承担。</w:t>
            </w:r>
            <w:r>
              <w:rPr>
                <w:rFonts w:ascii="仿宋_GB2312" w:hAnsi="仿宋_GB2312" w:cs="仿宋_GB2312" w:eastAsia="仿宋_GB2312"/>
                <w:sz w:val="24"/>
                <w:b/>
              </w:rPr>
              <w:t>（提供单独承诺函，格式自拟）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1.供应商针对本项目提供项目监理组织措施进行包括①监理目标、②监理范围、③监理程序、④监理工作流程设计、⑤监理工程特点分析、⑥监理实施重难点分析及工作措施；</w:t>
            </w:r>
          </w:p>
          <w:p>
            <w:pPr>
              <w:pStyle w:val="null3"/>
              <w:jc w:val="left"/>
            </w:pPr>
            <w:r>
              <w:rPr>
                <w:rFonts w:ascii="仿宋_GB2312" w:hAnsi="仿宋_GB2312" w:cs="仿宋_GB2312" w:eastAsia="仿宋_GB2312"/>
                <w:sz w:val="24"/>
              </w:rPr>
              <w:t>2.供应商针对本项目提供质量控制监理措施包括①质量检查控制方案、②材料进场检验方案、③施工现场质量控制措施及质量验收措施；</w:t>
            </w:r>
          </w:p>
          <w:p>
            <w:pPr>
              <w:pStyle w:val="null3"/>
              <w:jc w:val="left"/>
            </w:pPr>
            <w:r>
              <w:rPr>
                <w:rFonts w:ascii="仿宋_GB2312" w:hAnsi="仿宋_GB2312" w:cs="仿宋_GB2312" w:eastAsia="仿宋_GB2312"/>
                <w:sz w:val="24"/>
              </w:rPr>
              <w:t>3.供应商针对本项目提供安全控制措施包括①审查施工承包单位的施工安全方案、②安全控制专项方案、③施工机械设备检查方案；</w:t>
            </w:r>
          </w:p>
          <w:p>
            <w:pPr>
              <w:pStyle w:val="null3"/>
              <w:jc w:val="left"/>
            </w:pPr>
            <w:r>
              <w:rPr>
                <w:rFonts w:ascii="仿宋_GB2312" w:hAnsi="仿宋_GB2312" w:cs="仿宋_GB2312" w:eastAsia="仿宋_GB2312"/>
                <w:sz w:val="24"/>
              </w:rPr>
              <w:t>4.供应商针对本项目提供成本控制措施包括①资金运用合理化建议、②控制方法程序、③工程变更评估审核方案；</w:t>
            </w:r>
          </w:p>
          <w:p>
            <w:pPr>
              <w:pStyle w:val="null3"/>
              <w:jc w:val="left"/>
            </w:pPr>
            <w:r>
              <w:rPr>
                <w:rFonts w:ascii="仿宋_GB2312" w:hAnsi="仿宋_GB2312" w:cs="仿宋_GB2312" w:eastAsia="仿宋_GB2312"/>
                <w:sz w:val="24"/>
              </w:rPr>
              <w:t>5.供应商针对本项目提供进度控制措施包括①总进度目标分解及全面控制措施、②工程进度控制要点、③减少工程延期发生的防范对策；</w:t>
            </w:r>
          </w:p>
          <w:p>
            <w:pPr>
              <w:pStyle w:val="null3"/>
              <w:jc w:val="left"/>
            </w:pPr>
            <w:r>
              <w:rPr>
                <w:rFonts w:ascii="仿宋_GB2312" w:hAnsi="仿宋_GB2312" w:cs="仿宋_GB2312" w:eastAsia="仿宋_GB2312"/>
                <w:sz w:val="24"/>
              </w:rPr>
              <w:t>6.供应商针对本项目提供合同和信息管理措施包括①投资控制管理目标及组织措施、②投资目标风险分析、③投资目标风险防范性对策、④合同执行管理方案、⑤对相关施工单位进行量化考核方案；</w:t>
            </w:r>
          </w:p>
          <w:p>
            <w:pPr>
              <w:pStyle w:val="null3"/>
              <w:jc w:val="left"/>
            </w:pPr>
            <w:r>
              <w:rPr>
                <w:rFonts w:ascii="仿宋_GB2312" w:hAnsi="仿宋_GB2312" w:cs="仿宋_GB2312" w:eastAsia="仿宋_GB2312"/>
                <w:sz w:val="24"/>
              </w:rPr>
              <w:t>7.提供相关人员配备；</w:t>
            </w:r>
          </w:p>
          <w:p>
            <w:pPr>
              <w:pStyle w:val="null3"/>
              <w:jc w:val="left"/>
            </w:pPr>
            <w:r>
              <w:rPr>
                <w:rFonts w:ascii="仿宋_GB2312" w:hAnsi="仿宋_GB2312" w:cs="仿宋_GB2312" w:eastAsia="仿宋_GB2312"/>
                <w:sz w:val="24"/>
              </w:rPr>
              <w:t>8.供应商提供自2023年1月1日（含1月1日）以来类似项目业绩；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4"/>
              </w:rPr>
              <w:t>供应商的报价是供应商响应采购项目要求的全部工作内容的价格体现，包括完成本项目所涉及人工劳务、差旅费、设备投入、利润、风险、税金、招标代理服务等的一切费用。供应商只允许有一个报价，并且在合同履行过程中是固定不变的，任何有选择或可调整的报价将不予接受，并按无效响应处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施工工期（365 日历天），管护期（人工造乔木林、人工造灌木林、退化林修复、人工种草管护期 3 年，沙化土地治理管护期 5 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稻城县，采购人指定地点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 7、履约验收时间：完成所有服务内容之日起10日内组织验收。 8）验收组织的其他事项：/ 4、技术履约验收内容：按照本项目采购文件中“服务内容及要求”约定执行。 5、商务履约验收内容：按照本项目采购文件中“商务要求”约定执行。 6、验收标准：参照《财政部关于进-步加强政府采购需求和履约验收管理的指导意见》(财库(2016) 205号)以及主管部门的相关要求进行验收。由采购人组织履约验收小组，开展项目验收工作， 达到国家相关标准、行业标准、地方标准或者其他标准、规范要求为标准，按照《采购文件》、 《响应文件》和双方签订的《采购合同》，对成交供应商履约情况进行验收，出具验收报告</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1、预付款，合同签订后，达到付款条件起14日内，支付合同总金额的40.00%</w:t>
            </w:r>
          </w:p>
          <w:p>
            <w:pPr>
              <w:pStyle w:val="null3"/>
              <w:jc w:val="left"/>
            </w:pPr>
            <w:r>
              <w:rPr>
                <w:rFonts w:ascii="仿宋_GB2312" w:hAnsi="仿宋_GB2312" w:cs="仿宋_GB2312" w:eastAsia="仿宋_GB2312"/>
              </w:rPr>
              <w:t>2、进度款，本项目工程量完成80%后，达到付款条件起14日内，支付合同总金额的40.00%</w:t>
            </w:r>
          </w:p>
          <w:p>
            <w:pPr>
              <w:pStyle w:val="null3"/>
              <w:jc w:val="left"/>
            </w:pPr>
            <w:r>
              <w:rPr>
                <w:rFonts w:ascii="仿宋_GB2312" w:hAnsi="仿宋_GB2312" w:cs="仿宋_GB2312" w:eastAsia="仿宋_GB2312"/>
              </w:rPr>
              <w:t>3、尾款，竣工验收合格后，达到付款条件起14日内，支付合同总金额的20.00%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1.1、供应商提供的服务不符合本合同规定的，每出现一次违约（合同涉及“日期”和“天数”的，每逾期一天，视为一次违约），供应商须向采购人支付本合同总价1%的违约金并且按采购人要求进行整改，出现违约3次以上或不按采购人要求整改的，采购人有权无条件解除本合同并要求供应商缴纳罚款。 1.2、供应商保证本合同的权利无瑕疵，包括服务成果所有权及知识产权等权利无瑕疵。如任何第三方经法院（或仲裁机构）裁决有权对上述产品主张权利，由供应商承担经济责任的，供应商除应向采购人返还已收款项及利息外，还应另按合同总价的10%向采购人支付违约金并赔偿因此给采购人造成的一切损失。 1.3、当事人一方不履行合同义务或者履行合同义务不符合约定，给对方造成损失的，损失赔偿额应当相当于因违约所造成的的一切损失，包括由此给对方造成的直接损失以及包括但不限于诉讼费、律师费、保全费等间接损失。但是损失赔偿金额以本合同总额为限。 2、争议管辖： 2.1、因服务的质量问题发生争议，由采购人或其指定的第三方机构进行质量鉴定。服务符合标准的，鉴定费由采购人承担；服务不符合质量标准的，鉴定费由供应商承担。 2.2、合同履行期间,若双方发生争议，可协商或由有关部门调解解决，协商或调解不成的，向所在地人民法院起诉。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系统固化原因，本项目推荐成交候选供应商按此执行：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项目监理组织措施，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优先选择少数民族地区的供应商。评审得分且最后报价且技术指标且提供的经评审认定有效的优先采购产品认证证书数量相同且均为少数民族地区供应商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第三章“技术、服务及其他要求”中“3.2.技术要求”，“3.3.服务要求”中全部内容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第七章“拟签订采购合同文本”中全部内容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①若供应商为企业法人的，提供具有统一社会信用代码的“营业执照”复印件，未换证的提供“营业执照、税务登记证、组织机构代码证”复印件； ②若供应商为事业法人的，提供具有统一社会信用代码的“法人登记证书”复印件；未换证的提交“事业法人登记证书、组织机构代码证”复印件； ③若供应商为其他组织的，提供对应主管部门颁发的准许执业的证明文件或营业执照复印件； ④若供应商为自然人的，提供相关“身份证明材料”。 供应商需在项目电子化交易系统中按要求上传相应证明材料并进行电子签章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供应商具有行政主管部门颁发的有效期内的水利工程监理乙级及以上资质证书</w:t>
            </w:r>
          </w:p>
        </w:tc>
        <w:tc>
          <w:tcPr>
            <w:tcW w:type="dxa" w:w="3322"/>
          </w:tcPr>
          <w:p>
            <w:pPr>
              <w:pStyle w:val="null3"/>
              <w:jc w:val="left"/>
            </w:pPr>
            <w:r>
              <w:rPr>
                <w:rFonts w:ascii="仿宋_GB2312" w:hAnsi="仿宋_GB2312" w:cs="仿宋_GB2312" w:eastAsia="仿宋_GB2312"/>
              </w:rPr>
              <w:t>供应商具有行政主管部门颁发的有效期内的水利工程监理乙级及以上资质证书，提供有效证书复印件并加盖电子签章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符合磋商文件的技术、服务要求及其他要求</w:t>
            </w:r>
          </w:p>
        </w:tc>
        <w:tc>
          <w:tcPr>
            <w:tcW w:type="dxa" w:w="3322"/>
          </w:tcPr>
          <w:p>
            <w:pPr>
              <w:pStyle w:val="null3"/>
              <w:jc w:val="left"/>
            </w:pPr>
            <w:r>
              <w:rPr>
                <w:rFonts w:ascii="仿宋_GB2312" w:hAnsi="仿宋_GB2312" w:cs="仿宋_GB2312" w:eastAsia="仿宋_GB2312"/>
              </w:rPr>
              <w:t>供应商按照磋商文件的技术、服务要求及其他要求进行响应</w:t>
            </w:r>
          </w:p>
        </w:tc>
        <w:tc>
          <w:tcPr>
            <w:tcW w:type="dxa" w:w="1661"/>
          </w:tcPr>
          <w:p>
            <w:pPr>
              <w:pStyle w:val="null3"/>
              <w:jc w:val="left"/>
            </w:pPr>
            <w:r>
              <w:rPr>
                <w:rFonts w:ascii="仿宋_GB2312" w:hAnsi="仿宋_GB2312" w:cs="仿宋_GB2312" w:eastAsia="仿宋_GB2312"/>
              </w:rPr>
              <w:t>技术、服务及其他要求应答表,供应商认为需要提交的资料（格式自拟）</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符合磋商文件的商务要求</w:t>
            </w:r>
          </w:p>
        </w:tc>
        <w:tc>
          <w:tcPr>
            <w:tcW w:type="dxa" w:w="3322"/>
          </w:tcPr>
          <w:p>
            <w:pPr>
              <w:pStyle w:val="null3"/>
              <w:jc w:val="left"/>
            </w:pPr>
            <w:r>
              <w:rPr>
                <w:rFonts w:ascii="仿宋_GB2312" w:hAnsi="仿宋_GB2312" w:cs="仿宋_GB2312" w:eastAsia="仿宋_GB2312"/>
              </w:rPr>
              <w:t>供应商按照磋商文件的商务要求进行响应</w:t>
            </w:r>
          </w:p>
        </w:tc>
        <w:tc>
          <w:tcPr>
            <w:tcW w:type="dxa" w:w="1661"/>
          </w:tcPr>
          <w:p>
            <w:pPr>
              <w:pStyle w:val="null3"/>
              <w:jc w:val="left"/>
            </w:pPr>
            <w:r>
              <w:rPr>
                <w:rFonts w:ascii="仿宋_GB2312" w:hAnsi="仿宋_GB2312" w:cs="仿宋_GB2312" w:eastAsia="仿宋_GB2312"/>
              </w:rPr>
              <w:t>商务要求应答表,供应商认为需要提交的资料（格式自拟）</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需要供应商提供证明材料的实质性要求</w:t>
            </w:r>
          </w:p>
        </w:tc>
        <w:tc>
          <w:tcPr>
            <w:tcW w:type="dxa" w:w="3322"/>
          </w:tcPr>
          <w:p>
            <w:pPr>
              <w:pStyle w:val="null3"/>
              <w:jc w:val="left"/>
            </w:pPr>
            <w:r>
              <w:rPr>
                <w:rFonts w:ascii="仿宋_GB2312" w:hAnsi="仿宋_GB2312" w:cs="仿宋_GB2312" w:eastAsia="仿宋_GB2312"/>
              </w:rPr>
              <w:t>供应商需按照磋商文件的要求提供证明材料</w:t>
            </w:r>
          </w:p>
        </w:tc>
        <w:tc>
          <w:tcPr>
            <w:tcW w:type="dxa" w:w="1661"/>
          </w:tcPr>
          <w:p>
            <w:pPr>
              <w:pStyle w:val="null3"/>
              <w:jc w:val="left"/>
            </w:pPr>
            <w:r>
              <w:rPr>
                <w:rFonts w:ascii="仿宋_GB2312" w:hAnsi="仿宋_GB2312" w:cs="仿宋_GB2312" w:eastAsia="仿宋_GB2312"/>
              </w:rPr>
              <w:t>供应商认为需要提交的资料（格式自拟）</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项目监理组织措施</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项目监理组织措施</w:t>
            </w:r>
          </w:p>
        </w:tc>
        <w:tc>
          <w:tcPr>
            <w:tcW w:type="dxa" w:w="2575"/>
          </w:tcPr>
          <w:p>
            <w:pPr>
              <w:pStyle w:val="null3"/>
              <w:jc w:val="left"/>
            </w:pPr>
            <w:r>
              <w:rPr>
                <w:rFonts w:ascii="仿宋_GB2312" w:hAnsi="仿宋_GB2312" w:cs="仿宋_GB2312" w:eastAsia="仿宋_GB2312"/>
              </w:rPr>
              <w:t>根据供应商针对本项目提供的项目监理组织措施进行综合评审，包括①监理目标、②监理范围、③监理程序、④监理工作流程设计、⑤监理工程特点分析、⑥监理实施重难点分析及工作措施，方案齐全且无缺陷的得18分。每缺少一项内容的扣3分；每项中每有一处缺陷扣1.5分，每项最多扣3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质量控制监理措施</w:t>
            </w:r>
          </w:p>
        </w:tc>
        <w:tc>
          <w:tcPr>
            <w:tcW w:type="dxa" w:w="2575"/>
          </w:tcPr>
          <w:p>
            <w:pPr>
              <w:pStyle w:val="null3"/>
              <w:jc w:val="left"/>
            </w:pPr>
            <w:r>
              <w:rPr>
                <w:rFonts w:ascii="仿宋_GB2312" w:hAnsi="仿宋_GB2312" w:cs="仿宋_GB2312" w:eastAsia="仿宋_GB2312"/>
              </w:rPr>
              <w:t>根据供应商针对本项目提供的质量控制监理措施进行综合评审，包括①质量检查控制方案、②材料进场检验方案、③施工现场质量控制措施及质量验收措施，方案齐全且无缺陷的得9分。每缺少一项内容的扣3分；每项中每有一处缺陷扣1.5分，每项最多扣3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安全控制措施</w:t>
            </w:r>
          </w:p>
        </w:tc>
        <w:tc>
          <w:tcPr>
            <w:tcW w:type="dxa" w:w="2575"/>
          </w:tcPr>
          <w:p>
            <w:pPr>
              <w:pStyle w:val="null3"/>
              <w:jc w:val="left"/>
            </w:pPr>
            <w:r>
              <w:rPr>
                <w:rFonts w:ascii="仿宋_GB2312" w:hAnsi="仿宋_GB2312" w:cs="仿宋_GB2312" w:eastAsia="仿宋_GB2312"/>
              </w:rPr>
              <w:t>根据供应商针对本项目提供的安全控制措施进行综合评审包括①审查施工承包单位的施工安全方案、②安全控制专项方案、③施工机械设备检查方案，方案齐全且无缺陷的得9分。每缺少一项内容的扣3分；每项中每有一处缺陷扣1.5分，每项最多扣3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成本控制措施</w:t>
            </w:r>
          </w:p>
        </w:tc>
        <w:tc>
          <w:tcPr>
            <w:tcW w:type="dxa" w:w="2575"/>
          </w:tcPr>
          <w:p>
            <w:pPr>
              <w:pStyle w:val="null3"/>
              <w:jc w:val="left"/>
            </w:pPr>
            <w:r>
              <w:rPr>
                <w:rFonts w:ascii="仿宋_GB2312" w:hAnsi="仿宋_GB2312" w:cs="仿宋_GB2312" w:eastAsia="仿宋_GB2312"/>
              </w:rPr>
              <w:t>根据供应商针对本项目提供的成本控制措施进行综合评审，包括①资金运用合理化建议、②控制方法程序、③工程变更评估审核方案，方案齐全且无缺陷的得9分。每缺少一项内容的扣3分；每项中每有一处缺陷扣1.5分，每项最多扣3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进度控制措施</w:t>
            </w:r>
          </w:p>
        </w:tc>
        <w:tc>
          <w:tcPr>
            <w:tcW w:type="dxa" w:w="2575"/>
          </w:tcPr>
          <w:p>
            <w:pPr>
              <w:pStyle w:val="null3"/>
              <w:jc w:val="left"/>
            </w:pPr>
            <w:r>
              <w:rPr>
                <w:rFonts w:ascii="仿宋_GB2312" w:hAnsi="仿宋_GB2312" w:cs="仿宋_GB2312" w:eastAsia="仿宋_GB2312"/>
              </w:rPr>
              <w:t>根据供应商针对本项目提供的进度控制措施进行综合评审包括①总进度目标分解及全面控制措施、②工程进度控制要点、③减少工程延期发生的防范对策，方案齐全且无缺陷的得9分。每缺少一项内容的扣3分；每项中每有一处缺陷扣1.5分，每项最多扣3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合同和信息管理措施</w:t>
            </w:r>
          </w:p>
        </w:tc>
        <w:tc>
          <w:tcPr>
            <w:tcW w:type="dxa" w:w="2575"/>
          </w:tcPr>
          <w:p>
            <w:pPr>
              <w:pStyle w:val="null3"/>
              <w:jc w:val="left"/>
            </w:pPr>
            <w:r>
              <w:rPr>
                <w:rFonts w:ascii="仿宋_GB2312" w:hAnsi="仿宋_GB2312" w:cs="仿宋_GB2312" w:eastAsia="仿宋_GB2312"/>
              </w:rPr>
              <w:t>根据供应商针对本项目提供的合同和信息管理措施进行综合评审，包括①投资控制管理目标及组织措施、②投资目标风险分析、③投资目标风险防范性对策、④合同执行管理方案、⑤对相关施工单位进行量化考核方案，方案齐全且无缺陷的得10分。每缺少一项内容的扣2分；每项中每有一处缺陷扣1分，每项最多扣2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（1）拟派本项目总监理工程师（1人）：具有全国注册监理工程师（注册专业为水利工程）证书得3分；具有工程类高级及以上职称的得3分，本项最多得6分； （2）拟派本项目水利专业监理工程师（1人）：具有全国注册监理工程师（注册专业为水利工程）证书得3分；具有工程类中级职称的得2分，具有工程类高级及以上职称的得3分，本项最多得6分； （3）拟派本项目环境专业监理工程师（1人）：具有全国注册监理工程师（水利工程建设环境保护监理专业）证书得3分，本项最多得3分； （4）拟派本项目监理员（2人）：每有1人具有全国注册监理工程师（水利类专业）证书得2.5分，本项最多得5分。 注：①以上人员不能为同一人；②提供有效期内的相关证书或证明材料复印件。</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供应商自2023年1月1日（含1月1日）以来，供应商每有一个类似项目业绩的得3分，本项最多得6分。 注：提供中标/成交通知书（以中标/成交通知书落款时间为准）复印件或协议/合同（协议/合同以签订时间为准）复印件，并加盖供应商公章，否则不得分。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w:t>
            </w:r>
          </w:p>
          <w:p>
            <w:pPr>
              <w:pStyle w:val="null3"/>
              <w:jc w:val="left"/>
            </w:pPr>
            <w:r>
              <w:rPr>
                <w:rFonts w:ascii="仿宋_GB2312" w:hAnsi="仿宋_GB2312" w:cs="仿宋_GB2312" w:eastAsia="仿宋_GB2312"/>
              </w:rPr>
              <w:t>供应商认为需要提交的资料（格式自拟）</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详见附件：供应商类似项目业绩一览表</w:t>
      </w:r>
    </w:p>
    <w:p>
      <w:pPr>
        <w:pStyle w:val="null3"/>
        <w:ind w:firstLine="960"/>
        <w:jc w:val="left"/>
      </w:pPr>
      <w:r>
        <w:rPr>
          <w:rFonts w:ascii="仿宋_GB2312" w:hAnsi="仿宋_GB2312" w:cs="仿宋_GB2312" w:eastAsia="仿宋_GB2312"/>
        </w:rPr>
        <w:t>详见附件：供应商认为需要提交的资料（格式自拟）</w:t>
      </w:r>
    </w:p>
    <w:p>
      <w:pPr>
        <w:pStyle w:val="null3"/>
        <w:ind w:firstLine="960"/>
        <w:jc w:val="left"/>
      </w:pPr>
      <w:r>
        <w:rPr>
          <w:rFonts w:ascii="仿宋_GB2312" w:hAnsi="仿宋_GB2312" w:cs="仿宋_GB2312" w:eastAsia="仿宋_GB2312"/>
        </w:rPr>
        <w:t>详见附件：技术、服务及其他要求应答表</w:t>
      </w:r>
    </w:p>
    <w:p>
      <w:pPr>
        <w:pStyle w:val="null3"/>
        <w:ind w:firstLine="960"/>
        <w:jc w:val="left"/>
      </w:pPr>
      <w:r>
        <w:rPr>
          <w:rFonts w:ascii="仿宋_GB2312" w:hAnsi="仿宋_GB2312" w:cs="仿宋_GB2312" w:eastAsia="仿宋_GB2312"/>
        </w:rPr>
        <w:t>详见附件：商务要求应答表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