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A0506">
      <w:pPr>
        <w:pStyle w:val="3"/>
        <w:bidi w:val="0"/>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政府采购合同</w:t>
      </w:r>
    </w:p>
    <w:p w14:paraId="2E124F1C">
      <w:pPr>
        <w:keepNext w:val="0"/>
        <w:keepLines w:val="0"/>
        <w:pageBreakBefore w:val="0"/>
        <w:widowControl w:val="0"/>
        <w:kinsoku/>
        <w:wordWrap w:val="0"/>
        <w:overflowPunct/>
        <w:topLinePunct/>
        <w:autoSpaceDE/>
        <w:autoSpaceDN/>
        <w:bidi w:val="0"/>
        <w:adjustRightInd w:val="0"/>
        <w:snapToGrid w:val="0"/>
        <w:spacing w:line="440" w:lineRule="exact"/>
        <w:jc w:val="left"/>
        <w:textAlignment w:val="auto"/>
        <w:rPr>
          <w:rFonts w:hint="eastAsia" w:ascii="宋体" w:hAnsi="宋体" w:eastAsia="宋体" w:cs="宋体"/>
          <w:i w:val="0"/>
          <w:iCs w:val="0"/>
          <w:snapToGrid w:val="0"/>
          <w:color w:val="auto"/>
          <w:kern w:val="2"/>
          <w:sz w:val="24"/>
          <w:szCs w:val="24"/>
          <w:highlight w:val="none"/>
          <w:lang w:val="en-US" w:eastAsia="zh-CN" w:bidi="ar-SA"/>
        </w:rPr>
      </w:pPr>
    </w:p>
    <w:p w14:paraId="7485F065">
      <w:pPr>
        <w:pStyle w:val="26"/>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ascii="宋体" w:hAnsi="宋体" w:eastAsia="宋体" w:cs="宋体"/>
          <w:sz w:val="24"/>
          <w:szCs w:val="24"/>
        </w:rPr>
        <w:t>与项目编号一致</w:t>
      </w:r>
      <w:r>
        <w:rPr>
          <w:rFonts w:hint="eastAsia" w:ascii="宋体" w:hAnsi="宋体" w:eastAsia="宋体" w:cs="宋体"/>
          <w:sz w:val="24"/>
          <w:szCs w:val="24"/>
          <w:lang w:val="en-US" w:eastAsia="zh-CN"/>
        </w:rPr>
        <w:t>)</w:t>
      </w:r>
    </w:p>
    <w:p w14:paraId="67D4E2B9">
      <w:pPr>
        <w:pStyle w:val="26"/>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签订地点：</w:t>
      </w:r>
      <w:r>
        <w:rPr>
          <w:rFonts w:hint="eastAsia" w:ascii="宋体" w:hAnsi="宋体" w:eastAsia="宋体" w:cs="宋体"/>
          <w:sz w:val="24"/>
          <w:szCs w:val="24"/>
          <w:u w:val="single"/>
        </w:rPr>
        <w:t xml:space="preserve">                     </w:t>
      </w:r>
    </w:p>
    <w:p w14:paraId="599DF5DA">
      <w:pPr>
        <w:pStyle w:val="26"/>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签订时间：</w:t>
      </w:r>
      <w:r>
        <w:rPr>
          <w:rFonts w:hint="eastAsia" w:ascii="宋体" w:hAnsi="宋体" w:eastAsia="宋体" w:cs="宋体"/>
          <w:sz w:val="24"/>
          <w:szCs w:val="24"/>
          <w:u w:val="single"/>
        </w:rPr>
        <w:t xml:space="preserve">                     </w:t>
      </w:r>
    </w:p>
    <w:p w14:paraId="4ED2F856">
      <w:pPr>
        <w:pStyle w:val="26"/>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采购人名称(甲方)：</w:t>
      </w:r>
      <w:r>
        <w:rPr>
          <w:rFonts w:hint="eastAsia" w:ascii="宋体" w:hAnsi="宋体" w:eastAsia="宋体" w:cs="宋体"/>
          <w:sz w:val="24"/>
          <w:szCs w:val="24"/>
          <w:u w:val="single"/>
        </w:rPr>
        <w:t xml:space="preserve">                              </w:t>
      </w:r>
    </w:p>
    <w:p w14:paraId="4B0563F5">
      <w:pPr>
        <w:pStyle w:val="26"/>
        <w:keepNext w:val="0"/>
        <w:keepLines w:val="0"/>
        <w:pageBreakBefore w:val="0"/>
        <w:widowControl w:val="0"/>
        <w:kinsoku/>
        <w:wordWrap w:val="0"/>
        <w:overflowPunct/>
        <w:topLinePunct/>
        <w:autoSpaceDE/>
        <w:autoSpaceDN/>
        <w:bidi w:val="0"/>
        <w:adjustRightInd w:val="0"/>
        <w:snapToGrid w:val="0"/>
        <w:spacing w:line="44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lang w:val="en-US" w:eastAsia="zh-CN"/>
        </w:rPr>
        <w:t>成交供应商</w:t>
      </w:r>
      <w:r>
        <w:rPr>
          <w:rFonts w:hint="eastAsia" w:ascii="宋体" w:hAnsi="宋体" w:eastAsia="宋体" w:cs="宋体"/>
          <w:sz w:val="24"/>
          <w:szCs w:val="24"/>
        </w:rPr>
        <w:t>名称(乙方)：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074EE6D">
      <w:pPr>
        <w:pStyle w:val="26"/>
        <w:keepNext w:val="0"/>
        <w:keepLines w:val="0"/>
        <w:pageBreakBefore w:val="0"/>
        <w:widowControl w:val="0"/>
        <w:kinsoku/>
        <w:wordWrap w:val="0"/>
        <w:overflowPunct/>
        <w:topLinePunct/>
        <w:autoSpaceDE/>
        <w:autoSpaceDN/>
        <w:bidi w:val="0"/>
        <w:adjustRightInd w:val="0"/>
        <w:snapToGrid w:val="0"/>
        <w:spacing w:line="440" w:lineRule="exact"/>
        <w:ind w:firstLine="482" w:firstLineChars="200"/>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合同类型：建设工程合同</w:t>
      </w:r>
      <w:r>
        <w:rPr>
          <w:rFonts w:hint="eastAsia" w:ascii="宋体" w:hAnsi="宋体" w:eastAsia="宋体" w:cs="宋体"/>
          <w:b/>
          <w:bCs/>
          <w:sz w:val="24"/>
          <w:szCs w:val="24"/>
        </w:rPr>
        <w:t>(本合同为专门面向中小企业项目合同)</w:t>
      </w:r>
    </w:p>
    <w:p w14:paraId="50E11B73">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p>
    <w:p w14:paraId="49317727">
      <w:pPr>
        <w:pStyle w:val="26"/>
        <w:keepNext w:val="0"/>
        <w:keepLines w:val="0"/>
        <w:pageBreakBefore w:val="0"/>
        <w:widowControl w:val="0"/>
        <w:kinsoku/>
        <w:wordWrap w:val="0"/>
        <w:overflowPunct/>
        <w:topLinePunct/>
        <w:autoSpaceDE/>
        <w:autoSpaceDN/>
        <w:bidi w:val="0"/>
        <w:adjustRightInd w:val="0"/>
        <w:snapToGrid w:val="0"/>
        <w:spacing w:line="440" w:lineRule="exact"/>
        <w:ind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根据《中华人民共和国民法典》《中华人民共和国政府采购法》《中华人民共和国政府采购法实施条例》《政府采购竞争性磋商采购方式管理暂行办法》及“</w:t>
      </w:r>
      <w:r>
        <w:rPr>
          <w:rFonts w:hint="eastAsia" w:cs="宋体"/>
          <w:bCs/>
          <w:sz w:val="24"/>
          <w:szCs w:val="24"/>
          <w:lang w:eastAsia="zh-CN"/>
        </w:rPr>
        <w:t>道孚县玉科片区中心卫生院建设项目设计</w:t>
      </w:r>
      <w:r>
        <w:rPr>
          <w:rFonts w:hint="eastAsia" w:ascii="宋体" w:hAnsi="宋体" w:eastAsia="宋体" w:cs="宋体"/>
          <w:sz w:val="24"/>
          <w:szCs w:val="24"/>
          <w:lang w:val="en-US" w:eastAsia="zh-CN"/>
        </w:rPr>
        <w:t>”</w:t>
      </w:r>
      <w:r>
        <w:rPr>
          <w:rFonts w:hint="eastAsia" w:ascii="宋体" w:hAnsi="宋体" w:eastAsia="宋体" w:cs="宋体"/>
          <w:color w:val="auto"/>
          <w:sz w:val="24"/>
          <w:szCs w:val="24"/>
          <w:lang w:val="en-US" w:eastAsia="zh-CN"/>
        </w:rPr>
        <w:t>(项目编号：采购项目的编号)</w:t>
      </w:r>
      <w:r>
        <w:rPr>
          <w:rFonts w:hint="eastAsia" w:ascii="宋体" w:hAnsi="宋体" w:eastAsia="宋体" w:cs="宋体"/>
          <w:sz w:val="24"/>
          <w:szCs w:val="24"/>
          <w:lang w:val="en-US" w:eastAsia="zh-CN"/>
        </w:rPr>
        <w:t>的《竞争性磋商文件》、乙方的《响应文件》及《成交通知书》，甲、乙双方同意签订本合同。详细技术说明及其他有关合同项目的特定信息由合同附件予以说明，合同附件及本项目的《竞争性磋商文件》《响应文件》《成交通知书》等均为本合同不可分割的部分。双方同意共同遵守如下条款</w:t>
      </w:r>
      <w:r>
        <w:rPr>
          <w:rFonts w:hint="eastAsia" w:ascii="宋体" w:hAnsi="宋体" w:eastAsia="宋体" w:cs="宋体"/>
          <w:sz w:val="24"/>
          <w:szCs w:val="24"/>
        </w:rPr>
        <w:t>：</w:t>
      </w:r>
    </w:p>
    <w:p w14:paraId="0E43170D">
      <w:pPr>
        <w:pStyle w:val="34"/>
        <w:keepNext w:val="0"/>
        <w:keepLines w:val="0"/>
        <w:pageBreakBefore w:val="0"/>
        <w:widowControl w:val="0"/>
        <w:kinsoku/>
        <w:overflowPunct/>
        <w:autoSpaceDE/>
        <w:autoSpaceDN/>
        <w:bidi w:val="0"/>
        <w:adjustRightInd w:val="0"/>
        <w:snapToGrid w:val="0"/>
        <w:spacing w:line="440" w:lineRule="exact"/>
        <w:ind w:leftChars="0" w:firstLine="482" w:firstLineChars="200"/>
        <w:jc w:val="both"/>
        <w:textAlignment w:val="auto"/>
        <w:rPr>
          <w:rFonts w:hint="eastAsia" w:ascii="宋体" w:hAnsi="宋体" w:eastAsia="宋体" w:cs="宋体"/>
          <w:sz w:val="24"/>
          <w:szCs w:val="24"/>
        </w:rPr>
      </w:pPr>
      <w:bookmarkStart w:id="0" w:name="_Toc13846"/>
      <w:bookmarkStart w:id="1" w:name="_Toc16593"/>
      <w:bookmarkStart w:id="2" w:name="_Toc2060"/>
      <w:r>
        <w:rPr>
          <w:rFonts w:hint="eastAsia" w:ascii="宋体" w:hAnsi="宋体" w:eastAsia="宋体" w:cs="宋体"/>
          <w:sz w:val="24"/>
          <w:szCs w:val="24"/>
        </w:rPr>
        <w:t>项目基本情况</w:t>
      </w:r>
      <w:bookmarkEnd w:id="0"/>
      <w:bookmarkEnd w:id="1"/>
      <w:bookmarkEnd w:id="2"/>
    </w:p>
    <w:p w14:paraId="5F6BF881">
      <w:pPr>
        <w:keepNext w:val="0"/>
        <w:keepLines w:val="0"/>
        <w:pageBreakBefore w:val="0"/>
        <w:widowControl w:val="0"/>
        <w:kinsoku/>
        <w:overflowPunct/>
        <w:autoSpaceDE/>
        <w:autoSpaceDN/>
        <w:bidi w:val="0"/>
        <w:adjustRightInd w:val="0"/>
        <w:snapToGrid w:val="0"/>
        <w:spacing w:line="440" w:lineRule="exact"/>
        <w:ind w:leftChars="0" w:firstLine="480" w:firstLineChars="200"/>
        <w:jc w:val="both"/>
        <w:textAlignment w:val="auto"/>
        <w:rPr>
          <w:rFonts w:hint="eastAsia" w:ascii="宋体" w:hAnsi="宋体" w:eastAsia="宋体" w:cs="宋体"/>
          <w:sz w:val="24"/>
          <w:szCs w:val="24"/>
        </w:rPr>
      </w:pPr>
    </w:p>
    <w:p w14:paraId="7BD91689">
      <w:pPr>
        <w:pStyle w:val="34"/>
        <w:keepNext w:val="0"/>
        <w:keepLines w:val="0"/>
        <w:pageBreakBefore w:val="0"/>
        <w:widowControl w:val="0"/>
        <w:kinsoku/>
        <w:overflowPunct/>
        <w:autoSpaceDE/>
        <w:autoSpaceDN/>
        <w:bidi w:val="0"/>
        <w:adjustRightInd w:val="0"/>
        <w:snapToGrid w:val="0"/>
        <w:spacing w:line="440" w:lineRule="exact"/>
        <w:ind w:leftChars="0" w:firstLine="482" w:firstLineChars="200"/>
        <w:jc w:val="both"/>
        <w:textAlignment w:val="auto"/>
        <w:rPr>
          <w:rFonts w:hint="eastAsia" w:ascii="宋体" w:hAnsi="宋体" w:eastAsia="宋体" w:cs="宋体"/>
          <w:sz w:val="24"/>
          <w:szCs w:val="24"/>
        </w:rPr>
      </w:pPr>
      <w:bookmarkStart w:id="3" w:name="_Toc17136"/>
      <w:bookmarkStart w:id="4" w:name="_Toc6708"/>
      <w:bookmarkStart w:id="5" w:name="_Toc1985"/>
      <w:r>
        <w:rPr>
          <w:rFonts w:hint="eastAsia" w:ascii="宋体" w:hAnsi="宋体" w:eastAsia="宋体" w:cs="宋体"/>
          <w:sz w:val="24"/>
          <w:szCs w:val="24"/>
        </w:rPr>
        <w:t>合同</w:t>
      </w:r>
      <w:r>
        <w:rPr>
          <w:rFonts w:hint="eastAsia" w:ascii="宋体" w:hAnsi="宋体" w:eastAsia="宋体" w:cs="宋体"/>
          <w:sz w:val="24"/>
          <w:szCs w:val="24"/>
          <w:lang w:val="en-US" w:eastAsia="zh-CN"/>
        </w:rPr>
        <w:t>履行</w:t>
      </w:r>
      <w:bookmarkEnd w:id="3"/>
      <w:bookmarkEnd w:id="4"/>
      <w:bookmarkEnd w:id="5"/>
    </w:p>
    <w:p w14:paraId="356ABCBB">
      <w:pPr>
        <w:pStyle w:val="31"/>
        <w:keepNext w:val="0"/>
        <w:keepLines w:val="0"/>
        <w:pageBreakBefore w:val="0"/>
        <w:widowControl w:val="0"/>
        <w:numPr>
          <w:ilvl w:val="1"/>
          <w:numId w:val="6"/>
        </w:numPr>
        <w:kinsoku/>
        <w:overflowPunct/>
        <w:autoSpaceDE/>
        <w:autoSpaceDN/>
        <w:bidi w:val="0"/>
        <w:adjustRightInd w:val="0"/>
        <w:snapToGrid w:val="0"/>
        <w:spacing w:line="440" w:lineRule="exact"/>
        <w:ind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w:t>
      </w:r>
      <w:r>
        <w:rPr>
          <w:rFonts w:hint="eastAsia" w:cs="宋体"/>
          <w:color w:val="auto"/>
          <w:sz w:val="24"/>
          <w:szCs w:val="24"/>
          <w:highlight w:val="none"/>
          <w:lang w:val="en-US" w:eastAsia="zh-CN"/>
        </w:rPr>
        <w:t>时间</w:t>
      </w:r>
      <w:r>
        <w:rPr>
          <w:rFonts w:hint="eastAsia" w:ascii="宋体" w:hAnsi="宋体" w:eastAsia="宋体" w:cs="宋体"/>
          <w:color w:val="auto"/>
          <w:sz w:val="24"/>
          <w:szCs w:val="24"/>
          <w:highlight w:val="none"/>
          <w:lang w:eastAsia="zh-CN"/>
        </w:rPr>
        <w:t>：</w:t>
      </w:r>
    </w:p>
    <w:p w14:paraId="09757D7C">
      <w:pPr>
        <w:pStyle w:val="31"/>
        <w:keepNext w:val="0"/>
        <w:keepLines w:val="0"/>
        <w:pageBreakBefore w:val="0"/>
        <w:widowControl w:val="0"/>
        <w:numPr>
          <w:ilvl w:val="1"/>
          <w:numId w:val="6"/>
        </w:numPr>
        <w:kinsoku/>
        <w:overflowPunct/>
        <w:autoSpaceDE/>
        <w:autoSpaceDN/>
        <w:bidi w:val="0"/>
        <w:adjustRightInd w:val="0"/>
        <w:snapToGrid w:val="0"/>
        <w:spacing w:line="440" w:lineRule="exact"/>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eastAsia="zh-CN"/>
        </w:rPr>
        <w:t>履约地点：</w:t>
      </w:r>
    </w:p>
    <w:p w14:paraId="70293A4F">
      <w:pPr>
        <w:pStyle w:val="31"/>
        <w:keepNext w:val="0"/>
        <w:keepLines w:val="0"/>
        <w:pageBreakBefore w:val="0"/>
        <w:widowControl w:val="0"/>
        <w:numPr>
          <w:ilvl w:val="1"/>
          <w:numId w:val="6"/>
        </w:numPr>
        <w:kinsoku/>
        <w:overflowPunct/>
        <w:autoSpaceDE/>
        <w:autoSpaceDN/>
        <w:bidi w:val="0"/>
        <w:adjustRightInd w:val="0"/>
        <w:snapToGrid w:val="0"/>
        <w:spacing w:line="440" w:lineRule="exact"/>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eastAsia="zh-CN"/>
        </w:rPr>
        <w:t>履约方式：</w:t>
      </w:r>
      <w:r>
        <w:rPr>
          <w:rFonts w:hint="eastAsia" w:ascii="宋体" w:hAnsi="宋体" w:eastAsia="宋体" w:cs="宋体"/>
          <w:sz w:val="24"/>
          <w:szCs w:val="24"/>
        </w:rPr>
        <w:t>政府采购合同签订生效后按甲方要求提供相应服务</w:t>
      </w:r>
      <w:r>
        <w:rPr>
          <w:rFonts w:hint="eastAsia" w:ascii="宋体" w:hAnsi="宋体" w:eastAsia="宋体" w:cs="宋体"/>
          <w:color w:val="auto"/>
          <w:sz w:val="24"/>
          <w:szCs w:val="24"/>
        </w:rPr>
        <w:t>。</w:t>
      </w:r>
    </w:p>
    <w:p w14:paraId="57AF98E2">
      <w:pPr>
        <w:pStyle w:val="34"/>
        <w:keepNext w:val="0"/>
        <w:keepLines w:val="0"/>
        <w:pageBreakBefore w:val="0"/>
        <w:widowControl w:val="0"/>
        <w:kinsoku/>
        <w:overflowPunct/>
        <w:autoSpaceDE/>
        <w:autoSpaceDN/>
        <w:bidi w:val="0"/>
        <w:adjustRightInd w:val="0"/>
        <w:snapToGrid w:val="0"/>
        <w:spacing w:line="440" w:lineRule="exact"/>
        <w:ind w:leftChars="0" w:firstLine="482" w:firstLineChars="200"/>
        <w:jc w:val="both"/>
        <w:textAlignment w:val="auto"/>
        <w:rPr>
          <w:rFonts w:hint="eastAsia" w:ascii="宋体" w:hAnsi="宋体" w:eastAsia="宋体" w:cs="宋体"/>
          <w:sz w:val="24"/>
          <w:szCs w:val="24"/>
        </w:rPr>
      </w:pPr>
      <w:bookmarkStart w:id="6" w:name="_Toc31643"/>
      <w:bookmarkStart w:id="7" w:name="_Toc18385"/>
      <w:bookmarkStart w:id="8" w:name="_Toc24916"/>
      <w:bookmarkStart w:id="9" w:name="_Toc239233914"/>
      <w:bookmarkStart w:id="10" w:name="_Toc225244852"/>
      <w:bookmarkStart w:id="11" w:name="_Toc247334841"/>
      <w:bookmarkStart w:id="12" w:name="_Toc212019594"/>
      <w:bookmarkStart w:id="13" w:name="_Toc237145406"/>
      <w:bookmarkStart w:id="14" w:name="_Toc185395249"/>
      <w:bookmarkStart w:id="15" w:name="_Toc211911348"/>
      <w:bookmarkStart w:id="16" w:name="_Toc282696226"/>
      <w:bookmarkStart w:id="17" w:name="_Toc251768862"/>
      <w:bookmarkStart w:id="18" w:name="_Toc241833903"/>
      <w:bookmarkStart w:id="19" w:name="_Toc211854449"/>
      <w:bookmarkStart w:id="20" w:name="_Toc238984975"/>
      <w:bookmarkStart w:id="21" w:name="_Toc232492928"/>
      <w:bookmarkStart w:id="22" w:name="_Toc239568418"/>
      <w:bookmarkStart w:id="23" w:name="_Toc283019214"/>
      <w:bookmarkStart w:id="24" w:name="_Toc286993786"/>
      <w:bookmarkStart w:id="25" w:name="_Toc225654644"/>
      <w:bookmarkStart w:id="26" w:name="_Toc225670751"/>
      <w:r>
        <w:rPr>
          <w:rFonts w:hint="eastAsia" w:ascii="宋体" w:hAnsi="宋体" w:eastAsia="宋体" w:cs="宋体"/>
          <w:sz w:val="24"/>
          <w:szCs w:val="24"/>
          <w:lang w:val="en-US" w:eastAsia="zh-CN"/>
        </w:rPr>
        <w:t>合同标的</w:t>
      </w:r>
      <w:bookmarkEnd w:id="6"/>
      <w:bookmarkEnd w:id="7"/>
      <w:bookmarkEnd w:id="8"/>
    </w:p>
    <w:p w14:paraId="52FCC849">
      <w:pPr>
        <w:pStyle w:val="31"/>
        <w:keepNext w:val="0"/>
        <w:keepLines w:val="0"/>
        <w:pageBreakBefore w:val="0"/>
        <w:widowControl w:val="0"/>
        <w:numPr>
          <w:ilvl w:val="1"/>
          <w:numId w:val="0"/>
        </w:numPr>
        <w:kinsoku/>
        <w:overflowPunct/>
        <w:autoSpaceDE/>
        <w:autoSpaceDN/>
        <w:bidi w:val="0"/>
        <w:adjustRightInd w:val="0"/>
        <w:snapToGrid w:val="0"/>
        <w:spacing w:line="440" w:lineRule="exact"/>
        <w:ind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详见竞争性磋商文件。</w:t>
      </w:r>
    </w:p>
    <w:p w14:paraId="4984FF77">
      <w:pPr>
        <w:pStyle w:val="34"/>
        <w:keepNext w:val="0"/>
        <w:keepLines w:val="0"/>
        <w:pageBreakBefore w:val="0"/>
        <w:widowControl w:val="0"/>
        <w:kinsoku/>
        <w:overflowPunct/>
        <w:autoSpaceDE/>
        <w:autoSpaceDN/>
        <w:bidi w:val="0"/>
        <w:adjustRightInd w:val="0"/>
        <w:snapToGrid w:val="0"/>
        <w:spacing w:line="440" w:lineRule="exact"/>
        <w:ind w:leftChars="0" w:firstLine="482" w:firstLineChars="200"/>
        <w:jc w:val="both"/>
        <w:textAlignment w:val="auto"/>
        <w:rPr>
          <w:rFonts w:hint="eastAsia" w:ascii="宋体" w:hAnsi="宋体" w:eastAsia="宋体" w:cs="宋体"/>
          <w:sz w:val="24"/>
          <w:szCs w:val="24"/>
          <w:lang w:val="en-US" w:eastAsia="zh-CN"/>
        </w:rPr>
      </w:pPr>
      <w:bookmarkStart w:id="27" w:name="_Toc18011"/>
      <w:bookmarkStart w:id="28" w:name="_Toc25424"/>
      <w:bookmarkStart w:id="29" w:name="_Toc16558"/>
      <w:r>
        <w:rPr>
          <w:rFonts w:hint="eastAsia" w:ascii="宋体" w:hAnsi="宋体" w:eastAsia="宋体" w:cs="宋体"/>
          <w:sz w:val="24"/>
          <w:szCs w:val="24"/>
          <w:lang w:val="en-US" w:eastAsia="zh-CN"/>
        </w:rPr>
        <w:t>考核办法</w:t>
      </w:r>
    </w:p>
    <w:p w14:paraId="30223EF0">
      <w:pPr>
        <w:pStyle w:val="31"/>
        <w:keepNext w:val="0"/>
        <w:keepLines w:val="0"/>
        <w:pageBreakBefore w:val="0"/>
        <w:widowControl w:val="0"/>
        <w:numPr>
          <w:ilvl w:val="1"/>
          <w:numId w:val="0"/>
        </w:numPr>
        <w:kinsoku/>
        <w:overflowPunct/>
        <w:autoSpaceDE/>
        <w:autoSpaceDN/>
        <w:bidi w:val="0"/>
        <w:adjustRightInd w:val="0"/>
        <w:snapToGrid w:val="0"/>
        <w:ind w:leftChars="0" w:firstLineChars="200"/>
        <w:jc w:val="both"/>
        <w:textAlignment w:val="auto"/>
        <w:rPr>
          <w:rFonts w:hint="eastAsia" w:ascii="宋体" w:hAnsi="宋体" w:eastAsia="宋体" w:cs="宋体"/>
          <w:sz w:val="24"/>
          <w:szCs w:val="24"/>
          <w:lang w:val="en-US" w:eastAsia="zh-CN"/>
        </w:rPr>
      </w:pPr>
    </w:p>
    <w:p w14:paraId="0F16DE3E">
      <w:pPr>
        <w:pStyle w:val="34"/>
        <w:keepNext w:val="0"/>
        <w:keepLines w:val="0"/>
        <w:pageBreakBefore w:val="0"/>
        <w:widowControl w:val="0"/>
        <w:kinsoku/>
        <w:overflowPunct/>
        <w:autoSpaceDE/>
        <w:autoSpaceDN/>
        <w:bidi w:val="0"/>
        <w:adjustRightInd w:val="0"/>
        <w:snapToGrid w:val="0"/>
        <w:spacing w:line="440" w:lineRule="exact"/>
        <w:ind w:leftChars="0" w:firstLine="482"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履约验收</w:t>
      </w:r>
      <w:bookmarkEnd w:id="27"/>
      <w:bookmarkEnd w:id="28"/>
      <w:bookmarkEnd w:id="29"/>
    </w:p>
    <w:p w14:paraId="5E138714">
      <w:pPr>
        <w:keepNext w:val="0"/>
        <w:keepLines w:val="0"/>
        <w:pageBreakBefore w:val="0"/>
        <w:widowControl w:val="0"/>
        <w:numPr>
          <w:ilvl w:val="5"/>
          <w:numId w:val="0"/>
        </w:numPr>
        <w:kinsoku/>
        <w:wordWrap w:val="0"/>
        <w:overflowPunct/>
        <w:topLinePunct/>
        <w:autoSpaceDE/>
        <w:autoSpaceDN/>
        <w:bidi w:val="0"/>
        <w:adjustRightInd w:val="0"/>
        <w:snapToGrid w:val="0"/>
        <w:spacing w:after="0" w:line="440" w:lineRule="exact"/>
        <w:ind w:left="0" w:leftChars="0" w:firstLine="480" w:firstLineChars="200"/>
        <w:jc w:val="both"/>
        <w:textAlignment w:val="auto"/>
        <w:rPr>
          <w:rFonts w:hint="eastAsia" w:ascii="宋体" w:hAnsi="宋体" w:eastAsia="宋体" w:cs="宋体"/>
          <w:kern w:val="2"/>
          <w:sz w:val="24"/>
          <w:szCs w:val="24"/>
          <w:lang w:val="en-US" w:eastAsia="zh-CN" w:bidi="ar-SA"/>
        </w:rPr>
      </w:pPr>
    </w:p>
    <w:p w14:paraId="3B32D87F">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30" w:name="_Toc22157"/>
      <w:bookmarkStart w:id="31" w:name="_Toc9995"/>
      <w:bookmarkStart w:id="32" w:name="_Toc951"/>
      <w:r>
        <w:rPr>
          <w:rFonts w:hint="eastAsia" w:ascii="宋体" w:hAnsi="宋体" w:eastAsia="宋体" w:cs="宋体"/>
          <w:sz w:val="24"/>
          <w:szCs w:val="24"/>
          <w:lang w:val="en-US" w:eastAsia="zh-CN"/>
        </w:rPr>
        <w:t>合同价款</w:t>
      </w:r>
      <w:r>
        <w:rPr>
          <w:rFonts w:hint="eastAsia" w:ascii="宋体" w:hAnsi="宋体" w:eastAsia="宋体" w:cs="宋体"/>
          <w:sz w:val="24"/>
          <w:szCs w:val="24"/>
        </w:rPr>
        <w:t>及支付方式</w:t>
      </w:r>
      <w:bookmarkEnd w:id="30"/>
      <w:bookmarkEnd w:id="31"/>
      <w:bookmarkEnd w:id="32"/>
    </w:p>
    <w:p w14:paraId="1C729461">
      <w:pPr>
        <w:pStyle w:val="12"/>
        <w:keepNext w:val="0"/>
        <w:keepLines w:val="0"/>
        <w:pageBreakBefore w:val="0"/>
        <w:widowControl w:val="0"/>
        <w:numPr>
          <w:ilvl w:val="1"/>
          <w:numId w:val="7"/>
        </w:numPr>
        <w:suppressLineNumbers w:val="0"/>
        <w:kinsoku/>
        <w:wordWrap w:val="0"/>
        <w:overflowPunct/>
        <w:topLinePunct/>
        <w:autoSpaceDE/>
        <w:autoSpaceDN/>
        <w:bidi w:val="0"/>
        <w:adjustRightInd w:val="0"/>
        <w:snapToGrid w:val="0"/>
        <w:spacing w:before="0" w:beforeAutospacing="0" w:after="0" w:afterAutospacing="0" w:line="440" w:lineRule="exact"/>
        <w:ind w:left="0" w:right="0" w:firstLine="480" w:firstLineChars="200"/>
        <w:jc w:val="left"/>
        <w:textAlignment w:val="auto"/>
        <w:outlineLvl w:val="9"/>
        <w:rPr>
          <w:rFonts w:hint="eastAsia" w:ascii="宋体" w:hAnsi="宋体" w:eastAsia="宋体" w:cs="宋体"/>
          <w:sz w:val="24"/>
          <w:szCs w:val="24"/>
          <w:highlight w:val="none"/>
        </w:rPr>
      </w:pPr>
      <w:r>
        <w:rPr>
          <w:rFonts w:hint="eastAsia" w:ascii="宋体" w:hAnsi="宋体" w:eastAsia="宋体" w:cs="宋体"/>
          <w:snapToGrid/>
          <w:kern w:val="2"/>
          <w:sz w:val="24"/>
          <w:szCs w:val="24"/>
          <w:highlight w:val="none"/>
          <w:lang w:val="en-US" w:eastAsia="zh-CN" w:bidi="ar"/>
        </w:rPr>
        <w:t>本项目</w:t>
      </w:r>
      <w:r>
        <w:rPr>
          <w:rFonts w:hint="eastAsia" w:ascii="宋体" w:hAnsi="宋体" w:eastAsia="宋体" w:cs="宋体"/>
          <w:sz w:val="24"/>
          <w:szCs w:val="24"/>
          <w:highlight w:val="none"/>
        </w:rPr>
        <w:t>合同总价为人民币大写：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09269DFB">
      <w:pPr>
        <w:pStyle w:val="12"/>
        <w:keepNext w:val="0"/>
        <w:keepLines w:val="0"/>
        <w:pageBreakBefore w:val="0"/>
        <w:widowControl w:val="0"/>
        <w:numPr>
          <w:ilvl w:val="1"/>
          <w:numId w:val="7"/>
        </w:numPr>
        <w:suppressLineNumbers w:val="0"/>
        <w:kinsoku/>
        <w:wordWrap w:val="0"/>
        <w:overflowPunct/>
        <w:topLinePunct/>
        <w:autoSpaceDE/>
        <w:autoSpaceDN/>
        <w:bidi w:val="0"/>
        <w:adjustRightInd w:val="0"/>
        <w:snapToGrid w:val="0"/>
        <w:spacing w:before="0" w:beforeAutospacing="0" w:after="0" w:afterAutospacing="0" w:line="440" w:lineRule="exact"/>
        <w:ind w:left="0" w:right="0" w:firstLine="480" w:firstLineChars="200"/>
        <w:jc w:val="left"/>
        <w:textAlignment w:val="auto"/>
        <w:outlineLvl w:val="9"/>
        <w:rPr>
          <w:rFonts w:hint="eastAsia" w:ascii="宋体" w:hAnsi="宋体" w:eastAsia="宋体" w:cs="宋体"/>
          <w:kern w:val="2"/>
          <w:sz w:val="24"/>
          <w:szCs w:val="24"/>
          <w:highlight w:val="none"/>
        </w:rPr>
      </w:pPr>
      <w:r>
        <w:rPr>
          <w:rFonts w:hint="eastAsia" w:ascii="宋体" w:hAnsi="宋体" w:eastAsia="宋体" w:cs="宋体"/>
          <w:snapToGrid/>
          <w:kern w:val="2"/>
          <w:sz w:val="24"/>
          <w:szCs w:val="24"/>
          <w:highlight w:val="none"/>
          <w:lang w:val="en-US" w:eastAsia="zh-CN" w:bidi="ar"/>
        </w:rPr>
        <w:t xml:space="preserve">支付方式： </w:t>
      </w:r>
    </w:p>
    <w:p w14:paraId="6F2C56CF">
      <w:pPr>
        <w:keepNext w:val="0"/>
        <w:keepLines w:val="0"/>
        <w:pageBreakBefore w:val="0"/>
        <w:numPr>
          <w:ilvl w:val="3"/>
          <w:numId w:val="0"/>
        </w:numPr>
        <w:tabs>
          <w:tab w:val="left" w:pos="284"/>
        </w:tabs>
        <w:kinsoku/>
        <w:overflowPunct/>
        <w:topLinePunct/>
        <w:autoSpaceDE/>
        <w:autoSpaceDN/>
        <w:bidi w:val="0"/>
        <w:adjustRightInd w:val="0"/>
        <w:snapToGrid w:val="0"/>
        <w:spacing w:line="440" w:lineRule="exact"/>
        <w:ind w:left="0" w:leftChars="0" w:firstLine="480" w:firstLineChars="200"/>
        <w:jc w:val="both"/>
        <w:textAlignment w:val="auto"/>
        <w:rPr>
          <w:rFonts w:hint="eastAsia" w:ascii="宋体" w:hAnsi="宋体" w:eastAsia="宋体" w:cs="宋体"/>
          <w:sz w:val="24"/>
          <w:lang w:val="en-US" w:eastAsia="zh-CN"/>
        </w:rPr>
      </w:pPr>
      <w:bookmarkStart w:id="33" w:name="_Toc23006"/>
    </w:p>
    <w:p w14:paraId="602E68C7">
      <w:pPr>
        <w:keepNext w:val="0"/>
        <w:keepLines w:val="0"/>
        <w:pageBreakBefore w:val="0"/>
        <w:numPr>
          <w:ilvl w:val="0"/>
          <w:numId w:val="0"/>
        </w:numPr>
        <w:tabs>
          <w:tab w:val="left" w:pos="284"/>
        </w:tabs>
        <w:kinsoku/>
        <w:overflowPunct/>
        <w:topLinePunct/>
        <w:autoSpaceDE/>
        <w:autoSpaceDN/>
        <w:bidi w:val="0"/>
        <w:adjustRightInd w:val="0"/>
        <w:snapToGrid w:val="0"/>
        <w:spacing w:line="440" w:lineRule="exact"/>
        <w:ind w:firstLine="482"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注：每次</w:t>
      </w:r>
      <w:r>
        <w:rPr>
          <w:rFonts w:hint="eastAsia" w:ascii="宋体" w:hAnsi="宋体" w:eastAsia="宋体" w:cs="宋体"/>
          <w:b/>
          <w:bCs/>
          <w:sz w:val="24"/>
          <w:szCs w:val="24"/>
        </w:rPr>
        <w:t>付款前乙方须向甲方出具合法有效完整的增值税发票及凭证资料后进行支付结算，付款方式均采用公对公的银行转账，接受转账的开户信息以合同载明的为准。如因乙方未按照要求提供合法有效的发票导致逾期付款的，不视为甲方违约，甲方不承担任何责任。</w:t>
      </w:r>
      <w:r>
        <w:rPr>
          <w:rFonts w:hint="eastAsia" w:ascii="宋体" w:hAnsi="宋体" w:eastAsia="宋体" w:cs="宋体"/>
          <w:sz w:val="24"/>
          <w:szCs w:val="24"/>
        </w:rPr>
        <w:t xml:space="preserve"> </w:t>
      </w:r>
    </w:p>
    <w:bookmarkEnd w:id="33"/>
    <w:p w14:paraId="485A5704">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34" w:name="_Toc24873"/>
      <w:bookmarkStart w:id="35" w:name="_Toc23733"/>
      <w:bookmarkStart w:id="36" w:name="_Toc6155"/>
      <w:r>
        <w:rPr>
          <w:rFonts w:hint="eastAsia" w:ascii="宋体" w:hAnsi="宋体" w:eastAsia="宋体" w:cs="宋体"/>
          <w:sz w:val="24"/>
          <w:szCs w:val="24"/>
        </w:rPr>
        <w:t>知识产权</w:t>
      </w:r>
      <w:bookmarkEnd w:id="34"/>
      <w:bookmarkEnd w:id="35"/>
      <w:bookmarkEnd w:id="36"/>
    </w:p>
    <w:p w14:paraId="6C019C40">
      <w:pPr>
        <w:keepNext w:val="0"/>
        <w:keepLines w:val="0"/>
        <w:pageBreakBefore w:val="0"/>
        <w:widowControl w:val="0"/>
        <w:numPr>
          <w:ilvl w:val="0"/>
          <w:numId w:val="0"/>
        </w:numPr>
        <w:kinsoku/>
        <w:wordWrap w:val="0"/>
        <w:overflowPunct/>
        <w:topLinePunct/>
        <w:autoSpaceDE/>
        <w:autoSpaceDN/>
        <w:bidi w:val="0"/>
        <w:adjustRightInd/>
        <w:snapToGrid/>
        <w:spacing w:line="440" w:lineRule="exact"/>
        <w:ind w:right="0" w:righ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1.乙方</w:t>
      </w:r>
      <w:r>
        <w:rPr>
          <w:rFonts w:hint="eastAsia" w:ascii="宋体" w:hAnsi="宋体" w:eastAsia="宋体" w:cs="宋体"/>
          <w:color w:val="auto"/>
          <w:sz w:val="24"/>
          <w:szCs w:val="24"/>
          <w:highlight w:val="none"/>
        </w:rPr>
        <w:t>在本项目使用任何产品和服务(包括部分使用)时，不会产生因第三方提出侵犯其专利权、商标权或其它知识产权而引起的法律和经济纠纷，如因专利权、商标权或其它知识产权而引起法律和经济纠纷，由</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承担所有相关责任。</w:t>
      </w:r>
    </w:p>
    <w:p w14:paraId="17E5D126">
      <w:pPr>
        <w:keepNext w:val="0"/>
        <w:keepLines w:val="0"/>
        <w:pageBreakBefore w:val="0"/>
        <w:widowControl w:val="0"/>
        <w:numPr>
          <w:ilvl w:val="0"/>
          <w:numId w:val="0"/>
        </w:numPr>
        <w:kinsoku/>
        <w:wordWrap w:val="0"/>
        <w:overflowPunct/>
        <w:topLinePunct/>
        <w:autoSpaceDE/>
        <w:autoSpaceDN/>
        <w:bidi w:val="0"/>
        <w:adjustRightInd/>
        <w:snapToGrid/>
        <w:spacing w:line="440" w:lineRule="exact"/>
        <w:ind w:right="0" w:righ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2.甲方</w:t>
      </w:r>
      <w:r>
        <w:rPr>
          <w:rFonts w:hint="eastAsia" w:ascii="宋体" w:hAnsi="宋体" w:eastAsia="宋体" w:cs="宋体"/>
          <w:color w:val="auto"/>
          <w:sz w:val="24"/>
          <w:szCs w:val="24"/>
          <w:highlight w:val="none"/>
          <w:lang w:val="en-US" w:eastAsia="zh-Hans"/>
        </w:rPr>
        <w:t>享有本项目实施过程中产生的知识成果及知识产权，并依据实际情况对采购标的涉及的知识产权进行处理</w:t>
      </w:r>
      <w:r>
        <w:rPr>
          <w:rFonts w:hint="eastAsia" w:ascii="宋体" w:hAnsi="宋体" w:eastAsia="宋体" w:cs="宋体"/>
          <w:color w:val="auto"/>
          <w:sz w:val="24"/>
          <w:szCs w:val="24"/>
          <w:highlight w:val="none"/>
        </w:rPr>
        <w:t>。</w:t>
      </w:r>
    </w:p>
    <w:p w14:paraId="04E3F9CF">
      <w:pPr>
        <w:keepNext w:val="0"/>
        <w:keepLines w:val="0"/>
        <w:pageBreakBefore w:val="0"/>
        <w:widowControl w:val="0"/>
        <w:numPr>
          <w:ilvl w:val="0"/>
          <w:numId w:val="0"/>
        </w:numPr>
        <w:kinsoku/>
        <w:wordWrap w:val="0"/>
        <w:overflowPunct/>
        <w:topLinePunct/>
        <w:autoSpaceDE/>
        <w:autoSpaceDN/>
        <w:bidi w:val="0"/>
        <w:adjustRightInd/>
        <w:snapToGrid/>
        <w:spacing w:line="440" w:lineRule="exact"/>
        <w:ind w:right="0" w:righ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3.乙方</w:t>
      </w:r>
      <w:r>
        <w:rPr>
          <w:rFonts w:hint="eastAsia" w:ascii="宋体" w:hAnsi="宋体" w:eastAsia="宋体" w:cs="宋体"/>
          <w:color w:val="auto"/>
          <w:sz w:val="24"/>
          <w:szCs w:val="24"/>
          <w:highlight w:val="none"/>
          <w:lang w:val="en-US" w:eastAsia="zh-Hans"/>
        </w:rPr>
        <w:t>如欲在项目实施过程中采用自有知识成果，需</w:t>
      </w:r>
      <w:r>
        <w:rPr>
          <w:rFonts w:hint="eastAsia" w:ascii="宋体" w:hAnsi="宋体" w:eastAsia="宋体" w:cs="宋体"/>
          <w:sz w:val="24"/>
          <w:szCs w:val="24"/>
        </w:rPr>
        <w:t>提供相关知识产权证明文件</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rPr>
        <w:t>使用该知识成果后，</w:t>
      </w:r>
      <w:r>
        <w:rPr>
          <w:rFonts w:hint="eastAsia" w:ascii="宋体" w:hAnsi="宋体" w:eastAsia="宋体" w:cs="宋体"/>
          <w:color w:val="auto"/>
          <w:sz w:val="24"/>
          <w:szCs w:val="24"/>
          <w:highlight w:val="none"/>
          <w:lang w:val="en-US" w:eastAsia="zh-CN"/>
        </w:rPr>
        <w:t>乙方</w:t>
      </w:r>
      <w:r>
        <w:rPr>
          <w:rFonts w:hint="eastAsia" w:ascii="宋体" w:hAnsi="宋体" w:eastAsia="宋体" w:cs="宋体"/>
          <w:sz w:val="24"/>
          <w:szCs w:val="24"/>
        </w:rPr>
        <w:t>需提供相关技术文档，并提供无限期技术支持，</w:t>
      </w:r>
      <w:r>
        <w:rPr>
          <w:rFonts w:hint="eastAsia" w:ascii="宋体" w:hAnsi="宋体" w:eastAsia="宋体" w:cs="宋体"/>
          <w:sz w:val="24"/>
          <w:szCs w:val="24"/>
          <w:lang w:val="en-US" w:eastAsia="zh-CN"/>
        </w:rPr>
        <w:t>甲方</w:t>
      </w:r>
      <w:r>
        <w:rPr>
          <w:rFonts w:hint="eastAsia" w:ascii="宋体" w:hAnsi="宋体" w:eastAsia="宋体" w:cs="宋体"/>
          <w:sz w:val="24"/>
          <w:szCs w:val="24"/>
        </w:rPr>
        <w:t>享有永久使用权。</w:t>
      </w:r>
    </w:p>
    <w:p w14:paraId="6BAD84DF">
      <w:pPr>
        <w:keepNext w:val="0"/>
        <w:keepLines w:val="0"/>
        <w:pageBreakBefore w:val="0"/>
        <w:numPr>
          <w:ilvl w:val="0"/>
          <w:numId w:val="0"/>
        </w:numPr>
        <w:kinsoku/>
        <w:overflowPunct/>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如采用</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所不拥有的知识产权，则在</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报价中必须包括合法获取该知识产权的相关费用</w:t>
      </w:r>
      <w:r>
        <w:rPr>
          <w:rFonts w:hint="eastAsia" w:ascii="宋体" w:hAnsi="宋体" w:eastAsia="宋体" w:cs="宋体"/>
          <w:sz w:val="24"/>
          <w:szCs w:val="24"/>
        </w:rPr>
        <w:t>。</w:t>
      </w:r>
    </w:p>
    <w:p w14:paraId="2036441E">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37" w:name="_Toc1749"/>
      <w:bookmarkStart w:id="38" w:name="_Toc14936"/>
      <w:bookmarkStart w:id="39" w:name="_Toc22389"/>
      <w:r>
        <w:rPr>
          <w:rFonts w:hint="eastAsia" w:ascii="宋体" w:hAnsi="宋体" w:eastAsia="宋体" w:cs="宋体"/>
          <w:sz w:val="24"/>
          <w:szCs w:val="24"/>
        </w:rPr>
        <w:t>无产权瑕疵条款</w:t>
      </w:r>
      <w:bookmarkEnd w:id="37"/>
      <w:bookmarkEnd w:id="38"/>
      <w:bookmarkEnd w:id="39"/>
    </w:p>
    <w:p w14:paraId="4F8FDBD1">
      <w:pPr>
        <w:pStyle w:val="29"/>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56C050FA">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40" w:name="_Toc27455"/>
      <w:bookmarkStart w:id="41" w:name="_Toc22633"/>
      <w:bookmarkStart w:id="42" w:name="_Toc29177"/>
      <w:r>
        <w:rPr>
          <w:rFonts w:hint="eastAsia" w:ascii="宋体" w:hAnsi="宋体" w:eastAsia="宋体" w:cs="宋体"/>
          <w:sz w:val="24"/>
          <w:szCs w:val="24"/>
        </w:rPr>
        <w:t>甲方的权利和义务</w:t>
      </w:r>
      <w:bookmarkEnd w:id="40"/>
      <w:bookmarkEnd w:id="41"/>
      <w:bookmarkEnd w:id="42"/>
    </w:p>
    <w:p w14:paraId="35FFEA9A">
      <w:pPr>
        <w:pStyle w:val="31"/>
        <w:keepNext w:val="0"/>
        <w:keepLines w:val="0"/>
        <w:pageBreakBefore w:val="0"/>
        <w:numPr>
          <w:ilvl w:val="1"/>
          <w:numId w:val="8"/>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57F1FCEB">
      <w:pPr>
        <w:pStyle w:val="31"/>
        <w:keepNext w:val="0"/>
        <w:keepLines w:val="0"/>
        <w:pageBreakBefore w:val="0"/>
        <w:numPr>
          <w:ilvl w:val="1"/>
          <w:numId w:val="8"/>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甲方有权依据双方签订的考评办法对乙方提供的服务进行定期考评。当考评结果未达到标准时，有权依据考评办法约定的数额扣除</w:t>
      </w:r>
      <w:r>
        <w:rPr>
          <w:rFonts w:hint="eastAsia" w:ascii="宋体" w:hAnsi="宋体" w:eastAsia="宋体" w:cs="宋体"/>
          <w:sz w:val="24"/>
          <w:szCs w:val="24"/>
          <w:lang w:val="en-US" w:eastAsia="zh-CN"/>
        </w:rPr>
        <w:t>相应合同价款</w:t>
      </w:r>
      <w:r>
        <w:rPr>
          <w:rFonts w:hint="eastAsia" w:ascii="宋体" w:hAnsi="宋体" w:eastAsia="宋体" w:cs="宋体"/>
          <w:sz w:val="24"/>
          <w:szCs w:val="24"/>
        </w:rPr>
        <w:t>。</w:t>
      </w:r>
    </w:p>
    <w:p w14:paraId="76374FC5">
      <w:pPr>
        <w:pStyle w:val="31"/>
        <w:keepNext w:val="0"/>
        <w:keepLines w:val="0"/>
        <w:pageBreakBefore w:val="0"/>
        <w:numPr>
          <w:ilvl w:val="1"/>
          <w:numId w:val="8"/>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负责检查监督乙方管理工作的实施及制度的执行情况。</w:t>
      </w:r>
    </w:p>
    <w:p w14:paraId="49BCF0FC">
      <w:pPr>
        <w:pStyle w:val="31"/>
        <w:keepNext w:val="0"/>
        <w:keepLines w:val="0"/>
        <w:pageBreakBefore w:val="0"/>
        <w:numPr>
          <w:ilvl w:val="1"/>
          <w:numId w:val="8"/>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根据本合同规定，按时向乙方支付应付服务费用。</w:t>
      </w:r>
    </w:p>
    <w:p w14:paraId="1DB83DC5">
      <w:pPr>
        <w:pStyle w:val="31"/>
        <w:keepNext w:val="0"/>
        <w:keepLines w:val="0"/>
        <w:pageBreakBefore w:val="0"/>
        <w:numPr>
          <w:ilvl w:val="1"/>
          <w:numId w:val="8"/>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国家法律、法规所规定由甲方承担的其它责任。</w:t>
      </w:r>
    </w:p>
    <w:p w14:paraId="7B3F4E50">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43" w:name="_Toc13353"/>
      <w:bookmarkStart w:id="44" w:name="_Toc24753"/>
      <w:bookmarkStart w:id="45" w:name="_Toc16645"/>
      <w:r>
        <w:rPr>
          <w:rFonts w:hint="eastAsia" w:ascii="宋体" w:hAnsi="宋体" w:eastAsia="宋体" w:cs="宋体"/>
          <w:sz w:val="24"/>
          <w:szCs w:val="24"/>
        </w:rPr>
        <w:t>乙方的权利和义务</w:t>
      </w:r>
      <w:bookmarkEnd w:id="43"/>
      <w:bookmarkEnd w:id="44"/>
      <w:bookmarkEnd w:id="45"/>
    </w:p>
    <w:p w14:paraId="171F1A23">
      <w:pPr>
        <w:pStyle w:val="31"/>
        <w:keepNext w:val="0"/>
        <w:keepLines w:val="0"/>
        <w:pageBreakBefore w:val="0"/>
        <w:numPr>
          <w:ilvl w:val="1"/>
          <w:numId w:val="9"/>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对本合同规定的委托服务范围内的项目享有管理权及服务义务。</w:t>
      </w:r>
    </w:p>
    <w:p w14:paraId="0FC4FFB1">
      <w:pPr>
        <w:pStyle w:val="31"/>
        <w:keepNext w:val="0"/>
        <w:keepLines w:val="0"/>
        <w:pageBreakBefore w:val="0"/>
        <w:numPr>
          <w:ilvl w:val="1"/>
          <w:numId w:val="9"/>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根据本合同的规定向甲方收取相关服务费用，并有权在本项目管理范围内管理及合理使用。</w:t>
      </w:r>
    </w:p>
    <w:p w14:paraId="4E19BB9F">
      <w:pPr>
        <w:pStyle w:val="31"/>
        <w:keepNext w:val="0"/>
        <w:keepLines w:val="0"/>
        <w:pageBreakBefore w:val="0"/>
        <w:numPr>
          <w:ilvl w:val="1"/>
          <w:numId w:val="9"/>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及时向甲方通告本项目服务范围内有关服务的重大事项，及时配合处理投诉。</w:t>
      </w:r>
    </w:p>
    <w:p w14:paraId="3B22FE7F">
      <w:pPr>
        <w:pStyle w:val="31"/>
        <w:keepNext w:val="0"/>
        <w:keepLines w:val="0"/>
        <w:pageBreakBefore w:val="0"/>
        <w:numPr>
          <w:ilvl w:val="1"/>
          <w:numId w:val="9"/>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接受项目行业管理部门及政府有关部门的指导，接受甲方的监督。</w:t>
      </w:r>
    </w:p>
    <w:p w14:paraId="65E80C26">
      <w:pPr>
        <w:pStyle w:val="31"/>
        <w:keepNext w:val="0"/>
        <w:keepLines w:val="0"/>
        <w:pageBreakBefore w:val="0"/>
        <w:numPr>
          <w:ilvl w:val="1"/>
          <w:numId w:val="9"/>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国家法律、法规所规定由乙方承担的其它责任。</w:t>
      </w:r>
    </w:p>
    <w:p w14:paraId="29961344">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46" w:name="_Toc14570"/>
      <w:bookmarkStart w:id="47" w:name="_Toc9295"/>
      <w:bookmarkStart w:id="48" w:name="_Toc30488"/>
      <w:r>
        <w:rPr>
          <w:rFonts w:hint="eastAsia" w:ascii="宋体" w:hAnsi="宋体" w:eastAsia="宋体" w:cs="宋体"/>
          <w:sz w:val="24"/>
          <w:szCs w:val="24"/>
        </w:rPr>
        <w:t>违约责任</w:t>
      </w:r>
      <w:bookmarkEnd w:id="46"/>
      <w:bookmarkEnd w:id="47"/>
      <w:bookmarkEnd w:id="48"/>
    </w:p>
    <w:p w14:paraId="39B6E741">
      <w:pPr>
        <w:numPr>
          <w:ilvl w:val="1"/>
          <w:numId w:val="0"/>
        </w:numPr>
        <w:wordWrap w:val="0"/>
        <w:topLinePunct/>
        <w:spacing w:line="440" w:lineRule="exac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(一)甲方违约责任</w:t>
      </w:r>
    </w:p>
    <w:p w14:paraId="6DE6DAF0">
      <w:pPr>
        <w:numPr>
          <w:ilvl w:val="2"/>
          <w:numId w:val="0"/>
        </w:num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rPr>
        <w:t>1.</w:t>
      </w:r>
      <w:r>
        <w:rPr>
          <w:rFonts w:hint="eastAsia" w:ascii="宋体" w:hAnsi="宋体" w:eastAsia="宋体" w:cs="宋体"/>
          <w:sz w:val="24"/>
          <w:szCs w:val="24"/>
          <w:lang w:bidi="ar"/>
        </w:rPr>
        <w:t>甲方应遵守本合同并执行合同中的各项规定，保证本合同的正常履行。</w:t>
      </w:r>
    </w:p>
    <w:p w14:paraId="33A4F1AA">
      <w:pPr>
        <w:numPr>
          <w:ilvl w:val="2"/>
          <w:numId w:val="0"/>
        </w:num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rPr>
        <w:t>2.甲方逾期支付服务合同款项的，除应及时付足合同款项外，应向乙方偿付欠款总额万分之</w:t>
      </w:r>
      <w:r>
        <w:rPr>
          <w:rFonts w:hint="eastAsia" w:ascii="宋体" w:hAnsi="宋体" w:eastAsia="宋体" w:cs="宋体"/>
          <w:bCs/>
          <w:snapToGrid w:val="0"/>
          <w:sz w:val="24"/>
        </w:rPr>
        <w:t>一</w:t>
      </w:r>
      <w:r>
        <w:rPr>
          <w:rFonts w:hint="eastAsia" w:ascii="宋体" w:hAnsi="宋体" w:eastAsia="宋体" w:cs="宋体"/>
          <w:snapToGrid w:val="0"/>
          <w:sz w:val="24"/>
          <w:szCs w:val="24"/>
        </w:rPr>
        <w:t>/天的违约金</w:t>
      </w:r>
      <w:r>
        <w:rPr>
          <w:rFonts w:hint="eastAsia" w:ascii="宋体" w:hAnsi="宋体" w:eastAsia="宋体" w:cs="宋体"/>
          <w:bCs/>
          <w:snapToGrid w:val="0"/>
          <w:sz w:val="24"/>
        </w:rPr>
        <w:t>，逾期违约金累计不超过</w:t>
      </w:r>
      <w:r>
        <w:rPr>
          <w:rFonts w:hint="eastAsia" w:ascii="宋体" w:hAnsi="宋体" w:eastAsia="宋体" w:cs="宋体"/>
          <w:bCs/>
          <w:snapToGrid w:val="0"/>
          <w:sz w:val="24"/>
          <w:lang w:val="en-US" w:eastAsia="zh-CN"/>
        </w:rPr>
        <w:t>甲方</w:t>
      </w:r>
      <w:r>
        <w:rPr>
          <w:rFonts w:hint="eastAsia" w:ascii="宋体" w:hAnsi="宋体" w:eastAsia="宋体" w:cs="宋体"/>
          <w:bCs/>
          <w:snapToGrid w:val="0"/>
          <w:sz w:val="24"/>
        </w:rPr>
        <w:t>欠款总额的10%</w:t>
      </w:r>
      <w:r>
        <w:rPr>
          <w:rFonts w:hint="eastAsia" w:ascii="宋体" w:hAnsi="宋体" w:eastAsia="宋体" w:cs="宋体"/>
          <w:snapToGrid w:val="0"/>
          <w:sz w:val="24"/>
          <w:szCs w:val="24"/>
        </w:rPr>
        <w:t>；逾期付款超过</w:t>
      </w:r>
      <w:r>
        <w:rPr>
          <w:rFonts w:hint="eastAsia" w:ascii="宋体" w:hAnsi="宋体" w:eastAsia="宋体" w:cs="宋体"/>
          <w:snapToGrid w:val="0"/>
          <w:sz w:val="24"/>
          <w:szCs w:val="24"/>
          <w:u w:val="single"/>
        </w:rPr>
        <w:t>30</w:t>
      </w:r>
      <w:r>
        <w:rPr>
          <w:rFonts w:hint="eastAsia" w:ascii="宋体" w:hAnsi="宋体" w:eastAsia="宋体" w:cs="宋体"/>
          <w:snapToGrid w:val="0"/>
          <w:sz w:val="24"/>
          <w:szCs w:val="24"/>
        </w:rPr>
        <w:t>天的，乙方有权终止合同。</w:t>
      </w:r>
    </w:p>
    <w:p w14:paraId="39100CDC">
      <w:pPr>
        <w:numPr>
          <w:ilvl w:val="2"/>
          <w:numId w:val="0"/>
        </w:num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rPr>
        <w:t>3.甲方偿付的违约金不足以弥补乙方损失的，还应按乙方经济损失尚未弥补的部分，支付赔偿金给乙方。</w:t>
      </w:r>
    </w:p>
    <w:p w14:paraId="0A72DC5C">
      <w:pPr>
        <w:numPr>
          <w:ilvl w:val="1"/>
          <w:numId w:val="0"/>
        </w:numPr>
        <w:wordWrap w:val="0"/>
        <w:topLinePunct/>
        <w:spacing w:line="440" w:lineRule="exac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(二)乙方违约责任</w:t>
      </w:r>
    </w:p>
    <w:p w14:paraId="6D0D203C">
      <w:pPr>
        <w:numPr>
          <w:ilvl w:val="2"/>
          <w:numId w:val="0"/>
        </w:num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rPr>
        <w:t>1.乙方必须遵守采购合同并执行合同中的各项规定，保证采购合同的正常履行。</w:t>
      </w:r>
    </w:p>
    <w:p w14:paraId="67485B82">
      <w:pPr>
        <w:numPr>
          <w:ilvl w:val="2"/>
          <w:numId w:val="0"/>
        </w:num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F2E3839">
      <w:pPr>
        <w:numPr>
          <w:ilvl w:val="2"/>
          <w:numId w:val="0"/>
        </w:num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rPr>
        <w:t>3.乙方不能按时提供服务(成果)或逾期提供的而违约的，除应及时提供服务外，应向甲方偿付逾期提供部分服务总额的百分之</w:t>
      </w:r>
      <w:r>
        <w:rPr>
          <w:rFonts w:hint="eastAsia" w:ascii="宋体" w:hAnsi="宋体" w:eastAsia="宋体" w:cs="宋体"/>
          <w:bCs/>
          <w:snapToGrid w:val="0"/>
          <w:sz w:val="24"/>
        </w:rPr>
        <w:t>一</w:t>
      </w:r>
      <w:r>
        <w:rPr>
          <w:rFonts w:hint="eastAsia" w:ascii="宋体" w:hAnsi="宋体" w:eastAsia="宋体" w:cs="宋体"/>
          <w:snapToGrid w:val="0"/>
          <w:sz w:val="24"/>
          <w:szCs w:val="24"/>
        </w:rPr>
        <w:t>/天的违约金；逾期超过15天，甲方有权终止合同，乙方则应按合同总价的百分之</w:t>
      </w:r>
      <w:r>
        <w:rPr>
          <w:rFonts w:hint="eastAsia" w:ascii="宋体" w:hAnsi="宋体" w:eastAsia="宋体" w:cs="宋体"/>
          <w:snapToGrid w:val="0"/>
          <w:sz w:val="24"/>
          <w:szCs w:val="24"/>
          <w:u w:val="single"/>
          <w:lang w:val="en-US" w:eastAsia="zh-CN"/>
        </w:rPr>
        <w:t>三</w:t>
      </w:r>
      <w:r>
        <w:rPr>
          <w:rFonts w:hint="eastAsia" w:ascii="宋体" w:hAnsi="宋体" w:eastAsia="宋体" w:cs="宋体"/>
          <w:snapToGrid w:val="0"/>
          <w:sz w:val="24"/>
          <w:szCs w:val="24"/>
        </w:rPr>
        <w:t>的款额向甲方偿付违约金，并须全额退还甲方已经付给乙方的服务费及其利息。</w:t>
      </w:r>
    </w:p>
    <w:p w14:paraId="74B613AB">
      <w:pPr>
        <w:numPr>
          <w:ilvl w:val="2"/>
          <w:numId w:val="0"/>
        </w:num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rPr>
        <w:t>4.乙方应当遵守甲方的相关项目需求及相关技术要求及实质性条款，实施完成采购合同应当完全满足相关项目需求及相关技术要求及实质性条款，若乙方瑕疵履行采购合同，甲方有权向乙方要求赔偿合同总价款20%的违约金，若造成相关损失的，甲方有权要求乙方承担所有赔偿责任。</w:t>
      </w:r>
    </w:p>
    <w:p w14:paraId="3C1CC9A5">
      <w:pPr>
        <w:numPr>
          <w:ilvl w:val="2"/>
          <w:numId w:val="0"/>
        </w:num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z w:val="24"/>
          <w:lang w:val="en-US" w:eastAsia="zh-CN"/>
        </w:rPr>
        <w:t>5</w:t>
      </w:r>
      <w:r>
        <w:rPr>
          <w:rFonts w:hint="eastAsia" w:ascii="宋体" w:hAnsi="宋体" w:eastAsia="宋体" w:cs="宋体"/>
          <w:snapToGrid w:val="0"/>
          <w:sz w:val="24"/>
          <w:szCs w:val="24"/>
        </w:rPr>
        <w:t>.有下列情形之一的，当事人可以解除合同：</w:t>
      </w:r>
    </w:p>
    <w:p w14:paraId="042F1C33">
      <w:p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lang w:val="en-US" w:eastAsia="zh-CN"/>
        </w:rPr>
        <w:t>5</w:t>
      </w:r>
      <w:r>
        <w:rPr>
          <w:rFonts w:hint="eastAsia" w:ascii="宋体" w:hAnsi="宋体" w:eastAsia="宋体" w:cs="宋体"/>
          <w:snapToGrid w:val="0"/>
          <w:sz w:val="24"/>
          <w:szCs w:val="24"/>
        </w:rPr>
        <w:t>.1因不可抗力致使不能实现合同目的(由于非乙方或甲方原因，致使合同实质性条款无法实现的)；</w:t>
      </w:r>
    </w:p>
    <w:p w14:paraId="627DED4E">
      <w:p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lang w:val="en-US" w:eastAsia="zh-CN"/>
        </w:rPr>
        <w:t>5</w:t>
      </w:r>
      <w:r>
        <w:rPr>
          <w:rFonts w:hint="eastAsia" w:ascii="宋体" w:hAnsi="宋体" w:eastAsia="宋体" w:cs="宋体"/>
          <w:snapToGrid w:val="0"/>
          <w:sz w:val="24"/>
          <w:szCs w:val="24"/>
        </w:rPr>
        <w:t>.2当事人一方迟延履行主要债务，经催告后在合理期限内仍未履行；</w:t>
      </w:r>
    </w:p>
    <w:p w14:paraId="7AF8FADE">
      <w:p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lang w:val="en-US" w:eastAsia="zh-CN"/>
        </w:rPr>
        <w:t>5</w:t>
      </w:r>
      <w:r>
        <w:rPr>
          <w:rFonts w:hint="eastAsia" w:ascii="宋体" w:hAnsi="宋体" w:eastAsia="宋体" w:cs="宋体"/>
          <w:snapToGrid w:val="0"/>
          <w:sz w:val="24"/>
          <w:szCs w:val="24"/>
        </w:rPr>
        <w:t>.3当事人一方迟延履行债务或者有其他违约行为致使不能实现合同目的；</w:t>
      </w:r>
    </w:p>
    <w:p w14:paraId="5BA5A758">
      <w:pPr>
        <w:wordWrap w:val="0"/>
        <w:topLinePunct/>
        <w:spacing w:line="440" w:lineRule="exact"/>
        <w:ind w:firstLine="480" w:firstLineChars="200"/>
        <w:jc w:val="left"/>
        <w:outlineLvl w:val="9"/>
        <w:rPr>
          <w:rFonts w:hint="eastAsia" w:ascii="宋体" w:hAnsi="宋体" w:eastAsia="宋体" w:cs="宋体"/>
          <w:snapToGrid w:val="0"/>
          <w:sz w:val="24"/>
          <w:szCs w:val="24"/>
        </w:rPr>
      </w:pPr>
      <w:r>
        <w:rPr>
          <w:rFonts w:hint="eastAsia" w:ascii="宋体" w:hAnsi="宋体" w:eastAsia="宋体" w:cs="宋体"/>
          <w:snapToGrid w:val="0"/>
          <w:sz w:val="24"/>
          <w:szCs w:val="24"/>
          <w:lang w:val="en-US" w:eastAsia="zh-CN"/>
        </w:rPr>
        <w:t>5</w:t>
      </w:r>
      <w:r>
        <w:rPr>
          <w:rFonts w:hint="eastAsia" w:ascii="宋体" w:hAnsi="宋体" w:eastAsia="宋体" w:cs="宋体"/>
          <w:snapToGrid w:val="0"/>
          <w:sz w:val="24"/>
          <w:szCs w:val="24"/>
        </w:rPr>
        <w:t>.4法律规定的其他情形。</w:t>
      </w:r>
    </w:p>
    <w:p w14:paraId="79AE3D86">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49" w:name="_Toc20405"/>
      <w:bookmarkStart w:id="50" w:name="_Toc26697"/>
      <w:bookmarkStart w:id="51" w:name="_Toc22166"/>
      <w:r>
        <w:rPr>
          <w:rFonts w:hint="eastAsia" w:ascii="宋体" w:hAnsi="宋体" w:eastAsia="宋体" w:cs="宋体"/>
          <w:sz w:val="24"/>
          <w:szCs w:val="24"/>
        </w:rPr>
        <w:t>不可抗力事件处理</w:t>
      </w:r>
      <w:bookmarkEnd w:id="49"/>
      <w:bookmarkEnd w:id="50"/>
      <w:bookmarkEnd w:id="51"/>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E23792B">
      <w:pPr>
        <w:pStyle w:val="12"/>
        <w:keepNext w:val="0"/>
        <w:keepLines w:val="0"/>
        <w:pageBreakBefore w:val="0"/>
        <w:widowControl w:val="0"/>
        <w:numPr>
          <w:ilvl w:val="1"/>
          <w:numId w:val="10"/>
        </w:numPr>
        <w:kinsoku/>
        <w:wordWrap w:val="0"/>
        <w:overflowPunct/>
        <w:topLinePunct/>
        <w:autoSpaceDE/>
        <w:autoSpaceDN/>
        <w:bidi w:val="0"/>
        <w:adjustRightInd/>
        <w:snapToGrid/>
        <w:spacing w:before="0" w:beforeAutospacing="0" w:after="0" w:afterAutospacing="0" w:line="440" w:lineRule="exact"/>
        <w:ind w:firstLine="480" w:firstLineChars="200"/>
        <w:textAlignment w:val="auto"/>
        <w:rPr>
          <w:rFonts w:hint="eastAsia" w:ascii="宋体" w:hAnsi="宋体" w:eastAsia="宋体" w:cs="宋体"/>
          <w:kern w:val="2"/>
          <w:sz w:val="24"/>
          <w:szCs w:val="24"/>
        </w:rPr>
      </w:pPr>
      <w:bookmarkStart w:id="52" w:name="_Toc238984980"/>
      <w:bookmarkStart w:id="53" w:name="_Toc239233919"/>
      <w:bookmarkStart w:id="54" w:name="_Toc211854454"/>
      <w:bookmarkStart w:id="55" w:name="_Toc286993792"/>
      <w:bookmarkStart w:id="56" w:name="_Toc225244857"/>
      <w:bookmarkStart w:id="57" w:name="_Toc232492933"/>
      <w:bookmarkStart w:id="58" w:name="_Toc211911353"/>
      <w:bookmarkStart w:id="59" w:name="_Toc185395254"/>
      <w:bookmarkStart w:id="60" w:name="_Toc212019599"/>
      <w:bookmarkStart w:id="61" w:name="_Toc225670756"/>
      <w:bookmarkStart w:id="62" w:name="_Toc237145411"/>
      <w:bookmarkStart w:id="63" w:name="_Toc225654649"/>
      <w:bookmarkStart w:id="64" w:name="_Toc239568423"/>
      <w:bookmarkStart w:id="65" w:name="_Toc241833908"/>
      <w:bookmarkStart w:id="66" w:name="_Toc247334846"/>
      <w:bookmarkStart w:id="67" w:name="_Toc251768867"/>
      <w:r>
        <w:rPr>
          <w:rFonts w:hint="eastAsia" w:ascii="宋体" w:hAnsi="宋体" w:eastAsia="宋体" w:cs="宋体"/>
          <w:kern w:val="2"/>
          <w:sz w:val="24"/>
          <w:szCs w:val="24"/>
        </w:rPr>
        <w:t>不可抗力指甲、乙双方无法预见、无法预防、无法避免和无法控制的事件，例如但不限于，地震、台风、水灾、火灾或其他自然灾害，爆炸、骚乱、战争或类似战争的情况、暴动。</w:t>
      </w:r>
    </w:p>
    <w:p w14:paraId="297023A2">
      <w:pPr>
        <w:pStyle w:val="12"/>
        <w:keepNext w:val="0"/>
        <w:keepLines w:val="0"/>
        <w:pageBreakBefore w:val="0"/>
        <w:widowControl w:val="0"/>
        <w:numPr>
          <w:ilvl w:val="1"/>
          <w:numId w:val="10"/>
        </w:numPr>
        <w:kinsoku/>
        <w:wordWrap w:val="0"/>
        <w:overflowPunct/>
        <w:topLinePunct/>
        <w:autoSpaceDE/>
        <w:autoSpaceDN/>
        <w:bidi w:val="0"/>
        <w:adjustRightInd/>
        <w:snapToGrid/>
        <w:spacing w:before="0" w:beforeAutospacing="0" w:after="0" w:afterAutospacing="0" w:line="440" w:lineRule="exact"/>
        <w:ind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如发生不可抗力，阻碍受影响方履行其在本协议项下的义务，受影响方应及时书面通知另一方并提供有关该事件的详尽资料，说明其不能履行或延迟履行本协议全部或部分条款的原因。</w:t>
      </w:r>
    </w:p>
    <w:p w14:paraId="7D47D44D">
      <w:pPr>
        <w:pStyle w:val="12"/>
        <w:keepNext w:val="0"/>
        <w:keepLines w:val="0"/>
        <w:pageBreakBefore w:val="0"/>
        <w:widowControl w:val="0"/>
        <w:numPr>
          <w:ilvl w:val="1"/>
          <w:numId w:val="10"/>
        </w:numPr>
        <w:kinsoku/>
        <w:wordWrap w:val="0"/>
        <w:overflowPunct/>
        <w:topLinePunct/>
        <w:autoSpaceDE/>
        <w:autoSpaceDN/>
        <w:bidi w:val="0"/>
        <w:adjustRightInd/>
        <w:snapToGrid/>
        <w:spacing w:before="0" w:beforeAutospacing="0" w:after="0" w:afterAutospacing="0" w:line="440" w:lineRule="exact"/>
        <w:ind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rPr>
        <w:t>发生不可抗力事件后，受影响方均无须对因其未能履行或延迟履行本协议而使另一方蒙受的任何损害、费用增加或损失负责，而未能履行或延迟履行不应被视为违反本协议。但受影响方应采取适当措施尽量减少或消除该事件的影响，并应在尽可能短的时间内恢复履行受该事件影响的义务。</w:t>
      </w:r>
    </w:p>
    <w:p w14:paraId="4E094CE2">
      <w:pPr>
        <w:pStyle w:val="12"/>
        <w:keepNext w:val="0"/>
        <w:keepLines w:val="0"/>
        <w:pageBreakBefore w:val="0"/>
        <w:widowControl w:val="0"/>
        <w:numPr>
          <w:ilvl w:val="1"/>
          <w:numId w:val="10"/>
        </w:numPr>
        <w:kinsoku/>
        <w:wordWrap w:val="0"/>
        <w:overflowPunct/>
        <w:topLinePunct/>
        <w:autoSpaceDE/>
        <w:autoSpaceDN/>
        <w:bidi w:val="0"/>
        <w:adjustRightInd/>
        <w:snapToGrid/>
        <w:spacing w:before="0" w:beforeAutospacing="0" w:after="0" w:afterAutospacing="0" w:line="440" w:lineRule="exact"/>
        <w:ind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lang w:bidi="ar"/>
        </w:rPr>
        <w:t>在合同有效期内，任何一方因不可抗力事件导致不能履行合同，则合同履行期可延长，其延长期与不可抗力影响期相同。</w:t>
      </w:r>
    </w:p>
    <w:p w14:paraId="23A7C479">
      <w:pPr>
        <w:pStyle w:val="12"/>
        <w:keepNext w:val="0"/>
        <w:keepLines w:val="0"/>
        <w:pageBreakBefore w:val="0"/>
        <w:widowControl w:val="0"/>
        <w:numPr>
          <w:ilvl w:val="1"/>
          <w:numId w:val="10"/>
        </w:numPr>
        <w:kinsoku/>
        <w:wordWrap w:val="0"/>
        <w:overflowPunct/>
        <w:topLinePunct/>
        <w:autoSpaceDE/>
        <w:autoSpaceDN/>
        <w:bidi w:val="0"/>
        <w:adjustRightInd/>
        <w:snapToGrid/>
        <w:spacing w:before="0" w:beforeAutospacing="0" w:after="0" w:afterAutospacing="0" w:line="440" w:lineRule="exact"/>
        <w:ind w:firstLine="480" w:firstLineChars="200"/>
        <w:textAlignment w:val="auto"/>
        <w:rPr>
          <w:rFonts w:hint="eastAsia" w:ascii="宋体" w:hAnsi="宋体" w:eastAsia="宋体" w:cs="宋体"/>
          <w:kern w:val="2"/>
          <w:sz w:val="24"/>
          <w:szCs w:val="24"/>
        </w:rPr>
      </w:pPr>
      <w:r>
        <w:rPr>
          <w:rFonts w:hint="eastAsia" w:ascii="宋体" w:hAnsi="宋体" w:eastAsia="宋体" w:cs="宋体"/>
          <w:kern w:val="2"/>
          <w:sz w:val="24"/>
          <w:szCs w:val="24"/>
          <w:lang w:bidi="ar"/>
        </w:rPr>
        <w:t>不可抗力事件发生后，应立即通知对方，并寄送有关权威机构出具的证明。</w:t>
      </w:r>
    </w:p>
    <w:p w14:paraId="211F7B42">
      <w:pPr>
        <w:pStyle w:val="12"/>
        <w:keepNext w:val="0"/>
        <w:keepLines w:val="0"/>
        <w:pageBreakBefore w:val="0"/>
        <w:widowControl w:val="0"/>
        <w:numPr>
          <w:ilvl w:val="1"/>
          <w:numId w:val="10"/>
        </w:numPr>
        <w:kinsoku/>
        <w:wordWrap w:val="0"/>
        <w:overflowPunct/>
        <w:topLinePunct/>
        <w:autoSpaceDE/>
        <w:autoSpaceDN/>
        <w:bidi w:val="0"/>
        <w:adjustRightInd/>
        <w:snapToGrid/>
        <w:spacing w:before="0"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bidi="ar"/>
        </w:rPr>
        <w:t>不可抗力事件延续</w:t>
      </w:r>
      <w:r>
        <w:rPr>
          <w:rFonts w:hint="eastAsia" w:ascii="宋体" w:hAnsi="宋体" w:eastAsia="宋体" w:cs="宋体"/>
          <w:kern w:val="2"/>
          <w:sz w:val="24"/>
          <w:szCs w:val="24"/>
          <w:highlight w:val="none"/>
          <w:lang w:val="en-US" w:eastAsia="zh-CN" w:bidi="ar"/>
        </w:rPr>
        <w:t>30</w:t>
      </w:r>
      <w:r>
        <w:rPr>
          <w:rFonts w:hint="eastAsia" w:ascii="宋体" w:hAnsi="宋体" w:eastAsia="宋体" w:cs="宋体"/>
          <w:kern w:val="2"/>
          <w:sz w:val="24"/>
          <w:szCs w:val="24"/>
          <w:highlight w:val="none"/>
          <w:lang w:bidi="ar"/>
        </w:rPr>
        <w:t>天以</w:t>
      </w:r>
      <w:r>
        <w:rPr>
          <w:rFonts w:hint="eastAsia" w:ascii="宋体" w:hAnsi="宋体" w:eastAsia="宋体" w:cs="宋体"/>
          <w:kern w:val="2"/>
          <w:sz w:val="24"/>
          <w:szCs w:val="24"/>
          <w:lang w:bidi="ar"/>
        </w:rPr>
        <w:t>上，双方应通过友好协商，确定是否继续履行合同。</w:t>
      </w:r>
    </w:p>
    <w:p w14:paraId="50895371">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68" w:name="_Toc11065"/>
      <w:bookmarkStart w:id="69" w:name="_Toc16650"/>
      <w:bookmarkStart w:id="70" w:name="_Toc32699"/>
      <w:r>
        <w:rPr>
          <w:rFonts w:hint="eastAsia" w:ascii="宋体" w:hAnsi="宋体" w:eastAsia="宋体" w:cs="宋体"/>
          <w:sz w:val="24"/>
          <w:szCs w:val="24"/>
        </w:rPr>
        <w:t>解决</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ascii="宋体" w:hAnsi="宋体" w:eastAsia="宋体" w:cs="宋体"/>
          <w:sz w:val="24"/>
          <w:szCs w:val="24"/>
          <w:lang w:val="en-US" w:eastAsia="zh-CN"/>
        </w:rPr>
        <w:t>争议的方法</w:t>
      </w:r>
      <w:bookmarkEnd w:id="68"/>
      <w:bookmarkEnd w:id="69"/>
      <w:bookmarkEnd w:id="70"/>
    </w:p>
    <w:p w14:paraId="416BC094">
      <w:pPr>
        <w:pStyle w:val="31"/>
        <w:keepNext w:val="0"/>
        <w:keepLines w:val="0"/>
        <w:pageBreakBefore w:val="0"/>
        <w:numPr>
          <w:ilvl w:val="1"/>
          <w:numId w:val="11"/>
        </w:numPr>
        <w:kinsoku/>
        <w:overflowPunct/>
        <w:autoSpaceDE/>
        <w:autoSpaceDN/>
        <w:bidi w:val="0"/>
        <w:spacing w:line="440" w:lineRule="exact"/>
        <w:textAlignment w:val="auto"/>
        <w:rPr>
          <w:rFonts w:hint="eastAsia" w:ascii="宋体" w:hAnsi="宋体" w:eastAsia="宋体" w:cs="宋体"/>
          <w:bCs/>
          <w:snapToGrid w:val="0"/>
          <w:sz w:val="24"/>
        </w:rPr>
      </w:pPr>
      <w:bookmarkStart w:id="71" w:name="_Toc237145412"/>
      <w:bookmarkStart w:id="72" w:name="_Toc286993793"/>
      <w:bookmarkStart w:id="73" w:name="_Toc247334847"/>
      <w:bookmarkStart w:id="74" w:name="_Toc251768868"/>
      <w:bookmarkStart w:id="75" w:name="_Toc212019600"/>
      <w:bookmarkStart w:id="76" w:name="_Toc185395255"/>
      <w:bookmarkStart w:id="77" w:name="_Toc239233920"/>
      <w:bookmarkStart w:id="78" w:name="_Toc282696231"/>
      <w:bookmarkStart w:id="79" w:name="_Toc211854455"/>
      <w:bookmarkStart w:id="80" w:name="_Toc232492934"/>
      <w:bookmarkStart w:id="81" w:name="_Toc225654650"/>
      <w:bookmarkStart w:id="82" w:name="_Toc283019219"/>
      <w:bookmarkStart w:id="83" w:name="_Toc211911354"/>
      <w:bookmarkStart w:id="84" w:name="_Toc241833909"/>
      <w:bookmarkStart w:id="85" w:name="_Toc239568424"/>
      <w:bookmarkStart w:id="86" w:name="_Toc238984981"/>
      <w:bookmarkStart w:id="87" w:name="_Toc225244858"/>
      <w:bookmarkStart w:id="88" w:name="_Toc225670757"/>
      <w:r>
        <w:rPr>
          <w:rFonts w:hint="eastAsia" w:ascii="宋体" w:hAnsi="宋体" w:eastAsia="宋体" w:cs="宋体"/>
          <w:bCs/>
          <w:snapToGrid w:val="0"/>
          <w:sz w:val="24"/>
        </w:rPr>
        <w:t>因服务的质量问题发生争议，由</w:t>
      </w:r>
      <w:r>
        <w:rPr>
          <w:rFonts w:hint="eastAsia" w:ascii="宋体" w:hAnsi="宋体" w:eastAsia="宋体" w:cs="宋体"/>
          <w:bCs/>
          <w:snapToGrid w:val="0"/>
          <w:sz w:val="24"/>
          <w:lang w:val="en-US" w:eastAsia="zh-CN"/>
        </w:rPr>
        <w:t>甲方</w:t>
      </w:r>
      <w:r>
        <w:rPr>
          <w:rFonts w:hint="eastAsia" w:ascii="宋体" w:hAnsi="宋体" w:eastAsia="宋体" w:cs="宋体"/>
          <w:bCs/>
          <w:snapToGrid w:val="0"/>
          <w:sz w:val="24"/>
        </w:rPr>
        <w:t>或其指定的第三方机构进行质量鉴定。服务符合标准的，鉴定费由</w:t>
      </w:r>
      <w:r>
        <w:rPr>
          <w:rFonts w:hint="eastAsia" w:ascii="宋体" w:hAnsi="宋体" w:eastAsia="宋体" w:cs="宋体"/>
          <w:bCs/>
          <w:snapToGrid w:val="0"/>
          <w:sz w:val="24"/>
          <w:lang w:val="en-US" w:eastAsia="zh-CN"/>
        </w:rPr>
        <w:t>甲方</w:t>
      </w:r>
      <w:r>
        <w:rPr>
          <w:rFonts w:hint="eastAsia" w:ascii="宋体" w:hAnsi="宋体" w:eastAsia="宋体" w:cs="宋体"/>
          <w:bCs/>
          <w:snapToGrid w:val="0"/>
          <w:sz w:val="24"/>
        </w:rPr>
        <w:t>承担；</w:t>
      </w:r>
      <w:r>
        <w:rPr>
          <w:rFonts w:hint="eastAsia" w:ascii="宋体" w:hAnsi="宋体" w:eastAsia="宋体" w:cs="宋体"/>
          <w:bCs/>
          <w:snapToGrid w:val="0"/>
          <w:sz w:val="24"/>
          <w:lang w:val="en-US" w:eastAsia="zh-CN"/>
        </w:rPr>
        <w:t>服务</w:t>
      </w:r>
      <w:r>
        <w:rPr>
          <w:rFonts w:hint="eastAsia" w:ascii="宋体" w:hAnsi="宋体" w:eastAsia="宋体" w:cs="宋体"/>
          <w:bCs/>
          <w:snapToGrid w:val="0"/>
          <w:sz w:val="24"/>
        </w:rPr>
        <w:t>不符合质量标准的，鉴定费由</w:t>
      </w:r>
      <w:r>
        <w:rPr>
          <w:rFonts w:hint="eastAsia" w:ascii="宋体" w:hAnsi="宋体" w:eastAsia="宋体" w:cs="宋体"/>
          <w:bCs/>
          <w:snapToGrid w:val="0"/>
          <w:sz w:val="24"/>
          <w:lang w:val="en-US" w:eastAsia="zh-CN"/>
        </w:rPr>
        <w:t>乙方</w:t>
      </w:r>
      <w:r>
        <w:rPr>
          <w:rFonts w:hint="eastAsia" w:ascii="宋体" w:hAnsi="宋体" w:eastAsia="宋体" w:cs="宋体"/>
          <w:bCs/>
          <w:snapToGrid w:val="0"/>
          <w:sz w:val="24"/>
        </w:rPr>
        <w:t>承担；</w:t>
      </w:r>
    </w:p>
    <w:p w14:paraId="7EF6D5ED">
      <w:pPr>
        <w:pStyle w:val="31"/>
        <w:keepNext w:val="0"/>
        <w:keepLines w:val="0"/>
        <w:pageBreakBefore w:val="0"/>
        <w:numPr>
          <w:ilvl w:val="1"/>
          <w:numId w:val="11"/>
        </w:numPr>
        <w:kinsoku/>
        <w:overflowPunct/>
        <w:autoSpaceDE/>
        <w:autoSpaceDN/>
        <w:bidi w:val="0"/>
        <w:spacing w:line="440" w:lineRule="exact"/>
        <w:textAlignment w:val="auto"/>
        <w:rPr>
          <w:rFonts w:hint="eastAsia" w:ascii="宋体" w:hAnsi="宋体" w:eastAsia="宋体" w:cs="宋体"/>
          <w:kern w:val="2"/>
          <w:sz w:val="24"/>
          <w:szCs w:val="24"/>
        </w:rPr>
      </w:pPr>
      <w:r>
        <w:rPr>
          <w:rFonts w:hint="eastAsia" w:ascii="宋体" w:hAnsi="宋体" w:eastAsia="宋体" w:cs="宋体"/>
          <w:sz w:val="24"/>
          <w:szCs w:val="24"/>
          <w:lang w:bidi="ar"/>
        </w:rPr>
        <w:t>合同履行期间，若双方发生争议，可协商或由有关部门调解解决，协商或调解不成的，向</w:t>
      </w:r>
      <w:r>
        <w:rPr>
          <w:rFonts w:hint="eastAsia" w:ascii="宋体" w:hAnsi="宋体" w:eastAsia="宋体" w:cs="宋体"/>
          <w:sz w:val="24"/>
          <w:szCs w:val="24"/>
          <w:u w:val="single"/>
          <w:lang w:bidi="ar"/>
        </w:rPr>
        <w:t>甲方</w:t>
      </w:r>
      <w:r>
        <w:rPr>
          <w:rFonts w:hint="eastAsia" w:ascii="宋体" w:hAnsi="宋体" w:eastAsia="宋体" w:cs="宋体"/>
          <w:sz w:val="24"/>
          <w:szCs w:val="24"/>
          <w:lang w:bidi="ar"/>
        </w:rPr>
        <w:t>所在地</w:t>
      </w:r>
      <w:r>
        <w:rPr>
          <w:rFonts w:hint="eastAsia" w:ascii="宋体" w:hAnsi="宋体" w:eastAsia="宋体" w:cs="宋体"/>
          <w:sz w:val="24"/>
          <w:szCs w:val="24"/>
          <w:lang w:val="en-US" w:eastAsia="zh-CN" w:bidi="ar"/>
        </w:rPr>
        <w:t>有管辖权的</w:t>
      </w:r>
      <w:r>
        <w:rPr>
          <w:rFonts w:hint="eastAsia" w:ascii="宋体" w:hAnsi="宋体" w:eastAsia="宋体" w:cs="宋体"/>
          <w:sz w:val="24"/>
          <w:szCs w:val="24"/>
          <w:lang w:bidi="ar"/>
        </w:rPr>
        <w:t>人民法院起诉</w:t>
      </w:r>
      <w:r>
        <w:rPr>
          <w:rFonts w:hint="eastAsia" w:ascii="宋体" w:hAnsi="宋体" w:eastAsia="宋体" w:cs="宋体"/>
          <w:snapToGrid/>
          <w:kern w:val="2"/>
          <w:sz w:val="24"/>
          <w:szCs w:val="24"/>
          <w:lang w:val="en-US" w:eastAsia="zh-CN" w:bidi="ar"/>
        </w:rPr>
        <w:t>。</w:t>
      </w:r>
    </w:p>
    <w:p w14:paraId="138AFDEF">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89" w:name="_Toc25949"/>
      <w:bookmarkStart w:id="90" w:name="_Toc11341"/>
      <w:bookmarkStart w:id="91" w:name="_Toc23435"/>
      <w:r>
        <w:rPr>
          <w:rFonts w:hint="eastAsia" w:ascii="宋体" w:hAnsi="宋体" w:eastAsia="宋体" w:cs="宋体"/>
          <w:sz w:val="24"/>
          <w:szCs w:val="24"/>
        </w:rPr>
        <w:t>合同</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hint="eastAsia" w:ascii="宋体" w:hAnsi="宋体" w:eastAsia="宋体" w:cs="宋体"/>
          <w:sz w:val="24"/>
          <w:szCs w:val="24"/>
        </w:rPr>
        <w:t>生效及其他</w:t>
      </w:r>
      <w:bookmarkEnd w:id="89"/>
      <w:bookmarkEnd w:id="90"/>
      <w:bookmarkEnd w:id="91"/>
    </w:p>
    <w:p w14:paraId="01006A1E">
      <w:pPr>
        <w:pStyle w:val="31"/>
        <w:keepNext w:val="0"/>
        <w:keepLines w:val="0"/>
        <w:pageBreakBefore w:val="0"/>
        <w:numPr>
          <w:ilvl w:val="1"/>
          <w:numId w:val="12"/>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合同经双方法定代表人或授权委托代理人签字并加盖单位公章后生效。</w:t>
      </w:r>
    </w:p>
    <w:p w14:paraId="6F8C85CE">
      <w:pPr>
        <w:pStyle w:val="31"/>
        <w:keepNext w:val="0"/>
        <w:keepLines w:val="0"/>
        <w:pageBreakBefore w:val="0"/>
        <w:numPr>
          <w:ilvl w:val="1"/>
          <w:numId w:val="12"/>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合同执行中涉及采购资金和采购内容修改或补充的，须经政府采购监管部门审批，并签书面补充协议报政府采购监督管理部门备案，方可作为主合同不可分割的一部分。</w:t>
      </w:r>
    </w:p>
    <w:p w14:paraId="3295DE12">
      <w:pPr>
        <w:pStyle w:val="31"/>
        <w:keepNext w:val="0"/>
        <w:keepLines w:val="0"/>
        <w:pageBreakBefore w:val="0"/>
        <w:numPr>
          <w:ilvl w:val="1"/>
          <w:numId w:val="12"/>
        </w:numPr>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本合同一式</w:t>
      </w:r>
      <w:r>
        <w:rPr>
          <w:rFonts w:hint="eastAsia" w:cs="宋体"/>
          <w:sz w:val="24"/>
          <w:szCs w:val="24"/>
          <w:u w:val="single"/>
          <w:lang w:val="en-US" w:eastAsia="zh-CN"/>
        </w:rPr>
        <w:t xml:space="preserve">   </w:t>
      </w:r>
      <w:r>
        <w:rPr>
          <w:rFonts w:hint="eastAsia" w:ascii="宋体" w:hAnsi="宋体" w:eastAsia="宋体" w:cs="宋体"/>
          <w:sz w:val="24"/>
          <w:szCs w:val="24"/>
        </w:rPr>
        <w:t>份，自双方签章之日起起效。甲方</w:t>
      </w:r>
      <w:r>
        <w:rPr>
          <w:rFonts w:hint="eastAsia" w:cs="宋体"/>
          <w:sz w:val="24"/>
          <w:szCs w:val="24"/>
          <w:u w:val="single"/>
          <w:lang w:val="en-US" w:eastAsia="zh-CN"/>
        </w:rPr>
        <w:t xml:space="preserve">   </w:t>
      </w:r>
      <w:r>
        <w:rPr>
          <w:rFonts w:hint="eastAsia" w:ascii="宋体" w:hAnsi="宋体" w:eastAsia="宋体" w:cs="宋体"/>
          <w:sz w:val="24"/>
          <w:szCs w:val="24"/>
        </w:rPr>
        <w:t>份，乙方</w:t>
      </w:r>
      <w:r>
        <w:rPr>
          <w:rFonts w:hint="eastAsia" w:cs="宋体"/>
          <w:sz w:val="24"/>
          <w:szCs w:val="24"/>
          <w:u w:val="single"/>
          <w:lang w:val="en-US" w:eastAsia="zh-CN"/>
        </w:rPr>
        <w:t xml:space="preserve">   </w:t>
      </w:r>
      <w:r>
        <w:rPr>
          <w:rFonts w:hint="eastAsia" w:ascii="宋体" w:hAnsi="宋体" w:eastAsia="宋体" w:cs="宋体"/>
          <w:sz w:val="24"/>
          <w:szCs w:val="24"/>
        </w:rPr>
        <w:t>份，具有同等法律效力。</w:t>
      </w:r>
    </w:p>
    <w:p w14:paraId="3D5F3C2A">
      <w:pPr>
        <w:pStyle w:val="34"/>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bookmarkStart w:id="92" w:name="_Toc32004"/>
      <w:bookmarkStart w:id="93" w:name="_Toc18244"/>
      <w:bookmarkStart w:id="94" w:name="_Toc27194"/>
      <w:r>
        <w:rPr>
          <w:rFonts w:hint="eastAsia" w:ascii="宋体" w:hAnsi="宋体" w:eastAsia="宋体" w:cs="宋体"/>
          <w:sz w:val="24"/>
          <w:szCs w:val="24"/>
        </w:rPr>
        <w:t>附件</w:t>
      </w:r>
      <w:bookmarkEnd w:id="92"/>
      <w:bookmarkEnd w:id="93"/>
      <w:bookmarkEnd w:id="94"/>
    </w:p>
    <w:p w14:paraId="22ECBAF6">
      <w:pPr>
        <w:keepNext w:val="0"/>
        <w:keepLines w:val="0"/>
        <w:pageBreakBefore w:val="0"/>
        <w:numPr>
          <w:ilvl w:val="1"/>
          <w:numId w:val="13"/>
        </w:numPr>
        <w:kinsoku/>
        <w:overflowPunct/>
        <w:topLinePunct/>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项目竞争性磋商文件。</w:t>
      </w:r>
    </w:p>
    <w:p w14:paraId="3808C28C">
      <w:pPr>
        <w:keepNext w:val="0"/>
        <w:keepLines w:val="0"/>
        <w:pageBreakBefore w:val="0"/>
        <w:numPr>
          <w:ilvl w:val="1"/>
          <w:numId w:val="13"/>
        </w:numPr>
        <w:kinsoku/>
        <w:overflowPunct/>
        <w:topLinePunct/>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项目响应文件。</w:t>
      </w:r>
    </w:p>
    <w:p w14:paraId="4B2AEC01">
      <w:pPr>
        <w:keepNext w:val="0"/>
        <w:keepLines w:val="0"/>
        <w:pageBreakBefore w:val="0"/>
        <w:numPr>
          <w:ilvl w:val="1"/>
          <w:numId w:val="13"/>
        </w:numPr>
        <w:kinsoku/>
        <w:overflowPunct/>
        <w:topLinePunct/>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成交通知书。</w:t>
      </w:r>
    </w:p>
    <w:p w14:paraId="25188BAD">
      <w:pPr>
        <w:keepNext w:val="0"/>
        <w:keepLines w:val="0"/>
        <w:pageBreakBefore w:val="0"/>
        <w:numPr>
          <w:ilvl w:val="1"/>
          <w:numId w:val="13"/>
        </w:numPr>
        <w:kinsoku/>
        <w:overflowPunct/>
        <w:topLinePunct/>
        <w:autoSpaceDE/>
        <w:autoSpaceDN/>
        <w:bidi w:val="0"/>
        <w:adjustRightInd w:val="0"/>
        <w:snapToGrid w:val="0"/>
        <w:spacing w:line="440" w:lineRule="exact"/>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其他(如有)</w:t>
      </w:r>
      <w:r>
        <w:rPr>
          <w:rFonts w:hint="eastAsia" w:ascii="宋体" w:hAnsi="宋体" w:eastAsia="宋体" w:cs="宋体"/>
          <w:b w:val="0"/>
          <w:bCs w:val="0"/>
          <w:sz w:val="24"/>
          <w:szCs w:val="24"/>
          <w:lang w:eastAsia="zh-CN"/>
        </w:rPr>
        <w:t>。</w:t>
      </w:r>
    </w:p>
    <w:p w14:paraId="0072E533">
      <w:pPr>
        <w:keepNext w:val="0"/>
        <w:keepLines w:val="0"/>
        <w:pageBreakBefore w:val="0"/>
        <w:numPr>
          <w:ilvl w:val="0"/>
          <w:numId w:val="0"/>
        </w:numPr>
        <w:kinsoku/>
        <w:overflowPunct/>
        <w:topLinePunct/>
        <w:autoSpaceDE/>
        <w:autoSpaceDN/>
        <w:bidi w:val="0"/>
        <w:adjustRightInd w:val="0"/>
        <w:snapToGrid w:val="0"/>
        <w:spacing w:line="4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(本页无正文)</w:t>
      </w:r>
    </w:p>
    <w:tbl>
      <w:tblPr>
        <w:tblStyle w:val="14"/>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81"/>
        <w:gridCol w:w="4981"/>
      </w:tblGrid>
      <w:tr w14:paraId="154A4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12BABE3A">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甲方：   (盖章)</w:t>
            </w:r>
          </w:p>
        </w:tc>
        <w:tc>
          <w:tcPr>
            <w:tcW w:w="4981" w:type="dxa"/>
            <w:vAlign w:val="center"/>
          </w:tcPr>
          <w:p w14:paraId="283264F9">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乙方：   (盖章)</w:t>
            </w:r>
          </w:p>
        </w:tc>
      </w:tr>
      <w:tr w14:paraId="150B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739ECDA7">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被授权人</w:t>
            </w:r>
            <w:r>
              <w:rPr>
                <w:rFonts w:hint="eastAsia" w:ascii="宋体" w:hAnsi="宋体" w:eastAsia="宋体" w:cs="宋体"/>
                <w:sz w:val="24"/>
                <w:szCs w:val="24"/>
              </w:rPr>
              <w:t>)：</w:t>
            </w:r>
          </w:p>
        </w:tc>
        <w:tc>
          <w:tcPr>
            <w:tcW w:w="4981" w:type="dxa"/>
            <w:vAlign w:val="center"/>
          </w:tcPr>
          <w:p w14:paraId="20D86AEA">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被授权人</w:t>
            </w:r>
            <w:r>
              <w:rPr>
                <w:rFonts w:hint="eastAsia" w:ascii="宋体" w:hAnsi="宋体" w:eastAsia="宋体" w:cs="宋体"/>
                <w:sz w:val="24"/>
                <w:szCs w:val="24"/>
              </w:rPr>
              <w:t>)：</w:t>
            </w:r>
          </w:p>
        </w:tc>
      </w:tr>
      <w:tr w14:paraId="42BAC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49198B06">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lang w:eastAsia="zh-CN"/>
              </w:rPr>
              <w:t>(</w:t>
            </w:r>
            <w:r>
              <w:rPr>
                <w:rFonts w:hint="eastAsia" w:ascii="宋体" w:hAnsi="宋体" w:eastAsia="宋体" w:cs="宋体"/>
                <w:sz w:val="24"/>
                <w:szCs w:val="24"/>
              </w:rPr>
              <w:t>住所</w:t>
            </w:r>
            <w:r>
              <w:rPr>
                <w:rFonts w:hint="eastAsia" w:ascii="宋体" w:hAnsi="宋体" w:eastAsia="宋体" w:cs="宋体"/>
                <w:sz w:val="24"/>
                <w:szCs w:val="24"/>
                <w:lang w:eastAsia="zh-CN"/>
              </w:rPr>
              <w:t>)</w:t>
            </w:r>
            <w:r>
              <w:rPr>
                <w:rFonts w:hint="eastAsia" w:ascii="宋体" w:hAnsi="宋体" w:eastAsia="宋体" w:cs="宋体"/>
                <w:sz w:val="24"/>
                <w:szCs w:val="24"/>
              </w:rPr>
              <w:t>：</w:t>
            </w:r>
          </w:p>
        </w:tc>
        <w:tc>
          <w:tcPr>
            <w:tcW w:w="4981" w:type="dxa"/>
            <w:vAlign w:val="center"/>
          </w:tcPr>
          <w:p w14:paraId="16E695A3">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lang w:eastAsia="zh-CN"/>
              </w:rPr>
              <w:t>(</w:t>
            </w:r>
            <w:r>
              <w:rPr>
                <w:rFonts w:hint="eastAsia" w:ascii="宋体" w:hAnsi="宋体" w:eastAsia="宋体" w:cs="宋体"/>
                <w:sz w:val="24"/>
                <w:szCs w:val="24"/>
              </w:rPr>
              <w:t>住所</w:t>
            </w:r>
            <w:r>
              <w:rPr>
                <w:rFonts w:hint="eastAsia" w:ascii="宋体" w:hAnsi="宋体" w:eastAsia="宋体" w:cs="宋体"/>
                <w:sz w:val="24"/>
                <w:szCs w:val="24"/>
                <w:lang w:eastAsia="zh-CN"/>
              </w:rPr>
              <w:t>)</w:t>
            </w:r>
            <w:r>
              <w:rPr>
                <w:rFonts w:hint="eastAsia" w:ascii="宋体" w:hAnsi="宋体" w:eastAsia="宋体" w:cs="宋体"/>
                <w:sz w:val="24"/>
                <w:szCs w:val="24"/>
              </w:rPr>
              <w:t>：</w:t>
            </w:r>
          </w:p>
        </w:tc>
      </w:tr>
      <w:tr w14:paraId="33C0C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157ED2CD">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开户银行：</w:t>
            </w:r>
          </w:p>
        </w:tc>
        <w:tc>
          <w:tcPr>
            <w:tcW w:w="4981" w:type="dxa"/>
            <w:vAlign w:val="center"/>
          </w:tcPr>
          <w:p w14:paraId="7DCA8841">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开户银行：</w:t>
            </w:r>
          </w:p>
        </w:tc>
      </w:tr>
      <w:tr w14:paraId="4D1A7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6B3104E1">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账号：</w:t>
            </w:r>
          </w:p>
        </w:tc>
        <w:tc>
          <w:tcPr>
            <w:tcW w:w="4981" w:type="dxa"/>
            <w:vAlign w:val="center"/>
          </w:tcPr>
          <w:p w14:paraId="490394C2">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账号：</w:t>
            </w:r>
          </w:p>
        </w:tc>
      </w:tr>
      <w:tr w14:paraId="36A96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4981" w:type="dxa"/>
            <w:vAlign w:val="center"/>
          </w:tcPr>
          <w:p w14:paraId="6C11969F">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电话： </w:t>
            </w:r>
          </w:p>
        </w:tc>
        <w:tc>
          <w:tcPr>
            <w:tcW w:w="4981" w:type="dxa"/>
            <w:vAlign w:val="center"/>
          </w:tcPr>
          <w:p w14:paraId="7795D2E4">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电话： </w:t>
            </w:r>
          </w:p>
        </w:tc>
      </w:tr>
      <w:tr w14:paraId="03BAE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233B87F5">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传真：</w:t>
            </w:r>
          </w:p>
        </w:tc>
        <w:tc>
          <w:tcPr>
            <w:tcW w:w="4981" w:type="dxa"/>
            <w:vAlign w:val="center"/>
          </w:tcPr>
          <w:p w14:paraId="3EABAB31">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传真：</w:t>
            </w:r>
          </w:p>
        </w:tc>
      </w:tr>
      <w:tr w14:paraId="2A354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4981" w:type="dxa"/>
            <w:vAlign w:val="center"/>
          </w:tcPr>
          <w:p w14:paraId="3BA6B735">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签约日期：XX年XX月XX日</w:t>
            </w:r>
          </w:p>
        </w:tc>
        <w:tc>
          <w:tcPr>
            <w:tcW w:w="4981" w:type="dxa"/>
            <w:vAlign w:val="center"/>
          </w:tcPr>
          <w:p w14:paraId="156B7086">
            <w:pPr>
              <w:pStyle w:val="26"/>
              <w:keepNext w:val="0"/>
              <w:keepLines w:val="0"/>
              <w:pageBreakBefore w:val="0"/>
              <w:kinsoku/>
              <w:overflowPunct/>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签约日期：XX年XX月XX日</w:t>
            </w:r>
          </w:p>
        </w:tc>
      </w:tr>
    </w:tbl>
    <w:p w14:paraId="2429CFEB">
      <w:pPr>
        <w:rPr>
          <w:rFonts w:hint="eastAsia" w:ascii="宋体" w:hAnsi="宋体" w:eastAsia="宋体" w:cs="宋体"/>
          <w:highlight w:val="none"/>
        </w:rPr>
      </w:pPr>
      <w:bookmarkStart w:id="95" w:name="_GoBack"/>
      <w:bookmarkEnd w:id="95"/>
    </w:p>
    <w:sectPr>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xi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0635A9"/>
    <w:multiLevelType w:val="singleLevel"/>
    <w:tmpl w:val="A80635A9"/>
    <w:lvl w:ilvl="0" w:tentative="0">
      <w:start w:val="1"/>
      <w:numFmt w:val="chineseCounting"/>
      <w:pStyle w:val="34"/>
      <w:suff w:val="nothing"/>
      <w:lvlText w:val="第%1条  "/>
      <w:lvlJc w:val="left"/>
      <w:pPr>
        <w:ind w:left="0" w:firstLine="0"/>
      </w:pPr>
      <w:rPr>
        <w:rFonts w:hint="eastAsia"/>
      </w:rPr>
    </w:lvl>
  </w:abstractNum>
  <w:abstractNum w:abstractNumId="1">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32"/>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pStyle w:val="33"/>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31"/>
      <w:suff w:val="nothing"/>
      <w:lvlText w:val="(%2)"/>
      <w:lvlJc w:val="left"/>
      <w:pPr>
        <w:ind w:left="0" w:firstLine="0"/>
      </w:pPr>
      <w:rPr>
        <w:rFonts w:hint="eastAsia" w:ascii="宋体" w:hAnsi="宋体" w:eastAsia="宋体" w:cs="宋体"/>
        <w:sz w:val="24"/>
        <w:szCs w:val="24"/>
      </w:rPr>
    </w:lvl>
    <w:lvl w:ilvl="2" w:tentative="0">
      <w:start w:val="1"/>
      <w:numFmt w:val="decimal"/>
      <w:pStyle w:val="35"/>
      <w:suff w:val="nothing"/>
      <w:lvlText w:val="%3."/>
      <w:lvlJc w:val="left"/>
      <w:pPr>
        <w:ind w:left="0" w:firstLine="0"/>
      </w:pPr>
      <w:rPr>
        <w:rFonts w:hint="default" w:ascii="宋体" w:hAnsi="宋体" w:eastAsia="宋体" w:cs="宋体"/>
        <w:sz w:val="24"/>
        <w:szCs w:val="24"/>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13F87165"/>
    <w:multiLevelType w:val="multilevel"/>
    <w:tmpl w:val="13F87165"/>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lowerLetter"/>
      <w:suff w:val="nothing"/>
      <w:lvlText w:val="%7．"/>
      <w:lvlJc w:val="left"/>
      <w:pPr>
        <w:ind w:left="0" w:firstLine="402"/>
      </w:pPr>
      <w:rPr>
        <w:rFonts w:hint="eastAsia" w:ascii="宋体" w:hAnsi="宋体" w:eastAsia="宋体" w:cs="宋体"/>
      </w:rPr>
    </w:lvl>
    <w:lvl w:ilvl="7" w:tentative="0">
      <w:start w:val="1"/>
      <w:numFmt w:val="lowerLetter"/>
      <w:suff w:val="nothing"/>
      <w:lvlText w:val="%8）"/>
      <w:lvlJc w:val="left"/>
      <w:pPr>
        <w:ind w:left="0" w:firstLine="402"/>
      </w:pPr>
      <w:rPr>
        <w:rFonts w:hint="eastAsia" w:ascii="宋体" w:hAnsi="宋体" w:eastAsia="宋体" w:cs="宋体"/>
      </w:rPr>
    </w:lvl>
    <w:lvl w:ilvl="8" w:tentative="0">
      <w:start w:val="1"/>
      <w:numFmt w:val="lowerRoman"/>
      <w:suff w:val="nothing"/>
      <w:lvlText w:val="%9 "/>
      <w:lvlJc w:val="left"/>
      <w:pPr>
        <w:ind w:left="0" w:firstLine="402"/>
      </w:pPr>
      <w:rPr>
        <w:rFonts w:hint="eastAsia" w:ascii="宋体" w:hAnsi="宋体" w:eastAsia="宋体" w:cs="宋体"/>
      </w:rPr>
    </w:lvl>
  </w:abstractNum>
  <w:abstractNum w:abstractNumId="4">
    <w:nsid w:val="30942FA6"/>
    <w:multiLevelType w:val="singleLevel"/>
    <w:tmpl w:val="30942FA6"/>
    <w:lvl w:ilvl="0" w:tentative="0">
      <w:start w:val="1"/>
      <w:numFmt w:val="decimal"/>
      <w:pStyle w:val="22"/>
      <w:lvlText w:val="%1."/>
      <w:lvlJc w:val="left"/>
      <w:pPr>
        <w:ind w:left="425" w:hanging="425"/>
      </w:pPr>
      <w:rPr>
        <w:rFonts w:hint="default"/>
      </w:rPr>
    </w:lvl>
  </w:abstractNum>
  <w:abstractNum w:abstractNumId="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6">
    <w:nsid w:val="7D78E590"/>
    <w:multiLevelType w:val="multilevel"/>
    <w:tmpl w:val="7D78E590"/>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lowerLetter"/>
      <w:suff w:val="nothing"/>
      <w:lvlText w:val="%7．"/>
      <w:lvlJc w:val="left"/>
      <w:pPr>
        <w:ind w:left="0" w:firstLine="402"/>
      </w:pPr>
      <w:rPr>
        <w:rFonts w:hint="eastAsia" w:ascii="宋体" w:hAnsi="宋体" w:eastAsia="宋体" w:cs="宋体"/>
      </w:rPr>
    </w:lvl>
    <w:lvl w:ilvl="7" w:tentative="0">
      <w:start w:val="1"/>
      <w:numFmt w:val="lowerLetter"/>
      <w:suff w:val="nothing"/>
      <w:lvlText w:val="%8）"/>
      <w:lvlJc w:val="left"/>
      <w:pPr>
        <w:ind w:left="0" w:firstLine="402"/>
      </w:pPr>
      <w:rPr>
        <w:rFonts w:hint="eastAsia" w:ascii="宋体" w:hAnsi="宋体" w:eastAsia="宋体" w:cs="宋体"/>
      </w:rPr>
    </w:lvl>
    <w:lvl w:ilvl="8" w:tentative="0">
      <w:start w:val="1"/>
      <w:numFmt w:val="lowerRoman"/>
      <w:suff w:val="nothing"/>
      <w:lvlText w:val="%9 "/>
      <w:lvlJc w:val="left"/>
      <w:pPr>
        <w:ind w:left="0" w:firstLine="402"/>
      </w:pPr>
      <w:rPr>
        <w:rFonts w:hint="eastAsia" w:ascii="宋体" w:hAnsi="宋体" w:eastAsia="宋体" w:cs="宋体"/>
      </w:rPr>
    </w:lvl>
  </w:abstractNum>
  <w:num w:numId="1">
    <w:abstractNumId w:val="5"/>
  </w:num>
  <w:num w:numId="2">
    <w:abstractNumId w:val="4"/>
  </w:num>
  <w:num w:numId="3">
    <w:abstractNumId w:val="2"/>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hZmZlNDUwOGNiM2JlYmU2ZThmMWE4MTBjNTRiOTUifQ=="/>
  </w:docVars>
  <w:rsids>
    <w:rsidRoot w:val="00000000"/>
    <w:rsid w:val="032307A1"/>
    <w:rsid w:val="060F19C2"/>
    <w:rsid w:val="06D7085E"/>
    <w:rsid w:val="07BE16B9"/>
    <w:rsid w:val="08572986"/>
    <w:rsid w:val="0D9C0C57"/>
    <w:rsid w:val="0E800060"/>
    <w:rsid w:val="106B6A82"/>
    <w:rsid w:val="10840D0A"/>
    <w:rsid w:val="1297449F"/>
    <w:rsid w:val="15284F04"/>
    <w:rsid w:val="156758F5"/>
    <w:rsid w:val="15D94790"/>
    <w:rsid w:val="16A668AC"/>
    <w:rsid w:val="16CA6F13"/>
    <w:rsid w:val="189C0EF6"/>
    <w:rsid w:val="1C0E45E4"/>
    <w:rsid w:val="1DED51E1"/>
    <w:rsid w:val="1E2F2863"/>
    <w:rsid w:val="1E9B14C2"/>
    <w:rsid w:val="1FE76FAF"/>
    <w:rsid w:val="20943C19"/>
    <w:rsid w:val="23675C90"/>
    <w:rsid w:val="23F07364"/>
    <w:rsid w:val="28B559F5"/>
    <w:rsid w:val="2BC8029E"/>
    <w:rsid w:val="2C426C6A"/>
    <w:rsid w:val="2CFB5398"/>
    <w:rsid w:val="2E903F9B"/>
    <w:rsid w:val="2F8C16B8"/>
    <w:rsid w:val="3050190A"/>
    <w:rsid w:val="31A1681A"/>
    <w:rsid w:val="330F4321"/>
    <w:rsid w:val="35237291"/>
    <w:rsid w:val="36C0219C"/>
    <w:rsid w:val="370A7382"/>
    <w:rsid w:val="37973738"/>
    <w:rsid w:val="3A5F4509"/>
    <w:rsid w:val="3A7002DF"/>
    <w:rsid w:val="3AA5485B"/>
    <w:rsid w:val="3B5E529F"/>
    <w:rsid w:val="3B6D3455"/>
    <w:rsid w:val="3EAA3576"/>
    <w:rsid w:val="43064B1B"/>
    <w:rsid w:val="43573464"/>
    <w:rsid w:val="446D3C0D"/>
    <w:rsid w:val="4475141B"/>
    <w:rsid w:val="44E013DB"/>
    <w:rsid w:val="453579D4"/>
    <w:rsid w:val="463A04E8"/>
    <w:rsid w:val="468621A5"/>
    <w:rsid w:val="4DD21CD8"/>
    <w:rsid w:val="4EE748AB"/>
    <w:rsid w:val="4F012839"/>
    <w:rsid w:val="51317043"/>
    <w:rsid w:val="51F90B9E"/>
    <w:rsid w:val="52136E57"/>
    <w:rsid w:val="555C6864"/>
    <w:rsid w:val="5978446A"/>
    <w:rsid w:val="5A0B32D4"/>
    <w:rsid w:val="5A4B7547"/>
    <w:rsid w:val="5AAC092A"/>
    <w:rsid w:val="5B512A19"/>
    <w:rsid w:val="5B810C1F"/>
    <w:rsid w:val="5CBD2975"/>
    <w:rsid w:val="5CF42E45"/>
    <w:rsid w:val="60CC428B"/>
    <w:rsid w:val="63A44BB1"/>
    <w:rsid w:val="65B22885"/>
    <w:rsid w:val="65BB0790"/>
    <w:rsid w:val="66C80C69"/>
    <w:rsid w:val="67241EE0"/>
    <w:rsid w:val="67FE0A1E"/>
    <w:rsid w:val="69E10B69"/>
    <w:rsid w:val="6B025E58"/>
    <w:rsid w:val="6C5A2BED"/>
    <w:rsid w:val="6C7F2641"/>
    <w:rsid w:val="6C96246F"/>
    <w:rsid w:val="6D243052"/>
    <w:rsid w:val="6D3A3ED7"/>
    <w:rsid w:val="70770FD5"/>
    <w:rsid w:val="71A07EF4"/>
    <w:rsid w:val="71F83E94"/>
    <w:rsid w:val="75566DFD"/>
    <w:rsid w:val="76EB2CFF"/>
    <w:rsid w:val="77ED1951"/>
    <w:rsid w:val="78F71AD9"/>
    <w:rsid w:val="791A5C8B"/>
    <w:rsid w:val="7A082710"/>
    <w:rsid w:val="7A545FBD"/>
    <w:rsid w:val="7B597B19"/>
    <w:rsid w:val="7C495542"/>
    <w:rsid w:val="7CE63D18"/>
    <w:rsid w:val="7EB853FF"/>
    <w:rsid w:val="7F4838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pPr>
    <w:rPr>
      <w:rFonts w:ascii="宋体" w:hAnsi="宋体" w:eastAsia="宋体" w:cs="Times New Roman"/>
      <w:kern w:val="2"/>
      <w:sz w:val="24"/>
      <w:szCs w:val="24"/>
      <w:lang w:val="en-US" w:eastAsia="zh-CN" w:bidi="ar-SA"/>
    </w:rPr>
  </w:style>
  <w:style w:type="paragraph" w:styleId="3">
    <w:name w:val="heading 1"/>
    <w:basedOn w:val="1"/>
    <w:next w:val="1"/>
    <w:qFormat/>
    <w:uiPriority w:val="0"/>
    <w:pPr>
      <w:keepNext/>
      <w:keepLines/>
      <w:spacing w:line="440" w:lineRule="exact"/>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Luxi Sans" w:hAnsi="Luxi Sans" w:eastAsia="黑体"/>
      <w:b/>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eastAsia="宋体"/>
      <w:sz w:val="18"/>
    </w:rPr>
  </w:style>
  <w:style w:type="paragraph" w:styleId="5">
    <w:name w:val="Normal Indent"/>
    <w:basedOn w:val="1"/>
    <w:qFormat/>
    <w:uiPriority w:val="0"/>
    <w:pPr>
      <w:ind w:firstLine="420" w:firstLineChars="200"/>
    </w:pPr>
  </w:style>
  <w:style w:type="paragraph" w:styleId="6">
    <w:name w:val="index 5"/>
    <w:basedOn w:val="1"/>
    <w:next w:val="1"/>
    <w:qFormat/>
    <w:uiPriority w:val="0"/>
    <w:pPr>
      <w:ind w:left="1680"/>
    </w:pPr>
  </w:style>
  <w:style w:type="paragraph" w:styleId="7">
    <w:name w:val="Salutation"/>
    <w:basedOn w:val="1"/>
    <w:next w:val="1"/>
    <w:qFormat/>
    <w:uiPriority w:val="0"/>
    <w:rPr>
      <w:rFonts w:eastAsia="宋体"/>
      <w:sz w:val="21"/>
      <w:szCs w:val="22"/>
    </w:rPr>
  </w:style>
  <w:style w:type="paragraph" w:styleId="8">
    <w:name w:val="Body Text Indent 2"/>
    <w:basedOn w:val="1"/>
    <w:qFormat/>
    <w:uiPriority w:val="0"/>
    <w:pPr>
      <w:spacing w:after="120" w:line="480" w:lineRule="auto"/>
      <w:ind w:left="200" w:leftChars="200"/>
    </w:pPr>
  </w:style>
  <w:style w:type="paragraph" w:styleId="9">
    <w:name w:val="footer"/>
    <w:basedOn w:val="1"/>
    <w:qFormat/>
    <w:uiPriority w:val="0"/>
    <w:pPr>
      <w:spacing w:line="240" w:lineRule="auto"/>
    </w:pPr>
    <w:rPr>
      <w:sz w:val="18"/>
      <w:szCs w:val="18"/>
    </w:rPr>
  </w:style>
  <w:style w:type="paragraph" w:styleId="10">
    <w:name w:val="toc 6"/>
    <w:basedOn w:val="1"/>
    <w:next w:val="1"/>
    <w:qFormat/>
    <w:uiPriority w:val="0"/>
    <w:pPr>
      <w:ind w:left="2100"/>
    </w:pPr>
  </w:style>
  <w:style w:type="paragraph" w:styleId="11">
    <w:name w:val="Body Text 2"/>
    <w:basedOn w:val="1"/>
    <w:qFormat/>
    <w:uiPriority w:val="99"/>
    <w:pPr>
      <w:spacing w:after="120" w:line="480" w:lineRule="auto"/>
    </w:p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table" w:styleId="14">
    <w:name w:val="Table Grid"/>
    <w:basedOn w:val="13"/>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3D3D3D"/>
      <w:u w:val="none"/>
    </w:rPr>
  </w:style>
  <w:style w:type="paragraph" w:customStyle="1" w:styleId="17">
    <w:name w:val="样式3"/>
    <w:basedOn w:val="18"/>
    <w:next w:val="6"/>
    <w:qFormat/>
    <w:uiPriority w:val="0"/>
    <w:pPr>
      <w:tabs>
        <w:tab w:val="left" w:pos="0"/>
        <w:tab w:val="left" w:pos="6351"/>
      </w:tabs>
    </w:pPr>
    <w:rPr>
      <w:sz w:val="28"/>
      <w:szCs w:val="28"/>
    </w:rPr>
  </w:style>
  <w:style w:type="paragraph" w:customStyle="1" w:styleId="18">
    <w:name w:val="标题 2 + 左侧:  0.75 厘米 首行缩进:  0 厘米"/>
    <w:basedOn w:val="4"/>
    <w:next w:val="4"/>
    <w:qFormat/>
    <w:uiPriority w:val="0"/>
    <w:pPr>
      <w:tabs>
        <w:tab w:val="left" w:pos="6351"/>
      </w:tabs>
      <w:ind w:left="425"/>
    </w:pPr>
    <w:rPr>
      <w:rFonts w:ascii="Arial" w:hAnsi="Arial"/>
      <w:sz w:val="30"/>
      <w:szCs w:val="20"/>
    </w:rPr>
  </w:style>
  <w:style w:type="paragraph" w:customStyle="1" w:styleId="19">
    <w:name w:val="标题 5（有编号）（绿盟科技）"/>
    <w:basedOn w:val="20"/>
    <w:next w:val="23"/>
    <w:qFormat/>
    <w:uiPriority w:val="0"/>
    <w:pPr>
      <w:keepNext/>
      <w:keepLines/>
      <w:numPr>
        <w:ilvl w:val="4"/>
        <w:numId w:val="1"/>
      </w:numPr>
      <w:tabs>
        <w:tab w:val="left" w:pos="0"/>
      </w:tabs>
      <w:spacing w:before="280" w:after="156" w:line="377" w:lineRule="auto"/>
      <w:jc w:val="left"/>
      <w:outlineLvl w:val="4"/>
    </w:pPr>
    <w:rPr>
      <w:rFonts w:ascii="Arial" w:hAnsi="Arial" w:eastAsia="黑体"/>
      <w:b/>
      <w:sz w:val="24"/>
      <w:szCs w:val="28"/>
    </w:rPr>
  </w:style>
  <w:style w:type="paragraph" w:customStyle="1" w:styleId="20">
    <w:name w:val="正文1"/>
    <w:next w:val="2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1">
    <w:name w:val="正文文本1"/>
    <w:basedOn w:val="22"/>
    <w:next w:val="20"/>
    <w:qFormat/>
    <w:uiPriority w:val="0"/>
    <w:pPr>
      <w:tabs>
        <w:tab w:val="left" w:pos="0"/>
      </w:tabs>
    </w:pPr>
    <w:rPr>
      <w:sz w:val="18"/>
    </w:rPr>
  </w:style>
  <w:style w:type="paragraph" w:customStyle="1" w:styleId="22">
    <w:name w:val="表格内1"/>
    <w:next w:val="21"/>
    <w:qFormat/>
    <w:uiPriority w:val="0"/>
    <w:pPr>
      <w:widowControl w:val="0"/>
      <w:numPr>
        <w:ilvl w:val="0"/>
        <w:numId w:val="2"/>
      </w:numPr>
      <w:jc w:val="both"/>
    </w:pPr>
    <w:rPr>
      <w:rFonts w:ascii="Calibri" w:hAnsi="Calibri" w:eastAsia="宋体" w:cs="黑体"/>
      <w:b/>
      <w:kern w:val="2"/>
      <w:sz w:val="21"/>
      <w:szCs w:val="22"/>
      <w:lang w:val="en-US" w:eastAsia="zh-CN" w:bidi="ar-SA"/>
    </w:rPr>
  </w:style>
  <w:style w:type="paragraph" w:customStyle="1" w:styleId="23">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24">
    <w:name w:val="文档正文"/>
    <w:basedOn w:val="1"/>
    <w:qFormat/>
    <w:uiPriority w:val="0"/>
    <w:pPr>
      <w:adjustRightInd w:val="0"/>
      <w:spacing w:line="480" w:lineRule="atLeast"/>
    </w:pPr>
    <w:rPr>
      <w:rFonts w:ascii="Arial" w:hAnsi="Arial"/>
      <w:kern w:val="0"/>
    </w:rPr>
  </w:style>
  <w:style w:type="paragraph" w:customStyle="1" w:styleId="25">
    <w:name w:val="21、第三章“(一)”三级标题"/>
    <w:basedOn w:val="26"/>
    <w:qFormat/>
    <w:uiPriority w:val="0"/>
    <w:pPr>
      <w:pageBreakBefore/>
      <w:tabs>
        <w:tab w:val="left" w:pos="0"/>
      </w:tabs>
      <w:spacing w:before="50" w:beforeLines="50" w:after="50" w:afterLines="50"/>
      <w:jc w:val="center"/>
      <w:outlineLvl w:val="2"/>
    </w:pPr>
    <w:rPr>
      <w:b/>
      <w:sz w:val="28"/>
    </w:rPr>
  </w:style>
  <w:style w:type="paragraph" w:customStyle="1" w:styleId="26">
    <w:name w:val="01、普通正文"/>
    <w:basedOn w:val="1"/>
    <w:next w:val="10"/>
    <w:qFormat/>
    <w:uiPriority w:val="0"/>
    <w:pPr>
      <w:wordWrap w:val="0"/>
      <w:topLinePunct/>
    </w:pPr>
    <w:rPr>
      <w:snapToGrid w:val="0"/>
    </w:rPr>
  </w:style>
  <w:style w:type="paragraph" w:customStyle="1" w:styleId="27">
    <w:name w:val="13、表格内居中正文"/>
    <w:basedOn w:val="1"/>
    <w:qFormat/>
    <w:uiPriority w:val="0"/>
    <w:pPr>
      <w:wordWrap w:val="0"/>
      <w:topLinePunct/>
      <w:spacing w:line="360" w:lineRule="exact"/>
      <w:jc w:val="center"/>
    </w:pPr>
    <w:rPr>
      <w:sz w:val="21"/>
    </w:rPr>
  </w:style>
  <w:style w:type="paragraph" w:customStyle="1" w:styleId="28">
    <w:name w:val="03、“注：”正文(加粗，首行缩进2字符)"/>
    <w:basedOn w:val="26"/>
    <w:qFormat/>
    <w:uiPriority w:val="0"/>
    <w:pPr>
      <w:ind w:firstLine="480" w:firstLineChars="200"/>
    </w:pPr>
    <w:rPr>
      <w:b/>
    </w:rPr>
  </w:style>
  <w:style w:type="paragraph" w:customStyle="1" w:styleId="29">
    <w:name w:val="02、首行缩进2字符正文"/>
    <w:basedOn w:val="30"/>
    <w:qFormat/>
    <w:uiPriority w:val="0"/>
    <w:pPr>
      <w:tabs>
        <w:tab w:val="left" w:pos="0"/>
      </w:tabs>
      <w:wordWrap w:val="0"/>
      <w:topLinePunct/>
      <w:ind w:firstLine="480" w:firstLineChars="200"/>
    </w:pPr>
  </w:style>
  <w:style w:type="paragraph" w:customStyle="1" w:styleId="30">
    <w:name w:val="正文_2"/>
    <w:next w:val="19"/>
    <w:qFormat/>
    <w:uiPriority w:val="0"/>
    <w:pPr>
      <w:widowControl w:val="0"/>
      <w:spacing w:line="360" w:lineRule="auto"/>
      <w:jc w:val="both"/>
    </w:pPr>
    <w:rPr>
      <w:rFonts w:ascii="等线" w:hAnsi="等线" w:eastAsia="仿宋" w:cs="Times New Roman"/>
      <w:kern w:val="2"/>
      <w:sz w:val="24"/>
      <w:szCs w:val="22"/>
      <w:lang w:val="en-US" w:eastAsia="zh-CN" w:bidi="ar-SA"/>
    </w:rPr>
  </w:style>
  <w:style w:type="paragraph" w:customStyle="1" w:styleId="31">
    <w:name w:val="05、“(一)”正文三级标题"/>
    <w:basedOn w:val="1"/>
    <w:qFormat/>
    <w:uiPriority w:val="0"/>
    <w:pPr>
      <w:numPr>
        <w:ilvl w:val="1"/>
        <w:numId w:val="3"/>
      </w:numPr>
      <w:wordWrap w:val="0"/>
      <w:topLinePunct/>
      <w:ind w:firstLine="803" w:firstLineChars="200"/>
    </w:pPr>
    <w:rPr>
      <w:rFonts w:ascii="宋体" w:hAnsi="宋体" w:eastAsia="宋体"/>
    </w:rPr>
  </w:style>
  <w:style w:type="paragraph" w:customStyle="1" w:styleId="32">
    <w:name w:val="15、“一、”二级标题"/>
    <w:basedOn w:val="1"/>
    <w:qFormat/>
    <w:uiPriority w:val="0"/>
    <w:pPr>
      <w:numPr>
        <w:ilvl w:val="1"/>
        <w:numId w:val="4"/>
      </w:numPr>
      <w:wordWrap w:val="0"/>
      <w:topLinePunct/>
      <w:ind w:firstLine="803" w:firstLineChars="200"/>
      <w:outlineLvl w:val="1"/>
    </w:pPr>
    <w:rPr>
      <w:rFonts w:ascii="宋体" w:hAnsi="宋体" w:eastAsia="宋体"/>
      <w:b/>
    </w:rPr>
  </w:style>
  <w:style w:type="paragraph" w:customStyle="1" w:styleId="33">
    <w:name w:val="17“1.”四级标题"/>
    <w:basedOn w:val="29"/>
    <w:qFormat/>
    <w:uiPriority w:val="0"/>
    <w:pPr>
      <w:numPr>
        <w:ilvl w:val="3"/>
        <w:numId w:val="4"/>
      </w:numPr>
      <w:ind w:firstLine="803" w:firstLineChars="200"/>
    </w:pPr>
    <w:rPr>
      <w:rFonts w:ascii="宋体" w:hAnsi="宋体" w:eastAsia="宋体"/>
    </w:rPr>
  </w:style>
  <w:style w:type="paragraph" w:customStyle="1" w:styleId="34">
    <w:name w:val="21、合同二级标题序号"/>
    <w:basedOn w:val="26"/>
    <w:qFormat/>
    <w:uiPriority w:val="0"/>
    <w:pPr>
      <w:numPr>
        <w:ilvl w:val="0"/>
        <w:numId w:val="5"/>
      </w:numPr>
      <w:ind w:firstLine="803" w:firstLineChars="200"/>
      <w:outlineLvl w:val="1"/>
    </w:pPr>
    <w:rPr>
      <w:rFonts w:ascii="宋体" w:hAnsi="宋体" w:eastAsia="宋体"/>
      <w:b/>
    </w:rPr>
  </w:style>
  <w:style w:type="paragraph" w:customStyle="1" w:styleId="35">
    <w:name w:val="06、“1.”正文四级标题"/>
    <w:basedOn w:val="1"/>
    <w:qFormat/>
    <w:uiPriority w:val="0"/>
    <w:pPr>
      <w:numPr>
        <w:ilvl w:val="2"/>
        <w:numId w:val="3"/>
      </w:numPr>
      <w:wordWrap w:val="0"/>
      <w:topLinePunct/>
      <w:ind w:firstLine="803" w:firstLineChars="200"/>
    </w:pPr>
    <w:rPr>
      <w:rFonts w:ascii="宋体" w:hAnsi="宋体" w:eastAsia="宋体"/>
      <w:snapToGrid w:val="0"/>
    </w:rPr>
  </w:style>
  <w:style w:type="paragraph" w:customStyle="1" w:styleId="3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5054</Words>
  <Characters>5186</Characters>
  <Lines>0</Lines>
  <Paragraphs>0</Paragraphs>
  <TotalTime>0</TotalTime>
  <ScaleCrop>false</ScaleCrop>
  <LinksUpToDate>false</LinksUpToDate>
  <CharactersWithSpaces>5339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2023-06-01T05:55:00Z</dcterms:created>
  <dc:creator>marti</dc:creator>
  <cp:lastModifiedBy>admin</cp:lastModifiedBy>
  <dcterms:modified xsi:type="dcterms:W3CDTF">2026-05-06T06:20:01Z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F8C5005BEB4D4F38B6439905D9060781_13</vt:lpwstr>
  </property>
  <property fmtid="{D5CDD505-2E9C-101B-9397-08002B2CF9AE}" pid="4" name="KSOTemplateDocerSaveRecord">
    <vt:lpwstr>eyJoZGlkIjoiMDhhZmZlNDUwOGNiM2JlYmU2ZThmMWE4MTBjNTRiOTUiLCJ1c2VySWQiOiI1ODMxMjU0NzMifQ==</vt:lpwstr>
  </property>
</Properties>
</file>