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7DF3F">
      <w:pPr>
        <w:pStyle w:val="5"/>
        <w:keepNext w:val="0"/>
        <w:keepLines w:val="0"/>
        <w:pageBreakBefore w:val="0"/>
        <w:widowControl/>
        <w:kinsoku/>
        <w:wordWrap w:val="0"/>
        <w:overflowPunct/>
        <w:topLinePunct/>
        <w:autoSpaceDE w:val="0"/>
        <w:autoSpaceDN/>
        <w:bidi w:val="0"/>
        <w:adjustRightInd/>
        <w:snapToGrid/>
        <w:spacing w:before="0" w:beforeAutospacing="0" w:after="0" w:afterAutospacing="0" w:line="500" w:lineRule="exact"/>
        <w:jc w:val="center"/>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政府采购合同（草案）（</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14:paraId="6DEEAC92">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p>
    <w:p w14:paraId="47E66E43">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合同编号：XXXX</w:t>
      </w:r>
    </w:p>
    <w:p w14:paraId="536E7770">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签订地点：XXXX</w:t>
      </w:r>
    </w:p>
    <w:p w14:paraId="75EE2AFD">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签订时间：XXXX年XX月XX日。</w:t>
      </w:r>
    </w:p>
    <w:p w14:paraId="2B79FC36">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 xml:space="preserve">采购人（甲方）：  </w:t>
      </w:r>
    </w:p>
    <w:p w14:paraId="3C2C58A2">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供应商（乙方）：</w:t>
      </w:r>
    </w:p>
    <w:p w14:paraId="34BE9991">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p>
    <w:p w14:paraId="08F5F4A6">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根据《中华人民共和国政府采购法》《中华人民共和国民法典》及XXXX采购项目（项目编号：XXXX）的《</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谈判</w:t>
      </w:r>
      <w:r>
        <w:rPr>
          <w:rFonts w:hint="eastAsia" w:ascii="仿宋" w:hAnsi="仿宋" w:eastAsia="仿宋" w:cs="仿宋"/>
          <w:iCs/>
          <w:color w:val="000000" w:themeColor="text1"/>
          <w:sz w:val="24"/>
          <w:szCs w:val="24"/>
          <w:highlight w:val="none"/>
          <w14:textFill>
            <w14:solidFill>
              <w14:schemeClr w14:val="tx1"/>
            </w14:solidFill>
          </w14:textFill>
        </w:rPr>
        <w:t>文件</w:t>
      </w:r>
      <w:r>
        <w:rPr>
          <w:rFonts w:hint="eastAsia" w:ascii="仿宋" w:hAnsi="仿宋" w:eastAsia="仿宋" w:cs="仿宋"/>
          <w:iCs/>
          <w:color w:val="000000" w:themeColor="text1"/>
          <w:sz w:val="24"/>
          <w:szCs w:val="24"/>
          <w:highlight w:val="none"/>
          <w:lang w:val="zh-CN"/>
          <w14:textFill>
            <w14:solidFill>
              <w14:schemeClr w14:val="tx1"/>
            </w14:solidFill>
          </w14:textFill>
        </w:rPr>
        <w:t>》、乙方的《</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响应</w:t>
      </w:r>
      <w:r>
        <w:rPr>
          <w:rFonts w:hint="eastAsia" w:ascii="仿宋" w:hAnsi="仿宋" w:eastAsia="仿宋" w:cs="仿宋"/>
          <w:iCs/>
          <w:color w:val="000000" w:themeColor="text1"/>
          <w:sz w:val="24"/>
          <w:szCs w:val="24"/>
          <w:highlight w:val="none"/>
          <w:lang w:val="zh-CN"/>
          <w14:textFill>
            <w14:solidFill>
              <w14:schemeClr w14:val="tx1"/>
            </w14:solidFill>
          </w14:textFill>
        </w:rPr>
        <w:t>文件》及《成交通知书》，甲、乙双方同意签订本合同。详细技术说明及其他有关合同项目的特定信息由合同附件予以说明，合同附件及本项目的</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谈判</w:t>
      </w:r>
      <w:r>
        <w:rPr>
          <w:rFonts w:hint="eastAsia" w:ascii="仿宋" w:hAnsi="仿宋" w:eastAsia="仿宋" w:cs="仿宋"/>
          <w:iCs/>
          <w:color w:val="000000" w:themeColor="text1"/>
          <w:sz w:val="24"/>
          <w:szCs w:val="24"/>
          <w:highlight w:val="none"/>
          <w:lang w:val="zh-CN"/>
          <w14:textFill>
            <w14:solidFill>
              <w14:schemeClr w14:val="tx1"/>
            </w14:solidFill>
          </w14:textFill>
        </w:rPr>
        <w:t>文件、响应文件、《</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成交</w:t>
      </w:r>
      <w:r>
        <w:rPr>
          <w:rFonts w:hint="eastAsia" w:ascii="仿宋" w:hAnsi="仿宋" w:eastAsia="仿宋" w:cs="仿宋"/>
          <w:iCs/>
          <w:color w:val="000000" w:themeColor="text1"/>
          <w:sz w:val="24"/>
          <w:szCs w:val="24"/>
          <w:highlight w:val="none"/>
          <w:lang w:val="zh-CN"/>
          <w14:textFill>
            <w14:solidFill>
              <w14:schemeClr w14:val="tx1"/>
            </w14:solidFill>
          </w14:textFill>
        </w:rPr>
        <w:t>通知书》等均为本合同不可分割的部分。双方同意共同遵守如下条款：</w:t>
      </w:r>
    </w:p>
    <w:p w14:paraId="41DCB003">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bookmarkStart w:id="0" w:name="_Toc217446107"/>
      <w:bookmarkStart w:id="1" w:name="_Toc51146177"/>
      <w:r>
        <w:rPr>
          <w:rFonts w:hint="eastAsia" w:ascii="仿宋" w:hAnsi="仿宋" w:eastAsia="仿宋" w:cs="仿宋"/>
          <w:iCs/>
          <w:color w:val="000000" w:themeColor="text1"/>
          <w:sz w:val="24"/>
          <w:szCs w:val="24"/>
          <w:highlight w:val="none"/>
          <w:lang w:val="zh-CN"/>
          <w14:textFill>
            <w14:solidFill>
              <w14:schemeClr w14:val="tx1"/>
            </w14:solidFill>
          </w14:textFill>
        </w:rPr>
        <w:t>一、</w:t>
      </w:r>
      <w:bookmarkEnd w:id="0"/>
      <w:bookmarkEnd w:id="1"/>
      <w:r>
        <w:rPr>
          <w:rFonts w:hint="eastAsia" w:ascii="仿宋" w:hAnsi="仿宋" w:eastAsia="仿宋" w:cs="仿宋"/>
          <w:iCs/>
          <w:color w:val="000000" w:themeColor="text1"/>
          <w:sz w:val="24"/>
          <w:szCs w:val="24"/>
          <w:highlight w:val="none"/>
          <w:lang w:val="zh-CN"/>
          <w14:textFill>
            <w14:solidFill>
              <w14:schemeClr w14:val="tx1"/>
            </w14:solidFill>
          </w14:textFill>
        </w:rPr>
        <w:t>采购内容</w:t>
      </w:r>
    </w:p>
    <w:tbl>
      <w:tblPr>
        <w:tblStyle w:val="6"/>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063"/>
        <w:gridCol w:w="1374"/>
        <w:gridCol w:w="943"/>
        <w:gridCol w:w="1176"/>
        <w:gridCol w:w="1413"/>
        <w:gridCol w:w="1550"/>
      </w:tblGrid>
      <w:tr w14:paraId="79E619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1210" w:type="pct"/>
            <w:tcBorders>
              <w:top w:val="single" w:color="auto" w:sz="4" w:space="0"/>
              <w:left w:val="single" w:color="auto" w:sz="4" w:space="0"/>
              <w:bottom w:val="single" w:color="auto" w:sz="4" w:space="0"/>
              <w:right w:val="single" w:color="auto" w:sz="4" w:space="0"/>
            </w:tcBorders>
            <w:noWrap w:val="0"/>
            <w:vAlign w:val="center"/>
          </w:tcPr>
          <w:p w14:paraId="625B9818">
            <w:pPr>
              <w:keepNext w:val="0"/>
              <w:keepLines w:val="0"/>
              <w:pageBreakBefore w:val="0"/>
              <w:widowControl/>
              <w:kinsoku/>
              <w:wordWrap w:val="0"/>
              <w:overflowPunct/>
              <w:topLinePunct/>
              <w:autoSpaceDE w:val="0"/>
              <w:autoSpaceDN/>
              <w:bidi w:val="0"/>
              <w:adjustRightInd/>
              <w:snapToGrid/>
              <w:spacing w:line="440" w:lineRule="exact"/>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货物名称</w:t>
            </w:r>
          </w:p>
        </w:tc>
        <w:tc>
          <w:tcPr>
            <w:tcW w:w="806" w:type="pct"/>
            <w:tcBorders>
              <w:top w:val="single" w:color="auto" w:sz="4" w:space="0"/>
              <w:left w:val="single" w:color="auto" w:sz="4" w:space="0"/>
              <w:bottom w:val="single" w:color="auto" w:sz="4" w:space="0"/>
              <w:right w:val="single" w:color="auto" w:sz="4" w:space="0"/>
            </w:tcBorders>
            <w:noWrap w:val="0"/>
            <w:vAlign w:val="center"/>
          </w:tcPr>
          <w:p w14:paraId="09C12861">
            <w:pPr>
              <w:keepNext w:val="0"/>
              <w:keepLines w:val="0"/>
              <w:pageBreakBefore w:val="0"/>
              <w:widowControl/>
              <w:kinsoku/>
              <w:wordWrap w:val="0"/>
              <w:overflowPunct/>
              <w:topLinePunct/>
              <w:autoSpaceDE w:val="0"/>
              <w:autoSpaceDN/>
              <w:bidi w:val="0"/>
              <w:adjustRightInd/>
              <w:snapToGrid/>
              <w:spacing w:line="440" w:lineRule="exact"/>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规格</w:t>
            </w:r>
          </w:p>
          <w:p w14:paraId="2952948F">
            <w:pPr>
              <w:keepNext w:val="0"/>
              <w:keepLines w:val="0"/>
              <w:pageBreakBefore w:val="0"/>
              <w:widowControl/>
              <w:kinsoku/>
              <w:wordWrap w:val="0"/>
              <w:overflowPunct/>
              <w:topLinePunct/>
              <w:autoSpaceDE w:val="0"/>
              <w:autoSpaceDN/>
              <w:bidi w:val="0"/>
              <w:adjustRightInd/>
              <w:snapToGrid/>
              <w:spacing w:line="440" w:lineRule="exact"/>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型号</w:t>
            </w:r>
          </w:p>
        </w:tc>
        <w:tc>
          <w:tcPr>
            <w:tcW w:w="553" w:type="pct"/>
            <w:tcBorders>
              <w:top w:val="single" w:color="auto" w:sz="4" w:space="0"/>
              <w:left w:val="single" w:color="auto" w:sz="4" w:space="0"/>
              <w:bottom w:val="single" w:color="auto" w:sz="4" w:space="0"/>
              <w:right w:val="single" w:color="auto" w:sz="4" w:space="0"/>
            </w:tcBorders>
            <w:noWrap w:val="0"/>
            <w:vAlign w:val="center"/>
          </w:tcPr>
          <w:p w14:paraId="4023E37C">
            <w:pPr>
              <w:keepNext w:val="0"/>
              <w:keepLines w:val="0"/>
              <w:pageBreakBefore w:val="0"/>
              <w:widowControl/>
              <w:kinsoku/>
              <w:wordWrap w:val="0"/>
              <w:overflowPunct/>
              <w:topLinePunct/>
              <w:autoSpaceDE w:val="0"/>
              <w:autoSpaceDN/>
              <w:bidi w:val="0"/>
              <w:adjustRightInd/>
              <w:snapToGrid/>
              <w:spacing w:line="440" w:lineRule="exact"/>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单位</w:t>
            </w:r>
          </w:p>
        </w:tc>
        <w:tc>
          <w:tcPr>
            <w:tcW w:w="690" w:type="pct"/>
            <w:tcBorders>
              <w:top w:val="single" w:color="auto" w:sz="4" w:space="0"/>
              <w:left w:val="single" w:color="auto" w:sz="4" w:space="0"/>
              <w:bottom w:val="single" w:color="auto" w:sz="4" w:space="0"/>
              <w:right w:val="single" w:color="auto" w:sz="4" w:space="0"/>
            </w:tcBorders>
            <w:noWrap w:val="0"/>
            <w:vAlign w:val="center"/>
          </w:tcPr>
          <w:p w14:paraId="5FF016E6">
            <w:pPr>
              <w:keepNext w:val="0"/>
              <w:keepLines w:val="0"/>
              <w:pageBreakBefore w:val="0"/>
              <w:widowControl/>
              <w:kinsoku/>
              <w:wordWrap w:val="0"/>
              <w:overflowPunct/>
              <w:topLinePunct/>
              <w:autoSpaceDE w:val="0"/>
              <w:autoSpaceDN/>
              <w:bidi w:val="0"/>
              <w:adjustRightInd/>
              <w:snapToGrid/>
              <w:spacing w:line="440" w:lineRule="exact"/>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数量</w:t>
            </w:r>
          </w:p>
        </w:tc>
        <w:tc>
          <w:tcPr>
            <w:tcW w:w="829" w:type="pct"/>
            <w:tcBorders>
              <w:top w:val="single" w:color="auto" w:sz="4" w:space="0"/>
              <w:left w:val="single" w:color="auto" w:sz="4" w:space="0"/>
              <w:bottom w:val="single" w:color="auto" w:sz="4" w:space="0"/>
              <w:right w:val="single" w:color="auto" w:sz="4" w:space="0"/>
            </w:tcBorders>
            <w:noWrap w:val="0"/>
            <w:vAlign w:val="center"/>
          </w:tcPr>
          <w:p w14:paraId="079675FF">
            <w:pPr>
              <w:keepNext w:val="0"/>
              <w:keepLines w:val="0"/>
              <w:pageBreakBefore w:val="0"/>
              <w:widowControl/>
              <w:kinsoku/>
              <w:wordWrap w:val="0"/>
              <w:overflowPunct/>
              <w:topLinePunct/>
              <w:autoSpaceDE w:val="0"/>
              <w:autoSpaceDN/>
              <w:bidi w:val="0"/>
              <w:adjustRightInd/>
              <w:snapToGrid/>
              <w:spacing w:line="440" w:lineRule="exact"/>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单价</w:t>
            </w:r>
          </w:p>
          <w:p w14:paraId="036916C2">
            <w:pPr>
              <w:keepNext w:val="0"/>
              <w:keepLines w:val="0"/>
              <w:pageBreakBefore w:val="0"/>
              <w:widowControl/>
              <w:kinsoku/>
              <w:wordWrap w:val="0"/>
              <w:overflowPunct/>
              <w:topLinePunct/>
              <w:autoSpaceDE w:val="0"/>
              <w:autoSpaceDN/>
              <w:bidi w:val="0"/>
              <w:adjustRightInd/>
              <w:snapToGrid/>
              <w:spacing w:line="440" w:lineRule="exact"/>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（元）</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31F9FC3A">
            <w:pPr>
              <w:keepNext w:val="0"/>
              <w:keepLines w:val="0"/>
              <w:pageBreakBefore w:val="0"/>
              <w:widowControl/>
              <w:kinsoku/>
              <w:wordWrap w:val="0"/>
              <w:overflowPunct/>
              <w:topLinePunct/>
              <w:autoSpaceDE w:val="0"/>
              <w:autoSpaceDN/>
              <w:bidi w:val="0"/>
              <w:adjustRightInd/>
              <w:snapToGrid/>
              <w:spacing w:line="440" w:lineRule="exact"/>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14:textFill>
                  <w14:solidFill>
                    <w14:schemeClr w14:val="tx1"/>
                  </w14:solidFill>
                </w14:textFill>
              </w:rPr>
              <w:t>金额</w:t>
            </w:r>
            <w:r>
              <w:rPr>
                <w:rFonts w:hint="eastAsia" w:ascii="仿宋" w:hAnsi="仿宋" w:eastAsia="仿宋" w:cs="仿宋"/>
                <w:iCs/>
                <w:color w:val="000000" w:themeColor="text1"/>
                <w:sz w:val="24"/>
                <w:szCs w:val="24"/>
                <w:highlight w:val="none"/>
                <w:lang w:val="zh-CN"/>
                <w14:textFill>
                  <w14:solidFill>
                    <w14:schemeClr w14:val="tx1"/>
                  </w14:solidFill>
                </w14:textFill>
              </w:rPr>
              <w:t>（元）</w:t>
            </w:r>
          </w:p>
        </w:tc>
      </w:tr>
      <w:tr w14:paraId="662AD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210" w:type="pct"/>
            <w:tcBorders>
              <w:top w:val="single" w:color="auto" w:sz="4" w:space="0"/>
              <w:left w:val="single" w:color="auto" w:sz="4" w:space="0"/>
              <w:bottom w:val="single" w:color="auto" w:sz="4" w:space="0"/>
              <w:right w:val="single" w:color="auto" w:sz="4" w:space="0"/>
            </w:tcBorders>
            <w:noWrap w:val="0"/>
            <w:vAlign w:val="center"/>
          </w:tcPr>
          <w:p w14:paraId="06D24D72">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p>
        </w:tc>
        <w:tc>
          <w:tcPr>
            <w:tcW w:w="806" w:type="pct"/>
            <w:tcBorders>
              <w:top w:val="single" w:color="auto" w:sz="4" w:space="0"/>
              <w:left w:val="single" w:color="auto" w:sz="4" w:space="0"/>
              <w:bottom w:val="single" w:color="auto" w:sz="4" w:space="0"/>
              <w:right w:val="single" w:color="auto" w:sz="4" w:space="0"/>
            </w:tcBorders>
            <w:noWrap w:val="0"/>
            <w:vAlign w:val="center"/>
          </w:tcPr>
          <w:p w14:paraId="43CEE74E">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p>
        </w:tc>
        <w:tc>
          <w:tcPr>
            <w:tcW w:w="553" w:type="pct"/>
            <w:tcBorders>
              <w:top w:val="single" w:color="auto" w:sz="4" w:space="0"/>
              <w:left w:val="single" w:color="auto" w:sz="4" w:space="0"/>
              <w:bottom w:val="single" w:color="auto" w:sz="4" w:space="0"/>
              <w:right w:val="single" w:color="auto" w:sz="4" w:space="0"/>
            </w:tcBorders>
            <w:noWrap w:val="0"/>
            <w:vAlign w:val="center"/>
          </w:tcPr>
          <w:p w14:paraId="1FE71F42">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p>
        </w:tc>
        <w:tc>
          <w:tcPr>
            <w:tcW w:w="690" w:type="pct"/>
            <w:tcBorders>
              <w:top w:val="single" w:color="auto" w:sz="4" w:space="0"/>
              <w:left w:val="single" w:color="auto" w:sz="4" w:space="0"/>
              <w:bottom w:val="single" w:color="auto" w:sz="4" w:space="0"/>
              <w:right w:val="single" w:color="auto" w:sz="4" w:space="0"/>
            </w:tcBorders>
            <w:noWrap w:val="0"/>
            <w:vAlign w:val="center"/>
          </w:tcPr>
          <w:p w14:paraId="27ADFC66">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p>
        </w:tc>
        <w:tc>
          <w:tcPr>
            <w:tcW w:w="829" w:type="pct"/>
            <w:tcBorders>
              <w:top w:val="single" w:color="auto" w:sz="4" w:space="0"/>
              <w:left w:val="single" w:color="auto" w:sz="4" w:space="0"/>
              <w:bottom w:val="single" w:color="auto" w:sz="4" w:space="0"/>
              <w:right w:val="single" w:color="auto" w:sz="4" w:space="0"/>
            </w:tcBorders>
            <w:noWrap w:val="0"/>
            <w:vAlign w:val="center"/>
          </w:tcPr>
          <w:p w14:paraId="77499EE5">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p>
        </w:tc>
        <w:tc>
          <w:tcPr>
            <w:tcW w:w="909" w:type="pct"/>
            <w:tcBorders>
              <w:top w:val="single" w:color="auto" w:sz="4" w:space="0"/>
              <w:left w:val="single" w:color="auto" w:sz="4" w:space="0"/>
              <w:bottom w:val="single" w:color="auto" w:sz="4" w:space="0"/>
              <w:right w:val="single" w:color="auto" w:sz="4" w:space="0"/>
            </w:tcBorders>
            <w:noWrap w:val="0"/>
            <w:vAlign w:val="center"/>
          </w:tcPr>
          <w:p w14:paraId="63E12287">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p>
        </w:tc>
      </w:tr>
    </w:tbl>
    <w:p w14:paraId="40DCC39E">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bookmarkStart w:id="2" w:name="_Toc51146178"/>
      <w:bookmarkStart w:id="3" w:name="_Toc217446108"/>
      <w:r>
        <w:rPr>
          <w:rFonts w:hint="eastAsia" w:ascii="仿宋" w:hAnsi="仿宋" w:eastAsia="仿宋" w:cs="仿宋"/>
          <w:iCs/>
          <w:color w:val="000000" w:themeColor="text1"/>
          <w:sz w:val="24"/>
          <w:szCs w:val="24"/>
          <w:highlight w:val="none"/>
          <w:lang w:val="zh-CN"/>
          <w14:textFill>
            <w14:solidFill>
              <w14:schemeClr w14:val="tx1"/>
            </w14:solidFill>
          </w14:textFill>
        </w:rPr>
        <w:t>二、合同总价</w:t>
      </w:r>
      <w:bookmarkEnd w:id="2"/>
      <w:bookmarkEnd w:id="3"/>
    </w:p>
    <w:p w14:paraId="5635581D">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en-US" w:eastAsia="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合同总价为人民币大写：</w:t>
      </w:r>
      <w:r>
        <w:rPr>
          <w:rFonts w:hint="eastAsia" w:ascii="仿宋" w:hAnsi="仿宋" w:eastAsia="仿宋" w:cs="仿宋"/>
          <w:iCs/>
          <w:color w:val="000000" w:themeColor="text1"/>
          <w:sz w:val="24"/>
          <w:szCs w:val="24"/>
          <w:highlight w:val="none"/>
          <w:u w:val="single"/>
          <w:lang w:val="zh-CN"/>
          <w14:textFill>
            <w14:solidFill>
              <w14:schemeClr w14:val="tx1"/>
            </w14:solidFill>
          </w14:textFill>
        </w:rPr>
        <w:t xml:space="preserve">     </w:t>
      </w:r>
      <w:r>
        <w:rPr>
          <w:rFonts w:hint="eastAsia" w:ascii="仿宋" w:hAnsi="仿宋" w:eastAsia="仿宋" w:cs="仿宋"/>
          <w:iCs/>
          <w:color w:val="000000" w:themeColor="text1"/>
          <w:sz w:val="24"/>
          <w:szCs w:val="24"/>
          <w:highlight w:val="none"/>
          <w:lang w:val="zh-CN"/>
          <w14:textFill>
            <w14:solidFill>
              <w14:schemeClr w14:val="tx1"/>
            </w14:solidFill>
          </w14:textFill>
        </w:rPr>
        <w:t>元，即RMB¥</w:t>
      </w:r>
      <w:r>
        <w:rPr>
          <w:rFonts w:hint="eastAsia" w:ascii="仿宋" w:hAnsi="仿宋" w:eastAsia="仿宋" w:cs="仿宋"/>
          <w:iCs/>
          <w:color w:val="000000" w:themeColor="text1"/>
          <w:sz w:val="24"/>
          <w:szCs w:val="24"/>
          <w:highlight w:val="none"/>
          <w:u w:val="single"/>
          <w:lang w:val="zh-CN"/>
          <w14:textFill>
            <w14:solidFill>
              <w14:schemeClr w14:val="tx1"/>
            </w14:solidFill>
          </w14:textFill>
        </w:rPr>
        <w:t xml:space="preserve">     </w:t>
      </w:r>
      <w:r>
        <w:rPr>
          <w:rFonts w:hint="eastAsia" w:ascii="仿宋" w:hAnsi="仿宋" w:eastAsia="仿宋" w:cs="仿宋"/>
          <w:iCs/>
          <w:color w:val="000000" w:themeColor="text1"/>
          <w:sz w:val="24"/>
          <w:szCs w:val="24"/>
          <w:highlight w:val="none"/>
          <w:lang w:val="zh-CN"/>
          <w14:textFill>
            <w14:solidFill>
              <w14:schemeClr w14:val="tx1"/>
            </w14:solidFill>
          </w14:textFill>
        </w:rPr>
        <w:t>元；该合同总价已包括设备（含备品备件）费、软件系统费、平台系统集成费、软件系统接口（入）费、安装调试费、辅助材料费、机械费、装卸运输费、检验（测）费、安全文明费、管理费、培训费、合理的利润、税费、</w:t>
      </w:r>
      <w:r>
        <w:rPr>
          <w:rFonts w:hint="eastAsia" w:ascii="仿宋" w:hAnsi="仿宋" w:eastAsia="仿宋" w:cs="仿宋"/>
          <w:iCs/>
          <w:color w:val="000000" w:themeColor="text1"/>
          <w:sz w:val="24"/>
          <w:szCs w:val="24"/>
          <w:highlight w:val="none"/>
          <w:lang w:val="zh-CN" w:eastAsia="zh-CN"/>
          <w14:textFill>
            <w14:solidFill>
              <w14:schemeClr w14:val="tx1"/>
            </w14:solidFill>
          </w14:textFill>
        </w:rPr>
        <w:t>运行维护费、</w:t>
      </w:r>
      <w:r>
        <w:rPr>
          <w:rFonts w:hint="eastAsia" w:ascii="仿宋" w:hAnsi="仿宋" w:eastAsia="仿宋" w:cs="仿宋"/>
          <w:iCs/>
          <w:color w:val="000000" w:themeColor="text1"/>
          <w:sz w:val="24"/>
          <w:szCs w:val="24"/>
          <w:highlight w:val="none"/>
          <w:lang w:val="zh-CN"/>
          <w14:textFill>
            <w14:solidFill>
              <w14:schemeClr w14:val="tx1"/>
            </w14:solidFill>
          </w14:textFill>
        </w:rPr>
        <w:t>保修期内售后服务等与本项目相关的一切费用。</w:t>
      </w:r>
      <w:bookmarkStart w:id="4" w:name="_Toc217446109"/>
      <w:bookmarkStart w:id="5" w:name="_Toc51146179"/>
      <w:r>
        <w:rPr>
          <w:rFonts w:hint="eastAsia" w:ascii="仿宋" w:hAnsi="仿宋" w:eastAsia="仿宋" w:cs="仿宋"/>
          <w:iCs/>
          <w:color w:val="000000" w:themeColor="text1"/>
          <w:sz w:val="24"/>
          <w:szCs w:val="24"/>
          <w:highlight w:val="none"/>
          <w:lang w:val="en-US" w:eastAsia="zh-CN"/>
          <w14:textFill>
            <w14:solidFill>
              <w14:schemeClr w14:val="tx1"/>
            </w14:solidFill>
          </w14:textFill>
        </w:rPr>
        <w:t>甲方不再向乙方支付其他任何费用。</w:t>
      </w:r>
    </w:p>
    <w:p w14:paraId="2E58B24B">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三、质量要求</w:t>
      </w:r>
      <w:bookmarkEnd w:id="4"/>
      <w:bookmarkEnd w:id="5"/>
    </w:p>
    <w:p w14:paraId="22179B6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547" w:firstLineChars="228"/>
        <w:jc w:val="left"/>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bookmarkStart w:id="6" w:name="_Toc217446110"/>
      <w:bookmarkStart w:id="7" w:name="_Toc51146180"/>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1、乙方须提供全新的货物，硬件设备表面无划伤、无碰撞痕迹，且权属清楚，不得侵害他人的知识产权；软件系统应具有自主知识产权。</w:t>
      </w:r>
    </w:p>
    <w:p w14:paraId="31400EA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547" w:firstLineChars="228"/>
        <w:jc w:val="left"/>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2、货物必须符合或优于国家（行业）标准，以及本项目采购文件的技术指标要求。</w:t>
      </w:r>
    </w:p>
    <w:p w14:paraId="702EC54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547" w:firstLineChars="228"/>
        <w:jc w:val="left"/>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3、货物制造质量出现问题，乙方应负责“三包”（包修、包换、包退），费用由乙方承担。</w:t>
      </w:r>
    </w:p>
    <w:p w14:paraId="281D5DFB">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zh-CN"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4、因货物供应质量造成的损失全部由乙方赔偿，并承担相应法律责任；造成严重后果的，将追究乙方当事人和负责人的法律责任。</w:t>
      </w:r>
    </w:p>
    <w:p w14:paraId="4C25F337">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5.设备安装：</w:t>
      </w:r>
    </w:p>
    <w:p w14:paraId="46D1E765">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（1）围栏：材质：塑钢，厚度≥1.0mm，高≥1.2m，至少具有一个门（含不锈钢密码门锁）；</w:t>
      </w:r>
    </w:p>
    <w:p w14:paraId="7C2C34C7">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（2）监测点地面平整，压实；</w:t>
      </w:r>
    </w:p>
    <w:p w14:paraId="4C38142C">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（3）设备基座采用混泥土浇灌；</w:t>
      </w:r>
    </w:p>
    <w:p w14:paraId="551D8A35">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（4）监测点面积≥12㎡。</w:t>
      </w:r>
    </w:p>
    <w:p w14:paraId="772A3B60">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6.运维服务：</w:t>
      </w:r>
    </w:p>
    <w:p w14:paraId="581423C1">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（1）所有设备数据通讯服务费5年；</w:t>
      </w:r>
    </w:p>
    <w:p w14:paraId="60BD8A73">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（2）所有设备每年至少一次维护服务，维护期限5年；</w:t>
      </w:r>
    </w:p>
    <w:p w14:paraId="619FEC89">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default"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3）维护内容：监测场地杂草、垃圾的清理，地面的清扫；设备的清洁，太阳能光伏板、传送带、虫仓、排水管道等清洁清洗；设备的检修，故障及隐患排查；设备程序的更新和升级；设备维护保养的培训；每次维护后提供维护总结（图、文、表格），以纸质文件和电子邮件方式提交。</w:t>
      </w:r>
    </w:p>
    <w:p w14:paraId="5ECB7BC7">
      <w:pPr>
        <w:keepNext w:val="0"/>
        <w:keepLines w:val="0"/>
        <w:pageBreakBefore w:val="0"/>
        <w:widowControl/>
        <w:kinsoku/>
        <w:wordWrap w:val="0"/>
        <w:overflowPunct/>
        <w:topLinePunct/>
        <w:autoSpaceDE w:val="0"/>
        <w:autoSpaceDN/>
        <w:bidi w:val="0"/>
        <w:adjustRightInd/>
        <w:snapToGrid/>
        <w:spacing w:line="500" w:lineRule="exact"/>
        <w:ind w:firstLine="480" w:firstLineChars="200"/>
        <w:textAlignment w:val="auto"/>
        <w:rPr>
          <w:rFonts w:hint="eastAsia" w:ascii="仿宋" w:hAnsi="仿宋" w:eastAsia="仿宋" w:cs="仿宋"/>
          <w:color w:val="000000" w:themeColor="text1"/>
          <w:kern w:val="0"/>
          <w:sz w:val="24"/>
          <w:szCs w:val="24"/>
          <w:highlight w:val="none"/>
          <w:lang w:val="zh-CN" w:eastAsia="zh-CN" w:bidi="ar"/>
          <w14:textFill>
            <w14:solidFill>
              <w14:schemeClr w14:val="tx1"/>
            </w14:solidFill>
          </w14:textFill>
        </w:rPr>
      </w:pPr>
      <w:r>
        <w:rPr>
          <w:rFonts w:hint="eastAsia" w:ascii="仿宋" w:hAnsi="仿宋" w:eastAsia="仿宋" w:cs="仿宋"/>
          <w:color w:val="000000" w:themeColor="text1"/>
          <w:kern w:val="0"/>
          <w:sz w:val="24"/>
          <w:szCs w:val="24"/>
          <w:highlight w:val="none"/>
          <w:lang w:val="zh-CN" w:eastAsia="zh-CN" w:bidi="ar"/>
          <w14:textFill>
            <w14:solidFill>
              <w14:schemeClr w14:val="tx1"/>
            </w14:solidFill>
          </w14:textFill>
        </w:rPr>
        <w:t>四、交货及验收</w:t>
      </w:r>
      <w:bookmarkEnd w:id="6"/>
      <w:bookmarkEnd w:id="7"/>
    </w:p>
    <w:p w14:paraId="514A2B38">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1、乙方在合同签订生效后</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30</w:t>
      </w:r>
      <w:r>
        <w:rPr>
          <w:rFonts w:hint="eastAsia" w:ascii="仿宋" w:hAnsi="仿宋" w:eastAsia="仿宋" w:cs="仿宋"/>
          <w:iCs/>
          <w:color w:val="000000" w:themeColor="text1"/>
          <w:sz w:val="24"/>
          <w:szCs w:val="24"/>
          <w:highlight w:val="none"/>
          <w:lang w:val="zh-CN"/>
          <w14:textFill>
            <w14:solidFill>
              <w14:schemeClr w14:val="tx1"/>
            </w14:solidFill>
          </w14:textFill>
        </w:rPr>
        <w:t>日内完成安装调试培训(如果由于</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iCs/>
          <w:color w:val="000000" w:themeColor="text1"/>
          <w:sz w:val="24"/>
          <w:szCs w:val="24"/>
          <w:highlight w:val="none"/>
          <w:lang w:val="zh-CN"/>
          <w14:textFill>
            <w14:solidFill>
              <w14:schemeClr w14:val="tx1"/>
            </w14:solidFill>
          </w14:textFill>
        </w:rPr>
        <w:t>原因要求延期交货的，以</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iCs/>
          <w:color w:val="000000" w:themeColor="text1"/>
          <w:sz w:val="24"/>
          <w:szCs w:val="24"/>
          <w:highlight w:val="none"/>
          <w:lang w:val="zh-CN"/>
          <w14:textFill>
            <w14:solidFill>
              <w14:schemeClr w14:val="tx1"/>
            </w14:solidFill>
          </w14:textFill>
        </w:rPr>
        <w:t>通知的交货时间为准。)，同时进入</w:t>
      </w:r>
      <w:r>
        <w:rPr>
          <w:rFonts w:hint="eastAsia" w:ascii="仿宋" w:hAnsi="仿宋" w:eastAsia="仿宋" w:cs="仿宋"/>
          <w:iCs/>
          <w:color w:val="000000" w:themeColor="text1"/>
          <w:sz w:val="24"/>
          <w:szCs w:val="24"/>
          <w:highlight w:val="none"/>
          <w:u w:val="single"/>
          <w:lang w:val="en-US" w:eastAsia="zh-CN"/>
          <w14:textFill>
            <w14:solidFill>
              <w14:schemeClr w14:val="tx1"/>
            </w14:solidFill>
          </w14:textFill>
        </w:rPr>
        <w:t>30</w:t>
      </w:r>
      <w:r>
        <w:rPr>
          <w:rFonts w:hint="eastAsia" w:ascii="仿宋" w:hAnsi="仿宋" w:eastAsia="仿宋" w:cs="仿宋"/>
          <w:iCs/>
          <w:color w:val="000000" w:themeColor="text1"/>
          <w:sz w:val="24"/>
          <w:szCs w:val="24"/>
          <w:highlight w:val="none"/>
          <w:lang w:val="zh-CN"/>
          <w14:textFill>
            <w14:solidFill>
              <w14:schemeClr w14:val="tx1"/>
            </w14:solidFill>
          </w14:textFill>
        </w:rPr>
        <w:t>天试运行时间，试运行结束后无质量问题由乙方申请验收，验收合格后正式投入使用，如由于甲方的原因造成合同延迟签订或验收的，时间顺延。</w:t>
      </w:r>
    </w:p>
    <w:p w14:paraId="71E72D77">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2、</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履约</w:t>
      </w:r>
      <w:r>
        <w:rPr>
          <w:rFonts w:hint="eastAsia" w:ascii="仿宋" w:hAnsi="仿宋" w:eastAsia="仿宋" w:cs="仿宋"/>
          <w:iCs/>
          <w:color w:val="000000" w:themeColor="text1"/>
          <w:sz w:val="24"/>
          <w:szCs w:val="24"/>
          <w:highlight w:val="none"/>
          <w:lang w:val="zh-CN"/>
          <w14:textFill>
            <w14:solidFill>
              <w14:schemeClr w14:val="tx1"/>
            </w14:solidFill>
          </w14:textFill>
        </w:rPr>
        <w:t>验收</w:t>
      </w:r>
    </w:p>
    <w:p w14:paraId="502DBE14">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（1）验收方式：由甲方组织并制定验收方案，乙方参与并提出验收申请，完成安装调试培训及试运行后一次性验收。</w:t>
      </w:r>
    </w:p>
    <w:p w14:paraId="75309207">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（2）验收标准：严格按照《财政部关于进一步加强政府采购需求和履约验收管理的指导意见》(川财采〔2016〕205号)、《财政部关于印发&lt;政府采购需求</w:t>
      </w:r>
      <w:bookmarkStart w:id="18" w:name="_GoBack"/>
      <w:bookmarkEnd w:id="18"/>
      <w:r>
        <w:rPr>
          <w:rFonts w:hint="eastAsia" w:ascii="仿宋" w:hAnsi="仿宋" w:eastAsia="仿宋" w:cs="仿宋"/>
          <w:iCs/>
          <w:color w:val="000000" w:themeColor="text1"/>
          <w:sz w:val="24"/>
          <w:szCs w:val="24"/>
          <w:highlight w:val="none"/>
          <w:lang w:val="zh-CN"/>
          <w14:textFill>
            <w14:solidFill>
              <w14:schemeClr w14:val="tx1"/>
            </w14:solidFill>
          </w14:textFill>
        </w:rPr>
        <w:t>管理办法&gt;的通知》（财库〔2021〕22号）、《巴中市财政局关于进一步加强政府采购项目合同履约验收管理工作的通知》(巴财采〔2021〕21号)要求、采购文件要求、响应文件承诺及合同约定标准进行验收。</w:t>
      </w:r>
    </w:p>
    <w:p w14:paraId="0C348BEF">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（3）验收内容：技术服务要求、合同履约质量等内容以及应由乙方提供的其他资料。</w:t>
      </w:r>
    </w:p>
    <w:p w14:paraId="3411835D">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（4）验收结果利用：验收合格的，双方签署政府采购验收报告，作为支付采购资金的依据；验收结果不合格的，由乙方按照双方约定的标准进行整改，直至验收合格为止。</w:t>
      </w:r>
    </w:p>
    <w:p w14:paraId="3B922D0B">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（5）如货物经乙方2次维修仍不能达到合同约定的质量标准，甲方有权退货，并视作乙方不能交付而须支付违约赔偿金给甲方，甲方还可依法追究乙方的违约责任。</w:t>
      </w:r>
    </w:p>
    <w:p w14:paraId="722ABB26">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（6）乙方根据规定提出验收申请，甲方无正当理由不进行验收超过10日，视为验收合格。</w:t>
      </w:r>
    </w:p>
    <w:p w14:paraId="3C108534">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7）验收时如发现乙方所交付的货物有短装、次品、损坏或其它不符合标准及本合同规定之情形者，甲方应做出详尽的现场记录，或由双方签署备忘录，此现场记录或备忘录可用作补充、缺失和更换损坏部件的有效证据，由此产生的时间延误与有关费用由乙方承担，验收期限相应顺延。</w:t>
      </w:r>
    </w:p>
    <w:p w14:paraId="3B2842D7">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bookmarkStart w:id="8" w:name="_Toc51146181"/>
      <w:bookmarkStart w:id="9" w:name="_Toc217446111"/>
      <w:r>
        <w:rPr>
          <w:rFonts w:hint="eastAsia" w:ascii="仿宋" w:hAnsi="仿宋" w:eastAsia="仿宋" w:cs="仿宋"/>
          <w:iCs/>
          <w:color w:val="000000" w:themeColor="text1"/>
          <w:sz w:val="24"/>
          <w:szCs w:val="24"/>
          <w:highlight w:val="none"/>
          <w:lang w:val="zh-CN"/>
          <w14:textFill>
            <w14:solidFill>
              <w14:schemeClr w14:val="tx1"/>
            </w14:solidFill>
          </w14:textFill>
        </w:rPr>
        <w:t>五、付款方式</w:t>
      </w:r>
      <w:bookmarkEnd w:id="8"/>
      <w:bookmarkEnd w:id="9"/>
    </w:p>
    <w:p w14:paraId="0904F7A2">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default" w:ascii="仿宋" w:hAnsi="仿宋" w:eastAsia="仿宋" w:cs="仿宋"/>
          <w:iCs/>
          <w:color w:val="000000" w:themeColor="text1"/>
          <w:sz w:val="24"/>
          <w:szCs w:val="24"/>
          <w:highlight w:val="none"/>
          <w:u w:val="single"/>
          <w:lang w:val="en-US" w:eastAsia="zh-CN"/>
          <w14:textFill>
            <w14:solidFill>
              <w14:schemeClr w14:val="tx1"/>
            </w14:solidFill>
          </w14:textFill>
        </w:rPr>
      </w:pPr>
      <w:bookmarkStart w:id="10" w:name="_Toc217446112"/>
      <w:bookmarkStart w:id="11" w:name="_Toc51146182"/>
      <w:r>
        <w:rPr>
          <w:rFonts w:hint="eastAsia" w:ascii="仿宋" w:hAnsi="仿宋" w:eastAsia="仿宋" w:cs="仿宋"/>
          <w:iCs/>
          <w:color w:val="000000" w:themeColor="text1"/>
          <w:sz w:val="24"/>
          <w:szCs w:val="24"/>
          <w:highlight w:val="none"/>
          <w:lang w:val="en-US" w:eastAsia="zh-CN"/>
          <w14:textFill>
            <w14:solidFill>
              <w14:schemeClr w14:val="tx1"/>
            </w14:solidFill>
          </w14:textFill>
        </w:rPr>
        <w:t>.</w:t>
      </w:r>
      <w:r>
        <w:rPr>
          <w:rFonts w:hint="eastAsia" w:ascii="仿宋" w:hAnsi="仿宋" w:eastAsia="仿宋" w:cs="仿宋"/>
          <w:iCs/>
          <w:color w:val="000000" w:themeColor="text1"/>
          <w:sz w:val="24"/>
          <w:szCs w:val="24"/>
          <w:highlight w:val="none"/>
          <w:u w:val="single"/>
          <w:lang w:val="en-US" w:eastAsia="zh-CN"/>
          <w14:textFill>
            <w14:solidFill>
              <w14:schemeClr w14:val="tx1"/>
            </w14:solidFill>
          </w14:textFill>
        </w:rPr>
        <w:t xml:space="preserve">                           。</w:t>
      </w:r>
    </w:p>
    <w:p w14:paraId="388BA3C5">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六、售后服务</w:t>
      </w:r>
      <w:bookmarkEnd w:id="10"/>
      <w:bookmarkEnd w:id="11"/>
    </w:p>
    <w:p w14:paraId="1C191C35">
      <w:pPr>
        <w:pStyle w:val="4"/>
        <w:spacing w:after="0" w:line="480" w:lineRule="exact"/>
        <w:ind w:left="0" w:leftChars="0" w:firstLine="420" w:firstLineChars="175"/>
        <w:rPr>
          <w:rFonts w:ascii="仿宋" w:hAnsi="仿宋" w:eastAsia="仿宋" w:cs="仿宋"/>
          <w:color w:val="000000" w:themeColor="text1"/>
          <w:sz w:val="24"/>
          <w:szCs w:val="24"/>
          <w:highlight w:val="none"/>
          <w14:textFill>
            <w14:solidFill>
              <w14:schemeClr w14:val="tx1"/>
            </w14:solidFill>
          </w14:textFill>
        </w:rPr>
      </w:pPr>
      <w:bookmarkStart w:id="12" w:name="_Toc217446113"/>
      <w:bookmarkStart w:id="13" w:name="_Toc51146183"/>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质量保修范围：本项目由</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提供的全部产品（含软件、系统集成）。</w:t>
      </w:r>
    </w:p>
    <w:p w14:paraId="6C6FFB95">
      <w:pPr>
        <w:pStyle w:val="4"/>
        <w:spacing w:after="0" w:line="480" w:lineRule="exact"/>
        <w:ind w:left="0" w:leftChars="0" w:firstLine="420" w:firstLineChars="175"/>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保修期：硬件设备保修期为项目验收合格后</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年，若生产厂商保修期超过</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年的，以生产厂商保修期为准。保修期内的维护全部由</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负责，保修期满后出现质量问题，如需要</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维护维修的，由双方协商后约定。</w:t>
      </w:r>
      <w:r>
        <w:rPr>
          <w:rFonts w:hint="eastAsia" w:ascii="仿宋" w:hAnsi="仿宋" w:eastAsia="仿宋" w:cs="仿宋"/>
          <w:color w:val="000000" w:themeColor="text1"/>
          <w:sz w:val="24"/>
          <w:szCs w:val="24"/>
          <w:highlight w:val="none"/>
          <w:lang w:eastAsia="zh-CN"/>
          <w14:textFill>
            <w14:solidFill>
              <w14:schemeClr w14:val="tx1"/>
            </w14:solidFill>
          </w14:textFill>
        </w:rPr>
        <w:t>运维服务为项目验收合格后</w:t>
      </w:r>
      <w:r>
        <w:rPr>
          <w:rFonts w:hint="eastAsia" w:ascii="仿宋" w:hAnsi="仿宋" w:eastAsia="仿宋" w:cs="仿宋"/>
          <w:color w:val="000000" w:themeColor="text1"/>
          <w:sz w:val="24"/>
          <w:szCs w:val="24"/>
          <w:highlight w:val="none"/>
          <w:lang w:val="en-US" w:eastAsia="zh-CN"/>
          <w14:textFill>
            <w14:solidFill>
              <w14:schemeClr w14:val="tx1"/>
            </w14:solidFill>
          </w14:textFill>
        </w:rPr>
        <w:t>5年。</w:t>
      </w:r>
    </w:p>
    <w:p w14:paraId="238AA8D9">
      <w:pPr>
        <w:pStyle w:val="4"/>
        <w:spacing w:after="0" w:line="480" w:lineRule="exact"/>
        <w:ind w:left="0" w:leftChars="0" w:firstLine="420" w:firstLineChars="175"/>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应为本项目配备专业售后服务人员，在保修期内定期对软件系统和硬件设备运行情况进行巡检，发现问题及时进行处理。</w:t>
      </w:r>
    </w:p>
    <w:p w14:paraId="56F192A1">
      <w:pPr>
        <w:pStyle w:val="4"/>
        <w:spacing w:after="0" w:line="480" w:lineRule="exact"/>
        <w:ind w:left="0" w:leftChars="0" w:firstLine="420" w:firstLineChars="175"/>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保修期内出现质量问题，</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在接到通知后1小时内响应，无法远程服务的，8小时内维修人员应到达现场，24小时内完成维修并恢复正常运行，维修或更换所产生的费用由</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全部承担。</w:t>
      </w:r>
    </w:p>
    <w:p w14:paraId="7AB15D48">
      <w:pPr>
        <w:pStyle w:val="4"/>
        <w:spacing w:after="0" w:line="480" w:lineRule="exact"/>
        <w:ind w:left="0" w:leftChars="0" w:firstLine="420" w:firstLineChars="175"/>
        <w:rPr>
          <w:rFonts w:hint="eastAsia" w:ascii="仿宋" w:hAnsi="仿宋" w:eastAsia="仿宋" w:cs="仿宋"/>
          <w:color w:val="000000" w:themeColor="text1"/>
          <w:sz w:val="24"/>
          <w:szCs w:val="24"/>
          <w:highlight w:val="none"/>
          <w:lang w:val="zh-CN"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培训：</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应对</w:t>
      </w:r>
      <w:r>
        <w:rPr>
          <w:rFonts w:hint="eastAsia" w:ascii="仿宋" w:hAnsi="仿宋" w:eastAsia="仿宋" w:cs="仿宋"/>
          <w:color w:val="000000" w:themeColor="text1"/>
          <w:sz w:val="24"/>
          <w:szCs w:val="24"/>
          <w:highlight w:val="none"/>
          <w:lang w:eastAsia="zh-CN"/>
          <w14:textFill>
            <w14:solidFill>
              <w14:schemeClr w14:val="tx1"/>
            </w14:solidFill>
          </w14:textFill>
        </w:rPr>
        <w:t>甲方</w:t>
      </w:r>
      <w:r>
        <w:rPr>
          <w:rFonts w:hint="eastAsia" w:ascii="仿宋" w:hAnsi="仿宋" w:eastAsia="仿宋" w:cs="仿宋"/>
          <w:color w:val="000000" w:themeColor="text1"/>
          <w:sz w:val="24"/>
          <w:szCs w:val="24"/>
          <w:highlight w:val="none"/>
          <w14:textFill>
            <w14:solidFill>
              <w14:schemeClr w14:val="tx1"/>
            </w14:solidFill>
          </w14:textFill>
        </w:rPr>
        <w:t>的使用操作人员进行软件系统和设备的使用培训，以使用操作人员能熟练操作为培训合格。</w:t>
      </w:r>
      <w:r>
        <w:rPr>
          <w:rFonts w:hint="eastAsia" w:ascii="仿宋" w:hAnsi="仿宋" w:eastAsia="仿宋" w:cs="仿宋"/>
          <w:color w:val="000000" w:themeColor="text1"/>
          <w:sz w:val="24"/>
          <w:szCs w:val="24"/>
          <w:highlight w:val="none"/>
          <w:lang w:val="zh-CN" w:eastAsia="zh-CN"/>
          <w14:textFill>
            <w14:solidFill>
              <w14:schemeClr w14:val="tx1"/>
            </w14:solidFill>
          </w14:textFill>
        </w:rPr>
        <w:t xml:space="preserve"> </w:t>
      </w:r>
    </w:p>
    <w:p w14:paraId="3E2D37DE">
      <w:pPr>
        <w:pStyle w:val="4"/>
        <w:spacing w:after="0" w:line="480" w:lineRule="exact"/>
        <w:ind w:left="0" w:leftChars="0" w:firstLine="420" w:firstLineChars="175"/>
        <w:rPr>
          <w:rFonts w:hint="eastAsia" w:ascii="仿宋" w:hAnsi="仿宋" w:eastAsia="仿宋" w:cs="仿宋"/>
          <w:color w:val="000000" w:themeColor="text1"/>
          <w:sz w:val="24"/>
          <w:szCs w:val="24"/>
          <w:highlight w:val="none"/>
          <w:lang w:val="zh-CN"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6.乙方</w:t>
      </w:r>
      <w:r>
        <w:rPr>
          <w:rFonts w:hint="eastAsia" w:ascii="仿宋" w:hAnsi="仿宋" w:eastAsia="仿宋" w:cs="仿宋"/>
          <w:color w:val="000000" w:themeColor="text1"/>
          <w:sz w:val="24"/>
          <w:szCs w:val="24"/>
          <w:highlight w:val="none"/>
          <w:lang w:val="zh-CN" w:eastAsia="zh-CN"/>
          <w14:textFill>
            <w14:solidFill>
              <w14:schemeClr w14:val="tx1"/>
            </w14:solidFill>
          </w14:textFill>
        </w:rPr>
        <w:t>应为本项目配备专业售后服务人员，定期对设备运行情况进行巡检，发现问题及时进行处理。</w:t>
      </w:r>
    </w:p>
    <w:p w14:paraId="4ED5BBE5">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default" w:ascii="仿宋" w:hAnsi="仿宋" w:eastAsia="仿宋" w:cs="仿宋"/>
          <w:iCs/>
          <w:color w:val="000000" w:themeColor="text1"/>
          <w:sz w:val="24"/>
          <w:szCs w:val="24"/>
          <w:highlight w:val="none"/>
          <w:u w:val="single"/>
          <w:lang w:val="en-US" w:eastAsia="zh-CN"/>
          <w14:textFill>
            <w14:solidFill>
              <w14:schemeClr w14:val="tx1"/>
            </w14:solidFill>
          </w14:textFill>
        </w:rPr>
      </w:pPr>
      <w:r>
        <w:rPr>
          <w:rFonts w:hint="eastAsia" w:ascii="仿宋" w:hAnsi="仿宋" w:eastAsia="仿宋" w:cs="仿宋"/>
          <w:iCs/>
          <w:color w:val="000000" w:themeColor="text1"/>
          <w:sz w:val="24"/>
          <w:szCs w:val="24"/>
          <w:highlight w:val="none"/>
          <w:lang w:val="en-US" w:eastAsia="zh-CN"/>
          <w14:textFill>
            <w14:solidFill>
              <w14:schemeClr w14:val="tx1"/>
            </w14:solidFill>
          </w14:textFill>
        </w:rPr>
        <w:t>7.</w:t>
      </w:r>
      <w:r>
        <w:rPr>
          <w:rFonts w:hint="eastAsia" w:ascii="仿宋" w:hAnsi="仿宋" w:eastAsia="仿宋" w:cs="仿宋"/>
          <w:iCs/>
          <w:color w:val="000000" w:themeColor="text1"/>
          <w:sz w:val="24"/>
          <w:szCs w:val="24"/>
          <w:highlight w:val="none"/>
          <w14:textFill>
            <w14:solidFill>
              <w14:schemeClr w14:val="tx1"/>
            </w14:solidFill>
          </w14:textFill>
        </w:rPr>
        <w:t>售后服务联系人：</w:t>
      </w:r>
      <w:r>
        <w:rPr>
          <w:rFonts w:hint="eastAsia" w:ascii="仿宋" w:hAnsi="仿宋" w:eastAsia="仿宋" w:cs="仿宋"/>
          <w:i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i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4"/>
          <w:szCs w:val="24"/>
          <w:highlight w:val="none"/>
          <w14:textFill>
            <w14:solidFill>
              <w14:schemeClr w14:val="tx1"/>
            </w14:solidFill>
          </w14:textFill>
        </w:rPr>
        <w:t>电话：</w:t>
      </w:r>
      <w:r>
        <w:rPr>
          <w:rFonts w:hint="eastAsia" w:ascii="仿宋" w:hAnsi="仿宋" w:eastAsia="仿宋" w:cs="仿宋"/>
          <w:iCs/>
          <w:color w:val="000000" w:themeColor="text1"/>
          <w:sz w:val="24"/>
          <w:szCs w:val="24"/>
          <w:highlight w:val="none"/>
          <w:u w:val="single"/>
          <w:lang w:val="en-US" w:eastAsia="zh-CN"/>
          <w14:textFill>
            <w14:solidFill>
              <w14:schemeClr w14:val="tx1"/>
            </w14:solidFill>
          </w14:textFill>
        </w:rPr>
        <w:t xml:space="preserve">        </w:t>
      </w:r>
    </w:p>
    <w:p w14:paraId="28EBF857">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default" w:ascii="仿宋" w:hAnsi="仿宋" w:eastAsia="仿宋" w:cs="仿宋"/>
          <w:iCs/>
          <w:color w:val="000000" w:themeColor="text1"/>
          <w:sz w:val="24"/>
          <w:szCs w:val="24"/>
          <w:highlight w:val="none"/>
          <w:lang w:val="en-US" w:eastAsia="zh-CN"/>
          <w14:textFill>
            <w14:solidFill>
              <w14:schemeClr w14:val="tx1"/>
            </w14:solidFill>
          </w14:textFill>
        </w:rPr>
      </w:pPr>
      <w:r>
        <w:rPr>
          <w:rFonts w:hint="eastAsia" w:ascii="仿宋" w:hAnsi="仿宋" w:eastAsia="仿宋" w:cs="仿宋"/>
          <w:iCs/>
          <w:color w:val="000000" w:themeColor="text1"/>
          <w:sz w:val="24"/>
          <w:szCs w:val="24"/>
          <w:highlight w:val="none"/>
          <w:lang w:val="en-US" w:eastAsia="zh-CN"/>
          <w14:textFill>
            <w14:solidFill>
              <w14:schemeClr w14:val="tx1"/>
            </w14:solidFill>
          </w14:textFill>
        </w:rPr>
        <w:t>七、其他要求：</w:t>
      </w:r>
      <w:r>
        <w:rPr>
          <w:rFonts w:hint="eastAsia" w:ascii="仿宋" w:hAnsi="仿宋" w:eastAsia="仿宋" w:cs="仿宋"/>
          <w:i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4"/>
          <w:szCs w:val="24"/>
          <w:highlight w:val="none"/>
          <w:lang w:val="en-US" w:eastAsia="zh-CN"/>
          <w14:textFill>
            <w14:solidFill>
              <w14:schemeClr w14:val="tx1"/>
            </w14:solidFill>
          </w14:textFill>
        </w:rPr>
        <w:t xml:space="preserve">         </w:t>
      </w:r>
    </w:p>
    <w:p w14:paraId="7928584C">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en-US" w:eastAsia="zh-CN"/>
          <w14:textFill>
            <w14:solidFill>
              <w14:schemeClr w14:val="tx1"/>
            </w14:solidFill>
          </w14:textFill>
        </w:rPr>
        <w:t>八</w:t>
      </w:r>
      <w:r>
        <w:rPr>
          <w:rFonts w:hint="eastAsia" w:ascii="仿宋" w:hAnsi="仿宋" w:eastAsia="仿宋" w:cs="仿宋"/>
          <w:iCs/>
          <w:color w:val="000000" w:themeColor="text1"/>
          <w:sz w:val="24"/>
          <w:szCs w:val="24"/>
          <w:highlight w:val="none"/>
          <w:lang w:val="zh-CN"/>
          <w14:textFill>
            <w14:solidFill>
              <w14:schemeClr w14:val="tx1"/>
            </w14:solidFill>
          </w14:textFill>
        </w:rPr>
        <w:t>、违约责任</w:t>
      </w:r>
      <w:bookmarkEnd w:id="12"/>
      <w:bookmarkEnd w:id="13"/>
    </w:p>
    <w:p w14:paraId="0D27CDDB">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1、甲方违约责任</w:t>
      </w:r>
    </w:p>
    <w:p w14:paraId="05616440">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（1）甲方无正当理由拒收货物的，甲方应偿付合同总价百分之五的违约金；</w:t>
      </w:r>
    </w:p>
    <w:p w14:paraId="3A67ECDA">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（2）甲方逾期支付货款的，除应及时付足货款外，应向乙方偿付欠款总额万分之一 /天的违约金；</w:t>
      </w:r>
    </w:p>
    <w:p w14:paraId="20123D9C">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（3）甲方偿付的违约金不足以弥补乙方损失的，还应按乙方损失尚未弥补的部分，支付赔偿金给乙方。</w:t>
      </w:r>
    </w:p>
    <w:p w14:paraId="4D50D3B0">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2、乙方违约责任</w:t>
      </w:r>
    </w:p>
    <w:p w14:paraId="50799F04">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1）乙方交付的货物质量不符合合同规定的，乙方应向甲方支付合同总价的百分之五的违约金，并须在合同规定的交货时间内更换合格的货物给甲方，否则，视作乙方不能交付货物而违约，按本条本款下述第“（2）”项规定由乙方偿付违约赔偿金给甲方。</w:t>
      </w:r>
    </w:p>
    <w:p w14:paraId="4DBCBE16">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2）乙方不能交付货物或逾期交付货物而违约的，除应及时交足货物外，应向甲方偿付逾期交货部分货款总额的万分之一/天的违约金；逾期交货超过15天，甲方有权终止合同，乙方则应按合同总价的百分之五的款额向甲方偿付赔偿金，并须全额退还甲方已经付给乙方的货款及其利息。</w:t>
      </w:r>
    </w:p>
    <w:p w14:paraId="6BE3387C">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3）乙方货物经甲方送交具有法定资格条件的质量技术监督机构检测后，如检测结果认定货物质量不符合本合同规定标准的，则视为乙方没有按时交货而违约，乙方须在15天内无条件更换合格的货物，如逾期不能更换合格的货物，甲方有权终止本合同，乙方应另付合同总价的百分之五的赔偿金给甲方。</w:t>
      </w:r>
    </w:p>
    <w:p w14:paraId="0815A8AB">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五 向甲方支付违约金并赔偿因此给甲方造成的一切损失。</w:t>
      </w:r>
    </w:p>
    <w:p w14:paraId="67CCD114">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（5）乙方偿付的违约金不足以弥补甲方损失的，还应按甲方损失尚未弥补的部分，支付赔偿金给甲方。</w:t>
      </w:r>
    </w:p>
    <w:p w14:paraId="6BC68694">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bookmarkStart w:id="14" w:name="_Toc217446114"/>
      <w:bookmarkStart w:id="15" w:name="_Toc51146184"/>
      <w:r>
        <w:rPr>
          <w:rFonts w:hint="eastAsia" w:ascii="仿宋" w:hAnsi="仿宋" w:eastAsia="仿宋" w:cs="仿宋"/>
          <w:iCs/>
          <w:color w:val="000000" w:themeColor="text1"/>
          <w:sz w:val="24"/>
          <w:szCs w:val="24"/>
          <w:highlight w:val="none"/>
          <w:lang w:val="en-US" w:eastAsia="zh-CN"/>
          <w14:textFill>
            <w14:solidFill>
              <w14:schemeClr w14:val="tx1"/>
            </w14:solidFill>
          </w14:textFill>
        </w:rPr>
        <w:t>九</w:t>
      </w:r>
      <w:r>
        <w:rPr>
          <w:rFonts w:hint="eastAsia" w:ascii="仿宋" w:hAnsi="仿宋" w:eastAsia="仿宋" w:cs="仿宋"/>
          <w:iCs/>
          <w:color w:val="000000" w:themeColor="text1"/>
          <w:sz w:val="24"/>
          <w:szCs w:val="24"/>
          <w:highlight w:val="none"/>
          <w:lang w:val="zh-CN"/>
          <w14:textFill>
            <w14:solidFill>
              <w14:schemeClr w14:val="tx1"/>
            </w14:solidFill>
          </w14:textFill>
        </w:rPr>
        <w:t>、争议解决办法</w:t>
      </w:r>
      <w:bookmarkEnd w:id="14"/>
      <w:bookmarkEnd w:id="15"/>
    </w:p>
    <w:p w14:paraId="0A158F3E">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5F9C1A68">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2、合同履行期间,若双方发生争议，可协商或由有关部门调解解决，协商或调解不成的，由当事人依法维护其合法权益。</w:t>
      </w:r>
    </w:p>
    <w:p w14:paraId="4CC2CF73">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eastAsia="zh-CN"/>
          <w14:textFill>
            <w14:solidFill>
              <w14:schemeClr w14:val="tx1"/>
            </w14:solidFill>
          </w14:textFill>
        </w:rPr>
        <w:t>3.</w:t>
      </w:r>
      <w:r>
        <w:rPr>
          <w:rFonts w:hint="eastAsia" w:ascii="仿宋" w:hAnsi="仿宋" w:eastAsia="仿宋" w:cs="仿宋"/>
          <w:iCs/>
          <w:color w:val="000000" w:themeColor="text1"/>
          <w:sz w:val="24"/>
          <w:szCs w:val="24"/>
          <w:highlight w:val="none"/>
          <w:lang w:val="zh-CN"/>
          <w14:textFill>
            <w14:solidFill>
              <w14:schemeClr w14:val="tx1"/>
            </w14:solidFill>
          </w14:textFill>
        </w:rPr>
        <w:t>法院判决应为最终决定，并对双方具有约束力。</w:t>
      </w:r>
    </w:p>
    <w:p w14:paraId="1B170174">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eastAsia="zh-CN"/>
          <w14:textFill>
            <w14:solidFill>
              <w14:schemeClr w14:val="tx1"/>
            </w14:solidFill>
          </w14:textFill>
        </w:rPr>
        <w:t>4.</w:t>
      </w:r>
      <w:r>
        <w:rPr>
          <w:rFonts w:hint="eastAsia" w:ascii="仿宋" w:hAnsi="仿宋" w:eastAsia="仿宋" w:cs="仿宋"/>
          <w:iCs/>
          <w:color w:val="000000" w:themeColor="text1"/>
          <w:sz w:val="24"/>
          <w:szCs w:val="24"/>
          <w:highlight w:val="none"/>
          <w:lang w:val="zh-CN"/>
          <w14:textFill>
            <w14:solidFill>
              <w14:schemeClr w14:val="tx1"/>
            </w14:solidFill>
          </w14:textFill>
        </w:rPr>
        <w:t>除另有</w:t>
      </w:r>
      <w:r>
        <w:rPr>
          <w:rFonts w:hint="eastAsia" w:ascii="仿宋" w:hAnsi="仿宋" w:eastAsia="仿宋" w:cs="仿宋"/>
          <w:iCs/>
          <w:color w:val="000000" w:themeColor="text1"/>
          <w:sz w:val="24"/>
          <w:szCs w:val="24"/>
          <w:highlight w:val="none"/>
          <w:lang w:val="zh-CN" w:eastAsia="zh-CN"/>
          <w14:textFill>
            <w14:solidFill>
              <w14:schemeClr w14:val="tx1"/>
            </w14:solidFill>
          </w14:textFill>
        </w:rPr>
        <w:t>判决</w:t>
      </w:r>
      <w:r>
        <w:rPr>
          <w:rFonts w:hint="eastAsia" w:ascii="仿宋" w:hAnsi="仿宋" w:eastAsia="仿宋" w:cs="仿宋"/>
          <w:iCs/>
          <w:color w:val="000000" w:themeColor="text1"/>
          <w:sz w:val="24"/>
          <w:szCs w:val="24"/>
          <w:highlight w:val="none"/>
          <w:lang w:val="zh-CN"/>
          <w14:textFill>
            <w14:solidFill>
              <w14:schemeClr w14:val="tx1"/>
            </w14:solidFill>
          </w14:textFill>
        </w:rPr>
        <w:t>外，诉讼费应由败诉方负担。</w:t>
      </w:r>
    </w:p>
    <w:p w14:paraId="7372D1EC">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eastAsia="zh-CN"/>
          <w14:textFill>
            <w14:solidFill>
              <w14:schemeClr w14:val="tx1"/>
            </w14:solidFill>
          </w14:textFill>
        </w:rPr>
        <w:t>5.</w:t>
      </w:r>
      <w:r>
        <w:rPr>
          <w:rFonts w:hint="eastAsia" w:ascii="仿宋" w:hAnsi="仿宋" w:eastAsia="仿宋" w:cs="仿宋"/>
          <w:iCs/>
          <w:color w:val="000000" w:themeColor="text1"/>
          <w:sz w:val="24"/>
          <w:szCs w:val="24"/>
          <w:highlight w:val="none"/>
          <w:lang w:val="zh-CN"/>
          <w14:textFill>
            <w14:solidFill>
              <w14:schemeClr w14:val="tx1"/>
            </w14:solidFill>
          </w14:textFill>
        </w:rPr>
        <w:t>在诉讼期间，除正在进行诉讼部分外，合同其他部分继续执行。</w:t>
      </w:r>
    </w:p>
    <w:p w14:paraId="4C770B6E">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bookmarkStart w:id="16" w:name="_Toc51146185"/>
      <w:bookmarkStart w:id="17" w:name="_Toc217446115"/>
      <w:r>
        <w:rPr>
          <w:rFonts w:hint="eastAsia" w:ascii="仿宋" w:hAnsi="仿宋" w:eastAsia="仿宋" w:cs="仿宋"/>
          <w:iCs/>
          <w:color w:val="000000" w:themeColor="text1"/>
          <w:sz w:val="24"/>
          <w:szCs w:val="24"/>
          <w:highlight w:val="none"/>
          <w:lang w:val="en-US" w:eastAsia="zh-CN"/>
          <w14:textFill>
            <w14:solidFill>
              <w14:schemeClr w14:val="tx1"/>
            </w14:solidFill>
          </w14:textFill>
        </w:rPr>
        <w:t>十</w:t>
      </w:r>
      <w:r>
        <w:rPr>
          <w:rFonts w:hint="eastAsia" w:ascii="仿宋" w:hAnsi="仿宋" w:eastAsia="仿宋" w:cs="仿宋"/>
          <w:iCs/>
          <w:color w:val="000000" w:themeColor="text1"/>
          <w:sz w:val="24"/>
          <w:szCs w:val="24"/>
          <w:highlight w:val="none"/>
          <w:lang w:val="zh-CN"/>
          <w14:textFill>
            <w14:solidFill>
              <w14:schemeClr w14:val="tx1"/>
            </w14:solidFill>
          </w14:textFill>
        </w:rPr>
        <w:t>、其他</w:t>
      </w:r>
      <w:bookmarkEnd w:id="16"/>
      <w:bookmarkEnd w:id="17"/>
    </w:p>
    <w:p w14:paraId="739E2940">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1、如有未尽事宜，由双方依法订立补充合同。</w:t>
      </w:r>
    </w:p>
    <w:p w14:paraId="2273B013">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2、本合同一式六份，自双方签章之日起生效。甲方二份，乙方二份、政府采购管理部门、采购代理机构各一份。</w:t>
      </w:r>
    </w:p>
    <w:p w14:paraId="7E11168D">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 xml:space="preserve">甲方：   （盖单位公章）   </w:t>
      </w:r>
      <w:r>
        <w:rPr>
          <w:rFonts w:hint="eastAsia" w:ascii="仿宋" w:hAnsi="仿宋" w:eastAsia="仿宋" w:cs="仿宋"/>
          <w:iCs/>
          <w:color w:val="000000" w:themeColor="text1"/>
          <w:sz w:val="24"/>
          <w:szCs w:val="24"/>
          <w:highlight w:val="none"/>
          <w:lang w:val="zh-CN"/>
          <w14:textFill>
            <w14:solidFill>
              <w14:schemeClr w14:val="tx1"/>
            </w14:solidFill>
          </w14:textFill>
        </w:rPr>
        <w:tab/>
      </w:r>
      <w:r>
        <w:rPr>
          <w:rFonts w:hint="eastAsia" w:ascii="仿宋" w:hAnsi="仿宋" w:eastAsia="仿宋" w:cs="仿宋"/>
          <w:iCs/>
          <w:color w:val="000000" w:themeColor="text1"/>
          <w:sz w:val="24"/>
          <w:szCs w:val="24"/>
          <w:highlight w:val="none"/>
          <w:lang w:val="zh-CN"/>
          <w14:textFill>
            <w14:solidFill>
              <w14:schemeClr w14:val="tx1"/>
            </w14:solidFill>
          </w14:textFill>
        </w:rPr>
        <w:tab/>
      </w:r>
      <w:r>
        <w:rPr>
          <w:rFonts w:hint="eastAsia" w:ascii="仿宋" w:hAnsi="仿宋" w:eastAsia="仿宋" w:cs="仿宋"/>
          <w:iCs/>
          <w:color w:val="000000" w:themeColor="text1"/>
          <w:sz w:val="24"/>
          <w:szCs w:val="24"/>
          <w:highlight w:val="none"/>
          <w:lang w:val="zh-CN"/>
          <w14:textFill>
            <w14:solidFill>
              <w14:schemeClr w14:val="tx1"/>
            </w14:solidFill>
          </w14:textFill>
        </w:rPr>
        <w:tab/>
      </w:r>
      <w:r>
        <w:rPr>
          <w:rFonts w:hint="eastAsia" w:ascii="仿宋" w:hAnsi="仿宋" w:eastAsia="仿宋" w:cs="仿宋"/>
          <w:iCs/>
          <w:color w:val="000000" w:themeColor="text1"/>
          <w:sz w:val="24"/>
          <w:szCs w:val="24"/>
          <w:highlight w:val="none"/>
          <w:lang w:val="zh-CN"/>
          <w14:textFill>
            <w14:solidFill>
              <w14:schemeClr w14:val="tx1"/>
            </w14:solidFill>
          </w14:textFill>
        </w:rPr>
        <w:t xml:space="preserve">  乙方：   （盖单位公章）</w:t>
      </w:r>
    </w:p>
    <w:p w14:paraId="673DC8BF">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法定代表人（授权代表）：            法定代表人（授权代表）：</w:t>
      </w:r>
    </w:p>
    <w:p w14:paraId="6AAE51EA">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地    址：                         地    址：</w:t>
      </w:r>
    </w:p>
    <w:p w14:paraId="7343F775">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开户银行：                         开户银行：</w:t>
      </w:r>
    </w:p>
    <w:p w14:paraId="43C7F1AD">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账号：                             账号：</w:t>
      </w:r>
    </w:p>
    <w:p w14:paraId="5273751C">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电    话：                         电    话：</w:t>
      </w:r>
    </w:p>
    <w:p w14:paraId="68CC22F1">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传    真：                         传    真：</w:t>
      </w:r>
    </w:p>
    <w:p w14:paraId="728CDC27">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 xml:space="preserve">签约日期：XX年XX月XX日 </w:t>
      </w:r>
      <w:r>
        <w:rPr>
          <w:rFonts w:hint="eastAsia" w:ascii="仿宋" w:hAnsi="仿宋" w:eastAsia="仿宋" w:cs="仿宋"/>
          <w:iCs/>
          <w:color w:val="000000" w:themeColor="text1"/>
          <w:sz w:val="24"/>
          <w:szCs w:val="24"/>
          <w:highlight w:val="none"/>
          <w:lang w:val="zh-CN"/>
          <w14:textFill>
            <w14:solidFill>
              <w14:schemeClr w14:val="tx1"/>
            </w14:solidFill>
          </w14:textFill>
        </w:rPr>
        <w:tab/>
      </w:r>
      <w:r>
        <w:rPr>
          <w:rFonts w:hint="eastAsia" w:ascii="仿宋" w:hAnsi="仿宋" w:eastAsia="仿宋" w:cs="仿宋"/>
          <w:iCs/>
          <w:color w:val="000000" w:themeColor="text1"/>
          <w:sz w:val="24"/>
          <w:szCs w:val="24"/>
          <w:highlight w:val="none"/>
          <w:lang w:val="zh-CN"/>
          <w14:textFill>
            <w14:solidFill>
              <w14:schemeClr w14:val="tx1"/>
            </w14:solidFill>
          </w14:textFill>
        </w:rPr>
        <w:tab/>
      </w:r>
      <w:r>
        <w:rPr>
          <w:rFonts w:hint="eastAsia" w:ascii="仿宋" w:hAnsi="仿宋" w:eastAsia="仿宋" w:cs="仿宋"/>
          <w:iCs/>
          <w:color w:val="000000" w:themeColor="text1"/>
          <w:sz w:val="24"/>
          <w:szCs w:val="24"/>
          <w:highlight w:val="none"/>
          <w:lang w:val="zh-CN"/>
          <w14:textFill>
            <w14:solidFill>
              <w14:schemeClr w14:val="tx1"/>
            </w14:solidFill>
          </w14:textFill>
        </w:rPr>
        <w:tab/>
      </w:r>
      <w:r>
        <w:rPr>
          <w:rFonts w:hint="eastAsia" w:ascii="仿宋" w:hAnsi="仿宋" w:eastAsia="仿宋" w:cs="仿宋"/>
          <w:iCs/>
          <w:color w:val="000000" w:themeColor="text1"/>
          <w:sz w:val="24"/>
          <w:szCs w:val="24"/>
          <w:highlight w:val="none"/>
          <w:lang w:val="zh-CN"/>
          <w14:textFill>
            <w14:solidFill>
              <w14:schemeClr w14:val="tx1"/>
            </w14:solidFill>
          </w14:textFill>
        </w:rPr>
        <w:t>签约日期：XX年XX月XX日</w:t>
      </w:r>
    </w:p>
    <w:p w14:paraId="5432ABB0">
      <w:pPr>
        <w:keepNext w:val="0"/>
        <w:keepLines w:val="0"/>
        <w:pageBreakBefore w:val="0"/>
        <w:widowControl/>
        <w:kinsoku/>
        <w:wordWrap w:val="0"/>
        <w:overflowPunct/>
        <w:topLinePunct/>
        <w:autoSpaceDE w:val="0"/>
        <w:autoSpaceDN/>
        <w:bidi w:val="0"/>
        <w:adjustRightInd/>
        <w:snapToGrid/>
        <w:spacing w:line="440" w:lineRule="exact"/>
        <w:ind w:firstLine="547" w:firstLineChars="228"/>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p>
    <w:p w14:paraId="35CE8190">
      <w:pPr>
        <w:pStyle w:val="5"/>
        <w:keepNext w:val="0"/>
        <w:keepLines w:val="0"/>
        <w:pageBreakBefore w:val="0"/>
        <w:widowControl/>
        <w:kinsoku/>
        <w:wordWrap w:val="0"/>
        <w:overflowPunct/>
        <w:topLinePunct/>
        <w:autoSpaceDE w:val="0"/>
        <w:autoSpaceDN/>
        <w:bidi w:val="0"/>
        <w:adjustRightInd/>
        <w:snapToGrid/>
        <w:spacing w:before="0" w:beforeAutospacing="0" w:after="0" w:afterAutospacing="0" w:line="500" w:lineRule="exact"/>
        <w:jc w:val="both"/>
        <w:textAlignment w:val="auto"/>
        <w:rPr>
          <w:rFonts w:hint="eastAsia" w:ascii="仿宋" w:hAnsi="仿宋" w:eastAsia="仿宋" w:cs="仿宋"/>
          <w:iCs/>
          <w:color w:val="000000" w:themeColor="text1"/>
          <w:sz w:val="24"/>
          <w:szCs w:val="24"/>
          <w:highlight w:val="none"/>
          <w:lang w:val="zh-CN"/>
          <w14:textFill>
            <w14:solidFill>
              <w14:schemeClr w14:val="tx1"/>
            </w14:solidFill>
          </w14:textFill>
        </w:rPr>
      </w:pPr>
      <w:r>
        <w:rPr>
          <w:rFonts w:hint="eastAsia" w:ascii="仿宋" w:hAnsi="仿宋" w:eastAsia="仿宋" w:cs="仿宋"/>
          <w:iCs/>
          <w:color w:val="000000" w:themeColor="text1"/>
          <w:sz w:val="24"/>
          <w:szCs w:val="24"/>
          <w:highlight w:val="none"/>
          <w:lang w:val="zh-CN"/>
          <w14:textFill>
            <w14:solidFill>
              <w14:schemeClr w14:val="tx1"/>
            </w14:solidFill>
          </w14:textFill>
        </w:rPr>
        <w:t>注：其他</w:t>
      </w:r>
      <w:r>
        <w:rPr>
          <w:rFonts w:hint="eastAsia" w:ascii="仿宋" w:hAnsi="仿宋" w:eastAsia="仿宋" w:cs="仿宋"/>
          <w:iCs/>
          <w:color w:val="000000" w:themeColor="text1"/>
          <w:sz w:val="24"/>
          <w:szCs w:val="24"/>
          <w:highlight w:val="none"/>
          <w14:textFill>
            <w14:solidFill>
              <w14:schemeClr w14:val="tx1"/>
            </w14:solidFill>
          </w14:textFill>
        </w:rPr>
        <w:t>未明事项</w:t>
      </w:r>
      <w:r>
        <w:rPr>
          <w:rFonts w:hint="eastAsia" w:ascii="仿宋" w:hAnsi="仿宋" w:eastAsia="仿宋" w:cs="仿宋"/>
          <w:iCs/>
          <w:color w:val="000000" w:themeColor="text1"/>
          <w:sz w:val="24"/>
          <w:szCs w:val="24"/>
          <w:highlight w:val="none"/>
          <w:lang w:val="zh-CN"/>
          <w14:textFill>
            <w14:solidFill>
              <w14:schemeClr w14:val="tx1"/>
            </w14:solidFill>
          </w14:textFill>
        </w:rPr>
        <w:t>在合同签</w:t>
      </w:r>
      <w:r>
        <w:rPr>
          <w:rFonts w:hint="eastAsia" w:ascii="仿宋" w:hAnsi="仿宋" w:eastAsia="仿宋" w:cs="仿宋"/>
          <w:iCs/>
          <w:color w:val="000000" w:themeColor="text1"/>
          <w:sz w:val="24"/>
          <w:szCs w:val="24"/>
          <w:highlight w:val="none"/>
          <w14:textFill>
            <w14:solidFill>
              <w14:schemeClr w14:val="tx1"/>
            </w14:solidFill>
          </w14:textFill>
        </w:rPr>
        <w:t>订</w:t>
      </w:r>
      <w:r>
        <w:rPr>
          <w:rFonts w:hint="eastAsia" w:ascii="仿宋" w:hAnsi="仿宋" w:eastAsia="仿宋" w:cs="仿宋"/>
          <w:iCs/>
          <w:color w:val="000000" w:themeColor="text1"/>
          <w:sz w:val="24"/>
          <w:szCs w:val="24"/>
          <w:highlight w:val="none"/>
          <w:lang w:val="zh-CN"/>
          <w14:textFill>
            <w14:solidFill>
              <w14:schemeClr w14:val="tx1"/>
            </w14:solidFill>
          </w14:textFill>
        </w:rPr>
        <w:t>时</w:t>
      </w:r>
      <w:r>
        <w:rPr>
          <w:rFonts w:hint="eastAsia" w:ascii="仿宋" w:hAnsi="仿宋" w:eastAsia="仿宋" w:cs="仿宋"/>
          <w:iCs/>
          <w:color w:val="000000" w:themeColor="text1"/>
          <w:sz w:val="24"/>
          <w:szCs w:val="24"/>
          <w:highlight w:val="none"/>
          <w14:textFill>
            <w14:solidFill>
              <w14:schemeClr w14:val="tx1"/>
            </w14:solidFill>
          </w14:textFill>
        </w:rPr>
        <w:t>双方协商后</w:t>
      </w:r>
      <w:r>
        <w:rPr>
          <w:rFonts w:hint="eastAsia" w:ascii="仿宋" w:hAnsi="仿宋" w:eastAsia="仿宋" w:cs="仿宋"/>
          <w:iCs/>
          <w:color w:val="000000" w:themeColor="text1"/>
          <w:sz w:val="24"/>
          <w:szCs w:val="24"/>
          <w:highlight w:val="none"/>
          <w:lang w:val="zh-CN"/>
          <w14:textFill>
            <w14:solidFill>
              <w14:schemeClr w14:val="tx1"/>
            </w14:solidFill>
          </w14:textFill>
        </w:rPr>
        <w:t>约定。</w:t>
      </w:r>
    </w:p>
    <w:p w14:paraId="1ECD5497">
      <w:pPr>
        <w:pStyle w:val="5"/>
        <w:keepNext w:val="0"/>
        <w:keepLines w:val="0"/>
        <w:pageBreakBefore w:val="0"/>
        <w:widowControl/>
        <w:kinsoku/>
        <w:wordWrap w:val="0"/>
        <w:overflowPunct/>
        <w:topLinePunct/>
        <w:autoSpaceDE w:val="0"/>
        <w:autoSpaceDN/>
        <w:bidi w:val="0"/>
        <w:adjustRightInd/>
        <w:snapToGrid/>
        <w:spacing w:before="0" w:beforeAutospacing="0" w:after="0" w:afterAutospacing="0" w:line="500" w:lineRule="exact"/>
        <w:jc w:val="both"/>
        <w:textAlignment w:val="auto"/>
        <w:rPr>
          <w:rFonts w:hint="eastAsia" w:ascii="仿宋" w:hAnsi="仿宋" w:eastAsia="仿宋" w:cs="仿宋"/>
          <w:iCs/>
          <w:color w:val="000000" w:themeColor="text1"/>
          <w:sz w:val="24"/>
          <w:szCs w:val="24"/>
          <w:highlight w:val="none"/>
          <w:lang w:val="zh-CN" w:eastAsia="zh-CN"/>
          <w14:textFill>
            <w14:solidFill>
              <w14:schemeClr w14:val="tx1"/>
            </w14:solidFill>
          </w14:textFill>
        </w:rPr>
      </w:pPr>
    </w:p>
    <w:p w14:paraId="1F14F2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61514"/>
    <w:rsid w:val="09261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adjustRightInd w:val="0"/>
      <w:spacing w:line="360" w:lineRule="auto"/>
      <w:ind w:firstLine="200" w:firstLineChars="200"/>
      <w:textAlignment w:val="baseline"/>
    </w:pPr>
    <w:rPr>
      <w:rFonts w:ascii="宋体" w:hAnsi="宋体" w:eastAsia="仿宋"/>
      <w:kern w:val="0"/>
      <w:sz w:val="24"/>
      <w:szCs w:val="21"/>
    </w:rPr>
  </w:style>
  <w:style w:type="paragraph" w:styleId="3">
    <w:name w:val="Body Text Indent"/>
    <w:basedOn w:val="1"/>
    <w:qFormat/>
    <w:uiPriority w:val="0"/>
    <w:pPr>
      <w:spacing w:after="120"/>
      <w:ind w:left="200" w:leftChars="200"/>
    </w:pPr>
    <w:rPr>
      <w:rFonts w:ascii="Times New Roman" w:hAnsi="Times New Roman"/>
      <w:szCs w:val="20"/>
    </w:rPr>
  </w:style>
  <w:style w:type="paragraph" w:styleId="4">
    <w:name w:val="Body Text"/>
    <w:basedOn w:val="1"/>
    <w:unhideWhenUsed/>
    <w:qFormat/>
    <w:uiPriority w:val="99"/>
    <w:pPr>
      <w:spacing w:after="120"/>
    </w:p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2026-04-01T02:12:00Z</dcterms:created>
  <dc:creator>酸柠萌</dc:creator>
  <cp:lastModifiedBy>酸柠萌</cp:lastModifiedBy>
  <dcterms:modified xsi:type="dcterms:W3CDTF">2026-04-01T02:13:25Z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02C340481B494A078D27160553E3182F_11</vt:lpwstr>
  </property>
  <property fmtid="{D5CDD505-2E9C-101B-9397-08002B2CF9AE}" pid="4" name="KSOTemplateDocerSaveRecord">
    <vt:lpwstr>eyJoZGlkIjoiODZkYzRmMDNkODk0YTFiMzNjODA1MWY0NzcxYzdiMjciLCJ1c2VySWQiOiIzMTg4NTc2MjIifQ==</vt:lpwstr>
  </property>
</Properties>
</file>