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版本号：N510301202600013120260430001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病案扫描缩印服务采购项目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N5103012026000131</w:t>
      </w:r>
    </w:p>
    <w:p>
      <w:pPr>
        <w:pStyle w:val="null3"/>
        <w:jc w:val="center"/>
        <w:outlineLvl w:val="2"/>
      </w:pPr>
      <w:r>
        <w:rPr>
          <w:rFonts w:ascii="仿宋_GB2312" w:hAnsi="仿宋_GB2312" w:cs="仿宋_GB2312" w:eastAsia="仿宋_GB2312"/>
          <w:sz w:val="28"/>
          <w:b/>
        </w:rPr>
        <w:t>自贡市第四人民医院</w:t>
      </w:r>
    </w:p>
    <w:p>
      <w:pPr>
        <w:pStyle w:val="null3"/>
        <w:jc w:val="center"/>
        <w:outlineLvl w:val="2"/>
      </w:pPr>
      <w:r>
        <w:rPr>
          <w:rFonts w:ascii="仿宋_GB2312" w:hAnsi="仿宋_GB2312" w:cs="仿宋_GB2312" w:eastAsia="仿宋_GB2312"/>
          <w:sz w:val="28"/>
          <w:b/>
        </w:rPr>
        <w:t>四川虹采招标代理有限责任公司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四川虹采招标代理有限责任公司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自贡市第四人民医院</w:t>
      </w:r>
      <w:r>
        <w:rPr>
          <w:rFonts w:ascii="仿宋_GB2312" w:hAnsi="仿宋_GB2312" w:cs="仿宋_GB2312" w:eastAsia="仿宋_GB2312"/>
        </w:rPr>
        <w:t xml:space="preserve"> 委托，拟对 </w:t>
      </w:r>
      <w:r>
        <w:rPr>
          <w:rFonts w:ascii="仿宋_GB2312" w:hAnsi="仿宋_GB2312" w:cs="仿宋_GB2312" w:eastAsia="仿宋_GB2312"/>
        </w:rPr>
        <w:t>病案扫描缩印服务采购项目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自贡市市本级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N5103012026000131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病案扫描缩印服务采购项目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自贡市第四人民医院拟采购一名合格的供应商组织开展“病案扫描缩印服务采购项目”。病案数字化是按照国家档案局《档案服务外包工作规范》总则（DA/T 68.1-2020）、档案数字化服务（DA/T 68.2-2020）和《纸质档案数字化规范》（DA/T 31-2017）规范要求，通过病案数字化管理软件将病案通过扫描、翻拍的方式将纸质病案转化为数字化病案，并通过病案号、姓名等关键信息同纸质病案完全对应的影像进行关联。依托数字化的病案，通过病案号、姓名、身份证号码等病案首页关键信息，实现院内对历史病案的快速查阅、现场打印复印、微信预约复印、科研教学、病案质控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自贡市第四人民医院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四川省自贡市自井区紫薇路1331号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0813-2302090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四川虹采招标代理有限责任公司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四川省自贡市自流井区丹阳街2号川润物联智造产业园一期A5-4-2号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0813-5500607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采购包1：1,600,000.00元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代理服务费收费标准：向成交供应商以现金或者转帐方式定额收取人民币11,880.00（大写：壹万壹仟捌佰捌拾元整）。收款账号： 名称：四川虹采招标代理有限责任公司 开户行：四川银行股份有限公司成都高新支行 账号：7822 0100 0392 67783 （转账时请备注项目名称或项目编号代理服务费）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自贡市第四人民医院</w:t>
      </w:r>
      <w:r>
        <w:rPr>
          <w:rFonts w:ascii="仿宋_GB2312" w:hAnsi="仿宋_GB2312" w:cs="仿宋_GB2312" w:eastAsia="仿宋_GB2312"/>
        </w:rPr>
        <w:t xml:space="preserve"> 和 </w:t>
      </w:r>
      <w:r>
        <w:rPr>
          <w:rFonts w:ascii="仿宋_GB2312" w:hAnsi="仿宋_GB2312" w:cs="仿宋_GB2312" w:eastAsia="仿宋_GB2312"/>
        </w:rPr>
        <w:t>四川虹采招标代理有限责任公司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自贡市第四人民医院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四川虹采招标代理有限责任公司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合同签订并生效后，按照合同起止期限每年平均划分为四个季度分批次进行验收，第一季度接到采购人通知后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合同签订并生效后，按照合同起止期限每年平均划分为四个季度分批次进行验收，第二季度接到采购人通知后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合同签订并生效后，按照合同起止期限每年平均划分为四个季度分批次进行验收,第三季度接到采购人通知后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合同签订并生效后，按照合同起止期限每年平均划分为四个季度分批次进行验收，第四季度接到采购人通知后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符合国家、省、市及所属行业等相关验收合格标准，及采购文件和成交供应商响应文件应答内容、双方合同约定进行验收。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按采购文件、成交供应商响应文件应答内容及双方合同约定进行验收。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①数字化病案图像是否与纸质病案完全一致。 ②数字化病案图像格式和清晰度是否符合要求。 ③数字化病案的文件夹命名是否合乎标准，是否已分段。 ④差错率：依据“中华人民共和国档案行业标准《纸质档案数字化规范》（DA/T31-2017）”12.3之规定，数字化转换质量抽检的合格率应≧95%。 ⑤首页信息的主要数据项（姓名、病案号、出院日期、主要诊断、手术）的差错率不得超过3‰。 ⑥未尽事宜按照合同约定履约验收标准。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严格按照政府采购相关法律法规以及《财政部关于进一步加强政府采购需求和履约验收管理的指导意见》（财库〔2016〕205号）、《自贡市政府采购履约验收管理办法》（自财规〔2023〕2号）文件的要求、采购文件规定的要求和供应商的响应文件及合同约定的内容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自贡市第四人民医院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四川虹采招标代理有限责任公司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四川虹采招标代理有限责任公司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联系人：邓老师</w:t>
      </w:r>
    </w:p>
    <w:p>
      <w:pPr>
        <w:pStyle w:val="null3"/>
        <w:jc w:val="left"/>
      </w:pPr>
      <w:r>
        <w:rPr>
          <w:rFonts w:ascii="仿宋_GB2312" w:hAnsi="仿宋_GB2312" w:cs="仿宋_GB2312" w:eastAsia="仿宋_GB2312"/>
        </w:rPr>
        <w:t>联系电话：0813-2302090</w:t>
      </w:r>
    </w:p>
    <w:p>
      <w:pPr>
        <w:pStyle w:val="null3"/>
        <w:jc w:val="left"/>
      </w:pPr>
      <w:r>
        <w:rPr>
          <w:rFonts w:ascii="仿宋_GB2312" w:hAnsi="仿宋_GB2312" w:cs="仿宋_GB2312" w:eastAsia="仿宋_GB2312"/>
        </w:rPr>
        <w:t>地址：四川省自贡市自井区紫薇路1331号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联系人：余老师</w:t>
      </w:r>
    </w:p>
    <w:p>
      <w:pPr>
        <w:pStyle w:val="null3"/>
        <w:jc w:val="left"/>
      </w:pPr>
      <w:r>
        <w:rPr>
          <w:rFonts w:ascii="仿宋_GB2312" w:hAnsi="仿宋_GB2312" w:cs="仿宋_GB2312" w:eastAsia="仿宋_GB2312"/>
        </w:rPr>
        <w:t>联系电话：0813-5500607</w:t>
      </w:r>
    </w:p>
    <w:p>
      <w:pPr>
        <w:pStyle w:val="null3"/>
        <w:jc w:val="left"/>
      </w:pPr>
      <w:r>
        <w:rPr>
          <w:rFonts w:ascii="仿宋_GB2312" w:hAnsi="仿宋_GB2312" w:cs="仿宋_GB2312" w:eastAsia="仿宋_GB2312"/>
        </w:rPr>
        <w:t>地址：四川省自贡市自流井区丹阳街2号川润物联智造产业园一期A5-4-2号</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1,600,000.00</w:t>
      </w:r>
    </w:p>
    <w:p>
      <w:pPr>
        <w:pStyle w:val="null3"/>
        <w:jc w:val="left"/>
      </w:pPr>
      <w:r>
        <w:rPr>
          <w:rFonts w:ascii="仿宋_GB2312" w:hAnsi="仿宋_GB2312" w:cs="仿宋_GB2312" w:eastAsia="仿宋_GB2312"/>
        </w:rPr>
        <w:t>采购包最高限价（元）: 899,580.00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C16030300 数字内容加工处理服务</w:t>
            </w:r>
          </w:p>
        </w:tc>
        <w:tc>
          <w:tcPr>
            <w:tcW w:type="dxa" w:w="821"/>
          </w:tcPr>
          <w:p>
            <w:pPr>
              <w:pStyle w:val="null3"/>
              <w:jc w:val="left"/>
            </w:pPr>
            <w:r>
              <w:rPr>
                <w:rFonts w:ascii="仿宋_GB2312" w:hAnsi="仿宋_GB2312" w:cs="仿宋_GB2312" w:eastAsia="仿宋_GB2312"/>
              </w:rPr>
              <w:t>病案扫描缩印服务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899,580.00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病案数字化制作</w:t>
            </w:r>
          </w:p>
        </w:tc>
        <w:tc>
          <w:tcPr>
            <w:tcW w:type="dxa" w:w="977"/>
          </w:tcPr>
          <w:p>
            <w:pPr>
              <w:pStyle w:val="null3"/>
              <w:jc w:val="center"/>
            </w:pPr>
            <w:r>
              <w:rPr>
                <w:rFonts w:ascii="仿宋_GB2312" w:hAnsi="仿宋_GB2312" w:cs="仿宋_GB2312" w:eastAsia="仿宋_GB2312"/>
              </w:rPr>
              <w:t>页</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0.08</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采购预算160万元（3年），最高限价89.958万元（3年）。本项目采用报单价，最高单价限价为：病案数字化制作0.078元每页；（注：因系统固化原因，最高限价以此为准。）超过最高限价的报价为无效响应，本项目响应报价是履行合同的最终价格，应包括项目期间产生的人工费、巡检费、调试、交通费、管理费、培训费、保险、利润、税金等全部费用均由成交供应商承担，如有漏项，视同已包含在其响应报价中。采购人不再</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病案微信预约平台维护</w:t>
            </w:r>
          </w:p>
        </w:tc>
        <w:tc>
          <w:tcPr>
            <w:tcW w:type="dxa" w:w="977"/>
          </w:tcPr>
          <w:p>
            <w:pPr>
              <w:pStyle w:val="null3"/>
              <w:jc w:val="center"/>
            </w:pPr>
            <w:r>
              <w:rPr>
                <w:rFonts w:ascii="仿宋_GB2312" w:hAnsi="仿宋_GB2312" w:cs="仿宋_GB2312" w:eastAsia="仿宋_GB2312"/>
              </w:rPr>
              <w:t>年</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40,000.00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采购预算160万元（3年），最高限价89.958万元（3年）。本项目采用报单价，最高单价限价为：病案微信预约平台维护每年4万元。超过最高限价的报价为无效响应，本项目响应报价是履行合同的最终价格，应包括项目期间产生的人工费、巡检费、调试、交通费、管理费、培训费、保险、利润、税金等全部费用均由成交供应商承担，如有漏项视同已包含在其响应报价中。采购人不再支付任何费用。</w:t>
            </w:r>
          </w:p>
        </w:tc>
      </w:tr>
      <w:tr>
        <w:tc>
          <w:tcPr>
            <w:tcW w:type="dxa" w:w="684"/>
          </w:tcPr>
          <w:p>
            <w:pPr>
              <w:pStyle w:val="null3"/>
              <w:jc w:val="center"/>
            </w:pPr>
            <w:r>
              <w:rPr>
                <w:rFonts w:ascii="仿宋_GB2312" w:hAnsi="仿宋_GB2312" w:cs="仿宋_GB2312" w:eastAsia="仿宋_GB2312"/>
              </w:rPr>
              <w:t>3</w:t>
            </w:r>
          </w:p>
        </w:tc>
        <w:tc>
          <w:tcPr>
            <w:tcW w:type="dxa" w:w="1759"/>
          </w:tcPr>
          <w:p>
            <w:pPr>
              <w:pStyle w:val="null3"/>
              <w:jc w:val="center"/>
            </w:pPr>
            <w:r>
              <w:rPr>
                <w:rFonts w:ascii="仿宋_GB2312" w:hAnsi="仿宋_GB2312" w:cs="仿宋_GB2312" w:eastAsia="仿宋_GB2312"/>
              </w:rPr>
              <w:t>病案无纸化归档接口人工服务</w:t>
            </w:r>
          </w:p>
        </w:tc>
        <w:tc>
          <w:tcPr>
            <w:tcW w:type="dxa" w:w="977"/>
          </w:tcPr>
          <w:p>
            <w:pPr>
              <w:pStyle w:val="null3"/>
              <w:jc w:val="center"/>
            </w:pPr>
            <w:r>
              <w:rPr>
                <w:rFonts w:ascii="仿宋_GB2312" w:hAnsi="仿宋_GB2312" w:cs="仿宋_GB2312" w:eastAsia="仿宋_GB2312"/>
              </w:rPr>
              <w:t>年</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140,000.00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采购预算160万元（3年），最高限价89.958万元（3年）。本项目采用报单价，最高单价限价为：病案无纸化归档接口人工服务每年14万元。超过最高限价的报价为无效响应，本项目响应报价是履行合同的最终价格，应包括项目期间产生的人工费、巡检费、调试、交通费、管理费、培训费、保险、利润、税金等全部费用均由成交供应商承担，如有漏项视同已包含在其响应报价中。采购人不再支付任何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标的名称：病案扫描缩印服务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left="75" w:right="30"/>
              <w:jc w:val="left"/>
            </w:pPr>
            <w:r>
              <w:rPr>
                <w:rFonts w:ascii="仿宋_GB2312" w:hAnsi="仿宋_GB2312" w:cs="仿宋_GB2312" w:eastAsia="仿宋_GB2312"/>
                <w:sz w:val="28"/>
                <w:color w:val="000000"/>
                <w:shd w:fill="FFFFFF" w:val="clear"/>
              </w:rPr>
              <w:t>一、技术服务要求</w:t>
            </w:r>
          </w:p>
          <w:p>
            <w:pPr>
              <w:pStyle w:val="null3"/>
              <w:ind w:left="75" w:right="30"/>
              <w:jc w:val="left"/>
            </w:pPr>
            <w:r>
              <w:rPr>
                <w:rFonts w:ascii="仿宋_GB2312" w:hAnsi="仿宋_GB2312" w:cs="仿宋_GB2312" w:eastAsia="仿宋_GB2312"/>
                <w:sz w:val="28"/>
                <w:color w:val="000000"/>
                <w:shd w:fill="FFFFFF" w:val="clear"/>
              </w:rPr>
              <w:t>（一）技术要求</w:t>
            </w:r>
          </w:p>
          <w:p>
            <w:pPr>
              <w:pStyle w:val="null3"/>
              <w:ind w:left="75" w:right="30"/>
              <w:jc w:val="left"/>
            </w:pPr>
            <w:r>
              <w:rPr>
                <w:rFonts w:ascii="仿宋_GB2312" w:hAnsi="仿宋_GB2312" w:cs="仿宋_GB2312" w:eastAsia="仿宋_GB2312"/>
                <w:sz w:val="28"/>
                <w:color w:val="000000"/>
                <w:shd w:fill="FFFFFF" w:val="clear"/>
              </w:rPr>
              <w:t>1．权限管理模块</w:t>
            </w:r>
          </w:p>
          <w:p>
            <w:pPr>
              <w:pStyle w:val="null3"/>
              <w:ind w:left="75" w:right="30"/>
              <w:jc w:val="left"/>
            </w:pPr>
            <w:r>
              <w:rPr>
                <w:rFonts w:ascii="仿宋_GB2312" w:hAnsi="仿宋_GB2312" w:cs="仿宋_GB2312" w:eastAsia="仿宋_GB2312"/>
                <w:sz w:val="28"/>
                <w:color w:val="000000"/>
                <w:shd w:fill="FFFFFF" w:val="clear"/>
              </w:rPr>
              <w:t>1.1 用户管理：管理内部及外部用户的信息，可以对系统登录用户的信息进行查询/添加/修改/删除。</w:t>
            </w:r>
          </w:p>
          <w:p>
            <w:pPr>
              <w:pStyle w:val="null3"/>
              <w:ind w:left="75" w:right="30"/>
              <w:jc w:val="left"/>
            </w:pPr>
            <w:r>
              <w:rPr>
                <w:rFonts w:ascii="仿宋_GB2312" w:hAnsi="仿宋_GB2312" w:cs="仿宋_GB2312" w:eastAsia="仿宋_GB2312"/>
                <w:sz w:val="28"/>
                <w:color w:val="000000"/>
                <w:shd w:fill="FFFFFF" w:val="clear"/>
              </w:rPr>
              <w:t>1.2 用户组管理：查询/添加/修改/删除用户组，并可设置人员所属的用户组。</w:t>
            </w:r>
          </w:p>
          <w:p>
            <w:pPr>
              <w:pStyle w:val="null3"/>
              <w:ind w:left="75" w:right="30"/>
              <w:jc w:val="left"/>
            </w:pPr>
            <w:r>
              <w:rPr>
                <w:rFonts w:ascii="仿宋_GB2312" w:hAnsi="仿宋_GB2312" w:cs="仿宋_GB2312" w:eastAsia="仿宋_GB2312"/>
                <w:sz w:val="28"/>
                <w:color w:val="000000"/>
                <w:shd w:fill="FFFFFF" w:val="clear"/>
              </w:rPr>
              <w:t>1.3 用户组权限：设置用户组所拥有的系统功能的权限。</w:t>
            </w:r>
          </w:p>
          <w:p>
            <w:pPr>
              <w:pStyle w:val="null3"/>
              <w:ind w:left="75" w:right="30"/>
              <w:jc w:val="left"/>
            </w:pPr>
            <w:r>
              <w:rPr>
                <w:rFonts w:ascii="仿宋_GB2312" w:hAnsi="仿宋_GB2312" w:cs="仿宋_GB2312" w:eastAsia="仿宋_GB2312"/>
                <w:sz w:val="28"/>
                <w:color w:val="000000"/>
                <w:shd w:fill="FFFFFF" w:val="clear"/>
              </w:rPr>
              <w:t>1.4 科室管理：查询/添加/修改/删除科室信息，并可维护科室下包含的人员。</w:t>
            </w:r>
          </w:p>
          <w:p>
            <w:pPr>
              <w:pStyle w:val="null3"/>
              <w:ind w:left="75" w:right="30"/>
              <w:jc w:val="left"/>
            </w:pPr>
            <w:r>
              <w:rPr>
                <w:rFonts w:ascii="仿宋_GB2312" w:hAnsi="仿宋_GB2312" w:cs="仿宋_GB2312" w:eastAsia="仿宋_GB2312"/>
                <w:sz w:val="28"/>
                <w:color w:val="000000"/>
                <w:shd w:fill="FFFFFF" w:val="clear"/>
              </w:rPr>
              <w:t>▲1.5 病案权限配置：配置病案浏览的权限（按用户及按用户组），可以按照用户的方式一个个地进行病案权限的配置，也可以按照用户组的方式进行整体分配（如直接将某个科室的病案分配给用户组），同时也可以设置病案图片医学分类的权限，可以分别设置病案的阅读，打印及导出的权限。(供应商需提供系统截图并加盖供应商公章（鲜章））</w:t>
            </w:r>
          </w:p>
          <w:p>
            <w:pPr>
              <w:pStyle w:val="null3"/>
              <w:ind w:left="75" w:right="30"/>
              <w:jc w:val="left"/>
            </w:pPr>
            <w:r>
              <w:rPr>
                <w:rFonts w:ascii="仿宋_GB2312" w:hAnsi="仿宋_GB2312" w:cs="仿宋_GB2312" w:eastAsia="仿宋_GB2312"/>
                <w:sz w:val="28"/>
                <w:color w:val="000000"/>
                <w:shd w:fill="FFFFFF" w:val="clear"/>
              </w:rPr>
              <w:t>1.6 医学分类模板：设置病案图片的医学分类权限模板，在为病案分配权限时可以直接引用该模板，无需重复设置。</w:t>
            </w:r>
          </w:p>
          <w:p>
            <w:pPr>
              <w:pStyle w:val="null3"/>
              <w:ind w:left="75" w:right="30"/>
              <w:jc w:val="left"/>
            </w:pPr>
            <w:r>
              <w:rPr>
                <w:rFonts w:ascii="仿宋_GB2312" w:hAnsi="仿宋_GB2312" w:cs="仿宋_GB2312" w:eastAsia="仿宋_GB2312"/>
                <w:sz w:val="28"/>
                <w:color w:val="000000"/>
                <w:shd w:fill="FFFFFF" w:val="clear"/>
              </w:rPr>
              <w:t>1.7 访问权限控制：可以设置禁止访问的机器的IP，被禁止访问的IP对应的机器就无法使用本系统。</w:t>
            </w:r>
          </w:p>
          <w:p>
            <w:pPr>
              <w:pStyle w:val="null3"/>
              <w:ind w:left="75" w:right="30"/>
              <w:jc w:val="left"/>
            </w:pPr>
            <w:r>
              <w:rPr>
                <w:rFonts w:ascii="仿宋_GB2312" w:hAnsi="仿宋_GB2312" w:cs="仿宋_GB2312" w:eastAsia="仿宋_GB2312"/>
                <w:sz w:val="28"/>
                <w:color w:val="000000"/>
                <w:shd w:fill="FFFFFF" w:val="clear"/>
              </w:rPr>
              <w:t>1.8 显示字段控制：可以设置在浏览器中浏览病案时列表中所显示的字段。可以在用户级别和用户组级别上进行显示权限的控制。</w:t>
            </w:r>
          </w:p>
          <w:p>
            <w:pPr>
              <w:pStyle w:val="null3"/>
              <w:ind w:left="75" w:right="30"/>
              <w:jc w:val="left"/>
            </w:pPr>
            <w:r>
              <w:rPr>
                <w:rFonts w:ascii="仿宋_GB2312" w:hAnsi="仿宋_GB2312" w:cs="仿宋_GB2312" w:eastAsia="仿宋_GB2312"/>
                <w:sz w:val="28"/>
                <w:color w:val="000000"/>
                <w:shd w:fill="FFFFFF" w:val="clear"/>
              </w:rPr>
              <w:t>1.9 水印设置：可以制作在打印时叠加上去的水印，并且在打印病案的时候可以将其叠加到病案图片上。</w:t>
            </w:r>
          </w:p>
          <w:p>
            <w:pPr>
              <w:pStyle w:val="null3"/>
              <w:ind w:left="75" w:right="30"/>
              <w:jc w:val="left"/>
            </w:pPr>
            <w:r>
              <w:rPr>
                <w:rFonts w:ascii="仿宋_GB2312" w:hAnsi="仿宋_GB2312" w:cs="仿宋_GB2312" w:eastAsia="仿宋_GB2312"/>
                <w:sz w:val="28"/>
                <w:color w:val="000000"/>
                <w:shd w:fill="FFFFFF" w:val="clear"/>
              </w:rPr>
              <w:t>1.10 病案锁定：可以将一些特殊的病案进行锁定，被锁定的病案将无法在浏览器中被查询到。</w:t>
            </w:r>
          </w:p>
          <w:p>
            <w:pPr>
              <w:pStyle w:val="null3"/>
              <w:ind w:left="75" w:right="30"/>
              <w:jc w:val="left"/>
            </w:pPr>
            <w:r>
              <w:rPr>
                <w:rFonts w:ascii="仿宋_GB2312" w:hAnsi="仿宋_GB2312" w:cs="仿宋_GB2312" w:eastAsia="仿宋_GB2312"/>
                <w:sz w:val="28"/>
                <w:color w:val="000000"/>
                <w:shd w:fill="FFFFFF" w:val="clear"/>
              </w:rPr>
              <w:t>1.11 病案申请审批：对浏览器中提交过来的病案阅读申请进行审批，为申请的病案设定阅读的时限等。</w:t>
            </w:r>
          </w:p>
          <w:p>
            <w:pPr>
              <w:pStyle w:val="null3"/>
              <w:ind w:left="75" w:right="30"/>
              <w:jc w:val="left"/>
            </w:pPr>
            <w:r>
              <w:rPr>
                <w:rFonts w:ascii="仿宋_GB2312" w:hAnsi="仿宋_GB2312" w:cs="仿宋_GB2312" w:eastAsia="仿宋_GB2312"/>
                <w:sz w:val="28"/>
                <w:color w:val="000000"/>
                <w:shd w:fill="FFFFFF" w:val="clear"/>
              </w:rPr>
              <w:t>1.12 监控中心：查看各个系统的用户的使用的情况，至少包括：用户是否在线，用户有申请需要审批，用户的浏览病案的历史情况，用户权限。</w:t>
            </w:r>
          </w:p>
          <w:p>
            <w:pPr>
              <w:pStyle w:val="null3"/>
              <w:ind w:left="75" w:right="30"/>
              <w:jc w:val="left"/>
            </w:pPr>
            <w:r>
              <w:rPr>
                <w:rFonts w:ascii="仿宋_GB2312" w:hAnsi="仿宋_GB2312" w:cs="仿宋_GB2312" w:eastAsia="仿宋_GB2312"/>
                <w:sz w:val="28"/>
                <w:color w:val="000000"/>
                <w:shd w:fill="FFFFFF" w:val="clear"/>
              </w:rPr>
              <w:t>1.13 病案错误报告：处理病案浏览器上用户反馈上来的病案错误（如：图片缺页/分类错误）。</w:t>
            </w:r>
          </w:p>
          <w:p>
            <w:pPr>
              <w:pStyle w:val="null3"/>
              <w:ind w:left="75" w:right="30"/>
              <w:jc w:val="left"/>
            </w:pPr>
            <w:r>
              <w:rPr>
                <w:rFonts w:ascii="仿宋_GB2312" w:hAnsi="仿宋_GB2312" w:cs="仿宋_GB2312" w:eastAsia="仿宋_GB2312"/>
                <w:sz w:val="28"/>
                <w:color w:val="000000"/>
                <w:shd w:fill="FFFFFF" w:val="clear"/>
              </w:rPr>
              <w:t>1.14 病案定位：查询病案在库房中的位置，可按病人姓名，病案号，出院日期，条码号，打包号，库房号或库位名查询，并生成统计报表。</w:t>
            </w:r>
          </w:p>
          <w:p>
            <w:pPr>
              <w:pStyle w:val="null3"/>
              <w:ind w:left="75" w:right="30"/>
              <w:jc w:val="left"/>
            </w:pPr>
            <w:r>
              <w:rPr>
                <w:rFonts w:ascii="仿宋_GB2312" w:hAnsi="仿宋_GB2312" w:cs="仿宋_GB2312" w:eastAsia="仿宋_GB2312"/>
                <w:sz w:val="28"/>
                <w:color w:val="000000"/>
                <w:shd w:fill="FFFFFF" w:val="clear"/>
              </w:rPr>
              <w:t>▲1.15 病案导出：可以将选择好病案进行打包压缩导出，配合相应的浏览工具可在离线的环境下浏览，并设置访问密码和时限。(供应商需提供系统截图并加盖供应商公章（鲜章））</w:t>
            </w:r>
          </w:p>
          <w:p>
            <w:pPr>
              <w:pStyle w:val="null3"/>
              <w:ind w:left="75" w:right="30"/>
              <w:jc w:val="left"/>
            </w:pPr>
            <w:r>
              <w:rPr>
                <w:rFonts w:ascii="仿宋_GB2312" w:hAnsi="仿宋_GB2312" w:cs="仿宋_GB2312" w:eastAsia="仿宋_GB2312"/>
                <w:sz w:val="28"/>
                <w:color w:val="000000"/>
                <w:shd w:fill="FFFFFF" w:val="clear"/>
              </w:rPr>
              <w:t>1.16病案浏览统计：可查询用户、科室在某一时间段内数字化病案使用情况，并生成统计报表。</w:t>
            </w:r>
          </w:p>
          <w:p>
            <w:pPr>
              <w:pStyle w:val="null3"/>
              <w:ind w:left="75" w:right="30"/>
              <w:jc w:val="left"/>
            </w:pPr>
            <w:r>
              <w:rPr>
                <w:rFonts w:ascii="仿宋_GB2312" w:hAnsi="仿宋_GB2312" w:cs="仿宋_GB2312" w:eastAsia="仿宋_GB2312"/>
                <w:sz w:val="28"/>
                <w:color w:val="000000"/>
                <w:shd w:fill="FFFFFF" w:val="clear"/>
              </w:rPr>
              <w:t>（二）检索模块</w:t>
            </w:r>
          </w:p>
          <w:p>
            <w:pPr>
              <w:pStyle w:val="null3"/>
              <w:ind w:left="75" w:right="30"/>
              <w:jc w:val="left"/>
            </w:pPr>
            <w:r>
              <w:rPr>
                <w:rFonts w:ascii="仿宋_GB2312" w:hAnsi="仿宋_GB2312" w:cs="仿宋_GB2312" w:eastAsia="仿宋_GB2312"/>
                <w:sz w:val="28"/>
                <w:color w:val="000000"/>
                <w:shd w:fill="FFFFFF" w:val="clear"/>
              </w:rPr>
              <w:t>▲2.1 关键词搜索：一个类似EDGE浏览器（版本号按最新标准）的简洁搜索界面和方式。可以选择搜索分类（病案号、疾病、手术、科室、病人姓名、医师和身份证号码），多关键词搜索（可以填写多个搜索关键词及指定关键词之间的关系），精确与模糊的搜索方式。(供应商需提供系统截图并加盖供应商公章（鲜章））</w:t>
            </w:r>
          </w:p>
          <w:p>
            <w:pPr>
              <w:pStyle w:val="null3"/>
              <w:ind w:left="75" w:right="30"/>
              <w:jc w:val="left"/>
            </w:pPr>
            <w:r>
              <w:rPr>
                <w:rFonts w:ascii="仿宋_GB2312" w:hAnsi="仿宋_GB2312" w:cs="仿宋_GB2312" w:eastAsia="仿宋_GB2312"/>
                <w:sz w:val="28"/>
                <w:color w:val="000000"/>
                <w:shd w:fill="FFFFFF" w:val="clear"/>
              </w:rPr>
              <w:t>2.2 高级搜索：可以按照列出的各种查询条件对病案进行查询，这种检索方式常用于检索条件比较多的情况下。</w:t>
            </w:r>
          </w:p>
          <w:p>
            <w:pPr>
              <w:pStyle w:val="null3"/>
              <w:ind w:left="75" w:right="30"/>
              <w:jc w:val="left"/>
            </w:pPr>
            <w:r>
              <w:rPr>
                <w:rFonts w:ascii="仿宋_GB2312" w:hAnsi="仿宋_GB2312" w:cs="仿宋_GB2312" w:eastAsia="仿宋_GB2312"/>
                <w:sz w:val="28"/>
                <w:color w:val="000000"/>
                <w:shd w:fill="FFFFFF" w:val="clear"/>
              </w:rPr>
              <w:t>2.3 自定义搜索：可以自定义组织查询条件的组合进行搜索。这种检索方式常用于需检索的条件比较复杂的情况下。</w:t>
            </w:r>
          </w:p>
          <w:p>
            <w:pPr>
              <w:pStyle w:val="null3"/>
              <w:ind w:left="75" w:right="30"/>
              <w:jc w:val="left"/>
            </w:pPr>
            <w:r>
              <w:rPr>
                <w:rFonts w:ascii="仿宋_GB2312" w:hAnsi="仿宋_GB2312" w:cs="仿宋_GB2312" w:eastAsia="仿宋_GB2312"/>
                <w:sz w:val="28"/>
                <w:color w:val="000000"/>
                <w:shd w:fill="FFFFFF" w:val="clear"/>
              </w:rPr>
              <w:t>▲2.4 经典搜索：传统的检索方式，左边是检索条件右边是检索结果。在检索时还可设定病案图片的医学分类，以便在查看病案图片时过滤掉无需查看的图片。(供应商需提供系统截图并加盖供应商公章（鲜章））</w:t>
            </w:r>
          </w:p>
          <w:p>
            <w:pPr>
              <w:pStyle w:val="null3"/>
              <w:ind w:left="75" w:right="30"/>
              <w:jc w:val="left"/>
            </w:pPr>
            <w:r>
              <w:rPr>
                <w:rFonts w:ascii="仿宋_GB2312" w:hAnsi="仿宋_GB2312" w:cs="仿宋_GB2312" w:eastAsia="仿宋_GB2312"/>
                <w:sz w:val="28"/>
                <w:color w:val="000000"/>
                <w:shd w:fill="FFFFFF" w:val="clear"/>
              </w:rPr>
              <w:t>2.5 病案搜索结果：拥有两种显示结果的模式：列表方式与自由布局方式。列表方式为最常见的一行一行的显示，自由布局方式为卡片时效果，一份病案即一张卡片，显示效果清晰。</w:t>
            </w:r>
          </w:p>
          <w:p>
            <w:pPr>
              <w:pStyle w:val="null3"/>
              <w:ind w:left="75" w:right="30"/>
              <w:jc w:val="left"/>
            </w:pPr>
            <w:r>
              <w:rPr>
                <w:rFonts w:ascii="仿宋_GB2312" w:hAnsi="仿宋_GB2312" w:cs="仿宋_GB2312" w:eastAsia="仿宋_GB2312"/>
                <w:sz w:val="28"/>
                <w:color w:val="000000"/>
                <w:shd w:fill="FFFFFF" w:val="clear"/>
              </w:rPr>
              <w:t>▲2.6 病案图片浏览：对病案图片的浏览进行了严格的权限控制（阅读、打印、导出）。可以设置需要过滤的图片分类（例如只显示病案首页或病程录），查看病案图片的同时可利用提供的‘浏览工具箱’对图片进行一系列的处理（如放大、缩小、全屏、黑白彩色切换、裁剪、打印）。浏览期间可对感兴趣的病案收藏到收藏夹并且可以填写笔记。显示病案图片时可以设置阅读水印，用于病案的保护。(供应商需提供系统截图并加盖供应商公章（鲜章））</w:t>
            </w:r>
          </w:p>
          <w:p>
            <w:pPr>
              <w:pStyle w:val="null3"/>
              <w:ind w:left="75" w:right="30"/>
              <w:jc w:val="left"/>
            </w:pPr>
            <w:r>
              <w:rPr>
                <w:rFonts w:ascii="仿宋_GB2312" w:hAnsi="仿宋_GB2312" w:cs="仿宋_GB2312" w:eastAsia="仿宋_GB2312"/>
                <w:sz w:val="28"/>
                <w:color w:val="000000"/>
                <w:shd w:fill="FFFFFF" w:val="clear"/>
              </w:rPr>
              <w:t>2.7 病案收藏夹：用于显示及搜索在浏览病案时收藏的病案并且可以显示当时记录的病案笔记，类似EDGE浏览器（版本号按最新标准）的网页收藏夹。</w:t>
            </w:r>
          </w:p>
          <w:p>
            <w:pPr>
              <w:pStyle w:val="null3"/>
              <w:ind w:left="75" w:right="30"/>
              <w:jc w:val="left"/>
            </w:pPr>
            <w:r>
              <w:rPr>
                <w:rFonts w:ascii="仿宋_GB2312" w:hAnsi="仿宋_GB2312" w:cs="仿宋_GB2312" w:eastAsia="仿宋_GB2312"/>
                <w:sz w:val="28"/>
                <w:color w:val="000000"/>
                <w:shd w:fill="FFFFFF" w:val="clear"/>
              </w:rPr>
              <w:t>2.8 申请查看：可以浏览并查询用户曾经申请过的需要查阅的病案的记录，及时了解审批情况。</w:t>
            </w:r>
          </w:p>
          <w:p>
            <w:pPr>
              <w:pStyle w:val="null3"/>
              <w:ind w:left="75" w:right="30"/>
              <w:jc w:val="left"/>
            </w:pPr>
            <w:r>
              <w:rPr>
                <w:rFonts w:ascii="仿宋_GB2312" w:hAnsi="仿宋_GB2312" w:cs="仿宋_GB2312" w:eastAsia="仿宋_GB2312"/>
                <w:sz w:val="28"/>
                <w:color w:val="000000"/>
                <w:shd w:fill="FFFFFF" w:val="clear"/>
              </w:rPr>
              <w:t>2.9 浏览历史：查询用户曾经浏览过的病案记录，类似EDGE浏览器（版本号按最新标准）的历史记录，可以方便用户查看以往浏览过的病案，而无须再一次搜索。</w:t>
            </w:r>
          </w:p>
          <w:p>
            <w:pPr>
              <w:pStyle w:val="null3"/>
              <w:ind w:left="75" w:right="30"/>
              <w:jc w:val="left"/>
            </w:pPr>
            <w:r>
              <w:rPr>
                <w:rFonts w:ascii="仿宋_GB2312" w:hAnsi="仿宋_GB2312" w:cs="仿宋_GB2312" w:eastAsia="仿宋_GB2312"/>
                <w:sz w:val="28"/>
                <w:color w:val="000000"/>
                <w:shd w:fill="FFFFFF" w:val="clear"/>
              </w:rPr>
              <w:t>▲2.10 个性化设置：可以按照用户个人的喜好设置一些系统设置，如：首页显示（进入系统后显示的第一个界面），浏览结果的显示方式（检索结果每页显示的条数/检索结果排列的方式），医学分类的设置（用于在浏览图片时预先过滤无需查看的病案），病案图片打印的设置（纸张/水印）。(供应商需提供系统截图并加盖供应商公章（鲜章））</w:t>
            </w:r>
          </w:p>
          <w:p>
            <w:pPr>
              <w:pStyle w:val="null3"/>
              <w:ind w:left="75" w:right="30"/>
              <w:jc w:val="left"/>
            </w:pPr>
            <w:r>
              <w:rPr>
                <w:rFonts w:ascii="仿宋_GB2312" w:hAnsi="仿宋_GB2312" w:cs="仿宋_GB2312" w:eastAsia="仿宋_GB2312"/>
                <w:sz w:val="28"/>
                <w:color w:val="000000"/>
                <w:shd w:fill="FFFFFF" w:val="clear"/>
              </w:rPr>
              <w:t>（三）打印模块</w:t>
            </w:r>
          </w:p>
          <w:p>
            <w:pPr>
              <w:pStyle w:val="null3"/>
              <w:ind w:left="75" w:right="30"/>
              <w:jc w:val="left"/>
            </w:pPr>
            <w:r>
              <w:rPr>
                <w:rFonts w:ascii="仿宋_GB2312" w:hAnsi="仿宋_GB2312" w:cs="仿宋_GB2312" w:eastAsia="仿宋_GB2312"/>
                <w:sz w:val="28"/>
                <w:color w:val="000000"/>
                <w:shd w:fill="FFFFFF" w:val="clear"/>
              </w:rPr>
              <w:t>▲3.1 打印申请：维护申请打印人员的信息及申请分类（打印或复印），可拍摄证件并归档保存，查询并选择需打印的病案（或者未缩微的病案），同时统计所需费用（未缩微的病案仅输入费用金额），并可自己调整实际收费。(供应商需提供系统截图并加盖供应商公章（鲜章））</w:t>
            </w:r>
          </w:p>
          <w:p>
            <w:pPr>
              <w:pStyle w:val="null3"/>
              <w:ind w:left="75" w:right="30"/>
              <w:jc w:val="left"/>
            </w:pPr>
            <w:r>
              <w:rPr>
                <w:rFonts w:ascii="仿宋_GB2312" w:hAnsi="仿宋_GB2312" w:cs="仿宋_GB2312" w:eastAsia="仿宋_GB2312"/>
                <w:sz w:val="28"/>
                <w:color w:val="000000"/>
                <w:shd w:fill="FFFFFF" w:val="clear"/>
              </w:rPr>
              <w:t>3.2 快速打印：仅登记简单的打印申请信息，选择病案直接打印。</w:t>
            </w:r>
          </w:p>
          <w:p>
            <w:pPr>
              <w:pStyle w:val="null3"/>
              <w:ind w:left="75" w:right="30"/>
              <w:jc w:val="left"/>
            </w:pPr>
            <w:r>
              <w:rPr>
                <w:rFonts w:ascii="仿宋_GB2312" w:hAnsi="仿宋_GB2312" w:cs="仿宋_GB2312" w:eastAsia="仿宋_GB2312"/>
                <w:sz w:val="28"/>
                <w:color w:val="000000"/>
                <w:shd w:fill="FFFFFF" w:val="clear"/>
              </w:rPr>
              <w:t>3.3 集中打印：未打印过的病案可以统一处理，按照申请人的记录完成打印任务。</w:t>
            </w:r>
          </w:p>
          <w:p>
            <w:pPr>
              <w:pStyle w:val="null3"/>
              <w:ind w:left="75" w:right="30"/>
              <w:jc w:val="left"/>
            </w:pPr>
            <w:r>
              <w:rPr>
                <w:rFonts w:ascii="仿宋_GB2312" w:hAnsi="仿宋_GB2312" w:cs="仿宋_GB2312" w:eastAsia="仿宋_GB2312"/>
                <w:sz w:val="28"/>
                <w:color w:val="000000"/>
                <w:shd w:fill="FFFFFF" w:val="clear"/>
              </w:rPr>
              <w:t>3.4 集中复印：对未复印的病案进行集中统一处理。</w:t>
            </w:r>
          </w:p>
          <w:p>
            <w:pPr>
              <w:pStyle w:val="null3"/>
              <w:ind w:left="75" w:right="30"/>
              <w:jc w:val="left"/>
            </w:pPr>
            <w:r>
              <w:rPr>
                <w:rFonts w:ascii="仿宋_GB2312" w:hAnsi="仿宋_GB2312" w:cs="仿宋_GB2312" w:eastAsia="仿宋_GB2312"/>
                <w:sz w:val="28"/>
                <w:color w:val="000000"/>
                <w:shd w:fill="FFFFFF" w:val="clear"/>
              </w:rPr>
              <w:t>3.5 申请查询：查询申请过打印或复印的申请人信息，并可查看申请人相应的申请信息，证件照，打印的病案记录，费用。</w:t>
            </w:r>
          </w:p>
          <w:p>
            <w:pPr>
              <w:pStyle w:val="null3"/>
              <w:ind w:left="75" w:right="30"/>
              <w:jc w:val="left"/>
            </w:pPr>
            <w:r>
              <w:rPr>
                <w:rFonts w:ascii="仿宋_GB2312" w:hAnsi="仿宋_GB2312" w:cs="仿宋_GB2312" w:eastAsia="仿宋_GB2312"/>
                <w:sz w:val="28"/>
                <w:color w:val="000000"/>
                <w:shd w:fill="FFFFFF" w:val="clear"/>
              </w:rPr>
              <w:t>3.6 打印参数：设置默认的打印参数（纸张大小/图片色彩/打印份数/打印分类及顺序/收费模式）</w:t>
            </w:r>
          </w:p>
          <w:p>
            <w:pPr>
              <w:pStyle w:val="null3"/>
              <w:ind w:left="75" w:right="30"/>
              <w:jc w:val="left"/>
            </w:pPr>
            <w:r>
              <w:rPr>
                <w:rFonts w:ascii="仿宋_GB2312" w:hAnsi="仿宋_GB2312" w:cs="仿宋_GB2312" w:eastAsia="仿宋_GB2312"/>
                <w:sz w:val="28"/>
                <w:color w:val="000000"/>
                <w:shd w:fill="FFFFFF" w:val="clear"/>
              </w:rPr>
              <w:t>3.7 打印明细：按时间段及申请人统计申请人打印的病案的明细记录。</w:t>
            </w:r>
          </w:p>
          <w:p>
            <w:pPr>
              <w:pStyle w:val="null3"/>
              <w:ind w:left="75" w:right="30"/>
              <w:jc w:val="left"/>
            </w:pPr>
            <w:r>
              <w:rPr>
                <w:rFonts w:ascii="仿宋_GB2312" w:hAnsi="仿宋_GB2312" w:cs="仿宋_GB2312" w:eastAsia="仿宋_GB2312"/>
                <w:sz w:val="28"/>
                <w:color w:val="000000"/>
                <w:shd w:fill="FFFFFF" w:val="clear"/>
              </w:rPr>
              <w:t>3.8 复印明细：按时段及申请人统计申请人复印的病案的明细记录。</w:t>
            </w:r>
          </w:p>
          <w:p>
            <w:pPr>
              <w:pStyle w:val="null3"/>
              <w:ind w:left="75" w:right="30"/>
              <w:jc w:val="left"/>
            </w:pPr>
            <w:r>
              <w:rPr>
                <w:rFonts w:ascii="仿宋_GB2312" w:hAnsi="仿宋_GB2312" w:cs="仿宋_GB2312" w:eastAsia="仿宋_GB2312"/>
                <w:sz w:val="28"/>
                <w:color w:val="000000"/>
                <w:shd w:fill="FFFFFF" w:val="clear"/>
              </w:rPr>
              <w:t>▲3.9 微信预约打印：基于医院微信公众号，提供病案复印功能模块，提供病案查询、复印申请、缴费、快递和电子发票功能。患者本人根据医院微信登记信息，适配所有住院病案，提供商业保险、医保报销等分类，按照医院收费标准，自动计算费用。提供具有公文快递服务业务的快递数据接口，方便患者本人查询快递进度。对接医院电子发票端口，及时开具电子发票。(供应商需提供承诺函并加盖供应商公章（鲜章））</w:t>
            </w:r>
          </w:p>
          <w:p>
            <w:pPr>
              <w:pStyle w:val="null3"/>
              <w:ind w:left="75" w:right="30"/>
              <w:jc w:val="left"/>
            </w:pPr>
            <w:r>
              <w:rPr>
                <w:rFonts w:ascii="仿宋_GB2312" w:hAnsi="仿宋_GB2312" w:cs="仿宋_GB2312" w:eastAsia="仿宋_GB2312"/>
                <w:sz w:val="28"/>
                <w:color w:val="000000"/>
                <w:shd w:fill="FFFFFF" w:val="clear"/>
              </w:rPr>
              <w:t>▲3.10 现场自助打印：提供一台病案专用自助打印设备，并对现有1台病案自助打印设备进行升级改造或替换。基于该自助设备，实现患者本人自主打印、缴费、签章功能。(供应商需提供系统截图并加盖供应商公章（鲜章））</w:t>
            </w:r>
          </w:p>
          <w:p>
            <w:pPr>
              <w:pStyle w:val="null3"/>
              <w:ind w:left="75" w:right="30"/>
              <w:jc w:val="left"/>
            </w:pPr>
            <w:r>
              <w:rPr>
                <w:rFonts w:ascii="仿宋_GB2312" w:hAnsi="仿宋_GB2312" w:cs="仿宋_GB2312" w:eastAsia="仿宋_GB2312"/>
                <w:sz w:val="28"/>
                <w:color w:val="000000"/>
                <w:shd w:fill="FFFFFF" w:val="clear"/>
              </w:rPr>
              <w:t>（四）科研模块</w:t>
            </w:r>
          </w:p>
          <w:p>
            <w:pPr>
              <w:pStyle w:val="null3"/>
              <w:ind w:left="75" w:right="30"/>
              <w:jc w:val="left"/>
            </w:pPr>
            <w:r>
              <w:rPr>
                <w:rFonts w:ascii="仿宋_GB2312" w:hAnsi="仿宋_GB2312" w:cs="仿宋_GB2312" w:eastAsia="仿宋_GB2312"/>
                <w:sz w:val="28"/>
                <w:color w:val="000000"/>
                <w:shd w:fill="FFFFFF" w:val="clear"/>
              </w:rPr>
              <w:t>4.1 科研项目管理：维护科研项目的基本信息，如课题编号、课题名称、课题说明以及费用等。</w:t>
            </w:r>
          </w:p>
          <w:p>
            <w:pPr>
              <w:pStyle w:val="null3"/>
              <w:ind w:left="75" w:right="30"/>
              <w:jc w:val="left"/>
            </w:pPr>
            <w:r>
              <w:rPr>
                <w:rFonts w:ascii="仿宋_GB2312" w:hAnsi="仿宋_GB2312" w:cs="仿宋_GB2312" w:eastAsia="仿宋_GB2312"/>
                <w:sz w:val="28"/>
                <w:color w:val="000000"/>
                <w:shd w:fill="FFFFFF" w:val="clear"/>
              </w:rPr>
              <w:t>4.2 科研模板：根据不同需要，用户可自行设计并制作科研模板，生成科研记录表，查阅每份病案所对应的记录表，以供病案科研使用。</w:t>
            </w:r>
          </w:p>
          <w:p>
            <w:pPr>
              <w:pStyle w:val="null3"/>
              <w:ind w:left="75" w:right="30"/>
              <w:jc w:val="left"/>
            </w:pPr>
            <w:r>
              <w:rPr>
                <w:rFonts w:ascii="仿宋_GB2312" w:hAnsi="仿宋_GB2312" w:cs="仿宋_GB2312" w:eastAsia="仿宋_GB2312"/>
                <w:sz w:val="28"/>
                <w:color w:val="000000"/>
                <w:shd w:fill="FFFFFF" w:val="clear"/>
              </w:rPr>
              <w:t>4.3 病案科研：浏览当前项目中研究库内的所有病案，并在科研记录表中填写相关数据。</w:t>
            </w:r>
          </w:p>
          <w:p>
            <w:pPr>
              <w:pStyle w:val="null3"/>
              <w:ind w:left="75" w:right="30"/>
              <w:jc w:val="left"/>
            </w:pPr>
            <w:r>
              <w:rPr>
                <w:rFonts w:ascii="仿宋_GB2312" w:hAnsi="仿宋_GB2312" w:cs="仿宋_GB2312" w:eastAsia="仿宋_GB2312"/>
                <w:sz w:val="28"/>
                <w:color w:val="000000"/>
                <w:shd w:fill="FFFFFF" w:val="clear"/>
              </w:rPr>
              <w:t>4.4 科研研究库：根据条件，查询出所需研究的病案，加入研究库，以供病案科研使用。</w:t>
            </w:r>
          </w:p>
          <w:p>
            <w:pPr>
              <w:pStyle w:val="null3"/>
              <w:ind w:left="75" w:right="30"/>
              <w:jc w:val="left"/>
            </w:pPr>
            <w:r>
              <w:rPr>
                <w:rFonts w:ascii="仿宋_GB2312" w:hAnsi="仿宋_GB2312" w:cs="仿宋_GB2312" w:eastAsia="仿宋_GB2312"/>
                <w:sz w:val="28"/>
                <w:color w:val="000000"/>
                <w:shd w:fill="FFFFFF" w:val="clear"/>
              </w:rPr>
              <w:t>4.5 数据导出：导出当前科研项目中各项记录的数据，生成xlsx格式的文档用于导入SPSS等软件进行建模。</w:t>
            </w:r>
          </w:p>
          <w:p>
            <w:pPr>
              <w:pStyle w:val="null3"/>
              <w:ind w:left="75" w:right="30"/>
              <w:jc w:val="left"/>
            </w:pPr>
            <w:r>
              <w:rPr>
                <w:rFonts w:ascii="仿宋_GB2312" w:hAnsi="仿宋_GB2312" w:cs="仿宋_GB2312" w:eastAsia="仿宋_GB2312"/>
                <w:sz w:val="28"/>
                <w:color w:val="000000"/>
                <w:shd w:fill="FFFFFF" w:val="clear"/>
              </w:rPr>
              <w:t>（五）无纸化病案系统数据归档平台</w:t>
            </w:r>
          </w:p>
          <w:p>
            <w:pPr>
              <w:pStyle w:val="null3"/>
              <w:ind w:left="75" w:right="30"/>
              <w:jc w:val="left"/>
            </w:pPr>
            <w:r>
              <w:rPr>
                <w:rFonts w:ascii="仿宋_GB2312" w:hAnsi="仿宋_GB2312" w:cs="仿宋_GB2312" w:eastAsia="仿宋_GB2312"/>
                <w:sz w:val="28"/>
                <w:color w:val="000000"/>
                <w:shd w:fill="FFFFFF" w:val="clear"/>
              </w:rPr>
              <w:t>5.1 提供的病案数字化管理软件及系统，能承接无纸化归档病案。</w:t>
            </w:r>
          </w:p>
          <w:p>
            <w:pPr>
              <w:pStyle w:val="null3"/>
              <w:ind w:left="75" w:right="30"/>
              <w:jc w:val="left"/>
            </w:pPr>
            <w:r>
              <w:rPr>
                <w:rFonts w:ascii="仿宋_GB2312" w:hAnsi="仿宋_GB2312" w:cs="仿宋_GB2312" w:eastAsia="仿宋_GB2312"/>
                <w:sz w:val="28"/>
                <w:color w:val="000000"/>
                <w:shd w:fill="FFFFFF" w:val="clear"/>
              </w:rPr>
              <w:t>5.2主要实施路径</w:t>
            </w:r>
          </w:p>
          <w:p>
            <w:pPr>
              <w:pStyle w:val="null3"/>
              <w:ind w:left="75" w:right="30"/>
              <w:jc w:val="left"/>
            </w:pPr>
            <w:r>
              <w:rPr>
                <w:rFonts w:ascii="仿宋_GB2312" w:hAnsi="仿宋_GB2312" w:cs="仿宋_GB2312" w:eastAsia="仿宋_GB2312"/>
                <w:sz w:val="28"/>
                <w:color w:val="000000"/>
                <w:shd w:fill="FFFFFF" w:val="clear"/>
              </w:rPr>
              <w:t>以视图的形式，厂商将电子病历</w:t>
            </w:r>
            <w:r>
              <w:rPr>
                <w:rFonts w:ascii="仿宋_GB2312" w:hAnsi="仿宋_GB2312" w:cs="仿宋_GB2312" w:eastAsia="仿宋_GB2312"/>
                <w:sz w:val="28"/>
                <w:color w:val="000000"/>
                <w:shd w:fill="FFFFFF" w:val="clear"/>
              </w:rPr>
              <w:t>pdf文档的FTP路径插入到视图中，通过病案首页相关字段对应翻拍库【patno】和【patnum】，获取到病人一次出入院所有的pdf 文档FTP共享路径的地址。</w:t>
            </w:r>
          </w:p>
          <w:p>
            <w:pPr>
              <w:pStyle w:val="null3"/>
              <w:ind w:left="75" w:right="30"/>
              <w:jc w:val="left"/>
            </w:pPr>
            <w:r>
              <w:rPr>
                <w:rFonts w:ascii="仿宋_GB2312" w:hAnsi="仿宋_GB2312" w:cs="仿宋_GB2312" w:eastAsia="仿宋_GB2312"/>
                <w:sz w:val="28"/>
                <w:color w:val="000000"/>
                <w:shd w:fill="FFFFFF" w:val="clear"/>
              </w:rPr>
              <w:t>5.3 技术方式</w:t>
            </w:r>
          </w:p>
          <w:p>
            <w:pPr>
              <w:pStyle w:val="null3"/>
              <w:ind w:left="75" w:right="30"/>
              <w:jc w:val="left"/>
            </w:pPr>
            <w:r>
              <w:rPr>
                <w:rFonts w:ascii="仿宋_GB2312" w:hAnsi="仿宋_GB2312" w:cs="仿宋_GB2312" w:eastAsia="仿宋_GB2312"/>
                <w:sz w:val="28"/>
                <w:color w:val="000000"/>
                <w:shd w:fill="FFFFFF" w:val="clear"/>
              </w:rPr>
              <w:t>5.3.1数据提供方式</w:t>
            </w:r>
          </w:p>
          <w:p>
            <w:pPr>
              <w:pStyle w:val="null3"/>
              <w:ind w:left="75" w:right="30"/>
              <w:jc w:val="left"/>
            </w:pPr>
            <w:r>
              <w:rPr>
                <w:rFonts w:ascii="仿宋_GB2312" w:hAnsi="仿宋_GB2312" w:cs="仿宋_GB2312" w:eastAsia="仿宋_GB2312"/>
                <w:sz w:val="28"/>
                <w:color w:val="000000"/>
                <w:shd w:fill="FFFFFF" w:val="clear"/>
              </w:rPr>
              <w:t>获取地址</w:t>
            </w:r>
          </w:p>
          <w:tbl>
            <w:tblPr>
              <w:tblInd w:type="dxa" w:w="120"/>
              <w:tblBorders>
                <w:top w:val="none" w:color="000000" w:sz="4"/>
                <w:left w:val="none" w:color="000000" w:sz="4"/>
                <w:bottom w:val="none" w:color="000000" w:sz="4"/>
                <w:right w:val="none" w:color="000000" w:sz="4"/>
                <w:insideH w:val="none"/>
                <w:insideV w:val="none"/>
              </w:tblBorders>
            </w:tblPr>
            <w:tblGrid>
              <w:gridCol w:w="565"/>
              <w:gridCol w:w="2133"/>
              <w:gridCol w:w="2898"/>
            </w:tblGrid>
            <w:tr>
              <w:tc>
                <w:tcPr>
                  <w:tcW w:type="dxa" w:w="56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序号</w:t>
                  </w:r>
                </w:p>
              </w:tc>
              <w:tc>
                <w:tcPr>
                  <w:tcW w:type="dxa" w:w="213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名称</w:t>
                  </w:r>
                </w:p>
              </w:tc>
              <w:tc>
                <w:tcPr>
                  <w:tcW w:type="dxa" w:w="289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说明</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1.</w:t>
                  </w:r>
                </w:p>
              </w:tc>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Oracle视图数据库账号</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由医院现有的电子病案系统提供数据源地址、账号、密码。</w:t>
                  </w:r>
                </w:p>
              </w:tc>
            </w:tr>
            <w:tr>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2.</w:t>
                  </w:r>
                </w:p>
              </w:tc>
              <w:tc>
                <w:tcPr>
                  <w:tcW w:type="dxa" w:w="2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FTP目录的账号</w:t>
                  </w:r>
                </w:p>
              </w:tc>
              <w:tc>
                <w:tcPr>
                  <w:tcW w:type="dxa" w:w="28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比如：目录：</w:t>
                  </w:r>
                  <w:r>
                    <w:rPr>
                      <w:rFonts w:ascii="仿宋_GB2312" w:hAnsi="仿宋_GB2312" w:cs="仿宋_GB2312" w:eastAsia="仿宋_GB2312"/>
                      <w:sz w:val="28"/>
                      <w:color w:val="000000"/>
                      <w:shd w:fill="FFFFFF" w:val="clear"/>
                    </w:rPr>
                    <w:t>ftp://172.16.10.123</w:t>
                  </w:r>
                </w:p>
                <w:p>
                  <w:pPr>
                    <w:pStyle w:val="null3"/>
                    <w:ind w:left="75" w:right="30"/>
                    <w:jc w:val="left"/>
                  </w:pPr>
                  <w:r>
                    <w:rPr>
                      <w:rFonts w:ascii="仿宋_GB2312" w:hAnsi="仿宋_GB2312" w:cs="仿宋_GB2312" w:eastAsia="仿宋_GB2312"/>
                      <w:sz w:val="28"/>
                      <w:color w:val="000000"/>
                      <w:shd w:fill="FFFFFF" w:val="clear"/>
                    </w:rPr>
                    <w:t>账号：</w:t>
                  </w:r>
                  <w:r>
                    <w:rPr>
                      <w:rFonts w:ascii="仿宋_GB2312" w:hAnsi="仿宋_GB2312" w:cs="仿宋_GB2312" w:eastAsia="仿宋_GB2312"/>
                      <w:sz w:val="28"/>
                      <w:color w:val="000000"/>
                      <w:shd w:fill="FFFFFF" w:val="clear"/>
                    </w:rPr>
                    <w:t>admin</w:t>
                  </w:r>
                </w:p>
                <w:p>
                  <w:pPr>
                    <w:pStyle w:val="null3"/>
                    <w:ind w:left="75" w:right="30"/>
                    <w:jc w:val="left"/>
                  </w:pPr>
                  <w:r>
                    <w:rPr>
                      <w:rFonts w:ascii="仿宋_GB2312" w:hAnsi="仿宋_GB2312" w:cs="仿宋_GB2312" w:eastAsia="仿宋_GB2312"/>
                      <w:sz w:val="28"/>
                      <w:color w:val="000000"/>
                      <w:shd w:fill="FFFFFF" w:val="clear"/>
                    </w:rPr>
                    <w:t>密码：</w:t>
                  </w:r>
                  <w:r>
                    <w:rPr>
                      <w:rFonts w:ascii="仿宋_GB2312" w:hAnsi="仿宋_GB2312" w:cs="仿宋_GB2312" w:eastAsia="仿宋_GB2312"/>
                      <w:sz w:val="28"/>
                      <w:color w:val="000000"/>
                      <w:shd w:fill="FFFFFF" w:val="clear"/>
                    </w:rPr>
                    <w:t>admin</w:t>
                  </w:r>
                </w:p>
              </w:tc>
            </w:tr>
          </w:tbl>
          <w:p>
            <w:pPr>
              <w:pStyle w:val="null3"/>
              <w:ind w:left="75" w:right="30"/>
              <w:jc w:val="left"/>
            </w:pPr>
            <w:r>
              <w:rPr>
                <w:rFonts w:ascii="仿宋_GB2312" w:hAnsi="仿宋_GB2312" w:cs="仿宋_GB2312" w:eastAsia="仿宋_GB2312"/>
                <w:sz w:val="28"/>
                <w:color w:val="000000"/>
                <w:shd w:fill="FFFFFF" w:val="clear"/>
              </w:rPr>
              <w:t>视图总览表</w:t>
            </w:r>
          </w:p>
          <w:tbl>
            <w:tblPr>
              <w:tblInd w:type="dxa" w:w="120"/>
              <w:tblBorders>
                <w:top w:val="none" w:color="000000" w:sz="4"/>
                <w:left w:val="none" w:color="000000" w:sz="4"/>
                <w:bottom w:val="none" w:color="000000" w:sz="4"/>
                <w:right w:val="none" w:color="000000" w:sz="4"/>
                <w:insideH w:val="none"/>
                <w:insideV w:val="none"/>
              </w:tblBorders>
            </w:tblPr>
            <w:tblGrid>
              <w:gridCol w:w="601"/>
              <w:gridCol w:w="2989"/>
              <w:gridCol w:w="2005"/>
            </w:tblGrid>
            <w:tr>
              <w:tc>
                <w:tcPr>
                  <w:tcW w:type="dxa" w:w="60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序号</w:t>
                  </w:r>
                </w:p>
              </w:tc>
              <w:tc>
                <w:tcPr>
                  <w:tcW w:type="dxa" w:w="298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名称</w:t>
                  </w:r>
                </w:p>
              </w:tc>
              <w:tc>
                <w:tcPr>
                  <w:tcW w:type="dxa" w:w="200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说明</w:t>
                  </w:r>
                </w:p>
              </w:tc>
            </w:tr>
            <w:tr>
              <w:tc>
                <w:tcPr>
                  <w:tcW w:type="dxa" w:w="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p>
              </w:tc>
              <w:tc>
                <w:tcPr>
                  <w:tcW w:type="dxa" w:w="2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shd w:fill="FFFFFF" w:val="clear"/>
                    </w:rPr>
                    <w:t>v_card_info_picture_index</w:t>
                  </w:r>
                </w:p>
              </w:tc>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文档信息表</w:t>
                  </w:r>
                </w:p>
              </w:tc>
            </w:tr>
          </w:tbl>
          <w:p>
            <w:pPr>
              <w:pStyle w:val="null3"/>
              <w:ind w:left="75" w:right="30"/>
              <w:jc w:val="left"/>
            </w:pPr>
            <w:r>
              <w:rPr>
                <w:rFonts w:ascii="仿宋_GB2312" w:hAnsi="仿宋_GB2312" w:cs="仿宋_GB2312" w:eastAsia="仿宋_GB2312"/>
                <w:sz w:val="28"/>
                <w:color w:val="000000"/>
                <w:shd w:fill="FFFFFF" w:val="clear"/>
              </w:rPr>
              <w:t>信息项说明</w:t>
            </w:r>
            <w:r>
              <w:rPr>
                <w:rFonts w:ascii="仿宋_GB2312" w:hAnsi="仿宋_GB2312" w:cs="仿宋_GB2312" w:eastAsia="仿宋_GB2312"/>
                <w:sz w:val="28"/>
                <w:color w:val="000000"/>
                <w:shd w:fill="FFFFFF" w:val="clear"/>
              </w:rPr>
              <w:t>v_card_info_picture_index</w:t>
            </w:r>
          </w:p>
          <w:tbl>
            <w:tblPr>
              <w:tblInd w:type="dxa" w:w="120"/>
              <w:tblBorders>
                <w:top w:val="none" w:color="000000" w:sz="4"/>
                <w:left w:val="none" w:color="000000" w:sz="4"/>
                <w:bottom w:val="none" w:color="000000" w:sz="4"/>
                <w:right w:val="none" w:color="000000" w:sz="4"/>
                <w:insideH w:val="none"/>
                <w:insideV w:val="none"/>
              </w:tblBorders>
            </w:tblPr>
            <w:tblGrid>
              <w:gridCol w:w="602"/>
              <w:gridCol w:w="1360"/>
              <w:gridCol w:w="1607"/>
              <w:gridCol w:w="2027"/>
            </w:tblGrid>
            <w:tr>
              <w:tc>
                <w:tcPr>
                  <w:tcW w:type="dxa" w:w="60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序号</w:t>
                  </w:r>
                </w:p>
              </w:tc>
              <w:tc>
                <w:tcPr>
                  <w:tcW w:type="dxa" w:w="136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字段名称</w:t>
                  </w:r>
                </w:p>
              </w:tc>
              <w:tc>
                <w:tcPr>
                  <w:tcW w:type="dxa" w:w="1607"/>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字段类型</w:t>
                  </w:r>
                </w:p>
              </w:tc>
              <w:tc>
                <w:tcPr>
                  <w:tcW w:type="dxa" w:w="2027"/>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字段说明</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shd w:fill="FFFFFF" w:val="clear"/>
                    </w:rPr>
                    <w:t>rel_primary</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varchar(20)</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主键</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shd w:fill="FFFFFF" w:val="clear"/>
                    </w:rPr>
                    <w:t>patno</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varchar(20)</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病案号</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shd w:fill="FFFFFF" w:val="clear"/>
                    </w:rPr>
                    <w:t>patnum</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varchar(20)</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住院次数</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shd w:fill="FFFFFF" w:val="clear"/>
                    </w:rPr>
                    <w:t>fileid</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varchar(255)</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Pdf文档唯一标识</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shd w:fill="FFFFFF" w:val="clear"/>
                    </w:rPr>
                    <w:t>filecode</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varchar(10)</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文档分类编码</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shd w:fill="FFFFFF" w:val="clear"/>
                    </w:rPr>
                    <w:t>filename</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varchar(100)</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文档分类名称（住院病案首页、检查单等）</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shd w:fill="FFFFFF" w:val="clear"/>
                    </w:rPr>
                    <w:t>pdf路径</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varchar(255)</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文档共享目录地址（举例：</w:t>
                  </w:r>
                  <w:r>
                    <w:rPr>
                      <w:rFonts w:ascii="仿宋_GB2312" w:hAnsi="仿宋_GB2312" w:cs="仿宋_GB2312" w:eastAsia="仿宋_GB2312"/>
                      <w:sz w:val="28"/>
                      <w:color w:val="000000"/>
                      <w:shd w:fill="FFFFFF" w:val="clear"/>
                    </w:rPr>
                    <w:t>\\172.16.10.143\PDFFile\415487001_001\病程记录\病程记录.pdf）</w:t>
                  </w:r>
                </w:p>
              </w:tc>
            </w:tr>
            <w:tr>
              <w:tc>
                <w:tcPr>
                  <w:tcW w:type="dxa" w:w="6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8.</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upddt</w:t>
                  </w:r>
                </w:p>
              </w:tc>
              <w:tc>
                <w:tcPr>
                  <w:tcW w:type="dxa" w:w="1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datetime</w:t>
                  </w:r>
                </w:p>
              </w:tc>
              <w:tc>
                <w:tcPr>
                  <w:tcW w:type="dxa" w:w="2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生成时间</w:t>
                  </w:r>
                </w:p>
              </w:tc>
            </w:tr>
          </w:tbl>
          <w:p>
            <w:pPr>
              <w:pStyle w:val="null3"/>
              <w:ind w:left="75" w:right="30"/>
              <w:jc w:val="left"/>
            </w:pPr>
            <w:r>
              <w:rPr>
                <w:rFonts w:ascii="仿宋_GB2312" w:hAnsi="仿宋_GB2312" w:cs="仿宋_GB2312" w:eastAsia="仿宋_GB2312"/>
                <w:sz w:val="28"/>
                <w:color w:val="000000"/>
                <w:shd w:fill="FFFFFF" w:val="clear"/>
              </w:rPr>
              <w:t>注：当图片信息发生变更时，该图片的共享目录下重新生成图片，并且在</w:t>
            </w:r>
            <w:r>
              <w:rPr>
                <w:rFonts w:ascii="仿宋_GB2312" w:hAnsi="仿宋_GB2312" w:cs="仿宋_GB2312" w:eastAsia="仿宋_GB2312"/>
                <w:sz w:val="28"/>
                <w:color w:val="000000"/>
                <w:shd w:fill="FFFFFF" w:val="clear"/>
              </w:rPr>
              <w:t>v_card_info_picture_index表中将处理时间【upddt】更新成最新的生成时间。</w:t>
            </w:r>
          </w:p>
          <w:p>
            <w:pPr>
              <w:pStyle w:val="null3"/>
              <w:ind w:left="75" w:right="30"/>
              <w:jc w:val="left"/>
            </w:pPr>
            <w:r>
              <w:rPr>
                <w:rFonts w:ascii="仿宋_GB2312" w:hAnsi="仿宋_GB2312" w:cs="仿宋_GB2312" w:eastAsia="仿宋_GB2312"/>
                <w:sz w:val="28"/>
                <w:color w:val="000000"/>
                <w:shd w:fill="FFFFFF" w:val="clear"/>
              </w:rPr>
              <w:t>5.3.2分类匹配</w:t>
            </w:r>
          </w:p>
          <w:tbl>
            <w:tblPr>
              <w:tblInd w:type="dxa" w:w="120"/>
              <w:tblBorders>
                <w:top w:val="none" w:color="000000" w:sz="4"/>
                <w:left w:val="none" w:color="000000" w:sz="4"/>
                <w:bottom w:val="none" w:color="000000" w:sz="4"/>
                <w:right w:val="none" w:color="000000" w:sz="4"/>
                <w:insideH w:val="none"/>
                <w:insideV w:val="none"/>
              </w:tblBorders>
            </w:tblPr>
            <w:tblGrid>
              <w:gridCol w:w="638"/>
              <w:gridCol w:w="2388"/>
              <w:gridCol w:w="2570"/>
            </w:tblGrid>
            <w:tr>
              <w:tc>
                <w:tcPr>
                  <w:tcW w:type="dxa" w:w="63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序号</w:t>
                  </w:r>
                </w:p>
              </w:tc>
              <w:tc>
                <w:tcPr>
                  <w:tcW w:type="dxa" w:w="238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制作文档分类（举例）</w:t>
                  </w:r>
                </w:p>
              </w:tc>
              <w:tc>
                <w:tcPr>
                  <w:tcW w:type="dxa" w:w="257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平台文档分类（举例）</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1</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病案首页</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病案首页</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2</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住院病历</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住院病历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3</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病程记录</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病程记录</w:t>
                  </w:r>
                </w:p>
                <w:p>
                  <w:pPr>
                    <w:pStyle w:val="null3"/>
                    <w:ind w:left="75" w:right="30"/>
                    <w:jc w:val="left"/>
                  </w:pPr>
                  <w:r>
                    <w:rPr>
                      <w:rFonts w:ascii="仿宋_GB2312" w:hAnsi="仿宋_GB2312" w:cs="仿宋_GB2312" w:eastAsia="仿宋_GB2312"/>
                      <w:sz w:val="28"/>
                      <w:color w:val="000000"/>
                      <w:shd w:fill="FFFFFF" w:val="clear"/>
                    </w:rPr>
                    <w:t>产程记录单</w:t>
                  </w:r>
                </w:p>
                <w:p>
                  <w:pPr>
                    <w:pStyle w:val="null3"/>
                    <w:ind w:left="75" w:right="30"/>
                    <w:jc w:val="left"/>
                  </w:pPr>
                  <w:r>
                    <w:rPr>
                      <w:rFonts w:ascii="仿宋_GB2312" w:hAnsi="仿宋_GB2312" w:cs="仿宋_GB2312" w:eastAsia="仿宋_GB2312"/>
                      <w:sz w:val="28"/>
                      <w:color w:val="000000"/>
                      <w:shd w:fill="FFFFFF" w:val="clear"/>
                    </w:rPr>
                    <w:t>死亡讨论</w:t>
                  </w:r>
                </w:p>
                <w:p>
                  <w:pPr>
                    <w:pStyle w:val="null3"/>
                    <w:ind w:left="75" w:right="30"/>
                    <w:jc w:val="left"/>
                  </w:pPr>
                  <w:r>
                    <w:rPr>
                      <w:rFonts w:ascii="仿宋_GB2312" w:hAnsi="仿宋_GB2312" w:cs="仿宋_GB2312" w:eastAsia="仿宋_GB2312"/>
                      <w:sz w:val="28"/>
                      <w:color w:val="000000"/>
                      <w:shd w:fill="FFFFFF" w:val="clear"/>
                    </w:rPr>
                    <w:t>产程图</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4</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出院记录</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出院记录</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5</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手术</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手术</w:t>
                  </w:r>
                </w:p>
                <w:p>
                  <w:pPr>
                    <w:pStyle w:val="null3"/>
                    <w:ind w:left="75" w:right="30"/>
                    <w:jc w:val="left"/>
                  </w:pPr>
                  <w:r>
                    <w:rPr>
                      <w:rFonts w:ascii="仿宋_GB2312" w:hAnsi="仿宋_GB2312" w:cs="仿宋_GB2312" w:eastAsia="仿宋_GB2312"/>
                      <w:sz w:val="28"/>
                      <w:color w:val="000000"/>
                      <w:shd w:fill="FFFFFF" w:val="clear"/>
                    </w:rPr>
                    <w:t>手术护理记录</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6</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会诊单</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会诊记录单</w:t>
                  </w:r>
                </w:p>
                <w:p>
                  <w:pPr>
                    <w:pStyle w:val="null3"/>
                    <w:ind w:left="75" w:right="30"/>
                    <w:jc w:val="left"/>
                  </w:pPr>
                  <w:r>
                    <w:rPr>
                      <w:rFonts w:ascii="仿宋_GB2312" w:hAnsi="仿宋_GB2312" w:cs="仿宋_GB2312" w:eastAsia="仿宋_GB2312"/>
                      <w:sz w:val="28"/>
                      <w:color w:val="000000"/>
                      <w:shd w:fill="FFFFFF" w:val="clear"/>
                    </w:rPr>
                    <w:t>护理会诊请求单</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7</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辅助检查报告</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辅助检查报告</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8</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检查报告单</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检查报告单</w:t>
                  </w:r>
                </w:p>
                <w:p>
                  <w:pPr>
                    <w:pStyle w:val="null3"/>
                    <w:ind w:left="75" w:right="30"/>
                    <w:jc w:val="left"/>
                  </w:pPr>
                  <w:r>
                    <w:rPr>
                      <w:rFonts w:ascii="仿宋_GB2312" w:hAnsi="仿宋_GB2312" w:cs="仿宋_GB2312" w:eastAsia="仿宋_GB2312"/>
                      <w:sz w:val="28"/>
                      <w:color w:val="000000"/>
                      <w:shd w:fill="FFFFFF" w:val="clear"/>
                    </w:rPr>
                    <w:t>肌电图脑电图报告单</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9</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输血记录单</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输血单据</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10</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临时医嘱单</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临时医嘱单</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11</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长期医嘱单</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长期医嘱单</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12</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护理记录</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护理会诊</w:t>
                  </w:r>
                </w:p>
                <w:p>
                  <w:pPr>
                    <w:pStyle w:val="null3"/>
                    <w:ind w:left="75" w:right="30"/>
                    <w:jc w:val="left"/>
                  </w:pPr>
                  <w:r>
                    <w:rPr>
                      <w:rFonts w:ascii="仿宋_GB2312" w:hAnsi="仿宋_GB2312" w:cs="仿宋_GB2312" w:eastAsia="仿宋_GB2312"/>
                      <w:sz w:val="28"/>
                      <w:color w:val="000000"/>
                      <w:shd w:fill="FFFFFF" w:val="clear"/>
                    </w:rPr>
                    <w:t>护理记录</w:t>
                  </w:r>
                </w:p>
                <w:p>
                  <w:pPr>
                    <w:pStyle w:val="null3"/>
                    <w:ind w:left="75" w:right="30"/>
                    <w:jc w:val="left"/>
                  </w:pPr>
                  <w:r>
                    <w:rPr>
                      <w:rFonts w:ascii="仿宋_GB2312" w:hAnsi="仿宋_GB2312" w:cs="仿宋_GB2312" w:eastAsia="仿宋_GB2312"/>
                      <w:sz w:val="28"/>
                      <w:color w:val="000000"/>
                      <w:shd w:fill="FFFFFF" w:val="clear"/>
                    </w:rPr>
                    <w:t>结构护理记录单</w:t>
                  </w:r>
                </w:p>
                <w:p>
                  <w:pPr>
                    <w:pStyle w:val="null3"/>
                    <w:ind w:left="75" w:right="30"/>
                    <w:jc w:val="left"/>
                  </w:pPr>
                  <w:r>
                    <w:rPr>
                      <w:rFonts w:ascii="仿宋_GB2312" w:hAnsi="仿宋_GB2312" w:cs="仿宋_GB2312" w:eastAsia="仿宋_GB2312"/>
                      <w:sz w:val="28"/>
                      <w:color w:val="000000"/>
                      <w:shd w:fill="FFFFFF" w:val="clear"/>
                    </w:rPr>
                    <w:t>结构化护理记录</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13</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体温单</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体温单</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14</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知情同意书</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手术风险及安全核对</w:t>
                  </w:r>
                </w:p>
                <w:p>
                  <w:pPr>
                    <w:pStyle w:val="null3"/>
                    <w:ind w:left="75" w:right="30"/>
                    <w:jc w:val="left"/>
                  </w:pPr>
                  <w:r>
                    <w:rPr>
                      <w:rFonts w:ascii="仿宋_GB2312" w:hAnsi="仿宋_GB2312" w:cs="仿宋_GB2312" w:eastAsia="仿宋_GB2312"/>
                      <w:sz w:val="28"/>
                      <w:color w:val="000000"/>
                      <w:shd w:fill="FFFFFF" w:val="clear"/>
                    </w:rPr>
                    <w:t>知情同意书</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15</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工作量辅助收费单</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治疗记录</w:t>
                  </w:r>
                </w:p>
                <w:p>
                  <w:pPr>
                    <w:pStyle w:val="null3"/>
                    <w:ind w:left="75" w:right="30"/>
                    <w:jc w:val="left"/>
                  </w:pPr>
                  <w:r>
                    <w:rPr>
                      <w:rFonts w:ascii="仿宋_GB2312" w:hAnsi="仿宋_GB2312" w:cs="仿宋_GB2312" w:eastAsia="仿宋_GB2312"/>
                      <w:sz w:val="28"/>
                      <w:color w:val="000000"/>
                      <w:shd w:fill="FFFFFF" w:val="clear"/>
                    </w:rPr>
                    <w:t>高压氧治疗记录</w:t>
                  </w:r>
                </w:p>
                <w:p>
                  <w:pPr>
                    <w:pStyle w:val="null3"/>
                    <w:ind w:left="75" w:right="30"/>
                    <w:jc w:val="left"/>
                  </w:pPr>
                  <w:r>
                    <w:rPr>
                      <w:rFonts w:ascii="仿宋_GB2312" w:hAnsi="仿宋_GB2312" w:cs="仿宋_GB2312" w:eastAsia="仿宋_GB2312"/>
                      <w:sz w:val="28"/>
                      <w:color w:val="000000"/>
                      <w:shd w:fill="FFFFFF" w:val="clear"/>
                    </w:rPr>
                    <w:t>血液净化记录单</w:t>
                  </w:r>
                </w:p>
                <w:p>
                  <w:pPr>
                    <w:pStyle w:val="null3"/>
                    <w:ind w:left="75" w:right="30"/>
                    <w:jc w:val="left"/>
                  </w:pPr>
                  <w:r>
                    <w:rPr>
                      <w:rFonts w:ascii="仿宋_GB2312" w:hAnsi="仿宋_GB2312" w:cs="仿宋_GB2312" w:eastAsia="仿宋_GB2312"/>
                      <w:sz w:val="28"/>
                      <w:color w:val="000000"/>
                      <w:shd w:fill="FFFFFF" w:val="clear"/>
                    </w:rPr>
                    <w:t>本科室工作量辅助收费单</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16</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其他</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风险评估</w:t>
                  </w:r>
                </w:p>
                <w:p>
                  <w:pPr>
                    <w:pStyle w:val="null3"/>
                    <w:ind w:left="75" w:right="30"/>
                    <w:jc w:val="left"/>
                  </w:pPr>
                  <w:r>
                    <w:rPr>
                      <w:rFonts w:ascii="仿宋_GB2312" w:hAnsi="仿宋_GB2312" w:cs="仿宋_GB2312" w:eastAsia="仿宋_GB2312"/>
                      <w:sz w:val="28"/>
                      <w:color w:val="000000"/>
                      <w:shd w:fill="FFFFFF" w:val="clear"/>
                    </w:rPr>
                    <w:t>证明资料</w:t>
                  </w:r>
                </w:p>
                <w:p>
                  <w:pPr>
                    <w:pStyle w:val="null3"/>
                    <w:ind w:left="75" w:right="30"/>
                    <w:jc w:val="left"/>
                  </w:pPr>
                  <w:r>
                    <w:rPr>
                      <w:rFonts w:ascii="仿宋_GB2312" w:hAnsi="仿宋_GB2312" w:cs="仿宋_GB2312" w:eastAsia="仿宋_GB2312"/>
                      <w:sz w:val="28"/>
                      <w:color w:val="000000"/>
                      <w:shd w:fill="FFFFFF" w:val="clear"/>
                    </w:rPr>
                    <w:t>病历质量评分</w:t>
                  </w:r>
                </w:p>
                <w:p>
                  <w:pPr>
                    <w:pStyle w:val="null3"/>
                    <w:ind w:left="75" w:right="30"/>
                    <w:jc w:val="left"/>
                  </w:pPr>
                  <w:r>
                    <w:rPr>
                      <w:rFonts w:ascii="仿宋_GB2312" w:hAnsi="仿宋_GB2312" w:cs="仿宋_GB2312" w:eastAsia="仿宋_GB2312"/>
                      <w:sz w:val="28"/>
                      <w:color w:val="000000"/>
                      <w:shd w:fill="FFFFFF" w:val="clear"/>
                    </w:rPr>
                    <w:t>临床路径单</w:t>
                  </w:r>
                </w:p>
                <w:p>
                  <w:pPr>
                    <w:pStyle w:val="null3"/>
                    <w:ind w:left="75" w:right="30"/>
                    <w:jc w:val="left"/>
                  </w:pPr>
                  <w:r>
                    <w:rPr>
                      <w:rFonts w:ascii="仿宋_GB2312" w:hAnsi="仿宋_GB2312" w:cs="仿宋_GB2312" w:eastAsia="仿宋_GB2312"/>
                      <w:sz w:val="28"/>
                      <w:color w:val="000000"/>
                      <w:shd w:fill="FFFFFF" w:val="clear"/>
                    </w:rPr>
                    <w:t>科室交班</w:t>
                  </w:r>
                </w:p>
                <w:p>
                  <w:pPr>
                    <w:pStyle w:val="null3"/>
                    <w:ind w:left="75" w:right="30"/>
                    <w:jc w:val="left"/>
                  </w:pPr>
                  <w:r>
                    <w:rPr>
                      <w:rFonts w:ascii="仿宋_GB2312" w:hAnsi="仿宋_GB2312" w:cs="仿宋_GB2312" w:eastAsia="仿宋_GB2312"/>
                      <w:sz w:val="28"/>
                      <w:color w:val="000000"/>
                      <w:shd w:fill="FFFFFF" w:val="clear"/>
                    </w:rPr>
                    <w:t>流行病学调查</w:t>
                  </w:r>
                </w:p>
                <w:p>
                  <w:pPr>
                    <w:pStyle w:val="null3"/>
                    <w:ind w:left="75" w:right="30"/>
                    <w:jc w:val="left"/>
                  </w:pPr>
                  <w:r>
                    <w:rPr>
                      <w:rFonts w:ascii="仿宋_GB2312" w:hAnsi="仿宋_GB2312" w:cs="仿宋_GB2312" w:eastAsia="仿宋_GB2312"/>
                      <w:sz w:val="28"/>
                      <w:color w:val="000000"/>
                      <w:shd w:fill="FFFFFF" w:val="clear"/>
                    </w:rPr>
                    <w:t>病例质量评分</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17</w:t>
                  </w:r>
                </w:p>
              </w:tc>
              <w:tc>
                <w:tcPr>
                  <w:tcW w:type="dxa" w:w="23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新生儿病历</w:t>
                  </w:r>
                </w:p>
              </w:tc>
              <w:tc>
                <w:tcPr>
                  <w:tcW w:type="dxa" w:w="2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30"/>
                    <w:jc w:val="left"/>
                  </w:pPr>
                  <w:r>
                    <w:rPr>
                      <w:rFonts w:ascii="仿宋_GB2312" w:hAnsi="仿宋_GB2312" w:cs="仿宋_GB2312" w:eastAsia="仿宋_GB2312"/>
                      <w:sz w:val="28"/>
                      <w:color w:val="000000"/>
                      <w:shd w:fill="FFFFFF" w:val="clear"/>
                    </w:rPr>
                    <w:t>分娩室新生儿</w:t>
                  </w:r>
                </w:p>
                <w:p>
                  <w:pPr>
                    <w:pStyle w:val="null3"/>
                    <w:ind w:left="75" w:right="30"/>
                    <w:jc w:val="left"/>
                  </w:pPr>
                  <w:r>
                    <w:rPr>
                      <w:rFonts w:ascii="仿宋_GB2312" w:hAnsi="仿宋_GB2312" w:cs="仿宋_GB2312" w:eastAsia="仿宋_GB2312"/>
                      <w:sz w:val="28"/>
                      <w:color w:val="000000"/>
                      <w:shd w:fill="FFFFFF" w:val="clear"/>
                    </w:rPr>
                    <w:t>婴儿长期医嘱单</w:t>
                  </w:r>
                </w:p>
                <w:p>
                  <w:pPr>
                    <w:pStyle w:val="null3"/>
                    <w:ind w:left="75" w:right="30"/>
                    <w:jc w:val="left"/>
                  </w:pPr>
                  <w:r>
                    <w:rPr>
                      <w:rFonts w:ascii="仿宋_GB2312" w:hAnsi="仿宋_GB2312" w:cs="仿宋_GB2312" w:eastAsia="仿宋_GB2312"/>
                      <w:sz w:val="28"/>
                      <w:color w:val="000000"/>
                      <w:shd w:fill="FFFFFF" w:val="clear"/>
                    </w:rPr>
                    <w:t>婴儿临时医嘱单</w:t>
                  </w:r>
                </w:p>
                <w:p>
                  <w:pPr>
                    <w:pStyle w:val="null3"/>
                    <w:ind w:left="75" w:right="30"/>
                    <w:jc w:val="left"/>
                  </w:pPr>
                  <w:r>
                    <w:rPr>
                      <w:rFonts w:ascii="仿宋_GB2312" w:hAnsi="仿宋_GB2312" w:cs="仿宋_GB2312" w:eastAsia="仿宋_GB2312"/>
                      <w:sz w:val="28"/>
                      <w:color w:val="000000"/>
                      <w:shd w:fill="FFFFFF" w:val="clear"/>
                    </w:rPr>
                    <w:t>新生儿病程记录</w:t>
                  </w:r>
                </w:p>
                <w:p>
                  <w:pPr>
                    <w:pStyle w:val="null3"/>
                    <w:ind w:left="75" w:right="30"/>
                    <w:jc w:val="left"/>
                  </w:pPr>
                  <w:r>
                    <w:rPr>
                      <w:rFonts w:ascii="仿宋_GB2312" w:hAnsi="仿宋_GB2312" w:cs="仿宋_GB2312" w:eastAsia="仿宋_GB2312"/>
                      <w:sz w:val="28"/>
                      <w:color w:val="000000"/>
                      <w:shd w:fill="FFFFFF" w:val="clear"/>
                    </w:rPr>
                    <w:t>新生儿病程记录</w:t>
                  </w:r>
                  <w:r>
                    <w:rPr>
                      <w:rFonts w:ascii="仿宋_GB2312" w:hAnsi="仿宋_GB2312" w:cs="仿宋_GB2312" w:eastAsia="仿宋_GB2312"/>
                      <w:sz w:val="28"/>
                      <w:color w:val="000000"/>
                      <w:shd w:fill="FFFFFF" w:val="clear"/>
                    </w:rPr>
                    <w:t>(长)</w:t>
                  </w:r>
                </w:p>
                <w:p>
                  <w:pPr>
                    <w:pStyle w:val="null3"/>
                    <w:ind w:left="75" w:right="30"/>
                    <w:jc w:val="left"/>
                  </w:pPr>
                  <w:r>
                    <w:rPr>
                      <w:rFonts w:ascii="仿宋_GB2312" w:hAnsi="仿宋_GB2312" w:cs="仿宋_GB2312" w:eastAsia="仿宋_GB2312"/>
                      <w:sz w:val="28"/>
                      <w:color w:val="000000"/>
                      <w:shd w:fill="FFFFFF" w:val="clear"/>
                    </w:rPr>
                    <w:t>新生儿病程记录</w:t>
                  </w:r>
                  <w:r>
                    <w:rPr>
                      <w:rFonts w:ascii="仿宋_GB2312" w:hAnsi="仿宋_GB2312" w:cs="仿宋_GB2312" w:eastAsia="仿宋_GB2312"/>
                      <w:sz w:val="28"/>
                      <w:color w:val="000000"/>
                      <w:shd w:fill="FFFFFF" w:val="clear"/>
                    </w:rPr>
                    <w:t>(次)</w:t>
                  </w:r>
                </w:p>
              </w:tc>
            </w:tr>
          </w:tbl>
          <w:p>
            <w:pPr>
              <w:pStyle w:val="null3"/>
              <w:ind w:left="75" w:right="30"/>
              <w:jc w:val="left"/>
            </w:pPr>
            <w:r>
              <w:rPr>
                <w:rFonts w:ascii="仿宋_GB2312" w:hAnsi="仿宋_GB2312" w:cs="仿宋_GB2312" w:eastAsia="仿宋_GB2312"/>
                <w:sz w:val="28"/>
                <w:color w:val="000000"/>
                <w:shd w:fill="FFFFFF" w:val="clear"/>
              </w:rPr>
              <w:t>5.3.3 病案匹配规则</w:t>
            </w:r>
          </w:p>
          <w:p>
            <w:pPr>
              <w:pStyle w:val="null3"/>
              <w:ind w:left="75" w:right="30" w:firstLine="280"/>
              <w:jc w:val="left"/>
            </w:pPr>
            <w:r>
              <w:rPr>
                <w:rFonts w:ascii="仿宋_GB2312" w:hAnsi="仿宋_GB2312" w:cs="仿宋_GB2312" w:eastAsia="仿宋_GB2312"/>
                <w:sz w:val="28"/>
                <w:color w:val="000000"/>
                <w:shd w:fill="FFFFFF" w:val="clear"/>
              </w:rPr>
              <w:t>根据病案首页的【</w:t>
            </w:r>
            <w:r>
              <w:rPr>
                <w:rFonts w:ascii="仿宋_GB2312" w:hAnsi="仿宋_GB2312" w:cs="仿宋_GB2312" w:eastAsia="仿宋_GB2312"/>
                <w:sz w:val="28"/>
                <w:color w:val="000000"/>
                <w:shd w:fill="FFFFFF" w:val="clear"/>
              </w:rPr>
              <w:t>patno】和【patnum】匹配智业视图v_card_info_picture_index的【patno】和【patnum】，获取该病人一次出入院的所有图片信息。获取到病人一次出入院所有的pdf共享目录路径的地址。</w:t>
            </w:r>
          </w:p>
          <w:p>
            <w:pPr>
              <w:pStyle w:val="null3"/>
              <w:ind w:left="75" w:right="30"/>
              <w:jc w:val="left"/>
            </w:pPr>
            <w:r>
              <w:rPr>
                <w:rFonts w:ascii="仿宋_GB2312" w:hAnsi="仿宋_GB2312" w:cs="仿宋_GB2312" w:eastAsia="仿宋_GB2312"/>
                <w:sz w:val="28"/>
                <w:color w:val="000000"/>
                <w:shd w:fill="FFFFFF" w:val="clear"/>
              </w:rPr>
              <w:t>（六）其他技术要求</w:t>
            </w:r>
          </w:p>
          <w:p>
            <w:pPr>
              <w:pStyle w:val="null3"/>
              <w:ind w:left="75" w:right="30"/>
              <w:jc w:val="left"/>
            </w:pPr>
            <w:r>
              <w:rPr>
                <w:rFonts w:ascii="仿宋_GB2312" w:hAnsi="仿宋_GB2312" w:cs="仿宋_GB2312" w:eastAsia="仿宋_GB2312"/>
                <w:sz w:val="28"/>
                <w:color w:val="000000"/>
                <w:shd w:fill="FFFFFF" w:val="clear"/>
              </w:rPr>
              <w:t>6.1 系统支持提供数字化病案除人工审核外的其他审核校验手段和技术及方案；系统能够支持详细信息，可导入的姓名，年龄，住院日期，出院日期，科室、主要诊断、主要诊断编码，主要手术和主要手术编码。</w:t>
            </w:r>
          </w:p>
          <w:p>
            <w:pPr>
              <w:pStyle w:val="null3"/>
              <w:ind w:left="75" w:right="30"/>
              <w:jc w:val="left"/>
            </w:pPr>
            <w:r>
              <w:rPr>
                <w:rFonts w:ascii="仿宋_GB2312" w:hAnsi="仿宋_GB2312" w:cs="仿宋_GB2312" w:eastAsia="仿宋_GB2312"/>
                <w:sz w:val="28"/>
                <w:color w:val="000000"/>
                <w:shd w:fill="FFFFFF" w:val="clear"/>
              </w:rPr>
              <w:t>6.2 对原始纸质病案应用数码技术分页数字化加工制作，形成数码图像；</w:t>
            </w:r>
          </w:p>
          <w:p>
            <w:pPr>
              <w:pStyle w:val="null3"/>
              <w:ind w:left="75" w:right="30"/>
              <w:jc w:val="left"/>
            </w:pPr>
            <w:r>
              <w:rPr>
                <w:rFonts w:ascii="仿宋_GB2312" w:hAnsi="仿宋_GB2312" w:cs="仿宋_GB2312" w:eastAsia="仿宋_GB2312"/>
                <w:sz w:val="28"/>
                <w:color w:val="000000"/>
                <w:shd w:fill="FFFFFF" w:val="clear"/>
              </w:rPr>
              <w:t>图像高清，数字化病案的图像尺寸为</w:t>
            </w:r>
            <w:r>
              <w:rPr>
                <w:rFonts w:ascii="仿宋_GB2312" w:hAnsi="仿宋_GB2312" w:cs="仿宋_GB2312" w:eastAsia="仿宋_GB2312"/>
                <w:sz w:val="28"/>
                <w:color w:val="000000"/>
                <w:shd w:fill="FFFFFF" w:val="clear"/>
              </w:rPr>
              <w:t>2048×1536及以上，必须同时提供彩色图像和黑白图像二份图片。</w:t>
            </w:r>
          </w:p>
          <w:p>
            <w:pPr>
              <w:pStyle w:val="null3"/>
              <w:ind w:left="75" w:right="30"/>
              <w:jc w:val="left"/>
            </w:pPr>
            <w:r>
              <w:rPr>
                <w:rFonts w:ascii="仿宋_GB2312" w:hAnsi="仿宋_GB2312" w:cs="仿宋_GB2312" w:eastAsia="仿宋_GB2312"/>
                <w:sz w:val="28"/>
                <w:color w:val="000000"/>
                <w:shd w:fill="FFFFFF" w:val="clear"/>
              </w:rPr>
              <w:t>6.3 病案数字化系统是医院信息化建设的重要组成部分，需要整合到电子病历系统以及医院病案数字化信息平台中，以实现医院各系统的互联互通。</w:t>
            </w:r>
          </w:p>
          <w:p>
            <w:pPr>
              <w:pStyle w:val="null3"/>
              <w:ind w:left="75" w:right="30"/>
              <w:jc w:val="left"/>
            </w:pPr>
            <w:r>
              <w:rPr>
                <w:rFonts w:ascii="仿宋_GB2312" w:hAnsi="仿宋_GB2312" w:cs="仿宋_GB2312" w:eastAsia="仿宋_GB2312"/>
                <w:sz w:val="28"/>
                <w:color w:val="000000"/>
                <w:shd w:fill="FFFFFF" w:val="clear"/>
              </w:rPr>
              <w:t>6.4 系统需提供病案质量自动审核功能，达到自动筛选出问题病案，并实现导出功能；系统符合国家信息化建设标准和功能指引，符合医院实际需求；系统采用开放性设计，能根据医院实际需求进行应用系统的功能重组、二次开发。</w:t>
            </w:r>
          </w:p>
          <w:p>
            <w:pPr>
              <w:pStyle w:val="null3"/>
              <w:ind w:left="75" w:right="30"/>
              <w:jc w:val="left"/>
            </w:pPr>
            <w:r>
              <w:rPr>
                <w:rFonts w:ascii="仿宋_GB2312" w:hAnsi="仿宋_GB2312" w:cs="仿宋_GB2312" w:eastAsia="仿宋_GB2312"/>
                <w:sz w:val="28"/>
                <w:color w:val="000000"/>
                <w:shd w:fill="FFFFFF" w:val="clear"/>
              </w:rPr>
              <w:t>6.5 供应商需在病案数字化扫描过程中增加实体病案出库和加工完成后入库定位点对点的病案示踪功能。</w:t>
            </w:r>
          </w:p>
          <w:p>
            <w:pPr>
              <w:pStyle w:val="null3"/>
              <w:ind w:left="75" w:right="30"/>
              <w:jc w:val="left"/>
            </w:pPr>
            <w:r>
              <w:rPr>
                <w:rFonts w:ascii="仿宋_GB2312" w:hAnsi="仿宋_GB2312" w:cs="仿宋_GB2312" w:eastAsia="仿宋_GB2312"/>
                <w:sz w:val="28"/>
                <w:color w:val="000000"/>
                <w:shd w:fill="FFFFFF" w:val="clear"/>
              </w:rPr>
              <w:t>6.6供应商需完成基于数字化病案的预约复印申请、病人身份审核、预约复印病历。</w:t>
            </w:r>
          </w:p>
          <w:p>
            <w:pPr>
              <w:pStyle w:val="null3"/>
              <w:ind w:left="75" w:right="30"/>
              <w:jc w:val="left"/>
            </w:pPr>
            <w:r>
              <w:rPr>
                <w:rFonts w:ascii="仿宋_GB2312" w:hAnsi="仿宋_GB2312" w:cs="仿宋_GB2312" w:eastAsia="仿宋_GB2312"/>
                <w:sz w:val="28"/>
                <w:color w:val="000000"/>
                <w:shd w:fill="FFFFFF" w:val="clear"/>
              </w:rPr>
              <w:t>6.7 系统病案检索有单一和组合模式，按使用者需求检索所需病案。</w:t>
            </w:r>
          </w:p>
          <w:p>
            <w:pPr>
              <w:pStyle w:val="null3"/>
              <w:ind w:left="75" w:right="30"/>
              <w:jc w:val="left"/>
            </w:pPr>
            <w:r>
              <w:rPr>
                <w:rFonts w:ascii="仿宋_GB2312" w:hAnsi="仿宋_GB2312" w:cs="仿宋_GB2312" w:eastAsia="仿宋_GB2312"/>
                <w:sz w:val="28"/>
                <w:color w:val="000000"/>
                <w:shd w:fill="FFFFFF" w:val="clear"/>
              </w:rPr>
              <w:t>6.8 阅读显示病案图像具有水印，能防范数码相机偷拍。屏蔽非法拷贝病案，具有彩色和黑白阅读打印功能。</w:t>
            </w:r>
          </w:p>
          <w:p>
            <w:pPr>
              <w:pStyle w:val="null3"/>
              <w:ind w:left="75" w:right="30"/>
              <w:jc w:val="left"/>
            </w:pPr>
            <w:r>
              <w:rPr>
                <w:rFonts w:ascii="仿宋_GB2312" w:hAnsi="仿宋_GB2312" w:cs="仿宋_GB2312" w:eastAsia="仿宋_GB2312"/>
                <w:sz w:val="28"/>
                <w:color w:val="000000"/>
                <w:shd w:fill="FFFFFF" w:val="clear"/>
              </w:rPr>
              <w:t>▲6.9 设有使用权限数字化病案功能；设有网络申请和审批使用数字化病案功能；设有授权的时段内（永久、年、月、日、小时）功能（超出时间范围自动屏蔽）；医保、商业保险公司以及公检法等外部用户可以按系统临时授予的权限查看病案。</w:t>
            </w:r>
          </w:p>
          <w:p>
            <w:pPr>
              <w:pStyle w:val="null3"/>
              <w:ind w:left="75" w:right="30"/>
              <w:jc w:val="left"/>
            </w:pPr>
            <w:r>
              <w:rPr>
                <w:rFonts w:ascii="仿宋_GB2312" w:hAnsi="仿宋_GB2312" w:cs="仿宋_GB2312" w:eastAsia="仿宋_GB2312"/>
                <w:sz w:val="28"/>
                <w:color w:val="000000"/>
                <w:shd w:fill="FFFFFF" w:val="clear"/>
              </w:rPr>
              <w:t>6.10 病案访问权限分为阅读、打印和导出三类，每一级权限向下兼容，访问控制包括用户组权限、科室权限、有效期限制、医学分类限制、IP地址限制、显示字段限制和特殊病案锁定。</w:t>
            </w:r>
          </w:p>
          <w:p>
            <w:pPr>
              <w:pStyle w:val="null3"/>
              <w:ind w:left="75" w:right="30"/>
              <w:jc w:val="left"/>
            </w:pPr>
            <w:r>
              <w:rPr>
                <w:rFonts w:ascii="仿宋_GB2312" w:hAnsi="仿宋_GB2312" w:cs="仿宋_GB2312" w:eastAsia="仿宋_GB2312"/>
                <w:sz w:val="28"/>
                <w:color w:val="000000"/>
                <w:shd w:fill="FFFFFF" w:val="clear"/>
              </w:rPr>
              <w:t>6.11 系统自动记录用户在系统内所有操作的详细日志，并可形成报表，便于回溯追踪；系统可实现对病案数据的磁盘备份，提供定时定期的数据备份以及还原功能。</w:t>
            </w:r>
          </w:p>
          <w:p>
            <w:pPr>
              <w:pStyle w:val="null3"/>
              <w:ind w:left="75" w:right="30"/>
              <w:jc w:val="left"/>
            </w:pPr>
            <w:r>
              <w:rPr>
                <w:rFonts w:ascii="仿宋_GB2312" w:hAnsi="仿宋_GB2312" w:cs="仿宋_GB2312" w:eastAsia="仿宋_GB2312"/>
                <w:sz w:val="28"/>
                <w:color w:val="000000"/>
                <w:shd w:fill="FFFFFF" w:val="clear"/>
              </w:rPr>
              <w:t>6.12 数字化病案的图像清晰、无歪斜、打印清晰，每幅图像均有属性标注，病历索引数据与病历图像对应完全正确。</w:t>
            </w:r>
          </w:p>
          <w:p>
            <w:pPr>
              <w:pStyle w:val="null3"/>
              <w:ind w:left="75" w:right="30"/>
              <w:jc w:val="left"/>
            </w:pPr>
            <w:r>
              <w:rPr>
                <w:rFonts w:ascii="仿宋_GB2312" w:hAnsi="仿宋_GB2312" w:cs="仿宋_GB2312" w:eastAsia="仿宋_GB2312"/>
                <w:sz w:val="28"/>
                <w:color w:val="000000"/>
                <w:shd w:fill="FFFFFF" w:val="clear"/>
              </w:rPr>
              <w:t>▲6.13 病案数字化设备支持双流输出，即可同时输出彩色和黑白图像。（供应商须提供承诺函并加盖供应商公章（鲜章））</w:t>
            </w:r>
          </w:p>
          <w:p>
            <w:pPr>
              <w:pStyle w:val="null3"/>
              <w:ind w:left="75" w:right="30"/>
              <w:jc w:val="left"/>
            </w:pPr>
            <w:r>
              <w:rPr>
                <w:rFonts w:ascii="仿宋_GB2312" w:hAnsi="仿宋_GB2312" w:cs="仿宋_GB2312" w:eastAsia="仿宋_GB2312"/>
                <w:sz w:val="28"/>
                <w:color w:val="000000"/>
                <w:shd w:fill="FFFFFF" w:val="clear"/>
              </w:rPr>
              <w:t>▲6.14 彩色图像采用JPEG2000格式存储，文件平均大小232Kb之内，黑白图像采用TIFF格式存储，文件平均大小65Kb以内，图像高清，数字化病案的图像尺寸为2048×1536（310万像素）及以上。采用通用图片阅读软件，可读取和识别全量信息，不得进行加密和信息覆盖处理。（供应商须提供承诺函并加盖供应商公章（鲜章））</w:t>
            </w:r>
          </w:p>
          <w:p>
            <w:pPr>
              <w:pStyle w:val="null3"/>
              <w:ind w:left="75" w:right="30"/>
              <w:jc w:val="left"/>
            </w:pPr>
            <w:r>
              <w:rPr>
                <w:rFonts w:ascii="仿宋_GB2312" w:hAnsi="仿宋_GB2312" w:cs="仿宋_GB2312" w:eastAsia="仿宋_GB2312"/>
                <w:sz w:val="28"/>
                <w:color w:val="000000"/>
                <w:shd w:fill="FFFFFF" w:val="clear"/>
              </w:rPr>
              <w:t>▲6.15 按照中华人民共和国档案行业标准《纸质档案数字化规范》（DA/T31-2017）和《GB/T 33190-2016电子文件存储与交换格式-版式文档》要求，系统需支持病案批量存储为PDF、OFD（开放版式文档 Open Fixed-layout Document 的英文缩写，是我国国家版式文档格式标准）格式的病案电子文档。</w:t>
            </w:r>
          </w:p>
          <w:p>
            <w:pPr>
              <w:pStyle w:val="null3"/>
              <w:ind w:left="75" w:right="30"/>
              <w:jc w:val="left"/>
            </w:pPr>
            <w:r>
              <w:rPr>
                <w:rFonts w:ascii="仿宋_GB2312" w:hAnsi="仿宋_GB2312" w:cs="仿宋_GB2312" w:eastAsia="仿宋_GB2312"/>
                <w:sz w:val="28"/>
                <w:color w:val="000000"/>
                <w:shd w:fill="FFFFFF" w:val="clear"/>
              </w:rPr>
              <w:t>★6.16 兼容性：为医院搭建病案数字化管理系统（数字化管理系统包括病案加工系统、窗口打印系统、病案查询系统、纸质病案管理系统），实现院内信息化应用。数字化病案图像浏览等软件兼容好，能方便医院后期的信息整合和调用等。前期必须充分了解我院现有病案数字化项目现状，整合为统一应用，统一完成一个界面调用所有数字化相关数据，并能够准确显示病案医学分类。由此产生的费用由成交供应商负责承担，医院不再额外支付，并提供相关承诺函。该功能于成交后5个工作日内，按照采购文件要求和响应文件应答进行病案数字化管理系统测试，并在1个工作日完成测试；在30个工作日内，完成微信预约模块、现场打印自主设备测试；如果不符，视为虚假响应，院方将追究其责任。</w:t>
            </w:r>
          </w:p>
          <w:p>
            <w:pPr>
              <w:pStyle w:val="null3"/>
              <w:ind w:left="75" w:right="30"/>
              <w:jc w:val="left"/>
            </w:pPr>
            <w:r>
              <w:rPr>
                <w:rFonts w:ascii="仿宋_GB2312" w:hAnsi="仿宋_GB2312" w:cs="仿宋_GB2312" w:eastAsia="仿宋_GB2312"/>
                <w:sz w:val="28"/>
                <w:color w:val="000000"/>
                <w:shd w:fill="FFFFFF" w:val="clear"/>
              </w:rPr>
              <w:t>6.17 原始纸质病案使用条形码技术装箱保存，定位管理，便于对原始纸质病的快速查找，并运送指定存放点；打印病历复印要求：打印病历范围，选择商业保险模板、医保模板就可自动匹配打印。</w:t>
            </w:r>
          </w:p>
          <w:p>
            <w:pPr>
              <w:pStyle w:val="null3"/>
              <w:ind w:left="75" w:right="30"/>
              <w:jc w:val="left"/>
            </w:pPr>
            <w:r>
              <w:rPr>
                <w:rFonts w:ascii="仿宋_GB2312" w:hAnsi="仿宋_GB2312" w:cs="仿宋_GB2312" w:eastAsia="仿宋_GB2312"/>
                <w:sz w:val="28"/>
                <w:color w:val="000000"/>
                <w:shd w:fill="FFFFFF" w:val="clear"/>
              </w:rPr>
              <w:t>▲6.18 具有整合原翻拍数据能力或案例，并对原有翻拍数据进行影像和数据整合，实现统一软件管理和服务。（供应商须提供承诺函并加盖供应商公章（鲜章））</w:t>
            </w:r>
          </w:p>
          <w:p>
            <w:pPr>
              <w:pStyle w:val="null3"/>
              <w:ind w:left="75" w:right="30"/>
              <w:jc w:val="left"/>
            </w:pPr>
            <w:r>
              <w:rPr>
                <w:rFonts w:ascii="仿宋_GB2312" w:hAnsi="仿宋_GB2312" w:cs="仿宋_GB2312" w:eastAsia="仿宋_GB2312"/>
                <w:sz w:val="28"/>
                <w:color w:val="000000"/>
                <w:shd w:fill="FFFFFF" w:val="clear"/>
              </w:rPr>
              <w:t>6.19 病案查阅和导出时，具有医院LOGO、医院名称、医师签名、患者关键信息脱敏功能。</w:t>
            </w:r>
          </w:p>
          <w:p>
            <w:pPr>
              <w:pStyle w:val="null3"/>
              <w:ind w:left="75" w:right="30"/>
              <w:jc w:val="left"/>
            </w:pPr>
            <w:r>
              <w:rPr>
                <w:rFonts w:ascii="仿宋_GB2312" w:hAnsi="仿宋_GB2312" w:cs="仿宋_GB2312" w:eastAsia="仿宋_GB2312"/>
                <w:sz w:val="28"/>
                <w:color w:val="000000"/>
                <w:shd w:fill="FFFFFF" w:val="clear"/>
              </w:rPr>
              <w:t>▲6.20 具有对接院内病案归档系统数据的能力，且能完整进行数字签名，及签名数据验证。</w:t>
            </w:r>
          </w:p>
          <w:p>
            <w:pPr>
              <w:pStyle w:val="null3"/>
              <w:ind w:left="75" w:right="30"/>
              <w:jc w:val="left"/>
            </w:pPr>
            <w:r>
              <w:rPr>
                <w:rFonts w:ascii="仿宋_GB2312" w:hAnsi="仿宋_GB2312" w:cs="仿宋_GB2312" w:eastAsia="仿宋_GB2312"/>
                <w:sz w:val="28"/>
                <w:color w:val="000000"/>
                <w:shd w:fill="FFFFFF" w:val="clear"/>
              </w:rPr>
              <w:t>▲6.21 具有通过接口调用web访问缩微病案、通过接口下载（批量下载）非加密缩微图片（支持jpg\jpeg\png\pdf\ofd）。</w:t>
            </w:r>
          </w:p>
          <w:p>
            <w:pPr>
              <w:pStyle w:val="null3"/>
              <w:ind w:left="75" w:right="30"/>
              <w:jc w:val="left"/>
            </w:pPr>
            <w:r>
              <w:rPr>
                <w:rFonts w:ascii="仿宋_GB2312" w:hAnsi="仿宋_GB2312" w:cs="仿宋_GB2312" w:eastAsia="仿宋_GB2312"/>
                <w:sz w:val="28"/>
                <w:color w:val="000000"/>
                <w:shd w:fill="FFFFFF" w:val="clear"/>
              </w:rPr>
              <w:t>▲6.22病案扫描差错率高于万分之三时，系统将自动预警提示。病案扫描数字化完成后,负责对病案装箱定位，系统支持调阅显示每份病案定位信息。</w:t>
            </w:r>
          </w:p>
          <w:p>
            <w:pPr>
              <w:pStyle w:val="null3"/>
              <w:jc w:val="left"/>
            </w:pPr>
            <w:r>
              <w:rPr>
                <w:rFonts w:ascii="仿宋_GB2312" w:hAnsi="仿宋_GB2312" w:cs="仿宋_GB2312" w:eastAsia="仿宋_GB2312"/>
                <w:sz w:val="28"/>
                <w:color w:val="000000"/>
                <w:shd w:fill="FFFFFF" w:val="clear"/>
              </w:rPr>
              <w:t>▲6.23项目硬件要求：供应商自行配备病案数字化扫描使用所需的硬件设施，确保每位翻拍人员至少配置一套相关设备，每套设备至少包括高拍仪、电脑。</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left="75" w:right="30"/>
              <w:jc w:val="left"/>
            </w:pPr>
            <w:r>
              <w:rPr>
                <w:rFonts w:ascii="仿宋_GB2312" w:hAnsi="仿宋_GB2312" w:cs="仿宋_GB2312" w:eastAsia="仿宋_GB2312"/>
                <w:sz w:val="28"/>
                <w:color w:val="000000"/>
                <w:shd w:fill="FFFFFF" w:val="clear"/>
              </w:rPr>
              <w:t>★二、服务要求：</w:t>
            </w:r>
          </w:p>
          <w:p>
            <w:pPr>
              <w:pStyle w:val="null3"/>
              <w:ind w:left="75" w:right="30"/>
              <w:jc w:val="left"/>
            </w:pPr>
            <w:r>
              <w:rPr>
                <w:rFonts w:ascii="仿宋_GB2312" w:hAnsi="仿宋_GB2312" w:cs="仿宋_GB2312" w:eastAsia="仿宋_GB2312"/>
                <w:sz w:val="28"/>
                <w:color w:val="000000"/>
                <w:shd w:fill="FFFFFF" w:val="clear"/>
              </w:rPr>
              <w:t>（一）在</w:t>
            </w:r>
            <w:r>
              <w:rPr>
                <w:rFonts w:ascii="仿宋_GB2312" w:hAnsi="仿宋_GB2312" w:cs="仿宋_GB2312" w:eastAsia="仿宋_GB2312"/>
                <w:sz w:val="28"/>
                <w:color w:val="000000"/>
                <w:shd w:fill="FFFFFF" w:val="clear"/>
              </w:rPr>
              <w:t>36个月内完成院方的约20万份（约461万页）纸质病案（整份病案或病案中部分文书）数字化工作，以实际翻拍加工数量结算项目款项。报价由纸质病案数字化制作（实际翻拍页数*单价）和病案无纸化归档接口人工服务年度费用、病案微信预约平台维护年度费用等三部分构成。</w:t>
            </w:r>
          </w:p>
          <w:p>
            <w:pPr>
              <w:pStyle w:val="null3"/>
              <w:ind w:left="75" w:right="30"/>
              <w:jc w:val="left"/>
            </w:pPr>
            <w:r>
              <w:rPr>
                <w:rFonts w:ascii="仿宋_GB2312" w:hAnsi="仿宋_GB2312" w:cs="仿宋_GB2312" w:eastAsia="仿宋_GB2312"/>
                <w:sz w:val="28"/>
                <w:color w:val="000000"/>
                <w:shd w:fill="FFFFFF" w:val="clear"/>
              </w:rPr>
              <w:t>（二）项目整体要求：按采购人要求完成病案数字化项目相关工作并通过验收。</w:t>
            </w:r>
          </w:p>
          <w:p>
            <w:pPr>
              <w:pStyle w:val="null3"/>
              <w:ind w:left="75" w:right="30"/>
              <w:jc w:val="left"/>
            </w:pPr>
            <w:r>
              <w:rPr>
                <w:rFonts w:ascii="仿宋_GB2312" w:hAnsi="仿宋_GB2312" w:cs="仿宋_GB2312" w:eastAsia="仿宋_GB2312"/>
                <w:sz w:val="28"/>
                <w:color w:val="000000"/>
                <w:shd w:fill="FFFFFF" w:val="clear"/>
              </w:rPr>
              <w:t>（三）项目工作人员配置要求：项目经理不低于</w:t>
            </w:r>
            <w:r>
              <w:rPr>
                <w:rFonts w:ascii="仿宋_GB2312" w:hAnsi="仿宋_GB2312" w:cs="仿宋_GB2312" w:eastAsia="仿宋_GB2312"/>
                <w:sz w:val="28"/>
                <w:color w:val="000000"/>
                <w:shd w:fill="FFFFFF" w:val="clear"/>
              </w:rPr>
              <w:t>1人,驻场管理人员不低于1人,病历数字化翻拍质量审核人员与驻场翻拍人员配比不得低于1：3，驻场翻拍人员不低于4人。</w:t>
            </w:r>
          </w:p>
          <w:p>
            <w:pPr>
              <w:pStyle w:val="null3"/>
              <w:jc w:val="left"/>
            </w:pPr>
            <w:r>
              <w:rPr>
                <w:rFonts w:ascii="仿宋_GB2312" w:hAnsi="仿宋_GB2312" w:cs="仿宋_GB2312" w:eastAsia="仿宋_GB2312"/>
                <w:sz w:val="28"/>
                <w:color w:val="000000"/>
                <w:shd w:fill="FFFFFF" w:val="clear"/>
              </w:rPr>
              <w:t>（四）工作时间要求：每周一至周五</w:t>
            </w:r>
            <w:r>
              <w:rPr>
                <w:rFonts w:ascii="仿宋_GB2312" w:hAnsi="仿宋_GB2312" w:cs="仿宋_GB2312" w:eastAsia="仿宋_GB2312"/>
                <w:sz w:val="28"/>
                <w:color w:val="000000"/>
                <w:shd w:fill="FFFFFF" w:val="clear"/>
              </w:rPr>
              <w:t>,每天工作不低于8小时.在保证扫描质量的前提下,翻拍人员每天制作成品不低于5000张。</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售后服务要求</w:t>
            </w:r>
          </w:p>
        </w:tc>
        <w:tc>
          <w:tcPr>
            <w:tcW w:type="dxa" w:w="5814"/>
          </w:tcPr>
          <w:p>
            <w:pPr>
              <w:pStyle w:val="null3"/>
              <w:ind w:left="75" w:right="30"/>
              <w:jc w:val="left"/>
            </w:pPr>
            <w:r>
              <w:rPr>
                <w:rFonts w:ascii="仿宋_GB2312" w:hAnsi="仿宋_GB2312" w:cs="仿宋_GB2312" w:eastAsia="仿宋_GB2312"/>
                <w:sz w:val="28"/>
                <w:color w:val="000000"/>
                <w:shd w:fill="FFFFFF" w:val="clear"/>
              </w:rPr>
              <w:t>★三、售后服务要求</w:t>
            </w:r>
          </w:p>
          <w:p>
            <w:pPr>
              <w:pStyle w:val="null3"/>
              <w:ind w:left="75" w:right="60"/>
              <w:jc w:val="left"/>
            </w:pPr>
            <w:r>
              <w:rPr>
                <w:rFonts w:ascii="仿宋_GB2312" w:hAnsi="仿宋_GB2312" w:cs="仿宋_GB2312" w:eastAsia="仿宋_GB2312"/>
                <w:sz w:val="28"/>
                <w:color w:val="000000"/>
                <w:shd w:fill="FFFFFF" w:val="clear"/>
              </w:rPr>
              <w:t>（一）接到故障通知后，</w:t>
            </w:r>
            <w:r>
              <w:rPr>
                <w:rFonts w:ascii="仿宋_GB2312" w:hAnsi="仿宋_GB2312" w:cs="仿宋_GB2312" w:eastAsia="仿宋_GB2312"/>
                <w:sz w:val="28"/>
                <w:color w:val="000000"/>
                <w:shd w:fill="FFFFFF" w:val="clear"/>
              </w:rPr>
              <w:t>2小时内作出处理方案，如2小时内无法电话解决故障，维修人员必须在6小时之内到达现场（含节假日）。</w:t>
            </w:r>
          </w:p>
          <w:p>
            <w:pPr>
              <w:pStyle w:val="null3"/>
              <w:ind w:left="75" w:right="30"/>
              <w:jc w:val="left"/>
            </w:pPr>
            <w:r>
              <w:rPr>
                <w:rFonts w:ascii="仿宋_GB2312" w:hAnsi="仿宋_GB2312" w:cs="仿宋_GB2312" w:eastAsia="仿宋_GB2312"/>
                <w:sz w:val="28"/>
                <w:color w:val="000000"/>
                <w:shd w:fill="FFFFFF" w:val="clear"/>
              </w:rPr>
              <w:t>（二）项目中软件部分自合同签订之日起采购人具有终身使用的权利。</w:t>
            </w:r>
          </w:p>
          <w:p>
            <w:pPr>
              <w:pStyle w:val="null3"/>
              <w:ind w:left="75" w:right="30"/>
              <w:jc w:val="left"/>
            </w:pPr>
            <w:r>
              <w:rPr>
                <w:rFonts w:ascii="仿宋_GB2312" w:hAnsi="仿宋_GB2312" w:cs="仿宋_GB2312" w:eastAsia="仿宋_GB2312"/>
                <w:sz w:val="28"/>
                <w:color w:val="000000"/>
                <w:shd w:fill="FFFFFF" w:val="clear"/>
              </w:rPr>
              <w:t>（三）供应商在质保期内应每季度巡检一次，所需费用包含在响应总价中。</w:t>
            </w:r>
          </w:p>
          <w:p>
            <w:pPr>
              <w:pStyle w:val="null3"/>
              <w:ind w:left="75" w:right="30"/>
              <w:jc w:val="left"/>
            </w:pPr>
            <w:r>
              <w:rPr>
                <w:rFonts w:ascii="仿宋_GB2312" w:hAnsi="仿宋_GB2312" w:cs="仿宋_GB2312" w:eastAsia="仿宋_GB2312"/>
                <w:sz w:val="28"/>
                <w:color w:val="000000"/>
                <w:shd w:fill="FFFFFF" w:val="clear"/>
              </w:rPr>
              <w:t>（四）对于国家政策变化或指令性任务，供应商应根据要求及时完成。</w:t>
            </w:r>
          </w:p>
          <w:p>
            <w:pPr>
              <w:pStyle w:val="null3"/>
              <w:ind w:left="75" w:right="30"/>
              <w:jc w:val="left"/>
            </w:pPr>
            <w:r>
              <w:rPr>
                <w:rFonts w:ascii="仿宋_GB2312" w:hAnsi="仿宋_GB2312" w:cs="仿宋_GB2312" w:eastAsia="仿宋_GB2312"/>
                <w:sz w:val="28"/>
                <w:color w:val="000000"/>
                <w:shd w:fill="FFFFFF" w:val="clear"/>
              </w:rPr>
              <w:t>（五）对于提供的硬件需提供至少三年质保。</w:t>
            </w:r>
          </w:p>
          <w:p>
            <w:pPr>
              <w:pStyle w:val="null3"/>
              <w:jc w:val="left"/>
            </w:pPr>
            <w:r>
              <w:rPr>
                <w:rFonts w:ascii="仿宋_GB2312" w:hAnsi="仿宋_GB2312" w:cs="仿宋_GB2312" w:eastAsia="仿宋_GB2312"/>
                <w:sz w:val="28"/>
                <w:color w:val="000000"/>
                <w:shd w:fill="FFFFFF" w:val="clear"/>
              </w:rPr>
              <w:t>（六）产品承诺软件功能在签订合同</w:t>
            </w:r>
            <w:r>
              <w:rPr>
                <w:rFonts w:ascii="仿宋_GB2312" w:hAnsi="仿宋_GB2312" w:cs="仿宋_GB2312" w:eastAsia="仿宋_GB2312"/>
                <w:sz w:val="28"/>
                <w:color w:val="000000"/>
                <w:shd w:fill="FFFFFF" w:val="clear"/>
              </w:rPr>
              <w:t>1个月内完成功能验收。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成果交付要求</w:t>
            </w:r>
          </w:p>
        </w:tc>
        <w:tc>
          <w:tcPr>
            <w:tcW w:type="dxa" w:w="5814"/>
          </w:tcPr>
          <w:p>
            <w:pPr>
              <w:pStyle w:val="null3"/>
              <w:ind w:left="75" w:right="30"/>
              <w:jc w:val="left"/>
            </w:pPr>
            <w:r>
              <w:rPr>
                <w:rFonts w:ascii="仿宋_GB2312" w:hAnsi="仿宋_GB2312" w:cs="仿宋_GB2312" w:eastAsia="仿宋_GB2312"/>
                <w:sz w:val="28"/>
                <w:color w:val="000000"/>
                <w:shd w:fill="FFFFFF" w:val="clear"/>
              </w:rPr>
              <w:t>★四、成果交付要求</w:t>
            </w:r>
          </w:p>
          <w:p>
            <w:pPr>
              <w:pStyle w:val="null3"/>
              <w:ind w:left="75" w:right="30"/>
              <w:jc w:val="left"/>
            </w:pPr>
            <w:r>
              <w:rPr>
                <w:rFonts w:ascii="仿宋_GB2312" w:hAnsi="仿宋_GB2312" w:cs="仿宋_GB2312" w:eastAsia="仿宋_GB2312"/>
                <w:sz w:val="28"/>
                <w:color w:val="000000"/>
                <w:shd w:fill="FFFFFF" w:val="clear"/>
              </w:rPr>
              <w:t>（一）供应商在成交后应向采购人提供以下完整技术资料（中文）：</w:t>
            </w:r>
          </w:p>
          <w:p>
            <w:pPr>
              <w:pStyle w:val="null3"/>
              <w:ind w:left="75" w:right="30"/>
              <w:jc w:val="left"/>
            </w:pPr>
            <w:r>
              <w:rPr>
                <w:rFonts w:ascii="仿宋_GB2312" w:hAnsi="仿宋_GB2312" w:cs="仿宋_GB2312" w:eastAsia="仿宋_GB2312"/>
                <w:sz w:val="28"/>
                <w:color w:val="000000"/>
                <w:shd w:fill="FFFFFF" w:val="clear"/>
              </w:rPr>
              <w:t>1. 产品验收标准;</w:t>
            </w:r>
          </w:p>
          <w:p>
            <w:pPr>
              <w:pStyle w:val="null3"/>
              <w:ind w:left="75" w:right="30"/>
              <w:jc w:val="left"/>
            </w:pPr>
            <w:r>
              <w:rPr>
                <w:rFonts w:ascii="仿宋_GB2312" w:hAnsi="仿宋_GB2312" w:cs="仿宋_GB2312" w:eastAsia="仿宋_GB2312"/>
                <w:sz w:val="28"/>
                <w:color w:val="000000"/>
                <w:shd w:fill="FFFFFF" w:val="clear"/>
              </w:rPr>
              <w:t>2. 技术说明书;</w:t>
            </w:r>
          </w:p>
          <w:p>
            <w:pPr>
              <w:pStyle w:val="null3"/>
              <w:ind w:left="75" w:right="30"/>
              <w:jc w:val="left"/>
            </w:pPr>
            <w:r>
              <w:rPr>
                <w:rFonts w:ascii="仿宋_GB2312" w:hAnsi="仿宋_GB2312" w:cs="仿宋_GB2312" w:eastAsia="仿宋_GB2312"/>
                <w:sz w:val="28"/>
                <w:color w:val="000000"/>
                <w:shd w:fill="FFFFFF" w:val="clear"/>
              </w:rPr>
              <w:t>3. 使用说明书;</w:t>
            </w:r>
          </w:p>
          <w:p>
            <w:pPr>
              <w:pStyle w:val="null3"/>
              <w:ind w:left="75" w:right="30"/>
              <w:jc w:val="left"/>
            </w:pPr>
            <w:r>
              <w:rPr>
                <w:rFonts w:ascii="仿宋_GB2312" w:hAnsi="仿宋_GB2312" w:cs="仿宋_GB2312" w:eastAsia="仿宋_GB2312"/>
                <w:sz w:val="28"/>
                <w:color w:val="000000"/>
                <w:shd w:fill="FFFFFF" w:val="clear"/>
              </w:rPr>
              <w:t>4. 操作手册;</w:t>
            </w:r>
          </w:p>
          <w:p>
            <w:pPr>
              <w:pStyle w:val="null3"/>
              <w:ind w:left="75" w:right="30"/>
              <w:jc w:val="left"/>
            </w:pPr>
            <w:r>
              <w:rPr>
                <w:rFonts w:ascii="仿宋_GB2312" w:hAnsi="仿宋_GB2312" w:cs="仿宋_GB2312" w:eastAsia="仿宋_GB2312"/>
                <w:sz w:val="28"/>
                <w:color w:val="000000"/>
                <w:shd w:fill="FFFFFF" w:val="clear"/>
              </w:rPr>
              <w:t>5. 安装配置及维护手册。</w:t>
            </w:r>
          </w:p>
          <w:p>
            <w:pPr>
              <w:pStyle w:val="null3"/>
              <w:ind w:left="75" w:right="30"/>
              <w:jc w:val="left"/>
            </w:pPr>
            <w:r>
              <w:rPr>
                <w:rFonts w:ascii="仿宋_GB2312" w:hAnsi="仿宋_GB2312" w:cs="仿宋_GB2312" w:eastAsia="仿宋_GB2312"/>
                <w:sz w:val="28"/>
                <w:color w:val="000000"/>
                <w:shd w:fill="FFFFFF" w:val="clear"/>
              </w:rPr>
              <w:t>（二）培训：供应商需派专业技术人员到采购人指定的地点对采购人的技术人员进行系统运行、配置、维护培训，对采购人的使用人员进行操作培训。</w:t>
            </w:r>
          </w:p>
          <w:p>
            <w:pPr>
              <w:pStyle w:val="null3"/>
              <w:ind w:left="75" w:right="30"/>
              <w:jc w:val="left"/>
            </w:pPr>
            <w:r>
              <w:rPr>
                <w:rFonts w:ascii="仿宋_GB2312" w:hAnsi="仿宋_GB2312" w:cs="仿宋_GB2312" w:eastAsia="仿宋_GB2312"/>
                <w:sz w:val="28"/>
                <w:color w:val="000000"/>
                <w:shd w:fill="FFFFFF" w:val="clear"/>
              </w:rPr>
              <w:t>（三）针对本项目系统上线调试所涉及一切相关费用，由供应商承担，费用包含在响应总价中。</w:t>
            </w:r>
          </w:p>
          <w:p>
            <w:pPr>
              <w:pStyle w:val="null3"/>
              <w:ind w:left="75" w:right="30"/>
              <w:jc w:val="left"/>
            </w:pPr>
            <w:r>
              <w:rPr>
                <w:rFonts w:ascii="仿宋_GB2312" w:hAnsi="仿宋_GB2312" w:cs="仿宋_GB2312" w:eastAsia="仿宋_GB2312"/>
                <w:sz w:val="28"/>
                <w:color w:val="000000"/>
                <w:shd w:fill="FFFFFF" w:val="clear"/>
              </w:rPr>
              <w:t>（四）服务期内，供应商负责系统运维及升级服务。</w:t>
            </w:r>
          </w:p>
          <w:p>
            <w:pPr>
              <w:pStyle w:val="null3"/>
              <w:ind w:left="75" w:right="30"/>
              <w:jc w:val="left"/>
            </w:pPr>
            <w:r>
              <w:rPr>
                <w:rFonts w:ascii="仿宋_GB2312" w:hAnsi="仿宋_GB2312" w:cs="仿宋_GB2312" w:eastAsia="仿宋_GB2312"/>
                <w:sz w:val="28"/>
                <w:color w:val="000000"/>
                <w:shd w:fill="FFFFFF" w:val="clear"/>
              </w:rPr>
              <w:t>（五）本项目履行期间及期满后</w:t>
            </w:r>
            <w:r>
              <w:rPr>
                <w:rFonts w:ascii="仿宋_GB2312" w:hAnsi="仿宋_GB2312" w:cs="仿宋_GB2312" w:eastAsia="仿宋_GB2312"/>
                <w:sz w:val="28"/>
                <w:color w:val="000000"/>
                <w:shd w:fill="FFFFFF" w:val="clear"/>
              </w:rPr>
              <w:t>，供应商须对采购人得病历数据保密，不得将采购人数据内容全部或部分泄露给第三方。</w:t>
            </w:r>
          </w:p>
          <w:p>
            <w:pPr>
              <w:pStyle w:val="null3"/>
              <w:jc w:val="left"/>
            </w:pPr>
            <w:r>
              <w:rPr>
                <w:rFonts w:ascii="仿宋_GB2312" w:hAnsi="仿宋_GB2312" w:cs="仿宋_GB2312" w:eastAsia="仿宋_GB2312"/>
                <w:sz w:val="28"/>
                <w:color w:val="000000"/>
                <w:shd w:fill="FFFFFF" w:val="clear"/>
              </w:rPr>
              <w:t>（六）不得对翻拍成果加密处理，甲方可以不依靠成交供应商所提供的软件直接识别和读取翻拍图像。</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廉洁要求</w:t>
            </w:r>
          </w:p>
        </w:tc>
        <w:tc>
          <w:tcPr>
            <w:tcW w:type="dxa" w:w="5814"/>
          </w:tcPr>
          <w:p>
            <w:pPr>
              <w:pStyle w:val="null3"/>
              <w:ind w:left="75" w:right="30" w:firstLine="560"/>
              <w:jc w:val="both"/>
            </w:pPr>
            <w:r>
              <w:rPr>
                <w:rFonts w:ascii="仿宋_GB2312" w:hAnsi="仿宋_GB2312" w:cs="仿宋_GB2312" w:eastAsia="仿宋_GB2312"/>
                <w:sz w:val="28"/>
                <w:color w:val="222222"/>
              </w:rPr>
              <w:t>为确保采购活动的公平、公正和透明，维护采购人的合法权益，所有参与采购活动的供应商必须严格遵守以下廉洁自律规定：</w:t>
            </w:r>
          </w:p>
          <w:p>
            <w:pPr>
              <w:pStyle w:val="null3"/>
              <w:ind w:left="75" w:right="30" w:firstLine="560"/>
              <w:jc w:val="both"/>
            </w:pPr>
            <w:r>
              <w:rPr>
                <w:rFonts w:ascii="仿宋_GB2312" w:hAnsi="仿宋_GB2312" w:cs="仿宋_GB2312" w:eastAsia="仿宋_GB2312"/>
                <w:sz w:val="28"/>
                <w:color w:val="222222"/>
              </w:rPr>
              <w:t>（</w:t>
            </w:r>
            <w:r>
              <w:rPr>
                <w:rFonts w:ascii="仿宋_GB2312" w:hAnsi="仿宋_GB2312" w:cs="仿宋_GB2312" w:eastAsia="仿宋_GB2312"/>
                <w:sz w:val="28"/>
                <w:color w:val="222222"/>
              </w:rPr>
              <w:t>1）廉洁自律规定</w:t>
            </w:r>
          </w:p>
          <w:p>
            <w:pPr>
              <w:pStyle w:val="null3"/>
              <w:ind w:left="75" w:right="30"/>
              <w:jc w:val="both"/>
            </w:pPr>
            <w:r>
              <w:rPr>
                <w:rFonts w:ascii="仿宋_GB2312" w:hAnsi="仿宋_GB2312" w:cs="仿宋_GB2312" w:eastAsia="仿宋_GB2312"/>
                <w:sz w:val="28"/>
                <w:color w:val="222222"/>
              </w:rPr>
              <w:t>供应商不得向采购人工作人员行贿、提供回扣或其他不正当利益。供应商不得通过任何不正当手段影响采购决策过程。</w:t>
            </w:r>
          </w:p>
          <w:p>
            <w:pPr>
              <w:pStyle w:val="null3"/>
              <w:ind w:left="75" w:right="30"/>
              <w:jc w:val="both"/>
            </w:pPr>
            <w:r>
              <w:rPr>
                <w:rFonts w:ascii="仿宋_GB2312" w:hAnsi="仿宋_GB2312" w:cs="仿宋_GB2312" w:eastAsia="仿宋_GB2312"/>
                <w:sz w:val="28"/>
                <w:color w:val="222222"/>
              </w:rPr>
              <w:t>供应商应确保其行为符合国家法律法规及行业规范，维护采购活动的公正性。</w:t>
            </w:r>
          </w:p>
          <w:p>
            <w:pPr>
              <w:pStyle w:val="null3"/>
              <w:ind w:left="75" w:right="30" w:firstLine="560"/>
              <w:jc w:val="both"/>
            </w:pPr>
            <w:r>
              <w:rPr>
                <w:rFonts w:ascii="仿宋_GB2312" w:hAnsi="仿宋_GB2312" w:cs="仿宋_GB2312" w:eastAsia="仿宋_GB2312"/>
                <w:sz w:val="28"/>
                <w:color w:val="222222"/>
              </w:rPr>
              <w:t>（</w:t>
            </w:r>
            <w:r>
              <w:rPr>
                <w:rFonts w:ascii="仿宋_GB2312" w:hAnsi="仿宋_GB2312" w:cs="仿宋_GB2312" w:eastAsia="仿宋_GB2312"/>
                <w:sz w:val="28"/>
                <w:color w:val="222222"/>
              </w:rPr>
              <w:t>2）其他要求</w:t>
            </w:r>
          </w:p>
          <w:p>
            <w:pPr>
              <w:pStyle w:val="null3"/>
              <w:ind w:left="75" w:right="30"/>
              <w:jc w:val="both"/>
            </w:pPr>
            <w:r>
              <w:rPr>
                <w:rFonts w:ascii="仿宋_GB2312" w:hAnsi="仿宋_GB2312" w:cs="仿宋_GB2312" w:eastAsia="仿宋_GB2312"/>
                <w:sz w:val="28"/>
                <w:color w:val="222222"/>
              </w:rPr>
              <w:t>供应商应积极配合医院的廉洁自律检查，提供必要的文件和资料。</w:t>
            </w:r>
          </w:p>
          <w:p>
            <w:pPr>
              <w:pStyle w:val="null3"/>
              <w:ind w:left="75" w:right="30"/>
              <w:jc w:val="both"/>
            </w:pPr>
            <w:r>
              <w:rPr>
                <w:rFonts w:ascii="仿宋_GB2312" w:hAnsi="仿宋_GB2312" w:cs="仿宋_GB2312" w:eastAsia="仿宋_GB2312"/>
                <w:sz w:val="28"/>
                <w:color w:val="222222"/>
              </w:rPr>
              <w:t>供应商应定期对其员工进行廉洁自律培训，确保其员工了解并遵守相关规定。</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ind w:left="75" w:right="30" w:firstLine="560"/>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1）</w:t>
            </w:r>
            <w:r>
              <w:rPr>
                <w:rFonts w:ascii="仿宋_GB2312" w:hAnsi="仿宋_GB2312" w:cs="仿宋_GB2312" w:eastAsia="仿宋_GB2312"/>
                <w:sz w:val="28"/>
                <w:color w:val="222222"/>
              </w:rPr>
              <w:t>质量保修范围：本项目所涉及的数字化管理系统软件、相关功能模块及成交供应商提供的硬件设备。</w:t>
            </w:r>
          </w:p>
          <w:p>
            <w:pPr>
              <w:pStyle w:val="null3"/>
              <w:ind w:left="75" w:right="30" w:firstLine="560"/>
              <w:jc w:val="left"/>
            </w:pPr>
            <w:r>
              <w:rPr>
                <w:rFonts w:ascii="仿宋_GB2312" w:hAnsi="仿宋_GB2312" w:cs="仿宋_GB2312" w:eastAsia="仿宋_GB2312"/>
                <w:sz w:val="28"/>
                <w:color w:val="222222"/>
              </w:rPr>
              <w:t>（</w:t>
            </w:r>
            <w:r>
              <w:rPr>
                <w:rFonts w:ascii="仿宋_GB2312" w:hAnsi="仿宋_GB2312" w:cs="仿宋_GB2312" w:eastAsia="仿宋_GB2312"/>
                <w:sz w:val="28"/>
                <w:color w:val="222222"/>
              </w:rPr>
              <w:t>2）软硬件质保期：项目整体最终验收合格之日起36个月，质保费用已包含在响应报价总价中，采购人不单独支付费用。</w:t>
            </w:r>
          </w:p>
          <w:p>
            <w:pPr>
              <w:pStyle w:val="null3"/>
              <w:ind w:left="75" w:right="30" w:firstLine="560"/>
              <w:jc w:val="left"/>
            </w:pPr>
            <w:r>
              <w:rPr>
                <w:rFonts w:ascii="仿宋_GB2312" w:hAnsi="仿宋_GB2312" w:cs="仿宋_GB2312" w:eastAsia="仿宋_GB2312"/>
                <w:sz w:val="28"/>
                <w:color w:val="222222"/>
              </w:rPr>
              <w:t>（</w:t>
            </w:r>
            <w:r>
              <w:rPr>
                <w:rFonts w:ascii="仿宋_GB2312" w:hAnsi="仿宋_GB2312" w:cs="仿宋_GB2312" w:eastAsia="仿宋_GB2312"/>
                <w:sz w:val="28"/>
                <w:color w:val="222222"/>
              </w:rPr>
              <w:t>3）合同期满，已过软件质保期，软件改造、维护服务费用另行约定。若采购人涉及数据迁移，供应商应无条件配合采购人完成全部数据迁移工作。</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自合同签订之日起1095个日历天。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采购人指定地点。（自贡市第四人民医院）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①验收标准： A.数字化病案图像是否与纸质病案完全一致。 B.数字化病案图像格式和清晰度是否符合要求。 C.数字化病案的文件夹命名是否合乎标准，是否已分段。 D.差错率：依据“中华人民共和国档案行业标准《纸质档案数字化规范》（DA/T31-2017）”12.3之规定，数字化转换质量抽检的合格率应≧95%。 E.首页信息的主要数据项（姓名、病案号、出院日期、主要诊断、手术）的差错率不得超过3‰。 F.未尽事宜按照合同约定履约验收标准。 ②验收方法：其他未尽事宜严格按照政府采购相关法律法规以及《财政部关于进一步加强政府采购需求和履约验收管理的指导意见》（财库〔2016〕205号）、《自贡市政府采购履约验收管理办法》（自财规〔2023〕2号）文件的要求、采购文件规定的要求和供应商的响应文件及合同约定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1、预付款，合同签订并生效后，收到成交供应商提供的合法有效完整的完税发票及凭证资料后，达到付款条件起14日内，据实结算说明为支付合同总金额的40%</w:t>
            </w:r>
          </w:p>
          <w:p>
            <w:pPr>
              <w:pStyle w:val="null3"/>
              <w:jc w:val="left"/>
            </w:pPr>
            <w:r>
              <w:rPr>
                <w:rFonts w:ascii="仿宋_GB2312" w:hAnsi="仿宋_GB2312" w:cs="仿宋_GB2312" w:eastAsia="仿宋_GB2312"/>
              </w:rPr>
              <w:t>2、据实结算，按季支付，【在软件功能全面验证测试通过后，由采购人根据每个季度实际扫描数量进行结算，（如果考核合格继续执行合同情况下，预付款顺延至下个季度，直至预付款抵扣完为止。如果考核不合格需解除合同情况下或者在合同服务期最后一个季度付款结算时应从未结算款中全额扣回预付款），每批次采购人验收通过后，收到成交供应商提供合法有效完整的完税发票及凭证资料，并完成院内审批流程10个工作日内，以转账或电汇方式向成交供应商进行支付。本付款方式直至本合同终止。】，达到付款条件起14日内，据实结算说明为支付每季度实际发生量的100%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①违约责任 A.延期交付违约责任：因成交供应商原因，未按期通过软件功能验收或未按期完成阶段性扫描任务的，每逾期一日，成交供应商应向采购人支付合同总价的千分之一的违约金。若逾期超过30日的，采购人有权单方解除合同，损失由成交供应商承担。 B.质量不合格违约责任：任意季度验收时，扫描差错率未达到合同约定标准（若合格率低于95%），供应商应在接到采购人通知后10日内返工矫正，费用由供应商自行承担。若返工后仍不合格，采购人有权按照该批次不合格页数对应的服务费的双倍扣减结算金额。 C.保密条款违约责任：若成交供应商或其工作人员违反保密义务，泄露、出售、非法使用采购人病案数据的，每发现一次，供应商应向采购人支付违约金10万元，造成严重后果的，采购人有权单方解除合同，并要求供应商承担全部责任和损失（包括但不限于对病人的赔偿、行政罚款、采购人为消除影响而支付的费用等）。 D.响应不及时的违约责任：若成交供应商未按照售后服务要求（2小时响应，6小时到场）及时提供维护服务的，每次应向采购人支付违约金0.2万元。 E.人员不到位违约责任：供应商驻场人员连续5个工作日低于采购文件要求的，每缺少一人，每日向采购人支付违约金0.1万元。 ②解决争议的办法 A.因服务质量问题发生争议，由采购人或其指定的第三方机构进行质量鉴定。服务符合标准的，鉴定费由采购人承担；服务不符合质量标准的，鉴定费由成交供应商承担。 B.合同履行期间,若双方发生争议，可协商或由有关部门调解解决，协商或调解不成的，向采购人所在地有管辖权的人民法院起诉。 C.由此追索而产生的差旅费、律师费、诉讼费、保全费等一切费用由败诉方负担。</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3.4.1供应商需根据采购需求编制针对本项目的项目实施方案，包括但不限于以下内容:（1）项目管理配置及奖惩条例；（2）项目实施计划安排；（3）仓储中心周围环境及安全防范措施；（4）库房消防控制系统及防腐防蛀防光防尘管理；（5）售后服务流程及项目培训方案；（6）应急预案；（7）质量保障方案。供应商提供互联互通成熟度评测。供应商根据本项目提供类似业绩。供应商根据自身实际情况响应，以上需提供的相关资料可不在此处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磋商过程中，磋商小组认为供应商报价低于最高限价45%或者低于其他有效供应商报价算术均价50%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其他符合性审查(实质性要求)</w:t>
            </w:r>
          </w:p>
        </w:tc>
        <w:tc>
          <w:tcPr>
            <w:tcW w:type="dxa" w:w="3322"/>
          </w:tcPr>
          <w:p>
            <w:pPr>
              <w:pStyle w:val="null3"/>
              <w:jc w:val="left"/>
            </w:pPr>
            <w:r>
              <w:rPr>
                <w:rFonts w:ascii="仿宋_GB2312" w:hAnsi="仿宋_GB2312" w:cs="仿宋_GB2312" w:eastAsia="仿宋_GB2312"/>
              </w:rPr>
              <w:t>1.响应文件的语言、计量单位、知识产权、响应有效期等不符合采购文件的规定，影响评标小组评判的。2.响应文件不能实质响应采购文件第三章技术、服务及其他要求中的实质性要求的。3未载明或者载明的采购项目履约时间、方式,数量及其他政府采购合同实质性内容与本采购文件要求不一致，且采购人无法接受的。4.属于采购文件中无效响应情形的。</w:t>
            </w:r>
          </w:p>
        </w:tc>
        <w:tc>
          <w:tcPr>
            <w:tcW w:type="dxa" w:w="1661"/>
          </w:tcPr>
          <w:p>
            <w:pPr>
              <w:pStyle w:val="null3"/>
              <w:jc w:val="left"/>
            </w:pPr>
            <w:r>
              <w:rPr>
                <w:rFonts w:ascii="仿宋_GB2312" w:hAnsi="仿宋_GB2312" w:cs="仿宋_GB2312" w:eastAsia="仿宋_GB2312"/>
              </w:rPr>
              <w:t>响应文件封面,商务要求应答表1.docx,中小企业声明函,残疾人福利性单位声明函,服务应答表,报价表,投标（响应）函,监狱企业的证明文件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5.4.2.评审细则及标准 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详细评审88.00分</w:t>
            </w:r>
          </w:p>
          <w:p>
            <w:pPr>
              <w:pStyle w:val="null3"/>
              <w:jc w:val="left"/>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技术与服务要求</w:t>
            </w:r>
          </w:p>
        </w:tc>
        <w:tc>
          <w:tcPr>
            <w:tcW w:type="dxa" w:w="2575"/>
          </w:tcPr>
          <w:p>
            <w:pPr>
              <w:pStyle w:val="null3"/>
              <w:jc w:val="left"/>
            </w:pPr>
            <w:r>
              <w:rPr>
                <w:rFonts w:ascii="仿宋_GB2312" w:hAnsi="仿宋_GB2312" w:cs="仿宋_GB2312" w:eastAsia="仿宋_GB2312"/>
              </w:rPr>
              <w:t>1.供应商完全满足采购文件技术要求中“技术参数与性能指标”的得42分； 2.供应商不完全满足采购文件技术要求中“技术参数与性能指标”的，按以下规则进行计算得分： （1）带“▲”的技术参数要求条款响应得分=供应商满足带“▲”条款的数量÷带“▲”技术参数要求条款的总数量×36分。（2）一般技术参数要求条款响应得分=供应商满足一般技术参数要求条款的数量÷一般技术参数要求条款的总数量×6分。（3）“★”的为实质性要求，不参与评分。 （4）“▲”条款共计18条；一般技术参数要求条款共计50条。 注：①无子项的要求，按该条款计算；②有子项的要求，按最末级的子项条款计算。针对技术服务要求“▲”条款的技术响应，“▲”条款对技术支撑材料有要求，应按要求提供，否则对应“▲”条款技术服务将视为不满足。</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根据供应商针对本项目提供的项目实施方案进行评审：包括但不限于：（1）项目管理配置及奖惩条例；（2）项目实施计划安排；（3）仓储中心周围环境及安全防范措施；（4）库房消防控制系统及防腐防蛀防光防尘管理；（5）售后服务流程及项目培训方案；（6）应急预案；（7）质量保障方案。 2.评审标准 ：供应商提供的项目实施方案完全包含上述（1）-（7）项方案内容且不存在缺陷或不足的得35分，每缺少一项单项方案内容的扣5分，每有一项单项方案内容存在缺陷或不足扣4分，单项方案最多扣4分。注：缺陷或不足是指1）本项目提供的方案中引用法律、规范、标准存在失效或错误；2）非专门针对本项目编制或方案内容与本项目需求无关；3）方案内容不适用本项目特性;4）方案仅有框架或标题无详细描述；5）存在与项目无关的文字内容；6）明显复制采购文件内容或套用其他项目内容；7）不满足采购项目技术、服务及其他要求的情形等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评审细则及标准证明材料.docx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供应商提供在类似项目实施服务过程中，用户通过国家卫计委统计信息中心针对互联互通成熟度评测且达到一级水平的得1分，达到二级水平的得2分，达到三级水平的得3分，达到四级乙等水平的得4分，达到四级甲等及以上水平的得8分，不累计得分，未提供不得分，本项最多得8分。（提供相关案例合同复印件，同时提供相关用户名称及通过以上相对应级别的授牌图片，以上内容均需加盖供应商公章（鲜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评审细则及标准证明材料.docx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供应商提供自2023年1月1日至今类似本项目服务案例，每提供1个案例得1分，最多得3分。 注：供应商以上业绩须提供项目合同（合同内容至少应包含病案数字化服务）予以证明，否则不予认定。项目合同需提供关键页复印件（首页、服务范围（病案数字化服务）页签署页）。</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评审细则及标准证明材料.docx</w:t>
            </w:r>
          </w:p>
        </w:tc>
      </w:tr>
      <w:tr>
        <w:tc>
          <w:tcPr>
            <w:tcW w:type="dxa" w:w="831"/>
            <w:vMerge w:val="restart"/>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病案数字化制作</w:t>
            </w:r>
          </w:p>
        </w:tc>
        <w:tc>
          <w:tcPr>
            <w:tcW w:type="dxa" w:w="2575"/>
          </w:tcPr>
          <w:p>
            <w:pPr>
              <w:pStyle w:val="null3"/>
              <w:jc w:val="left"/>
            </w:pPr>
            <w:r>
              <w:rPr>
                <w:rFonts w:ascii="仿宋_GB2312" w:hAnsi="仿宋_GB2312" w:cs="仿宋_GB2312" w:eastAsia="仿宋_GB2312"/>
              </w:rPr>
              <w:t>1.经评标委员会评审，满足采购文件要求且响应报价最低的供应商的响应报价作为评审基准价，其价格分为满分。响应报价得分=（评审基准价/响应报价）×标准分值。 2.其他供应商的响应报价得分统一按照下列公式计算： 病案数字化制作单价响应报价得分=(评审基准价／响应报价)×8分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病案微信预约平台维护</w:t>
            </w:r>
          </w:p>
        </w:tc>
        <w:tc>
          <w:tcPr>
            <w:tcW w:type="dxa" w:w="2575"/>
          </w:tcPr>
          <w:p>
            <w:pPr>
              <w:pStyle w:val="null3"/>
              <w:jc w:val="left"/>
            </w:pPr>
            <w:r>
              <w:rPr>
                <w:rFonts w:ascii="仿宋_GB2312" w:hAnsi="仿宋_GB2312" w:cs="仿宋_GB2312" w:eastAsia="仿宋_GB2312"/>
              </w:rPr>
              <w:t>1.经评标委员会评审，满足采购文件要求且响应报价最低的供应商的响应报价作为评审基准价，其价格分为满分。响应报价得分=（评审基准价/响应报价）×标准分值。 2.其他供应商的响应报价得分统一按照下列公式计算：病案微信预约平台维护响应报价得分=(评审基准价／响应报价)×2分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r>
        <w:tc>
          <w:tcPr>
            <w:tcW w:type="dxa" w:w="831"/>
            <w:vMerge/>
          </w:tcPr>
          <w:p/>
        </w:tc>
        <w:tc>
          <w:tcPr>
            <w:tcW w:type="dxa" w:w="1661"/>
          </w:tcPr>
          <w:p>
            <w:pPr>
              <w:pStyle w:val="null3"/>
              <w:jc w:val="left"/>
            </w:pPr>
            <w:r>
              <w:rPr>
                <w:rFonts w:ascii="仿宋_GB2312" w:hAnsi="仿宋_GB2312" w:cs="仿宋_GB2312" w:eastAsia="仿宋_GB2312"/>
              </w:rPr>
              <w:t>病案无纸化归档接口人工服务</w:t>
            </w:r>
          </w:p>
        </w:tc>
        <w:tc>
          <w:tcPr>
            <w:tcW w:type="dxa" w:w="2575"/>
          </w:tcPr>
          <w:p>
            <w:pPr>
              <w:pStyle w:val="null3"/>
              <w:jc w:val="left"/>
            </w:pPr>
            <w:r>
              <w:rPr>
                <w:rFonts w:ascii="仿宋_GB2312" w:hAnsi="仿宋_GB2312" w:cs="仿宋_GB2312" w:eastAsia="仿宋_GB2312"/>
              </w:rPr>
              <w:t>1.经评标委员会评审，满足采购文件要求且响应报价最低的供应商的响应报价作为评审基准价，其价格分为满分。响应报价得分=（评审基准价/响应报价）×标准分值。 2.其他供应商的响应报价得分统一按照下列公式计算：病案无纸化归档接口人工服务响应报价得分=(评审基准价／响应报价)×2分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详见附件：评审细则及标准证明材料.docx</w:t>
      </w:r>
    </w:p>
    <w:p>
      <w:pPr>
        <w:pStyle w:val="null3"/>
        <w:ind w:firstLine="960"/>
        <w:jc w:val="left"/>
      </w:pPr>
      <w:r>
        <w:rPr>
          <w:rFonts w:ascii="仿宋_GB2312" w:hAnsi="仿宋_GB2312" w:cs="仿宋_GB2312" w:eastAsia="仿宋_GB2312"/>
        </w:rPr>
        <w:t>详见附件：产品技术参数响应表.docx</w:t>
      </w:r>
    </w:p>
    <w:p>
      <w:pPr>
        <w:pStyle w:val="null3"/>
        <w:ind w:firstLine="960"/>
        <w:jc w:val="left"/>
      </w:pPr>
      <w:r>
        <w:rPr>
          <w:rFonts w:ascii="仿宋_GB2312" w:hAnsi="仿宋_GB2312" w:cs="仿宋_GB2312" w:eastAsia="仿宋_GB2312"/>
        </w:rPr>
        <w:t>详见附件：商务要求应答表1.docx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