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版本号：N513332202600004020260429002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石渠县畜牧业转型升级—2026年本地牦牛畜种改良项目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N5133322026000040</w:t>
      </w:r>
    </w:p>
    <w:p>
      <w:pPr>
        <w:pStyle w:val="null3"/>
        <w:jc w:val="left"/>
        <w:outlineLvl w:val="2"/>
      </w:pPr>
      <w:r>
        <w:rPr>
          <w:rFonts w:ascii="仿宋_GB2312" w:hAnsi="仿宋_GB2312" w:cs="仿宋_GB2312" w:eastAsia="仿宋_GB2312"/>
          <w:sz w:val="28"/>
          <w:b/>
        </w:rPr>
        <w:t>石渠县农牧农村和科技局</w:t>
      </w:r>
    </w:p>
    <w:p>
      <w:pPr>
        <w:pStyle w:val="null3"/>
        <w:jc w:val="center"/>
        <w:outlineLvl w:val="2"/>
      </w:pPr>
      <w:r>
        <w:rPr>
          <w:rFonts w:ascii="仿宋_GB2312" w:hAnsi="仿宋_GB2312" w:cs="仿宋_GB2312" w:eastAsia="仿宋_GB2312"/>
          <w:sz w:val="28"/>
          <w:b/>
        </w:rPr>
        <w:t>四川沅成工程项目管理有限公司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四川沅成工程项目管理有限公司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石渠县农牧农村和科技局</w:t>
      </w:r>
      <w:r>
        <w:rPr>
          <w:rFonts w:ascii="仿宋_GB2312" w:hAnsi="仿宋_GB2312" w:cs="仿宋_GB2312" w:eastAsia="仿宋_GB2312"/>
        </w:rPr>
        <w:t xml:space="preserve"> 委托，拟对 </w:t>
      </w:r>
      <w:r>
        <w:rPr>
          <w:rFonts w:ascii="仿宋_GB2312" w:hAnsi="仿宋_GB2312" w:cs="仿宋_GB2312" w:eastAsia="仿宋_GB2312"/>
        </w:rPr>
        <w:t>石渠县畜牧业转型升级—2026年本地牦牛畜种改良项目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甘孜藏族自治州石渠县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N5133322026000040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石渠县畜牧业转型升级—2026年本地牦牛畜种改良项目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本次项目拟实施良繁体系、牧草种植、科学养殖、科技服务等建设，拟引进205头种公牛，投放到家庭生态牧场、牦牛养殖场和合作社，开展牦牛品种改良。</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1、投标人须具有有效的《种畜禽生产经营许可证》（提供复印件盖供应商公章）（描述：投标人须具有有效的《种畜禽生产经营许可证》（提供复印件盖供应商公章））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石渠县农牧农村和科技局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石渠县洛须镇</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倪老师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0836-8625023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四川沅成工程项目管理有限公司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四川省成都市金牛区金泉街道蜀西路9号丰德羊西中心1栋1401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028-67575888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代理服务费收费标准：本项目代理服务费按照成本支出加合理利润原则收取，以差额定率累进法计算，【中标金额100万(含100万)以下×1.5%+{中标金额100万(不含100万)—500万}× 1.1%】。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石渠县农牧农村和科技局</w:t>
      </w:r>
      <w:r>
        <w:rPr>
          <w:rFonts w:ascii="仿宋_GB2312" w:hAnsi="仿宋_GB2312" w:cs="仿宋_GB2312" w:eastAsia="仿宋_GB2312"/>
        </w:rPr>
        <w:t xml:space="preserve"> 和 </w:t>
      </w:r>
      <w:r>
        <w:rPr>
          <w:rFonts w:ascii="仿宋_GB2312" w:hAnsi="仿宋_GB2312" w:cs="仿宋_GB2312" w:eastAsia="仿宋_GB2312"/>
        </w:rPr>
        <w:t>四川沅成工程项目管理有限公司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石渠县农牧农村和科技局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四川沅成工程项目管理有限公司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 号)要求进行验收。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按照采购文件技术要求及供应商响应内容进行技术履约验收。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按照政府采购相关法律法规以及《财政部关于进一步加强政府采购需求和履约验收管理的指导意见》（财库〔2016〕205 号）的要求进行验收，按招标文件要求、投标单位的投标文件及承诺、签订的合同、国家及行业相关规范标准进行。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 号)要求进行验收。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石渠县农牧农村和科技局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四川沅成工程项目管理有限公司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四川沅成工程项目管理有限公司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联系人：倪老师</w:t>
      </w:r>
    </w:p>
    <w:p>
      <w:pPr>
        <w:pStyle w:val="null3"/>
        <w:jc w:val="left"/>
      </w:pPr>
      <w:r>
        <w:rPr>
          <w:rFonts w:ascii="仿宋_GB2312" w:hAnsi="仿宋_GB2312" w:cs="仿宋_GB2312" w:eastAsia="仿宋_GB2312"/>
        </w:rPr>
        <w:t>联系电话： 0836-8625023</w:t>
      </w:r>
    </w:p>
    <w:p>
      <w:pPr>
        <w:pStyle w:val="null3"/>
        <w:jc w:val="left"/>
      </w:pPr>
      <w:r>
        <w:rPr>
          <w:rFonts w:ascii="仿宋_GB2312" w:hAnsi="仿宋_GB2312" w:cs="仿宋_GB2312" w:eastAsia="仿宋_GB2312"/>
        </w:rPr>
        <w:t>地址：石渠县洛须镇</w:t>
      </w:r>
    </w:p>
    <w:p>
      <w:pPr>
        <w:pStyle w:val="null3"/>
        <w:jc w:val="left"/>
      </w:pPr>
      <w:r>
        <w:rPr>
          <w:rFonts w:ascii="仿宋_GB2312" w:hAnsi="仿宋_GB2312" w:cs="仿宋_GB2312" w:eastAsia="仿宋_GB2312"/>
        </w:rPr>
        <w:t>邮编：627350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联系电话：028-67575888</w:t>
      </w:r>
    </w:p>
    <w:p>
      <w:pPr>
        <w:pStyle w:val="null3"/>
        <w:jc w:val="left"/>
      </w:pPr>
      <w:r>
        <w:rPr>
          <w:rFonts w:ascii="仿宋_GB2312" w:hAnsi="仿宋_GB2312" w:cs="仿宋_GB2312" w:eastAsia="仿宋_GB2312"/>
        </w:rPr>
        <w:t>地址：四川省金牛区金泉街道蜀西路9号丰德羊西中心1栋1401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3,150,000.00</w:t>
      </w:r>
    </w:p>
    <w:p>
      <w:pPr>
        <w:pStyle w:val="null3"/>
        <w:jc w:val="left"/>
      </w:pPr>
      <w:r>
        <w:rPr>
          <w:rFonts w:ascii="仿宋_GB2312" w:hAnsi="仿宋_GB2312" w:cs="仿宋_GB2312" w:eastAsia="仿宋_GB2312"/>
        </w:rPr>
        <w:t>采购包最高限价（元）: 3,034,000.00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A07031902 牛</w:t>
            </w:r>
          </w:p>
        </w:tc>
        <w:tc>
          <w:tcPr>
            <w:tcW w:type="dxa" w:w="821"/>
          </w:tcPr>
          <w:p>
            <w:pPr>
              <w:pStyle w:val="null3"/>
              <w:jc w:val="left"/>
            </w:pPr>
            <w:r>
              <w:rPr>
                <w:rFonts w:ascii="仿宋_GB2312" w:hAnsi="仿宋_GB2312" w:cs="仿宋_GB2312" w:eastAsia="仿宋_GB2312"/>
              </w:rPr>
              <w:t>种公牦牛</w:t>
            </w:r>
          </w:p>
        </w:tc>
        <w:tc>
          <w:tcPr>
            <w:tcW w:type="dxa" w:w="821"/>
          </w:tcPr>
          <w:p>
            <w:pPr>
              <w:pStyle w:val="null3"/>
              <w:jc w:val="right"/>
            </w:pPr>
            <w:r>
              <w:rPr>
                <w:rFonts w:ascii="仿宋_GB2312" w:hAnsi="仿宋_GB2312" w:cs="仿宋_GB2312" w:eastAsia="仿宋_GB2312"/>
              </w:rPr>
              <w:t>205.00（头）</w:t>
            </w:r>
          </w:p>
        </w:tc>
        <w:tc>
          <w:tcPr>
            <w:tcW w:type="dxa" w:w="821"/>
          </w:tcPr>
          <w:p>
            <w:pPr>
              <w:pStyle w:val="null3"/>
              <w:jc w:val="right"/>
            </w:pPr>
            <w:r>
              <w:rPr>
                <w:rFonts w:ascii="仿宋_GB2312" w:hAnsi="仿宋_GB2312" w:cs="仿宋_GB2312" w:eastAsia="仿宋_GB2312"/>
              </w:rPr>
              <w:t>3,034,000.00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种公牦牛</w:t>
            </w:r>
          </w:p>
        </w:tc>
        <w:tc>
          <w:tcPr>
            <w:tcW w:type="dxa" w:w="1138"/>
          </w:tcPr>
          <w:p>
            <w:pPr>
              <w:pStyle w:val="null3"/>
              <w:jc w:val="center"/>
            </w:pPr>
            <w:r>
              <w:rPr>
                <w:rFonts w:ascii="仿宋_GB2312" w:hAnsi="仿宋_GB2312" w:cs="仿宋_GB2312" w:eastAsia="仿宋_GB2312"/>
              </w:rPr>
              <w:t>205.00（头）</w:t>
            </w:r>
          </w:p>
        </w:tc>
        <w:tc>
          <w:tcPr>
            <w:tcW w:type="dxa" w:w="1365"/>
          </w:tcPr>
          <w:p>
            <w:pPr>
              <w:pStyle w:val="null3"/>
              <w:jc w:val="center"/>
            </w:pPr>
            <w:r>
              <w:rPr>
                <w:rFonts w:ascii="仿宋_GB2312" w:hAnsi="仿宋_GB2312" w:cs="仿宋_GB2312" w:eastAsia="仿宋_GB2312"/>
              </w:rPr>
              <w:t>3,034,000.00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报价应是采购人最终验收合格后的总价，包括但不限于材料、生产制造、包装、运输、安装、调试、辅材、金具铁件、人工劳务、检测、保险、培训、风险、利润、所有税费、采购代理服务费、验收合格交付使用之前及保修期内保修服务与备用物件和招标文件规定的其它全部费用。</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A07031902 牛</w:t>
            </w:r>
          </w:p>
        </w:tc>
        <w:tc>
          <w:tcPr>
            <w:tcW w:type="dxa" w:w="2492"/>
          </w:tcPr>
          <w:p>
            <w:pPr>
              <w:pStyle w:val="null3"/>
              <w:jc w:val="left"/>
            </w:pPr>
            <w:r>
              <w:rPr>
                <w:rFonts w:ascii="仿宋_GB2312" w:hAnsi="仿宋_GB2312" w:cs="仿宋_GB2312" w:eastAsia="仿宋_GB2312"/>
              </w:rPr>
              <w:t>种公牦牛</w:t>
            </w:r>
          </w:p>
        </w:tc>
        <w:tc>
          <w:tcPr>
            <w:tcW w:type="dxa" w:w="2492"/>
          </w:tcPr>
          <w:p>
            <w:pPr>
              <w:pStyle w:val="null3"/>
              <w:jc w:val="left"/>
            </w:pPr>
            <w:r>
              <w:rPr>
                <w:rFonts w:ascii="仿宋_GB2312" w:hAnsi="仿宋_GB2312" w:cs="仿宋_GB2312" w:eastAsia="仿宋_GB2312"/>
              </w:rPr>
              <w:t>种公牦牛</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标的名称：种公牦牛</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640"/>
              <w:jc w:val="left"/>
            </w:pPr>
            <w:r>
              <w:rPr>
                <w:rFonts w:ascii="仿宋_GB2312" w:hAnsi="仿宋_GB2312" w:cs="仿宋_GB2312" w:eastAsia="仿宋_GB2312"/>
                <w:sz w:val="21"/>
              </w:rPr>
              <w:t>一、建设内容及规模</w:t>
            </w:r>
          </w:p>
          <w:p>
            <w:pPr>
              <w:pStyle w:val="null3"/>
              <w:ind w:firstLine="640"/>
              <w:jc w:val="left"/>
            </w:pPr>
            <w:r>
              <w:rPr>
                <w:rFonts w:ascii="仿宋_GB2312" w:hAnsi="仿宋_GB2312" w:cs="仿宋_GB2312" w:eastAsia="仿宋_GB2312"/>
                <w:sz w:val="21"/>
              </w:rPr>
              <w:t>1.本次项目拟实施良繁体系、牧草种植、科学养殖、科技服务等建设，拟引进205头种公牛，投放到家庭生态牧场、牦牛养殖场和合作社，开展牦牛品种改良。</w:t>
            </w:r>
          </w:p>
          <w:tbl>
            <w:tblPr>
              <w:tblBorders>
                <w:top w:val="none" w:color="000000" w:sz="4"/>
                <w:left w:val="none" w:color="000000" w:sz="4"/>
                <w:bottom w:val="none" w:color="000000" w:sz="4"/>
                <w:right w:val="none" w:color="000000" w:sz="4"/>
                <w:insideH w:val="none"/>
                <w:insideV w:val="none"/>
              </w:tblBorders>
            </w:tblPr>
            <w:tblGrid>
              <w:gridCol w:w="339"/>
              <w:gridCol w:w="448"/>
              <w:gridCol w:w="842"/>
              <w:gridCol w:w="407"/>
              <w:gridCol w:w="584"/>
              <w:gridCol w:w="1046"/>
              <w:gridCol w:w="326"/>
              <w:gridCol w:w="502"/>
              <w:gridCol w:w="1046"/>
            </w:tblGrid>
            <w:tr>
              <w:tc>
                <w:tcPr>
                  <w:tcW w:type="dxa" w:w="5540"/>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1分发配送地址一览表</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乡镇</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村</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乡镇</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村</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5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乡镇</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村</w:t>
                  </w: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尼呷镇</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阿弟村</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色须镇</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赤贡村</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温波镇</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阿加村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低龙村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赤哇村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阿沙村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古恩村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打龙村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错卡村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菊母村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拉龙村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你虾村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沙岔村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仁绒村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曲绒村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沙马村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日扎村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日影村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尼呷镇社区</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色洞村</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阿日扎镇</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邦充村</w:t>
                  </w: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蒙宜</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俄马龙村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瓦土村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错布村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俄蒙村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修波村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各冲村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各龙村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张君村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各普村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科龙村</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德荣马乡</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错茶村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麻曲村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蒙格村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谷恩村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马崩村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蒙宜村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龙仁村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恰冲村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呷加村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扎马村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翁布村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扎虾村</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长沙贡玛</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查堆村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扎起村</w:t>
                  </w: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虾扎镇</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阿色村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查格村</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长沙干马乡</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俄加村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查地村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查拉村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虎热村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冻日村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查麦村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曲麦村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马东村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岗青村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生保村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纽戈村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口司村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伍拉村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它须村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绕瓦村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约达村</w:t>
                  </w: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起坞乡</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格拖村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色更村</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长须贡马乡</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尔马底村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甲冲村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约瓦村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哈伟村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觉悟村</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呷依乡</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八若村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河差村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起坞村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当拉村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江马村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扎干村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俄布村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日美村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重地松村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俄青村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托思村</w:t>
                  </w: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新荣乡</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夺呷村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觉吉村</w:t>
                  </w:r>
                </w:p>
              </w:tc>
              <w:tc>
                <w:tcPr>
                  <w:tcW w:type="dxa" w:w="3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长须干马乡</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阿都村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贡考村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尼达村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地香村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果然村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呷依村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领多村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火然村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扎绒村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莫日村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翁穷村</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格孟乡</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港穷村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热乌村</w:t>
                  </w: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虾雄村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格贡村</w:t>
                  </w:r>
                </w:p>
              </w:tc>
              <w:tc>
                <w:tcPr>
                  <w:tcW w:type="dxa" w:w="326"/>
                  <w:vMerge/>
                  <w:tcBorders>
                    <w:top w:val="none" w:color="000000" w:sz="4"/>
                    <w:left w:val="none" w:color="000000" w:sz="4"/>
                    <w:bottom w:val="single" w:color="000000" w:sz="4"/>
                    <w:right w:val="single" w:color="000000" w:sz="4"/>
                  </w:tcBorders>
                </w:tcPr>
                <w:p/>
              </w:tc>
              <w:tc>
                <w:tcPr>
                  <w:tcW w:type="dxa" w:w="502"/>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同呷村</w:t>
                  </w:r>
                </w:p>
              </w:tc>
            </w:tr>
            <w:tr>
              <w:tc>
                <w:tcPr>
                  <w:tcW w:type="dxa" w:w="3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宜牛乡</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本日村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格孟村</w:t>
                  </w:r>
                </w:p>
              </w:tc>
              <w:tc>
                <w:tcPr>
                  <w:tcW w:type="dxa" w:w="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5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杜龙村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呷日村</w:t>
                  </w:r>
                </w:p>
              </w:tc>
              <w:tc>
                <w:tcPr>
                  <w:tcW w:type="dxa" w:w="3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5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宜牛村</w:t>
                  </w:r>
                </w:p>
              </w:tc>
              <w:tc>
                <w:tcPr>
                  <w:tcW w:type="dxa" w:w="407"/>
                  <w:vMerge/>
                  <w:tcBorders>
                    <w:top w:val="none" w:color="000000" w:sz="4"/>
                    <w:left w:val="non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扎母村</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扎龙村</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9"/>
                  <w:vMerge/>
                  <w:tcBorders>
                    <w:top w:val="none" w:color="000000" w:sz="4"/>
                    <w:left w:val="single" w:color="000000" w:sz="4"/>
                    <w:bottom w:val="single" w:color="000000" w:sz="4"/>
                    <w:right w:val="single" w:color="000000" w:sz="4"/>
                  </w:tcBorders>
                </w:tcPr>
                <w:p/>
              </w:tc>
              <w:tc>
                <w:tcPr>
                  <w:tcW w:type="dxa" w:w="448"/>
                  <w:vMerge/>
                  <w:tcBorders>
                    <w:top w:val="non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捉日村</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40"/>
                  <w:gridSpan w:val="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注：每个地址分发数量由业主最终确定。</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种公牦牛</w:t>
            </w:r>
          </w:p>
        </w:tc>
        <w:tc>
          <w:tcPr>
            <w:tcW w:type="dxa" w:w="5814"/>
          </w:tcPr>
          <w:p>
            <w:pPr>
              <w:pStyle w:val="null3"/>
              <w:ind w:firstLine="420"/>
              <w:jc w:val="left"/>
            </w:pPr>
            <w:r>
              <w:rPr>
                <w:rFonts w:ascii="仿宋_GB2312" w:hAnsi="仿宋_GB2312" w:cs="仿宋_GB2312" w:eastAsia="仿宋_GB2312"/>
                <w:sz w:val="21"/>
              </w:rPr>
              <w:t>1.年岁：3-5周岁。</w:t>
            </w:r>
          </w:p>
          <w:p>
            <w:pPr>
              <w:pStyle w:val="null3"/>
              <w:ind w:firstLine="420"/>
              <w:jc w:val="left"/>
            </w:pPr>
            <w:r>
              <w:rPr>
                <w:rFonts w:ascii="仿宋_GB2312" w:hAnsi="仿宋_GB2312" w:cs="仿宋_GB2312" w:eastAsia="仿宋_GB2312"/>
                <w:sz w:val="21"/>
              </w:rPr>
              <w:t>2.体重≥500斤；</w:t>
            </w:r>
          </w:p>
          <w:p>
            <w:pPr>
              <w:pStyle w:val="null3"/>
              <w:ind w:firstLine="420"/>
              <w:jc w:val="left"/>
            </w:pPr>
            <w:r>
              <w:rPr>
                <w:rFonts w:ascii="仿宋_GB2312" w:hAnsi="仿宋_GB2312" w:cs="仿宋_GB2312" w:eastAsia="仿宋_GB2312"/>
                <w:sz w:val="21"/>
              </w:rPr>
              <w:t>3.额宽头较短，额毛丛生卷曲。</w:t>
            </w:r>
          </w:p>
          <w:p>
            <w:pPr>
              <w:pStyle w:val="null3"/>
              <w:ind w:firstLine="420"/>
              <w:jc w:val="left"/>
            </w:pPr>
            <w:r>
              <w:rPr>
                <w:rFonts w:ascii="仿宋_GB2312" w:hAnsi="仿宋_GB2312" w:cs="仿宋_GB2312" w:eastAsia="仿宋_GB2312"/>
                <w:sz w:val="21"/>
              </w:rPr>
              <w:t>4.牛角对称无损害，颈粗短，耆甲高耸。</w:t>
            </w:r>
          </w:p>
          <w:p>
            <w:pPr>
              <w:pStyle w:val="null3"/>
              <w:ind w:firstLine="420"/>
              <w:jc w:val="left"/>
            </w:pPr>
            <w:r>
              <w:rPr>
                <w:rFonts w:ascii="仿宋_GB2312" w:hAnsi="仿宋_GB2312" w:cs="仿宋_GB2312" w:eastAsia="仿宋_GB2312"/>
                <w:sz w:val="21"/>
              </w:rPr>
              <w:t>5.背腰平直，腹大不下垂，尻欠宽略斜，臀部丰满，四肢结实。</w:t>
            </w:r>
          </w:p>
          <w:p>
            <w:pPr>
              <w:pStyle w:val="null3"/>
              <w:ind w:firstLine="420"/>
              <w:jc w:val="left"/>
            </w:pPr>
            <w:r>
              <w:rPr>
                <w:rFonts w:ascii="仿宋_GB2312" w:hAnsi="仿宋_GB2312" w:cs="仿宋_GB2312" w:eastAsia="仿宋_GB2312"/>
                <w:sz w:val="21"/>
              </w:rPr>
              <w:t>6.无外生殖系统疾病，爬跨反应明显。</w:t>
            </w:r>
          </w:p>
          <w:p>
            <w:pPr>
              <w:pStyle w:val="null3"/>
              <w:ind w:firstLine="420"/>
              <w:jc w:val="left"/>
            </w:pPr>
            <w:r>
              <w:rPr>
                <w:rFonts w:ascii="仿宋_GB2312" w:hAnsi="仿宋_GB2312" w:cs="仿宋_GB2312" w:eastAsia="仿宋_GB2312"/>
                <w:sz w:val="21"/>
              </w:rPr>
              <w:t>7.能适应在海拔3500米以上高原地区生存。</w:t>
            </w:r>
          </w:p>
          <w:p>
            <w:pPr>
              <w:pStyle w:val="null3"/>
              <w:jc w:val="left"/>
            </w:pPr>
            <w:r>
              <w:rPr>
                <w:rFonts w:ascii="仿宋_GB2312" w:hAnsi="仿宋_GB2312" w:cs="仿宋_GB2312" w:eastAsia="仿宋_GB2312"/>
                <w:sz w:val="21"/>
              </w:rPr>
              <w:t>8.佩戴耳标，并能正常识读相关资料。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产品要求</w:t>
            </w:r>
          </w:p>
        </w:tc>
        <w:tc>
          <w:tcPr>
            <w:tcW w:type="dxa" w:w="5814"/>
          </w:tcPr>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按国家规定免疫口蹄疫，牲畜体格健壮，无《中华人民共和国动物防疫法》规定的动物疫病。</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投标人须在中标后签订合同前提供：《动物防疫</w:t>
            </w:r>
            <w:r>
              <w:rPr>
                <w:rFonts w:ascii="仿宋_GB2312" w:hAnsi="仿宋_GB2312" w:cs="仿宋_GB2312" w:eastAsia="仿宋_GB2312"/>
                <w:sz w:val="20"/>
              </w:rPr>
              <w:t>条件</w:t>
            </w:r>
            <w:r>
              <w:rPr>
                <w:rFonts w:ascii="仿宋_GB2312" w:hAnsi="仿宋_GB2312" w:cs="仿宋_GB2312" w:eastAsia="仿宋_GB2312"/>
                <w:sz w:val="20"/>
              </w:rPr>
              <w:t>合格证》、《动物检疫合格证》</w:t>
            </w:r>
            <w:r>
              <w:rPr>
                <w:rFonts w:ascii="仿宋_GB2312" w:hAnsi="仿宋_GB2312" w:cs="仿宋_GB2312" w:eastAsia="仿宋_GB2312"/>
                <w:sz w:val="20"/>
              </w:rPr>
              <w:t>和系谱</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为保障牦牛质量，每头已按照免疫程序实施免疫保障接种疫苗，供货时提供该批次牦牛免疫预防档案（至少包含牦牛口蹄疫病的免疫）</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运输工具、押运人员由投标人负责，牦牛路途伤亡、损失由</w:t>
            </w:r>
            <w:r>
              <w:rPr>
                <w:rFonts w:ascii="仿宋_GB2312" w:hAnsi="仿宋_GB2312" w:cs="仿宋_GB2312" w:eastAsia="仿宋_GB2312"/>
                <w:sz w:val="20"/>
              </w:rPr>
              <w:t>成交供应商</w:t>
            </w:r>
            <w:r>
              <w:rPr>
                <w:rFonts w:ascii="仿宋_GB2312" w:hAnsi="仿宋_GB2312" w:cs="仿宋_GB2312" w:eastAsia="仿宋_GB2312"/>
                <w:sz w:val="20"/>
              </w:rPr>
              <w:t>承担</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5.牛到石渠县后，由成交供应商负责分发配送。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技术服务期</w:t>
            </w:r>
          </w:p>
        </w:tc>
        <w:tc>
          <w:tcPr>
            <w:tcW w:type="dxa" w:w="5814"/>
          </w:tcPr>
          <w:p>
            <w:pPr>
              <w:pStyle w:val="null3"/>
              <w:ind w:firstLine="400"/>
              <w:jc w:val="both"/>
            </w:pPr>
            <w:r>
              <w:rPr>
                <w:rFonts w:ascii="仿宋_GB2312" w:hAnsi="仿宋_GB2312" w:cs="仿宋_GB2312" w:eastAsia="仿宋_GB2312"/>
                <w:sz w:val="20"/>
              </w:rPr>
              <w:t>交货完成后</w:t>
            </w:r>
            <w:r>
              <w:rPr>
                <w:rFonts w:ascii="仿宋_GB2312" w:hAnsi="仿宋_GB2312" w:cs="仿宋_GB2312" w:eastAsia="仿宋_GB2312"/>
                <w:sz w:val="20"/>
              </w:rPr>
              <w:t>30 日历天内为技术服务期，在此期间</w:t>
            </w:r>
            <w:r>
              <w:rPr>
                <w:rFonts w:ascii="仿宋_GB2312" w:hAnsi="仿宋_GB2312" w:cs="仿宋_GB2312" w:eastAsia="仿宋_GB2312"/>
                <w:sz w:val="20"/>
              </w:rPr>
              <w:t>成交供应商</w:t>
            </w:r>
            <w:r>
              <w:rPr>
                <w:rFonts w:ascii="仿宋_GB2312" w:hAnsi="仿宋_GB2312" w:cs="仿宋_GB2312" w:eastAsia="仿宋_GB2312"/>
                <w:sz w:val="20"/>
              </w:rPr>
              <w:t>应派专业技术人员进行技术服务并开展养殖技术培训，及时对发生疾病的牦牛采取恰当措施。期间，</w:t>
            </w:r>
            <w:r>
              <w:rPr>
                <w:rFonts w:ascii="仿宋_GB2312" w:hAnsi="仿宋_GB2312" w:cs="仿宋_GB2312" w:eastAsia="仿宋_GB2312"/>
                <w:sz w:val="20"/>
              </w:rPr>
              <w:t>成交供应商</w:t>
            </w:r>
            <w:r>
              <w:rPr>
                <w:rFonts w:ascii="仿宋_GB2312" w:hAnsi="仿宋_GB2312" w:cs="仿宋_GB2312" w:eastAsia="仿宋_GB2312"/>
                <w:sz w:val="20"/>
              </w:rPr>
              <w:t>所派技术人员要严格遵照《中华人民共和国动物防疫法》，且在完成服务后</w:t>
            </w:r>
            <w:r>
              <w:rPr>
                <w:rFonts w:ascii="仿宋_GB2312" w:hAnsi="仿宋_GB2312" w:cs="仿宋_GB2312" w:eastAsia="仿宋_GB2312"/>
                <w:sz w:val="20"/>
              </w:rPr>
              <w:t>7 个日历天内提供所有的病历记录和病死牲畜去向证明。</w:t>
            </w:r>
          </w:p>
          <w:p>
            <w:pPr>
              <w:pStyle w:val="null3"/>
              <w:jc w:val="left"/>
            </w:pPr>
            <w:r>
              <w:rPr>
                <w:rFonts w:ascii="仿宋_GB2312" w:hAnsi="仿宋_GB2312" w:cs="仿宋_GB2312" w:eastAsia="仿宋_GB2312"/>
                <w:sz w:val="20"/>
              </w:rPr>
              <w:t>若牦牛来自四川省外的，需在石渠县进行隔离观察</w:t>
            </w:r>
            <w:r>
              <w:rPr>
                <w:rFonts w:ascii="仿宋_GB2312" w:hAnsi="仿宋_GB2312" w:cs="仿宋_GB2312" w:eastAsia="仿宋_GB2312"/>
                <w:sz w:val="20"/>
              </w:rPr>
              <w:t>30天，经隔离观察合格后，方可分发配送。隔离观察期间的喂养和场地等均由供应商自行负责。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存活保障期</w:t>
            </w:r>
          </w:p>
        </w:tc>
        <w:tc>
          <w:tcPr>
            <w:tcW w:type="dxa" w:w="5814"/>
          </w:tcPr>
          <w:p>
            <w:pPr>
              <w:pStyle w:val="null3"/>
              <w:jc w:val="left"/>
            </w:pPr>
            <w:r>
              <w:rPr>
                <w:rFonts w:ascii="仿宋_GB2312" w:hAnsi="仿宋_GB2312" w:cs="仿宋_GB2312" w:eastAsia="仿宋_GB2312"/>
                <w:sz w:val="20"/>
              </w:rPr>
              <w:t>验收完成后</w:t>
            </w:r>
            <w:r>
              <w:rPr>
                <w:rFonts w:ascii="仿宋_GB2312" w:hAnsi="仿宋_GB2312" w:cs="仿宋_GB2312" w:eastAsia="仿宋_GB2312"/>
                <w:sz w:val="20"/>
              </w:rPr>
              <w:t>30 个日历天内为存活保障期，在此期间须安排专人跟踪观察，若感染疾病，由</w:t>
            </w:r>
            <w:r>
              <w:rPr>
                <w:rFonts w:ascii="仿宋_GB2312" w:hAnsi="仿宋_GB2312" w:cs="仿宋_GB2312" w:eastAsia="仿宋_GB2312"/>
                <w:sz w:val="20"/>
              </w:rPr>
              <w:t>成交供应商</w:t>
            </w:r>
            <w:r>
              <w:rPr>
                <w:rFonts w:ascii="仿宋_GB2312" w:hAnsi="仿宋_GB2312" w:cs="仿宋_GB2312" w:eastAsia="仿宋_GB2312"/>
                <w:sz w:val="20"/>
              </w:rPr>
              <w:t>负责妥善医治。存活保障期内出现非人为死亡或疾病，</w:t>
            </w:r>
            <w:r>
              <w:rPr>
                <w:rFonts w:ascii="仿宋_GB2312" w:hAnsi="仿宋_GB2312" w:cs="仿宋_GB2312" w:eastAsia="仿宋_GB2312"/>
                <w:sz w:val="20"/>
              </w:rPr>
              <w:t>成交供应商</w:t>
            </w:r>
            <w:r>
              <w:rPr>
                <w:rFonts w:ascii="仿宋_GB2312" w:hAnsi="仿宋_GB2312" w:cs="仿宋_GB2312" w:eastAsia="仿宋_GB2312"/>
                <w:sz w:val="20"/>
              </w:rPr>
              <w:t>在接到通知后</w:t>
            </w:r>
            <w:r>
              <w:rPr>
                <w:rFonts w:ascii="仿宋_GB2312" w:hAnsi="仿宋_GB2312" w:cs="仿宋_GB2312" w:eastAsia="仿宋_GB2312"/>
                <w:sz w:val="20"/>
              </w:rPr>
              <w:t>48小时内响应到场，72 小时内完成医治或更换健康的牦牛，并承担相应的费用，问题解决后24小时内，向采购人提交问题处理报告，说明问题种类、问题原因、问题解决中使用的方法及造成的损失等情况。如经</w:t>
            </w:r>
            <w:r>
              <w:rPr>
                <w:rFonts w:ascii="仿宋_GB2312" w:hAnsi="仿宋_GB2312" w:cs="仿宋_GB2312" w:eastAsia="仿宋_GB2312"/>
                <w:sz w:val="20"/>
              </w:rPr>
              <w:t>成交供应商</w:t>
            </w:r>
            <w:r>
              <w:rPr>
                <w:rFonts w:ascii="仿宋_GB2312" w:hAnsi="仿宋_GB2312" w:cs="仿宋_GB2312" w:eastAsia="仿宋_GB2312"/>
                <w:sz w:val="20"/>
              </w:rPr>
              <w:t>2次医治或更换不能达到本合同约定的质量标准的，视作成交供应商未能正常履约，采购人有权退货并追究</w:t>
            </w:r>
            <w:r>
              <w:rPr>
                <w:rFonts w:ascii="仿宋_GB2312" w:hAnsi="仿宋_GB2312" w:cs="仿宋_GB2312" w:eastAsia="仿宋_GB2312"/>
                <w:sz w:val="20"/>
              </w:rPr>
              <w:t>成交供应商</w:t>
            </w:r>
            <w:r>
              <w:rPr>
                <w:rFonts w:ascii="仿宋_GB2312" w:hAnsi="仿宋_GB2312" w:cs="仿宋_GB2312" w:eastAsia="仿宋_GB2312"/>
                <w:sz w:val="20"/>
              </w:rPr>
              <w:t>的违约责任。牦牛到现场后由于采购人保管不当造成的问题，</w:t>
            </w:r>
            <w:r>
              <w:rPr>
                <w:rFonts w:ascii="仿宋_GB2312" w:hAnsi="仿宋_GB2312" w:cs="仿宋_GB2312" w:eastAsia="仿宋_GB2312"/>
                <w:sz w:val="20"/>
              </w:rPr>
              <w:t>成交供应商</w:t>
            </w:r>
            <w:r>
              <w:rPr>
                <w:rFonts w:ascii="仿宋_GB2312" w:hAnsi="仿宋_GB2312" w:cs="仿宋_GB2312" w:eastAsia="仿宋_GB2312"/>
                <w:sz w:val="20"/>
              </w:rPr>
              <w:t>亦应负责医治，只收取医疗成本费用。存活保障期内所有服务方式均由</w:t>
            </w:r>
            <w:r>
              <w:rPr>
                <w:rFonts w:ascii="仿宋_GB2312" w:hAnsi="仿宋_GB2312" w:cs="仿宋_GB2312" w:eastAsia="仿宋_GB2312"/>
                <w:sz w:val="20"/>
              </w:rPr>
              <w:t>成交供应商</w:t>
            </w:r>
            <w:r>
              <w:rPr>
                <w:rFonts w:ascii="仿宋_GB2312" w:hAnsi="仿宋_GB2312" w:cs="仿宋_GB2312" w:eastAsia="仿宋_GB2312"/>
                <w:sz w:val="20"/>
              </w:rPr>
              <w:t>上门服务，即由</w:t>
            </w:r>
            <w:r>
              <w:rPr>
                <w:rFonts w:ascii="仿宋_GB2312" w:hAnsi="仿宋_GB2312" w:cs="仿宋_GB2312" w:eastAsia="仿宋_GB2312"/>
                <w:sz w:val="20"/>
              </w:rPr>
              <w:t>成交供应商</w:t>
            </w:r>
            <w:r>
              <w:rPr>
                <w:rFonts w:ascii="仿宋_GB2312" w:hAnsi="仿宋_GB2312" w:cs="仿宋_GB2312" w:eastAsia="仿宋_GB2312"/>
                <w:sz w:val="20"/>
              </w:rPr>
              <w:t>派人到现场进行医治或更换健康的牦牛，由此产生的一切费用均由</w:t>
            </w:r>
            <w:r>
              <w:rPr>
                <w:rFonts w:ascii="仿宋_GB2312" w:hAnsi="仿宋_GB2312" w:cs="仿宋_GB2312" w:eastAsia="仿宋_GB2312"/>
                <w:sz w:val="20"/>
              </w:rPr>
              <w:t>成交供应商</w:t>
            </w:r>
            <w:r>
              <w:rPr>
                <w:rFonts w:ascii="仿宋_GB2312" w:hAnsi="仿宋_GB2312" w:cs="仿宋_GB2312" w:eastAsia="仿宋_GB2312"/>
                <w:sz w:val="20"/>
              </w:rPr>
              <w:t>承担。对于不可抗拒的外部环境因素，由</w:t>
            </w:r>
            <w:r>
              <w:rPr>
                <w:rFonts w:ascii="仿宋_GB2312" w:hAnsi="仿宋_GB2312" w:cs="仿宋_GB2312" w:eastAsia="仿宋_GB2312"/>
                <w:sz w:val="20"/>
              </w:rPr>
              <w:t>成交供应商</w:t>
            </w:r>
            <w:r>
              <w:rPr>
                <w:rFonts w:ascii="仿宋_GB2312" w:hAnsi="仿宋_GB2312" w:cs="仿宋_GB2312" w:eastAsia="仿宋_GB2312"/>
                <w:sz w:val="20"/>
              </w:rPr>
              <w:t>提供医治或更换，只收取医疗成本费用。（</w:t>
            </w:r>
            <w:r>
              <w:rPr>
                <w:rFonts w:ascii="仿宋_GB2312" w:hAnsi="仿宋_GB2312" w:cs="仿宋_GB2312" w:eastAsia="仿宋_GB2312"/>
                <w:sz w:val="20"/>
              </w:rPr>
              <w:t>投标时，投标文件中</w:t>
            </w:r>
            <w:r>
              <w:rPr>
                <w:rFonts w:ascii="仿宋_GB2312" w:hAnsi="仿宋_GB2312" w:cs="仿宋_GB2312" w:eastAsia="仿宋_GB2312"/>
                <w:sz w:val="20"/>
              </w:rPr>
              <w:t>单独提供承诺函</w:t>
            </w:r>
            <w:r>
              <w:rPr>
                <w:rFonts w:ascii="仿宋_GB2312" w:hAnsi="仿宋_GB2312" w:cs="仿宋_GB2312" w:eastAsia="仿宋_GB2312"/>
                <w:sz w:val="20"/>
              </w:rPr>
              <w:t>并盖章</w:t>
            </w:r>
            <w:r>
              <w:rPr>
                <w:rFonts w:ascii="仿宋_GB2312" w:hAnsi="仿宋_GB2312" w:cs="仿宋_GB2312" w:eastAsia="仿宋_GB2312"/>
                <w:sz w:val="20"/>
              </w:rPr>
              <w:t>，格式自拟）。</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保险要求</w:t>
            </w:r>
          </w:p>
        </w:tc>
        <w:tc>
          <w:tcPr>
            <w:tcW w:type="dxa" w:w="5814"/>
          </w:tcPr>
          <w:p>
            <w:pPr>
              <w:pStyle w:val="null3"/>
              <w:jc w:val="left"/>
            </w:pPr>
            <w:r>
              <w:rPr>
                <w:rFonts w:ascii="仿宋_GB2312" w:hAnsi="仿宋_GB2312" w:cs="仿宋_GB2312" w:eastAsia="仿宋_GB2312"/>
                <w:sz w:val="20"/>
              </w:rPr>
              <w:t>成交供应商</w:t>
            </w:r>
            <w:r>
              <w:rPr>
                <w:rFonts w:ascii="仿宋_GB2312" w:hAnsi="仿宋_GB2312" w:cs="仿宋_GB2312" w:eastAsia="仿宋_GB2312"/>
                <w:sz w:val="20"/>
              </w:rPr>
              <w:t>中标后按采购人要求为牦牛购买保险。</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技术标准要求</w:t>
            </w:r>
          </w:p>
        </w:tc>
        <w:tc>
          <w:tcPr>
            <w:tcW w:type="dxa" w:w="5814"/>
          </w:tcPr>
          <w:p>
            <w:pPr>
              <w:pStyle w:val="null3"/>
              <w:jc w:val="left"/>
            </w:pPr>
            <w:r>
              <w:rPr>
                <w:rFonts w:ascii="仿宋_GB2312" w:hAnsi="仿宋_GB2312" w:cs="仿宋_GB2312" w:eastAsia="仿宋_GB2312"/>
                <w:sz w:val="20"/>
              </w:rPr>
              <w:t>国家或行业主管部门对</w:t>
            </w:r>
            <w:r>
              <w:rPr>
                <w:rFonts w:ascii="仿宋_GB2312" w:hAnsi="仿宋_GB2312" w:cs="仿宋_GB2312" w:eastAsia="仿宋_GB2312"/>
                <w:sz w:val="20"/>
              </w:rPr>
              <w:t>成交供应商</w:t>
            </w:r>
            <w:r>
              <w:rPr>
                <w:rFonts w:ascii="仿宋_GB2312" w:hAnsi="仿宋_GB2312" w:cs="仿宋_GB2312" w:eastAsia="仿宋_GB2312"/>
                <w:sz w:val="20"/>
              </w:rPr>
              <w:t>和采购产品的技术标准、质量标准等有强制性规定的，必须符合其要求。</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1"/>
              </w:rPr>
              <w:t>为保障服务项目顺利实施和履约，供应商需</w:t>
            </w:r>
            <w:r>
              <w:rPr>
                <w:rFonts w:ascii="仿宋_GB2312" w:hAnsi="仿宋_GB2312" w:cs="仿宋_GB2312" w:eastAsia="仿宋_GB2312"/>
                <w:sz w:val="21"/>
              </w:rPr>
              <w:t>针对本项目编制实施方案包括：（</w:t>
            </w:r>
            <w:r>
              <w:rPr>
                <w:rFonts w:ascii="仿宋_GB2312" w:hAnsi="仿宋_GB2312" w:cs="仿宋_GB2312" w:eastAsia="仿宋_GB2312"/>
                <w:sz w:val="20"/>
              </w:rPr>
              <w:t>①质量保障措施；②进度计划及保障措施；③项目人员配置和职责；④运输和配送分发方案；⑤存活保障措施</w:t>
            </w:r>
            <w:r>
              <w:rPr>
                <w:rFonts w:ascii="仿宋_GB2312" w:hAnsi="仿宋_GB2312" w:cs="仿宋_GB2312" w:eastAsia="仿宋_GB2312"/>
                <w:sz w:val="21"/>
              </w:rPr>
              <w:t>）及</w:t>
            </w:r>
            <w:r>
              <w:rPr>
                <w:rFonts w:ascii="仿宋_GB2312" w:hAnsi="仿宋_GB2312" w:cs="仿宋_GB2312" w:eastAsia="仿宋_GB2312"/>
                <w:sz w:val="20"/>
              </w:rPr>
              <w:t>售后服务方案包括：</w:t>
            </w:r>
            <w:r>
              <w:rPr>
                <w:rFonts w:ascii="仿宋_GB2312" w:hAnsi="仿宋_GB2312" w:cs="仿宋_GB2312" w:eastAsia="仿宋_GB2312"/>
                <w:sz w:val="20"/>
              </w:rPr>
              <w:t>（</w:t>
            </w:r>
            <w:r>
              <w:rPr>
                <w:rFonts w:ascii="仿宋_GB2312" w:hAnsi="仿宋_GB2312" w:cs="仿宋_GB2312" w:eastAsia="仿宋_GB2312"/>
                <w:sz w:val="20"/>
              </w:rPr>
              <w:t>①售后服务内容及售后人员配置；②售后服务保障措施；③疾病紧急救助培训方案</w:t>
            </w:r>
            <w:r>
              <w:rPr>
                <w:rFonts w:ascii="仿宋_GB2312" w:hAnsi="仿宋_GB2312" w:cs="仿宋_GB2312" w:eastAsia="仿宋_GB2312"/>
                <w:sz w:val="20"/>
              </w:rPr>
              <w:t>；</w:t>
            </w:r>
            <w:r>
              <w:rPr>
                <w:rFonts w:ascii="仿宋_GB2312" w:hAnsi="仿宋_GB2312" w:cs="仿宋_GB2312" w:eastAsia="仿宋_GB2312"/>
                <w:sz w:val="20"/>
              </w:rPr>
              <w:t>④养育技术培训方案；⑤退换货方案</w:t>
            </w:r>
            <w:r>
              <w:rPr>
                <w:rFonts w:ascii="仿宋_GB2312" w:hAnsi="仿宋_GB2312" w:cs="仿宋_GB2312" w:eastAsia="仿宋_GB2312"/>
                <w:sz w:val="20"/>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自合同签订之日起60日(若是省外牦牛，隔离观察30天包含在内)内完成供货及配送分发（业主协助分发）。</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石渠县各个村，详细地址详见表1分发配送地址一览表。（采购人指定地点）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2、牦牛全部送到指定地点后，达到付款条件起10日内，支付合同总金额的50.00%</w:t>
            </w:r>
          </w:p>
          <w:p>
            <w:pPr>
              <w:pStyle w:val="null3"/>
              <w:jc w:val="left"/>
            </w:pPr>
            <w:r>
              <w:rPr>
                <w:rFonts w:ascii="仿宋_GB2312" w:hAnsi="仿宋_GB2312" w:cs="仿宋_GB2312" w:eastAsia="仿宋_GB2312"/>
              </w:rPr>
              <w:t>3、存活保障期满且服务质量达标后，达到付款条件起10日内，支付合同总金额的10.00%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以及《财政部关于进一步加强政府采购需求和履约验收管理的指导意见》（财库〔2016〕205号）的要求进行验收，按招标文件要求、供应商的响应文件及承诺、签订的合同、国家及行业相关规范标准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质量保证期一年。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1）甲乙双方必须遵守合同并执行合同中的各项规定，保证本项目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2.解决争议的方法：（1）在执行本合同中发生的或与本合同有关的争端，双方应通过友好协商解决，协商解决不成的，应提交采购人所在地仲裁委员会仲裁。（2）仲裁裁决为最终决定，并对双方具有约束力。（3）除另有裁决外，仲裁费由败诉方负担。（4）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安全责任：交付前牦牛安全由投标人负责，运输工具、押运人员在运输过程中的一切人身安全、财产安全、路途伤亡、损失由投标人承担。运输公牦牛和种公牦牛应向当地农业农村部门备案，运载工具应在运载前和卸载后及时清洗消毒，运输是应为动物留出足够空间，保证充足饮水，防止日晒雨淋。 2.由采购人组织专业人员会同投标人依据提供的清单、合格证书及相关的质量标准资料共同验收；如有规格不符、资料不全或虚假等，由此带来的一切后果由投标人承担。送达的牦牛逐一过磅验收，体重不达标视为验收不合格，由投标人承担一切退换费用。 3.合同价款：是投标人响应采购项目要求的全部工作内容的价格体现。项目实施过程中所涉及的采购费、配送费、培训费、售后服务费、交通费用、通讯费用、税金、风险等完成本项目所涉及的一切费用。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③若为其他组织：提供“对应主管部门颁发的准许执业证明文件或营业执照”；④若为自然人：提供“身份证明材料”。供应商根据自身情况提供以上对应的证照复印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投标人须具有有效的《种畜禽生产经营许可证》（提供复印件盖供应商公章）</w:t>
            </w:r>
          </w:p>
        </w:tc>
        <w:tc>
          <w:tcPr>
            <w:tcW w:type="dxa" w:w="3322"/>
          </w:tcPr>
          <w:p>
            <w:pPr>
              <w:pStyle w:val="null3"/>
              <w:jc w:val="left"/>
            </w:pPr>
            <w:r>
              <w:rPr>
                <w:rFonts w:ascii="仿宋_GB2312" w:hAnsi="仿宋_GB2312" w:cs="仿宋_GB2312" w:eastAsia="仿宋_GB2312"/>
              </w:rPr>
              <w:t>投标人须具有有效的《种畜禽生产经营许可证》（提供复印件盖供应商公章）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w:t>
            </w:r>
          </w:p>
        </w:tc>
        <w:tc>
          <w:tcPr>
            <w:tcW w:type="dxa" w:w="1661"/>
          </w:tcPr>
          <w:p>
            <w:pPr>
              <w:pStyle w:val="null3"/>
              <w:jc w:val="left"/>
            </w:pPr>
            <w:r>
              <w:rPr>
                <w:rFonts w:ascii="仿宋_GB2312" w:hAnsi="仿宋_GB2312" w:cs="仿宋_GB2312" w:eastAsia="仿宋_GB2312"/>
              </w:rPr>
              <w:t>招标文件规定的其他实质性内容.docx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招标文件规定的其他实质性要求。</w:t>
            </w:r>
          </w:p>
        </w:tc>
        <w:tc>
          <w:tcPr>
            <w:tcW w:type="dxa" w:w="3322"/>
          </w:tcPr>
          <w:p>
            <w:pPr>
              <w:pStyle w:val="null3"/>
              <w:jc w:val="left"/>
            </w:pPr>
            <w:r>
              <w:rPr>
                <w:rFonts w:ascii="仿宋_GB2312" w:hAnsi="仿宋_GB2312" w:cs="仿宋_GB2312" w:eastAsia="仿宋_GB2312"/>
              </w:rPr>
              <w:t>投标人根据本项目实质性要求内容提供，格式自拟。</w:t>
            </w:r>
          </w:p>
        </w:tc>
        <w:tc>
          <w:tcPr>
            <w:tcW w:type="dxa" w:w="1661"/>
          </w:tcPr>
          <w:p>
            <w:pPr>
              <w:pStyle w:val="null3"/>
              <w:jc w:val="left"/>
            </w:pPr>
            <w:r>
              <w:rPr>
                <w:rFonts w:ascii="仿宋_GB2312" w:hAnsi="仿宋_GB2312" w:cs="仿宋_GB2312" w:eastAsia="仿宋_GB2312"/>
              </w:rPr>
              <w:t>招标文件规定的其他实质性内容.docx,商务应答表.docx,服务应答表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项目实施方案进行评审，包含①质量保障措施；②进度计划及保障措施；③项目人员配置和职责；④运输和配送分发方案；⑤存活保障措施；对以上5项方案内容进行综合评审：完全满足采购需求的得35分，每缺少一项方案内容扣7分，每有一处内容存在缺陷的扣3.5分，直至本项扣完为止。注:缺陷是指:非专门针对本项目或内容与本项目需求无关、仅有框架或标题、方案标题及方案内容与实际内容不相符合、套用其他项目方案、内容前后不一致、涉及的规范及标准错误、实施地点区域错误等以上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其他投标人认为需要提供的文件和资料.docx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项目保障方案进行评审，包含①售后服务内容及售后人员配置；②售后服务保障措施；③疾病紧急救助培训方案；④养育技术培训方案；⑤退换货方案；对以上5项方案内容进行综合评审：完全满足采购需求的得35分，每缺少一项方案内容扣7分，每有一处内容存在缺陷的扣3.5分，直至本项扣完为止。注:缺陷是指:非专门针对本项目或内容与本项目需求无关、仅有框架或标题、方案标题及方案内容与实际内容不相符合、套用其他项目方案、内容前后不一致、涉及的规范及标准错误、实施地点区域错误等以上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其他投标人认为需要提供的文件和资料.docx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满足招标文件要求且报价最低的为评审基准价，价格得分=（评审基准价/报价）×标准分值。注:若涉及价格扣除，用扣除后的价格参与评审。</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详见附件：招标文件规定的其他实质性内容.docx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详见附件：其他投标人认为需要提供的文件和资料.docx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