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版本号：N510131202600003320260429001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2026年违法建设治理采购项目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N5101312026000033</w:t>
      </w:r>
    </w:p>
    <w:p>
      <w:pPr>
        <w:pStyle w:val="null3"/>
        <w:jc w:val="center"/>
        <w:outlineLvl w:val="2"/>
      </w:pPr>
      <w:r>
        <w:rPr>
          <w:rFonts w:ascii="仿宋_GB2312" w:hAnsi="仿宋_GB2312" w:cs="仿宋_GB2312" w:eastAsia="仿宋_GB2312"/>
          <w:sz w:val="28"/>
          <w:b/>
        </w:rPr>
        <w:t>蒲江县城市管理和综合行政执法局</w:t>
      </w:r>
    </w:p>
    <w:p>
      <w:pPr>
        <w:pStyle w:val="null3"/>
        <w:jc w:val="center"/>
        <w:outlineLvl w:val="2"/>
      </w:pPr>
      <w:r>
        <w:rPr>
          <w:rFonts w:ascii="仿宋_GB2312" w:hAnsi="仿宋_GB2312" w:cs="仿宋_GB2312" w:eastAsia="仿宋_GB2312"/>
          <w:sz w:val="28"/>
          <w:b/>
        </w:rPr>
        <w:t>四川中瑞信诺工程项目管理有限公司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四川中瑞信诺工程项目管理有限公司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蒲江县城市管理和综合行政执法局</w:t>
      </w:r>
      <w:r>
        <w:rPr>
          <w:rFonts w:ascii="仿宋_GB2312" w:hAnsi="仿宋_GB2312" w:cs="仿宋_GB2312" w:eastAsia="仿宋_GB2312"/>
        </w:rPr>
        <w:t xml:space="preserve"> 委托，拟对 </w:t>
      </w:r>
      <w:r>
        <w:rPr>
          <w:rFonts w:ascii="仿宋_GB2312" w:hAnsi="仿宋_GB2312" w:cs="仿宋_GB2312" w:eastAsia="仿宋_GB2312"/>
        </w:rPr>
        <w:t>2026年违法建设治理采购项目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成都市蒲江县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N5101312026000033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2026年违法建设治理采购项目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共计1个包，深入贯彻中央、省、市、县违建治理相关政策，深化落实《成都市人民政府办公厅关于加强违法建设综合治理的实施意见》文件精神，消除违建带来的安全隐患，改善城市人居环境，增强城市可持续发展能力。2026年拟对蒲江县规划区范围内存在违法建设进行治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蒲江县城市管理和综合行政执法局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蒲江县鹤山街道蒲阳路35号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611630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13880151347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四川中瑞信诺工程项目管理有限公司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四川省成都市金牛区金科南路169号1栋10层1005号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朴先生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028-86264377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四川省政府采购营商环境指标提升专项行动工作方案》，参照《国家计委关于印发〈招标代理服务收费管理暂行办法〉的通知》（计价格〔2002〕1980号）和《国家发展改革委关于进一步放开建设项目专业服务价格的通知》（发改价格〔2015〕299号）标准下浮15.00%</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蒲江县城市管理和综合行政执法局</w:t>
      </w:r>
      <w:r>
        <w:rPr>
          <w:rFonts w:ascii="仿宋_GB2312" w:hAnsi="仿宋_GB2312" w:cs="仿宋_GB2312" w:eastAsia="仿宋_GB2312"/>
        </w:rPr>
        <w:t xml:space="preserve"> 和 </w:t>
      </w:r>
      <w:r>
        <w:rPr>
          <w:rFonts w:ascii="仿宋_GB2312" w:hAnsi="仿宋_GB2312" w:cs="仿宋_GB2312" w:eastAsia="仿宋_GB2312"/>
        </w:rPr>
        <w:t>四川中瑞信诺工程项目管理有限公司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蒲江县城市管理和综合行政执法局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四川中瑞信诺工程项目管理有限公司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每个点位治理完毕后，进行相关的程序验收，自供应商提出验收申请之日起（因系统固化原因，本项履约验收时间中“验收合同总金额100%”不适用于本项目，以“单次违法建设治理任务据实验收”为准）</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验收应以采购合同、采购及其补充文件、国家或行业相关标准为验收的主要依据。若有新文件要求的，按新文件要求组织验收。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蒲江县城市管理和综合行政执法局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四川中瑞信诺工程项目管理有限公司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四川中瑞信诺工程项目管理有限公司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联系人：屈老师</w:t>
      </w:r>
    </w:p>
    <w:p>
      <w:pPr>
        <w:pStyle w:val="null3"/>
        <w:jc w:val="left"/>
      </w:pPr>
      <w:r>
        <w:rPr>
          <w:rFonts w:ascii="仿宋_GB2312" w:hAnsi="仿宋_GB2312" w:cs="仿宋_GB2312" w:eastAsia="仿宋_GB2312"/>
        </w:rPr>
        <w:t>联系电话：13880151347</w:t>
      </w:r>
    </w:p>
    <w:p>
      <w:pPr>
        <w:pStyle w:val="null3"/>
        <w:jc w:val="left"/>
      </w:pPr>
      <w:r>
        <w:rPr>
          <w:rFonts w:ascii="仿宋_GB2312" w:hAnsi="仿宋_GB2312" w:cs="仿宋_GB2312" w:eastAsia="仿宋_GB2312"/>
        </w:rPr>
        <w:t>地址：蒲江县鹤山街道蒲阳路35号</w:t>
      </w:r>
    </w:p>
    <w:p>
      <w:pPr>
        <w:pStyle w:val="null3"/>
        <w:jc w:val="left"/>
      </w:pPr>
      <w:r>
        <w:rPr>
          <w:rFonts w:ascii="仿宋_GB2312" w:hAnsi="仿宋_GB2312" w:cs="仿宋_GB2312" w:eastAsia="仿宋_GB2312"/>
        </w:rPr>
        <w:t>邮编：611630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联系人：朴先生</w:t>
      </w:r>
    </w:p>
    <w:p>
      <w:pPr>
        <w:pStyle w:val="null3"/>
        <w:jc w:val="left"/>
      </w:pPr>
      <w:r>
        <w:rPr>
          <w:rFonts w:ascii="仿宋_GB2312" w:hAnsi="仿宋_GB2312" w:cs="仿宋_GB2312" w:eastAsia="仿宋_GB2312"/>
        </w:rPr>
        <w:t>联系电话：028-86264377</w:t>
      </w:r>
    </w:p>
    <w:p>
      <w:pPr>
        <w:pStyle w:val="null3"/>
        <w:jc w:val="left"/>
      </w:pPr>
      <w:r>
        <w:rPr>
          <w:rFonts w:ascii="仿宋_GB2312" w:hAnsi="仿宋_GB2312" w:cs="仿宋_GB2312" w:eastAsia="仿宋_GB2312"/>
        </w:rPr>
        <w:t>地址：四川省成都市金牛区金科南路169号1栋10层1005号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C13040000 市容管理服务</w:t>
            </w:r>
          </w:p>
        </w:tc>
        <w:tc>
          <w:tcPr>
            <w:tcW w:type="dxa" w:w="821"/>
          </w:tcPr>
          <w:p>
            <w:pPr>
              <w:pStyle w:val="null3"/>
              <w:jc w:val="left"/>
            </w:pPr>
            <w:r>
              <w:rPr>
                <w:rFonts w:ascii="仿宋_GB2312" w:hAnsi="仿宋_GB2312" w:cs="仿宋_GB2312" w:eastAsia="仿宋_GB2312"/>
              </w:rPr>
              <w:t>市容管理服务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市容管理服务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本项目采用统一百分比折扣率进行报价，供应商所报百分比折扣率不得超出最高限价100%（百分比），否则视为无效。(例如：若基础价格=100元，百分比为85%，则合同执行价格:100*85%=85元)</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标的名称：市容管理服务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left="-105"/>
              <w:jc w:val="both"/>
            </w:pPr>
            <w:r>
              <w:rPr>
                <w:rFonts w:ascii="仿宋_GB2312" w:hAnsi="仿宋_GB2312" w:cs="仿宋_GB2312" w:eastAsia="仿宋_GB2312"/>
              </w:rPr>
              <w:t>（一）服务内容</w:t>
            </w:r>
          </w:p>
          <w:p>
            <w:pPr>
              <w:pStyle w:val="null3"/>
              <w:jc w:val="left"/>
            </w:pPr>
            <w:r>
              <w:rPr>
                <w:rFonts w:ascii="仿宋_GB2312" w:hAnsi="仿宋_GB2312" w:cs="仿宋_GB2312" w:eastAsia="仿宋_GB2312"/>
              </w:rPr>
              <w:t>1、供应商需在履约期间按采购人要求完成违法建设综合治理工作，包含重难点违法建设拆除工作，消除安全隐患。</w:t>
            </w:r>
          </w:p>
          <w:p>
            <w:pPr>
              <w:pStyle w:val="null3"/>
              <w:jc w:val="left"/>
            </w:pPr>
            <w:r>
              <w:rPr>
                <w:rFonts w:ascii="仿宋_GB2312" w:hAnsi="仿宋_GB2312" w:cs="仿宋_GB2312" w:eastAsia="仿宋_GB2312"/>
              </w:rPr>
              <w:t>2、对采购人的承诺兑现率100%，采购人满意率达到98%。</w:t>
            </w:r>
          </w:p>
          <w:p>
            <w:pPr>
              <w:pStyle w:val="null3"/>
              <w:jc w:val="left"/>
            </w:pPr>
            <w:r>
              <w:rPr>
                <w:rFonts w:ascii="仿宋_GB2312" w:hAnsi="仿宋_GB2312" w:cs="仿宋_GB2312" w:eastAsia="仿宋_GB2312"/>
              </w:rPr>
              <w:t>3、注重质量改进，保证质量管理体系的有效运行。</w:t>
            </w:r>
          </w:p>
          <w:p>
            <w:pPr>
              <w:pStyle w:val="null3"/>
              <w:jc w:val="left"/>
            </w:pPr>
            <w:r>
              <w:rPr>
                <w:rFonts w:ascii="仿宋_GB2312" w:hAnsi="仿宋_GB2312" w:cs="仿宋_GB2312" w:eastAsia="仿宋_GB2312"/>
              </w:rPr>
              <w:t>4、质量：确保安全，按期拆除。</w:t>
            </w:r>
          </w:p>
          <w:p>
            <w:pPr>
              <w:pStyle w:val="null3"/>
              <w:jc w:val="left"/>
            </w:pPr>
            <w:r>
              <w:rPr>
                <w:rFonts w:ascii="仿宋_GB2312" w:hAnsi="仿宋_GB2312" w:cs="仿宋_GB2312" w:eastAsia="仿宋_GB2312"/>
              </w:rPr>
              <w:t>5、安全：确保安全实施无事故。</w:t>
            </w:r>
          </w:p>
          <w:p>
            <w:pPr>
              <w:pStyle w:val="null3"/>
              <w:jc w:val="left"/>
            </w:pPr>
            <w:r>
              <w:rPr>
                <w:rFonts w:ascii="仿宋_GB2312" w:hAnsi="仿宋_GB2312" w:cs="仿宋_GB2312" w:eastAsia="仿宋_GB2312"/>
              </w:rPr>
              <w:t>6、文明实施：以控制降低噪音、粉尘为主，重点解决扰民防尘问题。</w:t>
            </w:r>
          </w:p>
          <w:p>
            <w:pPr>
              <w:pStyle w:val="null3"/>
              <w:jc w:val="left"/>
            </w:pPr>
            <w:r>
              <w:rPr>
                <w:rFonts w:ascii="仿宋_GB2312" w:hAnsi="仿宋_GB2312" w:cs="仿宋_GB2312" w:eastAsia="仿宋_GB2312"/>
              </w:rPr>
              <w:t>7、协助采购人进行违法建设的相关工作的巡查、法律法规的宣传等。</w:t>
            </w:r>
          </w:p>
          <w:p>
            <w:pPr>
              <w:pStyle w:val="null3"/>
              <w:jc w:val="left"/>
            </w:pPr>
            <w:r>
              <w:rPr>
                <w:rFonts w:ascii="仿宋_GB2312" w:hAnsi="仿宋_GB2312" w:cs="仿宋_GB2312" w:eastAsia="仿宋_GB2312"/>
              </w:rPr>
              <w:t>（二）服务要求</w:t>
            </w:r>
          </w:p>
          <w:p>
            <w:pPr>
              <w:pStyle w:val="null3"/>
              <w:jc w:val="left"/>
            </w:pPr>
            <w:r>
              <w:rPr>
                <w:rFonts w:ascii="仿宋_GB2312" w:hAnsi="仿宋_GB2312" w:cs="仿宋_GB2312" w:eastAsia="仿宋_GB2312"/>
              </w:rPr>
              <w:t>1、项目实施前的准备工作</w:t>
            </w:r>
          </w:p>
          <w:p>
            <w:pPr>
              <w:pStyle w:val="null3"/>
              <w:jc w:val="left"/>
            </w:pPr>
            <w:r>
              <w:rPr>
                <w:rFonts w:ascii="仿宋_GB2312" w:hAnsi="仿宋_GB2312" w:cs="仿宋_GB2312" w:eastAsia="仿宋_GB2312"/>
              </w:rPr>
              <w:t>1.1项目实施前，供应商需按采购人的要求进行详细的书面技术交底，根据原建筑物的图纸及地质资料，结合现场实际情况，切断和封堵通往被相关区域内的一切水、电、通风等线路及各种管道。</w:t>
            </w:r>
          </w:p>
          <w:p>
            <w:pPr>
              <w:pStyle w:val="null3"/>
              <w:jc w:val="left"/>
            </w:pPr>
            <w:r>
              <w:rPr>
                <w:rFonts w:ascii="仿宋_GB2312" w:hAnsi="仿宋_GB2312" w:cs="仿宋_GB2312" w:eastAsia="仿宋_GB2312"/>
              </w:rPr>
              <w:t>1.2供应商需对违法建设治理项目撤出所需要的设备及物资，本项目开始履约后，非现场工作人员不得进入现场，以防安全事故发生。</w:t>
            </w:r>
          </w:p>
          <w:p>
            <w:pPr>
              <w:pStyle w:val="null3"/>
              <w:jc w:val="left"/>
            </w:pPr>
            <w:r>
              <w:rPr>
                <w:rFonts w:ascii="仿宋_GB2312" w:hAnsi="仿宋_GB2312" w:cs="仿宋_GB2312" w:eastAsia="仿宋_GB2312"/>
              </w:rPr>
              <w:t>1.3根据现场情况及工作安排，提前准备必要的设备、材料、人员等，按采购人要求及时进场，并提前做好关键路口的安全标记及指挥。</w:t>
            </w:r>
          </w:p>
          <w:p>
            <w:pPr>
              <w:pStyle w:val="null3"/>
              <w:jc w:val="left"/>
            </w:pPr>
            <w:r>
              <w:rPr>
                <w:rFonts w:ascii="仿宋_GB2312" w:hAnsi="仿宋_GB2312" w:cs="仿宋_GB2312" w:eastAsia="仿宋_GB2312"/>
              </w:rPr>
              <w:t>1.4实施前，作业人员认真接受对治理区域内的技术交底，地上、地下障碍物的书面交底，并做好记录。组织安全员、作业人员及相关人员熟悉和掌握实施范围及结构特点，清楚地上、地下障碍物，要有严格的安全措施和实施工艺的记录。</w:t>
            </w:r>
          </w:p>
          <w:p>
            <w:pPr>
              <w:pStyle w:val="null3"/>
              <w:jc w:val="left"/>
            </w:pPr>
            <w:r>
              <w:rPr>
                <w:rFonts w:ascii="仿宋_GB2312" w:hAnsi="仿宋_GB2312" w:cs="仿宋_GB2312" w:eastAsia="仿宋_GB2312"/>
              </w:rPr>
              <w:t>1.5供应商在项目实施前应建立突发断水、断电的应急制度，水、电无法供应时，采购人所要求实施服务范围不能正常工作的，供应商须具备应急解决能力。</w:t>
            </w:r>
          </w:p>
          <w:p>
            <w:pPr>
              <w:pStyle w:val="null3"/>
              <w:jc w:val="left"/>
            </w:pPr>
            <w:r>
              <w:rPr>
                <w:rFonts w:ascii="仿宋_GB2312" w:hAnsi="仿宋_GB2312" w:cs="仿宋_GB2312" w:eastAsia="仿宋_GB2312"/>
              </w:rPr>
              <w:t>2、项目实施过程中的具体要求</w:t>
            </w:r>
          </w:p>
          <w:p>
            <w:pPr>
              <w:pStyle w:val="null3"/>
              <w:jc w:val="left"/>
            </w:pPr>
            <w:r>
              <w:rPr>
                <w:rFonts w:ascii="仿宋_GB2312" w:hAnsi="仿宋_GB2312" w:cs="仿宋_GB2312" w:eastAsia="仿宋_GB2312"/>
              </w:rPr>
              <w:t>2.1供应商需遵守国家或地方政府及有关部门对实施现场管理的规定，妥善保护好实施现场周围建筑物、设备管线、古树名木不受损坏。做好现场保卫和建筑垃圾清理等工作。处理好扰民问题及与周围单位（住户）的关系。</w:t>
            </w:r>
          </w:p>
          <w:p>
            <w:pPr>
              <w:pStyle w:val="null3"/>
              <w:jc w:val="left"/>
            </w:pPr>
            <w:r>
              <w:rPr>
                <w:rFonts w:ascii="仿宋_GB2312" w:hAnsi="仿宋_GB2312" w:cs="仿宋_GB2312" w:eastAsia="仿宋_GB2312"/>
              </w:rPr>
              <w:t>2.2在实施违法建设治理服务过程中必须严格程序、规范操作、安全作业、文明作业。须严格按照采购人要求实施，要设置相关警示标志，落实专人负责现场秩序管理，疏通交通，保证车辆和行人安全通行。</w:t>
            </w:r>
          </w:p>
          <w:p>
            <w:pPr>
              <w:pStyle w:val="null3"/>
              <w:jc w:val="left"/>
            </w:pPr>
            <w:r>
              <w:rPr>
                <w:rFonts w:ascii="仿宋_GB2312" w:hAnsi="仿宋_GB2312" w:cs="仿宋_GB2312" w:eastAsia="仿宋_GB2312"/>
              </w:rPr>
              <w:t>2.3供应商应进行文明拆除，能够自行依法依规、科学灵活处置现场突发事件，避免出现法律纠纷、安全隐患等问题。</w:t>
            </w:r>
          </w:p>
          <w:p>
            <w:pPr>
              <w:pStyle w:val="null3"/>
              <w:jc w:val="left"/>
            </w:pPr>
            <w:r>
              <w:rPr>
                <w:rFonts w:ascii="仿宋_GB2312" w:hAnsi="仿宋_GB2312" w:cs="仿宋_GB2312" w:eastAsia="仿宋_GB2312"/>
              </w:rPr>
              <w:t>3、项目实施后的具体要求</w:t>
            </w:r>
          </w:p>
          <w:p>
            <w:pPr>
              <w:pStyle w:val="null3"/>
              <w:jc w:val="left"/>
            </w:pPr>
            <w:r>
              <w:rPr>
                <w:rFonts w:ascii="仿宋_GB2312" w:hAnsi="仿宋_GB2312" w:cs="仿宋_GB2312" w:eastAsia="仿宋_GB2312"/>
              </w:rPr>
              <w:t>供应商应建立违法建设治理服务台账，应当对治理点位治理前、中、后的情况全面记录留存，并如实记录违法建设治理工作的数据信息，以便后期采购人进行验收和审计。若在后期验收过程中发现供应商虚报，谎报数据获取不正当利益，采购人一经发现有权终止采购合同。</w:t>
            </w:r>
          </w:p>
          <w:p>
            <w:pPr>
              <w:pStyle w:val="null3"/>
              <w:jc w:val="left"/>
            </w:pPr>
            <w:r>
              <w:rPr>
                <w:rFonts w:ascii="仿宋_GB2312" w:hAnsi="仿宋_GB2312" w:cs="仿宋_GB2312" w:eastAsia="仿宋_GB2312"/>
              </w:rPr>
              <w:t>4、安全文明实施保障要求</w:t>
            </w:r>
          </w:p>
          <w:p>
            <w:pPr>
              <w:pStyle w:val="null3"/>
              <w:jc w:val="left"/>
            </w:pPr>
            <w:r>
              <w:rPr>
                <w:rFonts w:ascii="仿宋_GB2312" w:hAnsi="仿宋_GB2312" w:cs="仿宋_GB2312" w:eastAsia="仿宋_GB2312"/>
              </w:rPr>
              <w:t>4.1供应商应做好安全保障工作，严格遵守安全生产有关规定，严格按安全标准组织实施，本项目需要确定一名项目负责人，主要牵头负责项目实施及安全工作。项目实施过程中，项目责任人不能随意离开现场，发现问题及时纠正、及时消除事故隐患，并随时接受采购人安全检查人员的监督。由于成交供应商安全措施不落实造成事故的发生，由成交供应商负责赔偿并承担相关法律责任。</w:t>
            </w:r>
          </w:p>
          <w:p>
            <w:pPr>
              <w:pStyle w:val="null3"/>
              <w:jc w:val="left"/>
            </w:pPr>
            <w:r>
              <w:rPr>
                <w:rFonts w:ascii="仿宋_GB2312" w:hAnsi="仿宋_GB2312" w:cs="仿宋_GB2312" w:eastAsia="仿宋_GB2312"/>
              </w:rPr>
              <w:t>4.2供应商在项目实施过程中，如果对非实施范围内的私人财产或公共设施造成损伤或者破坏的，应当及时恢复原状、消除影响、赔偿损失。</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left="-105" w:firstLine="280"/>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1、报价要求：供应商报价为响应本项目所要求的全部服务内容，包括完成本项目所涉及一切费用，包括但不限于因项目实施可能产生的人工费、材料费、机械费、建渣清运费、安全文明施工费、环保费、措施费、规费、综合费、税金等所有费用等，采购人不再支付成交供应商除本项目成交金额外的任何费用。任何有选择或可调整的报价将不予接受，并按无效处理。（提供承诺函，格式自拟，并加盖供应商公章。）</w:t>
            </w:r>
          </w:p>
          <w:p>
            <w:pPr>
              <w:pStyle w:val="null3"/>
              <w:jc w:val="left"/>
            </w:pPr>
            <w:r>
              <w:rPr>
                <w:rFonts w:ascii="仿宋_GB2312" w:hAnsi="仿宋_GB2312" w:cs="仿宋_GB2312" w:eastAsia="仿宋_GB2312"/>
              </w:rPr>
              <w:t>2、质量及验收要求：成交供应商根据国家有关要求、招标文件、成交供应商的响应文件以及合同约定的内容和验收标准进行验收。</w:t>
            </w:r>
          </w:p>
          <w:p>
            <w:pPr>
              <w:pStyle w:val="null3"/>
              <w:jc w:val="left"/>
            </w:pPr>
            <w:r>
              <w:rPr>
                <w:rFonts w:ascii="仿宋_GB2312" w:hAnsi="仿宋_GB2312" w:cs="仿宋_GB2312" w:eastAsia="仿宋_GB2312"/>
              </w:rPr>
              <w:t>3、成交供应商在项目执行过程中定期及时向采购人通告本项目的重大事项及其进度。</w:t>
            </w:r>
          </w:p>
          <w:p>
            <w:pPr>
              <w:pStyle w:val="null3"/>
              <w:jc w:val="left"/>
            </w:pPr>
            <w:r>
              <w:rPr>
                <w:rFonts w:ascii="仿宋_GB2312" w:hAnsi="仿宋_GB2312" w:cs="仿宋_GB2312" w:eastAsia="仿宋_GB2312"/>
              </w:rPr>
              <w:t>4、接受项目行业管理部门及政府有关部门的指导，接受采购人的监督。</w:t>
            </w:r>
          </w:p>
          <w:p>
            <w:pPr>
              <w:pStyle w:val="null3"/>
              <w:jc w:val="left"/>
            </w:pPr>
            <w:r>
              <w:rPr>
                <w:rFonts w:ascii="仿宋_GB2312" w:hAnsi="仿宋_GB2312" w:cs="仿宋_GB2312" w:eastAsia="仿宋_GB2312"/>
              </w:rPr>
              <w:t>5、采购人定期核对供应商提供服务所配备的人员数量及相关信息，对于未按照采购文件及响应要求执行或存在不合理的部分，采购人有权下达整改通知书，并要求供应商限期整改。</w:t>
            </w:r>
          </w:p>
          <w:p>
            <w:pPr>
              <w:pStyle w:val="null3"/>
              <w:jc w:val="left"/>
            </w:pPr>
            <w:r>
              <w:rPr>
                <w:rFonts w:ascii="仿宋_GB2312" w:hAnsi="仿宋_GB2312" w:cs="仿宋_GB2312" w:eastAsia="仿宋_GB2312"/>
              </w:rPr>
              <w:t>6、响应时限要求：本项目涉及的违法建设治理工作具有不定期性，收到采购人的违法建设治理任务后，须在2个工作日内到达指定现场进行前期踏勘工作，后续按照采购人要求开展治理工作，并按要求保质保量完成。</w:t>
            </w:r>
          </w:p>
          <w:p>
            <w:pPr>
              <w:pStyle w:val="null3"/>
              <w:jc w:val="left"/>
            </w:pPr>
            <w:r>
              <w:rPr>
                <w:rFonts w:ascii="仿宋_GB2312" w:hAnsi="仿宋_GB2312" w:cs="仿宋_GB2312" w:eastAsia="仿宋_GB2312"/>
              </w:rPr>
              <w:t>7、本项目未提及的要求或标准应满足现行有效的国家相关标准、行业标准、地方标准以及相关规范等。</w:t>
            </w:r>
          </w:p>
          <w:p>
            <w:pPr>
              <w:pStyle w:val="null3"/>
              <w:jc w:val="left"/>
            </w:pPr>
            <w:r>
              <w:rPr>
                <w:rFonts w:ascii="仿宋_GB2312" w:hAnsi="仿宋_GB2312" w:cs="仿宋_GB2312" w:eastAsia="仿宋_GB2312"/>
              </w:rPr>
              <w:t>8、若文件中引用的相关条款、规范及法律法规有更新，按更新后的条款、规范及法律法规执行。</w:t>
            </w:r>
          </w:p>
          <w:p>
            <w:pPr>
              <w:pStyle w:val="null3"/>
              <w:jc w:val="left"/>
            </w:pPr>
            <w:r>
              <w:rPr>
                <w:rFonts w:ascii="仿宋_GB2312" w:hAnsi="仿宋_GB2312" w:cs="仿宋_GB2312" w:eastAsia="仿宋_GB2312"/>
              </w:rPr>
              <w:t>9、供应商在参与本项目过程中，应严格遵守保密相关规定，对于采购人提供的任何形式的任何信息（包括技术信息和内容信息）均为保密信息，仅可用于完成本项目规定的工作任务。除此之外，供应商不得出于任何目的、通过任何途径使用本保密信息。</w:t>
            </w:r>
          </w:p>
          <w:p>
            <w:pPr>
              <w:pStyle w:val="null3"/>
              <w:jc w:val="left"/>
            </w:pPr>
            <w:r>
              <w:rPr>
                <w:rFonts w:ascii="仿宋_GB2312" w:hAnsi="仿宋_GB2312" w:cs="仿宋_GB2312" w:eastAsia="仿宋_GB2312"/>
              </w:rPr>
              <w:t>10、供应商须承诺成交后按“四川省住房和城乡建设厅关于进一步规范城市建筑垃圾处置核准有关事项的通知”开展建筑垃圾处置并符合其规定要求。（提供承诺函格式自拟加盖电子签章）</w:t>
            </w:r>
          </w:p>
          <w:p>
            <w:pPr>
              <w:pStyle w:val="null3"/>
              <w:jc w:val="left"/>
            </w:pPr>
            <w:r>
              <w:rPr>
                <w:rFonts w:ascii="仿宋_GB2312" w:hAnsi="仿宋_GB2312" w:cs="仿宋_GB2312" w:eastAsia="仿宋_GB2312"/>
              </w:rPr>
              <w:t>11、供应商在服务过程中，应遵守采购人相关规定，服从采购人根据本项目制定的各项规定。</w:t>
            </w:r>
          </w:p>
          <w:p>
            <w:pPr>
              <w:pStyle w:val="null3"/>
              <w:jc w:val="left"/>
            </w:pPr>
            <w:r>
              <w:rPr>
                <w:rFonts w:ascii="仿宋_GB2312" w:hAnsi="仿宋_GB2312" w:cs="仿宋_GB2312" w:eastAsia="仿宋_GB2312"/>
              </w:rPr>
              <w:t>12、其他未尽事宜由供需双方在采购合同中详细约定。</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其他商务要求</w:t>
            </w:r>
          </w:p>
        </w:tc>
        <w:tc>
          <w:tcPr>
            <w:tcW w:type="dxa" w:w="5814"/>
          </w:tcPr>
          <w:p>
            <w:pPr>
              <w:pStyle w:val="null3"/>
              <w:ind w:left="-105" w:firstLine="280"/>
              <w:jc w:val="both"/>
            </w:pPr>
            <w:r>
              <w:rPr>
                <w:rFonts w:ascii="仿宋_GB2312" w:hAnsi="仿宋_GB2312" w:cs="仿宋_GB2312" w:eastAsia="仿宋_GB2312"/>
              </w:rPr>
              <w:t>1、在本采购文件中没有提及的与本项目履约切实相关的事宜，在采购人与供应商/投标人订立合同时按明细约定或后续补充约定（约定的内容须符合国家相关法律法规的规定）。</w:t>
            </w:r>
          </w:p>
          <w:p>
            <w:pPr>
              <w:pStyle w:val="null3"/>
              <w:jc w:val="left"/>
            </w:pPr>
            <w:r>
              <w:rPr>
                <w:rFonts w:ascii="仿宋_GB2312" w:hAnsi="仿宋_GB2312" w:cs="仿宋_GB2312" w:eastAsia="仿宋_GB2312"/>
              </w:rPr>
              <w:t>2、本项目采用统一百分比折扣率进行报价，供应商所报百分比折扣率不得超出最高限价100%（百分比），否则视为无效。(例如：若基础价格=100元，百分比为85%，则合同执行价格:100*85%=85元)</w:t>
            </w:r>
          </w:p>
          <w:p>
            <w:pPr>
              <w:pStyle w:val="null3"/>
              <w:jc w:val="left"/>
            </w:pPr>
            <w:r>
              <w:rPr>
                <w:rFonts w:ascii="仿宋_GB2312" w:hAnsi="仿宋_GB2312" w:cs="仿宋_GB2312" w:eastAsia="仿宋_GB2312"/>
              </w:rPr>
              <w:t>3、报价及结算要求</w:t>
            </w:r>
          </w:p>
          <w:p>
            <w:pPr>
              <w:pStyle w:val="null3"/>
              <w:jc w:val="left"/>
            </w:pPr>
            <w:r>
              <w:rPr>
                <w:rFonts w:ascii="仿宋_GB2312" w:hAnsi="仿宋_GB2312" w:cs="仿宋_GB2312" w:eastAsia="仿宋_GB2312"/>
              </w:rPr>
              <w:t>（1）报价组成</w:t>
            </w:r>
          </w:p>
          <w:tbl>
            <w:tblPr>
              <w:tblBorders>
                <w:top w:val="single"/>
                <w:left w:val="single"/>
                <w:bottom w:val="single"/>
                <w:right w:val="single"/>
                <w:insideH w:val="single"/>
                <w:insideV w:val="single"/>
              </w:tblBorders>
            </w:tblPr>
            <w:tblGrid>
              <w:gridCol w:w="933"/>
              <w:gridCol w:w="933"/>
              <w:gridCol w:w="933"/>
              <w:gridCol w:w="933"/>
              <w:gridCol w:w="933"/>
              <w:gridCol w:w="933"/>
            </w:tblGrid>
            <w:tr>
              <w:tc>
                <w:tcPr>
                  <w:tcW w:type="dxa" w:w="933"/>
                </w:tcPr>
                <w:p>
                  <w:pPr>
                    <w:pStyle w:val="null3"/>
                    <w:jc w:val="left"/>
                  </w:pPr>
                  <w:r>
                    <w:rPr>
                      <w:rFonts w:ascii="仿宋_GB2312" w:hAnsi="仿宋_GB2312" w:cs="仿宋_GB2312" w:eastAsia="仿宋_GB2312"/>
                    </w:rPr>
                    <w:t>序号</w:t>
                  </w:r>
                </w:p>
              </w:tc>
              <w:tc>
                <w:tcPr>
                  <w:tcW w:type="dxa" w:w="933"/>
                </w:tcPr>
                <w:p>
                  <w:pPr>
                    <w:pStyle w:val="null3"/>
                    <w:jc w:val="left"/>
                  </w:pPr>
                  <w:r>
                    <w:rPr>
                      <w:rFonts w:ascii="仿宋_GB2312" w:hAnsi="仿宋_GB2312" w:cs="仿宋_GB2312" w:eastAsia="仿宋_GB2312"/>
                    </w:rPr>
                    <w:t>项目名称</w:t>
                  </w:r>
                </w:p>
              </w:tc>
              <w:tc>
                <w:tcPr>
                  <w:tcW w:type="dxa" w:w="933"/>
                </w:tcPr>
                <w:p>
                  <w:pPr>
                    <w:pStyle w:val="null3"/>
                    <w:jc w:val="left"/>
                  </w:pPr>
                  <w:r>
                    <w:rPr>
                      <w:rFonts w:ascii="仿宋_GB2312" w:hAnsi="仿宋_GB2312" w:cs="仿宋_GB2312" w:eastAsia="仿宋_GB2312"/>
                    </w:rPr>
                    <w:t>特征描述</w:t>
                  </w:r>
                </w:p>
              </w:tc>
              <w:tc>
                <w:tcPr>
                  <w:tcW w:type="dxa" w:w="933"/>
                </w:tcPr>
                <w:p>
                  <w:pPr>
                    <w:pStyle w:val="null3"/>
                    <w:jc w:val="left"/>
                  </w:pPr>
                  <w:r>
                    <w:rPr>
                      <w:rFonts w:ascii="仿宋_GB2312" w:hAnsi="仿宋_GB2312" w:cs="仿宋_GB2312" w:eastAsia="仿宋_GB2312"/>
                    </w:rPr>
                    <w:t>计量</w:t>
                  </w:r>
                </w:p>
                <w:p>
                  <w:pPr>
                    <w:pStyle w:val="null3"/>
                    <w:jc w:val="left"/>
                  </w:pPr>
                  <w:r>
                    <w:rPr>
                      <w:rFonts w:ascii="仿宋_GB2312" w:hAnsi="仿宋_GB2312" w:cs="仿宋_GB2312" w:eastAsia="仿宋_GB2312"/>
                    </w:rPr>
                    <w:t>单位</w:t>
                  </w:r>
                </w:p>
              </w:tc>
              <w:tc>
                <w:tcPr>
                  <w:tcW w:type="dxa" w:w="933"/>
                </w:tcPr>
                <w:p>
                  <w:pPr>
                    <w:pStyle w:val="null3"/>
                    <w:jc w:val="left"/>
                  </w:pPr>
                  <w:r>
                    <w:rPr>
                      <w:rFonts w:ascii="仿宋_GB2312" w:hAnsi="仿宋_GB2312" w:cs="仿宋_GB2312" w:eastAsia="仿宋_GB2312"/>
                    </w:rPr>
                    <w:t>数量</w:t>
                  </w:r>
                </w:p>
              </w:tc>
              <w:tc>
                <w:tcPr>
                  <w:tcW w:type="dxa" w:w="933"/>
                </w:tcPr>
                <w:p>
                  <w:pPr>
                    <w:pStyle w:val="null3"/>
                    <w:jc w:val="left"/>
                  </w:pPr>
                  <w:r>
                    <w:rPr>
                      <w:rFonts w:ascii="仿宋_GB2312" w:hAnsi="仿宋_GB2312" w:cs="仿宋_GB2312" w:eastAsia="仿宋_GB2312"/>
                    </w:rPr>
                    <w:t>单价最高限价（元）</w:t>
                  </w:r>
                </w:p>
              </w:tc>
            </w:tr>
            <w:tr>
              <w:tc>
                <w:tcPr>
                  <w:tcW w:type="dxa" w:w="933"/>
                </w:tcPr>
                <w:p>
                  <w:pPr>
                    <w:pStyle w:val="null3"/>
                    <w:jc w:val="left"/>
                  </w:pPr>
                  <w:r>
                    <w:rPr>
                      <w:rFonts w:ascii="仿宋_GB2312" w:hAnsi="仿宋_GB2312" w:cs="仿宋_GB2312" w:eastAsia="仿宋_GB2312"/>
                    </w:rPr>
                    <w:t>1</w:t>
                  </w:r>
                </w:p>
              </w:tc>
              <w:tc>
                <w:tcPr>
                  <w:tcW w:type="dxa" w:w="933"/>
                </w:tcPr>
                <w:p>
                  <w:pPr>
                    <w:pStyle w:val="null3"/>
                    <w:jc w:val="left"/>
                  </w:pPr>
                  <w:r>
                    <w:rPr>
                      <w:rFonts w:ascii="仿宋_GB2312" w:hAnsi="仿宋_GB2312" w:cs="仿宋_GB2312" w:eastAsia="仿宋_GB2312"/>
                    </w:rPr>
                    <w:t>砖混房屋</w:t>
                  </w:r>
                </w:p>
              </w:tc>
              <w:tc>
                <w:tcPr>
                  <w:tcW w:type="dxa" w:w="933"/>
                </w:tcPr>
                <w:p>
                  <w:pPr>
                    <w:pStyle w:val="null3"/>
                    <w:jc w:val="left"/>
                  </w:pPr>
                  <w:r>
                    <w:rPr>
                      <w:rFonts w:ascii="仿宋_GB2312" w:hAnsi="仿宋_GB2312" w:cs="仿宋_GB2312" w:eastAsia="仿宋_GB2312"/>
                    </w:rPr>
                    <w:t>1.结构形式：砖混结构</w:t>
                  </w:r>
                </w:p>
                <w:p>
                  <w:pPr>
                    <w:pStyle w:val="null3"/>
                    <w:jc w:val="left"/>
                  </w:pPr>
                  <w:r>
                    <w:rPr>
                      <w:rFonts w:ascii="仿宋_GB2312" w:hAnsi="仿宋_GB2312" w:cs="仿宋_GB2312" w:eastAsia="仿宋_GB2312"/>
                    </w:rPr>
                    <w:t>2.强度等级：综合</w:t>
                  </w:r>
                </w:p>
                <w:p>
                  <w:pPr>
                    <w:pStyle w:val="null3"/>
                    <w:jc w:val="left"/>
                  </w:pPr>
                  <w:r>
                    <w:rPr>
                      <w:rFonts w:ascii="仿宋_GB2312" w:hAnsi="仿宋_GB2312" w:cs="仿宋_GB2312" w:eastAsia="仿宋_GB2312"/>
                    </w:rPr>
                    <w:t>3.拆除方式：人机综合</w:t>
                  </w:r>
                </w:p>
              </w:tc>
              <w:tc>
                <w:tcPr>
                  <w:tcW w:type="dxa" w:w="933"/>
                </w:tcPr>
                <w:p>
                  <w:pPr>
                    <w:pStyle w:val="null3"/>
                    <w:jc w:val="left"/>
                  </w:pPr>
                  <w:r>
                    <w:rPr>
                      <w:rFonts w:ascii="仿宋_GB2312" w:hAnsi="仿宋_GB2312" w:cs="仿宋_GB2312" w:eastAsia="仿宋_GB2312"/>
                    </w:rPr>
                    <w:t>㎡</w:t>
                  </w:r>
                </w:p>
              </w:tc>
              <w:tc>
                <w:tcPr>
                  <w:tcW w:type="dxa" w:w="933"/>
                </w:tcPr>
                <w:p>
                  <w:pPr>
                    <w:pStyle w:val="null3"/>
                    <w:jc w:val="left"/>
                  </w:pPr>
                  <w:r>
                    <w:rPr>
                      <w:rFonts w:ascii="仿宋_GB2312" w:hAnsi="仿宋_GB2312" w:cs="仿宋_GB2312" w:eastAsia="仿宋_GB2312"/>
                    </w:rPr>
                    <w:t>以实际结算为准</w:t>
                  </w:r>
                </w:p>
              </w:tc>
              <w:tc>
                <w:tcPr>
                  <w:tcW w:type="dxa" w:w="933"/>
                </w:tcPr>
                <w:p>
                  <w:pPr>
                    <w:pStyle w:val="null3"/>
                    <w:jc w:val="left"/>
                  </w:pPr>
                  <w:r>
                    <w:rPr>
                      <w:rFonts w:ascii="仿宋_GB2312" w:hAnsi="仿宋_GB2312" w:cs="仿宋_GB2312" w:eastAsia="仿宋_GB2312"/>
                    </w:rPr>
                    <w:t>245.30</w:t>
                  </w:r>
                </w:p>
              </w:tc>
            </w:tr>
            <w:tr>
              <w:tc>
                <w:tcPr>
                  <w:tcW w:type="dxa" w:w="933"/>
                </w:tcPr>
                <w:p>
                  <w:pPr>
                    <w:pStyle w:val="null3"/>
                    <w:jc w:val="left"/>
                  </w:pPr>
                  <w:r>
                    <w:rPr>
                      <w:rFonts w:ascii="仿宋_GB2312" w:hAnsi="仿宋_GB2312" w:cs="仿宋_GB2312" w:eastAsia="仿宋_GB2312"/>
                    </w:rPr>
                    <w:t>2</w:t>
                  </w:r>
                </w:p>
              </w:tc>
              <w:tc>
                <w:tcPr>
                  <w:tcW w:type="dxa" w:w="933"/>
                </w:tcPr>
                <w:p>
                  <w:pPr>
                    <w:pStyle w:val="null3"/>
                    <w:jc w:val="left"/>
                  </w:pPr>
                  <w:r>
                    <w:rPr>
                      <w:rFonts w:ascii="仿宋_GB2312" w:hAnsi="仿宋_GB2312" w:cs="仿宋_GB2312" w:eastAsia="仿宋_GB2312"/>
                    </w:rPr>
                    <w:t>拆除彩钢棚</w:t>
                  </w:r>
                </w:p>
              </w:tc>
              <w:tc>
                <w:tcPr>
                  <w:tcW w:type="dxa" w:w="933"/>
                </w:tcPr>
                <w:p>
                  <w:pPr>
                    <w:pStyle w:val="null3"/>
                    <w:jc w:val="left"/>
                  </w:pPr>
                  <w:r>
                    <w:rPr>
                      <w:rFonts w:ascii="仿宋_GB2312" w:hAnsi="仿宋_GB2312" w:cs="仿宋_GB2312" w:eastAsia="仿宋_GB2312"/>
                    </w:rPr>
                    <w:t>1.结构形式：彩钢棚、雨棚等</w:t>
                  </w:r>
                </w:p>
                <w:p>
                  <w:pPr>
                    <w:pStyle w:val="null3"/>
                    <w:jc w:val="left"/>
                  </w:pPr>
                  <w:r>
                    <w:rPr>
                      <w:rFonts w:ascii="仿宋_GB2312" w:hAnsi="仿宋_GB2312" w:cs="仿宋_GB2312" w:eastAsia="仿宋_GB2312"/>
                    </w:rPr>
                    <w:t>2.强度等级：综合</w:t>
                  </w:r>
                </w:p>
                <w:p>
                  <w:pPr>
                    <w:pStyle w:val="null3"/>
                    <w:jc w:val="left"/>
                  </w:pPr>
                  <w:r>
                    <w:rPr>
                      <w:rFonts w:ascii="仿宋_GB2312" w:hAnsi="仿宋_GB2312" w:cs="仿宋_GB2312" w:eastAsia="仿宋_GB2312"/>
                    </w:rPr>
                    <w:t>3.拆除方式：人机综合</w:t>
                  </w:r>
                </w:p>
              </w:tc>
              <w:tc>
                <w:tcPr>
                  <w:tcW w:type="dxa" w:w="933"/>
                </w:tcPr>
                <w:p>
                  <w:pPr>
                    <w:pStyle w:val="null3"/>
                    <w:jc w:val="left"/>
                  </w:pPr>
                  <w:r>
                    <w:rPr>
                      <w:rFonts w:ascii="仿宋_GB2312" w:hAnsi="仿宋_GB2312" w:cs="仿宋_GB2312" w:eastAsia="仿宋_GB2312"/>
                    </w:rPr>
                    <w:t>㎡</w:t>
                  </w:r>
                </w:p>
              </w:tc>
              <w:tc>
                <w:tcPr>
                  <w:tcW w:type="dxa" w:w="933"/>
                </w:tcPr>
                <w:p>
                  <w:pPr>
                    <w:pStyle w:val="null3"/>
                    <w:jc w:val="left"/>
                  </w:pPr>
                  <w:r>
                    <w:rPr>
                      <w:rFonts w:ascii="仿宋_GB2312" w:hAnsi="仿宋_GB2312" w:cs="仿宋_GB2312" w:eastAsia="仿宋_GB2312"/>
                    </w:rPr>
                    <w:t>以实际结算为准</w:t>
                  </w:r>
                </w:p>
              </w:tc>
              <w:tc>
                <w:tcPr>
                  <w:tcW w:type="dxa" w:w="933"/>
                </w:tcPr>
                <w:p>
                  <w:pPr>
                    <w:pStyle w:val="null3"/>
                    <w:jc w:val="left"/>
                  </w:pPr>
                  <w:r>
                    <w:rPr>
                      <w:rFonts w:ascii="仿宋_GB2312" w:hAnsi="仿宋_GB2312" w:cs="仿宋_GB2312" w:eastAsia="仿宋_GB2312"/>
                    </w:rPr>
                    <w:t>108.28</w:t>
                  </w:r>
                </w:p>
              </w:tc>
            </w:tr>
            <w:tr>
              <w:tc>
                <w:tcPr>
                  <w:tcW w:type="dxa" w:w="933"/>
                </w:tcPr>
                <w:p>
                  <w:pPr>
                    <w:pStyle w:val="null3"/>
                    <w:jc w:val="left"/>
                  </w:pPr>
                  <w:r>
                    <w:rPr>
                      <w:rFonts w:ascii="仿宋_GB2312" w:hAnsi="仿宋_GB2312" w:cs="仿宋_GB2312" w:eastAsia="仿宋_GB2312"/>
                    </w:rPr>
                    <w:t>3</w:t>
                  </w:r>
                </w:p>
              </w:tc>
              <w:tc>
                <w:tcPr>
                  <w:tcW w:type="dxa" w:w="933"/>
                </w:tcPr>
                <w:p>
                  <w:pPr>
                    <w:pStyle w:val="null3"/>
                    <w:jc w:val="left"/>
                  </w:pPr>
                  <w:r>
                    <w:rPr>
                      <w:rFonts w:ascii="仿宋_GB2312" w:hAnsi="仿宋_GB2312" w:cs="仿宋_GB2312" w:eastAsia="仿宋_GB2312"/>
                    </w:rPr>
                    <w:t>拆除框架结构拆除</w:t>
                  </w:r>
                </w:p>
              </w:tc>
              <w:tc>
                <w:tcPr>
                  <w:tcW w:type="dxa" w:w="933"/>
                </w:tcPr>
                <w:p>
                  <w:pPr>
                    <w:pStyle w:val="null3"/>
                    <w:jc w:val="left"/>
                  </w:pPr>
                  <w:r>
                    <w:rPr>
                      <w:rFonts w:ascii="仿宋_GB2312" w:hAnsi="仿宋_GB2312" w:cs="仿宋_GB2312" w:eastAsia="仿宋_GB2312"/>
                    </w:rPr>
                    <w:t>1.结构形式：混凝土框架结构</w:t>
                  </w:r>
                </w:p>
                <w:p>
                  <w:pPr>
                    <w:pStyle w:val="null3"/>
                    <w:jc w:val="left"/>
                  </w:pPr>
                  <w:r>
                    <w:rPr>
                      <w:rFonts w:ascii="仿宋_GB2312" w:hAnsi="仿宋_GB2312" w:cs="仿宋_GB2312" w:eastAsia="仿宋_GB2312"/>
                    </w:rPr>
                    <w:t>2.强度等级：综合</w:t>
                  </w:r>
                </w:p>
                <w:p>
                  <w:pPr>
                    <w:pStyle w:val="null3"/>
                    <w:jc w:val="left"/>
                  </w:pPr>
                  <w:r>
                    <w:rPr>
                      <w:rFonts w:ascii="仿宋_GB2312" w:hAnsi="仿宋_GB2312" w:cs="仿宋_GB2312" w:eastAsia="仿宋_GB2312"/>
                    </w:rPr>
                    <w:t>3.拆除方式：人机综合</w:t>
                  </w:r>
                </w:p>
              </w:tc>
              <w:tc>
                <w:tcPr>
                  <w:tcW w:type="dxa" w:w="933"/>
                </w:tcPr>
                <w:p>
                  <w:pPr>
                    <w:pStyle w:val="null3"/>
                    <w:jc w:val="left"/>
                  </w:pPr>
                  <w:r>
                    <w:rPr>
                      <w:rFonts w:ascii="仿宋_GB2312" w:hAnsi="仿宋_GB2312" w:cs="仿宋_GB2312" w:eastAsia="仿宋_GB2312"/>
                    </w:rPr>
                    <w:t>㎡</w:t>
                  </w:r>
                </w:p>
              </w:tc>
              <w:tc>
                <w:tcPr>
                  <w:tcW w:type="dxa" w:w="933"/>
                </w:tcPr>
                <w:p>
                  <w:pPr>
                    <w:pStyle w:val="null3"/>
                    <w:jc w:val="left"/>
                  </w:pPr>
                  <w:r>
                    <w:rPr>
                      <w:rFonts w:ascii="仿宋_GB2312" w:hAnsi="仿宋_GB2312" w:cs="仿宋_GB2312" w:eastAsia="仿宋_GB2312"/>
                    </w:rPr>
                    <w:t>以实际结算为准</w:t>
                  </w:r>
                </w:p>
              </w:tc>
              <w:tc>
                <w:tcPr>
                  <w:tcW w:type="dxa" w:w="933"/>
                </w:tcPr>
                <w:p>
                  <w:pPr>
                    <w:pStyle w:val="null3"/>
                    <w:jc w:val="left"/>
                  </w:pPr>
                  <w:r>
                    <w:rPr>
                      <w:rFonts w:ascii="仿宋_GB2312" w:hAnsi="仿宋_GB2312" w:cs="仿宋_GB2312" w:eastAsia="仿宋_GB2312"/>
                    </w:rPr>
                    <w:t>355.08</w:t>
                  </w:r>
                </w:p>
              </w:tc>
            </w:tr>
            <w:tr>
              <w:tc>
                <w:tcPr>
                  <w:tcW w:type="dxa" w:w="933"/>
                </w:tcPr>
                <w:p>
                  <w:pPr>
                    <w:pStyle w:val="null3"/>
                    <w:jc w:val="left"/>
                  </w:pPr>
                  <w:r>
                    <w:rPr>
                      <w:rFonts w:ascii="仿宋_GB2312" w:hAnsi="仿宋_GB2312" w:cs="仿宋_GB2312" w:eastAsia="仿宋_GB2312"/>
                    </w:rPr>
                    <w:t>4</w:t>
                  </w:r>
                </w:p>
              </w:tc>
              <w:tc>
                <w:tcPr>
                  <w:tcW w:type="dxa" w:w="933"/>
                </w:tcPr>
                <w:p>
                  <w:pPr>
                    <w:pStyle w:val="null3"/>
                    <w:jc w:val="left"/>
                  </w:pPr>
                  <w:r>
                    <w:rPr>
                      <w:rFonts w:ascii="仿宋_GB2312" w:hAnsi="仿宋_GB2312" w:cs="仿宋_GB2312" w:eastAsia="仿宋_GB2312"/>
                    </w:rPr>
                    <w:t>玻璃房拆除</w:t>
                  </w:r>
                </w:p>
              </w:tc>
              <w:tc>
                <w:tcPr>
                  <w:tcW w:type="dxa" w:w="933"/>
                </w:tcPr>
                <w:p>
                  <w:pPr>
                    <w:pStyle w:val="null3"/>
                    <w:jc w:val="left"/>
                  </w:pPr>
                  <w:r>
                    <w:rPr>
                      <w:rFonts w:ascii="仿宋_GB2312" w:hAnsi="仿宋_GB2312" w:cs="仿宋_GB2312" w:eastAsia="仿宋_GB2312"/>
                    </w:rPr>
                    <w:t>1.结构形式：玻璃房屋</w:t>
                  </w:r>
                </w:p>
                <w:p>
                  <w:pPr>
                    <w:pStyle w:val="null3"/>
                    <w:jc w:val="left"/>
                  </w:pPr>
                  <w:r>
                    <w:rPr>
                      <w:rFonts w:ascii="仿宋_GB2312" w:hAnsi="仿宋_GB2312" w:cs="仿宋_GB2312" w:eastAsia="仿宋_GB2312"/>
                    </w:rPr>
                    <w:t>2.强度等级：综合</w:t>
                  </w:r>
                </w:p>
                <w:p>
                  <w:pPr>
                    <w:pStyle w:val="null3"/>
                    <w:jc w:val="left"/>
                  </w:pPr>
                  <w:r>
                    <w:rPr>
                      <w:rFonts w:ascii="仿宋_GB2312" w:hAnsi="仿宋_GB2312" w:cs="仿宋_GB2312" w:eastAsia="仿宋_GB2312"/>
                    </w:rPr>
                    <w:t>3.拆除方式：人机综合</w:t>
                  </w:r>
                </w:p>
              </w:tc>
              <w:tc>
                <w:tcPr>
                  <w:tcW w:type="dxa" w:w="933"/>
                </w:tcPr>
                <w:p>
                  <w:pPr>
                    <w:pStyle w:val="null3"/>
                    <w:jc w:val="left"/>
                  </w:pPr>
                  <w:r>
                    <w:rPr>
                      <w:rFonts w:ascii="仿宋_GB2312" w:hAnsi="仿宋_GB2312" w:cs="仿宋_GB2312" w:eastAsia="仿宋_GB2312"/>
                    </w:rPr>
                    <w:t>㎡</w:t>
                  </w:r>
                </w:p>
              </w:tc>
              <w:tc>
                <w:tcPr>
                  <w:tcW w:type="dxa" w:w="933"/>
                </w:tcPr>
                <w:p>
                  <w:pPr>
                    <w:pStyle w:val="null3"/>
                    <w:jc w:val="left"/>
                  </w:pPr>
                  <w:r>
                    <w:rPr>
                      <w:rFonts w:ascii="仿宋_GB2312" w:hAnsi="仿宋_GB2312" w:cs="仿宋_GB2312" w:eastAsia="仿宋_GB2312"/>
                    </w:rPr>
                    <w:t>以实际结算为准</w:t>
                  </w:r>
                </w:p>
              </w:tc>
              <w:tc>
                <w:tcPr>
                  <w:tcW w:type="dxa" w:w="933"/>
                </w:tcPr>
                <w:p>
                  <w:pPr>
                    <w:pStyle w:val="null3"/>
                    <w:jc w:val="left"/>
                  </w:pPr>
                  <w:r>
                    <w:rPr>
                      <w:rFonts w:ascii="仿宋_GB2312" w:hAnsi="仿宋_GB2312" w:cs="仿宋_GB2312" w:eastAsia="仿宋_GB2312"/>
                    </w:rPr>
                    <w:t>139.04</w:t>
                  </w:r>
                </w:p>
              </w:tc>
            </w:tr>
            <w:tr>
              <w:tc>
                <w:tcPr>
                  <w:tcW w:type="dxa" w:w="933"/>
                </w:tcPr>
                <w:p>
                  <w:pPr>
                    <w:pStyle w:val="null3"/>
                    <w:jc w:val="left"/>
                  </w:pPr>
                  <w:r>
                    <w:rPr>
                      <w:rFonts w:ascii="仿宋_GB2312" w:hAnsi="仿宋_GB2312" w:cs="仿宋_GB2312" w:eastAsia="仿宋_GB2312"/>
                    </w:rPr>
                    <w:t>5</w:t>
                  </w:r>
                </w:p>
              </w:tc>
              <w:tc>
                <w:tcPr>
                  <w:tcW w:type="dxa" w:w="933"/>
                </w:tcPr>
                <w:p>
                  <w:pPr>
                    <w:pStyle w:val="null3"/>
                    <w:jc w:val="left"/>
                  </w:pPr>
                  <w:r>
                    <w:rPr>
                      <w:rFonts w:ascii="仿宋_GB2312" w:hAnsi="仿宋_GB2312" w:cs="仿宋_GB2312" w:eastAsia="仿宋_GB2312"/>
                    </w:rPr>
                    <w:t>木结构</w:t>
                  </w:r>
                </w:p>
              </w:tc>
              <w:tc>
                <w:tcPr>
                  <w:tcW w:type="dxa" w:w="933"/>
                </w:tcPr>
                <w:p>
                  <w:pPr>
                    <w:pStyle w:val="null3"/>
                    <w:jc w:val="left"/>
                  </w:pPr>
                  <w:r>
                    <w:rPr>
                      <w:rFonts w:ascii="仿宋_GB2312" w:hAnsi="仿宋_GB2312" w:cs="仿宋_GB2312" w:eastAsia="仿宋_GB2312"/>
                    </w:rPr>
                    <w:t>1.结构形式：砖木</w:t>
                  </w:r>
                </w:p>
                <w:p>
                  <w:pPr>
                    <w:pStyle w:val="null3"/>
                    <w:jc w:val="left"/>
                  </w:pPr>
                  <w:r>
                    <w:rPr>
                      <w:rFonts w:ascii="仿宋_GB2312" w:hAnsi="仿宋_GB2312" w:cs="仿宋_GB2312" w:eastAsia="仿宋_GB2312"/>
                    </w:rPr>
                    <w:t>2.强度等级：综合</w:t>
                  </w:r>
                </w:p>
                <w:p>
                  <w:pPr>
                    <w:pStyle w:val="null3"/>
                    <w:jc w:val="left"/>
                  </w:pPr>
                  <w:r>
                    <w:rPr>
                      <w:rFonts w:ascii="仿宋_GB2312" w:hAnsi="仿宋_GB2312" w:cs="仿宋_GB2312" w:eastAsia="仿宋_GB2312"/>
                    </w:rPr>
                    <w:t>3.拆除方式：人机综合</w:t>
                  </w:r>
                </w:p>
              </w:tc>
              <w:tc>
                <w:tcPr>
                  <w:tcW w:type="dxa" w:w="933"/>
                </w:tcPr>
                <w:p>
                  <w:pPr>
                    <w:pStyle w:val="null3"/>
                    <w:jc w:val="left"/>
                  </w:pPr>
                  <w:r>
                    <w:rPr>
                      <w:rFonts w:ascii="仿宋_GB2312" w:hAnsi="仿宋_GB2312" w:cs="仿宋_GB2312" w:eastAsia="仿宋_GB2312"/>
                    </w:rPr>
                    <w:t>㎡</w:t>
                  </w:r>
                </w:p>
              </w:tc>
              <w:tc>
                <w:tcPr>
                  <w:tcW w:type="dxa" w:w="933"/>
                </w:tcPr>
                <w:p>
                  <w:pPr>
                    <w:pStyle w:val="null3"/>
                    <w:jc w:val="left"/>
                  </w:pPr>
                  <w:r>
                    <w:rPr>
                      <w:rFonts w:ascii="仿宋_GB2312" w:hAnsi="仿宋_GB2312" w:cs="仿宋_GB2312" w:eastAsia="仿宋_GB2312"/>
                    </w:rPr>
                    <w:t>以实际结算为准</w:t>
                  </w:r>
                </w:p>
              </w:tc>
              <w:tc>
                <w:tcPr>
                  <w:tcW w:type="dxa" w:w="933"/>
                </w:tcPr>
                <w:p>
                  <w:pPr>
                    <w:pStyle w:val="null3"/>
                    <w:jc w:val="left"/>
                  </w:pPr>
                  <w:r>
                    <w:rPr>
                      <w:rFonts w:ascii="仿宋_GB2312" w:hAnsi="仿宋_GB2312" w:cs="仿宋_GB2312" w:eastAsia="仿宋_GB2312"/>
                    </w:rPr>
                    <w:t>179.48</w:t>
                  </w:r>
                </w:p>
              </w:tc>
            </w:tr>
          </w:tbl>
          <w:p>
            <w:pPr>
              <w:pStyle w:val="null3"/>
              <w:jc w:val="left"/>
            </w:pPr>
            <w:r>
              <w:rPr>
                <w:rFonts w:ascii="仿宋_GB2312" w:hAnsi="仿宋_GB2312" w:cs="仿宋_GB2312" w:eastAsia="仿宋_GB2312"/>
              </w:rPr>
              <w:t>（2）结算要求：结算价格=单项服务基础价格*成交百分比*实际发生数量，最终结算不得超过本项目采购预算1000000元，超过采购预算金额则合同自动终止。</w:t>
            </w:r>
          </w:p>
          <w:p>
            <w:pPr>
              <w:pStyle w:val="null3"/>
              <w:jc w:val="left"/>
            </w:pPr>
            <w:r>
              <w:rPr>
                <w:rFonts w:ascii="仿宋_GB2312" w:hAnsi="仿宋_GB2312" w:cs="仿宋_GB2312" w:eastAsia="仿宋_GB2312"/>
              </w:rPr>
              <w:t>4、承诺和响应的提醒：关于供应商针对本项目提供的相关承诺以及响应，包括但不限于资格部分、符合性部分、评分以及采购文件其他部分要求的所有承诺及响应，供应商如承诺、响应均应对其承诺、响应的内容负责，采购人、采购代理机构及相关监管单位如有必要，将核实供应商承诺、响应的真实性，因虚假承诺、响应引起的所有责任和后果由供应商自行承担，与采购人、采购代理机构及相关评审人员无关。 （提供承诺函，格式自拟，并加盖供应商公章。）</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履约要求</w:t>
            </w:r>
          </w:p>
        </w:tc>
        <w:tc>
          <w:tcPr>
            <w:tcW w:type="dxa" w:w="5814"/>
          </w:tcPr>
          <w:p>
            <w:pPr>
              <w:pStyle w:val="null3"/>
              <w:ind w:left="-105"/>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1、供应商根据项目需求提供服务方案，至少包含以下内容：项目整体实施方案；进度保证措施；质量保障及措施；交通疏导方案；扬尘处理、噪音控制措施；垃圾废弃物处理方案；资料台账建立方案。</w:t>
            </w:r>
          </w:p>
          <w:p>
            <w:pPr>
              <w:pStyle w:val="null3"/>
              <w:jc w:val="left"/>
            </w:pPr>
            <w:r>
              <w:rPr>
                <w:rFonts w:ascii="仿宋_GB2312" w:hAnsi="仿宋_GB2312" w:cs="仿宋_GB2312" w:eastAsia="仿宋_GB2312"/>
              </w:rPr>
              <w:t>2、供应商根据实施内容提供的运作方案和管理制度进行评审，包括： 项目管理机构运作方案；服务团队工作职能组织运行方案；项目负责人的管理职责；服务团队内部管理职责分工；日常管理制度和考核办法；应急预案（至少包含突发安全事故应急预案）。</w:t>
            </w:r>
          </w:p>
          <w:p>
            <w:pPr>
              <w:pStyle w:val="null3"/>
              <w:jc w:val="left"/>
            </w:pPr>
            <w:r>
              <w:rPr>
                <w:rFonts w:ascii="仿宋_GB2312" w:hAnsi="仿宋_GB2312" w:cs="仿宋_GB2312" w:eastAsia="仿宋_GB2312"/>
              </w:rPr>
              <w:t>3、供应商应具有完成本项目的履约能力和针对本项目人员配置应具备一定的专业性，以保障项目顺利实施。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蒲江县范围内，采购人指定地点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参照《财政部关于进一步加强政府采购需求和履约验收管理的指导意见》（财库〔2016〕205号）的要求，同时按招标文件要求、响应文件及承诺、签订的合同、国家及行业相关规范标准进行。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1、据实结算，每一阶段实施任务完成后根据审计后金额据实结算并一次性支付，达到付款条件起10日内，据实结算说明为结算价格=单项服务基础价格*成交百分比*实际发生数量</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1.采购人及供应商双方必须遵守采购合同并执行合同中的各项规定，保证采购合同的正常履行。 2.如因供应商在履行过程中的疏忽、失职、过错等故意或者过失原因给采购人造成损失或侵害，包括但不限于采购人本身的财产损失、由此而导致的采购人对任何第三方的法律责任等，供应商对此均应承担全部的赔偿责任。 3.如供应商有提交的成果达不到相关质量要求或未按采购人时间进度安排完成成果或拒绝履行合同内容等一系列其他严重失职行为的，采购人有权不支付合同相关款项，并有权无条件提出解除采购合同，一切因此产生的所有后果及损失等均由供应商承担，采购人不承担任何责任。 4.争议解决办法：采购人及供应商双方就采购合同所产生的任何争议都应该进行友好协商，协商解决不成的，任何一方均可向项目所在地的人民法院提起诉讼。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磋商小组可以根据磋商文件和磋商情况实质性变动第三章“技术、服务及其他要求”但不得变动磋商文件中的其他内容。实质性变动的内容，须经采购人代表确认。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磋商小组可以根据磋商文件和磋商情况实质性变动第七章“拟签订采购合同文本”，但不得变动磋商文件中的其他内容。实质性变动的内容，须经采购人代表确认。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需要供应商进行承诺的实质性要求。（以此为准）</w:t>
            </w:r>
          </w:p>
        </w:tc>
        <w:tc>
          <w:tcPr>
            <w:tcW w:type="dxa" w:w="3322"/>
          </w:tcPr>
          <w:p>
            <w:pPr>
              <w:pStyle w:val="null3"/>
              <w:jc w:val="left"/>
            </w:pPr>
            <w:r>
              <w:rPr>
                <w:rFonts w:ascii="仿宋_GB2312" w:hAnsi="仿宋_GB2312" w:cs="仿宋_GB2312" w:eastAsia="仿宋_GB2312"/>
              </w:rPr>
              <w:t>因一体化系统固化原因，序号1的“具体标准和要求”：“无需供应商单独提供材料进行响应，只需供应商承诺严格遵守并执行的相关实质性要求。“具体标准和要求”以此内容为准： 采购文件中明确要求单独提供承诺函的，供应商按照采购文件要求上传承诺函；无明确要求的，只需供应商按照投标（响应）函中承诺严格遵守并执行的相关实质性要求。 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供应商应提交的相关证明材料,报价表,技术应答表.docx,投标（响应）函,服务应答表.docx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磋商文件中符合性审査第1-2项中未列明的其他实质性要求的规定。</w:t>
            </w:r>
          </w:p>
        </w:tc>
        <w:tc>
          <w:tcPr>
            <w:tcW w:type="dxa" w:w="3322"/>
          </w:tcPr>
          <w:p>
            <w:pPr>
              <w:pStyle w:val="null3"/>
              <w:jc w:val="left"/>
            </w:pPr>
            <w:r>
              <w:rPr>
                <w:rFonts w:ascii="仿宋_GB2312" w:hAnsi="仿宋_GB2312" w:cs="仿宋_GB2312" w:eastAsia="仿宋_GB2312"/>
              </w:rPr>
              <w:t>供应商的响应文件是否满足符合性审査第1-2项中未列明的其他实质性要求，如不满足磋商小组应当将其响应文件作为无效响应处理。</w:t>
            </w:r>
          </w:p>
        </w:tc>
        <w:tc>
          <w:tcPr>
            <w:tcW w:type="dxa" w:w="1661"/>
          </w:tcPr>
          <w:p>
            <w:pPr>
              <w:pStyle w:val="null3"/>
              <w:jc w:val="left"/>
            </w:pPr>
            <w:r>
              <w:rPr>
                <w:rFonts w:ascii="仿宋_GB2312" w:hAnsi="仿宋_GB2312" w:cs="仿宋_GB2312" w:eastAsia="仿宋_GB2312"/>
              </w:rPr>
              <w:t>供应商应提交的相关证明材料,技术应答表.docx,报价表,投标（响应）函,服务应答表.docx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服务方案、运作方案和管理制度</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根据供应商提供的服务方案进行评审，包括：1.项目整体实施方案；2.进度保证措施；3.质量保障及措施；4.交通疏导方案；5.扬尘处理、噪音控制措施；6.垃圾废弃物处理方案；7.资料台账建立方案。 每有一项缺项的扣5分，扣完为止；每有一处存在有缺陷的扣2.5分，扣完为止；本项满分为35分。 注：缺陷是指存在项目名称错误、地点区域错误、内容与本项目需求无关、仅有框架或标题、适用的标准（方法）错误、明显复制其他项目内容等任意一种情形。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运作方案和管理制度</w:t>
            </w:r>
          </w:p>
        </w:tc>
        <w:tc>
          <w:tcPr>
            <w:tcW w:type="dxa" w:w="2575"/>
          </w:tcPr>
          <w:p>
            <w:pPr>
              <w:pStyle w:val="null3"/>
              <w:jc w:val="left"/>
            </w:pPr>
            <w:r>
              <w:rPr>
                <w:rFonts w:ascii="仿宋_GB2312" w:hAnsi="仿宋_GB2312" w:cs="仿宋_GB2312" w:eastAsia="仿宋_GB2312"/>
              </w:rPr>
              <w:t>根据供应商提供的运作方案和管理制度进行评审，包括：1.项目管理机构运作方案；2.服务团队工作职能组织运行方案；3.项目负责人的管理职责； 4.服务团队内部管理职责分工；5.日常管理制度和考核办法；6.应急预案（至少包含突发安全事故应急预案）。 每有一项缺项的扣5分，扣完为止；每有一处存在有缺陷的扣2.5分，扣完为止；本项满分为30分。 注：缺陷是指存在项目名称错误、地点区域错误、内容与本项目需求无关、仅有框架或标题、适用的标准（方法）错误、明显复制其他项目内容等任意一种情形。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运作方案和管理制度.docx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供应商拟投入本项目服务团队人员进行综合评审：项目负责人具有建筑类中级或以上职称的人员得4分，最多得4分。 注：提供上述人员相关证书证明材料及在职证明扫描件并加盖供应商公章。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施工机械配置</w:t>
            </w:r>
          </w:p>
        </w:tc>
        <w:tc>
          <w:tcPr>
            <w:tcW w:type="dxa" w:w="2575"/>
          </w:tcPr>
          <w:p>
            <w:pPr>
              <w:pStyle w:val="null3"/>
              <w:jc w:val="left"/>
            </w:pPr>
            <w:r>
              <w:rPr>
                <w:rFonts w:ascii="仿宋_GB2312" w:hAnsi="仿宋_GB2312" w:cs="仿宋_GB2312" w:eastAsia="仿宋_GB2312"/>
              </w:rPr>
              <w:t>在满足本项目需求的基础上，根据供应商针对本项目拟配备的机械设备进行综合评审： 1、供应商针对本项目每增加1台挖掘机的得3分，拟投入的挖掘机单台斗容量≥0.8m³的加1分，提供液压破碎锤设备的加1分，提供液压剪设备的加1分，本项最多得6分。 2、供应商针对本项目每增加1台装载机的得2分；本项最多得2分。 3、供应商针对本项目每增加1台运渣车的得2分，本项最多得2分。 4、供应商针对本项目每增加1台洒水车的得2分，本项最多得2分。 注：提供车辆（设备）购置票据扫描件或租赁合同扫描件并加盖供应商公章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施工机械配置.docx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投标人（供应商）自2023年1月1日起至今具有类似项目履约经验（违法治理类或拆除类或市政公用设施管理服务类等）的每具备一个得3分，本项最多得9分。 注：提供项目合同复印件或中标/成交通知书复印件并加盖公章，时间以合同或通知书落款时间为准。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详见附件：服务应答表.docx</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详见附件：运作方案和管理制度.docx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详见附件：施工机械配置.docx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