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版本号：N513422202600004120260506001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木里县重点县城综合整治及局部功能疏解实施方案编制工作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N5134222026000041</w:t>
      </w:r>
    </w:p>
    <w:p>
      <w:pPr>
        <w:pStyle w:val="null3"/>
        <w:jc w:val="center"/>
        <w:outlineLvl w:val="2"/>
      </w:pPr>
      <w:r>
        <w:rPr>
          <w:rFonts w:ascii="仿宋_GB2312" w:hAnsi="仿宋_GB2312" w:cs="仿宋_GB2312" w:eastAsia="仿宋_GB2312"/>
          <w:sz w:val="28"/>
          <w:b/>
        </w:rPr>
        <w:t>木里藏族自治县自然资源局</w:t>
      </w:r>
    </w:p>
    <w:p>
      <w:pPr>
        <w:pStyle w:val="null3"/>
        <w:jc w:val="center"/>
        <w:outlineLvl w:val="2"/>
      </w:pPr>
      <w:r>
        <w:rPr>
          <w:rFonts w:ascii="仿宋_GB2312" w:hAnsi="仿宋_GB2312" w:cs="仿宋_GB2312" w:eastAsia="仿宋_GB2312"/>
          <w:sz w:val="28"/>
          <w:b/>
        </w:rPr>
        <w:t>四川禹林建设工程管理有限公司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四川禹林建设工程管理有限公司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木里藏族自治县自然资源局</w:t>
      </w:r>
      <w:r>
        <w:rPr>
          <w:rFonts w:ascii="仿宋_GB2312" w:hAnsi="仿宋_GB2312" w:cs="仿宋_GB2312" w:eastAsia="仿宋_GB2312"/>
        </w:rPr>
        <w:t xml:space="preserve"> 委托，拟对 </w:t>
      </w:r>
      <w:r>
        <w:rPr>
          <w:rFonts w:ascii="仿宋_GB2312" w:hAnsi="仿宋_GB2312" w:cs="仿宋_GB2312" w:eastAsia="仿宋_GB2312"/>
        </w:rPr>
        <w:t>木里县重点县城综合整治及局部功能疏解实施方案编制工作</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凉山彝族自治州木里藏族自治县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N5134222026000041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木里县重点县城综合整治及局部功能疏解实施方案编制工作</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本项目为木里县重点县城综合整治及局部功能疏解实施方案编制工作 ，共1个包。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木里藏族自治县自然资源局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四川省凉山彝族自治州木里县乔瓦镇佳居路25号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615800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杜基次尔</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19380625856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四川禹林建设工程管理有限公司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成都市双流区西航港街道大件路白家段280号空港国际城一期2栋2单元三楼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028-64108181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代理服务费收费标准：以成交金额作为计算基数,参照原国家计委计价格[2002]1980号及发改办价格[2003]857号通知规定收取，由成交供应商在领取成交通知书前向采购代理机构交纳采购代理服务费。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木里藏族自治县自然资源局</w:t>
      </w:r>
      <w:r>
        <w:rPr>
          <w:rFonts w:ascii="仿宋_GB2312" w:hAnsi="仿宋_GB2312" w:cs="仿宋_GB2312" w:eastAsia="仿宋_GB2312"/>
        </w:rPr>
        <w:t xml:space="preserve"> 和 </w:t>
      </w:r>
      <w:r>
        <w:rPr>
          <w:rFonts w:ascii="仿宋_GB2312" w:hAnsi="仿宋_GB2312" w:cs="仿宋_GB2312" w:eastAsia="仿宋_GB2312"/>
        </w:rPr>
        <w:t>四川禹林建设工程管理有限公司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木里藏族自治县自然资源局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四川禹林建设工程管理有限公司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根据《中华人民共和国政府采购法实施条例》《财政部关于进一步加强政府采购需求和履约验收管理的指导意见》（财库〔2016〕205 号）的规定、磋商文件及响应文件内容进行验收。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根据《中华人民共和国政府采购法实施条例》《财政部关于进一步加强政府采购需求和履约验收管理的指导意见》（财库〔2016〕205 号）的规定、磋商文件及响应文件内容进行验收。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 号）、木里藏族自治县自然资源局相关管理办法等要求验收；木里县重点县城综合整治及局部功能疏解实施方案须经省、州相关部门审查通过。</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木里藏族自治县自然资源局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四川禹林建设工程管理有限公司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四川禹林建设工程管理有限公司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联系人：杜基次尔</w:t>
      </w:r>
    </w:p>
    <w:p>
      <w:pPr>
        <w:pStyle w:val="null3"/>
        <w:jc w:val="left"/>
      </w:pPr>
      <w:r>
        <w:rPr>
          <w:rFonts w:ascii="仿宋_GB2312" w:hAnsi="仿宋_GB2312" w:cs="仿宋_GB2312" w:eastAsia="仿宋_GB2312"/>
        </w:rPr>
        <w:t>联系电话：19380625856</w:t>
      </w:r>
    </w:p>
    <w:p>
      <w:pPr>
        <w:pStyle w:val="null3"/>
        <w:jc w:val="left"/>
      </w:pPr>
      <w:r>
        <w:rPr>
          <w:rFonts w:ascii="仿宋_GB2312" w:hAnsi="仿宋_GB2312" w:cs="仿宋_GB2312" w:eastAsia="仿宋_GB2312"/>
        </w:rPr>
        <w:t>地址：四川省凉山彝族自治州木里县乔瓦镇佳居路25号</w:t>
      </w:r>
    </w:p>
    <w:p>
      <w:pPr>
        <w:pStyle w:val="null3"/>
        <w:jc w:val="left"/>
      </w:pPr>
      <w:r>
        <w:rPr>
          <w:rFonts w:ascii="仿宋_GB2312" w:hAnsi="仿宋_GB2312" w:cs="仿宋_GB2312" w:eastAsia="仿宋_GB2312"/>
        </w:rPr>
        <w:t>邮编：615800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联系人：彭女士</w:t>
      </w:r>
    </w:p>
    <w:p>
      <w:pPr>
        <w:pStyle w:val="null3"/>
        <w:jc w:val="left"/>
      </w:pPr>
      <w:r>
        <w:rPr>
          <w:rFonts w:ascii="仿宋_GB2312" w:hAnsi="仿宋_GB2312" w:cs="仿宋_GB2312" w:eastAsia="仿宋_GB2312"/>
        </w:rPr>
        <w:t>联系电话：028-64108181</w:t>
      </w:r>
    </w:p>
    <w:p>
      <w:pPr>
        <w:pStyle w:val="null3"/>
        <w:jc w:val="left"/>
      </w:pPr>
      <w:r>
        <w:rPr>
          <w:rFonts w:ascii="仿宋_GB2312" w:hAnsi="仿宋_GB2312" w:cs="仿宋_GB2312" w:eastAsia="仿宋_GB2312"/>
        </w:rPr>
        <w:t>地址：成都市双流区西航港街道大件路白家段280号空港国际城一期2栋2单元三楼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460,000.00</w:t>
      </w:r>
    </w:p>
    <w:p>
      <w:pPr>
        <w:pStyle w:val="null3"/>
        <w:jc w:val="left"/>
      </w:pPr>
      <w:r>
        <w:rPr>
          <w:rFonts w:ascii="仿宋_GB2312" w:hAnsi="仿宋_GB2312" w:cs="仿宋_GB2312" w:eastAsia="仿宋_GB2312"/>
        </w:rPr>
        <w:t>采购包最高限价（元）: 460,000.00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C07020800 地质灾害治理服务</w:t>
            </w:r>
          </w:p>
        </w:tc>
        <w:tc>
          <w:tcPr>
            <w:tcW w:type="dxa" w:w="821"/>
          </w:tcPr>
          <w:p>
            <w:pPr>
              <w:pStyle w:val="null3"/>
              <w:jc w:val="left"/>
            </w:pPr>
            <w:r>
              <w:rPr>
                <w:rFonts w:ascii="仿宋_GB2312" w:hAnsi="仿宋_GB2312" w:cs="仿宋_GB2312" w:eastAsia="仿宋_GB2312"/>
              </w:rPr>
              <w:t>木里县重点县城综合整治及局部功能疏解实施方案编制工作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木里县重点县城综合整治及局部功能疏解实施方案编制工作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本项目所报价格包含人工费、差旅费、资料费、税费、利润及招标代理服务费等项目相关的所有费用，采购人不再另行支付其他费用。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标的名称：木里县重点县城综合整治及局部功能疏解实施方案编制工作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采购项目概况</w:t>
            </w:r>
          </w:p>
        </w:tc>
        <w:tc>
          <w:tcPr>
            <w:tcW w:type="dxa" w:w="5814"/>
          </w:tcPr>
          <w:p>
            <w:pPr>
              <w:pStyle w:val="null3"/>
              <w:jc w:val="left"/>
            </w:pPr>
            <w:r>
              <w:rPr>
                <w:rFonts w:ascii="仿宋_GB2312" w:hAnsi="仿宋_GB2312" w:cs="仿宋_GB2312" w:eastAsia="仿宋_GB2312"/>
                <w:sz w:val="24"/>
              </w:rPr>
              <w:t>木里县城位于博瓦弧形构造带核心区域，韩家湾断裂、博瓦断裂等多条断裂穿城而过，导致区域岩体结构破碎、稳定性极差。受构造运动、极端天气气候事件及城镇化建设活动等多重因素叠加影响，县城区域地质灾害呈易发高发态势。尤为突出的是，老县城台缘区域灾害点分布高度密集，树珠后山崩塌灾害构成重大威胁，防控形势严峻。</w:t>
            </w:r>
            <w:r>
              <w:rPr>
                <w:rFonts w:ascii="仿宋_GB2312" w:hAnsi="仿宋_GB2312" w:cs="仿宋_GB2312" w:eastAsia="仿宋_GB2312"/>
                <w:sz w:val="24"/>
              </w:rPr>
              <w:t>截至</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3</w:t>
            </w:r>
            <w:r>
              <w:rPr>
                <w:rFonts w:ascii="仿宋_GB2312" w:hAnsi="仿宋_GB2312" w:cs="仿宋_GB2312" w:eastAsia="仿宋_GB2312"/>
                <w:sz w:val="24"/>
              </w:rPr>
              <w:t>月，</w:t>
            </w:r>
            <w:r>
              <w:rPr>
                <w:rFonts w:ascii="仿宋_GB2312" w:hAnsi="仿宋_GB2312" w:cs="仿宋_GB2312" w:eastAsia="仿宋_GB2312"/>
                <w:sz w:val="24"/>
              </w:rPr>
              <w:t>木里县城现有地质灾害</w:t>
            </w:r>
            <w:r>
              <w:rPr>
                <w:rFonts w:ascii="仿宋_GB2312" w:hAnsi="仿宋_GB2312" w:cs="仿宋_GB2312" w:eastAsia="仿宋_GB2312"/>
                <w:sz w:val="24"/>
              </w:rPr>
              <w:t>50</w:t>
            </w:r>
            <w:r>
              <w:rPr>
                <w:rFonts w:ascii="仿宋_GB2312" w:hAnsi="仿宋_GB2312" w:cs="仿宋_GB2312" w:eastAsia="仿宋_GB2312"/>
                <w:sz w:val="24"/>
              </w:rPr>
              <w:t>处（</w:t>
            </w:r>
            <w:r>
              <w:rPr>
                <w:rFonts w:ascii="仿宋_GB2312" w:hAnsi="仿宋_GB2312" w:cs="仿宋_GB2312" w:eastAsia="仿宋_GB2312"/>
                <w:sz w:val="24"/>
              </w:rPr>
              <w:t>滑坡</w:t>
            </w:r>
            <w:r>
              <w:rPr>
                <w:rFonts w:ascii="仿宋_GB2312" w:hAnsi="仿宋_GB2312" w:cs="仿宋_GB2312" w:eastAsia="仿宋_GB2312"/>
                <w:sz w:val="24"/>
              </w:rPr>
              <w:t>34</w:t>
            </w:r>
            <w:r>
              <w:rPr>
                <w:rFonts w:ascii="仿宋_GB2312" w:hAnsi="仿宋_GB2312" w:cs="仿宋_GB2312" w:eastAsia="仿宋_GB2312"/>
                <w:sz w:val="24"/>
              </w:rPr>
              <w:t>处、崩塌</w:t>
            </w:r>
            <w:r>
              <w:rPr>
                <w:rFonts w:ascii="仿宋_GB2312" w:hAnsi="仿宋_GB2312" w:cs="仿宋_GB2312" w:eastAsia="仿宋_GB2312"/>
                <w:sz w:val="24"/>
              </w:rPr>
              <w:t>6</w:t>
            </w:r>
            <w:r>
              <w:rPr>
                <w:rFonts w:ascii="仿宋_GB2312" w:hAnsi="仿宋_GB2312" w:cs="仿宋_GB2312" w:eastAsia="仿宋_GB2312"/>
                <w:sz w:val="24"/>
              </w:rPr>
              <w:t>处、泥石流</w:t>
            </w:r>
            <w:r>
              <w:rPr>
                <w:rFonts w:ascii="仿宋_GB2312" w:hAnsi="仿宋_GB2312" w:cs="仿宋_GB2312" w:eastAsia="仿宋_GB2312"/>
                <w:sz w:val="24"/>
              </w:rPr>
              <w:t>10</w:t>
            </w:r>
            <w:r>
              <w:rPr>
                <w:rFonts w:ascii="仿宋_GB2312" w:hAnsi="仿宋_GB2312" w:cs="仿宋_GB2312" w:eastAsia="仿宋_GB2312"/>
                <w:sz w:val="24"/>
              </w:rPr>
              <w:t>处</w:t>
            </w:r>
            <w:r>
              <w:rPr>
                <w:rFonts w:ascii="仿宋_GB2312" w:hAnsi="仿宋_GB2312" w:cs="仿宋_GB2312" w:eastAsia="仿宋_GB2312"/>
                <w:sz w:val="24"/>
              </w:rPr>
              <w:t>）</w:t>
            </w:r>
            <w:r>
              <w:rPr>
                <w:rFonts w:ascii="仿宋_GB2312" w:hAnsi="仿宋_GB2312" w:cs="仿宋_GB2312" w:eastAsia="仿宋_GB2312"/>
                <w:sz w:val="24"/>
              </w:rPr>
              <w:t>潜在受威胁群众达</w:t>
            </w:r>
            <w:r>
              <w:rPr>
                <w:rFonts w:ascii="仿宋_GB2312" w:hAnsi="仿宋_GB2312" w:cs="仿宋_GB2312" w:eastAsia="仿宋_GB2312"/>
                <w:sz w:val="24"/>
              </w:rPr>
              <w:t>1249</w:t>
            </w:r>
            <w:r>
              <w:rPr>
                <w:rFonts w:ascii="仿宋_GB2312" w:hAnsi="仿宋_GB2312" w:cs="仿宋_GB2312" w:eastAsia="仿宋_GB2312"/>
                <w:sz w:val="24"/>
              </w:rPr>
              <w:t>户</w:t>
            </w:r>
            <w:r>
              <w:rPr>
                <w:rFonts w:ascii="仿宋_GB2312" w:hAnsi="仿宋_GB2312" w:cs="仿宋_GB2312" w:eastAsia="仿宋_GB2312"/>
                <w:sz w:val="24"/>
              </w:rPr>
              <w:t>5905</w:t>
            </w:r>
            <w:r>
              <w:rPr>
                <w:rFonts w:ascii="仿宋_GB2312" w:hAnsi="仿宋_GB2312" w:cs="仿宋_GB2312" w:eastAsia="仿宋_GB2312"/>
                <w:sz w:val="24"/>
              </w:rPr>
              <w:t>人，涉及房屋、基础设施等财产损失风险超</w:t>
            </w:r>
            <w:r>
              <w:rPr>
                <w:rFonts w:ascii="仿宋_GB2312" w:hAnsi="仿宋_GB2312" w:cs="仿宋_GB2312" w:eastAsia="仿宋_GB2312"/>
                <w:sz w:val="24"/>
              </w:rPr>
              <w:t>6.83</w:t>
            </w:r>
            <w:r>
              <w:rPr>
                <w:rFonts w:ascii="仿宋_GB2312" w:hAnsi="仿宋_GB2312" w:cs="仿宋_GB2312" w:eastAsia="仿宋_GB2312"/>
                <w:sz w:val="24"/>
              </w:rPr>
              <w:t>亿元。地质安全问题威胁人数众多，致灾风险大，防灾形势严峻，严重影响人民群众生命财产安全，制约着当地经济社会发展，亟需通过地质安全综合整治，</w:t>
            </w:r>
            <w:r>
              <w:rPr>
                <w:rFonts w:ascii="仿宋_GB2312" w:hAnsi="仿宋_GB2312" w:cs="仿宋_GB2312" w:eastAsia="仿宋_GB2312"/>
                <w:sz w:val="24"/>
              </w:rPr>
              <w:t>全面完善县城地质灾害防灾减灾体系，显著提升地质灾害防御能力，实现适宜建设用地规模与公共基础设施、安居住房、产业发展需求基本匹配，构建起全域覆盖、韧性可控的国土空间安全体系，促进县城经济社会持续健康高质量发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1）规划控制方案。</w:t>
            </w:r>
            <w:r>
              <w:rPr>
                <w:rFonts w:ascii="仿宋_GB2312" w:hAnsi="仿宋_GB2312" w:cs="仿宋_GB2312" w:eastAsia="仿宋_GB2312"/>
                <w:sz w:val="24"/>
              </w:rPr>
              <w:t>充分发挥地质安全评估成果的先导作用，在城市国土空间规划编修中，指导建设用地适宜性判定及城镇开发边界划定，</w:t>
            </w:r>
            <w:r>
              <w:rPr>
                <w:rFonts w:ascii="仿宋_GB2312" w:hAnsi="仿宋_GB2312" w:cs="仿宋_GB2312" w:eastAsia="仿宋_GB2312"/>
                <w:sz w:val="24"/>
              </w:rPr>
              <w:t>结合规划用地类型、场地安全性分区将规划区划分差异化管控区，</w:t>
            </w:r>
            <w:r>
              <w:rPr>
                <w:rFonts w:ascii="仿宋_GB2312" w:hAnsi="仿宋_GB2312" w:cs="仿宋_GB2312" w:eastAsia="仿宋_GB2312"/>
                <w:sz w:val="24"/>
              </w:rPr>
              <w:t>合理布局各类建设用地，特别是新区的建设用地。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避让搬迁方案。对不宜采用工程治理的、受地质灾害威胁严重且成灾风险高的居民点，尊重群众意愿及当地文化，充分考虑“搬得出、稳得住”的要求，按照宜搬则搬原则，开展主动避让、避让搬迁，实现“人—灾”空间隔离。</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3）工程治理方案。</w:t>
            </w:r>
            <w:r>
              <w:rPr>
                <w:rFonts w:ascii="仿宋_GB2312" w:hAnsi="仿宋_GB2312" w:cs="仿宋_GB2312" w:eastAsia="仿宋_GB2312"/>
                <w:sz w:val="24"/>
              </w:rPr>
              <w:t>在梳理前期已开展的地质灾害防治工程效果的基础上，结合地质灾害发育特征、危害对象等，对稳定性差、治理难度大的高崩塌、滑坡、泥石流等灾害，采取高防御标准工程措施；对风险突出、治理简易的隐患点，推行</w:t>
            </w:r>
            <w:r>
              <w:rPr>
                <w:rFonts w:ascii="仿宋_GB2312" w:hAnsi="仿宋_GB2312" w:cs="仿宋_GB2312" w:eastAsia="仿宋_GB2312"/>
                <w:sz w:val="24"/>
              </w:rPr>
              <w:t>"短工期、低投入、快见效</w:t>
            </w:r>
            <w:r>
              <w:rPr>
                <w:rFonts w:ascii="仿宋_GB2312" w:hAnsi="仿宋_GB2312" w:cs="仿宋_GB2312" w:eastAsia="仿宋_GB2312"/>
                <w:sz w:val="24"/>
              </w:rPr>
              <w:t>"</w:t>
            </w:r>
            <w:r>
              <w:rPr>
                <w:rFonts w:ascii="仿宋_GB2312" w:hAnsi="仿宋_GB2312" w:cs="仿宋_GB2312" w:eastAsia="仿宋_GB2312"/>
                <w:sz w:val="24"/>
              </w:rPr>
              <w:t>的排危除险方案。</w:t>
            </w:r>
            <w:r>
              <w:rPr>
                <w:rFonts w:ascii="仿宋_GB2312" w:hAnsi="仿宋_GB2312" w:cs="仿宋_GB2312" w:eastAsia="仿宋_GB2312"/>
                <w:sz w:val="24"/>
              </w:rPr>
              <w:t>结合</w:t>
            </w:r>
            <w:r>
              <w:rPr>
                <w:rFonts w:ascii="仿宋_GB2312" w:hAnsi="仿宋_GB2312" w:cs="仿宋_GB2312" w:eastAsia="仿宋_GB2312"/>
                <w:sz w:val="24"/>
              </w:rPr>
              <w:t>木里</w:t>
            </w:r>
            <w:r>
              <w:rPr>
                <w:rFonts w:ascii="仿宋_GB2312" w:hAnsi="仿宋_GB2312" w:cs="仿宋_GB2312" w:eastAsia="仿宋_GB2312"/>
                <w:sz w:val="24"/>
              </w:rPr>
              <w:t>县脆弱地质条件，</w:t>
            </w:r>
            <w:r>
              <w:rPr>
                <w:rFonts w:ascii="仿宋_GB2312" w:hAnsi="仿宋_GB2312" w:cs="仿宋_GB2312" w:eastAsia="仿宋_GB2312"/>
                <w:sz w:val="24"/>
              </w:rPr>
              <w:t>构建安全、科学、经济、有效协同的治理模式，全面提升综合防治能力。</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）监测预警方案。构建县城城区全域动态立体化监测体系；完善重点点位及风险区专业监测；加强群专结合监测预警。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局部功能疏解服务内容及要求</w:t>
            </w:r>
          </w:p>
        </w:tc>
        <w:tc>
          <w:tcPr>
            <w:tcW w:type="dxa" w:w="5814"/>
          </w:tcPr>
          <w:p>
            <w:pPr>
              <w:pStyle w:val="null3"/>
              <w:jc w:val="left"/>
            </w:pPr>
            <w:r>
              <w:rPr>
                <w:rFonts w:ascii="仿宋_GB2312" w:hAnsi="仿宋_GB2312" w:cs="仿宋_GB2312" w:eastAsia="仿宋_GB2312"/>
                <w:sz w:val="24"/>
              </w:rPr>
              <w:t>通过加强土地用途管制、疏解安居功能等，从而拓展城镇经济功能、完善城镇配套设施、优化城镇空间布局。</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针对老城区地质安全性差</w:t>
            </w:r>
            <w:r>
              <w:rPr>
                <w:rFonts w:ascii="仿宋_GB2312" w:hAnsi="仿宋_GB2312" w:cs="仿宋_GB2312" w:eastAsia="仿宋_GB2312"/>
                <w:sz w:val="24"/>
              </w:rPr>
              <w:t>-较差区。制定科学合理的疏解范围和安置方案，确保搬迁群众“搬得出、稳得住”。结合群众意愿，优化安置方式，保障居住条件及生活便利性。建立安置进度监管机制，确保资金规范使用。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公共服务功能疏解及老城区优化工程。教育疏解：调整老城区教育布局，部分教育资源向新区转移。医疗、文化、交通疏解：部分医院、文化设施、交通枢纽功能向新区疏解，老城区保留必要服务能力。市政配套建设：新区完善给排水、燃气、垃圾处理、消防等设施，满足疏解需求。老城区优化利用：提升土地资源利用效率。根据实际情况涉及的公共服务功能疏解进行内容方面增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动态管理与监督机制。建立疏解工程动态管理机制，涵盖进度监管、资金审核、安置评估等环节。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监测与评估体系。</w:t>
            </w:r>
          </w:p>
          <w:p>
            <w:pPr>
              <w:pStyle w:val="null3"/>
              <w:jc w:val="left"/>
            </w:pPr>
            <w:r>
              <w:rPr>
                <w:rFonts w:ascii="仿宋_GB2312" w:hAnsi="仿宋_GB2312" w:cs="仿宋_GB2312" w:eastAsia="仿宋_GB2312"/>
                <w:sz w:val="24"/>
              </w:rPr>
              <w:t>构建疏解工程监测评估体系，跟踪搬迁安置效果及新区发展情况。</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技术和服务标准和规范</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地质灾害勘查、设计规范</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《地质灾害防治条例》（中华人民共和国国务院令</w:t>
            </w:r>
            <w:r>
              <w:rPr>
                <w:rFonts w:ascii="仿宋_GB2312" w:hAnsi="仿宋_GB2312" w:cs="仿宋_GB2312" w:eastAsia="仿宋_GB2312"/>
                <w:sz w:val="24"/>
              </w:rPr>
              <w:t>[第394号]）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《泥石流灾害防治工程勘查</w:t>
            </w:r>
            <w:r>
              <w:rPr>
                <w:rFonts w:ascii="仿宋_GB2312" w:hAnsi="仿宋_GB2312" w:cs="仿宋_GB2312" w:eastAsia="仿宋_GB2312"/>
                <w:sz w:val="24"/>
              </w:rPr>
              <w:t>规范》（</w:t>
            </w:r>
            <w:r>
              <w:rPr>
                <w:rFonts w:ascii="仿宋_GB2312" w:hAnsi="仿宋_GB2312" w:cs="仿宋_GB2312" w:eastAsia="仿宋_GB2312"/>
                <w:sz w:val="24"/>
              </w:rPr>
              <w:t>D</w:t>
            </w:r>
            <w:r>
              <w:rPr>
                <w:rFonts w:ascii="仿宋_GB2312" w:hAnsi="仿宋_GB2312" w:cs="仿宋_GB2312" w:eastAsia="仿宋_GB2312"/>
                <w:sz w:val="24"/>
              </w:rPr>
              <w:t>Z</w:t>
            </w:r>
            <w:r>
              <w:rPr>
                <w:rFonts w:ascii="仿宋_GB2312" w:hAnsi="仿宋_GB2312" w:cs="仿宋_GB2312" w:eastAsia="仿宋_GB2312"/>
                <w:sz w:val="24"/>
              </w:rPr>
              <w:t>/T0220－2006）</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《滑坡防治工程勘查规范》（</w:t>
            </w:r>
            <w:r>
              <w:rPr>
                <w:rFonts w:ascii="仿宋_GB2312" w:hAnsi="仿宋_GB2312" w:cs="仿宋_GB2312" w:eastAsia="仿宋_GB2312"/>
                <w:sz w:val="24"/>
              </w:rPr>
              <w:t>GB/T32864-2016）</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《滑坡防治设计规范》（</w:t>
            </w:r>
            <w:r>
              <w:rPr>
                <w:rFonts w:ascii="仿宋_GB2312" w:hAnsi="仿宋_GB2312" w:cs="仿宋_GB2312" w:eastAsia="仿宋_GB2312"/>
                <w:sz w:val="24"/>
              </w:rPr>
              <w:t>GB/T 38509-2020）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《泥石流防治工程设计规范》（试行）（</w:t>
            </w:r>
            <w:r>
              <w:rPr>
                <w:rFonts w:ascii="仿宋_GB2312" w:hAnsi="仿宋_GB2312" w:cs="仿宋_GB2312" w:eastAsia="仿宋_GB2312"/>
                <w:sz w:val="24"/>
              </w:rPr>
              <w:t>T/CAGHP 021-2018）</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《崩塌、滑坡、泥石流监测规范》（</w:t>
            </w:r>
            <w:r>
              <w:rPr>
                <w:rFonts w:ascii="仿宋_GB2312" w:hAnsi="仿宋_GB2312" w:cs="仿宋_GB2312" w:eastAsia="仿宋_GB2312"/>
                <w:sz w:val="24"/>
              </w:rPr>
              <w:t>D</w:t>
            </w:r>
            <w:r>
              <w:rPr>
                <w:rFonts w:ascii="仿宋_GB2312" w:hAnsi="仿宋_GB2312" w:cs="仿宋_GB2312" w:eastAsia="仿宋_GB2312"/>
                <w:sz w:val="24"/>
              </w:rPr>
              <w:t>Z</w:t>
            </w:r>
            <w:r>
              <w:rPr>
                <w:rFonts w:ascii="仿宋_GB2312" w:hAnsi="仿宋_GB2312" w:cs="仿宋_GB2312" w:eastAsia="仿宋_GB2312"/>
                <w:sz w:val="24"/>
              </w:rPr>
              <w:t>/T 0221-2006）</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工程地质规范</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《工程地质调查规范》</w:t>
            </w:r>
            <w:r>
              <w:rPr>
                <w:rFonts w:ascii="仿宋_GB2312" w:hAnsi="仿宋_GB2312" w:cs="仿宋_GB2312" w:eastAsia="仿宋_GB2312"/>
                <w:sz w:val="24"/>
              </w:rPr>
              <w:t>DZ/T0097-2021(1:50000)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《岩土工程勘察规范》</w:t>
            </w:r>
            <w:r>
              <w:rPr>
                <w:rFonts w:ascii="仿宋_GB2312" w:hAnsi="仿宋_GB2312" w:cs="仿宋_GB2312" w:eastAsia="仿宋_GB2312"/>
                <w:sz w:val="24"/>
              </w:rPr>
              <w:t>(</w:t>
            </w:r>
            <w:r>
              <w:rPr>
                <w:rFonts w:ascii="仿宋_GB2312" w:hAnsi="仿宋_GB2312" w:cs="仿宋_GB2312" w:eastAsia="仿宋_GB2312"/>
                <w:sz w:val="24"/>
              </w:rPr>
              <w:t>GB 50021-2001</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《建筑工程地质勘探与取样技术规程》</w:t>
            </w:r>
            <w:r>
              <w:rPr>
                <w:rFonts w:ascii="仿宋_GB2312" w:hAnsi="仿宋_GB2312" w:cs="仿宋_GB2312" w:eastAsia="仿宋_GB2312"/>
                <w:sz w:val="24"/>
              </w:rPr>
              <w:t>(JGJ/T87-2012)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《区域地质调查总则</w:t>
            </w:r>
            <w:r>
              <w:rPr>
                <w:rFonts w:ascii="仿宋_GB2312" w:hAnsi="仿宋_GB2312" w:cs="仿宋_GB2312" w:eastAsia="仿宋_GB2312"/>
                <w:sz w:val="24"/>
              </w:rPr>
              <w:t>(1:50000)》(DZ/T0001-1991)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《区域地质调查规范</w:t>
            </w:r>
            <w:r>
              <w:rPr>
                <w:rFonts w:ascii="仿宋_GB2312" w:hAnsi="仿宋_GB2312" w:cs="仿宋_GB2312" w:eastAsia="仿宋_GB2312"/>
                <w:sz w:val="24"/>
              </w:rPr>
              <w:t>(1:50000)》(DZ/T 0475-2024)</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《城市地质调查规范》</w:t>
            </w:r>
            <w:r>
              <w:rPr>
                <w:rFonts w:ascii="仿宋_GB2312" w:hAnsi="仿宋_GB2312" w:cs="仿宋_GB2312" w:eastAsia="仿宋_GB2312"/>
                <w:sz w:val="24"/>
              </w:rPr>
              <w:t>(DZ/T0306-2017)</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《地面沉降调查与监测规范》（</w:t>
            </w:r>
            <w:r>
              <w:rPr>
                <w:rFonts w:ascii="仿宋_GB2312" w:hAnsi="仿宋_GB2312" w:cs="仿宋_GB2312" w:eastAsia="仿宋_GB2312"/>
                <w:sz w:val="24"/>
              </w:rPr>
              <w:t>DZ/T0283-2015）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《建筑边坡工程技术规范》（</w:t>
            </w:r>
            <w:r>
              <w:rPr>
                <w:rFonts w:ascii="仿宋_GB2312" w:hAnsi="仿宋_GB2312" w:cs="仿宋_GB2312" w:eastAsia="仿宋_GB2312"/>
                <w:sz w:val="24"/>
              </w:rPr>
              <w:t>GB</w:t>
            </w:r>
            <w:r>
              <w:rPr>
                <w:rFonts w:ascii="仿宋_GB2312" w:hAnsi="仿宋_GB2312" w:cs="仿宋_GB2312" w:eastAsia="仿宋_GB2312"/>
              </w:rPr>
              <w:t xml:space="preserve"> </w:t>
            </w:r>
            <w:r>
              <w:rPr>
                <w:rFonts w:ascii="仿宋_GB2312" w:hAnsi="仿宋_GB2312" w:cs="仿宋_GB2312" w:eastAsia="仿宋_GB2312"/>
                <w:sz w:val="24"/>
              </w:rPr>
              <w:t>50330-2013）；</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《建筑工程抗震设防分类标准》（</w:t>
            </w:r>
            <w:r>
              <w:rPr>
                <w:rFonts w:ascii="仿宋_GB2312" w:hAnsi="仿宋_GB2312" w:cs="仿宋_GB2312" w:eastAsia="仿宋_GB2312"/>
                <w:sz w:val="24"/>
              </w:rPr>
              <w:t>GB</w:t>
            </w:r>
            <w:r>
              <w:rPr>
                <w:rFonts w:ascii="仿宋_GB2312" w:hAnsi="仿宋_GB2312" w:cs="仿宋_GB2312" w:eastAsia="仿宋_GB2312"/>
              </w:rPr>
              <w:t xml:space="preserve"> </w:t>
            </w:r>
            <w:r>
              <w:rPr>
                <w:rFonts w:ascii="仿宋_GB2312" w:hAnsi="仿宋_GB2312" w:cs="仿宋_GB2312" w:eastAsia="仿宋_GB2312"/>
                <w:sz w:val="24"/>
              </w:rPr>
              <w:t>50223-2008）；</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《建筑抗震设计标准</w:t>
            </w:r>
            <w:r>
              <w:rPr>
                <w:rFonts w:ascii="仿宋_GB2312" w:hAnsi="仿宋_GB2312" w:cs="仿宋_GB2312" w:eastAsia="仿宋_GB2312"/>
                <w:sz w:val="24"/>
              </w:rPr>
              <w:t>(2024年版</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GB/T 50011-2010）；</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《中国地震动参数区划图》（</w:t>
            </w:r>
            <w:r>
              <w:rPr>
                <w:rFonts w:ascii="仿宋_GB2312" w:hAnsi="仿宋_GB2312" w:cs="仿宋_GB2312" w:eastAsia="仿宋_GB2312"/>
                <w:sz w:val="24"/>
              </w:rPr>
              <w:t>GB</w:t>
            </w:r>
            <w:r>
              <w:rPr>
                <w:rFonts w:ascii="仿宋_GB2312" w:hAnsi="仿宋_GB2312" w:cs="仿宋_GB2312" w:eastAsia="仿宋_GB2312"/>
              </w:rPr>
              <w:t xml:space="preserve"> </w:t>
            </w:r>
            <w:r>
              <w:rPr>
                <w:rFonts w:ascii="仿宋_GB2312" w:hAnsi="仿宋_GB2312" w:cs="仿宋_GB2312" w:eastAsia="仿宋_GB2312"/>
                <w:sz w:val="24"/>
              </w:rPr>
              <w:t>18306-2015）；</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地球物理勘探规范</w:t>
            </w:r>
          </w:p>
          <w:p>
            <w:pPr>
              <w:pStyle w:val="null3"/>
              <w:jc w:val="left"/>
            </w:pPr>
            <w:r>
              <w:rPr>
                <w:rFonts w:ascii="仿宋_GB2312" w:hAnsi="仿宋_GB2312" w:cs="仿宋_GB2312" w:eastAsia="仿宋_GB2312"/>
                <w:sz w:val="24"/>
              </w:rPr>
              <w:t>1）《遥感解译地质图制作规范(1:250000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DZ/T 0264-2014）</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2）《区域环境地质勘查遥感技术规定》（DZ/T 0190－2015）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3）《遥感影像地图制作规范(1:50000/1:250000)》（DZ/T 0265－2014）</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4）《区域地质调查中遥感技术规定</w:t>
            </w:r>
            <w:r>
              <w:rPr>
                <w:rFonts w:ascii="仿宋_GB2312" w:hAnsi="仿宋_GB2312" w:cs="仿宋_GB2312" w:eastAsia="仿宋_GB2312"/>
                <w:sz w:val="24"/>
              </w:rPr>
              <w:t>（</w:t>
            </w:r>
            <w:r>
              <w:rPr>
                <w:rFonts w:ascii="仿宋_GB2312" w:hAnsi="仿宋_GB2312" w:cs="仿宋_GB2312" w:eastAsia="仿宋_GB2312"/>
                <w:sz w:val="24"/>
              </w:rPr>
              <w:t>1:50000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DZ/T0151-2015）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遥感地质规范</w:t>
            </w:r>
          </w:p>
          <w:p>
            <w:pPr>
              <w:pStyle w:val="null3"/>
              <w:jc w:val="left"/>
            </w:pPr>
            <w:r>
              <w:rPr>
                <w:rFonts w:ascii="仿宋_GB2312" w:hAnsi="仿宋_GB2312" w:cs="仿宋_GB2312" w:eastAsia="仿宋_GB2312"/>
                <w:sz w:val="24"/>
              </w:rPr>
              <w:t>1）《卫星导航定位基准站网络实时动态测量(RTK)规范》（GB/T 39616-2020）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2）《大地电磁测深法技术规程》（DZ/T 0173-2022）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3）《地球物理勘查技术符号》（GB/T 14499-1993）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地球物理勘查图图式图例及色标</w:t>
            </w:r>
            <w:r>
              <w:rPr>
                <w:rFonts w:ascii="仿宋_GB2312" w:hAnsi="仿宋_GB2312" w:cs="仿宋_GB2312" w:eastAsia="仿宋_GB2312"/>
                <w:sz w:val="24"/>
              </w:rPr>
              <w:t>》（</w:t>
            </w:r>
            <w:r>
              <w:rPr>
                <w:rFonts w:ascii="仿宋_GB2312" w:hAnsi="仿宋_GB2312" w:cs="仿宋_GB2312" w:eastAsia="仿宋_GB2312"/>
                <w:sz w:val="24"/>
              </w:rPr>
              <w:t>DZ/T 0069-2024</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样品采集及试验测试</w:t>
            </w:r>
          </w:p>
          <w:p>
            <w:pPr>
              <w:pStyle w:val="null3"/>
              <w:jc w:val="left"/>
            </w:pPr>
            <w:r>
              <w:rPr>
                <w:rFonts w:ascii="仿宋_GB2312" w:hAnsi="仿宋_GB2312" w:cs="仿宋_GB2312" w:eastAsia="仿宋_GB2312"/>
                <w:sz w:val="24"/>
              </w:rPr>
              <w:t>1）《土工试验方法标准》(GB/T 50123-2019)</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2）《水质采样技术指导》（HJ 494-2009）</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数字化成图</w:t>
            </w:r>
          </w:p>
          <w:p>
            <w:pPr>
              <w:pStyle w:val="null3"/>
              <w:jc w:val="left"/>
            </w:pPr>
            <w:r>
              <w:rPr>
                <w:rFonts w:ascii="仿宋_GB2312" w:hAnsi="仿宋_GB2312" w:cs="仿宋_GB2312" w:eastAsia="仿宋_GB2312"/>
                <w:sz w:val="24"/>
              </w:rPr>
              <w:t>1）《数字测绘成果质量检查与验收》(GB/T 18316-2008)</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2）《1:50000地质图地理底图编绘规范》（DZ/T 0157-1995）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本项目所引用的规范</w:t>
            </w:r>
            <w:r>
              <w:rPr>
                <w:rFonts w:ascii="仿宋_GB2312" w:hAnsi="仿宋_GB2312" w:cs="仿宋_GB2312" w:eastAsia="仿宋_GB2312"/>
                <w:sz w:val="24"/>
              </w:rPr>
              <w:t>/标准/文件，如有最新版本，依照其最新规定执行。</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后续服务要求</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1）在提交成果后供应商应就本项目提供咨询等服务；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服务期限内出现问题，供应商必须即时响应，并在采购人要求合理时限内到达现场，并在采购人要求的合理时限内解决问题，现场解决不了的采取补救措施，以保证采购人的正常工作需求，成交供应商不得以任何理由影响正常使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在项目过程中的安全责任由成交供应商负全责，若发生安全事故由成交</w:t>
            </w:r>
            <w:r>
              <w:rPr>
                <w:rFonts w:ascii="仿宋_GB2312" w:hAnsi="仿宋_GB2312" w:cs="仿宋_GB2312" w:eastAsia="仿宋_GB2312"/>
                <w:sz w:val="24"/>
              </w:rPr>
              <w:t>供应商承担，采购人不承担任何安全责任。</w:t>
            </w:r>
            <w:r>
              <w:rPr>
                <w:rFonts w:ascii="仿宋_GB2312" w:hAnsi="仿宋_GB2312" w:cs="仿宋_GB2312" w:eastAsia="仿宋_GB2312"/>
                <w:sz w:val="24"/>
                <w:b/>
              </w:rPr>
              <w:t>（提供单独承诺函原件，格式自拟）</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sz w:val="24"/>
              </w:rPr>
              <w:t>供应商因履行本合同所获得的一切原始资料、信息及相关工作成果属采购人所有，供应商负有保密义务。未经采购人书面同意，供应商不得在合同期内或合同履行完毕后以任何方式对外泄露或用于与本项目无关的其他任何事项。如因供应商过错导致采购人遭受损失的，供应商应承担全部赔偿责任。采购人提供的所有技术资料和基础资料（文字、图纸、电子数据等）均受版权保护，未经采购人授权，任何人不得将其内容复制、引用、改编、分发、发布、外借、转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自合同签订之日起30日历天内完成全部工作内容。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木里藏族自治县自然资源局指定地点。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2.履约验收程序：一次性验收 3.履约验收时间：供应商提出验收申请之日起15日内组织验收。 4.履约验收方式： 4.1木里藏族自治县自然资源局根据项目履约情况组织验收。 4.2双方如对质量要求和技术指标的约定标准有相互抵触或异议的事项，由采购人在磋商文件与响应文件中按质量要求和技术指标约定标准进行验收。 5.履约验收标准：严格按照政府采购相关法律法规以及《财政部关于进一步加强政府采购需求和履约验收管理的指导意见》（财库〔2016〕205 号）、木里藏族自治县自然资源局相关管理办法等要求验收；木里县重点县城综合整治及局部功能疏解实施方案须经省、州相关部门审查通过。</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1、合同签订后，达到付款条件起7日内，支付合同总金额的30.00%</w:t>
            </w:r>
          </w:p>
          <w:p>
            <w:pPr>
              <w:pStyle w:val="null3"/>
              <w:jc w:val="left"/>
            </w:pPr>
            <w:r>
              <w:rPr>
                <w:rFonts w:ascii="仿宋_GB2312" w:hAnsi="仿宋_GB2312" w:cs="仿宋_GB2312" w:eastAsia="仿宋_GB2312"/>
              </w:rPr>
              <w:t>2、目全部完成，按要求提供成果文件并归档后，达到付款条件起7日内，支付合同总金额的70.00%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任何一方违约给对方造成的直接损失均负有赔偿责任，对方均有权视情况要求对方继续履行合同或提出解除合同。（2）如因供应商在履行过程中的疏忽、失职、过错等故意或者过失原因给采购人造成损失或侵害，包括但不限于采购人本身的财产损失、由此而导致的采购人对任何第三方的法律责任等，供应商对此均应承担全部的赔偿责任。（3）如供应商提交的成果达不到相关质量要求或未按采购人时间进度安排完成成果，采购人有权扣除合同支付金额和提出解除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1、供应商须针对本项目实际提供服务方案。（详见评分标准） 2、供应商须针对本项目实际配备相关项目负责人、技术负责人、安全负责人以及项目组成员。（详见评分标准）。（详见评分标准） 3、供应商须具有类似履约经验（业绩）：2023年1月1日以来类似项目业绩。注：类似业绩是指：地质安全综合整治实施方案或地质灾害风险调查评价类或地质灾害隐患风险详查、精细化调查类项目。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供应商须提供相关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②也可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采购文件中明确要求提供证明材料或单独提供承诺函的实质性要求。</w:t>
            </w:r>
          </w:p>
        </w:tc>
        <w:tc>
          <w:tcPr>
            <w:tcW w:type="dxa" w:w="3322"/>
          </w:tcPr>
          <w:p>
            <w:pPr>
              <w:pStyle w:val="null3"/>
              <w:jc w:val="left"/>
            </w:pPr>
            <w:r>
              <w:rPr>
                <w:rFonts w:ascii="仿宋_GB2312" w:hAnsi="仿宋_GB2312" w:cs="仿宋_GB2312" w:eastAsia="仿宋_GB2312"/>
              </w:rPr>
              <w:t>须提供证明材料或单独提供承诺函，否则视为无效响应。</w:t>
            </w:r>
          </w:p>
        </w:tc>
        <w:tc>
          <w:tcPr>
            <w:tcW w:type="dxa" w:w="1661"/>
          </w:tcPr>
          <w:p>
            <w:pPr>
              <w:pStyle w:val="null3"/>
              <w:jc w:val="left"/>
            </w:pPr>
            <w:r>
              <w:rPr>
                <w:rFonts w:ascii="仿宋_GB2312" w:hAnsi="仿宋_GB2312" w:cs="仿宋_GB2312" w:eastAsia="仿宋_GB2312"/>
              </w:rPr>
              <w:t>技术、服务要求应答表.docx,供应商应提交的相关证明材料,商务应答表.docx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采购文件规定的其他实质性要求。</w:t>
            </w:r>
          </w:p>
        </w:tc>
        <w:tc>
          <w:tcPr>
            <w:tcW w:type="dxa" w:w="3322"/>
          </w:tcPr>
          <w:p>
            <w:pPr>
              <w:pStyle w:val="null3"/>
              <w:jc w:val="left"/>
            </w:pPr>
            <w:r>
              <w:rPr>
                <w:rFonts w:ascii="仿宋_GB2312" w:hAnsi="仿宋_GB2312" w:cs="仿宋_GB2312" w:eastAsia="仿宋_GB2312"/>
              </w:rPr>
              <w:t>响应文件未完全响应采购文件的实质性要求或未载明或者载明的标的名称、数量、计量单位与竞争性磋商文件不一致且采购单位无法接受的，属于无效响应。属于采购文件中无效情形的，其响应文件作为无效处理。</w:t>
            </w:r>
          </w:p>
        </w:tc>
        <w:tc>
          <w:tcPr>
            <w:tcW w:type="dxa" w:w="1661"/>
          </w:tcPr>
          <w:p>
            <w:pPr>
              <w:pStyle w:val="null3"/>
              <w:jc w:val="left"/>
            </w:pPr>
            <w:r>
              <w:rPr>
                <w:rFonts w:ascii="仿宋_GB2312" w:hAnsi="仿宋_GB2312" w:cs="仿宋_GB2312" w:eastAsia="仿宋_GB2312"/>
              </w:rPr>
              <w:t>技术、服务要求应答表.docx,响应文件封面,供应商应提交的相关证明材料,商务应答表.docx,报价表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供应商针对本项目提供的工作区基本情况的分析与认识，包括：①项目建设必要性和可行性；②地灾灾害现状；③地质灾害演化趋势进行综合评审，以上内容完全符合项目需求及项目情况的(注：完全符合项目需求指方案包含但不限于上述内容的文字、图片、表格等形式详细呈现方案内容，方案内容符合行业政策要求、满足本项目要求）得9分，每有一项内容缺失扣3分，每有一处存在内容缺陷扣1.5分，扣完为止。 2、供应商针对本项目的工作部署，包括：①主要防灾措施；②实施计划；③项目投资估算；④项目影响效果分析进行综合评审，以上内容完全符合项目需求及项目情况的(注：完全符合项目需求指方案包含但不限于上述内容的文字、图片、表格等形式详细呈现方案内容，方案内容符合行业政策要求、满足本项目要求）得12分，每有一项内容缺失扣3分，每有一处存在内容缺陷扣1.5分，扣完为止。 3、供应商针对本项目提供的质量控制方案，包括：①技术保障措施；②安全保障措施；③进度保障措施进行综合评审，以上内容完全符合项目需求及项目情况的(注：完全符合项目需求指方案包含但不限于上述内容的文字、图片、表格等形式详细呈现方案内容，方案内容符合行业政策要求、满足本项目要求）得9分，每有一项内容缺失扣3分，每有一处存在内容缺陷扣1.5分，扣完为止。 4、供应商针对本项目提供的后续服务方案，包括：①后续服务措施及承诺；②现场服务支持能力；③后续服务团队组织机构设置；④后续服务响应时间；⑤应急处理措施；⑥资料归档管理措施进行综合评审，以上内容完全符合项目需求及项目情况的(注：完全符合项目需求指方案包含但不限于上述内容的文字、图片、表格等形式详细呈现方案内容，方案内容符合行业政策要求、满足本项目要求）得18分，每有一项内容缺失扣3分，每有一处存在内容缺陷扣1.5分，扣完为止。 （注：内容存在缺陷是指①本项目提供的方案中引用法律、规范、标准存在失效或错误，项目名称、实施地点、时间错误；②内容与本项目需求无关；③内容矛盾或表述前后不一致；④复制或套用其他项目内容；⑤重要内容缺失等以上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1、项目负责人：具有水工环类中级技术职称得2分，具有水工环类高级及以上技术职称得4分，本项最多得4分。 2、技术负责人：具有水工环类中级技术职称得2分，具有水工环类高级及以上技术职称得4分，本项最多得4分。 3、安全负责人：具有安全工程相关专业中级技术职称得1分，具有安全工程相关专业高级及以上技术职称得2分，同时具有注册安全工程师执业资格加2分，本项最多得4分。 4、项目组成员中每有1人具有:水工环、岩土工程、国土整治、水土保持、环境工程、测量测绘、安全工程、地球物理勘查及遥感等相关专业中级及以上职称其一的得1分，相同专业不重复得分，本项最多得8分 注：（1）上述人员不重复计分。如一人具有多个职称证书的，只计其一个最高的职称证书得分。（2）需提供以上人员证书复印件、身份证复印件和证明为本单位人员的在职证明资料，未提供的该项不得分；（3）水工环类相关专业包括① 水工环，②水工环地质，③水文、工程、环境地质， ④水文、环境、工程地质，⑤水文地质、工程地质、 环境地质，⑥水文地质、工程地质与环境地质，⑦水文地质工程地质环境地质，⑧水文地质工程地质与环 境地质，⑨水文地质与工程地质，⑩环境地质, ⑪水文地质，⑫工程地质，⑬地质勘查工程（水文地质、工程地质与环境地质），⑭水文与工程地质，⑮水、工、环地质，⑯工程与水文地质，⑰工程地质与水文地质中任意一种。（4）测量测绘相关专业是指：工程测量或测绘工程或摄影测量等。</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供应商2023年1月1日以来每有一个类似业绩得4分，本项最高得12分。 注：类似业绩是指：地质安全综合整治实施方案或地质灾害风险调查评价类或地质灾害隐患风险详查、精细化调查类项目。需提供中标（成交）通知书（以落款时间为准）或合同（协议）书复印件（以签订时间为准）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详见附件：供应商本项目管理、技术、服务人员情况表.docx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