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版本号：N511701202600008520260414001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无创血流动力学监测仪采购项目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N5117012026000085</w:t>
      </w:r>
    </w:p>
    <w:p>
      <w:pPr>
        <w:pStyle w:val="null3"/>
        <w:jc w:val="center"/>
        <w:outlineLvl w:val="2"/>
      </w:pPr>
      <w:r>
        <w:rPr>
          <w:rFonts w:ascii="仿宋_GB2312" w:hAnsi="仿宋_GB2312" w:cs="仿宋_GB2312" w:eastAsia="仿宋_GB2312"/>
          <w:sz w:val="28"/>
          <w:b/>
        </w:rPr>
        <w:t>达州市中心医院</w:t>
      </w:r>
    </w:p>
    <w:p>
      <w:pPr>
        <w:pStyle w:val="null3"/>
        <w:jc w:val="center"/>
        <w:outlineLvl w:val="2"/>
      </w:pPr>
      <w:r>
        <w:rPr>
          <w:rFonts w:ascii="仿宋_GB2312" w:hAnsi="仿宋_GB2312" w:cs="仿宋_GB2312" w:eastAsia="仿宋_GB2312"/>
          <w:sz w:val="28"/>
          <w:b/>
        </w:rPr>
        <w:t>四川亿达利工程项目管理有限公司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四川亿达利工程项目管理有限公司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达州市中心医院</w:t>
      </w:r>
      <w:r>
        <w:rPr>
          <w:rFonts w:ascii="仿宋_GB2312" w:hAnsi="仿宋_GB2312" w:cs="仿宋_GB2312" w:eastAsia="仿宋_GB2312"/>
        </w:rPr>
        <w:t xml:space="preserve"> 委托，拟对 </w:t>
      </w:r>
      <w:r>
        <w:rPr>
          <w:rFonts w:ascii="仿宋_GB2312" w:hAnsi="仿宋_GB2312" w:cs="仿宋_GB2312" w:eastAsia="仿宋_GB2312"/>
        </w:rPr>
        <w:t>无创血流动力学监测仪采购项目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N5117012026000085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无创血流动力学监测仪采购项目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1、为完善医院重症医学科、心血管内科设备配置，特采购无创血流动力学监测仪2套。</w:t>
      </w:r>
    </w:p>
    <w:p>
      <w:pPr>
        <w:pStyle w:val="null3"/>
        <w:jc w:val="left"/>
      </w:pPr>
      <w:r>
        <w:rPr>
          <w:rFonts w:ascii="仿宋_GB2312" w:hAnsi="仿宋_GB2312" w:cs="仿宋_GB2312" w:eastAsia="仿宋_GB2312"/>
        </w:rPr>
        <w:t>2、根据《四川省政府采购营商环境指标提升专项行动工作方案》要求“每个采购项目采购文件中要明确质疑、投诉的渠道和方式”，本项目投诉受理部门：达州市财政局；投诉受理电话：0818-2675041；投诉受理地址：达州市达川区南外通达东路200号。</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1、特殊资格要求（描述：1.采购产品属于Ⅱ类医疗器械，报价产品须符合《医疗器械注册与备案管理办法》要求并提供中华人民共和国医疗器械注册证； 2.采购产品属于Ⅱ类医疗器械，投标人须符合《医疗器械监督管理条例》要求并提供医疗器械生产许可证、第二类医疗器械经营备案凭证。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达州市中心医院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达州市通川区南岳庙街56号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0818-2278288</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四川亿达利工程项目管理有限公司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达州市通川区朝阳西路246号A1幢二层2号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0818-2377771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采购包1：740,000.00元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代理服务费收费标准：参照“发改办价格[2003]857号”要求和“计价格[2002]1980号”文件收费下浮30%</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达州市中心医院</w:t>
      </w:r>
      <w:r>
        <w:rPr>
          <w:rFonts w:ascii="仿宋_GB2312" w:hAnsi="仿宋_GB2312" w:cs="仿宋_GB2312" w:eastAsia="仿宋_GB2312"/>
        </w:rPr>
        <w:t xml:space="preserve"> 和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达州市中心医院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全部货物安装调试完成后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按照采购文件技术、服务要求及供应商响应文件内容进行验收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按照采购文件商务要求及及供应商响应文件内容进行验收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达州市中心医院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联系人：付老师</w:t>
      </w:r>
    </w:p>
    <w:p>
      <w:pPr>
        <w:pStyle w:val="null3"/>
        <w:jc w:val="left"/>
      </w:pPr>
      <w:r>
        <w:rPr>
          <w:rFonts w:ascii="仿宋_GB2312" w:hAnsi="仿宋_GB2312" w:cs="仿宋_GB2312" w:eastAsia="仿宋_GB2312"/>
        </w:rPr>
        <w:t>联系电话：0818-2278288</w:t>
      </w:r>
    </w:p>
    <w:p>
      <w:pPr>
        <w:pStyle w:val="null3"/>
        <w:jc w:val="left"/>
      </w:pPr>
      <w:r>
        <w:rPr>
          <w:rFonts w:ascii="仿宋_GB2312" w:hAnsi="仿宋_GB2312" w:cs="仿宋_GB2312" w:eastAsia="仿宋_GB2312"/>
        </w:rPr>
        <w:t>地址：达州市通川区南岳庙街56号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联系人：肖先生</w:t>
      </w:r>
    </w:p>
    <w:p>
      <w:pPr>
        <w:pStyle w:val="null3"/>
        <w:jc w:val="left"/>
      </w:pPr>
      <w:r>
        <w:rPr>
          <w:rFonts w:ascii="仿宋_GB2312" w:hAnsi="仿宋_GB2312" w:cs="仿宋_GB2312" w:eastAsia="仿宋_GB2312"/>
        </w:rPr>
        <w:t>联系电话：0818-2377771</w:t>
      </w:r>
    </w:p>
    <w:p>
      <w:pPr>
        <w:pStyle w:val="null3"/>
        <w:jc w:val="left"/>
      </w:pPr>
      <w:r>
        <w:rPr>
          <w:rFonts w:ascii="仿宋_GB2312" w:hAnsi="仿宋_GB2312" w:cs="仿宋_GB2312" w:eastAsia="仿宋_GB2312"/>
        </w:rPr>
        <w:t>地址：达州市通川区朝阳西路246号A1幢二层2号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740,000.00</w:t>
      </w:r>
    </w:p>
    <w:p>
      <w:pPr>
        <w:pStyle w:val="null3"/>
        <w:jc w:val="left"/>
      </w:pPr>
      <w:r>
        <w:rPr>
          <w:rFonts w:ascii="仿宋_GB2312" w:hAnsi="仿宋_GB2312" w:cs="仿宋_GB2312" w:eastAsia="仿宋_GB2312"/>
        </w:rPr>
        <w:t>采购包最高限价（元）: 740,000.00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无创血流动力学监测仪</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740,000.00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无创血流动力学监测仪</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740,000.00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A02320300 医用电子生理参数检测仪器设备</w:t>
            </w:r>
          </w:p>
        </w:tc>
        <w:tc>
          <w:tcPr>
            <w:tcW w:type="dxa" w:w="2492"/>
          </w:tcPr>
          <w:p>
            <w:pPr>
              <w:pStyle w:val="null3"/>
              <w:jc w:val="left"/>
            </w:pPr>
            <w:r>
              <w:rPr>
                <w:rFonts w:ascii="仿宋_GB2312" w:hAnsi="仿宋_GB2312" w:cs="仿宋_GB2312" w:eastAsia="仿宋_GB2312"/>
              </w:rPr>
              <w:t>无创血流动力学监测仪</w:t>
            </w:r>
          </w:p>
        </w:tc>
        <w:tc>
          <w:tcPr>
            <w:tcW w:type="dxa" w:w="2492"/>
          </w:tcPr>
          <w:p>
            <w:pPr>
              <w:pStyle w:val="null3"/>
              <w:jc w:val="left"/>
            </w:pPr>
            <w:r>
              <w:rPr>
                <w:rFonts w:ascii="仿宋_GB2312" w:hAnsi="仿宋_GB2312" w:cs="仿宋_GB2312" w:eastAsia="仿宋_GB2312"/>
              </w:rPr>
              <w:t>无创血流动力学监测仪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标的名称：无创血流动力学监测仪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单套配置要求</w:t>
            </w:r>
          </w:p>
        </w:tc>
        <w:tc>
          <w:tcPr>
            <w:tcW w:type="dxa" w:w="5814"/>
          </w:tcPr>
          <w:p>
            <w:pPr>
              <w:pStyle w:val="null3"/>
              <w:jc w:val="both"/>
            </w:pPr>
            <w:r>
              <w:rPr>
                <w:rFonts w:ascii="仿宋_GB2312" w:hAnsi="仿宋_GB2312" w:cs="仿宋_GB2312" w:eastAsia="仿宋_GB2312"/>
                <w:sz w:val="21"/>
              </w:rPr>
              <w:t>1.心输出量测量仪主机：1台</w:t>
            </w:r>
          </w:p>
          <w:p>
            <w:pPr>
              <w:pStyle w:val="null3"/>
              <w:spacing w:after="120"/>
              <w:jc w:val="both"/>
            </w:pPr>
            <w:r>
              <w:rPr>
                <w:rFonts w:ascii="仿宋_GB2312" w:hAnsi="仿宋_GB2312" w:cs="仿宋_GB2312" w:eastAsia="仿宋_GB2312"/>
                <w:sz w:val="21"/>
              </w:rPr>
              <w:t>2.超声探头（2.2MHz，CW-2.2）：1把</w:t>
            </w:r>
          </w:p>
          <w:p>
            <w:pPr>
              <w:pStyle w:val="null3"/>
              <w:spacing w:after="120"/>
              <w:jc w:val="both"/>
            </w:pPr>
            <w:r>
              <w:rPr>
                <w:rFonts w:ascii="仿宋_GB2312" w:hAnsi="仿宋_GB2312" w:cs="仿宋_GB2312" w:eastAsia="仿宋_GB2312"/>
                <w:sz w:val="21"/>
              </w:rPr>
              <w:t>3.超声探头（4MHz，CW-4）：1把</w:t>
            </w:r>
          </w:p>
          <w:p>
            <w:pPr>
              <w:pStyle w:val="null3"/>
              <w:jc w:val="both"/>
            </w:pPr>
            <w:r>
              <w:rPr>
                <w:rFonts w:ascii="仿宋_GB2312" w:hAnsi="仿宋_GB2312" w:cs="仿宋_GB2312" w:eastAsia="仿宋_GB2312"/>
                <w:sz w:val="21"/>
              </w:rPr>
              <w:t>4.可充电锂离子电池组（主机包含）：1块</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1"/>
              </w:rPr>
              <w:t>▲1.采用多普勒血流技术，测量心脏功能、前负荷、后负荷、心肌收缩力等血流动力学指标，安全无创，无须耗材；（投标时需提供具有CMA认证标识的检验/检测报告或产品说明书或技术白皮书复印件，验收时需提供原件备查）</w:t>
            </w:r>
          </w:p>
          <w:p>
            <w:pPr>
              <w:pStyle w:val="null3"/>
              <w:jc w:val="both"/>
            </w:pPr>
            <w:r>
              <w:rPr>
                <w:rFonts w:ascii="仿宋_GB2312" w:hAnsi="仿宋_GB2312" w:cs="仿宋_GB2312" w:eastAsia="仿宋_GB2312"/>
                <w:sz w:val="21"/>
              </w:rPr>
              <w:t>2.采用多普勒血流测量技术，实时测量颈部动脉、静脉血管、以及外周血管的血流频谱和功能性血流动力学指标；</w:t>
            </w:r>
          </w:p>
          <w:p>
            <w:pPr>
              <w:pStyle w:val="null3"/>
              <w:jc w:val="both"/>
            </w:pPr>
            <w:r>
              <w:rPr>
                <w:rFonts w:ascii="仿宋_GB2312" w:hAnsi="仿宋_GB2312" w:cs="仿宋_GB2312" w:eastAsia="仿宋_GB2312"/>
                <w:sz w:val="21"/>
              </w:rPr>
              <w:t>3.信号增益＞3档；</w:t>
            </w:r>
          </w:p>
          <w:p>
            <w:pPr>
              <w:pStyle w:val="null3"/>
              <w:jc w:val="both"/>
            </w:pPr>
            <w:r>
              <w:rPr>
                <w:rFonts w:ascii="仿宋_GB2312" w:hAnsi="仿宋_GB2312" w:cs="仿宋_GB2312" w:eastAsia="仿宋_GB2312"/>
                <w:sz w:val="21"/>
              </w:rPr>
              <w:t>4.显示屏:≥12英寸彩色触摸屏；</w:t>
            </w:r>
          </w:p>
          <w:p>
            <w:pPr>
              <w:pStyle w:val="null3"/>
              <w:jc w:val="both"/>
            </w:pPr>
            <w:r>
              <w:rPr>
                <w:rFonts w:ascii="仿宋_GB2312" w:hAnsi="仿宋_GB2312" w:cs="仿宋_GB2312" w:eastAsia="仿宋_GB2312"/>
                <w:sz w:val="21"/>
              </w:rPr>
              <w:t>5.信号输出或输入:USB接口,TF卡接口,以太网接口；</w:t>
            </w:r>
          </w:p>
          <w:p>
            <w:pPr>
              <w:pStyle w:val="null3"/>
              <w:jc w:val="both"/>
            </w:pPr>
            <w:r>
              <w:rPr>
                <w:rFonts w:ascii="仿宋_GB2312" w:hAnsi="仿宋_GB2312" w:cs="仿宋_GB2312" w:eastAsia="仿宋_GB2312"/>
                <w:sz w:val="21"/>
              </w:rPr>
              <w:t>6.存储空间：≥120G；</w:t>
            </w:r>
          </w:p>
          <w:p>
            <w:pPr>
              <w:pStyle w:val="null3"/>
              <w:jc w:val="both"/>
            </w:pPr>
            <w:r>
              <w:rPr>
                <w:rFonts w:ascii="仿宋_GB2312" w:hAnsi="仿宋_GB2312" w:cs="仿宋_GB2312" w:eastAsia="仿宋_GB2312"/>
                <w:sz w:val="21"/>
              </w:rPr>
              <w:t>7.供电方式：交流或电池供电；</w:t>
            </w:r>
          </w:p>
          <w:p>
            <w:pPr>
              <w:pStyle w:val="null3"/>
              <w:jc w:val="both"/>
            </w:pPr>
            <w:r>
              <w:rPr>
                <w:rFonts w:ascii="仿宋_GB2312" w:hAnsi="仿宋_GB2312" w:cs="仿宋_GB2312" w:eastAsia="仿宋_GB2312"/>
                <w:sz w:val="21"/>
              </w:rPr>
              <w:t>8.电池工作时间:充满电后工作不低于3小时；</w:t>
            </w:r>
          </w:p>
          <w:p>
            <w:pPr>
              <w:pStyle w:val="null3"/>
              <w:jc w:val="both"/>
            </w:pPr>
            <w:r>
              <w:rPr>
                <w:rFonts w:ascii="仿宋_GB2312" w:hAnsi="仿宋_GB2312" w:cs="仿宋_GB2312" w:eastAsia="仿宋_GB2312"/>
                <w:sz w:val="21"/>
              </w:rPr>
              <w:t>9.可监测心功能指标：心输出量CO、心脏指数CI、每博量SV、每博指数SVI、每博变异度SVV、外周血管阻力SVR、外周血管阻力指数SVRI、氧输送DO2、氧输送指数DO2I、峰值速度vpk、心肌收缩力INO、心肌收缩力指数INOI、心室做功势动能比PKR、心脏输出功率力CPO、心脏输出功率力指数CPOI、平均压力梯度Pmn、正规化射血时间ET%、校正流动时间FTC；</w:t>
            </w:r>
          </w:p>
          <w:p>
            <w:pPr>
              <w:pStyle w:val="null3"/>
              <w:jc w:val="both"/>
            </w:pPr>
            <w:r>
              <w:rPr>
                <w:rFonts w:ascii="仿宋_GB2312" w:hAnsi="仿宋_GB2312" w:cs="仿宋_GB2312" w:eastAsia="仿宋_GB2312"/>
                <w:sz w:val="21"/>
              </w:rPr>
              <w:t>10.具有反应脑供血的参数和远端阻力的参数：MD,RI；</w:t>
            </w:r>
          </w:p>
          <w:p>
            <w:pPr>
              <w:pStyle w:val="null3"/>
              <w:jc w:val="both"/>
            </w:pPr>
            <w:r>
              <w:rPr>
                <w:rFonts w:ascii="仿宋_GB2312" w:hAnsi="仿宋_GB2312" w:cs="仿宋_GB2312" w:eastAsia="仿宋_GB2312"/>
                <w:sz w:val="21"/>
              </w:rPr>
              <w:t>11.实时同步显示颈动脉、颈静脉的动态血流频谱，以及流速、流量等多项血流动力学参数数值；</w:t>
            </w:r>
          </w:p>
          <w:p>
            <w:pPr>
              <w:pStyle w:val="null3"/>
              <w:jc w:val="both"/>
            </w:pPr>
            <w:r>
              <w:rPr>
                <w:rFonts w:ascii="仿宋_GB2312" w:hAnsi="仿宋_GB2312" w:cs="仿宋_GB2312" w:eastAsia="仿宋_GB2312"/>
                <w:sz w:val="21"/>
              </w:rPr>
              <w:t>12.实时同步显示外周血管的动态血流频谱和多项血流动力学参数数值；</w:t>
            </w:r>
          </w:p>
          <w:p>
            <w:pPr>
              <w:pStyle w:val="null3"/>
              <w:jc w:val="both"/>
            </w:pPr>
            <w:r>
              <w:rPr>
                <w:rFonts w:ascii="仿宋_GB2312" w:hAnsi="仿宋_GB2312" w:cs="仿宋_GB2312" w:eastAsia="仿宋_GB2312"/>
                <w:sz w:val="21"/>
              </w:rPr>
              <w:t>13.实时显示主动脉或肺动脉多普勒血流频谱和包络，实时显示血流动力学；</w:t>
            </w:r>
          </w:p>
          <w:p>
            <w:pPr>
              <w:pStyle w:val="null3"/>
              <w:jc w:val="both"/>
            </w:pPr>
            <w:r>
              <w:rPr>
                <w:rFonts w:ascii="仿宋_GB2312" w:hAnsi="仿宋_GB2312" w:cs="仿宋_GB2312" w:eastAsia="仿宋_GB2312"/>
                <w:sz w:val="21"/>
              </w:rPr>
              <w:t>▲14.具有容量反应性测试工具，CPR工具；（投标时需提供具有CMA认证标识的检验/检测报告或产品说明书或技术白皮书复印件，验收时需提供原件备查）</w:t>
            </w:r>
          </w:p>
          <w:p>
            <w:pPr>
              <w:pStyle w:val="null3"/>
              <w:jc w:val="both"/>
            </w:pPr>
            <w:r>
              <w:rPr>
                <w:rFonts w:ascii="仿宋_GB2312" w:hAnsi="仿宋_GB2312" w:cs="仿宋_GB2312" w:eastAsia="仿宋_GB2312"/>
                <w:sz w:val="21"/>
              </w:rPr>
              <w:t>▲15.具备在心率失常、IABP、体外循环下的监测；（投标时需提供具有CMA认证标识的检验/检测报告或产品说明书或技术白皮书复印件，验收时需提供原件备查）</w:t>
            </w:r>
          </w:p>
          <w:p>
            <w:pPr>
              <w:pStyle w:val="null3"/>
              <w:jc w:val="both"/>
            </w:pPr>
            <w:r>
              <w:rPr>
                <w:rFonts w:ascii="仿宋_GB2312" w:hAnsi="仿宋_GB2312" w:cs="仿宋_GB2312" w:eastAsia="仿宋_GB2312"/>
                <w:sz w:val="21"/>
              </w:rPr>
              <w:t>16.基线变异度工具可对所有参数同时设定各自基线值，并根据血流搏动实时显示基线变异度。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备注</w:t>
            </w:r>
          </w:p>
        </w:tc>
        <w:tc>
          <w:tcPr>
            <w:tcW w:type="dxa" w:w="5814"/>
          </w:tcPr>
          <w:p>
            <w:pPr>
              <w:pStyle w:val="null3"/>
              <w:jc w:val="both"/>
            </w:pPr>
            <w:r>
              <w:rPr>
                <w:rFonts w:ascii="仿宋_GB2312" w:hAnsi="仿宋_GB2312" w:cs="仿宋_GB2312" w:eastAsia="仿宋_GB2312"/>
                <w:sz w:val="21"/>
              </w:rPr>
              <w:t>1、以上标注“★”的参数为本项目实质性参数要求，共计4条（以序号数字如 “1.”“2.”“3.”…为一条），任意一条不满足作无效投标处理。</w:t>
            </w:r>
            <w:r>
              <w:br/>
            </w:r>
            <w:r>
              <w:rPr>
                <w:rFonts w:ascii="仿宋_GB2312" w:hAnsi="仿宋_GB2312" w:cs="仿宋_GB2312" w:eastAsia="仿宋_GB2312"/>
                <w:sz w:val="21"/>
              </w:rPr>
              <w:t xml:space="preserve"> 2、以上标注“▲”的参数为本项目重要参数要求，共计3条（以序号数字如 “1.”“2.”“3.”…为一条），</w:t>
            </w:r>
            <w:r>
              <w:rPr>
                <w:rFonts w:ascii="仿宋_GB2312" w:hAnsi="仿宋_GB2312" w:cs="仿宋_GB2312" w:eastAsia="仿宋_GB2312"/>
                <w:sz w:val="21"/>
              </w:rPr>
              <w:t>不满足根据评审细则及标准进行计分</w:t>
            </w:r>
            <w:r>
              <w:rPr>
                <w:rFonts w:ascii="仿宋_GB2312" w:hAnsi="仿宋_GB2312" w:cs="仿宋_GB2312" w:eastAsia="仿宋_GB2312"/>
                <w:sz w:val="21"/>
              </w:rPr>
              <w:t xml:space="preserve">； </w:t>
            </w:r>
            <w:r>
              <w:br/>
            </w:r>
            <w:r>
              <w:rPr>
                <w:rFonts w:ascii="仿宋_GB2312" w:hAnsi="仿宋_GB2312" w:cs="仿宋_GB2312" w:eastAsia="仿宋_GB2312"/>
                <w:sz w:val="21"/>
              </w:rPr>
              <w:t xml:space="preserve"> 3、以上未标注“★”和“▲”的参数为本项目一般参数要求，共计13条（以序号数字如 “1.”“2.”“3.”…为一条），</w:t>
            </w:r>
            <w:r>
              <w:rPr>
                <w:rFonts w:ascii="仿宋_GB2312" w:hAnsi="仿宋_GB2312" w:cs="仿宋_GB2312" w:eastAsia="仿宋_GB2312"/>
                <w:sz w:val="21"/>
              </w:rPr>
              <w:t>不满足根据评审细则及标准进行计分</w:t>
            </w:r>
            <w:r>
              <w:rPr>
                <w:rFonts w:ascii="仿宋_GB2312" w:hAnsi="仿宋_GB2312" w:cs="仿宋_GB2312" w:eastAsia="仿宋_GB2312"/>
                <w:sz w:val="21"/>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达州市中心医院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1、进度款，全部货物安装调试完毕并检验合格后，达到付款条件起30日内，支付合同总金额的95.00%</w:t>
            </w:r>
          </w:p>
          <w:p>
            <w:pPr>
              <w:pStyle w:val="null3"/>
              <w:jc w:val="left"/>
            </w:pPr>
            <w:r>
              <w:rPr>
                <w:rFonts w:ascii="仿宋_GB2312" w:hAnsi="仿宋_GB2312" w:cs="仿宋_GB2312" w:eastAsia="仿宋_GB2312"/>
              </w:rPr>
              <w:t>2、尾款，完成相关配套服务并经采购人检验完成后，达到付款条件起30日内，支付合同总金额的5.00%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1.所有设备提供3年质保； 2.四川有售后服务点（提供售后点地址及人员资料），若无，可承诺成交后建立售后服务点（提供承诺函）。设备发生故障后12小时内到达现场，并给出解决方案，24小时内恢复设备正常运行，若不能恢复运行则提供备用机； 3.若采购设备涉及PACS、HIS、LIS等网络连接，由成交供应商承担接口费用。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其他要求（本项不作为实质性要求，只用于评审得分） ： 1、投标人根据本项目实际情况提供售后服务方案，内容包含： ①产品使用培训计划； ②售后服务响应体系和保障措施； ③设备安装调试措施； ④紧急故障应急处理方案。 2、投标人根据自身情况提供业绩。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供应商需提供以下相关证明材料： ①供应商若为企业法人：提供“统一社会信用代码营业执照”； ②若为事业法人：提供“统一社会信用代码法人登记证书”； ③若为其他组织：提供“对应主管部门颁发的准许执业证明文件或营业执照”； ④若为自然人：提供“身份证明材料”。</w:t>
            </w:r>
          </w:p>
        </w:tc>
        <w:tc>
          <w:tcPr>
            <w:tcW w:type="dxa" w:w="1661"/>
          </w:tcPr>
          <w:p>
            <w:pPr>
              <w:pStyle w:val="null3"/>
              <w:jc w:val="left"/>
            </w:pPr>
            <w:r>
              <w:rPr>
                <w:rFonts w:ascii="仿宋_GB2312" w:hAnsi="仿宋_GB2312" w:cs="仿宋_GB2312" w:eastAsia="仿宋_GB2312"/>
              </w:rPr>
              <w:t>响应文件封面,供应商认为需要提供的资格证明材料.docx,投标（响应）函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供应商需提供以下其中一项证明材料： ①可提供近三年任一年度经审计的完整财务报告复印件（包含审计报告和审计报告中所涉及的财务报表、报表附注等）； ②可提供供应商内部的近三年任一年度财务报表复印件（至少包含资产负债表、利润表、现金流量表）； ③可提供截至响应文件递交截止日一年内银行出具的资信证明（复印件）； ④供应商注册时间截至响应文件递交截止日不足两年的，也可提供加盖工商备案主管部门印章的公司章程（复印件）。</w:t>
            </w:r>
          </w:p>
        </w:tc>
        <w:tc>
          <w:tcPr>
            <w:tcW w:type="dxa" w:w="1661"/>
          </w:tcPr>
          <w:p>
            <w:pPr>
              <w:pStyle w:val="null3"/>
              <w:jc w:val="left"/>
            </w:pPr>
            <w:r>
              <w:rPr>
                <w:rFonts w:ascii="仿宋_GB2312" w:hAnsi="仿宋_GB2312" w:cs="仿宋_GB2312" w:eastAsia="仿宋_GB2312"/>
              </w:rPr>
              <w:t>供应商认为需要提供的资格证明材料.docx,投标（响应）函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1.采购产品属于Ⅱ类医疗器械，报价产品须符合《医疗器械注册与备案管理办法》要求并提供中华人民共和国医疗器械注册证； 2.采购产品属于Ⅱ类医疗器械，投标人须符合《医疗器械监督管理条例》要求并提供医疗器械生产许可证、第二类医疗器械经营备案凭证。</w:t>
            </w:r>
          </w:p>
        </w:tc>
        <w:tc>
          <w:tcPr>
            <w:tcW w:type="dxa" w:w="1661"/>
          </w:tcPr>
          <w:p>
            <w:pPr>
              <w:pStyle w:val="null3"/>
              <w:jc w:val="left"/>
            </w:pPr>
            <w:r>
              <w:rPr>
                <w:rFonts w:ascii="仿宋_GB2312" w:hAnsi="仿宋_GB2312" w:cs="仿宋_GB2312" w:eastAsia="仿宋_GB2312"/>
              </w:rPr>
              <w:t>供应商认为需要提供的资格证明材料.docx,投标（响应）函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针对《竞争性磋商》文件 第三章 技术、服务及其他要求 作出响应</w:t>
            </w:r>
          </w:p>
        </w:tc>
        <w:tc>
          <w:tcPr>
            <w:tcW w:type="dxa" w:w="3322"/>
          </w:tcPr>
          <w:p>
            <w:pPr>
              <w:pStyle w:val="null3"/>
              <w:jc w:val="left"/>
            </w:pPr>
            <w:r>
              <w:rPr>
                <w:rFonts w:ascii="仿宋_GB2312" w:hAnsi="仿宋_GB2312" w:cs="仿宋_GB2312" w:eastAsia="仿宋_GB2312"/>
              </w:rPr>
              <w:t>供应商按照《竞争性磋商》文件要求提交应答文件。</w:t>
            </w:r>
          </w:p>
        </w:tc>
        <w:tc>
          <w:tcPr>
            <w:tcW w:type="dxa" w:w="1661"/>
          </w:tcPr>
          <w:p>
            <w:pPr>
              <w:pStyle w:val="null3"/>
              <w:jc w:val="left"/>
            </w:pPr>
            <w:r>
              <w:rPr>
                <w:rFonts w:ascii="仿宋_GB2312" w:hAnsi="仿宋_GB2312" w:cs="仿宋_GB2312" w:eastAsia="仿宋_GB2312"/>
              </w:rPr>
              <w:t>供应商认为需要提供的其他证明材料.docx,技术、服务及其他要求响应表.docx,商务要求响应表.docx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售后服务方案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详细评审40.00分</w:t>
            </w:r>
          </w:p>
          <w:p>
            <w:pPr>
              <w:pStyle w:val="null3"/>
              <w:jc w:val="left"/>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供应商技术参数完全满足第三章 技术、服务及其他要求 3.2.技术要求 中技术参数与性能指标 要求的得31分。 供应商技术参数不能完全满足第三章 技术、服务及其他要求 3.2.技术要求 中技术参数与性能指标 要求的，按以下方式计分： 1、标注“★”的参数为本项目实质性参数要求，共计4条（以序号数字如 “1.”“2.”“3.”…为一条），任意一条不满足作无效投标处理。 2、标注“▲”的参数为本项目重要参数要求，共计3条（以序号数字如 “1.”“2.”“3.”…为一条），每满足一条得6分，共计得18分； 3、未标注“★”和“▲”的参数为本项目一般参数要求，共计13条（以序号数字如 “1.”“2.”“3.”…为一条），每满足一条得1分，共计得13分。 注：技术参数要求中要求提供对应证明材料的，应按要求提供，未提供或提供了但无法佐证的，视为负偏离。</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技术、服务及其他要求响应表.docx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根据投标人提供的售后服务方案进行评审，包括： ①产品使用培训计划； ②售后服务响应体系和保障措施； ③设备安装调试措施； ④紧急故障应急处理方案。 上述4项内容齐全且无缺陷（缺陷是指：内容涉及的规范或标准错误、套用其他项目内容、内容与本项目无关、内容不利于项目实施的任意一种情形）得6分，每缺少一项内容扣1.5分，扣完为止；单项内容每存在一处缺陷扣0.75分，单项内容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根据供应商2022年1月1日（含1日）至提交响应文件截止日的类似业绩进行评审，每提供1个业绩得1分，不提供不得分，最多得3分。 注：提供合同或中标（成交、中选）通知书复印件加盖供应商公章。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综合评分所需资料.docx</w:t>
            </w:r>
          </w:p>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 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详见附件：供应商认为需要提供的资格证明材料.docx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详见附件：商务要求响应表.docx</w:t>
      </w:r>
    </w:p>
    <w:p>
      <w:pPr>
        <w:pStyle w:val="null3"/>
        <w:ind w:firstLine="960"/>
        <w:jc w:val="left"/>
      </w:pPr>
      <w:r>
        <w:rPr>
          <w:rFonts w:ascii="仿宋_GB2312" w:hAnsi="仿宋_GB2312" w:cs="仿宋_GB2312" w:eastAsia="仿宋_GB2312"/>
        </w:rPr>
        <w:t>详见附件：综合评分所需资料.docx</w:t>
      </w:r>
    </w:p>
    <w:p>
      <w:pPr>
        <w:pStyle w:val="null3"/>
        <w:ind w:firstLine="960"/>
        <w:jc w:val="left"/>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