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版本号：N510703202600003220260421001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青义、石塘片区地形测绘工作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N5107032026000032</w:t>
      </w:r>
    </w:p>
    <w:p>
      <w:pPr>
        <w:pStyle w:val="null3"/>
        <w:jc w:val="center"/>
        <w:outlineLvl w:val="2"/>
      </w:pPr>
      <w:r>
        <w:rPr>
          <w:rFonts w:ascii="仿宋_GB2312" w:hAnsi="仿宋_GB2312" w:cs="仿宋_GB2312" w:eastAsia="仿宋_GB2312"/>
          <w:sz w:val="28"/>
          <w:b/>
        </w:rPr>
        <w:t>绵阳市涪城区自然资源局</w:t>
      </w:r>
    </w:p>
    <w:p>
      <w:pPr>
        <w:pStyle w:val="null3"/>
        <w:jc w:val="center"/>
        <w:outlineLvl w:val="2"/>
      </w:pPr>
      <w:r>
        <w:rPr>
          <w:rFonts w:ascii="仿宋_GB2312" w:hAnsi="仿宋_GB2312" w:cs="仿宋_GB2312" w:eastAsia="仿宋_GB2312"/>
          <w:sz w:val="28"/>
          <w:b/>
        </w:rPr>
        <w:t>成都众望云商招标代理有限公司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成都众望云商招标代理有限公司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绵阳市涪城区自然资源局</w:t>
      </w:r>
      <w:r>
        <w:rPr>
          <w:rFonts w:ascii="仿宋_GB2312" w:hAnsi="仿宋_GB2312" w:cs="仿宋_GB2312" w:eastAsia="仿宋_GB2312"/>
        </w:rPr>
        <w:t xml:space="preserve"> 委托，拟对 </w:t>
      </w:r>
      <w:r>
        <w:rPr>
          <w:rFonts w:ascii="仿宋_GB2312" w:hAnsi="仿宋_GB2312" w:cs="仿宋_GB2312" w:eastAsia="仿宋_GB2312"/>
        </w:rPr>
        <w:t>青义、石塘片区地形测绘工作</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绵阳市涪城区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N5107032026000032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青义、石塘片区地形测绘工作</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绵阳市涪城区自然资源局采购青义、石塘片区地形测绘工作服务。本项目共分2个包。包一：青义片区地形测绘，内容：N-03单元10.46平方公里。包二：石塘片区地形测绘，内容：包含S-09单元约5.53平方公里;S-13单元因市国空详规单元范围调整，约0.25平方公里无地形需进行补测，约5.78平方公里。</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提供行政主管部门颁发的有效期内的乙级及以上测绘资质证书（专业范围须包含：工程测量或界线与不动产测绘）。（描述：提供行政主管部门颁发的有效期内的乙级及以上测绘资质证书（专业范围须包含：工程测量或界线与不动产测绘）的证明材料。）</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提供行政主管部门颁发的有效期内的乙级及以上测绘资质证书（专业范围须包含：工程测量或界线与不动产测绘）。（描述：提供行政主管部门颁发的有效期内的乙级及以上测绘资质证书（专业范围须包含：工程测量或界线与不动产测绘）的证明材料。）</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绵阳市涪城区自然资源局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绵阳市绵绢路9号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何林霞</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0816-2390589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成都众望云商招标代理有限公司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绵阳市涪城区毅德商贸城A区29幢2层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李蔚</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0816-2751488-8006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采购包1：472,700.00元</w:t>
            </w:r>
          </w:p>
          <w:p>
            <w:pPr>
              <w:pStyle w:val="null3"/>
              <w:jc w:val="left"/>
            </w:pPr>
            <w:r>
              <w:rPr>
                <w:rFonts w:ascii="仿宋_GB2312" w:hAnsi="仿宋_GB2312" w:cs="仿宋_GB2312" w:eastAsia="仿宋_GB2312"/>
              </w:rPr>
              <w:t>采购包2：263,200.00元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本项目招标代理费用根据四川省财政厅关于印发《四川省政府采购营商环境指标提升专项行动工作方案》的通知（川财采[2020]74号）文件，招标代理服务费收费以成本支出加合理利润的原则；各包以成交金额作为计算基数，按差额定率累进法下浮10%进行计算，即各包成交金额*1.5%*（1-10%）（不足肆仟元按照肆仟元收取）。由成交供应商在领取成交通知书前一次性付清。 （2）代理服务费收款银行： 账户名称：成都众望云商招标代理有限公司 开户银行：浙商银行成都分行营业部 账户：6510000010120100664052</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绵阳市涪城区自然资源局</w:t>
      </w:r>
      <w:r>
        <w:rPr>
          <w:rFonts w:ascii="仿宋_GB2312" w:hAnsi="仿宋_GB2312" w:cs="仿宋_GB2312" w:eastAsia="仿宋_GB2312"/>
        </w:rPr>
        <w:t xml:space="preserve"> 和 </w:t>
      </w:r>
      <w:r>
        <w:rPr>
          <w:rFonts w:ascii="仿宋_GB2312" w:hAnsi="仿宋_GB2312" w:cs="仿宋_GB2312" w:eastAsia="仿宋_GB2312"/>
        </w:rPr>
        <w:t>成都众望云商招标代理有限公司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绵阳市涪城区自然资源局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成都众望云商招标代理有限公司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按照验收程序和商务条款进度支付，最终支付至合同的百分之百 </w:t>
      </w:r>
      <w:r>
        <w:rPr>
          <w:rFonts w:ascii="仿宋_GB2312" w:hAnsi="仿宋_GB2312" w:cs="仿宋_GB2312" w:eastAsia="仿宋_GB2312"/>
        </w:rPr>
        <w:t xml:space="preserve"> ，达到验收条件起 </w:t>
      </w:r>
      <w:r>
        <w:rPr>
          <w:rFonts w:ascii="仿宋_GB2312" w:hAnsi="仿宋_GB2312" w:cs="仿宋_GB2312" w:eastAsia="仿宋_GB2312"/>
        </w:rPr>
        <w:t>14</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按照验收程序和商务条款进度支付，最终支付至合同的百分之百</w:t>
      </w:r>
      <w:r>
        <w:rPr>
          <w:rFonts w:ascii="仿宋_GB2312" w:hAnsi="仿宋_GB2312" w:cs="仿宋_GB2312" w:eastAsia="仿宋_GB2312"/>
        </w:rPr>
        <w:t xml:space="preserve"> ，达到验收条件起 </w:t>
      </w:r>
      <w:r>
        <w:rPr>
          <w:rFonts w:ascii="仿宋_GB2312" w:hAnsi="仿宋_GB2312" w:cs="仿宋_GB2312" w:eastAsia="仿宋_GB2312"/>
        </w:rPr>
        <w:t>14</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按照技术验收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按照技术验收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按照商务验收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按照商务验收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成交供应商与采购人应严格按照《财政部关于进一步加强政府采购需求和履约验收管理的指导意见》（财库〔2016〕205号）以及《绵阳市财政局关于进一步做好政府采购项目履约验收工作的通知》（绵财采〔2021〕15号）文件、采购文件和投标文件、合同的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成交供应商与采购人应严格按照《财政部关于进一步加强政府采购需求和履约验收管理的指导意见》（财库〔2016〕205号）以及《绵阳市财政局关于进一步做好政府采购项目履约验收工作的通知》（绵财采〔2021〕15号）文件、采购文件和投标文件、合同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绵阳市涪城区自然资源局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成都众望云商招标代理有限公司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成都众望云商招标代理有限公司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联系人：杨桂芳</w:t>
      </w:r>
    </w:p>
    <w:p>
      <w:pPr>
        <w:pStyle w:val="null3"/>
        <w:jc w:val="left"/>
      </w:pPr>
      <w:r>
        <w:rPr>
          <w:rFonts w:ascii="仿宋_GB2312" w:hAnsi="仿宋_GB2312" w:cs="仿宋_GB2312" w:eastAsia="仿宋_GB2312"/>
        </w:rPr>
        <w:t>联系电话：0816-2751488</w:t>
      </w:r>
    </w:p>
    <w:p>
      <w:pPr>
        <w:pStyle w:val="null3"/>
        <w:jc w:val="left"/>
      </w:pPr>
      <w:r>
        <w:rPr>
          <w:rFonts w:ascii="仿宋_GB2312" w:hAnsi="仿宋_GB2312" w:cs="仿宋_GB2312" w:eastAsia="仿宋_GB2312"/>
        </w:rPr>
        <w:t>地址：绵阳市涪城区毅德商贸城A区29幢2层</w:t>
      </w:r>
    </w:p>
    <w:p>
      <w:pPr>
        <w:pStyle w:val="null3"/>
        <w:jc w:val="left"/>
      </w:pPr>
      <w:r>
        <w:rPr>
          <w:rFonts w:ascii="仿宋_GB2312" w:hAnsi="仿宋_GB2312" w:cs="仿宋_GB2312" w:eastAsia="仿宋_GB2312"/>
        </w:rPr>
        <w:t>邮编：621000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联系人：何林霞</w:t>
      </w:r>
    </w:p>
    <w:p>
      <w:pPr>
        <w:pStyle w:val="null3"/>
        <w:jc w:val="left"/>
      </w:pPr>
      <w:r>
        <w:rPr>
          <w:rFonts w:ascii="仿宋_GB2312" w:hAnsi="仿宋_GB2312" w:cs="仿宋_GB2312" w:eastAsia="仿宋_GB2312"/>
        </w:rPr>
        <w:t>联系电话：0816-2390589</w:t>
      </w:r>
    </w:p>
    <w:p>
      <w:pPr>
        <w:pStyle w:val="null3"/>
        <w:jc w:val="left"/>
      </w:pPr>
      <w:r>
        <w:rPr>
          <w:rFonts w:ascii="仿宋_GB2312" w:hAnsi="仿宋_GB2312" w:cs="仿宋_GB2312" w:eastAsia="仿宋_GB2312"/>
        </w:rPr>
        <w:t>地址：绵阳市绵绢路9号</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472,700.00</w:t>
      </w:r>
    </w:p>
    <w:p>
      <w:pPr>
        <w:pStyle w:val="null3"/>
        <w:jc w:val="left"/>
      </w:pPr>
      <w:r>
        <w:rPr>
          <w:rFonts w:ascii="仿宋_GB2312" w:hAnsi="仿宋_GB2312" w:cs="仿宋_GB2312" w:eastAsia="仿宋_GB2312"/>
        </w:rPr>
        <w:t>采购包最高限价（元）: 448,860.11</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C19990000 其他专业技术服务</w:t>
            </w:r>
          </w:p>
        </w:tc>
        <w:tc>
          <w:tcPr>
            <w:tcW w:type="dxa" w:w="821"/>
          </w:tcPr>
          <w:p>
            <w:pPr>
              <w:pStyle w:val="null3"/>
              <w:jc w:val="left"/>
            </w:pPr>
            <w:r>
              <w:rPr>
                <w:rFonts w:ascii="仿宋_GB2312" w:hAnsi="仿宋_GB2312" w:cs="仿宋_GB2312" w:eastAsia="仿宋_GB2312"/>
              </w:rPr>
              <w:t>青义片区地形测绘</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448,860.11</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263,200.00</w:t>
      </w:r>
    </w:p>
    <w:p>
      <w:pPr>
        <w:pStyle w:val="null3"/>
        <w:jc w:val="left"/>
      </w:pPr>
      <w:r>
        <w:rPr>
          <w:rFonts w:ascii="仿宋_GB2312" w:hAnsi="仿宋_GB2312" w:cs="仿宋_GB2312" w:eastAsia="仿宋_GB2312"/>
        </w:rPr>
        <w:t>采购包最高限价（元）: 247,360.55</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C19990000 其他专业技术服务</w:t>
            </w:r>
          </w:p>
        </w:tc>
        <w:tc>
          <w:tcPr>
            <w:tcW w:type="dxa" w:w="821"/>
          </w:tcPr>
          <w:p>
            <w:pPr>
              <w:pStyle w:val="null3"/>
              <w:jc w:val="left"/>
            </w:pPr>
            <w:r>
              <w:rPr>
                <w:rFonts w:ascii="仿宋_GB2312" w:hAnsi="仿宋_GB2312" w:cs="仿宋_GB2312" w:eastAsia="仿宋_GB2312"/>
              </w:rPr>
              <w:t>石塘片区地形测绘</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247,360.55</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青义片区地形测绘</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448,860.11</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石塘片区地形测绘</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247,360.55</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标的名称：青义片区地形测绘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服务内容和要求</w:t>
            </w:r>
          </w:p>
        </w:tc>
        <w:tc>
          <w:tcPr>
            <w:tcW w:type="dxa" w:w="5814"/>
          </w:tcPr>
          <w:p>
            <w:pPr>
              <w:pStyle w:val="null3"/>
              <w:ind w:firstLine="560"/>
              <w:jc w:val="both"/>
            </w:pPr>
            <w:r>
              <w:rPr>
                <w:rFonts w:ascii="仿宋_GB2312" w:hAnsi="仿宋_GB2312" w:cs="仿宋_GB2312" w:eastAsia="仿宋_GB2312"/>
                <w:sz w:val="24"/>
              </w:rPr>
              <w:t>1.</w:t>
            </w:r>
            <w:r>
              <w:rPr>
                <w:rFonts w:ascii="仿宋_GB2312" w:hAnsi="仿宋_GB2312" w:cs="仿宋_GB2312" w:eastAsia="仿宋_GB2312"/>
                <w:sz w:val="24"/>
              </w:rPr>
              <w:t>服务内容：需按照国家相关法律法规及规范对本项目N-03单元10.46平方公里进行1:1000地形图测绘服务工作。</w:t>
            </w:r>
          </w:p>
          <w:p>
            <w:pPr>
              <w:pStyle w:val="null3"/>
              <w:ind w:firstLine="560"/>
              <w:jc w:val="both"/>
            </w:pPr>
            <w:r>
              <w:rPr>
                <w:rFonts w:ascii="仿宋_GB2312" w:hAnsi="仿宋_GB2312" w:cs="仿宋_GB2312" w:eastAsia="仿宋_GB2312"/>
                <w:sz w:val="24"/>
              </w:rPr>
              <w:t>2.</w:t>
            </w:r>
            <w:r>
              <w:rPr>
                <w:rFonts w:ascii="仿宋_GB2312" w:hAnsi="仿宋_GB2312" w:cs="仿宋_GB2312" w:eastAsia="仿宋_GB2312"/>
                <w:sz w:val="24"/>
              </w:rPr>
              <w:t>服务要求：供应商应按相关规范、标准对本项目N-03单元10.46平方公里进行1:1000地形图测绘，并出具相应的测绘技术报告。</w:t>
            </w:r>
          </w:p>
          <w:p>
            <w:pPr>
              <w:pStyle w:val="null3"/>
              <w:ind w:firstLine="560"/>
              <w:jc w:val="both"/>
            </w:pPr>
            <w:r>
              <w:rPr>
                <w:rFonts w:ascii="仿宋_GB2312" w:hAnsi="仿宋_GB2312" w:cs="仿宋_GB2312" w:eastAsia="仿宋_GB2312"/>
                <w:sz w:val="24"/>
              </w:rPr>
              <w:t>3.</w:t>
            </w:r>
            <w:r>
              <w:rPr>
                <w:rFonts w:ascii="仿宋_GB2312" w:hAnsi="仿宋_GB2312" w:cs="仿宋_GB2312" w:eastAsia="仿宋_GB2312"/>
                <w:sz w:val="24"/>
              </w:rPr>
              <w:t>成果文件要求：项目完成后所需要提交的纸质、电子档等成果文件的具体数量与要求以合同约定为准，且技术成果符合国家相关法规及行业相关规范要求。</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843"/>
              <w:jc w:val="both"/>
            </w:pPr>
            <w:r>
              <w:rPr>
                <w:rFonts w:ascii="仿宋_GB2312" w:hAnsi="仿宋_GB2312" w:cs="仿宋_GB2312" w:eastAsia="仿宋_GB2312"/>
                <w:sz w:val="24"/>
                <w:b/>
              </w:rPr>
              <w:t>1.</w:t>
            </w:r>
            <w:r>
              <w:rPr>
                <w:rFonts w:ascii="仿宋_GB2312" w:hAnsi="仿宋_GB2312" w:cs="仿宋_GB2312" w:eastAsia="仿宋_GB2312"/>
                <w:sz w:val="24"/>
                <w:b/>
              </w:rPr>
              <w:t>人员配置要求</w:t>
            </w:r>
          </w:p>
          <w:p>
            <w:pPr>
              <w:pStyle w:val="null3"/>
              <w:ind w:firstLine="840"/>
              <w:jc w:val="both"/>
            </w:pPr>
            <w:r>
              <w:rPr>
                <w:rFonts w:ascii="仿宋_GB2312" w:hAnsi="仿宋_GB2312" w:cs="仿宋_GB2312" w:eastAsia="仿宋_GB2312"/>
                <w:sz w:val="24"/>
              </w:rPr>
              <w:t>1.1.</w:t>
            </w:r>
            <w:r>
              <w:rPr>
                <w:rFonts w:ascii="仿宋_GB2312" w:hAnsi="仿宋_GB2312" w:cs="仿宋_GB2312" w:eastAsia="仿宋_GB2312"/>
                <w:sz w:val="24"/>
              </w:rPr>
              <w:t>为规范和促进本项目的正常实施和推进，供应商须针对本项目成立独立的项目组，安排足够专业技术人员参加本项目工作并提供人员对应的证明材料。</w:t>
            </w:r>
          </w:p>
          <w:p>
            <w:pPr>
              <w:pStyle w:val="null3"/>
              <w:ind w:firstLine="840"/>
              <w:jc w:val="both"/>
            </w:pPr>
            <w:r>
              <w:rPr>
                <w:rFonts w:ascii="仿宋_GB2312" w:hAnsi="仿宋_GB2312" w:cs="仿宋_GB2312" w:eastAsia="仿宋_GB2312"/>
                <w:sz w:val="24"/>
              </w:rPr>
              <w:t>1.2.</w:t>
            </w:r>
            <w:r>
              <w:rPr>
                <w:rFonts w:ascii="仿宋_GB2312" w:hAnsi="仿宋_GB2312" w:cs="仿宋_GB2312" w:eastAsia="仿宋_GB2312"/>
                <w:sz w:val="24"/>
              </w:rPr>
              <w:t>在项目组织机构中应明确各岗位的职责、任职资格，确保项目顺利实施。应配备有实际业务经验的项目负责人承担本项目的管理工作。</w:t>
            </w:r>
          </w:p>
          <w:p>
            <w:pPr>
              <w:pStyle w:val="null3"/>
              <w:ind w:firstLine="843"/>
              <w:jc w:val="both"/>
            </w:pPr>
            <w:r>
              <w:rPr>
                <w:rFonts w:ascii="仿宋_GB2312" w:hAnsi="仿宋_GB2312" w:cs="仿宋_GB2312" w:eastAsia="仿宋_GB2312"/>
                <w:sz w:val="24"/>
                <w:b/>
              </w:rPr>
              <w:t xml:space="preserve">2. </w:t>
            </w:r>
            <w:r>
              <w:rPr>
                <w:rFonts w:ascii="仿宋_GB2312" w:hAnsi="仿宋_GB2312" w:cs="仿宋_GB2312" w:eastAsia="仿宋_GB2312"/>
                <w:sz w:val="24"/>
                <w:b/>
              </w:rPr>
              <w:t>设施设备配置要求</w:t>
            </w:r>
          </w:p>
          <w:p>
            <w:pPr>
              <w:pStyle w:val="null3"/>
              <w:ind w:firstLine="560"/>
              <w:jc w:val="both"/>
            </w:pPr>
            <w:r>
              <w:rPr>
                <w:rFonts w:ascii="仿宋_GB2312" w:hAnsi="仿宋_GB2312" w:cs="仿宋_GB2312" w:eastAsia="仿宋_GB2312"/>
                <w:sz w:val="24"/>
              </w:rPr>
              <w:t>供应商需根据本项目采购需求提供满足本项目需求的设施设备，包括GNSS仪器或GPS、全站仪等 ；并在响应文件中提供设施设备的证明材料。</w:t>
            </w:r>
          </w:p>
          <w:p>
            <w:pPr>
              <w:pStyle w:val="null3"/>
              <w:ind w:firstLine="560"/>
              <w:jc w:val="both"/>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安全责任</w:t>
            </w:r>
          </w:p>
          <w:p>
            <w:pPr>
              <w:pStyle w:val="null3"/>
              <w:ind w:firstLine="562"/>
              <w:jc w:val="both"/>
            </w:pPr>
            <w:r>
              <w:rPr>
                <w:rFonts w:ascii="仿宋_GB2312" w:hAnsi="仿宋_GB2312" w:cs="仿宋_GB2312" w:eastAsia="仿宋_GB2312"/>
                <w:sz w:val="24"/>
                <w:b/>
              </w:rPr>
              <w:t>安全责任：</w:t>
            </w:r>
            <w:r>
              <w:rPr>
                <w:rFonts w:ascii="仿宋_GB2312" w:hAnsi="仿宋_GB2312" w:cs="仿宋_GB2312" w:eastAsia="仿宋_GB2312"/>
                <w:sz w:val="24"/>
              </w:rPr>
              <w:t>项目实施过程中所有的安全责任（包括供应商人员、财产和第三方责任）由供应商自行承担。</w:t>
            </w:r>
            <w:r>
              <w:rPr>
                <w:rFonts w:ascii="仿宋_GB2312" w:hAnsi="仿宋_GB2312" w:cs="仿宋_GB2312" w:eastAsia="仿宋_GB2312"/>
                <w:sz w:val="24"/>
                <w:b/>
              </w:rPr>
              <w:t>提供承诺函，格式自拟。</w:t>
            </w:r>
          </w:p>
          <w:p>
            <w:pPr>
              <w:pStyle w:val="null3"/>
              <w:ind w:firstLine="562"/>
              <w:jc w:val="both"/>
            </w:pPr>
            <w:r>
              <w:rPr>
                <w:rFonts w:ascii="仿宋_GB2312" w:hAnsi="仿宋_GB2312" w:cs="仿宋_GB2312" w:eastAsia="仿宋_GB2312"/>
                <w:sz w:val="24"/>
                <w:b/>
              </w:rPr>
              <w:t>★4、报价要求</w:t>
            </w:r>
          </w:p>
          <w:p>
            <w:pPr>
              <w:pStyle w:val="null3"/>
              <w:ind w:firstLine="560"/>
              <w:jc w:val="both"/>
            </w:pPr>
            <w:r>
              <w:rPr>
                <w:rFonts w:ascii="仿宋_GB2312" w:hAnsi="仿宋_GB2312" w:cs="仿宋_GB2312" w:eastAsia="仿宋_GB2312"/>
                <w:sz w:val="24"/>
              </w:rPr>
              <w:t>供应商报价应是完成本项目的综合报价，包括但不限于人工费、设备费、材料费、税费、保险、代理服务费等磋商文件中要求的所有费用。</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售后服务</w:t>
            </w:r>
          </w:p>
        </w:tc>
        <w:tc>
          <w:tcPr>
            <w:tcW w:type="dxa" w:w="5814"/>
          </w:tcPr>
          <w:p>
            <w:pPr>
              <w:pStyle w:val="null3"/>
              <w:jc w:val="left"/>
            </w:pPr>
            <w:r>
              <w:rPr>
                <w:rFonts w:ascii="仿宋_GB2312" w:hAnsi="仿宋_GB2312" w:cs="仿宋_GB2312" w:eastAsia="仿宋_GB2312"/>
                <w:sz w:val="24"/>
              </w:rPr>
              <w:t>1.项目通过验收后，免费数据维护期为1年。</w:t>
            </w:r>
          </w:p>
          <w:p>
            <w:pPr>
              <w:pStyle w:val="null3"/>
              <w:jc w:val="left"/>
            </w:pPr>
            <w:r>
              <w:rPr>
                <w:rFonts w:ascii="仿宋_GB2312" w:hAnsi="仿宋_GB2312" w:cs="仿宋_GB2312" w:eastAsia="仿宋_GB2312"/>
                <w:sz w:val="24"/>
              </w:rPr>
              <w:t>2.供应商提供7*24小时热线服务。接到电话要求后，须在2小时内到达采购人指定地点，以保证数据的准确、无误。</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标的名称：石塘片区地形测绘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服务内容和要求</w:t>
            </w:r>
          </w:p>
        </w:tc>
        <w:tc>
          <w:tcPr>
            <w:tcW w:type="dxa" w:w="5814"/>
          </w:tcPr>
          <w:p>
            <w:pPr>
              <w:pStyle w:val="null3"/>
              <w:ind w:firstLine="560"/>
              <w:jc w:val="both"/>
            </w:pPr>
            <w:r>
              <w:rPr>
                <w:rFonts w:ascii="仿宋_GB2312" w:hAnsi="仿宋_GB2312" w:cs="仿宋_GB2312" w:eastAsia="仿宋_GB2312"/>
                <w:sz w:val="24"/>
              </w:rPr>
              <w:t>1.</w:t>
            </w:r>
            <w:r>
              <w:rPr>
                <w:rFonts w:ascii="仿宋_GB2312" w:hAnsi="仿宋_GB2312" w:cs="仿宋_GB2312" w:eastAsia="仿宋_GB2312"/>
                <w:sz w:val="24"/>
              </w:rPr>
              <w:t>服务内容：需按照国家相关法律法规及规范对本片区地形测绘，包含S-09单元约5.53平方公里;S-13单元因市国空详规单元范围调整，约0.25平方公里无地形需进行补测，共约5.78平方公里</w:t>
            </w:r>
            <w:r>
              <w:rPr>
                <w:rFonts w:ascii="仿宋_GB2312" w:hAnsi="仿宋_GB2312" w:cs="仿宋_GB2312" w:eastAsia="仿宋_GB2312"/>
                <w:sz w:val="24"/>
              </w:rPr>
              <w:t>进行1:1000地形图测绘服务工作。</w:t>
            </w:r>
          </w:p>
          <w:p>
            <w:pPr>
              <w:pStyle w:val="null3"/>
              <w:ind w:firstLine="560"/>
              <w:jc w:val="both"/>
            </w:pPr>
            <w:r>
              <w:rPr>
                <w:rFonts w:ascii="仿宋_GB2312" w:hAnsi="仿宋_GB2312" w:cs="仿宋_GB2312" w:eastAsia="仿宋_GB2312"/>
                <w:sz w:val="24"/>
              </w:rPr>
              <w:t>2.</w:t>
            </w:r>
            <w:r>
              <w:rPr>
                <w:rFonts w:ascii="仿宋_GB2312" w:hAnsi="仿宋_GB2312" w:cs="仿宋_GB2312" w:eastAsia="仿宋_GB2312"/>
                <w:sz w:val="24"/>
              </w:rPr>
              <w:t>服务要求：供应商应按相关规范、标准对本项目</w:t>
            </w:r>
            <w:r>
              <w:rPr>
                <w:rFonts w:ascii="仿宋_GB2312" w:hAnsi="仿宋_GB2312" w:cs="仿宋_GB2312" w:eastAsia="仿宋_GB2312"/>
                <w:sz w:val="24"/>
              </w:rPr>
              <w:t>S-09单元和S-13单元，约5.78平方公里</w:t>
            </w:r>
            <w:r>
              <w:rPr>
                <w:rFonts w:ascii="仿宋_GB2312" w:hAnsi="仿宋_GB2312" w:cs="仿宋_GB2312" w:eastAsia="仿宋_GB2312"/>
                <w:sz w:val="24"/>
              </w:rPr>
              <w:t>进行1:1000地形图测绘</w:t>
            </w:r>
            <w:r>
              <w:rPr>
                <w:rFonts w:ascii="仿宋_GB2312" w:hAnsi="仿宋_GB2312" w:cs="仿宋_GB2312" w:eastAsia="仿宋_GB2312"/>
                <w:sz w:val="24"/>
              </w:rPr>
              <w:t>，并出具相应的测绘技术报告。</w:t>
            </w:r>
          </w:p>
          <w:p>
            <w:pPr>
              <w:pStyle w:val="null3"/>
              <w:ind w:firstLine="560"/>
              <w:jc w:val="both"/>
            </w:pPr>
            <w:r>
              <w:rPr>
                <w:rFonts w:ascii="仿宋_GB2312" w:hAnsi="仿宋_GB2312" w:cs="仿宋_GB2312" w:eastAsia="仿宋_GB2312"/>
                <w:sz w:val="24"/>
              </w:rPr>
              <w:t>3.</w:t>
            </w:r>
            <w:r>
              <w:rPr>
                <w:rFonts w:ascii="仿宋_GB2312" w:hAnsi="仿宋_GB2312" w:cs="仿宋_GB2312" w:eastAsia="仿宋_GB2312"/>
                <w:sz w:val="24"/>
              </w:rPr>
              <w:t>成果文件要求：项目完成后所需要提交的纸质、电子档等成果文件的具体数量与要求以合同约定为准，且技术成果符合国家相关法规及行业相关规范要求。</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843"/>
              <w:jc w:val="both"/>
            </w:pPr>
            <w:r>
              <w:rPr>
                <w:rFonts w:ascii="仿宋_GB2312" w:hAnsi="仿宋_GB2312" w:cs="仿宋_GB2312" w:eastAsia="仿宋_GB2312"/>
                <w:sz w:val="24"/>
                <w:b/>
              </w:rPr>
              <w:t>1.</w:t>
            </w:r>
            <w:r>
              <w:rPr>
                <w:rFonts w:ascii="仿宋_GB2312" w:hAnsi="仿宋_GB2312" w:cs="仿宋_GB2312" w:eastAsia="仿宋_GB2312"/>
                <w:sz w:val="24"/>
                <w:b/>
              </w:rPr>
              <w:t>人员配置要求</w:t>
            </w:r>
          </w:p>
          <w:p>
            <w:pPr>
              <w:pStyle w:val="null3"/>
              <w:ind w:firstLine="840"/>
              <w:jc w:val="both"/>
            </w:pPr>
            <w:r>
              <w:rPr>
                <w:rFonts w:ascii="仿宋_GB2312" w:hAnsi="仿宋_GB2312" w:cs="仿宋_GB2312" w:eastAsia="仿宋_GB2312"/>
                <w:sz w:val="24"/>
              </w:rPr>
              <w:t>1.1.</w:t>
            </w:r>
            <w:r>
              <w:rPr>
                <w:rFonts w:ascii="仿宋_GB2312" w:hAnsi="仿宋_GB2312" w:cs="仿宋_GB2312" w:eastAsia="仿宋_GB2312"/>
                <w:sz w:val="24"/>
              </w:rPr>
              <w:t>为规范和促进本项目的正常实施和推进，供应商须针对本项目成立独立的项目组，安排足够专业技术人员参加本项目工作并提供人员对应的证明材料。</w:t>
            </w:r>
          </w:p>
          <w:p>
            <w:pPr>
              <w:pStyle w:val="null3"/>
              <w:ind w:firstLine="840"/>
              <w:jc w:val="both"/>
            </w:pPr>
            <w:r>
              <w:rPr>
                <w:rFonts w:ascii="仿宋_GB2312" w:hAnsi="仿宋_GB2312" w:cs="仿宋_GB2312" w:eastAsia="仿宋_GB2312"/>
                <w:sz w:val="24"/>
              </w:rPr>
              <w:t>1.2.</w:t>
            </w:r>
            <w:r>
              <w:rPr>
                <w:rFonts w:ascii="仿宋_GB2312" w:hAnsi="仿宋_GB2312" w:cs="仿宋_GB2312" w:eastAsia="仿宋_GB2312"/>
                <w:sz w:val="24"/>
              </w:rPr>
              <w:t>在项目组织机构中应明确各岗位的职责、任职资格，确保项目顺利实施。应配备有实际业务经验的项目负责人承担本项目的管理工作。</w:t>
            </w:r>
          </w:p>
          <w:p>
            <w:pPr>
              <w:pStyle w:val="null3"/>
              <w:ind w:firstLine="843"/>
              <w:jc w:val="both"/>
            </w:pPr>
            <w:r>
              <w:rPr>
                <w:rFonts w:ascii="仿宋_GB2312" w:hAnsi="仿宋_GB2312" w:cs="仿宋_GB2312" w:eastAsia="仿宋_GB2312"/>
                <w:sz w:val="24"/>
                <w:b/>
              </w:rPr>
              <w:t xml:space="preserve">2. </w:t>
            </w:r>
            <w:r>
              <w:rPr>
                <w:rFonts w:ascii="仿宋_GB2312" w:hAnsi="仿宋_GB2312" w:cs="仿宋_GB2312" w:eastAsia="仿宋_GB2312"/>
                <w:sz w:val="24"/>
                <w:b/>
              </w:rPr>
              <w:t>设施设备配置要求</w:t>
            </w:r>
          </w:p>
          <w:p>
            <w:pPr>
              <w:pStyle w:val="null3"/>
              <w:ind w:firstLine="560"/>
              <w:jc w:val="both"/>
            </w:pPr>
            <w:r>
              <w:rPr>
                <w:rFonts w:ascii="仿宋_GB2312" w:hAnsi="仿宋_GB2312" w:cs="仿宋_GB2312" w:eastAsia="仿宋_GB2312"/>
                <w:sz w:val="24"/>
              </w:rPr>
              <w:t>供应商需根据本项目采购需求提供满足本项目需求的设施设备，包括GNSS仪器或GPS、全站仪等 ；并在响应文件中提供设施设备的证明材料。</w:t>
            </w:r>
          </w:p>
          <w:p>
            <w:pPr>
              <w:pStyle w:val="null3"/>
              <w:ind w:firstLine="560"/>
              <w:jc w:val="both"/>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安全责任</w:t>
            </w:r>
          </w:p>
          <w:p>
            <w:pPr>
              <w:pStyle w:val="null3"/>
              <w:ind w:firstLine="562"/>
              <w:jc w:val="both"/>
            </w:pPr>
            <w:r>
              <w:rPr>
                <w:rFonts w:ascii="仿宋_GB2312" w:hAnsi="仿宋_GB2312" w:cs="仿宋_GB2312" w:eastAsia="仿宋_GB2312"/>
                <w:sz w:val="24"/>
                <w:b/>
              </w:rPr>
              <w:t>安全责任：</w:t>
            </w:r>
            <w:r>
              <w:rPr>
                <w:rFonts w:ascii="仿宋_GB2312" w:hAnsi="仿宋_GB2312" w:cs="仿宋_GB2312" w:eastAsia="仿宋_GB2312"/>
                <w:sz w:val="24"/>
              </w:rPr>
              <w:t>项目实施过程中所有的安全责任（包括供应商人员、财产和第三方责任）由供应商自行承担。</w:t>
            </w:r>
            <w:r>
              <w:rPr>
                <w:rFonts w:ascii="仿宋_GB2312" w:hAnsi="仿宋_GB2312" w:cs="仿宋_GB2312" w:eastAsia="仿宋_GB2312"/>
                <w:sz w:val="24"/>
                <w:b/>
              </w:rPr>
              <w:t>提供承诺函，格式自拟。</w:t>
            </w:r>
          </w:p>
          <w:p>
            <w:pPr>
              <w:pStyle w:val="null3"/>
              <w:ind w:firstLine="562"/>
              <w:jc w:val="both"/>
            </w:pPr>
            <w:r>
              <w:rPr>
                <w:rFonts w:ascii="仿宋_GB2312" w:hAnsi="仿宋_GB2312" w:cs="仿宋_GB2312" w:eastAsia="仿宋_GB2312"/>
                <w:sz w:val="24"/>
                <w:b/>
              </w:rPr>
              <w:t>★4、报价要求</w:t>
            </w:r>
          </w:p>
          <w:p>
            <w:pPr>
              <w:pStyle w:val="null3"/>
              <w:jc w:val="left"/>
            </w:pPr>
            <w:r>
              <w:rPr>
                <w:rFonts w:ascii="仿宋_GB2312" w:hAnsi="仿宋_GB2312" w:cs="仿宋_GB2312" w:eastAsia="仿宋_GB2312"/>
                <w:sz w:val="24"/>
              </w:rPr>
              <w:t>供应商报价应是完成本项目的综合报价，包括但不限于人工费、设备费、材料费、税费、保险、代理服务费等磋商文件中要求的所有费用。</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售后服务</w:t>
            </w:r>
          </w:p>
        </w:tc>
        <w:tc>
          <w:tcPr>
            <w:tcW w:type="dxa" w:w="5814"/>
          </w:tcPr>
          <w:p>
            <w:pPr>
              <w:pStyle w:val="null3"/>
              <w:jc w:val="left"/>
            </w:pPr>
            <w:r>
              <w:rPr>
                <w:rFonts w:ascii="仿宋_GB2312" w:hAnsi="仿宋_GB2312" w:cs="仿宋_GB2312" w:eastAsia="仿宋_GB2312"/>
                <w:sz w:val="24"/>
              </w:rPr>
              <w:t>1.项目通过验收后，免费数据维护期为1年。</w:t>
            </w:r>
          </w:p>
          <w:p>
            <w:pPr>
              <w:pStyle w:val="null3"/>
              <w:jc w:val="left"/>
            </w:pPr>
            <w:r>
              <w:rPr>
                <w:rFonts w:ascii="仿宋_GB2312" w:hAnsi="仿宋_GB2312" w:cs="仿宋_GB2312" w:eastAsia="仿宋_GB2312"/>
                <w:sz w:val="24"/>
              </w:rPr>
              <w:t>2.供应商提供7*24小时热线服务。接到电话要求后，须在2小时内到达采购人指定地点，以保证数据的准确、无误。</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供应商需根据自身情况及对项目的理解自行撰写项目实施方案和技术方案</w:t>
            </w:r>
          </w:p>
        </w:tc>
        <w:tc>
          <w:tcPr>
            <w:tcW w:type="dxa" w:w="5814"/>
          </w:tcPr>
          <w:p>
            <w:pPr>
              <w:pStyle w:val="null3"/>
              <w:jc w:val="left"/>
            </w:pPr>
            <w:r>
              <w:rPr>
                <w:rFonts w:ascii="仿宋_GB2312" w:hAnsi="仿宋_GB2312" w:cs="仿宋_GB2312" w:eastAsia="仿宋_GB2312"/>
                <w:sz w:val="24"/>
              </w:rPr>
              <w:t>1.根据供应商为本项目制定的实施方案，包括：①项目概述和重难点、②项目进度计划安排、③项目工期保障措施、④项目质量控制措施、⑤安全措施和责任、⑥售后服务（响应时效、后续服务人员配置）。</w:t>
            </w:r>
          </w:p>
          <w:p>
            <w:pPr>
              <w:pStyle w:val="null3"/>
              <w:jc w:val="left"/>
            </w:pPr>
            <w:r>
              <w:rPr>
                <w:rFonts w:ascii="仿宋_GB2312" w:hAnsi="仿宋_GB2312" w:cs="仿宋_GB2312" w:eastAsia="仿宋_GB2312"/>
                <w:sz w:val="24"/>
              </w:rPr>
              <w:t>2.根据供应商为本项目制定的技术方案，包括：①工作范围和内容、②资料收集与利用、③引用文件及技术标准、④技术路线、⑤成果汇交进行评分。</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供应商需根据自身情况及对项目的理解自行撰写项目实施方案和技术方案</w:t>
            </w:r>
          </w:p>
        </w:tc>
        <w:tc>
          <w:tcPr>
            <w:tcW w:type="dxa" w:w="5814"/>
          </w:tcPr>
          <w:p>
            <w:pPr>
              <w:pStyle w:val="null3"/>
              <w:jc w:val="left"/>
            </w:pPr>
            <w:r>
              <w:rPr>
                <w:rFonts w:ascii="仿宋_GB2312" w:hAnsi="仿宋_GB2312" w:cs="仿宋_GB2312" w:eastAsia="仿宋_GB2312"/>
                <w:sz w:val="24"/>
              </w:rPr>
              <w:t>1.根据供应商为本项目制定的实施方案，包括：①项目概述和重难点、②项目进度计划安排、③项目工期保障措施、④项目质量控制措施、⑤安全措施和责任、⑥售后服务（响应时效、后续服务人员配置）。</w:t>
            </w:r>
          </w:p>
          <w:p>
            <w:pPr>
              <w:pStyle w:val="null3"/>
              <w:jc w:val="left"/>
            </w:pPr>
            <w:r>
              <w:rPr>
                <w:rFonts w:ascii="仿宋_GB2312" w:hAnsi="仿宋_GB2312" w:cs="仿宋_GB2312" w:eastAsia="仿宋_GB2312"/>
                <w:sz w:val="24"/>
              </w:rPr>
              <w:t>2.根据供应商为本项目制定的技术方案，包括：①工作范围和内容、②资料收集与利用、③引用文件及技术标准、④技术路线、⑤成果汇交进行评分。</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合同签订后60日</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涪城区范围内，采购人指定服务片区内。</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供应商与采购人应严格按照《财政部关于进一步加强政府采购需求和履约验收管理的指导意见》（财库〔2016〕205号）以及《绵阳市财政局关于进一步做好政府采购项目履约验收工作的通知》（绵财采〔2021〕15号）文件、采购文件和投标文件、合同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1、合同签订后，支付预付款，达到付款条件起14日内，支付合同总金额的40.00%</w:t>
            </w:r>
          </w:p>
          <w:p>
            <w:pPr>
              <w:pStyle w:val="null3"/>
              <w:jc w:val="left"/>
            </w:pPr>
            <w:r>
              <w:rPr>
                <w:rFonts w:ascii="仿宋_GB2312" w:hAnsi="仿宋_GB2312" w:cs="仿宋_GB2312" w:eastAsia="仿宋_GB2312"/>
              </w:rPr>
              <w:t>2、完成项目验收后，达到付款条件起14日内，支付合同总金额的60.00%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合同约定</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人员配置要求</w:t>
            </w:r>
          </w:p>
        </w:tc>
        <w:tc>
          <w:tcPr>
            <w:tcW w:type="dxa" w:w="5814"/>
          </w:tcPr>
          <w:p>
            <w:pPr>
              <w:pStyle w:val="null3"/>
              <w:jc w:val="left"/>
            </w:pPr>
            <w:r>
              <w:rPr>
                <w:rFonts w:ascii="仿宋_GB2312" w:hAnsi="仿宋_GB2312" w:cs="仿宋_GB2312" w:eastAsia="仿宋_GB2312"/>
              </w:rPr>
              <w:t>供应商需根据项目情况组建专业服务团队，具体以综合评分要求为准。</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合同签订后60日</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涪城区范围内，采购人指定服务片区内。</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供应商与采购人应严格按照《财政部关于进一步加强政府采购需求和履约验收管理的指导意见》（财库〔2016〕205号）以及《绵阳市财政局关于进一步做好政府采购项目履约验收工作的通知》（绵财采〔2021〕15号）文件、采购文件和投标文件、合同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1、合同签订后，支付预付款，达到付款条件起14日内，支付合同总金额的40.00%</w:t>
            </w:r>
          </w:p>
          <w:p>
            <w:pPr>
              <w:pStyle w:val="null3"/>
              <w:jc w:val="left"/>
            </w:pPr>
            <w:r>
              <w:rPr>
                <w:rFonts w:ascii="仿宋_GB2312" w:hAnsi="仿宋_GB2312" w:cs="仿宋_GB2312" w:eastAsia="仿宋_GB2312"/>
              </w:rPr>
              <w:t>2、完成项目验收后，达到付款条件起14日内，支付合同总金额的60.00%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合同约定。</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人员配置要求</w:t>
            </w:r>
          </w:p>
        </w:tc>
        <w:tc>
          <w:tcPr>
            <w:tcW w:type="dxa" w:w="5814"/>
          </w:tcPr>
          <w:p>
            <w:pPr>
              <w:pStyle w:val="null3"/>
              <w:jc w:val="left"/>
            </w:pPr>
            <w:r>
              <w:rPr>
                <w:rFonts w:ascii="仿宋_GB2312" w:hAnsi="仿宋_GB2312" w:cs="仿宋_GB2312" w:eastAsia="仿宋_GB2312"/>
              </w:rPr>
              <w:t>供应商需根据项目情况组建专业服务团队，具体以综合评分要求为准。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供应商报价应根据本项目的实际情况与自身现实情况，并充分考虑不确定性因素可能导致的风险自行填报。若因投标人原因造成的漏报、错报而导致本项目无法履行的，由投标人负责，采购人不承担任何费用。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供应商报价应根据本项目的实际情况与自身现实情况，并充分考虑不确定性因素可能导致的风险自行填报。若因投标人原因造成的漏报、错报而导致本项目无法履行的，由投标人负责，采购人不承担任何费用。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可实质性变动采购需求中的技术、服务要求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可实质性变动合同草案条款</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1.具有独立承担民事责任的能力。2.供应商需在使用投标(响应)客户端编制响应文件时，按要求填写《投标（响应）函》完成承诺并进行电子签章。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响应文件封面,投标（响应）函,具有独立承担民事责任的能力.docx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1.具有独立承担民事责任的能力。2.供应商需在使用投标(响应)客户端编制响应文件时，按要求填写《投标（响应）函》完成承诺并进行电子签章。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响应文件封面,投标（响应）函,具有独立承担民事责任的能力.docx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提供行政主管部门颁发的有效期内的乙级及以上测绘资质证书（专业范围须包含：工程测量或界线与不动产测绘）。</w:t>
            </w:r>
          </w:p>
        </w:tc>
        <w:tc>
          <w:tcPr>
            <w:tcW w:type="dxa" w:w="3322"/>
          </w:tcPr>
          <w:p>
            <w:pPr>
              <w:pStyle w:val="null3"/>
              <w:jc w:val="left"/>
            </w:pPr>
            <w:r>
              <w:rPr>
                <w:rFonts w:ascii="仿宋_GB2312" w:hAnsi="仿宋_GB2312" w:cs="仿宋_GB2312" w:eastAsia="仿宋_GB2312"/>
              </w:rPr>
              <w:t>提供行政主管部门颁发的有效期内的乙级及以上测绘资质证书（专业范围须包含：工程测量或界线与不动产测绘）的证明材料。</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提供行政主管部门颁发的有效期内的乙级及以上测绘资质证书（专业范围须包含：工程测量或界线与不动产测绘）。</w:t>
            </w:r>
          </w:p>
        </w:tc>
        <w:tc>
          <w:tcPr>
            <w:tcW w:type="dxa" w:w="3322"/>
          </w:tcPr>
          <w:p>
            <w:pPr>
              <w:pStyle w:val="null3"/>
              <w:jc w:val="left"/>
            </w:pPr>
            <w:r>
              <w:rPr>
                <w:rFonts w:ascii="仿宋_GB2312" w:hAnsi="仿宋_GB2312" w:cs="仿宋_GB2312" w:eastAsia="仿宋_GB2312"/>
              </w:rPr>
              <w:t>提供行政主管部门颁发的有效期内的乙级及以上测绘资质证书（专业范围须包含：工程测量或界线与不动产测绘）的证明材料。</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符合招标文件第三章 3.2.技术要求中的实质性要求、3.3.服务要求中的实质性要求</w:t>
            </w:r>
          </w:p>
        </w:tc>
        <w:tc>
          <w:tcPr>
            <w:tcW w:type="dxa" w:w="3322"/>
          </w:tcPr>
          <w:p>
            <w:pPr>
              <w:pStyle w:val="null3"/>
              <w:jc w:val="left"/>
            </w:pPr>
            <w:r>
              <w:rPr>
                <w:rFonts w:ascii="仿宋_GB2312" w:hAnsi="仿宋_GB2312" w:cs="仿宋_GB2312" w:eastAsia="仿宋_GB2312"/>
              </w:rPr>
              <w:t>投标文件须响应招标文件第三章 3.2.技术要求中的实质性要求、3.3.服务要求中的实质性要求，对实质性要求响应有证明材料要求的，应在应答表后以附件方式提供，供应商响应有负偏离或响应内容不完整，作无效处理。</w:t>
            </w:r>
          </w:p>
        </w:tc>
        <w:tc>
          <w:tcPr>
            <w:tcW w:type="dxa" w:w="1661"/>
          </w:tcPr>
          <w:p>
            <w:pPr>
              <w:pStyle w:val="null3"/>
              <w:jc w:val="left"/>
            </w:pPr>
            <w:r>
              <w:rPr>
                <w:rFonts w:ascii="仿宋_GB2312" w:hAnsi="仿宋_GB2312" w:cs="仿宋_GB2312" w:eastAsia="仿宋_GB2312"/>
              </w:rPr>
              <w:t>服务应答表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符合招标文件第三章 3.2.技术要求中的实质性要求、3.3.服务要求中的实质性要求</w:t>
            </w:r>
          </w:p>
        </w:tc>
        <w:tc>
          <w:tcPr>
            <w:tcW w:type="dxa" w:w="3322"/>
          </w:tcPr>
          <w:p>
            <w:pPr>
              <w:pStyle w:val="null3"/>
              <w:jc w:val="left"/>
            </w:pPr>
            <w:r>
              <w:rPr>
                <w:rFonts w:ascii="仿宋_GB2312" w:hAnsi="仿宋_GB2312" w:cs="仿宋_GB2312" w:eastAsia="仿宋_GB2312"/>
              </w:rPr>
              <w:t>投标文件须响应招标文件第三章 3.2.技术要求中的实质性要求、3.3.服务要求中的实质性要求，对实质性要求响应有证明材料要求的，应在应答表后以附件方式提供，供应商响应有负偏离或响应内容不完整，作无效处理</w:t>
            </w:r>
          </w:p>
        </w:tc>
        <w:tc>
          <w:tcPr>
            <w:tcW w:type="dxa" w:w="1661"/>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55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技术、服务及其他要求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在满足技术及商务要求的基础上为本项目提供的实施方案包括：①项目概述和重难点、②项目进度计划安排、③项目工期保障措施、④项目质量控制措施、⑤安全措施和责任、⑥售后服务（响应时效、后续服务人员配置）进行评分，实施方案包含以上全部完整无缺陷，得30分；每缺少一项扣5分；每有一处内容存在缺陷扣2.5分，单项最多扣5分，扣完为止。 注:“内容存在缺陷”是指：①项目名称错误、②地点区域错误、③内容有明显错误，前后内容无法连贯、④内容与本项目需求无关、⑤仅有框架或标题、⑥适用的标准（方法）错误、⑦明显复制其他项目内容或简单套用其他项目方案、⑧非专门针对本项目编制、内容脱离了实际情况不具备实施的可能性、⑨内容不符合相关规范要求、⑩内容简单复制本项目采购需求，以上任意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供应商认为需要提供的综合评分相关材料.docx</w:t>
            </w:r>
          </w:p>
        </w:tc>
      </w:tr>
      <w:tr>
        <w:tc>
          <w:tcPr>
            <w:tcW w:type="dxa" w:w="831"/>
            <w:vMerge/>
          </w:tcPr>
          <w:p/>
        </w:tc>
        <w:tc>
          <w:tcPr>
            <w:tcW w:type="dxa" w:w="1661"/>
          </w:tcPr>
          <w:p>
            <w:pPr>
              <w:pStyle w:val="null3"/>
              <w:jc w:val="left"/>
            </w:pPr>
            <w:r>
              <w:rPr>
                <w:rFonts w:ascii="仿宋_GB2312" w:hAnsi="仿宋_GB2312" w:cs="仿宋_GB2312" w:eastAsia="仿宋_GB2312"/>
              </w:rPr>
              <w:t>技术方案</w:t>
            </w:r>
          </w:p>
        </w:tc>
        <w:tc>
          <w:tcPr>
            <w:tcW w:type="dxa" w:w="2575"/>
          </w:tcPr>
          <w:p>
            <w:pPr>
              <w:pStyle w:val="null3"/>
              <w:jc w:val="left"/>
            </w:pPr>
            <w:r>
              <w:rPr>
                <w:rFonts w:ascii="仿宋_GB2312" w:hAnsi="仿宋_GB2312" w:cs="仿宋_GB2312" w:eastAsia="仿宋_GB2312"/>
              </w:rPr>
              <w:t>根据供应商在满足技术及商务要求的基础上为本项目提供的技术方案包括：①工作范围和内容、②资料收集与利用、③引用文件及技术标准、④技术路线、⑤成果汇交进行评分，技术方案包含以上全部内容且无缺陷，得25分；每缺少一项扣5分；每有一处内容存在缺陷扣2.5分，单项最多扣5分，扣完为止。 注:“内容存在缺陷”是指：①项目名称错误、②地点区域错误、③内容有明显错误，前后内容无法连贯、④内容与本项目需求无关、⑤仅有框架或标题、⑥适用的标准（方法）错误、⑦明显复制其他项目内容或简单套用其他项目方案、⑧非专门针对本项目编制、内容脱离了实际情况不具备实施的可能性、⑨内容不符合相关规范要求、⑩内容简单复制本项目采购需求，以上任意情形。</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供应商认为需要提供的综合评分相关材料.docx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供应商2023年1月1日（含）至响应文件截止时间之日，提供一个类似业绩的得4分，每增加一个类似业绩的加3分，最多得10分。 注：提供合同/协议书/中标（成交）通知书其中一项复印件。</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业绩.docx</w:t>
            </w:r>
          </w:p>
        </w:tc>
      </w:tr>
      <w:tr>
        <w:tc>
          <w:tcPr>
            <w:tcW w:type="dxa" w:w="831"/>
            <w:vMerge/>
          </w:tcPr>
          <w:p/>
        </w:tc>
        <w:tc>
          <w:tcPr>
            <w:tcW w:type="dxa" w:w="1661"/>
          </w:tcPr>
          <w:p>
            <w:pPr>
              <w:pStyle w:val="null3"/>
              <w:jc w:val="left"/>
            </w:pPr>
            <w:r>
              <w:rPr>
                <w:rFonts w:ascii="仿宋_GB2312" w:hAnsi="仿宋_GB2312" w:cs="仿宋_GB2312" w:eastAsia="仿宋_GB2312"/>
              </w:rPr>
              <w:t>人员、设备配置</w:t>
            </w:r>
          </w:p>
        </w:tc>
        <w:tc>
          <w:tcPr>
            <w:tcW w:type="dxa" w:w="2575"/>
          </w:tcPr>
          <w:p>
            <w:pPr>
              <w:pStyle w:val="null3"/>
              <w:jc w:val="left"/>
            </w:pPr>
            <w:r>
              <w:rPr>
                <w:rFonts w:ascii="仿宋_GB2312" w:hAnsi="仿宋_GB2312" w:cs="仿宋_GB2312" w:eastAsia="仿宋_GB2312"/>
              </w:rPr>
              <w:t>1、供应商拟投入本项目的人员： ①项目负责人：具有注册测绘师证书得5分，最高得5分。②技术负责人：具有测绘类中级职称及以上得3分，本项最高得3分。 ③投入的其他人员：具备不动产测绘员或工程测绘员或助理工程师职业资格，每提供一个得2分，本项最高得6分。 注：上述人员，同一人员不得重复得分。供应商须提供相关证书复印件及本单位在职有效证明材料复印件。 2、供应商拟投入本项目的设备：每提供一台得2分，本项最多得6分。设备是指：全球导航卫星系统GNSS或全球定位系统GPS设备。注：①若设备属于自有的，需提供设备购置发票。 ②若属于租赁的，需提供租赁合同（租赁合同时间需满足本项目的需求）。③或单独提供承诺在中标后，签订合同前提供上述设备的承诺函（格式自拟）。</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团队人员.docx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人员、设备配置</w:t>
            </w:r>
          </w:p>
        </w:tc>
        <w:tc>
          <w:tcPr>
            <w:tcW w:type="dxa" w:w="2575"/>
          </w:tcPr>
          <w:p>
            <w:pPr>
              <w:pStyle w:val="null3"/>
              <w:jc w:val="left"/>
            </w:pPr>
            <w:r>
              <w:rPr>
                <w:rFonts w:ascii="仿宋_GB2312" w:hAnsi="仿宋_GB2312" w:cs="仿宋_GB2312" w:eastAsia="仿宋_GB2312"/>
              </w:rPr>
              <w:t>1、供应商拟投入本项目的人员： ①项目负责人：具有注册测绘师证书得5分，最高得5分。②技术负责人：具有测绘类中级职称及以上得3分，本项最高得3分。 ③投入的其他人员：具备不动产测绘员或工程测绘员或助理工程师职业资格，每提供一个得2分，本项最高得6分。 注：上述人员，同一人员不得重复得分。供应商须提供相关证书复印件及本单位在职有效证明材料复印件。 2、供应商拟投入本项目的设备：每提供一台得2分，本项最多得6分。设备是指：全球导航卫星系统GNSS或全球定位系统GPS设备。注：①若设备属于自有的，需提供设备购置发票。 ②若属于租赁的，需提供租赁合同（租赁合同时间需满足本项目的需求）。③或单独提供承诺在中标后，签订合同前提供上述设备的承诺函（格式自拟）。</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团队人员.docx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供应商2023年1月1日（含）至响应文件截止时间之日，提供一个类似业绩的得4分，每增加一个类似业绩的加3分，最多得10分。 注：提供合同/协议书/中标（成交）通知书其中一项复印件。</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在满足技术及商务要求的基础上为本项目提供的实施方案包括：①项目概述和重难点、②项目进度计划安排、③项目工期保障措施、④项目质量控制措施、⑤安全措施和责任、⑥售后服务（响应时效、后续服务人员配置）进行评分，实施方案包含以上全部完整无缺陷，得30分；每缺少一项扣5分；每有一处内容存在缺陷扣2.5分，单项最多扣5分，扣完为止。 注:“内容存在缺陷”是指：①项目名称错误、②地点区域错误、③内容有明显错误，前后内容无法连贯、④内容与本项目需求无关、⑤仅有框架或标题、⑥适用的标准（方法）错误、⑦明显复制其他项目内容或简单套用其他项目方案、⑧非专门针对本项目编制、内容脱离了实际情况不具备实施的可能性、⑨内容不符合相关规范要求、⑩内容简单复制本项目采购需求，以上任意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供应商认为需要提供的综合评分相关材料.docx</w:t>
            </w:r>
          </w:p>
        </w:tc>
      </w:tr>
      <w:tr>
        <w:tc>
          <w:tcPr>
            <w:tcW w:type="dxa" w:w="831"/>
            <w:vMerge/>
          </w:tcPr>
          <w:p/>
        </w:tc>
        <w:tc>
          <w:tcPr>
            <w:tcW w:type="dxa" w:w="1661"/>
          </w:tcPr>
          <w:p>
            <w:pPr>
              <w:pStyle w:val="null3"/>
              <w:jc w:val="left"/>
            </w:pPr>
            <w:r>
              <w:rPr>
                <w:rFonts w:ascii="仿宋_GB2312" w:hAnsi="仿宋_GB2312" w:cs="仿宋_GB2312" w:eastAsia="仿宋_GB2312"/>
              </w:rPr>
              <w:t>技术方案</w:t>
            </w:r>
          </w:p>
        </w:tc>
        <w:tc>
          <w:tcPr>
            <w:tcW w:type="dxa" w:w="2575"/>
          </w:tcPr>
          <w:p>
            <w:pPr>
              <w:pStyle w:val="null3"/>
              <w:jc w:val="left"/>
            </w:pPr>
            <w:r>
              <w:rPr>
                <w:rFonts w:ascii="仿宋_GB2312" w:hAnsi="仿宋_GB2312" w:cs="仿宋_GB2312" w:eastAsia="仿宋_GB2312"/>
              </w:rPr>
              <w:t>根据供应商在满足技术及商务要求的基础上为本项目提供的技术方案包括：①工作范围和内容、②资料收集与利用、③引用文件及技术标准、④技术路线、⑤成果汇交进行评分，技术方案包含以上全部内容且无缺陷，得25分；每缺少一项扣5分；每有一处内容存在缺陷扣2.5分，单项最多扣5分，扣完为止。 注:“内容存在缺陷”是指：①项目名称错误、②地点区域错误、③内容有明显错误，前后内容无法连贯、④内容与本项目需求无关、⑤仅有框架或标题、⑥适用的标准（方法）错误、⑦明显复制其他项目内容或简单套用其他项目方案、⑧非专门针对本项目编制、内容脱离了实际情况不具备实施的可能性、⑨内容不符合相关规范要求、⑩内容简单复制本项目采购需求，以上任意情形。</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供应商认为需要提供的综合评分相关材料.docx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详见附件：供应商认为需要提供的综合评分相关材料.docx</w:t>
      </w:r>
    </w:p>
    <w:p>
      <w:pPr>
        <w:pStyle w:val="null3"/>
        <w:ind w:firstLine="960"/>
        <w:jc w:val="left"/>
      </w:pPr>
      <w:r>
        <w:rPr>
          <w:rFonts w:ascii="仿宋_GB2312" w:hAnsi="仿宋_GB2312" w:cs="仿宋_GB2312" w:eastAsia="仿宋_GB2312"/>
        </w:rPr>
        <w:t>详见附件：具有独立承担民事责任的能力.docx</w:t>
      </w:r>
    </w:p>
    <w:p>
      <w:pPr>
        <w:pStyle w:val="null3"/>
        <w:ind w:firstLine="960"/>
        <w:jc w:val="left"/>
      </w:pPr>
      <w:r>
        <w:rPr>
          <w:rFonts w:ascii="仿宋_GB2312" w:hAnsi="仿宋_GB2312" w:cs="仿宋_GB2312" w:eastAsia="仿宋_GB2312"/>
        </w:rPr>
        <w:t>详见附件：团队人员.docx</w:t>
      </w:r>
    </w:p>
    <w:p>
      <w:pPr>
        <w:pStyle w:val="null3"/>
        <w:ind w:firstLine="960"/>
        <w:jc w:val="left"/>
      </w:pPr>
      <w:r>
        <w:rPr>
          <w:rFonts w:ascii="仿宋_GB2312" w:hAnsi="仿宋_GB2312" w:cs="仿宋_GB2312" w:eastAsia="仿宋_GB2312"/>
        </w:rPr>
        <w:t>详见附件：业绩.docx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详见附件：供应商认为需要提供的综合评分相关材料.docx</w:t>
      </w:r>
    </w:p>
    <w:p>
      <w:pPr>
        <w:pStyle w:val="null3"/>
        <w:ind w:firstLine="960"/>
        <w:jc w:val="left"/>
      </w:pPr>
      <w:r>
        <w:rPr>
          <w:rFonts w:ascii="仿宋_GB2312" w:hAnsi="仿宋_GB2312" w:cs="仿宋_GB2312" w:eastAsia="仿宋_GB2312"/>
        </w:rPr>
        <w:t>详见附件：具有独立承担民事责任的能力.docx</w:t>
      </w:r>
    </w:p>
    <w:p>
      <w:pPr>
        <w:pStyle w:val="null3"/>
        <w:ind w:firstLine="960"/>
        <w:jc w:val="left"/>
      </w:pPr>
      <w:r>
        <w:rPr>
          <w:rFonts w:ascii="仿宋_GB2312" w:hAnsi="仿宋_GB2312" w:cs="仿宋_GB2312" w:eastAsia="仿宋_GB2312"/>
        </w:rPr>
        <w:t>详见附件：团队人员.docx</w:t>
      </w:r>
    </w:p>
    <w:p>
      <w:pPr>
        <w:pStyle w:val="null3"/>
        <w:ind w:firstLine="960"/>
        <w:jc w:val="left"/>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