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版本号：N510304202600001920260430001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数字化摄影DR设备采购项目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N5103042026000019</w:t>
      </w:r>
    </w:p>
    <w:p>
      <w:pPr>
        <w:pStyle w:val="null3"/>
        <w:jc w:val="center"/>
        <w:outlineLvl w:val="2"/>
      </w:pPr>
      <w:r>
        <w:rPr>
          <w:rFonts w:ascii="仿宋_GB2312" w:hAnsi="仿宋_GB2312" w:cs="仿宋_GB2312" w:eastAsia="仿宋_GB2312"/>
          <w:sz w:val="28"/>
          <w:b/>
        </w:rPr>
        <w:t>自贡市大安区回龙镇卫生院</w:t>
      </w:r>
    </w:p>
    <w:p>
      <w:pPr>
        <w:pStyle w:val="null3"/>
        <w:jc w:val="center"/>
        <w:outlineLvl w:val="2"/>
      </w:pPr>
      <w:r>
        <w:rPr>
          <w:rFonts w:ascii="仿宋_GB2312" w:hAnsi="仿宋_GB2312" w:cs="仿宋_GB2312" w:eastAsia="仿宋_GB2312"/>
          <w:sz w:val="28"/>
          <w:b/>
        </w:rPr>
        <w:t>四川轩辕招标代理有限公司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四川轩辕招标代理有限公司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自贡市大安区回龙镇卫生院</w:t>
      </w:r>
      <w:r>
        <w:rPr>
          <w:rFonts w:ascii="仿宋_GB2312" w:hAnsi="仿宋_GB2312" w:cs="仿宋_GB2312" w:eastAsia="仿宋_GB2312"/>
        </w:rPr>
        <w:t xml:space="preserve"> 委托，拟对 </w:t>
      </w:r>
      <w:r>
        <w:rPr>
          <w:rFonts w:ascii="仿宋_GB2312" w:hAnsi="仿宋_GB2312" w:cs="仿宋_GB2312" w:eastAsia="仿宋_GB2312"/>
        </w:rPr>
        <w:t>数字化摄影DR设备采购项目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自贡市大安区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N5103042026000019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数字化摄影DR设备采购项目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本项目为自贡市大安区回龙镇卫生院采购数字化摄影DR设备，共1个包。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1、供应商若为生产厂家，须符合《医疗器械监督管理条例》要求并提供中华人民共和国医疗器械生产许可证或生产备案凭证； 供应商若为非生产厂家，须符合《医疗器械监督管理条例》要求并提供中华人民共和国医疗器械经营许可证或经营备案凭证（已提供包含二类备案的多证合一营业执照的供应商除外）。 （描述：供应商若为生产厂家，须符合《医疗器械监督管理条例》要求并提供中华人民共和国医疗器械生产许可证或生产备案凭证； 供应商若为非生产厂家，须符合《医疗器械监督管理条例》要求并提供中华人民共和国医疗器械经营许可证或经营备案凭证（已提供包含二类备案的多证合一营业执照的供应商除外）。 （提供证书扫描件并进行电子签章） ）</w:t>
      </w:r>
    </w:p>
    <w:p>
      <w:pPr>
        <w:pStyle w:val="null3"/>
        <w:jc w:val="left"/>
      </w:pPr>
      <w:r>
        <w:rPr>
          <w:rFonts w:ascii="仿宋_GB2312" w:hAnsi="仿宋_GB2312" w:cs="仿宋_GB2312" w:eastAsia="仿宋_GB2312"/>
        </w:rPr>
        <w:t>2、供应商须具有有效的《辐射安全许可证》，并提供所投产品生产厂家有效的《辐射安全许可证》。（描述：供应商须具有有效的《辐射安全许可证》，并提供所投产品生产厂家有效的《辐射安全许可证》。（提供证书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自贡市大安区回龙镇卫生院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自贡市大安区回龙镇街村恒丰路3号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0813-7340013</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四川轩辕招标代理有限公司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成都市武侯区吉泰五路118号天合凯旋广场2幢4楼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谭周菊、周玲玲</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028-65731881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采购包1：310,000.00元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180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政府采购营商环境指标提升专项行动工作方案》中“成本+合理利润”原则，本项目定额计取招标代理服务费5000元。采购代理服务费由中标人（成交供应商）在领取中标（成交）通知书前向代理机构支付。</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自贡市大安区回龙镇卫生院</w:t>
      </w:r>
      <w:r>
        <w:rPr>
          <w:rFonts w:ascii="仿宋_GB2312" w:hAnsi="仿宋_GB2312" w:cs="仿宋_GB2312" w:eastAsia="仿宋_GB2312"/>
        </w:rPr>
        <w:t xml:space="preserve"> 和 </w:t>
      </w:r>
      <w:r>
        <w:rPr>
          <w:rFonts w:ascii="仿宋_GB2312" w:hAnsi="仿宋_GB2312" w:cs="仿宋_GB2312" w:eastAsia="仿宋_GB2312"/>
        </w:rPr>
        <w:t>四川轩辕招标代理有限公司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自贡市大安区回龙镇卫生院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四川轩辕招标代理有限公司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号）的规定，采购人组织验收人员组成验收小组，中标人予以配合，结合本包采购文件、投标文件及采购合同的要求进行技术履约验收。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号）的规定，采购人组织验收人员组成验收小组，中标人予以配合，结合本包采购文件、投标文件及采购合同的要求进行商务履约验收。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采购人按照政府采购相关法律法规以及《财政部关于进一步加强政府 采购需求和履约验收管理的指导意见》(财库(2016)205 号)的要求； 本项目合同；相关国家行业标准；本项目采购文件与中标人投标文件等进行验收。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未尽事宜将按照《财政部关于进一步加强政府采购需求和履约验收管理的指导意见》(财库(2016) 205号)、《政府采购需求管理办法》(财库(2021) 22号)的要求及国家行业主管部门规定的标准、方法和内容进行验收。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自贡市大安区回龙镇卫生院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联系电话：0813-7340013</w:t>
      </w:r>
    </w:p>
    <w:p>
      <w:pPr>
        <w:pStyle w:val="null3"/>
        <w:jc w:val="left"/>
      </w:pPr>
      <w:r>
        <w:rPr>
          <w:rFonts w:ascii="仿宋_GB2312" w:hAnsi="仿宋_GB2312" w:cs="仿宋_GB2312" w:eastAsia="仿宋_GB2312"/>
        </w:rPr>
        <w:t>地址：自贡市大安区回龙镇街村恒丰路3号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联系人：谭周菊、周玲玲</w:t>
      </w:r>
    </w:p>
    <w:p>
      <w:pPr>
        <w:pStyle w:val="null3"/>
        <w:jc w:val="left"/>
      </w:pPr>
      <w:r>
        <w:rPr>
          <w:rFonts w:ascii="仿宋_GB2312" w:hAnsi="仿宋_GB2312" w:cs="仿宋_GB2312" w:eastAsia="仿宋_GB2312"/>
        </w:rPr>
        <w:t>联系电话：028-65731881</w:t>
      </w:r>
    </w:p>
    <w:p>
      <w:pPr>
        <w:pStyle w:val="null3"/>
        <w:jc w:val="left"/>
      </w:pPr>
      <w:r>
        <w:rPr>
          <w:rFonts w:ascii="仿宋_GB2312" w:hAnsi="仿宋_GB2312" w:cs="仿宋_GB2312" w:eastAsia="仿宋_GB2312"/>
        </w:rPr>
        <w:t>地址：成都市武侯区吉泰五路118号天合凯旋广场2幢4楼</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310,000.00</w:t>
      </w:r>
    </w:p>
    <w:p>
      <w:pPr>
        <w:pStyle w:val="null3"/>
        <w:jc w:val="left"/>
      </w:pPr>
      <w:r>
        <w:rPr>
          <w:rFonts w:ascii="仿宋_GB2312" w:hAnsi="仿宋_GB2312" w:cs="仿宋_GB2312" w:eastAsia="仿宋_GB2312"/>
        </w:rPr>
        <w:t>采购包最高限价（元）: 310,000.00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数字化摄影DR设备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数字化摄影DR设备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数字化摄影DR设备</w:t>
            </w:r>
          </w:p>
        </w:tc>
        <w:tc>
          <w:tcPr>
            <w:tcW w:type="dxa" w:w="2492"/>
          </w:tcPr>
          <w:p>
            <w:pPr>
              <w:pStyle w:val="null3"/>
              <w:jc w:val="left"/>
            </w:pPr>
            <w:r>
              <w:rPr>
                <w:rFonts w:ascii="仿宋_GB2312" w:hAnsi="仿宋_GB2312" w:cs="仿宋_GB2312" w:eastAsia="仿宋_GB2312"/>
              </w:rPr>
              <w:t>数字化摄影DR设备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标的名称：数字化摄影DR设备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X</w:t>
            </w:r>
            <w:r>
              <w:rPr>
                <w:rFonts w:ascii="仿宋_GB2312" w:hAnsi="仿宋_GB2312" w:cs="仿宋_GB2312" w:eastAsia="仿宋_GB2312"/>
                <w:sz w:val="24"/>
              </w:rPr>
              <w:t>线球管及支架系统</w:t>
            </w:r>
          </w:p>
          <w:p>
            <w:pPr>
              <w:pStyle w:val="null3"/>
              <w:numPr>
                <w:ilvl w:val="0"/>
                <w:numId w:val="1"/>
              </w:numPr>
              <w:jc w:val="left"/>
            </w:pPr>
            <w:r>
              <w:rPr>
                <w:rFonts w:ascii="仿宋_GB2312" w:hAnsi="仿宋_GB2312" w:cs="仿宋_GB2312" w:eastAsia="仿宋_GB2312"/>
                <w:sz w:val="24"/>
              </w:rPr>
              <w:t>一体化落地式双立柱机械结构，非独立地轨设计</w:t>
            </w:r>
          </w:p>
          <w:p>
            <w:pPr>
              <w:pStyle w:val="null3"/>
              <w:numPr>
                <w:ilvl w:val="0"/>
                <w:numId w:val="1"/>
              </w:numPr>
              <w:jc w:val="left"/>
            </w:pPr>
            <w:r>
              <w:rPr>
                <w:rFonts w:ascii="仿宋_GB2312" w:hAnsi="仿宋_GB2312" w:cs="仿宋_GB2312" w:eastAsia="仿宋_GB2312"/>
                <w:sz w:val="24"/>
              </w:rPr>
              <w:t>大焦点尺寸≤</w:t>
            </w:r>
            <w:r>
              <w:rPr>
                <w:rFonts w:ascii="仿宋_GB2312" w:hAnsi="仿宋_GB2312" w:cs="仿宋_GB2312" w:eastAsia="仿宋_GB2312"/>
                <w:sz w:val="24"/>
              </w:rPr>
              <w:t>1.2mm</w:t>
            </w:r>
            <w:r>
              <w:rPr>
                <w:rFonts w:ascii="仿宋_GB2312" w:hAnsi="仿宋_GB2312" w:cs="仿宋_GB2312" w:eastAsia="仿宋_GB2312"/>
                <w:sz w:val="24"/>
              </w:rPr>
              <w:t>，小焦点尺寸 ≤</w:t>
            </w:r>
            <w:r>
              <w:rPr>
                <w:rFonts w:ascii="仿宋_GB2312" w:hAnsi="仿宋_GB2312" w:cs="仿宋_GB2312" w:eastAsia="仿宋_GB2312"/>
                <w:sz w:val="24"/>
              </w:rPr>
              <w:t>0.6mm</w:t>
            </w:r>
          </w:p>
          <w:p>
            <w:pPr>
              <w:pStyle w:val="null3"/>
              <w:numPr>
                <w:ilvl w:val="0"/>
                <w:numId w:val="1"/>
              </w:numPr>
              <w:jc w:val="left"/>
            </w:pPr>
            <w:r>
              <w:rPr>
                <w:rFonts w:ascii="仿宋_GB2312" w:hAnsi="仿宋_GB2312" w:cs="仿宋_GB2312" w:eastAsia="仿宋_GB2312"/>
                <w:sz w:val="24"/>
              </w:rPr>
              <w:t>阳极热容量≥</w:t>
            </w:r>
            <w:r>
              <w:rPr>
                <w:rFonts w:ascii="仿宋_GB2312" w:hAnsi="仿宋_GB2312" w:cs="仿宋_GB2312" w:eastAsia="仿宋_GB2312"/>
                <w:sz w:val="24"/>
              </w:rPr>
              <w:t>300KHU</w:t>
            </w:r>
          </w:p>
          <w:p>
            <w:pPr>
              <w:pStyle w:val="null3"/>
              <w:numPr>
                <w:ilvl w:val="0"/>
                <w:numId w:val="1"/>
              </w:numPr>
              <w:jc w:val="left"/>
            </w:pPr>
            <w:r>
              <w:rPr>
                <w:rFonts w:ascii="仿宋_GB2312" w:hAnsi="仿宋_GB2312" w:cs="仿宋_GB2312" w:eastAsia="仿宋_GB2312"/>
                <w:sz w:val="24"/>
              </w:rPr>
              <w:t>球管绕垂直轴旋转≥±</w:t>
            </w:r>
            <w:r>
              <w:rPr>
                <w:rFonts w:ascii="仿宋_GB2312" w:hAnsi="仿宋_GB2312" w:cs="仿宋_GB2312" w:eastAsia="仿宋_GB2312"/>
                <w:sz w:val="24"/>
              </w:rPr>
              <w:t>180</w:t>
            </w:r>
            <w:r>
              <w:rPr>
                <w:rFonts w:ascii="仿宋_GB2312" w:hAnsi="仿宋_GB2312" w:cs="仿宋_GB2312" w:eastAsia="仿宋_GB2312"/>
                <w:sz w:val="24"/>
              </w:rPr>
              <w:t>º</w:t>
            </w:r>
          </w:p>
          <w:p>
            <w:pPr>
              <w:pStyle w:val="null3"/>
              <w:numPr>
                <w:ilvl w:val="0"/>
                <w:numId w:val="1"/>
              </w:numPr>
              <w:jc w:val="left"/>
            </w:pPr>
            <w:r>
              <w:rPr>
                <w:rFonts w:ascii="仿宋_GB2312" w:hAnsi="仿宋_GB2312" w:cs="仿宋_GB2312" w:eastAsia="仿宋_GB2312"/>
                <w:sz w:val="24"/>
              </w:rPr>
              <w:t>球管绕水平轴旋转≥±</w:t>
            </w:r>
            <w:r>
              <w:rPr>
                <w:rFonts w:ascii="仿宋_GB2312" w:hAnsi="仿宋_GB2312" w:cs="仿宋_GB2312" w:eastAsia="仿宋_GB2312"/>
                <w:sz w:val="24"/>
              </w:rPr>
              <w:t>120</w:t>
            </w:r>
            <w:r>
              <w:rPr>
                <w:rFonts w:ascii="仿宋_GB2312" w:hAnsi="仿宋_GB2312" w:cs="仿宋_GB2312" w:eastAsia="仿宋_GB2312"/>
                <w:sz w:val="24"/>
              </w:rPr>
              <w:t>º</w:t>
            </w:r>
          </w:p>
          <w:p>
            <w:pPr>
              <w:pStyle w:val="null3"/>
              <w:numPr>
                <w:ilvl w:val="0"/>
                <w:numId w:val="1"/>
              </w:numPr>
              <w:jc w:val="left"/>
            </w:pPr>
            <w:r>
              <w:rPr>
                <w:rFonts w:ascii="仿宋_GB2312" w:hAnsi="仿宋_GB2312" w:cs="仿宋_GB2312" w:eastAsia="仿宋_GB2312"/>
                <w:sz w:val="24"/>
              </w:rPr>
              <w:t>▲球管支架沿摄影床方向纵向移动距离≥</w:t>
            </w:r>
            <w:r>
              <w:rPr>
                <w:rFonts w:ascii="仿宋_GB2312" w:hAnsi="仿宋_GB2312" w:cs="仿宋_GB2312" w:eastAsia="仿宋_GB2312"/>
                <w:sz w:val="24"/>
              </w:rPr>
              <w:t>2300mm</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高压发生器</w:t>
            </w:r>
          </w:p>
          <w:p>
            <w:pPr>
              <w:pStyle w:val="null3"/>
              <w:numPr>
                <w:ilvl w:val="0"/>
                <w:numId w:val="1"/>
              </w:numPr>
              <w:jc w:val="left"/>
            </w:pPr>
            <w:r>
              <w:rPr>
                <w:rFonts w:ascii="仿宋_GB2312" w:hAnsi="仿宋_GB2312" w:cs="仿宋_GB2312" w:eastAsia="仿宋_GB2312"/>
                <w:sz w:val="24"/>
              </w:rPr>
              <w:t>▲输出功率≥</w:t>
            </w:r>
            <w:r>
              <w:rPr>
                <w:rFonts w:ascii="仿宋_GB2312" w:hAnsi="仿宋_GB2312" w:cs="仿宋_GB2312" w:eastAsia="仿宋_GB2312"/>
                <w:sz w:val="24"/>
              </w:rPr>
              <w:t>56KW</w:t>
            </w:r>
            <w:r>
              <w:rPr>
                <w:rFonts w:ascii="仿宋_GB2312" w:hAnsi="仿宋_GB2312" w:cs="仿宋_GB2312" w:eastAsia="仿宋_GB2312"/>
                <w:sz w:val="24"/>
              </w:rPr>
              <w:t>，逆变频率≥</w:t>
            </w:r>
            <w:r>
              <w:rPr>
                <w:rFonts w:ascii="仿宋_GB2312" w:hAnsi="仿宋_GB2312" w:cs="仿宋_GB2312" w:eastAsia="仿宋_GB2312"/>
                <w:sz w:val="24"/>
              </w:rPr>
              <w:t>500kHz</w:t>
            </w:r>
          </w:p>
          <w:p>
            <w:pPr>
              <w:pStyle w:val="null3"/>
              <w:numPr>
                <w:ilvl w:val="0"/>
                <w:numId w:val="1"/>
              </w:numPr>
              <w:jc w:val="left"/>
            </w:pPr>
            <w:r>
              <w:rPr>
                <w:rFonts w:ascii="仿宋_GB2312" w:hAnsi="仿宋_GB2312" w:cs="仿宋_GB2312" w:eastAsia="仿宋_GB2312"/>
                <w:sz w:val="24"/>
              </w:rPr>
              <w:t>曝光时间范围：最短系统曝光时间≤</w:t>
            </w:r>
            <w:r>
              <w:rPr>
                <w:rFonts w:ascii="仿宋_GB2312" w:hAnsi="仿宋_GB2312" w:cs="仿宋_GB2312" w:eastAsia="仿宋_GB2312"/>
                <w:sz w:val="24"/>
              </w:rPr>
              <w:t>1ms</w:t>
            </w:r>
            <w:r>
              <w:rPr>
                <w:rFonts w:ascii="仿宋_GB2312" w:hAnsi="仿宋_GB2312" w:cs="仿宋_GB2312" w:eastAsia="仿宋_GB2312"/>
                <w:sz w:val="24"/>
              </w:rPr>
              <w:t>，最长系统曝光时间≥</w:t>
            </w:r>
            <w:r>
              <w:rPr>
                <w:rFonts w:ascii="仿宋_GB2312" w:hAnsi="仿宋_GB2312" w:cs="仿宋_GB2312" w:eastAsia="仿宋_GB2312"/>
                <w:sz w:val="24"/>
              </w:rPr>
              <w:t>10s</w:t>
            </w:r>
          </w:p>
          <w:p>
            <w:pPr>
              <w:pStyle w:val="null3"/>
              <w:numPr>
                <w:ilvl w:val="0"/>
                <w:numId w:val="1"/>
              </w:numPr>
              <w:jc w:val="left"/>
            </w:pPr>
            <w:r>
              <w:rPr>
                <w:rFonts w:ascii="仿宋_GB2312" w:hAnsi="仿宋_GB2312" w:cs="仿宋_GB2312" w:eastAsia="仿宋_GB2312"/>
                <w:sz w:val="24"/>
              </w:rPr>
              <w:t>最大输出电流≥</w:t>
            </w:r>
            <w:r>
              <w:rPr>
                <w:rFonts w:ascii="仿宋_GB2312" w:hAnsi="仿宋_GB2312" w:cs="仿宋_GB2312" w:eastAsia="仿宋_GB2312"/>
                <w:sz w:val="24"/>
              </w:rPr>
              <w:t>650mA</w:t>
            </w:r>
          </w:p>
          <w:p>
            <w:pPr>
              <w:pStyle w:val="null3"/>
              <w:numPr>
                <w:ilvl w:val="0"/>
                <w:numId w:val="1"/>
              </w:numPr>
              <w:jc w:val="left"/>
            </w:pPr>
            <w:r>
              <w:rPr>
                <w:rFonts w:ascii="仿宋_GB2312" w:hAnsi="仿宋_GB2312" w:cs="仿宋_GB2312" w:eastAsia="仿宋_GB2312"/>
                <w:sz w:val="24"/>
              </w:rPr>
              <w:t>▲最小电流时间积≤</w:t>
            </w:r>
            <w:r>
              <w:rPr>
                <w:rFonts w:ascii="仿宋_GB2312" w:hAnsi="仿宋_GB2312" w:cs="仿宋_GB2312" w:eastAsia="仿宋_GB2312"/>
                <w:sz w:val="24"/>
              </w:rPr>
              <w:t>0.1mAs</w:t>
            </w:r>
            <w:r>
              <w:rPr>
                <w:rFonts w:ascii="仿宋_GB2312" w:hAnsi="仿宋_GB2312" w:cs="仿宋_GB2312" w:eastAsia="仿宋_GB2312"/>
                <w:sz w:val="24"/>
              </w:rPr>
              <w:t>，最大电流时间积≥</w:t>
            </w:r>
            <w:r>
              <w:rPr>
                <w:rFonts w:ascii="仿宋_GB2312" w:hAnsi="仿宋_GB2312" w:cs="仿宋_GB2312" w:eastAsia="仿宋_GB2312"/>
                <w:sz w:val="24"/>
              </w:rPr>
              <w:t>980mAs</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无线平板探测器</w:t>
            </w:r>
          </w:p>
          <w:p>
            <w:pPr>
              <w:pStyle w:val="null3"/>
              <w:numPr>
                <w:ilvl w:val="0"/>
                <w:numId w:val="1"/>
              </w:numPr>
              <w:jc w:val="left"/>
            </w:pPr>
            <w:r>
              <w:rPr>
                <w:rFonts w:ascii="仿宋_GB2312" w:hAnsi="仿宋_GB2312" w:cs="仿宋_GB2312" w:eastAsia="仿宋_GB2312"/>
                <w:sz w:val="24"/>
              </w:rPr>
              <w:t>探测器尺寸≥</w:t>
            </w:r>
            <w:r>
              <w:rPr>
                <w:rFonts w:ascii="仿宋_GB2312" w:hAnsi="仿宋_GB2312" w:cs="仿宋_GB2312" w:eastAsia="仿宋_GB2312"/>
                <w:sz w:val="24"/>
              </w:rPr>
              <w:t>410mm</w:t>
            </w:r>
            <w:r>
              <w:rPr>
                <w:rFonts w:ascii="仿宋_GB2312" w:hAnsi="仿宋_GB2312" w:cs="仿宋_GB2312" w:eastAsia="仿宋_GB2312"/>
                <w:sz w:val="24"/>
              </w:rPr>
              <w:t>×</w:t>
            </w:r>
            <w:r>
              <w:rPr>
                <w:rFonts w:ascii="仿宋_GB2312" w:hAnsi="仿宋_GB2312" w:cs="仿宋_GB2312" w:eastAsia="仿宋_GB2312"/>
                <w:sz w:val="24"/>
              </w:rPr>
              <w:t>420mm</w:t>
            </w:r>
          </w:p>
          <w:p>
            <w:pPr>
              <w:pStyle w:val="null3"/>
              <w:numPr>
                <w:ilvl w:val="0"/>
                <w:numId w:val="1"/>
              </w:numPr>
              <w:jc w:val="left"/>
            </w:pPr>
            <w:r>
              <w:rPr>
                <w:rFonts w:ascii="仿宋_GB2312" w:hAnsi="仿宋_GB2312" w:cs="仿宋_GB2312" w:eastAsia="仿宋_GB2312"/>
                <w:sz w:val="24"/>
              </w:rPr>
              <w:t>采集灰阶度≥</w:t>
            </w:r>
            <w:r>
              <w:rPr>
                <w:rFonts w:ascii="仿宋_GB2312" w:hAnsi="仿宋_GB2312" w:cs="仿宋_GB2312" w:eastAsia="仿宋_GB2312"/>
                <w:sz w:val="24"/>
              </w:rPr>
              <w:t>16bits</w:t>
            </w:r>
          </w:p>
          <w:p>
            <w:pPr>
              <w:pStyle w:val="null3"/>
              <w:numPr>
                <w:ilvl w:val="0"/>
                <w:numId w:val="1"/>
              </w:numPr>
              <w:jc w:val="left"/>
            </w:pPr>
            <w:r>
              <w:rPr>
                <w:rFonts w:ascii="仿宋_GB2312" w:hAnsi="仿宋_GB2312" w:cs="仿宋_GB2312" w:eastAsia="仿宋_GB2312"/>
                <w:sz w:val="24"/>
              </w:rPr>
              <w:t>▲空间分辨率≥</w:t>
            </w:r>
            <w:r>
              <w:rPr>
                <w:rFonts w:ascii="仿宋_GB2312" w:hAnsi="仿宋_GB2312" w:cs="仿宋_GB2312" w:eastAsia="仿宋_GB2312"/>
                <w:sz w:val="24"/>
              </w:rPr>
              <w:t>3.7lp/mm</w:t>
            </w:r>
          </w:p>
          <w:p>
            <w:pPr>
              <w:pStyle w:val="null3"/>
              <w:jc w:val="left"/>
            </w:pPr>
            <w:r>
              <w:rPr>
                <w:rFonts w:ascii="仿宋_GB2312" w:hAnsi="仿宋_GB2312" w:cs="仿宋_GB2312" w:eastAsia="仿宋_GB2312"/>
                <w:sz w:val="24"/>
              </w:rPr>
              <w:t>（四）</w:t>
            </w:r>
            <w:r>
              <w:rPr>
                <w:rFonts w:ascii="仿宋_GB2312" w:hAnsi="仿宋_GB2312" w:cs="仿宋_GB2312" w:eastAsia="仿宋_GB2312"/>
                <w:sz w:val="24"/>
              </w:rPr>
              <w:t>胸片架</w:t>
            </w:r>
          </w:p>
          <w:p>
            <w:pPr>
              <w:pStyle w:val="null3"/>
              <w:numPr>
                <w:ilvl w:val="0"/>
                <w:numId w:val="1"/>
              </w:numPr>
              <w:jc w:val="left"/>
            </w:pPr>
            <w:r>
              <w:rPr>
                <w:rFonts w:ascii="仿宋_GB2312" w:hAnsi="仿宋_GB2312" w:cs="仿宋_GB2312" w:eastAsia="仿宋_GB2312"/>
                <w:sz w:val="24"/>
              </w:rPr>
              <w:t>摄影台垂直移动范围≥</w:t>
            </w:r>
            <w:r>
              <w:rPr>
                <w:rFonts w:ascii="仿宋_GB2312" w:hAnsi="仿宋_GB2312" w:cs="仿宋_GB2312" w:eastAsia="仿宋_GB2312"/>
                <w:sz w:val="24"/>
              </w:rPr>
              <w:t>1380mm</w:t>
            </w:r>
          </w:p>
          <w:p>
            <w:pPr>
              <w:pStyle w:val="null3"/>
              <w:numPr>
                <w:ilvl w:val="0"/>
                <w:numId w:val="1"/>
              </w:numPr>
              <w:jc w:val="left"/>
            </w:pPr>
            <w:r>
              <w:rPr>
                <w:rFonts w:ascii="仿宋_GB2312" w:hAnsi="仿宋_GB2312" w:cs="仿宋_GB2312" w:eastAsia="仿宋_GB2312"/>
                <w:sz w:val="24"/>
              </w:rPr>
              <w:t>探测器中心的标线距地≤</w:t>
            </w:r>
            <w:r>
              <w:rPr>
                <w:rFonts w:ascii="仿宋_GB2312" w:hAnsi="仿宋_GB2312" w:cs="仿宋_GB2312" w:eastAsia="仿宋_GB2312"/>
                <w:sz w:val="24"/>
              </w:rPr>
              <w:t>360mm</w:t>
            </w:r>
          </w:p>
          <w:p>
            <w:pPr>
              <w:pStyle w:val="null3"/>
              <w:numPr>
                <w:ilvl w:val="0"/>
                <w:numId w:val="1"/>
              </w:numPr>
              <w:jc w:val="left"/>
            </w:pPr>
            <w:r>
              <w:rPr>
                <w:rFonts w:ascii="仿宋_GB2312" w:hAnsi="仿宋_GB2312" w:cs="仿宋_GB2312" w:eastAsia="仿宋_GB2312"/>
                <w:sz w:val="24"/>
              </w:rPr>
              <w:t>支持平板在线充电</w:t>
            </w:r>
          </w:p>
          <w:p>
            <w:pPr>
              <w:pStyle w:val="null3"/>
              <w:numPr>
                <w:ilvl w:val="0"/>
                <w:numId w:val="1"/>
              </w:numPr>
              <w:jc w:val="left"/>
            </w:pPr>
            <w:r>
              <w:rPr>
                <w:rFonts w:ascii="仿宋_GB2312" w:hAnsi="仿宋_GB2312" w:cs="仿宋_GB2312" w:eastAsia="仿宋_GB2312"/>
                <w:sz w:val="24"/>
              </w:rPr>
              <w:t>▲具有儿童专用拍摄协议，实体滤线栅不用工具即可移除</w:t>
            </w:r>
          </w:p>
          <w:p>
            <w:pPr>
              <w:pStyle w:val="null3"/>
              <w:jc w:val="left"/>
            </w:pPr>
            <w:r>
              <w:rPr>
                <w:rFonts w:ascii="仿宋_GB2312" w:hAnsi="仿宋_GB2312" w:cs="仿宋_GB2312" w:eastAsia="仿宋_GB2312"/>
                <w:sz w:val="24"/>
              </w:rPr>
              <w:t>（五）</w:t>
            </w:r>
            <w:r>
              <w:rPr>
                <w:rFonts w:ascii="仿宋_GB2312" w:hAnsi="仿宋_GB2312" w:cs="仿宋_GB2312" w:eastAsia="仿宋_GB2312"/>
                <w:sz w:val="24"/>
              </w:rPr>
              <w:t>固定摄影床</w:t>
            </w:r>
          </w:p>
          <w:p>
            <w:pPr>
              <w:pStyle w:val="null3"/>
              <w:numPr>
                <w:ilvl w:val="0"/>
                <w:numId w:val="1"/>
              </w:numPr>
              <w:jc w:val="left"/>
            </w:pPr>
            <w:r>
              <w:rPr>
                <w:rFonts w:ascii="仿宋_GB2312" w:hAnsi="仿宋_GB2312" w:cs="仿宋_GB2312" w:eastAsia="仿宋_GB2312"/>
                <w:sz w:val="24"/>
              </w:rPr>
              <w:t>配备固定式摄影床，非移动式</w:t>
            </w:r>
          </w:p>
          <w:p>
            <w:pPr>
              <w:pStyle w:val="null3"/>
              <w:numPr>
                <w:ilvl w:val="0"/>
                <w:numId w:val="1"/>
              </w:numPr>
              <w:jc w:val="left"/>
            </w:pPr>
            <w:r>
              <w:rPr>
                <w:rFonts w:ascii="仿宋_GB2312" w:hAnsi="仿宋_GB2312" w:cs="仿宋_GB2312" w:eastAsia="仿宋_GB2312"/>
                <w:sz w:val="24"/>
              </w:rPr>
              <w:t>床面高度≤</w:t>
            </w:r>
            <w:r>
              <w:rPr>
                <w:rFonts w:ascii="仿宋_GB2312" w:hAnsi="仿宋_GB2312" w:cs="仿宋_GB2312" w:eastAsia="仿宋_GB2312"/>
                <w:sz w:val="24"/>
              </w:rPr>
              <w:t>670mm</w:t>
            </w:r>
          </w:p>
          <w:p>
            <w:pPr>
              <w:pStyle w:val="null3"/>
              <w:numPr>
                <w:ilvl w:val="0"/>
                <w:numId w:val="1"/>
              </w:numPr>
              <w:jc w:val="left"/>
            </w:pPr>
            <w:r>
              <w:rPr>
                <w:rFonts w:ascii="仿宋_GB2312" w:hAnsi="仿宋_GB2312" w:cs="仿宋_GB2312" w:eastAsia="仿宋_GB2312"/>
                <w:sz w:val="24"/>
              </w:rPr>
              <w:t>四向浮动床面板，浮动床面移动范围：纵向≥</w:t>
            </w:r>
            <w:r>
              <w:rPr>
                <w:rFonts w:ascii="仿宋_GB2312" w:hAnsi="仿宋_GB2312" w:cs="仿宋_GB2312" w:eastAsia="仿宋_GB2312"/>
                <w:sz w:val="24"/>
              </w:rPr>
              <w:t xml:space="preserve">900mm </w:t>
            </w:r>
            <w:r>
              <w:rPr>
                <w:rFonts w:ascii="仿宋_GB2312" w:hAnsi="仿宋_GB2312" w:cs="仿宋_GB2312" w:eastAsia="仿宋_GB2312"/>
                <w:sz w:val="24"/>
              </w:rPr>
              <w:t>、横向≥</w:t>
            </w:r>
            <w:r>
              <w:rPr>
                <w:rFonts w:ascii="仿宋_GB2312" w:hAnsi="仿宋_GB2312" w:cs="仿宋_GB2312" w:eastAsia="仿宋_GB2312"/>
                <w:sz w:val="24"/>
              </w:rPr>
              <w:t>260mm</w:t>
            </w:r>
          </w:p>
          <w:p>
            <w:pPr>
              <w:pStyle w:val="null3"/>
              <w:numPr>
                <w:ilvl w:val="0"/>
                <w:numId w:val="1"/>
              </w:numPr>
              <w:jc w:val="left"/>
            </w:pPr>
            <w:r>
              <w:rPr>
                <w:rFonts w:ascii="仿宋_GB2312" w:hAnsi="仿宋_GB2312" w:cs="仿宋_GB2312" w:eastAsia="仿宋_GB2312"/>
                <w:sz w:val="24"/>
              </w:rPr>
              <w:t>▲滤线器纵向范围（片盒移动范围）≥</w:t>
            </w:r>
            <w:r>
              <w:rPr>
                <w:rFonts w:ascii="仿宋_GB2312" w:hAnsi="仿宋_GB2312" w:cs="仿宋_GB2312" w:eastAsia="仿宋_GB2312"/>
                <w:sz w:val="24"/>
              </w:rPr>
              <w:t>540mm</w:t>
            </w:r>
          </w:p>
          <w:p>
            <w:pPr>
              <w:pStyle w:val="null3"/>
              <w:numPr>
                <w:ilvl w:val="0"/>
                <w:numId w:val="1"/>
              </w:numPr>
              <w:jc w:val="left"/>
            </w:pPr>
            <w:r>
              <w:rPr>
                <w:rFonts w:ascii="仿宋_GB2312" w:hAnsi="仿宋_GB2312" w:cs="仿宋_GB2312" w:eastAsia="仿宋_GB2312"/>
                <w:sz w:val="24"/>
              </w:rPr>
              <w:t>床面板下表面至平板探测器接收面距离≤</w:t>
            </w:r>
            <w:r>
              <w:rPr>
                <w:rFonts w:ascii="仿宋_GB2312" w:hAnsi="仿宋_GB2312" w:cs="仿宋_GB2312" w:eastAsia="仿宋_GB2312"/>
                <w:sz w:val="24"/>
              </w:rPr>
              <w:t>65mm</w:t>
            </w:r>
          </w:p>
          <w:p>
            <w:pPr>
              <w:pStyle w:val="null3"/>
              <w:numPr>
                <w:ilvl w:val="0"/>
                <w:numId w:val="1"/>
              </w:numPr>
              <w:jc w:val="left"/>
            </w:pPr>
            <w:r>
              <w:rPr>
                <w:rFonts w:ascii="仿宋_GB2312" w:hAnsi="仿宋_GB2312" w:cs="仿宋_GB2312" w:eastAsia="仿宋_GB2312"/>
                <w:sz w:val="24"/>
              </w:rPr>
              <w:t>床面板解锁方式：脚踏方式电磁解锁</w:t>
            </w:r>
          </w:p>
          <w:p>
            <w:pPr>
              <w:pStyle w:val="null3"/>
              <w:jc w:val="left"/>
            </w:pPr>
            <w:r>
              <w:rPr>
                <w:rFonts w:ascii="仿宋_GB2312" w:hAnsi="仿宋_GB2312" w:cs="仿宋_GB2312" w:eastAsia="仿宋_GB2312"/>
                <w:sz w:val="24"/>
              </w:rPr>
              <w:t>（六）</w:t>
            </w:r>
            <w:r>
              <w:rPr>
                <w:rFonts w:ascii="仿宋_GB2312" w:hAnsi="仿宋_GB2312" w:cs="仿宋_GB2312" w:eastAsia="仿宋_GB2312"/>
                <w:sz w:val="24"/>
              </w:rPr>
              <w:t>球管机头端触控屏</w:t>
            </w:r>
          </w:p>
          <w:p>
            <w:pPr>
              <w:pStyle w:val="null3"/>
              <w:numPr>
                <w:ilvl w:val="0"/>
                <w:numId w:val="1"/>
              </w:numPr>
              <w:jc w:val="left"/>
            </w:pPr>
            <w:r>
              <w:rPr>
                <w:rFonts w:ascii="仿宋_GB2312" w:hAnsi="仿宋_GB2312" w:cs="仿宋_GB2312" w:eastAsia="仿宋_GB2312"/>
                <w:sz w:val="24"/>
              </w:rPr>
              <w:t>具备近台操控彩色触摸屏，屏幕尺寸≥</w:t>
            </w:r>
            <w:r>
              <w:rPr>
                <w:rFonts w:ascii="仿宋_GB2312" w:hAnsi="仿宋_GB2312" w:cs="仿宋_GB2312" w:eastAsia="仿宋_GB2312"/>
                <w:sz w:val="24"/>
              </w:rPr>
              <w:t>8</w:t>
            </w:r>
            <w:r>
              <w:rPr>
                <w:rFonts w:ascii="仿宋_GB2312" w:hAnsi="仿宋_GB2312" w:cs="仿宋_GB2312" w:eastAsia="仿宋_GB2312"/>
                <w:sz w:val="24"/>
              </w:rPr>
              <w:t>英寸</w:t>
            </w:r>
          </w:p>
          <w:p>
            <w:pPr>
              <w:pStyle w:val="null3"/>
              <w:numPr>
                <w:ilvl w:val="0"/>
                <w:numId w:val="1"/>
              </w:numPr>
              <w:jc w:val="left"/>
            </w:pPr>
            <w:r>
              <w:rPr>
                <w:rFonts w:ascii="仿宋_GB2312" w:hAnsi="仿宋_GB2312" w:cs="仿宋_GB2312" w:eastAsia="仿宋_GB2312"/>
                <w:sz w:val="24"/>
              </w:rPr>
              <w:t>屏幕显示可依据重力方向自动调整显示的方向</w:t>
            </w:r>
          </w:p>
          <w:p>
            <w:pPr>
              <w:pStyle w:val="null3"/>
              <w:numPr>
                <w:ilvl w:val="0"/>
                <w:numId w:val="1"/>
              </w:numPr>
              <w:jc w:val="left"/>
            </w:pPr>
            <w:r>
              <w:rPr>
                <w:rFonts w:ascii="仿宋_GB2312" w:hAnsi="仿宋_GB2312" w:cs="仿宋_GB2312" w:eastAsia="仿宋_GB2312"/>
                <w:sz w:val="24"/>
              </w:rPr>
              <w:t>可显示患者的详细登记信息、可调整曝光参数（至少包括</w:t>
            </w:r>
            <w:r>
              <w:rPr>
                <w:rFonts w:ascii="仿宋_GB2312" w:hAnsi="仿宋_GB2312" w:cs="仿宋_GB2312" w:eastAsia="仿宋_GB2312"/>
                <w:sz w:val="24"/>
              </w:rPr>
              <w:t>kV</w:t>
            </w:r>
            <w:r>
              <w:rPr>
                <w:rFonts w:ascii="仿宋_GB2312" w:hAnsi="仿宋_GB2312" w:cs="仿宋_GB2312" w:eastAsia="仿宋_GB2312"/>
                <w:sz w:val="24"/>
              </w:rPr>
              <w:t>，</w:t>
            </w:r>
            <w:r>
              <w:rPr>
                <w:rFonts w:ascii="仿宋_GB2312" w:hAnsi="仿宋_GB2312" w:cs="仿宋_GB2312" w:eastAsia="仿宋_GB2312"/>
                <w:sz w:val="24"/>
              </w:rPr>
              <w:t>mA</w:t>
            </w:r>
            <w:r>
              <w:rPr>
                <w:rFonts w:ascii="仿宋_GB2312" w:hAnsi="仿宋_GB2312" w:cs="仿宋_GB2312" w:eastAsia="仿宋_GB2312"/>
                <w:sz w:val="24"/>
              </w:rPr>
              <w:t>，</w:t>
            </w:r>
            <w:r>
              <w:rPr>
                <w:rFonts w:ascii="仿宋_GB2312" w:hAnsi="仿宋_GB2312" w:cs="仿宋_GB2312" w:eastAsia="仿宋_GB2312"/>
                <w:sz w:val="24"/>
              </w:rPr>
              <w:t>mAs</w:t>
            </w:r>
            <w:r>
              <w:rPr>
                <w:rFonts w:ascii="仿宋_GB2312" w:hAnsi="仿宋_GB2312" w:cs="仿宋_GB2312" w:eastAsia="仿宋_GB2312"/>
                <w:sz w:val="24"/>
              </w:rPr>
              <w:t>）、可调整部位选择、具备患者体型选择</w:t>
            </w:r>
          </w:p>
          <w:p>
            <w:pPr>
              <w:pStyle w:val="null3"/>
              <w:numPr>
                <w:ilvl w:val="0"/>
                <w:numId w:val="1"/>
              </w:numPr>
              <w:jc w:val="left"/>
            </w:pPr>
            <w:r>
              <w:rPr>
                <w:rFonts w:ascii="仿宋_GB2312" w:hAnsi="仿宋_GB2312" w:cs="仿宋_GB2312" w:eastAsia="仿宋_GB2312"/>
                <w:sz w:val="24"/>
              </w:rPr>
              <w:t>具有摄影后图像显示功能</w:t>
            </w:r>
          </w:p>
          <w:p>
            <w:pPr>
              <w:pStyle w:val="null3"/>
              <w:jc w:val="left"/>
            </w:pPr>
            <w:r>
              <w:rPr>
                <w:rFonts w:ascii="仿宋_GB2312" w:hAnsi="仿宋_GB2312" w:cs="仿宋_GB2312" w:eastAsia="仿宋_GB2312"/>
                <w:sz w:val="24"/>
              </w:rPr>
              <w:t>（七）</w:t>
            </w:r>
            <w:r>
              <w:rPr>
                <w:rFonts w:ascii="仿宋_GB2312" w:hAnsi="仿宋_GB2312" w:cs="仿宋_GB2312" w:eastAsia="仿宋_GB2312"/>
                <w:sz w:val="24"/>
              </w:rPr>
              <w:t>图像采集工作站</w:t>
            </w:r>
          </w:p>
          <w:p>
            <w:pPr>
              <w:pStyle w:val="null3"/>
              <w:numPr>
                <w:ilvl w:val="0"/>
                <w:numId w:val="1"/>
              </w:numPr>
              <w:jc w:val="left"/>
            </w:pPr>
            <w:r>
              <w:rPr>
                <w:rFonts w:ascii="仿宋_GB2312" w:hAnsi="仿宋_GB2312" w:cs="仿宋_GB2312" w:eastAsia="仿宋_GB2312"/>
                <w:sz w:val="24"/>
              </w:rPr>
              <w:t>支持</w:t>
            </w:r>
            <w:r>
              <w:rPr>
                <w:rFonts w:ascii="仿宋_GB2312" w:hAnsi="仿宋_GB2312" w:cs="仿宋_GB2312" w:eastAsia="仿宋_GB2312"/>
                <w:sz w:val="24"/>
              </w:rPr>
              <w:t>windows10</w:t>
            </w:r>
            <w:r>
              <w:rPr>
                <w:rFonts w:ascii="仿宋_GB2312" w:hAnsi="仿宋_GB2312" w:cs="仿宋_GB2312" w:eastAsia="仿宋_GB2312"/>
                <w:sz w:val="24"/>
              </w:rPr>
              <w:t xml:space="preserve"> </w:t>
            </w:r>
            <w:r>
              <w:rPr>
                <w:rFonts w:ascii="仿宋_GB2312" w:hAnsi="仿宋_GB2312" w:cs="仿宋_GB2312" w:eastAsia="仿宋_GB2312"/>
                <w:sz w:val="24"/>
              </w:rPr>
              <w:t>或以上操作系统，操作界面语言采用中文设计</w:t>
            </w:r>
          </w:p>
          <w:p>
            <w:pPr>
              <w:pStyle w:val="null3"/>
              <w:numPr>
                <w:ilvl w:val="0"/>
                <w:numId w:val="1"/>
              </w:numPr>
              <w:jc w:val="left"/>
            </w:pPr>
            <w:r>
              <w:rPr>
                <w:rFonts w:ascii="仿宋_GB2312" w:hAnsi="仿宋_GB2312" w:cs="仿宋_GB2312" w:eastAsia="仿宋_GB2312"/>
                <w:sz w:val="24"/>
              </w:rPr>
              <w:t>高压发生器控制与系统操作高度集成，可在系统界面上进行高压发生器曝光参数的调节、设置和显示</w:t>
            </w:r>
          </w:p>
          <w:p>
            <w:pPr>
              <w:pStyle w:val="null3"/>
              <w:numPr>
                <w:ilvl w:val="0"/>
                <w:numId w:val="1"/>
              </w:numPr>
              <w:jc w:val="left"/>
            </w:pPr>
            <w:r>
              <w:rPr>
                <w:rFonts w:ascii="仿宋_GB2312" w:hAnsi="仿宋_GB2312" w:cs="仿宋_GB2312" w:eastAsia="仿宋_GB2312"/>
                <w:sz w:val="24"/>
              </w:rPr>
              <w:t>具有图像放大及漫游功能；具有曝光参数记录和显示功能；具有边缘增强功能；具有窗宽窗位调节功能；具有图像</w:t>
            </w:r>
            <w:r>
              <w:rPr>
                <w:rFonts w:ascii="仿宋_GB2312" w:hAnsi="仿宋_GB2312" w:cs="仿宋_GB2312" w:eastAsia="仿宋_GB2312"/>
                <w:sz w:val="24"/>
              </w:rPr>
              <w:t>翻转及旋转功能；具有图像正负像翻转功能；具有图像标注功能；具有</w:t>
            </w:r>
            <w:r>
              <w:rPr>
                <w:rFonts w:ascii="仿宋_GB2312" w:hAnsi="仿宋_GB2312" w:cs="仿宋_GB2312" w:eastAsia="仿宋_GB2312"/>
                <w:sz w:val="24"/>
              </w:rPr>
              <w:t>DICOM</w:t>
            </w:r>
            <w:r>
              <w:rPr>
                <w:rFonts w:ascii="仿宋_GB2312" w:hAnsi="仿宋_GB2312" w:cs="仿宋_GB2312" w:eastAsia="仿宋_GB2312"/>
                <w:sz w:val="24"/>
              </w:rPr>
              <w:t>图像导出存储功能；具有病人登记，信息管理功能；具有故障代码发送，高压发生器操作过程记录功能；支持</w:t>
            </w:r>
            <w:r>
              <w:rPr>
                <w:rFonts w:ascii="仿宋_GB2312" w:hAnsi="仿宋_GB2312" w:cs="仿宋_GB2312" w:eastAsia="仿宋_GB2312"/>
                <w:sz w:val="24"/>
              </w:rPr>
              <w:t>DICOM3.0</w:t>
            </w:r>
            <w:r>
              <w:rPr>
                <w:rFonts w:ascii="仿宋_GB2312" w:hAnsi="仿宋_GB2312" w:cs="仿宋_GB2312" w:eastAsia="仿宋_GB2312"/>
                <w:sz w:val="24"/>
              </w:rPr>
              <w:t>：</w:t>
            </w:r>
            <w:r>
              <w:rPr>
                <w:rFonts w:ascii="仿宋_GB2312" w:hAnsi="仿宋_GB2312" w:cs="仿宋_GB2312" w:eastAsia="仿宋_GB2312"/>
                <w:sz w:val="24"/>
              </w:rPr>
              <w:t>WORKLIST</w:t>
            </w:r>
            <w:r>
              <w:rPr>
                <w:rFonts w:ascii="仿宋_GB2312" w:hAnsi="仿宋_GB2312" w:cs="仿宋_GB2312" w:eastAsia="仿宋_GB2312"/>
                <w:sz w:val="24"/>
              </w:rPr>
              <w:t>，</w:t>
            </w:r>
            <w:r>
              <w:rPr>
                <w:rFonts w:ascii="仿宋_GB2312" w:hAnsi="仿宋_GB2312" w:cs="仿宋_GB2312" w:eastAsia="仿宋_GB2312"/>
                <w:sz w:val="24"/>
              </w:rPr>
              <w:t>MPPS</w:t>
            </w:r>
          </w:p>
          <w:p>
            <w:pPr>
              <w:pStyle w:val="null3"/>
              <w:numPr>
                <w:ilvl w:val="0"/>
                <w:numId w:val="1"/>
              </w:numPr>
              <w:jc w:val="left"/>
            </w:pPr>
            <w:r>
              <w:rPr>
                <w:rFonts w:ascii="仿宋_GB2312" w:hAnsi="仿宋_GB2312" w:cs="仿宋_GB2312" w:eastAsia="仿宋_GB2312"/>
                <w:sz w:val="24"/>
              </w:rPr>
              <w:t>具有统计功能，至少可统计曝光数量，拍摄部位，拍摄量</w:t>
            </w:r>
          </w:p>
          <w:p>
            <w:pPr>
              <w:pStyle w:val="null3"/>
              <w:numPr>
                <w:ilvl w:val="0"/>
                <w:numId w:val="1"/>
              </w:numPr>
              <w:jc w:val="left"/>
            </w:pPr>
            <w:r>
              <w:rPr>
                <w:rFonts w:ascii="仿宋_GB2312" w:hAnsi="仿宋_GB2312" w:cs="仿宋_GB2312" w:eastAsia="仿宋_GB2312"/>
                <w:sz w:val="24"/>
              </w:rPr>
              <w:t>▲具有智能售后远程服务系统，能实时观测产品的详细使用状态，能自动反馈故障或错误给厂家</w:t>
            </w:r>
          </w:p>
          <w:p>
            <w:pPr>
              <w:pStyle w:val="null3"/>
              <w:jc w:val="left"/>
            </w:pPr>
            <w:r>
              <w:rPr>
                <w:rFonts w:ascii="仿宋_GB2312" w:hAnsi="仿宋_GB2312" w:cs="仿宋_GB2312" w:eastAsia="仿宋_GB2312"/>
                <w:sz w:val="24"/>
              </w:rPr>
              <w:t>33.支持远程升级、远程故障诊断和故障处理、远程桌面协助</w:t>
            </w:r>
          </w:p>
          <w:p>
            <w:pPr>
              <w:pStyle w:val="null3"/>
              <w:pBdr>
                <w:bottom w:val="single" w:sz="6" w:space="1"/>
                <w:between w:val="single" w:sz="6" w:space="1"/>
              </w:pBdr>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4"/>
                <w:b/>
              </w:rPr>
              <w:t>（一）</w:t>
            </w:r>
            <w:r>
              <w:rPr>
                <w:rFonts w:ascii="仿宋_GB2312" w:hAnsi="仿宋_GB2312" w:cs="仿宋_GB2312" w:eastAsia="仿宋_GB2312"/>
                <w:sz w:val="24"/>
                <w:b/>
              </w:rPr>
              <w:t>售后服务要求</w:t>
            </w:r>
          </w:p>
          <w:p>
            <w:pPr>
              <w:pStyle w:val="null3"/>
              <w:ind w:firstLine="480"/>
              <w:jc w:val="both"/>
            </w:pPr>
            <w:r>
              <w:rPr>
                <w:rFonts w:ascii="仿宋_GB2312" w:hAnsi="仿宋_GB2312" w:cs="仿宋_GB2312" w:eastAsia="仿宋_GB2312"/>
                <w:sz w:val="24"/>
              </w:rPr>
              <w:t>1.为采购人提供使用操作培训，保证受训人员能对设备进行熟练操作及日常维护；为采购人维修工程师提供技术培训，直至其具备保障设备正常运行和排除一般性故障的能力。如未达到上述要求，采购人有权延后支付合同价款。</w:t>
            </w:r>
          </w:p>
          <w:p>
            <w:pPr>
              <w:pStyle w:val="null3"/>
              <w:ind w:firstLine="480"/>
              <w:jc w:val="both"/>
            </w:pPr>
            <w:r>
              <w:rPr>
                <w:rFonts w:ascii="仿宋_GB2312" w:hAnsi="仿宋_GB2312" w:cs="仿宋_GB2312" w:eastAsia="仿宋_GB2312"/>
                <w:sz w:val="24"/>
              </w:rPr>
              <w:t>2.如在质保期内出现质量问题，供应商须在接到通知后2小时内响应，24小时内到场维修，并承担相关费用。</w:t>
            </w:r>
          </w:p>
          <w:p>
            <w:pPr>
              <w:pStyle w:val="null3"/>
              <w:ind w:firstLine="480"/>
              <w:jc w:val="both"/>
            </w:pPr>
            <w:r>
              <w:rPr>
                <w:rFonts w:ascii="仿宋_GB2312" w:hAnsi="仿宋_GB2312" w:cs="仿宋_GB2312" w:eastAsia="仿宋_GB2312"/>
                <w:sz w:val="24"/>
              </w:rPr>
              <w:t>3.如设备在质保期内因同一故障经供应商两次维修仍不能达到合同约定的技术要求及国家法律法规规定的质量标准，采购人有权要求供应商更换全新设备或退货，并追究供应商违约责任。</w:t>
            </w:r>
          </w:p>
          <w:p>
            <w:pPr>
              <w:pStyle w:val="null3"/>
              <w:ind w:firstLine="480"/>
              <w:jc w:val="both"/>
            </w:pPr>
            <w:r>
              <w:rPr>
                <w:rFonts w:ascii="仿宋_GB2312" w:hAnsi="仿宋_GB2312" w:cs="仿宋_GB2312" w:eastAsia="仿宋_GB2312"/>
                <w:sz w:val="24"/>
              </w:rPr>
              <w:t>4.质保期内，设备因自身故障导致的停机率不应超过5%（一年按365天计算），否则供应商应就超出部分（供应商已提供备用机并保障采购人正常使用的时间，不计算为停机时间）按天数向采购人赔偿经济损失。</w:t>
            </w:r>
          </w:p>
          <w:p>
            <w:pPr>
              <w:pStyle w:val="null3"/>
              <w:ind w:firstLine="480"/>
              <w:jc w:val="both"/>
            </w:pPr>
            <w:r>
              <w:rPr>
                <w:rFonts w:ascii="仿宋_GB2312" w:hAnsi="仿宋_GB2312" w:cs="仿宋_GB2312" w:eastAsia="仿宋_GB2312"/>
                <w:sz w:val="24"/>
              </w:rPr>
              <w:t>5.质保期内，如设备因维修无法使用，供应商应根据采购人需要向采购人提供备用设备。</w:t>
            </w:r>
          </w:p>
          <w:p>
            <w:pPr>
              <w:pStyle w:val="null3"/>
              <w:ind w:firstLine="480"/>
              <w:jc w:val="both"/>
            </w:pPr>
            <w:r>
              <w:rPr>
                <w:rFonts w:ascii="仿宋_GB2312" w:hAnsi="仿宋_GB2312" w:cs="仿宋_GB2312" w:eastAsia="仿宋_GB2312"/>
                <w:sz w:val="24"/>
              </w:rPr>
              <w:t>6.供应商须指派专人负责与采购人联系售后服务事宜。</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4"/>
                <w:b/>
              </w:rPr>
              <w:t>（二）</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333333"/>
                <w:shd w:fill="FFFFFF" w:val="clear"/>
              </w:rPr>
              <w:t>国家或行业主管部门对采购产品的技术标准、质量标准和资格资质条件等有强制性规定的，必须符合其要求。成交后，若涉及国家强制性产品</w:t>
            </w:r>
            <w:r>
              <w:rPr>
                <w:rFonts w:ascii="仿宋_GB2312" w:hAnsi="仿宋_GB2312" w:cs="仿宋_GB2312" w:eastAsia="仿宋_GB2312"/>
                <w:sz w:val="24"/>
                <w:color w:val="333333"/>
                <w:shd w:fill="FFFFFF" w:val="clear"/>
              </w:rPr>
              <w:t>3C认证证书、有效期内的无线电发射设备型号核准证、列入《网络关键设备和网络安全专用产品目录》的网络安全专用产品应当按照《信息安全技术网络安全专用产品安全技术要求》等相关国家标准的强制性要求，提供由具备资格的机构安全认证合格或者安全检测符合要求的证明材料，签订采购合同时提供给采购人，由采购人查验。</w:t>
            </w:r>
          </w:p>
          <w:p>
            <w:pPr>
              <w:pStyle w:val="null3"/>
              <w:ind w:firstLine="480"/>
              <w:jc w:val="both"/>
            </w:pPr>
            <w:r>
              <w:rPr>
                <w:rFonts w:ascii="仿宋_GB2312" w:hAnsi="仿宋_GB2312" w:cs="仿宋_GB2312" w:eastAsia="仿宋_GB2312"/>
                <w:b/>
              </w:rPr>
              <w:t>2.投标产品及其配置产品为医疗器械的，投标产品须符合《医疗器械注册与备案管理办法》要求并提供产品的注册/备案证明材料【供应商提供有效的证明材料扫描件并进行电子签章】；</w:t>
            </w:r>
          </w:p>
          <w:p>
            <w:pPr>
              <w:pStyle w:val="null3"/>
              <w:ind w:firstLine="480"/>
              <w:jc w:val="both"/>
            </w:pPr>
            <w:r>
              <w:rPr>
                <w:rFonts w:ascii="仿宋_GB2312" w:hAnsi="仿宋_GB2312" w:cs="仿宋_GB2312" w:eastAsia="仿宋_GB2312"/>
                <w:sz w:val="24"/>
              </w:rPr>
              <w:t>（三）履约要求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color w:val="000000"/>
              </w:rPr>
              <w:t>供应商应结合本项目概况、技术服务要求制定详细的项目实施方案，内容至少包含：</w:t>
            </w:r>
            <w:r>
              <w:rPr>
                <w:rFonts w:ascii="仿宋_GB2312" w:hAnsi="仿宋_GB2312" w:cs="仿宋_GB2312" w:eastAsia="仿宋_GB2312"/>
                <w:sz w:val="24"/>
                <w:color w:val="000000"/>
              </w:rPr>
              <w:t>①货物运输执行方案；②货物安装执行方案；③运输过程中的货物安全及人员安全保障方案；④供货进度保障措施；⑤设备操作培训</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color w:val="000000"/>
              </w:rPr>
              <w:t>供应商应结合本项目概况、技术服务要求制定详细的售后服务方案，内容至少包含：</w:t>
            </w:r>
            <w:r>
              <w:rPr>
                <w:rFonts w:ascii="仿宋_GB2312" w:hAnsi="仿宋_GB2312" w:cs="仿宋_GB2312" w:eastAsia="仿宋_GB2312"/>
                <w:sz w:val="24"/>
                <w:color w:val="000000"/>
              </w:rPr>
              <w:t>①售后服务流程；②设备维修、维护及零配件、备品备件计划方案；③售后服务人员配置；④应急预案</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3.供应商提供2023年1月1日（含）至本项目响应文件递交截止时间为止</w:t>
            </w:r>
            <w:r>
              <w:rPr>
                <w:rFonts w:ascii="仿宋_GB2312" w:hAnsi="仿宋_GB2312" w:cs="仿宋_GB2312" w:eastAsia="仿宋_GB2312"/>
                <w:sz w:val="24"/>
              </w:rPr>
              <w:t>的</w:t>
            </w:r>
            <w:r>
              <w:rPr>
                <w:rFonts w:ascii="仿宋_GB2312" w:hAnsi="仿宋_GB2312" w:cs="仿宋_GB2312" w:eastAsia="仿宋_GB2312"/>
                <w:sz w:val="24"/>
                <w:color w:val="000000"/>
              </w:rPr>
              <w:t>类似业绩</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4.本项目涉及企业资质、产品认证、人员执业资格、国家或行业标准等描述与最新要求不一致时以最新要求为准。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 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1、预付款，合同签订后，设备安装调试完成，供应商提供合格等额的票据凭证资料，达到付款条件起12日内，支付合同总金额的50.00%</w:t>
            </w:r>
          </w:p>
          <w:p>
            <w:pPr>
              <w:pStyle w:val="null3"/>
              <w:jc w:val="left"/>
            </w:pPr>
            <w:r>
              <w:rPr>
                <w:rFonts w:ascii="仿宋_GB2312" w:hAnsi="仿宋_GB2312" w:cs="仿宋_GB2312" w:eastAsia="仿宋_GB2312"/>
              </w:rPr>
              <w:t>2、进度款，本项目设备质保期满，供应商提供合格等额的票据凭证资料，达到付款条件起12日内，支付合同总金额的30.00%</w:t>
            </w:r>
          </w:p>
          <w:p>
            <w:pPr>
              <w:pStyle w:val="null3"/>
              <w:jc w:val="left"/>
            </w:pPr>
            <w:r>
              <w:rPr>
                <w:rFonts w:ascii="仿宋_GB2312" w:hAnsi="仿宋_GB2312" w:cs="仿宋_GB2312" w:eastAsia="仿宋_GB2312"/>
              </w:rPr>
              <w:t>3、尾款，自设备验收合格运行两年后，供应商提供合格等额的票据凭证资料，，达到付款条件起12日内，支付合同总金额的20.00%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（1）符合国家现行技术规程、规范。 （2）按国家有关规定以及采购文件的质量要求和技术指标、供应商的响应文件及承诺与本合同约定标准进行验收。 （3）其他未尽事宜应严格按照政府采购相关法律法规以及《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质保范围：本包全部内容； 质保期：自验收合格之日起1年。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责任。 （3）供应商应当遵守采购人的相关项目需求及相关技术服务要求及实质性条款，实施完成采购合同应当完全满足相关项目需求及相关技术服务要求及实质性条款，若供应商瑕疵履行采购合同，采购人有权单方面无条件解除合同，并由供应商承担所有责任。 二、解决争议的方法： （1）因服务的质量问题发生争议，由采购人或其指定的第三方机构进行质量鉴定。产品质量符合标准的，鉴定费由采购人承担；服务质量不符合标准的，鉴定费由供应商承担。 （2）合同履行期间，若双方发生争议，可协商或由有关部门调解解决，协商或调解不成的，向采购人所在地人民法院提起诉讼。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本项目涉及企业资质、产品认证、人员执业资格、国家或行业标准等描述与国家最新要求不一致时或存在失效或更新的，以国家最新要求为准。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属于专门面向小微企业采购。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小微企业制造；如供应商合同分包的，分包意向协议中分包意向供应商提供的货物由小微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供应商若为生产厂家，须符合《医疗器械监督管理条例》要求并提供中华人民共和国医疗器械生产许可证或生产备案凭证； 供应商若为非生产厂家，须符合《医疗器械监督管理条例》要求并提供中华人民共和国医疗器械经营许可证或经营备案凭证（已提供包含二类备案的多证合一营业执照的供应商除外）。</w:t>
            </w:r>
          </w:p>
        </w:tc>
        <w:tc>
          <w:tcPr>
            <w:tcW w:type="dxa" w:w="3322"/>
          </w:tcPr>
          <w:p>
            <w:pPr>
              <w:pStyle w:val="null3"/>
              <w:jc w:val="left"/>
            </w:pPr>
            <w:r>
              <w:rPr>
                <w:rFonts w:ascii="仿宋_GB2312" w:hAnsi="仿宋_GB2312" w:cs="仿宋_GB2312" w:eastAsia="仿宋_GB2312"/>
              </w:rPr>
              <w:t>供应商若为生产厂家，须符合《医疗器械监督管理条例》要求并提供中华人民共和国医疗器械生产许可证或生产备案凭证； 供应商若为非生产厂家，须符合《医疗器械监督管理条例》要求并提供中华人民共和国医疗器械经营许可证或经营备案凭证（已提供包含二类备案的多证合一营业执照的供应商除外）。 （提供证书扫描件并进行电子签章）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供应商须具有有效的《辐射安全许可证》，并提供所投产品生产厂家有效的《辐射安全许可证》。</w:t>
            </w:r>
          </w:p>
        </w:tc>
        <w:tc>
          <w:tcPr>
            <w:tcW w:type="dxa" w:w="3322"/>
          </w:tcPr>
          <w:p>
            <w:pPr>
              <w:pStyle w:val="null3"/>
              <w:jc w:val="left"/>
            </w:pPr>
            <w:r>
              <w:rPr>
                <w:rFonts w:ascii="仿宋_GB2312" w:hAnsi="仿宋_GB2312" w:cs="仿宋_GB2312" w:eastAsia="仿宋_GB2312"/>
              </w:rPr>
              <w:t>供应商须具有有效的《辐射安全许可证》，并提供所投产品生产厂家有效的《辐射安全许可证》。（提供证书扫描件并进行电子签章）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1、采购文件中没有要求供应商需要提供承诺函或证明资料进行响应的实质性条款，供应商根据系统给定的格式文件“《投标（响应）函》、技术要求应答表、商务要求应答表、关于符合本国产品标准的声明函”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关于符合本国产品标准的声明函,商务应答表.docx,技术要求应答表.docx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技术、服务响应</w:t>
            </w:r>
          </w:p>
        </w:tc>
        <w:tc>
          <w:tcPr>
            <w:tcW w:type="dxa" w:w="2575"/>
          </w:tcPr>
          <w:p>
            <w:pPr>
              <w:pStyle w:val="null3"/>
              <w:jc w:val="left"/>
            </w:pPr>
            <w:r>
              <w:rPr>
                <w:rFonts w:ascii="仿宋_GB2312" w:hAnsi="仿宋_GB2312" w:cs="仿宋_GB2312" w:eastAsia="仿宋_GB2312"/>
              </w:rPr>
              <w:t>若涉及多级序号的以最小级序号为一条技术参数计算； 供应商针对磋商文件一般技术参数条款的响应得分规则如下： （1）一般技术参数条款响应得分=（投标人满足一般技术参数条款的数量÷招标文件中一般技术参数条款的总数量）*12分； （2）投标人针对招标文件对应带“▲”技术参数条款的响应得分规则如下： “▲”技术参数条款响应得分=（投标人满足“▲”技术参数条款的数量÷招标文件中“▲”技术参数条款的总数量）*20分。 注： ①标注“★”的条款为本项目的实质性要求，供应商应完全满足，未响应或不满足按无效投标处理。</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应结合本项目概况、技术服务要求制定详细的项目实施方案，内容至少包含：①货物运输执行方案；②货物安装执行方案；③运输过程中的货物安全及人员安全保障方案；④供货进度保障措施；⑤设备操作培训；提供上述所有方案的得20分，每缺一项扣4分，每有一项内容存在缺陷扣2分，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应结合本项目概况、技术服务要求制定详细的售后服务方案，内容至少包含：①售后服务流程；②设备维修、维护及零配件、备品备件计划方案；③售后服务人员配置；④应急预案；提供上述所有方案的得16分，每缺一项扣4分，每有一项内容存在缺陷扣2分，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供应商提供2023年1月1日（含）至本项目响应文件递交截止时间为止的类似业绩，每提供一份类似业绩得2分，本项最多得2分。 注：提供中标（成交）通知书或供货合同扫描件并进行电子签章。不提供不得分，时间以合同签订时间或中标（成交）通知书落款时间为准。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满足磋商文件要求且最终报价最低的为评审基准价，价格得分=（评审基准价/最终报价）×30。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