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版本号：N513337202600006320260427001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稻城县科技赋能农文旅融合示范项目（飞跃亚丁VR体验）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N5133372026000063</w:t>
      </w:r>
    </w:p>
    <w:p>
      <w:pPr>
        <w:pStyle w:val="null3"/>
        <w:jc w:val="center"/>
        <w:outlineLvl w:val="2"/>
      </w:pPr>
      <w:r>
        <w:rPr>
          <w:rFonts w:ascii="仿宋_GB2312" w:hAnsi="仿宋_GB2312" w:cs="仿宋_GB2312" w:eastAsia="仿宋_GB2312"/>
          <w:sz w:val="28"/>
          <w:b/>
        </w:rPr>
        <w:t>稻城县文化广播电视和旅游局</w:t>
      </w:r>
    </w:p>
    <w:p>
      <w:pPr>
        <w:pStyle w:val="null3"/>
        <w:jc w:val="center"/>
        <w:outlineLvl w:val="2"/>
      </w:pPr>
      <w:r>
        <w:rPr>
          <w:rFonts w:ascii="仿宋_GB2312" w:hAnsi="仿宋_GB2312" w:cs="仿宋_GB2312" w:eastAsia="仿宋_GB2312"/>
          <w:sz w:val="28"/>
          <w:b/>
        </w:rPr>
        <w:t>四川中科远洋工程项目管理有限公司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稻城县文化广播电视和旅游局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稻城县科技赋能农文旅融合示范项目（飞跃亚丁VR体验）</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甘孜藏族自治州稻城县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N5133372026000063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稻城县科技赋能农文旅融合示范项目（飞跃亚丁VR体验）</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以“科技赋能稻城，沉浸感知亚丁”为核心理念，打造VR景区沉浸式体验中心。依托高精度三维建模技术，沉浸式复现亚丁景区核心景点及四季风貌，打破传统游览时空与视角限制，创新设置自主飞行器驾驶模式，让游客在自主探索中感受景区风光、了解文化内涵，实现“游览即体验、体验即传播”，助力景区拓宽体验宣传边界，打造科技与文旅融合的新标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稻城县文化广播电视和旅游局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稻城县金珠镇贡巴路一段66号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干老师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0836-5728276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四川中科远洋工程项目管理有限公司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四川省成都市金牛万达SoHo A座16楼1601号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028-83130617-617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次招标代理服务费按照成本加合理利润的原则向（中标）成交供应商收取：39000.00元。2.代理费收款单位：四川中科远洋工程项目管理有限公司；开户行：中国工商银行股份有限公司成都铁路支行；银行账号：4402001809100107525；特别注意：请在备注栏必须填写“项目名称”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稻城县文化广播电视和旅游局</w:t>
      </w:r>
      <w:r>
        <w:rPr>
          <w:rFonts w:ascii="仿宋_GB2312" w:hAnsi="仿宋_GB2312" w:cs="仿宋_GB2312" w:eastAsia="仿宋_GB2312"/>
        </w:rPr>
        <w:t xml:space="preserve"> 和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稻城县文化广播电视和旅游局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（1）履约验收主体：采购人。 （2）履约验收方式：成交人提出验收申请后，由采购人自行组织验收，验收时采购人、成交人双方皆应派员参加。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采购文件的服务要求和技术指标、成交人的响应文件及承诺与合同约定标准进行技术条款逐项验收。验收时如发现服务要求和技术指标不符合标准及合同约定之情形者，采购人做出详尽的现场记录，或由双方签署备忘录，此现场记录或备忘录可用作补充、整改的有效证据，由此产生的时间延误与有关费用由成交人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按采购文件要求、成交人的响应文件及承诺、签订的合同、国家及行业相关规范标准进行商务条款逐条验收；如出现未在采购文件中明确规定的，以行业相关标准为准。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（1）验收相关事宜及法律责任：如出现成交人提供虚假材料谋取中标或达不到采购要求的，采购人有权拒绝验收，并按《中华人民共和国民法典》追究其相关法律责任。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稻城县文化广播电视和旅游局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四川中科远洋工程项目管理有限公司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联系人：干老师</w:t>
      </w:r>
    </w:p>
    <w:p>
      <w:pPr>
        <w:pStyle w:val="null3"/>
        <w:jc w:val="left"/>
      </w:pPr>
      <w:r>
        <w:rPr>
          <w:rFonts w:ascii="仿宋_GB2312" w:hAnsi="仿宋_GB2312" w:cs="仿宋_GB2312" w:eastAsia="仿宋_GB2312"/>
        </w:rPr>
        <w:t>联系电话：18011274525</w:t>
      </w:r>
    </w:p>
    <w:p>
      <w:pPr>
        <w:pStyle w:val="null3"/>
        <w:jc w:val="left"/>
      </w:pPr>
      <w:r>
        <w:rPr>
          <w:rFonts w:ascii="仿宋_GB2312" w:hAnsi="仿宋_GB2312" w:cs="仿宋_GB2312" w:eastAsia="仿宋_GB2312"/>
        </w:rPr>
        <w:t>地址：稻城县金珠镇贡巴路一段66号</w:t>
      </w:r>
    </w:p>
    <w:p>
      <w:pPr>
        <w:pStyle w:val="null3"/>
        <w:jc w:val="left"/>
      </w:pPr>
      <w:r>
        <w:rPr>
          <w:rFonts w:ascii="仿宋_GB2312" w:hAnsi="仿宋_GB2312" w:cs="仿宋_GB2312" w:eastAsia="仿宋_GB2312"/>
        </w:rPr>
        <w:t>邮编：627750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联系电话：028-83130617-617</w:t>
      </w:r>
    </w:p>
    <w:p>
      <w:pPr>
        <w:pStyle w:val="null3"/>
        <w:jc w:val="left"/>
      </w:pPr>
      <w:r>
        <w:rPr>
          <w:rFonts w:ascii="仿宋_GB2312" w:hAnsi="仿宋_GB2312" w:cs="仿宋_GB2312" w:eastAsia="仿宋_GB2312"/>
        </w:rPr>
        <w:t>地址：四川省成都市金牛万达SoHoA座16楼1601号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C16010301 通用应用软件开发服务</w:t>
            </w:r>
          </w:p>
        </w:tc>
        <w:tc>
          <w:tcPr>
            <w:tcW w:type="dxa" w:w="821"/>
          </w:tcPr>
          <w:p>
            <w:pPr>
              <w:pStyle w:val="null3"/>
              <w:jc w:val="left"/>
            </w:pPr>
            <w:r>
              <w:rPr>
                <w:rFonts w:ascii="仿宋_GB2312" w:hAnsi="仿宋_GB2312" w:cs="仿宋_GB2312" w:eastAsia="仿宋_GB2312"/>
              </w:rPr>
              <w:t>稻城县科技赋能农文旅融合示范项目（飞跃亚丁VR体验）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稻城县科技赋能农文旅融合示范项目（飞跃亚丁VR体验）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标的名称：稻城县科技赋能农文旅融合示范项目（飞跃亚丁VR体验）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outlineLvl w:val="1"/>
            </w:pPr>
            <w:r>
              <w:rPr>
                <w:rFonts w:ascii="仿宋_GB2312" w:hAnsi="仿宋_GB2312" w:cs="仿宋_GB2312" w:eastAsia="仿宋_GB2312"/>
                <w:sz w:val="28"/>
                <w:b/>
              </w:rPr>
              <w:t>一、项目概述</w:t>
            </w:r>
          </w:p>
          <w:p>
            <w:pPr>
              <w:pStyle w:val="null3"/>
              <w:ind w:firstLine="480"/>
              <w:jc w:val="both"/>
            </w:pPr>
            <w:r>
              <w:rPr>
                <w:rFonts w:ascii="仿宋_GB2312" w:hAnsi="仿宋_GB2312" w:cs="仿宋_GB2312" w:eastAsia="仿宋_GB2312"/>
                <w:sz w:val="24"/>
              </w:rPr>
              <w:t>本项目以</w:t>
            </w:r>
            <w:r>
              <w:rPr>
                <w:rFonts w:ascii="仿宋_GB2312" w:hAnsi="仿宋_GB2312" w:cs="仿宋_GB2312" w:eastAsia="仿宋_GB2312"/>
                <w:sz w:val="24"/>
              </w:rPr>
              <w:t>“科技赋能</w:t>
            </w:r>
            <w:r>
              <w:rPr>
                <w:rFonts w:ascii="仿宋_GB2312" w:hAnsi="仿宋_GB2312" w:cs="仿宋_GB2312" w:eastAsia="仿宋_GB2312"/>
                <w:sz w:val="24"/>
              </w:rPr>
              <w:t>稻城</w:t>
            </w:r>
            <w:r>
              <w:rPr>
                <w:rFonts w:ascii="仿宋_GB2312" w:hAnsi="仿宋_GB2312" w:cs="仿宋_GB2312" w:eastAsia="仿宋_GB2312"/>
                <w:sz w:val="24"/>
              </w:rPr>
              <w:t>，沉浸感知</w:t>
            </w:r>
            <w:r>
              <w:rPr>
                <w:rFonts w:ascii="仿宋_GB2312" w:hAnsi="仿宋_GB2312" w:cs="仿宋_GB2312" w:eastAsia="仿宋_GB2312"/>
                <w:sz w:val="24"/>
              </w:rPr>
              <w:t>亚丁</w:t>
            </w:r>
            <w:r>
              <w:rPr>
                <w:rFonts w:ascii="仿宋_GB2312" w:hAnsi="仿宋_GB2312" w:cs="仿宋_GB2312" w:eastAsia="仿宋_GB2312"/>
                <w:sz w:val="24"/>
              </w:rPr>
              <w:t>”为核心理念，打造VR景区沉浸式体验中心。依托高精度三维建模技术，</w:t>
            </w:r>
            <w:r>
              <w:rPr>
                <w:rFonts w:ascii="仿宋_GB2312" w:hAnsi="仿宋_GB2312" w:cs="仿宋_GB2312" w:eastAsia="仿宋_GB2312"/>
                <w:sz w:val="24"/>
              </w:rPr>
              <w:t>沉浸式</w:t>
            </w:r>
            <w:r>
              <w:rPr>
                <w:rFonts w:ascii="仿宋_GB2312" w:hAnsi="仿宋_GB2312" w:cs="仿宋_GB2312" w:eastAsia="仿宋_GB2312"/>
                <w:sz w:val="24"/>
              </w:rPr>
              <w:t>复现</w:t>
            </w:r>
            <w:r>
              <w:rPr>
                <w:rFonts w:ascii="仿宋_GB2312" w:hAnsi="仿宋_GB2312" w:cs="仿宋_GB2312" w:eastAsia="仿宋_GB2312"/>
                <w:sz w:val="24"/>
              </w:rPr>
              <w:t>亚丁</w:t>
            </w:r>
            <w:r>
              <w:rPr>
                <w:rFonts w:ascii="仿宋_GB2312" w:hAnsi="仿宋_GB2312" w:cs="仿宋_GB2312" w:eastAsia="仿宋_GB2312"/>
                <w:sz w:val="24"/>
              </w:rPr>
              <w:t>景区核心景点及四季风貌，打破传统游览时空与视角限制，创新设置自主飞行器驾驶模式，让游客在自主探索中感受景区风光、了解文化内涵，实现</w:t>
            </w:r>
            <w:r>
              <w:rPr>
                <w:rFonts w:ascii="仿宋_GB2312" w:hAnsi="仿宋_GB2312" w:cs="仿宋_GB2312" w:eastAsia="仿宋_GB2312"/>
                <w:sz w:val="24"/>
              </w:rPr>
              <w:t>“游览即体验、体验即传播”，助力景区拓宽</w:t>
            </w:r>
            <w:r>
              <w:rPr>
                <w:rFonts w:ascii="仿宋_GB2312" w:hAnsi="仿宋_GB2312" w:cs="仿宋_GB2312" w:eastAsia="仿宋_GB2312"/>
                <w:sz w:val="24"/>
              </w:rPr>
              <w:t>体验</w:t>
            </w:r>
            <w:r>
              <w:rPr>
                <w:rFonts w:ascii="仿宋_GB2312" w:hAnsi="仿宋_GB2312" w:cs="仿宋_GB2312" w:eastAsia="仿宋_GB2312"/>
                <w:sz w:val="24"/>
              </w:rPr>
              <w:t>宣传边界，打造科技与文旅融合的新标杆。</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服务内容及要求</w:t>
            </w:r>
          </w:p>
          <w:p>
            <w:pPr>
              <w:pStyle w:val="null3"/>
              <w:ind w:firstLine="482"/>
              <w:jc w:val="both"/>
            </w:pPr>
            <w:r>
              <w:rPr>
                <w:rFonts w:ascii="仿宋_GB2312" w:hAnsi="仿宋_GB2312" w:cs="仿宋_GB2312" w:eastAsia="仿宋_GB2312"/>
                <w:sz w:val="24"/>
                <w:b/>
              </w:rPr>
              <w:t>（一）总体目标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打造极致沉浸体验，还原景区核心景点四季风貌，结合</w:t>
            </w:r>
            <w:r>
              <w:rPr>
                <w:rFonts w:ascii="仿宋_GB2312" w:hAnsi="仿宋_GB2312" w:cs="仿宋_GB2312" w:eastAsia="仿宋_GB2312"/>
                <w:sz w:val="24"/>
              </w:rPr>
              <w:t>VR</w:t>
            </w:r>
            <w:r>
              <w:rPr>
                <w:rFonts w:ascii="仿宋_GB2312" w:hAnsi="仿宋_GB2312" w:cs="仿宋_GB2312" w:eastAsia="仿宋_GB2312"/>
                <w:sz w:val="24"/>
              </w:rPr>
              <w:t>技术</w:t>
            </w:r>
            <w:r>
              <w:rPr>
                <w:rFonts w:ascii="仿宋_GB2312" w:hAnsi="仿宋_GB2312" w:cs="仿宋_GB2312" w:eastAsia="仿宋_GB2312"/>
                <w:sz w:val="24"/>
              </w:rPr>
              <w:t>实现</w:t>
            </w:r>
            <w:r>
              <w:rPr>
                <w:rFonts w:ascii="仿宋_GB2312" w:hAnsi="仿宋_GB2312" w:cs="仿宋_GB2312" w:eastAsia="仿宋_GB2312"/>
                <w:sz w:val="24"/>
              </w:rPr>
              <w:t>“四季皆可游、全域皆可览”。创新互动模式，优化飞行器操控体验，设计贴合景区特色的</w:t>
            </w:r>
            <w:r>
              <w:rPr>
                <w:rFonts w:ascii="仿宋_GB2312" w:hAnsi="仿宋_GB2312" w:cs="仿宋_GB2312" w:eastAsia="仿宋_GB2312"/>
                <w:sz w:val="24"/>
              </w:rPr>
              <w:t>体验路线</w:t>
            </w:r>
            <w:r>
              <w:rPr>
                <w:rFonts w:ascii="仿宋_GB2312" w:hAnsi="仿宋_GB2312" w:cs="仿宋_GB2312" w:eastAsia="仿宋_GB2312"/>
                <w:sz w:val="24"/>
              </w:rPr>
              <w:t>，</w:t>
            </w:r>
            <w:r>
              <w:rPr>
                <w:rFonts w:ascii="仿宋_GB2312" w:hAnsi="仿宋_GB2312" w:cs="仿宋_GB2312" w:eastAsia="仿宋_GB2312"/>
                <w:sz w:val="24"/>
              </w:rPr>
              <w:t>使</w:t>
            </w:r>
            <w:r>
              <w:rPr>
                <w:rFonts w:ascii="仿宋_GB2312" w:hAnsi="仿宋_GB2312" w:cs="仿宋_GB2312" w:eastAsia="仿宋_GB2312"/>
                <w:sz w:val="24"/>
              </w:rPr>
              <w:t>游览从</w:t>
            </w:r>
            <w:r>
              <w:rPr>
                <w:rFonts w:ascii="仿宋_GB2312" w:hAnsi="仿宋_GB2312" w:cs="仿宋_GB2312" w:eastAsia="仿宋_GB2312"/>
                <w:sz w:val="24"/>
              </w:rPr>
              <w:t>“被动观看”到“主动探索”的升级</w:t>
            </w:r>
            <w:r>
              <w:rPr>
                <w:rFonts w:ascii="仿宋_GB2312" w:hAnsi="仿宋_GB2312" w:cs="仿宋_GB2312" w:eastAsia="仿宋_GB2312"/>
                <w:sz w:val="24"/>
              </w:rPr>
              <w:t>，</w:t>
            </w:r>
            <w:r>
              <w:rPr>
                <w:rFonts w:ascii="仿宋_GB2312" w:hAnsi="仿宋_GB2312" w:cs="仿宋_GB2312" w:eastAsia="仿宋_GB2312"/>
                <w:sz w:val="24"/>
              </w:rPr>
              <w:t>实现观光、文化、互动体验的有机结合。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以</w:t>
            </w:r>
            <w:r>
              <w:rPr>
                <w:rFonts w:ascii="仿宋_GB2312" w:hAnsi="仿宋_GB2312" w:cs="仿宋_GB2312" w:eastAsia="仿宋_GB2312"/>
                <w:sz w:val="24"/>
              </w:rPr>
              <w:t>VR体验为载体，打破空间</w:t>
            </w:r>
            <w:r>
              <w:rPr>
                <w:rFonts w:ascii="仿宋_GB2312" w:hAnsi="仿宋_GB2312" w:cs="仿宋_GB2312" w:eastAsia="仿宋_GB2312"/>
                <w:sz w:val="24"/>
              </w:rPr>
              <w:t>和时间的</w:t>
            </w:r>
            <w:r>
              <w:rPr>
                <w:rFonts w:ascii="仿宋_GB2312" w:hAnsi="仿宋_GB2312" w:cs="仿宋_GB2312" w:eastAsia="仿宋_GB2312"/>
                <w:sz w:val="24"/>
              </w:rPr>
              <w:t>限制，打造</w:t>
            </w:r>
            <w:r>
              <w:rPr>
                <w:rFonts w:ascii="仿宋_GB2312" w:hAnsi="仿宋_GB2312" w:cs="仿宋_GB2312" w:eastAsia="仿宋_GB2312"/>
                <w:sz w:val="24"/>
              </w:rPr>
              <w:t>“VR全景飞行+四季风光+文化探秘”特色IP，打造景区数字化文旅名片，提升核心竞争力。传递景区文化内涵与发展理念，提升景区美誉度与口碑传播力。</w:t>
            </w:r>
          </w:p>
          <w:p>
            <w:pPr>
              <w:pStyle w:val="null3"/>
              <w:ind w:firstLine="480"/>
              <w:jc w:val="both"/>
            </w:pPr>
            <w:r>
              <w:rPr>
                <w:rFonts w:ascii="仿宋_GB2312" w:hAnsi="仿宋_GB2312" w:cs="仿宋_GB2312" w:eastAsia="仿宋_GB2312"/>
                <w:sz w:val="24"/>
              </w:rPr>
              <w:t>3.长效</w:t>
            </w:r>
            <w:r>
              <w:rPr>
                <w:rFonts w:ascii="仿宋_GB2312" w:hAnsi="仿宋_GB2312" w:cs="仿宋_GB2312" w:eastAsia="仿宋_GB2312"/>
                <w:sz w:val="24"/>
              </w:rPr>
              <w:t>推动</w:t>
            </w:r>
            <w:r>
              <w:rPr>
                <w:rFonts w:ascii="仿宋_GB2312" w:hAnsi="仿宋_GB2312" w:cs="仿宋_GB2312" w:eastAsia="仿宋_GB2312"/>
                <w:sz w:val="24"/>
              </w:rPr>
              <w:t>稻城亚丁</w:t>
            </w:r>
            <w:r>
              <w:rPr>
                <w:rFonts w:ascii="仿宋_GB2312" w:hAnsi="仿宋_GB2312" w:cs="仿宋_GB2312" w:eastAsia="仿宋_GB2312"/>
                <w:sz w:val="24"/>
              </w:rPr>
              <w:t>景区</w:t>
            </w:r>
            <w:r>
              <w:rPr>
                <w:rFonts w:ascii="仿宋_GB2312" w:hAnsi="仿宋_GB2312" w:cs="仿宋_GB2312" w:eastAsia="仿宋_GB2312"/>
                <w:sz w:val="24"/>
              </w:rPr>
              <w:t>的</w:t>
            </w:r>
            <w:r>
              <w:rPr>
                <w:rFonts w:ascii="仿宋_GB2312" w:hAnsi="仿宋_GB2312" w:cs="仿宋_GB2312" w:eastAsia="仿宋_GB2312"/>
                <w:sz w:val="24"/>
              </w:rPr>
              <w:t>数字化转型，为智慧文旅建设</w:t>
            </w:r>
            <w:r>
              <w:rPr>
                <w:rFonts w:ascii="仿宋_GB2312" w:hAnsi="仿宋_GB2312" w:cs="仿宋_GB2312" w:eastAsia="仿宋_GB2312"/>
                <w:sz w:val="24"/>
              </w:rPr>
              <w:t>添砖加瓦，</w:t>
            </w:r>
            <w:r>
              <w:rPr>
                <w:rFonts w:ascii="仿宋_GB2312" w:hAnsi="仿宋_GB2312" w:cs="仿宋_GB2312" w:eastAsia="仿宋_GB2312"/>
                <w:sz w:val="24"/>
              </w:rPr>
              <w:t>打造</w:t>
            </w:r>
            <w:r>
              <w:rPr>
                <w:rFonts w:ascii="仿宋_GB2312" w:hAnsi="仿宋_GB2312" w:cs="仿宋_GB2312" w:eastAsia="仿宋_GB2312"/>
                <w:sz w:val="24"/>
              </w:rPr>
              <w:t>一套依托</w:t>
            </w:r>
            <w:r>
              <w:rPr>
                <w:rFonts w:ascii="仿宋_GB2312" w:hAnsi="仿宋_GB2312" w:cs="仿宋_GB2312" w:eastAsia="仿宋_GB2312"/>
                <w:sz w:val="24"/>
              </w:rPr>
              <w:t>VR</w:t>
            </w:r>
            <w:r>
              <w:rPr>
                <w:rFonts w:ascii="仿宋_GB2312" w:hAnsi="仿宋_GB2312" w:cs="仿宋_GB2312" w:eastAsia="仿宋_GB2312"/>
                <w:sz w:val="24"/>
              </w:rPr>
              <w:t>技术的</w:t>
            </w:r>
            <w:r>
              <w:rPr>
                <w:rFonts w:ascii="仿宋_GB2312" w:hAnsi="仿宋_GB2312" w:cs="仿宋_GB2312" w:eastAsia="仿宋_GB2312"/>
                <w:sz w:val="24"/>
              </w:rPr>
              <w:t>文旅体验标杆，引领</w:t>
            </w:r>
            <w:r>
              <w:rPr>
                <w:rFonts w:ascii="仿宋_GB2312" w:hAnsi="仿宋_GB2312" w:cs="仿宋_GB2312" w:eastAsia="仿宋_GB2312"/>
                <w:sz w:val="24"/>
              </w:rPr>
              <w:t>稻城亚丁</w:t>
            </w:r>
            <w:r>
              <w:rPr>
                <w:rFonts w:ascii="仿宋_GB2312" w:hAnsi="仿宋_GB2312" w:cs="仿宋_GB2312" w:eastAsia="仿宋_GB2312"/>
                <w:sz w:val="24"/>
              </w:rPr>
              <w:t>文旅产业向数字化、沉浸式方向发展。实现游客体验、景区宣传与文旅价值升级，推动生态、文化、经济效益协同发展</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（二）服务内容</w:t>
            </w:r>
          </w:p>
          <w:p>
            <w:pPr>
              <w:pStyle w:val="null3"/>
              <w:ind w:firstLine="482"/>
              <w:jc w:val="both"/>
            </w:pPr>
            <w:r>
              <w:rPr>
                <w:rFonts w:ascii="仿宋_GB2312" w:hAnsi="仿宋_GB2312" w:cs="仿宋_GB2312" w:eastAsia="仿宋_GB2312"/>
                <w:sz w:val="24"/>
                <w:b/>
              </w:rPr>
              <w:t>1.VR飞跃亚丁风景体验系统定制要求：</w:t>
            </w:r>
          </w:p>
          <w:p>
            <w:pPr>
              <w:pStyle w:val="null3"/>
              <w:ind w:firstLine="480"/>
              <w:jc w:val="both"/>
            </w:pPr>
            <w:r>
              <w:rPr>
                <w:rFonts w:ascii="仿宋_GB2312" w:hAnsi="仿宋_GB2312" w:cs="仿宋_GB2312" w:eastAsia="仿宋_GB2312"/>
                <w:sz w:val="24"/>
              </w:rPr>
              <w:t>本</w:t>
            </w:r>
            <w:r>
              <w:rPr>
                <w:rFonts w:ascii="仿宋_GB2312" w:hAnsi="仿宋_GB2312" w:cs="仿宋_GB2312" w:eastAsia="仿宋_GB2312"/>
                <w:sz w:val="24"/>
              </w:rPr>
              <w:t>项目</w:t>
            </w:r>
            <w:r>
              <w:rPr>
                <w:rFonts w:ascii="仿宋_GB2312" w:hAnsi="仿宋_GB2312" w:cs="仿宋_GB2312" w:eastAsia="仿宋_GB2312"/>
                <w:sz w:val="24"/>
              </w:rPr>
              <w:t>定制系统需</w:t>
            </w:r>
            <w:r>
              <w:rPr>
                <w:rFonts w:ascii="仿宋_GB2312" w:hAnsi="仿宋_GB2312" w:cs="仿宋_GB2312" w:eastAsia="仿宋_GB2312"/>
                <w:sz w:val="24"/>
              </w:rPr>
              <w:t>运用高精度三维建模技术，对稻城亚丁景区核心景观</w:t>
            </w:r>
            <w:r>
              <w:rPr>
                <w:rFonts w:ascii="仿宋_GB2312" w:hAnsi="仿宋_GB2312" w:cs="仿宋_GB2312" w:eastAsia="仿宋_GB2312"/>
                <w:sz w:val="24"/>
              </w:rPr>
              <w:t>全域构建</w:t>
            </w:r>
            <w:r>
              <w:rPr>
                <w:rFonts w:ascii="仿宋_GB2312" w:hAnsi="仿宋_GB2312" w:cs="仿宋_GB2312" w:eastAsia="仿宋_GB2312"/>
                <w:sz w:val="24"/>
              </w:rPr>
              <w:t>三维数字镜像，完成物理空间到虚拟世界的精准映射，精准再现仙乃日、央迈勇、夏诺多吉三大神山，以及牛奶海、珍珠海、五色海、冲古寺等标志性景点在春夏秋冬四季的独特风貌。游客可通过自主操控虚拟飞行器，在景区全域自由环绕、低空飞行与全景俯瞰，在沉浸式探秘打卡的过程中，全方位领略亚丁的雄奇山水与极致风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物理场景画面画质需达到1080P,内容切换顺畅无卡顿。在标准VR观看距离下，体验者应能清晰分辨出场景中不同物体的物理材质属性（如金属、木材、织物、玻璃、塑料等）。对于布料、石材等具有明显表面特征的材质，需确保在近距离观察时能看到清晰的纤维、颗粒或凹凸细节，而非平滑的色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2）NPC人物要求：动态线条优美流畅，外形轮廓富有张力，材质细节处理要真实和生动；能清晰可见皮肤纹理。人物发型纹理清晰可见；服装需表现出相应布料的纹理，需要随身而动。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3）交互自然，操作简单，触发自然无卡顿。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4）VR飞跃定制系统已包含所有展示内容，包含三维，方案、建模、贴图、材质、渲染、合成、包装。</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飞跃亚丁</w:t>
            </w:r>
            <w:r>
              <w:rPr>
                <w:rFonts w:ascii="仿宋_GB2312" w:hAnsi="仿宋_GB2312" w:cs="仿宋_GB2312" w:eastAsia="仿宋_GB2312"/>
                <w:sz w:val="24"/>
                <w:b/>
              </w:rPr>
              <w:t>VR体验技</w:t>
            </w:r>
            <w:r>
              <w:rPr>
                <w:rFonts w:ascii="仿宋_GB2312" w:hAnsi="仿宋_GB2312" w:cs="仿宋_GB2312" w:eastAsia="仿宋_GB2312"/>
                <w:sz w:val="24"/>
                <w:b/>
              </w:rPr>
              <w:t>术要求：</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VR沉浸式体验模式与公共展示模式的自由选择。</w:t>
            </w:r>
            <w:r>
              <w:rPr>
                <w:rFonts w:ascii="仿宋_GB2312" w:hAnsi="仿宋_GB2312" w:cs="仿宋_GB2312" w:eastAsia="仿宋_GB2312"/>
                <w:sz w:val="24"/>
              </w:rPr>
              <w:t>系统支持可视化运营管理与多场景播放需求，可稳定承载</w:t>
            </w:r>
            <w:r>
              <w:rPr>
                <w:rFonts w:ascii="仿宋_GB2312" w:hAnsi="仿宋_GB2312" w:cs="仿宋_GB2312" w:eastAsia="仿宋_GB2312"/>
                <w:sz w:val="24"/>
              </w:rPr>
              <w:t>VR 沉浸式体验、高清画面渲染、多声道音频还原及全域设备联动控制，为景区 VR 体验中心提供安全、高效、流畅的运行支撑。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1）具体系统功能需求：</w:t>
            </w:r>
          </w:p>
          <w:p>
            <w:pPr>
              <w:pStyle w:val="null3"/>
              <w:ind w:left="240"/>
              <w:jc w:val="both"/>
            </w:pPr>
            <w:r>
              <w:rPr>
                <w:rFonts w:ascii="仿宋_GB2312" w:hAnsi="仿宋_GB2312" w:cs="仿宋_GB2312" w:eastAsia="仿宋_GB2312"/>
                <w:sz w:val="24"/>
              </w:rPr>
              <w:t>1）一键式点播系统</w:t>
            </w:r>
            <w:r>
              <w:br/>
            </w:r>
            <w:r>
              <w:rPr>
                <w:rFonts w:ascii="仿宋_GB2312" w:hAnsi="仿宋_GB2312" w:cs="仿宋_GB2312" w:eastAsia="仿宋_GB2312"/>
                <w:sz w:val="24"/>
              </w:rPr>
              <w:t>2）类型选择功能</w:t>
            </w:r>
            <w:r>
              <w:br/>
            </w:r>
            <w:r>
              <w:rPr>
                <w:rFonts w:ascii="仿宋_GB2312" w:hAnsi="仿宋_GB2312" w:cs="仿宋_GB2312" w:eastAsia="仿宋_GB2312"/>
                <w:sz w:val="24"/>
              </w:rPr>
              <w:t>3）后台监控功能</w:t>
            </w:r>
            <w:r>
              <w:br/>
            </w:r>
            <w:r>
              <w:rPr>
                <w:rFonts w:ascii="仿宋_GB2312" w:hAnsi="仿宋_GB2312" w:cs="仿宋_GB2312" w:eastAsia="仿宋_GB2312"/>
                <w:sz w:val="24"/>
              </w:rPr>
              <w:t>4）异常解除功能</w:t>
            </w:r>
            <w:r>
              <w:br/>
            </w:r>
            <w:r>
              <w:rPr>
                <w:rFonts w:ascii="仿宋_GB2312" w:hAnsi="仿宋_GB2312" w:cs="仿宋_GB2312" w:eastAsia="仿宋_GB2312"/>
                <w:sz w:val="24"/>
              </w:rPr>
              <w:t>5）平台测试功能</w:t>
            </w:r>
            <w:r>
              <w:br/>
            </w:r>
            <w:r>
              <w:rPr>
                <w:rFonts w:ascii="仿宋_GB2312" w:hAnsi="仿宋_GB2312" w:cs="仿宋_GB2312" w:eastAsia="仿宋_GB2312"/>
                <w:sz w:val="24"/>
              </w:rPr>
              <w:t>6）可实现特效单独测试检查，方便运营人员实现可视化管理</w:t>
            </w:r>
          </w:p>
          <w:p>
            <w:pPr>
              <w:pStyle w:val="null3"/>
              <w:ind w:left="240"/>
              <w:jc w:val="both"/>
            </w:pPr>
            <w:r>
              <w:rPr>
                <w:rFonts w:ascii="仿宋_GB2312" w:hAnsi="仿宋_GB2312" w:cs="仿宋_GB2312" w:eastAsia="仿宋_GB2312"/>
                <w:sz w:val="24"/>
              </w:rPr>
              <w:t>7）支持 1080P 高清数字媒体播放</w:t>
            </w:r>
          </w:p>
          <w:p>
            <w:pPr>
              <w:pStyle w:val="null3"/>
              <w:ind w:left="240"/>
              <w:jc w:val="both"/>
            </w:pPr>
            <w:r>
              <w:rPr>
                <w:rFonts w:ascii="仿宋_GB2312" w:hAnsi="仿宋_GB2312" w:cs="仿宋_GB2312" w:eastAsia="仿宋_GB2312"/>
                <w:sz w:val="24"/>
              </w:rPr>
              <w:t>8）为实现服务要求所需主要性能要求</w:t>
            </w:r>
          </w:p>
          <w:tbl>
            <w:tblPr>
              <w:tblBorders>
                <w:top w:val="none" w:color="000000" w:sz="4"/>
                <w:left w:val="none" w:color="000000" w:sz="4"/>
                <w:bottom w:val="none" w:color="000000" w:sz="4"/>
                <w:right w:val="none" w:color="000000" w:sz="4"/>
                <w:insideH w:val="none"/>
                <w:insideV w:val="none"/>
              </w:tblBorders>
            </w:tblPr>
            <w:tblGrid>
              <w:gridCol w:w="528"/>
              <w:gridCol w:w="742"/>
              <w:gridCol w:w="3129"/>
              <w:gridCol w:w="569"/>
              <w:gridCol w:w="630"/>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技术参数要求</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rPr>
                    <w:t>数量</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rPr>
                    <w:t>单位</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基础运行环境要求</w:t>
                  </w:r>
                </w:p>
              </w:tc>
              <w:tc>
                <w:tcPr>
                  <w:tcW w:type="dxa" w:w="3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为保障本项目系统稳定运行及业务功能正常开展，需部署</w:t>
                  </w:r>
                  <w:r>
                    <w:rPr>
                      <w:rFonts w:ascii="仿宋_GB2312" w:hAnsi="仿宋_GB2312" w:cs="仿宋_GB2312" w:eastAsia="仿宋_GB2312"/>
                      <w:sz w:val="24"/>
                    </w:rPr>
                    <w:t>6组独立运行环境作为业务支撑节点，每组均满足以下性能条件：</w:t>
                  </w:r>
                </w:p>
                <w:p>
                  <w:pPr>
                    <w:pStyle w:val="null3"/>
                    <w:ind w:firstLine="480"/>
                    <w:jc w:val="both"/>
                  </w:pPr>
                  <w:r>
                    <w:rPr>
                      <w:rFonts w:ascii="仿宋_GB2312" w:hAnsi="仿宋_GB2312" w:cs="仿宋_GB2312" w:eastAsia="仿宋_GB2312"/>
                      <w:sz w:val="24"/>
                    </w:rPr>
                    <w:t>供应商应根据本项目的</w:t>
                  </w:r>
                  <w:r>
                    <w:rPr>
                      <w:rFonts w:ascii="仿宋_GB2312" w:hAnsi="仿宋_GB2312" w:cs="仿宋_GB2312" w:eastAsia="仿宋_GB2312"/>
                      <w:sz w:val="24"/>
                    </w:rPr>
                    <w:t>VR体验系统运行需求，自行配置相应的运行支撑环境（包括但不限于数据运算单元、数据存储单元、图形处理单元及显示输出单元），确保VR体验系统稳定流畅运行。单套运行支撑环境（对应1套VR体验设备）应至少满足以下性能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运算处理能力：具备足够的并行运算能力，支持</w:t>
                  </w:r>
                  <w:r>
                    <w:rPr>
                      <w:rFonts w:ascii="仿宋_GB2312" w:hAnsi="仿宋_GB2312" w:cs="仿宋_GB2312" w:eastAsia="仿宋_GB2312"/>
                      <w:sz w:val="24"/>
                    </w:rPr>
                    <w:t>VR场景的实时物理模拟、粒子特效及AI行为运算，确保多任务并发处理不出现明显延迟。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数据调度与承载能力：具备充足的数据调度与承载能力，支持</w:t>
                  </w:r>
                  <w:r>
                    <w:rPr>
                      <w:rFonts w:ascii="仿宋_GB2312" w:hAnsi="仿宋_GB2312" w:cs="仿宋_GB2312" w:eastAsia="仿宋_GB2312"/>
                      <w:sz w:val="24"/>
                    </w:rPr>
                    <w:t>VR场景资源的实时加载与动态卸载，确保大场景切换时无明显加载等待。</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数据存储容量：具备足够的高速数据存储容量，完整存储</w:t>
                  </w:r>
                  <w:r>
                    <w:rPr>
                      <w:rFonts w:ascii="仿宋_GB2312" w:hAnsi="仿宋_GB2312" w:cs="仿宋_GB2312" w:eastAsia="仿宋_GB2312"/>
                      <w:sz w:val="24"/>
                    </w:rPr>
                    <w:t>VR体验系统全部数字资产（包括三维场景、贴图、音频等），并满足系统运行及未来内容更新的空间需求。</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图形处理能力：具备足够的图形处理能力，支持高精度三维场景的实时渲染、动态光影计算及抗锯齿处理。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显示输出性能：可视化画面实时输出应流畅稳定，单眼刷新率不低于</w:t>
                  </w:r>
                  <w:r>
                    <w:rPr>
                      <w:rFonts w:ascii="仿宋_GB2312" w:hAnsi="仿宋_GB2312" w:cs="仿宋_GB2312" w:eastAsia="仿宋_GB2312"/>
                      <w:sz w:val="24"/>
                    </w:rPr>
                    <w:t>6</w:t>
                  </w:r>
                  <w:r>
                    <w:rPr>
                      <w:rFonts w:ascii="仿宋_GB2312" w:hAnsi="仿宋_GB2312" w:cs="仿宋_GB2312" w:eastAsia="仿宋_GB2312"/>
                      <w:sz w:val="24"/>
                    </w:rPr>
                    <w:t>0Hz确保画面无撕裂、无卡顿。</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接口与供电能力：支持</w:t>
                  </w:r>
                  <w:r>
                    <w:rPr>
                      <w:rFonts w:ascii="仿宋_GB2312" w:hAnsi="仿宋_GB2312" w:cs="仿宋_GB2312" w:eastAsia="仿宋_GB2312"/>
                      <w:sz w:val="24"/>
                    </w:rPr>
                    <w:t>VR头显的数据传输带宽要求，确保音视频信号同步；具备稳定的供电能力，满足6套VR体验设备同时运行的电力需求。</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VR头显</w:t>
                  </w:r>
                </w:p>
              </w:tc>
              <w:tc>
                <w:tcPr>
                  <w:tcW w:type="dxa" w:w="3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模式：</w:t>
                  </w:r>
                  <w:r>
                    <w:rPr>
                      <w:rFonts w:ascii="仿宋_GB2312" w:hAnsi="仿宋_GB2312" w:cs="仿宋_GB2312" w:eastAsia="仿宋_GB2312"/>
                      <w:sz w:val="24"/>
                    </w:rPr>
                    <w:t>PCVR</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▲显示分辨率：≥5760×2880(单眼2880×2880)（投标时提供国家认可的第三方检测机构出具的检测报告复印件或产品彩页佐证，并加盖供应商公章）</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▲视场角：≥120°（投标时提供国家认可的第三方检测机构出具的检测报告复印件或产品彩页佐证，并加盖供应商公章）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延迟：</w:t>
                  </w:r>
                  <w:r>
                    <w:rPr>
                      <w:rFonts w:ascii="仿宋_GB2312" w:hAnsi="仿宋_GB2312" w:cs="仿宋_GB2312" w:eastAsia="仿宋_GB2312"/>
                      <w:sz w:val="24"/>
                    </w:rPr>
                    <w:t>≤20ms</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尺寸：</w:t>
                  </w:r>
                  <w:r>
                    <w:rPr>
                      <w:rFonts w:ascii="仿宋_GB2312" w:hAnsi="仿宋_GB2312" w:cs="仿宋_GB2312" w:eastAsia="仿宋_GB2312"/>
                      <w:sz w:val="24"/>
                    </w:rPr>
                    <w:t>280mm×110mm×135mm（±10mm）</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重量</w:t>
                  </w:r>
                  <w:r>
                    <w:rPr>
                      <w:rFonts w:ascii="仿宋_GB2312" w:hAnsi="仿宋_GB2312" w:cs="仿宋_GB2312" w:eastAsia="仿宋_GB2312"/>
                      <w:sz w:val="24"/>
                    </w:rPr>
                    <w:t>(不含头箍)：≤550g</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刷新率</w:t>
                  </w:r>
                  <w:r>
                    <w:rPr>
                      <w:rFonts w:ascii="仿宋_GB2312" w:hAnsi="仿宋_GB2312" w:cs="仿宋_GB2312" w:eastAsia="仿宋_GB2312"/>
                      <w:sz w:val="24"/>
                    </w:rPr>
                    <w:t>(PCVR式)：≥90Hz</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对比度：</w:t>
                  </w:r>
                  <w:r>
                    <w:rPr>
                      <w:rFonts w:ascii="仿宋_GB2312" w:hAnsi="仿宋_GB2312" w:cs="仿宋_GB2312" w:eastAsia="仿宋_GB2312"/>
                      <w:sz w:val="24"/>
                    </w:rPr>
                    <w:t>20000:1</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▲默认透镜:≥PPD35（投标时提供国家认可的第三方检测机构出具的检测报告复印件或产品彩页佐证，并加盖供应商公章）</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瞳距（物理</w:t>
                  </w:r>
                  <w:r>
                    <w:rPr>
                      <w:rFonts w:ascii="仿宋_GB2312" w:hAnsi="仿宋_GB2312" w:cs="仿宋_GB2312" w:eastAsia="仿宋_GB2312"/>
                      <w:sz w:val="24"/>
                    </w:rPr>
                    <w:t>):58mm-72mm</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▲眼动追踪:支持眼动追踪功能，自动IPD调节（投标时提供国家认可的第三方检测机构出具的检测报告复印件或产品彩页佐证，并加盖供应商公章）</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供电方式</w:t>
                  </w:r>
                  <w:r>
                    <w:rPr>
                      <w:rFonts w:ascii="仿宋_GB2312" w:hAnsi="仿宋_GB2312" w:cs="仿宋_GB2312" w:eastAsia="仿宋_GB2312"/>
                      <w:sz w:val="24"/>
                    </w:rPr>
                    <w:t>:DP线缆+适配器供电定位技术:内向外(默认)/外向内(选配)</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VR头显提供3C认证证书（投标时提供有效证书复印件并加盖供应商公章）</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飞行模拟器驾驶舱（动感座椅）</w:t>
                  </w:r>
                </w:p>
              </w:tc>
              <w:tc>
                <w:tcPr>
                  <w:tcW w:type="dxa" w:w="3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电压：</w:t>
                  </w:r>
                  <w:r>
                    <w:rPr>
                      <w:rFonts w:ascii="仿宋_GB2312" w:hAnsi="仿宋_GB2312" w:cs="仿宋_GB2312" w:eastAsia="仿宋_GB2312"/>
                      <w:sz w:val="24"/>
                    </w:rPr>
                    <w:t>≥220V</w:t>
                  </w:r>
                </w:p>
                <w:p>
                  <w:pPr>
                    <w:pStyle w:val="null3"/>
                    <w:jc w:val="both"/>
                  </w:pPr>
                  <w:r>
                    <w:rPr>
                      <w:rFonts w:ascii="仿宋_GB2312" w:hAnsi="仿宋_GB2312" w:cs="仿宋_GB2312" w:eastAsia="仿宋_GB2312"/>
                      <w:sz w:val="24"/>
                    </w:rPr>
                    <w:t>20.功率：≥1.0kw</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设备重量：</w:t>
                  </w:r>
                  <w:r>
                    <w:rPr>
                      <w:rFonts w:ascii="仿宋_GB2312" w:hAnsi="仿宋_GB2312" w:cs="仿宋_GB2312" w:eastAsia="仿宋_GB2312"/>
                      <w:sz w:val="24"/>
                    </w:rPr>
                    <w:t>≤80kg；额定承重：≥100kg</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玩家数量：</w:t>
                  </w:r>
                  <w:r>
                    <w:rPr>
                      <w:rFonts w:ascii="仿宋_GB2312" w:hAnsi="仿宋_GB2312" w:cs="仿宋_GB2312" w:eastAsia="仿宋_GB2312"/>
                      <w:sz w:val="24"/>
                    </w:rPr>
                    <w:t>1位</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旋转角度：</w:t>
                  </w:r>
                  <w:r>
                    <w:rPr>
                      <w:rFonts w:ascii="仿宋_GB2312" w:hAnsi="仿宋_GB2312" w:cs="仿宋_GB2312" w:eastAsia="仿宋_GB2312"/>
                      <w:sz w:val="24"/>
                    </w:rPr>
                    <w:t>pitch≥90°, Roll≥40°</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外观尺寸（长</w:t>
                  </w:r>
                  <w:r>
                    <w:rPr>
                      <w:rFonts w:ascii="仿宋_GB2312" w:hAnsi="仿宋_GB2312" w:cs="仿宋_GB2312" w:eastAsia="仿宋_GB2312"/>
                      <w:sz w:val="24"/>
                    </w:rPr>
                    <w:t>×宽×高）：≥1390mm×750mm×1250mm</w:t>
                  </w:r>
                  <w:r>
                    <w:rPr>
                      <w:rFonts w:ascii="仿宋_GB2312" w:hAnsi="仿宋_GB2312" w:cs="仿宋_GB2312" w:eastAsia="仿宋_GB2312"/>
                      <w:sz w:val="24"/>
                    </w:rPr>
                    <w:t>（±10mm）</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b/>
              </w:rPr>
              <w:t>3.★项目版权及质保、运维要求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1）VR飞跃亚丁风景定制内容定制制作完成后，版权归采购人独立享有。</w:t>
            </w:r>
            <w:r>
              <w:rPr>
                <w:rFonts w:ascii="仿宋_GB2312" w:hAnsi="仿宋_GB2312" w:cs="仿宋_GB2312" w:eastAsia="仿宋_GB2312"/>
                <w:sz w:val="24"/>
              </w:rPr>
              <w:t>供应商应在设备及软件系统安装完成后行软硬件适配、现场调试、可实现</w:t>
            </w:r>
            <w:r>
              <w:rPr>
                <w:rFonts w:ascii="仿宋_GB2312" w:hAnsi="仿宋_GB2312" w:cs="仿宋_GB2312" w:eastAsia="仿宋_GB2312"/>
                <w:sz w:val="24"/>
              </w:rPr>
              <w:t>VR体验的配套建设等工作，</w:t>
            </w:r>
            <w:r>
              <w:rPr>
                <w:rFonts w:ascii="仿宋_GB2312" w:hAnsi="仿宋_GB2312" w:cs="仿宋_GB2312" w:eastAsia="仿宋_GB2312"/>
                <w:sz w:val="24"/>
              </w:rPr>
              <w:t>确保现场系统可正常运行。</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2）VR头显及配件质保期：至少1年，从VR系统部署完成可完整体验即日起算。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3）VR系统运维期：1年，质保期内应提供系统运维服务，包括但不限于VR系统的日常维护等服务，从</w:t>
            </w:r>
            <w:r>
              <w:rPr>
                <w:rFonts w:ascii="仿宋_GB2312" w:hAnsi="仿宋_GB2312" w:cs="仿宋_GB2312" w:eastAsia="仿宋_GB2312"/>
                <w:sz w:val="24"/>
              </w:rPr>
              <w:t>VR系统部署</w:t>
            </w:r>
            <w:r>
              <w:rPr>
                <w:rFonts w:ascii="仿宋_GB2312" w:hAnsi="仿宋_GB2312" w:cs="仿宋_GB2312" w:eastAsia="仿宋_GB2312"/>
                <w:sz w:val="24"/>
              </w:rPr>
              <w:t>完成可完整体验即日起算。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其他相关要求</w:t>
            </w:r>
          </w:p>
        </w:tc>
        <w:tc>
          <w:tcPr>
            <w:tcW w:type="dxa" w:w="5814"/>
          </w:tcPr>
          <w:p>
            <w:pPr>
              <w:pStyle w:val="null3"/>
              <w:jc w:val="both"/>
            </w:pPr>
            <w:r>
              <w:rPr>
                <w:rFonts w:ascii="仿宋_GB2312" w:hAnsi="仿宋_GB2312" w:cs="仿宋_GB2312" w:eastAsia="仿宋_GB2312"/>
                <w:sz w:val="24"/>
              </w:rPr>
              <w:t>1.为保障项目质量，供应商应为本项目提供相关的实施方案、保障方案、后续服务方案等内容，并为本项目配备相关人员，具有类似履约经验。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其他相关要求</w:t>
            </w:r>
          </w:p>
        </w:tc>
        <w:tc>
          <w:tcPr>
            <w:tcW w:type="dxa" w:w="5814"/>
          </w:tcPr>
          <w:p>
            <w:pPr>
              <w:pStyle w:val="null3"/>
              <w:jc w:val="both"/>
            </w:pPr>
            <w:r>
              <w:rPr>
                <w:rFonts w:ascii="仿宋_GB2312" w:hAnsi="仿宋_GB2312" w:cs="仿宋_GB2312" w:eastAsia="仿宋_GB2312"/>
                <w:sz w:val="24"/>
              </w:rPr>
              <w:t>2.本项目自</w:t>
            </w:r>
            <w:r>
              <w:rPr>
                <w:rFonts w:ascii="仿宋_GB2312" w:hAnsi="仿宋_GB2312" w:cs="仿宋_GB2312" w:eastAsia="仿宋_GB2312"/>
                <w:sz w:val="24"/>
              </w:rPr>
              <w:t>成交供应商</w:t>
            </w:r>
            <w:r>
              <w:rPr>
                <w:rFonts w:ascii="仿宋_GB2312" w:hAnsi="仿宋_GB2312" w:cs="仿宋_GB2312" w:eastAsia="仿宋_GB2312"/>
                <w:sz w:val="24"/>
              </w:rPr>
              <w:t>签订合同之日起至提交全部成果验收合格之日止，</w:t>
            </w:r>
            <w:r>
              <w:rPr>
                <w:rFonts w:ascii="仿宋_GB2312" w:hAnsi="仿宋_GB2312" w:cs="仿宋_GB2312" w:eastAsia="仿宋_GB2312"/>
                <w:sz w:val="24"/>
              </w:rPr>
              <w:t>成交供应商</w:t>
            </w:r>
            <w:r>
              <w:rPr>
                <w:rFonts w:ascii="仿宋_GB2312" w:hAnsi="仿宋_GB2312" w:cs="仿宋_GB2312" w:eastAsia="仿宋_GB2312"/>
                <w:sz w:val="24"/>
              </w:rPr>
              <w:t>将负责该项目实施过程中的人身安全、财产安全、环境安全，因本项目实施过程中造成的直接或间接损失，均由</w:t>
            </w:r>
            <w:r>
              <w:rPr>
                <w:rFonts w:ascii="仿宋_GB2312" w:hAnsi="仿宋_GB2312" w:cs="仿宋_GB2312" w:eastAsia="仿宋_GB2312"/>
                <w:sz w:val="24"/>
              </w:rPr>
              <w:t>成交供应商</w:t>
            </w:r>
            <w:r>
              <w:rPr>
                <w:rFonts w:ascii="仿宋_GB2312" w:hAnsi="仿宋_GB2312" w:cs="仿宋_GB2312" w:eastAsia="仿宋_GB2312"/>
                <w:sz w:val="24"/>
              </w:rPr>
              <w:t>自行承担</w:t>
            </w:r>
            <w:r>
              <w:rPr>
                <w:rFonts w:ascii="仿宋_GB2312" w:hAnsi="仿宋_GB2312" w:cs="仿宋_GB2312" w:eastAsia="仿宋_GB2312"/>
                <w:sz w:val="24"/>
                <w:b/>
              </w:rPr>
              <w:t>（单独提供承诺函，格式自拟并加盖</w:t>
            </w:r>
            <w:r>
              <w:rPr>
                <w:rFonts w:ascii="仿宋_GB2312" w:hAnsi="仿宋_GB2312" w:cs="仿宋_GB2312" w:eastAsia="仿宋_GB2312"/>
                <w:sz w:val="24"/>
                <w:b/>
              </w:rPr>
              <w:t>供应商</w:t>
            </w:r>
            <w:r>
              <w:rPr>
                <w:rFonts w:ascii="仿宋_GB2312" w:hAnsi="仿宋_GB2312" w:cs="仿宋_GB2312" w:eastAsia="仿宋_GB2312"/>
                <w:sz w:val="24"/>
                <w:b/>
              </w:rPr>
              <w:t>公章）。</w:t>
            </w:r>
          </w:p>
          <w:p>
            <w:pPr>
              <w:pStyle w:val="null3"/>
              <w:jc w:val="both"/>
            </w:pPr>
            <w:r>
              <w:rPr>
                <w:rFonts w:ascii="仿宋_GB2312" w:hAnsi="仿宋_GB2312" w:cs="仿宋_GB2312" w:eastAsia="仿宋_GB2312"/>
                <w:sz w:val="24"/>
              </w:rPr>
              <w:t>3.保密要求：中标单位因履行本合同所获得的一切原始资料、信息及相关工作成果属采购人所有，中标单位负有保密义务。未经采购人书面同意，中标单位不得在合同期内或合同履行完毕后以任何方式对外泄露或用于与本项目无关的其他任何事项。如因中标单位过错导致采购人遭受损失的，中标单位应承担全部赔偿责任。采购人提供的所有技术资料和基础资料（文字、图纸、电子数据等）均受知识产保护，未经采购人授权，任何人不得将其内容复制、引用、改编、分发、发布、外借、转让。</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rPr>
              <w:t>本</w:t>
            </w:r>
            <w:r>
              <w:rPr>
                <w:rFonts w:ascii="仿宋_GB2312" w:hAnsi="仿宋_GB2312" w:cs="仿宋_GB2312" w:eastAsia="仿宋_GB2312"/>
                <w:sz w:val="24"/>
              </w:rPr>
              <w:t>项目所报价格包含</w:t>
            </w:r>
            <w:r>
              <w:rPr>
                <w:rFonts w:ascii="仿宋_GB2312" w:hAnsi="仿宋_GB2312" w:cs="仿宋_GB2312" w:eastAsia="仿宋_GB2312"/>
                <w:sz w:val="24"/>
              </w:rPr>
              <w:t>人工费、差旅费、资料费、税费、</w:t>
            </w:r>
            <w:r>
              <w:rPr>
                <w:rFonts w:ascii="仿宋_GB2312" w:hAnsi="仿宋_GB2312" w:cs="仿宋_GB2312" w:eastAsia="仿宋_GB2312"/>
                <w:sz w:val="24"/>
              </w:rPr>
              <w:t>设计、设备、</w:t>
            </w:r>
            <w:r>
              <w:rPr>
                <w:rFonts w:ascii="仿宋_GB2312" w:hAnsi="仿宋_GB2312" w:cs="仿宋_GB2312" w:eastAsia="仿宋_GB2312"/>
                <w:sz w:val="24"/>
              </w:rPr>
              <w:t>利润</w:t>
            </w:r>
            <w:r>
              <w:rPr>
                <w:rFonts w:ascii="仿宋_GB2312" w:hAnsi="仿宋_GB2312" w:cs="仿宋_GB2312" w:eastAsia="仿宋_GB2312"/>
                <w:sz w:val="24"/>
              </w:rPr>
              <w:t>及磋商文件要求的其他费用等项目相关的所有费用，采购人不再另行支付其他费用。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合同签订后180日完成设备安装及系统调试，VR系统部署完成投入运行后进入运维期1年。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稻城县（采购人指定的地点）。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①验收方式：供应商提出验收申请后，由采购人自行组织验收，验收时采购人、供应商双方皆应派员参加。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1、合同签订后，达到付款条件起15日内，支付合同总金额的40.00%</w:t>
            </w:r>
          </w:p>
          <w:p>
            <w:pPr>
              <w:pStyle w:val="null3"/>
              <w:jc w:val="left"/>
            </w:pPr>
            <w:r>
              <w:rPr>
                <w:rFonts w:ascii="仿宋_GB2312" w:hAnsi="仿宋_GB2312" w:cs="仿宋_GB2312" w:eastAsia="仿宋_GB2312"/>
              </w:rPr>
              <w:t>2、设备安装调试完成后，达到付款条件起15日内，支付合同总金额的40.00%</w:t>
            </w:r>
          </w:p>
          <w:p>
            <w:pPr>
              <w:pStyle w:val="null3"/>
              <w:jc w:val="left"/>
            </w:pPr>
            <w:r>
              <w:rPr>
                <w:rFonts w:ascii="仿宋_GB2312" w:hAnsi="仿宋_GB2312" w:cs="仿宋_GB2312" w:eastAsia="仿宋_GB2312"/>
              </w:rPr>
              <w:t>3、系统投入运行经采购人验收合格后，达到付款条件起15日内，支付合同总金额的20.00%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①采购人及成交人双方必须遵守采购合同并执行合同中的各项规定，保证采购合同的正常履行。任何一方违约给对方造成的直接损失均负有赔偿责任，对方均有权视情况要求对方继续履行合同或提出解除合同。 ②如因成交人在履行过程中的疏忽、失职、过错等故意或者过失原因给采购人造成损失或侵害，包括但不限于采购人本身的财产损失、由此而导致的采购人对任何第三方的法律责任等，成交人对此均应承担全部的赔偿责任。 ③如成交人提交的成果达不到相关质量要求或未按采购人时间进度安排完成成果，采购人有权扣除合同支付金额和提出解除合同。 （2）争议解决办法 ①采购人及成交人双方就采购合同所产生的任何争议都应该进行友好协商，协商解决不成的，任何一方均可向项目所在地仲裁委员会申请仲裁。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1.若供应商有递交质疑函的情况，具体邮寄信息详见采购文件第二章供应商须知附表中的 2.8 询问、质疑和投诉相关事宜，并须在邮寄后电话告知相 关当事人（此条无需供应商进行响应）。2.供应商采用邮寄方式提交质疑资料的，建议采用顺丰或邮政快递邮寄；供应商采用邮箱形式提交质疑资料的，请发送至“19182068315@163.com”（此条无需供应商进行响应）。3.演示地点：四川省成都市金牛万达SoHo A座16楼1601号；演示时间：与响应文件提交截止时间一致；演示要求：供应商可根据自身情况确定是否提供采购文件5.4.2.评审细则及标准“演示”中要求的类似飞跃亚丁项目需求的VR风景类定制演示内容。若供应商提供演示的则需自行配备演示所需的设施设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或2024或2025年度经审计的财务报告复印件（包含审计报告和审计报告中所涉及的财务报表和报表附注），②也可提供2023或2024或2025年度投标人的财务报表复印件（至少包含资产负债表），③也可提供距文件递交截止日一年内银行出具的资信证明（复印件），④投标人注册时间截至响应文件递交截止日不足一年的，也可提供工商管理部门备案的公司章程（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注：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并进行电子签章，残疾人福利性单位提供《残疾人福利性单位声明函》并进行电子签章，监狱企业提供由省级以上监狱管理局、戒毒管理局（含新疆生产建设兵团）出具的属于监狱企业的证明文件并进行电子签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在评审过程中，磋商小组应按照采购文件第三章技术要求中的实质性要求，对供应商响应内容进行审查，未响应或未响应完全的，磋商小组应当将其响应文件作为无效投标处理。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在评审过程中，磋商小组应按照采购文件第三章服务内容要求中实质性要求，对供应商响应内容进行审查，未响应或未响应完全的，磋商小组应当将其响应文件作为无效投标处理。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服务内容要求应答表.docx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在评审过程中，磋商小组应按照采购文件第三章商务要求中实质性要求，对供应商响应内容进行审查，未响应或未响应完全的，磋商小组应当将其响应文件作为无效投标处理。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本项目若涉及异常低价投标审查的，按照采购文件5.3.6相关要求执行。</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磋商小组应对供应商提供的按采购文件中的明确要求进行单独承诺或提供承诺函或要求提供原件扫描件（认证信息截图）等实质性要求的响应资料进行审查，未响应或未响应完全的，磋商小组应当将其响应文件作为无效投标处理。</w:t>
            </w:r>
          </w:p>
        </w:tc>
        <w:tc>
          <w:tcPr>
            <w:tcW w:type="dxa" w:w="1661"/>
          </w:tcPr>
          <w:p>
            <w:pPr>
              <w:pStyle w:val="null3"/>
              <w:jc w:val="left"/>
            </w:pPr>
            <w:r>
              <w:rPr>
                <w:rFonts w:ascii="仿宋_GB2312" w:hAnsi="仿宋_GB2312" w:cs="仿宋_GB2312" w:eastAsia="仿宋_GB2312"/>
              </w:rPr>
              <w:t>响应文件封面,其它供应商认为应该提供的相关材料.docx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完全符合3.2技术要求 “飞跃亚丁VR体验技术要求”中技术参数要求的得10分，每有一项“▲”负偏离扣2分（共4项），每有一项“非▲、非★”参数负偏离扣0.1分（共20项），扣完为止，但不视为响应文件无效。 注：以序号1.2.3.....计算；★为实质性要求，不作为评审因素。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包含①项目需求分析与理解、②重难点分析及对应解决方案、③飞跃亚丁VR虚拟空间定制方案、④体验系统交互设计方案、⑤系统设备部署调试方案、⑥人员配备及分工）进行评审，方案齐全且无缺陷的得48分，每缺少一项内容的扣8分；每项中每有一处缺陷的扣4分，每项最多扣8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供应商针对本项目提供的保障方案（包含①进度保障措施、②质量保障措施、③安全保障措施）进行评审，方案齐全且无缺陷的得6分，每缺少一项内容的扣2分；每项中每有一处缺陷的扣1分，每项最多扣2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根据供应商针对本项目提供的后续服务方案（包含①后续服务时间；②后续服务内容及保障）进行评审，方案齐全且无缺陷的得8分，每缺少一项内容的扣4分；每项中每有一处缺陷的扣2分，每项最多扣4分。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供应商需提供类似飞跃亚丁项目需求的VR风景类定制演示内容（不限定为稻城亚丁区域，同类景区/自然风景类定制Demo均可），每提供一份风景类Demo得5分，最高10分。 注：1.单份演示视频时长不低于60s，低于60s不得分；2.未提供演示视频或提供的演示视频不符合要求或演示过程出现卡顿、闪退情形的不得分。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本项目拟派项目团队的项目经理或者技术负责人：具有系统集成项目管理工程师证书（软考中级）的得3分，具有信息系统项目管理师证书（软考高级）的得5分，本项最高得5分。 注：①提供有效证书复印件并加盖供应商公章；②未提供不得分。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自2023年1月1日（含1月1日）以来至响应文件递交截止之日止，供应商每提供一个类似业绩的得1.5分，本项最多得3分。 注：提供中标/成交通知书（以中标/成交通知书落款时间为准）复印件或协议/合同（协议/合同以签订时间为准）复印件，并加盖供应商公章，否则不得分。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其它供应商认为应该提供的相关材料.docx</w:t>
            </w:r>
          </w:p>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详见附件：其它供应商认为应该提供的相关材料.docx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