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版本号：N511011202600003220260509002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2026年东兴区病媒生物消杀服务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N5110112026000032</w:t>
      </w:r>
    </w:p>
    <w:p>
      <w:pPr>
        <w:pStyle w:val="null3"/>
        <w:jc w:val="left"/>
        <w:outlineLvl w:val="2"/>
      </w:pPr>
      <w:r>
        <w:rPr>
          <w:rFonts w:ascii="仿宋_GB2312" w:hAnsi="仿宋_GB2312" w:cs="仿宋_GB2312" w:eastAsia="仿宋_GB2312"/>
          <w:sz w:val="28"/>
          <w:b/>
        </w:rPr>
        <w:t>内江市东兴区卫生健康局</w:t>
      </w:r>
    </w:p>
    <w:p>
      <w:pPr>
        <w:pStyle w:val="null3"/>
        <w:jc w:val="center"/>
        <w:outlineLvl w:val="2"/>
      </w:pPr>
      <w:r>
        <w:rPr>
          <w:rFonts w:ascii="仿宋_GB2312" w:hAnsi="仿宋_GB2312" w:cs="仿宋_GB2312" w:eastAsia="仿宋_GB2312"/>
          <w:sz w:val="28"/>
          <w:b/>
        </w:rPr>
        <w:t>四川远捷工程项目管理有限公司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四川远捷工程项目管理有限公司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内江市东兴区卫生健康局</w:t>
      </w:r>
      <w:r>
        <w:rPr>
          <w:rFonts w:ascii="仿宋_GB2312" w:hAnsi="仿宋_GB2312" w:cs="仿宋_GB2312" w:eastAsia="仿宋_GB2312"/>
        </w:rPr>
        <w:t xml:space="preserve"> 委托，拟对 </w:t>
      </w:r>
      <w:r>
        <w:rPr>
          <w:rFonts w:ascii="仿宋_GB2312" w:hAnsi="仿宋_GB2312" w:cs="仿宋_GB2312" w:eastAsia="仿宋_GB2312"/>
        </w:rPr>
        <w:t>2026年东兴区病媒生物消杀服务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内江市东兴区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N5110112026000032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2026年东兴区病媒生物消杀服务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东兴区城区建成区面积约52.1平方公里，共3个街道1个镇，52个城市社区。全年集中2次全覆盖消杀；内江海关区域5-10月每月消杀1次；若发生病媒传染病，按照疫情要求开展消杀。重点场所涵盖农贸市场、餐饮、医院、垃圾中转站等各类公共场所及单位、居民区的室外环境室.</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内江市东兴区卫生健康局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内江市东兴区平安路589号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0832-5865816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四川远捷工程项目管理有限公司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四川省内江市东兴区兰桂大道222号负一层3号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0832-5616868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采购包1：1,285,000.00元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代理服务费收费标准：供应商支付，采购代理服务费参照国家计委【2002】1980号文件、国家计改发（2011） 534号文件中关于服务收费标准和合理利润原则计算收取,本项目代理服务费：16834元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内江市东兴区卫生健康局</w:t>
      </w:r>
      <w:r>
        <w:rPr>
          <w:rFonts w:ascii="仿宋_GB2312" w:hAnsi="仿宋_GB2312" w:cs="仿宋_GB2312" w:eastAsia="仿宋_GB2312"/>
        </w:rPr>
        <w:t xml:space="preserve"> 和 </w:t>
      </w:r>
      <w:r>
        <w:rPr>
          <w:rFonts w:ascii="仿宋_GB2312" w:hAnsi="仿宋_GB2312" w:cs="仿宋_GB2312" w:eastAsia="仿宋_GB2312"/>
        </w:rPr>
        <w:t>四川远捷工程项目管理有限公司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内江市东兴区卫生健康局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四川远捷工程项目管理有限公司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所有服务项目完成，经评估消杀合格后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成交供应商与采购人按照政府采购相关法律法规以及《政府采购需求管理办法》(财库[2021】22号)的要求，采购文件技术要求、成交供应商的响应文件及承诺以及合同约定标准进行验收。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内江市东兴区卫生健康局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四川远捷工程项目管理有限公司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四川远捷工程项目管理有限公司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联系人：蒋女士</w:t>
      </w:r>
    </w:p>
    <w:p>
      <w:pPr>
        <w:pStyle w:val="null3"/>
        <w:jc w:val="left"/>
      </w:pPr>
      <w:r>
        <w:rPr>
          <w:rFonts w:ascii="仿宋_GB2312" w:hAnsi="仿宋_GB2312" w:cs="仿宋_GB2312" w:eastAsia="仿宋_GB2312"/>
        </w:rPr>
        <w:t>联系电话：0832-5616868</w:t>
      </w:r>
    </w:p>
    <w:p>
      <w:pPr>
        <w:pStyle w:val="null3"/>
        <w:jc w:val="left"/>
      </w:pPr>
      <w:r>
        <w:rPr>
          <w:rFonts w:ascii="仿宋_GB2312" w:hAnsi="仿宋_GB2312" w:cs="仿宋_GB2312" w:eastAsia="仿宋_GB2312"/>
        </w:rPr>
        <w:t>地址：四川省内江市资中县水南镇凤凰大道1068号资中国际商贸城三期18(C8) 1-3-301</w:t>
      </w:r>
    </w:p>
    <w:p>
      <w:pPr>
        <w:pStyle w:val="null3"/>
        <w:jc w:val="left"/>
      </w:pPr>
      <w:r>
        <w:rPr>
          <w:rFonts w:ascii="仿宋_GB2312" w:hAnsi="仿宋_GB2312" w:cs="仿宋_GB2312" w:eastAsia="仿宋_GB2312"/>
        </w:rPr>
        <w:t>邮编：641200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1,285,000.00</w:t>
      </w:r>
    </w:p>
    <w:p>
      <w:pPr>
        <w:pStyle w:val="null3"/>
        <w:jc w:val="left"/>
      </w:pPr>
      <w:r>
        <w:rPr>
          <w:rFonts w:ascii="仿宋_GB2312" w:hAnsi="仿宋_GB2312" w:cs="仿宋_GB2312" w:eastAsia="仿宋_GB2312"/>
        </w:rPr>
        <w:t>采购包最高限价（元）: 1,285,000.00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2026年东兴区病媒生物消杀服务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1,285,000.00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2026年东兴区病媒生物消杀服务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标的名称：2026年东兴区病媒生物消杀服务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643"/>
              <w:jc w:val="both"/>
            </w:pPr>
            <w:r>
              <w:rPr>
                <w:rFonts w:ascii="仿宋_GB2312" w:hAnsi="仿宋_GB2312" w:cs="仿宋_GB2312" w:eastAsia="仿宋_GB2312"/>
                <w:sz w:val="32"/>
                <w:b/>
              </w:rPr>
              <w:t>（一）灭鼠。</w:t>
            </w:r>
          </w:p>
          <w:p>
            <w:pPr>
              <w:pStyle w:val="null3"/>
              <w:ind w:firstLine="643"/>
              <w:jc w:val="both"/>
            </w:pPr>
            <w:r>
              <w:rPr>
                <w:rFonts w:ascii="仿宋_GB2312" w:hAnsi="仿宋_GB2312" w:cs="仿宋_GB2312" w:eastAsia="仿宋_GB2312"/>
                <w:sz w:val="32"/>
                <w:b/>
              </w:rPr>
              <w:t>1.药物选择。</w:t>
            </w:r>
            <w:r>
              <w:rPr>
                <w:rFonts w:ascii="仿宋_GB2312" w:hAnsi="仿宋_GB2312" w:cs="仿宋_GB2312" w:eastAsia="仿宋_GB2312"/>
                <w:sz w:val="32"/>
              </w:rPr>
              <w:t>选择由正规渠道购买符合国家要求的高效、低毒、环保灭鼠药。如慢性灭鼠剂（抗凝血灭鼠剂）：第一代抗凝血灭鼠剂</w:t>
            </w:r>
            <w:r>
              <w:rPr>
                <w:rFonts w:ascii="仿宋_GB2312" w:hAnsi="仿宋_GB2312" w:cs="仿宋_GB2312" w:eastAsia="仿宋_GB2312"/>
                <w:sz w:val="32"/>
              </w:rPr>
              <w:t>:杀鼠醚、杀鼠灵、敌鼠钠盐、氯鼠酮，第二代抗凝血灭鼠剂:溴敌隆、大隆、硫敌隆、杀他仗等。</w:t>
            </w:r>
          </w:p>
          <w:p>
            <w:pPr>
              <w:pStyle w:val="null3"/>
              <w:ind w:firstLine="643"/>
              <w:jc w:val="both"/>
            </w:pPr>
            <w:r>
              <w:rPr>
                <w:rFonts w:ascii="仿宋_GB2312" w:hAnsi="仿宋_GB2312" w:cs="仿宋_GB2312" w:eastAsia="仿宋_GB2312"/>
                <w:sz w:val="32"/>
                <w:b/>
              </w:rPr>
              <w:t>2.物理防制。</w:t>
            </w:r>
            <w:r>
              <w:rPr>
                <w:rFonts w:ascii="仿宋_GB2312" w:hAnsi="仿宋_GB2312" w:cs="仿宋_GB2312" w:eastAsia="仿宋_GB2312"/>
                <w:sz w:val="32"/>
              </w:rPr>
              <w:t>投放粘鼠板或鼠夹板灭鼠，放置位置须注意人员安全。</w:t>
            </w:r>
          </w:p>
          <w:p>
            <w:pPr>
              <w:pStyle w:val="null3"/>
              <w:ind w:firstLine="643"/>
              <w:jc w:val="both"/>
            </w:pPr>
            <w:r>
              <w:rPr>
                <w:rFonts w:ascii="仿宋_GB2312" w:hAnsi="仿宋_GB2312" w:cs="仿宋_GB2312" w:eastAsia="仿宋_GB2312"/>
                <w:sz w:val="32"/>
                <w:b/>
              </w:rPr>
              <w:t>3.堵鼠洞。</w:t>
            </w:r>
            <w:r>
              <w:rPr>
                <w:rFonts w:ascii="仿宋_GB2312" w:hAnsi="仿宋_GB2312" w:cs="仿宋_GB2312" w:eastAsia="仿宋_GB2312"/>
                <w:sz w:val="32"/>
              </w:rPr>
              <w:t>鼠洞是老鼠栖息地，常见于墙脚、篱笆、灌丛、绿化带、农田周边等环境。用泥土或水泥浇筑密闭洞口</w:t>
            </w:r>
            <w:r>
              <w:rPr>
                <w:rFonts w:ascii="仿宋_GB2312" w:hAnsi="仿宋_GB2312" w:cs="仿宋_GB2312" w:eastAsia="仿宋_GB2312"/>
                <w:sz w:val="32"/>
              </w:rPr>
              <w:t>,随时观察新产生的鼠洞并按上述方法进行处理。</w:t>
            </w:r>
          </w:p>
          <w:p>
            <w:pPr>
              <w:pStyle w:val="null3"/>
              <w:ind w:firstLine="643"/>
              <w:jc w:val="both"/>
            </w:pPr>
            <w:r>
              <w:rPr>
                <w:rFonts w:ascii="仿宋_GB2312" w:hAnsi="仿宋_GB2312" w:cs="仿宋_GB2312" w:eastAsia="仿宋_GB2312"/>
                <w:sz w:val="32"/>
                <w:b/>
              </w:rPr>
              <w:t>4.投放毒饵要求。</w:t>
            </w:r>
            <w:r>
              <w:rPr>
                <w:rFonts w:ascii="仿宋_GB2312" w:hAnsi="仿宋_GB2312" w:cs="仿宋_GB2312" w:eastAsia="仿宋_GB2312"/>
                <w:sz w:val="32"/>
              </w:rPr>
              <w:t>投饵必须做到全方位，室内外环境不留死角。投饵方法为每一间房</w:t>
            </w:r>
            <w:r>
              <w:rPr>
                <w:rFonts w:ascii="仿宋_GB2312" w:hAnsi="仿宋_GB2312" w:cs="仿宋_GB2312" w:eastAsia="仿宋_GB2312"/>
                <w:sz w:val="32"/>
              </w:rPr>
              <w:t>(以15平方米计)投放2-3堆，室外按5米距离投放一堆，每堆15-20克。室内应放于房间四角或沿墙根及老鼠经常出没的道口、洞口等处，室外应将毒饵投放于有鼠活动的隐蔽处。室内外投放毒饵均应采用灭鼠毒饵盒盛装，下水道采用灭鼠蜡块毒饵，用铁丝挂蜡块，铁丝上端固定在井口，下端蜡块离下水道底或水面2公分距离。第一次投饵后次日应进行检查毒饵盗食情况，盗食多少补充多少，全部盗食应加倍补充，直至老鼠不再盗食为止，毒饵盒中的毒饵保留率达到100%。投放灭鼠毒饵时，设置安全警示标志、张贴灭鼠安全告知的方式，避免误食鼠药中毒事故的发生。</w:t>
            </w:r>
          </w:p>
          <w:p>
            <w:pPr>
              <w:pStyle w:val="null3"/>
              <w:ind w:firstLine="643"/>
              <w:jc w:val="both"/>
            </w:pPr>
            <w:r>
              <w:rPr>
                <w:rFonts w:ascii="仿宋_GB2312" w:hAnsi="仿宋_GB2312" w:cs="仿宋_GB2312" w:eastAsia="仿宋_GB2312"/>
                <w:sz w:val="32"/>
                <w:b/>
              </w:rPr>
              <w:t>（二）灭蟑螂。</w:t>
            </w:r>
          </w:p>
          <w:p>
            <w:pPr>
              <w:pStyle w:val="null3"/>
              <w:ind w:firstLine="643"/>
              <w:jc w:val="both"/>
            </w:pPr>
            <w:r>
              <w:rPr>
                <w:rFonts w:ascii="仿宋_GB2312" w:hAnsi="仿宋_GB2312" w:cs="仿宋_GB2312" w:eastAsia="仿宋_GB2312"/>
                <w:sz w:val="32"/>
                <w:b/>
              </w:rPr>
              <w:t>1.药物选择。</w:t>
            </w:r>
            <w:r>
              <w:rPr>
                <w:rFonts w:ascii="仿宋_GB2312" w:hAnsi="仿宋_GB2312" w:cs="仿宋_GB2312" w:eastAsia="仿宋_GB2312"/>
                <w:sz w:val="32"/>
              </w:rPr>
              <w:t>选择由正规渠道购买符合国家要求的高效、低毒、环保的灭虫药，最好选择以熏蒸和热烟雾机的方法快速将蟑蟑螂杀灭，然后在辅以其它方法。如胶饵、毒饵、热烟雾剂多法并用，下水道热烟雾作业需防爆。</w:t>
            </w:r>
          </w:p>
          <w:p>
            <w:pPr>
              <w:pStyle w:val="null3"/>
              <w:ind w:firstLine="643"/>
              <w:jc w:val="both"/>
            </w:pPr>
            <w:r>
              <w:rPr>
                <w:rFonts w:ascii="仿宋_GB2312" w:hAnsi="仿宋_GB2312" w:cs="仿宋_GB2312" w:eastAsia="仿宋_GB2312"/>
                <w:sz w:val="32"/>
                <w:b/>
              </w:rPr>
              <w:t>2.饱和投饵和药物滞留喷洒。</w:t>
            </w:r>
            <w:r>
              <w:rPr>
                <w:rFonts w:ascii="仿宋_GB2312" w:hAnsi="仿宋_GB2312" w:cs="仿宋_GB2312" w:eastAsia="仿宋_GB2312"/>
                <w:sz w:val="32"/>
              </w:rPr>
              <w:t>灭蟑螂毒饵室内应投放于没水浸和无食源的场所，药物滞留喷洒应将药物喷洒在蟑螂经常出没的地方；</w:t>
            </w:r>
          </w:p>
          <w:p>
            <w:pPr>
              <w:pStyle w:val="null3"/>
              <w:ind w:firstLine="643"/>
              <w:jc w:val="both"/>
            </w:pPr>
            <w:r>
              <w:rPr>
                <w:rFonts w:ascii="仿宋_GB2312" w:hAnsi="仿宋_GB2312" w:cs="仿宋_GB2312" w:eastAsia="仿宋_GB2312"/>
                <w:sz w:val="32"/>
                <w:b/>
              </w:rPr>
              <w:t>3.热烟雾药物喷杀。</w:t>
            </w:r>
            <w:r>
              <w:rPr>
                <w:rFonts w:ascii="仿宋_GB2312" w:hAnsi="仿宋_GB2312" w:cs="仿宋_GB2312" w:eastAsia="仿宋_GB2312"/>
                <w:sz w:val="32"/>
              </w:rPr>
              <w:t>下水道灭蟑螂采用专用机械进行热烟雾药物喷杀，跑出地面的蟑螂采用人工扑打。使用热烟雾机进行喷烟</w:t>
            </w:r>
            <w:r>
              <w:rPr>
                <w:rFonts w:ascii="仿宋_GB2312" w:hAnsi="仿宋_GB2312" w:cs="仿宋_GB2312" w:eastAsia="仿宋_GB2312"/>
                <w:sz w:val="32"/>
              </w:rPr>
              <w:t>(雾)作业时，加强管理，远离易燃易爆环境，严防火灾、爆炸等意外事故发生。</w:t>
            </w:r>
          </w:p>
          <w:p>
            <w:pPr>
              <w:pStyle w:val="null3"/>
              <w:ind w:firstLine="643"/>
              <w:jc w:val="both"/>
            </w:pPr>
            <w:r>
              <w:rPr>
                <w:rFonts w:ascii="仿宋_GB2312" w:hAnsi="仿宋_GB2312" w:cs="仿宋_GB2312" w:eastAsia="仿宋_GB2312"/>
                <w:sz w:val="32"/>
                <w:b/>
              </w:rPr>
              <w:t>（三）灭蚊灭蝇。</w:t>
            </w:r>
          </w:p>
          <w:p>
            <w:pPr>
              <w:pStyle w:val="null3"/>
              <w:ind w:firstLine="643"/>
              <w:jc w:val="both"/>
            </w:pPr>
            <w:r>
              <w:rPr>
                <w:rFonts w:ascii="仿宋_GB2312" w:hAnsi="仿宋_GB2312" w:cs="仿宋_GB2312" w:eastAsia="仿宋_GB2312"/>
                <w:sz w:val="32"/>
                <w:b/>
              </w:rPr>
              <w:t>1.药物选择。</w:t>
            </w:r>
            <w:r>
              <w:rPr>
                <w:rFonts w:ascii="仿宋_GB2312" w:hAnsi="仿宋_GB2312" w:cs="仿宋_GB2312" w:eastAsia="仿宋_GB2312"/>
                <w:sz w:val="32"/>
              </w:rPr>
              <w:t>选择由正规渠道购买符合国家要求的高效、低毒、环保的灭虫药，外环境菊酯类杀虫剂滞留喷洒，重点部位每周</w:t>
            </w:r>
            <w:r>
              <w:rPr>
                <w:rFonts w:ascii="仿宋_GB2312" w:hAnsi="仿宋_GB2312" w:cs="仿宋_GB2312" w:eastAsia="仿宋_GB2312"/>
                <w:sz w:val="32"/>
              </w:rPr>
              <w:t>2—3次；旱厕可用有机磷类杀虫剂。</w:t>
            </w:r>
          </w:p>
          <w:p>
            <w:pPr>
              <w:pStyle w:val="null3"/>
              <w:ind w:firstLine="643"/>
              <w:jc w:val="both"/>
            </w:pPr>
            <w:r>
              <w:rPr>
                <w:rFonts w:ascii="仿宋_GB2312" w:hAnsi="仿宋_GB2312" w:cs="仿宋_GB2312" w:eastAsia="仿宋_GB2312"/>
                <w:sz w:val="32"/>
                <w:b/>
              </w:rPr>
              <w:t>2.外环境灭蚊蝇。</w:t>
            </w:r>
            <w:r>
              <w:rPr>
                <w:rFonts w:ascii="仿宋_GB2312" w:hAnsi="仿宋_GB2312" w:cs="仿宋_GB2312" w:eastAsia="仿宋_GB2312"/>
                <w:sz w:val="32"/>
              </w:rPr>
              <w:t>使用菊酯类灭虫药物喷洒，阴阳沟渠、农贸市场、垃圾站</w:t>
            </w:r>
            <w:r>
              <w:rPr>
                <w:rFonts w:ascii="仿宋_GB2312" w:hAnsi="仿宋_GB2312" w:cs="仿宋_GB2312" w:eastAsia="仿宋_GB2312"/>
                <w:sz w:val="32"/>
              </w:rPr>
              <w:t>(屋、桶)、垃圾处理(填埋)场、公厕等重点部位每周消杀2-3次;对旱厕喷洒有机磷药物灭杀幼蝇。施药人员在操作过程中按安全操作规范进行，做好个人安全防护，防止药液经呼吸道和皮肤吸入中毒事故和对食品、饮用水、鱼池造成污染。</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b/>
              </w:rPr>
              <w:t>.物理防制。</w:t>
            </w:r>
            <w:r>
              <w:rPr>
                <w:rFonts w:ascii="仿宋_GB2312" w:hAnsi="仿宋_GB2312" w:cs="仿宋_GB2312" w:eastAsia="仿宋_GB2312"/>
                <w:sz w:val="32"/>
              </w:rPr>
              <w:t>灭蝇，在室内悬挂粘蝇彩条、灭蝇灯等进行粘捕或诱杀。灭蚊，可采用灭蚊药片、蚊香、用青蒿烟薰等进行薰杀。</w:t>
            </w:r>
          </w:p>
          <w:p>
            <w:pPr>
              <w:pStyle w:val="null3"/>
              <w:ind w:firstLine="64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药品要求</w:t>
            </w:r>
          </w:p>
        </w:tc>
        <w:tc>
          <w:tcPr>
            <w:tcW w:type="dxa" w:w="5814"/>
          </w:tcPr>
          <w:p>
            <w:pPr>
              <w:pStyle w:val="null3"/>
              <w:ind w:firstLine="643"/>
              <w:jc w:val="both"/>
            </w:pPr>
            <w:r>
              <w:rPr>
                <w:rFonts w:ascii="仿宋_GB2312" w:hAnsi="仿宋_GB2312" w:cs="仿宋_GB2312" w:eastAsia="仿宋_GB2312"/>
                <w:sz w:val="32"/>
                <w:b/>
              </w:rPr>
              <w:t>（一）</w:t>
            </w:r>
            <w:r>
              <w:rPr>
                <w:rFonts w:ascii="仿宋_GB2312" w:hAnsi="仿宋_GB2312" w:cs="仿宋_GB2312" w:eastAsia="仿宋_GB2312"/>
                <w:sz w:val="32"/>
              </w:rPr>
              <w:t>成交供应商选用的药品必须具有农药</w:t>
            </w:r>
            <w:r>
              <w:rPr>
                <w:rFonts w:ascii="仿宋_GB2312" w:hAnsi="仿宋_GB2312" w:cs="仿宋_GB2312" w:eastAsia="仿宋_GB2312"/>
                <w:sz w:val="32"/>
              </w:rPr>
              <w:t>“三证”：(农药登记证、农药生产许可证、</w:t>
            </w:r>
            <w:r>
              <w:rPr>
                <w:rFonts w:ascii="仿宋_GB2312" w:hAnsi="仿宋_GB2312" w:cs="仿宋_GB2312" w:eastAsia="仿宋_GB2312"/>
                <w:sz w:val="32"/>
              </w:rPr>
              <w:t>农药</w:t>
            </w:r>
            <w:r>
              <w:rPr>
                <w:rFonts w:ascii="仿宋_GB2312" w:hAnsi="仿宋_GB2312" w:cs="仿宋_GB2312" w:eastAsia="仿宋_GB2312"/>
                <w:sz w:val="32"/>
              </w:rPr>
              <w:t>产品质量标准证</w:t>
            </w:r>
            <w:r>
              <w:rPr>
                <w:rFonts w:ascii="仿宋_GB2312" w:hAnsi="仿宋_GB2312" w:cs="仿宋_GB2312" w:eastAsia="仿宋_GB2312"/>
                <w:sz w:val="32"/>
              </w:rPr>
              <w:t>（</w:t>
            </w:r>
            <w:r>
              <w:rPr>
                <w:rFonts w:ascii="仿宋_GB2312" w:hAnsi="仿宋_GB2312" w:cs="仿宋_GB2312" w:eastAsia="仿宋_GB2312"/>
                <w:sz w:val="32"/>
              </w:rPr>
              <w:t>号</w:t>
            </w:r>
            <w:r>
              <w:rPr>
                <w:rFonts w:ascii="仿宋_GB2312" w:hAnsi="仿宋_GB2312" w:cs="仿宋_GB2312" w:eastAsia="仿宋_GB2312"/>
                <w:sz w:val="32"/>
              </w:rPr>
              <w:t>）</w:t>
            </w:r>
            <w:r>
              <w:rPr>
                <w:rFonts w:ascii="仿宋_GB2312" w:hAnsi="仿宋_GB2312" w:cs="仿宋_GB2312" w:eastAsia="仿宋_GB2312"/>
                <w:sz w:val="32"/>
              </w:rPr>
              <w:t>)，同时应有国家认可的检测机构出具的检测报告。合同签订前，将所用药品以上资料交与采购人核实。（响应文件中提供承诺函）</w:t>
            </w:r>
          </w:p>
          <w:p>
            <w:pPr>
              <w:pStyle w:val="null3"/>
              <w:ind w:firstLine="643"/>
              <w:jc w:val="both"/>
            </w:pPr>
            <w:r>
              <w:rPr>
                <w:rFonts w:ascii="仿宋_GB2312" w:hAnsi="仿宋_GB2312" w:cs="仿宋_GB2312" w:eastAsia="仿宋_GB2312"/>
                <w:sz w:val="32"/>
                <w:b/>
              </w:rPr>
              <w:t>（二）</w:t>
            </w:r>
            <w:r>
              <w:rPr>
                <w:rFonts w:ascii="仿宋_GB2312" w:hAnsi="仿宋_GB2312" w:cs="仿宋_GB2312" w:eastAsia="仿宋_GB2312"/>
                <w:sz w:val="32"/>
              </w:rPr>
              <w:t>成交后合同签订前提供药品生产厂家</w:t>
            </w:r>
            <w:r>
              <w:rPr>
                <w:rFonts w:ascii="仿宋_GB2312" w:hAnsi="仿宋_GB2312" w:cs="仿宋_GB2312" w:eastAsia="仿宋_GB2312"/>
                <w:sz w:val="32"/>
              </w:rPr>
              <w:t>(或总经销商)针对本项目的药品售后质量保证书(售后质量保证书需载明本项目的项目名称、编号(如有)、药品的有效成分、含量等)，并加盖生产厂家(或总经销商)公章，若无法提供视为虚假响应并承担相应法律责任（响应文件中提供本项承诺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服务施药环境及安全要求</w:t>
            </w:r>
          </w:p>
        </w:tc>
        <w:tc>
          <w:tcPr>
            <w:tcW w:type="dxa" w:w="5814"/>
          </w:tcPr>
          <w:p>
            <w:pPr>
              <w:pStyle w:val="null3"/>
              <w:jc w:val="left"/>
            </w:pPr>
            <w:r>
              <w:rPr>
                <w:rFonts w:ascii="仿宋_GB2312" w:hAnsi="仿宋_GB2312" w:cs="仿宋_GB2312" w:eastAsia="仿宋_GB2312"/>
                <w:b/>
              </w:rPr>
              <w:t>（一）</w:t>
            </w:r>
            <w:r>
              <w:rPr>
                <w:rFonts w:ascii="仿宋_GB2312" w:hAnsi="仿宋_GB2312" w:cs="仿宋_GB2312" w:eastAsia="仿宋_GB2312"/>
              </w:rPr>
              <w:t>成交供应商使用的灭鼠、灭蚊蝇、灭蟑螂药物，应按使用说明规范操作，严禁使用国家禁止使用的药物。投放、喷洒灭鼠杀虫药物的过程中，抓好用药安全，进行安全告知，落实安全防范措施，切实防止因工作失误造成的食品污染和中毒事故发生，并做好应急预案，如有中毒发生及时响应，用药安全所涉及到的相关赔偿责任均由成交人全权负责承担。</w:t>
            </w:r>
          </w:p>
          <w:p>
            <w:pPr>
              <w:pStyle w:val="null3"/>
              <w:jc w:val="left"/>
            </w:pPr>
            <w:r>
              <w:rPr>
                <w:rFonts w:ascii="仿宋_GB2312" w:hAnsi="仿宋_GB2312" w:cs="仿宋_GB2312" w:eastAsia="仿宋_GB2312"/>
                <w:b/>
              </w:rPr>
              <w:t>（二）</w:t>
            </w:r>
            <w:r>
              <w:rPr>
                <w:rFonts w:ascii="仿宋_GB2312" w:hAnsi="仿宋_GB2312" w:cs="仿宋_GB2312" w:eastAsia="仿宋_GB2312"/>
              </w:rPr>
              <w:t>统一、集中开展消杀工作时，提前10个工作日向采购人告知消杀服务时间。</w:t>
            </w:r>
          </w:p>
          <w:p>
            <w:pPr>
              <w:pStyle w:val="null3"/>
              <w:jc w:val="left"/>
            </w:pPr>
            <w:r>
              <w:rPr>
                <w:rFonts w:ascii="仿宋_GB2312" w:hAnsi="仿宋_GB2312" w:cs="仿宋_GB2312" w:eastAsia="仿宋_GB2312"/>
                <w:b/>
              </w:rPr>
              <w:t>（三）</w:t>
            </w:r>
            <w:r>
              <w:rPr>
                <w:rFonts w:ascii="仿宋_GB2312" w:hAnsi="仿宋_GB2312" w:cs="仿宋_GB2312" w:eastAsia="仿宋_GB2312"/>
              </w:rPr>
              <w:t>统一着装、佩证上岗、明确任务、文明作业。填写服务登记卡，并请服务单位有关人员签字，作为当次服务的凭据。确保药物使用安全、有效。</w:t>
            </w:r>
          </w:p>
          <w:p>
            <w:pPr>
              <w:pStyle w:val="null3"/>
              <w:jc w:val="left"/>
            </w:pPr>
            <w:r>
              <w:rPr>
                <w:rFonts w:ascii="仿宋_GB2312" w:hAnsi="仿宋_GB2312" w:cs="仿宋_GB2312" w:eastAsia="仿宋_GB2312"/>
                <w:b/>
              </w:rPr>
              <w:t>（四）</w:t>
            </w:r>
            <w:r>
              <w:rPr>
                <w:rFonts w:ascii="仿宋_GB2312" w:hAnsi="仿宋_GB2312" w:cs="仿宋_GB2312" w:eastAsia="仿宋_GB2312"/>
              </w:rPr>
              <w:t>投（施）药后，应向采购人指出需防护的部位和措施并安装指示牌警示。</w:t>
            </w:r>
          </w:p>
          <w:p>
            <w:pPr>
              <w:pStyle w:val="null3"/>
              <w:jc w:val="left"/>
            </w:pPr>
            <w:r>
              <w:rPr>
                <w:rFonts w:ascii="仿宋_GB2312" w:hAnsi="仿宋_GB2312" w:cs="仿宋_GB2312" w:eastAsia="仿宋_GB2312"/>
                <w:b/>
              </w:rPr>
              <w:t>（五）</w:t>
            </w:r>
            <w:r>
              <w:rPr>
                <w:rFonts w:ascii="仿宋_GB2312" w:hAnsi="仿宋_GB2312" w:cs="仿宋_GB2312" w:eastAsia="仿宋_GB2312"/>
              </w:rPr>
              <w:t>事先做好施药前提示，不能影响居民的学习、工作、生活。</w:t>
            </w:r>
          </w:p>
          <w:p>
            <w:pPr>
              <w:pStyle w:val="null3"/>
              <w:jc w:val="left"/>
            </w:pPr>
            <w:r>
              <w:rPr>
                <w:rFonts w:ascii="仿宋_GB2312" w:hAnsi="仿宋_GB2312" w:cs="仿宋_GB2312" w:eastAsia="仿宋_GB2312"/>
                <w:b/>
              </w:rPr>
              <w:t>（六）</w:t>
            </w:r>
            <w:r>
              <w:rPr>
                <w:rFonts w:ascii="仿宋_GB2312" w:hAnsi="仿宋_GB2312" w:cs="仿宋_GB2312" w:eastAsia="仿宋_GB2312"/>
              </w:rPr>
              <w:t>确保对采购人辖区内的动植物及公共设施不造成损害。</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服务质量监督</w:t>
            </w:r>
          </w:p>
        </w:tc>
        <w:tc>
          <w:tcPr>
            <w:tcW w:type="dxa" w:w="5814"/>
          </w:tcPr>
          <w:p>
            <w:pPr>
              <w:pStyle w:val="null3"/>
              <w:jc w:val="left"/>
            </w:pPr>
            <w:r>
              <w:rPr>
                <w:rFonts w:ascii="仿宋_GB2312" w:hAnsi="仿宋_GB2312" w:cs="仿宋_GB2312" w:eastAsia="仿宋_GB2312"/>
                <w:b/>
              </w:rPr>
              <w:t>（一）</w:t>
            </w:r>
            <w:r>
              <w:rPr>
                <w:rFonts w:ascii="仿宋_GB2312" w:hAnsi="仿宋_GB2312" w:cs="仿宋_GB2312" w:eastAsia="仿宋_GB2312"/>
              </w:rPr>
              <w:t>采购人在成交供应商履行合同过程中，将委托各街道办事处对灭鼠杀虫药物组织到位情况进行验收，对实施情况进行不定期抽查和监督。</w:t>
            </w:r>
          </w:p>
          <w:p>
            <w:pPr>
              <w:pStyle w:val="null3"/>
              <w:jc w:val="left"/>
            </w:pPr>
            <w:r>
              <w:rPr>
                <w:rFonts w:ascii="仿宋_GB2312" w:hAnsi="仿宋_GB2312" w:cs="仿宋_GB2312" w:eastAsia="仿宋_GB2312"/>
                <w:b/>
              </w:rPr>
              <w:t>（二）</w:t>
            </w:r>
            <w:r>
              <w:rPr>
                <w:rFonts w:ascii="仿宋_GB2312" w:hAnsi="仿宋_GB2312" w:cs="仿宋_GB2312" w:eastAsia="仿宋_GB2312"/>
              </w:rPr>
              <w:t>成交人要采取网格化的作业方式，由社区人员带路，逐一对每个社区约定的环境进行服务，接受社区和群众的监督和评价，对每个社区服务结束后，应有社区带路人员的签字和街道办事处的审核盖章认可的登记情况书面记录，并将经审核签字的登记情况汇总后及时送区卫生健康局疾控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服务质量与责任</w:t>
            </w:r>
          </w:p>
        </w:tc>
        <w:tc>
          <w:tcPr>
            <w:tcW w:type="dxa" w:w="5814"/>
          </w:tcPr>
          <w:p>
            <w:pPr>
              <w:pStyle w:val="null3"/>
              <w:jc w:val="left"/>
            </w:pPr>
            <w:r>
              <w:rPr>
                <w:rFonts w:ascii="仿宋_GB2312" w:hAnsi="仿宋_GB2312" w:cs="仿宋_GB2312" w:eastAsia="仿宋_GB2312"/>
              </w:rPr>
              <w:t>按照巩固国家卫生城市工作要求，城区病媒生物密度须达到《国家卫生城市标准》（2021年版），建成区鼠、蚊、蝇、蟑螂的密度达到国家病媒生物密度控制水平标准C级要求。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合同签订后365天内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内江市东兴区范围内：共3个街道1个镇，52个城市社区。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成交供应商与采购人严格按照政府采购相关法律法规以及《政府采购需求管理办法》(财库[2021]22号)的要求，采购文件技术要求、成交供应商的响应文件及承诺以及合同约定标准进行验收。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1、合同签订后，达到付款条件起5日内，支付合同总金额的50.00%</w:t>
            </w:r>
          </w:p>
          <w:p>
            <w:pPr>
              <w:pStyle w:val="null3"/>
              <w:jc w:val="left"/>
            </w:pPr>
            <w:r>
              <w:rPr>
                <w:rFonts w:ascii="仿宋_GB2312" w:hAnsi="仿宋_GB2312" w:cs="仿宋_GB2312" w:eastAsia="仿宋_GB2312"/>
              </w:rPr>
              <w:t>2、第一次集中消杀完成，经评估消杀合格后，达到付款条件起20日内，支付合同总金额的20.00%</w:t>
            </w:r>
          </w:p>
          <w:p>
            <w:pPr>
              <w:pStyle w:val="null3"/>
              <w:jc w:val="left"/>
            </w:pPr>
            <w:r>
              <w:rPr>
                <w:rFonts w:ascii="仿宋_GB2312" w:hAnsi="仿宋_GB2312" w:cs="仿宋_GB2312" w:eastAsia="仿宋_GB2312"/>
              </w:rPr>
              <w:t>3、所有服务项目完成，经评估消杀合格后，达到付款条件起20日内，支付合同总金额的30.00%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甲方违约责任:甲方在本合同约定的时间内无故拖延付款，每逾期一个工作日，甲方应按应付金额的0.1‰支付违约金。3、乙方违约责任，(1)乙方不履行或不按合同约定履行的，甲方有权要求乙方立即整改并提供本合同约定的服务；超过三日，乙方未能及时采取补救措施有效解决时，甲方有权另行聘请第三方进行服务，由此产生的所有费用由乙方承担。(2)如因乙方的疏忽、失职、过错等故意或者过失原因给甲方造成损失或侵害，包括但不限于甲方本身的财产损失、由此而导致的甲方对任何第三方的法律责任等，乙方均应承担全部的赔信责任和法律责任。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根据本项目采购需求，编制本项目服务方案，项目实施方案包括：①灭鼠方案②灭蝇方案③灭蚊方案④灭蟑方案⑤消毒方案⑥残留药物处理及药物废弃物回收方案⑦质量控制和进度管理方案⑧宣传培训方案⑨定期监测方案⑩安全防控措施；服务保障方案包括：①人员培训计划书②内部管理考核制度③规范作业保障方案；应急方案包括：①节假日、突发事件应急方案②中毒急救措施③自然灾害、重大活动应急消杀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或2025年度经审计的财务报告（包含审计报告和审计报告中所涉及的财务报表和报表附注）；2024年或2025年度供应商完整的全套财务报表（应当包括资产负债表、利润表、现金流量表）；截至采购文件（资格预审申请文件）提交截止之日前一年内银行出具的资信证明；供应商注册时间截至采购文件（资格预审申请文件）提交截止之日前不足一年的，也可提供在相关主管部门备案的公司章程等证明材料。</w:t>
            </w:r>
          </w:p>
        </w:tc>
        <w:tc>
          <w:tcPr>
            <w:tcW w:type="dxa" w:w="1661"/>
          </w:tcPr>
          <w:p>
            <w:pPr>
              <w:pStyle w:val="null3"/>
              <w:jc w:val="left"/>
            </w:pPr>
            <w:r>
              <w:rPr>
                <w:rFonts w:ascii="仿宋_GB2312" w:hAnsi="仿宋_GB2312" w:cs="仿宋_GB2312" w:eastAsia="仿宋_GB2312"/>
              </w:rPr>
              <w:t>具有健全财务会计制度的证明材料1.docx,投标（响应）函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采购文件实质性要求</w:t>
            </w:r>
          </w:p>
        </w:tc>
        <w:tc>
          <w:tcPr>
            <w:tcW w:type="dxa" w:w="3322"/>
          </w:tcPr>
          <w:p>
            <w:pPr>
              <w:pStyle w:val="null3"/>
              <w:jc w:val="left"/>
            </w:pPr>
            <w:r>
              <w:rPr>
                <w:rFonts w:ascii="仿宋_GB2312" w:hAnsi="仿宋_GB2312" w:cs="仿宋_GB2312" w:eastAsia="仿宋_GB2312"/>
              </w:rPr>
              <w:t xml:space="preserve"> 响应文件须满足采购文件的所有实质性要求</w:t>
            </w:r>
          </w:p>
        </w:tc>
        <w:tc>
          <w:tcPr>
            <w:tcW w:type="dxa" w:w="1661"/>
          </w:tcPr>
          <w:p>
            <w:pPr>
              <w:pStyle w:val="null3"/>
              <w:jc w:val="left"/>
            </w:pPr>
            <w:r>
              <w:rPr>
                <w:rFonts w:ascii="仿宋_GB2312" w:hAnsi="仿宋_GB2312" w:cs="仿宋_GB2312" w:eastAsia="仿宋_GB2312"/>
              </w:rPr>
              <w:t>服务响应表.docx,技术要求响应表.docx,供应商应提交的相关证明材料,商务应答表.docx,投标（响应）函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按照评审条款中“专用设备”得分由高到低的顺序推荐；“专用设备”得分相同的，按照 “人员设置”得分由高到低的顺序推荐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提供针对本项目的实施方案，方案内容包含：①灭鼠方案②灭蝇方案③灭蚊方案④灭蟑方案⑤消毒方案⑥残留药物处理及药物废弃物回收方案⑦质量控制和进度管理方案⑧宣传培训方案⑨定期监测方案⑩安全防控措施；以上①-⑩项方案内容完全提供且无缺陷的得40分，每缺少一项内容的扣4分，每有一处存在不足或缺陷扣2分，单项内容要素扣减分值不超过4分，本项分值扣完为止。注：每有一处存在不足或缺陷是指：方案存在不适用本项目采购需求及实际情况的情形、方案与本项目采购需求无关、方案内容前后矛盾或表述前后不一致、涉及的规范标准错误或不适用本项目、项目名称错误、时间地点区域错误、仅有框架或标题、套用其他项目方案任一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投标（响应）函</w:t>
            </w:r>
          </w:p>
        </w:tc>
      </w:tr>
      <w:tr>
        <w:tc>
          <w:tcPr>
            <w:tcW w:type="dxa" w:w="831"/>
            <w:vMerge/>
          </w:tcPr>
          <w:p/>
        </w:tc>
        <w:tc>
          <w:tcPr>
            <w:tcW w:type="dxa" w:w="1661"/>
          </w:tcPr>
          <w:p>
            <w:pPr>
              <w:pStyle w:val="null3"/>
              <w:jc w:val="left"/>
            </w:pPr>
            <w:r>
              <w:rPr>
                <w:rFonts w:ascii="仿宋_GB2312" w:hAnsi="仿宋_GB2312" w:cs="仿宋_GB2312" w:eastAsia="仿宋_GB2312"/>
              </w:rPr>
              <w:t>服务保障方案</w:t>
            </w:r>
          </w:p>
        </w:tc>
        <w:tc>
          <w:tcPr>
            <w:tcW w:type="dxa" w:w="2575"/>
          </w:tcPr>
          <w:p>
            <w:pPr>
              <w:pStyle w:val="null3"/>
              <w:jc w:val="left"/>
            </w:pPr>
            <w:r>
              <w:rPr>
                <w:rFonts w:ascii="仿宋_GB2312" w:hAnsi="仿宋_GB2312" w:cs="仿宋_GB2312" w:eastAsia="仿宋_GB2312"/>
              </w:rPr>
              <w:t>供应商提供针对本项目的服务保障方案，方案内容包含：①人员培训计划②内部管理考核制度③规范作业保障方案；以上①-③项方案内容完全提供且无缺陷的得12分，每缺少一项内容的扣4分，每有一处存在不足或缺陷扣2分，单项内容要素扣减分值不超过4分，本项分值扣完为止。注：每有一处存在不足或缺陷是指：方案存在不适用本项目采购需求及实际情况的情形、方案与本项目采购需求无关、方案内容前后矛盾或表述前后不一致、涉及的规范标准错误或不适用本项目、项目名称错误、时间地点区域错误、仅有框架或标题、套用其他项目方案任一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投标（响应）函</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供应商提供针对本项目的实施方案，方案内容包含：①节假日、突发事件应急方案②中毒急救措施③自然灾害、重大活动应急消杀方案；以上①-③项方案内容完全提供且无缺陷的得12分，每缺少一项内容的扣4分，每有一处存在不足或缺陷扣2分，单项内容要素扣减分值不超过4分，本项分值扣完为止。注：每有一处存在不足或缺陷是指：方案存在不适用本项目采购需求及实际情况的情形、方案与本项目采购需求无关、方案内容前后矛盾或表述前后不一致、涉及的规范标准错误或不适用本项目、项目名称错误、时间地点区域错误、仅有框架或标题、套用其他项目方案任一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投标（响应）函</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管理人员：拟派本项目的项目管理人员中具有《有害生物防制员》（三级/高级）及以上资格/等级证书1人得1分，本项最多得3分，不提供不得分；2、项目实施人员：拟派本项目的实施人员中，具有《有害生物防制员》资格/等级证书（四级/中级）及以上，每提供1人得0.5分，本项目最多得7分。注：1、需提供技能人才评价证书、身份证、截止响应文件递交前近3个月供应商为其个人发放工资的银行流水（成立不足3个月的公司按照成立时间提供相应月度证明材料）或劳动合同，以上内容加盖供应商公章；2、未完全按要求提供证明材料本项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投标（响应）函</w:t>
            </w:r>
          </w:p>
        </w:tc>
      </w:tr>
      <w:tr>
        <w:tc>
          <w:tcPr>
            <w:tcW w:type="dxa" w:w="831"/>
            <w:vMerge/>
          </w:tcPr>
          <w:p/>
        </w:tc>
        <w:tc>
          <w:tcPr>
            <w:tcW w:type="dxa" w:w="1661"/>
          </w:tcPr>
          <w:p>
            <w:pPr>
              <w:pStyle w:val="null3"/>
              <w:jc w:val="left"/>
            </w:pPr>
            <w:r>
              <w:rPr>
                <w:rFonts w:ascii="仿宋_GB2312" w:hAnsi="仿宋_GB2312" w:cs="仿宋_GB2312" w:eastAsia="仿宋_GB2312"/>
              </w:rPr>
              <w:t>专用设备</w:t>
            </w:r>
          </w:p>
        </w:tc>
        <w:tc>
          <w:tcPr>
            <w:tcW w:type="dxa" w:w="2575"/>
          </w:tcPr>
          <w:p>
            <w:pPr>
              <w:pStyle w:val="null3"/>
              <w:jc w:val="left"/>
            </w:pPr>
            <w:r>
              <w:rPr>
                <w:rFonts w:ascii="仿宋_GB2312" w:hAnsi="仿宋_GB2312" w:cs="仿宋_GB2312" w:eastAsia="仿宋_GB2312"/>
              </w:rPr>
              <w:t>1.供应商具有6辆消杀车辆的得2分，在此基础上每增加1辆加0.5分，本项最多得3分（不足6辆不得分）；2.供应商具有6台车载式或手推式喷雾器的得2分，在此基础上每增加1台加0.5分，本项最多得3分（不足6辆不得分）；3.供应商具有6台热烟雾机的得2分，在此基础上每增加1台加0.5分，本项最多得3分（不足6辆不得分）；4.供应商具有12台机动或电动背负式喷雾器的得2分，在此基础上每增加1台加0.5分，本项最多得3分（不足12辆不得分）。注：1.自有车辆需提供消杀车辆行驶证和机动车登记证（行驶证和机动车登记证所有人与供应商名称一致）扫描件；租赁车辆需提供租赁合同及车辆行驶证、机动车登记证扫描件，不提供不得分。2.提供其余设备购买发票扫描件；租赁设备需提供租赁合同扫描件，不提供不得分（以上内容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投标（响应）函</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2024年1月1日以来的类似业绩（以签订合同时间为准），每具有一个得1分，最多得4分。类似业绩是指：与病媒生物防治相关的服务项目。注：提供合同扫描件并加盖供应商公章。“响应”文件中未提供或未按要求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详见附件：具有健全财务会计制度的证明材料1.docx</w:t>
      </w:r>
    </w:p>
    <w:p>
      <w:pPr>
        <w:pStyle w:val="null3"/>
        <w:ind w:firstLine="960"/>
        <w:jc w:val="left"/>
      </w:pPr>
      <w:r>
        <w:rPr>
          <w:rFonts w:ascii="仿宋_GB2312" w:hAnsi="仿宋_GB2312" w:cs="仿宋_GB2312" w:eastAsia="仿宋_GB2312"/>
        </w:rPr>
        <w:t>详见附件：技术要求响应表.docx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详见附件：服务响应表.docx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