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版本号：N513301202600003520260427001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康定市塔公镇环境卫生作业采购项目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N5133012026000035</w:t>
      </w:r>
    </w:p>
    <w:p>
      <w:pPr>
        <w:pStyle w:val="null3"/>
        <w:jc w:val="center"/>
        <w:outlineLvl w:val="2"/>
      </w:pPr>
      <w:r>
        <w:rPr>
          <w:rFonts w:ascii="仿宋_GB2312" w:hAnsi="仿宋_GB2312" w:cs="仿宋_GB2312" w:eastAsia="仿宋_GB2312"/>
          <w:sz w:val="28"/>
          <w:b/>
        </w:rPr>
        <w:t>康定市塔公镇人民政府</w:t>
      </w:r>
    </w:p>
    <w:p>
      <w:pPr>
        <w:pStyle w:val="null3"/>
        <w:jc w:val="center"/>
        <w:outlineLvl w:val="2"/>
      </w:pPr>
      <w:r>
        <w:rPr>
          <w:rFonts w:ascii="仿宋_GB2312" w:hAnsi="仿宋_GB2312" w:cs="仿宋_GB2312" w:eastAsia="仿宋_GB2312"/>
          <w:sz w:val="28"/>
          <w:b/>
        </w:rPr>
        <w:t>四川福泽缘工程管理有限公司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四川福泽缘工程管理有限公司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康定市塔公镇人民政府</w:t>
      </w:r>
      <w:r>
        <w:rPr>
          <w:rFonts w:ascii="仿宋_GB2312" w:hAnsi="仿宋_GB2312" w:cs="仿宋_GB2312" w:eastAsia="仿宋_GB2312"/>
        </w:rPr>
        <w:t xml:space="preserve"> 委托，拟对 </w:t>
      </w:r>
      <w:r>
        <w:rPr>
          <w:rFonts w:ascii="仿宋_GB2312" w:hAnsi="仿宋_GB2312" w:cs="仿宋_GB2312" w:eastAsia="仿宋_GB2312"/>
        </w:rPr>
        <w:t>康定市塔公镇环境卫生作业采购项目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甘孜藏族自治州康定市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N5133012026000035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康定市塔公镇环境卫生作业采购项目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加强塔公镇城乡环境卫生作业工作，规范生活垃圾的清扫保洁及清理清运，改善塔公镇人居环境，给本镇人民群众营造一个洁净舒适的生活工作环境。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康定市塔公镇人民政府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康定市塔公镇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18783618521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四川福泽缘工程管理有限公司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成都市青羊区光润一路78号成都佳兆业广场4栋附209</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028-82600969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采购包1：828,400.00元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代理服务费收费标准：本次代理服务费按照成本加合理利润的原则，代理费为成交价的1.5%，由成交单位支付。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康定市塔公镇人民政府</w:t>
      </w:r>
      <w:r>
        <w:rPr>
          <w:rFonts w:ascii="仿宋_GB2312" w:hAnsi="仿宋_GB2312" w:cs="仿宋_GB2312" w:eastAsia="仿宋_GB2312"/>
        </w:rPr>
        <w:t xml:space="preserve"> 和 </w:t>
      </w:r>
      <w:r>
        <w:rPr>
          <w:rFonts w:ascii="仿宋_GB2312" w:hAnsi="仿宋_GB2312" w:cs="仿宋_GB2312" w:eastAsia="仿宋_GB2312"/>
        </w:rPr>
        <w:t>四川福泽缘工程管理有限公司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康定市塔公镇人民政府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四川福泽缘工程管理有限公司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按采购⽂件、供应商响应⽂件以及本合同约定的内容进⾏验收。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按采购⽂件、供应商响应⽂件以及本合同约定的内容进⾏验收。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四川福泽缘工程管理有限公司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四川福泽缘工程管理有限公司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四川福泽缘工程管理有限公司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联系人：蔡老师</w:t>
      </w:r>
    </w:p>
    <w:p>
      <w:pPr>
        <w:pStyle w:val="null3"/>
        <w:jc w:val="left"/>
      </w:pPr>
      <w:r>
        <w:rPr>
          <w:rFonts w:ascii="仿宋_GB2312" w:hAnsi="仿宋_GB2312" w:cs="仿宋_GB2312" w:eastAsia="仿宋_GB2312"/>
        </w:rPr>
        <w:t>联系电话：18783618521</w:t>
      </w:r>
    </w:p>
    <w:p>
      <w:pPr>
        <w:pStyle w:val="null3"/>
        <w:jc w:val="left"/>
      </w:pPr>
      <w:r>
        <w:rPr>
          <w:rFonts w:ascii="仿宋_GB2312" w:hAnsi="仿宋_GB2312" w:cs="仿宋_GB2312" w:eastAsia="仿宋_GB2312"/>
        </w:rPr>
        <w:t>地址：康定市塔公镇</w:t>
      </w:r>
    </w:p>
    <w:p>
      <w:pPr>
        <w:pStyle w:val="null3"/>
        <w:jc w:val="left"/>
      </w:pPr>
      <w:r>
        <w:rPr>
          <w:rFonts w:ascii="仿宋_GB2312" w:hAnsi="仿宋_GB2312" w:cs="仿宋_GB2312" w:eastAsia="仿宋_GB2312"/>
        </w:rPr>
        <w:t>邮编：626000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联系人：蒋老师</w:t>
      </w:r>
    </w:p>
    <w:p>
      <w:pPr>
        <w:pStyle w:val="null3"/>
        <w:jc w:val="left"/>
      </w:pPr>
      <w:r>
        <w:rPr>
          <w:rFonts w:ascii="仿宋_GB2312" w:hAnsi="仿宋_GB2312" w:cs="仿宋_GB2312" w:eastAsia="仿宋_GB2312"/>
        </w:rPr>
        <w:t>联系电话：02882600969</w:t>
      </w:r>
    </w:p>
    <w:p>
      <w:pPr>
        <w:pStyle w:val="null3"/>
        <w:jc w:val="left"/>
      </w:pPr>
      <w:r>
        <w:rPr>
          <w:rFonts w:ascii="仿宋_GB2312" w:hAnsi="仿宋_GB2312" w:cs="仿宋_GB2312" w:eastAsia="仿宋_GB2312"/>
        </w:rPr>
        <w:t>地址：成都市青羊区光润一路78号成都佳兆业广场4栋附209</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828,400.00</w:t>
      </w:r>
    </w:p>
    <w:p>
      <w:pPr>
        <w:pStyle w:val="null3"/>
        <w:jc w:val="left"/>
      </w:pPr>
      <w:r>
        <w:rPr>
          <w:rFonts w:ascii="仿宋_GB2312" w:hAnsi="仿宋_GB2312" w:cs="仿宋_GB2312" w:eastAsia="仿宋_GB2312"/>
        </w:rPr>
        <w:t>采购包最高限价（元）: 828,400.00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C13059900 其他城镇公共卫生服务</w:t>
            </w:r>
          </w:p>
        </w:tc>
        <w:tc>
          <w:tcPr>
            <w:tcW w:type="dxa" w:w="821"/>
          </w:tcPr>
          <w:p>
            <w:pPr>
              <w:pStyle w:val="null3"/>
              <w:jc w:val="left"/>
            </w:pPr>
            <w:r>
              <w:rPr>
                <w:rFonts w:ascii="仿宋_GB2312" w:hAnsi="仿宋_GB2312" w:cs="仿宋_GB2312" w:eastAsia="仿宋_GB2312"/>
              </w:rPr>
              <w:t>康定市塔公镇环境卫生作业采购项目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828,400.00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康定市塔公镇环境卫生作业采购项目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828,400.00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标的名称：康定市塔公镇环境卫生作业采购项目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562"/>
              <w:jc w:val="both"/>
            </w:pPr>
            <w:r>
              <w:rPr>
                <w:rFonts w:ascii="仿宋_GB2312" w:hAnsi="仿宋_GB2312" w:cs="仿宋_GB2312" w:eastAsia="仿宋_GB2312"/>
                <w:sz w:val="28"/>
                <w:b/>
              </w:rPr>
              <w:t>★（一）环境卫生作业范围</w:t>
            </w:r>
          </w:p>
          <w:p>
            <w:pPr>
              <w:pStyle w:val="null3"/>
              <w:ind w:firstLine="560"/>
              <w:jc w:val="both"/>
            </w:pPr>
            <w:r>
              <w:rPr>
                <w:rFonts w:ascii="仿宋_GB2312" w:hAnsi="仿宋_GB2312" w:cs="仿宋_GB2312" w:eastAsia="仿宋_GB2312"/>
                <w:sz w:val="28"/>
              </w:rPr>
              <w:t>1、塔公镇</w:t>
            </w:r>
            <w:r>
              <w:rPr>
                <w:rFonts w:ascii="仿宋_GB2312" w:hAnsi="仿宋_GB2312" w:cs="仿宋_GB2312" w:eastAsia="仿宋_GB2312"/>
                <w:sz w:val="28"/>
              </w:rPr>
              <w:t>辖区内</w:t>
            </w:r>
            <w:r>
              <w:rPr>
                <w:rFonts w:ascii="仿宋_GB2312" w:hAnsi="仿宋_GB2312" w:cs="仿宋_GB2312" w:eastAsia="仿宋_GB2312"/>
                <w:sz w:val="28"/>
              </w:rPr>
              <w:t>塔公村、夏马龙村等</w:t>
            </w:r>
            <w:r>
              <w:rPr>
                <w:rFonts w:ascii="仿宋_GB2312" w:hAnsi="仿宋_GB2312" w:cs="仿宋_GB2312" w:eastAsia="仿宋_GB2312"/>
                <w:sz w:val="28"/>
              </w:rPr>
              <w:t>15个村全境范围内每个指定垃圾收集点</w:t>
            </w:r>
            <w:r>
              <w:rPr>
                <w:rFonts w:ascii="仿宋_GB2312" w:hAnsi="仿宋_GB2312" w:cs="仿宋_GB2312" w:eastAsia="仿宋_GB2312"/>
                <w:sz w:val="28"/>
              </w:rPr>
              <w:t>、</w:t>
            </w:r>
            <w:r>
              <w:rPr>
                <w:rFonts w:ascii="仿宋_GB2312" w:hAnsi="仿宋_GB2312" w:cs="仿宋_GB2312" w:eastAsia="仿宋_GB2312"/>
                <w:sz w:val="28"/>
              </w:rPr>
              <w:t>垃圾箱</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2、塔公集镇街面、背街小巷、阴阳沟、公厕、卫生死角、公共场所、村道。</w:t>
            </w:r>
          </w:p>
          <w:p>
            <w:pPr>
              <w:pStyle w:val="null3"/>
              <w:ind w:firstLine="560"/>
              <w:jc w:val="both"/>
            </w:pPr>
            <w:r>
              <w:rPr>
                <w:rFonts w:ascii="仿宋_GB2312" w:hAnsi="仿宋_GB2312" w:cs="仿宋_GB2312" w:eastAsia="仿宋_GB2312"/>
                <w:sz w:val="28"/>
              </w:rPr>
              <w:t>3、塔公</w:t>
            </w:r>
            <w:r>
              <w:rPr>
                <w:rFonts w:ascii="仿宋_GB2312" w:hAnsi="仿宋_GB2312" w:cs="仿宋_GB2312" w:eastAsia="仿宋_GB2312"/>
                <w:sz w:val="28"/>
              </w:rPr>
              <w:t>镇</w:t>
            </w:r>
            <w:r>
              <w:rPr>
                <w:rFonts w:ascii="仿宋_GB2312" w:hAnsi="仿宋_GB2312" w:cs="仿宋_GB2312" w:eastAsia="仿宋_GB2312"/>
                <w:sz w:val="28"/>
              </w:rPr>
              <w:t>境内国道路面及两侧。</w:t>
            </w:r>
          </w:p>
          <w:p>
            <w:pPr>
              <w:pStyle w:val="null3"/>
              <w:ind w:firstLine="562"/>
              <w:jc w:val="both"/>
            </w:pPr>
            <w:r>
              <w:rPr>
                <w:rFonts w:ascii="仿宋_GB2312" w:hAnsi="仿宋_GB2312" w:cs="仿宋_GB2312" w:eastAsia="仿宋_GB2312"/>
                <w:sz w:val="28"/>
                <w:b/>
              </w:rPr>
              <w:t>（二）工作职责</w:t>
            </w:r>
          </w:p>
          <w:p>
            <w:pPr>
              <w:pStyle w:val="null3"/>
              <w:ind w:firstLine="560"/>
              <w:jc w:val="both"/>
            </w:pPr>
            <w:r>
              <w:rPr>
                <w:rFonts w:ascii="仿宋_GB2312" w:hAnsi="仿宋_GB2312" w:cs="仿宋_GB2312" w:eastAsia="仿宋_GB2312"/>
                <w:sz w:val="28"/>
              </w:rPr>
              <w:t>1、负责环境卫生作业范围内的垃圾清扫、清运、保洁等环境卫生清理等城乡环境综合治理要求整治的所有内容</w:t>
            </w:r>
            <w:r>
              <w:rPr>
                <w:rFonts w:ascii="仿宋_GB2312" w:hAnsi="仿宋_GB2312" w:cs="仿宋_GB2312" w:eastAsia="仿宋_GB2312"/>
                <w:sz w:val="28"/>
              </w:rPr>
              <w:t>，符合《城市市容和环境卫生管理条例》、《城市生活垃圾管理办法》、《四川省城乡环境综合治理条例》、康定市《</w:t>
            </w:r>
            <w:r>
              <w:rPr>
                <w:rFonts w:ascii="仿宋_GB2312" w:hAnsi="仿宋_GB2312" w:cs="仿宋_GB2312" w:eastAsia="仿宋_GB2312"/>
                <w:sz w:val="28"/>
              </w:rPr>
              <w:t>关于城乡环境和全域无垃圾长效管理的机制实施方</w:t>
            </w:r>
            <w:r>
              <w:rPr>
                <w:rFonts w:ascii="仿宋_GB2312" w:hAnsi="仿宋_GB2312" w:cs="仿宋_GB2312" w:eastAsia="仿宋_GB2312"/>
                <w:sz w:val="28"/>
              </w:rPr>
              <w:t>案》、《康定市全域无垃圾攻坚专项行动实施方案》等有关的规定。</w:t>
            </w:r>
          </w:p>
          <w:p>
            <w:pPr>
              <w:pStyle w:val="null3"/>
              <w:ind w:firstLine="560"/>
              <w:jc w:val="both"/>
            </w:pPr>
            <w:r>
              <w:rPr>
                <w:rFonts w:ascii="仿宋_GB2312" w:hAnsi="仿宋_GB2312" w:cs="仿宋_GB2312" w:eastAsia="仿宋_GB2312"/>
                <w:sz w:val="28"/>
              </w:rPr>
              <w:t>★2、本项目需配备</w:t>
            </w:r>
            <w:r>
              <w:rPr>
                <w:rFonts w:ascii="仿宋_GB2312" w:hAnsi="仿宋_GB2312" w:cs="仿宋_GB2312" w:eastAsia="仿宋_GB2312"/>
                <w:sz w:val="28"/>
              </w:rPr>
              <w:t>1</w:t>
            </w:r>
            <w:r>
              <w:rPr>
                <w:rFonts w:ascii="仿宋_GB2312" w:hAnsi="仿宋_GB2312" w:cs="仿宋_GB2312" w:eastAsia="仿宋_GB2312"/>
                <w:sz w:val="28"/>
              </w:rPr>
              <w:t>名及以上管理人员，</w:t>
            </w:r>
            <w:r>
              <w:rPr>
                <w:rFonts w:ascii="仿宋_GB2312" w:hAnsi="仿宋_GB2312" w:cs="仿宋_GB2312" w:eastAsia="仿宋_GB2312"/>
                <w:sz w:val="28"/>
              </w:rPr>
              <w:t>3名及以上保洁员，3名及以上</w:t>
            </w:r>
            <w:r>
              <w:rPr>
                <w:rFonts w:ascii="仿宋_GB2312" w:hAnsi="仿宋_GB2312" w:cs="仿宋_GB2312" w:eastAsia="仿宋_GB2312"/>
                <w:sz w:val="28"/>
              </w:rPr>
              <w:t>驾驶员，人员</w:t>
            </w:r>
            <w:r>
              <w:rPr>
                <w:rFonts w:ascii="仿宋_GB2312" w:hAnsi="仿宋_GB2312" w:cs="仿宋_GB2312" w:eastAsia="仿宋_GB2312"/>
                <w:sz w:val="28"/>
              </w:rPr>
              <w:t>由供应商自行聘用、自行负责管理（含人员工资、合同、保险、清扫保洁及垃圾运输处理中的安全事故、人员安全、垃圾车辆管理、环卫设施管理、垃圾箱管理等，全由供应商负责），人员工资不得低于</w:t>
            </w:r>
            <w:r>
              <w:rPr>
                <w:rFonts w:ascii="仿宋_GB2312" w:hAnsi="仿宋_GB2312" w:cs="仿宋_GB2312" w:eastAsia="仿宋_GB2312"/>
                <w:sz w:val="28"/>
              </w:rPr>
              <w:t>甘</w:t>
            </w:r>
            <w:r>
              <w:rPr>
                <w:rFonts w:ascii="仿宋_GB2312" w:hAnsi="仿宋_GB2312" w:cs="仿宋_GB2312" w:eastAsia="仿宋_GB2312"/>
                <w:sz w:val="28"/>
              </w:rPr>
              <w:t>孜藏族自治州人民政府关于调整全州最低工资标准的通知（甘府规〔</w:t>
            </w:r>
            <w:r>
              <w:rPr>
                <w:rFonts w:ascii="仿宋_GB2312" w:hAnsi="仿宋_GB2312" w:cs="仿宋_GB2312" w:eastAsia="仿宋_GB2312"/>
                <w:sz w:val="28"/>
              </w:rPr>
              <w:t>2025〕1号）。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、本项目配备</w:t>
            </w:r>
            <w:r>
              <w:rPr>
                <w:rFonts w:ascii="仿宋_GB2312" w:hAnsi="仿宋_GB2312" w:cs="仿宋_GB2312" w:eastAsia="仿宋_GB2312"/>
                <w:sz w:val="28"/>
              </w:rPr>
              <w:t>3辆及以上垃圾清运车，车辆使用、管理、维护、油费、保险费用等全权由供应商负责，车辆行驶过程中的安全和驾驶员的安全均由供应商负责。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、日常保洁工作做到一天一次全面清扫</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7:00~19:00）做到无塑料袋、无果皮、无纸团、无杂物、无牛屎马粪、无其他垃圾</w:t>
            </w:r>
            <w:r>
              <w:rPr>
                <w:rFonts w:ascii="仿宋_GB2312" w:hAnsi="仿宋_GB2312" w:cs="仿宋_GB2312" w:eastAsia="仿宋_GB2312"/>
                <w:sz w:val="28"/>
              </w:rPr>
              <w:t>；</w:t>
            </w:r>
            <w:r>
              <w:rPr>
                <w:rFonts w:ascii="仿宋_GB2312" w:hAnsi="仿宋_GB2312" w:cs="仿宋_GB2312" w:eastAsia="仿宋_GB2312"/>
                <w:sz w:val="28"/>
              </w:rPr>
              <w:t>负责镇、村垃圾收集点、垃圾箱等清理、清运、管理，做到垃圾收集点、垃圾箱干净整洁，垃圾收集点、垃圾箱周围无乱泼乱倒杂物垃圾的现象，清理垃圾转运集中处理点周围的垃圾，保证周围环境卫生洁净。</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、镇政府所在集镇要求所有保洁人员到位全面进行清洁。如遇检查等突发情况需全力配合共同完成任务。</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、及时对塔公镇辖区内</w:t>
            </w:r>
            <w:r>
              <w:rPr>
                <w:rFonts w:ascii="仿宋_GB2312" w:hAnsi="仿宋_GB2312" w:cs="仿宋_GB2312" w:eastAsia="仿宋_GB2312"/>
                <w:sz w:val="28"/>
              </w:rPr>
              <w:t>15个行政村所有垃圾收集点、垃圾箱内的垃圾进行清运、清洁。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、供应商在清扫保洁及清理清运工作时应该做到安全、有序、自觉遵守管理制度。</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b/>
              </w:rPr>
              <w:t>（三）考核办法</w:t>
            </w:r>
          </w:p>
          <w:p>
            <w:pPr>
              <w:pStyle w:val="null3"/>
              <w:ind w:firstLine="560"/>
              <w:jc w:val="both"/>
            </w:pPr>
            <w:r>
              <w:rPr>
                <w:rFonts w:ascii="仿宋_GB2312" w:hAnsi="仿宋_GB2312" w:cs="仿宋_GB2312" w:eastAsia="仿宋_GB2312"/>
                <w:sz w:val="28"/>
              </w:rPr>
              <w:t>1、采购人有对供应商的生活垃圾清扫保洁及清理清运质量、有无“落地、漏地、漏渣、路面脏乱差”等不符合环境卫生作业情况进行监督检查、整改整顿、处罚的权利。</w:t>
            </w:r>
          </w:p>
          <w:p>
            <w:pPr>
              <w:pStyle w:val="null3"/>
              <w:ind w:firstLine="560"/>
              <w:jc w:val="both"/>
            </w:pPr>
            <w:r>
              <w:rPr>
                <w:rFonts w:ascii="仿宋_GB2312" w:hAnsi="仿宋_GB2312" w:cs="仿宋_GB2312" w:eastAsia="仿宋_GB2312"/>
                <w:sz w:val="28"/>
              </w:rPr>
              <w:t>2、保洁路段没有保洁人员巡回保洁的，造成路面卫生质量差等，交由供应商自行教育批评、处罚。</w:t>
            </w:r>
          </w:p>
          <w:p>
            <w:pPr>
              <w:pStyle w:val="null3"/>
              <w:ind w:firstLine="560"/>
              <w:jc w:val="both"/>
            </w:pPr>
            <w:r>
              <w:rPr>
                <w:rFonts w:ascii="仿宋_GB2312" w:hAnsi="仿宋_GB2312" w:cs="仿宋_GB2312" w:eastAsia="仿宋_GB2312"/>
                <w:sz w:val="28"/>
              </w:rPr>
              <w:t>3、采购人按照城乡环境综合治理文件的要求，不定期对供应商工作情况，清洁区域进行检查，不定期进行抽查。并进行考核，对工作不力、工作质量不足的实行处罚。每次考核发现垃圾箱爆仓一次处罚100元，超过三次后每次处罚500元。街面、路沿发现有小量垃圾堆积每次处罚100元，大量垃圾堆积每次处罚300，超过三次每次处罚1000元。村级垃圾收集点发现垃圾无人清运每次处罚500元，超过三次每次处罚2000元，每次考核作为支付酬金的依据。</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b/>
              </w:rPr>
              <w:t>（四）安全要求</w:t>
            </w:r>
          </w:p>
          <w:p>
            <w:pPr>
              <w:pStyle w:val="null3"/>
              <w:ind w:firstLine="560"/>
              <w:jc w:val="left"/>
            </w:pPr>
            <w:r>
              <w:rPr>
                <w:rFonts w:ascii="仿宋_GB2312" w:hAnsi="仿宋_GB2312" w:cs="仿宋_GB2312" w:eastAsia="仿宋_GB2312"/>
                <w:sz w:val="28"/>
              </w:rPr>
              <w:t>自签订合同之日起至服务完成之日止，供应商将负责该项目实施过程中的人身安全、财产安全等一切安全责任。在项目实施过程中造成的直接或间接损失，均由供应商自行承担。</w:t>
            </w:r>
          </w:p>
          <w:p>
            <w:pPr>
              <w:pStyle w:val="null3"/>
              <w:ind w:firstLine="562"/>
              <w:jc w:val="left"/>
            </w:pPr>
            <w:r>
              <w:rPr>
                <w:rFonts w:ascii="仿宋_GB2312" w:hAnsi="仿宋_GB2312" w:cs="仿宋_GB2312" w:eastAsia="仿宋_GB2312"/>
                <w:sz w:val="28"/>
                <w:b/>
              </w:rPr>
              <w:t>（五）其他要求</w:t>
            </w:r>
          </w:p>
          <w:p>
            <w:pPr>
              <w:pStyle w:val="null3"/>
              <w:ind w:firstLine="480"/>
              <w:jc w:val="both"/>
            </w:pPr>
            <w:r>
              <w:rPr>
                <w:rFonts w:ascii="仿宋_GB2312" w:hAnsi="仿宋_GB2312" w:cs="仿宋_GB2312" w:eastAsia="仿宋_GB2312"/>
                <w:sz w:val="28"/>
              </w:rPr>
              <w:t>1、供应商针对本项目提供的项目概况</w:t>
            </w:r>
            <w:r>
              <w:rPr>
                <w:rFonts w:ascii="仿宋_GB2312" w:hAnsi="仿宋_GB2312" w:cs="仿宋_GB2312" w:eastAsia="仿宋_GB2312"/>
                <w:sz w:val="28"/>
              </w:rPr>
              <w:t>分析</w:t>
            </w:r>
            <w:r>
              <w:rPr>
                <w:rFonts w:ascii="仿宋_GB2312" w:hAnsi="仿宋_GB2312" w:cs="仿宋_GB2312" w:eastAsia="仿宋_GB2312"/>
                <w:sz w:val="28"/>
              </w:rPr>
              <w:t>，包括：</w:t>
            </w:r>
            <w:r>
              <w:rPr>
                <w:rFonts w:ascii="仿宋_GB2312" w:hAnsi="仿宋_GB2312" w:cs="仿宋_GB2312" w:eastAsia="仿宋_GB2312"/>
                <w:sz w:val="28"/>
              </w:rPr>
              <w:t>①项目概况，②重难点分析，③重难点解决措施</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2、供应商针对本项目提供的清扫、清运及保洁方案，包含：①服务人员岗位职责与具体分工，②</w:t>
            </w:r>
            <w:r>
              <w:rPr>
                <w:rFonts w:ascii="仿宋_GB2312" w:hAnsi="仿宋_GB2312" w:cs="仿宋_GB2312" w:eastAsia="仿宋_GB2312"/>
                <w:sz w:val="28"/>
              </w:rPr>
              <w:t>服务进度计划及工作安排</w:t>
            </w:r>
            <w:r>
              <w:rPr>
                <w:rFonts w:ascii="仿宋_GB2312" w:hAnsi="仿宋_GB2312" w:cs="仿宋_GB2312" w:eastAsia="仿宋_GB2312"/>
                <w:sz w:val="28"/>
              </w:rPr>
              <w:t>，</w:t>
            </w:r>
            <w:r>
              <w:rPr>
                <w:rFonts w:ascii="仿宋_GB2312" w:hAnsi="仿宋_GB2312" w:cs="仿宋_GB2312" w:eastAsia="仿宋_GB2312"/>
                <w:sz w:val="28"/>
              </w:rPr>
              <w:t>③</w:t>
            </w:r>
            <w:r>
              <w:rPr>
                <w:rFonts w:ascii="仿宋_GB2312" w:hAnsi="仿宋_GB2312" w:cs="仿宋_GB2312" w:eastAsia="仿宋_GB2312"/>
                <w:sz w:val="28"/>
              </w:rPr>
              <w:t>清扫</w:t>
            </w:r>
            <w:r>
              <w:rPr>
                <w:rFonts w:ascii="仿宋_GB2312" w:hAnsi="仿宋_GB2312" w:cs="仿宋_GB2312" w:eastAsia="仿宋_GB2312"/>
                <w:sz w:val="28"/>
              </w:rPr>
              <w:t>保洁作业</w:t>
            </w:r>
            <w:r>
              <w:rPr>
                <w:rFonts w:ascii="仿宋_GB2312" w:hAnsi="仿宋_GB2312" w:cs="仿宋_GB2312" w:eastAsia="仿宋_GB2312"/>
                <w:sz w:val="28"/>
              </w:rPr>
              <w:t>方案</w:t>
            </w:r>
            <w:r>
              <w:rPr>
                <w:rFonts w:ascii="仿宋_GB2312" w:hAnsi="仿宋_GB2312" w:cs="仿宋_GB2312" w:eastAsia="仿宋_GB2312"/>
                <w:sz w:val="28"/>
              </w:rPr>
              <w:t>，</w:t>
            </w:r>
            <w:r>
              <w:rPr>
                <w:rFonts w:ascii="仿宋_GB2312" w:hAnsi="仿宋_GB2312" w:cs="仿宋_GB2312" w:eastAsia="仿宋_GB2312"/>
                <w:sz w:val="28"/>
              </w:rPr>
              <w:t>④垃圾</w:t>
            </w:r>
            <w:r>
              <w:rPr>
                <w:rFonts w:ascii="仿宋_GB2312" w:hAnsi="仿宋_GB2312" w:cs="仿宋_GB2312" w:eastAsia="仿宋_GB2312"/>
                <w:sz w:val="28"/>
              </w:rPr>
              <w:t>收集、</w:t>
            </w:r>
            <w:r>
              <w:rPr>
                <w:rFonts w:ascii="仿宋_GB2312" w:hAnsi="仿宋_GB2312" w:cs="仿宋_GB2312" w:eastAsia="仿宋_GB2312"/>
                <w:sz w:val="28"/>
              </w:rPr>
              <w:t>清运方案</w:t>
            </w:r>
            <w:r>
              <w:rPr>
                <w:rFonts w:ascii="仿宋_GB2312" w:hAnsi="仿宋_GB2312" w:cs="仿宋_GB2312" w:eastAsia="仿宋_GB2312"/>
                <w:sz w:val="28"/>
              </w:rPr>
              <w:t>。</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8"/>
              </w:rPr>
              <w:t>3、供应商针对本项目提供的安全文明措施和质量保障方案，包含：①安全作业管控保障措施；②岗前培训措施；③作业质量控制措施； ④投诉处理方案</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4</w:t>
            </w:r>
            <w:r>
              <w:rPr>
                <w:rFonts w:ascii="仿宋_GB2312" w:hAnsi="仿宋_GB2312" w:cs="仿宋_GB2312" w:eastAsia="仿宋_GB2312"/>
                <w:sz w:val="28"/>
              </w:rPr>
              <w:t>、供应商针对本项目提供的应急措施方案，包含：</w:t>
            </w:r>
            <w:r>
              <w:rPr>
                <w:rFonts w:ascii="仿宋_GB2312" w:hAnsi="仿宋_GB2312" w:cs="仿宋_GB2312" w:eastAsia="仿宋_GB2312"/>
                <w:sz w:val="28"/>
              </w:rPr>
              <w:t>①</w:t>
            </w:r>
            <w:r>
              <w:rPr>
                <w:rFonts w:ascii="仿宋_GB2312" w:hAnsi="仿宋_GB2312" w:cs="仿宋_GB2312" w:eastAsia="仿宋_GB2312"/>
                <w:sz w:val="28"/>
              </w:rPr>
              <w:t>应急设施设备</w:t>
            </w:r>
            <w:r>
              <w:rPr>
                <w:rFonts w:ascii="仿宋_GB2312" w:hAnsi="仿宋_GB2312" w:cs="仿宋_GB2312" w:eastAsia="仿宋_GB2312"/>
                <w:sz w:val="28"/>
              </w:rPr>
              <w:t>配备</w:t>
            </w:r>
            <w:r>
              <w:rPr>
                <w:rFonts w:ascii="仿宋_GB2312" w:hAnsi="仿宋_GB2312" w:cs="仿宋_GB2312" w:eastAsia="仿宋_GB2312"/>
                <w:sz w:val="28"/>
              </w:rPr>
              <w:t>，</w:t>
            </w:r>
            <w:r>
              <w:rPr>
                <w:rFonts w:ascii="仿宋_GB2312" w:hAnsi="仿宋_GB2312" w:cs="仿宋_GB2312" w:eastAsia="仿宋_GB2312"/>
                <w:sz w:val="28"/>
              </w:rPr>
              <w:t>②迎检突击的清扫保洁作业方案；③突发事件（如地质灾害、防汛抢险、抗震救灾），环卫作业应急处理措施；</w:t>
            </w:r>
          </w:p>
          <w:p>
            <w:pPr>
              <w:pStyle w:val="null3"/>
              <w:jc w:val="left"/>
            </w:pPr>
            <w:r>
              <w:rPr>
                <w:rFonts w:ascii="仿宋_GB2312" w:hAnsi="仿宋_GB2312" w:cs="仿宋_GB2312" w:eastAsia="仿宋_GB2312"/>
                <w:sz w:val="28"/>
              </w:rPr>
              <w:t xml:space="preserve">  5</w:t>
            </w:r>
            <w:r>
              <w:rPr>
                <w:rFonts w:ascii="仿宋_GB2312" w:hAnsi="仿宋_GB2312" w:cs="仿宋_GB2312" w:eastAsia="仿宋_GB2312"/>
                <w:sz w:val="28"/>
              </w:rPr>
              <w:t>、供应商具有完成本项目服务的相关履约经验。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 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康定市塔公镇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 验收时间：供应商提出验收申请之日起30日内组织验收。 (2)验收标准：按国家有关规定以及采购文件的质量要求和技术指标、响应文件及承诺与合同约定标准进行验收；双方如对质量要求和技术指标的约定标准有相互抵触或异议的事项，由采购人在采购文件与响应文件中按质量要求和技术指标比较优胜的原则确定该项的约定标准进行验收(3) 验收程序：严格按照政府采购相关法律法规以及《财政部关于进一步加强政府采购需求和履约验收管理的指导意见》(财库〔2016〕205号)、《政府采购需求管理办法》(财库〔2021〕22号)及主管部门的相关要求进行验收。采购人应成立验收小组，按照采购合同的约定对供应商履约情况进行验收。验收时，按照采购合同的约定对每一项技术、服务、安全标准的履约情况进行确认。验收结束后，出具验收报告，列明各项标准的验收情况及项目总体评价，由验收双方共同签署。履约验收的各项资料应存档备查。</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1、合同签订后，收到供应商有效发票，达到付款条件起15日内，支付合同总金额的40.00%</w:t>
            </w:r>
          </w:p>
          <w:p>
            <w:pPr>
              <w:pStyle w:val="null3"/>
              <w:jc w:val="left"/>
            </w:pPr>
            <w:r>
              <w:rPr>
                <w:rFonts w:ascii="仿宋_GB2312" w:hAnsi="仿宋_GB2312" w:cs="仿宋_GB2312" w:eastAsia="仿宋_GB2312"/>
              </w:rPr>
              <w:t>2、服务期限满半年后，收到供应商有效发票，达到付款条件起15日内，支付合同总金额的50.00%</w:t>
            </w:r>
          </w:p>
          <w:p>
            <w:pPr>
              <w:pStyle w:val="null3"/>
              <w:jc w:val="left"/>
            </w:pPr>
            <w:r>
              <w:rPr>
                <w:rFonts w:ascii="仿宋_GB2312" w:hAnsi="仿宋_GB2312" w:cs="仿宋_GB2312" w:eastAsia="仿宋_GB2312"/>
              </w:rPr>
              <w:t>3、服务期限结束后，收到供应商有效发票，达到付款条件起15日内，支付合同总金额的10.00%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1.采购人与供应商双方必须遵守合同并执行合同中的各项规定，保证合同的正常履行，如有违约，将赔偿因违约给对方造成的直接经济损失。 2.如因供应商工作人员在履行职务过程中的的疏忽、失职、过错等故意或者过失原因给采购人造成损失或侵害，包括但不限于采购方本身的财产损失、由此而导致的采购方对任何第三方的法律责任等，供应商对此均应承担全部的赔偿等责任。 3.合同履行期间,若双方发生争议，可协商或由有关部门调解解决，协商或调解不成的，由当事人依法维护其合法权益。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还需提供以下证明材料：①若供应商为企业法人的，提供具有统一社会信用代码的“营业执照”复印件，未换证的提供“营业执照、税务登记证、组织机构代码证”复印件；②若供应商为事业法人的，提供具有统一社会信用代码的“法人登记证书”复印件；未换证的提交“事业法人登记证书、组织机构代码证”复印件；③若供应商为其他组织的，提供对应主管部门颁发的准许执业的证明文件或营业执照复印件；④若供应商为自然人的，提供相关“身份证明材料”；⑤由于银行、保险、石油石化、电力、电信等行业特殊情况，若有涉及此类行业的，允许其有资格的分公司参与磋商，提交有效的“营业执照”和总公司授权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响应文件封面,中小企业声明函,商务要求应答表.docx,供应商应提交的相关证明材料,报价表,技术、服务及其他要求应答表.docx,投标（响应）函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技术、服务及其他要求和商务要求应答</w:t>
            </w:r>
          </w:p>
        </w:tc>
        <w:tc>
          <w:tcPr>
            <w:tcW w:type="dxa" w:w="3322"/>
          </w:tcPr>
          <w:p>
            <w:pPr>
              <w:pStyle w:val="null3"/>
              <w:jc w:val="left"/>
            </w:pPr>
            <w:r>
              <w:rPr>
                <w:rFonts w:ascii="仿宋_GB2312" w:hAnsi="仿宋_GB2312" w:cs="仿宋_GB2312" w:eastAsia="仿宋_GB2312"/>
              </w:rPr>
              <w:t>供应商满足采购文件第三章“技术、服务及其他要求和商务要求”中的全部实质性要求。</w:t>
            </w:r>
          </w:p>
        </w:tc>
        <w:tc>
          <w:tcPr>
            <w:tcW w:type="dxa" w:w="1661"/>
          </w:tcPr>
          <w:p>
            <w:pPr>
              <w:pStyle w:val="null3"/>
              <w:jc w:val="left"/>
            </w:pPr>
            <w:r>
              <w:rPr>
                <w:rFonts w:ascii="仿宋_GB2312" w:hAnsi="仿宋_GB2312" w:cs="仿宋_GB2312" w:eastAsia="仿宋_GB2312"/>
              </w:rPr>
              <w:t>商务要求应答表.docx,技术、服务及其他要求应答表.docx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清扫、清运及保洁方案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项目概况分析</w:t>
            </w:r>
          </w:p>
        </w:tc>
        <w:tc>
          <w:tcPr>
            <w:tcW w:type="dxa" w:w="2575"/>
          </w:tcPr>
          <w:p>
            <w:pPr>
              <w:pStyle w:val="null3"/>
              <w:jc w:val="left"/>
            </w:pPr>
            <w:r>
              <w:rPr>
                <w:rFonts w:ascii="仿宋_GB2312" w:hAnsi="仿宋_GB2312" w:cs="仿宋_GB2312" w:eastAsia="仿宋_GB2312"/>
              </w:rPr>
              <w:t>供应商针对本项目提供的项目概况分析，包含：①项目概况，②重难点分析，③重难点解决措施。以上内容完整全面、阐述清晰、满足实际需求的得15分，每有一项漏项的扣 5分，每有一处存在缺陷（缺陷是指：①存在项目名称错误、实施地点区域时间错误等，②方案内容与实际情况明显不符或不适用，③与项目需求无关，④套用其他项目方案，⑤存在不可能实现的夸大情形，⑥涉及适用的规范及标准（方法）出现错误等）的扣2.5分，扣完为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项目概况分析.docx</w:t>
            </w:r>
          </w:p>
        </w:tc>
      </w:tr>
      <w:tr>
        <w:tc>
          <w:tcPr>
            <w:tcW w:type="dxa" w:w="831"/>
            <w:vMerge/>
          </w:tcPr>
          <w:p/>
        </w:tc>
        <w:tc>
          <w:tcPr>
            <w:tcW w:type="dxa" w:w="1661"/>
          </w:tcPr>
          <w:p>
            <w:pPr>
              <w:pStyle w:val="null3"/>
              <w:jc w:val="left"/>
            </w:pPr>
            <w:r>
              <w:rPr>
                <w:rFonts w:ascii="仿宋_GB2312" w:hAnsi="仿宋_GB2312" w:cs="仿宋_GB2312" w:eastAsia="仿宋_GB2312"/>
              </w:rPr>
              <w:t>清扫、清运及保洁方案</w:t>
            </w:r>
          </w:p>
        </w:tc>
        <w:tc>
          <w:tcPr>
            <w:tcW w:type="dxa" w:w="2575"/>
          </w:tcPr>
          <w:p>
            <w:pPr>
              <w:pStyle w:val="null3"/>
              <w:jc w:val="left"/>
            </w:pPr>
            <w:r>
              <w:rPr>
                <w:rFonts w:ascii="仿宋_GB2312" w:hAnsi="仿宋_GB2312" w:cs="仿宋_GB2312" w:eastAsia="仿宋_GB2312"/>
              </w:rPr>
              <w:t>供应商针对本项目提供的清扫、清运及保洁方案，包含：①服务人员岗位职责与具体分工，②服务进度计划及工作安排，③清扫保洁作业方案，④垃圾收集、清运方案。以上内容完整全面、阐述清晰、满足实际需求的得32分，每有一项漏项的扣8分，每有一处存在缺陷（缺陷是指：①存在项目名称错误、实施地点区域时间错误等，②方案内容与实际情况明显不符或不适用，③与项目需求无关，④套用其他项目方案，⑤存在不可能实现的夸大情形，⑥涉及适用的规范及标准（方法）出现错误等）的扣4分，扣完为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清扫、清运及保洁方案.docx</w:t>
            </w:r>
          </w:p>
        </w:tc>
      </w:tr>
      <w:tr>
        <w:tc>
          <w:tcPr>
            <w:tcW w:type="dxa" w:w="831"/>
            <w:vMerge/>
          </w:tcPr>
          <w:p/>
        </w:tc>
        <w:tc>
          <w:tcPr>
            <w:tcW w:type="dxa" w:w="1661"/>
          </w:tcPr>
          <w:p>
            <w:pPr>
              <w:pStyle w:val="null3"/>
              <w:jc w:val="left"/>
            </w:pPr>
            <w:r>
              <w:rPr>
                <w:rFonts w:ascii="仿宋_GB2312" w:hAnsi="仿宋_GB2312" w:cs="仿宋_GB2312" w:eastAsia="仿宋_GB2312"/>
              </w:rPr>
              <w:t>安全文明措施和质量保障方案</w:t>
            </w:r>
          </w:p>
        </w:tc>
        <w:tc>
          <w:tcPr>
            <w:tcW w:type="dxa" w:w="2575"/>
          </w:tcPr>
          <w:p>
            <w:pPr>
              <w:pStyle w:val="null3"/>
              <w:jc w:val="left"/>
            </w:pPr>
            <w:r>
              <w:rPr>
                <w:rFonts w:ascii="仿宋_GB2312" w:hAnsi="仿宋_GB2312" w:cs="仿宋_GB2312" w:eastAsia="仿宋_GB2312"/>
              </w:rPr>
              <w:t>供应商针对本项目提供的安全文明措施和质量保障方案，包含：①安全作业管控保障措施；②岗前培训措施；③作业质量控制措施； ④投诉处理方案。以上内容完整全面、阐述清晰、满足实际需求的得20分，每有一项漏项的扣5分，每有一处存在缺陷（缺陷是指：①存在项目名称错误、实施地点区域时间错误等，②方案内容与实际情况明显不符或不适用，③与项目需求无关，④套用其他项目方案，⑤存在不可能实现的夸大情形，⑥涉及适用的规范及标准（方法）出现错误等）的扣2.5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安全文明措施和质量保障方案.docx</w:t>
            </w:r>
          </w:p>
        </w:tc>
      </w:tr>
      <w:tr>
        <w:tc>
          <w:tcPr>
            <w:tcW w:type="dxa" w:w="831"/>
            <w:vMerge/>
          </w:tcPr>
          <w:p/>
        </w:tc>
        <w:tc>
          <w:tcPr>
            <w:tcW w:type="dxa" w:w="1661"/>
          </w:tcPr>
          <w:p>
            <w:pPr>
              <w:pStyle w:val="null3"/>
              <w:jc w:val="left"/>
            </w:pPr>
            <w:r>
              <w:rPr>
                <w:rFonts w:ascii="仿宋_GB2312" w:hAnsi="仿宋_GB2312" w:cs="仿宋_GB2312" w:eastAsia="仿宋_GB2312"/>
              </w:rPr>
              <w:t>应急措施方案</w:t>
            </w:r>
          </w:p>
        </w:tc>
        <w:tc>
          <w:tcPr>
            <w:tcW w:type="dxa" w:w="2575"/>
          </w:tcPr>
          <w:p>
            <w:pPr>
              <w:pStyle w:val="null3"/>
              <w:jc w:val="left"/>
            </w:pPr>
            <w:r>
              <w:rPr>
                <w:rFonts w:ascii="仿宋_GB2312" w:hAnsi="仿宋_GB2312" w:cs="仿宋_GB2312" w:eastAsia="仿宋_GB2312"/>
              </w:rPr>
              <w:t>供应商针对本项目提供的应急措施方案，包含：①应急设施设备配备，②迎检突击的清扫保洁作业方案；③突发事件（如地质灾害、防汛抢险、抗震救灾），环卫作业应急处理措施。以上内容完整全面、阐述清晰、满足实际需求的得18分，每有一项漏项的扣6分，每有一处存在缺陷 （缺陷是指：①存在项目名称错误、实施地点区域时间错误等，②方案内容与实际情况明显不符或不适用，③与项目需求无关，④套用其他项目方案，⑤存在不可能实现的夸大情形，⑥涉及适用的规范及标准（方法）出现错误等）的扣3分，扣完为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应急措施方案.docx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供应商自2023年01月01日（含）以来（以签订合同时间为准），每具有一个类似业绩得5分，本项最多得5分。 注：类似业绩需提供合同复印件并加盖供应商公章。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详见附件：项目概况分析.docx</w:t>
      </w:r>
    </w:p>
    <w:p>
      <w:pPr>
        <w:pStyle w:val="null3"/>
        <w:ind w:firstLine="960"/>
        <w:jc w:val="left"/>
      </w:pPr>
      <w:r>
        <w:rPr>
          <w:rFonts w:ascii="仿宋_GB2312" w:hAnsi="仿宋_GB2312" w:cs="仿宋_GB2312" w:eastAsia="仿宋_GB2312"/>
        </w:rPr>
        <w:t>详见附件：清扫、清运及保洁方案.docx</w:t>
      </w:r>
    </w:p>
    <w:p>
      <w:pPr>
        <w:pStyle w:val="null3"/>
        <w:ind w:firstLine="960"/>
        <w:jc w:val="left"/>
      </w:pPr>
      <w:r>
        <w:rPr>
          <w:rFonts w:ascii="仿宋_GB2312" w:hAnsi="仿宋_GB2312" w:cs="仿宋_GB2312" w:eastAsia="仿宋_GB2312"/>
        </w:rPr>
        <w:t>详见附件：安全文明措施和质量保障方案.docx</w:t>
      </w:r>
    </w:p>
    <w:p>
      <w:pPr>
        <w:pStyle w:val="null3"/>
        <w:ind w:firstLine="960"/>
        <w:jc w:val="left"/>
      </w:pPr>
      <w:r>
        <w:rPr>
          <w:rFonts w:ascii="仿宋_GB2312" w:hAnsi="仿宋_GB2312" w:cs="仿宋_GB2312" w:eastAsia="仿宋_GB2312"/>
        </w:rPr>
        <w:t>详见附件：应急措施方案.docx</w:t>
      </w:r>
    </w:p>
    <w:p>
      <w:pPr>
        <w:pStyle w:val="null3"/>
        <w:ind w:firstLine="960"/>
        <w:jc w:val="left"/>
      </w:pPr>
      <w:r>
        <w:rPr>
          <w:rFonts w:ascii="仿宋_GB2312" w:hAnsi="仿宋_GB2312" w:cs="仿宋_GB2312" w:eastAsia="仿宋_GB2312"/>
        </w:rPr>
        <w:t>详见附件：履约经验.docx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