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版本号：N513311202600009420260424001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甘孜州地质勘查专项资金项目-四川省稻城县仲堆日东地热资源勘查项目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N5133112026000094</w:t>
      </w:r>
    </w:p>
    <w:p>
      <w:pPr>
        <w:pStyle w:val="null3"/>
        <w:jc w:val="left"/>
        <w:outlineLvl w:val="2"/>
      </w:pPr>
      <w:r>
        <w:rPr>
          <w:rFonts w:ascii="仿宋_GB2312" w:hAnsi="仿宋_GB2312" w:cs="仿宋_GB2312" w:eastAsia="仿宋_GB2312"/>
          <w:sz w:val="28"/>
          <w:b/>
        </w:rPr>
        <w:t>甘孜藏族自治州自然资源和规划局</w:t>
      </w:r>
    </w:p>
    <w:p>
      <w:pPr>
        <w:pStyle w:val="null3"/>
        <w:jc w:val="center"/>
        <w:outlineLvl w:val="2"/>
      </w:pPr>
      <w:r>
        <w:rPr>
          <w:rFonts w:ascii="仿宋_GB2312" w:hAnsi="仿宋_GB2312" w:cs="仿宋_GB2312" w:eastAsia="仿宋_GB2312"/>
          <w:sz w:val="28"/>
          <w:b/>
        </w:rPr>
        <w:t>四川华标鼎忆项目管理有限公司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四川华标鼎忆项目管理有限公司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甘孜藏族自治州自然资源和规划局</w:t>
      </w:r>
      <w:r>
        <w:rPr>
          <w:rFonts w:ascii="仿宋_GB2312" w:hAnsi="仿宋_GB2312" w:cs="仿宋_GB2312" w:eastAsia="仿宋_GB2312"/>
        </w:rPr>
        <w:t xml:space="preserve"> 委托，拟对 </w:t>
      </w:r>
      <w:r>
        <w:rPr>
          <w:rFonts w:ascii="仿宋_GB2312" w:hAnsi="仿宋_GB2312" w:cs="仿宋_GB2312" w:eastAsia="仿宋_GB2312"/>
        </w:rPr>
        <w:t>甘孜州地质勘查专项资金项目-四川省稻城县仲堆日东地热资源勘查项目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N5133112026000094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甘孜州地质勘查专项资金项目-四川省稻城县仲堆日东地热资源勘查项目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根据收集到的以往地质成果为基础，通过系统的地质、物探、钻探、样品采集、化学分析及综合研究等工作，查明勘查区地热资源赋存条件，圈定地热开发靶区，提交可供出让的地热资源区块1处，为稻城县旅游资源开发及地热矿业权设置提供地质依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1、投标人具备全国地质勘查行业监管服务平台备案（描述：投标人具备全国地质勘查行业监管服务平台备案）</w:t>
      </w:r>
    </w:p>
    <w:p>
      <w:pPr>
        <w:pStyle w:val="null3"/>
        <w:jc w:val="left"/>
      </w:pPr>
      <w:r>
        <w:rPr>
          <w:rFonts w:ascii="仿宋_GB2312" w:hAnsi="仿宋_GB2312" w:cs="仿宋_GB2312" w:eastAsia="仿宋_GB2312"/>
        </w:rPr>
        <w:t>2、投标人具备有效期内的金属非金属矿产资源地质勘探安全生产许可证。（描述：投标人具备有效期内的金属非金属矿产资源地质勘探安全生产许可证。）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甘孜藏族自治州自然资源和规划局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四川省甘孜州康定市榆林街道炉城南路213号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尼杜红英</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17808364912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四川华标鼎忆项目管理有限公司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四川省成都市武侯区中国（四川）自由贸易试验区成都高新区吉泰路666号2栋25层11号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郑红秀</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18116599592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采购包1：4,810,463.32元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供应商支付，供应商支付，按照《四川省政府采购营商环境指标提升专项行动工作方案》中“成本+合理利润”原则，以采购包对应的中标（成交）金额作为计算基数，按差额定率累进法进行计算，并按以下费率标准（服务采购项目）下浮10%收取：（1）100万元以下，费率1.5%；（2）100-500万元，费率0.8%；（3）500-1000万元，费率0.45%；（4）1000-5000万元，费率0.25%；（5）5000-10000万元，费率0.1%；（6）10000-100000万元，费率0.05%；（7）100000万元以上，费率0.01%；</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甘孜藏族自治州自然资源和规划局</w:t>
      </w:r>
      <w:r>
        <w:rPr>
          <w:rFonts w:ascii="仿宋_GB2312" w:hAnsi="仿宋_GB2312" w:cs="仿宋_GB2312" w:eastAsia="仿宋_GB2312"/>
        </w:rPr>
        <w:t xml:space="preserve"> 和 </w:t>
      </w:r>
      <w:r>
        <w:rPr>
          <w:rFonts w:ascii="仿宋_GB2312" w:hAnsi="仿宋_GB2312" w:cs="仿宋_GB2312" w:eastAsia="仿宋_GB2312"/>
        </w:rPr>
        <w:t>四川华标鼎忆项目管理有限公司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甘孜藏族自治州自然资源和规划局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四川华标鼎忆项目管理有限公司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按国家规定以及采购文件、供应商的响应文件及承诺与合同约定标准进行履约验收。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按国家规定以及采购文件、供应商的响应文件及承诺与合同约定标准进行履约验收。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1.技术履约验收内容：按国家规定以及采购文件的质量要求和技术指标、供应商的响应文件及承诺与合同约定标准进行技术履约验收。验收时如发现质量要求和技术指标不符合标准及合同约定之情形者，采购人做出详尽的现场记录，或由双方签署备忘录，此现场记录或备忘录可用作补充、整改的有效证据，由此产生的时间延误与有关费用由供应商承担，验收期限相应顺延。 2.商务履约验收内容：按采购文件要求、成交人的响应文件及承诺、签订的合同、国家及行业相关规范标准进行商务条款逐条验收；如出现未在采购文件中明确规定的，以行业相关标准为准。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（1）验收相关事宜及法律责任：如出现成交人提供虚假材料谋取中标或达不到采购要求的，采购人有权拒绝验收，并按《中华人民共和国民法典》追究其相关法律责任。 （2）其他未尽事宜应严格按照《财政部关于进一步加强政府采购需求和履约验收管理的指导意见》（财库[2016]205号）的要求进行验收。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甘孜藏族自治州自然资源和规划局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四川华标鼎忆项目管理有限公司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四川华标鼎忆项目管理有限公司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联系人：郑女士</w:t>
      </w:r>
    </w:p>
    <w:p>
      <w:pPr>
        <w:pStyle w:val="null3"/>
        <w:jc w:val="left"/>
      </w:pPr>
      <w:r>
        <w:rPr>
          <w:rFonts w:ascii="仿宋_GB2312" w:hAnsi="仿宋_GB2312" w:cs="仿宋_GB2312" w:eastAsia="仿宋_GB2312"/>
        </w:rPr>
        <w:t>联系电话：028-83323005</w:t>
      </w:r>
    </w:p>
    <w:p>
      <w:pPr>
        <w:pStyle w:val="null3"/>
        <w:jc w:val="left"/>
      </w:pPr>
      <w:r>
        <w:rPr>
          <w:rFonts w:ascii="仿宋_GB2312" w:hAnsi="仿宋_GB2312" w:cs="仿宋_GB2312" w:eastAsia="仿宋_GB2312"/>
        </w:rPr>
        <w:t>地址：四川省成都市金牛区兴科中路36号西物之芯1栋7楼703号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4,810,463.32</w:t>
      </w:r>
    </w:p>
    <w:p>
      <w:pPr>
        <w:pStyle w:val="null3"/>
        <w:jc w:val="left"/>
      </w:pPr>
      <w:r>
        <w:rPr>
          <w:rFonts w:ascii="仿宋_GB2312" w:hAnsi="仿宋_GB2312" w:cs="仿宋_GB2312" w:eastAsia="仿宋_GB2312"/>
        </w:rPr>
        <w:t>采购包最高限价（元）: 4,810,463.32</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C19060000 地质勘测服务</w:t>
            </w:r>
          </w:p>
        </w:tc>
        <w:tc>
          <w:tcPr>
            <w:tcW w:type="dxa" w:w="821"/>
          </w:tcPr>
          <w:p>
            <w:pPr>
              <w:pStyle w:val="null3"/>
              <w:jc w:val="left"/>
            </w:pPr>
            <w:r>
              <w:rPr>
                <w:rFonts w:ascii="仿宋_GB2312" w:hAnsi="仿宋_GB2312" w:cs="仿宋_GB2312" w:eastAsia="仿宋_GB2312"/>
              </w:rPr>
              <w:t>甘孜州地质勘查专项资金项目-四川省稻城县仲堆日东地热资源勘查项目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4,810,463.32</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甘孜州地质勘查专项资金项目-四川省稻城县仲堆日东地热资源勘查项目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4,810,463.32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标的名称：甘孜州地质勘查专项资金项目-四川省稻城县仲堆日东地热资源勘查项目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本项目建议参照以下相关标准实施</w:t>
            </w:r>
          </w:p>
        </w:tc>
        <w:tc>
          <w:tcPr>
            <w:tcW w:type="dxa" w:w="5814"/>
          </w:tcPr>
          <w:p>
            <w:pPr>
              <w:pStyle w:val="null3"/>
              <w:ind w:firstLine="544"/>
              <w:jc w:val="left"/>
            </w:pPr>
            <w:r>
              <w:rPr>
                <w:rFonts w:ascii="仿宋_GB2312" w:hAnsi="仿宋_GB2312" w:cs="仿宋_GB2312" w:eastAsia="仿宋_GB2312"/>
                <w:sz w:val="28"/>
                <w:b/>
                <w:color w:val="333333"/>
              </w:rPr>
              <w:t>中华人民共和国国家标准</w:t>
            </w:r>
          </w:p>
          <w:p>
            <w:pPr>
              <w:pStyle w:val="null3"/>
              <w:ind w:firstLine="544"/>
              <w:jc w:val="left"/>
            </w:pPr>
            <w:r>
              <w:rPr>
                <w:rFonts w:ascii="仿宋_GB2312" w:hAnsi="仿宋_GB2312" w:cs="仿宋_GB2312" w:eastAsia="仿宋_GB2312"/>
                <w:sz w:val="28"/>
              </w:rPr>
              <w:t>《地热资源地质勘查规范》</w:t>
            </w:r>
            <w:r>
              <w:rPr>
                <w:rFonts w:ascii="仿宋_GB2312" w:hAnsi="仿宋_GB2312" w:cs="仿宋_GB2312" w:eastAsia="仿宋_GB2312"/>
                <w:sz w:val="28"/>
              </w:rPr>
              <w:t>（</w:t>
            </w:r>
            <w:r>
              <w:rPr>
                <w:rFonts w:ascii="仿宋_GB2312" w:hAnsi="仿宋_GB2312" w:cs="仿宋_GB2312" w:eastAsia="仿宋_GB2312"/>
                <w:sz w:val="28"/>
              </w:rPr>
              <w:t>GB</w:t>
            </w:r>
            <w:r>
              <w:rPr>
                <w:rFonts w:ascii="仿宋_GB2312" w:hAnsi="仿宋_GB2312" w:cs="仿宋_GB2312" w:eastAsia="仿宋_GB2312"/>
                <w:sz w:val="28"/>
              </w:rPr>
              <w:t xml:space="preserve">/T </w:t>
            </w:r>
            <w:r>
              <w:rPr>
                <w:rFonts w:ascii="仿宋_GB2312" w:hAnsi="仿宋_GB2312" w:cs="仿宋_GB2312" w:eastAsia="仿宋_GB2312"/>
                <w:sz w:val="28"/>
              </w:rPr>
              <w:t>11615-2010</w:t>
            </w:r>
            <w:r>
              <w:rPr>
                <w:rFonts w:ascii="仿宋_GB2312" w:hAnsi="仿宋_GB2312" w:cs="仿宋_GB2312" w:eastAsia="仿宋_GB2312"/>
                <w:sz w:val="28"/>
              </w:rPr>
              <w:t>）</w:t>
            </w:r>
          </w:p>
          <w:p>
            <w:pPr>
              <w:pStyle w:val="null3"/>
              <w:ind w:firstLine="544"/>
              <w:jc w:val="left"/>
            </w:pPr>
            <w:r>
              <w:rPr>
                <w:rFonts w:ascii="仿宋_GB2312" w:hAnsi="仿宋_GB2312" w:cs="仿宋_GB2312" w:eastAsia="仿宋_GB2312"/>
                <w:sz w:val="28"/>
              </w:rPr>
              <w:t>《天然矿泉水资源地质勘查规范》</w:t>
            </w:r>
            <w:r>
              <w:rPr>
                <w:rFonts w:ascii="仿宋_GB2312" w:hAnsi="仿宋_GB2312" w:cs="仿宋_GB2312" w:eastAsia="仿宋_GB2312"/>
                <w:sz w:val="28"/>
              </w:rPr>
              <w:t>（</w:t>
            </w:r>
            <w:r>
              <w:rPr>
                <w:rFonts w:ascii="仿宋_GB2312" w:hAnsi="仿宋_GB2312" w:cs="仿宋_GB2312" w:eastAsia="仿宋_GB2312"/>
                <w:sz w:val="28"/>
              </w:rPr>
              <w:t>GB/T</w:t>
            </w:r>
            <w:r>
              <w:rPr>
                <w:rFonts w:ascii="仿宋_GB2312" w:hAnsi="仿宋_GB2312" w:cs="仿宋_GB2312" w:eastAsia="仿宋_GB2312"/>
                <w:sz w:val="32"/>
              </w:rPr>
              <w:t xml:space="preserve"> </w:t>
            </w:r>
            <w:r>
              <w:rPr>
                <w:rFonts w:ascii="仿宋_GB2312" w:hAnsi="仿宋_GB2312" w:cs="仿宋_GB2312" w:eastAsia="仿宋_GB2312"/>
                <w:sz w:val="28"/>
              </w:rPr>
              <w:t>13727-2016</w:t>
            </w:r>
            <w:r>
              <w:rPr>
                <w:rFonts w:ascii="仿宋_GB2312" w:hAnsi="仿宋_GB2312" w:cs="仿宋_GB2312" w:eastAsia="仿宋_GB2312"/>
                <w:sz w:val="28"/>
              </w:rPr>
              <w:t>）</w:t>
            </w:r>
          </w:p>
          <w:p>
            <w:pPr>
              <w:pStyle w:val="null3"/>
              <w:ind w:firstLine="544"/>
              <w:jc w:val="left"/>
            </w:pPr>
            <w:r>
              <w:rPr>
                <w:rFonts w:ascii="仿宋_GB2312" w:hAnsi="仿宋_GB2312" w:cs="仿宋_GB2312" w:eastAsia="仿宋_GB2312"/>
                <w:sz w:val="28"/>
              </w:rPr>
              <w:t>《食品安全国家标准饮用天然矿泉水》</w:t>
            </w:r>
            <w:r>
              <w:rPr>
                <w:rFonts w:ascii="仿宋_GB2312" w:hAnsi="仿宋_GB2312" w:cs="仿宋_GB2312" w:eastAsia="仿宋_GB2312"/>
                <w:sz w:val="28"/>
              </w:rPr>
              <w:t>（</w:t>
            </w:r>
            <w:r>
              <w:rPr>
                <w:rFonts w:ascii="仿宋_GB2312" w:hAnsi="仿宋_GB2312" w:cs="仿宋_GB2312" w:eastAsia="仿宋_GB2312"/>
                <w:sz w:val="28"/>
              </w:rPr>
              <w:t>GB</w:t>
            </w:r>
            <w:r>
              <w:rPr>
                <w:rFonts w:ascii="仿宋_GB2312" w:hAnsi="仿宋_GB2312" w:cs="仿宋_GB2312" w:eastAsia="仿宋_GB2312"/>
                <w:sz w:val="32"/>
              </w:rPr>
              <w:t xml:space="preserve"> </w:t>
            </w:r>
            <w:r>
              <w:rPr>
                <w:rFonts w:ascii="仿宋_GB2312" w:hAnsi="仿宋_GB2312" w:cs="仿宋_GB2312" w:eastAsia="仿宋_GB2312"/>
                <w:sz w:val="28"/>
              </w:rPr>
              <w:t>8537-2018</w:t>
            </w:r>
            <w:r>
              <w:rPr>
                <w:rFonts w:ascii="仿宋_GB2312" w:hAnsi="仿宋_GB2312" w:cs="仿宋_GB2312" w:eastAsia="仿宋_GB2312"/>
                <w:sz w:val="28"/>
              </w:rPr>
              <w:t>）</w:t>
            </w:r>
          </w:p>
          <w:p>
            <w:pPr>
              <w:pStyle w:val="null3"/>
              <w:ind w:firstLine="544"/>
              <w:jc w:val="left"/>
            </w:pPr>
            <w:r>
              <w:rPr>
                <w:rFonts w:ascii="仿宋_GB2312" w:hAnsi="仿宋_GB2312" w:cs="仿宋_GB2312" w:eastAsia="仿宋_GB2312"/>
                <w:sz w:val="28"/>
              </w:rPr>
              <w:t>《地下水质量标准》</w:t>
            </w:r>
            <w:r>
              <w:rPr>
                <w:rFonts w:ascii="仿宋_GB2312" w:hAnsi="仿宋_GB2312" w:cs="仿宋_GB2312" w:eastAsia="仿宋_GB2312"/>
                <w:sz w:val="28"/>
              </w:rPr>
              <w:t>（</w:t>
            </w:r>
            <w:r>
              <w:rPr>
                <w:rFonts w:ascii="仿宋_GB2312" w:hAnsi="仿宋_GB2312" w:cs="仿宋_GB2312" w:eastAsia="仿宋_GB2312"/>
                <w:sz w:val="28"/>
              </w:rPr>
              <w:t>GB/T</w:t>
            </w:r>
            <w:r>
              <w:rPr>
                <w:rFonts w:ascii="仿宋_GB2312" w:hAnsi="仿宋_GB2312" w:cs="仿宋_GB2312" w:eastAsia="仿宋_GB2312"/>
                <w:sz w:val="32"/>
              </w:rPr>
              <w:t xml:space="preserve"> </w:t>
            </w:r>
            <w:r>
              <w:rPr>
                <w:rFonts w:ascii="仿宋_GB2312" w:hAnsi="仿宋_GB2312" w:cs="仿宋_GB2312" w:eastAsia="仿宋_GB2312"/>
                <w:sz w:val="28"/>
              </w:rPr>
              <w:t>14848-2017</w:t>
            </w:r>
            <w:r>
              <w:rPr>
                <w:rFonts w:ascii="仿宋_GB2312" w:hAnsi="仿宋_GB2312" w:cs="仿宋_GB2312" w:eastAsia="仿宋_GB2312"/>
                <w:sz w:val="28"/>
              </w:rPr>
              <w:t>）</w:t>
            </w:r>
          </w:p>
          <w:p>
            <w:pPr>
              <w:pStyle w:val="null3"/>
              <w:ind w:firstLine="544"/>
              <w:jc w:val="left"/>
            </w:pPr>
            <w:r>
              <w:rPr>
                <w:rFonts w:ascii="仿宋_GB2312" w:hAnsi="仿宋_GB2312" w:cs="仿宋_GB2312" w:eastAsia="仿宋_GB2312"/>
                <w:sz w:val="28"/>
              </w:rPr>
              <w:t>《地表水环境质量标准》</w:t>
            </w:r>
            <w:r>
              <w:rPr>
                <w:rFonts w:ascii="仿宋_GB2312" w:hAnsi="仿宋_GB2312" w:cs="仿宋_GB2312" w:eastAsia="仿宋_GB2312"/>
                <w:sz w:val="28"/>
              </w:rPr>
              <w:t>（</w:t>
            </w:r>
            <w:r>
              <w:rPr>
                <w:rFonts w:ascii="仿宋_GB2312" w:hAnsi="仿宋_GB2312" w:cs="仿宋_GB2312" w:eastAsia="仿宋_GB2312"/>
                <w:sz w:val="28"/>
              </w:rPr>
              <w:t>GB</w:t>
            </w:r>
            <w:r>
              <w:rPr>
                <w:rFonts w:ascii="仿宋_GB2312" w:hAnsi="仿宋_GB2312" w:cs="仿宋_GB2312" w:eastAsia="仿宋_GB2312"/>
                <w:sz w:val="32"/>
              </w:rPr>
              <w:t xml:space="preserve"> </w:t>
            </w:r>
            <w:r>
              <w:rPr>
                <w:rFonts w:ascii="仿宋_GB2312" w:hAnsi="仿宋_GB2312" w:cs="仿宋_GB2312" w:eastAsia="仿宋_GB2312"/>
                <w:sz w:val="28"/>
              </w:rPr>
              <w:t>3838-2002</w:t>
            </w:r>
            <w:r>
              <w:rPr>
                <w:rFonts w:ascii="仿宋_GB2312" w:hAnsi="仿宋_GB2312" w:cs="仿宋_GB2312" w:eastAsia="仿宋_GB2312"/>
                <w:sz w:val="28"/>
              </w:rPr>
              <w:t>）</w:t>
            </w:r>
          </w:p>
          <w:p>
            <w:pPr>
              <w:pStyle w:val="null3"/>
              <w:ind w:firstLine="544"/>
              <w:jc w:val="left"/>
            </w:pPr>
            <w:r>
              <w:rPr>
                <w:rFonts w:ascii="仿宋_GB2312" w:hAnsi="仿宋_GB2312" w:cs="仿宋_GB2312" w:eastAsia="仿宋_GB2312"/>
                <w:sz w:val="28"/>
              </w:rPr>
              <w:t>《污水综合排放标准》</w:t>
            </w:r>
            <w:r>
              <w:rPr>
                <w:rFonts w:ascii="仿宋_GB2312" w:hAnsi="仿宋_GB2312" w:cs="仿宋_GB2312" w:eastAsia="仿宋_GB2312"/>
                <w:sz w:val="28"/>
              </w:rPr>
              <w:t>（</w:t>
            </w:r>
            <w:r>
              <w:rPr>
                <w:rFonts w:ascii="仿宋_GB2312" w:hAnsi="仿宋_GB2312" w:cs="仿宋_GB2312" w:eastAsia="仿宋_GB2312"/>
                <w:sz w:val="28"/>
              </w:rPr>
              <w:t>GB 8978-1996</w:t>
            </w:r>
            <w:r>
              <w:rPr>
                <w:rFonts w:ascii="仿宋_GB2312" w:hAnsi="仿宋_GB2312" w:cs="仿宋_GB2312" w:eastAsia="仿宋_GB2312"/>
                <w:sz w:val="28"/>
              </w:rPr>
              <w:t>）</w:t>
            </w:r>
          </w:p>
          <w:p>
            <w:pPr>
              <w:pStyle w:val="null3"/>
              <w:ind w:firstLine="544"/>
              <w:jc w:val="left"/>
            </w:pPr>
            <w:r>
              <w:rPr>
                <w:rFonts w:ascii="仿宋_GB2312" w:hAnsi="仿宋_GB2312" w:cs="仿宋_GB2312" w:eastAsia="仿宋_GB2312"/>
                <w:sz w:val="28"/>
              </w:rPr>
              <w:t>《生活饮用水卫生标准》</w:t>
            </w:r>
            <w:r>
              <w:rPr>
                <w:rFonts w:ascii="仿宋_GB2312" w:hAnsi="仿宋_GB2312" w:cs="仿宋_GB2312" w:eastAsia="仿宋_GB2312"/>
                <w:sz w:val="28"/>
              </w:rPr>
              <w:t>（</w:t>
            </w:r>
            <w:r>
              <w:rPr>
                <w:rFonts w:ascii="仿宋_GB2312" w:hAnsi="仿宋_GB2312" w:cs="仿宋_GB2312" w:eastAsia="仿宋_GB2312"/>
                <w:sz w:val="28"/>
              </w:rPr>
              <w:t>GB</w:t>
            </w:r>
            <w:r>
              <w:rPr>
                <w:rFonts w:ascii="仿宋_GB2312" w:hAnsi="仿宋_GB2312" w:cs="仿宋_GB2312" w:eastAsia="仿宋_GB2312"/>
                <w:sz w:val="32"/>
              </w:rPr>
              <w:t xml:space="preserve"> </w:t>
            </w:r>
            <w:r>
              <w:rPr>
                <w:rFonts w:ascii="仿宋_GB2312" w:hAnsi="仿宋_GB2312" w:cs="仿宋_GB2312" w:eastAsia="仿宋_GB2312"/>
                <w:sz w:val="28"/>
              </w:rPr>
              <w:t>5749-2022</w:t>
            </w:r>
            <w:r>
              <w:rPr>
                <w:rFonts w:ascii="仿宋_GB2312" w:hAnsi="仿宋_GB2312" w:cs="仿宋_GB2312" w:eastAsia="仿宋_GB2312"/>
                <w:sz w:val="28"/>
              </w:rPr>
              <w:t>）</w:t>
            </w:r>
          </w:p>
          <w:p>
            <w:pPr>
              <w:pStyle w:val="null3"/>
              <w:ind w:firstLine="544"/>
              <w:jc w:val="left"/>
            </w:pPr>
            <w:r>
              <w:rPr>
                <w:rFonts w:ascii="仿宋_GB2312" w:hAnsi="仿宋_GB2312" w:cs="仿宋_GB2312" w:eastAsia="仿宋_GB2312"/>
                <w:sz w:val="28"/>
              </w:rPr>
              <w:t>《卫星导航定位基准站网络实时动态测量（</w:t>
            </w:r>
            <w:r>
              <w:rPr>
                <w:rFonts w:ascii="仿宋_GB2312" w:hAnsi="仿宋_GB2312" w:cs="仿宋_GB2312" w:eastAsia="仿宋_GB2312"/>
                <w:sz w:val="28"/>
              </w:rPr>
              <w:t>RTK） 规范》</w:t>
            </w:r>
            <w:r>
              <w:rPr>
                <w:rFonts w:ascii="仿宋_GB2312" w:hAnsi="仿宋_GB2312" w:cs="仿宋_GB2312" w:eastAsia="仿宋_GB2312"/>
                <w:sz w:val="28"/>
              </w:rPr>
              <w:t>（</w:t>
            </w:r>
            <w:r>
              <w:rPr>
                <w:rFonts w:ascii="仿宋_GB2312" w:hAnsi="仿宋_GB2312" w:cs="仿宋_GB2312" w:eastAsia="仿宋_GB2312"/>
                <w:sz w:val="28"/>
              </w:rPr>
              <w:t>GB/T 39616-2020</w:t>
            </w:r>
            <w:r>
              <w:rPr>
                <w:rFonts w:ascii="仿宋_GB2312" w:hAnsi="仿宋_GB2312" w:cs="仿宋_GB2312" w:eastAsia="仿宋_GB2312"/>
                <w:sz w:val="28"/>
              </w:rPr>
              <w:t>）</w:t>
            </w:r>
          </w:p>
          <w:p>
            <w:pPr>
              <w:pStyle w:val="null3"/>
              <w:ind w:firstLine="544"/>
              <w:jc w:val="left"/>
            </w:pPr>
            <w:r>
              <w:rPr>
                <w:rFonts w:ascii="仿宋_GB2312" w:hAnsi="仿宋_GB2312" w:cs="仿宋_GB2312" w:eastAsia="仿宋_GB2312"/>
                <w:sz w:val="28"/>
              </w:rPr>
              <w:t>《全球导航卫星系统（</w:t>
            </w:r>
            <w:r>
              <w:rPr>
                <w:rFonts w:ascii="仿宋_GB2312" w:hAnsi="仿宋_GB2312" w:cs="仿宋_GB2312" w:eastAsia="仿宋_GB2312"/>
                <w:sz w:val="28"/>
              </w:rPr>
              <w:t>GNSS）测量规范》（GB/T 18314-2024）</w:t>
            </w:r>
          </w:p>
          <w:p>
            <w:pPr>
              <w:pStyle w:val="null3"/>
              <w:ind w:firstLine="544"/>
              <w:jc w:val="left"/>
            </w:pPr>
            <w:r>
              <w:rPr>
                <w:rFonts w:ascii="仿宋_GB2312" w:hAnsi="仿宋_GB2312" w:cs="仿宋_GB2312" w:eastAsia="仿宋_GB2312"/>
                <w:sz w:val="28"/>
              </w:rPr>
              <w:t>《地质矿产勘查测量规范》</w:t>
            </w:r>
            <w:r>
              <w:rPr>
                <w:rFonts w:ascii="仿宋_GB2312" w:hAnsi="仿宋_GB2312" w:cs="仿宋_GB2312" w:eastAsia="仿宋_GB2312"/>
                <w:sz w:val="28"/>
              </w:rPr>
              <w:t>（</w:t>
            </w:r>
            <w:r>
              <w:rPr>
                <w:rFonts w:ascii="仿宋_GB2312" w:hAnsi="仿宋_GB2312" w:cs="仿宋_GB2312" w:eastAsia="仿宋_GB2312"/>
                <w:sz w:val="28"/>
              </w:rPr>
              <w:t>GB/T</w:t>
            </w:r>
            <w:r>
              <w:rPr>
                <w:rFonts w:ascii="仿宋_GB2312" w:hAnsi="仿宋_GB2312" w:cs="仿宋_GB2312" w:eastAsia="仿宋_GB2312"/>
                <w:sz w:val="32"/>
              </w:rPr>
              <w:t xml:space="preserve"> </w:t>
            </w:r>
            <w:r>
              <w:rPr>
                <w:rFonts w:ascii="仿宋_GB2312" w:hAnsi="仿宋_GB2312" w:cs="仿宋_GB2312" w:eastAsia="仿宋_GB2312"/>
                <w:sz w:val="28"/>
              </w:rPr>
              <w:t>18341-2021</w:t>
            </w:r>
            <w:r>
              <w:rPr>
                <w:rFonts w:ascii="仿宋_GB2312" w:hAnsi="仿宋_GB2312" w:cs="仿宋_GB2312" w:eastAsia="仿宋_GB2312"/>
                <w:sz w:val="28"/>
              </w:rPr>
              <w:t>）</w:t>
            </w:r>
          </w:p>
          <w:p>
            <w:pPr>
              <w:pStyle w:val="null3"/>
              <w:ind w:firstLine="544"/>
              <w:jc w:val="left"/>
            </w:pPr>
            <w:r>
              <w:rPr>
                <w:rFonts w:ascii="仿宋_GB2312" w:hAnsi="仿宋_GB2312" w:cs="仿宋_GB2312" w:eastAsia="仿宋_GB2312"/>
                <w:sz w:val="28"/>
              </w:rPr>
              <w:t>《测绘成果质量检查与验收》</w:t>
            </w:r>
            <w:r>
              <w:rPr>
                <w:rFonts w:ascii="仿宋_GB2312" w:hAnsi="仿宋_GB2312" w:cs="仿宋_GB2312" w:eastAsia="仿宋_GB2312"/>
                <w:sz w:val="28"/>
              </w:rPr>
              <w:t>（</w:t>
            </w:r>
            <w:r>
              <w:rPr>
                <w:rFonts w:ascii="仿宋_GB2312" w:hAnsi="仿宋_GB2312" w:cs="仿宋_GB2312" w:eastAsia="仿宋_GB2312"/>
                <w:sz w:val="28"/>
              </w:rPr>
              <w:t>GB/T</w:t>
            </w:r>
            <w:r>
              <w:rPr>
                <w:rFonts w:ascii="仿宋_GB2312" w:hAnsi="仿宋_GB2312" w:cs="仿宋_GB2312" w:eastAsia="仿宋_GB2312"/>
                <w:sz w:val="32"/>
              </w:rPr>
              <w:t xml:space="preserve"> </w:t>
            </w:r>
            <w:r>
              <w:rPr>
                <w:rFonts w:ascii="仿宋_GB2312" w:hAnsi="仿宋_GB2312" w:cs="仿宋_GB2312" w:eastAsia="仿宋_GB2312"/>
                <w:sz w:val="28"/>
              </w:rPr>
              <w:t>24356-2023</w:t>
            </w:r>
            <w:r>
              <w:rPr>
                <w:rFonts w:ascii="仿宋_GB2312" w:hAnsi="仿宋_GB2312" w:cs="仿宋_GB2312" w:eastAsia="仿宋_GB2312"/>
                <w:sz w:val="28"/>
              </w:rPr>
              <w:t>）</w:t>
            </w:r>
          </w:p>
          <w:p>
            <w:pPr>
              <w:pStyle w:val="null3"/>
              <w:ind w:firstLine="544"/>
              <w:jc w:val="left"/>
            </w:pPr>
            <w:r>
              <w:rPr>
                <w:rFonts w:ascii="仿宋_GB2312" w:hAnsi="仿宋_GB2312" w:cs="仿宋_GB2312" w:eastAsia="仿宋_GB2312"/>
                <w:sz w:val="28"/>
                <w:b/>
                <w:color w:val="333333"/>
              </w:rPr>
              <w:t>中华人民共和国自然资源部、中国地质调查局、中华人民共和国国家测绘局行业标准</w:t>
            </w:r>
          </w:p>
          <w:p>
            <w:pPr>
              <w:pStyle w:val="null3"/>
              <w:ind w:firstLine="544"/>
              <w:jc w:val="left"/>
            </w:pPr>
            <w:r>
              <w:rPr>
                <w:rFonts w:ascii="仿宋_GB2312" w:hAnsi="仿宋_GB2312" w:cs="仿宋_GB2312" w:eastAsia="仿宋_GB2312"/>
                <w:sz w:val="28"/>
              </w:rPr>
              <w:t>《地热资源评价方法及估算规程》</w:t>
            </w:r>
            <w:r>
              <w:rPr>
                <w:rFonts w:ascii="仿宋_GB2312" w:hAnsi="仿宋_GB2312" w:cs="仿宋_GB2312" w:eastAsia="仿宋_GB2312"/>
                <w:sz w:val="28"/>
              </w:rPr>
              <w:t>（</w:t>
            </w:r>
            <w:r>
              <w:rPr>
                <w:rFonts w:ascii="仿宋_GB2312" w:hAnsi="仿宋_GB2312" w:cs="仿宋_GB2312" w:eastAsia="仿宋_GB2312"/>
                <w:sz w:val="28"/>
              </w:rPr>
              <w:t>DZ/T</w:t>
            </w:r>
            <w:r>
              <w:rPr>
                <w:rFonts w:ascii="仿宋_GB2312" w:hAnsi="仿宋_GB2312" w:cs="仿宋_GB2312" w:eastAsia="仿宋_GB2312"/>
                <w:sz w:val="32"/>
              </w:rPr>
              <w:t xml:space="preserve"> </w:t>
            </w:r>
            <w:r>
              <w:rPr>
                <w:rFonts w:ascii="仿宋_GB2312" w:hAnsi="仿宋_GB2312" w:cs="仿宋_GB2312" w:eastAsia="仿宋_GB2312"/>
                <w:sz w:val="28"/>
              </w:rPr>
              <w:t>0331-2020</w:t>
            </w:r>
            <w:r>
              <w:rPr>
                <w:rFonts w:ascii="仿宋_GB2312" w:hAnsi="仿宋_GB2312" w:cs="仿宋_GB2312" w:eastAsia="仿宋_GB2312"/>
                <w:sz w:val="28"/>
              </w:rPr>
              <w:t>）</w:t>
            </w:r>
          </w:p>
          <w:p>
            <w:pPr>
              <w:pStyle w:val="null3"/>
              <w:ind w:firstLine="544"/>
              <w:jc w:val="left"/>
            </w:pPr>
            <w:r>
              <w:rPr>
                <w:rFonts w:ascii="仿宋_GB2312" w:hAnsi="仿宋_GB2312" w:cs="仿宋_GB2312" w:eastAsia="仿宋_GB2312"/>
                <w:sz w:val="28"/>
              </w:rPr>
              <w:t>《水文地质调查规范（</w:t>
            </w:r>
            <w:r>
              <w:rPr>
                <w:rFonts w:ascii="仿宋_GB2312" w:hAnsi="仿宋_GB2312" w:cs="仿宋_GB2312" w:eastAsia="仿宋_GB2312"/>
                <w:sz w:val="28"/>
              </w:rPr>
              <w:t>1:50000）》DZ/T 0282-2024</w:t>
            </w:r>
          </w:p>
          <w:p>
            <w:pPr>
              <w:pStyle w:val="null3"/>
              <w:ind w:firstLine="544"/>
              <w:jc w:val="left"/>
            </w:pPr>
            <w:r>
              <w:rPr>
                <w:rFonts w:ascii="仿宋_GB2312" w:hAnsi="仿宋_GB2312" w:cs="仿宋_GB2312" w:eastAsia="仿宋_GB2312"/>
                <w:sz w:val="28"/>
              </w:rPr>
              <w:t>《地热钻探技术规程》（</w:t>
            </w:r>
            <w:r>
              <w:rPr>
                <w:rFonts w:ascii="仿宋_GB2312" w:hAnsi="仿宋_GB2312" w:cs="仿宋_GB2312" w:eastAsia="仿宋_GB2312"/>
                <w:sz w:val="28"/>
              </w:rPr>
              <w:t>DZ/T 0260-2024）</w:t>
            </w:r>
          </w:p>
          <w:p>
            <w:pPr>
              <w:pStyle w:val="null3"/>
              <w:ind w:firstLine="544"/>
              <w:jc w:val="left"/>
            </w:pPr>
            <w:r>
              <w:rPr>
                <w:rFonts w:ascii="仿宋_GB2312" w:hAnsi="仿宋_GB2312" w:cs="仿宋_GB2312" w:eastAsia="仿宋_GB2312"/>
                <w:sz w:val="28"/>
              </w:rPr>
              <w:t>《地质岩心钻探规程》</w:t>
            </w:r>
            <w:r>
              <w:rPr>
                <w:rFonts w:ascii="仿宋_GB2312" w:hAnsi="仿宋_GB2312" w:cs="仿宋_GB2312" w:eastAsia="仿宋_GB2312"/>
                <w:sz w:val="28"/>
                <w:color w:val="333333"/>
              </w:rPr>
              <w:t>(DZ/T</w:t>
            </w:r>
            <w:r>
              <w:rPr>
                <w:rFonts w:ascii="仿宋_GB2312" w:hAnsi="仿宋_GB2312" w:cs="仿宋_GB2312" w:eastAsia="仿宋_GB2312"/>
                <w:sz w:val="32"/>
              </w:rPr>
              <w:t xml:space="preserve"> </w:t>
            </w:r>
            <w:r>
              <w:rPr>
                <w:rFonts w:ascii="仿宋_GB2312" w:hAnsi="仿宋_GB2312" w:cs="仿宋_GB2312" w:eastAsia="仿宋_GB2312"/>
                <w:sz w:val="28"/>
                <w:color w:val="333333"/>
              </w:rPr>
              <w:t>0227-2010)</w:t>
            </w:r>
          </w:p>
          <w:p>
            <w:pPr>
              <w:pStyle w:val="null3"/>
              <w:ind w:firstLine="544"/>
              <w:jc w:val="left"/>
            </w:pPr>
            <w:r>
              <w:rPr>
                <w:rFonts w:ascii="仿宋_GB2312" w:hAnsi="仿宋_GB2312" w:cs="仿宋_GB2312" w:eastAsia="仿宋_GB2312"/>
                <w:sz w:val="28"/>
              </w:rPr>
              <w:t>《矿产资源工业要求手册》</w:t>
            </w:r>
            <w:r>
              <w:rPr>
                <w:rFonts w:ascii="仿宋_GB2312" w:hAnsi="仿宋_GB2312" w:cs="仿宋_GB2312" w:eastAsia="仿宋_GB2312"/>
                <w:sz w:val="28"/>
              </w:rPr>
              <w:t>（</w:t>
            </w:r>
            <w:r>
              <w:rPr>
                <w:rFonts w:ascii="仿宋_GB2312" w:hAnsi="仿宋_GB2312" w:cs="仿宋_GB2312" w:eastAsia="仿宋_GB2312"/>
                <w:sz w:val="28"/>
              </w:rPr>
              <w:t>2014年修订本</w:t>
            </w:r>
            <w:r>
              <w:rPr>
                <w:rFonts w:ascii="仿宋_GB2312" w:hAnsi="仿宋_GB2312" w:cs="仿宋_GB2312" w:eastAsia="仿宋_GB2312"/>
                <w:sz w:val="28"/>
              </w:rPr>
              <w:t>）</w:t>
            </w:r>
          </w:p>
          <w:p>
            <w:pPr>
              <w:pStyle w:val="null3"/>
              <w:ind w:firstLine="544"/>
              <w:jc w:val="left"/>
            </w:pPr>
            <w:r>
              <w:rPr>
                <w:rFonts w:ascii="仿宋_GB2312" w:hAnsi="仿宋_GB2312" w:cs="仿宋_GB2312" w:eastAsia="仿宋_GB2312"/>
                <w:sz w:val="28"/>
              </w:rPr>
              <w:t>《地热测井技术规范》（</w:t>
            </w:r>
            <w:r>
              <w:rPr>
                <w:rFonts w:ascii="仿宋_GB2312" w:hAnsi="仿宋_GB2312" w:cs="仿宋_GB2312" w:eastAsia="仿宋_GB2312"/>
                <w:sz w:val="28"/>
              </w:rPr>
              <w:t>NB/T</w:t>
            </w:r>
            <w:r>
              <w:rPr>
                <w:rFonts w:ascii="仿宋_GB2312" w:hAnsi="仿宋_GB2312" w:cs="仿宋_GB2312" w:eastAsia="仿宋_GB2312"/>
                <w:sz w:val="32"/>
              </w:rPr>
              <w:t xml:space="preserve"> </w:t>
            </w:r>
            <w:r>
              <w:rPr>
                <w:rFonts w:ascii="仿宋_GB2312" w:hAnsi="仿宋_GB2312" w:cs="仿宋_GB2312" w:eastAsia="仿宋_GB2312"/>
                <w:sz w:val="28"/>
              </w:rPr>
              <w:t>10269-2019）</w:t>
            </w:r>
          </w:p>
          <w:p>
            <w:pPr>
              <w:pStyle w:val="null3"/>
              <w:ind w:firstLine="544"/>
              <w:jc w:val="left"/>
            </w:pPr>
            <w:r>
              <w:rPr>
                <w:rFonts w:ascii="仿宋_GB2312" w:hAnsi="仿宋_GB2312" w:cs="仿宋_GB2312" w:eastAsia="仿宋_GB2312"/>
                <w:sz w:val="28"/>
              </w:rPr>
              <w:t>《大地电磁测深法技术规程》</w:t>
            </w:r>
            <w:r>
              <w:rPr>
                <w:rFonts w:ascii="仿宋_GB2312" w:hAnsi="仿宋_GB2312" w:cs="仿宋_GB2312" w:eastAsia="仿宋_GB2312"/>
                <w:sz w:val="28"/>
              </w:rPr>
              <w:t>（</w:t>
            </w:r>
            <w:r>
              <w:rPr>
                <w:rFonts w:ascii="仿宋_GB2312" w:hAnsi="仿宋_GB2312" w:cs="仿宋_GB2312" w:eastAsia="仿宋_GB2312"/>
                <w:sz w:val="28"/>
              </w:rPr>
              <w:t>DZ/T 0173-2022</w:t>
            </w:r>
            <w:r>
              <w:rPr>
                <w:rFonts w:ascii="仿宋_GB2312" w:hAnsi="仿宋_GB2312" w:cs="仿宋_GB2312" w:eastAsia="仿宋_GB2312"/>
                <w:sz w:val="28"/>
              </w:rPr>
              <w:t>）</w:t>
            </w:r>
          </w:p>
          <w:p>
            <w:pPr>
              <w:pStyle w:val="null3"/>
              <w:ind w:firstLine="544"/>
              <w:jc w:val="left"/>
            </w:pPr>
            <w:r>
              <w:rPr>
                <w:rFonts w:ascii="仿宋_GB2312" w:hAnsi="仿宋_GB2312" w:cs="仿宋_GB2312" w:eastAsia="仿宋_GB2312"/>
                <w:sz w:val="28"/>
              </w:rPr>
              <w:t>《可控源音频大地电磁技术规程》</w:t>
            </w:r>
            <w:r>
              <w:rPr>
                <w:rFonts w:ascii="仿宋_GB2312" w:hAnsi="仿宋_GB2312" w:cs="仿宋_GB2312" w:eastAsia="仿宋_GB2312"/>
                <w:sz w:val="28"/>
              </w:rPr>
              <w:t>（</w:t>
            </w:r>
            <w:r>
              <w:rPr>
                <w:rFonts w:ascii="仿宋_GB2312" w:hAnsi="仿宋_GB2312" w:cs="仿宋_GB2312" w:eastAsia="仿宋_GB2312"/>
                <w:sz w:val="28"/>
              </w:rPr>
              <w:t>DZ/T</w:t>
            </w:r>
            <w:r>
              <w:rPr>
                <w:rFonts w:ascii="仿宋_GB2312" w:hAnsi="仿宋_GB2312" w:cs="仿宋_GB2312" w:eastAsia="仿宋_GB2312"/>
                <w:sz w:val="32"/>
              </w:rPr>
              <w:t xml:space="preserve"> </w:t>
            </w:r>
            <w:r>
              <w:rPr>
                <w:rFonts w:ascii="仿宋_GB2312" w:hAnsi="仿宋_GB2312" w:cs="仿宋_GB2312" w:eastAsia="仿宋_GB2312"/>
                <w:sz w:val="28"/>
              </w:rPr>
              <w:t>0280-2015</w:t>
            </w:r>
            <w:r>
              <w:rPr>
                <w:rFonts w:ascii="仿宋_GB2312" w:hAnsi="仿宋_GB2312" w:cs="仿宋_GB2312" w:eastAsia="仿宋_GB2312"/>
                <w:sz w:val="28"/>
              </w:rPr>
              <w:t>）</w:t>
            </w:r>
          </w:p>
          <w:p>
            <w:pPr>
              <w:pStyle w:val="null3"/>
              <w:ind w:firstLine="544"/>
              <w:jc w:val="left"/>
            </w:pPr>
            <w:r>
              <w:rPr>
                <w:rFonts w:ascii="仿宋_GB2312" w:hAnsi="仿宋_GB2312" w:cs="仿宋_GB2312" w:eastAsia="仿宋_GB2312"/>
                <w:sz w:val="28"/>
              </w:rPr>
              <w:t>《水文地质调查图件编制规范</w:t>
            </w:r>
            <w:r>
              <w:rPr>
                <w:rFonts w:ascii="仿宋_GB2312" w:hAnsi="仿宋_GB2312" w:cs="仿宋_GB2312" w:eastAsia="仿宋_GB2312"/>
                <w:sz w:val="28"/>
              </w:rPr>
              <w:t>第</w:t>
            </w:r>
            <w:r>
              <w:rPr>
                <w:rFonts w:ascii="仿宋_GB2312" w:hAnsi="仿宋_GB2312" w:cs="仿宋_GB2312" w:eastAsia="仿宋_GB2312"/>
                <w:sz w:val="28"/>
              </w:rPr>
              <w:t>1 部分：水文地质图（1∶50 000）》</w:t>
            </w:r>
            <w:r>
              <w:rPr>
                <w:rFonts w:ascii="仿宋_GB2312" w:hAnsi="仿宋_GB2312" w:cs="仿宋_GB2312" w:eastAsia="仿宋_GB2312"/>
                <w:sz w:val="28"/>
              </w:rPr>
              <w:t>（</w:t>
            </w:r>
            <w:r>
              <w:rPr>
                <w:rFonts w:ascii="仿宋_GB2312" w:hAnsi="仿宋_GB2312" w:cs="仿宋_GB2312" w:eastAsia="仿宋_GB2312"/>
                <w:sz w:val="28"/>
              </w:rPr>
              <w:t>DZ/T 0329-2019</w:t>
            </w:r>
            <w:r>
              <w:rPr>
                <w:rFonts w:ascii="仿宋_GB2312" w:hAnsi="仿宋_GB2312" w:cs="仿宋_GB2312" w:eastAsia="仿宋_GB2312"/>
                <w:sz w:val="28"/>
              </w:rPr>
              <w:t>）</w:t>
            </w:r>
          </w:p>
          <w:p>
            <w:pPr>
              <w:pStyle w:val="null3"/>
              <w:ind w:firstLine="544"/>
              <w:jc w:val="left"/>
            </w:pPr>
            <w:r>
              <w:rPr>
                <w:rFonts w:ascii="仿宋_GB2312" w:hAnsi="仿宋_GB2312" w:cs="仿宋_GB2312" w:eastAsia="仿宋_GB2312"/>
                <w:sz w:val="28"/>
              </w:rPr>
              <w:t>《地质矿产实验室测试质量管理规范》</w:t>
            </w:r>
            <w:r>
              <w:rPr>
                <w:rFonts w:ascii="仿宋_GB2312" w:hAnsi="仿宋_GB2312" w:cs="仿宋_GB2312" w:eastAsia="仿宋_GB2312"/>
                <w:sz w:val="28"/>
              </w:rPr>
              <w:t>（</w:t>
            </w:r>
            <w:r>
              <w:rPr>
                <w:rFonts w:ascii="仿宋_GB2312" w:hAnsi="仿宋_GB2312" w:cs="仿宋_GB2312" w:eastAsia="仿宋_GB2312"/>
                <w:sz w:val="28"/>
              </w:rPr>
              <w:t>DZ</w:t>
            </w:r>
            <w:r>
              <w:rPr>
                <w:rFonts w:ascii="仿宋_GB2312" w:hAnsi="仿宋_GB2312" w:cs="仿宋_GB2312" w:eastAsia="仿宋_GB2312"/>
                <w:sz w:val="32"/>
              </w:rPr>
              <w:t xml:space="preserve"> </w:t>
            </w:r>
            <w:r>
              <w:rPr>
                <w:rFonts w:ascii="仿宋_GB2312" w:hAnsi="仿宋_GB2312" w:cs="仿宋_GB2312" w:eastAsia="仿宋_GB2312"/>
                <w:sz w:val="28"/>
              </w:rPr>
              <w:t>0130-2006</w:t>
            </w:r>
            <w:r>
              <w:rPr>
                <w:rFonts w:ascii="仿宋_GB2312" w:hAnsi="仿宋_GB2312" w:cs="仿宋_GB2312" w:eastAsia="仿宋_GB2312"/>
                <w:sz w:val="28"/>
              </w:rPr>
              <w:t>）</w:t>
            </w:r>
          </w:p>
          <w:p>
            <w:pPr>
              <w:pStyle w:val="null3"/>
              <w:ind w:firstLine="544"/>
              <w:jc w:val="left"/>
            </w:pPr>
            <w:r>
              <w:rPr>
                <w:rFonts w:ascii="仿宋_GB2312" w:hAnsi="仿宋_GB2312" w:cs="仿宋_GB2312" w:eastAsia="仿宋_GB2312"/>
                <w:sz w:val="28"/>
              </w:rPr>
              <w:t>《</w:t>
            </w:r>
            <w:r>
              <w:rPr>
                <w:rFonts w:ascii="仿宋_GB2312" w:hAnsi="仿宋_GB2312" w:cs="仿宋_GB2312" w:eastAsia="仿宋_GB2312"/>
                <w:sz w:val="28"/>
              </w:rPr>
              <w:t>绿色地质勘查工作规范</w:t>
            </w:r>
            <w:r>
              <w:rPr>
                <w:rFonts w:ascii="仿宋_GB2312" w:hAnsi="仿宋_GB2312" w:cs="仿宋_GB2312" w:eastAsia="仿宋_GB2312"/>
                <w:sz w:val="28"/>
              </w:rPr>
              <w:t>》（</w:t>
            </w:r>
            <w:r>
              <w:rPr>
                <w:rFonts w:ascii="仿宋_GB2312" w:hAnsi="仿宋_GB2312" w:cs="仿宋_GB2312" w:eastAsia="仿宋_GB2312"/>
                <w:sz w:val="28"/>
              </w:rPr>
              <w:t>DZ/T 0374-2021）</w:t>
            </w:r>
          </w:p>
          <w:p>
            <w:pPr>
              <w:pStyle w:val="null3"/>
              <w:ind w:firstLine="544"/>
              <w:jc w:val="left"/>
            </w:pPr>
            <w:r>
              <w:rPr>
                <w:rFonts w:ascii="仿宋_GB2312" w:hAnsi="仿宋_GB2312" w:cs="仿宋_GB2312" w:eastAsia="仿宋_GB2312"/>
                <w:sz w:val="28"/>
              </w:rPr>
              <w:t>《野外地质工作后勤保障要求》（</w:t>
            </w:r>
            <w:r>
              <w:rPr>
                <w:rFonts w:ascii="仿宋_GB2312" w:hAnsi="仿宋_GB2312" w:cs="仿宋_GB2312" w:eastAsia="仿宋_GB2312"/>
                <w:sz w:val="28"/>
              </w:rPr>
              <w:t>DZ/T 0351-2020）</w:t>
            </w:r>
          </w:p>
          <w:p>
            <w:pPr>
              <w:pStyle w:val="null3"/>
              <w:ind w:firstLine="544"/>
              <w:jc w:val="left"/>
            </w:pPr>
            <w:r>
              <w:rPr>
                <w:rFonts w:ascii="仿宋_GB2312" w:hAnsi="仿宋_GB2312" w:cs="仿宋_GB2312" w:eastAsia="仿宋_GB2312"/>
                <w:sz w:val="28"/>
                <w:b/>
                <w:color w:val="333333"/>
              </w:rPr>
              <w:t>其他行业标准</w:t>
            </w:r>
          </w:p>
          <w:p>
            <w:pPr>
              <w:pStyle w:val="null3"/>
              <w:ind w:firstLine="544"/>
              <w:jc w:val="left"/>
            </w:pPr>
            <w:r>
              <w:rPr>
                <w:rFonts w:ascii="仿宋_GB2312" w:hAnsi="仿宋_GB2312" w:cs="仿宋_GB2312" w:eastAsia="仿宋_GB2312"/>
                <w:sz w:val="28"/>
              </w:rPr>
              <w:t>《地质勘探安全规程》</w:t>
            </w:r>
            <w:r>
              <w:rPr>
                <w:rFonts w:ascii="仿宋_GB2312" w:hAnsi="仿宋_GB2312" w:cs="仿宋_GB2312" w:eastAsia="仿宋_GB2312"/>
                <w:sz w:val="28"/>
              </w:rPr>
              <w:t>(AQ</w:t>
            </w:r>
            <w:r>
              <w:rPr>
                <w:rFonts w:ascii="仿宋_GB2312" w:hAnsi="仿宋_GB2312" w:cs="仿宋_GB2312" w:eastAsia="仿宋_GB2312"/>
                <w:sz w:val="32"/>
              </w:rPr>
              <w:t xml:space="preserve"> </w:t>
            </w:r>
            <w:r>
              <w:rPr>
                <w:rFonts w:ascii="仿宋_GB2312" w:hAnsi="仿宋_GB2312" w:cs="仿宋_GB2312" w:eastAsia="仿宋_GB2312"/>
                <w:sz w:val="28"/>
              </w:rPr>
              <w:t>2004-2005)</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工作内容</w:t>
            </w:r>
          </w:p>
        </w:tc>
        <w:tc>
          <w:tcPr>
            <w:tcW w:type="dxa" w:w="5814"/>
          </w:tcPr>
          <w:p>
            <w:pPr>
              <w:pStyle w:val="null3"/>
              <w:ind w:firstLine="544"/>
              <w:jc w:val="both"/>
            </w:pPr>
            <w:r>
              <w:rPr>
                <w:rFonts w:ascii="仿宋_GB2312" w:hAnsi="仿宋_GB2312" w:cs="仿宋_GB2312" w:eastAsia="仿宋_GB2312"/>
                <w:sz w:val="28"/>
              </w:rPr>
              <w:t>（</w:t>
            </w:r>
            <w:r>
              <w:rPr>
                <w:rFonts w:ascii="仿宋_GB2312" w:hAnsi="仿宋_GB2312" w:cs="仿宋_GB2312" w:eastAsia="仿宋_GB2312"/>
                <w:sz w:val="28"/>
              </w:rPr>
              <w:t>1）资料收集整理</w:t>
            </w:r>
          </w:p>
          <w:p>
            <w:pPr>
              <w:pStyle w:val="null3"/>
              <w:ind w:firstLine="544"/>
              <w:jc w:val="both"/>
            </w:pPr>
            <w:r>
              <w:rPr>
                <w:rFonts w:ascii="仿宋_GB2312" w:hAnsi="仿宋_GB2312" w:cs="仿宋_GB2312" w:eastAsia="仿宋_GB2312"/>
                <w:sz w:val="28"/>
              </w:rPr>
              <w:t>全面、系统搜集项目区及周边已取得的地质、矿产、规划及资源开发利用现状与需求等资料，研读和分析已有资料，初步总</w:t>
            </w:r>
            <w:r>
              <w:rPr>
                <w:rFonts w:ascii="仿宋_GB2312" w:hAnsi="仿宋_GB2312" w:cs="仿宋_GB2312" w:eastAsia="仿宋_GB2312"/>
                <w:sz w:val="28"/>
              </w:rPr>
              <w:t>结</w:t>
            </w:r>
            <w:r>
              <w:rPr>
                <w:rFonts w:ascii="仿宋_GB2312" w:hAnsi="仿宋_GB2312" w:cs="仿宋_GB2312" w:eastAsia="仿宋_GB2312"/>
                <w:sz w:val="28"/>
              </w:rPr>
              <w:t>地热资源赋存</w:t>
            </w:r>
            <w:r>
              <w:rPr>
                <w:rFonts w:ascii="仿宋_GB2312" w:hAnsi="仿宋_GB2312" w:cs="仿宋_GB2312" w:eastAsia="仿宋_GB2312"/>
                <w:sz w:val="28"/>
              </w:rPr>
              <w:t>规律</w:t>
            </w:r>
            <w:r>
              <w:rPr>
                <w:rFonts w:ascii="仿宋_GB2312" w:hAnsi="仿宋_GB2312" w:cs="仿宋_GB2312" w:eastAsia="仿宋_GB2312"/>
                <w:sz w:val="28"/>
              </w:rPr>
              <w:t>，</w:t>
            </w:r>
            <w:r>
              <w:rPr>
                <w:rFonts w:ascii="仿宋_GB2312" w:hAnsi="仿宋_GB2312" w:cs="仿宋_GB2312" w:eastAsia="仿宋_GB2312"/>
                <w:sz w:val="28"/>
              </w:rPr>
              <w:t>为项目工作部署提供依据。</w:t>
            </w:r>
          </w:p>
          <w:p>
            <w:pPr>
              <w:pStyle w:val="null3"/>
              <w:ind w:firstLine="544"/>
              <w:jc w:val="both"/>
            </w:pPr>
            <w:r>
              <w:rPr>
                <w:rFonts w:ascii="仿宋_GB2312" w:hAnsi="仿宋_GB2312" w:cs="仿宋_GB2312" w:eastAsia="仿宋_GB2312"/>
                <w:sz w:val="28"/>
              </w:rPr>
              <w:t>（</w:t>
            </w:r>
            <w:r>
              <w:rPr>
                <w:rFonts w:ascii="仿宋_GB2312" w:hAnsi="仿宋_GB2312" w:cs="仿宋_GB2312" w:eastAsia="仿宋_GB2312"/>
                <w:sz w:val="28"/>
              </w:rPr>
              <w:t>2）地形</w:t>
            </w:r>
            <w:r>
              <w:rPr>
                <w:rFonts w:ascii="仿宋_GB2312" w:hAnsi="仿宋_GB2312" w:cs="仿宋_GB2312" w:eastAsia="仿宋_GB2312"/>
                <w:sz w:val="28"/>
              </w:rPr>
              <w:t>测绘</w:t>
            </w:r>
          </w:p>
          <w:p>
            <w:pPr>
              <w:pStyle w:val="null3"/>
              <w:ind w:firstLine="544"/>
              <w:jc w:val="both"/>
            </w:pPr>
            <w:r>
              <w:rPr>
                <w:rFonts w:ascii="仿宋_GB2312" w:hAnsi="仿宋_GB2312" w:cs="仿宋_GB2312" w:eastAsia="仿宋_GB2312"/>
                <w:sz w:val="28"/>
              </w:rPr>
              <w:t>①</w:t>
            </w:r>
            <w:r>
              <w:rPr>
                <w:rFonts w:ascii="仿宋_GB2312" w:hAnsi="仿宋_GB2312" w:cs="仿宋_GB2312" w:eastAsia="仿宋_GB2312"/>
                <w:sz w:val="28"/>
              </w:rPr>
              <w:t>GPS控制点测量</w:t>
            </w:r>
          </w:p>
          <w:p>
            <w:pPr>
              <w:pStyle w:val="null3"/>
              <w:ind w:firstLine="544"/>
              <w:jc w:val="both"/>
            </w:pPr>
            <w:r>
              <w:rPr>
                <w:rFonts w:ascii="仿宋_GB2312" w:hAnsi="仿宋_GB2312" w:cs="仿宋_GB2312" w:eastAsia="仿宋_GB2312"/>
                <w:sz w:val="28"/>
              </w:rPr>
              <w:t>为准确定位工程坐标、物探及地质测量的工作点位，本次工作需在测区建立</w:t>
            </w:r>
            <w:r>
              <w:rPr>
                <w:rFonts w:ascii="仿宋_GB2312" w:hAnsi="仿宋_GB2312" w:cs="仿宋_GB2312" w:eastAsia="仿宋_GB2312"/>
                <w:sz w:val="28"/>
              </w:rPr>
              <w:t>CGCS2000坐标系。</w:t>
            </w:r>
          </w:p>
          <w:p>
            <w:pPr>
              <w:pStyle w:val="null3"/>
              <w:ind w:firstLine="544"/>
              <w:jc w:val="both"/>
            </w:pPr>
            <w:r>
              <w:rPr>
                <w:rFonts w:ascii="仿宋_GB2312" w:hAnsi="仿宋_GB2312" w:cs="仿宋_GB2312" w:eastAsia="仿宋_GB2312"/>
                <w:sz w:val="28"/>
              </w:rPr>
              <w:t>选择区内通视条件较好，不易被破坏的山头建立</w:t>
            </w:r>
            <w:r>
              <w:rPr>
                <w:rFonts w:ascii="仿宋_GB2312" w:hAnsi="仿宋_GB2312" w:cs="仿宋_GB2312" w:eastAsia="仿宋_GB2312"/>
                <w:sz w:val="28"/>
              </w:rPr>
              <w:t>GPS控制点，解算其CGCS2000坐标系。</w:t>
            </w:r>
          </w:p>
          <w:p>
            <w:pPr>
              <w:pStyle w:val="null3"/>
              <w:ind w:firstLine="544"/>
              <w:jc w:val="both"/>
            </w:pPr>
            <w:r>
              <w:rPr>
                <w:rFonts w:ascii="仿宋_GB2312" w:hAnsi="仿宋_GB2312" w:cs="仿宋_GB2312" w:eastAsia="仿宋_GB2312"/>
                <w:sz w:val="28"/>
              </w:rPr>
              <w:t>②</w:t>
            </w:r>
            <w:r>
              <w:rPr>
                <w:rFonts w:ascii="仿宋_GB2312" w:hAnsi="仿宋_GB2312" w:cs="仿宋_GB2312" w:eastAsia="仿宋_GB2312"/>
                <w:sz w:val="28"/>
              </w:rPr>
              <w:t>工程点测量</w:t>
            </w:r>
          </w:p>
          <w:p>
            <w:pPr>
              <w:pStyle w:val="null3"/>
              <w:ind w:firstLine="544"/>
              <w:jc w:val="both"/>
            </w:pPr>
            <w:r>
              <w:rPr>
                <w:rFonts w:ascii="仿宋_GB2312" w:hAnsi="仿宋_GB2312" w:cs="仿宋_GB2312" w:eastAsia="仿宋_GB2312"/>
                <w:sz w:val="28"/>
              </w:rPr>
              <w:t>以建立的</w:t>
            </w:r>
            <w:r>
              <w:rPr>
                <w:rFonts w:ascii="仿宋_GB2312" w:hAnsi="仿宋_GB2312" w:cs="仿宋_GB2312" w:eastAsia="仿宋_GB2312"/>
                <w:sz w:val="28"/>
              </w:rPr>
              <w:t>E级控制点为基础，对区内拟施工的钻井及已有的地热泉水点采用RTK进行定测。</w:t>
            </w:r>
          </w:p>
          <w:p>
            <w:pPr>
              <w:pStyle w:val="null3"/>
              <w:ind w:firstLine="544"/>
              <w:jc w:val="both"/>
            </w:pPr>
            <w:r>
              <w:rPr>
                <w:rFonts w:ascii="仿宋_GB2312" w:hAnsi="仿宋_GB2312" w:cs="仿宋_GB2312" w:eastAsia="仿宋_GB2312"/>
                <w:sz w:val="28"/>
              </w:rPr>
              <w:t>（</w:t>
            </w:r>
            <w:r>
              <w:rPr>
                <w:rFonts w:ascii="仿宋_GB2312" w:hAnsi="仿宋_GB2312" w:cs="仿宋_GB2312" w:eastAsia="仿宋_GB2312"/>
                <w:sz w:val="28"/>
              </w:rPr>
              <w:t>3）地质测量</w:t>
            </w:r>
          </w:p>
          <w:p>
            <w:pPr>
              <w:pStyle w:val="null3"/>
              <w:ind w:firstLine="544"/>
              <w:jc w:val="both"/>
            </w:pPr>
            <w:r>
              <w:rPr>
                <w:rFonts w:ascii="仿宋_GB2312" w:hAnsi="仿宋_GB2312" w:cs="仿宋_GB2312" w:eastAsia="仿宋_GB2312"/>
                <w:sz w:val="28"/>
              </w:rPr>
              <w:t>主要包括地质测量、地质剖面测量。</w:t>
            </w:r>
          </w:p>
          <w:p>
            <w:pPr>
              <w:pStyle w:val="null3"/>
              <w:ind w:firstLine="544"/>
              <w:jc w:val="both"/>
            </w:pPr>
            <w:r>
              <w:rPr>
                <w:rFonts w:ascii="仿宋_GB2312" w:hAnsi="仿宋_GB2312" w:cs="仿宋_GB2312" w:eastAsia="仿宋_GB2312"/>
                <w:sz w:val="28"/>
              </w:rPr>
              <w:t>①地质剖面测量</w:t>
            </w:r>
          </w:p>
          <w:p>
            <w:pPr>
              <w:pStyle w:val="null3"/>
              <w:ind w:firstLine="544"/>
              <w:jc w:val="both"/>
            </w:pPr>
            <w:r>
              <w:rPr>
                <w:rFonts w:ascii="仿宋_GB2312" w:hAnsi="仿宋_GB2312" w:cs="仿宋_GB2312" w:eastAsia="仿宋_GB2312"/>
                <w:sz w:val="28"/>
              </w:rPr>
              <w:t>根据拟设工作区已有区域地质成果，在区内已知地热泉水点附近，大致垂直于构造线方向各布设</w:t>
            </w:r>
            <w:r>
              <w:rPr>
                <w:rFonts w:ascii="仿宋_GB2312" w:hAnsi="仿宋_GB2312" w:cs="仿宋_GB2312" w:eastAsia="仿宋_GB2312"/>
                <w:sz w:val="28"/>
              </w:rPr>
              <w:t>1条地质剖面，开展1:2千实测地质剖面测量工作。该项工作在1:1万地质填图工作前完成，为填图工作划分填图单元、统一技术要求。</w:t>
            </w:r>
          </w:p>
          <w:p>
            <w:pPr>
              <w:pStyle w:val="null3"/>
              <w:ind w:firstLine="544"/>
              <w:jc w:val="both"/>
            </w:pPr>
            <w:r>
              <w:rPr>
                <w:rFonts w:ascii="仿宋_GB2312" w:hAnsi="仿宋_GB2312" w:cs="仿宋_GB2312" w:eastAsia="仿宋_GB2312"/>
                <w:sz w:val="28"/>
              </w:rPr>
              <w:t>②地质测量</w:t>
            </w:r>
          </w:p>
          <w:p>
            <w:pPr>
              <w:pStyle w:val="null3"/>
              <w:ind w:firstLine="544"/>
              <w:jc w:val="both"/>
            </w:pPr>
            <w:r>
              <w:rPr>
                <w:rFonts w:ascii="仿宋_GB2312" w:hAnsi="仿宋_GB2312" w:cs="仿宋_GB2312" w:eastAsia="仿宋_GB2312"/>
                <w:sz w:val="28"/>
              </w:rPr>
              <w:t>对拟设工作区根据已有区域地质成果，</w:t>
            </w:r>
            <w:r>
              <w:rPr>
                <w:rFonts w:ascii="仿宋_GB2312" w:hAnsi="仿宋_GB2312" w:cs="仿宋_GB2312" w:eastAsia="仿宋_GB2312"/>
                <w:sz w:val="28"/>
              </w:rPr>
              <w:t>开展</w:t>
            </w:r>
            <w:r>
              <w:rPr>
                <w:rFonts w:ascii="仿宋_GB2312" w:hAnsi="仿宋_GB2312" w:cs="仿宋_GB2312" w:eastAsia="仿宋_GB2312"/>
                <w:sz w:val="28"/>
              </w:rPr>
              <w:t>1:1万地质测量，基本查明勘查区的地层结构、岩浆岩分布与主要控热构造，各热储的岩性、厚度、分布埋藏条件及其相互关系。</w:t>
            </w:r>
          </w:p>
          <w:p>
            <w:pPr>
              <w:pStyle w:val="null3"/>
              <w:ind w:firstLine="544"/>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水、工、环地质测量</w:t>
            </w:r>
          </w:p>
          <w:p>
            <w:pPr>
              <w:pStyle w:val="null3"/>
              <w:ind w:firstLine="544"/>
              <w:jc w:val="both"/>
            </w:pPr>
            <w:r>
              <w:rPr>
                <w:rFonts w:ascii="仿宋_GB2312" w:hAnsi="仿宋_GB2312" w:cs="仿宋_GB2312" w:eastAsia="仿宋_GB2312"/>
                <w:sz w:val="28"/>
              </w:rPr>
              <w:t>根据已有区域地质成果，在拟设工作区及外围布置</w:t>
            </w:r>
            <w:r>
              <w:rPr>
                <w:rFonts w:ascii="仿宋_GB2312" w:hAnsi="仿宋_GB2312" w:cs="仿宋_GB2312" w:eastAsia="仿宋_GB2312"/>
                <w:sz w:val="28"/>
              </w:rPr>
              <w:t>1:5万水文地质测量工作，范围尽量覆盖一个完整的水文地质单元，主要了解本区水文单元内的水文地质条件及径补排特征。</w:t>
            </w:r>
          </w:p>
          <w:p>
            <w:pPr>
              <w:pStyle w:val="null3"/>
              <w:ind w:firstLine="544"/>
              <w:jc w:val="both"/>
            </w:pPr>
            <w:r>
              <w:rPr>
                <w:rFonts w:ascii="仿宋_GB2312" w:hAnsi="仿宋_GB2312" w:cs="仿宋_GB2312" w:eastAsia="仿宋_GB2312"/>
                <w:sz w:val="28"/>
              </w:rPr>
              <w:t>根据已有区域地质及</w:t>
            </w:r>
            <w:r>
              <w:rPr>
                <w:rFonts w:ascii="仿宋_GB2312" w:hAnsi="仿宋_GB2312" w:cs="仿宋_GB2312" w:eastAsia="仿宋_GB2312"/>
                <w:sz w:val="28"/>
              </w:rPr>
              <w:t>1:5万水文地质测量成果，在拟设工作区及外围进行1:1万水文地质、工程地质、环境地质及地质灾害测量，基本查明区内径补排条件及泉眼泉群的出露和分布特征，为钻探的布施提供依据，进一步基本查明区内开采技术条件。</w:t>
            </w:r>
          </w:p>
          <w:p>
            <w:pPr>
              <w:pStyle w:val="null3"/>
              <w:ind w:firstLine="544"/>
              <w:jc w:val="left"/>
            </w:pPr>
            <w:r>
              <w:rPr>
                <w:rFonts w:ascii="仿宋_GB2312" w:hAnsi="仿宋_GB2312" w:cs="仿宋_GB2312" w:eastAsia="仿宋_GB2312"/>
                <w:sz w:val="28"/>
              </w:rPr>
              <w:t>（</w:t>
            </w:r>
            <w:r>
              <w:rPr>
                <w:rFonts w:ascii="仿宋_GB2312" w:hAnsi="仿宋_GB2312" w:cs="仿宋_GB2312" w:eastAsia="仿宋_GB2312"/>
                <w:sz w:val="28"/>
              </w:rPr>
              <w:t>5）物探工作</w:t>
            </w:r>
          </w:p>
          <w:p>
            <w:pPr>
              <w:pStyle w:val="null3"/>
              <w:ind w:firstLine="544"/>
              <w:jc w:val="left"/>
            </w:pPr>
            <w:r>
              <w:rPr>
                <w:rFonts w:ascii="仿宋_GB2312" w:hAnsi="仿宋_GB2312" w:cs="仿宋_GB2312" w:eastAsia="仿宋_GB2312"/>
                <w:sz w:val="28"/>
              </w:rPr>
              <w:t>①</w:t>
            </w:r>
            <w:r>
              <w:rPr>
                <w:rFonts w:ascii="仿宋_GB2312" w:hAnsi="仿宋_GB2312" w:cs="仿宋_GB2312" w:eastAsia="仿宋_GB2312"/>
                <w:sz w:val="28"/>
              </w:rPr>
              <w:t>氡气、土壤地温联合剖面测量</w:t>
            </w:r>
          </w:p>
          <w:p>
            <w:pPr>
              <w:pStyle w:val="null3"/>
              <w:ind w:firstLine="544"/>
              <w:jc w:val="left"/>
            </w:pPr>
            <w:r>
              <w:rPr>
                <w:rFonts w:ascii="仿宋_GB2312" w:hAnsi="仿宋_GB2312" w:cs="仿宋_GB2312" w:eastAsia="仿宋_GB2312"/>
                <w:sz w:val="28"/>
              </w:rPr>
              <w:t>工作区主要为断层破碎带及其影响带富含地热流体，氡气通过断层带溢出地表，通过对基本垂直于断层的氡气、土壤地温联合剖面测量，能较好地反应地温场及断层带等特征，为部署可控源音频大地电磁剖面剖面提供依据。</w:t>
            </w:r>
          </w:p>
          <w:p>
            <w:pPr>
              <w:pStyle w:val="null3"/>
              <w:ind w:firstLine="544"/>
              <w:jc w:val="left"/>
            </w:pPr>
            <w:r>
              <w:rPr>
                <w:rFonts w:ascii="仿宋_GB2312" w:hAnsi="仿宋_GB2312" w:cs="仿宋_GB2312" w:eastAsia="仿宋_GB2312"/>
                <w:sz w:val="28"/>
              </w:rPr>
              <w:t>②</w:t>
            </w:r>
            <w:r>
              <w:rPr>
                <w:rFonts w:ascii="仿宋_GB2312" w:hAnsi="仿宋_GB2312" w:cs="仿宋_GB2312" w:eastAsia="仿宋_GB2312"/>
                <w:sz w:val="28"/>
              </w:rPr>
              <w:t>可控源音频大地电磁剖面测量</w:t>
            </w:r>
          </w:p>
          <w:p>
            <w:pPr>
              <w:pStyle w:val="null3"/>
              <w:ind w:firstLine="544"/>
              <w:jc w:val="left"/>
            </w:pPr>
            <w:r>
              <w:rPr>
                <w:rFonts w:ascii="仿宋_GB2312" w:hAnsi="仿宋_GB2312" w:cs="仿宋_GB2312" w:eastAsia="仿宋_GB2312"/>
                <w:sz w:val="28"/>
              </w:rPr>
              <w:t>富含地热流体的富水层具有低阻的特征，采用可控源音频大地电磁剖面测量能较好地反应，同时可相对确定断层和隔水层的埋深分布情况，可结合水文地质调查为钻探布置提供依据。</w:t>
            </w:r>
          </w:p>
          <w:p>
            <w:pPr>
              <w:pStyle w:val="null3"/>
              <w:ind w:firstLine="544"/>
              <w:jc w:val="left"/>
            </w:pPr>
            <w:r>
              <w:rPr>
                <w:rFonts w:ascii="仿宋_GB2312" w:hAnsi="仿宋_GB2312" w:cs="仿宋_GB2312" w:eastAsia="仿宋_GB2312"/>
                <w:sz w:val="28"/>
              </w:rPr>
              <w:t>在调查区内根据具体情况布置可控源音频大地电磁剖面测量，可根据野外水文地质测量后再具体调整和布置该项工作。</w:t>
            </w:r>
          </w:p>
          <w:p>
            <w:pPr>
              <w:pStyle w:val="null3"/>
              <w:ind w:firstLine="544"/>
              <w:jc w:val="left"/>
            </w:pPr>
            <w:r>
              <w:rPr>
                <w:rFonts w:ascii="仿宋_GB2312" w:hAnsi="仿宋_GB2312" w:cs="仿宋_GB2312" w:eastAsia="仿宋_GB2312"/>
                <w:sz w:val="28"/>
              </w:rPr>
              <w:t>③</w:t>
            </w:r>
            <w:r>
              <w:rPr>
                <w:rFonts w:ascii="仿宋_GB2312" w:hAnsi="仿宋_GB2312" w:cs="仿宋_GB2312" w:eastAsia="仿宋_GB2312"/>
                <w:sz w:val="28"/>
              </w:rPr>
              <w:t>测井</w:t>
            </w:r>
          </w:p>
          <w:p>
            <w:pPr>
              <w:pStyle w:val="null3"/>
              <w:ind w:firstLine="544"/>
              <w:jc w:val="left"/>
            </w:pPr>
            <w:r>
              <w:rPr>
                <w:rFonts w:ascii="仿宋_GB2312" w:hAnsi="仿宋_GB2312" w:cs="仿宋_GB2312" w:eastAsia="仿宋_GB2312"/>
                <w:sz w:val="28"/>
              </w:rPr>
              <w:t>对施工的地热井开展物理测井工作，开展项目为：视电阻率测井、自然电位测井、自然伽马测井、井温测井、井径测井、测井斜、声波变密度。</w:t>
            </w:r>
          </w:p>
          <w:p>
            <w:pPr>
              <w:pStyle w:val="null3"/>
              <w:ind w:firstLine="544"/>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钻探工程</w:t>
            </w:r>
          </w:p>
          <w:p>
            <w:pPr>
              <w:pStyle w:val="null3"/>
              <w:ind w:firstLine="544"/>
              <w:jc w:val="left"/>
            </w:pPr>
            <w:r>
              <w:rPr>
                <w:rFonts w:ascii="仿宋_GB2312" w:hAnsi="仿宋_GB2312" w:cs="仿宋_GB2312" w:eastAsia="仿宋_GB2312"/>
                <w:sz w:val="28"/>
              </w:rPr>
              <w:t>在水文地质调查、地温测量、断裂调查、物探测量等工作基础和成果上，为了解地热流体深部变化情况，以及估算地热流体储量，需要采用钻探进行深部验证与控制。在以上工作的基础上，开展对钻孔实施位置的充分论证，并逐步对区块实施钻探验证工作，探获地热（热泉水），进行现场分析、测试及采样工作，并获取相关数据和参数，为求获地热资源储量等提供资料。</w:t>
            </w:r>
          </w:p>
          <w:p>
            <w:pPr>
              <w:pStyle w:val="null3"/>
              <w:ind w:firstLine="544"/>
              <w:jc w:val="both"/>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岩矿试验</w:t>
            </w:r>
          </w:p>
          <w:p>
            <w:pPr>
              <w:pStyle w:val="null3"/>
              <w:ind w:firstLine="544"/>
              <w:jc w:val="both"/>
            </w:pPr>
            <w:r>
              <w:rPr>
                <w:rFonts w:ascii="仿宋_GB2312" w:hAnsi="仿宋_GB2312" w:cs="仿宋_GB2312" w:eastAsia="仿宋_GB2312"/>
                <w:sz w:val="28"/>
              </w:rPr>
              <w:t>在地热勘查中，应系统采取水、气、岩土等样品进行分析鉴定，获取热储及地热流体的有关参数。各类样品按下述要求采取：</w:t>
            </w:r>
          </w:p>
          <w:p>
            <w:pPr>
              <w:pStyle w:val="null3"/>
              <w:numPr>
                <w:ilvl w:val="0"/>
                <w:numId w:val="1"/>
              </w:numPr>
              <w:jc w:val="both"/>
            </w:pPr>
            <w:r>
              <w:rPr>
                <w:rFonts w:ascii="仿宋_GB2312" w:hAnsi="仿宋_GB2312" w:cs="仿宋_GB2312" w:eastAsia="仿宋_GB2312"/>
                <w:sz w:val="28"/>
              </w:rPr>
              <w:t>地热流体全分析：</w:t>
            </w:r>
            <w:r>
              <w:rPr>
                <w:rFonts w:ascii="仿宋_GB2312" w:hAnsi="仿宋_GB2312" w:cs="仿宋_GB2312" w:eastAsia="仿宋_GB2312"/>
                <w:sz w:val="28"/>
              </w:rPr>
              <w:t>在</w:t>
            </w:r>
            <w:r>
              <w:rPr>
                <w:rFonts w:ascii="仿宋_GB2312" w:hAnsi="仿宋_GB2312" w:cs="仿宋_GB2312" w:eastAsia="仿宋_GB2312"/>
                <w:sz w:val="28"/>
              </w:rPr>
              <w:t>新施工的水文地质钻孔和代表性泉点均应采取，分别采集</w:t>
            </w:r>
            <w:r>
              <w:rPr>
                <w:rFonts w:ascii="仿宋_GB2312" w:hAnsi="仿宋_GB2312" w:cs="仿宋_GB2312" w:eastAsia="仿宋_GB2312"/>
                <w:sz w:val="28"/>
                <w:color w:val="000000"/>
              </w:rPr>
              <w:t>地热流体、地表水、大气降水，按</w:t>
            </w:r>
            <w:r>
              <w:rPr>
                <w:rFonts w:ascii="仿宋_GB2312" w:hAnsi="仿宋_GB2312" w:cs="仿宋_GB2312" w:eastAsia="仿宋_GB2312"/>
                <w:sz w:val="28"/>
                <w:color w:val="000000"/>
              </w:rPr>
              <w:t>1个完整水文年各采集2次</w:t>
            </w:r>
            <w:r>
              <w:rPr>
                <w:rFonts w:ascii="仿宋_GB2312" w:hAnsi="仿宋_GB2312" w:cs="仿宋_GB2312" w:eastAsia="仿宋_GB2312"/>
                <w:sz w:val="28"/>
                <w:color w:val="000000"/>
              </w:rPr>
              <w:t>。</w:t>
            </w:r>
          </w:p>
          <w:p>
            <w:pPr>
              <w:pStyle w:val="null3"/>
              <w:numPr>
                <w:ilvl w:val="0"/>
                <w:numId w:val="1"/>
              </w:numPr>
              <w:jc w:val="both"/>
            </w:pPr>
            <w:r>
              <w:rPr>
                <w:rFonts w:ascii="仿宋_GB2312" w:hAnsi="仿宋_GB2312" w:cs="仿宋_GB2312" w:eastAsia="仿宋_GB2312"/>
                <w:sz w:val="28"/>
              </w:rPr>
              <w:t>气体分析：在新施工的水文地质钻孔和代表性泉点中采取</w:t>
            </w:r>
            <w:r>
              <w:rPr>
                <w:rFonts w:ascii="仿宋_GB2312" w:hAnsi="仿宋_GB2312" w:cs="仿宋_GB2312" w:eastAsia="仿宋_GB2312"/>
                <w:sz w:val="28"/>
                <w:color w:val="000000"/>
              </w:rPr>
              <w:t>地热流体作分析测试</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rPr>
              <w:t>微量元素、放射性元素</w:t>
            </w:r>
            <w:r>
              <w:rPr>
                <w:rFonts w:ascii="仿宋_GB2312" w:hAnsi="仿宋_GB2312" w:cs="仿宋_GB2312" w:eastAsia="仿宋_GB2312"/>
                <w:sz w:val="28"/>
              </w:rPr>
              <w:t>(U、Ra、Rn) 、毒性成分的分析：在新施工的水文地质钻孔中采集</w:t>
            </w:r>
            <w:r>
              <w:rPr>
                <w:rFonts w:ascii="仿宋_GB2312" w:hAnsi="仿宋_GB2312" w:cs="仿宋_GB2312" w:eastAsia="仿宋_GB2312"/>
                <w:sz w:val="28"/>
                <w:color w:val="000000"/>
              </w:rPr>
              <w:t>地热流体</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rPr>
              <w:t>稳定向位素：在新施工的水文地质钻孔及其附近分别采集</w:t>
            </w:r>
            <w:r>
              <w:rPr>
                <w:rFonts w:ascii="仿宋_GB2312" w:hAnsi="仿宋_GB2312" w:cs="仿宋_GB2312" w:eastAsia="仿宋_GB2312"/>
                <w:sz w:val="28"/>
                <w:color w:val="000000"/>
              </w:rPr>
              <w:t>地热流体、地表水、大气降水</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rPr>
              <w:t>放射性同位素：在新施工的水文地质钻孔及其附近分别采集</w:t>
            </w:r>
            <w:r>
              <w:rPr>
                <w:rFonts w:ascii="仿宋_GB2312" w:hAnsi="仿宋_GB2312" w:cs="仿宋_GB2312" w:eastAsia="仿宋_GB2312"/>
                <w:sz w:val="28"/>
                <w:color w:val="000000"/>
              </w:rPr>
              <w:t>地热流体、地表水、大气降水</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rPr>
              <w:t>岩土分析样：在新施工的水文地质钻孔中分别采集典型热储、盖层岩样及包含水热蚀变的岩土样品。</w:t>
            </w:r>
          </w:p>
          <w:p>
            <w:pPr>
              <w:pStyle w:val="null3"/>
              <w:ind w:firstLine="544"/>
              <w:jc w:val="both"/>
            </w:pPr>
            <w:r>
              <w:rPr>
                <w:rFonts w:ascii="仿宋_GB2312" w:hAnsi="仿宋_GB2312" w:cs="仿宋_GB2312" w:eastAsia="仿宋_GB2312"/>
                <w:sz w:val="28"/>
              </w:rPr>
              <w:t>g、岩矿鉴定与试验样：在新施工的水文地质钻孔中分别采集典型热储、盖层岩样及包含水热蚀变的岩石标本。</w:t>
            </w:r>
          </w:p>
          <w:p>
            <w:pPr>
              <w:pStyle w:val="null3"/>
              <w:ind w:firstLine="544"/>
              <w:jc w:val="both"/>
            </w:pPr>
            <w:r>
              <w:rPr>
                <w:rFonts w:ascii="仿宋_GB2312" w:hAnsi="仿宋_GB2312" w:cs="仿宋_GB2312" w:eastAsia="仿宋_GB2312"/>
                <w:sz w:val="28"/>
              </w:rPr>
              <w:t>（</w:t>
            </w:r>
            <w:r>
              <w:rPr>
                <w:rFonts w:ascii="仿宋_GB2312" w:hAnsi="仿宋_GB2312" w:cs="仿宋_GB2312" w:eastAsia="仿宋_GB2312"/>
                <w:sz w:val="28"/>
              </w:rPr>
              <w:t>八</w:t>
            </w:r>
            <w:r>
              <w:rPr>
                <w:rFonts w:ascii="仿宋_GB2312" w:hAnsi="仿宋_GB2312" w:cs="仿宋_GB2312" w:eastAsia="仿宋_GB2312"/>
                <w:sz w:val="28"/>
              </w:rPr>
              <w:t>）</w:t>
            </w:r>
            <w:r>
              <w:rPr>
                <w:rFonts w:ascii="仿宋_GB2312" w:hAnsi="仿宋_GB2312" w:cs="仿宋_GB2312" w:eastAsia="仿宋_GB2312"/>
                <w:sz w:val="28"/>
              </w:rPr>
              <w:t>产能测试</w:t>
            </w:r>
          </w:p>
          <w:p>
            <w:pPr>
              <w:pStyle w:val="null3"/>
              <w:ind w:firstLine="544"/>
              <w:jc w:val="both"/>
            </w:pPr>
            <w:r>
              <w:rPr>
                <w:rFonts w:ascii="仿宋_GB2312" w:hAnsi="仿宋_GB2312" w:cs="仿宋_GB2312" w:eastAsia="仿宋_GB2312"/>
                <w:sz w:val="28"/>
              </w:rPr>
              <w:t>本次施工的钻孔预计为低温地热井，按照《地热资源地质勘查规范》（</w:t>
            </w:r>
            <w:r>
              <w:rPr>
                <w:rFonts w:ascii="仿宋_GB2312" w:hAnsi="仿宋_GB2312" w:cs="仿宋_GB2312" w:eastAsia="仿宋_GB2312"/>
                <w:sz w:val="28"/>
              </w:rPr>
              <w:t>GBT11615-2010）应作单井降压试验，宜做三次降压的稳定流或非稳定流试验，最大一次降压的延续时间不少于48 h，单位产量小于10m</w:t>
            </w:r>
            <w:r>
              <w:rPr>
                <w:rFonts w:ascii="仿宋_GB2312" w:hAnsi="仿宋_GB2312" w:cs="仿宋_GB2312" w:eastAsia="仿宋_GB2312"/>
                <w:sz w:val="28"/>
              </w:rPr>
              <w:t>3</w:t>
            </w:r>
            <w:r>
              <w:rPr>
                <w:rFonts w:ascii="仿宋_GB2312" w:hAnsi="仿宋_GB2312" w:cs="仿宋_GB2312" w:eastAsia="仿宋_GB2312"/>
                <w:sz w:val="28"/>
              </w:rPr>
              <w:t>/d·m 及流体压力持续下降的，应适当延长试验时间。试验期间从孔口测量水位(压)时，应同时测得孔内地热流体温度，换算准确反映压力的水头。测试资料应满足确定流体运动方程，计算储层渗透系数、有效空隙度或弹性释水系数、压力传导系数，评价单井合理产量的要求。测试项目有水位（压）、流量、温度、渗水，按8h/台班设计。</w:t>
            </w:r>
          </w:p>
          <w:p>
            <w:pPr>
              <w:pStyle w:val="null3"/>
              <w:ind w:firstLine="544"/>
              <w:jc w:val="both"/>
            </w:pPr>
            <w:r>
              <w:rPr>
                <w:rFonts w:ascii="仿宋_GB2312" w:hAnsi="仿宋_GB2312" w:cs="仿宋_GB2312" w:eastAsia="仿宋_GB2312"/>
                <w:sz w:val="28"/>
              </w:rPr>
              <w:t>（</w:t>
            </w:r>
            <w:r>
              <w:rPr>
                <w:rFonts w:ascii="仿宋_GB2312" w:hAnsi="仿宋_GB2312" w:cs="仿宋_GB2312" w:eastAsia="仿宋_GB2312"/>
                <w:sz w:val="28"/>
              </w:rPr>
              <w:t>九</w:t>
            </w:r>
            <w:r>
              <w:rPr>
                <w:rFonts w:ascii="仿宋_GB2312" w:hAnsi="仿宋_GB2312" w:cs="仿宋_GB2312" w:eastAsia="仿宋_GB2312"/>
                <w:sz w:val="28"/>
              </w:rPr>
              <w:t>）动态监测</w:t>
            </w:r>
          </w:p>
          <w:p>
            <w:pPr>
              <w:pStyle w:val="null3"/>
              <w:ind w:firstLine="544"/>
              <w:jc w:val="both"/>
            </w:pPr>
            <w:r>
              <w:rPr>
                <w:rFonts w:ascii="仿宋_GB2312" w:hAnsi="仿宋_GB2312" w:cs="仿宋_GB2312" w:eastAsia="仿宋_GB2312"/>
                <w:sz w:val="28"/>
              </w:rPr>
              <w:t>动态监测应贯穿地热资源勘查全过程，钻孔施工完成后在井口建立动态监测点，一个完整水文年按每月监测</w:t>
            </w:r>
            <w:r>
              <w:rPr>
                <w:rFonts w:ascii="仿宋_GB2312" w:hAnsi="仿宋_GB2312" w:cs="仿宋_GB2312" w:eastAsia="仿宋_GB2312"/>
                <w:sz w:val="28"/>
              </w:rPr>
              <w:t>2次其地热流体压力、温度、流量，一个完整水文年采集2次地热流体、地表水、大气降水作化学成分分析。</w:t>
            </w:r>
          </w:p>
          <w:p>
            <w:pPr>
              <w:pStyle w:val="null3"/>
              <w:ind w:firstLine="544"/>
              <w:jc w:val="both"/>
            </w:pPr>
            <w:r>
              <w:rPr>
                <w:rFonts w:ascii="仿宋_GB2312" w:hAnsi="仿宋_GB2312" w:cs="仿宋_GB2312" w:eastAsia="仿宋_GB2312"/>
                <w:sz w:val="28"/>
              </w:rPr>
              <w:t>（十）</w:t>
            </w:r>
            <w:r>
              <w:rPr>
                <w:rFonts w:ascii="仿宋_GB2312" w:hAnsi="仿宋_GB2312" w:cs="仿宋_GB2312" w:eastAsia="仿宋_GB2312"/>
                <w:sz w:val="28"/>
              </w:rPr>
              <w:t>报告编制</w:t>
            </w:r>
          </w:p>
          <w:p>
            <w:pPr>
              <w:pStyle w:val="null3"/>
              <w:ind w:firstLine="544"/>
              <w:jc w:val="both"/>
            </w:pPr>
            <w:r>
              <w:rPr>
                <w:rFonts w:ascii="仿宋_GB2312" w:hAnsi="仿宋_GB2312" w:cs="仿宋_GB2312" w:eastAsia="仿宋_GB2312"/>
                <w:sz w:val="28"/>
              </w:rPr>
              <w:t>包含实施方案编制及地热资源勘查成果报告编制。</w:t>
            </w:r>
          </w:p>
          <w:p>
            <w:pPr>
              <w:pStyle w:val="null3"/>
              <w:ind w:firstLine="544"/>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624"/>
              <w:jc w:val="both"/>
            </w:pPr>
            <w:r>
              <w:rPr>
                <w:rFonts w:ascii="仿宋_GB2312" w:hAnsi="仿宋_GB2312" w:cs="仿宋_GB2312" w:eastAsia="仿宋_GB2312"/>
                <w:sz w:val="28"/>
              </w:rPr>
              <w:t>（</w:t>
            </w:r>
            <w:r>
              <w:rPr>
                <w:rFonts w:ascii="仿宋_GB2312" w:hAnsi="仿宋_GB2312" w:cs="仿宋_GB2312" w:eastAsia="仿宋_GB2312"/>
                <w:sz w:val="28"/>
              </w:rPr>
              <w:t>1）严格做好各项工作统筹，做好绿色勘查工作，确保按时完成任务</w:t>
            </w:r>
            <w:r>
              <w:rPr>
                <w:rFonts w:ascii="仿宋_GB2312" w:hAnsi="仿宋_GB2312" w:cs="仿宋_GB2312" w:eastAsia="仿宋_GB2312"/>
                <w:sz w:val="28"/>
              </w:rPr>
              <w:t>。</w:t>
            </w:r>
          </w:p>
          <w:p>
            <w:pPr>
              <w:pStyle w:val="null3"/>
              <w:ind w:firstLine="544"/>
              <w:jc w:val="both"/>
            </w:pPr>
            <w:r>
              <w:rPr>
                <w:rFonts w:ascii="仿宋_GB2312" w:hAnsi="仿宋_GB2312" w:cs="仿宋_GB2312" w:eastAsia="仿宋_GB2312"/>
                <w:sz w:val="28"/>
              </w:rPr>
              <w:t>（</w:t>
            </w:r>
            <w:r>
              <w:rPr>
                <w:rFonts w:ascii="仿宋_GB2312" w:hAnsi="仿宋_GB2312" w:cs="仿宋_GB2312" w:eastAsia="仿宋_GB2312"/>
                <w:sz w:val="28"/>
              </w:rPr>
              <w:t>2）严格执行地质工作规程规范，建立和完善内部质量监控制度，确保项目质量</w:t>
            </w:r>
            <w:r>
              <w:rPr>
                <w:rFonts w:ascii="仿宋_GB2312" w:hAnsi="仿宋_GB2312" w:cs="仿宋_GB2312" w:eastAsia="仿宋_GB2312"/>
                <w:sz w:val="28"/>
              </w:rPr>
              <w:t>。</w:t>
            </w:r>
          </w:p>
          <w:p>
            <w:pPr>
              <w:pStyle w:val="null3"/>
              <w:ind w:firstLine="544"/>
              <w:jc w:val="both"/>
            </w:pPr>
            <w:r>
              <w:rPr>
                <w:rFonts w:ascii="仿宋_GB2312" w:hAnsi="仿宋_GB2312" w:cs="仿宋_GB2312" w:eastAsia="仿宋_GB2312"/>
                <w:sz w:val="28"/>
              </w:rPr>
              <w:t>（</w:t>
            </w:r>
            <w:r>
              <w:rPr>
                <w:rFonts w:ascii="仿宋_GB2312" w:hAnsi="仿宋_GB2312" w:cs="仿宋_GB2312" w:eastAsia="仿宋_GB2312"/>
                <w:sz w:val="28"/>
              </w:rPr>
              <w:t>3）严格防范地勘作业安全风险，建立和完善安全生产管理制度，编制地质勘查作业应急预案并做好演练，确保作业人员生命安全。</w:t>
            </w:r>
          </w:p>
          <w:p>
            <w:pPr>
              <w:pStyle w:val="null3"/>
              <w:ind w:firstLine="544"/>
              <w:jc w:val="both"/>
            </w:pPr>
            <w:r>
              <w:rPr>
                <w:rFonts w:ascii="仿宋_GB2312" w:hAnsi="仿宋_GB2312" w:cs="仿宋_GB2312" w:eastAsia="仿宋_GB2312"/>
                <w:sz w:val="28"/>
              </w:rPr>
              <w:t>（</w:t>
            </w:r>
            <w:r>
              <w:rPr>
                <w:rFonts w:ascii="仿宋_GB2312" w:hAnsi="仿宋_GB2312" w:cs="仿宋_GB2312" w:eastAsia="仿宋_GB2312"/>
                <w:sz w:val="28"/>
              </w:rPr>
              <w:t>4）本项目需要供应商对包括</w:t>
            </w:r>
            <w:r>
              <w:rPr>
                <w:rFonts w:ascii="仿宋_GB2312" w:hAnsi="仿宋_GB2312" w:cs="仿宋_GB2312" w:eastAsia="仿宋_GB2312"/>
                <w:sz w:val="28"/>
              </w:rPr>
              <w:t>但不限于</w:t>
            </w:r>
            <w:r>
              <w:rPr>
                <w:rFonts w:ascii="仿宋_GB2312" w:hAnsi="仿宋_GB2312" w:cs="仿宋_GB2312" w:eastAsia="仿宋_GB2312"/>
                <w:sz w:val="28"/>
              </w:rPr>
              <w:t>地质情况分析、</w:t>
            </w:r>
            <w:r>
              <w:rPr>
                <w:rFonts w:ascii="仿宋_GB2312" w:hAnsi="仿宋_GB2312" w:cs="仿宋_GB2312" w:eastAsia="仿宋_GB2312"/>
                <w:sz w:val="28"/>
              </w:rPr>
              <w:t>勘查</w:t>
            </w:r>
            <w:r>
              <w:rPr>
                <w:rFonts w:ascii="仿宋_GB2312" w:hAnsi="仿宋_GB2312" w:cs="仿宋_GB2312" w:eastAsia="仿宋_GB2312"/>
                <w:sz w:val="28"/>
              </w:rPr>
              <w:t>工作部署、工作方法手段和技术要求</w:t>
            </w:r>
            <w:r>
              <w:rPr>
                <w:rFonts w:ascii="仿宋_GB2312" w:hAnsi="仿宋_GB2312" w:cs="仿宋_GB2312" w:eastAsia="仿宋_GB2312"/>
                <w:sz w:val="28"/>
              </w:rPr>
              <w:t>等</w:t>
            </w:r>
            <w:r>
              <w:rPr>
                <w:rFonts w:ascii="仿宋_GB2312" w:hAnsi="仿宋_GB2312" w:cs="仿宋_GB2312" w:eastAsia="仿宋_GB2312"/>
                <w:sz w:val="28"/>
              </w:rPr>
              <w:t>方面进行</w:t>
            </w:r>
            <w:r>
              <w:rPr>
                <w:rFonts w:ascii="仿宋_GB2312" w:hAnsi="仿宋_GB2312" w:cs="仿宋_GB2312" w:eastAsia="仿宋_GB2312"/>
                <w:sz w:val="28"/>
              </w:rPr>
              <w:t>技术</w:t>
            </w:r>
            <w:r>
              <w:rPr>
                <w:rFonts w:ascii="仿宋_GB2312" w:hAnsi="仿宋_GB2312" w:cs="仿宋_GB2312" w:eastAsia="仿宋_GB2312"/>
                <w:sz w:val="28"/>
              </w:rPr>
              <w:t>方案论述；同时本项目要求供应商具备与项目履约相适应的人员配置以及业绩。</w:t>
            </w:r>
          </w:p>
          <w:p>
            <w:pPr>
              <w:pStyle w:val="null3"/>
              <w:ind w:firstLine="624"/>
              <w:jc w:val="both"/>
            </w:pP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行业标准</w:t>
            </w:r>
          </w:p>
        </w:tc>
        <w:tc>
          <w:tcPr>
            <w:tcW w:type="dxa" w:w="5814"/>
          </w:tcPr>
          <w:p>
            <w:pPr>
              <w:pStyle w:val="null3"/>
              <w:jc w:val="left"/>
            </w:pPr>
            <w:r>
              <w:rPr>
                <w:rFonts w:ascii="仿宋_GB2312" w:hAnsi="仿宋_GB2312" w:cs="仿宋_GB2312" w:eastAsia="仿宋_GB2312"/>
                <w:sz w:val="28"/>
                <w:b/>
              </w:rPr>
              <w:t>本项目所有涉及的规程、规范、标准、总则、指南、规定等行业标准，若有最新的版本，或在项目具体施行中有最新的版本出台或发布，以最新的为准。</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工作区拐点坐标及面积</w:t>
            </w:r>
          </w:p>
        </w:tc>
        <w:tc>
          <w:tcPr>
            <w:tcW w:type="dxa" w:w="5814"/>
          </w:tcPr>
          <w:tbl>
            <w:tblPr>
              <w:tblInd w:type="dxa" w:w="300"/>
              <w:tblBorders>
                <w:top w:val="none" w:color="000000" w:sz="4"/>
                <w:left w:val="none" w:color="000000" w:sz="4"/>
                <w:bottom w:val="none" w:color="000000" w:sz="4"/>
                <w:right w:val="none" w:color="000000" w:sz="4"/>
                <w:insideH w:val="none"/>
                <w:insideV w:val="none"/>
              </w:tblBorders>
            </w:tblPr>
            <w:tblGrid>
              <w:gridCol w:w="450"/>
              <w:gridCol w:w="560"/>
              <w:gridCol w:w="879"/>
              <w:gridCol w:w="1957"/>
              <w:gridCol w:w="1737"/>
            </w:tblGrid>
            <w:tr>
              <w:tc>
                <w:tcPr>
                  <w:tcW w:type="dxa" w:w="450"/>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勘查主矿种</w:t>
                  </w:r>
                </w:p>
              </w:tc>
              <w:tc>
                <w:tcPr>
                  <w:tcW w:type="dxa" w:w="560"/>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区块面积（</w:t>
                  </w:r>
                  <w:r>
                    <w:rPr>
                      <w:rFonts w:ascii="仿宋_GB2312" w:hAnsi="仿宋_GB2312" w:cs="仿宋_GB2312" w:eastAsia="仿宋_GB2312"/>
                      <w:sz w:val="21"/>
                    </w:rPr>
                    <w:t>km²）</w:t>
                  </w:r>
                </w:p>
              </w:tc>
              <w:tc>
                <w:tcPr>
                  <w:tcW w:type="dxa" w:w="4573"/>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2000 国家大地坐标系</w:t>
                  </w:r>
                </w:p>
              </w:tc>
            </w:tr>
            <w:tr>
              <w:tc>
                <w:tcPr>
                  <w:tcW w:type="dxa" w:w="450"/>
                  <w:vMerge/>
                  <w:tcBorders>
                    <w:top w:val="single" w:color="000000" w:sz="4"/>
                    <w:left w:val="single" w:color="000000" w:sz="4"/>
                    <w:bottom w:val="none" w:color="000000" w:sz="4"/>
                    <w:right w:val="single" w:color="000000" w:sz="4"/>
                  </w:tcBorders>
                </w:tcPr>
                <w:p/>
              </w:tc>
              <w:tc>
                <w:tcPr>
                  <w:tcW w:type="dxa" w:w="560"/>
                  <w:vMerge/>
                  <w:tcBorders>
                    <w:top w:val="single" w:color="000000" w:sz="4"/>
                    <w:left w:val="single" w:color="000000" w:sz="4"/>
                    <w:bottom w:val="none" w:color="000000" w:sz="4"/>
                    <w:right w:val="single" w:color="000000" w:sz="4"/>
                  </w:tcBorders>
                </w:tcPr>
                <w:p/>
              </w:tc>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拐点编号</w:t>
                  </w:r>
                </w:p>
              </w:tc>
              <w:tc>
                <w:tcPr>
                  <w:tcW w:type="dxa" w:w="19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东经</w:t>
                  </w:r>
                </w:p>
              </w:tc>
              <w:tc>
                <w:tcPr>
                  <w:tcW w:type="dxa" w:w="17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北纬</w:t>
                  </w:r>
                </w:p>
              </w:tc>
            </w:tr>
            <w:tr>
              <w:tc>
                <w:tcPr>
                  <w:tcW w:type="dxa" w:w="45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地热</w:t>
                  </w:r>
                </w:p>
              </w:tc>
              <w:tc>
                <w:tcPr>
                  <w:tcW w:type="dxa" w:w="56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8.84</w:t>
                  </w:r>
                </w:p>
              </w:tc>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19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100°17＇47.274″</w:t>
                  </w:r>
                </w:p>
              </w:tc>
              <w:tc>
                <w:tcPr>
                  <w:tcW w:type="dxa" w:w="1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28°35＇41.655″</w:t>
                  </w:r>
                </w:p>
              </w:tc>
            </w:tr>
            <w:tr>
              <w:tc>
                <w:tcPr>
                  <w:tcW w:type="dxa" w:w="450"/>
                  <w:vMerge/>
                  <w:tcBorders>
                    <w:top w:val="none" w:color="000000" w:sz="4"/>
                    <w:left w:val="single" w:color="000000" w:sz="4"/>
                    <w:bottom w:val="none" w:color="000000" w:sz="4"/>
                    <w:right w:val="single" w:color="000000" w:sz="4"/>
                  </w:tcBorders>
                </w:tcPr>
                <w:p/>
              </w:tc>
              <w:tc>
                <w:tcPr>
                  <w:tcW w:type="dxa" w:w="560"/>
                  <w:vMerge/>
                  <w:tcBorders>
                    <w:top w:val="none" w:color="000000" w:sz="4"/>
                    <w:left w:val="single" w:color="000000" w:sz="4"/>
                    <w:bottom w:val="none" w:color="000000" w:sz="4"/>
                    <w:right w:val="single" w:color="000000" w:sz="4"/>
                  </w:tcBorders>
                </w:tcPr>
                <w:p/>
              </w:tc>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19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100°17＇46.965″</w:t>
                  </w:r>
                </w:p>
              </w:tc>
              <w:tc>
                <w:tcPr>
                  <w:tcW w:type="dxa" w:w="1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28°36＇00.04″</w:t>
                  </w:r>
                </w:p>
              </w:tc>
            </w:tr>
            <w:tr>
              <w:tc>
                <w:tcPr>
                  <w:tcW w:type="dxa" w:w="450"/>
                  <w:vMerge/>
                  <w:tcBorders>
                    <w:top w:val="none" w:color="000000" w:sz="4"/>
                    <w:left w:val="single" w:color="000000" w:sz="4"/>
                    <w:bottom w:val="none" w:color="000000" w:sz="4"/>
                    <w:right w:val="single" w:color="000000" w:sz="4"/>
                  </w:tcBorders>
                </w:tcPr>
                <w:p/>
              </w:tc>
              <w:tc>
                <w:tcPr>
                  <w:tcW w:type="dxa" w:w="560"/>
                  <w:vMerge/>
                  <w:tcBorders>
                    <w:top w:val="none" w:color="000000" w:sz="4"/>
                    <w:left w:val="single" w:color="000000" w:sz="4"/>
                    <w:bottom w:val="none" w:color="000000" w:sz="4"/>
                    <w:right w:val="single" w:color="000000" w:sz="4"/>
                  </w:tcBorders>
                </w:tcPr>
                <w:p/>
              </w:tc>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19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100°19＇36.981″</w:t>
                  </w:r>
                </w:p>
              </w:tc>
              <w:tc>
                <w:tcPr>
                  <w:tcW w:type="dxa" w:w="1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28°35＇59.827″</w:t>
                  </w:r>
                </w:p>
              </w:tc>
            </w:tr>
            <w:tr>
              <w:tc>
                <w:tcPr>
                  <w:tcW w:type="dxa" w:w="450"/>
                  <w:vMerge/>
                  <w:tcBorders>
                    <w:top w:val="none" w:color="000000" w:sz="4"/>
                    <w:left w:val="single" w:color="000000" w:sz="4"/>
                    <w:bottom w:val="none" w:color="000000" w:sz="4"/>
                    <w:right w:val="single" w:color="000000" w:sz="4"/>
                  </w:tcBorders>
                </w:tcPr>
                <w:p/>
              </w:tc>
              <w:tc>
                <w:tcPr>
                  <w:tcW w:type="dxa" w:w="560"/>
                  <w:vMerge/>
                  <w:tcBorders>
                    <w:top w:val="none" w:color="000000" w:sz="4"/>
                    <w:left w:val="single" w:color="000000" w:sz="4"/>
                    <w:bottom w:val="none" w:color="000000" w:sz="4"/>
                    <w:right w:val="single" w:color="000000" w:sz="4"/>
                  </w:tcBorders>
                </w:tcPr>
                <w:p/>
              </w:tc>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19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100°19＇37.405″</w:t>
                  </w:r>
                </w:p>
              </w:tc>
              <w:tc>
                <w:tcPr>
                  <w:tcW w:type="dxa" w:w="1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28°35＇15.873″</w:t>
                  </w:r>
                </w:p>
              </w:tc>
            </w:tr>
            <w:tr>
              <w:tc>
                <w:tcPr>
                  <w:tcW w:type="dxa" w:w="450"/>
                  <w:vMerge/>
                  <w:tcBorders>
                    <w:top w:val="none" w:color="000000" w:sz="4"/>
                    <w:left w:val="single" w:color="000000" w:sz="4"/>
                    <w:bottom w:val="none" w:color="000000" w:sz="4"/>
                    <w:right w:val="single" w:color="000000" w:sz="4"/>
                  </w:tcBorders>
                </w:tcPr>
                <w:p/>
              </w:tc>
              <w:tc>
                <w:tcPr>
                  <w:tcW w:type="dxa" w:w="560"/>
                  <w:vMerge/>
                  <w:tcBorders>
                    <w:top w:val="none" w:color="000000" w:sz="4"/>
                    <w:left w:val="single" w:color="000000" w:sz="4"/>
                    <w:bottom w:val="none" w:color="000000" w:sz="4"/>
                    <w:right w:val="single" w:color="000000" w:sz="4"/>
                  </w:tcBorders>
                </w:tcPr>
                <w:p/>
              </w:tc>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19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100°19＇42.219″</w:t>
                  </w:r>
                </w:p>
              </w:tc>
              <w:tc>
                <w:tcPr>
                  <w:tcW w:type="dxa" w:w="1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28°35＇15.893″</w:t>
                  </w:r>
                </w:p>
              </w:tc>
            </w:tr>
            <w:tr>
              <w:tc>
                <w:tcPr>
                  <w:tcW w:type="dxa" w:w="450"/>
                  <w:vMerge/>
                  <w:tcBorders>
                    <w:top w:val="none" w:color="000000" w:sz="4"/>
                    <w:left w:val="single" w:color="000000" w:sz="4"/>
                    <w:bottom w:val="none" w:color="000000" w:sz="4"/>
                    <w:right w:val="single" w:color="000000" w:sz="4"/>
                  </w:tcBorders>
                </w:tcPr>
                <w:p/>
              </w:tc>
              <w:tc>
                <w:tcPr>
                  <w:tcW w:type="dxa" w:w="560"/>
                  <w:vMerge/>
                  <w:tcBorders>
                    <w:top w:val="none" w:color="000000" w:sz="4"/>
                    <w:left w:val="single" w:color="000000" w:sz="4"/>
                    <w:bottom w:val="none" w:color="000000" w:sz="4"/>
                    <w:right w:val="single" w:color="000000" w:sz="4"/>
                  </w:tcBorders>
                </w:tcPr>
                <w:p/>
              </w:tc>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19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100°19＇42.219″</w:t>
                  </w:r>
                </w:p>
              </w:tc>
              <w:tc>
                <w:tcPr>
                  <w:tcW w:type="dxa" w:w="1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28°35＇05.928″</w:t>
                  </w:r>
                </w:p>
              </w:tc>
            </w:tr>
            <w:tr>
              <w:tc>
                <w:tcPr>
                  <w:tcW w:type="dxa" w:w="450"/>
                  <w:vMerge/>
                  <w:tcBorders>
                    <w:top w:val="none" w:color="000000" w:sz="4"/>
                    <w:left w:val="single" w:color="000000" w:sz="4"/>
                    <w:bottom w:val="none" w:color="000000" w:sz="4"/>
                    <w:right w:val="single" w:color="000000" w:sz="4"/>
                  </w:tcBorders>
                </w:tcPr>
                <w:p/>
              </w:tc>
              <w:tc>
                <w:tcPr>
                  <w:tcW w:type="dxa" w:w="560"/>
                  <w:vMerge/>
                  <w:tcBorders>
                    <w:top w:val="none" w:color="000000" w:sz="4"/>
                    <w:left w:val="single" w:color="000000" w:sz="4"/>
                    <w:bottom w:val="none" w:color="000000" w:sz="4"/>
                    <w:right w:val="single" w:color="000000" w:sz="4"/>
                  </w:tcBorders>
                </w:tcPr>
                <w:p/>
              </w:tc>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19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100°19＇44.903″</w:t>
                  </w:r>
                </w:p>
              </w:tc>
              <w:tc>
                <w:tcPr>
                  <w:tcW w:type="dxa" w:w="1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28°35＇05.86″</w:t>
                  </w:r>
                </w:p>
              </w:tc>
            </w:tr>
            <w:tr>
              <w:tc>
                <w:tcPr>
                  <w:tcW w:type="dxa" w:w="450"/>
                  <w:vMerge/>
                  <w:tcBorders>
                    <w:top w:val="none" w:color="000000" w:sz="4"/>
                    <w:left w:val="single" w:color="000000" w:sz="4"/>
                    <w:bottom w:val="none" w:color="000000" w:sz="4"/>
                    <w:right w:val="single" w:color="000000" w:sz="4"/>
                  </w:tcBorders>
                </w:tcPr>
                <w:p/>
              </w:tc>
              <w:tc>
                <w:tcPr>
                  <w:tcW w:type="dxa" w:w="560"/>
                  <w:vMerge/>
                  <w:tcBorders>
                    <w:top w:val="none" w:color="000000" w:sz="4"/>
                    <w:left w:val="single" w:color="000000" w:sz="4"/>
                    <w:bottom w:val="none" w:color="000000" w:sz="4"/>
                    <w:right w:val="single" w:color="000000" w:sz="4"/>
                  </w:tcBorders>
                </w:tcPr>
                <w:p/>
              </w:tc>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19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100°19＇44.459″</w:t>
                  </w:r>
                </w:p>
              </w:tc>
              <w:tc>
                <w:tcPr>
                  <w:tcW w:type="dxa" w:w="1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28°34＇32.943″</w:t>
                  </w:r>
                </w:p>
              </w:tc>
            </w:tr>
            <w:tr>
              <w:tc>
                <w:tcPr>
                  <w:tcW w:type="dxa" w:w="450"/>
                  <w:vMerge/>
                  <w:tcBorders>
                    <w:top w:val="none" w:color="000000" w:sz="4"/>
                    <w:left w:val="single" w:color="000000" w:sz="4"/>
                    <w:bottom w:val="none" w:color="000000" w:sz="4"/>
                    <w:right w:val="single" w:color="000000" w:sz="4"/>
                  </w:tcBorders>
                </w:tcPr>
                <w:p/>
              </w:tc>
              <w:tc>
                <w:tcPr>
                  <w:tcW w:type="dxa" w:w="560"/>
                  <w:vMerge/>
                  <w:tcBorders>
                    <w:top w:val="none" w:color="000000" w:sz="4"/>
                    <w:left w:val="single" w:color="000000" w:sz="4"/>
                    <w:bottom w:val="none" w:color="000000" w:sz="4"/>
                    <w:right w:val="single" w:color="000000" w:sz="4"/>
                  </w:tcBorders>
                </w:tcPr>
                <w:p/>
              </w:tc>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19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100°19＇36.773″</w:t>
                  </w:r>
                </w:p>
              </w:tc>
              <w:tc>
                <w:tcPr>
                  <w:tcW w:type="dxa" w:w="1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28°34＇32.943″</w:t>
                  </w:r>
                </w:p>
              </w:tc>
            </w:tr>
            <w:tr>
              <w:tc>
                <w:tcPr>
                  <w:tcW w:type="dxa" w:w="450"/>
                  <w:vMerge/>
                  <w:tcBorders>
                    <w:top w:val="none" w:color="000000" w:sz="4"/>
                    <w:left w:val="single" w:color="000000" w:sz="4"/>
                    <w:bottom w:val="none" w:color="000000" w:sz="4"/>
                    <w:right w:val="single" w:color="000000" w:sz="4"/>
                  </w:tcBorders>
                </w:tcPr>
                <w:p/>
              </w:tc>
              <w:tc>
                <w:tcPr>
                  <w:tcW w:type="dxa" w:w="560"/>
                  <w:vMerge/>
                  <w:tcBorders>
                    <w:top w:val="none" w:color="000000" w:sz="4"/>
                    <w:left w:val="single" w:color="000000" w:sz="4"/>
                    <w:bottom w:val="none" w:color="000000" w:sz="4"/>
                    <w:right w:val="single" w:color="000000" w:sz="4"/>
                  </w:tcBorders>
                </w:tcPr>
                <w:p/>
              </w:tc>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19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100°19＇36.773″</w:t>
                  </w:r>
                </w:p>
              </w:tc>
              <w:tc>
                <w:tcPr>
                  <w:tcW w:type="dxa" w:w="1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28°35＇08.791″</w:t>
                  </w:r>
                </w:p>
              </w:tc>
            </w:tr>
            <w:tr>
              <w:tc>
                <w:tcPr>
                  <w:tcW w:type="dxa" w:w="450"/>
                  <w:vMerge/>
                  <w:tcBorders>
                    <w:top w:val="none" w:color="000000" w:sz="4"/>
                    <w:left w:val="single" w:color="000000" w:sz="4"/>
                    <w:bottom w:val="none" w:color="000000" w:sz="4"/>
                    <w:right w:val="single" w:color="000000" w:sz="4"/>
                  </w:tcBorders>
                </w:tcPr>
                <w:p/>
              </w:tc>
              <w:tc>
                <w:tcPr>
                  <w:tcW w:type="dxa" w:w="560"/>
                  <w:vMerge/>
                  <w:tcBorders>
                    <w:top w:val="none" w:color="000000" w:sz="4"/>
                    <w:left w:val="single" w:color="000000" w:sz="4"/>
                    <w:bottom w:val="none" w:color="000000" w:sz="4"/>
                    <w:right w:val="single" w:color="000000" w:sz="4"/>
                  </w:tcBorders>
                </w:tcPr>
                <w:p/>
              </w:tc>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w:t>
                  </w:r>
                </w:p>
              </w:tc>
              <w:tc>
                <w:tcPr>
                  <w:tcW w:type="dxa" w:w="19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100°18＇29.297″</w:t>
                  </w:r>
                </w:p>
              </w:tc>
              <w:tc>
                <w:tcPr>
                  <w:tcW w:type="dxa" w:w="1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28°35＇08.781″</w:t>
                  </w:r>
                </w:p>
              </w:tc>
            </w:tr>
            <w:tr>
              <w:tc>
                <w:tcPr>
                  <w:tcW w:type="dxa" w:w="450"/>
                  <w:vMerge/>
                  <w:tcBorders>
                    <w:top w:val="none" w:color="000000" w:sz="4"/>
                    <w:left w:val="single" w:color="000000" w:sz="4"/>
                    <w:bottom w:val="none" w:color="000000" w:sz="4"/>
                    <w:right w:val="single" w:color="000000" w:sz="4"/>
                  </w:tcBorders>
                </w:tcPr>
                <w:p/>
              </w:tc>
              <w:tc>
                <w:tcPr>
                  <w:tcW w:type="dxa" w:w="560"/>
                  <w:vMerge/>
                  <w:tcBorders>
                    <w:top w:val="none" w:color="000000" w:sz="4"/>
                    <w:left w:val="single" w:color="000000" w:sz="4"/>
                    <w:bottom w:val="none" w:color="000000" w:sz="4"/>
                    <w:right w:val="single" w:color="000000" w:sz="4"/>
                  </w:tcBorders>
                </w:tcPr>
                <w:p/>
              </w:tc>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w:t>
                  </w:r>
                </w:p>
              </w:tc>
              <w:tc>
                <w:tcPr>
                  <w:tcW w:type="dxa" w:w="19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100°18＇29.297″</w:t>
                  </w:r>
                </w:p>
              </w:tc>
              <w:tc>
                <w:tcPr>
                  <w:tcW w:type="dxa" w:w="1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28°34＇50.333″</w:t>
                  </w:r>
                </w:p>
              </w:tc>
            </w:tr>
            <w:tr>
              <w:tc>
                <w:tcPr>
                  <w:tcW w:type="dxa" w:w="450"/>
                  <w:vMerge/>
                  <w:tcBorders>
                    <w:top w:val="none" w:color="000000" w:sz="4"/>
                    <w:left w:val="single" w:color="000000" w:sz="4"/>
                    <w:bottom w:val="none" w:color="000000" w:sz="4"/>
                    <w:right w:val="single" w:color="000000" w:sz="4"/>
                  </w:tcBorders>
                </w:tcPr>
                <w:p/>
              </w:tc>
              <w:tc>
                <w:tcPr>
                  <w:tcW w:type="dxa" w:w="560"/>
                  <w:vMerge/>
                  <w:tcBorders>
                    <w:top w:val="none" w:color="000000" w:sz="4"/>
                    <w:left w:val="single" w:color="000000" w:sz="4"/>
                    <w:bottom w:val="none" w:color="000000" w:sz="4"/>
                    <w:right w:val="single" w:color="000000" w:sz="4"/>
                  </w:tcBorders>
                </w:tcPr>
                <w:p/>
              </w:tc>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w:t>
                  </w:r>
                </w:p>
              </w:tc>
              <w:tc>
                <w:tcPr>
                  <w:tcW w:type="dxa" w:w="19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100°16＇32.344″</w:t>
                  </w:r>
                </w:p>
              </w:tc>
              <w:tc>
                <w:tcPr>
                  <w:tcW w:type="dxa" w:w="1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28°34＇50.324″</w:t>
                  </w:r>
                </w:p>
              </w:tc>
            </w:tr>
            <w:tr>
              <w:tc>
                <w:tcPr>
                  <w:tcW w:type="dxa" w:w="450"/>
                  <w:vMerge/>
                  <w:tcBorders>
                    <w:top w:val="none" w:color="000000" w:sz="4"/>
                    <w:left w:val="single" w:color="000000" w:sz="4"/>
                    <w:bottom w:val="none" w:color="000000" w:sz="4"/>
                    <w:right w:val="single" w:color="000000" w:sz="4"/>
                  </w:tcBorders>
                </w:tcPr>
                <w:p/>
              </w:tc>
              <w:tc>
                <w:tcPr>
                  <w:tcW w:type="dxa" w:w="560"/>
                  <w:vMerge/>
                  <w:tcBorders>
                    <w:top w:val="none" w:color="000000" w:sz="4"/>
                    <w:left w:val="single" w:color="000000" w:sz="4"/>
                    <w:bottom w:val="none" w:color="000000" w:sz="4"/>
                    <w:right w:val="single" w:color="000000" w:sz="4"/>
                  </w:tcBorders>
                </w:tcPr>
                <w:p/>
              </w:tc>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w:t>
                  </w:r>
                </w:p>
              </w:tc>
              <w:tc>
                <w:tcPr>
                  <w:tcW w:type="dxa" w:w="19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100°16＇32.335″</w:t>
                  </w:r>
                </w:p>
              </w:tc>
              <w:tc>
                <w:tcPr>
                  <w:tcW w:type="dxa" w:w="1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28°35＇41.664″</w:t>
                  </w:r>
                </w:p>
              </w:tc>
            </w:tr>
          </w:tbl>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主要实物工作量</w:t>
            </w:r>
          </w:p>
        </w:tc>
        <w:tc>
          <w:tcPr>
            <w:tcW w:type="dxa" w:w="5814"/>
          </w:tcPr>
          <w:tbl>
            <w:tblPr>
              <w:tblInd w:type="dxa" w:w="15"/>
              <w:tblBorders>
                <w:top w:val="none" w:color="000000" w:sz="4"/>
                <w:left w:val="none" w:color="000000" w:sz="4"/>
                <w:bottom w:val="none" w:color="000000" w:sz="4"/>
                <w:right w:val="none" w:color="000000" w:sz="4"/>
                <w:insideH w:val="none"/>
                <w:insideV w:val="none"/>
              </w:tblBorders>
            </w:tblPr>
            <w:tblGrid>
              <w:gridCol w:w="485"/>
              <w:gridCol w:w="2218"/>
              <w:gridCol w:w="1087"/>
              <w:gridCol w:w="771"/>
              <w:gridCol w:w="1013"/>
            </w:tblGrid>
            <w:tr>
              <w:tc>
                <w:tcPr>
                  <w:tcW w:type="dxa" w:w="4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序号</w:t>
                  </w:r>
                </w:p>
              </w:tc>
              <w:tc>
                <w:tcPr>
                  <w:tcW w:type="dxa" w:w="2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工作手段</w:t>
                  </w:r>
                </w:p>
              </w:tc>
              <w:tc>
                <w:tcPr>
                  <w:tcW w:type="dxa" w:w="10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技术条件</w:t>
                  </w:r>
                </w:p>
              </w:tc>
              <w:tc>
                <w:tcPr>
                  <w:tcW w:type="dxa" w:w="7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计量单位</w:t>
                  </w:r>
                </w:p>
              </w:tc>
              <w:tc>
                <w:tcPr>
                  <w:tcW w:type="dxa" w:w="10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设计工作量</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GPS控制测量E级点</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点</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1:1万地质测量</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km²</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8.84</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1:2千地质剖面测量</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km</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1:5万水文地质测量</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km²</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34</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1:1万水、工、环地质测量</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km²</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18.7</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可控源音频大地电磁测深测量</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点距</w:t>
                  </w:r>
                  <w:r>
                    <w:rPr>
                      <w:rFonts w:ascii="仿宋_GB2312" w:hAnsi="仿宋_GB2312" w:cs="仿宋_GB2312" w:eastAsia="仿宋_GB2312"/>
                      <w:sz w:val="21"/>
                    </w:rPr>
                    <w:t>≤50m ，1-8192Hz</w:t>
                  </w: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点</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120</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氡气、土壤地温剖面测量</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点距</w:t>
                  </w:r>
                  <w:r>
                    <w:rPr>
                      <w:rFonts w:ascii="仿宋_GB2312" w:hAnsi="仿宋_GB2312" w:cs="仿宋_GB2312" w:eastAsia="仿宋_GB2312"/>
                      <w:sz w:val="21"/>
                    </w:rPr>
                    <w:t>20m</w:t>
                  </w: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km</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物探测井</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视电阻率、自然电位、自然伽马、井温、井径、井斜</w:t>
                  </w: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600</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地热钻探</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600</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工程点测量</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钻孔及泉水点</w:t>
                  </w: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点</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地热流体化学成分全分析</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样</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地热流体放射性元素分析</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样</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地热流体污染物分析</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样</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地热流体同位素分析</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样</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地热流体气体分析</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样</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地表水化学成分全分析</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样</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17</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地表水同位素分析</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样</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大气降水化学成分全分析</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样</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19</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大气降水同位素分析</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样</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薄片</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制片、鉴定</w:t>
                  </w: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项</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21</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岩石放射性检测</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U 、Th 、K</w:t>
                  </w: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样</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22</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密度试验</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件</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23</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比热试验</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件</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24</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热导率试验</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件</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25</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渗透率试验</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件</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26</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空隙率试验</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件</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27</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泉水井口整理</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口</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动态监测</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水位、流量、水温、气温监测</w:t>
                  </w: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次</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29</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产能测试</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放喷试验</w:t>
                  </w: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次</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设计论证编写</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矿产评价类</w:t>
                  </w: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份</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4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31</w:t>
                  </w:r>
                </w:p>
              </w:tc>
              <w:tc>
                <w:tcPr>
                  <w:tcW w:type="dxa" w:w="2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综合研究及编写报告</w:t>
                  </w:r>
                </w:p>
              </w:tc>
              <w:tc>
                <w:tcPr>
                  <w:tcW w:type="dxa" w:w="10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矿产评价类</w:t>
                  </w:r>
                </w:p>
              </w:tc>
              <w:tc>
                <w:tcPr>
                  <w:tcW w:type="dxa" w:w="7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份</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①验收程序：一次性验收； ②验收方式：成交人提出验收申请后，由采购人自行组织验收，验收时采购人、供应商双方皆应派员参加。 ③验收标准：符合国家、行业标准、四川省地方标准规定的验收标准。严格按照《财政部关于进一步加强政府采购需求和履约验收管理的指导意见》（财库〔2016〕205号）及《政府采购需求管理办法》（财库〔2021〕22号）的要求组织验收。验收应以采购合同、采购文件及其补充文件、国家或行业相关标准为验收的主要依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1、政府采购合同签订生效后，支付预付款，且采购人收到成交供应商同等金额增值税普通发票后，达到付款条件起30日内，支付合同总金额的40.00%</w:t>
            </w:r>
          </w:p>
          <w:p>
            <w:pPr>
              <w:pStyle w:val="null3"/>
              <w:jc w:val="left"/>
            </w:pPr>
            <w:r>
              <w:rPr>
                <w:rFonts w:ascii="仿宋_GB2312" w:hAnsi="仿宋_GB2312" w:cs="仿宋_GB2312" w:eastAsia="仿宋_GB2312"/>
              </w:rPr>
              <w:t>2、项目野外工作完成并通过野外终期质量检查验收后，采购人收到成交供应商同等金额增值税普通发票后，，达到付款条件起30日内，支付合同总金额的40.00%</w:t>
            </w:r>
          </w:p>
          <w:p>
            <w:pPr>
              <w:pStyle w:val="null3"/>
              <w:jc w:val="left"/>
            </w:pPr>
            <w:r>
              <w:rPr>
                <w:rFonts w:ascii="仿宋_GB2312" w:hAnsi="仿宋_GB2312" w:cs="仿宋_GB2312" w:eastAsia="仿宋_GB2312"/>
              </w:rPr>
              <w:t>3、剩余合同款项在成交供应商提交全套成果，并验收合格且采购人收到成交供应商同等金额增值税普通发票后，，达到付款条件起30日内，支付合同总金额的20.00%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1.采购人及供应商双方必须遵守采购合同并执行合同中的各项规定，保证采购合同的正常履行。任何一方违约给对方造成的直接损失均负有赔偿责任，对方均有权视情况要求对方继续履行合同或提出解除合同。 2.如因供应商在履行过程中的疏忽、失职、过错等故意或者过失原因给采购人造成损失或侵害，包括但不限于采购人本身的财产损失、由此而导致的采购人对任何第三方的法律责任等，供应商对此均应承担全部的赔偿责任。 3.如供应商提交的成果达不到相关质量要求或未按采购人时间进度安排完成成果，采购人有权扣除合同支付金额和提出解除合同。 争议解决办法 1.采购人及供应商双方就采购合同所产生的任何争议都应该进行友好协 商，协商解决不成的，任何一方均可向项目所在地仲裁委员会申请仲裁。 2.仲裁费应由败诉方承担。 3.在仲裁期间，除正在进行仲裁的部分外，合同其他部分继续执行。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应根据本项目采购需求编制针本项目的资料收集与分析利用、工作部署、工作方法和技术要求、保障措施、人员配置、履约能力2、报价要求：报价应是最终采购人验收合格后的总价，所报价格应是完成项目编制的所有内容的价格，包括但不限于编制费、人工费、差旅费、培训费、利润、税金、一定范围内的风险费用及采购文件规定的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投标人具备全国地质勘查行业监管服务平台备案</w:t>
            </w:r>
          </w:p>
        </w:tc>
        <w:tc>
          <w:tcPr>
            <w:tcW w:type="dxa" w:w="3322"/>
          </w:tcPr>
          <w:p>
            <w:pPr>
              <w:pStyle w:val="null3"/>
              <w:jc w:val="left"/>
            </w:pPr>
            <w:r>
              <w:rPr>
                <w:rFonts w:ascii="仿宋_GB2312" w:hAnsi="仿宋_GB2312" w:cs="仿宋_GB2312" w:eastAsia="仿宋_GB2312"/>
              </w:rPr>
              <w:t>投标人具备全国地质勘查行业监管服务平台备案</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投标人具备有效期内的金属非金属矿产资源地质勘探安全生产许可证。</w:t>
            </w:r>
          </w:p>
        </w:tc>
        <w:tc>
          <w:tcPr>
            <w:tcW w:type="dxa" w:w="3322"/>
          </w:tcPr>
          <w:p>
            <w:pPr>
              <w:pStyle w:val="null3"/>
              <w:jc w:val="left"/>
            </w:pPr>
            <w:r>
              <w:rPr>
                <w:rFonts w:ascii="仿宋_GB2312" w:hAnsi="仿宋_GB2312" w:cs="仿宋_GB2312" w:eastAsia="仿宋_GB2312"/>
              </w:rPr>
              <w:t>投标人具备有效期内的金属非金属矿产资源地质勘探安全生产许可证。</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供应商认为需要提供其他证明材料.docx,投标（响应）函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招标文件实质性要求</w:t>
            </w:r>
          </w:p>
        </w:tc>
        <w:tc>
          <w:tcPr>
            <w:tcW w:type="dxa" w:w="3322"/>
          </w:tcPr>
          <w:p>
            <w:pPr>
              <w:pStyle w:val="null3"/>
              <w:jc w:val="left"/>
            </w:pPr>
            <w:r>
              <w:rPr>
                <w:rFonts w:ascii="仿宋_GB2312" w:hAnsi="仿宋_GB2312" w:cs="仿宋_GB2312" w:eastAsia="仿宋_GB2312"/>
              </w:rPr>
              <w:t>未完全响应招标文件实质性要求，做无效投标处理</w:t>
            </w:r>
          </w:p>
        </w:tc>
        <w:tc>
          <w:tcPr>
            <w:tcW w:type="dxa" w:w="1661"/>
          </w:tcPr>
          <w:p>
            <w:pPr>
              <w:pStyle w:val="null3"/>
              <w:jc w:val="left"/>
            </w:pPr>
            <w:r>
              <w:rPr>
                <w:rFonts w:ascii="仿宋_GB2312" w:hAnsi="仿宋_GB2312" w:cs="仿宋_GB2312" w:eastAsia="仿宋_GB2312"/>
              </w:rPr>
              <w:t>技术、服务要求应答表.docx,符合-商务要求应答表.docx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资料收集与分析利用</w:t>
            </w:r>
          </w:p>
        </w:tc>
        <w:tc>
          <w:tcPr>
            <w:tcW w:type="dxa" w:w="2575"/>
          </w:tcPr>
          <w:p>
            <w:pPr>
              <w:pStyle w:val="null3"/>
              <w:jc w:val="left"/>
            </w:pPr>
            <w:r>
              <w:rPr>
                <w:rFonts w:ascii="仿宋_GB2312" w:hAnsi="仿宋_GB2312" w:cs="仿宋_GB2312" w:eastAsia="仿宋_GB2312"/>
              </w:rPr>
              <w:t>1.基础资料收集（4分） 收集与地热勘查工作有关的：①区域地质调查；②区域物化探调查；③水文地质及地热调查；④矿产规划等资料。 上述4项内容齐全且无缺陷得4分，每缺少一项内容扣1分，每存在一处缺陷扣0.5分，扣完为止。 2.基础资料分析利用（5分） 完成①已有地质成果资料分析；②类似地热项目勘查成果分析；③样品测试分析结果认识；④地热资源赋存条件分析；⑤预研成果图件编制等预研究工作。 上述5项内容齐全且无缺陷得5分，每缺少一项内容扣1分，每存在一处缺陷扣0.5分，扣完为止。 注：缺陷是指内容与实际情况不符、内容与项目无关、内容表述错误、内容前后表述矛盾、内容与项目不匹配、项目信息错误、内容仅有标题或框架、套用其他方案、存在逻辑漏洞以及不可能实现的夸大情形、内容不完整或缺少关键节点</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工作部署、工作方法和技术要求</w:t>
            </w:r>
          </w:p>
        </w:tc>
        <w:tc>
          <w:tcPr>
            <w:tcW w:type="dxa" w:w="2575"/>
          </w:tcPr>
          <w:p>
            <w:pPr>
              <w:pStyle w:val="null3"/>
              <w:jc w:val="left"/>
            </w:pPr>
            <w:r>
              <w:rPr>
                <w:rFonts w:ascii="仿宋_GB2312" w:hAnsi="仿宋_GB2312" w:cs="仿宋_GB2312" w:eastAsia="仿宋_GB2312"/>
              </w:rPr>
              <w:t>1.技术路线、工作部署等技术内容（15分） 完成①野外踏勘情况；②技术路线；③工作部署；④实物工作量；⑤工作进度安排等工作内容。 上述内容齐全且无缺陷得15分，每缺少一项内容扣3分，每有一处缺陷扣1.5分，扣完为止。 2.工作方法和技术要求（15分） 说明①地形测绘；②地质测量；③物探工作；④钻探工程；⑤样品采集等各项工作方法的选择依据、技术要求和质量标准。上述内容齐全且无缺陷得15分，每缺少一项内容扣3分，每有一处缺陷扣1.5分，扣完为止。 3.绿色勘查工作方案（5分） 完成①环境影响因素及现状；②绿色勘查施工方法；③勘查过程中的环境保护措施；④拟采用的场地修复治理措施；⑤保障措施等内容。上述内容齐全的得5分。每缺失1项内容扣1分，每有一项内容缺陷扣0.5分扣完为止。 注：缺陷是指内容与实际情况不符、内容与项目无关、内容表述错误、内容前后表述矛盾、内容与项目不匹配、项目信息错误、内容仅有标题或框架、套用其他方案、存在逻辑漏洞以及不可能实现的夸大情形、内容不完整或缺少关键节点</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保障措施</w:t>
            </w:r>
          </w:p>
        </w:tc>
        <w:tc>
          <w:tcPr>
            <w:tcW w:type="dxa" w:w="2575"/>
          </w:tcPr>
          <w:p>
            <w:pPr>
              <w:pStyle w:val="null3"/>
              <w:jc w:val="left"/>
            </w:pPr>
            <w:r>
              <w:rPr>
                <w:rFonts w:ascii="仿宋_GB2312" w:hAnsi="仿宋_GB2312" w:cs="仿宋_GB2312" w:eastAsia="仿宋_GB2312"/>
              </w:rPr>
              <w:t>①组织管理制度；②质量管理制度；③安全及环境管理制度；④保密管理制度。 以上内容齐全且符合本项目特点，满足项目需求的得6分。每有一项内容缺失扣1.5分，每有一项存在内容缺陷的扣0.75分，扣完为止。 注：缺陷是指内容与实际情况不符、内容与项目无关、内容表述错误、内容前后表述矛盾、内容与项目不匹配、项目信息错误、内容仅有标题或框架、套用其他方案、存在逻辑漏洞以及不可能实现的夸大情形、内容不完整或缺少关键节点</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1、拟派项目负责人具备地质调查与矿产勘查相关专业高级及以上职称得4分，中级职称得2分；项目负责人主持过地热勘查项目（成果报告编写人排名前两位，含并列排名）的加4分；本项最高得8分。 2、拟派本项目技术负责人具备水文地质、工程地质与环境地质专业高级及以上职称得4分，中级职称得2分，本项最高得4分。 3、拟派本项目现场管理负责人具备国土资源管理相关专业高级及以上职称得4分，中级职称得2分，本项最高得4分。 4、拟派本项目钻探负责人具备钻探相关专业或岩土钻掘工程相关专业高级及以上职称得4分，中级职称得2分，本项最高得4分。 5、拟派本项目安全负责人具备安全类相关专业高级及以上职称得3分，中级职称得1分，本项最高得3分。 6、拟派本项目技术人员团队涵盖地质矿产、水工环、探矿工程、测绘、化探、物探、国土整治等7个相关专业且具有中级及以上职称，人员搭配合理、专业齐全得7分，每缺一个专业人员扣1分，直至本项扣完为止。 注：1.同一个人员多职称不重复记分。 2.（提供职称证证书复印件加盖公章和相关在职证明）复印件并加盖投标人公章；需提供项目负责人类似项目工作经历的成果报告验收意见复印件并加盖投标人电子章。</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投标人自2022年1月1日（含）（以项目任务书或合同签订日期为准）以来完成地热的矿产勘查、调查评价、专项规划及科研类项目，每有1项得5分,最多得10分。 注：1.以上单位业绩的证明均需提供： ①项目任务书或合同复印件并加盖投标人电子章。 ②项目甲方或委托方或立项部门出具的验收合格证明材料复印件并加盖投标人电子章。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详见附件：供应商认为需要提供其他证明材料.docx</w:t>
      </w:r>
    </w:p>
    <w:p>
      <w:pPr>
        <w:pStyle w:val="null3"/>
        <w:ind w:firstLine="960"/>
        <w:jc w:val="left"/>
      </w:pPr>
      <w:r>
        <w:rPr>
          <w:rFonts w:ascii="仿宋_GB2312" w:hAnsi="仿宋_GB2312" w:cs="仿宋_GB2312" w:eastAsia="仿宋_GB2312"/>
        </w:rPr>
        <w:t>详见附件：人员配置表.docx</w:t>
      </w:r>
    </w:p>
    <w:p>
      <w:pPr>
        <w:pStyle w:val="null3"/>
        <w:ind w:firstLine="960"/>
        <w:jc w:val="left"/>
      </w:pPr>
      <w:r>
        <w:rPr>
          <w:rFonts w:ascii="仿宋_GB2312" w:hAnsi="仿宋_GB2312" w:cs="仿宋_GB2312" w:eastAsia="仿宋_GB2312"/>
        </w:rPr>
        <w:t>详见附件：符合-商务要求应答表.docx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详见附件：技术、服务要求应答表.docx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