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版本号：N513330202600004520260506001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德格县致富带头人和农村实用人才交往交流交融活动项目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N5133302026000045</w:t>
      </w:r>
    </w:p>
    <w:p>
      <w:pPr>
        <w:pStyle w:val="null3"/>
        <w:jc w:val="center"/>
        <w:outlineLvl w:val="2"/>
      </w:pPr>
      <w:r>
        <w:rPr>
          <w:rFonts w:ascii="仿宋_GB2312" w:hAnsi="仿宋_GB2312" w:cs="仿宋_GB2312" w:eastAsia="仿宋_GB2312"/>
          <w:sz w:val="28"/>
          <w:b/>
        </w:rPr>
        <w:t>德格县农牧农村和科技局</w:t>
      </w:r>
    </w:p>
    <w:p>
      <w:pPr>
        <w:pStyle w:val="null3"/>
        <w:jc w:val="center"/>
        <w:outlineLvl w:val="2"/>
      </w:pPr>
      <w:r>
        <w:rPr>
          <w:rFonts w:ascii="仿宋_GB2312" w:hAnsi="仿宋_GB2312" w:cs="仿宋_GB2312" w:eastAsia="仿宋_GB2312"/>
          <w:sz w:val="28"/>
          <w:b/>
        </w:rPr>
        <w:t>四川蓉建通招投标咨询有限公司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四川蓉建通招投标咨询有限公司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德格县农牧农村和科技局</w:t>
      </w:r>
      <w:r>
        <w:rPr>
          <w:rFonts w:ascii="仿宋_GB2312" w:hAnsi="仿宋_GB2312" w:cs="仿宋_GB2312" w:eastAsia="仿宋_GB2312"/>
        </w:rPr>
        <w:t xml:space="preserve"> 委托，拟对 </w:t>
      </w:r>
      <w:r>
        <w:rPr>
          <w:rFonts w:ascii="仿宋_GB2312" w:hAnsi="仿宋_GB2312" w:cs="仿宋_GB2312" w:eastAsia="仿宋_GB2312"/>
        </w:rPr>
        <w:t>德格县致富带头人和农村实用人才交往交流交融活动项目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甘孜藏族自治州德格县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N5133302026000045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德格县致富带头人和农村实用人才交往交流交融活动项目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甘孜州德格县锚定“1+4”产业强圈建链发展路径，在清洁能源、现代农业、文旅融合、中藏药业等领域稳步推进，但受地理条件、发展理念、技术水平等因素影响，产业规模化、品牌化、市场化发展仍有提升空间。杭州作为东部发达城市，在乡村振兴、特色产业培育、红色文化传承与产业融合发展等方面积累了丰富经验，培育了大批致富带头人及标杆企业。为拓宽德格县致富带头人视野，学习借鉴杭州先进发展模式，破解本地产业发展瓶颈，传承红色基因、凝聚奋进力量，特组织本次交往交流交融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德格县农牧农村和科技局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德格县茶马下街国资大厦10楼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627250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兰珍老师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0836-8221880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四川蓉建通招投标咨询有限公司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成都高新区吉瑞三路99号（首东置业）B座1503号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028-60116693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委托代理协议及《四川省政府采购营商环境指标提升专项行动工作方案》中“成本+合理利润”原则，定额收取人民币4500.00元（大写：肆仟伍佰元整），由成交供应商在领取成交通知书前一次性支付给四川蓉建通招投标咨询有限公司。</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德格县农牧农村和科技局</w:t>
      </w:r>
      <w:r>
        <w:rPr>
          <w:rFonts w:ascii="仿宋_GB2312" w:hAnsi="仿宋_GB2312" w:cs="仿宋_GB2312" w:eastAsia="仿宋_GB2312"/>
        </w:rPr>
        <w:t xml:space="preserve"> 和 </w:t>
      </w:r>
      <w:r>
        <w:rPr>
          <w:rFonts w:ascii="仿宋_GB2312" w:hAnsi="仿宋_GB2312" w:cs="仿宋_GB2312" w:eastAsia="仿宋_GB2312"/>
        </w:rPr>
        <w:t>四川蓉建通招投标咨询有限公司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德格县农牧农村和科技局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四川蓉建通招投标咨询有限公司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供应商在服务完成后5日内提出验收申请，采购人在接到供应商验收申请后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德格县农牧农村和科技局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四川蓉建通招投标咨询有限公司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四川蓉建通招投标咨询有限公司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联系人：兰珍老师</w:t>
      </w:r>
    </w:p>
    <w:p>
      <w:pPr>
        <w:pStyle w:val="null3"/>
        <w:jc w:val="left"/>
      </w:pPr>
      <w:r>
        <w:rPr>
          <w:rFonts w:ascii="仿宋_GB2312" w:hAnsi="仿宋_GB2312" w:cs="仿宋_GB2312" w:eastAsia="仿宋_GB2312"/>
        </w:rPr>
        <w:t>联系电话：0836-8221880</w:t>
      </w:r>
    </w:p>
    <w:p>
      <w:pPr>
        <w:pStyle w:val="null3"/>
        <w:jc w:val="left"/>
      </w:pPr>
      <w:r>
        <w:rPr>
          <w:rFonts w:ascii="仿宋_GB2312" w:hAnsi="仿宋_GB2312" w:cs="仿宋_GB2312" w:eastAsia="仿宋_GB2312"/>
        </w:rPr>
        <w:t>地址：德格县茶马下街国资大厦10楼</w:t>
      </w:r>
    </w:p>
    <w:p>
      <w:pPr>
        <w:pStyle w:val="null3"/>
        <w:jc w:val="left"/>
      </w:pPr>
      <w:r>
        <w:rPr>
          <w:rFonts w:ascii="仿宋_GB2312" w:hAnsi="仿宋_GB2312" w:cs="仿宋_GB2312" w:eastAsia="仿宋_GB2312"/>
        </w:rPr>
        <w:t>邮编：627250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联系人：杜女士</w:t>
      </w:r>
    </w:p>
    <w:p>
      <w:pPr>
        <w:pStyle w:val="null3"/>
        <w:jc w:val="left"/>
      </w:pPr>
      <w:r>
        <w:rPr>
          <w:rFonts w:ascii="仿宋_GB2312" w:hAnsi="仿宋_GB2312" w:cs="仿宋_GB2312" w:eastAsia="仿宋_GB2312"/>
        </w:rPr>
        <w:t>联系电话：028-60116693</w:t>
      </w:r>
    </w:p>
    <w:p>
      <w:pPr>
        <w:pStyle w:val="null3"/>
        <w:jc w:val="left"/>
      </w:pPr>
      <w:r>
        <w:rPr>
          <w:rFonts w:ascii="仿宋_GB2312" w:hAnsi="仿宋_GB2312" w:cs="仿宋_GB2312" w:eastAsia="仿宋_GB2312"/>
        </w:rPr>
        <w:t>地址：成都高新区吉瑞三路99号（首东置业）B座1503号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德格县致富带头人和农村实用人才交往交流交融活动项目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德格县致富带头人和农村实用人才交往交流交融活动项目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标的名称：德格县致富带头人和农村实用人才交往交流交融活动项目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本项目的服务内容及服务要求</w:t>
            </w:r>
          </w:p>
        </w:tc>
        <w:tc>
          <w:tcPr>
            <w:tcW w:type="dxa" w:w="5814"/>
          </w:tcPr>
          <w:p>
            <w:pPr>
              <w:pStyle w:val="null3"/>
              <w:ind w:firstLine="241"/>
              <w:jc w:val="both"/>
            </w:pPr>
            <w:r>
              <w:rPr>
                <w:rFonts w:ascii="仿宋_GB2312" w:hAnsi="仿宋_GB2312" w:cs="仿宋_GB2312" w:eastAsia="仿宋_GB2312"/>
                <w:sz w:val="24"/>
                <w:b/>
                <w:color w:val="222222"/>
              </w:rPr>
              <w:t>（一）服务内容</w:t>
            </w:r>
          </w:p>
          <w:p>
            <w:pPr>
              <w:pStyle w:val="null3"/>
              <w:ind w:firstLine="480"/>
              <w:jc w:val="both"/>
            </w:pPr>
            <w:r>
              <w:rPr>
                <w:rFonts w:ascii="仿宋_GB2312" w:hAnsi="仿宋_GB2312" w:cs="仿宋_GB2312" w:eastAsia="仿宋_GB2312"/>
                <w:sz w:val="24"/>
                <w:color w:val="222222"/>
              </w:rPr>
              <w:t>1、活动主题：</w:t>
            </w:r>
            <w:r>
              <w:rPr>
                <w:rFonts w:ascii="仿宋_GB2312" w:hAnsi="仿宋_GB2312" w:cs="仿宋_GB2312" w:eastAsia="仿宋_GB2312"/>
                <w:sz w:val="24"/>
              </w:rPr>
              <w:t>德格县致富带头人和农村实用人才交往交流交融活动</w:t>
            </w:r>
            <w:r>
              <w:rPr>
                <w:rFonts w:ascii="仿宋_GB2312" w:hAnsi="仿宋_GB2312" w:cs="仿宋_GB2312" w:eastAsia="仿宋_GB2312"/>
                <w:sz w:val="24"/>
                <w:color w:val="222222"/>
              </w:rPr>
              <w:t>。</w:t>
            </w:r>
          </w:p>
          <w:p>
            <w:pPr>
              <w:pStyle w:val="null3"/>
              <w:ind w:firstLine="480"/>
              <w:jc w:val="left"/>
            </w:pPr>
            <w:r>
              <w:rPr>
                <w:rFonts w:ascii="仿宋_GB2312" w:hAnsi="仿宋_GB2312" w:cs="仿宋_GB2312" w:eastAsia="仿宋_GB2312"/>
                <w:sz w:val="24"/>
              </w:rPr>
              <w:t>2、活动目标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1）学习杭州特色产业（农业、文旅、中药材等）规模化种植、标准化生产、品牌化运营、全产业链发展的先进经验，结合德格县“1+4”产业布局，探索适合本地的产业升级路径。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2）实地观摩杭州红色教育基地，传承红色精神，汲取奋进力量，引导致富带头人坚定理想信念，践行社会责任，带动群众共同富裕。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3）搭建交流平台，促进德格县致富带头人与杭州本地龙头企业、致富标杆、行业专家的沟通对接，学习先进管理经验和技术方法，拓宽合作渠道。</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4）提升德格县致富带头人的市场意识、创新意识和品牌意识，推动本地特色产业（如中藏药业、有机农产品、文旅融合）提质增效，助力乡村振兴。</w:t>
            </w:r>
          </w:p>
          <w:p>
            <w:pPr>
              <w:pStyle w:val="null3"/>
              <w:ind w:firstLine="480"/>
              <w:jc w:val="both"/>
            </w:pPr>
            <w:r>
              <w:rPr>
                <w:rFonts w:ascii="仿宋_GB2312" w:hAnsi="仿宋_GB2312" w:cs="仿宋_GB2312" w:eastAsia="仿宋_GB2312"/>
                <w:sz w:val="24"/>
                <w:color w:val="222222"/>
              </w:rPr>
              <w:t>3、活动时间：交往交流交融活动暂定为202</w:t>
            </w:r>
            <w:r>
              <w:rPr>
                <w:rFonts w:ascii="仿宋_GB2312" w:hAnsi="仿宋_GB2312" w:cs="仿宋_GB2312" w:eastAsia="仿宋_GB2312"/>
                <w:sz w:val="24"/>
                <w:color w:val="222222"/>
              </w:rPr>
              <w:t>6</w:t>
            </w:r>
            <w:r>
              <w:rPr>
                <w:rFonts w:ascii="仿宋_GB2312" w:hAnsi="仿宋_GB2312" w:cs="仿宋_GB2312" w:eastAsia="仿宋_GB2312"/>
                <w:sz w:val="24"/>
                <w:color w:val="222222"/>
              </w:rPr>
              <w:t>年</w:t>
            </w:r>
            <w:r>
              <w:rPr>
                <w:rFonts w:ascii="仿宋_GB2312" w:hAnsi="仿宋_GB2312" w:cs="仿宋_GB2312" w:eastAsia="仿宋_GB2312"/>
                <w:sz w:val="24"/>
                <w:color w:val="222222"/>
              </w:rPr>
              <w:t>8</w:t>
            </w:r>
            <w:r>
              <w:rPr>
                <w:rFonts w:ascii="仿宋_GB2312" w:hAnsi="仿宋_GB2312" w:cs="仿宋_GB2312" w:eastAsia="仿宋_GB2312"/>
                <w:sz w:val="24"/>
                <w:color w:val="222222"/>
              </w:rPr>
              <w:t>月（最终行程以采购人确定的时间为准），往返行程以及开展活动时间</w:t>
            </w:r>
            <w:r>
              <w:rPr>
                <w:rFonts w:ascii="仿宋_GB2312" w:hAnsi="仿宋_GB2312" w:cs="仿宋_GB2312" w:eastAsia="仿宋_GB2312"/>
                <w:sz w:val="24"/>
                <w:color w:val="222222"/>
              </w:rPr>
              <w:t>7</w:t>
            </w:r>
            <w:r>
              <w:rPr>
                <w:rFonts w:ascii="仿宋_GB2312" w:hAnsi="仿宋_GB2312" w:cs="仿宋_GB2312" w:eastAsia="仿宋_GB2312"/>
                <w:sz w:val="24"/>
                <w:color w:val="222222"/>
              </w:rPr>
              <w:t>天。</w:t>
            </w:r>
          </w:p>
          <w:p>
            <w:pPr>
              <w:pStyle w:val="null3"/>
              <w:ind w:firstLine="480"/>
              <w:jc w:val="left"/>
            </w:pPr>
            <w:r>
              <w:rPr>
                <w:rFonts w:ascii="仿宋_GB2312" w:hAnsi="仿宋_GB2312" w:cs="仿宋_GB2312" w:eastAsia="仿宋_GB2312"/>
                <w:sz w:val="24"/>
                <w:color w:val="222222"/>
              </w:rPr>
              <w:t>4、活动对象：30人（德格县致富带头人、基层产业负责人、相关工作人员</w:t>
            </w:r>
            <w:r>
              <w:rPr>
                <w:rFonts w:ascii="仿宋_GB2312" w:hAnsi="仿宋_GB2312" w:cs="仿宋_GB2312" w:eastAsia="仿宋_GB2312"/>
                <w:sz w:val="24"/>
                <w:color w:val="222222"/>
              </w:rPr>
              <w:t>等</w:t>
            </w:r>
            <w:r>
              <w:rPr>
                <w:rFonts w:ascii="仿宋_GB2312" w:hAnsi="仿宋_GB2312" w:cs="仿宋_GB2312" w:eastAsia="仿宋_GB2312"/>
                <w:sz w:val="24"/>
                <w:color w:val="222222"/>
              </w:rPr>
              <w:t>）</w:t>
            </w:r>
            <w:r>
              <w:rPr>
                <w:rFonts w:ascii="仿宋_GB2312" w:hAnsi="仿宋_GB2312" w:cs="仿宋_GB2312" w:eastAsia="仿宋_GB2312"/>
                <w:sz w:val="24"/>
                <w:color w:val="222222"/>
              </w:rPr>
              <w:t>。</w:t>
            </w:r>
          </w:p>
          <w:p>
            <w:pPr>
              <w:pStyle w:val="null3"/>
              <w:ind w:firstLine="480"/>
              <w:jc w:val="both"/>
            </w:pPr>
            <w:r>
              <w:rPr>
                <w:rFonts w:ascii="仿宋_GB2312" w:hAnsi="仿宋_GB2312" w:cs="仿宋_GB2312" w:eastAsia="仿宋_GB2312"/>
                <w:sz w:val="24"/>
                <w:color w:val="222222"/>
              </w:rPr>
              <w:t>5、活动内容</w:t>
            </w:r>
          </w:p>
          <w:p>
            <w:pPr>
              <w:pStyle w:val="null3"/>
              <w:ind w:firstLine="480"/>
              <w:jc w:val="both"/>
            </w:pPr>
            <w:r>
              <w:rPr>
                <w:rFonts w:ascii="仿宋_GB2312" w:hAnsi="仿宋_GB2312" w:cs="仿宋_GB2312" w:eastAsia="仿宋_GB2312"/>
                <w:sz w:val="24"/>
                <w:color w:val="222222"/>
              </w:rPr>
              <w:t>（</w:t>
            </w:r>
            <w:r>
              <w:rPr>
                <w:rFonts w:ascii="仿宋_GB2312" w:hAnsi="仿宋_GB2312" w:cs="仿宋_GB2312" w:eastAsia="仿宋_GB2312"/>
                <w:sz w:val="24"/>
                <w:color w:val="222222"/>
              </w:rPr>
              <w:t>1）</w:t>
            </w:r>
            <w:r>
              <w:rPr>
                <w:rFonts w:ascii="仿宋_GB2312" w:hAnsi="仿宋_GB2312" w:cs="仿宋_GB2312" w:eastAsia="仿宋_GB2312"/>
                <w:sz w:val="24"/>
                <w:color w:val="222222"/>
              </w:rPr>
              <w:t>产业发展考察</w:t>
            </w:r>
          </w:p>
          <w:p>
            <w:pPr>
              <w:pStyle w:val="null3"/>
              <w:ind w:firstLine="480"/>
              <w:jc w:val="left"/>
            </w:pPr>
            <w:r>
              <w:rPr>
                <w:rFonts w:ascii="仿宋_GB2312" w:hAnsi="仿宋_GB2312" w:cs="仿宋_GB2312" w:eastAsia="仿宋_GB2312"/>
                <w:sz w:val="24"/>
                <w:color w:val="222222"/>
              </w:rPr>
              <w:t>聚焦杭州特色产业发展模式，重点考察农业、文旅、中药材等领域的规模化、标准化、品牌化发展路径，结合德格县产业优势，重点学习以下内容：</w:t>
            </w:r>
          </w:p>
          <w:p>
            <w:pPr>
              <w:pStyle w:val="null3"/>
              <w:ind w:firstLine="480"/>
              <w:jc w:val="left"/>
            </w:pPr>
            <w:r>
              <w:rPr>
                <w:rFonts w:ascii="仿宋_GB2312" w:hAnsi="仿宋_GB2312" w:cs="仿宋_GB2312" w:eastAsia="仿宋_GB2312"/>
                <w:sz w:val="24"/>
                <w:color w:val="222222"/>
              </w:rPr>
              <w:t>①</w:t>
            </w:r>
            <w:r>
              <w:rPr>
                <w:rFonts w:ascii="仿宋_GB2312" w:hAnsi="仿宋_GB2312" w:cs="仿宋_GB2312" w:eastAsia="仿宋_GB2312"/>
                <w:sz w:val="24"/>
                <w:color w:val="222222"/>
              </w:rPr>
              <w:t>特色农业产业：有机种植、农产品深加工、品牌打造、电商销售、合作社运营模式，借鉴杭州</w:t>
            </w:r>
            <w:r>
              <w:rPr>
                <w:rFonts w:ascii="仿宋_GB2312" w:hAnsi="仿宋_GB2312" w:cs="仿宋_GB2312" w:eastAsia="仿宋_GB2312"/>
                <w:sz w:val="24"/>
                <w:color w:val="222222"/>
              </w:rPr>
              <w:t>“一亩山万元钱”高质量发展经验，助力德格县有机蔬菜、地理标志产品（德格芫根、德格大黄）提质增效。</w:t>
            </w:r>
          </w:p>
          <w:p>
            <w:pPr>
              <w:pStyle w:val="null3"/>
              <w:ind w:firstLine="480"/>
              <w:jc w:val="left"/>
            </w:pPr>
            <w:r>
              <w:rPr>
                <w:rFonts w:ascii="仿宋_GB2312" w:hAnsi="仿宋_GB2312" w:cs="仿宋_GB2312" w:eastAsia="仿宋_GB2312"/>
                <w:sz w:val="24"/>
                <w:color w:val="222222"/>
              </w:rPr>
              <w:t>②</w:t>
            </w:r>
            <w:r>
              <w:rPr>
                <w:rFonts w:ascii="仿宋_GB2312" w:hAnsi="仿宋_GB2312" w:cs="仿宋_GB2312" w:eastAsia="仿宋_GB2312"/>
                <w:sz w:val="24"/>
                <w:color w:val="222222"/>
              </w:rPr>
              <w:t>文旅融合产业：非遗文化活化利用、乡村旅游开发、文旅</w:t>
            </w:r>
            <w:r>
              <w:rPr>
                <w:rFonts w:ascii="仿宋_GB2312" w:hAnsi="仿宋_GB2312" w:cs="仿宋_GB2312" w:eastAsia="仿宋_GB2312"/>
                <w:sz w:val="24"/>
                <w:color w:val="222222"/>
              </w:rPr>
              <w:t>IP打造、业态创新，参考杭州“茶+”融合、艺术赋能乡村等模式，推动德格县印经院文化、非遗技艺与文旅产业深度融合。</w:t>
            </w:r>
          </w:p>
          <w:p>
            <w:pPr>
              <w:pStyle w:val="null3"/>
              <w:ind w:firstLine="480"/>
              <w:jc w:val="left"/>
            </w:pPr>
            <w:r>
              <w:rPr>
                <w:rFonts w:ascii="仿宋_GB2312" w:hAnsi="仿宋_GB2312" w:cs="仿宋_GB2312" w:eastAsia="仿宋_GB2312"/>
                <w:sz w:val="24"/>
                <w:color w:val="222222"/>
              </w:rPr>
              <w:t>③</w:t>
            </w:r>
            <w:r>
              <w:rPr>
                <w:rFonts w:ascii="仿宋_GB2312" w:hAnsi="仿宋_GB2312" w:cs="仿宋_GB2312" w:eastAsia="仿宋_GB2312"/>
                <w:sz w:val="24"/>
                <w:color w:val="222222"/>
              </w:rPr>
              <w:t>致富带头人培育：杭州本地致富带头人的创业历程、带动群众增收的模式、政策扶持利用经验，为德格县致富带头人提供可借鉴的创业思路。</w:t>
            </w:r>
          </w:p>
          <w:p>
            <w:pPr>
              <w:pStyle w:val="null3"/>
              <w:ind w:firstLine="480"/>
              <w:jc w:val="both"/>
            </w:pPr>
            <w:r>
              <w:rPr>
                <w:rFonts w:ascii="仿宋_GB2312" w:hAnsi="仿宋_GB2312" w:cs="仿宋_GB2312" w:eastAsia="仿宋_GB2312"/>
                <w:sz w:val="24"/>
                <w:color w:val="222222"/>
              </w:rPr>
              <w:t>（</w:t>
            </w:r>
            <w:r>
              <w:rPr>
                <w:rFonts w:ascii="仿宋_GB2312" w:hAnsi="仿宋_GB2312" w:cs="仿宋_GB2312" w:eastAsia="仿宋_GB2312"/>
                <w:sz w:val="24"/>
                <w:color w:val="222222"/>
              </w:rPr>
              <w:t>2）</w:t>
            </w:r>
            <w:r>
              <w:rPr>
                <w:rFonts w:ascii="仿宋_GB2312" w:hAnsi="仿宋_GB2312" w:cs="仿宋_GB2312" w:eastAsia="仿宋_GB2312"/>
                <w:sz w:val="24"/>
                <w:color w:val="222222"/>
              </w:rPr>
              <w:t>红色文化考察</w:t>
            </w:r>
          </w:p>
          <w:p>
            <w:pPr>
              <w:pStyle w:val="null3"/>
              <w:ind w:firstLine="480"/>
              <w:jc w:val="left"/>
            </w:pPr>
            <w:r>
              <w:rPr>
                <w:rFonts w:ascii="仿宋_GB2312" w:hAnsi="仿宋_GB2312" w:cs="仿宋_GB2312" w:eastAsia="仿宋_GB2312"/>
                <w:sz w:val="24"/>
                <w:color w:val="222222"/>
              </w:rPr>
              <w:t>深入杭州红色教育基地，重温革命历史，传承红色基因，引导致富带头人牢记初心使命，强化责任担当，将红色精神融入产业发展和乡村振兴实践，重点考察红色文化传承、红色资源活化利用的模式。</w:t>
            </w:r>
          </w:p>
          <w:p>
            <w:pPr>
              <w:pStyle w:val="null3"/>
              <w:ind w:firstLine="482"/>
              <w:jc w:val="both"/>
            </w:pPr>
            <w:r>
              <w:rPr>
                <w:rFonts w:ascii="仿宋_GB2312" w:hAnsi="仿宋_GB2312" w:cs="仿宋_GB2312" w:eastAsia="仿宋_GB2312"/>
                <w:sz w:val="24"/>
                <w:b/>
                <w:color w:val="222222"/>
              </w:rPr>
              <w:t>（</w:t>
            </w:r>
            <w:r>
              <w:rPr>
                <w:rFonts w:ascii="仿宋_GB2312" w:hAnsi="仿宋_GB2312" w:cs="仿宋_GB2312" w:eastAsia="仿宋_GB2312"/>
                <w:sz w:val="24"/>
                <w:b/>
                <w:color w:val="222222"/>
              </w:rPr>
              <w:t>二</w:t>
            </w:r>
            <w:r>
              <w:rPr>
                <w:rFonts w:ascii="仿宋_GB2312" w:hAnsi="仿宋_GB2312" w:cs="仿宋_GB2312" w:eastAsia="仿宋_GB2312"/>
                <w:sz w:val="24"/>
                <w:b/>
                <w:color w:val="222222"/>
              </w:rPr>
              <w:t>）服务要求</w:t>
            </w:r>
          </w:p>
          <w:p>
            <w:pPr>
              <w:pStyle w:val="null3"/>
              <w:ind w:firstLine="480"/>
              <w:jc w:val="both"/>
            </w:pPr>
            <w:r>
              <w:rPr>
                <w:rFonts w:ascii="仿宋_GB2312" w:hAnsi="仿宋_GB2312" w:cs="仿宋_GB2312" w:eastAsia="仿宋_GB2312"/>
                <w:sz w:val="24"/>
                <w:color w:val="222222"/>
              </w:rPr>
              <w:t>1、交通安排</w:t>
            </w:r>
          </w:p>
          <w:p>
            <w:pPr>
              <w:pStyle w:val="null3"/>
              <w:ind w:firstLine="480"/>
              <w:jc w:val="both"/>
            </w:pPr>
            <w:r>
              <w:rPr>
                <w:rFonts w:ascii="仿宋_GB2312" w:hAnsi="仿宋_GB2312" w:cs="仿宋_GB2312" w:eastAsia="仿宋_GB2312"/>
                <w:sz w:val="24"/>
                <w:color w:val="222222"/>
              </w:rPr>
              <w:t>（</w:t>
            </w:r>
            <w:r>
              <w:rPr>
                <w:rFonts w:ascii="仿宋_GB2312" w:hAnsi="仿宋_GB2312" w:cs="仿宋_GB2312" w:eastAsia="仿宋_GB2312"/>
                <w:sz w:val="24"/>
                <w:color w:val="222222"/>
              </w:rPr>
              <w:t>1）供应商根据采购人确定的出行时间订购往返机票。</w:t>
            </w:r>
          </w:p>
          <w:p>
            <w:pPr>
              <w:pStyle w:val="null3"/>
              <w:ind w:firstLine="480"/>
              <w:jc w:val="both"/>
            </w:pPr>
            <w:r>
              <w:rPr>
                <w:rFonts w:ascii="仿宋_GB2312" w:hAnsi="仿宋_GB2312" w:cs="仿宋_GB2312" w:eastAsia="仿宋_GB2312"/>
                <w:sz w:val="24"/>
                <w:color w:val="222222"/>
              </w:rPr>
              <w:t>（</w:t>
            </w:r>
            <w:r>
              <w:rPr>
                <w:rFonts w:ascii="仿宋_GB2312" w:hAnsi="仿宋_GB2312" w:cs="仿宋_GB2312" w:eastAsia="仿宋_GB2312"/>
                <w:sz w:val="24"/>
                <w:color w:val="222222"/>
              </w:rPr>
              <w:t>2）供应商负责活动出行期间所有交通。</w:t>
            </w:r>
          </w:p>
          <w:p>
            <w:pPr>
              <w:pStyle w:val="null3"/>
              <w:ind w:firstLine="480"/>
              <w:jc w:val="both"/>
            </w:pPr>
            <w:r>
              <w:rPr>
                <w:rFonts w:ascii="仿宋_GB2312" w:hAnsi="仿宋_GB2312" w:cs="仿宋_GB2312" w:eastAsia="仿宋_GB2312"/>
                <w:sz w:val="24"/>
                <w:color w:val="222222"/>
              </w:rPr>
              <w:t>2、住宿安排</w:t>
            </w:r>
          </w:p>
          <w:p>
            <w:pPr>
              <w:pStyle w:val="null3"/>
              <w:ind w:firstLine="480"/>
              <w:jc w:val="both"/>
            </w:pPr>
            <w:r>
              <w:rPr>
                <w:rFonts w:ascii="仿宋_GB2312" w:hAnsi="仿宋_GB2312" w:cs="仿宋_GB2312" w:eastAsia="仿宋_GB2312"/>
                <w:sz w:val="24"/>
                <w:color w:val="222222"/>
              </w:rPr>
              <w:t>（</w:t>
            </w:r>
            <w:r>
              <w:rPr>
                <w:rFonts w:ascii="仿宋_GB2312" w:hAnsi="仿宋_GB2312" w:cs="仿宋_GB2312" w:eastAsia="仿宋_GB2312"/>
                <w:sz w:val="24"/>
                <w:color w:val="222222"/>
              </w:rPr>
              <w:t>1）供应商根据采购人确定的出行时间和到相关交流目的地的行程，安排酒店住宿(标间，含早餐)。</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color w:val="222222"/>
              </w:rPr>
              <w:t xml:space="preserve"> </w:t>
            </w:r>
            <w:r>
              <w:rPr>
                <w:rFonts w:ascii="仿宋_GB2312" w:hAnsi="仿宋_GB2312" w:cs="仿宋_GB2312" w:eastAsia="仿宋_GB2312"/>
                <w:sz w:val="24"/>
                <w:color w:val="222222"/>
              </w:rPr>
              <w:t>（</w:t>
            </w:r>
            <w:r>
              <w:rPr>
                <w:rFonts w:ascii="仿宋_GB2312" w:hAnsi="仿宋_GB2312" w:cs="仿宋_GB2312" w:eastAsia="仿宋_GB2312"/>
                <w:sz w:val="24"/>
                <w:color w:val="222222"/>
              </w:rPr>
              <w:t>2）酒店标准：按照不低于人民币300元/人/天(包括洗漱用品)的价格标准提供入住酒店，若住宿地点与交流地点不在同一区域(步行距离超过15分钟)则需要配备车辆接送服务。</w:t>
            </w:r>
          </w:p>
          <w:p>
            <w:pPr>
              <w:pStyle w:val="null3"/>
              <w:ind w:firstLine="480"/>
              <w:jc w:val="both"/>
            </w:pPr>
            <w:r>
              <w:rPr>
                <w:rFonts w:ascii="仿宋_GB2312" w:hAnsi="仿宋_GB2312" w:cs="仿宋_GB2312" w:eastAsia="仿宋_GB2312"/>
                <w:sz w:val="24"/>
                <w:color w:val="222222"/>
              </w:rPr>
              <w:t>3、用餐安排</w:t>
            </w:r>
          </w:p>
          <w:p>
            <w:pPr>
              <w:pStyle w:val="null3"/>
              <w:ind w:firstLine="480"/>
              <w:jc w:val="both"/>
            </w:pPr>
            <w:r>
              <w:rPr>
                <w:rFonts w:ascii="仿宋_GB2312" w:hAnsi="仿宋_GB2312" w:cs="仿宋_GB2312" w:eastAsia="仿宋_GB2312"/>
                <w:sz w:val="24"/>
                <w:color w:val="222222"/>
              </w:rPr>
              <w:t>按照不低于人民币</w:t>
            </w:r>
            <w:r>
              <w:rPr>
                <w:rFonts w:ascii="仿宋_GB2312" w:hAnsi="仿宋_GB2312" w:cs="仿宋_GB2312" w:eastAsia="仿宋_GB2312"/>
                <w:sz w:val="24"/>
                <w:color w:val="222222"/>
              </w:rPr>
              <w:t>50元/人/餐的标准提供午餐和晚餐两餐（桌餐或自助餐），若有民族忌用需求时，供应商应按其需求提供合用的餐食(餐厅卫生环境、硬件条件、食材、菜品等须经过采购人现场确定批准后方可实施)。</w:t>
            </w:r>
          </w:p>
          <w:p>
            <w:pPr>
              <w:pStyle w:val="null3"/>
              <w:ind w:firstLine="480"/>
              <w:jc w:val="both"/>
            </w:pPr>
            <w:r>
              <w:rPr>
                <w:rFonts w:ascii="仿宋_GB2312" w:hAnsi="仿宋_GB2312" w:cs="仿宋_GB2312" w:eastAsia="仿宋_GB2312"/>
                <w:sz w:val="24"/>
                <w:color w:val="222222"/>
              </w:rPr>
              <w:t>4、</w:t>
            </w:r>
            <w:r>
              <w:rPr>
                <w:rFonts w:ascii="仿宋_GB2312" w:hAnsi="仿宋_GB2312" w:cs="仿宋_GB2312" w:eastAsia="仿宋_GB2312"/>
                <w:sz w:val="24"/>
                <w:color w:val="222222"/>
              </w:rPr>
              <w:t>学习资料：按照精简节约原则为此次交流交往交融的所有人员准备必备学习资料及用品，每天配备出行简报。</w:t>
            </w:r>
          </w:p>
          <w:p>
            <w:pPr>
              <w:pStyle w:val="null3"/>
              <w:ind w:firstLine="480"/>
              <w:jc w:val="both"/>
            </w:pPr>
            <w:r>
              <w:rPr>
                <w:rFonts w:ascii="仿宋_GB2312" w:hAnsi="仿宋_GB2312" w:cs="仿宋_GB2312" w:eastAsia="仿宋_GB2312"/>
                <w:sz w:val="24"/>
                <w:color w:val="222222"/>
              </w:rPr>
              <w:t>5</w:t>
            </w:r>
            <w:r>
              <w:rPr>
                <w:rFonts w:ascii="仿宋_GB2312" w:hAnsi="仿宋_GB2312" w:cs="仿宋_GB2312" w:eastAsia="仿宋_GB2312"/>
                <w:sz w:val="24"/>
                <w:color w:val="222222"/>
              </w:rPr>
              <w:t>、</w:t>
            </w:r>
            <w:r>
              <w:rPr>
                <w:rFonts w:ascii="仿宋_GB2312" w:hAnsi="仿宋_GB2312" w:cs="仿宋_GB2312" w:eastAsia="仿宋_GB2312"/>
                <w:sz w:val="24"/>
                <w:color w:val="222222"/>
              </w:rPr>
              <w:t>保险配套：为每位出行者购买一份出行意外伤害商业保险。</w:t>
            </w:r>
            <w:r>
              <w:rPr>
                <w:rFonts w:ascii="仿宋_GB2312" w:hAnsi="仿宋_GB2312" w:cs="仿宋_GB2312" w:eastAsia="仿宋_GB2312"/>
                <w:sz w:val="24"/>
                <w:b/>
                <w:color w:val="222222"/>
              </w:rPr>
              <w:t>（提供承诺函，</w:t>
            </w:r>
            <w:r>
              <w:rPr>
                <w:rFonts w:ascii="仿宋_GB2312" w:hAnsi="仿宋_GB2312" w:cs="仿宋_GB2312" w:eastAsia="仿宋_GB2312"/>
                <w:sz w:val="24"/>
                <w:b/>
                <w:color w:val="222222"/>
              </w:rPr>
              <w:t>格式</w:t>
            </w:r>
            <w:r>
              <w:rPr>
                <w:rFonts w:ascii="仿宋_GB2312" w:hAnsi="仿宋_GB2312" w:cs="仿宋_GB2312" w:eastAsia="仿宋_GB2312"/>
                <w:sz w:val="24"/>
                <w:b/>
                <w:color w:val="222222"/>
              </w:rPr>
              <w:t>自拟）</w:t>
            </w:r>
          </w:p>
          <w:p>
            <w:pPr>
              <w:pStyle w:val="null3"/>
              <w:ind w:firstLine="482"/>
              <w:jc w:val="both"/>
            </w:pPr>
            <w:r>
              <w:rPr>
                <w:rFonts w:ascii="仿宋_GB2312" w:hAnsi="仿宋_GB2312" w:cs="仿宋_GB2312" w:eastAsia="仿宋_GB2312"/>
                <w:sz w:val="24"/>
                <w:b/>
                <w:color w:val="222222"/>
              </w:rPr>
              <w:t>（</w:t>
            </w:r>
            <w:r>
              <w:rPr>
                <w:rFonts w:ascii="仿宋_GB2312" w:hAnsi="仿宋_GB2312" w:cs="仿宋_GB2312" w:eastAsia="仿宋_GB2312"/>
                <w:sz w:val="24"/>
                <w:b/>
                <w:color w:val="222222"/>
              </w:rPr>
              <w:t>三</w:t>
            </w:r>
            <w:r>
              <w:rPr>
                <w:rFonts w:ascii="仿宋_GB2312" w:hAnsi="仿宋_GB2312" w:cs="仿宋_GB2312" w:eastAsia="仿宋_GB2312"/>
                <w:sz w:val="24"/>
                <w:b/>
                <w:color w:val="222222"/>
              </w:rPr>
              <w:t>）活动的其他要求</w:t>
            </w:r>
          </w:p>
          <w:p>
            <w:pPr>
              <w:pStyle w:val="null3"/>
              <w:ind w:firstLine="480"/>
              <w:jc w:val="both"/>
            </w:pPr>
            <w:r>
              <w:rPr>
                <w:rFonts w:ascii="仿宋_GB2312" w:hAnsi="仿宋_GB2312" w:cs="仿宋_GB2312" w:eastAsia="仿宋_GB2312"/>
                <w:sz w:val="24"/>
                <w:color w:val="222222"/>
              </w:rPr>
              <w:t>1、活动方案经采购人审定后方可实施，并在实际实施中可根据采购人需要进行调整。</w:t>
            </w:r>
          </w:p>
          <w:p>
            <w:pPr>
              <w:pStyle w:val="null3"/>
              <w:ind w:firstLine="480"/>
              <w:jc w:val="both"/>
            </w:pPr>
            <w:r>
              <w:rPr>
                <w:rFonts w:ascii="仿宋_GB2312" w:hAnsi="仿宋_GB2312" w:cs="仿宋_GB2312" w:eastAsia="仿宋_GB2312"/>
                <w:sz w:val="24"/>
                <w:color w:val="222222"/>
              </w:rPr>
              <w:t>2</w:t>
            </w:r>
            <w:r>
              <w:rPr>
                <w:rFonts w:ascii="仿宋_GB2312" w:hAnsi="仿宋_GB2312" w:cs="仿宋_GB2312" w:eastAsia="仿宋_GB2312"/>
                <w:sz w:val="24"/>
                <w:color w:val="222222"/>
              </w:rPr>
              <w:t>、供应商需按照采购人的要求完善各种活动相关材料，并接受各级部门的监督检查。</w:t>
            </w:r>
          </w:p>
          <w:p>
            <w:pPr>
              <w:pStyle w:val="null3"/>
              <w:ind w:firstLine="480"/>
              <w:jc w:val="both"/>
            </w:pPr>
            <w:r>
              <w:rPr>
                <w:rFonts w:ascii="仿宋_GB2312" w:hAnsi="仿宋_GB2312" w:cs="仿宋_GB2312" w:eastAsia="仿宋_GB2312"/>
                <w:sz w:val="24"/>
                <w:color w:val="222222"/>
              </w:rPr>
              <w:t>3</w:t>
            </w:r>
            <w:r>
              <w:rPr>
                <w:rFonts w:ascii="仿宋_GB2312" w:hAnsi="仿宋_GB2312" w:cs="仿宋_GB2312" w:eastAsia="仿宋_GB2312"/>
                <w:sz w:val="24"/>
                <w:color w:val="222222"/>
              </w:rPr>
              <w:t>、供应商应具有专职专人整理资料，活动内容要注重针对性、实用性和规范性，并做好外出交流人员的后续跟踪服务</w:t>
            </w:r>
            <w:r>
              <w:rPr>
                <w:rFonts w:ascii="仿宋_GB2312" w:hAnsi="仿宋_GB2312" w:cs="仿宋_GB2312" w:eastAsia="仿宋_GB2312"/>
                <w:sz w:val="24"/>
                <w:color w:val="222222"/>
              </w:rPr>
              <w:t>,做好交流活动台账和相关音视频资料的保存整理工作。</w:t>
            </w:r>
          </w:p>
          <w:p>
            <w:pPr>
              <w:pStyle w:val="null3"/>
              <w:ind w:firstLine="480"/>
              <w:jc w:val="both"/>
            </w:pPr>
            <w:r>
              <w:rPr>
                <w:rFonts w:ascii="仿宋_GB2312" w:hAnsi="仿宋_GB2312" w:cs="仿宋_GB2312" w:eastAsia="仿宋_GB2312"/>
                <w:sz w:val="24"/>
                <w:color w:val="222222"/>
              </w:rPr>
              <w:t>4</w:t>
            </w:r>
            <w:r>
              <w:rPr>
                <w:rFonts w:ascii="仿宋_GB2312" w:hAnsi="仿宋_GB2312" w:cs="仿宋_GB2312" w:eastAsia="仿宋_GB2312"/>
                <w:sz w:val="24"/>
                <w:color w:val="222222"/>
              </w:rPr>
              <w:t>、严格执行交流人员考勤制外出交流活动期间严格考勤制度，每天实名签到，统一出行。请假人员必须以书面方式报带队人员审批备查，并做好资料存档。</w:t>
            </w:r>
          </w:p>
          <w:p>
            <w:pPr>
              <w:pStyle w:val="null3"/>
              <w:ind w:firstLine="480"/>
              <w:jc w:val="both"/>
            </w:pPr>
            <w:r>
              <w:rPr>
                <w:rFonts w:ascii="仿宋_GB2312" w:hAnsi="仿宋_GB2312" w:cs="仿宋_GB2312" w:eastAsia="仿宋_GB2312"/>
                <w:sz w:val="24"/>
                <w:color w:val="222222"/>
              </w:rPr>
              <w:t>5</w:t>
            </w:r>
            <w:r>
              <w:rPr>
                <w:rFonts w:ascii="仿宋_GB2312" w:hAnsi="仿宋_GB2312" w:cs="仿宋_GB2312" w:eastAsia="仿宋_GB2312"/>
                <w:sz w:val="24"/>
                <w:color w:val="222222"/>
              </w:rPr>
              <w:t>、严格确保人员安全，成交供应商在开展外出交流和组织相关活动期间，必须加强对</w:t>
            </w:r>
            <w:r>
              <w:rPr>
                <w:rFonts w:ascii="仿宋_GB2312" w:hAnsi="仿宋_GB2312" w:cs="仿宋_GB2312" w:eastAsia="仿宋_GB2312"/>
                <w:sz w:val="24"/>
                <w:color w:val="222222"/>
              </w:rPr>
              <w:t>交流</w:t>
            </w:r>
            <w:r>
              <w:rPr>
                <w:rFonts w:ascii="仿宋_GB2312" w:hAnsi="仿宋_GB2312" w:cs="仿宋_GB2312" w:eastAsia="仿宋_GB2312"/>
                <w:sz w:val="24"/>
                <w:color w:val="222222"/>
              </w:rPr>
              <w:t>人员的安全宣传，强化各类安全意识，特别是禁止酗酒、往返途中禁止乘坐非法营运车辆等，并与之签订安全责任书，确保人身安全。</w:t>
            </w:r>
            <w:r>
              <w:rPr>
                <w:rFonts w:ascii="仿宋_GB2312" w:hAnsi="仿宋_GB2312" w:cs="仿宋_GB2312" w:eastAsia="仿宋_GB2312"/>
                <w:sz w:val="24"/>
                <w:b/>
                <w:color w:val="222222"/>
              </w:rPr>
              <w:t>（提供承诺函，格式自拟）</w:t>
            </w:r>
          </w:p>
          <w:p>
            <w:pPr>
              <w:pStyle w:val="null3"/>
              <w:ind w:firstLine="480"/>
              <w:jc w:val="both"/>
            </w:pPr>
            <w:r>
              <w:rPr>
                <w:rFonts w:ascii="仿宋_GB2312" w:hAnsi="仿宋_GB2312" w:cs="仿宋_GB2312" w:eastAsia="仿宋_GB2312"/>
                <w:sz w:val="24"/>
                <w:color w:val="222222"/>
              </w:rPr>
              <w:t>6、</w:t>
            </w:r>
            <w:r>
              <w:rPr>
                <w:rFonts w:ascii="仿宋_GB2312" w:hAnsi="仿宋_GB2312" w:cs="仿宋_GB2312" w:eastAsia="仿宋_GB2312"/>
                <w:sz w:val="24"/>
                <w:color w:val="222222"/>
              </w:rPr>
              <w:t>在交流期间外出的供应商单位工作人员的一切安全事故均由成交供应商负责与采购人无关。</w:t>
            </w:r>
            <w:r>
              <w:rPr>
                <w:rFonts w:ascii="仿宋_GB2312" w:hAnsi="仿宋_GB2312" w:cs="仿宋_GB2312" w:eastAsia="仿宋_GB2312"/>
                <w:sz w:val="24"/>
                <w:b/>
                <w:color w:val="222222"/>
              </w:rPr>
              <w:t>（提供承诺函，格式自拟）</w:t>
            </w:r>
          </w:p>
          <w:p>
            <w:pPr>
              <w:pStyle w:val="null3"/>
              <w:ind w:firstLine="480"/>
              <w:jc w:val="both"/>
            </w:pPr>
            <w:r>
              <w:rPr>
                <w:rFonts w:ascii="仿宋_GB2312" w:hAnsi="仿宋_GB2312" w:cs="仿宋_GB2312" w:eastAsia="仿宋_GB2312"/>
                <w:sz w:val="24"/>
                <w:color w:val="222222"/>
              </w:rPr>
              <w:t>7、医疗保障：提前排查考察人员健康状况，对有基础疾病的人员做好登记和特殊安排</w:t>
            </w:r>
            <w:r>
              <w:rPr>
                <w:rFonts w:ascii="仿宋_GB2312" w:hAnsi="仿宋_GB2312" w:cs="仿宋_GB2312" w:eastAsia="仿宋_GB2312"/>
                <w:sz w:val="24"/>
                <w:color w:val="222222"/>
              </w:rPr>
              <w:t>，</w:t>
            </w:r>
            <w:r>
              <w:rPr>
                <w:rFonts w:ascii="仿宋_GB2312" w:hAnsi="仿宋_GB2312" w:cs="仿宋_GB2312" w:eastAsia="仿宋_GB2312"/>
                <w:sz w:val="24"/>
                <w:color w:val="222222"/>
              </w:rPr>
              <w:t>随行配备应急医疗急救箱、感冒药、肠胃药、晕车药</w:t>
            </w:r>
            <w:r>
              <w:rPr>
                <w:rFonts w:ascii="仿宋_GB2312" w:hAnsi="仿宋_GB2312" w:cs="仿宋_GB2312" w:eastAsia="仿宋_GB2312"/>
                <w:sz w:val="24"/>
                <w:color w:val="222222"/>
              </w:rPr>
              <w:t>、</w:t>
            </w:r>
            <w:r>
              <w:rPr>
                <w:rFonts w:ascii="仿宋_GB2312" w:hAnsi="仿宋_GB2312" w:cs="仿宋_GB2312" w:eastAsia="仿宋_GB2312"/>
                <w:sz w:val="24"/>
                <w:color w:val="222222"/>
              </w:rPr>
              <w:t>防蚊、防虫、防中暑、腹泻等药品（药品需在有效期内），根据交流活动实际情况供应商可自行确定是否安排</w:t>
            </w:r>
            <w:r>
              <w:rPr>
                <w:rFonts w:ascii="仿宋_GB2312" w:hAnsi="仿宋_GB2312" w:cs="仿宋_GB2312" w:eastAsia="仿宋_GB2312"/>
                <w:sz w:val="24"/>
                <w:color w:val="222222"/>
              </w:rPr>
              <w:t>1名医生随队。</w:t>
            </w:r>
          </w:p>
          <w:p>
            <w:pPr>
              <w:pStyle w:val="null3"/>
              <w:ind w:firstLine="480"/>
              <w:jc w:val="both"/>
            </w:pPr>
            <w:r>
              <w:rPr>
                <w:rFonts w:ascii="仿宋_GB2312" w:hAnsi="仿宋_GB2312" w:cs="仿宋_GB2312" w:eastAsia="仿宋_GB2312"/>
                <w:sz w:val="24"/>
                <w:color w:val="222222"/>
              </w:rPr>
              <w:t>8、供应商须为本次交流活动配备不少于</w:t>
            </w:r>
            <w:r>
              <w:rPr>
                <w:rFonts w:ascii="仿宋_GB2312" w:hAnsi="仿宋_GB2312" w:cs="仿宋_GB2312" w:eastAsia="仿宋_GB2312"/>
                <w:sz w:val="24"/>
                <w:color w:val="222222"/>
              </w:rPr>
              <w:t>1</w:t>
            </w:r>
            <w:r>
              <w:rPr>
                <w:rFonts w:ascii="仿宋_GB2312" w:hAnsi="仿宋_GB2312" w:cs="仿宋_GB2312" w:eastAsia="仿宋_GB2312"/>
                <w:sz w:val="24"/>
                <w:color w:val="222222"/>
              </w:rPr>
              <w:t>名专职服务人员和</w:t>
            </w:r>
            <w:r>
              <w:rPr>
                <w:rFonts w:ascii="仿宋_GB2312" w:hAnsi="仿宋_GB2312" w:cs="仿宋_GB2312" w:eastAsia="仿宋_GB2312"/>
                <w:sz w:val="24"/>
                <w:color w:val="222222"/>
              </w:rPr>
              <w:t>1名管理人员。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本项目的其他要求</w:t>
            </w:r>
          </w:p>
        </w:tc>
        <w:tc>
          <w:tcPr>
            <w:tcW w:type="dxa" w:w="5814"/>
          </w:tcPr>
          <w:p>
            <w:pPr>
              <w:pStyle w:val="null3"/>
              <w:ind w:firstLine="480"/>
              <w:jc w:val="both"/>
            </w:pPr>
            <w:r>
              <w:rPr>
                <w:rFonts w:ascii="仿宋_GB2312" w:hAnsi="仿宋_GB2312" w:cs="仿宋_GB2312" w:eastAsia="仿宋_GB2312"/>
                <w:sz w:val="24"/>
              </w:rPr>
              <w:t>（一）成交供应商对本次服务内容应严格履行保密义务，不得未经采购人允许向第三方提供本项目所有的相关资料。</w:t>
            </w:r>
          </w:p>
          <w:p>
            <w:pPr>
              <w:pStyle w:val="null3"/>
              <w:ind w:firstLine="480"/>
              <w:jc w:val="both"/>
            </w:pPr>
            <w:r>
              <w:rPr>
                <w:rFonts w:ascii="仿宋_GB2312" w:hAnsi="仿宋_GB2312" w:cs="仿宋_GB2312" w:eastAsia="仿宋_GB2312"/>
                <w:sz w:val="24"/>
              </w:rPr>
              <w:t>（二）采购人享有著作权，项目成果归采购人所有，供应商不得擅自对外发表、出版；确实因学术交流、职称评定等需要而要做发表的必须征得采购人书面授权许可，若因此带来的相关法律经</w:t>
            </w:r>
            <w:r>
              <w:rPr>
                <w:rFonts w:ascii="仿宋_GB2312" w:hAnsi="仿宋_GB2312" w:cs="仿宋_GB2312" w:eastAsia="仿宋_GB2312"/>
                <w:sz w:val="24"/>
              </w:rPr>
              <w:t>济纠纷与采购人无关，供应商应自行承担全部法律和经济等相关责任。</w:t>
            </w:r>
            <w:r>
              <w:br/>
            </w:r>
            <w:r>
              <w:rPr>
                <w:rFonts w:ascii="仿宋_GB2312" w:hAnsi="仿宋_GB2312" w:cs="仿宋_GB2312" w:eastAsia="仿宋_GB2312"/>
                <w:sz w:val="24"/>
              </w:rPr>
              <w:t xml:space="preserve">    </w:t>
            </w:r>
            <w:r>
              <w:rPr>
                <w:rFonts w:ascii="仿宋_GB2312" w:hAnsi="仿宋_GB2312" w:cs="仿宋_GB2312" w:eastAsia="仿宋_GB2312"/>
                <w:sz w:val="24"/>
              </w:rPr>
              <w:t>（三）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80"/>
              <w:jc w:val="both"/>
            </w:pPr>
            <w:r>
              <w:rPr>
                <w:rFonts w:ascii="仿宋_GB2312" w:hAnsi="仿宋_GB2312" w:cs="仿宋_GB2312" w:eastAsia="仿宋_GB2312"/>
                <w:sz w:val="24"/>
              </w:rPr>
              <w:t>（四）本项目的投标报价包括但不限于人员工资、保险费、交通费（包含往返机票）、住宿、餐饮、资料费、活动费、税费、管理费、利润、各种风险等在内的一切费用；供应商需自行考虑所有不确定因素，如出现因投标报价估算错误等引起的损失由供应商自行承担，采购人不承担任何费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本项目的履约方案及能力</w:t>
            </w:r>
          </w:p>
        </w:tc>
        <w:tc>
          <w:tcPr>
            <w:tcW w:type="dxa" w:w="5814"/>
          </w:tcPr>
          <w:p>
            <w:pPr>
              <w:pStyle w:val="null3"/>
              <w:ind w:firstLine="480"/>
              <w:jc w:val="both"/>
            </w:pPr>
            <w:r>
              <w:rPr>
                <w:rFonts w:ascii="仿宋_GB2312" w:hAnsi="仿宋_GB2312" w:cs="仿宋_GB2312" w:eastAsia="仿宋_GB2312"/>
                <w:sz w:val="24"/>
              </w:rPr>
              <w:t>（一）服务方案，包含：</w:t>
            </w:r>
            <w:r>
              <w:rPr>
                <w:rFonts w:ascii="仿宋_GB2312" w:hAnsi="仿宋_GB2312" w:cs="仿宋_GB2312" w:eastAsia="仿宋_GB2312"/>
                <w:sz w:val="24"/>
              </w:rPr>
              <w:t>①项目重、难点分析及对应解决措施；②服务流程；③整体策划方案；④交通保障方案；⑤住宿保障方案；⑥餐饮保障方案；⑦人员配备及分工；⑧人员考勤管理措施。</w:t>
            </w:r>
          </w:p>
          <w:p>
            <w:pPr>
              <w:pStyle w:val="null3"/>
              <w:ind w:firstLine="480"/>
              <w:jc w:val="both"/>
            </w:pPr>
            <w:r>
              <w:rPr>
                <w:rFonts w:ascii="仿宋_GB2312" w:hAnsi="仿宋_GB2312" w:cs="仿宋_GB2312" w:eastAsia="仿宋_GB2312"/>
                <w:sz w:val="24"/>
              </w:rPr>
              <w:t>（二）安全保障方案，包含：</w:t>
            </w:r>
            <w:r>
              <w:rPr>
                <w:rFonts w:ascii="仿宋_GB2312" w:hAnsi="仿宋_GB2312" w:cs="仿宋_GB2312" w:eastAsia="仿宋_GB2312"/>
                <w:sz w:val="24"/>
              </w:rPr>
              <w:t>①人员安全保障措施；②紧急医疗救援实施方案；③应急组织体系保障措施；④应急突发事件预防措施及处理方案。</w:t>
            </w:r>
          </w:p>
          <w:p>
            <w:pPr>
              <w:pStyle w:val="null3"/>
              <w:ind w:firstLine="480"/>
              <w:jc w:val="both"/>
            </w:pPr>
            <w:r>
              <w:rPr>
                <w:rFonts w:ascii="仿宋_GB2312" w:hAnsi="仿宋_GB2312" w:cs="仿宋_GB2312" w:eastAsia="仿宋_GB2312"/>
                <w:sz w:val="24"/>
              </w:rPr>
              <w:t>（三）履约能力：供应商具有的类似项目履约经验。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合同签订后150日历天，自签订合同之日起至合同约定的工作内容全部完成为止。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德格县、杭州市（采购人指定地点）。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1、验收主体：履约验收由采购人自行验收，验收方案采购人可根据实际情况自行编写或参照采购合同执行。 2、验收时间、方式及程序：供应商在服务完成后5日内提出验收申请，采购人在接到供应商验收申请后10日内自行组织验收。 3、验收内容：按照本项目采购文件、成交供应商的响应文件及承诺、采购合同约定中的技术要求及商务要求相关内容进行验收。 4、验收标准：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1、合同签订完成后，成交供应商须向采购人出具合法有效完整的完税发票及凭证资料，达到付款条件起10日内，支付合同总金额的40.00%</w:t>
            </w:r>
          </w:p>
          <w:p>
            <w:pPr>
              <w:pStyle w:val="null3"/>
              <w:jc w:val="left"/>
            </w:pPr>
            <w:r>
              <w:rPr>
                <w:rFonts w:ascii="仿宋_GB2312" w:hAnsi="仿宋_GB2312" w:cs="仿宋_GB2312" w:eastAsia="仿宋_GB2312"/>
              </w:rPr>
              <w:t>2、完成项目所有服务内容并验收合格后，成交供应商须向采购人出具合法有效完整的完税发票及凭证资料，达到付款条件起7日内，支付合同总金额的60.00%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1、甲乙双方必须遵守本合同并执行合同中的各项规定，保证本合同的正常履行。 2、因国家政策调整、公共利益需要导致甲方无法履行合同义务的，甲方可书面通知乙方解除或变更合同，双方协商解决后续事宜。 3、如因乙方工作人员在履行职务过程中的疏忽、失职、过错等故意或者过失原因给甲方造成损失或侵害，但不限于甲方本身的财产损失、由此而导致的甲方对任何第三方的法律责任等，乙方对此均应承担全部的赔偿责任。 解决争议的方法： 1、在执行本合同中发生的或与本合同有关的争端，双方应通过友好协商解决，经协商不能达成协议时，可依法向甲方所在地的人民法院提起诉讼。 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所引用的规范/标准/文件，如有最新版本，依照其最新规定执行。2.本章带“★”号条款为实质性要求，有具体要求的须按文件要求提供证明材料，无要求的响应即可，格式自拟。3.格式“报价表”中的“服务范围”可填写满足本项目的服务范围或据实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shd w:fill="FFFFFF" w:val="clear"/>
        </w:rPr>
        <w:t>第三章</w:t>
      </w:r>
      <w:r>
        <w:rPr>
          <w:rFonts w:ascii="仿宋_GB2312" w:hAnsi="仿宋_GB2312" w:cs="仿宋_GB2312" w:eastAsia="仿宋_GB2312"/>
          <w:sz w:val="24"/>
          <w:shd w:fill="FFFFFF" w:val="clear"/>
        </w:rPr>
        <w:t>“技术、服务及其他要求”3.2.技术要求、3.3.1服务内容要求”中的实质性要求的内容。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shd w:fill="FFFFFF" w:val="clear"/>
        </w:rPr>
        <w:t>第七章</w:t>
      </w:r>
      <w:r>
        <w:rPr>
          <w:rFonts w:ascii="仿宋_GB2312" w:hAnsi="仿宋_GB2312" w:cs="仿宋_GB2312" w:eastAsia="仿宋_GB2312"/>
          <w:sz w:val="24"/>
          <w:shd w:fill="FFFFFF" w:val="clear"/>
        </w:rPr>
        <w:t>“拟签订采购合同文本”中属于3.3.2.商务要求的实质性要求的内容。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 ⑤非独立法人分支机构参加须提供具有独立法人资格的总公司出具的授权书，并提供“统一社会信用代码营业执照”；未换证的提供“营业执照、税务登记证、组织机构代码证”。以上均提供电子版本文件。</w:t>
            </w:r>
          </w:p>
        </w:tc>
        <w:tc>
          <w:tcPr>
            <w:tcW w:type="dxa" w:w="1661"/>
          </w:tcPr>
          <w:p>
            <w:pPr>
              <w:pStyle w:val="null3"/>
              <w:jc w:val="left"/>
            </w:pPr>
            <w:r>
              <w:rPr>
                <w:rFonts w:ascii="仿宋_GB2312" w:hAnsi="仿宋_GB2312" w:cs="仿宋_GB2312" w:eastAsia="仿宋_GB2312"/>
              </w:rPr>
              <w:t>响应文件封面,供应商应提供的其他资格证明材料.docx,投标（响应）函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供应商应提供的其他资格证明材料.docx,投标（响应）函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项目专门面向中小企业采购，参与的供应商服务全部由符合政策要求的中小企业承接（监狱企业和残疾人福利性单位视同小微企业，符合中小企业划分标准的个体工商户视同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技术要求、服务要求应答</w:t>
            </w:r>
          </w:p>
        </w:tc>
        <w:tc>
          <w:tcPr>
            <w:tcW w:type="dxa" w:w="3322"/>
          </w:tcPr>
          <w:p>
            <w:pPr>
              <w:pStyle w:val="null3"/>
              <w:jc w:val="left"/>
            </w:pPr>
            <w:r>
              <w:rPr>
                <w:rFonts w:ascii="仿宋_GB2312" w:hAnsi="仿宋_GB2312" w:cs="仿宋_GB2312" w:eastAsia="仿宋_GB2312"/>
              </w:rPr>
              <w:t>完全满足采购文件第三章“3.2.技术要求”、“3.3.服务要求”中带“★”的实质性要求。</w:t>
            </w:r>
          </w:p>
        </w:tc>
        <w:tc>
          <w:tcPr>
            <w:tcW w:type="dxa" w:w="1661"/>
          </w:tcPr>
          <w:p>
            <w:pPr>
              <w:pStyle w:val="null3"/>
              <w:jc w:val="left"/>
            </w:pPr>
            <w:r>
              <w:rPr>
                <w:rFonts w:ascii="仿宋_GB2312" w:hAnsi="仿宋_GB2312" w:cs="仿宋_GB2312" w:eastAsia="仿宋_GB2312"/>
              </w:rPr>
              <w:t>供应商应提供的其他证明材料.docx,服务应答表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332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1661"/>
          </w:tcPr>
          <w:p>
            <w:pPr>
              <w:pStyle w:val="null3"/>
              <w:jc w:val="left"/>
            </w:pPr>
            <w:r>
              <w:rPr>
                <w:rFonts w:ascii="仿宋_GB2312" w:hAnsi="仿宋_GB2312" w:cs="仿宋_GB2312" w:eastAsia="仿宋_GB2312"/>
              </w:rPr>
              <w:t>供应商应提供的其他证明材料.docx,服务应答表,报价表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采购文件中除符合性审查内容1-3项外的其他实质性要求。</w:t>
            </w:r>
          </w:p>
        </w:tc>
        <w:tc>
          <w:tcPr>
            <w:tcW w:type="dxa" w:w="3322"/>
          </w:tcPr>
          <w:p>
            <w:pPr>
              <w:pStyle w:val="null3"/>
              <w:jc w:val="left"/>
            </w:pPr>
            <w:r>
              <w:rPr>
                <w:rFonts w:ascii="仿宋_GB2312" w:hAnsi="仿宋_GB2312" w:cs="仿宋_GB2312" w:eastAsia="仿宋_GB2312"/>
              </w:rPr>
              <w:t>完全满足采购文件中除符合性审查内容1-3项外的其他实质性要求。</w:t>
            </w:r>
          </w:p>
        </w:tc>
        <w:tc>
          <w:tcPr>
            <w:tcW w:type="dxa" w:w="1661"/>
          </w:tcPr>
          <w:p>
            <w:pPr>
              <w:pStyle w:val="null3"/>
              <w:jc w:val="left"/>
            </w:pPr>
            <w:r>
              <w:rPr>
                <w:rFonts w:ascii="仿宋_GB2312" w:hAnsi="仿宋_GB2312" w:cs="仿宋_GB2312" w:eastAsia="仿宋_GB2312"/>
              </w:rPr>
              <w:t>供应商应提供的其他证明材料.docx,服务应答表,报价表,投标（响应）函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服务方案、安全保障方案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制定的服务方案进行综合评分，包含：①项目重、难点分析及对应解决措施；②服务流程；③整体策划方案；④交通保障方案；⑤住宿保障方案；⑥餐饮保障方案；⑦人员配备及分工；⑧人员考勤管理措施。 上述8项内容齐全且无缺陷得56分；在此基础上，每缺少一项内容扣7分，扣完为止；单项内容每存在一处缺陷扣3.5分，单项内容分扣完为止。（注：内容缺陷是指存在项目名称不符、地点区域错误、内容与本项目需求无关、仅有框架或标题、引用或涉及的规范及标准错误或过期、明显复制其他项目内容等任意一种情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根据供应商针对本项目制定的安全保障方案进行综合评分，包含：①人员安全保障措施；②紧急医疗救援实施方案；③应急组织体系保障措施；④应急突发事件预防措施及处理方案。 上述4项内容齐全且无缺陷得28分；在此基础上，每缺少一项内容扣7分，扣完为止；单项内容每存在一处缺陷扣3.5分，单项内容分扣完为止。（注：内容缺陷是指存在项目名称不符、地点区域错误、内容与本项目需求无关、仅有框架或标题、引用或涉及的规范及标准错误或过期、明显复制其他项目内容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供应商自2023年1月1日（含）以来（以合同签订时间为准），具有类似项目业绩的，每提供一个得6分，本项最多得6分。 注：①类似业绩是指交流交往交融活动类、研学类、活动策划类、活动执行类项目。 ②提供合同复印件。以上证明材料公司名称须与供应商名称完全一致（工商更名的需提供相应证明材料）。</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详见附件：供应商应提供的其他资格证明材料.docx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