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版本号：N511303202600004120260506001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高坪区矿产资源总体规划（2026-2030年）编制工作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N5113032026000041</w:t>
      </w:r>
    </w:p>
    <w:p>
      <w:pPr>
        <w:pStyle w:val="null3"/>
        <w:jc w:val="center"/>
        <w:outlineLvl w:val="2"/>
      </w:pPr>
      <w:r>
        <w:rPr>
          <w:rFonts w:ascii="仿宋_GB2312" w:hAnsi="仿宋_GB2312" w:cs="仿宋_GB2312" w:eastAsia="仿宋_GB2312"/>
          <w:sz w:val="28"/>
          <w:b/>
        </w:rPr>
        <w:t>南充市高坪区自然资源和规划局</w:t>
      </w:r>
    </w:p>
    <w:p>
      <w:pPr>
        <w:pStyle w:val="null3"/>
        <w:jc w:val="center"/>
        <w:outlineLvl w:val="2"/>
      </w:pPr>
      <w:r>
        <w:rPr>
          <w:rFonts w:ascii="仿宋_GB2312" w:hAnsi="仿宋_GB2312" w:cs="仿宋_GB2312" w:eastAsia="仿宋_GB2312"/>
          <w:sz w:val="28"/>
          <w:b/>
        </w:rPr>
        <w:t>四川川久工程项目管理咨询有限公司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四川川久工程项目管理咨询有限公司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南充市高坪区自然资源和规划局</w:t>
      </w:r>
      <w:r>
        <w:rPr>
          <w:rFonts w:ascii="仿宋_GB2312" w:hAnsi="仿宋_GB2312" w:cs="仿宋_GB2312" w:eastAsia="仿宋_GB2312"/>
        </w:rPr>
        <w:t xml:space="preserve"> 委托，拟对 </w:t>
      </w:r>
      <w:r>
        <w:rPr>
          <w:rFonts w:ascii="仿宋_GB2312" w:hAnsi="仿宋_GB2312" w:cs="仿宋_GB2312" w:eastAsia="仿宋_GB2312"/>
        </w:rPr>
        <w:t>高坪区矿产资源总体规划（2026-2030年）编制工作</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南充市高坪区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N5113032026000041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高坪区矿产资源总体规划（2026-2030年）编制工作</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高坪区矿产资源总体规划（2026-2030年）》编制采购项目。需对南充市高坪区内矿产资源禀赋情况进行调查，深入开展矿产资源基础研究，突出精细管理和监管依据作用，全面落实上级“十五五”矿规内容，并研究制定推动规划落地实施的具体举措。结合南充市高坪区协调发展需要，开展规划区块设置论证，科学部署辖区矿产资源勘查开发利用与保护活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南充市高坪区自然资源和规划局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四川省南充市高坪区松林路63号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程玉娟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17883332717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四川川久工程项目管理咨询有限公司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四川省南充市顺庆区四川省南充市顺庆区锦程路69号商会大厦1号楼18层1803号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16659698888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代理服务费收费标准：根据成本加合理利润原则，按照“成交金额*1.5%（费率）”的标准计取，不足6000元的，按6000元收取。 付款方式：现金或转账方式 收款单位：四川川久工程项目管理咨询有限公司 开户行：四川银行股份有限公司南充分行 银行账号：800010000000075609</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南充市高坪区自然资源和规划局</w:t>
      </w:r>
      <w:r>
        <w:rPr>
          <w:rFonts w:ascii="仿宋_GB2312" w:hAnsi="仿宋_GB2312" w:cs="仿宋_GB2312" w:eastAsia="仿宋_GB2312"/>
        </w:rPr>
        <w:t xml:space="preserve"> 和 </w:t>
      </w:r>
      <w:r>
        <w:rPr>
          <w:rFonts w:ascii="仿宋_GB2312" w:hAnsi="仿宋_GB2312" w:cs="仿宋_GB2312" w:eastAsia="仿宋_GB2312"/>
        </w:rPr>
        <w:t>四川川久工程项目管理咨询有限公司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南充市高坪区自然资源和规划局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四川川久工程项目管理咨询有限公司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供应商提出所有验收申请之日起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按国家有关规定以及本项目采购文件的技术，服务和其他要求，供应商的响应文件及承诺与合同约定标准进行技术履约验收。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按照采购文件商务要求及供应商响应内容进行商务履约验收。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严格按照《政府采购需求管理办法》（财库〔2021〕22号）和《关于进一步加强政府采购需求和履约验收管理的指导意见》（财库〔2016〕205号）以及采购人的相关要求进行验收。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四川川久工程项目管理咨询有限公司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四川川久工程项目管理咨询有限公司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四川川久工程项目管理咨询有限公司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联系电话：16659698888</w:t>
      </w:r>
    </w:p>
    <w:p>
      <w:pPr>
        <w:pStyle w:val="null3"/>
        <w:jc w:val="left"/>
      </w:pPr>
      <w:r>
        <w:rPr>
          <w:rFonts w:ascii="仿宋_GB2312" w:hAnsi="仿宋_GB2312" w:cs="仿宋_GB2312" w:eastAsia="仿宋_GB2312"/>
        </w:rPr>
        <w:t>地址：四川省南充市顺庆区四川省南充市顺庆区锦程路69号商会大厦1号楼18层1803号</w:t>
      </w:r>
    </w:p>
    <w:p>
      <w:pPr>
        <w:pStyle w:val="null3"/>
        <w:jc w:val="left"/>
      </w:pPr>
      <w:r>
        <w:rPr>
          <w:rFonts w:ascii="仿宋_GB2312" w:hAnsi="仿宋_GB2312" w:cs="仿宋_GB2312" w:eastAsia="仿宋_GB2312"/>
        </w:rPr>
        <w:t>邮编：637000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w:t>
      </w:r>
    </w:p>
    <w:p>
      <w:pPr>
        <w:pStyle w:val="null3"/>
        <w:jc w:val="left"/>
      </w:pPr>
      <w:r>
        <w:rPr>
          <w:rFonts w:ascii="仿宋_GB2312" w:hAnsi="仿宋_GB2312" w:cs="仿宋_GB2312" w:eastAsia="仿宋_GB2312"/>
        </w:rPr>
        <w:t>采购包最高限价（元）: 330,500.00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C10010000 采矿业服务</w:t>
            </w:r>
          </w:p>
        </w:tc>
        <w:tc>
          <w:tcPr>
            <w:tcW w:type="dxa" w:w="821"/>
          </w:tcPr>
          <w:p>
            <w:pPr>
              <w:pStyle w:val="null3"/>
              <w:jc w:val="left"/>
            </w:pPr>
            <w:r>
              <w:rPr>
                <w:rFonts w:ascii="仿宋_GB2312" w:hAnsi="仿宋_GB2312" w:cs="仿宋_GB2312" w:eastAsia="仿宋_GB2312"/>
              </w:rPr>
              <w:t>高坪区矿产资源总体规划（2026-2030年）编制工作</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330,500.00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高坪区矿产资源总体规划（2026-2030年）编制工作</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330,500.00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报价为包干价，包含完成本项目所有服务内容及要求的全部费用。供应商应根据本项目的实际情况与自身现实情况，并充分考虑不确定性因素可能导致的风险自行报价。若因供应商原因造成的漏报、错报而导致重复工作成本，由供应商负责，采购人不会承担任何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标的名称：高坪区矿产资源总体规划（2026-2030年）编制工作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82"/>
              <w:jc w:val="both"/>
            </w:pPr>
            <w:r>
              <w:rPr>
                <w:rFonts w:ascii="仿宋_GB2312" w:hAnsi="仿宋_GB2312" w:cs="仿宋_GB2312" w:eastAsia="仿宋_GB2312"/>
                <w:sz w:val="24"/>
                <w:b/>
                <w:color w:val="000000"/>
                <w:shd w:fill="FFFFFF" w:val="clear"/>
              </w:rPr>
              <w:t>★一、</w:t>
            </w:r>
            <w:r>
              <w:rPr>
                <w:rFonts w:ascii="仿宋_GB2312" w:hAnsi="仿宋_GB2312" w:cs="仿宋_GB2312" w:eastAsia="仿宋_GB2312"/>
                <w:sz w:val="24"/>
                <w:b/>
                <w:color w:val="000000"/>
                <w:shd w:fill="FFFFFF" w:val="clear"/>
              </w:rPr>
              <w:t>服务内容</w:t>
            </w:r>
          </w:p>
          <w:p>
            <w:pPr>
              <w:pStyle w:val="null3"/>
              <w:ind w:firstLine="480"/>
              <w:jc w:val="both"/>
            </w:pPr>
            <w:r>
              <w:rPr>
                <w:rFonts w:ascii="仿宋_GB2312" w:hAnsi="仿宋_GB2312" w:cs="仿宋_GB2312" w:eastAsia="仿宋_GB2312"/>
                <w:sz w:val="24"/>
                <w:color w:val="000000"/>
                <w:shd w:fill="FFFFFF" w:val="clear"/>
              </w:rPr>
              <w:t>按照自然资源部</w:t>
            </w:r>
            <w:r>
              <w:rPr>
                <w:rFonts w:ascii="仿宋_GB2312" w:hAnsi="仿宋_GB2312" w:cs="仿宋_GB2312" w:eastAsia="仿宋_GB2312"/>
                <w:sz w:val="24"/>
                <w:color w:val="000000"/>
                <w:shd w:fill="FFFFFF" w:val="clear"/>
              </w:rPr>
              <w:t>“十五五”全国矿产资源规划编制工作的总体部署要求以及四川省自然资源厅《关于开展全省矿产资源总体规划（2026—2030年）编制工作的通知》要求，为有序推进高坪区矿产资源总体规划（ 2026—2030 年）编制工作，科学谋划“十五五”期间矿产资源勘查开发布局，促进矿产资源保护与节约高效利用，提高矿产资源的保障能力，推进资源利用方式转变，加快矿业转型升级，深化矿产资源管理改革，促进矿业绿色发展，结合南充市高坪区国民经济和社会发展十五五规划以及南充市高坪区矿产资源形势和经济社会发展现状，编制《南充市高坪区矿产资源总体规划（2026—2030年）》。</w:t>
            </w:r>
          </w:p>
          <w:p>
            <w:pPr>
              <w:pStyle w:val="null3"/>
              <w:ind w:firstLine="480"/>
              <w:jc w:val="both"/>
            </w:pPr>
            <w:r>
              <w:rPr>
                <w:rFonts w:ascii="仿宋_GB2312" w:hAnsi="仿宋_GB2312" w:cs="仿宋_GB2312" w:eastAsia="仿宋_GB2312"/>
                <w:sz w:val="24"/>
                <w:color w:val="000000"/>
                <w:shd w:fill="FFFFFF" w:val="clear"/>
              </w:rPr>
              <w:t>工作具体内容包含：资料收集、地质矿产调查、矿产测试分析、矿产资源论证、矿产资源规划报告编制、数据库建设、规划报送报批等。</w:t>
            </w:r>
          </w:p>
          <w:p>
            <w:pPr>
              <w:pStyle w:val="null3"/>
              <w:ind w:firstLine="482"/>
              <w:jc w:val="both"/>
            </w:pPr>
            <w:r>
              <w:rPr>
                <w:rFonts w:ascii="仿宋_GB2312" w:hAnsi="仿宋_GB2312" w:cs="仿宋_GB2312" w:eastAsia="仿宋_GB2312"/>
                <w:sz w:val="24"/>
                <w:b/>
                <w:color w:val="000000"/>
                <w:shd w:fill="FFFFFF" w:val="clear"/>
              </w:rPr>
              <w:t>★二、</w:t>
            </w:r>
            <w:r>
              <w:rPr>
                <w:rFonts w:ascii="仿宋_GB2312" w:hAnsi="仿宋_GB2312" w:cs="仿宋_GB2312" w:eastAsia="仿宋_GB2312"/>
                <w:sz w:val="24"/>
                <w:b/>
                <w:color w:val="000000"/>
                <w:shd w:fill="FFFFFF" w:val="clear"/>
              </w:rPr>
              <w:t>服务标准及依据</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1）《中华人民共和国矿产资源法》等相关法律法规；</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2）《矿产资源规划编制实施办法》（国土资源部第55号令）；</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3）自然资源部“十五五”全国矿产资源规划编制工作的总体部署要求；</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4）《自然资源部关于完善矿产资源规划实施管理有关事项的通知》（自然资发〔2024〕53号）；</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5）关于开展全省矿产资源总体规划（2026—2030年）编制工作的通知（川自然资函〔2024〕373号）；</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6）四川省自然资源厅关于印发《四川省矿产资源规划编制实施办法》的通知（川自然资发〔2024〕27号）；</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7）《四川省市县级矿产资源总体规划编制技术指南》；</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8）矿产资源管理及相关产业政策；</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9）上一级矿产资源总体规划；</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10）如自然资源部、四川省自然资源厅有新的要求，必须符合新的要求。</w:t>
            </w:r>
          </w:p>
          <w:p>
            <w:pPr>
              <w:pStyle w:val="null3"/>
              <w:ind w:firstLine="480"/>
              <w:jc w:val="both"/>
            </w:pPr>
            <w:r>
              <w:rPr>
                <w:rFonts w:ascii="仿宋_GB2312" w:hAnsi="仿宋_GB2312" w:cs="仿宋_GB2312" w:eastAsia="仿宋_GB2312"/>
                <w:sz w:val="24"/>
                <w:color w:val="000000"/>
                <w:shd w:fill="FFFFFF" w:val="clear"/>
              </w:rPr>
              <w:t>注：涉及的规范及要求描述与最新要求不一致时以最新要求为准。</w:t>
            </w:r>
          </w:p>
          <w:p>
            <w:pPr>
              <w:pStyle w:val="null3"/>
              <w:ind w:firstLine="482"/>
              <w:jc w:val="both"/>
            </w:pPr>
            <w:r>
              <w:rPr>
                <w:rFonts w:ascii="仿宋_GB2312" w:hAnsi="仿宋_GB2312" w:cs="仿宋_GB2312" w:eastAsia="仿宋_GB2312"/>
                <w:sz w:val="24"/>
                <w:b/>
                <w:color w:val="000000"/>
                <w:shd w:fill="FFFFFF" w:val="clear"/>
              </w:rPr>
              <w:t>三、</w:t>
            </w:r>
            <w:r>
              <w:rPr>
                <w:rFonts w:ascii="仿宋_GB2312" w:hAnsi="仿宋_GB2312" w:cs="仿宋_GB2312" w:eastAsia="仿宋_GB2312"/>
                <w:sz w:val="24"/>
                <w:b/>
                <w:color w:val="000000"/>
                <w:shd w:fill="FFFFFF" w:val="clear"/>
              </w:rPr>
              <w:t>规划编制要求</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1）准确把握各级规划定位</w:t>
            </w:r>
          </w:p>
          <w:p>
            <w:pPr>
              <w:pStyle w:val="null3"/>
              <w:ind w:firstLine="480"/>
              <w:jc w:val="both"/>
            </w:pPr>
            <w:r>
              <w:rPr>
                <w:rFonts w:ascii="仿宋_GB2312" w:hAnsi="仿宋_GB2312" w:cs="仿宋_GB2312" w:eastAsia="仿宋_GB2312"/>
                <w:sz w:val="24"/>
                <w:color w:val="000000"/>
                <w:shd w:fill="FFFFFF" w:val="clear"/>
              </w:rPr>
              <w:t>应突出精细管理和监管依据作用，要全面落实上级</w:t>
            </w:r>
            <w:r>
              <w:rPr>
                <w:rFonts w:ascii="仿宋_GB2312" w:hAnsi="仿宋_GB2312" w:cs="仿宋_GB2312" w:eastAsia="仿宋_GB2312"/>
                <w:sz w:val="24"/>
                <w:color w:val="000000"/>
                <w:shd w:fill="FFFFFF" w:val="clear"/>
              </w:rPr>
              <w:t>“十五五”矿规内容，并研究制定推动规划落地实施的具体举措。要根据我省发展战略，并结合市县协调发展需要，开展规划区块设置论证，科学部署辖区矿产资源勘查开发利用与保护活动。</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2）全面务实规划编制基础</w:t>
            </w:r>
          </w:p>
          <w:p>
            <w:pPr>
              <w:pStyle w:val="null3"/>
              <w:ind w:firstLine="480"/>
              <w:jc w:val="both"/>
            </w:pPr>
            <w:r>
              <w:rPr>
                <w:rFonts w:ascii="仿宋_GB2312" w:hAnsi="仿宋_GB2312" w:cs="仿宋_GB2312" w:eastAsia="仿宋_GB2312"/>
                <w:sz w:val="24"/>
                <w:color w:val="000000"/>
                <w:shd w:fill="FFFFFF" w:val="clear"/>
              </w:rPr>
              <w:t>系统梳理上一轮矿产资源总体规划实施成效和存在问题，全面总结规划编制和实施经验，编制</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十五五</w:t>
            </w:r>
            <w:r>
              <w:rPr>
                <w:rFonts w:ascii="仿宋_GB2312" w:hAnsi="仿宋_GB2312" w:cs="仿宋_GB2312" w:eastAsia="仿宋_GB2312"/>
                <w:sz w:val="24"/>
                <w:color w:val="000000"/>
                <w:shd w:fill="FFFFFF" w:val="clear"/>
              </w:rPr>
              <w:t>”矿规实施情况评估报告。要深入开展调查研究，加强矿产资源形势分析，因地制宜布置重大专题。要组织对辖区矿产资源勘查开发利用与保护现状、相关产业和重点建设项目的矿产资源供需情况、矿业经济发展情况、资源环境承载能力等开展研究分析，加强矿产资源勘查开发利用与经济社会发展、生态环境保护的统筹协调，为科学编制“十五五”矿规提供丰富详实的基础资料。</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3）高质量推进规划文本编制</w:t>
            </w:r>
          </w:p>
          <w:p>
            <w:pPr>
              <w:pStyle w:val="null3"/>
              <w:ind w:firstLine="480"/>
              <w:jc w:val="both"/>
            </w:pPr>
            <w:r>
              <w:rPr>
                <w:rFonts w:ascii="仿宋_GB2312" w:hAnsi="仿宋_GB2312" w:cs="仿宋_GB2312" w:eastAsia="仿宋_GB2312"/>
                <w:sz w:val="24"/>
                <w:color w:val="000000"/>
                <w:shd w:fill="FFFFFF" w:val="clear"/>
              </w:rPr>
              <w:t>在前期研究基础上，科学确定规划大纲和主要内容，加强规划目标指标论证，优化矿产资源勘查开发利用与保护布局，部署</w:t>
            </w:r>
            <w:r>
              <w:rPr>
                <w:rFonts w:ascii="仿宋_GB2312" w:hAnsi="仿宋_GB2312" w:cs="仿宋_GB2312" w:eastAsia="仿宋_GB2312"/>
                <w:sz w:val="24"/>
                <w:color w:val="000000"/>
                <w:shd w:fill="FFFFFF" w:val="clear"/>
              </w:rPr>
              <w:t>“十五五”矿业发展重点任务和重大工程，谋深谋细规划区块设置。要充分发挥地勘单位、行业协会、重要涉矿企业和专家学者的作用，集思广益，认真听取多方意见和建议，丰富完善规划内容，提高规划编制质量。</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4）全方位加强规划衔接论证</w:t>
            </w:r>
          </w:p>
          <w:p>
            <w:pPr>
              <w:pStyle w:val="null3"/>
              <w:ind w:firstLine="480"/>
              <w:jc w:val="both"/>
            </w:pPr>
            <w:r>
              <w:rPr>
                <w:rFonts w:ascii="仿宋_GB2312" w:hAnsi="仿宋_GB2312" w:cs="仿宋_GB2312" w:eastAsia="仿宋_GB2312"/>
                <w:sz w:val="24"/>
                <w:color w:val="000000"/>
                <w:shd w:fill="FFFFFF" w:val="clear"/>
              </w:rPr>
              <w:t>严格落实国民经济和社会发展规划工作部署，以国土空间规划为基础，积极衔接自然资源保护和利用规划及新一轮找矿突破战略行动实施方案等。加强与发展改革、经济和信息化、交通运输、水利、生态环境、林草等部门对接，全面收集产业发展规划、工业（产业）园区规划、交通运输发展规划、水利发展规划、林地保护利用规划、自然保护地规划、生态环境保护规划等各类专项规划，论证分析产业发展和建设项目的矿产资源需求，以及矿产资源勘查开发管控限制条件，提高</w:t>
            </w:r>
            <w:r>
              <w:rPr>
                <w:rFonts w:ascii="仿宋_GB2312" w:hAnsi="仿宋_GB2312" w:cs="仿宋_GB2312" w:eastAsia="仿宋_GB2312"/>
                <w:sz w:val="24"/>
                <w:color w:val="000000"/>
                <w:shd w:fill="FFFFFF" w:val="clear"/>
              </w:rPr>
              <w:t>“十五五”矿规针对性和可操作性。</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5</w:t>
            </w:r>
            <w:r>
              <w:rPr>
                <w:rFonts w:ascii="仿宋_GB2312" w:hAnsi="仿宋_GB2312" w:cs="仿宋_GB2312" w:eastAsia="仿宋_GB2312"/>
                <w:sz w:val="24"/>
                <w:color w:val="000000"/>
                <w:shd w:fill="FFFFFF" w:val="clear"/>
              </w:rPr>
              <w:t>）严格落实规划报送审批要求</w:t>
            </w:r>
          </w:p>
          <w:p>
            <w:pPr>
              <w:pStyle w:val="null3"/>
              <w:ind w:firstLine="480"/>
              <w:jc w:val="both"/>
            </w:pPr>
            <w:r>
              <w:rPr>
                <w:rFonts w:ascii="仿宋_GB2312" w:hAnsi="仿宋_GB2312" w:cs="仿宋_GB2312" w:eastAsia="仿宋_GB2312"/>
                <w:sz w:val="24"/>
                <w:color w:val="000000"/>
                <w:shd w:fill="FFFFFF" w:val="clear"/>
              </w:rPr>
              <w:t>按照《四川省矿产资源规划编制实施办法》（川自然资发〔</w:t>
            </w:r>
            <w:r>
              <w:rPr>
                <w:rFonts w:ascii="仿宋_GB2312" w:hAnsi="仿宋_GB2312" w:cs="仿宋_GB2312" w:eastAsia="仿宋_GB2312"/>
                <w:sz w:val="24"/>
                <w:color w:val="000000"/>
                <w:shd w:fill="FFFFFF" w:val="clear"/>
              </w:rPr>
              <w:t>2024〕27 号）规定程序，</w:t>
            </w:r>
            <w:r>
              <w:rPr>
                <w:rFonts w:ascii="仿宋_GB2312" w:hAnsi="仿宋_GB2312" w:cs="仿宋_GB2312" w:eastAsia="仿宋_GB2312"/>
                <w:sz w:val="24"/>
                <w:color w:val="000000"/>
                <w:shd w:fill="FFFFFF" w:val="clear"/>
              </w:rPr>
              <w:t>结合各地</w:t>
            </w:r>
            <w:r>
              <w:rPr>
                <w:rFonts w:ascii="仿宋_GB2312" w:hAnsi="仿宋_GB2312" w:cs="仿宋_GB2312" w:eastAsia="仿宋_GB2312"/>
                <w:sz w:val="24"/>
                <w:color w:val="000000"/>
                <w:shd w:fill="FFFFFF" w:val="clear"/>
              </w:rPr>
              <w:t>“三重一大”事项集体决策制度要求，组织完成“十五五”意见征求、专家论证、合法性审查、会议审议等，形成规划送审稿，报送上级自然资源主管部门审批。经上级自然资源主管部门批复后，报同级人民政府按规定程序印发</w:t>
            </w:r>
            <w:r>
              <w:rPr>
                <w:rFonts w:ascii="仿宋_GB2312" w:hAnsi="仿宋_GB2312" w:cs="仿宋_GB2312" w:eastAsia="仿宋_GB2312"/>
                <w:sz w:val="24"/>
                <w:color w:val="000000"/>
                <w:shd w:fill="FFFFFF" w:val="clear"/>
              </w:rPr>
              <w:t>。</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6）做好规划实施服务相关工作。含年度、期中规划实施情况评估等有关工作。</w:t>
            </w:r>
          </w:p>
          <w:p>
            <w:pPr>
              <w:pStyle w:val="null3"/>
              <w:ind w:firstLine="482"/>
              <w:jc w:val="both"/>
            </w:pPr>
            <w:r>
              <w:rPr>
                <w:rFonts w:ascii="仿宋_GB2312" w:hAnsi="仿宋_GB2312" w:cs="仿宋_GB2312" w:eastAsia="仿宋_GB2312"/>
                <w:sz w:val="24"/>
                <w:b/>
                <w:color w:val="000000"/>
                <w:shd w:fill="FFFFFF" w:val="clear"/>
              </w:rPr>
              <w:t>四、</w:t>
            </w:r>
            <w:r>
              <w:rPr>
                <w:rFonts w:ascii="仿宋_GB2312" w:hAnsi="仿宋_GB2312" w:cs="仿宋_GB2312" w:eastAsia="仿宋_GB2312"/>
                <w:sz w:val="24"/>
                <w:b/>
                <w:color w:val="000000"/>
                <w:shd w:fill="FFFFFF" w:val="clear"/>
              </w:rPr>
              <w:t>工作及进度要求</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1）在项目履约过程中成交供应商应定期向采购人通告本项目的重大事项及其进度。</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2）接受项目行业管理部门及政府有关部门的指导，接受采购人的监督。</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3）2026年底前，</w:t>
            </w:r>
            <w:r>
              <w:rPr>
                <w:rFonts w:ascii="仿宋_GB2312" w:hAnsi="仿宋_GB2312" w:cs="仿宋_GB2312" w:eastAsia="仿宋_GB2312"/>
                <w:sz w:val="24"/>
                <w:color w:val="000000"/>
                <w:shd w:fill="FFFFFF" w:val="clear"/>
              </w:rPr>
              <w:t>完成意见征求、专家论证、听证、合法性审查、社会稳定风险评估和会议审议等，形成规划送审稿，报送上级自然资源主管部门审批。经上级自然资源主管部门批复后，报同级人民政府按规定程序印发。</w:t>
            </w:r>
          </w:p>
          <w:p>
            <w:pPr>
              <w:pStyle w:val="null3"/>
              <w:ind w:firstLine="482"/>
              <w:jc w:val="both"/>
            </w:pPr>
            <w:r>
              <w:rPr>
                <w:rFonts w:ascii="仿宋_GB2312" w:hAnsi="仿宋_GB2312" w:cs="仿宋_GB2312" w:eastAsia="仿宋_GB2312"/>
                <w:sz w:val="24"/>
                <w:b/>
                <w:color w:val="000000"/>
                <w:shd w:fill="FFFFFF" w:val="clear"/>
              </w:rPr>
              <w:t>五、</w:t>
            </w:r>
            <w:r>
              <w:rPr>
                <w:rFonts w:ascii="仿宋_GB2312" w:hAnsi="仿宋_GB2312" w:cs="仿宋_GB2312" w:eastAsia="仿宋_GB2312"/>
                <w:sz w:val="24"/>
                <w:b/>
                <w:color w:val="000000"/>
                <w:shd w:fill="FFFFFF" w:val="clear"/>
              </w:rPr>
              <w:t>成果要求</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1）矿产资源规划编制基础研究报告，包含：</w:t>
            </w:r>
          </w:p>
          <w:p>
            <w:pPr>
              <w:pStyle w:val="null3"/>
              <w:ind w:firstLine="480"/>
              <w:jc w:val="both"/>
            </w:pPr>
            <w:r>
              <w:rPr>
                <w:rFonts w:ascii="仿宋_GB2312" w:hAnsi="仿宋_GB2312" w:cs="仿宋_GB2312" w:eastAsia="仿宋_GB2312"/>
                <w:sz w:val="24"/>
                <w:color w:val="000000"/>
                <w:shd w:fill="FFFFFF" w:val="clear"/>
              </w:rPr>
              <w:t>①“十四五”矿规实施情况评估</w:t>
            </w:r>
          </w:p>
          <w:p>
            <w:pPr>
              <w:pStyle w:val="null3"/>
              <w:ind w:firstLine="480"/>
              <w:jc w:val="both"/>
            </w:pPr>
            <w:r>
              <w:rPr>
                <w:rFonts w:ascii="仿宋_GB2312" w:hAnsi="仿宋_GB2312" w:cs="仿宋_GB2312" w:eastAsia="仿宋_GB2312"/>
                <w:sz w:val="24"/>
                <w:color w:val="000000"/>
                <w:shd w:fill="FFFFFF" w:val="clear"/>
              </w:rPr>
              <w:t>②矿产资源勘查开发利用与保护现状</w:t>
            </w:r>
          </w:p>
          <w:p>
            <w:pPr>
              <w:pStyle w:val="null3"/>
              <w:ind w:firstLine="480"/>
              <w:jc w:val="both"/>
            </w:pPr>
            <w:r>
              <w:rPr>
                <w:rFonts w:ascii="仿宋_GB2312" w:hAnsi="仿宋_GB2312" w:cs="仿宋_GB2312" w:eastAsia="仿宋_GB2312"/>
                <w:sz w:val="24"/>
                <w:color w:val="000000"/>
                <w:shd w:fill="FFFFFF" w:val="clear"/>
              </w:rPr>
              <w:t>③矿产资源供需形式分析</w:t>
            </w:r>
          </w:p>
          <w:p>
            <w:pPr>
              <w:pStyle w:val="null3"/>
              <w:ind w:firstLine="480"/>
              <w:jc w:val="both"/>
            </w:pPr>
            <w:r>
              <w:rPr>
                <w:rFonts w:ascii="仿宋_GB2312" w:hAnsi="仿宋_GB2312" w:cs="仿宋_GB2312" w:eastAsia="仿宋_GB2312"/>
                <w:sz w:val="24"/>
                <w:color w:val="000000"/>
                <w:shd w:fill="FFFFFF" w:val="clear"/>
              </w:rPr>
              <w:t>④矿业经济发展情况分析</w:t>
            </w:r>
          </w:p>
          <w:p>
            <w:pPr>
              <w:pStyle w:val="null3"/>
              <w:ind w:firstLine="480"/>
              <w:jc w:val="both"/>
            </w:pPr>
            <w:r>
              <w:rPr>
                <w:rFonts w:ascii="仿宋_GB2312" w:hAnsi="仿宋_GB2312" w:cs="仿宋_GB2312" w:eastAsia="仿宋_GB2312"/>
                <w:sz w:val="24"/>
                <w:color w:val="000000"/>
                <w:shd w:fill="FFFFFF" w:val="clear"/>
              </w:rPr>
              <w:t>⑤资源环境承载能力分析</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2）矿产资源规划编制，包含：</w:t>
            </w:r>
          </w:p>
          <w:p>
            <w:pPr>
              <w:pStyle w:val="null3"/>
              <w:ind w:firstLine="480"/>
              <w:jc w:val="both"/>
            </w:pPr>
            <w:r>
              <w:rPr>
                <w:rFonts w:ascii="仿宋_GB2312" w:hAnsi="仿宋_GB2312" w:cs="仿宋_GB2312" w:eastAsia="仿宋_GB2312"/>
                <w:sz w:val="24"/>
                <w:color w:val="000000"/>
                <w:shd w:fill="FFFFFF" w:val="clear"/>
              </w:rPr>
              <w:t>①矿规文本、附图、附表（含区块论证）</w:t>
            </w:r>
          </w:p>
          <w:p>
            <w:pPr>
              <w:pStyle w:val="null3"/>
              <w:ind w:firstLine="480"/>
              <w:jc w:val="both"/>
            </w:pPr>
            <w:r>
              <w:rPr>
                <w:rFonts w:ascii="仿宋_GB2312" w:hAnsi="仿宋_GB2312" w:cs="仿宋_GB2312" w:eastAsia="仿宋_GB2312"/>
                <w:sz w:val="24"/>
                <w:color w:val="000000"/>
                <w:shd w:fill="FFFFFF" w:val="clear"/>
              </w:rPr>
              <w:t>②矿产资源规划数据库建设</w:t>
            </w:r>
          </w:p>
          <w:p>
            <w:pPr>
              <w:pStyle w:val="null3"/>
              <w:ind w:firstLine="48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3）上级自然资源主管部门要求提供的其他成果资料。</w:t>
            </w:r>
          </w:p>
          <w:p>
            <w:pPr>
              <w:pStyle w:val="null3"/>
              <w:ind w:firstLine="480"/>
              <w:jc w:val="both"/>
            </w:pPr>
            <w:r>
              <w:rPr>
                <w:rFonts w:ascii="仿宋_GB2312" w:hAnsi="仿宋_GB2312" w:cs="仿宋_GB2312" w:eastAsia="仿宋_GB2312"/>
                <w:sz w:val="24"/>
                <w:color w:val="000000"/>
                <w:shd w:fill="FFFFFF" w:val="clear"/>
              </w:rPr>
              <w:t>以上成果均提供纸质文档</w:t>
            </w:r>
            <w:r>
              <w:rPr>
                <w:rFonts w:ascii="仿宋_GB2312" w:hAnsi="仿宋_GB2312" w:cs="仿宋_GB2312" w:eastAsia="仿宋_GB2312"/>
                <w:sz w:val="24"/>
                <w:color w:val="000000"/>
                <w:shd w:fill="FFFFFF" w:val="clear"/>
              </w:rPr>
              <w:t>3套，电子文档1套。</w:t>
            </w:r>
          </w:p>
          <w:p>
            <w:pPr>
              <w:pStyle w:val="null3"/>
              <w:ind w:firstLine="482"/>
              <w:jc w:val="both"/>
            </w:pP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六、</w:t>
            </w:r>
            <w:r>
              <w:rPr>
                <w:rFonts w:ascii="仿宋_GB2312" w:hAnsi="仿宋_GB2312" w:cs="仿宋_GB2312" w:eastAsia="仿宋_GB2312"/>
                <w:sz w:val="24"/>
                <w:b/>
                <w:color w:val="000000"/>
                <w:shd w:fill="FFFFFF" w:val="clear"/>
              </w:rPr>
              <w:t>安全要求</w:t>
            </w:r>
          </w:p>
          <w:p>
            <w:pPr>
              <w:pStyle w:val="null3"/>
              <w:ind w:firstLine="480"/>
              <w:jc w:val="both"/>
            </w:pPr>
            <w:r>
              <w:rPr>
                <w:rFonts w:ascii="仿宋_GB2312" w:hAnsi="仿宋_GB2312" w:cs="仿宋_GB2312" w:eastAsia="仿宋_GB2312"/>
                <w:sz w:val="24"/>
                <w:color w:val="000000"/>
                <w:shd w:fill="FFFFFF" w:val="clear"/>
              </w:rPr>
              <w:t>供应商对为本项目配置的所有服务人员的人身安全及财产安全负责，本项目工作过程中发生的一切安全事故均由成交供应商负责。</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详见3.2技术要求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合同签订之日起240日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根据国家相关的规范及行业验收规范、标准、《财政部关于进一步加强政府采购需求和履约验收管理的指导意见》(2016)205号)及财库(2021)22号规定的要求进行验收。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1、预付款，合同签订后，供应商向采购人提供有效完整的完税凭证，达到付款条件起10日内，支付合同总金额的40.00%</w:t>
            </w:r>
          </w:p>
          <w:p>
            <w:pPr>
              <w:pStyle w:val="null3"/>
              <w:jc w:val="left"/>
            </w:pPr>
            <w:r>
              <w:rPr>
                <w:rFonts w:ascii="仿宋_GB2312" w:hAnsi="仿宋_GB2312" w:cs="仿宋_GB2312" w:eastAsia="仿宋_GB2312"/>
              </w:rPr>
              <w:t>2、尾款，规划设计通过经上级自然资源主管部门批复后并提交最终规划成果后且向采购人出据有效完整的完税凭证，达到付款条件起10日内，支付合同总金额的60.00%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（3）、争议解决办法：合同履行期间,若双方发生争议，可协商或由有关部门调解解决，协商或调解不成的，向项目所在地人民法院起诉。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（1）供应商需提供针对本项目的实施方案，方案内容包括但不限于 1.规划区域地质背景分析； 2.项目的重点和难点分析； 3.项目进度计划（有具体的时间节点）； 4.项目技术要求和工作方法分析； 5.技术质量要求方案； 6.项目质量保障措施； 7.技术管理及保障措施。 （2）供应商需提供针对本项目的项目机构管理方案：方案内容包括但不限于： 1.管理机构组织架构； 2.项目人员工作职能及职责； 3.规章管理制度等。 （3）供应商需提供针对本项目的后续服务方案，方案包括但不限于： 1.后续服务内容； 2.后续服务人员配备（包括联系人和联系方式）； 3.后续服务技术保障。 （4）供应商提供针对本项目的人员配置。 （5）供应商提供的业绩证明。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技术服务要求及其他要求</w:t>
            </w:r>
          </w:p>
        </w:tc>
        <w:tc>
          <w:tcPr>
            <w:tcW w:type="dxa" w:w="3322"/>
          </w:tcPr>
          <w:p>
            <w:pPr>
              <w:pStyle w:val="null3"/>
              <w:jc w:val="left"/>
            </w:pPr>
            <w:r>
              <w:rPr>
                <w:rFonts w:ascii="仿宋_GB2312" w:hAnsi="仿宋_GB2312" w:cs="仿宋_GB2312" w:eastAsia="仿宋_GB2312"/>
              </w:rPr>
              <w:t>按磋商文件第三章中“3.2技术要求”“3.4其他要求”的内容响应。</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按磋商文件第三章中“3.3.2 商务要求”的内容响应。</w:t>
            </w:r>
          </w:p>
        </w:tc>
        <w:tc>
          <w:tcPr>
            <w:tcW w:type="dxa" w:w="1661"/>
          </w:tcPr>
          <w:p>
            <w:pPr>
              <w:pStyle w:val="null3"/>
              <w:jc w:val="left"/>
            </w:pPr>
            <w:r>
              <w:rPr>
                <w:rFonts w:ascii="仿宋_GB2312" w:hAnsi="仿宋_GB2312" w:cs="仿宋_GB2312" w:eastAsia="仿宋_GB2312"/>
              </w:rPr>
              <w:t>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技术服务方案</w:t>
            </w:r>
          </w:p>
        </w:tc>
        <w:tc>
          <w:tcPr>
            <w:tcW w:type="dxa" w:w="2575"/>
          </w:tcPr>
          <w:p>
            <w:pPr>
              <w:pStyle w:val="null3"/>
              <w:jc w:val="left"/>
            </w:pPr>
            <w:r>
              <w:rPr>
                <w:rFonts w:ascii="仿宋_GB2312" w:hAnsi="仿宋_GB2312" w:cs="仿宋_GB2312" w:eastAsia="仿宋_GB2312"/>
              </w:rPr>
              <w:t>1、项目实施方案（28分） 根据供应商针对本项目提供的实施方案进行综合评比，方案内容包括但不限于①规划区域地质背景分析；②项目的重点和难点分析；③项目进度计划（有具体的时间节点）；④项目技术要求和工作方法分析；⑤技术质量要求方案；⑥项目质量保障措施；⑦技术管理及保障措施；方案完整包含以上7项内容的得28分； 以上方案中每缺少一项内容要素的扣4分；每项内容要素中每有一处存在缺陷（缺陷指：内容阐述与实际情况不符或存在偏差或仅有标题或存在与本项目无关或内容描述不符合本项目采购需求）的扣2分，该项扣完为止。 2、项目机构管理方案（6分） 根据供应商针对本项目提供的项目机构管理方案进行综合评比：方案内容包括但不限于：①管理机构组织架构；②项目人员工作职能及职责；③规章管理制度等；方案完整包含以上3项内容的得6分； 以上方案中每缺少一项内容要素的2分；每项内容要素中每有一处存在缺陷（缺陷指：存在项目名称错误、地点区域错误，内容与本项目需求无关、方案内容矛盾或表述前后不一致、仅有框架或标题、适用的标准(方法)错误等任意一种情形。）的扣1分，该项扣完为止。</w:t>
            </w:r>
          </w:p>
        </w:tc>
        <w:tc>
          <w:tcPr>
            <w:tcW w:type="dxa" w:w="831"/>
          </w:tcPr>
          <w:p>
            <w:pPr>
              <w:pStyle w:val="null3"/>
              <w:jc w:val="center"/>
            </w:pPr>
            <w:r>
              <w:rPr>
                <w:rFonts w:ascii="仿宋_GB2312" w:hAnsi="仿宋_GB2312" w:cs="仿宋_GB2312" w:eastAsia="仿宋_GB2312"/>
              </w:rPr>
              <w:t>34.0000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提供的后续服务方案，方案包括但不限于：①后续服务内容；②后续服务人员配备（包括联系人和联系方式）；③后续服务技术保障；方案完整包含以上3项内容得9分；以上方案中每缺少一项内容要素的扣3分；每项内容要素中每有一处存在缺陷（缺陷指：存在项目名称错误、地点区域错误，内容与本项目需求无关、方案内容矛盾或表述前后不一致、仅有框架或标题、适用的标准(方法)错误等任意一种情形。）的扣1.5分，该项扣完为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人员团队</w:t>
            </w:r>
          </w:p>
        </w:tc>
        <w:tc>
          <w:tcPr>
            <w:tcW w:type="dxa" w:w="2575"/>
          </w:tcPr>
          <w:p>
            <w:pPr>
              <w:pStyle w:val="null3"/>
              <w:jc w:val="left"/>
            </w:pPr>
            <w:r>
              <w:rPr>
                <w:rFonts w:ascii="仿宋_GB2312" w:hAnsi="仿宋_GB2312" w:cs="仿宋_GB2312" w:eastAsia="仿宋_GB2312"/>
              </w:rPr>
              <w:t>1、项目负责人：具有地质调查与矿产勘查、水文地质、工程地质与环境地质或采矿工程专业技术职称，中级工程师得3分，高级工程师得5分，正高级工程师得7分；本项最高得7分（提供职称证书扫描件）。 2、技术负责人：具有地质调查与矿产勘查或水文地质、工程地质与环境地质专业技术职称，中级工程师得3分，高级工程师及以上技术职称的得5分；本项最高得5分（提供证书扫描件）。 3、项目组技术人员：具有地质调查与矿产勘查或水文地质、工程地质与环境地质或测绘类等相关专业中级或以上职称的，每有一人得2分，本项最高得10分。 注：上述人员不重复计分；需要提供相关证书扫描件并加盖公章予以证明。</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2022年1月1日至今，供应商提供一个类似业绩得5分， 注：需提供合同扫描件或成交（中标）通知书，加盖供应商公章。（业绩时间以合同签订或成交（中标）通知书时间为准。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