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版本号：N511083202600008020260507001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车辆类和法医类鉴定技术服务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N5110832026000080</w:t>
      </w:r>
    </w:p>
    <w:p>
      <w:pPr>
        <w:pStyle w:val="null3"/>
        <w:jc w:val="center"/>
        <w:outlineLvl w:val="2"/>
      </w:pPr>
      <w:r>
        <w:rPr>
          <w:rFonts w:ascii="仿宋_GB2312" w:hAnsi="仿宋_GB2312" w:cs="仿宋_GB2312" w:eastAsia="仿宋_GB2312"/>
          <w:sz w:val="28"/>
          <w:b/>
        </w:rPr>
        <w:t>隆昌市公安局交通管理大队</w:t>
      </w:r>
    </w:p>
    <w:p>
      <w:pPr>
        <w:pStyle w:val="null3"/>
        <w:jc w:val="center"/>
        <w:outlineLvl w:val="2"/>
      </w:pPr>
      <w:r>
        <w:rPr>
          <w:rFonts w:ascii="仿宋_GB2312" w:hAnsi="仿宋_GB2312" w:cs="仿宋_GB2312" w:eastAsia="仿宋_GB2312"/>
          <w:sz w:val="28"/>
          <w:b/>
        </w:rPr>
        <w:t>四川新润招标代理有限公司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四川新润招标代理有限公司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隆昌市公安局交通管理大队</w:t>
      </w:r>
      <w:r>
        <w:rPr>
          <w:rFonts w:ascii="仿宋_GB2312" w:hAnsi="仿宋_GB2312" w:cs="仿宋_GB2312" w:eastAsia="仿宋_GB2312"/>
        </w:rPr>
        <w:t xml:space="preserve"> 委托，拟对 </w:t>
      </w:r>
      <w:r>
        <w:rPr>
          <w:rFonts w:ascii="仿宋_GB2312" w:hAnsi="仿宋_GB2312" w:cs="仿宋_GB2312" w:eastAsia="仿宋_GB2312"/>
        </w:rPr>
        <w:t>车辆类和法医类鉴定技术服务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内江市隆昌市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N5110832026000080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车辆类和法医类鉴定技术服务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隆昌市公安局交通管理大队车辆类和法医类鉴定技术服务，一项。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司法行政管理部门核发在有效期内的《司法鉴定许可证》，且业务范围须包含：法医临床鉴定、法医病理鉴定、法医精神病鉴定、法医物证鉴定、法医毒物鉴定。（描述：供应商提供司法行政管理部门核发在有效期内的《司法鉴定许可证》复印（扫描）件并进行电子签章。）</w:t>
      </w:r>
    </w:p>
    <w:p>
      <w:pPr>
        <w:pStyle w:val="null3"/>
        <w:jc w:val="left"/>
      </w:pPr>
      <w:r>
        <w:rPr>
          <w:rFonts w:ascii="仿宋_GB2312" w:hAnsi="仿宋_GB2312" w:cs="仿宋_GB2312" w:eastAsia="仿宋_GB2312"/>
        </w:rPr>
        <w:t>2、供应商需具备CMA或CNAS检验检测机构资质。（描述：供应商提供CMA或CNAS检验检测机构资质证书复印（扫描）件并进行电子签章。）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具有司法行政管理部门核发在有效期内的《司法鉴定许可证》，且业务范围须包含：交通事故痕迹物证鉴定（0211011车辆安全技术状况鉴定、021103交通事故痕迹鉴定、021104车辆速度鉴定、021105交通事故痕迹物证综合鉴定）。（描述：供应商提供司法行政管理部门核发在有效期内的《司法鉴定许可证》复印（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隆昌市公安局交通管理大队</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四川省内江市隆昌市金鹅街道办事处红光社区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0832-3954456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四川新润招标代理有限公司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四川省内江市东兴区东城路北段1号5栋1单元202号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0832-2121888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采购包2：350,000.00元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以三年总预算作为计算基数，按照《国家发展改革委关于进一步放开建设项目专业服务价格的通知》(发改价格〔2015)299号)规定，参照原国家计委《关于印发招标代理服务收费管理暂行办法的通知》（计价格[2002]1980号）收取比例下浮20%向成交供应商收取招标代理服务费。 收取金额：包1：13280元（壹万叁仟贰佰捌拾元）；包2：12320（壹万贰仟叁佰贰拾元），供应商的报价应当包含招标代理服务费。 收取方式：现金或转账。 收取时间：中标（成交）通知发出后二个工作日内由中标人一次性支付至采购代理机构。 开户名称：四川新润招标代理有限公司； 开户银行：四川银行股份有限公司内江高新支行； 银行账号：800080000000372229。</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隆昌市公安局交通管理大队</w:t>
      </w:r>
      <w:r>
        <w:rPr>
          <w:rFonts w:ascii="仿宋_GB2312" w:hAnsi="仿宋_GB2312" w:cs="仿宋_GB2312" w:eastAsia="仿宋_GB2312"/>
        </w:rPr>
        <w:t xml:space="preserve"> 和 </w:t>
      </w:r>
      <w:r>
        <w:rPr>
          <w:rFonts w:ascii="仿宋_GB2312" w:hAnsi="仿宋_GB2312" w:cs="仿宋_GB2312" w:eastAsia="仿宋_GB2312"/>
        </w:rPr>
        <w:t>四川新润招标代理有限公司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隆昌市公安局交通管理大队</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四川新润招标代理有限公司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由采购人组织，供应商配合进行：按国家有关规定以及采购文件的技术要求及供应商的响应文件的响应及承诺约定标准进行验收:采购双方如对服务要求的约定标准有相互抵触或异议的事项,由采购人在国家有关规定、采购文件响应文件及承诺约定中按服务要求比较优胜的原则确定该项的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由采购人组织，供应商配合进行：按国家有关规定以及采购文件的技术要求及供应商的响应文件的响应及承诺约定标准进行验收:采购双方如对服务要求的约定标准有相互抵触或异议的事项,由采购人在国家有关规定、采购文件响应文件及承诺约定中按服务要求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按国家有关规定以及采购文件的商务条款、供应商的响应文件及承诺与本合同约定的商务条款进行验收。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按国家有关规定以及采购文件的商务条款、供应商的响应文件及承诺与本合同约定的商务条款进行验收。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号)、《政府采购需求管理办法》（财库〔2021〕22号）的要求及国家行业主管部门规定的标准、方法和内容进行验收。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 号)、《政府采购需求管理办法》（财库〔2021〕22号）的要求及国家行业主管部门规定的标准、方法和内容进行验收。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隆昌市公安局交通管理大队</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四川新润招标代理有限公司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四川新润招标代理有限公司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叶先生</w:t>
      </w:r>
    </w:p>
    <w:p>
      <w:pPr>
        <w:pStyle w:val="null3"/>
        <w:jc w:val="left"/>
      </w:pPr>
      <w:r>
        <w:rPr>
          <w:rFonts w:ascii="仿宋_GB2312" w:hAnsi="仿宋_GB2312" w:cs="仿宋_GB2312" w:eastAsia="仿宋_GB2312"/>
        </w:rPr>
        <w:t>联系电话： 0832-3954456</w:t>
      </w:r>
    </w:p>
    <w:p>
      <w:pPr>
        <w:pStyle w:val="null3"/>
        <w:jc w:val="left"/>
      </w:pPr>
      <w:r>
        <w:rPr>
          <w:rFonts w:ascii="仿宋_GB2312" w:hAnsi="仿宋_GB2312" w:cs="仿宋_GB2312" w:eastAsia="仿宋_GB2312"/>
        </w:rPr>
        <w:t>地址：四川省内江市隆昌市金鹅街道办事处红光社区</w:t>
      </w:r>
    </w:p>
    <w:p>
      <w:pPr>
        <w:pStyle w:val="null3"/>
        <w:jc w:val="left"/>
      </w:pPr>
      <w:r>
        <w:rPr>
          <w:rFonts w:ascii="仿宋_GB2312" w:hAnsi="仿宋_GB2312" w:cs="仿宋_GB2312" w:eastAsia="仿宋_GB2312"/>
        </w:rPr>
        <w:t>邮编：642150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联系人：罗女士</w:t>
      </w:r>
    </w:p>
    <w:p>
      <w:pPr>
        <w:pStyle w:val="null3"/>
        <w:jc w:val="left"/>
      </w:pPr>
      <w:r>
        <w:rPr>
          <w:rFonts w:ascii="仿宋_GB2312" w:hAnsi="仿宋_GB2312" w:cs="仿宋_GB2312" w:eastAsia="仿宋_GB2312"/>
        </w:rPr>
        <w:t>联系电话：0832-2121888</w:t>
      </w:r>
    </w:p>
    <w:p>
      <w:pPr>
        <w:pStyle w:val="null3"/>
        <w:jc w:val="left"/>
      </w:pPr>
      <w:r>
        <w:rPr>
          <w:rFonts w:ascii="仿宋_GB2312" w:hAnsi="仿宋_GB2312" w:cs="仿宋_GB2312" w:eastAsia="仿宋_GB2312"/>
        </w:rPr>
        <w:t>地址：四川省内江市东兴区东城路北段1号5栋1单元202号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C20029900 其他鉴证服务</w:t>
            </w:r>
          </w:p>
        </w:tc>
        <w:tc>
          <w:tcPr>
            <w:tcW w:type="dxa" w:w="821"/>
          </w:tcPr>
          <w:p>
            <w:pPr>
              <w:pStyle w:val="null3"/>
              <w:jc w:val="left"/>
            </w:pPr>
            <w:r>
              <w:rPr>
                <w:rFonts w:ascii="仿宋_GB2312" w:hAnsi="仿宋_GB2312" w:cs="仿宋_GB2312" w:eastAsia="仿宋_GB2312"/>
              </w:rPr>
              <w:t>法医类鉴定服务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C20029900 其他鉴证服务</w:t>
            </w:r>
          </w:p>
        </w:tc>
        <w:tc>
          <w:tcPr>
            <w:tcW w:type="dxa" w:w="821"/>
          </w:tcPr>
          <w:p>
            <w:pPr>
              <w:pStyle w:val="null3"/>
              <w:jc w:val="left"/>
            </w:pPr>
            <w:r>
              <w:rPr>
                <w:rFonts w:ascii="仿宋_GB2312" w:hAnsi="仿宋_GB2312" w:cs="仿宋_GB2312" w:eastAsia="仿宋_GB2312"/>
              </w:rPr>
              <w:t>车辆类鉴定服务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法医类鉴定服务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车辆类鉴定服务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标的名称：法医类鉴定服务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b/>
              </w:rPr>
              <w:t>（一）服务项目清单</w:t>
            </w:r>
          </w:p>
          <w:tbl>
            <w:tblPr>
              <w:tblBorders>
                <w:top w:val="none" w:color="000000" w:sz="4"/>
                <w:left w:val="none" w:color="000000" w:sz="4"/>
                <w:bottom w:val="none" w:color="000000" w:sz="4"/>
                <w:right w:val="none" w:color="000000" w:sz="4"/>
                <w:insideH w:val="none"/>
                <w:insideV w:val="none"/>
              </w:tblBorders>
            </w:tblPr>
            <w:tblGrid>
              <w:gridCol w:w="741"/>
              <w:gridCol w:w="357"/>
              <w:gridCol w:w="1185"/>
              <w:gridCol w:w="758"/>
              <w:gridCol w:w="2423"/>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鉴定</w:t>
                  </w:r>
                  <w:r>
                    <w:rPr>
                      <w:rFonts w:ascii="仿宋_GB2312" w:hAnsi="仿宋_GB2312" w:cs="仿宋_GB2312" w:eastAsia="仿宋_GB2312"/>
                      <w:sz w:val="24"/>
                      <w:b/>
                    </w:rPr>
                    <w:t xml:space="preserve">  </w:t>
                  </w:r>
                </w:p>
                <w:p>
                  <w:pPr>
                    <w:pStyle w:val="null3"/>
                    <w:jc w:val="center"/>
                  </w:pPr>
                  <w:r>
                    <w:rPr>
                      <w:rFonts w:ascii="仿宋_GB2312" w:hAnsi="仿宋_GB2312" w:cs="仿宋_GB2312" w:eastAsia="仿宋_GB2312"/>
                      <w:sz w:val="24"/>
                      <w:b/>
                    </w:rPr>
                    <w:t>类别</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w:t>
                  </w:r>
                  <w:r>
                    <w:rPr>
                      <w:rFonts w:ascii="仿宋_GB2312" w:hAnsi="仿宋_GB2312" w:cs="仿宋_GB2312" w:eastAsia="仿宋_GB2312"/>
                      <w:sz w:val="24"/>
                      <w:b/>
                    </w:rPr>
                    <w:t>项目</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w:t>
                  </w:r>
                  <w:r>
                    <w:rPr>
                      <w:rFonts w:ascii="仿宋_GB2312" w:hAnsi="仿宋_GB2312" w:cs="仿宋_GB2312" w:eastAsia="仿宋_GB2312"/>
                      <w:sz w:val="24"/>
                      <w:b/>
                    </w:rPr>
                    <w:t>单价限价</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/例</w:t>
                  </w:r>
                  <w:r>
                    <w:rPr>
                      <w:rFonts w:ascii="仿宋_GB2312" w:hAnsi="仿宋_GB2312" w:cs="仿宋_GB2312" w:eastAsia="仿宋_GB2312"/>
                      <w:sz w:val="24"/>
                      <w:b/>
                    </w:rPr>
                    <w:t>）</w:t>
                  </w:r>
                </w:p>
              </w:tc>
              <w:tc>
                <w:tcPr>
                  <w:tcW w:type="dxa" w:w="2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服务要求</w:t>
                  </w:r>
                </w:p>
              </w:tc>
            </w:tr>
            <w:tr>
              <w:tc>
                <w:tcPr>
                  <w:tcW w:type="dxa" w:w="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p>
                <w:p>
                  <w:pPr>
                    <w:pStyle w:val="null3"/>
                    <w:jc w:val="center"/>
                  </w:pPr>
                  <w:r>
                    <w:rPr>
                      <w:rFonts w:ascii="仿宋_GB2312" w:hAnsi="仿宋_GB2312" w:cs="仿宋_GB2312" w:eastAsia="仿宋_GB2312"/>
                      <w:sz w:val="24"/>
                      <w:b/>
                    </w:rPr>
                    <w:t>法医病理鉴定</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早期尸体尸表检验</w:t>
                  </w:r>
                  <w:r>
                    <w:rPr>
                      <w:rFonts w:ascii="仿宋_GB2312" w:hAnsi="仿宋_GB2312" w:cs="仿宋_GB2312" w:eastAsia="仿宋_GB2312"/>
                      <w:sz w:val="24"/>
                    </w:rPr>
                    <w:t>及</w:t>
                  </w:r>
                  <w:r>
                    <w:rPr>
                      <w:rFonts w:ascii="仿宋_GB2312" w:hAnsi="仿宋_GB2312" w:cs="仿宋_GB2312" w:eastAsia="仿宋_GB2312"/>
                      <w:sz w:val="24"/>
                    </w:rPr>
                    <w:t>死因分析</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死亡</w:t>
                  </w:r>
                  <w:r>
                    <w:rPr>
                      <w:rFonts w:ascii="仿宋_GB2312" w:hAnsi="仿宋_GB2312" w:cs="仿宋_GB2312" w:eastAsia="仿宋_GB2312"/>
                      <w:sz w:val="24"/>
                    </w:rPr>
                    <w:t>24小时内（含）；</w:t>
                  </w:r>
                  <w:r>
                    <w:rPr>
                      <w:rFonts w:ascii="仿宋_GB2312" w:hAnsi="仿宋_GB2312" w:cs="仿宋_GB2312" w:eastAsia="仿宋_GB2312"/>
                      <w:sz w:val="24"/>
                    </w:rPr>
                    <w:t>对体表头面部、胸腹部、背臀部及四肢进行检验，分析死亡原因；含死亡原因鉴定</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晚期尸体尸表检验死因分析</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死亡</w:t>
                  </w:r>
                  <w:r>
                    <w:rPr>
                      <w:rFonts w:ascii="仿宋_GB2312" w:hAnsi="仿宋_GB2312" w:cs="仿宋_GB2312" w:eastAsia="仿宋_GB2312"/>
                      <w:sz w:val="24"/>
                    </w:rPr>
                    <w:t>24小时以上；</w:t>
                  </w:r>
                  <w:r>
                    <w:rPr>
                      <w:rFonts w:ascii="仿宋_GB2312" w:hAnsi="仿宋_GB2312" w:cs="仿宋_GB2312" w:eastAsia="仿宋_GB2312"/>
                      <w:sz w:val="24"/>
                    </w:rPr>
                    <w:t>对体表头面部、胸腹部、背臀部及四肢进行检验，分析死亡原因；含死亡原因鉴定</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早期尸体解剖</w:t>
                  </w:r>
                  <w:r>
                    <w:rPr>
                      <w:rFonts w:ascii="仿宋_GB2312" w:hAnsi="仿宋_GB2312" w:cs="仿宋_GB2312" w:eastAsia="仿宋_GB2312"/>
                      <w:sz w:val="24"/>
                    </w:rPr>
                    <w:t>及</w:t>
                  </w:r>
                  <w:r>
                    <w:rPr>
                      <w:rFonts w:ascii="仿宋_GB2312" w:hAnsi="仿宋_GB2312" w:cs="仿宋_GB2312" w:eastAsia="仿宋_GB2312"/>
                      <w:sz w:val="24"/>
                    </w:rPr>
                    <w:t>死因鉴定</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死亡</w:t>
                  </w:r>
                  <w:r>
                    <w:rPr>
                      <w:rFonts w:ascii="仿宋_GB2312" w:hAnsi="仿宋_GB2312" w:cs="仿宋_GB2312" w:eastAsia="仿宋_GB2312"/>
                      <w:sz w:val="24"/>
                    </w:rPr>
                    <w:t>24小时内（含）；</w:t>
                  </w:r>
                  <w:r>
                    <w:rPr>
                      <w:rFonts w:ascii="仿宋_GB2312" w:hAnsi="仿宋_GB2312" w:cs="仿宋_GB2312" w:eastAsia="仿宋_GB2312"/>
                      <w:sz w:val="24"/>
                    </w:rPr>
                    <w:t>对颅腔、胸腔、腹腔进行解剖检验，明确死亡原因；含器官肉眼检查及死亡原因鉴定</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晚期尸体解剖</w:t>
                  </w:r>
                  <w:r>
                    <w:rPr>
                      <w:rFonts w:ascii="仿宋_GB2312" w:hAnsi="仿宋_GB2312" w:cs="仿宋_GB2312" w:eastAsia="仿宋_GB2312"/>
                      <w:sz w:val="24"/>
                    </w:rPr>
                    <w:t>及</w:t>
                  </w:r>
                  <w:r>
                    <w:rPr>
                      <w:rFonts w:ascii="仿宋_GB2312" w:hAnsi="仿宋_GB2312" w:cs="仿宋_GB2312" w:eastAsia="仿宋_GB2312"/>
                      <w:sz w:val="24"/>
                    </w:rPr>
                    <w:t>死因鉴定</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死亡</w:t>
                  </w:r>
                  <w:r>
                    <w:rPr>
                      <w:rFonts w:ascii="仿宋_GB2312" w:hAnsi="仿宋_GB2312" w:cs="仿宋_GB2312" w:eastAsia="仿宋_GB2312"/>
                      <w:sz w:val="24"/>
                    </w:rPr>
                    <w:t>24小时以上；</w:t>
                  </w:r>
                  <w:r>
                    <w:rPr>
                      <w:rFonts w:ascii="仿宋_GB2312" w:hAnsi="仿宋_GB2312" w:cs="仿宋_GB2312" w:eastAsia="仿宋_GB2312"/>
                      <w:sz w:val="24"/>
                    </w:rPr>
                    <w:t>对颅腔、胸腔、腹腔进行解剖检验，明确死亡原因；含器官肉眼检查及死亡原因鉴定</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法医病理鉴定文证审查</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含死亡原因分析</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因果关系鉴定</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交通事故因果关系及大小</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常规组织切片制作检查</w:t>
                  </w:r>
                </w:p>
                <w:p>
                  <w:pPr>
                    <w:pStyle w:val="null3"/>
                    <w:jc w:val="center"/>
                  </w:pPr>
                  <w:r>
                    <w:rPr>
                      <w:rFonts w:ascii="仿宋_GB2312" w:hAnsi="仿宋_GB2312" w:cs="仿宋_GB2312" w:eastAsia="仿宋_GB2312"/>
                      <w:sz w:val="24"/>
                    </w:rPr>
                    <w:t>和法医病理诊断</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对器官取材并制作切片，进行组织病理学检查。主要通过对人体器官</w:t>
                  </w:r>
                  <w:r>
                    <w:rPr>
                      <w:rFonts w:ascii="仿宋_GB2312" w:hAnsi="仿宋_GB2312" w:cs="仿宋_GB2312" w:eastAsia="仿宋_GB2312"/>
                      <w:sz w:val="24"/>
                    </w:rPr>
                    <w:t>/组织切片进行大体检验和（或）显微组织病理学检验，依据法医病理学专业知识分析、判断，作出法医病理学诊断意见。</w:t>
                  </w:r>
                </w:p>
              </w:tc>
            </w:tr>
            <w:tr>
              <w:tc>
                <w:tcPr>
                  <w:tcW w:type="dxa" w:w="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w:t>
                  </w:r>
                </w:p>
                <w:p>
                  <w:pPr>
                    <w:pStyle w:val="null3"/>
                    <w:jc w:val="center"/>
                  </w:pPr>
                  <w:r>
                    <w:rPr>
                      <w:rFonts w:ascii="仿宋_GB2312" w:hAnsi="仿宋_GB2312" w:cs="仿宋_GB2312" w:eastAsia="仿宋_GB2312"/>
                      <w:sz w:val="24"/>
                      <w:b/>
                    </w:rPr>
                    <w:t>法医临床鉴定</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损伤程度鉴定</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不含辅助检查</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损伤程度鉴定文证审查</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w:t>
                  </w:r>
                </w:p>
                <w:p>
                  <w:pPr>
                    <w:pStyle w:val="null3"/>
                    <w:jc w:val="center"/>
                  </w:pPr>
                  <w:r>
                    <w:rPr>
                      <w:rFonts w:ascii="仿宋_GB2312" w:hAnsi="仿宋_GB2312" w:cs="仿宋_GB2312" w:eastAsia="仿宋_GB2312"/>
                      <w:sz w:val="24"/>
                      <w:b/>
                    </w:rPr>
                    <w:t>法医毒</w:t>
                  </w:r>
                  <w:r>
                    <w:rPr>
                      <w:rFonts w:ascii="仿宋_GB2312" w:hAnsi="仿宋_GB2312" w:cs="仿宋_GB2312" w:eastAsia="仿宋_GB2312"/>
                      <w:sz w:val="24"/>
                      <w:b/>
                    </w:rPr>
                    <w:t>物</w:t>
                  </w:r>
                  <w:r>
                    <w:rPr>
                      <w:rFonts w:ascii="仿宋_GB2312" w:hAnsi="仿宋_GB2312" w:cs="仿宋_GB2312" w:eastAsia="仿宋_GB2312"/>
                      <w:sz w:val="24"/>
                      <w:b/>
                    </w:rPr>
                    <w:t>鉴定</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血液中乙醇含量检测</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含死亡、重大、疑难案件检测（含剩余检材保存</w:t>
                  </w:r>
                  <w:r>
                    <w:rPr>
                      <w:rFonts w:ascii="仿宋_GB2312" w:hAnsi="仿宋_GB2312" w:cs="仿宋_GB2312" w:eastAsia="仿宋_GB2312"/>
                      <w:sz w:val="24"/>
                    </w:rPr>
                    <w:t>90日费用）</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血液中毒品定性定量</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血、尿、头发中常见毒品定性定量，包含苯丙胺类、氯胺酮类、阿片类、大麻类（含剩余检材保存</w:t>
                  </w:r>
                  <w:r>
                    <w:rPr>
                      <w:rFonts w:ascii="仿宋_GB2312" w:hAnsi="仿宋_GB2312" w:cs="仿宋_GB2312" w:eastAsia="仿宋_GB2312"/>
                      <w:sz w:val="24"/>
                    </w:rPr>
                    <w:t>90日费用）</w:t>
                  </w:r>
                  <w:r>
                    <w:rPr>
                      <w:rFonts w:ascii="仿宋_GB2312" w:hAnsi="仿宋_GB2312" w:cs="仿宋_GB2312" w:eastAsia="仿宋_GB2312"/>
                      <w:sz w:val="24"/>
                    </w:rPr>
                    <w:t>。</w:t>
                  </w:r>
                </w:p>
              </w:tc>
            </w:tr>
            <w:tr>
              <w:tc>
                <w:tcPr>
                  <w:tcW w:type="dxa" w:w="741"/>
                  <w:vMerge/>
                  <w:tcBorders>
                    <w:top w:val="none" w:color="000000" w:sz="4"/>
                    <w:left w:val="single" w:color="000000" w:sz="4"/>
                    <w:bottom w:val="single" w:color="000000" w:sz="4"/>
                    <w:right w:val="single" w:color="000000" w:sz="4"/>
                  </w:tcBorders>
                </w:tcP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血液中毒品毒物筛查</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血、尿、胃内容物、其它人体体液等检材中常见毒物定性，包含常见的有机毒物、无机毒物、毒品、毒药物等进行筛查（含剩余检材保存</w:t>
                  </w:r>
                  <w:r>
                    <w:rPr>
                      <w:rFonts w:ascii="仿宋_GB2312" w:hAnsi="仿宋_GB2312" w:cs="仿宋_GB2312" w:eastAsia="仿宋_GB2312"/>
                      <w:sz w:val="24"/>
                    </w:rPr>
                    <w:t>90日费用）</w:t>
                  </w:r>
                  <w:r>
                    <w:rPr>
                      <w:rFonts w:ascii="仿宋_GB2312" w:hAnsi="仿宋_GB2312" w:cs="仿宋_GB2312" w:eastAsia="仿宋_GB2312"/>
                      <w:sz w:val="24"/>
                    </w:rPr>
                    <w:t>。</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（四）</w:t>
                  </w:r>
                </w:p>
                <w:p>
                  <w:pPr>
                    <w:pStyle w:val="null3"/>
                    <w:jc w:val="center"/>
                  </w:pPr>
                  <w:r>
                    <w:rPr>
                      <w:rFonts w:ascii="仿宋_GB2312" w:hAnsi="仿宋_GB2312" w:cs="仿宋_GB2312" w:eastAsia="仿宋_GB2312"/>
                      <w:sz w:val="24"/>
                      <w:b/>
                    </w:rPr>
                    <w:t>法医物证鉴定</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个体识别（</w:t>
                  </w:r>
                  <w:r>
                    <w:rPr>
                      <w:rFonts w:ascii="仿宋_GB2312" w:hAnsi="仿宋_GB2312" w:cs="仿宋_GB2312" w:eastAsia="仿宋_GB2312"/>
                      <w:sz w:val="24"/>
                    </w:rPr>
                    <w:t>DNA</w:t>
                  </w:r>
                  <w:r>
                    <w:rPr>
                      <w:rFonts w:ascii="仿宋_GB2312" w:hAnsi="仿宋_GB2312" w:cs="仿宋_GB2312" w:eastAsia="仿宋_GB2312"/>
                      <w:sz w:val="24"/>
                    </w:rPr>
                    <w:t>）</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含微量提取样本、污染样本等特殊检材</w:t>
                  </w:r>
                  <w:r>
                    <w:rPr>
                      <w:rFonts w:ascii="仿宋_GB2312" w:hAnsi="仿宋_GB2312" w:cs="仿宋_GB2312" w:eastAsia="仿宋_GB2312"/>
                      <w:sz w:val="24"/>
                    </w:rPr>
                    <w:t>。</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（五）</w:t>
                  </w:r>
                </w:p>
                <w:p>
                  <w:pPr>
                    <w:pStyle w:val="null3"/>
                    <w:jc w:val="center"/>
                  </w:pPr>
                  <w:r>
                    <w:rPr>
                      <w:rFonts w:ascii="仿宋_GB2312" w:hAnsi="仿宋_GB2312" w:cs="仿宋_GB2312" w:eastAsia="仿宋_GB2312"/>
                      <w:sz w:val="24"/>
                      <w:b/>
                    </w:rPr>
                    <w:t>法医精神病鉴定</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精神状态鉴定</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判定被鉴定人在特定时间或时期的精神状态，包括智能障碍、精神疾病诊断及严重程度评定</w:t>
                  </w:r>
                  <w:r>
                    <w:rPr>
                      <w:rFonts w:ascii="仿宋_GB2312" w:hAnsi="仿宋_GB2312" w:cs="仿宋_GB2312" w:eastAsia="仿宋_GB2312"/>
                      <w:sz w:val="24"/>
                    </w:rPr>
                    <w:t>。</w:t>
                  </w:r>
                </w:p>
              </w:tc>
            </w:tr>
          </w:tbl>
          <w:p>
            <w:pPr>
              <w:pStyle w:val="null3"/>
              <w:ind w:firstLine="480"/>
              <w:jc w:val="left"/>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标的名称：车辆类鉴定服务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（一）服务项目清单</w:t>
            </w:r>
          </w:p>
          <w:tbl>
            <w:tblPr>
              <w:tblBorders>
                <w:top w:val="none" w:color="000000" w:sz="4"/>
                <w:left w:val="none" w:color="000000" w:sz="4"/>
                <w:bottom w:val="none" w:color="000000" w:sz="4"/>
                <w:right w:val="none" w:color="000000" w:sz="4"/>
                <w:insideH w:val="none"/>
                <w:insideV w:val="none"/>
              </w:tblBorders>
            </w:tblPr>
            <w:tblGrid>
              <w:gridCol w:w="724"/>
              <w:gridCol w:w="462"/>
              <w:gridCol w:w="1657"/>
              <w:gridCol w:w="759"/>
              <w:gridCol w:w="1535"/>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鉴定</w:t>
                  </w:r>
                </w:p>
                <w:p>
                  <w:pPr>
                    <w:pStyle w:val="null3"/>
                    <w:jc w:val="center"/>
                  </w:pPr>
                  <w:r>
                    <w:rPr>
                      <w:rFonts w:ascii="仿宋_GB2312" w:hAnsi="仿宋_GB2312" w:cs="仿宋_GB2312" w:eastAsia="仿宋_GB2312"/>
                      <w:sz w:val="24"/>
                      <w:b/>
                    </w:rPr>
                    <w:t>类别</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w:t>
                  </w:r>
                  <w:r>
                    <w:rPr>
                      <w:rFonts w:ascii="仿宋_GB2312" w:hAnsi="仿宋_GB2312" w:cs="仿宋_GB2312" w:eastAsia="仿宋_GB2312"/>
                      <w:sz w:val="24"/>
                      <w:b/>
                    </w:rPr>
                    <w:t>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最高</w:t>
                  </w:r>
                  <w:r>
                    <w:rPr>
                      <w:rFonts w:ascii="仿宋_GB2312" w:hAnsi="仿宋_GB2312" w:cs="仿宋_GB2312" w:eastAsia="仿宋_GB2312"/>
                      <w:sz w:val="24"/>
                      <w:b/>
                    </w:rPr>
                    <w:t>单价</w:t>
                  </w:r>
                </w:p>
                <w:p>
                  <w:pPr>
                    <w:pStyle w:val="null3"/>
                    <w:jc w:val="center"/>
                  </w:pPr>
                  <w:r>
                    <w:rPr>
                      <w:rFonts w:ascii="仿宋_GB2312" w:hAnsi="仿宋_GB2312" w:cs="仿宋_GB2312" w:eastAsia="仿宋_GB2312"/>
                      <w:sz w:val="24"/>
                      <w:b/>
                    </w:rPr>
                    <w:t>限价</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/例</w:t>
                  </w:r>
                  <w:r>
                    <w:rPr>
                      <w:rFonts w:ascii="仿宋_GB2312" w:hAnsi="仿宋_GB2312" w:cs="仿宋_GB2312" w:eastAsia="仿宋_GB2312"/>
                      <w:sz w:val="24"/>
                      <w:b/>
                    </w:rPr>
                    <w:t>）</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服务要求</w:t>
                  </w: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p>
                  <w:pPr>
                    <w:pStyle w:val="null3"/>
                    <w:jc w:val="center"/>
                  </w:pPr>
                  <w:r>
                    <w:rPr>
                      <w:rFonts w:ascii="仿宋_GB2312" w:hAnsi="仿宋_GB2312" w:cs="仿宋_GB2312" w:eastAsia="仿宋_GB2312"/>
                      <w:sz w:val="24"/>
                    </w:rPr>
                    <w:t>交通工具安全性能检测</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摩托车、电动车（二轮、三轮）、非机动车</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c>
                <w:tcPr>
                  <w:tcW w:type="dxa" w:w="15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对车辆安全性能是否符合相关现行技术标准进行的检验</w:t>
                  </w:r>
                  <w:r>
                    <w:rPr>
                      <w:rFonts w:ascii="仿宋_GB2312" w:hAnsi="仿宋_GB2312" w:cs="仿宋_GB2312" w:eastAsia="仿宋_GB2312"/>
                      <w:sz w:val="24"/>
                    </w:rPr>
                    <w:t>。</w:t>
                  </w:r>
                </w:p>
              </w:tc>
            </w:tr>
            <w:tr>
              <w:tc>
                <w:tcPr>
                  <w:tcW w:type="dxa" w:w="724"/>
                  <w:vMerge/>
                  <w:tcBorders>
                    <w:top w:val="non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乘用车（</w:t>
                  </w:r>
                  <w:r>
                    <w:rPr>
                      <w:rFonts w:ascii="仿宋_GB2312" w:hAnsi="仿宋_GB2312" w:cs="仿宋_GB2312" w:eastAsia="仿宋_GB2312"/>
                      <w:sz w:val="24"/>
                    </w:rPr>
                    <w:t>9座及以下的小型客车、轿车），小型货车</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1660</w:t>
                  </w:r>
                </w:p>
              </w:tc>
              <w:tc>
                <w:tcPr>
                  <w:tcW w:type="dxa" w:w="1535"/>
                  <w:vMerge/>
                  <w:tcBorders>
                    <w:top w:val="none" w:color="000000" w:sz="4"/>
                    <w:left w:val="singl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大中型货车、大型客车</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1700</w:t>
                  </w:r>
                </w:p>
              </w:tc>
              <w:tc>
                <w:tcPr>
                  <w:tcW w:type="dxa" w:w="1535"/>
                  <w:vMerge/>
                  <w:tcBorders>
                    <w:top w:val="none" w:color="000000" w:sz="4"/>
                    <w:left w:val="single" w:color="000000" w:sz="4"/>
                    <w:bottom w:val="single" w:color="000000" w:sz="4"/>
                    <w:right w:val="single" w:color="000000" w:sz="4"/>
                  </w:tcBorders>
                </w:tcPr>
                <w:p/>
              </w:tc>
            </w:tr>
            <w:tr>
              <w:tc>
                <w:tcPr>
                  <w:tcW w:type="dxa" w:w="724"/>
                  <w:vMerge/>
                  <w:tcBorders>
                    <w:top w:val="non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车辆拆检加收费用</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w:t>
                  </w:r>
                </w:p>
              </w:tc>
              <w:tc>
                <w:tcPr>
                  <w:tcW w:type="dxa" w:w="1535"/>
                  <w:vMerge/>
                  <w:tcBorders>
                    <w:top w:val="none" w:color="000000" w:sz="4"/>
                    <w:left w:val="single" w:color="000000" w:sz="4"/>
                    <w:bottom w:val="single" w:color="000000" w:sz="4"/>
                    <w:right w:val="single" w:color="000000" w:sz="4"/>
                  </w:tcBorders>
                </w:tc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p>
                  <w:pPr>
                    <w:pStyle w:val="null3"/>
                    <w:jc w:val="center"/>
                  </w:pPr>
                  <w:r>
                    <w:rPr>
                      <w:rFonts w:ascii="仿宋_GB2312" w:hAnsi="仿宋_GB2312" w:cs="仿宋_GB2312" w:eastAsia="仿宋_GB2312"/>
                      <w:sz w:val="24"/>
                    </w:rPr>
                    <w:t>痕迹鉴定</w:t>
                  </w:r>
                </w:p>
              </w:tc>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车辆痕迹鉴定等</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事故车辆之间、车辆与事故环境物体之间接触痕迹比对；车体部件与现场遗留物之间关系的整体分离痕迹检验；车辆发动机、车架号、车身是否唯一性的检验鉴定</w:t>
                  </w:r>
                  <w:r>
                    <w:rPr>
                      <w:rFonts w:ascii="仿宋_GB2312" w:hAnsi="仿宋_GB2312" w:cs="仿宋_GB2312" w:eastAsia="仿宋_GB2312"/>
                      <w:sz w:val="24"/>
                    </w:rPr>
                    <w:t>。</w:t>
                  </w:r>
                </w:p>
              </w:tc>
            </w:tr>
            <w:tr>
              <w:tc>
                <w:tcPr>
                  <w:tcW w:type="dxa" w:w="724"/>
                  <w:vMerge/>
                  <w:tcBorders>
                    <w:top w:val="none" w:color="000000" w:sz="4"/>
                    <w:left w:val="single" w:color="000000" w:sz="4"/>
                    <w:bottom w:val="single" w:color="000000" w:sz="4"/>
                    <w:right w:val="single" w:color="000000" w:sz="4"/>
                  </w:tcBorders>
                </w:tcPr>
                <w:p/>
              </w:tc>
              <w:tc>
                <w:tcPr>
                  <w:tcW w:type="dxa" w:w="462"/>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地面痕迹、轮胎痕迹等鉴定</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p>
                  <w:pPr>
                    <w:pStyle w:val="null3"/>
                    <w:jc w:val="center"/>
                  </w:pPr>
                  <w:r>
                    <w:rPr>
                      <w:rFonts w:ascii="仿宋_GB2312" w:hAnsi="仿宋_GB2312" w:cs="仿宋_GB2312" w:eastAsia="仿宋_GB2312"/>
                      <w:sz w:val="24"/>
                    </w:rPr>
                    <w:t>其他</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车辆行驶速度鉴定</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鉴定交通事故中车辆的速度</w:t>
                  </w:r>
                  <w:r>
                    <w:rPr>
                      <w:rFonts w:ascii="仿宋_GB2312" w:hAnsi="仿宋_GB2312" w:cs="仿宋_GB2312" w:eastAsia="仿宋_GB2312"/>
                      <w:sz w:val="24"/>
                    </w:rPr>
                    <w:t>。</w:t>
                  </w:r>
                </w:p>
              </w:tc>
            </w:tr>
            <w:tr>
              <w:tc>
                <w:tcPr>
                  <w:tcW w:type="dxa" w:w="724"/>
                  <w:vMerge/>
                  <w:tcBorders>
                    <w:top w:val="non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道路交通事故涉案者行为方式</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4"/>
                  <w:vMerge/>
                  <w:tcBorders>
                    <w:top w:val="non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交通工具属性鉴定</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事故车辆种类属性的检验鉴定</w:t>
                  </w:r>
                  <w:r>
                    <w:rPr>
                      <w:rFonts w:ascii="仿宋_GB2312" w:hAnsi="仿宋_GB2312" w:cs="仿宋_GB2312" w:eastAsia="仿宋_GB2312"/>
                      <w:sz w:val="24"/>
                    </w:rPr>
                    <w:t>。</w:t>
                  </w:r>
                </w:p>
              </w:tc>
            </w:tr>
            <w:tr>
              <w:tc>
                <w:tcPr>
                  <w:tcW w:type="dxa" w:w="724"/>
                  <w:vMerge/>
                  <w:tcBorders>
                    <w:top w:val="non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道路交通事故过程</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w:t>
                  </w: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1.检验鉴定在交通事故发生地（市、区）内采购人指定地点完成，特殊情况协商鉴定地点；检验鉴定项目由采购人指定。</w:t>
            </w:r>
          </w:p>
          <w:p>
            <w:pPr>
              <w:pStyle w:val="null3"/>
              <w:ind w:firstLine="480"/>
              <w:jc w:val="left"/>
            </w:pPr>
            <w:r>
              <w:rPr>
                <w:rFonts w:ascii="仿宋_GB2312" w:hAnsi="仿宋_GB2312" w:cs="仿宋_GB2312" w:eastAsia="仿宋_GB2312"/>
                <w:sz w:val="24"/>
              </w:rPr>
              <w:t>★2.成交供应商收到委托后3个工作日内完成并出具检验报告，3个工作日内不能完成的，收到委托后应立即反馈协商鉴定时间，最长不得超过20日（血液中乙醇含量检测不能超过3个工作日）；对疑难、复杂或特殊检验鉴定事项、要求的委托，供应商应当与采购人协商延长期限，经采购人同意后按商定的时限完成。</w:t>
            </w:r>
          </w:p>
          <w:p>
            <w:pPr>
              <w:pStyle w:val="null3"/>
              <w:ind w:firstLine="480"/>
              <w:jc w:val="left"/>
            </w:pPr>
            <w:r>
              <w:rPr>
                <w:rFonts w:ascii="仿宋_GB2312" w:hAnsi="仿宋_GB2312" w:cs="仿宋_GB2312" w:eastAsia="仿宋_GB2312"/>
                <w:sz w:val="24"/>
              </w:rPr>
              <w:t>3.需重新检验鉴定的，成交供应商应另行指派鉴定人。其中至少有一名鉴定人员须具有相关专业高级技术职称。</w:t>
            </w:r>
          </w:p>
          <w:p>
            <w:pPr>
              <w:pStyle w:val="null3"/>
              <w:ind w:firstLine="480"/>
              <w:jc w:val="left"/>
            </w:pPr>
            <w:r>
              <w:rPr>
                <w:rFonts w:ascii="仿宋_GB2312" w:hAnsi="仿宋_GB2312" w:cs="仿宋_GB2312" w:eastAsia="仿宋_GB2312"/>
                <w:sz w:val="24"/>
              </w:rPr>
              <w:t>★4.供应商及其司法鉴定人必须按照国家相关法律、法规及技术标准独立、客观、科学、公正地开展检验鉴定工作，并承担相应法律责任和义务。</w:t>
            </w:r>
          </w:p>
          <w:p>
            <w:pPr>
              <w:pStyle w:val="null3"/>
              <w:ind w:firstLine="480"/>
              <w:jc w:val="left"/>
            </w:pPr>
            <w:r>
              <w:rPr>
                <w:rFonts w:ascii="仿宋_GB2312" w:hAnsi="仿宋_GB2312" w:cs="仿宋_GB2312" w:eastAsia="仿宋_GB2312"/>
                <w:sz w:val="24"/>
              </w:rPr>
              <w:t>★5.对送检的样本，完成鉴定后无偿保存90日（有明文规定的，按规定执行）。</w:t>
            </w:r>
          </w:p>
          <w:p>
            <w:pPr>
              <w:pStyle w:val="null3"/>
              <w:ind w:firstLine="480"/>
              <w:jc w:val="left"/>
            </w:pPr>
            <w:r>
              <w:rPr>
                <w:rFonts w:ascii="仿宋_GB2312" w:hAnsi="仿宋_GB2312" w:cs="仿宋_GB2312" w:eastAsia="仿宋_GB2312"/>
                <w:sz w:val="24"/>
              </w:rPr>
              <w:t>★6.不得以任何方式或理由泄露案件相关信息。</w:t>
            </w:r>
          </w:p>
          <w:p>
            <w:pPr>
              <w:pStyle w:val="null3"/>
              <w:ind w:firstLine="480"/>
              <w:jc w:val="left"/>
            </w:pPr>
            <w:r>
              <w:rPr>
                <w:rFonts w:ascii="仿宋_GB2312" w:hAnsi="仿宋_GB2312" w:cs="仿宋_GB2312" w:eastAsia="仿宋_GB2312"/>
                <w:sz w:val="24"/>
              </w:rPr>
              <w:t>★7.鉴定业务档案应符合《司法鉴定业务档案管理办法》的相关要求。</w:t>
            </w:r>
          </w:p>
          <w:p>
            <w:pPr>
              <w:pStyle w:val="null3"/>
              <w:ind w:firstLine="480"/>
              <w:jc w:val="left"/>
            </w:pPr>
            <w:r>
              <w:rPr>
                <w:rFonts w:ascii="仿宋_GB2312" w:hAnsi="仿宋_GB2312" w:cs="仿宋_GB2312" w:eastAsia="仿宋_GB2312"/>
                <w:sz w:val="24"/>
              </w:rPr>
              <w:t>8.本项目的鉴定人员应当持证上岗，并按照登记的司法鉴定执业类别，从事检验鉴定业务。投入本项目的检验鉴定工作人员人数不少于3人。</w:t>
            </w:r>
            <w:r>
              <w:rPr>
                <w:rFonts w:ascii="仿宋_GB2312" w:hAnsi="仿宋_GB2312" w:cs="仿宋_GB2312" w:eastAsia="仿宋_GB2312"/>
                <w:sz w:val="24"/>
                <w:b/>
              </w:rPr>
              <w:t>（</w:t>
            </w:r>
            <w:r>
              <w:rPr>
                <w:rFonts w:ascii="仿宋_GB2312" w:hAnsi="仿宋_GB2312" w:cs="仿宋_GB2312" w:eastAsia="仿宋_GB2312"/>
                <w:sz w:val="24"/>
                <w:b/>
              </w:rPr>
              <w:t>提供人员</w:t>
            </w:r>
            <w:r>
              <w:rPr>
                <w:rFonts w:ascii="仿宋_GB2312" w:hAnsi="仿宋_GB2312" w:cs="仿宋_GB2312" w:eastAsia="仿宋_GB2312"/>
                <w:sz w:val="24"/>
                <w:b/>
              </w:rPr>
              <w:t>身份证复印（扫描）件以及《</w:t>
            </w:r>
            <w:r>
              <w:rPr>
                <w:rFonts w:ascii="仿宋_GB2312" w:hAnsi="仿宋_GB2312" w:cs="仿宋_GB2312" w:eastAsia="仿宋_GB2312"/>
                <w:sz w:val="24"/>
                <w:b/>
              </w:rPr>
              <w:t>司法鉴定人执业证</w:t>
            </w:r>
            <w:r>
              <w:rPr>
                <w:rFonts w:ascii="仿宋_GB2312" w:hAnsi="仿宋_GB2312" w:cs="仿宋_GB2312" w:eastAsia="仿宋_GB2312"/>
                <w:sz w:val="24"/>
                <w:b/>
              </w:rPr>
              <w:t>》复印（扫描）件</w:t>
            </w:r>
            <w:r>
              <w:rPr>
                <w:rFonts w:ascii="仿宋_GB2312" w:hAnsi="仿宋_GB2312" w:cs="仿宋_GB2312" w:eastAsia="仿宋_GB2312"/>
                <w:sz w:val="24"/>
                <w:b/>
              </w:rPr>
              <w:t>加盖供应商单位公章</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★9.经人民法院通知，要求鉴定人出庭作证的，鉴定人应当出庭作证。</w:t>
            </w:r>
          </w:p>
          <w:p>
            <w:pPr>
              <w:pStyle w:val="null3"/>
              <w:ind w:firstLine="480"/>
              <w:jc w:val="left"/>
            </w:pPr>
            <w:r>
              <w:rPr>
                <w:rFonts w:ascii="仿宋_GB2312" w:hAnsi="仿宋_GB2312" w:cs="仿宋_GB2312" w:eastAsia="仿宋_GB2312"/>
                <w:sz w:val="24"/>
              </w:rPr>
              <w:t>10.若供应商提供的鉴定报告因人为或故意造成失真产生的不良后果，供应商需承担相应的法律责任、经济责任及社会责任。</w:t>
            </w:r>
          </w:p>
          <w:p>
            <w:pPr>
              <w:pStyle w:val="null3"/>
              <w:ind w:firstLine="480"/>
              <w:jc w:val="left"/>
            </w:pPr>
            <w:r>
              <w:rPr>
                <w:rFonts w:ascii="仿宋_GB2312" w:hAnsi="仿宋_GB2312" w:cs="仿宋_GB2312" w:eastAsia="仿宋_GB2312"/>
                <w:sz w:val="24"/>
              </w:rPr>
              <w:t>11.其他应由供应商履行的法定义务。</w:t>
            </w:r>
          </w:p>
          <w:p>
            <w:pPr>
              <w:pStyle w:val="null3"/>
              <w:ind w:firstLine="480"/>
              <w:jc w:val="left"/>
            </w:pPr>
            <w:r>
              <w:rPr>
                <w:rFonts w:ascii="仿宋_GB2312" w:hAnsi="仿宋_GB2312" w:cs="仿宋_GB2312" w:eastAsia="仿宋_GB2312"/>
                <w:sz w:val="24"/>
              </w:rPr>
              <w:t>★12.本项目自成交供应商签订合同之日起至服务期满止，实施过程中的人身安全、财产安全、环境安全等一切安全责任及因项目实施过程中造成的直接或间接损失，均由供应商自行承担。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489"/>
              <w:gridCol w:w="2268"/>
              <w:gridCol w:w="2259"/>
              <w:gridCol w:w="571"/>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考评内容</w:t>
                  </w:r>
                </w:p>
              </w:tc>
              <w:tc>
                <w:tcPr>
                  <w:tcW w:type="dxa" w:w="2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扣分标准</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扣分</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鉴定完成时效性。</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每超出法定时效一次扣</w:t>
                  </w:r>
                  <w:r>
                    <w:rPr>
                      <w:rFonts w:ascii="仿宋_GB2312" w:hAnsi="仿宋_GB2312" w:cs="仿宋_GB2312" w:eastAsia="仿宋_GB2312"/>
                      <w:sz w:val="24"/>
                    </w:rPr>
                    <w:t>10分。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鉴定报告采信率。</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未得到采信的每次扣</w:t>
                  </w:r>
                  <w:r>
                    <w:rPr>
                      <w:rFonts w:ascii="仿宋_GB2312" w:hAnsi="仿宋_GB2312" w:cs="仿宋_GB2312" w:eastAsia="仿宋_GB2312"/>
                      <w:sz w:val="24"/>
                    </w:rPr>
                    <w:t>10分。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用户在工作日内或工作时间段内的日常操作问题和业务问题电话咨询时，鉴定人员需在</w:t>
                  </w:r>
                  <w:r>
                    <w:rPr>
                      <w:rFonts w:ascii="仿宋_GB2312" w:hAnsi="仿宋_GB2312" w:cs="仿宋_GB2312" w:eastAsia="仿宋_GB2312"/>
                      <w:sz w:val="24"/>
                    </w:rPr>
                    <w:t>60分钟内响应，并依据咨询服务内容及时处理完成并回复。</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未及时响应回复的，每次扣</w:t>
                  </w:r>
                  <w:r>
                    <w:rPr>
                      <w:rFonts w:ascii="仿宋_GB2312" w:hAnsi="仿宋_GB2312" w:cs="仿宋_GB2312" w:eastAsia="仿宋_GB2312"/>
                      <w:sz w:val="24"/>
                    </w:rPr>
                    <w:t>2分</w:t>
                  </w:r>
                  <w:r>
                    <w:rPr>
                      <w:rFonts w:ascii="仿宋_GB2312" w:hAnsi="仿宋_GB2312" w:cs="仿宋_GB2312" w:eastAsia="仿宋_GB2312"/>
                      <w:sz w:val="24"/>
                    </w:rPr>
                    <w:t>。</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鉴定团队和人员在开展工作时需保持良好的态度，提供专业和耐心的技术支持服务。</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受到用户投诉且经查证投诉成立的，每次扣</w:t>
                  </w:r>
                  <w:r>
                    <w:rPr>
                      <w:rFonts w:ascii="仿宋_GB2312" w:hAnsi="仿宋_GB2312" w:cs="仿宋_GB2312" w:eastAsia="仿宋_GB2312"/>
                      <w:sz w:val="24"/>
                    </w:rPr>
                    <w:t>2分。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备注：考核总分</w:t>
                  </w:r>
                  <w:r>
                    <w:rPr>
                      <w:rFonts w:ascii="仿宋_GB2312" w:hAnsi="仿宋_GB2312" w:cs="仿宋_GB2312" w:eastAsia="仿宋_GB2312"/>
                      <w:sz w:val="24"/>
                      <w:b/>
                    </w:rPr>
                    <w:t>100分制，每季度进行一次考核；季度考核低于80分（含）2次及以上，则采购人有权视情况中止合同或更换供应商并追究相关责任。</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履约要求</w:t>
            </w:r>
          </w:p>
        </w:tc>
        <w:tc>
          <w:tcPr>
            <w:tcW w:type="dxa" w:w="5814"/>
          </w:tcPr>
          <w:p>
            <w:pPr>
              <w:pStyle w:val="null3"/>
              <w:ind w:firstLine="480"/>
              <w:jc w:val="both"/>
            </w:pPr>
            <w:r>
              <w:rPr>
                <w:rFonts w:ascii="仿宋_GB2312" w:hAnsi="仿宋_GB2312" w:cs="仿宋_GB2312" w:eastAsia="仿宋_GB2312"/>
                <w:sz w:val="24"/>
              </w:rPr>
              <w:t>1.供应商具有类似履约经验；</w:t>
            </w:r>
            <w:r>
              <w:rPr>
                <w:rFonts w:ascii="仿宋_GB2312" w:hAnsi="仿宋_GB2312" w:cs="仿宋_GB2312" w:eastAsia="仿宋_GB2312"/>
                <w:sz w:val="21"/>
              </w:rPr>
              <w:t xml:space="preserve"> </w:t>
            </w:r>
          </w:p>
          <w:p>
            <w:pPr>
              <w:pStyle w:val="null3"/>
              <w:ind w:firstLine="482"/>
              <w:jc w:val="both"/>
            </w:pPr>
            <w:r>
              <w:rPr>
                <w:rFonts w:ascii="仿宋_GB2312" w:hAnsi="仿宋_GB2312" w:cs="仿宋_GB2312" w:eastAsia="仿宋_GB2312"/>
                <w:sz w:val="24"/>
              </w:rPr>
              <w:t>2.</w:t>
            </w:r>
            <w:r>
              <w:rPr>
                <w:rFonts w:ascii="仿宋_GB2312" w:hAnsi="仿宋_GB2312" w:cs="仿宋_GB2312" w:eastAsia="仿宋_GB2312"/>
                <w:sz w:val="24"/>
              </w:rPr>
              <w:t>针对本项目服务内容及要求提供针对本项目的以下方案</w:t>
            </w:r>
          </w:p>
          <w:p>
            <w:pPr>
              <w:pStyle w:val="null3"/>
              <w:ind w:firstLine="480"/>
              <w:jc w:val="both"/>
            </w:pPr>
            <w:r>
              <w:rPr>
                <w:rFonts w:ascii="仿宋_GB2312" w:hAnsi="仿宋_GB2312" w:cs="仿宋_GB2312" w:eastAsia="仿宋_GB2312"/>
                <w:sz w:val="24"/>
              </w:rPr>
              <w:t>2.1项目实施方案，其内容包含：①鉴定工作组织机构设置及人员职责分工；②鉴定工作流程及程序（至少包含鉴定程序依据、鉴定程序内容、鉴定程序各环节划分）；③鉴定程序每一步骤的重难点解析及应对措施；④鉴定结果质量保障措施（至少包含实验室及鉴定设备配置、技术保障、实效保障、后续服务保障）；⑤鉴定结果保密措施；⑥应急处置预案（至少包含突发案件、重特大具有影响力案件）。</w:t>
            </w:r>
          </w:p>
          <w:p>
            <w:pPr>
              <w:pStyle w:val="null3"/>
              <w:ind w:firstLine="480"/>
              <w:jc w:val="both"/>
            </w:pPr>
            <w:r>
              <w:rPr>
                <w:rFonts w:ascii="仿宋_GB2312" w:hAnsi="仿宋_GB2312" w:cs="仿宋_GB2312" w:eastAsia="仿宋_GB2312"/>
                <w:sz w:val="24"/>
              </w:rPr>
              <w:t>2.2管理制度，其内容包含：①人员管理制度；②重</w:t>
            </w:r>
            <w:r>
              <w:rPr>
                <w:rFonts w:ascii="仿宋_GB2312" w:hAnsi="仿宋_GB2312" w:cs="仿宋_GB2312" w:eastAsia="仿宋_GB2312"/>
                <w:sz w:val="24"/>
              </w:rPr>
              <w:t>大、疑难复杂、社会影响较大的案</w:t>
            </w:r>
            <w:r>
              <w:rPr>
                <w:rFonts w:ascii="仿宋_GB2312" w:hAnsi="仿宋_GB2312" w:cs="仿宋_GB2312" w:eastAsia="仿宋_GB2312"/>
                <w:sz w:val="24"/>
              </w:rPr>
              <w:t>件集体讨论制度；</w:t>
            </w:r>
            <w:r>
              <w:rPr>
                <w:rFonts w:ascii="仿宋_GB2312" w:hAnsi="仿宋_GB2312" w:cs="仿宋_GB2312" w:eastAsia="仿宋_GB2312"/>
                <w:sz w:val="24"/>
              </w:rPr>
              <w:t>③</w:t>
            </w:r>
            <w:r>
              <w:rPr>
                <w:rFonts w:ascii="仿宋_GB2312" w:hAnsi="仿宋_GB2312" w:cs="仿宋_GB2312" w:eastAsia="仿宋_GB2312"/>
                <w:sz w:val="24"/>
              </w:rPr>
              <w:t>保密制度</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回避管理制度</w:t>
            </w:r>
            <w:r>
              <w:rPr>
                <w:rFonts w:ascii="仿宋_GB2312" w:hAnsi="仿宋_GB2312" w:cs="仿宋_GB2312" w:eastAsia="仿宋_GB2312"/>
                <w:sz w:val="24"/>
              </w:rPr>
              <w:t>；</w:t>
            </w:r>
            <w:r>
              <w:rPr>
                <w:rFonts w:ascii="仿宋_GB2312" w:hAnsi="仿宋_GB2312" w:cs="仿宋_GB2312" w:eastAsia="仿宋_GB2312"/>
                <w:sz w:val="24"/>
              </w:rPr>
              <w:t>⑤档案管理制度；⑥</w:t>
            </w:r>
            <w:r>
              <w:rPr>
                <w:rFonts w:ascii="仿宋_GB2312" w:hAnsi="仿宋_GB2312" w:cs="仿宋_GB2312" w:eastAsia="仿宋_GB2312"/>
                <w:sz w:val="24"/>
              </w:rPr>
              <w:t>出庭制度</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1.检验鉴定在交通事故发生地（市、区）内采购人指定地点完成，特殊情况协商鉴定地点；检验鉴定项目由采购人指定。</w:t>
            </w:r>
          </w:p>
          <w:p>
            <w:pPr>
              <w:pStyle w:val="null3"/>
              <w:ind w:firstLine="480"/>
              <w:jc w:val="left"/>
            </w:pPr>
            <w:r>
              <w:rPr>
                <w:rFonts w:ascii="仿宋_GB2312" w:hAnsi="仿宋_GB2312" w:cs="仿宋_GB2312" w:eastAsia="仿宋_GB2312"/>
                <w:sz w:val="24"/>
              </w:rPr>
              <w:t>★2.成交供应商收到委托后3个工作日内完成并出具检验报告，3个工作日内不能完成的，收到委托后应立即反馈协商鉴定时间，最长不得超过20日；对疑难、复杂或特殊检验鉴定事项、要求的委托，供应商应当与采购人协商延长期限，经采购人同意后按商定的时限完成。</w:t>
            </w:r>
          </w:p>
          <w:p>
            <w:pPr>
              <w:pStyle w:val="null3"/>
              <w:ind w:firstLine="480"/>
              <w:jc w:val="left"/>
            </w:pPr>
            <w:r>
              <w:rPr>
                <w:rFonts w:ascii="仿宋_GB2312" w:hAnsi="仿宋_GB2312" w:cs="仿宋_GB2312" w:eastAsia="仿宋_GB2312"/>
                <w:sz w:val="24"/>
              </w:rPr>
              <w:t>★3.对于重特大、有影响、疑难等其他道路交通事故、采购人提出需要供应商派技术人员前往现场勘查的，供应商应及时按照委托单位的要求前往开展工作。</w:t>
            </w:r>
          </w:p>
          <w:p>
            <w:pPr>
              <w:pStyle w:val="null3"/>
              <w:ind w:firstLine="480"/>
              <w:jc w:val="left"/>
            </w:pPr>
            <w:r>
              <w:rPr>
                <w:rFonts w:ascii="仿宋_GB2312" w:hAnsi="仿宋_GB2312" w:cs="仿宋_GB2312" w:eastAsia="仿宋_GB2312"/>
                <w:sz w:val="24"/>
              </w:rPr>
              <w:t>★4.供应商须在服务期限内为采购人提供相关技术咨询服务，不再另外收取相关费用。</w:t>
            </w:r>
          </w:p>
          <w:p>
            <w:pPr>
              <w:pStyle w:val="null3"/>
              <w:ind w:firstLine="480"/>
              <w:jc w:val="left"/>
            </w:pPr>
            <w:r>
              <w:rPr>
                <w:rFonts w:ascii="仿宋_GB2312" w:hAnsi="仿宋_GB2312" w:cs="仿宋_GB2312" w:eastAsia="仿宋_GB2312"/>
                <w:sz w:val="24"/>
              </w:rPr>
              <w:t>★5.供应商及其司法鉴定人必须按照国家相关法律、法规及技术标准独立、客观、科学、公正地开展检验鉴定工作，并承担相应法律责任和义务。</w:t>
            </w:r>
          </w:p>
          <w:p>
            <w:pPr>
              <w:pStyle w:val="null3"/>
              <w:ind w:firstLine="480"/>
              <w:jc w:val="left"/>
            </w:pPr>
            <w:r>
              <w:rPr>
                <w:rFonts w:ascii="仿宋_GB2312" w:hAnsi="仿宋_GB2312" w:cs="仿宋_GB2312" w:eastAsia="仿宋_GB2312"/>
                <w:sz w:val="24"/>
              </w:rPr>
              <w:t>6.在检验鉴定工作开展过程中参与检验鉴定的工作人员需持证上岗，投入本项目的检验鉴定工作人员人数不少于3人。</w:t>
            </w:r>
            <w:r>
              <w:rPr>
                <w:rFonts w:ascii="仿宋_GB2312" w:hAnsi="仿宋_GB2312" w:cs="仿宋_GB2312" w:eastAsia="仿宋_GB2312"/>
                <w:sz w:val="24"/>
                <w:b/>
              </w:rPr>
              <w:t>（</w:t>
            </w:r>
            <w:r>
              <w:rPr>
                <w:rFonts w:ascii="仿宋_GB2312" w:hAnsi="仿宋_GB2312" w:cs="仿宋_GB2312" w:eastAsia="仿宋_GB2312"/>
                <w:sz w:val="24"/>
                <w:b/>
              </w:rPr>
              <w:t>提供人员</w:t>
            </w:r>
            <w:r>
              <w:rPr>
                <w:rFonts w:ascii="仿宋_GB2312" w:hAnsi="仿宋_GB2312" w:cs="仿宋_GB2312" w:eastAsia="仿宋_GB2312"/>
                <w:sz w:val="24"/>
                <w:b/>
              </w:rPr>
              <w:t>身份证复印（扫描）件以及《</w:t>
            </w:r>
            <w:r>
              <w:rPr>
                <w:rFonts w:ascii="仿宋_GB2312" w:hAnsi="仿宋_GB2312" w:cs="仿宋_GB2312" w:eastAsia="仿宋_GB2312"/>
                <w:sz w:val="24"/>
                <w:b/>
              </w:rPr>
              <w:t>司法鉴定人执业证</w:t>
            </w:r>
            <w:r>
              <w:rPr>
                <w:rFonts w:ascii="仿宋_GB2312" w:hAnsi="仿宋_GB2312" w:cs="仿宋_GB2312" w:eastAsia="仿宋_GB2312"/>
                <w:sz w:val="24"/>
                <w:b/>
              </w:rPr>
              <w:t>》复印（扫描）件</w:t>
            </w:r>
            <w:r>
              <w:rPr>
                <w:rFonts w:ascii="仿宋_GB2312" w:hAnsi="仿宋_GB2312" w:cs="仿宋_GB2312" w:eastAsia="仿宋_GB2312"/>
                <w:sz w:val="24"/>
                <w:b/>
              </w:rPr>
              <w:t>加盖供应商单位公章</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★7.严禁委托当地的修理厂、4S店、停车场、施救单位人员代替成交供应商实施车辆的检验鉴定工作，破坏检验鉴定工作的公正性、客观性、科学性。</w:t>
            </w:r>
          </w:p>
          <w:p>
            <w:pPr>
              <w:pStyle w:val="null3"/>
              <w:ind w:firstLine="480"/>
              <w:jc w:val="left"/>
            </w:pPr>
            <w:r>
              <w:rPr>
                <w:rFonts w:ascii="仿宋_GB2312" w:hAnsi="仿宋_GB2312" w:cs="仿宋_GB2312" w:eastAsia="仿宋_GB2312"/>
                <w:sz w:val="24"/>
              </w:rPr>
              <w:t>★8.供应商不得以任何方式或理由泄露案件相关信息。</w:t>
            </w:r>
          </w:p>
          <w:p>
            <w:pPr>
              <w:pStyle w:val="null3"/>
              <w:ind w:firstLine="480"/>
              <w:jc w:val="left"/>
            </w:pPr>
            <w:r>
              <w:rPr>
                <w:rFonts w:ascii="仿宋_GB2312" w:hAnsi="仿宋_GB2312" w:cs="仿宋_GB2312" w:eastAsia="仿宋_GB2312"/>
                <w:sz w:val="24"/>
              </w:rPr>
              <w:t>★9.鉴定业务档案应符合《司法鉴定业务档案管理办法》的相关要求。</w:t>
            </w:r>
          </w:p>
          <w:p>
            <w:pPr>
              <w:pStyle w:val="null3"/>
              <w:ind w:firstLine="480"/>
              <w:jc w:val="left"/>
            </w:pPr>
            <w:r>
              <w:rPr>
                <w:rFonts w:ascii="仿宋_GB2312" w:hAnsi="仿宋_GB2312" w:cs="仿宋_GB2312" w:eastAsia="仿宋_GB2312"/>
                <w:sz w:val="24"/>
              </w:rPr>
              <w:t>★10.经人民法院通知，要求鉴定人出庭作证的，鉴定人应当出庭作证。</w:t>
            </w:r>
          </w:p>
          <w:p>
            <w:pPr>
              <w:pStyle w:val="null3"/>
              <w:ind w:firstLine="480"/>
              <w:jc w:val="left"/>
            </w:pPr>
            <w:r>
              <w:rPr>
                <w:rFonts w:ascii="仿宋_GB2312" w:hAnsi="仿宋_GB2312" w:cs="仿宋_GB2312" w:eastAsia="仿宋_GB2312"/>
                <w:sz w:val="24"/>
              </w:rPr>
              <w:t>11.若供应商提供的鉴定报告因人为或故意造成失真产生的不良后果，供应商需承担相应的法律责任、经济责任及社会责任。</w:t>
            </w:r>
          </w:p>
          <w:p>
            <w:pPr>
              <w:pStyle w:val="null3"/>
              <w:ind w:firstLine="480"/>
              <w:jc w:val="left"/>
            </w:pPr>
            <w:r>
              <w:rPr>
                <w:rFonts w:ascii="仿宋_GB2312" w:hAnsi="仿宋_GB2312" w:cs="仿宋_GB2312" w:eastAsia="仿宋_GB2312"/>
                <w:sz w:val="24"/>
              </w:rPr>
              <w:t>12.其他应由供应商履行的法定义务。</w:t>
            </w:r>
          </w:p>
          <w:p>
            <w:pPr>
              <w:pStyle w:val="null3"/>
              <w:ind w:firstLine="480"/>
              <w:jc w:val="left"/>
            </w:pPr>
            <w:r>
              <w:rPr>
                <w:rFonts w:ascii="仿宋_GB2312" w:hAnsi="仿宋_GB2312" w:cs="仿宋_GB2312" w:eastAsia="仿宋_GB2312"/>
                <w:sz w:val="24"/>
              </w:rPr>
              <w:t>★13.本项目自成交供应商签订合同之日起至服务期满止，实施过程中的人身安全、财产安全、环境安全等一切安全责任及因项目实施过程中造成的直接或间接损失，均由供应商自行承担。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489"/>
              <w:gridCol w:w="2268"/>
              <w:gridCol w:w="2259"/>
              <w:gridCol w:w="571"/>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考评内容</w:t>
                  </w:r>
                </w:p>
              </w:tc>
              <w:tc>
                <w:tcPr>
                  <w:tcW w:type="dxa" w:w="2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扣分标准</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扣分</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鉴定完成时效性。</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每超出法定时效一次扣</w:t>
                  </w:r>
                  <w:r>
                    <w:rPr>
                      <w:rFonts w:ascii="仿宋_GB2312" w:hAnsi="仿宋_GB2312" w:cs="仿宋_GB2312" w:eastAsia="仿宋_GB2312"/>
                      <w:sz w:val="24"/>
                    </w:rPr>
                    <w:t>10分。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鉴定报告采信率。</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未得到采信的每次扣</w:t>
                  </w:r>
                  <w:r>
                    <w:rPr>
                      <w:rFonts w:ascii="仿宋_GB2312" w:hAnsi="仿宋_GB2312" w:cs="仿宋_GB2312" w:eastAsia="仿宋_GB2312"/>
                      <w:sz w:val="24"/>
                    </w:rPr>
                    <w:t>10分。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用户在工作日内或工作时间段内的日常操作问题和业务问题电话咨询时，鉴定人员需在</w:t>
                  </w:r>
                  <w:r>
                    <w:rPr>
                      <w:rFonts w:ascii="仿宋_GB2312" w:hAnsi="仿宋_GB2312" w:cs="仿宋_GB2312" w:eastAsia="仿宋_GB2312"/>
                      <w:sz w:val="24"/>
                    </w:rPr>
                    <w:t>60分钟内响应，并依据咨询服务内容及时处理完成并回复。</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未及时响应回复的，每次扣</w:t>
                  </w:r>
                  <w:r>
                    <w:rPr>
                      <w:rFonts w:ascii="仿宋_GB2312" w:hAnsi="仿宋_GB2312" w:cs="仿宋_GB2312" w:eastAsia="仿宋_GB2312"/>
                      <w:sz w:val="24"/>
                    </w:rPr>
                    <w:t>2分</w:t>
                  </w:r>
                  <w:r>
                    <w:rPr>
                      <w:rFonts w:ascii="仿宋_GB2312" w:hAnsi="仿宋_GB2312" w:cs="仿宋_GB2312" w:eastAsia="仿宋_GB2312"/>
                      <w:sz w:val="24"/>
                    </w:rPr>
                    <w:t>。</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鉴定团队和人员在开展工作时需保持良好的态度，提供专业和耐心的技术支持服务。</w:t>
                  </w:r>
                </w:p>
              </w:tc>
              <w:tc>
                <w:tcPr>
                  <w:tcW w:type="dxa" w:w="2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受到用户投诉且经查证投诉成立的，每次扣</w:t>
                  </w:r>
                  <w:r>
                    <w:rPr>
                      <w:rFonts w:ascii="仿宋_GB2312" w:hAnsi="仿宋_GB2312" w:cs="仿宋_GB2312" w:eastAsia="仿宋_GB2312"/>
                      <w:sz w:val="24"/>
                    </w:rPr>
                    <w:t>2分。</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备注：考核总分</w:t>
                  </w:r>
                  <w:r>
                    <w:rPr>
                      <w:rFonts w:ascii="仿宋_GB2312" w:hAnsi="仿宋_GB2312" w:cs="仿宋_GB2312" w:eastAsia="仿宋_GB2312"/>
                      <w:sz w:val="24"/>
                      <w:b/>
                    </w:rPr>
                    <w:t>100分制，每季度进行一次考核；季度考核低于80分（含）2次及以上，则采购人有权视情况中止合同或更换供应商并追究相关责任。</w:t>
                  </w: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履约要求</w:t>
            </w:r>
          </w:p>
        </w:tc>
        <w:tc>
          <w:tcPr>
            <w:tcW w:type="dxa" w:w="5814"/>
          </w:tcPr>
          <w:p>
            <w:pPr>
              <w:pStyle w:val="null3"/>
              <w:ind w:firstLine="480"/>
              <w:jc w:val="both"/>
            </w:pPr>
            <w:r>
              <w:rPr>
                <w:rFonts w:ascii="仿宋_GB2312" w:hAnsi="仿宋_GB2312" w:cs="仿宋_GB2312" w:eastAsia="仿宋_GB2312"/>
                <w:sz w:val="24"/>
              </w:rPr>
              <w:t>1.供应商具有类似履约经验；</w:t>
            </w:r>
            <w:r>
              <w:rPr>
                <w:rFonts w:ascii="仿宋_GB2312" w:hAnsi="仿宋_GB2312" w:cs="仿宋_GB2312" w:eastAsia="仿宋_GB2312"/>
                <w:sz w:val="21"/>
              </w:rPr>
              <w:t xml:space="preserve"> </w:t>
            </w:r>
          </w:p>
          <w:p>
            <w:pPr>
              <w:pStyle w:val="null3"/>
              <w:ind w:firstLine="482"/>
              <w:jc w:val="both"/>
            </w:pPr>
            <w:r>
              <w:rPr>
                <w:rFonts w:ascii="仿宋_GB2312" w:hAnsi="仿宋_GB2312" w:cs="仿宋_GB2312" w:eastAsia="仿宋_GB2312"/>
                <w:sz w:val="24"/>
              </w:rPr>
              <w:t>2.</w:t>
            </w:r>
            <w:r>
              <w:rPr>
                <w:rFonts w:ascii="仿宋_GB2312" w:hAnsi="仿宋_GB2312" w:cs="仿宋_GB2312" w:eastAsia="仿宋_GB2312"/>
                <w:sz w:val="24"/>
              </w:rPr>
              <w:t>针对本项目服务内容及要求提供针对本项目的以下方案</w:t>
            </w:r>
          </w:p>
          <w:p>
            <w:pPr>
              <w:pStyle w:val="null3"/>
              <w:ind w:firstLine="480"/>
              <w:jc w:val="both"/>
            </w:pPr>
            <w:r>
              <w:rPr>
                <w:rFonts w:ascii="仿宋_GB2312" w:hAnsi="仿宋_GB2312" w:cs="仿宋_GB2312" w:eastAsia="仿宋_GB2312"/>
                <w:sz w:val="24"/>
              </w:rPr>
              <w:t>2.1项目实施方案，其内容包含：①鉴定工作组织机构设置及人员职责分工；②鉴定工作流程及程序（至少包含鉴定程序依据、鉴定程序内容、鉴定程序各环节划分）；③鉴定程序每一步骤的重难点解析及应对措施；④鉴定结果质量保障措施（至少包含鉴定设备配置、技术保障、实效保障、后续服务保障）；⑤鉴定结果保密措施；⑥应急处置预案（至少包含突发案件、重特大具有影响力案件）。</w:t>
            </w:r>
          </w:p>
          <w:p>
            <w:pPr>
              <w:pStyle w:val="null3"/>
              <w:ind w:firstLine="480"/>
              <w:jc w:val="both"/>
            </w:pPr>
            <w:r>
              <w:rPr>
                <w:rFonts w:ascii="仿宋_GB2312" w:hAnsi="仿宋_GB2312" w:cs="仿宋_GB2312" w:eastAsia="仿宋_GB2312"/>
                <w:sz w:val="24"/>
              </w:rPr>
              <w:t>2.2管理制度，其内容包含：①人员管理制度；②重</w:t>
            </w:r>
            <w:r>
              <w:rPr>
                <w:rFonts w:ascii="仿宋_GB2312" w:hAnsi="仿宋_GB2312" w:cs="仿宋_GB2312" w:eastAsia="仿宋_GB2312"/>
                <w:sz w:val="24"/>
              </w:rPr>
              <w:t>大、疑难复杂、社会影响较大的案</w:t>
            </w:r>
            <w:r>
              <w:rPr>
                <w:rFonts w:ascii="仿宋_GB2312" w:hAnsi="仿宋_GB2312" w:cs="仿宋_GB2312" w:eastAsia="仿宋_GB2312"/>
                <w:sz w:val="24"/>
              </w:rPr>
              <w:t>件集体讨论制度；</w:t>
            </w:r>
            <w:r>
              <w:rPr>
                <w:rFonts w:ascii="仿宋_GB2312" w:hAnsi="仿宋_GB2312" w:cs="仿宋_GB2312" w:eastAsia="仿宋_GB2312"/>
                <w:sz w:val="24"/>
              </w:rPr>
              <w:t>③</w:t>
            </w:r>
            <w:r>
              <w:rPr>
                <w:rFonts w:ascii="仿宋_GB2312" w:hAnsi="仿宋_GB2312" w:cs="仿宋_GB2312" w:eastAsia="仿宋_GB2312"/>
                <w:sz w:val="24"/>
              </w:rPr>
              <w:t>保密制度</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回避管理制度</w:t>
            </w:r>
            <w:r>
              <w:rPr>
                <w:rFonts w:ascii="仿宋_GB2312" w:hAnsi="仿宋_GB2312" w:cs="仿宋_GB2312" w:eastAsia="仿宋_GB2312"/>
                <w:sz w:val="24"/>
              </w:rPr>
              <w:t>；</w:t>
            </w:r>
            <w:r>
              <w:rPr>
                <w:rFonts w:ascii="仿宋_GB2312" w:hAnsi="仿宋_GB2312" w:cs="仿宋_GB2312" w:eastAsia="仿宋_GB2312"/>
                <w:sz w:val="24"/>
              </w:rPr>
              <w:t>⑤档案管理制度；⑥</w:t>
            </w:r>
            <w:r>
              <w:rPr>
                <w:rFonts w:ascii="仿宋_GB2312" w:hAnsi="仿宋_GB2312" w:cs="仿宋_GB2312" w:eastAsia="仿宋_GB2312"/>
                <w:sz w:val="24"/>
              </w:rPr>
              <w:t>出庭制度</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服务期限为三年，合同一年一签，经采购人验收合格后方可续签下年合同，每年合同履行期限为自合同签订之日起365日或预算金额结算用完两者任一先到为止。（合同期间供应商无法达到采购人要求或出现违规经营或出现重大责任事故，采购人可终止已签合同，情节严重的可追究法律责任，并不再续签合同。因此造成的损失，采购人不承担任何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验收交付标准：本项目所涉及的服务，满足本项目要求的服务内容及技术要求。 验收交付方法：项目履约完成后，由供应商直接交付给采购人。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月由供应商与采购人共同核对上月数据后办理付款，达到付款条件起30日内，据实结算说明为合同履行期间采购人每月根据实际服务项目据实结算，按月付款，各项鉴定项月结算金额=每月实际鉴定数量×对应鉴定项最高单价限价×成交响应报价（百分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1、质量瑕疵的违约责任供应商提供的服务不符合合同约定的服务要求，采购人有权要求供应商承担修理、重作、更换、退货、减少价款或者报酬等违约责任，并承担由此给采购人造成的损失。具体要求为：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在履约过程中，服务不符合项目要求的，采购人有权要求供应商整改，供应商三次整改仍不符合要求的，采购人有权单方终止合同；供应商应退回已收取的全部款项,并承担由此给采购人造成的全部损失。 （4）供应商应当遵守采购人的相关项目需求及相关技术要求及实质性条款，实施完成采购合同应当完全满足相关项目需求及相关技术要求及实质性条款，若供应商不能完全履行采购合同，采购人有权向供应商要求赔偿合同总价款百分之 五 的违约金，若造成相关损失的，采购人有权要求供应商承担所有赔偿责任。 （5）供应商偿付的违约金不足以弥补采购人损失的，还应按采购人损失尚未弥补的部分，支付赔偿金给采购人。 2、迟延履行的违约责任 （1）供应商应按照本合同规定的时间、地点提供相关服务。在履行合同过程中，如果供应商遇到可能影响按时提供服务的情形时，应及时以书面形式将迟延的事实、可能迟延的期限和理由通知采购人。采购人在收到供应商通知后，应尽快对情况进行评价，并确定是否同意延期提供服务。 （2）如果供应商没有按照合同规定的时间提供相关服务，采购人有权从服务款中扣除误期赔偿费而不影响合同项下的其他补救方法，赔偿费的计算方法为： 应向采购人偿付逾期提供部分服务总额的万分之 五 /天的违约金；逾期超过15天，采购人有权单方终止合同；供应商应退回已收取的全部款项，并承担由此给采购人造成的全部损失。 如果涉及公共利益，且赔偿金额无法弥补公共利益损失，采购人可要求继续履行或者采取其他补救措施。 3、迟延支付的违约责任 采购人存在迟延支付供应商合同款项的，应当支付逾期付款利息，计算方法为： （1）除应及时付足合同款项外，应向供应商偿付欠款总额万分之 五/天的违约金。 （2）采购人偿付的违约金不足以弥补供应商损失的，还应按供应商损失尚未弥补的部分，支付赔偿金给供应商。 4、违法分包、转包的违约责任 供应商将项目转包、违法分包的，采购人可以解除合同，并要求供应商承担如下违约责任：采购人有权向供应商要求赔偿合同总价款百分之五 的违约金，若造成相关损失的，采购人有权要求供应商承担所有赔偿责任。 争议解决办法 1、因本合同及合同有关事项发生的争议，由甲乙双方友好协商解决。协商不成时，可以向有关组织申请调解。合同一方或双方不愿调解或调解不成的，可以通过仲裁或诉讼的方式解决争议。 2、因本合同及合同有关事项发生的争议，向采购人所在地仲裁委员会申请仲裁/向采购人所在地人民法院起诉。 3、如甲乙双方有争议的事项不影响合同其他部分的履行，在争议解决期间，合同其他部分应当继续履行。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服务期限为三年，合同一年一签，经采购人验收合格后方可续签下年合同，每年合同履行期限为自合同签订之日起365日或预算金额结算用完两者任一先到为止。（合同期间供应商无法达到采购人要求或出现违规经营或出现重大责任事故，采购人可终止已签合同，情节严重的可追究法律责任，并不再续签合同。因此造成的损失，采购人不承担任何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验收交付标准：本项目所涉及的服务，满足本项目要求的服务内容及技术要求。 验收交付方法：项目履约完成后，由供应商直接交付给采购人。</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月由供应商与采购人共同核对上月数据后办理付款，达到付款条件起30日内，据实结算说明为合同履行期间采购人每月根据实际服务项目据实结算，按月付款，各项鉴定项月结算金额=每月实际鉴定数量×对应鉴定项最高单价限价×成交响应报价（百分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1、质量瑕疵的违约责任供应商提供的服务不符合合同约定的服务要求，采购人有权要求供应商承担修理、重作、更换、退货、减少价款或者报酬等违约责任，并承担由此给采购人造成的损失。具体要求为：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在履约过程中，服务不符合项目要求的，采购人有权要求供应商整改，供应商三次整改仍不符合要求的，采购人有权单方终止合同；供应商应退回已收取的全部款项,并承担由此给采购人造成的全部损失。 （4）供应商应当遵守采购人的相关项目需求及相关技术要求及实质性条款，实施完成采购合同应当完全满足相关项目需求及相关技术要求及实质性条款，若供应商不能完全履行采购合同，采购人有权向供应商要求赔偿合同总价款百分之 五 的违约金，若造成相关损失的，采购人有权要求供应商承担所有赔偿责任。 （5）供应商偿付的违约金不足以弥补采购人损失的，还应按采购人损失尚未弥补的部分，支付赔偿金给采购人。 2、迟延履行的违约责任 （1）供应商应按照本合同规定的时间、地点提供相关服务。在履行合同过程中，如果供应商遇到可能影响按时提供服务的情形时，应及时以书面形式将迟延的事实、可能迟延的期限和理由通知采购人。采购人在收到供应商通知后，应尽快对情况进行评价，并确定是否同意延期提供服务。 （2）如果供应商没有按照合同规定的时间提供相关服务，采购人有权从服务款中扣除误期赔偿费而不影响合同项下的其他补救方法，赔偿费的计算方法为： 应向采购人偿付逾期提供部分服务总额的万分之 五 /天的违约金；逾期超过15天，采购人有权单方终止合同；供应商应退回已收取的全部款项，并承担由此给采购人造成的全部损失。 如果涉及公共利益，且赔偿金额无法弥补公共利益损失，采购人可要求继续履行或者采取其他补救措施。 3、迟延支付的违约责任 采购人存在迟延支付供应商合同款项的，应当支付逾期付款利息，计算方法为： （1）除应及时付足合同款项外，应向供应商偿付欠款总额万分之 五/天的违约金。 （2）采购人偿付的违约金不足以弥补供应商损失的，还应按供应商损失尚未弥补的部分，支付赔偿金给供应商。 4、违法分包、转包的违约责任 供应商将项目转包、违法分包的，采购人可以解除合同，并要求供应商承担如下违约责任：采购人有权向供应商要求赔偿合同总价款百分之五 的违约金，若造成相关损失的，采购人有权要求供应商承担所有赔偿责任。 争议解决办法 1、因本合同及合同有关事项发生的争议，由甲乙双方友好协商解决。协商不成时，可以向有关组织申请调解。合同一方或双方不愿调解或调解不成的，可以通过仲裁或诉讼的方式解决争议。 2、因本合同及合同有关事项发生的争议，向采购人所在地仲裁委员会申请仲裁/向采购人所在地人民法院起诉。 3、如甲乙双方有争议的事项不影响合同其他部分的履行，在争议解决期间，合同其他部分应当继续履行。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★（一）报价要求：本项目采用百分比报价方式，响应报价超过100%的报价为无效报价。 ★（二）结算方式：各项鉴定项结算价=实际鉴定数量×对应鉴定项最高单价限价×成交响应报价。 结算示例如：鉴定项最高单价限价为1000元，鉴定项数量为1例，供应商响应的百分比报价为80%，则结算金额为 1000×1×80%=800元，即该鉴定项最终结算金额为800元。 ★（三）特别说明：本项目服务期限为三年，本采购包预算为400000元/年。</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★（一）报价要求：本项目采用百分比报价方式，响应报价超过100%的报价为无效报价。 ★（二）结算方式：各项鉴定项结算价=实际鉴定数量×对应鉴定项最高单价限价×成交响应报价。 结算示例如：鉴定项最高单价限价为1000元，鉴定项数量为1例，供应商响应的百分比报价为80%，则结算金额为 1000×1×80%=800元，即该鉴定项最终结算金额为800元。 ★（三）特别说明：本项目服务期限为三年，本采购包预算为350000元/年。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在磋商过程中，磋商⼩组在获得采购⼈代表确认的前提下，可以根据磋商情况实质性变动第三章中的技术、服务要求内容</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在磋商过程中，磋商⼩组在获得采购⼈代表确认的前提下，可以根据磋商情况实质性变动合同草案条款。</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提供统一社会信用代码的营业执照复印件；2.若为事业法人：提供“统一社会信用代码法人登记证书”复印件；3.若为其他组织：提供“对应主管部门颁发的准许执业证明文件或营业执照”复印件；4.若为自然人：提供“身份证明材料”复印件； 注：（1）以上证明材料应满足：真实有效；(2)供应商需在项目电子化交易系统中上传相关证明资料。</w:t>
            </w:r>
          </w:p>
        </w:tc>
        <w:tc>
          <w:tcPr>
            <w:tcW w:type="dxa" w:w="1661"/>
          </w:tcPr>
          <w:p>
            <w:pPr>
              <w:pStyle w:val="null3"/>
              <w:jc w:val="left"/>
            </w:pPr>
            <w:r>
              <w:rPr>
                <w:rFonts w:ascii="仿宋_GB2312" w:hAnsi="仿宋_GB2312" w:cs="仿宋_GB2312" w:eastAsia="仿宋_GB2312"/>
              </w:rPr>
              <w:t>（包1）供应商应提交的相关资格证明材料.docx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1.供应商提供2024年度或2025年度经过会计师事务所审计有效的财务报告复印件； 2.供应商提供2024年度或2025年度供应商内部的财务报表复印件(至少包含资产负债表)； 3.供应商提供响应文件递交截止日一年内银行为其出具的资信证明复印件； 4.供应商注册时间截至响应文件递交截止日不足一年的或供应商为事业单位或其他组织(不具备法人条件的组织，如合伙组织、个体工商户、农村承包经营户等)或自然人的，可提供承诺函。 注：具有健全的财务会计制度的证明材料中第1-4项具有同等的响应效力，供应商可根据自身实际情况选择提供其中任意一项，供应商需在项目电子化交易系统中上传相关证明材料。提供承诺函的，供应商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（包1）供应商应提交的相关资格证明材料.docx,投标（响应）函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提供统一社会信用代码的营业执照复印件；2.若为事业法人：提供“统一社会信用代码法人登记证书”复印件；3.若为其他组织：提供“对应主管部门颁发的准许执业证明文件或营业执照”复印件；4.若为自然人：提供“身份证明材料”复印件； 注：（1）以上证明材料应满足：真实有效；(2)供应商需在项目电子化交易系统中上传相关证明资料。</w:t>
            </w:r>
          </w:p>
        </w:tc>
        <w:tc>
          <w:tcPr>
            <w:tcW w:type="dxa" w:w="1661"/>
          </w:tcPr>
          <w:p>
            <w:pPr>
              <w:pStyle w:val="null3"/>
              <w:jc w:val="left"/>
            </w:pPr>
            <w:r>
              <w:rPr>
                <w:rFonts w:ascii="仿宋_GB2312" w:hAnsi="仿宋_GB2312" w:cs="仿宋_GB2312" w:eastAsia="仿宋_GB2312"/>
              </w:rPr>
              <w:t>（包2）供应商应提交的相关资格证明材料.docx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1.供应商提供2024年度或2025年度经过会计师事务所审计有效的财务报告复印件； 2.供应商提供2024年度或2025年度供应商内部的财务报表复印件(至少包含资产负债表)； 3.供应商提供响应文件递交截止日一年内银行为其出具的资信证明复印件； 4.供应商注册时间截至响应文件递交截止日不足一年的或供应商为事业单位或其他组织(不具备法人条件的组织，如合伙组织、个体工商户、农村承包经营户等)或自然人的，可提供承诺函。 注：具有健全的财务会计制度的证明材料中第1-4项具有同等的响应效力，供应商可根据自身实际情况选择提供其中任意一项，供应商需在项目电子化交易系统中上传相关证明材料。提供承诺函的，供应商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投标（响应）函,（包2）供应商应提交的相关资格证明材料.docx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供应商具有司法行政管理部门核发在有效期内的《司法鉴定许可证》，且业务范围须包含：法医临床鉴定、法医病理鉴定、法医精神病鉴定、法医物证鉴定、法医毒物鉴定。</w:t>
            </w:r>
          </w:p>
        </w:tc>
        <w:tc>
          <w:tcPr>
            <w:tcW w:type="dxa" w:w="3322"/>
          </w:tcPr>
          <w:p>
            <w:pPr>
              <w:pStyle w:val="null3"/>
              <w:jc w:val="left"/>
            </w:pPr>
            <w:r>
              <w:rPr>
                <w:rFonts w:ascii="仿宋_GB2312" w:hAnsi="仿宋_GB2312" w:cs="仿宋_GB2312" w:eastAsia="仿宋_GB2312"/>
              </w:rPr>
              <w:t>供应商提供司法行政管理部门核发在有效期内的《司法鉴定许可证》复印（扫描）件并进行电子签章。</w:t>
            </w:r>
          </w:p>
        </w:tc>
        <w:tc>
          <w:tcPr>
            <w:tcW w:type="dxa" w:w="1661"/>
          </w:tcPr>
          <w:p>
            <w:pPr>
              <w:pStyle w:val="null3"/>
              <w:jc w:val="left"/>
            </w:pPr>
            <w:r>
              <w:rPr>
                <w:rFonts w:ascii="仿宋_GB2312" w:hAnsi="仿宋_GB2312" w:cs="仿宋_GB2312" w:eastAsia="仿宋_GB2312"/>
              </w:rPr>
              <w:t>（包1）供应商应提交的相关资格证明材料.docx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供应商需具备CMA或CNAS检验检测机构资质。</w:t>
            </w:r>
          </w:p>
        </w:tc>
        <w:tc>
          <w:tcPr>
            <w:tcW w:type="dxa" w:w="3322"/>
          </w:tcPr>
          <w:p>
            <w:pPr>
              <w:pStyle w:val="null3"/>
              <w:jc w:val="left"/>
            </w:pPr>
            <w:r>
              <w:rPr>
                <w:rFonts w:ascii="仿宋_GB2312" w:hAnsi="仿宋_GB2312" w:cs="仿宋_GB2312" w:eastAsia="仿宋_GB2312"/>
              </w:rPr>
              <w:t>供应商提供CMA或CNAS检验检测机构资质证书复印（扫描）件并进行电子签章。</w:t>
            </w:r>
          </w:p>
        </w:tc>
        <w:tc>
          <w:tcPr>
            <w:tcW w:type="dxa" w:w="1661"/>
          </w:tcPr>
          <w:p>
            <w:pPr>
              <w:pStyle w:val="null3"/>
              <w:jc w:val="left"/>
            </w:pPr>
            <w:r>
              <w:rPr>
                <w:rFonts w:ascii="仿宋_GB2312" w:hAnsi="仿宋_GB2312" w:cs="仿宋_GB2312" w:eastAsia="仿宋_GB2312"/>
              </w:rPr>
              <w:t>（包1）供应商应提交的相关资格证明材料.docx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司法行政管理部门核发在有效期内的《司法鉴定许可证》，且业务范围须包含：交通事故痕迹物证鉴定（0211011车辆安全技术状况鉴定、021103交通事故痕迹鉴定、021104车辆速度鉴定、021105交通事故痕迹物证综合鉴定）。</w:t>
            </w:r>
          </w:p>
        </w:tc>
        <w:tc>
          <w:tcPr>
            <w:tcW w:type="dxa" w:w="3322"/>
          </w:tcPr>
          <w:p>
            <w:pPr>
              <w:pStyle w:val="null3"/>
              <w:jc w:val="left"/>
            </w:pPr>
            <w:r>
              <w:rPr>
                <w:rFonts w:ascii="仿宋_GB2312" w:hAnsi="仿宋_GB2312" w:cs="仿宋_GB2312" w:eastAsia="仿宋_GB2312"/>
              </w:rPr>
              <w:t>供应商提供司法行政管理部门核发在有效期内的《司法鉴定许可证》复印（扫描）件并进行电子签章。</w:t>
            </w:r>
          </w:p>
        </w:tc>
        <w:tc>
          <w:tcPr>
            <w:tcW w:type="dxa" w:w="1661"/>
          </w:tcPr>
          <w:p>
            <w:pPr>
              <w:pStyle w:val="null3"/>
              <w:jc w:val="left"/>
            </w:pPr>
            <w:r>
              <w:rPr>
                <w:rFonts w:ascii="仿宋_GB2312" w:hAnsi="仿宋_GB2312" w:cs="仿宋_GB2312" w:eastAsia="仿宋_GB2312"/>
              </w:rPr>
              <w:t>（包2）供应商应提交的相关资格证明材料.docx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采购⽂件中⽆明确要求提供承诺函/证明的实质性条款，供应商通过《投标（响应）函》《技术、服务要求及其他要求应答表》默认响应；有明确要求的，以承诺函/证明为准（已在《投标（响应）函》中承诺的可不重复提供）。</w:t>
            </w:r>
          </w:p>
        </w:tc>
        <w:tc>
          <w:tcPr>
            <w:tcW w:type="dxa" w:w="1661"/>
          </w:tcPr>
          <w:p>
            <w:pPr>
              <w:pStyle w:val="null3"/>
              <w:jc w:val="left"/>
            </w:pPr>
            <w:r>
              <w:rPr>
                <w:rFonts w:ascii="仿宋_GB2312" w:hAnsi="仿宋_GB2312" w:cs="仿宋_GB2312" w:eastAsia="仿宋_GB2312"/>
              </w:rPr>
              <w:t>（包1）供应商认为需要提供的其他材料.docx,报价表,（包1）技术、服务要求及其他要求偏离表.docx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采购⽂件中⽆明确要求提供承诺函/证明的实质性条款，供应商通过《投标（响应）函》《技术、服务要求及其他要求应答表》默认响应；有明确要求的，以承诺函/证明为准（已在《投标（响应）函》中承诺的可不重复提供）。</w:t>
            </w:r>
          </w:p>
        </w:tc>
        <w:tc>
          <w:tcPr>
            <w:tcW w:type="dxa" w:w="1661"/>
          </w:tcPr>
          <w:p>
            <w:pPr>
              <w:pStyle w:val="null3"/>
              <w:jc w:val="left"/>
            </w:pPr>
            <w:r>
              <w:rPr>
                <w:rFonts w:ascii="仿宋_GB2312" w:hAnsi="仿宋_GB2312" w:cs="仿宋_GB2312" w:eastAsia="仿宋_GB2312"/>
              </w:rPr>
              <w:t>（包2）技术、服务要求及其他要求偏离表.docx,报价表,（包2）供应商认为需要提供的其他材料.docx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采购包1为：第五章5.4.2.评审细则及标准中的“实施方案”方案得分。采购包2为：第五章5.4.2.评审细则及标准中的“实施方案”方案得分。</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提供针对本采购包制定的项目实施方案，其内容包含：①鉴定工作组织机构设置及人员职责分工；②鉴定工作流程及程序（至少包含鉴定程序依据、鉴定程序内容、鉴定程序各环节划分）；③鉴定程序每一步骤的重难点解析及应对措施；④鉴定结果质量保障措施（至少包含实验室及鉴定设备配置、技术保障、实效保障、后续服务保障）；⑤鉴定结果保密措施；⑥应急处置预案（至少包含突发案件、重特大具有影响力案件）。以上①—⑥项内容齐全且符合采购项目要求的得48分，每缺少一项内容或每项内容仅有标题扣8分，每项内容中每有一处内容存在缺陷的扣4分，每项最多扣8分。 注：缺陷是指以下情形中的任意一项：提供的方案中引用法律失效或错误；或提供的方案中规范引用失效或错误；或提供的方案中引用标准存在失效或错误；或照搬其他项目的内容不适用本项目的情形；或提供的方案内容与本项目无关；或方案照抄采购文件第三章相关内容且并未作出具体阐述；或不满足采购需求中非实质性要求的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（包1）供应商认为需要提供的其他材料.docx</w:t>
            </w:r>
          </w:p>
          <w:p>
            <w:pPr>
              <w:pStyle w:val="null3"/>
              <w:jc w:val="left"/>
            </w:pPr>
            <w:r>
              <w:rPr>
                <w:rFonts w:ascii="仿宋_GB2312" w:hAnsi="仿宋_GB2312" w:cs="仿宋_GB2312" w:eastAsia="仿宋_GB2312"/>
              </w:rPr>
              <w:t>（包1）技术、服务要求及其他要求偏离表.docx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1.供应商针对本采购包拟投入的检验鉴定工作人员在满足基本要求3人的基础上，每增加1名鉴定人员得0.5分，本项最多得4分。 注：同一人员不可重复计算得分，提供人员身份证复印（扫描）件以及《司法鉴定人执业证》复印（扫描）件加盖供应商单位公章，未提供或不满足不得分。 2.供应商针对本采购包拟投入的检验鉴定工作人员中，具有（医学/临床医学/精神病及精神卫生学/生物学/化学/药学等）法医类司法鉴定相关专业高级及以上职称证书的，每有一人得0.5分，本项最多得2分。 注：同一人员不可重复计算得分，提供人员身份证复印（扫描）件以及职称证书复印（扫描）件加盖供应商单位公章，未提供或不满足不得分。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（包1）供应商认为需要提供的其他材料.docx</w:t>
            </w:r>
          </w:p>
          <w:p>
            <w:pPr>
              <w:pStyle w:val="null3"/>
              <w:jc w:val="left"/>
            </w:pPr>
            <w:r>
              <w:rPr>
                <w:rFonts w:ascii="仿宋_GB2312" w:hAnsi="仿宋_GB2312" w:cs="仿宋_GB2312" w:eastAsia="仿宋_GB2312"/>
              </w:rPr>
              <w:t>（包1）技术、服务要求及其他要求偏离表.docx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供应商提供针对本采购包制定的项目管理制度，其内容包含：①人员管理制度；②重大、疑难复杂、社会影响较大的案 件集体讨论制度；③保密制度；④回避管理制度；⑤档案管理制度；⑥出庭制度。以上①—⑥项内容齐全且符合采购项目要求的得24分，每缺少一项内容或每项内容仅有标题扣4分，每项内容中每有一处内容存在缺陷的扣2分，每项最多扣4分。 注：缺陷是指以下情形中的任意一项：提供的方案中引用法律失效或错误；或提供的方案中规范引用失效或错误；或提供的方案中引用标准存在失效或错误；或照搬其他项目的内容不适用本项目的情形；或提供的方案内容与本项目无关；或方案照抄采购文件第三章相关内容且并未作出具体阐述；或不满足采购需求中非实质性要求的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（包1）供应商认为需要提供的其他材料.docx</w:t>
            </w:r>
          </w:p>
          <w:p>
            <w:pPr>
              <w:pStyle w:val="null3"/>
              <w:jc w:val="left"/>
            </w:pPr>
            <w:r>
              <w:rPr>
                <w:rFonts w:ascii="仿宋_GB2312" w:hAnsi="仿宋_GB2312" w:cs="仿宋_GB2312" w:eastAsia="仿宋_GB2312"/>
              </w:rPr>
              <w:t>（包1）技术、服务要求及其他要求偏离表.docx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法医类鉴定能力验证或测量审核通过情况（法医临床鉴定、法医病理鉴定、法医毒物鉴定、法医物证鉴定）：以上各项中的任意小项获得一个“满意”结果的得1分；获得“通过”结果的得0.5分；获得“不通过”、“不予评价”、“未反馈”的不得分。本项最多得5分。 注：提供司法鉴定科学研究院或其他国家权威机构颁发的能力验证或测量审核结果通知复印（扫描）件并加盖供应商公章，未提供或不满足不得分。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（包1）供应商认为需要提供的其他材料.docx</w:t>
            </w:r>
          </w:p>
          <w:p>
            <w:pPr>
              <w:pStyle w:val="null3"/>
              <w:jc w:val="left"/>
            </w:pPr>
            <w:r>
              <w:rPr>
                <w:rFonts w:ascii="仿宋_GB2312" w:hAnsi="仿宋_GB2312" w:cs="仿宋_GB2312" w:eastAsia="仿宋_GB2312"/>
              </w:rPr>
              <w:t>（包1）技术、服务要求及其他要求偏离表.docx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1.供应商自2023年1月1日(含)以来具有类似业绩的，每提供1个得1分，本项最多得3分。（类似业绩指：法医鉴定类项目） 注：以合同签订时间为准，提供合同复印件加盖供应商公章，未提供或不满足不得分。 2.供应商自2023年1月1日（含）以来处理一次性死亡人员三人及以上重大案件，每提供一件得2分，最多得4分。 注：提供委托书、事故认定书、交警事故调查报告任一一项能够反映事故情况和死亡人数的材料，以及该案的鉴定报告等材料的复印（扫描）件，并加盖供应商公章，未提供或不满足不得分。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（包1）供应商认为需要提供的其他材料.docx</w:t>
            </w:r>
          </w:p>
          <w:p>
            <w:pPr>
              <w:pStyle w:val="null3"/>
              <w:jc w:val="left"/>
            </w:pPr>
            <w:r>
              <w:rPr>
                <w:rFonts w:ascii="仿宋_GB2312" w:hAnsi="仿宋_GB2312" w:cs="仿宋_GB2312" w:eastAsia="仿宋_GB2312"/>
              </w:rPr>
              <w:t>（包1）技术、服务要求及其他要求偏离表.docx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法医类鉴定服务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 xml:space="preserve"> 供应商提供针对本采购包制定的项目实施方案，其内容包含：①鉴定工作组织机构设置及人员职责分工；②鉴定工作流程及程序（至少包含鉴定程序依据、鉴定程序内容、鉴定程序各环节划分）；③鉴定程序每一步骤的重难点解析及应对措施；④鉴定结果质量保障措施（至少包含鉴定设备配置、技术保障、实效保障、后续服务保障）；⑤鉴定结果保密措施；⑥应急处置预案（至少包含突发案件、重特大具有影响力案件）。以上①—⑥项内容齐全且符合采购项目要求的得48分，每缺少一项内容或每项内容仅有标题扣8分，每项内容中每有一处内容存在缺陷的扣4分，每项最多扣8分。 注：缺陷是指以下情形中的任意一项：提供的方案中引用法律失效或错误；或提供的方案中规范引用失效或错误；或提供的方案中引用标准存在失效或错误；或照搬其他项目的内容不适用本项目的情形；或提供的方案内容与本项目无关；或方案照抄采购文件第三章相关内容且并未作出具体阐述；或不满足采购需求中非实质性要求的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（包2）供应商认为需要提供的其他材料.docx</w:t>
            </w:r>
          </w:p>
          <w:p>
            <w:pPr>
              <w:pStyle w:val="null3"/>
              <w:jc w:val="left"/>
            </w:pPr>
            <w:r>
              <w:rPr>
                <w:rFonts w:ascii="仿宋_GB2312" w:hAnsi="仿宋_GB2312" w:cs="仿宋_GB2312" w:eastAsia="仿宋_GB2312"/>
              </w:rPr>
              <w:t>（包2）技术、服务要求及其他要求偏离表.docx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供应商针对本采购包拟投入的检验鉴定工作人员在满足基本要求3人的基础上，每增加1名鉴定人员得1分，本项最多得4分。 注：同一人员不可重复计算得分，提供人员身份证复印（扫描）件以及《司法鉴定人执业证》复印（扫描）件加盖供应商单位公章，未提供或不满足不得分。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（包2）供应商认为需要提供的其他材料.docx</w:t>
            </w:r>
          </w:p>
          <w:p>
            <w:pPr>
              <w:pStyle w:val="null3"/>
              <w:jc w:val="left"/>
            </w:pPr>
            <w:r>
              <w:rPr>
                <w:rFonts w:ascii="仿宋_GB2312" w:hAnsi="仿宋_GB2312" w:cs="仿宋_GB2312" w:eastAsia="仿宋_GB2312"/>
              </w:rPr>
              <w:t>（包2）技术、服务要求及其他要求偏离表.docx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供应商提供针对本采购包制定的项目管理制度，其内容包含：①人员管理制度；②重大、疑难复杂、社会影响较大的案 件集体讨论制度；③保密制度；④回避管理制度；⑤档案管理制度；⑥出庭制度。以上①—⑥项内容齐全且符合采购项目要求的得24分，每缺少一项内容或每项内容仅有标题扣4分，每项内容中每有一处内容存在缺陷的扣2分，每项最多扣4分。 注：缺陷是指以下情形中的任意一项：提供的方案中引用法律失效或错误；或提供的方案中规范引用失效或错误；或提供的方案中引用标准存在失效或错误；或照搬其他项目的内容不适用本项目的情形；或提供的方案内容与本项目无关；或方案照抄采购文件第三章相关内容且并未作出具体阐述；或不满足采购需求中非实质性要求的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（包2）供应商认为需要提供的其他材料.docx</w:t>
            </w:r>
          </w:p>
          <w:p>
            <w:pPr>
              <w:pStyle w:val="null3"/>
              <w:jc w:val="left"/>
            </w:pPr>
            <w:r>
              <w:rPr>
                <w:rFonts w:ascii="仿宋_GB2312" w:hAnsi="仿宋_GB2312" w:cs="仿宋_GB2312" w:eastAsia="仿宋_GB2312"/>
              </w:rPr>
              <w:t>（包2）技术、服务要求及其他要求偏离表.docx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供应商自2023年1月1日（含）以来机动车鉴定能力验证或测量审核通过情况：获得一个“满意”结果的得1分；获得“通过”结果的得0.5分；获得“不通过”、“不予评价”、“未反馈”的不得分。本项最多得4分。 注：提供司法鉴定科学研究院或其他国家权威机构颁发的能力验证或测量审核结果通知复印（扫描）件并加盖供应商公章，未提供或不满足不得分。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（包2）供应商认为需要提供的其他材料.docx</w:t>
            </w:r>
          </w:p>
          <w:p>
            <w:pPr>
              <w:pStyle w:val="null3"/>
              <w:jc w:val="left"/>
            </w:pPr>
            <w:r>
              <w:rPr>
                <w:rFonts w:ascii="仿宋_GB2312" w:hAnsi="仿宋_GB2312" w:cs="仿宋_GB2312" w:eastAsia="仿宋_GB2312"/>
              </w:rPr>
              <w:t>（包2）技术、服务要求及其他要求偏离表.docx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1.供应商自2023年1月1日(含)以来具有类似业绩的，每提供1个得2分，本项最多得4分。（类似业绩指：车辆鉴定类项目） 注：以合同签订时间为准，提供合同复印件加盖供应商公章，未提供或不满足不得分。 2.供应商自2023年1月1日（含）以来处理一次性死亡人员三人及以上重大案件，每提供一件得2分，最多得6分。 注：提供委托书、事故认定书、交警事故调查报告任一一项能够反映事故情况和死亡人数的材料，以及该案的鉴定报告等材料的复印（扫描）件，并加盖供应商公章，未提供或不满足不得分。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（包2）供应商认为需要提供的其他材料.docx</w:t>
            </w:r>
          </w:p>
          <w:p>
            <w:pPr>
              <w:pStyle w:val="null3"/>
              <w:jc w:val="left"/>
            </w:pPr>
            <w:r>
              <w:rPr>
                <w:rFonts w:ascii="仿宋_GB2312" w:hAnsi="仿宋_GB2312" w:cs="仿宋_GB2312" w:eastAsia="仿宋_GB2312"/>
              </w:rPr>
              <w:t>（包2）技术、服务要求及其他要求偏离表.docx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车辆类鉴定服务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-20%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-20%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详见附件：（包1）供应商认为需要提供的其他材料.docx</w:t>
      </w:r>
    </w:p>
    <w:p>
      <w:pPr>
        <w:pStyle w:val="null3"/>
        <w:ind w:firstLine="960"/>
        <w:jc w:val="left"/>
      </w:pPr>
      <w:r>
        <w:rPr>
          <w:rFonts w:ascii="仿宋_GB2312" w:hAnsi="仿宋_GB2312" w:cs="仿宋_GB2312" w:eastAsia="仿宋_GB2312"/>
        </w:rPr>
        <w:t>详见附件：（包1）供应商应提交的相关资格证明材料.docx</w:t>
      </w:r>
    </w:p>
    <w:p>
      <w:pPr>
        <w:pStyle w:val="null3"/>
        <w:ind w:firstLine="960"/>
        <w:jc w:val="left"/>
      </w:pPr>
      <w:r>
        <w:rPr>
          <w:rFonts w:ascii="仿宋_GB2312" w:hAnsi="仿宋_GB2312" w:cs="仿宋_GB2312" w:eastAsia="仿宋_GB2312"/>
        </w:rPr>
        <w:t>详见附件：（包1）技术、服务要求及其他要求偏离表.docx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详见附件：（包2）供应商认为需要提供的其他材料.docx</w:t>
      </w:r>
    </w:p>
    <w:p>
      <w:pPr>
        <w:pStyle w:val="null3"/>
        <w:ind w:firstLine="960"/>
        <w:jc w:val="left"/>
      </w:pPr>
      <w:r>
        <w:rPr>
          <w:rFonts w:ascii="仿宋_GB2312" w:hAnsi="仿宋_GB2312" w:cs="仿宋_GB2312" w:eastAsia="仿宋_GB2312"/>
        </w:rPr>
        <w:t>详见附件：（包2）供应商应提交的相关资格证明材料.docx</w:t>
      </w:r>
    </w:p>
    <w:p>
      <w:pPr>
        <w:pStyle w:val="null3"/>
        <w:ind w:firstLine="960"/>
        <w:jc w:val="left"/>
      </w:pPr>
      <w:r>
        <w:rPr>
          <w:rFonts w:ascii="仿宋_GB2312" w:hAnsi="仿宋_GB2312" w:cs="仿宋_GB2312" w:eastAsia="仿宋_GB2312"/>
        </w:rPr>
        <w:t>详见附件：（包2）技术、服务要求及其他要求偏离表.docx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